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bookmarkStart w:id="0" w:name="_Toc12076"/>
      <w:bookmarkStart w:id="1" w:name="_Toc14717"/>
      <w:bookmarkStart w:id="2" w:name="_Toc233429862"/>
      <w:bookmarkStart w:id="3" w:name="_Toc233290460"/>
      <w:bookmarkStart w:id="4" w:name="_Toc233436001"/>
      <w:bookmarkStart w:id="5" w:name="_Toc237255151"/>
      <w:bookmarkStart w:id="6" w:name="_Toc9017"/>
      <w:bookmarkStart w:id="7" w:name="_Toc7130"/>
      <w:bookmarkStart w:id="8" w:name="_Toc233423345"/>
      <w:bookmarkStart w:id="9" w:name="_Toc233215018"/>
      <w:bookmarkStart w:id="10" w:name="_Toc292754812"/>
      <w:bookmarkStart w:id="11" w:name="_Toc262646456"/>
      <w:bookmarkStart w:id="12" w:name="_Toc235846489"/>
      <w:bookmarkStart w:id="13" w:name="_Toc237400205"/>
      <w:r>
        <w:rPr>
          <w:rFonts w:hint="eastAsia" w:ascii="宋体" w:hAnsi="宋体" w:eastAsia="宋体" w:cs="宋体"/>
          <w:b/>
          <w:bCs/>
          <w:sz w:val="36"/>
          <w:szCs w:val="36"/>
          <w:lang w:val="en-US" w:eastAsia="zh-CN"/>
        </w:rPr>
        <w:t>龙港互通连接线拓宽改建工程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工程量清单说明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1</w:t>
      </w:r>
      <w:r>
        <w:rPr>
          <w:rFonts w:hint="eastAsia" w:ascii="宋体" w:hAnsi="宋体" w:eastAsia="宋体" w:cs="宋体"/>
          <w:b/>
          <w:bCs/>
          <w:lang w:eastAsia="zh-CN"/>
        </w:rPr>
        <w:t>、</w:t>
      </w:r>
      <w:r>
        <w:rPr>
          <w:rFonts w:hint="eastAsia" w:ascii="宋体" w:hAnsi="宋体" w:eastAsia="宋体" w:cs="宋体"/>
          <w:b/>
          <w:bCs/>
        </w:rPr>
        <w:t>工程量清单说明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釆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1.2本工程量清单应与招标文件中的投标人须知、通用合同条款、专用合同条款、技术规范及图纸等一起阅读和理解。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1.4工程量清单各章是按第七章“技术规范”的相应章次编号的，因此，工程量清单中各章的工程子目的范围与计量等应与“技术规范”相应章节的范围、计量与支付条款结合起来理解或解释。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1.5对作业和材料的一般说明或规定，未重复写入工程量清单内，在给工程量清单各子目价前，应参阅</w:t>
      </w:r>
      <w:r>
        <w:rPr>
          <w:rFonts w:hint="eastAsia" w:ascii="宋体" w:hAnsi="宋体" w:eastAsia="宋体" w:cs="宋体"/>
          <w:lang w:val="en-US" w:eastAsia="zh-CN"/>
        </w:rPr>
        <w:t>招标文件</w:t>
      </w:r>
      <w:r>
        <w:rPr>
          <w:rFonts w:hint="eastAsia" w:ascii="宋体" w:hAnsi="宋体" w:eastAsia="宋体" w:cs="宋体"/>
        </w:rPr>
        <w:t>第七章“技术规范”的有关内容。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1.6工程量清单中所列工程量的变动，丝毫不会降低或影响合同条款的效力，也不免除承包人按规定的标准进行施工和修复缺陷的责任。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1.7图纸中所列的工程数量表及数量汇总表仅是提供资料，不是工程量清单的外延。当图纸与工程量清单所列数量不一致时，以工程量清单所列数量作为报价的依据。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lang w:eastAsia="zh-CN"/>
        </w:rPr>
        <w:t>、</w:t>
      </w:r>
      <w:r>
        <w:rPr>
          <w:rFonts w:hint="eastAsia" w:ascii="宋体" w:hAnsi="宋体" w:eastAsia="宋体" w:cs="宋体"/>
          <w:b/>
          <w:bCs/>
        </w:rPr>
        <w:t>投标报价说明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2.1工程量清单中的每一子目须填入单价或价格，且只允许有一个报价。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2.2除非合同另有规定，工程量清单中有标价的单价和总额价均已包括了为实施和完成合同工程所需的劳务、材料、机械、质检（自检）、安装、缺陷修复、管理、保险、税费、利润等费用，以</w:t>
      </w:r>
      <w:r>
        <w:rPr>
          <w:rFonts w:hint="eastAsia" w:ascii="宋体" w:hAnsi="宋体" w:eastAsia="宋体" w:cs="宋体"/>
          <w:lang w:val="en-US" w:eastAsia="zh-CN"/>
        </w:rPr>
        <w:t>及</w:t>
      </w:r>
      <w:r>
        <w:rPr>
          <w:rFonts w:hint="eastAsia" w:ascii="宋体" w:hAnsi="宋体" w:eastAsia="宋体" w:cs="宋体"/>
        </w:rPr>
        <w:t>合同明示或暗示的所有责任、义务和一般风险。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 3工程量清单中投标人没有填入单价或价格的子目，其费用视为已分摊在工程量清单中其他相关子目的单价或价格之中。承包人必须按监理人指令完成工程量清单中未填人单价或价格的子目，但不能得到结算与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2.4符合合同条款规定的全部费用（包括暂估价的税金）应认为已被计入有标价的工程量清单所列各子目之中，未列子目不予计量的工作，其费用应视为已分摊在本合同工程的有关子目的单价或总额价之中。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2.5承包人用于本合同工程的各类装备的提供、运输、维护、拆卸、拼装等支付的费用，已包括在工程量清单的单价与总额价之中。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 6工程量清单中各项金额均以人民币（元）结算。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2.7暂列金额（不含计日工总额）的数量及拟用子目的说明：除合同另有规定外，应由监理人按合同条款第15条规定，结合工程具体情况，报发包人批准后指令全部或部分地使用或者根本不予动用。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2.8暂估价的数量及拟用子目的说明：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暂估价的数量及子目釆用工程量清单中的格式填报，其数量、子目不得修改。以上列为暂估价的子目由发包人根据需要及相关规定另行实施。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3</w:t>
      </w:r>
      <w:r>
        <w:rPr>
          <w:rFonts w:hint="eastAsia" w:ascii="宋体" w:hAnsi="宋体" w:eastAsia="宋体" w:cs="宋体"/>
          <w:b/>
          <w:bCs/>
          <w:lang w:val="en-US" w:eastAsia="zh-CN"/>
        </w:rPr>
        <w:t>、</w:t>
      </w:r>
      <w:r>
        <w:rPr>
          <w:rFonts w:hint="eastAsia" w:ascii="宋体" w:hAnsi="宋体" w:eastAsia="宋体" w:cs="宋体"/>
          <w:b/>
          <w:bCs/>
        </w:rPr>
        <w:t>计日工说明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本工程施工期间，发包人在必要时将可以租用本标段的部分机械设备用于其他标段的重点工序的突击作业或抢险，对此，承包人不得拒绝。其租用费用按招标文件通用条款中“计日工”和“计日工明细表”相关规定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4</w:t>
      </w:r>
      <w:r>
        <w:rPr>
          <w:rFonts w:hint="eastAsia" w:ascii="宋体" w:hAnsi="宋体" w:eastAsia="宋体" w:cs="宋体"/>
          <w:b/>
          <w:bCs/>
          <w:lang w:eastAsia="zh-CN"/>
        </w:rPr>
        <w:t>、</w:t>
      </w:r>
      <w:r>
        <w:rPr>
          <w:rFonts w:hint="eastAsia" w:ascii="宋体" w:hAnsi="宋体" w:eastAsia="宋体" w:cs="宋体"/>
          <w:b/>
          <w:bCs/>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FF0000"/>
        </w:rPr>
      </w:pPr>
      <w:r>
        <w:rPr>
          <w:rFonts w:hint="eastAsia" w:ascii="宋体" w:hAnsi="宋体" w:eastAsia="宋体" w:cs="宋体"/>
        </w:rPr>
        <w:t>4.1安全生产费用不低于投标总报价（不含建筑工程一切险、第三者责任险及安全生产费）的1.5% （关于印发《企业安全生产费用提取和使用管理办法》的通知财企（2012） 16号）。</w:t>
      </w:r>
      <w:r>
        <w:rPr>
          <w:rFonts w:hint="eastAsia" w:ascii="宋体" w:hAnsi="宋体" w:eastAsia="宋体" w:cs="宋体"/>
          <w:color w:val="FF0000"/>
          <w:lang w:val="en-US" w:eastAsia="zh-CN"/>
        </w:rPr>
        <w:t>且招标文件中若出现其他安全生产费取费规则与此处不一致，按此处为准。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4.2建筑工程一切险本工程控制价取费基数按第100章至700章小计汇总的5‰计取（不含建筑工程一切险、第三方责任险及安全生产费）；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4.3第三方责任险投保金额为100万元，保险费率为 5 ‰。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4</w:t>
      </w:r>
      <w:r>
        <w:rPr>
          <w:rFonts w:hint="eastAsia" w:ascii="宋体" w:hAnsi="宋体" w:eastAsia="宋体" w:cs="宋体"/>
        </w:rPr>
        <w:t>在签订合同协议书前，招标人对中标人投标文件中的明显不平衡报价，在总价保持不变的前提下，应双方协商调整至双方认可的合理范围。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5</w:t>
      </w:r>
      <w:r>
        <w:rPr>
          <w:rFonts w:hint="eastAsia" w:ascii="宋体" w:hAnsi="宋体" w:eastAsia="宋体" w:cs="宋体"/>
        </w:rPr>
        <w:t>在签订合同协议书前，中标人应向招标人提供交通运输部《公路工程基本建设项目概算预算编制办法》规定的表03、04、07、08-2书面及电子版资料各一套。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6</w:t>
      </w:r>
      <w:r>
        <w:rPr>
          <w:rFonts w:hint="eastAsia" w:ascii="宋体" w:hAnsi="宋体" w:eastAsia="宋体" w:cs="宋体"/>
        </w:rPr>
        <w:t>如因中标人原因修改了招标人提供的工程量清单中任何一项支付子目的工程数量，导致引起清单计算总额价与合同总额价的差异，则在该清单支付子目合价不变的前提下，调整相应的单价，由此造成的损失由中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FF0000"/>
          <w:lang w:val="en-US" w:eastAsia="zh-CN"/>
        </w:rPr>
      </w:pPr>
      <w:r>
        <w:rPr>
          <w:rFonts w:hint="default" w:ascii="宋体" w:hAnsi="宋体" w:cs="宋体"/>
          <w:lang w:val="en-US" w:eastAsia="zh-CN"/>
        </w:rPr>
        <w:t>4.7</w:t>
      </w:r>
      <w:r>
        <w:rPr>
          <w:rFonts w:hint="default" w:ascii="宋体" w:hAnsi="宋体" w:eastAsia="宋体" w:cs="宋体"/>
          <w:lang w:val="en-US" w:eastAsia="zh-CN"/>
        </w:rPr>
        <w:t>、</w:t>
      </w:r>
      <w:r>
        <w:rPr>
          <w:rFonts w:hint="default" w:ascii="宋体" w:hAnsi="宋体" w:eastAsia="宋体" w:cs="宋体"/>
          <w:color w:val="FF0000"/>
          <w:lang w:val="en-US" w:eastAsia="zh-CN"/>
        </w:rPr>
        <w:t>暂列金额的数量及拟用子目的说明(不含计工日工总额)：第100章至700章工程量清单合计的3%计取。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cs="宋体"/>
          <w:lang w:val="en-US" w:eastAsia="zh-CN"/>
        </w:rPr>
        <w:t>4.8</w:t>
      </w:r>
      <w:r>
        <w:rPr>
          <w:rFonts w:hint="default" w:ascii="宋体" w:hAnsi="宋体" w:eastAsia="宋体" w:cs="宋体"/>
          <w:lang w:val="en-US" w:eastAsia="zh-CN"/>
        </w:rPr>
        <w:t>、本标底预算弃方消纳、运距，投标单位依据现场踏勘后自行考虑，标后不予调整。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4</w:t>
      </w:r>
      <w:r>
        <w:rPr>
          <w:rFonts w:hint="default" w:ascii="宋体" w:hAnsi="宋体" w:cs="宋体"/>
          <w:lang w:val="en-US" w:eastAsia="zh-CN"/>
        </w:rPr>
        <w:t>.9</w:t>
      </w:r>
      <w:r>
        <w:rPr>
          <w:rFonts w:hint="eastAsia" w:ascii="宋体" w:hAnsi="宋体" w:cs="宋体"/>
          <w:lang w:val="en-US" w:eastAsia="zh-CN"/>
        </w:rPr>
        <w:t>、</w:t>
      </w:r>
      <w:r>
        <w:rPr>
          <w:rFonts w:hint="default" w:ascii="宋体" w:hAnsi="宋体" w:eastAsia="宋体" w:cs="宋体"/>
          <w:lang w:val="en-US" w:eastAsia="zh-CN"/>
        </w:rPr>
        <w:t>本项目清单回填方沉降量，施工单位清单报价应综合考虑沉降量及压实系数综合报价单价内，结算单价风险包干不做调整，工程量按测量方量计入，不另计沉降量。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cs="宋体"/>
          <w:lang w:val="en-US" w:eastAsia="zh-CN"/>
        </w:rPr>
        <w:t>4.1</w:t>
      </w:r>
      <w:r>
        <w:rPr>
          <w:rFonts w:hint="eastAsia" w:ascii="宋体" w:hAnsi="宋体" w:cs="宋体"/>
          <w:lang w:val="en-US" w:eastAsia="zh-CN"/>
        </w:rPr>
        <w:t>0、</w:t>
      </w:r>
      <w:r>
        <w:rPr>
          <w:rFonts w:hint="default" w:ascii="宋体" w:hAnsi="宋体" w:eastAsia="宋体" w:cs="宋体"/>
          <w:lang w:val="en-US" w:eastAsia="zh-CN"/>
        </w:rPr>
        <w:t>Gr-A-4C护栏（现状利用），由施工单位根据标前勘察自行考虑利用率，不足之处由施工单位自行考虑外购，包含在综合单价中，风险包干，结算不予调整。</w:t>
      </w:r>
    </w:p>
    <w:bookmarkEnd w:id="0"/>
    <w:bookmarkEnd w:id="1"/>
    <w:bookmarkEnd w:id="2"/>
    <w:bookmarkEnd w:id="3"/>
    <w:bookmarkEnd w:id="4"/>
    <w:bookmarkEnd w:id="5"/>
    <w:bookmarkEnd w:id="6"/>
    <w:bookmarkEnd w:id="7"/>
    <w:bookmarkEnd w:id="8"/>
    <w:bookmarkEnd w:id="9"/>
    <w:bookmarkEnd w:id="10"/>
    <w:bookmarkEnd w:id="11"/>
    <w:bookmarkEnd w:id="12"/>
    <w:bookmarkEnd w:id="13"/>
    <w:p>
      <w:pPr>
        <w:rPr>
          <w:rFonts w:hint="eastAsia"/>
          <w:b/>
        </w:rPr>
      </w:pPr>
      <w:bookmarkStart w:id="14" w:name="_Toc239488091"/>
      <w:bookmarkStart w:id="15" w:name="_Toc30816"/>
      <w:bookmarkStart w:id="16" w:name="_Toc292754817"/>
      <w:bookmarkStart w:id="17" w:name="_Toc29573"/>
      <w:bookmarkStart w:id="18" w:name="_Toc240016217"/>
      <w:bookmarkStart w:id="19" w:name="_Toc18617"/>
      <w:bookmarkStart w:id="20" w:name="_Toc262646461"/>
      <w:r>
        <w:rPr>
          <w:rFonts w:hint="eastAsia" w:ascii="宋体" w:hAnsi="宋体" w:cs="宋体"/>
          <w:b/>
        </w:rPr>
        <w:br w:type="page"/>
      </w:r>
      <w:bookmarkEnd w:id="14"/>
      <w:bookmarkEnd w:id="15"/>
      <w:bookmarkEnd w:id="16"/>
      <w:bookmarkEnd w:id="17"/>
      <w:bookmarkEnd w:id="18"/>
      <w:bookmarkEnd w:id="19"/>
      <w:bookmarkEnd w:id="20"/>
      <w:r>
        <w:rPr>
          <w:rFonts w:hint="eastAsia"/>
          <w:b/>
        </w:rPr>
        <w:t>5.2  计日工表（本项目不适用）</w:t>
      </w:r>
    </w:p>
    <w:p>
      <w:pPr>
        <w:rPr>
          <w:rFonts w:hint="eastAsia" w:ascii="宋体" w:hAnsi="宋体"/>
          <w:b/>
          <w:szCs w:val="21"/>
        </w:rPr>
      </w:pPr>
    </w:p>
    <w:p>
      <w:pPr>
        <w:spacing w:after="120" w:afterLines="50"/>
        <w:outlineLvl w:val="2"/>
        <w:rPr>
          <w:rFonts w:hint="eastAsia"/>
          <w:b/>
        </w:rPr>
      </w:pPr>
      <w:bookmarkStart w:id="21" w:name="_Toc28173"/>
      <w:bookmarkStart w:id="22" w:name="_Toc292754825"/>
      <w:bookmarkStart w:id="23" w:name="_Toc16579"/>
      <w:r>
        <w:rPr>
          <w:rFonts w:hint="eastAsia"/>
          <w:b/>
        </w:rPr>
        <w:t>5.3  暂估价表</w:t>
      </w:r>
      <w:bookmarkEnd w:id="21"/>
      <w:bookmarkEnd w:id="22"/>
      <w:bookmarkEnd w:id="23"/>
    </w:p>
    <w:p>
      <w:pPr>
        <w:spacing w:after="120" w:afterLines="50"/>
        <w:ind w:firstLine="424" w:firstLineChars="201"/>
        <w:rPr>
          <w:rFonts w:hint="eastAsia"/>
          <w:b/>
        </w:rPr>
      </w:pPr>
      <w:r>
        <w:rPr>
          <w:rFonts w:hint="eastAsia"/>
          <w:b/>
        </w:rPr>
        <w:t>5.3.1材料暂估价表（本项目不适用）</w:t>
      </w:r>
    </w:p>
    <w:p>
      <w:pPr>
        <w:spacing w:after="120" w:afterLines="50"/>
        <w:ind w:firstLine="424" w:firstLineChars="201"/>
        <w:rPr>
          <w:rFonts w:hint="eastAsia"/>
          <w:b/>
        </w:rPr>
      </w:pPr>
      <w:r>
        <w:rPr>
          <w:rFonts w:hint="eastAsia"/>
          <w:b/>
        </w:rPr>
        <w:t>5.3.2工程设备暂估价表（本项目不适用）</w:t>
      </w:r>
    </w:p>
    <w:p>
      <w:pPr>
        <w:spacing w:after="120" w:afterLines="50"/>
        <w:ind w:firstLine="424" w:firstLineChars="201"/>
        <w:rPr>
          <w:rFonts w:hint="eastAsia"/>
          <w:b/>
        </w:rPr>
      </w:pPr>
      <w:r>
        <w:rPr>
          <w:rFonts w:hint="eastAsia"/>
          <w:b/>
        </w:rPr>
        <w:t>5.3.3 专业工程暂估价表（本项目不适用）</w:t>
      </w:r>
    </w:p>
    <w:p>
      <w:pPr>
        <w:spacing w:after="120" w:afterLines="50"/>
        <w:ind w:firstLine="424" w:firstLineChars="201"/>
        <w:rPr>
          <w:rFonts w:hint="eastAsia"/>
          <w:b/>
        </w:rPr>
      </w:pPr>
    </w:p>
    <w:p>
      <w:pPr>
        <w:spacing w:after="120" w:afterLines="50"/>
        <w:outlineLvl w:val="2"/>
        <w:rPr>
          <w:rFonts w:hint="eastAsia"/>
          <w:b/>
        </w:rPr>
      </w:pPr>
      <w:bookmarkStart w:id="24" w:name="_Toc14859"/>
      <w:bookmarkStart w:id="25" w:name="_Toc4213"/>
      <w:bookmarkStart w:id="26" w:name="_Toc292754826"/>
      <w:r>
        <w:rPr>
          <w:rFonts w:hint="eastAsia"/>
          <w:b/>
        </w:rPr>
        <w:t>5.4  投标报价汇总表</w:t>
      </w:r>
      <w:bookmarkEnd w:id="24"/>
      <w:bookmarkEnd w:id="25"/>
      <w:bookmarkEnd w:id="26"/>
    </w:p>
    <w:p>
      <w:pPr>
        <w:spacing w:before="120" w:beforeLines="50"/>
        <w:ind w:firstLine="210" w:firstLineChars="100"/>
        <w:rPr>
          <w:rFonts w:hint="eastAsia" w:ascii="黑体" w:eastAsia="黑体"/>
          <w:szCs w:val="28"/>
        </w:rPr>
      </w:pPr>
      <w:r>
        <w:rPr>
          <w:rFonts w:hint="eastAsia" w:ascii="黑体" w:eastAsia="黑体"/>
          <w:szCs w:val="28"/>
        </w:rPr>
        <w:t>龙港互通连接线拓宽改建工程</w:t>
      </w:r>
    </w:p>
    <w:tbl>
      <w:tblPr>
        <w:tblStyle w:val="3"/>
        <w:tblW w:w="90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853"/>
        <w:gridCol w:w="4247"/>
        <w:gridCol w:w="1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序 号</w:t>
            </w:r>
          </w:p>
        </w:tc>
        <w:tc>
          <w:tcPr>
            <w:tcW w:w="185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章 次</w:t>
            </w:r>
          </w:p>
        </w:tc>
        <w:tc>
          <w:tcPr>
            <w:tcW w:w="4247"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科 目 名 称</w:t>
            </w:r>
          </w:p>
        </w:tc>
        <w:tc>
          <w:tcPr>
            <w:tcW w:w="1987"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宋体" w:hAnsi="宋体"/>
                <w:szCs w:val="21"/>
              </w:rPr>
            </w:pPr>
            <w:r>
              <w:rPr>
                <w:rFonts w:hint="eastAsia" w:ascii="宋体" w:hAnsi="宋体"/>
                <w:szCs w:val="21"/>
              </w:rPr>
              <w:t>金 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12" w:space="0"/>
              <w:left w:val="single" w:color="auto" w:sz="12" w:space="0"/>
              <w:bottom w:val="single" w:color="auto" w:sz="6" w:space="0"/>
              <w:right w:val="single" w:color="auto" w:sz="6" w:space="0"/>
            </w:tcBorders>
            <w:shd w:val="clear" w:color="auto" w:fill="auto"/>
            <w:vAlign w:val="center"/>
          </w:tcPr>
          <w:p>
            <w:pPr>
              <w:jc w:val="center"/>
              <w:rPr>
                <w:rFonts w:hint="eastAsia" w:ascii="宋体" w:hAnsi="宋体"/>
                <w:szCs w:val="21"/>
              </w:rPr>
            </w:pPr>
            <w:r>
              <w:rPr>
                <w:rFonts w:hint="eastAsia" w:ascii="宋体" w:hAnsi="宋体"/>
                <w:szCs w:val="21"/>
              </w:rPr>
              <w:t>1</w:t>
            </w:r>
          </w:p>
        </w:tc>
        <w:tc>
          <w:tcPr>
            <w:tcW w:w="1853" w:type="dxa"/>
            <w:tcBorders>
              <w:top w:val="single" w:color="auto" w:sz="12"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szCs w:val="21"/>
              </w:rPr>
            </w:pPr>
            <w:r>
              <w:rPr>
                <w:rFonts w:ascii="smartSimSun" w:hAnsi="smartSimSun" w:eastAsia="smartSimSun" w:cs="smartSimSun"/>
                <w:color w:val="000000"/>
                <w:kern w:val="0"/>
                <w:sz w:val="18"/>
                <w:szCs w:val="18"/>
                <w:lang w:bidi="ar"/>
              </w:rPr>
              <w:t>100</w:t>
            </w:r>
          </w:p>
        </w:tc>
        <w:tc>
          <w:tcPr>
            <w:tcW w:w="4247" w:type="dxa"/>
            <w:tcBorders>
              <w:top w:val="single" w:color="auto" w:sz="12"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cs="宋体"/>
                <w:kern w:val="0"/>
                <w:sz w:val="18"/>
                <w:szCs w:val="18"/>
                <w:lang w:bidi="ar"/>
              </w:rPr>
            </w:pPr>
            <w:r>
              <w:rPr>
                <w:rFonts w:ascii="smartSimSun" w:hAnsi="smartSimSun" w:eastAsia="smartSimSun" w:cs="smartSimSun"/>
                <w:color w:val="000000"/>
                <w:kern w:val="0"/>
                <w:sz w:val="18"/>
                <w:szCs w:val="18"/>
                <w:lang w:bidi="ar"/>
              </w:rPr>
              <w:t>清单 第100章  总则</w:t>
            </w:r>
          </w:p>
        </w:tc>
        <w:tc>
          <w:tcPr>
            <w:tcW w:w="1987"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12" w:space="0"/>
              <w:left w:val="single" w:color="auto" w:sz="12" w:space="0"/>
              <w:bottom w:val="single" w:color="auto" w:sz="6" w:space="0"/>
              <w:right w:val="single" w:color="auto" w:sz="6" w:space="0"/>
            </w:tcBorders>
            <w:shd w:val="clear" w:color="auto" w:fill="auto"/>
            <w:vAlign w:val="center"/>
          </w:tcPr>
          <w:p>
            <w:pPr>
              <w:jc w:val="center"/>
              <w:rPr>
                <w:rFonts w:hint="eastAsia" w:ascii="宋体" w:hAnsi="宋体"/>
                <w:szCs w:val="21"/>
              </w:rPr>
            </w:pPr>
            <w:r>
              <w:rPr>
                <w:rFonts w:hint="eastAsia" w:ascii="宋体" w:hAnsi="宋体"/>
                <w:szCs w:val="21"/>
              </w:rPr>
              <w:t>2</w:t>
            </w:r>
          </w:p>
        </w:tc>
        <w:tc>
          <w:tcPr>
            <w:tcW w:w="1853" w:type="dxa"/>
            <w:tcBorders>
              <w:top w:val="single" w:color="auto" w:sz="12"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szCs w:val="21"/>
              </w:rPr>
            </w:pPr>
            <w:r>
              <w:rPr>
                <w:rFonts w:ascii="smartSimSun" w:hAnsi="smartSimSun" w:eastAsia="smartSimSun" w:cs="smartSimSun"/>
                <w:color w:val="000000"/>
                <w:kern w:val="0"/>
                <w:sz w:val="18"/>
                <w:szCs w:val="18"/>
                <w:lang w:bidi="ar"/>
              </w:rPr>
              <w:t>200</w:t>
            </w:r>
          </w:p>
        </w:tc>
        <w:tc>
          <w:tcPr>
            <w:tcW w:w="4247" w:type="dxa"/>
            <w:tcBorders>
              <w:top w:val="single" w:color="auto" w:sz="12"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kern w:val="0"/>
                <w:sz w:val="18"/>
                <w:szCs w:val="18"/>
                <w:lang w:bidi="ar"/>
              </w:rPr>
            </w:pPr>
            <w:r>
              <w:rPr>
                <w:rFonts w:ascii="smartSimSun" w:hAnsi="smartSimSun" w:eastAsia="smartSimSun" w:cs="smartSimSun"/>
                <w:color w:val="000000"/>
                <w:kern w:val="0"/>
                <w:sz w:val="18"/>
                <w:szCs w:val="18"/>
                <w:lang w:bidi="ar"/>
              </w:rPr>
              <w:t>清单 第200章  路基</w:t>
            </w:r>
          </w:p>
        </w:tc>
        <w:tc>
          <w:tcPr>
            <w:tcW w:w="1987"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12" w:space="0"/>
              <w:left w:val="single" w:color="auto" w:sz="12" w:space="0"/>
              <w:bottom w:val="single" w:color="auto" w:sz="6" w:space="0"/>
              <w:right w:val="single" w:color="auto" w:sz="6" w:space="0"/>
            </w:tcBorders>
            <w:shd w:val="clear" w:color="auto" w:fill="auto"/>
            <w:vAlign w:val="center"/>
          </w:tcPr>
          <w:p>
            <w:pPr>
              <w:jc w:val="center"/>
              <w:rPr>
                <w:rFonts w:hint="eastAsia" w:ascii="宋体" w:hAnsi="宋体"/>
                <w:szCs w:val="21"/>
              </w:rPr>
            </w:pPr>
            <w:r>
              <w:rPr>
                <w:rFonts w:hint="eastAsia" w:ascii="宋体" w:hAnsi="宋体"/>
                <w:szCs w:val="21"/>
              </w:rPr>
              <w:t>3</w:t>
            </w:r>
          </w:p>
        </w:tc>
        <w:tc>
          <w:tcPr>
            <w:tcW w:w="1853" w:type="dxa"/>
            <w:tcBorders>
              <w:top w:val="single" w:color="auto" w:sz="12"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szCs w:val="21"/>
              </w:rPr>
            </w:pPr>
            <w:r>
              <w:rPr>
                <w:rFonts w:ascii="smartSimSun" w:hAnsi="smartSimSun" w:eastAsia="smartSimSun" w:cs="smartSimSun"/>
                <w:color w:val="000000"/>
                <w:kern w:val="0"/>
                <w:sz w:val="18"/>
                <w:szCs w:val="18"/>
                <w:lang w:bidi="ar"/>
              </w:rPr>
              <w:t>300</w:t>
            </w:r>
          </w:p>
        </w:tc>
        <w:tc>
          <w:tcPr>
            <w:tcW w:w="4247" w:type="dxa"/>
            <w:tcBorders>
              <w:top w:val="single" w:color="auto" w:sz="12"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kern w:val="0"/>
                <w:sz w:val="18"/>
                <w:szCs w:val="18"/>
                <w:lang w:bidi="ar"/>
              </w:rPr>
            </w:pPr>
            <w:r>
              <w:rPr>
                <w:rFonts w:ascii="smartSimSun" w:hAnsi="smartSimSun" w:eastAsia="smartSimSun" w:cs="smartSimSun"/>
                <w:color w:val="000000"/>
                <w:kern w:val="0"/>
                <w:sz w:val="18"/>
                <w:szCs w:val="18"/>
                <w:lang w:bidi="ar"/>
              </w:rPr>
              <w:t>清单 第300章  路面</w:t>
            </w:r>
          </w:p>
        </w:tc>
        <w:tc>
          <w:tcPr>
            <w:tcW w:w="1987"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12" w:space="0"/>
              <w:left w:val="single" w:color="auto" w:sz="12" w:space="0"/>
              <w:bottom w:val="single" w:color="auto" w:sz="6" w:space="0"/>
              <w:right w:val="single" w:color="auto" w:sz="6" w:space="0"/>
            </w:tcBorders>
            <w:shd w:val="clear" w:color="auto" w:fill="auto"/>
            <w:vAlign w:val="center"/>
          </w:tcPr>
          <w:p>
            <w:pPr>
              <w:jc w:val="center"/>
              <w:rPr>
                <w:rFonts w:hint="eastAsia" w:ascii="宋体" w:hAnsi="宋体"/>
                <w:szCs w:val="21"/>
              </w:rPr>
            </w:pPr>
            <w:r>
              <w:rPr>
                <w:rFonts w:hint="eastAsia" w:ascii="宋体" w:hAnsi="宋体"/>
                <w:szCs w:val="21"/>
              </w:rPr>
              <w:t>4</w:t>
            </w:r>
          </w:p>
        </w:tc>
        <w:tc>
          <w:tcPr>
            <w:tcW w:w="1853" w:type="dxa"/>
            <w:tcBorders>
              <w:top w:val="single" w:color="auto" w:sz="12"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szCs w:val="21"/>
              </w:rPr>
            </w:pPr>
            <w:r>
              <w:rPr>
                <w:rFonts w:ascii="smartSimSun" w:hAnsi="smartSimSun" w:eastAsia="smartSimSun" w:cs="smartSimSun"/>
                <w:color w:val="000000"/>
                <w:kern w:val="0"/>
                <w:sz w:val="18"/>
                <w:szCs w:val="18"/>
                <w:lang w:bidi="ar"/>
              </w:rPr>
              <w:t>400</w:t>
            </w:r>
          </w:p>
        </w:tc>
        <w:tc>
          <w:tcPr>
            <w:tcW w:w="4247" w:type="dxa"/>
            <w:tcBorders>
              <w:top w:val="single" w:color="auto" w:sz="12"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kern w:val="0"/>
                <w:sz w:val="18"/>
                <w:szCs w:val="18"/>
                <w:lang w:bidi="ar"/>
              </w:rPr>
            </w:pPr>
            <w:r>
              <w:rPr>
                <w:rFonts w:ascii="smartSimSun" w:hAnsi="smartSimSun" w:eastAsia="smartSimSun" w:cs="smartSimSun"/>
                <w:color w:val="000000"/>
                <w:kern w:val="0"/>
                <w:sz w:val="18"/>
                <w:szCs w:val="18"/>
                <w:lang w:bidi="ar"/>
              </w:rPr>
              <w:t>清单 第400章  桥梁、涵洞</w:t>
            </w:r>
          </w:p>
        </w:tc>
        <w:tc>
          <w:tcPr>
            <w:tcW w:w="1987"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12" w:space="0"/>
              <w:left w:val="single" w:color="auto" w:sz="12" w:space="0"/>
              <w:bottom w:val="single" w:color="auto" w:sz="6" w:space="0"/>
              <w:right w:val="single" w:color="auto" w:sz="6" w:space="0"/>
            </w:tcBorders>
            <w:shd w:val="clear" w:color="auto" w:fill="auto"/>
            <w:vAlign w:val="center"/>
          </w:tcPr>
          <w:p>
            <w:pPr>
              <w:jc w:val="center"/>
              <w:rPr>
                <w:rFonts w:hint="eastAsia" w:ascii="宋体" w:hAnsi="宋体"/>
                <w:szCs w:val="21"/>
              </w:rPr>
            </w:pPr>
            <w:r>
              <w:rPr>
                <w:rFonts w:hint="eastAsia" w:ascii="宋体" w:hAnsi="宋体"/>
                <w:szCs w:val="21"/>
              </w:rPr>
              <w:t>5</w:t>
            </w:r>
          </w:p>
        </w:tc>
        <w:tc>
          <w:tcPr>
            <w:tcW w:w="1853" w:type="dxa"/>
            <w:tcBorders>
              <w:top w:val="single" w:color="auto" w:sz="12"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szCs w:val="21"/>
              </w:rPr>
            </w:pPr>
            <w:r>
              <w:rPr>
                <w:rFonts w:ascii="smartSimSun" w:hAnsi="smartSimSun" w:eastAsia="smartSimSun" w:cs="smartSimSun"/>
                <w:color w:val="000000"/>
                <w:kern w:val="0"/>
                <w:sz w:val="18"/>
                <w:szCs w:val="18"/>
                <w:lang w:bidi="ar"/>
              </w:rPr>
              <w:t>600</w:t>
            </w:r>
          </w:p>
        </w:tc>
        <w:tc>
          <w:tcPr>
            <w:tcW w:w="4247" w:type="dxa"/>
            <w:tcBorders>
              <w:top w:val="single" w:color="auto" w:sz="12"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kern w:val="0"/>
                <w:sz w:val="18"/>
                <w:szCs w:val="18"/>
                <w:lang w:bidi="ar"/>
              </w:rPr>
            </w:pPr>
            <w:r>
              <w:rPr>
                <w:rFonts w:ascii="smartSimSun" w:hAnsi="smartSimSun" w:eastAsia="smartSimSun" w:cs="smartSimSun"/>
                <w:color w:val="000000"/>
                <w:kern w:val="0"/>
                <w:sz w:val="18"/>
                <w:szCs w:val="18"/>
                <w:lang w:bidi="ar"/>
              </w:rPr>
              <w:t>清单 第600章  安全设施及预埋管线</w:t>
            </w:r>
          </w:p>
        </w:tc>
        <w:tc>
          <w:tcPr>
            <w:tcW w:w="1987"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vAlign w:val="center"/>
          </w:tcPr>
          <w:p>
            <w:pPr>
              <w:jc w:val="center"/>
              <w:rPr>
                <w:rFonts w:hint="eastAsia" w:ascii="宋体" w:hAnsi="宋体"/>
                <w:szCs w:val="21"/>
              </w:rPr>
            </w:pPr>
            <w:r>
              <w:rPr>
                <w:rFonts w:hint="eastAsia" w:ascii="宋体" w:hAnsi="宋体"/>
                <w:szCs w:val="21"/>
              </w:rPr>
              <w:t>6</w:t>
            </w:r>
          </w:p>
        </w:tc>
        <w:tc>
          <w:tcPr>
            <w:tcW w:w="6100" w:type="dxa"/>
            <w:gridSpan w:val="2"/>
            <w:vAlign w:val="center"/>
          </w:tcPr>
          <w:p>
            <w:pPr>
              <w:widowControl/>
              <w:jc w:val="center"/>
              <w:textAlignment w:val="center"/>
              <w:rPr>
                <w:rFonts w:ascii="smartSimSun" w:hAnsi="smartSimSun" w:cs="宋体"/>
                <w:sz w:val="18"/>
                <w:szCs w:val="18"/>
              </w:rPr>
            </w:pPr>
            <w:r>
              <w:rPr>
                <w:rFonts w:ascii="smartSimSun" w:hAnsi="smartSimSun" w:eastAsia="smartSimSun" w:cs="smartSimSun"/>
                <w:color w:val="000000"/>
                <w:kern w:val="0"/>
                <w:sz w:val="18"/>
                <w:szCs w:val="18"/>
                <w:lang w:bidi="ar"/>
              </w:rPr>
              <w:t>第100章至700章清单合计</w:t>
            </w:r>
          </w:p>
        </w:tc>
        <w:tc>
          <w:tcPr>
            <w:tcW w:w="1987"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vAlign w:val="center"/>
          </w:tcPr>
          <w:p>
            <w:pPr>
              <w:jc w:val="center"/>
              <w:rPr>
                <w:rFonts w:hint="eastAsia" w:ascii="宋体" w:hAnsi="宋体"/>
                <w:szCs w:val="21"/>
              </w:rPr>
            </w:pPr>
            <w:r>
              <w:rPr>
                <w:rFonts w:hint="eastAsia" w:ascii="宋体" w:hAnsi="宋体"/>
                <w:szCs w:val="21"/>
              </w:rPr>
              <w:t>7</w:t>
            </w:r>
          </w:p>
        </w:tc>
        <w:tc>
          <w:tcPr>
            <w:tcW w:w="6100" w:type="dxa"/>
            <w:gridSpan w:val="2"/>
            <w:vAlign w:val="center"/>
          </w:tcPr>
          <w:p>
            <w:pPr>
              <w:widowControl/>
              <w:jc w:val="center"/>
              <w:textAlignment w:val="center"/>
              <w:rPr>
                <w:rFonts w:hint="eastAsia" w:ascii="宋体" w:hAnsi="宋体"/>
                <w:b/>
                <w:bCs/>
                <w:szCs w:val="21"/>
              </w:rPr>
            </w:pPr>
            <w:r>
              <w:rPr>
                <w:rFonts w:ascii="smartSimSun" w:hAnsi="smartSimSun" w:eastAsia="smartSimSun" w:cs="smartSimSun"/>
                <w:color w:val="000000"/>
                <w:kern w:val="0"/>
                <w:sz w:val="18"/>
                <w:szCs w:val="18"/>
                <w:lang w:bidi="ar"/>
              </w:rPr>
              <w:t>已包含在清单合计中的专项暂定金额小计</w:t>
            </w:r>
          </w:p>
        </w:tc>
        <w:tc>
          <w:tcPr>
            <w:tcW w:w="1987"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vAlign w:val="center"/>
          </w:tcPr>
          <w:p>
            <w:pPr>
              <w:jc w:val="center"/>
              <w:rPr>
                <w:rFonts w:hint="eastAsia" w:ascii="宋体" w:hAnsi="宋体"/>
                <w:szCs w:val="21"/>
              </w:rPr>
            </w:pPr>
            <w:r>
              <w:rPr>
                <w:rFonts w:hint="eastAsia" w:ascii="宋体" w:hAnsi="宋体"/>
                <w:szCs w:val="21"/>
              </w:rPr>
              <w:t>8</w:t>
            </w:r>
          </w:p>
        </w:tc>
        <w:tc>
          <w:tcPr>
            <w:tcW w:w="6100" w:type="dxa"/>
            <w:gridSpan w:val="2"/>
            <w:vAlign w:val="center"/>
          </w:tcPr>
          <w:p>
            <w:pPr>
              <w:widowControl/>
              <w:jc w:val="center"/>
              <w:textAlignment w:val="center"/>
              <w:rPr>
                <w:rFonts w:hint="eastAsia" w:ascii="宋体" w:hAnsi="宋体"/>
                <w:b/>
                <w:bCs/>
                <w:szCs w:val="21"/>
              </w:rPr>
            </w:pPr>
            <w:r>
              <w:rPr>
                <w:rFonts w:ascii="smartSimSun" w:hAnsi="smartSimSun" w:eastAsia="smartSimSun" w:cs="smartSimSun"/>
                <w:color w:val="000000"/>
                <w:kern w:val="0"/>
                <w:sz w:val="18"/>
                <w:szCs w:val="18"/>
                <w:lang w:bidi="ar"/>
              </w:rPr>
              <w:t>清单合计减去专项暂定金额(即6-7)=8</w:t>
            </w:r>
          </w:p>
        </w:tc>
        <w:tc>
          <w:tcPr>
            <w:tcW w:w="1987"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vAlign w:val="center"/>
          </w:tcPr>
          <w:p>
            <w:pPr>
              <w:jc w:val="center"/>
              <w:rPr>
                <w:rFonts w:hint="eastAsia" w:ascii="宋体" w:hAnsi="宋体"/>
                <w:szCs w:val="21"/>
              </w:rPr>
            </w:pPr>
            <w:r>
              <w:rPr>
                <w:rFonts w:hint="eastAsia" w:ascii="宋体" w:hAnsi="宋体"/>
                <w:szCs w:val="21"/>
              </w:rPr>
              <w:t>9</w:t>
            </w:r>
          </w:p>
        </w:tc>
        <w:tc>
          <w:tcPr>
            <w:tcW w:w="6100" w:type="dxa"/>
            <w:gridSpan w:val="2"/>
            <w:vAlign w:val="center"/>
          </w:tcPr>
          <w:p>
            <w:pPr>
              <w:widowControl/>
              <w:jc w:val="center"/>
              <w:textAlignment w:val="center"/>
              <w:rPr>
                <w:rFonts w:hint="eastAsia" w:ascii="宋体" w:hAnsi="宋体"/>
                <w:b/>
                <w:bCs/>
                <w:szCs w:val="21"/>
              </w:rPr>
            </w:pPr>
            <w:r>
              <w:rPr>
                <w:rFonts w:ascii="smartSimSun" w:hAnsi="smartSimSun" w:eastAsia="smartSimSun" w:cs="smartSimSun"/>
                <w:color w:val="000000"/>
                <w:kern w:val="0"/>
                <w:sz w:val="18"/>
                <w:szCs w:val="18"/>
                <w:lang w:bidi="ar"/>
              </w:rPr>
              <w:t>计日工合计</w:t>
            </w:r>
          </w:p>
        </w:tc>
        <w:tc>
          <w:tcPr>
            <w:tcW w:w="1987"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vAlign w:val="center"/>
          </w:tcPr>
          <w:p>
            <w:pPr>
              <w:jc w:val="center"/>
              <w:rPr>
                <w:rFonts w:hint="eastAsia" w:ascii="宋体" w:hAnsi="宋体"/>
                <w:szCs w:val="21"/>
              </w:rPr>
            </w:pPr>
            <w:r>
              <w:rPr>
                <w:rFonts w:hint="eastAsia" w:ascii="宋体" w:hAnsi="宋体"/>
                <w:szCs w:val="21"/>
              </w:rPr>
              <w:t>10</w:t>
            </w:r>
          </w:p>
        </w:tc>
        <w:tc>
          <w:tcPr>
            <w:tcW w:w="6100" w:type="dxa"/>
            <w:gridSpan w:val="2"/>
            <w:vAlign w:val="center"/>
          </w:tcPr>
          <w:p>
            <w:pPr>
              <w:widowControl/>
              <w:jc w:val="center"/>
              <w:textAlignment w:val="center"/>
              <w:rPr>
                <w:rFonts w:hint="eastAsia" w:ascii="宋体" w:hAnsi="宋体"/>
                <w:b/>
                <w:bCs/>
                <w:szCs w:val="21"/>
              </w:rPr>
            </w:pPr>
            <w:r>
              <w:rPr>
                <w:rFonts w:hint="eastAsia" w:ascii="smartSimSun" w:hAnsi="smartSimSun" w:eastAsia="smartSimSun" w:cs="smartSimSun"/>
                <w:color w:val="FF0000"/>
                <w:kern w:val="0"/>
                <w:sz w:val="18"/>
                <w:szCs w:val="18"/>
                <w:lang w:val="en-US" w:eastAsia="zh-CN" w:bidi="ar"/>
              </w:rPr>
              <w:t>不可预见费(</w:t>
            </w:r>
            <w:r>
              <w:rPr>
                <w:rFonts w:hint="eastAsia" w:ascii="smartSimSun" w:hAnsi="smartSimSun" w:eastAsia="smartSimSun" w:cs="smartSimSun"/>
                <w:color w:val="FF0000"/>
                <w:kern w:val="0"/>
                <w:sz w:val="18"/>
                <w:szCs w:val="18"/>
                <w:lang w:bidi="ar"/>
              </w:rPr>
              <w:t>暂列金额</w:t>
            </w:r>
            <w:r>
              <w:rPr>
                <w:rFonts w:hint="eastAsia" w:ascii="smartSimSun" w:hAnsi="smartSimSun" w:eastAsia="smartSimSun" w:cs="smartSimSun"/>
                <w:color w:val="FF0000"/>
                <w:kern w:val="0"/>
                <w:sz w:val="18"/>
                <w:szCs w:val="18"/>
                <w:lang w:val="en-US" w:eastAsia="zh-CN" w:bidi="ar"/>
              </w:rPr>
              <w:t>)</w:t>
            </w:r>
          </w:p>
        </w:tc>
        <w:tc>
          <w:tcPr>
            <w:tcW w:w="1987"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vAlign w:val="center"/>
          </w:tcPr>
          <w:p>
            <w:pPr>
              <w:jc w:val="center"/>
              <w:rPr>
                <w:rFonts w:ascii="宋体" w:hAnsi="宋体"/>
                <w:szCs w:val="21"/>
              </w:rPr>
            </w:pPr>
            <w:r>
              <w:rPr>
                <w:rFonts w:hint="eastAsia" w:ascii="宋体" w:hAnsi="宋体"/>
                <w:szCs w:val="21"/>
              </w:rPr>
              <w:t>11</w:t>
            </w:r>
          </w:p>
        </w:tc>
        <w:tc>
          <w:tcPr>
            <w:tcW w:w="6100" w:type="dxa"/>
            <w:gridSpan w:val="2"/>
            <w:vAlign w:val="center"/>
          </w:tcPr>
          <w:p>
            <w:pPr>
              <w:widowControl/>
              <w:jc w:val="center"/>
              <w:textAlignment w:val="center"/>
              <w:rPr>
                <w:rFonts w:hint="eastAsia" w:ascii="宋体" w:hAnsi="宋体"/>
                <w:b/>
                <w:szCs w:val="21"/>
              </w:rPr>
            </w:pPr>
            <w:r>
              <w:rPr>
                <w:rFonts w:ascii="smartSimSun" w:hAnsi="smartSimSun" w:eastAsia="smartSimSun" w:cs="smartSimSun"/>
                <w:color w:val="000000"/>
                <w:kern w:val="0"/>
                <w:sz w:val="18"/>
                <w:szCs w:val="18"/>
                <w:lang w:bidi="ar"/>
              </w:rPr>
              <w:t>投标价(6+9+10)=11</w:t>
            </w:r>
          </w:p>
        </w:tc>
        <w:tc>
          <w:tcPr>
            <w:tcW w:w="1987" w:type="dxa"/>
            <w:vAlign w:val="center"/>
          </w:tcPr>
          <w:p>
            <w:pPr>
              <w:jc w:val="center"/>
              <w:rPr>
                <w:rFonts w:hint="eastAsia" w:ascii="宋体" w:hAnsi="宋体"/>
                <w:szCs w:val="21"/>
              </w:rPr>
            </w:pPr>
          </w:p>
        </w:tc>
      </w:tr>
    </w:tbl>
    <w:p>
      <w:pPr>
        <w:rPr>
          <w:rFonts w:hint="eastAsia"/>
          <w:b/>
        </w:rPr>
      </w:pPr>
      <w:r>
        <w:rPr>
          <w:rFonts w:hint="eastAsia" w:ascii="宋体" w:hAnsi="宋体"/>
          <w:szCs w:val="21"/>
        </w:rPr>
        <w:t>注：材料、工程设备、专业工程暂估价已包括在清单合计中，不应重复计入投标报价。</w:t>
      </w:r>
    </w:p>
    <w:p>
      <w:pPr>
        <w:outlineLvl w:val="0"/>
        <w:rPr>
          <w:rFonts w:hint="eastAsia"/>
          <w:b/>
        </w:rPr>
      </w:pPr>
    </w:p>
    <w:p>
      <w:pPr>
        <w:jc w:val="left"/>
        <w:rPr>
          <w:rFonts w:hint="eastAsia" w:ascii="宋体" w:hAnsi="宋体"/>
          <w:b/>
          <w:bCs/>
          <w:kern w:val="0"/>
          <w:szCs w:val="21"/>
        </w:rPr>
      </w:pPr>
    </w:p>
    <w:p>
      <w:pPr>
        <w:jc w:val="left"/>
        <w:rPr>
          <w:rFonts w:hint="eastAsia" w:ascii="宋体" w:hAnsi="宋体"/>
          <w:b/>
          <w:bCs/>
          <w:kern w:val="0"/>
          <w:szCs w:val="21"/>
        </w:rPr>
      </w:pPr>
    </w:p>
    <w:p>
      <w:pPr>
        <w:jc w:val="center"/>
        <w:rPr>
          <w:rFonts w:hint="eastAsia" w:ascii="宋体" w:hAnsi="宋体"/>
          <w:b/>
          <w:bCs/>
          <w:kern w:val="0"/>
          <w:szCs w:val="21"/>
        </w:rPr>
      </w:pPr>
    </w:p>
    <w:p>
      <w:pPr>
        <w:rPr>
          <w:color w:val="000000"/>
          <w:shd w:val="clear" w:color="auto" w:fill="FFFFFF"/>
        </w:rPr>
      </w:pPr>
      <w:bookmarkStart w:id="27" w:name="_Toc15389864"/>
      <w:bookmarkStart w:id="28" w:name="_Toc21966"/>
      <w:r>
        <w:rPr>
          <w:color w:val="000000"/>
          <w:shd w:val="clear" w:color="auto" w:fill="FFFFFF"/>
        </w:rPr>
        <w:br w:type="page"/>
      </w:r>
    </w:p>
    <w:p>
      <w:pPr>
        <w:spacing w:after="120" w:afterLines="50"/>
        <w:outlineLvl w:val="2"/>
        <w:rPr>
          <w:color w:val="000000"/>
          <w:shd w:val="clear" w:color="auto" w:fill="FFFFFF"/>
        </w:rPr>
      </w:pPr>
      <w:bookmarkStart w:id="34" w:name="_GoBack"/>
      <w:bookmarkEnd w:id="34"/>
      <w:r>
        <w:rPr>
          <w:color w:val="000000"/>
          <w:shd w:val="clear" w:color="auto" w:fill="FFFFFF"/>
        </w:rPr>
        <w:t>5.5 工程量清单单价分析表</w:t>
      </w:r>
      <w:bookmarkEnd w:id="27"/>
      <w:bookmarkEnd w:id="28"/>
    </w:p>
    <w:p>
      <w:pPr>
        <w:jc w:val="center"/>
        <w:rPr>
          <w:rFonts w:hint="eastAsia" w:ascii="宋体" w:hAnsi="宋体"/>
          <w:b/>
          <w:bCs/>
          <w:kern w:val="0"/>
          <w:szCs w:val="21"/>
        </w:rPr>
      </w:pPr>
      <w:bookmarkStart w:id="29" w:name="_Toc17032"/>
      <w:bookmarkStart w:id="30" w:name="_Toc471843889"/>
      <w:bookmarkStart w:id="31" w:name="_Toc60680821"/>
      <w:bookmarkStart w:id="32" w:name="_Toc13056"/>
      <w:bookmarkStart w:id="33" w:name="_Toc18472"/>
    </w:p>
    <w:p>
      <w:pPr>
        <w:jc w:val="center"/>
        <w:rPr>
          <w:rFonts w:hint="eastAsia" w:ascii="宋体" w:hAnsi="宋体"/>
          <w:b/>
          <w:sz w:val="30"/>
          <w:szCs w:val="30"/>
        </w:rPr>
      </w:pPr>
      <w:r>
        <w:rPr>
          <w:rFonts w:ascii="宋体" w:hAnsi="宋体"/>
          <w:b/>
          <w:sz w:val="30"/>
          <w:szCs w:val="30"/>
        </w:rPr>
        <w:t>工程量清单单价分析表</w:t>
      </w:r>
      <w:bookmarkEnd w:id="29"/>
      <w:bookmarkEnd w:id="30"/>
      <w:bookmarkEnd w:id="31"/>
      <w:bookmarkEnd w:id="32"/>
      <w:bookmarkEnd w:id="33"/>
    </w:p>
    <w:tbl>
      <w:tblPr>
        <w:tblStyle w:val="3"/>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0"/>
        <w:gridCol w:w="529"/>
        <w:gridCol w:w="529"/>
        <w:gridCol w:w="468"/>
        <w:gridCol w:w="468"/>
        <w:gridCol w:w="468"/>
        <w:gridCol w:w="468"/>
        <w:gridCol w:w="470"/>
        <w:gridCol w:w="472"/>
        <w:gridCol w:w="564"/>
        <w:gridCol w:w="518"/>
        <w:gridCol w:w="518"/>
        <w:gridCol w:w="485"/>
        <w:gridCol w:w="567"/>
        <w:gridCol w:w="567"/>
        <w:gridCol w:w="567"/>
        <w:gridCol w:w="425"/>
        <w:gridCol w:w="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530" w:type="dxa"/>
            <w:vMerge w:val="restart"/>
            <w:vAlign w:val="center"/>
          </w:tcPr>
          <w:p>
            <w:pPr>
              <w:jc w:val="center"/>
              <w:rPr>
                <w:szCs w:val="21"/>
              </w:rPr>
            </w:pPr>
            <w:r>
              <w:rPr>
                <w:szCs w:val="21"/>
              </w:rPr>
              <w:t>序号</w:t>
            </w:r>
          </w:p>
        </w:tc>
        <w:tc>
          <w:tcPr>
            <w:tcW w:w="529" w:type="dxa"/>
            <w:vMerge w:val="restart"/>
            <w:vAlign w:val="center"/>
          </w:tcPr>
          <w:p>
            <w:pPr>
              <w:jc w:val="center"/>
              <w:rPr>
                <w:szCs w:val="21"/>
              </w:rPr>
            </w:pPr>
            <w:r>
              <w:rPr>
                <w:szCs w:val="21"/>
              </w:rPr>
              <w:t>编码</w:t>
            </w:r>
          </w:p>
        </w:tc>
        <w:tc>
          <w:tcPr>
            <w:tcW w:w="529" w:type="dxa"/>
            <w:vMerge w:val="restart"/>
            <w:vAlign w:val="center"/>
          </w:tcPr>
          <w:p>
            <w:pPr>
              <w:jc w:val="center"/>
              <w:rPr>
                <w:szCs w:val="21"/>
              </w:rPr>
            </w:pPr>
            <w:r>
              <w:rPr>
                <w:szCs w:val="21"/>
              </w:rPr>
              <w:t>子目名称</w:t>
            </w:r>
          </w:p>
        </w:tc>
        <w:tc>
          <w:tcPr>
            <w:tcW w:w="1404" w:type="dxa"/>
            <w:gridSpan w:val="3"/>
            <w:vAlign w:val="center"/>
          </w:tcPr>
          <w:p>
            <w:pPr>
              <w:jc w:val="center"/>
              <w:rPr>
                <w:szCs w:val="21"/>
              </w:rPr>
            </w:pPr>
            <w:r>
              <w:rPr>
                <w:szCs w:val="21"/>
              </w:rPr>
              <w:t>人工费</w:t>
            </w:r>
          </w:p>
        </w:tc>
        <w:tc>
          <w:tcPr>
            <w:tcW w:w="3010" w:type="dxa"/>
            <w:gridSpan w:val="6"/>
            <w:vAlign w:val="center"/>
          </w:tcPr>
          <w:p>
            <w:pPr>
              <w:jc w:val="center"/>
              <w:rPr>
                <w:szCs w:val="21"/>
              </w:rPr>
            </w:pPr>
            <w:r>
              <w:rPr>
                <w:szCs w:val="21"/>
              </w:rPr>
              <w:t>材料费</w:t>
            </w:r>
          </w:p>
        </w:tc>
        <w:tc>
          <w:tcPr>
            <w:tcW w:w="485" w:type="dxa"/>
            <w:vMerge w:val="restart"/>
            <w:vAlign w:val="center"/>
          </w:tcPr>
          <w:p>
            <w:pPr>
              <w:jc w:val="center"/>
              <w:rPr>
                <w:szCs w:val="21"/>
              </w:rPr>
            </w:pPr>
            <w:r>
              <w:rPr>
                <w:szCs w:val="21"/>
              </w:rPr>
              <w:t>机械</w:t>
            </w:r>
          </w:p>
          <w:p>
            <w:pPr>
              <w:jc w:val="center"/>
              <w:rPr>
                <w:szCs w:val="21"/>
              </w:rPr>
            </w:pPr>
            <w:r>
              <w:rPr>
                <w:szCs w:val="21"/>
              </w:rPr>
              <w:t>使用费</w:t>
            </w:r>
          </w:p>
        </w:tc>
        <w:tc>
          <w:tcPr>
            <w:tcW w:w="567" w:type="dxa"/>
            <w:vMerge w:val="restart"/>
            <w:vAlign w:val="center"/>
          </w:tcPr>
          <w:p>
            <w:pPr>
              <w:jc w:val="center"/>
              <w:rPr>
                <w:szCs w:val="21"/>
              </w:rPr>
            </w:pPr>
            <w:r>
              <w:rPr>
                <w:szCs w:val="21"/>
              </w:rPr>
              <w:t>其他</w:t>
            </w:r>
          </w:p>
        </w:tc>
        <w:tc>
          <w:tcPr>
            <w:tcW w:w="567" w:type="dxa"/>
            <w:vMerge w:val="restart"/>
            <w:vAlign w:val="center"/>
          </w:tcPr>
          <w:p>
            <w:pPr>
              <w:jc w:val="center"/>
              <w:rPr>
                <w:szCs w:val="21"/>
              </w:rPr>
            </w:pPr>
            <w:r>
              <w:rPr>
                <w:szCs w:val="21"/>
              </w:rPr>
              <w:t>管理费</w:t>
            </w:r>
          </w:p>
        </w:tc>
        <w:tc>
          <w:tcPr>
            <w:tcW w:w="567" w:type="dxa"/>
            <w:vMerge w:val="restart"/>
            <w:vAlign w:val="center"/>
          </w:tcPr>
          <w:p>
            <w:pPr>
              <w:jc w:val="center"/>
              <w:rPr>
                <w:szCs w:val="21"/>
              </w:rPr>
            </w:pPr>
            <w:r>
              <w:rPr>
                <w:szCs w:val="21"/>
              </w:rPr>
              <w:t>税费</w:t>
            </w:r>
          </w:p>
        </w:tc>
        <w:tc>
          <w:tcPr>
            <w:tcW w:w="425" w:type="dxa"/>
            <w:vMerge w:val="restart"/>
            <w:vAlign w:val="center"/>
          </w:tcPr>
          <w:p>
            <w:pPr>
              <w:jc w:val="center"/>
              <w:rPr>
                <w:szCs w:val="21"/>
              </w:rPr>
            </w:pPr>
            <w:r>
              <w:rPr>
                <w:szCs w:val="21"/>
              </w:rPr>
              <w:t>利润</w:t>
            </w:r>
          </w:p>
        </w:tc>
        <w:tc>
          <w:tcPr>
            <w:tcW w:w="567" w:type="dxa"/>
            <w:vMerge w:val="restart"/>
            <w:vAlign w:val="center"/>
          </w:tcPr>
          <w:p>
            <w:pPr>
              <w:jc w:val="center"/>
              <w:rPr>
                <w:szCs w:val="21"/>
              </w:rPr>
            </w:pPr>
            <w:r>
              <w:rPr>
                <w:szCs w:val="21"/>
              </w:rPr>
              <w:t>综合</w:t>
            </w:r>
          </w:p>
          <w:p>
            <w:pPr>
              <w:jc w:val="center"/>
              <w:rPr>
                <w:szCs w:val="21"/>
              </w:rPr>
            </w:pPr>
            <w:r>
              <w:rPr>
                <w:szCs w:val="21"/>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530" w:type="dxa"/>
            <w:vMerge w:val="continue"/>
            <w:vAlign w:val="center"/>
          </w:tcPr>
          <w:p>
            <w:pPr>
              <w:jc w:val="center"/>
              <w:rPr>
                <w:szCs w:val="21"/>
              </w:rPr>
            </w:pPr>
          </w:p>
        </w:tc>
        <w:tc>
          <w:tcPr>
            <w:tcW w:w="529" w:type="dxa"/>
            <w:vMerge w:val="continue"/>
            <w:vAlign w:val="center"/>
          </w:tcPr>
          <w:p>
            <w:pPr>
              <w:jc w:val="center"/>
              <w:rPr>
                <w:szCs w:val="21"/>
              </w:rPr>
            </w:pPr>
          </w:p>
        </w:tc>
        <w:tc>
          <w:tcPr>
            <w:tcW w:w="529" w:type="dxa"/>
            <w:vMerge w:val="continue"/>
            <w:vAlign w:val="center"/>
          </w:tcPr>
          <w:p>
            <w:pPr>
              <w:jc w:val="center"/>
              <w:rPr>
                <w:szCs w:val="21"/>
              </w:rPr>
            </w:pPr>
          </w:p>
        </w:tc>
        <w:tc>
          <w:tcPr>
            <w:tcW w:w="468" w:type="dxa"/>
            <w:vMerge w:val="restart"/>
            <w:vAlign w:val="center"/>
          </w:tcPr>
          <w:p>
            <w:pPr>
              <w:jc w:val="center"/>
              <w:rPr>
                <w:szCs w:val="21"/>
              </w:rPr>
            </w:pPr>
            <w:r>
              <w:rPr>
                <w:szCs w:val="21"/>
              </w:rPr>
              <w:t>工日</w:t>
            </w:r>
          </w:p>
        </w:tc>
        <w:tc>
          <w:tcPr>
            <w:tcW w:w="468" w:type="dxa"/>
            <w:vMerge w:val="restart"/>
            <w:vAlign w:val="center"/>
          </w:tcPr>
          <w:p>
            <w:pPr>
              <w:jc w:val="center"/>
              <w:rPr>
                <w:szCs w:val="21"/>
              </w:rPr>
            </w:pPr>
            <w:r>
              <w:rPr>
                <w:szCs w:val="21"/>
              </w:rPr>
              <w:t>单价</w:t>
            </w:r>
          </w:p>
        </w:tc>
        <w:tc>
          <w:tcPr>
            <w:tcW w:w="468" w:type="dxa"/>
            <w:vMerge w:val="restart"/>
            <w:vAlign w:val="center"/>
          </w:tcPr>
          <w:p>
            <w:pPr>
              <w:jc w:val="center"/>
              <w:rPr>
                <w:szCs w:val="21"/>
              </w:rPr>
            </w:pPr>
            <w:r>
              <w:rPr>
                <w:szCs w:val="21"/>
              </w:rPr>
              <w:t>金额</w:t>
            </w:r>
          </w:p>
        </w:tc>
        <w:tc>
          <w:tcPr>
            <w:tcW w:w="1974" w:type="dxa"/>
            <w:gridSpan w:val="4"/>
            <w:vAlign w:val="center"/>
          </w:tcPr>
          <w:p>
            <w:pPr>
              <w:jc w:val="center"/>
              <w:rPr>
                <w:szCs w:val="21"/>
              </w:rPr>
            </w:pPr>
            <w:r>
              <w:rPr>
                <w:szCs w:val="21"/>
              </w:rPr>
              <w:t>主  材</w:t>
            </w:r>
          </w:p>
        </w:tc>
        <w:tc>
          <w:tcPr>
            <w:tcW w:w="518" w:type="dxa"/>
            <w:vMerge w:val="restart"/>
            <w:vAlign w:val="center"/>
          </w:tcPr>
          <w:p>
            <w:pPr>
              <w:jc w:val="center"/>
              <w:rPr>
                <w:szCs w:val="21"/>
              </w:rPr>
            </w:pPr>
            <w:r>
              <w:rPr>
                <w:szCs w:val="21"/>
              </w:rPr>
              <w:t>辅</w:t>
            </w:r>
          </w:p>
          <w:p>
            <w:pPr>
              <w:jc w:val="center"/>
              <w:rPr>
                <w:szCs w:val="21"/>
              </w:rPr>
            </w:pPr>
            <w:r>
              <w:rPr>
                <w:szCs w:val="21"/>
              </w:rPr>
              <w:t>材</w:t>
            </w:r>
          </w:p>
          <w:p>
            <w:pPr>
              <w:jc w:val="center"/>
              <w:rPr>
                <w:szCs w:val="21"/>
              </w:rPr>
            </w:pPr>
            <w:r>
              <w:rPr>
                <w:szCs w:val="21"/>
              </w:rPr>
              <w:t>费</w:t>
            </w:r>
          </w:p>
        </w:tc>
        <w:tc>
          <w:tcPr>
            <w:tcW w:w="518" w:type="dxa"/>
            <w:vMerge w:val="restart"/>
            <w:vAlign w:val="center"/>
          </w:tcPr>
          <w:p>
            <w:pPr>
              <w:jc w:val="center"/>
              <w:rPr>
                <w:szCs w:val="21"/>
              </w:rPr>
            </w:pPr>
            <w:r>
              <w:rPr>
                <w:szCs w:val="21"/>
              </w:rPr>
              <w:t>金</w:t>
            </w:r>
          </w:p>
          <w:p>
            <w:pPr>
              <w:jc w:val="center"/>
              <w:rPr>
                <w:szCs w:val="21"/>
              </w:rPr>
            </w:pPr>
            <w:r>
              <w:rPr>
                <w:szCs w:val="21"/>
              </w:rPr>
              <w:t xml:space="preserve"> </w:t>
            </w:r>
          </w:p>
          <w:p>
            <w:pPr>
              <w:jc w:val="center"/>
              <w:rPr>
                <w:szCs w:val="21"/>
              </w:rPr>
            </w:pPr>
            <w:r>
              <w:rPr>
                <w:szCs w:val="21"/>
              </w:rPr>
              <w:t>额</w:t>
            </w:r>
          </w:p>
        </w:tc>
        <w:tc>
          <w:tcPr>
            <w:tcW w:w="485" w:type="dxa"/>
            <w:vMerge w:val="continue"/>
            <w:vAlign w:val="center"/>
          </w:tcPr>
          <w:p>
            <w:pPr>
              <w:jc w:val="center"/>
              <w:rPr>
                <w:szCs w:val="21"/>
              </w:rPr>
            </w:pPr>
          </w:p>
        </w:tc>
        <w:tc>
          <w:tcPr>
            <w:tcW w:w="567" w:type="dxa"/>
            <w:vMerge w:val="continue"/>
            <w:vAlign w:val="center"/>
          </w:tcPr>
          <w:p>
            <w:pPr>
              <w:jc w:val="center"/>
              <w:rPr>
                <w:szCs w:val="21"/>
              </w:rPr>
            </w:pPr>
          </w:p>
        </w:tc>
        <w:tc>
          <w:tcPr>
            <w:tcW w:w="567" w:type="dxa"/>
            <w:vMerge w:val="continue"/>
            <w:vAlign w:val="center"/>
          </w:tcPr>
          <w:p>
            <w:pPr>
              <w:jc w:val="center"/>
              <w:rPr>
                <w:szCs w:val="21"/>
              </w:rPr>
            </w:pPr>
          </w:p>
        </w:tc>
        <w:tc>
          <w:tcPr>
            <w:tcW w:w="567" w:type="dxa"/>
            <w:vMerge w:val="continue"/>
            <w:vAlign w:val="center"/>
          </w:tcPr>
          <w:p>
            <w:pPr>
              <w:jc w:val="center"/>
              <w:rPr>
                <w:szCs w:val="21"/>
              </w:rPr>
            </w:pPr>
          </w:p>
        </w:tc>
        <w:tc>
          <w:tcPr>
            <w:tcW w:w="425" w:type="dxa"/>
            <w:vMerge w:val="continue"/>
            <w:vAlign w:val="center"/>
          </w:tcPr>
          <w:p>
            <w:pPr>
              <w:jc w:val="center"/>
              <w:rPr>
                <w:szCs w:val="21"/>
              </w:rPr>
            </w:pPr>
          </w:p>
        </w:tc>
        <w:tc>
          <w:tcPr>
            <w:tcW w:w="567"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530" w:type="dxa"/>
            <w:vMerge w:val="continue"/>
            <w:vAlign w:val="center"/>
          </w:tcPr>
          <w:p>
            <w:pPr>
              <w:jc w:val="center"/>
              <w:rPr>
                <w:szCs w:val="21"/>
              </w:rPr>
            </w:pPr>
          </w:p>
        </w:tc>
        <w:tc>
          <w:tcPr>
            <w:tcW w:w="529" w:type="dxa"/>
            <w:vMerge w:val="continue"/>
            <w:vAlign w:val="center"/>
          </w:tcPr>
          <w:p>
            <w:pPr>
              <w:jc w:val="center"/>
              <w:rPr>
                <w:szCs w:val="21"/>
              </w:rPr>
            </w:pPr>
          </w:p>
        </w:tc>
        <w:tc>
          <w:tcPr>
            <w:tcW w:w="529" w:type="dxa"/>
            <w:vMerge w:val="continue"/>
            <w:vAlign w:val="center"/>
          </w:tcPr>
          <w:p>
            <w:pPr>
              <w:jc w:val="center"/>
              <w:rPr>
                <w:szCs w:val="21"/>
              </w:rPr>
            </w:pPr>
          </w:p>
        </w:tc>
        <w:tc>
          <w:tcPr>
            <w:tcW w:w="468" w:type="dxa"/>
            <w:vMerge w:val="continue"/>
            <w:vAlign w:val="center"/>
          </w:tcPr>
          <w:p>
            <w:pPr>
              <w:jc w:val="center"/>
              <w:rPr>
                <w:szCs w:val="21"/>
              </w:rPr>
            </w:pPr>
          </w:p>
        </w:tc>
        <w:tc>
          <w:tcPr>
            <w:tcW w:w="468" w:type="dxa"/>
            <w:vMerge w:val="continue"/>
            <w:vAlign w:val="center"/>
          </w:tcPr>
          <w:p>
            <w:pPr>
              <w:jc w:val="center"/>
              <w:rPr>
                <w:szCs w:val="21"/>
              </w:rPr>
            </w:pPr>
          </w:p>
        </w:tc>
        <w:tc>
          <w:tcPr>
            <w:tcW w:w="468" w:type="dxa"/>
            <w:vMerge w:val="continue"/>
            <w:vAlign w:val="center"/>
          </w:tcPr>
          <w:p>
            <w:pPr>
              <w:jc w:val="center"/>
              <w:rPr>
                <w:szCs w:val="21"/>
              </w:rPr>
            </w:pPr>
          </w:p>
        </w:tc>
        <w:tc>
          <w:tcPr>
            <w:tcW w:w="468" w:type="dxa"/>
            <w:vAlign w:val="center"/>
          </w:tcPr>
          <w:p>
            <w:pPr>
              <w:jc w:val="center"/>
              <w:rPr>
                <w:szCs w:val="21"/>
              </w:rPr>
            </w:pPr>
            <w:r>
              <w:rPr>
                <w:szCs w:val="21"/>
              </w:rPr>
              <w:t>主材耗量</w:t>
            </w:r>
          </w:p>
        </w:tc>
        <w:tc>
          <w:tcPr>
            <w:tcW w:w="470" w:type="dxa"/>
            <w:vAlign w:val="center"/>
          </w:tcPr>
          <w:p>
            <w:pPr>
              <w:jc w:val="center"/>
              <w:rPr>
                <w:szCs w:val="21"/>
              </w:rPr>
            </w:pPr>
            <w:r>
              <w:rPr>
                <w:szCs w:val="21"/>
              </w:rPr>
              <w:t>单位</w:t>
            </w:r>
          </w:p>
        </w:tc>
        <w:tc>
          <w:tcPr>
            <w:tcW w:w="472" w:type="dxa"/>
            <w:vAlign w:val="center"/>
          </w:tcPr>
          <w:p>
            <w:pPr>
              <w:jc w:val="center"/>
              <w:rPr>
                <w:szCs w:val="21"/>
              </w:rPr>
            </w:pPr>
            <w:r>
              <w:rPr>
                <w:szCs w:val="21"/>
              </w:rPr>
              <w:t>单价</w:t>
            </w:r>
          </w:p>
        </w:tc>
        <w:tc>
          <w:tcPr>
            <w:tcW w:w="564" w:type="dxa"/>
            <w:vAlign w:val="center"/>
          </w:tcPr>
          <w:p>
            <w:pPr>
              <w:jc w:val="center"/>
              <w:rPr>
                <w:szCs w:val="21"/>
              </w:rPr>
            </w:pPr>
            <w:r>
              <w:rPr>
                <w:szCs w:val="21"/>
              </w:rPr>
              <w:t>主材费</w:t>
            </w:r>
          </w:p>
        </w:tc>
        <w:tc>
          <w:tcPr>
            <w:tcW w:w="518" w:type="dxa"/>
            <w:vMerge w:val="continue"/>
            <w:vAlign w:val="center"/>
          </w:tcPr>
          <w:p>
            <w:pPr>
              <w:jc w:val="center"/>
              <w:rPr>
                <w:szCs w:val="21"/>
              </w:rPr>
            </w:pPr>
          </w:p>
        </w:tc>
        <w:tc>
          <w:tcPr>
            <w:tcW w:w="518" w:type="dxa"/>
            <w:vMerge w:val="continue"/>
            <w:vAlign w:val="center"/>
          </w:tcPr>
          <w:p>
            <w:pPr>
              <w:jc w:val="center"/>
              <w:rPr>
                <w:szCs w:val="21"/>
              </w:rPr>
            </w:pPr>
          </w:p>
        </w:tc>
        <w:tc>
          <w:tcPr>
            <w:tcW w:w="485" w:type="dxa"/>
            <w:vMerge w:val="continue"/>
            <w:vAlign w:val="center"/>
          </w:tcPr>
          <w:p>
            <w:pPr>
              <w:jc w:val="center"/>
              <w:rPr>
                <w:szCs w:val="21"/>
              </w:rPr>
            </w:pPr>
          </w:p>
        </w:tc>
        <w:tc>
          <w:tcPr>
            <w:tcW w:w="567" w:type="dxa"/>
            <w:vMerge w:val="continue"/>
            <w:vAlign w:val="center"/>
          </w:tcPr>
          <w:p>
            <w:pPr>
              <w:jc w:val="center"/>
              <w:rPr>
                <w:szCs w:val="21"/>
              </w:rPr>
            </w:pPr>
          </w:p>
        </w:tc>
        <w:tc>
          <w:tcPr>
            <w:tcW w:w="567" w:type="dxa"/>
            <w:vMerge w:val="continue"/>
            <w:vAlign w:val="center"/>
          </w:tcPr>
          <w:p>
            <w:pPr>
              <w:jc w:val="center"/>
              <w:rPr>
                <w:szCs w:val="21"/>
              </w:rPr>
            </w:pPr>
          </w:p>
        </w:tc>
        <w:tc>
          <w:tcPr>
            <w:tcW w:w="567" w:type="dxa"/>
            <w:vMerge w:val="continue"/>
            <w:vAlign w:val="center"/>
          </w:tcPr>
          <w:p>
            <w:pPr>
              <w:jc w:val="center"/>
              <w:rPr>
                <w:szCs w:val="21"/>
              </w:rPr>
            </w:pPr>
          </w:p>
        </w:tc>
        <w:tc>
          <w:tcPr>
            <w:tcW w:w="425" w:type="dxa"/>
            <w:vMerge w:val="continue"/>
            <w:vAlign w:val="center"/>
          </w:tcPr>
          <w:p>
            <w:pPr>
              <w:jc w:val="center"/>
              <w:rPr>
                <w:szCs w:val="21"/>
              </w:rPr>
            </w:pPr>
          </w:p>
        </w:tc>
        <w:tc>
          <w:tcPr>
            <w:tcW w:w="567"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szCs w:val="21"/>
              </w:rPr>
            </w:pPr>
          </w:p>
        </w:tc>
        <w:tc>
          <w:tcPr>
            <w:tcW w:w="529" w:type="dxa"/>
            <w:vAlign w:val="center"/>
          </w:tcPr>
          <w:p>
            <w:pPr>
              <w:jc w:val="center"/>
              <w:rPr>
                <w:szCs w:val="21"/>
              </w:rPr>
            </w:pPr>
          </w:p>
        </w:tc>
        <w:tc>
          <w:tcPr>
            <w:tcW w:w="529"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68" w:type="dxa"/>
            <w:vAlign w:val="center"/>
          </w:tcPr>
          <w:p>
            <w:pPr>
              <w:jc w:val="center"/>
              <w:rPr>
                <w:szCs w:val="21"/>
              </w:rPr>
            </w:pPr>
          </w:p>
        </w:tc>
        <w:tc>
          <w:tcPr>
            <w:tcW w:w="470" w:type="dxa"/>
            <w:vAlign w:val="center"/>
          </w:tcPr>
          <w:p>
            <w:pPr>
              <w:jc w:val="center"/>
              <w:rPr>
                <w:szCs w:val="21"/>
              </w:rPr>
            </w:pPr>
          </w:p>
        </w:tc>
        <w:tc>
          <w:tcPr>
            <w:tcW w:w="472" w:type="dxa"/>
            <w:vAlign w:val="center"/>
          </w:tcPr>
          <w:p>
            <w:pPr>
              <w:jc w:val="center"/>
              <w:rPr>
                <w:szCs w:val="21"/>
              </w:rPr>
            </w:pPr>
          </w:p>
        </w:tc>
        <w:tc>
          <w:tcPr>
            <w:tcW w:w="564" w:type="dxa"/>
            <w:vAlign w:val="center"/>
          </w:tcPr>
          <w:p>
            <w:pPr>
              <w:jc w:val="center"/>
              <w:rPr>
                <w:szCs w:val="21"/>
              </w:rPr>
            </w:pPr>
          </w:p>
        </w:tc>
        <w:tc>
          <w:tcPr>
            <w:tcW w:w="518" w:type="dxa"/>
            <w:vAlign w:val="center"/>
          </w:tcPr>
          <w:p>
            <w:pPr>
              <w:jc w:val="center"/>
              <w:rPr>
                <w:szCs w:val="21"/>
              </w:rPr>
            </w:pPr>
          </w:p>
        </w:tc>
        <w:tc>
          <w:tcPr>
            <w:tcW w:w="518" w:type="dxa"/>
            <w:vAlign w:val="center"/>
          </w:tcPr>
          <w:p>
            <w:pPr>
              <w:jc w:val="center"/>
              <w:rPr>
                <w:szCs w:val="21"/>
              </w:rPr>
            </w:pPr>
          </w:p>
        </w:tc>
        <w:tc>
          <w:tcPr>
            <w:tcW w:w="485"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425" w:type="dxa"/>
            <w:vAlign w:val="center"/>
          </w:tcPr>
          <w:p>
            <w:pPr>
              <w:jc w:val="center"/>
              <w:rPr>
                <w:szCs w:val="21"/>
              </w:rPr>
            </w:pPr>
          </w:p>
        </w:tc>
        <w:tc>
          <w:tcPr>
            <w:tcW w:w="567" w:type="dxa"/>
            <w:vAlign w:val="center"/>
          </w:tcPr>
          <w:p>
            <w:pPr>
              <w:jc w:val="center"/>
              <w:rPr>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martSimSun">
    <w:altName w:val="宋体"/>
    <w:panose1 w:val="02010600030101010101"/>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062ED"/>
    <w:rsid w:val="083F4C90"/>
    <w:rsid w:val="1B4F194A"/>
    <w:rsid w:val="215062ED"/>
    <w:rsid w:val="25E026D0"/>
    <w:rsid w:val="26456481"/>
    <w:rsid w:val="3190258B"/>
    <w:rsid w:val="381E001C"/>
    <w:rsid w:val="5454473E"/>
    <w:rsid w:val="6184095C"/>
    <w:rsid w:val="724D7C00"/>
    <w:rsid w:val="737E69D7"/>
    <w:rsid w:val="7703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2020-06-18T08:55:00Z</dcterms:created>
  <dc:creator>甜甜圈1421036179</dc:creator>
  <cp:lastModifiedBy>甜甜圈1421036179</cp:lastModifiedBy>
  <dcterms:modified xsi:type="dcterms:W3CDTF">2020-06-24T06:08:04Z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