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524" w:h="13477" w:hRule="exact" w:hSpace="180" w:wrap="around" w:vAnchor="text" w:hAnchor="page" w:x="1319" w:y="1"/>
        <w:ind w:firstLine="420"/>
        <w:jc w:val="center"/>
        <w:rPr>
          <w:rFonts w:ascii="宋体" w:hAnsi="宋体"/>
          <w:b/>
          <w:color w:val="000000"/>
          <w:sz w:val="44"/>
          <w:szCs w:val="44"/>
        </w:rPr>
      </w:pPr>
      <w:r>
        <w:rPr>
          <w:rFonts w:hint="eastAsia" w:ascii="宋体" w:hAnsi="宋体"/>
          <w:b/>
          <w:color w:val="000000"/>
          <w:sz w:val="44"/>
          <w:szCs w:val="44"/>
        </w:rPr>
        <w:t>x</w:t>
      </w:r>
    </w:p>
    <w:p>
      <w:pPr>
        <w:framePr w:w="9524" w:h="13477" w:hRule="exact" w:hSpace="180" w:wrap="around" w:vAnchor="text" w:hAnchor="page" w:x="1319" w:y="1"/>
        <w:rPr>
          <w:rFonts w:ascii="宋体" w:hAnsi="宋体"/>
          <w:b/>
          <w:sz w:val="30"/>
          <w:szCs w:val="30"/>
        </w:rPr>
      </w:pPr>
    </w:p>
    <w:p>
      <w:pPr>
        <w:framePr w:w="9524" w:h="13477" w:hRule="exact" w:hSpace="180" w:wrap="around" w:vAnchor="text" w:hAnchor="page" w:x="1319" w:y="1"/>
        <w:spacing w:line="640" w:lineRule="exact"/>
        <w:jc w:val="center"/>
        <w:rPr>
          <w:rFonts w:ascii="宋体" w:hAnsi="宋体"/>
          <w:b/>
          <w:color w:val="000000"/>
          <w:sz w:val="30"/>
          <w:szCs w:val="30"/>
        </w:rPr>
      </w:pPr>
    </w:p>
    <w:p>
      <w:r>
        <w:rPr>
          <w:sz w:val="30"/>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-79375</wp:posOffset>
                </wp:positionV>
                <wp:extent cx="6396355" cy="8370570"/>
                <wp:effectExtent l="6350" t="6350" r="17145" b="24130"/>
                <wp:wrapNone/>
                <wp:docPr id="13" name="文本框 21"/>
                <wp:cNvGraphicFramePr/>
                <a:graphic xmlns:a="http://schemas.openxmlformats.org/drawingml/2006/main">
                  <a:graphicData uri="http://schemas.microsoft.com/office/word/2010/wordprocessingShape">
                    <wps:wsp>
                      <wps:cNvSpPr txBox="1"/>
                      <wps:spPr>
                        <a:xfrm>
                          <a:off x="0" y="0"/>
                          <a:ext cx="6396355" cy="837057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宋体" w:hAnsi="宋体"/>
                                <w:b/>
                                <w:sz w:val="72"/>
                              </w:rPr>
                            </w:pPr>
                          </w:p>
                          <w:p>
                            <w:pPr>
                              <w:jc w:val="center"/>
                              <w:rPr>
                                <w:rFonts w:ascii="宋体" w:hAnsi="宋体"/>
                                <w:b/>
                                <w:sz w:val="72"/>
                              </w:rPr>
                            </w:pPr>
                            <w:r>
                              <w:rPr>
                                <w:rFonts w:hint="eastAsia" w:ascii="宋体" w:hAnsi="宋体"/>
                                <w:b/>
                                <w:sz w:val="72"/>
                              </w:rPr>
                              <w:t>苍 南 县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 xml:space="preserve">     项目名称：苍南县人民医院布品租赁及洗涤服务项目</w:t>
                            </w:r>
                          </w:p>
                          <w:p>
                            <w:pPr>
                              <w:spacing w:line="640" w:lineRule="exact"/>
                              <w:ind w:firstLine="1807" w:firstLineChars="600"/>
                              <w:jc w:val="left"/>
                              <w:rPr>
                                <w:rFonts w:ascii="宋体" w:hAnsi="宋体"/>
                                <w:b/>
                                <w:color w:val="000000"/>
                                <w:sz w:val="30"/>
                                <w:szCs w:val="30"/>
                              </w:rPr>
                            </w:pPr>
                            <w:r>
                              <w:rPr>
                                <w:rFonts w:hint="eastAsia" w:ascii="宋体" w:hAnsi="宋体"/>
                                <w:b/>
                                <w:color w:val="000000"/>
                                <w:sz w:val="30"/>
                                <w:szCs w:val="30"/>
                              </w:rPr>
                              <w:t>采购方式：公开招标</w:t>
                            </w:r>
                          </w:p>
                          <w:p>
                            <w:pPr>
                              <w:spacing w:line="640" w:lineRule="exact"/>
                              <w:rPr>
                                <w:rFonts w:ascii="宋体" w:hAnsi="宋体"/>
                                <w:b/>
                                <w:color w:val="000000"/>
                                <w:sz w:val="30"/>
                                <w:szCs w:val="30"/>
                              </w:rPr>
                            </w:pPr>
                          </w:p>
                          <w:p>
                            <w:pPr>
                              <w:spacing w:line="640" w:lineRule="exact"/>
                              <w:ind w:firstLine="1807" w:firstLineChars="600"/>
                              <w:rPr>
                                <w:rFonts w:ascii="宋体" w:hAnsi="宋体"/>
                                <w:b/>
                                <w:color w:val="000000"/>
                                <w:sz w:val="30"/>
                                <w:szCs w:val="30"/>
                              </w:rPr>
                            </w:pPr>
                            <w:r>
                              <w:rPr>
                                <w:rFonts w:hint="eastAsia" w:ascii="宋体" w:hAnsi="宋体"/>
                                <w:b/>
                                <w:color w:val="000000"/>
                                <w:sz w:val="30"/>
                                <w:szCs w:val="30"/>
                              </w:rPr>
                              <w:t>采购人：苍南县人民医院</w:t>
                            </w:r>
                          </w:p>
                          <w:p>
                            <w:pPr>
                              <w:spacing w:line="640" w:lineRule="exact"/>
                              <w:ind w:firstLine="1807" w:firstLineChars="600"/>
                              <w:rPr>
                                <w:rFonts w:ascii="宋体" w:hAnsi="宋体"/>
                                <w:b/>
                                <w:color w:val="000000"/>
                                <w:sz w:val="30"/>
                                <w:szCs w:val="30"/>
                              </w:rPr>
                            </w:pPr>
                            <w:r>
                              <w:rPr>
                                <w:rFonts w:hint="eastAsia" w:ascii="宋体" w:hAnsi="宋体"/>
                                <w:b/>
                                <w:color w:val="000000"/>
                                <w:sz w:val="30"/>
                                <w:szCs w:val="30"/>
                              </w:rPr>
                              <w:t>联系人：许先生</w:t>
                            </w:r>
                          </w:p>
                          <w:p>
                            <w:pPr>
                              <w:spacing w:line="640" w:lineRule="exact"/>
                              <w:rPr>
                                <w:rFonts w:ascii="宋体" w:hAnsi="宋体"/>
                                <w:b/>
                                <w:color w:val="000000"/>
                                <w:sz w:val="30"/>
                                <w:szCs w:val="30"/>
                              </w:rPr>
                            </w:pPr>
                          </w:p>
                          <w:p>
                            <w:pPr>
                              <w:spacing w:line="640" w:lineRule="exact"/>
                              <w:ind w:firstLine="1807" w:firstLineChars="600"/>
                              <w:rPr>
                                <w:rFonts w:ascii="宋体" w:hAnsi="宋体"/>
                                <w:b/>
                                <w:color w:val="000000"/>
                                <w:sz w:val="30"/>
                                <w:szCs w:val="30"/>
                              </w:rPr>
                            </w:pPr>
                            <w:r>
                              <w:rPr>
                                <w:rFonts w:hint="eastAsia" w:ascii="宋体" w:hAnsi="宋体"/>
                                <w:b/>
                                <w:color w:val="000000"/>
                                <w:sz w:val="30"/>
                                <w:szCs w:val="30"/>
                              </w:rPr>
                              <w:t>代理机构：浙江名进建设项目管理有限公司</w:t>
                            </w:r>
                          </w:p>
                          <w:p>
                            <w:pPr>
                              <w:spacing w:line="640" w:lineRule="exact"/>
                              <w:ind w:firstLine="1807" w:firstLineChars="600"/>
                              <w:rPr>
                                <w:rFonts w:ascii="宋体" w:hAnsi="宋体"/>
                                <w:b/>
                                <w:color w:val="000000"/>
                                <w:sz w:val="30"/>
                                <w:szCs w:val="30"/>
                              </w:rPr>
                            </w:pPr>
                            <w:r>
                              <w:rPr>
                                <w:rFonts w:hint="eastAsia" w:ascii="宋体" w:hAnsi="宋体"/>
                                <w:b/>
                                <w:color w:val="000000"/>
                                <w:sz w:val="30"/>
                                <w:szCs w:val="30"/>
                              </w:rPr>
                              <w:t>联系人：缪女士</w:t>
                            </w:r>
                          </w:p>
                          <w:p>
                            <w:pPr>
                              <w:spacing w:line="640" w:lineRule="exact"/>
                              <w:ind w:firstLine="1807" w:firstLineChars="600"/>
                              <w:rPr>
                                <w:rFonts w:ascii="宋体" w:hAnsi="宋体"/>
                                <w:b/>
                                <w:color w:val="000000"/>
                                <w:sz w:val="30"/>
                                <w:szCs w:val="30"/>
                              </w:rPr>
                            </w:pPr>
                            <w:r>
                              <w:rPr>
                                <w:rFonts w:hint="eastAsia" w:ascii="宋体" w:hAnsi="宋体"/>
                                <w:b/>
                                <w:color w:val="000000"/>
                                <w:sz w:val="30"/>
                                <w:szCs w:val="30"/>
                              </w:rPr>
                              <w:t>联系电话：13587538322</w:t>
                            </w:r>
                          </w:p>
                          <w:p>
                            <w:pPr>
                              <w:spacing w:line="640" w:lineRule="exact"/>
                              <w:jc w:val="center"/>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监督机构：苍南县政府采购管理办公室</w:t>
                            </w:r>
                          </w:p>
                          <w:p>
                            <w:pPr>
                              <w:spacing w:line="640" w:lineRule="exact"/>
                              <w:jc w:val="center"/>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二○二一年八月</w:t>
                            </w:r>
                          </w:p>
                          <w:p/>
                        </w:txbxContent>
                      </wps:txbx>
                      <wps:bodyPr wrap="square"/>
                    </wps:wsp>
                  </a:graphicData>
                </a:graphic>
              </wp:anchor>
            </w:drawing>
          </mc:Choice>
          <mc:Fallback>
            <w:pict>
              <v:shape id="文本框 21" o:spid="_x0000_s1026" o:spt="202" type="#_x0000_t202" style="position:absolute;left:0pt;margin-left:-19.6pt;margin-top:-6.25pt;height:659.1pt;width:503.65pt;z-index:251659264;mso-width-relative:page;mso-height-relative:page;" fillcolor="#FFFFFF" filled="t" stroked="t" coordsize="21600,21600" o:gfxdata="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03JozdAAAA&#10;DAEAAA8AAAAAAAAAAQAgAAAAIgAAAGRycy9kb3ducmV2LnhtbFBLAQIUABQAAAAIAIdO4kBNuMNc&#10;GAIAAEoEAAAOAAAAAAAAAAEAIAAAACwBAABkcnMvZTJvRG9jLnhtbFBLBQYAAAAABgAGAFkBAAC2&#10;BQAAAAA=&#10;">
                <v:fill on="t" focussize="0,0"/>
                <v:stroke weight="1pt" color="#000000" joinstyle="miter"/>
                <v:imagedata o:title=""/>
                <o:lock v:ext="edit" aspectratio="f"/>
                <v:textbox>
                  <w:txbxContent>
                    <w:p>
                      <w:pPr>
                        <w:jc w:val="center"/>
                        <w:rPr>
                          <w:rFonts w:ascii="宋体" w:hAnsi="宋体"/>
                          <w:b/>
                          <w:sz w:val="72"/>
                        </w:rPr>
                      </w:pPr>
                    </w:p>
                    <w:p>
                      <w:pPr>
                        <w:jc w:val="center"/>
                        <w:rPr>
                          <w:rFonts w:ascii="宋体" w:hAnsi="宋体"/>
                          <w:b/>
                          <w:sz w:val="72"/>
                        </w:rPr>
                      </w:pPr>
                      <w:r>
                        <w:rPr>
                          <w:rFonts w:hint="eastAsia" w:ascii="宋体" w:hAnsi="宋体"/>
                          <w:b/>
                          <w:sz w:val="72"/>
                        </w:rPr>
                        <w:t>苍 南 县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 xml:space="preserve">     项目名称：苍南县人民医院布品租赁及洗涤服务项目</w:t>
                      </w:r>
                    </w:p>
                    <w:p>
                      <w:pPr>
                        <w:spacing w:line="640" w:lineRule="exact"/>
                        <w:ind w:firstLine="1807" w:firstLineChars="600"/>
                        <w:jc w:val="left"/>
                        <w:rPr>
                          <w:rFonts w:ascii="宋体" w:hAnsi="宋体"/>
                          <w:b/>
                          <w:color w:val="000000"/>
                          <w:sz w:val="30"/>
                          <w:szCs w:val="30"/>
                        </w:rPr>
                      </w:pPr>
                      <w:r>
                        <w:rPr>
                          <w:rFonts w:hint="eastAsia" w:ascii="宋体" w:hAnsi="宋体"/>
                          <w:b/>
                          <w:color w:val="000000"/>
                          <w:sz w:val="30"/>
                          <w:szCs w:val="30"/>
                        </w:rPr>
                        <w:t>采购方式：公开招标</w:t>
                      </w:r>
                    </w:p>
                    <w:p>
                      <w:pPr>
                        <w:spacing w:line="640" w:lineRule="exact"/>
                        <w:rPr>
                          <w:rFonts w:ascii="宋体" w:hAnsi="宋体"/>
                          <w:b/>
                          <w:color w:val="000000"/>
                          <w:sz w:val="30"/>
                          <w:szCs w:val="30"/>
                        </w:rPr>
                      </w:pPr>
                    </w:p>
                    <w:p>
                      <w:pPr>
                        <w:spacing w:line="640" w:lineRule="exact"/>
                        <w:ind w:firstLine="1807" w:firstLineChars="600"/>
                        <w:rPr>
                          <w:rFonts w:ascii="宋体" w:hAnsi="宋体"/>
                          <w:b/>
                          <w:color w:val="000000"/>
                          <w:sz w:val="30"/>
                          <w:szCs w:val="30"/>
                        </w:rPr>
                      </w:pPr>
                      <w:r>
                        <w:rPr>
                          <w:rFonts w:hint="eastAsia" w:ascii="宋体" w:hAnsi="宋体"/>
                          <w:b/>
                          <w:color w:val="000000"/>
                          <w:sz w:val="30"/>
                          <w:szCs w:val="30"/>
                        </w:rPr>
                        <w:t>采购人：苍南县人民医院</w:t>
                      </w:r>
                    </w:p>
                    <w:p>
                      <w:pPr>
                        <w:spacing w:line="640" w:lineRule="exact"/>
                        <w:ind w:firstLine="1807" w:firstLineChars="600"/>
                        <w:rPr>
                          <w:rFonts w:ascii="宋体" w:hAnsi="宋体"/>
                          <w:b/>
                          <w:color w:val="000000"/>
                          <w:sz w:val="30"/>
                          <w:szCs w:val="30"/>
                        </w:rPr>
                      </w:pPr>
                      <w:r>
                        <w:rPr>
                          <w:rFonts w:hint="eastAsia" w:ascii="宋体" w:hAnsi="宋体"/>
                          <w:b/>
                          <w:color w:val="000000"/>
                          <w:sz w:val="30"/>
                          <w:szCs w:val="30"/>
                        </w:rPr>
                        <w:t>联系人：许先生</w:t>
                      </w:r>
                    </w:p>
                    <w:p>
                      <w:pPr>
                        <w:spacing w:line="640" w:lineRule="exact"/>
                        <w:rPr>
                          <w:rFonts w:ascii="宋体" w:hAnsi="宋体"/>
                          <w:b/>
                          <w:color w:val="000000"/>
                          <w:sz w:val="30"/>
                          <w:szCs w:val="30"/>
                        </w:rPr>
                      </w:pPr>
                    </w:p>
                    <w:p>
                      <w:pPr>
                        <w:spacing w:line="640" w:lineRule="exact"/>
                        <w:ind w:firstLine="1807" w:firstLineChars="600"/>
                        <w:rPr>
                          <w:rFonts w:ascii="宋体" w:hAnsi="宋体"/>
                          <w:b/>
                          <w:color w:val="000000"/>
                          <w:sz w:val="30"/>
                          <w:szCs w:val="30"/>
                        </w:rPr>
                      </w:pPr>
                      <w:r>
                        <w:rPr>
                          <w:rFonts w:hint="eastAsia" w:ascii="宋体" w:hAnsi="宋体"/>
                          <w:b/>
                          <w:color w:val="000000"/>
                          <w:sz w:val="30"/>
                          <w:szCs w:val="30"/>
                        </w:rPr>
                        <w:t>代理机构：浙江名进建设项目管理有限公司</w:t>
                      </w:r>
                    </w:p>
                    <w:p>
                      <w:pPr>
                        <w:spacing w:line="640" w:lineRule="exact"/>
                        <w:ind w:firstLine="1807" w:firstLineChars="600"/>
                        <w:rPr>
                          <w:rFonts w:ascii="宋体" w:hAnsi="宋体"/>
                          <w:b/>
                          <w:color w:val="000000"/>
                          <w:sz w:val="30"/>
                          <w:szCs w:val="30"/>
                        </w:rPr>
                      </w:pPr>
                      <w:r>
                        <w:rPr>
                          <w:rFonts w:hint="eastAsia" w:ascii="宋体" w:hAnsi="宋体"/>
                          <w:b/>
                          <w:color w:val="000000"/>
                          <w:sz w:val="30"/>
                          <w:szCs w:val="30"/>
                        </w:rPr>
                        <w:t>联系人：缪女士</w:t>
                      </w:r>
                    </w:p>
                    <w:p>
                      <w:pPr>
                        <w:spacing w:line="640" w:lineRule="exact"/>
                        <w:ind w:firstLine="1807" w:firstLineChars="600"/>
                        <w:rPr>
                          <w:rFonts w:ascii="宋体" w:hAnsi="宋体"/>
                          <w:b/>
                          <w:color w:val="000000"/>
                          <w:sz w:val="30"/>
                          <w:szCs w:val="30"/>
                        </w:rPr>
                      </w:pPr>
                      <w:r>
                        <w:rPr>
                          <w:rFonts w:hint="eastAsia" w:ascii="宋体" w:hAnsi="宋体"/>
                          <w:b/>
                          <w:color w:val="000000"/>
                          <w:sz w:val="30"/>
                          <w:szCs w:val="30"/>
                        </w:rPr>
                        <w:t>联系电话：13587538322</w:t>
                      </w:r>
                    </w:p>
                    <w:p>
                      <w:pPr>
                        <w:spacing w:line="640" w:lineRule="exact"/>
                        <w:jc w:val="center"/>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监督机构：苍南县政府采购管理办公室</w:t>
                      </w:r>
                    </w:p>
                    <w:p>
                      <w:pPr>
                        <w:spacing w:line="640" w:lineRule="exact"/>
                        <w:jc w:val="center"/>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二○二一年八月</w:t>
                      </w:r>
                    </w:p>
                    <w:p/>
                  </w:txbxContent>
                </v:textbox>
              </v:shape>
            </w:pict>
          </mc:Fallback>
        </mc:AlternateContent>
      </w:r>
    </w:p>
    <w:p>
      <w:pPr>
        <w:pStyle w:val="35"/>
        <w:rPr>
          <w:rFonts w:ascii="宋体" w:hAnsi="宋体"/>
          <w:bCs/>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361" w:bottom="1276" w:left="1361" w:header="851" w:footer="992" w:gutter="0"/>
          <w:pgNumType w:start="0"/>
          <w:cols w:space="720" w:num="1"/>
          <w:titlePg/>
          <w:docGrid w:linePitch="312" w:charSpace="0"/>
        </w:sectPr>
      </w:pPr>
      <w:bookmarkStart w:id="0" w:name="_Toc457976017"/>
    </w:p>
    <w:bookmarkEnd w:id="0"/>
    <w:p>
      <w:pPr>
        <w:spacing w:line="360" w:lineRule="auto"/>
        <w:ind w:right="-355" w:rightChars="-169"/>
        <w:jc w:val="center"/>
        <w:rPr>
          <w:rFonts w:ascii="宋体"/>
          <w:b/>
          <w:bCs/>
          <w:color w:val="auto"/>
          <w:spacing w:val="-3"/>
          <w:sz w:val="28"/>
          <w:szCs w:val="28"/>
          <w:highlight w:val="none"/>
        </w:rPr>
      </w:pPr>
      <w:bookmarkStart w:id="1" w:name="OLE_LINK2"/>
      <w:r>
        <w:rPr>
          <w:rFonts w:hint="eastAsia" w:ascii="宋体"/>
          <w:b/>
          <w:bCs/>
          <w:color w:val="auto"/>
          <w:spacing w:val="-3"/>
          <w:sz w:val="28"/>
          <w:szCs w:val="28"/>
          <w:highlight w:val="none"/>
        </w:rPr>
        <w:t>浙江名进建设项目管理有限公司关于苍南县人民医院布品租赁及洗涤服务项目的公开招标采购公告</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pStyle w:val="34"/>
              <w:spacing w:after="0" w:line="360" w:lineRule="auto"/>
              <w:ind w:firstLine="560"/>
              <w:jc w:val="both"/>
              <w:rPr>
                <w:color w:val="auto"/>
                <w:sz w:val="22"/>
                <w:szCs w:val="22"/>
                <w:highlight w:val="none"/>
              </w:rPr>
            </w:pPr>
            <w:r>
              <w:rPr>
                <w:color w:val="auto"/>
                <w:sz w:val="22"/>
                <w:szCs w:val="22"/>
                <w:highlight w:val="none"/>
              </w:rPr>
              <w:t xml:space="preserve">项目概况                                                    </w:t>
            </w:r>
          </w:p>
          <w:p>
            <w:pPr>
              <w:pStyle w:val="34"/>
              <w:spacing w:after="0" w:line="360" w:lineRule="auto"/>
              <w:ind w:firstLine="560"/>
              <w:jc w:val="both"/>
              <w:rPr>
                <w:color w:val="auto"/>
                <w:highlight w:val="none"/>
              </w:rPr>
            </w:pPr>
            <w:r>
              <w:rPr>
                <w:rFonts w:hint="eastAsia"/>
                <w:color w:val="auto"/>
                <w:sz w:val="22"/>
                <w:szCs w:val="22"/>
                <w:highlight w:val="none"/>
              </w:rPr>
              <w:t>苍南县人民医院布品租赁及洗涤服务项目</w:t>
            </w:r>
            <w:r>
              <w:rPr>
                <w:color w:val="auto"/>
                <w:sz w:val="22"/>
                <w:szCs w:val="22"/>
                <w:highlight w:val="none"/>
              </w:rPr>
              <w:t>招标项目的潜在投标人应在浙江政府采购网（网址：http://zfcg.czt.zj.gov.cn）获取（下载）采购文件，并于 202</w:t>
            </w:r>
            <w:r>
              <w:rPr>
                <w:rFonts w:hint="eastAsia"/>
                <w:color w:val="auto"/>
                <w:sz w:val="22"/>
                <w:szCs w:val="22"/>
                <w:highlight w:val="none"/>
              </w:rPr>
              <w:t>1</w:t>
            </w:r>
            <w:r>
              <w:rPr>
                <w:color w:val="auto"/>
                <w:sz w:val="22"/>
                <w:szCs w:val="22"/>
                <w:highlight w:val="none"/>
              </w:rPr>
              <w:t>年</w:t>
            </w:r>
            <w:r>
              <w:rPr>
                <w:rFonts w:hint="eastAsia"/>
                <w:color w:val="auto"/>
                <w:sz w:val="22"/>
                <w:szCs w:val="22"/>
                <w:highlight w:val="none"/>
              </w:rPr>
              <w:t xml:space="preserve">  </w:t>
            </w:r>
            <w:r>
              <w:rPr>
                <w:color w:val="auto"/>
                <w:sz w:val="22"/>
                <w:szCs w:val="22"/>
                <w:highlight w:val="none"/>
              </w:rPr>
              <w:t>月</w:t>
            </w:r>
            <w:r>
              <w:rPr>
                <w:rFonts w:hint="eastAsia"/>
                <w:color w:val="auto"/>
                <w:sz w:val="22"/>
                <w:szCs w:val="22"/>
                <w:highlight w:val="none"/>
              </w:rPr>
              <w:t xml:space="preserve">  </w:t>
            </w:r>
            <w:r>
              <w:rPr>
                <w:color w:val="auto"/>
                <w:sz w:val="22"/>
                <w:szCs w:val="22"/>
                <w:highlight w:val="none"/>
              </w:rPr>
              <w:t xml:space="preserve">日 </w:t>
            </w:r>
            <w:r>
              <w:rPr>
                <w:rFonts w:hint="eastAsia"/>
                <w:color w:val="auto"/>
                <w:sz w:val="22"/>
                <w:szCs w:val="22"/>
                <w:highlight w:val="none"/>
              </w:rPr>
              <w:t>9</w:t>
            </w:r>
            <w:r>
              <w:rPr>
                <w:color w:val="auto"/>
                <w:sz w:val="22"/>
                <w:szCs w:val="22"/>
                <w:highlight w:val="none"/>
              </w:rPr>
              <w:t>:30（北京时间）前递交（上传）</w:t>
            </w:r>
            <w:r>
              <w:rPr>
                <w:rFonts w:hint="eastAsia"/>
                <w:color w:val="auto"/>
                <w:sz w:val="22"/>
                <w:szCs w:val="22"/>
                <w:highlight w:val="none"/>
              </w:rPr>
              <w:t>响应</w:t>
            </w:r>
            <w:r>
              <w:rPr>
                <w:color w:val="auto"/>
                <w:sz w:val="22"/>
                <w:szCs w:val="22"/>
                <w:highlight w:val="none"/>
              </w:rPr>
              <w:t>文件。</w:t>
            </w:r>
          </w:p>
        </w:tc>
      </w:tr>
    </w:tbl>
    <w:p>
      <w:pPr>
        <w:pStyle w:val="34"/>
        <w:spacing w:before="255" w:beforeAutospacing="0" w:after="255" w:afterAutospacing="0" w:line="300" w:lineRule="atLeast"/>
        <w:jc w:val="both"/>
        <w:rPr>
          <w:rFonts w:ascii="宋体" w:hAnsi="宋体" w:cs="宋体"/>
          <w:color w:val="auto"/>
          <w:sz w:val="24"/>
          <w:szCs w:val="24"/>
          <w:highlight w:val="none"/>
        </w:rPr>
      </w:pPr>
      <w:r>
        <w:rPr>
          <w:rStyle w:val="41"/>
          <w:rFonts w:hint="eastAsia" w:ascii="宋体" w:hAnsi="宋体" w:cs="宋体"/>
          <w:color w:val="auto"/>
          <w:sz w:val="24"/>
          <w:szCs w:val="24"/>
          <w:highlight w:val="none"/>
        </w:rPr>
        <w:t>一、项目基本情况</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项目编号：CNDL2021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项目名称：苍南县人民医院布品租赁及洗涤服务项目</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预算金额（元）：3000000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最高限价（元）：3000000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采购需求：</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  标项名称: 苍南县人民医院苍南县人民医院布品租赁及洗涤服务项目 </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  数量: 1  </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  预算金额（元）: 3000000 </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  简要规格描述或项目基本概况介绍、用途：详见采购文件 </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  备注：本项目采用折扣率报价。</w:t>
      </w:r>
      <w:r>
        <w:rPr>
          <w:rFonts w:hint="eastAsia" w:ascii="宋体" w:hAnsi="宋体" w:cs="宋体"/>
          <w:color w:val="auto"/>
          <w:sz w:val="24"/>
          <w:szCs w:val="24"/>
          <w:highlight w:val="none"/>
          <w:lang w:eastAsia="zh-CN"/>
        </w:rPr>
        <w:t>各区间床位数每床位每日所需布品综合单价最高限价</w:t>
      </w:r>
      <w:r>
        <w:rPr>
          <w:rFonts w:hint="eastAsia" w:ascii="宋体" w:hAnsi="宋体" w:cs="宋体"/>
          <w:color w:val="auto"/>
          <w:sz w:val="24"/>
          <w:szCs w:val="24"/>
          <w:highlight w:val="none"/>
        </w:rPr>
        <w:t>如下： 800（含）床以下为8.7元/床/日，</w:t>
      </w:r>
      <w:r>
        <w:rPr>
          <w:rFonts w:hint="eastAsia" w:ascii="宋体" w:hAnsi="宋体" w:cs="宋体"/>
          <w:color w:val="auto"/>
          <w:sz w:val="24"/>
          <w:szCs w:val="24"/>
          <w:highlight w:val="none"/>
          <w:lang w:eastAsia="zh-CN"/>
        </w:rPr>
        <w:t>801床-899床</w:t>
      </w:r>
      <w:r>
        <w:rPr>
          <w:rFonts w:hint="eastAsia" w:ascii="宋体" w:hAnsi="宋体" w:cs="宋体"/>
          <w:color w:val="auto"/>
          <w:sz w:val="24"/>
          <w:szCs w:val="24"/>
          <w:highlight w:val="none"/>
        </w:rPr>
        <w:t>为8.5元/床/日， 900（含）床以上为8.2元/床/日。后期按照当日服务费=（当日实际使用床位数量+血透室床位数量（50床）+值班室床位数量（25床））*各区间床位数每床位每日所需布品综合单价最高限价*中标折扣率统计。每日一统计，每月一结算。</w:t>
      </w:r>
    </w:p>
    <w:p>
      <w:pPr>
        <w:spacing w:line="360" w:lineRule="auto"/>
        <w:ind w:firstLine="480" w:firstLineChars="200"/>
        <w:jc w:val="left"/>
        <w:rPr>
          <w:rFonts w:hint="eastAsia" w:ascii="宋体" w:hAnsi="宋体" w:cs="宋体"/>
          <w:color w:val="auto"/>
          <w:sz w:val="24"/>
          <w:highlight w:val="none"/>
          <w:u w:val="single"/>
          <w:lang w:eastAsia="zh-CN"/>
        </w:rPr>
      </w:pPr>
      <w:r>
        <w:rPr>
          <w:rFonts w:hint="eastAsia" w:ascii="宋体" w:hAnsi="宋体" w:cs="宋体"/>
          <w:color w:val="auto"/>
          <w:sz w:val="24"/>
          <w:highlight w:val="none"/>
          <w:u w:val="single"/>
          <w:lang w:eastAsia="zh-CN"/>
        </w:rPr>
        <w:t>合同履约期限：服务期限三年，服务合同一年一签，累计时间最长不超过3年。</w:t>
      </w:r>
      <w:r>
        <w:rPr>
          <w:rFonts w:hint="eastAsia" w:ascii="宋体" w:hAnsi="宋体" w:cs="宋体"/>
          <w:color w:val="auto"/>
          <w:sz w:val="24"/>
          <w:highlight w:val="none"/>
          <w:u w:val="single"/>
          <w:lang w:val="en-US" w:eastAsia="zh-CN"/>
        </w:rPr>
        <w:t>中标第一年的</w:t>
      </w:r>
      <w:r>
        <w:rPr>
          <w:rFonts w:hint="eastAsia" w:ascii="宋体" w:hAnsi="宋体" w:cs="宋体"/>
          <w:color w:val="auto"/>
          <w:sz w:val="24"/>
          <w:highlight w:val="none"/>
          <w:u w:val="single"/>
          <w:lang w:eastAsia="zh-CN"/>
        </w:rPr>
        <w:t>前三个月为试用期，如试用期</w:t>
      </w:r>
      <w:r>
        <w:rPr>
          <w:rFonts w:hint="eastAsia" w:ascii="宋体" w:hAnsi="宋体" w:cs="宋体"/>
          <w:color w:val="auto"/>
          <w:sz w:val="24"/>
          <w:highlight w:val="none"/>
          <w:u w:val="single"/>
          <w:lang w:val="en-US" w:eastAsia="zh-CN"/>
        </w:rPr>
        <w:t>内</w:t>
      </w:r>
      <w:r>
        <w:rPr>
          <w:rFonts w:hint="eastAsia" w:ascii="宋体" w:hAnsi="宋体" w:cs="宋体"/>
          <w:color w:val="auto"/>
          <w:sz w:val="24"/>
          <w:highlight w:val="none"/>
          <w:u w:val="single"/>
          <w:lang w:eastAsia="zh-CN"/>
        </w:rPr>
        <w:t>连续两次成绩低于70分（不含70分）（</w:t>
      </w:r>
      <w:r>
        <w:rPr>
          <w:rFonts w:hint="eastAsia" w:ascii="宋体" w:hAnsi="宋体" w:cs="宋体"/>
          <w:color w:val="auto"/>
          <w:sz w:val="24"/>
          <w:highlight w:val="none"/>
          <w:u w:val="single"/>
          <w:lang w:val="en-US" w:eastAsia="zh-CN"/>
        </w:rPr>
        <w:t>考核办法详见《</w:t>
      </w:r>
      <w:r>
        <w:rPr>
          <w:rFonts w:hint="eastAsia" w:ascii="宋体" w:hAnsi="宋体" w:cs="宋体"/>
          <w:color w:val="auto"/>
          <w:sz w:val="24"/>
          <w:highlight w:val="none"/>
          <w:u w:val="single"/>
          <w:lang w:eastAsia="zh-CN"/>
        </w:rPr>
        <w:t>苍南县人民医院布品租赁及洗涤服务项目质量考核表》），采购人有权单方终止本合同。</w:t>
      </w:r>
      <w:r>
        <w:rPr>
          <w:rFonts w:hint="eastAsia" w:ascii="宋体" w:hAnsi="宋体" w:cs="宋体"/>
          <w:color w:val="auto"/>
          <w:sz w:val="24"/>
          <w:highlight w:val="none"/>
          <w:u w:val="single"/>
          <w:lang w:val="en-US" w:eastAsia="zh-CN"/>
        </w:rPr>
        <w:t>每年度</w:t>
      </w:r>
      <w:r>
        <w:rPr>
          <w:rFonts w:hint="eastAsia" w:ascii="宋体" w:hAnsi="宋体" w:cs="宋体"/>
          <w:color w:val="auto"/>
          <w:sz w:val="24"/>
          <w:highlight w:val="none"/>
          <w:u w:val="single"/>
          <w:lang w:eastAsia="zh-CN"/>
        </w:rPr>
        <w:t>期满</w:t>
      </w:r>
      <w:r>
        <w:rPr>
          <w:rFonts w:hint="eastAsia" w:ascii="宋体" w:hAnsi="宋体" w:cs="宋体"/>
          <w:color w:val="auto"/>
          <w:sz w:val="24"/>
          <w:highlight w:val="none"/>
          <w:u w:val="single"/>
          <w:lang w:val="en-US" w:eastAsia="zh-CN"/>
        </w:rPr>
        <w:t>后</w:t>
      </w:r>
      <w:r>
        <w:rPr>
          <w:rFonts w:hint="eastAsia" w:ascii="宋体" w:hAnsi="宋体" w:cs="宋体"/>
          <w:color w:val="auto"/>
          <w:sz w:val="24"/>
          <w:highlight w:val="none"/>
          <w:u w:val="single"/>
          <w:lang w:eastAsia="zh-CN"/>
        </w:rPr>
        <w:t>采购人根据</w:t>
      </w:r>
      <w:r>
        <w:rPr>
          <w:rFonts w:hint="eastAsia" w:ascii="宋体" w:hAnsi="宋体" w:cs="宋体"/>
          <w:color w:val="auto"/>
          <w:sz w:val="24"/>
          <w:highlight w:val="none"/>
          <w:u w:val="single"/>
          <w:lang w:val="en-US" w:eastAsia="zh-CN"/>
        </w:rPr>
        <w:t>本年实际质量考核情况</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通过医院党委会议后</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按照</w:t>
      </w:r>
      <w:r>
        <w:rPr>
          <w:rFonts w:hint="eastAsia" w:ascii="宋体" w:hAnsi="宋体" w:cs="宋体"/>
          <w:color w:val="auto"/>
          <w:sz w:val="24"/>
          <w:highlight w:val="none"/>
          <w:u w:val="single"/>
          <w:lang w:eastAsia="zh-CN"/>
        </w:rPr>
        <w:t>规定：报财政、</w:t>
      </w:r>
      <w:r>
        <w:rPr>
          <w:rFonts w:hint="eastAsia" w:ascii="宋体" w:hAnsi="宋体" w:cs="宋体"/>
          <w:color w:val="auto"/>
          <w:sz w:val="24"/>
          <w:highlight w:val="none"/>
          <w:u w:val="single"/>
          <w:lang w:val="en-US" w:eastAsia="zh-CN"/>
        </w:rPr>
        <w:t>卫健局等部门审批备案</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方可</w:t>
      </w:r>
      <w:r>
        <w:rPr>
          <w:rFonts w:hint="eastAsia" w:ascii="宋体" w:hAnsi="宋体" w:cs="宋体"/>
          <w:color w:val="auto"/>
          <w:sz w:val="24"/>
          <w:highlight w:val="none"/>
          <w:u w:val="single"/>
          <w:lang w:eastAsia="zh-CN"/>
        </w:rPr>
        <w:t>续签次年合同，累计时间最长不超过3年。服务（合同）期满，中标人应根据采购人的要求延续提供至下一轮投标完成新服务商入住后方可退出，费用标准按原合同规定执行。</w:t>
      </w:r>
    </w:p>
    <w:p>
      <w:pPr>
        <w:pStyle w:val="34"/>
        <w:spacing w:before="75" w:beforeAutospacing="0" w:after="75" w:afterAutospacing="0" w:line="300" w:lineRule="atLeas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本项目（否）接受联合体投标。</w:t>
      </w:r>
    </w:p>
    <w:p>
      <w:pPr>
        <w:pStyle w:val="34"/>
        <w:spacing w:before="225" w:beforeAutospacing="0" w:after="225" w:afterAutospacing="0" w:line="300" w:lineRule="atLeast"/>
        <w:rPr>
          <w:rFonts w:ascii="宋体" w:hAnsi="宋体" w:cs="宋体"/>
          <w:color w:val="auto"/>
          <w:sz w:val="24"/>
          <w:szCs w:val="24"/>
          <w:highlight w:val="none"/>
        </w:rPr>
      </w:pPr>
      <w:r>
        <w:rPr>
          <w:rStyle w:val="41"/>
          <w:rFonts w:hint="eastAsia" w:ascii="宋体" w:hAnsi="宋体" w:cs="宋体"/>
          <w:color w:val="auto"/>
          <w:sz w:val="24"/>
          <w:szCs w:val="24"/>
          <w:highlight w:val="none"/>
        </w:rPr>
        <w:t>二、申请人的资格要求：</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2.落实政府采购政策需满足的资格要求：</w:t>
      </w:r>
      <w:r>
        <w:rPr>
          <w:rFonts w:hint="eastAsia" w:ascii="宋体" w:hAnsi="宋体" w:eastAsia="宋体" w:cs="宋体"/>
          <w:i w:val="0"/>
          <w:iCs w:val="0"/>
          <w:caps w:val="0"/>
          <w:color w:val="auto"/>
          <w:spacing w:val="0"/>
          <w:sz w:val="24"/>
          <w:szCs w:val="24"/>
          <w:highlight w:val="none"/>
        </w:rPr>
        <w:t>标项1：无</w:t>
      </w:r>
    </w:p>
    <w:p>
      <w:pPr>
        <w:pStyle w:val="34"/>
        <w:spacing w:before="75" w:beforeAutospacing="0" w:after="75" w:afterAutospacing="0" w:line="300" w:lineRule="atLeast"/>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3特定资格要求：</w:t>
      </w:r>
      <w:r>
        <w:rPr>
          <w:rFonts w:hint="eastAsia" w:ascii="宋体" w:hAnsi="宋体" w:cs="宋体"/>
          <w:b/>
          <w:bCs/>
          <w:color w:val="auto"/>
          <w:sz w:val="24"/>
          <w:szCs w:val="24"/>
          <w:highlight w:val="none"/>
          <w:lang w:val="en-US" w:eastAsia="zh-CN"/>
        </w:rPr>
        <w:t>无</w:t>
      </w:r>
      <w:r>
        <w:rPr>
          <w:rFonts w:hint="eastAsia" w:ascii="宋体" w:hAnsi="宋体" w:cs="宋体"/>
          <w:b/>
          <w:bCs/>
          <w:color w:val="auto"/>
          <w:sz w:val="24"/>
          <w:szCs w:val="24"/>
          <w:highlight w:val="none"/>
        </w:rPr>
        <w:t>。</w:t>
      </w:r>
    </w:p>
    <w:p>
      <w:pPr>
        <w:pStyle w:val="34"/>
        <w:spacing w:before="255" w:beforeAutospacing="0" w:after="255" w:afterAutospacing="0" w:line="300" w:lineRule="atLeast"/>
        <w:jc w:val="both"/>
        <w:rPr>
          <w:rFonts w:ascii="宋体" w:hAnsi="宋体" w:cs="宋体"/>
          <w:color w:val="auto"/>
          <w:sz w:val="24"/>
          <w:szCs w:val="24"/>
          <w:highlight w:val="none"/>
        </w:rPr>
      </w:pPr>
      <w:r>
        <w:rPr>
          <w:rStyle w:val="41"/>
          <w:rFonts w:hint="eastAsia" w:ascii="宋体" w:hAnsi="宋体" w:cs="宋体"/>
          <w:color w:val="auto"/>
          <w:sz w:val="24"/>
          <w:szCs w:val="24"/>
          <w:highlight w:val="none"/>
        </w:rPr>
        <w:t>三、获取招标文件</w:t>
      </w:r>
      <w:r>
        <w:rPr>
          <w:rFonts w:hint="eastAsia" w:ascii="宋体" w:hAnsi="宋体" w:cs="宋体"/>
          <w:color w:val="auto"/>
          <w:sz w:val="24"/>
          <w:szCs w:val="24"/>
          <w:highlight w:val="none"/>
        </w:rPr>
        <w:t>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时间：/至2021年  月  日 ，每天上午00:00至12:00 ，下午12:00至23:59（北京时间，线上获取法定节假日均可，线下获取文件法定节假日除外）</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地点（网址）：供应商自行在网上下载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方式：供应商登录政采云平台https://www.zcygov.cn/在线申请获取采购文件（进入“项目采购”应用，在获取采购文件菜单中选择项目，申请获取采购文件）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售价（元）：0 </w:t>
      </w:r>
    </w:p>
    <w:p>
      <w:pPr>
        <w:pStyle w:val="34"/>
        <w:spacing w:before="255" w:beforeAutospacing="0" w:after="255" w:afterAutospacing="0" w:line="300" w:lineRule="atLeast"/>
        <w:jc w:val="both"/>
        <w:rPr>
          <w:rFonts w:ascii="宋体" w:hAnsi="宋体" w:cs="宋体"/>
          <w:color w:val="auto"/>
          <w:sz w:val="24"/>
          <w:szCs w:val="24"/>
          <w:highlight w:val="none"/>
        </w:rPr>
      </w:pPr>
      <w:r>
        <w:rPr>
          <w:rStyle w:val="41"/>
          <w:rFonts w:hint="eastAsia" w:ascii="宋体" w:hAnsi="宋体" w:cs="宋体"/>
          <w:color w:val="auto"/>
          <w:sz w:val="24"/>
          <w:szCs w:val="24"/>
          <w:highlight w:val="none"/>
        </w:rPr>
        <w:t>四、提交投标文件截止时间、开标时间和地点</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提交投标文件截止时间：2021年  月  日 09:30（北京时间）</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投标地点（网址）：投标人通过“政府采购云平台（www.zcygov.cn）”实行在线投标响应（在投标截止时间止，供应商须准时登录“政府采购云平台（www.zcygov.cn）”在线响应投标）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开标时间：2021年  月  日 09:30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开标地点（网址）：1、代理机构于苍南县公共资源交易中心（苍南县灵溪镇春晖路公投大厦裙楼）进行开评标活动；2、投标人通过“政府采购云平台（www.zcygov.cn）”实行在线投标响应（在投标截止时间止，供应商须准时登录“政府采购云平台（www.zcygov.cn）”在线响应投标）；  </w:t>
      </w:r>
    </w:p>
    <w:p>
      <w:pPr>
        <w:pStyle w:val="34"/>
        <w:spacing w:before="255" w:beforeAutospacing="0" w:after="255" w:afterAutospacing="0" w:line="300" w:lineRule="atLeast"/>
        <w:jc w:val="both"/>
        <w:rPr>
          <w:rFonts w:ascii="宋体" w:hAnsi="宋体" w:cs="宋体"/>
          <w:color w:val="auto"/>
          <w:sz w:val="24"/>
          <w:szCs w:val="24"/>
          <w:highlight w:val="none"/>
        </w:rPr>
      </w:pPr>
      <w:r>
        <w:rPr>
          <w:rStyle w:val="41"/>
          <w:rFonts w:hint="eastAsia" w:ascii="宋体" w:hAnsi="宋体" w:cs="宋体"/>
          <w:color w:val="auto"/>
          <w:sz w:val="24"/>
          <w:szCs w:val="24"/>
          <w:highlight w:val="none"/>
        </w:rPr>
        <w:t>五、公告期限</w:t>
      </w:r>
      <w:r>
        <w:rPr>
          <w:rFonts w:hint="eastAsia" w:ascii="宋体" w:hAnsi="宋体" w:cs="宋体"/>
          <w:color w:val="auto"/>
          <w:sz w:val="24"/>
          <w:szCs w:val="24"/>
          <w:highlight w:val="none"/>
        </w:rPr>
        <w:t> </w:t>
      </w:r>
    </w:p>
    <w:p>
      <w:pPr>
        <w:pStyle w:val="34"/>
        <w:spacing w:before="75" w:beforeAutospacing="0" w:after="75" w:afterAutospacing="0"/>
        <w:rPr>
          <w:rFonts w:ascii="宋体" w:hAnsi="宋体" w:cs="宋体"/>
          <w:color w:val="auto"/>
          <w:sz w:val="24"/>
          <w:szCs w:val="24"/>
          <w:highlight w:val="none"/>
        </w:rPr>
      </w:pPr>
      <w:r>
        <w:rPr>
          <w:rFonts w:hint="eastAsia" w:ascii="宋体" w:hAnsi="宋体" w:cs="宋体"/>
          <w:color w:val="auto"/>
          <w:sz w:val="24"/>
          <w:szCs w:val="24"/>
          <w:highlight w:val="none"/>
        </w:rPr>
        <w:t>    自本公告发布之日起5个工作日。</w:t>
      </w:r>
    </w:p>
    <w:p>
      <w:pPr>
        <w:pStyle w:val="34"/>
        <w:spacing w:before="255" w:beforeAutospacing="0" w:after="255" w:afterAutospacing="0" w:line="300" w:lineRule="atLeast"/>
        <w:jc w:val="both"/>
        <w:rPr>
          <w:rFonts w:ascii="宋体" w:hAnsi="宋体" w:cs="宋体"/>
          <w:color w:val="auto"/>
          <w:sz w:val="24"/>
          <w:szCs w:val="24"/>
          <w:highlight w:val="none"/>
        </w:rPr>
      </w:pPr>
      <w:r>
        <w:rPr>
          <w:rStyle w:val="41"/>
          <w:rFonts w:hint="eastAsia" w:ascii="宋体" w:hAnsi="宋体" w:cs="宋体"/>
          <w:color w:val="auto"/>
          <w:sz w:val="24"/>
          <w:szCs w:val="24"/>
          <w:highlight w:val="none"/>
        </w:rPr>
        <w:t>六、其他补充事宜</w:t>
      </w:r>
    </w:p>
    <w:p>
      <w:pPr>
        <w:pStyle w:val="34"/>
        <w:spacing w:before="75" w:beforeAutospacing="0" w:after="75" w:afterAutospacing="0" w:line="315" w:lineRule="atLeast"/>
        <w:rPr>
          <w:rFonts w:ascii="宋体" w:hAnsi="宋体" w:cs="宋体"/>
          <w:color w:val="auto"/>
          <w:sz w:val="24"/>
          <w:szCs w:val="24"/>
          <w:highlight w:val="none"/>
        </w:rPr>
      </w:pPr>
      <w:r>
        <w:rPr>
          <w:rFonts w:hint="eastAsia" w:ascii="宋体" w:hAnsi="宋体" w:cs="宋体"/>
          <w:color w:val="auto"/>
          <w:sz w:val="24"/>
          <w:szCs w:val="24"/>
          <w:highlight w:val="none"/>
        </w:rPr>
        <w:t>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    2.其他事项：无  </w:t>
      </w:r>
    </w:p>
    <w:p>
      <w:pPr>
        <w:pStyle w:val="34"/>
        <w:spacing w:before="255" w:beforeAutospacing="0" w:after="255" w:afterAutospacing="0" w:line="480" w:lineRule="atLeast"/>
        <w:jc w:val="both"/>
        <w:rPr>
          <w:rFonts w:ascii="宋体" w:hAnsi="宋体" w:cs="宋体"/>
          <w:color w:val="auto"/>
          <w:sz w:val="24"/>
          <w:szCs w:val="24"/>
          <w:highlight w:val="none"/>
        </w:rPr>
      </w:pPr>
      <w:r>
        <w:rPr>
          <w:rStyle w:val="41"/>
          <w:rFonts w:hint="eastAsia" w:ascii="宋体" w:hAnsi="宋体" w:cs="宋体"/>
          <w:color w:val="auto"/>
          <w:sz w:val="24"/>
          <w:szCs w:val="24"/>
          <w:highlight w:val="none"/>
        </w:rPr>
        <w:t>七、对本次采购提出询问、质疑、投诉，请按以下方式联系</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1.采购人信息</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名    称：苍南县人民医院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地    址：苍南县人民医院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传    真：/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项目联系人（询问）：许先生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项目联系方式（询问）：0577-64810978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质疑联系人：许先生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质疑联系方式：0577-64810978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2.采购代理机构信息</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名  称：浙江名进建设项目管理有限公司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地  址：灵溪镇公投大厦704室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传  真：/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项目联系人（询问）：缪女士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项目联系方式（询问）：13587538322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质疑联系人：周女士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质疑联系方式：13587538322</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3.同级政府采购监督管理部门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名  称：苍南县政府采购监督管理办公室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地  址：苍南县灵溪镇春晖路555号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传    真：0577-59867927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联系人 ：陈先生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监督投诉电话：0577-59867927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w:t>
      </w:r>
    </w:p>
    <w:p>
      <w:pPr>
        <w:pStyle w:val="34"/>
        <w:spacing w:before="75" w:beforeAutospacing="0" w:after="75" w:afterAutospacing="0" w:line="300" w:lineRule="atLeast"/>
        <w:rPr>
          <w:rFonts w:ascii="宋体" w:hAnsi="宋体" w:cs="宋体"/>
          <w:color w:val="auto"/>
          <w:sz w:val="24"/>
          <w:szCs w:val="24"/>
          <w:highlight w:val="none"/>
        </w:rPr>
      </w:pP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若对项目采购电子交易系统操作有疑问，可登录政采云（https://www.zcygov.cn/），点击右侧咨询小采，获取采小蜜智能服务管家帮助，或拨打政采云服务热线400-881-7190获取热线服务帮助。       </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CA问题联系电话（人工）：汇信CA 400-888-4636；天谷CA 400-087-8198。</w:t>
      </w:r>
    </w:p>
    <w:p>
      <w:pPr>
        <w:pStyle w:val="34"/>
        <w:spacing w:before="75" w:beforeAutospacing="0" w:after="75" w:afterAutospacing="0" w:line="300" w:lineRule="atLeast"/>
        <w:rPr>
          <w:rFonts w:ascii="宋体" w:hAnsi="宋体" w:cs="宋体"/>
          <w:color w:val="auto"/>
          <w:sz w:val="24"/>
          <w:szCs w:val="24"/>
          <w:highlight w:val="none"/>
        </w:rPr>
      </w:pPr>
      <w:r>
        <w:rPr>
          <w:rFonts w:hint="eastAsia" w:ascii="宋体" w:hAnsi="宋体" w:cs="宋体"/>
          <w:color w:val="auto"/>
          <w:sz w:val="24"/>
          <w:szCs w:val="24"/>
          <w:highlight w:val="none"/>
        </w:rPr>
        <w:t>         </w:t>
      </w:r>
    </w:p>
    <w:p>
      <w:pPr>
        <w:pStyle w:val="34"/>
        <w:spacing w:before="75" w:beforeAutospacing="0" w:after="75" w:afterAutospacing="0"/>
        <w:rPr>
          <w:rFonts w:ascii="宋体" w:hAnsi="宋体" w:cs="宋体"/>
          <w:color w:val="auto"/>
          <w:sz w:val="24"/>
          <w:szCs w:val="24"/>
          <w:highlight w:val="none"/>
        </w:rPr>
      </w:pPr>
    </w:p>
    <w:p>
      <w:pPr>
        <w:widowControl/>
        <w:jc w:val="left"/>
        <w:rPr>
          <w:rFonts w:ascii="仿宋" w:hAnsi="仿宋" w:eastAsia="仿宋" w:cs="仿宋"/>
          <w:color w:val="auto"/>
          <w:sz w:val="24"/>
          <w:highlight w:val="none"/>
        </w:rPr>
      </w:pPr>
    </w:p>
    <w:p>
      <w:pPr>
        <w:widowControl/>
        <w:spacing w:before="54" w:after="54" w:line="400" w:lineRule="exact"/>
        <w:ind w:right="54"/>
        <w:rPr>
          <w:rFonts w:ascii="宋体" w:hAnsi="宋体" w:cs="宋体"/>
          <w:bCs/>
          <w:color w:val="auto"/>
          <w:kern w:val="0"/>
          <w:sz w:val="22"/>
          <w:szCs w:val="22"/>
          <w:highlight w:val="none"/>
        </w:rPr>
      </w:pPr>
    </w:p>
    <w:bookmarkEnd w:id="1"/>
    <w:p>
      <w:pPr>
        <w:widowControl/>
        <w:rPr>
          <w:rFonts w:ascii="宋体"/>
          <w:b/>
          <w:color w:val="auto"/>
          <w:sz w:val="28"/>
          <w:szCs w:val="28"/>
          <w:highlight w:val="none"/>
        </w:rPr>
      </w:pPr>
    </w:p>
    <w:p>
      <w:pPr>
        <w:widowControl/>
        <w:rPr>
          <w:rFonts w:ascii="宋体"/>
          <w:b/>
          <w:color w:val="auto"/>
          <w:sz w:val="28"/>
          <w:szCs w:val="28"/>
          <w:highlight w:val="none"/>
        </w:rPr>
      </w:pPr>
    </w:p>
    <w:p>
      <w:pPr>
        <w:widowControl/>
        <w:rPr>
          <w:rFonts w:ascii="宋体"/>
          <w:b/>
          <w:color w:val="auto"/>
          <w:sz w:val="28"/>
          <w:szCs w:val="28"/>
          <w:highlight w:val="none"/>
        </w:rPr>
      </w:pPr>
    </w:p>
    <w:p>
      <w:pPr>
        <w:widowControl/>
        <w:rPr>
          <w:rFonts w:ascii="宋体"/>
          <w:b/>
          <w:color w:val="auto"/>
          <w:sz w:val="28"/>
          <w:szCs w:val="28"/>
          <w:highlight w:val="none"/>
        </w:rPr>
      </w:pPr>
    </w:p>
    <w:p>
      <w:pPr>
        <w:pStyle w:val="2"/>
        <w:ind w:left="0" w:leftChars="0" w:firstLine="0" w:firstLineChars="0"/>
        <w:rPr>
          <w:color w:val="auto"/>
          <w:highlight w:val="none"/>
        </w:rPr>
      </w:pPr>
    </w:p>
    <w:p>
      <w:pPr>
        <w:pStyle w:val="2"/>
        <w:ind w:left="0" w:leftChars="0" w:firstLine="0" w:firstLineChars="0"/>
        <w:rPr>
          <w:rFonts w:ascii="宋体"/>
          <w:b/>
          <w:color w:val="auto"/>
          <w:sz w:val="28"/>
          <w:szCs w:val="28"/>
          <w:highlight w:val="none"/>
        </w:rPr>
      </w:pPr>
    </w:p>
    <w:p>
      <w:pPr>
        <w:pStyle w:val="4"/>
        <w:rPr>
          <w:color w:val="auto"/>
          <w:highlight w:val="none"/>
        </w:rPr>
      </w:pPr>
    </w:p>
    <w:p>
      <w:pPr>
        <w:jc w:val="center"/>
        <w:rPr>
          <w:rFonts w:ascii="宋体" w:hAnsi="宋体"/>
          <w:b/>
          <w:bCs/>
          <w:color w:val="auto"/>
          <w:sz w:val="36"/>
          <w:szCs w:val="36"/>
          <w:highlight w:val="none"/>
        </w:rPr>
      </w:pPr>
      <w:r>
        <w:rPr>
          <w:rFonts w:hint="eastAsia" w:ascii="宋体" w:hAnsi="宋体"/>
          <w:b/>
          <w:bCs/>
          <w:color w:val="auto"/>
          <w:sz w:val="36"/>
          <w:szCs w:val="36"/>
          <w:highlight w:val="none"/>
        </w:rPr>
        <w:t>投 标 须 知 前 附 表</w:t>
      </w:r>
    </w:p>
    <w:p>
      <w:pPr>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经批准，浙江名进建设项目管理有限公司对</w:t>
      </w:r>
      <w:r>
        <w:rPr>
          <w:rFonts w:hint="eastAsia" w:ascii="宋体" w:hAnsi="宋体"/>
          <w:b/>
          <w:color w:val="auto"/>
          <w:sz w:val="22"/>
          <w:szCs w:val="22"/>
          <w:highlight w:val="none"/>
        </w:rPr>
        <w:t>苍南县人民医院布品租赁及洗涤服务项目</w:t>
      </w:r>
      <w:r>
        <w:rPr>
          <w:rFonts w:hint="eastAsia" w:ascii="宋体" w:hAnsi="宋体"/>
          <w:color w:val="auto"/>
          <w:sz w:val="22"/>
          <w:szCs w:val="22"/>
          <w:highlight w:val="none"/>
        </w:rPr>
        <w:t>进行公开招标，我们现通知贵公司（企业）参与投标，并请按招标文件的要求认真准备好投标文件，按时进行线上电子投标。</w:t>
      </w:r>
    </w:p>
    <w:tbl>
      <w:tblPr>
        <w:tblStyle w:val="38"/>
        <w:tblW w:w="9531"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top w:val="double" w:color="auto" w:sz="4" w:space="0"/>
              <w:lef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招标编号</w:t>
            </w:r>
          </w:p>
        </w:tc>
        <w:tc>
          <w:tcPr>
            <w:tcW w:w="7708" w:type="dxa"/>
            <w:tcBorders>
              <w:top w:val="double" w:color="auto" w:sz="4" w:space="0"/>
              <w:righ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 xml:space="preserve"> CNDL2021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823" w:type="dxa"/>
            <w:tcBorders>
              <w:lef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 xml:space="preserve">招标内容 </w:t>
            </w:r>
          </w:p>
        </w:tc>
        <w:tc>
          <w:tcPr>
            <w:tcW w:w="7708" w:type="dxa"/>
            <w:tcBorders>
              <w:right w:val="double" w:color="auto" w:sz="4" w:space="0"/>
            </w:tcBorders>
            <w:vAlign w:val="center"/>
          </w:tcPr>
          <w:p>
            <w:pPr>
              <w:adjustRightInd w:val="0"/>
              <w:snapToGrid w:val="0"/>
              <w:spacing w:line="300" w:lineRule="exact"/>
              <w:rPr>
                <w:rFonts w:ascii="宋体" w:hAnsi="宋体"/>
                <w:color w:val="auto"/>
                <w:spacing w:val="-4"/>
                <w:sz w:val="22"/>
                <w:szCs w:val="22"/>
                <w:highlight w:val="none"/>
              </w:rPr>
            </w:pPr>
            <w:r>
              <w:rPr>
                <w:rFonts w:hint="eastAsia" w:ascii="宋体" w:hAnsi="宋体"/>
                <w:b/>
                <w:color w:val="auto"/>
                <w:spacing w:val="-4"/>
                <w:sz w:val="22"/>
                <w:szCs w:val="22"/>
                <w:highlight w:val="none"/>
              </w:rPr>
              <w:t>苍南县人民医院布品租赁及洗涤服务项目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3" w:type="dxa"/>
            <w:tcBorders>
              <w:lef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资金来源</w:t>
            </w:r>
          </w:p>
        </w:tc>
        <w:tc>
          <w:tcPr>
            <w:tcW w:w="7708" w:type="dxa"/>
            <w:tcBorders>
              <w:righ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采购预算</w:t>
            </w:r>
          </w:p>
        </w:tc>
        <w:tc>
          <w:tcPr>
            <w:tcW w:w="7708" w:type="dxa"/>
            <w:tcBorders>
              <w:right w:val="double" w:color="auto" w:sz="4" w:space="0"/>
            </w:tcBorders>
            <w:vAlign w:val="center"/>
          </w:tcPr>
          <w:p>
            <w:pPr>
              <w:pStyle w:val="34"/>
              <w:spacing w:before="75" w:beforeAutospacing="0" w:after="75" w:afterAutospacing="0" w:line="300" w:lineRule="atLeast"/>
              <w:rPr>
                <w:b/>
                <w:color w:val="auto"/>
                <w:sz w:val="22"/>
                <w:szCs w:val="22"/>
                <w:highlight w:val="none"/>
              </w:rPr>
            </w:pPr>
            <w:r>
              <w:rPr>
                <w:rFonts w:hint="eastAsia"/>
                <w:b/>
                <w:color w:val="auto"/>
                <w:sz w:val="22"/>
                <w:szCs w:val="22"/>
                <w:highlight w:val="none"/>
              </w:rPr>
              <w:t>▲本项目采购最高限价为¥3000000元，本项目采用折扣率报价，后期按照当日服务费=（当日实际使用床位数量+血透室床位数量（50床）+值班室床位数量（25床））*各区间床位数每床位每日所需布品综合单价最高限价*中标折扣率统计。每日一统计，每月一结算。</w:t>
            </w:r>
            <w:r>
              <w:rPr>
                <w:rFonts w:hint="eastAsia"/>
                <w:b/>
                <w:color w:val="auto"/>
                <w:sz w:val="22"/>
                <w:szCs w:val="22"/>
                <w:highlight w:val="none"/>
                <w:lang w:eastAsia="zh-CN"/>
              </w:rPr>
              <w:t>实际累计总结算金额不得超过预算金额</w:t>
            </w:r>
            <w:r>
              <w:rPr>
                <w:rFonts w:hint="eastAsia"/>
                <w:b/>
                <w:color w:val="auto"/>
                <w:sz w:val="22"/>
                <w:szCs w:val="22"/>
                <w:highlight w:val="none"/>
              </w:rPr>
              <w:t>，否则按相关政策执行。投标报价超出该采购预算（最高限价），该供应商按无效投标处理。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招标方式</w:t>
            </w:r>
          </w:p>
        </w:tc>
        <w:tc>
          <w:tcPr>
            <w:tcW w:w="7708" w:type="dxa"/>
            <w:tcBorders>
              <w:righ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所属行业</w:t>
            </w:r>
          </w:p>
        </w:tc>
        <w:tc>
          <w:tcPr>
            <w:tcW w:w="7708" w:type="dxa"/>
            <w:tcBorders>
              <w:righ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23" w:type="dxa"/>
            <w:tcBorders>
              <w:lef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评标办法</w:t>
            </w:r>
          </w:p>
        </w:tc>
        <w:tc>
          <w:tcPr>
            <w:tcW w:w="7708" w:type="dxa"/>
            <w:tcBorders>
              <w:righ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投标有效期</w:t>
            </w:r>
          </w:p>
        </w:tc>
        <w:tc>
          <w:tcPr>
            <w:tcW w:w="7708" w:type="dxa"/>
            <w:tcBorders>
              <w:righ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投标文件的组成</w:t>
            </w:r>
          </w:p>
        </w:tc>
        <w:tc>
          <w:tcPr>
            <w:tcW w:w="7708" w:type="dxa"/>
            <w:tcBorders>
              <w:right w:val="double" w:color="auto" w:sz="4" w:space="0"/>
            </w:tcBorders>
            <w:vAlign w:val="center"/>
          </w:tcPr>
          <w:p>
            <w:pPr>
              <w:spacing w:line="276" w:lineRule="auto"/>
              <w:rPr>
                <w:rFonts w:ascii="宋体" w:hAnsi="宋体" w:cs="Arial"/>
                <w:b/>
                <w:color w:val="auto"/>
                <w:sz w:val="22"/>
                <w:highlight w:val="none"/>
                <w:u w:val="single"/>
              </w:rPr>
            </w:pPr>
            <w:r>
              <w:rPr>
                <w:rFonts w:ascii="宋体" w:hAnsi="宋体" w:cs="Arial"/>
                <w:b/>
                <w:color w:val="auto"/>
                <w:sz w:val="22"/>
                <w:highlight w:val="none"/>
              </w:rPr>
              <w:t>完整的《</w:t>
            </w:r>
            <w:r>
              <w:rPr>
                <w:rFonts w:hint="eastAsia" w:ascii="宋体" w:hAnsi="宋体" w:cs="Arial"/>
                <w:b/>
                <w:color w:val="auto"/>
                <w:sz w:val="22"/>
                <w:highlight w:val="none"/>
              </w:rPr>
              <w:t>投标</w:t>
            </w:r>
            <w:r>
              <w:rPr>
                <w:rFonts w:ascii="宋体" w:hAnsi="宋体" w:cs="Arial"/>
                <w:b/>
                <w:color w:val="auto"/>
                <w:sz w:val="22"/>
                <w:highlight w:val="none"/>
              </w:rPr>
              <w:t>文件》由</w:t>
            </w:r>
            <w:r>
              <w:rPr>
                <w:rFonts w:hint="eastAsia" w:ascii="宋体" w:hAnsi="宋体" w:cs="Arial"/>
                <w:b/>
                <w:color w:val="auto"/>
                <w:sz w:val="22"/>
                <w:highlight w:val="none"/>
              </w:rPr>
              <w:t>“资格文件”、</w:t>
            </w:r>
            <w:r>
              <w:rPr>
                <w:rFonts w:ascii="宋体" w:hAnsi="宋体" w:cs="Arial"/>
                <w:b/>
                <w:color w:val="auto"/>
                <w:sz w:val="22"/>
                <w:highlight w:val="none"/>
              </w:rPr>
              <w:t>“</w:t>
            </w:r>
            <w:r>
              <w:rPr>
                <w:rFonts w:hint="eastAsia" w:ascii="宋体" w:hAnsi="宋体" w:cs="Arial"/>
                <w:b/>
                <w:color w:val="auto"/>
                <w:sz w:val="22"/>
                <w:highlight w:val="none"/>
              </w:rPr>
              <w:t>商务</w:t>
            </w:r>
            <w:r>
              <w:rPr>
                <w:rFonts w:ascii="宋体" w:hAnsi="宋体" w:cs="Arial"/>
                <w:b/>
                <w:color w:val="auto"/>
                <w:sz w:val="22"/>
                <w:highlight w:val="none"/>
              </w:rPr>
              <w:t>技术文件”和“报价文件”</w:t>
            </w:r>
            <w:r>
              <w:rPr>
                <w:rFonts w:hint="eastAsia" w:ascii="宋体" w:hAnsi="宋体" w:cs="Arial"/>
                <w:b/>
                <w:color w:val="auto"/>
                <w:sz w:val="22"/>
                <w:highlight w:val="none"/>
              </w:rPr>
              <w:t>三</w:t>
            </w:r>
            <w:r>
              <w:rPr>
                <w:rFonts w:ascii="宋体" w:hAnsi="宋体" w:cs="Arial"/>
                <w:b/>
                <w:color w:val="auto"/>
                <w:sz w:val="22"/>
                <w:highlight w:val="none"/>
              </w:rPr>
              <w:t>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1823" w:type="dxa"/>
            <w:tcBorders>
              <w:lef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投标文件份数</w:t>
            </w:r>
          </w:p>
        </w:tc>
        <w:tc>
          <w:tcPr>
            <w:tcW w:w="7708" w:type="dxa"/>
            <w:tcBorders>
              <w:right w:val="double" w:color="auto" w:sz="4" w:space="0"/>
            </w:tcBorders>
            <w:vAlign w:val="center"/>
          </w:tcPr>
          <w:p>
            <w:pPr>
              <w:snapToGrid w:val="0"/>
              <w:rPr>
                <w:rFonts w:ascii="宋体" w:hAnsi="宋体"/>
                <w:b/>
                <w:color w:val="auto"/>
                <w:sz w:val="22"/>
                <w:highlight w:val="none"/>
              </w:rPr>
            </w:pPr>
            <w:r>
              <w:rPr>
                <w:rFonts w:hint="eastAsia" w:ascii="宋体" w:hAnsi="宋体"/>
                <w:b/>
                <w:color w:val="auto"/>
                <w:sz w:val="22"/>
                <w:highlight w:val="none"/>
              </w:rPr>
              <w:t>（1）“电子加密投标文件”：在线上传递交（一份）。</w:t>
            </w:r>
          </w:p>
          <w:p>
            <w:pPr>
              <w:adjustRightInd w:val="0"/>
              <w:snapToGrid w:val="0"/>
              <w:spacing w:line="300" w:lineRule="exact"/>
              <w:rPr>
                <w:rFonts w:ascii="宋体" w:hAnsi="宋体"/>
                <w:b/>
                <w:color w:val="auto"/>
                <w:sz w:val="22"/>
                <w:szCs w:val="22"/>
                <w:highlight w:val="none"/>
              </w:rPr>
            </w:pPr>
            <w:r>
              <w:rPr>
                <w:rFonts w:hint="eastAsia" w:ascii="宋体" w:hAnsi="宋体"/>
                <w:b/>
                <w:color w:val="auto"/>
                <w:sz w:val="22"/>
                <w:highlight w:val="none"/>
              </w:rPr>
              <w:t>（2）“备份投标文件”：密封包装后（当面送达由代理单位签收或采用邮寄形式由代理单位签收）投标截止时间前递交（一份）（收件地址：</w:t>
            </w:r>
            <w:r>
              <w:rPr>
                <w:rFonts w:hint="eastAsia" w:ascii="宋体" w:hAnsi="宋体"/>
                <w:b/>
                <w:color w:val="auto"/>
                <w:sz w:val="22"/>
                <w:szCs w:val="22"/>
                <w:highlight w:val="none"/>
              </w:rPr>
              <w:t>灵溪镇公投大厦704室</w:t>
            </w:r>
            <w:r>
              <w:rPr>
                <w:rFonts w:hint="eastAsia" w:ascii="宋体" w:hAnsi="宋体"/>
                <w:b/>
                <w:color w:val="auto"/>
                <w:sz w:val="22"/>
                <w:highlight w:val="none"/>
              </w:rPr>
              <w:t>（</w:t>
            </w:r>
            <w:r>
              <w:rPr>
                <w:rFonts w:hint="eastAsia" w:ascii="宋体" w:hAnsi="宋体"/>
                <w:b/>
                <w:color w:val="auto"/>
                <w:sz w:val="22"/>
                <w:szCs w:val="22"/>
                <w:highlight w:val="none"/>
              </w:rPr>
              <w:t>浙江名进建设项目管理有限公司 缪女士</w:t>
            </w:r>
            <w:r>
              <w:rPr>
                <w:rFonts w:hint="eastAsia" w:ascii="宋体" w:hAnsi="宋体"/>
                <w:b/>
                <w:color w:val="auto"/>
                <w:sz w:val="22"/>
                <w:highlight w:val="none"/>
              </w:rPr>
              <w:t>收 联系电话：13587538322）或以电子邮件形式递交数据电文形式的“备份投标文件”。电子邮箱：1017874347@qq.com。。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adjustRightInd w:val="0"/>
              <w:snapToGrid w:val="0"/>
              <w:spacing w:line="360" w:lineRule="atLeast"/>
              <w:rPr>
                <w:rFonts w:ascii="宋体" w:hAnsi="宋体"/>
                <w:color w:val="auto"/>
                <w:sz w:val="22"/>
                <w:szCs w:val="22"/>
                <w:highlight w:val="none"/>
              </w:rPr>
            </w:pPr>
            <w:r>
              <w:rPr>
                <w:rFonts w:hint="eastAsia" w:ascii="宋体" w:hAnsi="宋体" w:cs="宋体"/>
                <w:color w:val="auto"/>
                <w:sz w:val="22"/>
                <w:highlight w:val="none"/>
              </w:rPr>
              <w:t>投标文件的形式</w:t>
            </w:r>
          </w:p>
        </w:tc>
        <w:tc>
          <w:tcPr>
            <w:tcW w:w="7708" w:type="dxa"/>
            <w:tcBorders>
              <w:right w:val="double" w:color="auto" w:sz="4" w:space="0"/>
            </w:tcBorders>
            <w:vAlign w:val="center"/>
          </w:tcPr>
          <w:p>
            <w:pPr>
              <w:snapToGrid w:val="0"/>
              <w:rPr>
                <w:rFonts w:ascii="宋体" w:hAnsi="宋体"/>
                <w:b/>
                <w:color w:val="auto"/>
                <w:sz w:val="22"/>
                <w:highlight w:val="none"/>
              </w:rPr>
            </w:pPr>
            <w:r>
              <w:rPr>
                <w:rFonts w:hint="eastAsia" w:ascii="宋体" w:hAnsi="宋体"/>
                <w:b/>
                <w:color w:val="auto"/>
                <w:sz w:val="22"/>
                <w:highlight w:val="none"/>
              </w:rPr>
              <w:t>电子投标文件（包括“电子加密投标文件”和“备份投标文件”，在投标文件编制完成后同时生成）；</w:t>
            </w:r>
          </w:p>
          <w:p>
            <w:pPr>
              <w:snapToGrid w:val="0"/>
              <w:rPr>
                <w:rFonts w:ascii="宋体" w:hAnsi="宋体"/>
                <w:b/>
                <w:color w:val="auto"/>
                <w:sz w:val="22"/>
                <w:highlight w:val="none"/>
              </w:rPr>
            </w:pPr>
            <w:r>
              <w:rPr>
                <w:rFonts w:hint="eastAsia" w:ascii="宋体" w:hAnsi="宋体"/>
                <w:b/>
                <w:color w:val="auto"/>
                <w:sz w:val="22"/>
                <w:highlight w:val="none"/>
              </w:rPr>
              <w:t>（1）“电子加密投标文件”是指通过“政采云电子交易客户端”完成投标文件编制后生成并加密的数据电文形式的投标文件。</w:t>
            </w:r>
          </w:p>
          <w:p>
            <w:pPr>
              <w:adjustRightInd w:val="0"/>
              <w:snapToGrid w:val="0"/>
              <w:spacing w:line="300" w:lineRule="exact"/>
              <w:rPr>
                <w:rFonts w:ascii="宋体" w:hAnsi="宋体"/>
                <w:b/>
                <w:color w:val="auto"/>
                <w:sz w:val="22"/>
                <w:szCs w:val="22"/>
                <w:highlight w:val="none"/>
              </w:rPr>
            </w:pPr>
            <w:r>
              <w:rPr>
                <w:rFonts w:hint="eastAsia" w:ascii="宋体" w:hAnsi="宋体"/>
                <w:b/>
                <w:color w:val="auto"/>
                <w:sz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823" w:type="dxa"/>
            <w:tcBorders>
              <w:lef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投标保证金</w:t>
            </w:r>
          </w:p>
        </w:tc>
        <w:tc>
          <w:tcPr>
            <w:tcW w:w="7708" w:type="dxa"/>
            <w:tcBorders>
              <w:right w:val="double" w:color="auto" w:sz="4" w:space="0"/>
            </w:tcBorders>
            <w:vAlign w:val="center"/>
          </w:tcPr>
          <w:p>
            <w:pPr>
              <w:adjustRightInd w:val="0"/>
              <w:snapToGrid w:val="0"/>
              <w:spacing w:line="320" w:lineRule="exact"/>
              <w:rPr>
                <w:rFonts w:ascii="宋体" w:hAnsi="宋体"/>
                <w:color w:val="auto"/>
                <w:sz w:val="22"/>
                <w:szCs w:val="22"/>
                <w:highlight w:val="none"/>
              </w:rPr>
            </w:pPr>
            <w:r>
              <w:rPr>
                <w:rFonts w:hint="eastAsia" w:ascii="宋体"/>
                <w:b/>
                <w:color w:val="auto"/>
                <w:sz w:val="22"/>
                <w:szCs w:val="22"/>
                <w:highlight w:val="none"/>
                <w:u w:val="single"/>
              </w:rPr>
              <w:t>按照《浙江省财政厅关于明确政府采购保证金管理工作的通知》浙财采监〔2019〕5号文件规定，投标人无需缴纳投标保证金。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823" w:type="dxa"/>
            <w:tcBorders>
              <w:left w:val="double" w:color="auto" w:sz="4" w:space="0"/>
            </w:tcBorders>
            <w:vAlign w:val="center"/>
          </w:tcPr>
          <w:p>
            <w:pPr>
              <w:adjustRightInd w:val="0"/>
              <w:snapToGrid w:val="0"/>
              <w:spacing w:line="300" w:lineRule="exact"/>
              <w:rPr>
                <w:rFonts w:ascii="宋体" w:hAnsi="宋体"/>
                <w:bCs/>
                <w:color w:val="auto"/>
                <w:sz w:val="22"/>
                <w:szCs w:val="22"/>
                <w:highlight w:val="none"/>
              </w:rPr>
            </w:pPr>
            <w:r>
              <w:rPr>
                <w:rFonts w:hint="eastAsia" w:ascii="宋体" w:hAnsi="宋体"/>
                <w:bCs/>
                <w:color w:val="auto"/>
                <w:sz w:val="22"/>
                <w:szCs w:val="22"/>
                <w:highlight w:val="none"/>
              </w:rPr>
              <w:t>投标截止与开标时间</w:t>
            </w:r>
          </w:p>
        </w:tc>
        <w:tc>
          <w:tcPr>
            <w:tcW w:w="7708" w:type="dxa"/>
            <w:tcBorders>
              <w:righ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2021年  月  日09时30分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823" w:type="dxa"/>
            <w:tcBorders>
              <w:lef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szCs w:val="22"/>
                <w:highlight w:val="none"/>
              </w:rPr>
              <w:t>投标开标地点</w:t>
            </w:r>
          </w:p>
        </w:tc>
        <w:tc>
          <w:tcPr>
            <w:tcW w:w="7708" w:type="dxa"/>
            <w:tcBorders>
              <w:right w:val="double" w:color="auto" w:sz="4" w:space="0"/>
            </w:tcBorders>
            <w:vAlign w:val="center"/>
          </w:tcPr>
          <w:p>
            <w:pPr>
              <w:adjustRightInd w:val="0"/>
              <w:snapToGrid w:val="0"/>
              <w:spacing w:line="300" w:lineRule="exact"/>
              <w:rPr>
                <w:rFonts w:ascii="宋体" w:hAnsi="宋体"/>
                <w:color w:val="auto"/>
                <w:sz w:val="22"/>
                <w:szCs w:val="22"/>
                <w:highlight w:val="none"/>
              </w:rPr>
            </w:pPr>
            <w:r>
              <w:rPr>
                <w:rFonts w:hint="eastAsia" w:ascii="宋体" w:hAnsi="宋体"/>
                <w:color w:val="auto"/>
                <w:sz w:val="22"/>
                <w:highlight w:val="none"/>
              </w:rPr>
              <w:t>1、代理机构于苍南县公共资源交易中心（苍南县灵溪镇春晖路公投大厦裙楼）进行开评标活动；2、投标人通过“政府采购云平台（www.zcygov.cn）”实行在线投标响应（在投标截止时间止，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jc w:val="center"/>
              <w:rPr>
                <w:rFonts w:ascii="宋体" w:hAnsi="宋体"/>
                <w:color w:val="auto"/>
                <w:sz w:val="22"/>
                <w:highlight w:val="none"/>
              </w:rPr>
            </w:pPr>
            <w:r>
              <w:rPr>
                <w:rFonts w:hint="eastAsia" w:ascii="宋体" w:hAnsi="宋体"/>
                <w:color w:val="auto"/>
                <w:sz w:val="22"/>
                <w:highlight w:val="none"/>
              </w:rPr>
              <w:t>质疑受理联系方式</w:t>
            </w:r>
          </w:p>
        </w:tc>
        <w:tc>
          <w:tcPr>
            <w:tcW w:w="7708" w:type="dxa"/>
            <w:tcBorders>
              <w:right w:val="double" w:color="auto" w:sz="4" w:space="0"/>
            </w:tcBorders>
            <w:vAlign w:val="center"/>
          </w:tcPr>
          <w:p>
            <w:pPr>
              <w:widowControl/>
              <w:snapToGrid w:val="0"/>
              <w:spacing w:line="320" w:lineRule="exact"/>
              <w:jc w:val="left"/>
              <w:rPr>
                <w:rFonts w:ascii="宋体" w:hAnsi="宋体"/>
                <w:color w:val="auto"/>
                <w:sz w:val="22"/>
                <w:highlight w:val="none"/>
              </w:rPr>
            </w:pPr>
            <w:r>
              <w:rPr>
                <w:rFonts w:ascii="宋体" w:hAnsi="宋体"/>
                <w:color w:val="auto"/>
                <w:sz w:val="22"/>
                <w:highlight w:val="none"/>
              </w:rPr>
              <w:t>代理机构名称：</w:t>
            </w:r>
            <w:r>
              <w:rPr>
                <w:rFonts w:hint="eastAsia" w:ascii="宋体" w:hAnsi="宋体" w:cs="宋体"/>
                <w:color w:val="auto"/>
                <w:kern w:val="0"/>
                <w:sz w:val="22"/>
                <w:highlight w:val="none"/>
              </w:rPr>
              <w:t>浙江名进建设项目管理有限公司</w:t>
            </w:r>
          </w:p>
          <w:p>
            <w:pPr>
              <w:snapToGrid w:val="0"/>
              <w:rPr>
                <w:rFonts w:ascii="宋体" w:hAnsi="宋体"/>
                <w:color w:val="auto"/>
                <w:sz w:val="22"/>
                <w:highlight w:val="none"/>
              </w:rPr>
            </w:pPr>
            <w:r>
              <w:rPr>
                <w:rFonts w:hint="eastAsia" w:ascii="宋体" w:hAnsi="宋体"/>
                <w:color w:val="auto"/>
                <w:sz w:val="22"/>
                <w:highlight w:val="none"/>
              </w:rPr>
              <w:t>地  址：灵溪镇公投大厦704室 </w:t>
            </w:r>
          </w:p>
          <w:p>
            <w:pPr>
              <w:snapToGrid w:val="0"/>
              <w:rPr>
                <w:rFonts w:ascii="宋体" w:hAnsi="宋体"/>
                <w:color w:val="auto"/>
                <w:sz w:val="22"/>
                <w:highlight w:val="none"/>
              </w:rPr>
            </w:pPr>
            <w:r>
              <w:rPr>
                <w:rFonts w:hint="eastAsia" w:ascii="宋体" w:hAnsi="宋体"/>
                <w:color w:val="auto"/>
                <w:sz w:val="22"/>
                <w:highlight w:val="none"/>
              </w:rPr>
              <w:t>联系方式：13587538322  </w:t>
            </w:r>
          </w:p>
          <w:p>
            <w:pPr>
              <w:snapToGrid w:val="0"/>
              <w:rPr>
                <w:rFonts w:ascii="宋体" w:hAnsi="宋体"/>
                <w:color w:val="auto"/>
                <w:sz w:val="22"/>
                <w:highlight w:val="none"/>
              </w:rPr>
            </w:pPr>
            <w:r>
              <w:rPr>
                <w:rFonts w:hint="eastAsia" w:ascii="宋体" w:hAnsi="宋体"/>
                <w:color w:val="auto"/>
                <w:sz w:val="22"/>
                <w:highlight w:val="none"/>
              </w:rPr>
              <w:t>项目联系人（询问）：缪女士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jc w:val="center"/>
              <w:rPr>
                <w:rFonts w:ascii="宋体" w:hAnsi="宋体"/>
                <w:color w:val="auto"/>
                <w:sz w:val="22"/>
                <w:highlight w:val="none"/>
              </w:rPr>
            </w:pPr>
            <w:r>
              <w:rPr>
                <w:rFonts w:hint="eastAsia" w:ascii="宋体" w:hAnsi="宋体"/>
                <w:color w:val="auto"/>
                <w:sz w:val="22"/>
                <w:highlight w:val="none"/>
              </w:rPr>
              <w:t>投诉受理联系方式</w:t>
            </w:r>
          </w:p>
        </w:tc>
        <w:tc>
          <w:tcPr>
            <w:tcW w:w="7708" w:type="dxa"/>
            <w:tcBorders>
              <w:right w:val="double" w:color="auto" w:sz="4" w:space="0"/>
            </w:tcBorders>
            <w:vAlign w:val="center"/>
          </w:tcPr>
          <w:p>
            <w:pPr>
              <w:widowControl/>
              <w:snapToGrid w:val="0"/>
              <w:spacing w:line="320" w:lineRule="exact"/>
              <w:jc w:val="left"/>
              <w:rPr>
                <w:rFonts w:ascii="宋体" w:hAnsi="宋体"/>
                <w:color w:val="auto"/>
                <w:sz w:val="22"/>
                <w:highlight w:val="none"/>
              </w:rPr>
            </w:pPr>
            <w:r>
              <w:rPr>
                <w:rFonts w:hint="eastAsia" w:ascii="宋体" w:hAnsi="宋体"/>
                <w:color w:val="auto"/>
                <w:sz w:val="22"/>
                <w:highlight w:val="none"/>
              </w:rPr>
              <w:t>苍南县政府采购监督管理办公室</w:t>
            </w:r>
          </w:p>
          <w:p>
            <w:pPr>
              <w:widowControl/>
              <w:snapToGrid w:val="0"/>
              <w:spacing w:line="320" w:lineRule="exact"/>
              <w:jc w:val="left"/>
              <w:rPr>
                <w:rFonts w:ascii="宋体" w:hAnsi="宋体"/>
                <w:color w:val="auto"/>
                <w:sz w:val="22"/>
                <w:highlight w:val="none"/>
              </w:rPr>
            </w:pPr>
            <w:r>
              <w:rPr>
                <w:rFonts w:hint="eastAsia" w:ascii="宋体" w:hAnsi="宋体"/>
                <w:color w:val="auto"/>
                <w:sz w:val="22"/>
                <w:highlight w:val="none"/>
              </w:rPr>
              <w:t>联系人：陈先生</w:t>
            </w:r>
          </w:p>
          <w:p>
            <w:pPr>
              <w:widowControl/>
              <w:snapToGrid w:val="0"/>
              <w:spacing w:line="320" w:lineRule="exact"/>
              <w:jc w:val="left"/>
              <w:rPr>
                <w:rFonts w:ascii="宋体" w:hAnsi="宋体"/>
                <w:color w:val="auto"/>
                <w:sz w:val="22"/>
                <w:highlight w:val="none"/>
              </w:rPr>
            </w:pPr>
            <w:r>
              <w:rPr>
                <w:rFonts w:hint="eastAsia" w:ascii="宋体" w:hAnsi="宋体"/>
                <w:color w:val="auto"/>
                <w:sz w:val="22"/>
                <w:highlight w:val="none"/>
              </w:rPr>
              <w:t>监督投诉电话：</w:t>
            </w:r>
            <w:r>
              <w:rPr>
                <w:rFonts w:ascii="宋体" w:hAnsi="宋体"/>
                <w:color w:val="auto"/>
                <w:sz w:val="22"/>
                <w:highlight w:val="none"/>
              </w:rPr>
              <w:t>0577</w:t>
            </w:r>
            <w:r>
              <w:rPr>
                <w:rFonts w:hint="eastAsia" w:ascii="宋体" w:hAnsi="宋体"/>
                <w:color w:val="auto"/>
                <w:sz w:val="22"/>
                <w:highlight w:val="none"/>
              </w:rPr>
              <w:t>-</w:t>
            </w:r>
            <w:r>
              <w:rPr>
                <w:rFonts w:ascii="宋体" w:hAnsi="宋体"/>
                <w:color w:val="auto"/>
                <w:sz w:val="22"/>
                <w:highlight w:val="none"/>
              </w:rPr>
              <w:t>59867927</w:t>
            </w:r>
          </w:p>
          <w:p>
            <w:pPr>
              <w:widowControl/>
              <w:snapToGrid w:val="0"/>
              <w:spacing w:line="320" w:lineRule="exact"/>
              <w:jc w:val="left"/>
              <w:rPr>
                <w:rFonts w:ascii="宋体" w:hAnsi="宋体"/>
                <w:color w:val="auto"/>
                <w:sz w:val="22"/>
                <w:highlight w:val="none"/>
              </w:rPr>
            </w:pPr>
            <w:r>
              <w:rPr>
                <w:rFonts w:hint="eastAsia" w:ascii="宋体" w:hAnsi="宋体"/>
                <w:color w:val="auto"/>
                <w:sz w:val="22"/>
                <w:highlight w:val="none"/>
              </w:rPr>
              <w:t>联系传真：</w:t>
            </w:r>
            <w:r>
              <w:rPr>
                <w:rFonts w:ascii="宋体" w:hAnsi="宋体"/>
                <w:color w:val="auto"/>
                <w:sz w:val="22"/>
                <w:highlight w:val="none"/>
              </w:rPr>
              <w:t>0577</w:t>
            </w:r>
            <w:r>
              <w:rPr>
                <w:rFonts w:hint="eastAsia" w:ascii="宋体" w:hAnsi="宋体"/>
                <w:color w:val="auto"/>
                <w:sz w:val="22"/>
                <w:highlight w:val="none"/>
              </w:rPr>
              <w:t>-</w:t>
            </w:r>
            <w:r>
              <w:rPr>
                <w:rFonts w:ascii="宋体" w:hAnsi="宋体"/>
                <w:color w:val="auto"/>
                <w:sz w:val="22"/>
                <w:highlight w:val="none"/>
              </w:rPr>
              <w:t>59867927</w:t>
            </w:r>
          </w:p>
          <w:p>
            <w:pPr>
              <w:widowControl/>
              <w:snapToGrid w:val="0"/>
              <w:spacing w:line="320" w:lineRule="exact"/>
              <w:jc w:val="left"/>
              <w:rPr>
                <w:color w:val="auto"/>
                <w:highlight w:val="none"/>
              </w:rPr>
            </w:pPr>
            <w:r>
              <w:rPr>
                <w:rFonts w:hint="eastAsia" w:ascii="宋体" w:hAnsi="宋体"/>
                <w:color w:val="auto"/>
                <w:sz w:val="22"/>
                <w:highlight w:val="none"/>
              </w:rPr>
              <w:t>地址：苍南县灵溪镇春晖路555号（苍南县行政审批中心对面）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adjustRightInd w:val="0"/>
              <w:snapToGrid w:val="0"/>
              <w:rPr>
                <w:rFonts w:ascii="宋体"/>
                <w:b/>
                <w:color w:val="auto"/>
                <w:sz w:val="22"/>
                <w:highlight w:val="none"/>
              </w:rPr>
            </w:pPr>
            <w:r>
              <w:rPr>
                <w:rFonts w:hint="eastAsia" w:ascii="宋体"/>
                <w:b/>
                <w:bCs/>
                <w:color w:val="auto"/>
                <w:sz w:val="22"/>
                <w:highlight w:val="none"/>
              </w:rPr>
              <w:t>信用记录甄别</w:t>
            </w:r>
          </w:p>
        </w:tc>
        <w:tc>
          <w:tcPr>
            <w:tcW w:w="7708" w:type="dxa"/>
            <w:tcBorders>
              <w:right w:val="double" w:color="auto" w:sz="4" w:space="0"/>
            </w:tcBorders>
            <w:vAlign w:val="center"/>
          </w:tcPr>
          <w:p>
            <w:pPr>
              <w:pStyle w:val="34"/>
              <w:spacing w:before="75" w:beforeAutospacing="0" w:after="75" w:afterAutospacing="0" w:line="300" w:lineRule="atLeast"/>
              <w:ind w:firstLine="442" w:firstLineChars="200"/>
              <w:rPr>
                <w:rFonts w:ascii="宋体"/>
                <w:b/>
                <w:color w:val="auto"/>
                <w:sz w:val="22"/>
                <w:highlight w:val="none"/>
              </w:rPr>
            </w:pPr>
            <w:r>
              <w:rPr>
                <w:rFonts w:hint="eastAsia" w:ascii="宋体" w:hAnsi="宋体"/>
                <w:b/>
                <w:color w:val="auto"/>
                <w:sz w:val="22"/>
                <w:szCs w:val="22"/>
                <w:highlight w:val="none"/>
              </w:rPr>
              <w:t>根据《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823" w:type="dxa"/>
            <w:tcBorders>
              <w:left w:val="double" w:color="auto" w:sz="4" w:space="0"/>
            </w:tcBorders>
            <w:vAlign w:val="center"/>
          </w:tcPr>
          <w:p>
            <w:pPr>
              <w:spacing w:line="440" w:lineRule="exact"/>
              <w:rPr>
                <w:rFonts w:ascii="宋体" w:hAnsi="宋体"/>
                <w:color w:val="auto"/>
                <w:sz w:val="22"/>
                <w:szCs w:val="22"/>
                <w:highlight w:val="none"/>
              </w:rPr>
            </w:pPr>
            <w:r>
              <w:rPr>
                <w:rFonts w:hint="eastAsia" w:ascii="宋体" w:hAnsi="宋体" w:cs="宋体"/>
                <w:bCs/>
                <w:color w:val="auto"/>
                <w:kern w:val="0"/>
                <w:szCs w:val="21"/>
                <w:highlight w:val="none"/>
              </w:rPr>
              <w:t>政策</w:t>
            </w:r>
          </w:p>
        </w:tc>
        <w:tc>
          <w:tcPr>
            <w:tcW w:w="7708" w:type="dxa"/>
            <w:tcBorders>
              <w:right w:val="double" w:color="auto" w:sz="4" w:space="0"/>
            </w:tcBorders>
            <w:vAlign w:val="center"/>
          </w:tcPr>
          <w:p>
            <w:pPr>
              <w:adjustRightInd w:val="0"/>
              <w:snapToGrid w:val="0"/>
              <w:spacing w:line="300" w:lineRule="exact"/>
              <w:rPr>
                <w:rFonts w:ascii="宋体" w:hAnsi="宋体"/>
                <w:color w:val="auto"/>
                <w:sz w:val="22"/>
                <w:highlight w:val="none"/>
              </w:rPr>
            </w:pPr>
            <w:r>
              <w:rPr>
                <w:rFonts w:hint="eastAsia" w:ascii="宋体" w:hAnsi="宋体"/>
                <w:color w:val="auto"/>
                <w:sz w:val="22"/>
                <w:highlight w:val="none"/>
              </w:rPr>
              <w:t>1、本项目对符合财政扶持政策的中小企业（小型、微型）、监狱企业、残疾人福利性单位给予价格优惠扶持，价格优惠扶持见《第二章 评分办法》。</w:t>
            </w:r>
          </w:p>
          <w:p>
            <w:pPr>
              <w:adjustRightInd w:val="0"/>
              <w:snapToGrid w:val="0"/>
              <w:spacing w:line="300" w:lineRule="exact"/>
              <w:rPr>
                <w:rFonts w:ascii="宋体" w:hAnsi="宋体"/>
                <w:color w:val="auto"/>
                <w:sz w:val="22"/>
                <w:highlight w:val="none"/>
              </w:rPr>
            </w:pPr>
            <w:r>
              <w:rPr>
                <w:rFonts w:hint="eastAsia" w:ascii="宋体" w:hAnsi="宋体"/>
                <w:color w:val="auto"/>
                <w:sz w:val="22"/>
                <w:highlight w:val="none"/>
              </w:rPr>
              <w:t>2、满足转发财政部工业和信息化部关于印发《政府采购促进中小企业发展管理办法》（财库﹝2020﹞46 号）的规定的中小企业可享受优惠扶持。</w:t>
            </w:r>
          </w:p>
          <w:p>
            <w:pPr>
              <w:adjustRightInd w:val="0"/>
              <w:snapToGrid w:val="0"/>
              <w:spacing w:line="300" w:lineRule="exact"/>
              <w:rPr>
                <w:rFonts w:ascii="宋体" w:hAnsi="宋体"/>
                <w:color w:val="auto"/>
                <w:sz w:val="22"/>
                <w:highlight w:val="none"/>
              </w:rPr>
            </w:pPr>
            <w:r>
              <w:rPr>
                <w:rFonts w:hint="eastAsia" w:ascii="宋体" w:hAnsi="宋体"/>
                <w:color w:val="auto"/>
                <w:sz w:val="22"/>
                <w:highlight w:val="none"/>
              </w:rPr>
              <w:t>满足关于政府采购支持监狱企业发展有关问题的通知（财库[2014]68号）的规定的供应商可享受优惠扶持。</w:t>
            </w:r>
          </w:p>
          <w:p>
            <w:pPr>
              <w:adjustRightInd w:val="0"/>
              <w:snapToGrid w:val="0"/>
              <w:spacing w:line="300" w:lineRule="exact"/>
              <w:rPr>
                <w:rFonts w:ascii="宋体" w:hAnsi="宋体"/>
                <w:color w:val="auto"/>
                <w:sz w:val="22"/>
                <w:highlight w:val="none"/>
              </w:rPr>
            </w:pPr>
            <w:r>
              <w:rPr>
                <w:rFonts w:hint="eastAsia" w:ascii="宋体" w:hAnsi="宋体"/>
                <w:color w:val="auto"/>
                <w:sz w:val="22"/>
                <w:highlight w:val="none"/>
              </w:rPr>
              <w:t>满足关于促进残疾人就业政府采购政策的通知（财库[2017]141号）的规定的供应商可享受优惠扶持。</w:t>
            </w:r>
          </w:p>
          <w:p>
            <w:pPr>
              <w:adjustRightInd w:val="0"/>
              <w:snapToGrid w:val="0"/>
              <w:spacing w:line="300" w:lineRule="exact"/>
              <w:rPr>
                <w:rFonts w:ascii="宋体" w:hAnsi="宋体"/>
                <w:color w:val="auto"/>
                <w:sz w:val="22"/>
                <w:highlight w:val="none"/>
              </w:rPr>
            </w:pPr>
            <w:r>
              <w:rPr>
                <w:rFonts w:hint="eastAsia" w:ascii="宋体" w:hAnsi="宋体"/>
                <w:color w:val="auto"/>
                <w:sz w:val="22"/>
                <w:highlight w:val="none"/>
              </w:rPr>
              <w:t>3、节能产品、环境标志产品的强制采购政策</w:t>
            </w:r>
          </w:p>
          <w:p>
            <w:pPr>
              <w:adjustRightInd w:val="0"/>
              <w:snapToGrid w:val="0"/>
              <w:spacing w:line="300" w:lineRule="exact"/>
              <w:rPr>
                <w:rFonts w:ascii="宋体" w:hAnsi="宋体"/>
                <w:color w:val="auto"/>
                <w:sz w:val="22"/>
                <w:highlight w:val="none"/>
              </w:rPr>
            </w:pPr>
            <w:r>
              <w:rPr>
                <w:rFonts w:hint="eastAsia" w:ascii="宋体" w:hAnsi="宋体"/>
                <w:color w:val="auto"/>
                <w:sz w:val="22"/>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w:t>
            </w:r>
          </w:p>
          <w:p>
            <w:pPr>
              <w:adjustRightInd w:val="0"/>
              <w:snapToGrid w:val="0"/>
              <w:spacing w:line="300" w:lineRule="exact"/>
              <w:rPr>
                <w:rFonts w:ascii="宋体" w:hAnsi="宋体"/>
                <w:color w:val="auto"/>
                <w:sz w:val="22"/>
                <w:highlight w:val="none"/>
              </w:rPr>
            </w:pPr>
            <w:r>
              <w:rPr>
                <w:rFonts w:hint="eastAsia" w:ascii="宋体" w:hAnsi="宋体"/>
                <w:color w:val="auto"/>
                <w:sz w:val="22"/>
                <w:highlight w:val="none"/>
              </w:rPr>
              <w:t>4、节能产品、环境标志产品的优先采购政策</w:t>
            </w:r>
          </w:p>
          <w:p>
            <w:pPr>
              <w:adjustRightInd w:val="0"/>
              <w:snapToGrid w:val="0"/>
              <w:spacing w:line="300" w:lineRule="exact"/>
              <w:rPr>
                <w:rFonts w:ascii="宋体" w:hAnsi="宋体"/>
                <w:color w:val="auto"/>
                <w:sz w:val="22"/>
                <w:szCs w:val="22"/>
                <w:highlight w:val="none"/>
              </w:rPr>
            </w:pPr>
            <w:r>
              <w:rPr>
                <w:rFonts w:hint="eastAsia" w:ascii="宋体" w:hAnsi="宋体"/>
                <w:color w:val="auto"/>
                <w:sz w:val="22"/>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6"/>
              <w:spacing w:before="0"/>
              <w:jc w:val="center"/>
              <w:rPr>
                <w:rFonts w:ascii="宋体" w:hAnsi="宋体"/>
                <w:color w:val="auto"/>
                <w:sz w:val="22"/>
                <w:highlight w:val="none"/>
              </w:rPr>
            </w:pPr>
            <w:r>
              <w:rPr>
                <w:rFonts w:hint="eastAsia" w:ascii="宋体" w:hAnsi="宋体"/>
                <w:color w:val="auto"/>
                <w:sz w:val="22"/>
                <w:highlight w:val="none"/>
              </w:rPr>
              <w:t>线上电子招标相关要求</w:t>
            </w:r>
          </w:p>
        </w:tc>
        <w:tc>
          <w:tcPr>
            <w:tcW w:w="7708" w:type="dxa"/>
            <w:tcBorders>
              <w:right w:val="double" w:color="auto" w:sz="4" w:space="0"/>
            </w:tcBorders>
            <w:vAlign w:val="center"/>
          </w:tcPr>
          <w:p>
            <w:pPr>
              <w:snapToGrid w:val="0"/>
              <w:rPr>
                <w:rFonts w:ascii="宋体" w:hAnsi="宋体"/>
                <w:color w:val="auto"/>
                <w:sz w:val="22"/>
                <w:highlight w:val="none"/>
              </w:rPr>
            </w:pPr>
            <w:r>
              <w:rPr>
                <w:rFonts w:hint="eastAsia" w:ascii="宋体" w:hAnsi="宋体"/>
                <w:b/>
                <w:color w:val="auto"/>
                <w:sz w:val="22"/>
                <w:highlight w:val="none"/>
              </w:rPr>
              <w:t>1、投标文件的编制：</w:t>
            </w:r>
            <w:r>
              <w:rPr>
                <w:rFonts w:hint="eastAsia" w:ascii="宋体" w:hAnsi="宋体"/>
                <w:color w:val="auto"/>
                <w:sz w:val="22"/>
                <w:highlight w:val="none"/>
              </w:rPr>
              <w:t>供应商应先安装“政采云电子交易客户端”，并按照本招标文件和“政府采购云平台”的要求，通过“政采云电子交易客户端”编制并加密投标文件。</w:t>
            </w:r>
          </w:p>
          <w:p>
            <w:pPr>
              <w:snapToGrid w:val="0"/>
              <w:rPr>
                <w:rFonts w:ascii="宋体" w:hAnsi="宋体"/>
                <w:color w:val="auto"/>
                <w:sz w:val="22"/>
                <w:highlight w:val="none"/>
              </w:rPr>
            </w:pPr>
            <w:r>
              <w:rPr>
                <w:rFonts w:hint="eastAsia" w:ascii="宋体" w:hAnsi="宋体"/>
                <w:b/>
                <w:color w:val="auto"/>
                <w:sz w:val="22"/>
                <w:highlight w:val="none"/>
              </w:rPr>
              <w:t>2、投标文件的签章：</w:t>
            </w:r>
            <w:r>
              <w:rPr>
                <w:rFonts w:hint="eastAsia" w:ascii="宋体" w:hAnsi="宋体"/>
                <w:color w:val="auto"/>
                <w:sz w:val="22"/>
                <w:highlight w:val="none"/>
              </w:rPr>
              <w:t>电子签章。采购文件所指的加盖单位公章为电子签章。投标响应文件须按采购文件格式要求，由供应商加盖单位公章和法定代表人或其授权代表印章（或签字）。</w:t>
            </w:r>
          </w:p>
          <w:p>
            <w:pPr>
              <w:snapToGrid w:val="0"/>
              <w:rPr>
                <w:rFonts w:ascii="宋体" w:hAnsi="宋体" w:cs="宋体"/>
                <w:b/>
                <w:bCs/>
                <w:color w:val="auto"/>
                <w:sz w:val="22"/>
                <w:highlight w:val="none"/>
              </w:rPr>
            </w:pPr>
            <w:r>
              <w:rPr>
                <w:rFonts w:hint="eastAsia" w:ascii="宋体" w:hAnsi="宋体"/>
                <w:b/>
                <w:color w:val="auto"/>
                <w:sz w:val="22"/>
                <w:highlight w:val="none"/>
              </w:rPr>
              <w:t>3、</w:t>
            </w:r>
            <w:r>
              <w:rPr>
                <w:rFonts w:hint="eastAsia" w:ascii="宋体" w:hAnsi="宋体" w:cs="宋体"/>
                <w:b/>
                <w:bCs/>
                <w:color w:val="auto"/>
                <w:sz w:val="22"/>
                <w:highlight w:val="none"/>
              </w:rPr>
              <w:t>投标文件的上传和递交：</w:t>
            </w:r>
          </w:p>
          <w:p>
            <w:pPr>
              <w:snapToGrid w:val="0"/>
              <w:rPr>
                <w:rFonts w:ascii="宋体" w:hAnsi="宋体"/>
                <w:color w:val="auto"/>
                <w:sz w:val="22"/>
                <w:highlight w:val="none"/>
              </w:rPr>
            </w:pPr>
            <w:r>
              <w:rPr>
                <w:rFonts w:hint="eastAsia" w:ascii="宋体" w:hAnsi="宋体"/>
                <w:color w:val="auto"/>
                <w:sz w:val="22"/>
                <w:highlight w:val="none"/>
              </w:rPr>
              <w:t>（1）“电子加密投标文件”的上传、递交：</w:t>
            </w:r>
          </w:p>
          <w:p>
            <w:pPr>
              <w:snapToGrid w:val="0"/>
              <w:rPr>
                <w:rFonts w:ascii="宋体" w:hAnsi="宋体"/>
                <w:color w:val="auto"/>
                <w:sz w:val="22"/>
                <w:highlight w:val="none"/>
              </w:rPr>
            </w:pPr>
            <w:r>
              <w:rPr>
                <w:rFonts w:hint="eastAsia" w:ascii="宋体" w:hAnsi="宋体"/>
                <w:color w:val="auto"/>
                <w:sz w:val="22"/>
                <w:highlight w:val="none"/>
              </w:rPr>
              <w:t>a.投标供应商应在投标截止时间前将“电子加密投标文件”成功上传递交至“政府采购云平台”，否则投标无效。</w:t>
            </w:r>
          </w:p>
          <w:p>
            <w:pPr>
              <w:snapToGrid w:val="0"/>
              <w:rPr>
                <w:rFonts w:ascii="宋体" w:hAnsi="宋体"/>
                <w:color w:val="auto"/>
                <w:sz w:val="22"/>
                <w:highlight w:val="none"/>
              </w:rPr>
            </w:pPr>
            <w:r>
              <w:rPr>
                <w:rFonts w:hint="eastAsia" w:ascii="宋体" w:hAnsi="宋体"/>
                <w:color w:val="auto"/>
                <w:sz w:val="22"/>
                <w:highlight w:val="none"/>
              </w:rPr>
              <w:t>b.“电子加密投标文件”成功上传递交后，供应商可自行打印投标文件接收回执。</w:t>
            </w:r>
          </w:p>
          <w:p>
            <w:pPr>
              <w:snapToGrid w:val="0"/>
              <w:rPr>
                <w:rFonts w:ascii="宋体" w:hAnsi="宋体"/>
                <w:color w:val="auto"/>
                <w:sz w:val="22"/>
                <w:highlight w:val="none"/>
              </w:rPr>
            </w:pPr>
            <w:r>
              <w:rPr>
                <w:rFonts w:hint="eastAsia" w:ascii="宋体" w:hAnsi="宋体"/>
                <w:color w:val="auto"/>
                <w:sz w:val="22"/>
                <w:highlight w:val="none"/>
              </w:rPr>
              <w:t>（2）“备份投标文件”的密封包装、递交：</w:t>
            </w:r>
          </w:p>
          <w:p>
            <w:pPr>
              <w:snapToGrid w:val="0"/>
              <w:rPr>
                <w:rFonts w:ascii="宋体" w:hAnsi="宋体"/>
                <w:color w:val="auto"/>
                <w:sz w:val="22"/>
                <w:highlight w:val="none"/>
              </w:rPr>
            </w:pPr>
            <w:r>
              <w:rPr>
                <w:rFonts w:hint="eastAsia" w:ascii="宋体" w:hAnsi="宋体"/>
                <w:color w:val="auto"/>
                <w:sz w:val="22"/>
                <w:highlight w:val="none"/>
              </w:rPr>
              <w:t>a.投标供应商在“政府采购云平台”完成“电子加密投标文件”的上传递交后，还可以（当面送达由代理单位签收或采用邮寄形式由代理单位签收）在投标截止时间前递交以介质（U盘）存储的 “备份投标文件”（一份）；</w:t>
            </w:r>
          </w:p>
          <w:p>
            <w:pPr>
              <w:snapToGrid w:val="0"/>
              <w:rPr>
                <w:rFonts w:ascii="宋体" w:hAnsi="宋体"/>
                <w:color w:val="auto"/>
                <w:sz w:val="22"/>
                <w:highlight w:val="none"/>
              </w:rPr>
            </w:pPr>
            <w:r>
              <w:rPr>
                <w:rFonts w:hint="eastAsia" w:ascii="宋体" w:hAnsi="宋体"/>
                <w:color w:val="auto"/>
                <w:sz w:val="22"/>
                <w:highlight w:val="none"/>
              </w:rPr>
              <w:t>b.“备份投标文件”应当密封包装，并在包装上标注投标项目名称、投标单位名称并加盖公章。没有密封包装或者逾期送达至投标地点的“备份投标文件”将不予接收；</w:t>
            </w:r>
          </w:p>
          <w:p>
            <w:pPr>
              <w:snapToGrid w:val="0"/>
              <w:rPr>
                <w:rFonts w:ascii="宋体" w:hAnsi="宋体"/>
                <w:color w:val="auto"/>
                <w:sz w:val="22"/>
                <w:highlight w:val="none"/>
              </w:rPr>
            </w:pPr>
            <w:r>
              <w:rPr>
                <w:rFonts w:hint="eastAsia" w:ascii="宋体" w:hAnsi="宋体"/>
                <w:color w:val="auto"/>
                <w:sz w:val="22"/>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47"/>
              <w:rPr>
                <w:rFonts w:hAnsi="宋体" w:cs="宋体"/>
                <w:b/>
                <w:bCs/>
                <w:color w:val="auto"/>
                <w:sz w:val="22"/>
                <w:highlight w:val="none"/>
              </w:rPr>
            </w:pPr>
            <w:r>
              <w:rPr>
                <w:rFonts w:hint="eastAsia" w:hAnsi="宋体"/>
                <w:b/>
                <w:color w:val="auto"/>
                <w:sz w:val="22"/>
                <w:highlight w:val="none"/>
              </w:rPr>
              <w:t>4、</w:t>
            </w:r>
            <w:r>
              <w:rPr>
                <w:rFonts w:hint="eastAsia" w:hAnsi="宋体" w:cs="宋体"/>
                <w:b/>
                <w:bCs/>
                <w:color w:val="auto"/>
                <w:sz w:val="22"/>
                <w:highlight w:val="none"/>
              </w:rPr>
              <w:t>电子加密投标文件的解密和异常情况处理：</w:t>
            </w:r>
          </w:p>
          <w:p>
            <w:pPr>
              <w:snapToGrid w:val="0"/>
              <w:rPr>
                <w:rFonts w:ascii="宋体" w:hAnsi="宋体"/>
                <w:color w:val="auto"/>
                <w:sz w:val="22"/>
                <w:highlight w:val="none"/>
              </w:rPr>
            </w:pPr>
            <w:r>
              <w:rPr>
                <w:rFonts w:hint="eastAsia" w:ascii="宋体" w:hAnsi="宋体"/>
                <w:color w:val="auto"/>
                <w:sz w:val="22"/>
                <w:highlight w:val="none"/>
              </w:rPr>
              <w:t>（1）开标后，采购组织机构将向各投标供应商发出“电子加密投标文件”的解密通知，各投标供应商代表应当在接到解密通知后30分钟内自行完成“电子加密投标文件”的在线解密。</w:t>
            </w:r>
          </w:p>
          <w:p>
            <w:pPr>
              <w:snapToGrid w:val="0"/>
              <w:rPr>
                <w:rFonts w:ascii="宋体" w:hAnsi="宋体"/>
                <w:color w:val="auto"/>
                <w:sz w:val="22"/>
                <w:highlight w:val="none"/>
              </w:rPr>
            </w:pPr>
            <w:r>
              <w:rPr>
                <w:rFonts w:hint="eastAsia" w:ascii="宋体" w:hAnsi="宋体"/>
                <w:color w:val="auto"/>
                <w:sz w:val="22"/>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rPr>
                <w:rFonts w:ascii="宋体"/>
                <w:color w:val="auto"/>
                <w:sz w:val="18"/>
                <w:szCs w:val="18"/>
                <w:highlight w:val="none"/>
              </w:rPr>
            </w:pPr>
            <w:r>
              <w:rPr>
                <w:rFonts w:hint="eastAsia" w:ascii="宋体" w:hAnsi="宋体"/>
                <w:color w:val="auto"/>
                <w:sz w:val="22"/>
                <w:highlight w:val="none"/>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823" w:type="dxa"/>
            <w:tcBorders>
              <w:left w:val="double" w:color="auto" w:sz="4" w:space="0"/>
              <w:bottom w:val="double" w:color="auto" w:sz="4" w:space="0"/>
            </w:tcBorders>
            <w:vAlign w:val="center"/>
          </w:tcPr>
          <w:p>
            <w:pPr>
              <w:pStyle w:val="16"/>
              <w:adjustRightInd w:val="0"/>
              <w:snapToGrid w:val="0"/>
              <w:spacing w:before="0" w:line="300" w:lineRule="exact"/>
              <w:rPr>
                <w:rFonts w:ascii="宋体" w:hAnsi="宋体" w:cs="Times New Roman"/>
                <w:color w:val="auto"/>
                <w:sz w:val="22"/>
                <w:szCs w:val="22"/>
                <w:highlight w:val="none"/>
              </w:rPr>
            </w:pPr>
            <w:r>
              <w:rPr>
                <w:rFonts w:hint="eastAsia" w:ascii="宋体" w:hAnsi="宋体" w:cs="Times New Roman"/>
                <w:color w:val="auto"/>
                <w:sz w:val="22"/>
                <w:szCs w:val="22"/>
                <w:highlight w:val="none"/>
              </w:rPr>
              <w:t>备注</w:t>
            </w:r>
          </w:p>
        </w:tc>
        <w:tc>
          <w:tcPr>
            <w:tcW w:w="7708" w:type="dxa"/>
            <w:tcBorders>
              <w:bottom w:val="double" w:color="auto" w:sz="4" w:space="0"/>
              <w:right w:val="double" w:color="auto" w:sz="4" w:space="0"/>
            </w:tcBorders>
            <w:vAlign w:val="center"/>
          </w:tcPr>
          <w:p>
            <w:pPr>
              <w:adjustRightInd w:val="0"/>
              <w:snapToGrid w:val="0"/>
              <w:spacing w:line="32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如发现招标文件及其评标办法中存在含糊不清、相互矛盾、多种含义以及歧视性不公正条款或违法违规等内容时，请在规定的招标质疑截止时间前向</w:t>
            </w:r>
            <w:r>
              <w:rPr>
                <w:rFonts w:hint="eastAsia" w:ascii="宋体" w:hAnsi="宋体"/>
                <w:b/>
                <w:color w:val="auto"/>
                <w:sz w:val="22"/>
                <w:szCs w:val="22"/>
                <w:highlight w:val="none"/>
                <w:u w:val="single"/>
              </w:rPr>
              <w:t>采购代理机构</w:t>
            </w:r>
            <w:r>
              <w:rPr>
                <w:rFonts w:hint="eastAsia" w:ascii="宋体" w:hAnsi="宋体"/>
                <w:color w:val="auto"/>
                <w:sz w:val="22"/>
                <w:szCs w:val="22"/>
                <w:highlight w:val="none"/>
              </w:rPr>
              <w:t>书面反映，逾期不得再对招标文件的条款提出质疑。招标文件解释权归采购人及招标代理公司所有。</w:t>
            </w:r>
          </w:p>
        </w:tc>
      </w:tr>
    </w:tbl>
    <w:p>
      <w:pPr>
        <w:autoSpaceDE w:val="0"/>
        <w:autoSpaceDN w:val="0"/>
        <w:spacing w:line="440" w:lineRule="atLeast"/>
        <w:jc w:val="center"/>
        <w:textAlignment w:val="bottom"/>
        <w:rPr>
          <w:rFonts w:ascii="宋体" w:hAnsi="宋体"/>
          <w:color w:val="auto"/>
          <w:sz w:val="36"/>
          <w:highlight w:val="none"/>
        </w:rPr>
      </w:pPr>
      <w:r>
        <w:rPr>
          <w:rFonts w:hint="eastAsia" w:ascii="宋体" w:hAnsi="宋体"/>
          <w:color w:val="auto"/>
          <w:sz w:val="36"/>
          <w:highlight w:val="none"/>
        </w:rPr>
        <w:br w:type="page"/>
      </w:r>
      <w:r>
        <w:rPr>
          <w:rFonts w:hint="eastAsia" w:ascii="宋体" w:hAnsi="宋体"/>
          <w:color w:val="auto"/>
          <w:sz w:val="36"/>
          <w:highlight w:val="none"/>
        </w:rPr>
        <w:t>采购文件目录</w:t>
      </w:r>
    </w:p>
    <w:p>
      <w:pPr>
        <w:autoSpaceDE w:val="0"/>
        <w:autoSpaceDN w:val="0"/>
        <w:snapToGrid w:val="0"/>
        <w:spacing w:line="440" w:lineRule="atLeast"/>
        <w:textAlignment w:val="bottom"/>
        <w:rPr>
          <w:rFonts w:ascii="宋体" w:hAnsi="宋体"/>
          <w:color w:val="auto"/>
          <w:sz w:val="28"/>
          <w:highlight w:val="none"/>
        </w:rPr>
      </w:pPr>
    </w:p>
    <w:p>
      <w:pPr>
        <w:autoSpaceDE w:val="0"/>
        <w:autoSpaceDN w:val="0"/>
        <w:snapToGrid w:val="0"/>
        <w:spacing w:line="440" w:lineRule="atLeast"/>
        <w:ind w:firstLine="325" w:firstLineChars="148"/>
        <w:textAlignment w:val="bottom"/>
        <w:rPr>
          <w:rFonts w:ascii="宋体" w:hAnsi="宋体"/>
          <w:color w:val="auto"/>
          <w:sz w:val="22"/>
          <w:szCs w:val="22"/>
          <w:highlight w:val="none"/>
        </w:rPr>
      </w:pPr>
      <w:r>
        <w:rPr>
          <w:rFonts w:hint="eastAsia" w:ascii="宋体" w:hAnsi="宋体"/>
          <w:color w:val="auto"/>
          <w:sz w:val="22"/>
          <w:szCs w:val="22"/>
          <w:highlight w:val="none"/>
        </w:rPr>
        <w:t>第一部分、项目简介</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第二部分</w:t>
      </w:r>
      <w:bookmarkStart w:id="2" w:name="OLE_LINK35"/>
      <w:r>
        <w:rPr>
          <w:rFonts w:hint="eastAsia" w:ascii="宋体" w:hAnsi="宋体"/>
          <w:color w:val="auto"/>
          <w:sz w:val="22"/>
          <w:szCs w:val="22"/>
          <w:highlight w:val="none"/>
        </w:rPr>
        <w:t>、</w:t>
      </w:r>
      <w:bookmarkEnd w:id="2"/>
      <w:r>
        <w:rPr>
          <w:rFonts w:hint="eastAsia" w:ascii="宋体" w:hAnsi="宋体"/>
          <w:color w:val="auto"/>
          <w:sz w:val="22"/>
          <w:szCs w:val="22"/>
          <w:highlight w:val="none"/>
        </w:rPr>
        <w:t>招标内容及技术要求</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第三部分、供应商须知</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一、说明</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二、供应商资格要求</w:t>
      </w:r>
    </w:p>
    <w:p>
      <w:pPr>
        <w:autoSpaceDE w:val="0"/>
        <w:autoSpaceDN w:val="0"/>
        <w:snapToGrid w:val="0"/>
        <w:spacing w:line="440" w:lineRule="atLeast"/>
        <w:ind w:firstLine="1419" w:firstLineChars="645"/>
        <w:textAlignment w:val="bottom"/>
        <w:rPr>
          <w:rFonts w:ascii="宋体" w:hAnsi="宋体"/>
          <w:color w:val="auto"/>
          <w:sz w:val="22"/>
          <w:szCs w:val="22"/>
          <w:highlight w:val="none"/>
        </w:rPr>
      </w:pPr>
      <w:r>
        <w:rPr>
          <w:rFonts w:hint="eastAsia" w:ascii="宋体" w:hAnsi="宋体"/>
          <w:color w:val="auto"/>
          <w:sz w:val="22"/>
          <w:szCs w:val="22"/>
          <w:highlight w:val="none"/>
        </w:rPr>
        <w:t>三、招标文件</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四、投标文件</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五、投标文件的递交</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六、开标和评标</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七、授予合同</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第四部分、合同格式</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第五部分、附件：投标文件格式</w:t>
      </w:r>
    </w:p>
    <w:p>
      <w:pPr>
        <w:autoSpaceDE w:val="0"/>
        <w:autoSpaceDN w:val="0"/>
        <w:snapToGrid w:val="0"/>
        <w:spacing w:line="440" w:lineRule="atLeast"/>
        <w:ind w:firstLine="440" w:firstLineChars="200"/>
        <w:textAlignment w:val="bottom"/>
        <w:rPr>
          <w:rFonts w:ascii="宋体" w:hAnsi="宋体"/>
          <w:color w:val="auto"/>
          <w:sz w:val="22"/>
          <w:szCs w:val="22"/>
          <w:highlight w:val="none"/>
        </w:rPr>
      </w:pPr>
      <w:bookmarkStart w:id="3" w:name="OLE_LINK36"/>
      <w:r>
        <w:rPr>
          <w:rFonts w:hint="eastAsia" w:ascii="宋体" w:hAnsi="宋体"/>
          <w:color w:val="auto"/>
          <w:sz w:val="22"/>
          <w:szCs w:val="22"/>
          <w:highlight w:val="none"/>
        </w:rPr>
        <w:t>第六部分</w:t>
      </w:r>
      <w:bookmarkEnd w:id="3"/>
      <w:r>
        <w:rPr>
          <w:rFonts w:hint="eastAsia" w:ascii="宋体" w:hAnsi="宋体"/>
          <w:color w:val="auto"/>
          <w:sz w:val="22"/>
          <w:szCs w:val="22"/>
          <w:highlight w:val="none"/>
        </w:rPr>
        <w:t>、评标办法</w:t>
      </w:r>
    </w:p>
    <w:p>
      <w:pPr>
        <w:autoSpaceDE w:val="0"/>
        <w:autoSpaceDN w:val="0"/>
        <w:snapToGrid w:val="0"/>
        <w:spacing w:line="440" w:lineRule="atLeast"/>
        <w:ind w:firstLine="440" w:firstLineChars="200"/>
        <w:textAlignment w:val="bottom"/>
        <w:rPr>
          <w:rFonts w:ascii="宋体" w:hAnsi="宋体"/>
          <w:color w:val="auto"/>
          <w:sz w:val="22"/>
          <w:szCs w:val="22"/>
          <w:highlight w:val="none"/>
        </w:rPr>
      </w:pPr>
    </w:p>
    <w:p>
      <w:pPr>
        <w:autoSpaceDE w:val="0"/>
        <w:autoSpaceDN w:val="0"/>
        <w:snapToGrid w:val="0"/>
        <w:spacing w:line="440" w:lineRule="atLeast"/>
        <w:textAlignment w:val="bottom"/>
        <w:rPr>
          <w:rFonts w:ascii="宋体" w:hAnsi="宋体"/>
          <w:color w:val="auto"/>
          <w:sz w:val="22"/>
          <w:szCs w:val="22"/>
          <w:highlight w:val="none"/>
        </w:rPr>
      </w:pPr>
    </w:p>
    <w:p>
      <w:pPr>
        <w:autoSpaceDE w:val="0"/>
        <w:autoSpaceDN w:val="0"/>
        <w:snapToGrid w:val="0"/>
        <w:spacing w:line="440" w:lineRule="atLeast"/>
        <w:ind w:firstLine="440" w:firstLineChars="200"/>
        <w:textAlignment w:val="bottom"/>
        <w:rPr>
          <w:rFonts w:ascii="宋体" w:hAnsi="宋体"/>
          <w:color w:val="auto"/>
          <w:sz w:val="22"/>
          <w:szCs w:val="22"/>
          <w:highlight w:val="none"/>
          <w:u w:val="single"/>
        </w:rPr>
      </w:pPr>
      <w:r>
        <w:rPr>
          <w:rFonts w:hint="eastAsia" w:ascii="宋体" w:hAnsi="宋体"/>
          <w:color w:val="auto"/>
          <w:sz w:val="22"/>
          <w:szCs w:val="22"/>
          <w:highlight w:val="none"/>
          <w:u w:val="single"/>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snapToGrid w:val="0"/>
        <w:spacing w:line="440" w:lineRule="atLeast"/>
        <w:ind w:firstLine="1665"/>
        <w:textAlignment w:val="bottom"/>
        <w:rPr>
          <w:rFonts w:ascii="宋体" w:hAnsi="宋体"/>
          <w:color w:val="auto"/>
          <w:sz w:val="22"/>
          <w:szCs w:val="22"/>
          <w:highlight w:val="none"/>
        </w:rPr>
      </w:pPr>
    </w:p>
    <w:p>
      <w:pPr>
        <w:autoSpaceDE w:val="0"/>
        <w:autoSpaceDN w:val="0"/>
        <w:adjustRightInd w:val="0"/>
        <w:snapToGrid w:val="0"/>
        <w:spacing w:line="460" w:lineRule="exact"/>
        <w:jc w:val="center"/>
        <w:textAlignment w:val="bottom"/>
        <w:rPr>
          <w:rFonts w:ascii="宋体" w:hAnsi="宋体"/>
          <w:b/>
          <w:color w:val="auto"/>
          <w:sz w:val="36"/>
          <w:highlight w:val="none"/>
        </w:rPr>
      </w:pPr>
      <w:r>
        <w:rPr>
          <w:rFonts w:ascii="宋体" w:hAnsi="宋体"/>
          <w:b/>
          <w:color w:val="auto"/>
          <w:sz w:val="36"/>
          <w:highlight w:val="none"/>
        </w:rPr>
        <w:br w:type="page"/>
      </w:r>
      <w:r>
        <w:rPr>
          <w:rFonts w:hint="eastAsia" w:ascii="宋体" w:hAnsi="宋体"/>
          <w:b/>
          <w:color w:val="auto"/>
          <w:sz w:val="36"/>
          <w:highlight w:val="none"/>
        </w:rPr>
        <w:t>第一部分   项目简介</w:t>
      </w:r>
    </w:p>
    <w:p>
      <w:pPr>
        <w:pStyle w:val="30"/>
        <w:adjustRightInd w:val="0"/>
        <w:snapToGrid w:val="0"/>
        <w:spacing w:line="360" w:lineRule="auto"/>
        <w:ind w:firstLine="0" w:firstLineChars="0"/>
        <w:outlineLvl w:val="0"/>
        <w:rPr>
          <w:rFonts w:ascii="宋体" w:hAnsi="宋体"/>
          <w:b/>
          <w:color w:val="auto"/>
          <w:sz w:val="22"/>
          <w:szCs w:val="22"/>
          <w:highlight w:val="none"/>
        </w:rPr>
      </w:pPr>
      <w:r>
        <w:rPr>
          <w:rFonts w:hint="eastAsia" w:ascii="宋体" w:hAnsi="宋体"/>
          <w:b/>
          <w:color w:val="auto"/>
          <w:sz w:val="22"/>
          <w:szCs w:val="22"/>
          <w:highlight w:val="none"/>
        </w:rPr>
        <w:t>一、项目简介</w:t>
      </w:r>
    </w:p>
    <w:p>
      <w:pPr>
        <w:snapToGrid w:val="0"/>
        <w:spacing w:line="360" w:lineRule="auto"/>
        <w:ind w:firstLine="541" w:firstLineChars="246"/>
        <w:rPr>
          <w:rFonts w:ascii="宋体" w:hAnsi="宋体"/>
          <w:color w:val="auto"/>
          <w:sz w:val="22"/>
          <w:szCs w:val="22"/>
          <w:highlight w:val="none"/>
        </w:rPr>
      </w:pPr>
      <w:r>
        <w:rPr>
          <w:rFonts w:hint="eastAsia" w:ascii="宋体" w:hAnsi="宋体"/>
          <w:color w:val="auto"/>
          <w:sz w:val="22"/>
          <w:szCs w:val="22"/>
          <w:highlight w:val="none"/>
        </w:rPr>
        <w:t>浙江名进建设项目管理有限公司受苍南县人民医院委托</w:t>
      </w:r>
      <w:r>
        <w:rPr>
          <w:rFonts w:hint="eastAsia" w:ascii="宋体" w:hAnsi="宋体"/>
          <w:bCs/>
          <w:color w:val="auto"/>
          <w:sz w:val="22"/>
          <w:szCs w:val="22"/>
          <w:highlight w:val="none"/>
        </w:rPr>
        <w:t>，</w:t>
      </w:r>
      <w:r>
        <w:rPr>
          <w:rFonts w:hint="eastAsia" w:ascii="宋体" w:hAnsi="宋体"/>
          <w:color w:val="auto"/>
          <w:sz w:val="22"/>
          <w:szCs w:val="22"/>
          <w:highlight w:val="none"/>
        </w:rPr>
        <w:t>对</w:t>
      </w:r>
      <w:r>
        <w:rPr>
          <w:rFonts w:hint="eastAsia" w:ascii="宋体" w:hAnsi="宋体"/>
          <w:b/>
          <w:color w:val="auto"/>
          <w:sz w:val="22"/>
          <w:szCs w:val="22"/>
          <w:highlight w:val="none"/>
        </w:rPr>
        <w:t>苍南县人民医院布品租赁及洗涤服务项目</w:t>
      </w:r>
      <w:r>
        <w:rPr>
          <w:rFonts w:hint="eastAsia" w:ascii="宋体" w:hAnsi="宋体"/>
          <w:color w:val="auto"/>
          <w:sz w:val="22"/>
          <w:szCs w:val="22"/>
          <w:highlight w:val="none"/>
        </w:rPr>
        <w:t>进行公开招标采购，本次招标的资金已经落实。欢迎有资格及能力的供应商参与投标。</w:t>
      </w:r>
    </w:p>
    <w:p>
      <w:pPr>
        <w:pStyle w:val="35"/>
        <w:spacing w:line="360" w:lineRule="auto"/>
        <w:rPr>
          <w:b/>
          <w:color w:val="auto"/>
          <w:highlight w:val="none"/>
        </w:rPr>
      </w:pPr>
      <w:bookmarkStart w:id="4" w:name="_Toc462304127"/>
      <w:r>
        <w:rPr>
          <w:rFonts w:hint="eastAsia"/>
          <w:b/>
          <w:color w:val="auto"/>
          <w:highlight w:val="none"/>
        </w:rPr>
        <w:t>第二部分 招标内容及要求</w:t>
      </w:r>
      <w:bookmarkEnd w:id="4"/>
    </w:p>
    <w:p>
      <w:pPr>
        <w:spacing w:line="360" w:lineRule="auto"/>
        <w:rPr>
          <w:rFonts w:ascii="宋体" w:hAnsi="宋体" w:cs="宋体"/>
          <w:b/>
          <w:color w:val="auto"/>
          <w:kern w:val="0"/>
          <w:sz w:val="24"/>
          <w:highlight w:val="none"/>
        </w:rPr>
      </w:pPr>
      <w:r>
        <w:rPr>
          <w:rFonts w:hint="eastAsia" w:ascii="宋体" w:hAnsi="宋体" w:cs="宋体"/>
          <w:b/>
          <w:color w:val="auto"/>
          <w:kern w:val="0"/>
          <w:sz w:val="24"/>
          <w:highlight w:val="none"/>
        </w:rPr>
        <w:t>一、总则</w:t>
      </w:r>
    </w:p>
    <w:p>
      <w:pPr>
        <w:spacing w:line="360" w:lineRule="auto"/>
        <w:ind w:firstLine="440" w:firstLineChars="200"/>
        <w:rPr>
          <w:rFonts w:ascii="宋体" w:cs="宋体"/>
          <w:bCs/>
          <w:color w:val="auto"/>
          <w:kern w:val="0"/>
          <w:sz w:val="22"/>
          <w:szCs w:val="22"/>
          <w:highlight w:val="none"/>
        </w:rPr>
      </w:pPr>
      <w:r>
        <w:rPr>
          <w:rFonts w:hint="eastAsia" w:ascii="宋体" w:cs="宋体"/>
          <w:bCs/>
          <w:color w:val="auto"/>
          <w:kern w:val="0"/>
          <w:sz w:val="22"/>
          <w:szCs w:val="22"/>
          <w:highlight w:val="none"/>
        </w:rPr>
        <w:t>1.1 供应商一旦参与本次采购活动，即被视为接受了本招标文件的所有内容，如有任何异议，均需在答疑截止时间前以书面形式提出。</w:t>
      </w:r>
    </w:p>
    <w:p>
      <w:pPr>
        <w:spacing w:line="360" w:lineRule="auto"/>
        <w:ind w:firstLine="440" w:firstLineChars="200"/>
        <w:rPr>
          <w:rFonts w:ascii="宋体" w:cs="宋体"/>
          <w:bCs/>
          <w:color w:val="auto"/>
          <w:kern w:val="0"/>
          <w:sz w:val="22"/>
          <w:szCs w:val="22"/>
          <w:highlight w:val="none"/>
        </w:rPr>
      </w:pPr>
      <w:r>
        <w:rPr>
          <w:rFonts w:hint="eastAsia" w:ascii="宋体" w:cs="宋体"/>
          <w:bCs/>
          <w:color w:val="auto"/>
          <w:kern w:val="0"/>
          <w:sz w:val="22"/>
          <w:szCs w:val="22"/>
          <w:highlight w:val="none"/>
        </w:rPr>
        <w:t>1.2 供应商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pacing w:line="360" w:lineRule="auto"/>
        <w:ind w:firstLine="440" w:firstLineChars="200"/>
        <w:rPr>
          <w:rFonts w:ascii="宋体" w:cs="宋体"/>
          <w:bCs/>
          <w:color w:val="auto"/>
          <w:kern w:val="0"/>
          <w:sz w:val="22"/>
          <w:szCs w:val="22"/>
          <w:highlight w:val="none"/>
        </w:rPr>
      </w:pPr>
      <w:r>
        <w:rPr>
          <w:rFonts w:hint="eastAsia" w:ascii="宋体" w:cs="宋体"/>
          <w:bCs/>
          <w:color w:val="auto"/>
          <w:kern w:val="0"/>
          <w:sz w:val="22"/>
          <w:szCs w:val="22"/>
          <w:highlight w:val="none"/>
        </w:rPr>
        <w:t>1.3 投标人必须对所投所有服务进行报价，否则按无效投标处理；</w:t>
      </w:r>
    </w:p>
    <w:p>
      <w:pPr>
        <w:spacing w:line="360" w:lineRule="auto"/>
        <w:ind w:firstLine="440" w:firstLineChars="200"/>
        <w:rPr>
          <w:rFonts w:ascii="宋体" w:cs="宋体"/>
          <w:bCs/>
          <w:color w:val="auto"/>
          <w:kern w:val="0"/>
          <w:sz w:val="22"/>
          <w:szCs w:val="22"/>
          <w:highlight w:val="none"/>
        </w:rPr>
      </w:pPr>
      <w:r>
        <w:rPr>
          <w:rFonts w:hint="eastAsia" w:ascii="宋体" w:cs="宋体"/>
          <w:bCs/>
          <w:color w:val="auto"/>
          <w:kern w:val="0"/>
          <w:sz w:val="22"/>
          <w:szCs w:val="22"/>
          <w:highlight w:val="none"/>
        </w:rPr>
        <w:t>1.4 本技术规范要求提出的是最低限度的基本技术要求，并未对所有技术细节作出规定，投标人应提供符合本技术要求和国家标准、行业标准的优质产品。</w:t>
      </w:r>
    </w:p>
    <w:p>
      <w:pPr>
        <w:spacing w:line="360" w:lineRule="auto"/>
        <w:ind w:firstLine="440" w:firstLineChars="200"/>
        <w:rPr>
          <w:rFonts w:ascii="宋体" w:cs="宋体"/>
          <w:bCs/>
          <w:color w:val="auto"/>
          <w:kern w:val="0"/>
          <w:sz w:val="22"/>
          <w:szCs w:val="22"/>
          <w:highlight w:val="none"/>
        </w:rPr>
      </w:pPr>
      <w:r>
        <w:rPr>
          <w:rFonts w:hint="eastAsia" w:ascii="宋体" w:cs="宋体"/>
          <w:bCs/>
          <w:color w:val="auto"/>
          <w:kern w:val="0"/>
          <w:sz w:val="22"/>
          <w:szCs w:val="22"/>
          <w:highlight w:val="none"/>
        </w:rPr>
        <w:t>1.5 投标人产品与本技术要求不一致时，投标人应在投标</w:t>
      </w:r>
      <w:r>
        <w:rPr>
          <w:rFonts w:hint="eastAsia" w:ascii="宋体" w:hAnsi="宋体" w:cs="宋体"/>
          <w:color w:val="auto"/>
          <w:sz w:val="22"/>
          <w:szCs w:val="22"/>
          <w:highlight w:val="none"/>
          <w:lang w:val="zh-CN"/>
        </w:rPr>
        <w:t>响应</w:t>
      </w:r>
      <w:r>
        <w:rPr>
          <w:rFonts w:hint="eastAsia" w:ascii="宋体" w:cs="宋体"/>
          <w:bCs/>
          <w:color w:val="auto"/>
          <w:kern w:val="0"/>
          <w:sz w:val="22"/>
          <w:szCs w:val="22"/>
          <w:highlight w:val="none"/>
        </w:rPr>
        <w:t>文件中予以说明，并由评标小组鉴定投标人产品能否达到要求。如投标人没有在投标</w:t>
      </w:r>
      <w:r>
        <w:rPr>
          <w:rFonts w:hint="eastAsia" w:ascii="宋体" w:hAnsi="宋体" w:cs="宋体"/>
          <w:color w:val="auto"/>
          <w:sz w:val="22"/>
          <w:szCs w:val="22"/>
          <w:highlight w:val="none"/>
          <w:lang w:val="zh-CN"/>
        </w:rPr>
        <w:t>响应</w:t>
      </w:r>
      <w:r>
        <w:rPr>
          <w:rFonts w:hint="eastAsia" w:ascii="宋体" w:cs="宋体"/>
          <w:bCs/>
          <w:color w:val="auto"/>
          <w:kern w:val="0"/>
          <w:sz w:val="22"/>
          <w:szCs w:val="22"/>
          <w:highlight w:val="none"/>
        </w:rPr>
        <w:t>文件中提出异议，则视为投标人提供的产品完全按照本采购文件要求。</w:t>
      </w:r>
    </w:p>
    <w:p>
      <w:pPr>
        <w:spacing w:line="360" w:lineRule="auto"/>
        <w:ind w:firstLine="440" w:firstLineChars="200"/>
        <w:rPr>
          <w:rFonts w:ascii="宋体" w:cs="宋体"/>
          <w:bCs/>
          <w:color w:val="auto"/>
          <w:kern w:val="0"/>
          <w:sz w:val="22"/>
          <w:szCs w:val="22"/>
          <w:highlight w:val="none"/>
        </w:rPr>
      </w:pPr>
      <w:r>
        <w:rPr>
          <w:rFonts w:hint="eastAsia" w:ascii="宋体" w:cs="宋体"/>
          <w:bCs/>
          <w:color w:val="auto"/>
          <w:kern w:val="0"/>
          <w:sz w:val="22"/>
          <w:szCs w:val="22"/>
          <w:highlight w:val="none"/>
        </w:rPr>
        <w:t>1.6 本采购文件中涉及的金额均以人民币为单位计算。</w:t>
      </w:r>
    </w:p>
    <w:p>
      <w:pPr>
        <w:spacing w:line="360" w:lineRule="auto"/>
        <w:rPr>
          <w:rFonts w:ascii="宋体" w:hAnsi="宋体" w:cs="宋体"/>
          <w:b/>
          <w:color w:val="auto"/>
          <w:kern w:val="0"/>
          <w:sz w:val="24"/>
          <w:highlight w:val="none"/>
        </w:rPr>
      </w:pPr>
      <w:r>
        <w:rPr>
          <w:rFonts w:hint="eastAsia" w:ascii="宋体" w:hAnsi="宋体" w:cs="宋体"/>
          <w:b/>
          <w:color w:val="auto"/>
          <w:kern w:val="0"/>
          <w:sz w:val="24"/>
          <w:highlight w:val="none"/>
        </w:rPr>
        <w:t>二、</w:t>
      </w:r>
      <w:bookmarkStart w:id="5" w:name="_Toc37661861"/>
      <w:bookmarkStart w:id="6" w:name="_Toc37942371"/>
      <w:r>
        <w:rPr>
          <w:rFonts w:hint="eastAsia" w:ascii="宋体" w:hAnsi="宋体" w:cs="宋体"/>
          <w:b/>
          <w:color w:val="auto"/>
          <w:kern w:val="0"/>
          <w:sz w:val="24"/>
          <w:highlight w:val="none"/>
        </w:rPr>
        <w:t>具体技术要求及内容</w:t>
      </w:r>
    </w:p>
    <w:bookmarkEnd w:id="5"/>
    <w:bookmarkEnd w:id="6"/>
    <w:p>
      <w:pPr>
        <w:spacing w:line="360" w:lineRule="auto"/>
        <w:ind w:firstLine="440" w:firstLineChars="200"/>
        <w:rPr>
          <w:rFonts w:ascii="宋体" w:cs="宋体"/>
          <w:bCs/>
          <w:color w:val="auto"/>
          <w:kern w:val="0"/>
          <w:sz w:val="22"/>
          <w:szCs w:val="22"/>
          <w:highlight w:val="none"/>
        </w:rPr>
      </w:pPr>
      <w:r>
        <w:rPr>
          <w:rFonts w:hint="eastAsia" w:ascii="宋体" w:cs="宋体"/>
          <w:bCs/>
          <w:color w:val="auto"/>
          <w:kern w:val="0"/>
          <w:sz w:val="22"/>
          <w:szCs w:val="22"/>
          <w:highlight w:val="none"/>
        </w:rPr>
        <w:t>1. 租赁布品包括：所有医务人员工作服、值班布服、病人衣布服（包括感染性病人衣布服、VIP产科）、部分特殊科室服务人员（如膳食科人员）的工作服、怀孕医务人员所需的工作服、手术室医用织物、供应室医用织物、急诊医用织物、ICU医用织物、EICU医用织物、血透医用织物、被芯、枕芯、床罩、洁衣污衣袋等所有医院需要的织物。</w:t>
      </w:r>
    </w:p>
    <w:p>
      <w:pPr>
        <w:spacing w:line="360" w:lineRule="auto"/>
        <w:ind w:firstLine="440" w:firstLineChars="200"/>
        <w:rPr>
          <w:rFonts w:ascii="宋体" w:cs="宋体"/>
          <w:bCs/>
          <w:color w:val="auto"/>
          <w:kern w:val="0"/>
          <w:sz w:val="22"/>
          <w:szCs w:val="22"/>
          <w:highlight w:val="none"/>
        </w:rPr>
      </w:pPr>
      <w:r>
        <w:rPr>
          <w:rFonts w:hint="eastAsia" w:ascii="宋体" w:cs="宋体"/>
          <w:bCs/>
          <w:color w:val="auto"/>
          <w:kern w:val="0"/>
          <w:sz w:val="22"/>
          <w:szCs w:val="22"/>
          <w:highlight w:val="none"/>
        </w:rPr>
        <w:t>2.服务内容：</w:t>
      </w:r>
    </w:p>
    <w:p>
      <w:pPr>
        <w:spacing w:line="360" w:lineRule="auto"/>
        <w:ind w:firstLine="440" w:firstLineChars="200"/>
        <w:rPr>
          <w:rFonts w:ascii="宋体" w:cs="宋体"/>
          <w:bCs/>
          <w:color w:val="auto"/>
          <w:kern w:val="0"/>
          <w:sz w:val="22"/>
          <w:szCs w:val="22"/>
          <w:highlight w:val="none"/>
        </w:rPr>
      </w:pPr>
      <w:r>
        <w:rPr>
          <w:rFonts w:hint="eastAsia" w:ascii="宋体" w:cs="宋体"/>
          <w:bCs/>
          <w:color w:val="auto"/>
          <w:kern w:val="0"/>
          <w:sz w:val="22"/>
          <w:szCs w:val="22"/>
          <w:highlight w:val="none"/>
        </w:rPr>
        <w:t>2.1供应采购方各科室所需之织物。</w:t>
      </w:r>
    </w:p>
    <w:p>
      <w:pPr>
        <w:spacing w:line="360" w:lineRule="auto"/>
        <w:ind w:firstLine="440" w:firstLineChars="200"/>
        <w:rPr>
          <w:rFonts w:hint="eastAsia" w:ascii="宋体" w:cs="宋体"/>
          <w:bCs/>
          <w:color w:val="auto"/>
          <w:kern w:val="0"/>
          <w:sz w:val="22"/>
          <w:szCs w:val="22"/>
          <w:highlight w:val="none"/>
        </w:rPr>
      </w:pPr>
      <w:r>
        <w:rPr>
          <w:rFonts w:hint="eastAsia" w:ascii="宋体" w:cs="宋体"/>
          <w:bCs/>
          <w:color w:val="auto"/>
          <w:kern w:val="0"/>
          <w:sz w:val="22"/>
          <w:szCs w:val="22"/>
          <w:highlight w:val="none"/>
        </w:rPr>
        <w:t>2.2医用织物洗涤及采购人自备的帽子、毛衣、志愿者工作服、羽绒服、窗帘、床帘、毛毯、静配中心连体防静电防水服等的洗涤（提供收送、清洗、烘干、折叠、缝补一贯式作业的后勤服务）。</w:t>
      </w:r>
    </w:p>
    <w:p>
      <w:pPr>
        <w:spacing w:line="360" w:lineRule="auto"/>
        <w:ind w:firstLine="440" w:firstLineChars="200"/>
        <w:rPr>
          <w:rFonts w:hint="default" w:ascii="宋体" w:eastAsia="宋体" w:cs="宋体"/>
          <w:bCs/>
          <w:color w:val="auto"/>
          <w:kern w:val="0"/>
          <w:sz w:val="22"/>
          <w:szCs w:val="22"/>
          <w:highlight w:val="none"/>
          <w:lang w:val="en-US" w:eastAsia="zh-CN"/>
        </w:rPr>
      </w:pPr>
      <w:r>
        <w:rPr>
          <w:rFonts w:hint="eastAsia" w:ascii="宋体" w:cs="宋体"/>
          <w:bCs/>
          <w:color w:val="auto"/>
          <w:kern w:val="0"/>
          <w:sz w:val="22"/>
          <w:szCs w:val="22"/>
          <w:highlight w:val="none"/>
          <w:lang w:val="en-US" w:eastAsia="zh-CN"/>
        </w:rPr>
        <w:t>2.3其中导医布服、</w:t>
      </w:r>
      <w:r>
        <w:rPr>
          <w:rFonts w:hint="eastAsia" w:ascii="宋体" w:cs="宋体"/>
          <w:bCs/>
          <w:color w:val="auto"/>
          <w:kern w:val="0"/>
          <w:sz w:val="22"/>
          <w:szCs w:val="22"/>
          <w:highlight w:val="none"/>
        </w:rPr>
        <w:t>收费人员</w:t>
      </w:r>
      <w:r>
        <w:rPr>
          <w:rFonts w:hint="eastAsia" w:ascii="宋体" w:cs="宋体"/>
          <w:bCs/>
          <w:color w:val="auto"/>
          <w:kern w:val="0"/>
          <w:sz w:val="22"/>
          <w:szCs w:val="22"/>
          <w:highlight w:val="none"/>
          <w:lang w:val="en-US" w:eastAsia="zh-CN"/>
        </w:rPr>
        <w:t>布服按采购人需求按时足量提供，费用均已包含在投标报价中，采购人不再另行支付导医布服、</w:t>
      </w:r>
      <w:r>
        <w:rPr>
          <w:rFonts w:hint="eastAsia" w:ascii="宋体" w:cs="宋体"/>
          <w:bCs/>
          <w:color w:val="auto"/>
          <w:kern w:val="0"/>
          <w:sz w:val="22"/>
          <w:szCs w:val="22"/>
          <w:highlight w:val="none"/>
        </w:rPr>
        <w:t>收费人员</w:t>
      </w:r>
      <w:r>
        <w:rPr>
          <w:rFonts w:hint="eastAsia" w:ascii="宋体" w:cs="宋体"/>
          <w:bCs/>
          <w:color w:val="auto"/>
          <w:kern w:val="0"/>
          <w:sz w:val="22"/>
          <w:szCs w:val="22"/>
          <w:highlight w:val="none"/>
          <w:lang w:val="en-US" w:eastAsia="zh-CN"/>
        </w:rPr>
        <w:t>布服费用。</w:t>
      </w:r>
    </w:p>
    <w:p>
      <w:pPr>
        <w:spacing w:line="360" w:lineRule="auto"/>
        <w:ind w:firstLine="440" w:firstLineChars="200"/>
        <w:rPr>
          <w:rFonts w:ascii="宋体" w:cs="宋体"/>
          <w:bCs/>
          <w:color w:val="auto"/>
          <w:kern w:val="0"/>
          <w:sz w:val="22"/>
          <w:szCs w:val="22"/>
          <w:highlight w:val="none"/>
        </w:rPr>
      </w:pPr>
      <w:r>
        <w:rPr>
          <w:rFonts w:hint="eastAsia" w:ascii="宋体" w:cs="宋体"/>
          <w:bCs/>
          <w:color w:val="auto"/>
          <w:kern w:val="0"/>
          <w:sz w:val="22"/>
          <w:szCs w:val="22"/>
          <w:highlight w:val="none"/>
        </w:rPr>
        <w:t>3.医用织物洗涤投标人按招标暂定床位数进行报价，结算时</w:t>
      </w:r>
      <w:r>
        <w:rPr>
          <w:rFonts w:hint="eastAsia" w:ascii="宋体" w:cs="宋体"/>
          <w:bCs/>
          <w:color w:val="auto"/>
          <w:kern w:val="0"/>
          <w:sz w:val="22"/>
          <w:szCs w:val="22"/>
          <w:highlight w:val="none"/>
          <w:lang w:val="en-US" w:eastAsia="zh-CN"/>
        </w:rPr>
        <w:t>床位数量</w:t>
      </w:r>
      <w:r>
        <w:rPr>
          <w:rFonts w:hint="eastAsia" w:ascii="宋体" w:cs="宋体"/>
          <w:bCs/>
          <w:color w:val="auto"/>
          <w:kern w:val="0"/>
          <w:sz w:val="22"/>
          <w:szCs w:val="22"/>
          <w:highlight w:val="none"/>
        </w:rPr>
        <w:t>按实际</w:t>
      </w:r>
      <w:r>
        <w:rPr>
          <w:rFonts w:hint="eastAsia" w:ascii="宋体" w:cs="宋体"/>
          <w:bCs/>
          <w:color w:val="auto"/>
          <w:kern w:val="0"/>
          <w:sz w:val="22"/>
          <w:szCs w:val="22"/>
          <w:highlight w:val="none"/>
          <w:lang w:val="en-US" w:eastAsia="zh-CN"/>
        </w:rPr>
        <w:t>使用</w:t>
      </w:r>
      <w:r>
        <w:rPr>
          <w:rFonts w:hint="eastAsia" w:ascii="宋体" w:cs="宋体"/>
          <w:bCs/>
          <w:color w:val="auto"/>
          <w:kern w:val="0"/>
          <w:sz w:val="22"/>
          <w:szCs w:val="22"/>
          <w:highlight w:val="none"/>
        </w:rPr>
        <w:t>床位数+血透室床位数量（50床）+值班室床位数量（25床）进行结算。</w:t>
      </w:r>
    </w:p>
    <w:p>
      <w:pPr>
        <w:spacing w:line="360" w:lineRule="auto"/>
        <w:ind w:firstLine="440" w:firstLineChars="200"/>
        <w:rPr>
          <w:rFonts w:ascii="宋体" w:cs="宋体"/>
          <w:bCs/>
          <w:color w:val="auto"/>
          <w:kern w:val="0"/>
          <w:sz w:val="22"/>
          <w:szCs w:val="22"/>
          <w:highlight w:val="none"/>
        </w:rPr>
      </w:pPr>
      <w:r>
        <w:rPr>
          <w:rFonts w:hint="eastAsia" w:ascii="宋体" w:cs="宋体"/>
          <w:bCs/>
          <w:color w:val="auto"/>
          <w:kern w:val="0"/>
          <w:sz w:val="22"/>
          <w:szCs w:val="22"/>
          <w:highlight w:val="none"/>
        </w:rPr>
        <w:t>4.医用织物洗涤需根据采购方规定的时间，将待洗物品按规范流程从采购方洗衣房收取，并将洗净物品送回至采购方（本院洗衣房）。</w:t>
      </w:r>
    </w:p>
    <w:p>
      <w:pPr>
        <w:spacing w:line="360" w:lineRule="auto"/>
        <w:ind w:firstLine="440" w:firstLineChars="200"/>
        <w:rPr>
          <w:rFonts w:ascii="宋体" w:cs="宋体"/>
          <w:bCs/>
          <w:color w:val="auto"/>
          <w:kern w:val="0"/>
          <w:sz w:val="22"/>
          <w:szCs w:val="22"/>
          <w:highlight w:val="none"/>
        </w:rPr>
      </w:pPr>
      <w:r>
        <w:rPr>
          <w:rFonts w:hint="eastAsia" w:ascii="宋体" w:cs="宋体"/>
          <w:bCs/>
          <w:color w:val="auto"/>
          <w:kern w:val="0"/>
          <w:sz w:val="22"/>
          <w:szCs w:val="22"/>
          <w:highlight w:val="none"/>
        </w:rPr>
        <w:t>5. 积极配合医院的三级医院评审等各项检查。</w:t>
      </w:r>
    </w:p>
    <w:p>
      <w:pPr>
        <w:spacing w:line="360" w:lineRule="auto"/>
        <w:ind w:firstLine="440" w:firstLineChars="200"/>
        <w:rPr>
          <w:rFonts w:hint="eastAsia" w:ascii="宋体" w:cs="宋体"/>
          <w:bCs/>
          <w:color w:val="auto"/>
          <w:kern w:val="0"/>
          <w:sz w:val="22"/>
          <w:szCs w:val="22"/>
          <w:highlight w:val="none"/>
        </w:rPr>
      </w:pPr>
      <w:r>
        <w:rPr>
          <w:rFonts w:hint="eastAsia" w:ascii="宋体" w:cs="宋体"/>
          <w:bCs/>
          <w:color w:val="auto"/>
          <w:kern w:val="0"/>
          <w:sz w:val="22"/>
          <w:szCs w:val="22"/>
          <w:highlight w:val="none"/>
        </w:rPr>
        <w:t>6.中标单位，签订合同后，需三个月内完成全院所有布品更新（按照中标人选择的布品品名，质量、厂家、样式更新），若三个月未能更新到位，扣除三个月布品租赁服务费的20%做为处罚。</w:t>
      </w:r>
    </w:p>
    <w:p>
      <w:pPr>
        <w:spacing w:line="360" w:lineRule="auto"/>
        <w:ind w:firstLine="440" w:firstLineChars="200"/>
        <w:rPr>
          <w:rFonts w:ascii="宋体" w:cs="宋体"/>
          <w:bCs/>
          <w:color w:val="auto"/>
          <w:kern w:val="0"/>
          <w:sz w:val="22"/>
          <w:szCs w:val="22"/>
          <w:highlight w:val="none"/>
        </w:rPr>
      </w:pPr>
      <w:r>
        <w:rPr>
          <w:rFonts w:hint="eastAsia" w:ascii="宋体" w:cs="宋体"/>
          <w:bCs/>
          <w:color w:val="auto"/>
          <w:kern w:val="0"/>
          <w:sz w:val="22"/>
          <w:szCs w:val="22"/>
          <w:highlight w:val="none"/>
        </w:rPr>
        <w:t>7.报价及结算方式</w:t>
      </w:r>
    </w:p>
    <w:tbl>
      <w:tblPr>
        <w:tblStyle w:val="38"/>
        <w:tblW w:w="9971" w:type="dxa"/>
        <w:jc w:val="center"/>
        <w:tblLayout w:type="fixed"/>
        <w:tblCellMar>
          <w:top w:w="0" w:type="dxa"/>
          <w:left w:w="108" w:type="dxa"/>
          <w:bottom w:w="0" w:type="dxa"/>
          <w:right w:w="108" w:type="dxa"/>
        </w:tblCellMar>
      </w:tblPr>
      <w:tblGrid>
        <w:gridCol w:w="800"/>
        <w:gridCol w:w="2810"/>
        <w:gridCol w:w="3278"/>
        <w:gridCol w:w="3083"/>
      </w:tblGrid>
      <w:tr>
        <w:tblPrEx>
          <w:tblCellMar>
            <w:top w:w="0" w:type="dxa"/>
            <w:left w:w="108" w:type="dxa"/>
            <w:bottom w:w="0" w:type="dxa"/>
            <w:right w:w="108" w:type="dxa"/>
          </w:tblCellMar>
        </w:tblPrEx>
        <w:trPr>
          <w:trHeight w:val="258"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序号</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床位区间数量</w:t>
            </w:r>
          </w:p>
        </w:tc>
        <w:tc>
          <w:tcPr>
            <w:tcW w:w="3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eastAsia="zh-CN" w:bidi="ar"/>
              </w:rPr>
              <w:t>各区间床位数每床位每日所需布品综合单价最高限价</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备注</w:t>
            </w:r>
          </w:p>
        </w:tc>
      </w:tr>
      <w:tr>
        <w:tblPrEx>
          <w:tblCellMar>
            <w:top w:w="0" w:type="dxa"/>
            <w:left w:w="108" w:type="dxa"/>
            <w:bottom w:w="0" w:type="dxa"/>
            <w:right w:w="108" w:type="dxa"/>
          </w:tblCellMar>
        </w:tblPrEx>
        <w:trPr>
          <w:trHeight w:val="639"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800（含）床</w:t>
            </w:r>
          </w:p>
        </w:tc>
        <w:tc>
          <w:tcPr>
            <w:tcW w:w="3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8.7元/床/日</w:t>
            </w:r>
          </w:p>
        </w:tc>
        <w:tc>
          <w:tcPr>
            <w:tcW w:w="3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color w:val="auto"/>
                <w:highlight w:val="none"/>
                <w:lang w:val="en-US" w:eastAsia="zh-CN"/>
              </w:rPr>
            </w:pPr>
            <w:r>
              <w:rPr>
                <w:rFonts w:hint="eastAsia" w:ascii="宋体" w:hAnsi="宋体" w:cs="宋体"/>
                <w:color w:val="auto"/>
                <w:kern w:val="0"/>
                <w:sz w:val="22"/>
                <w:szCs w:val="22"/>
                <w:highlight w:val="none"/>
                <w:lang w:val="en-US" w:eastAsia="zh-CN" w:bidi="ar"/>
              </w:rPr>
              <w:t>1.</w:t>
            </w:r>
            <w:r>
              <w:rPr>
                <w:rFonts w:hint="eastAsia" w:ascii="宋体" w:hAnsi="宋体" w:cs="宋体"/>
                <w:color w:val="auto"/>
                <w:kern w:val="0"/>
                <w:sz w:val="22"/>
                <w:szCs w:val="22"/>
                <w:highlight w:val="none"/>
                <w:lang w:bidi="ar"/>
              </w:rPr>
              <w:t>供应商投标报价折扣率。单价最高限价均已包含每床位每日所需布服内容。每日布服使用量约为3000件，中标单位必须无条件满足各科室日常医用织物供应使用。后期按照当日服务费=</w:t>
            </w:r>
            <w:r>
              <w:rPr>
                <w:rFonts w:hint="eastAsia" w:ascii="宋体" w:hAnsi="宋体" w:cs="宋体"/>
                <w:color w:val="auto"/>
                <w:kern w:val="0"/>
                <w:sz w:val="22"/>
                <w:szCs w:val="22"/>
                <w:highlight w:val="none"/>
                <w:lang w:eastAsia="zh-CN" w:bidi="ar"/>
              </w:rPr>
              <w:t>（</w:t>
            </w:r>
            <w:r>
              <w:rPr>
                <w:rFonts w:hint="eastAsia" w:ascii="宋体" w:hAnsi="宋体" w:cs="宋体"/>
                <w:color w:val="auto"/>
                <w:kern w:val="0"/>
                <w:sz w:val="22"/>
                <w:szCs w:val="22"/>
                <w:highlight w:val="none"/>
                <w:lang w:bidi="ar"/>
              </w:rPr>
              <w:t>当日实际使用床位数量</w:t>
            </w:r>
            <w:r>
              <w:rPr>
                <w:rFonts w:hint="eastAsia" w:ascii="宋体" w:hAnsi="宋体" w:cs="宋体"/>
                <w:color w:val="auto"/>
                <w:kern w:val="0"/>
                <w:sz w:val="22"/>
                <w:szCs w:val="22"/>
                <w:highlight w:val="none"/>
                <w:lang w:val="en-US" w:eastAsia="zh-CN" w:bidi="ar"/>
              </w:rPr>
              <w:t>+血透室床位数量（50床）+值班室床位数量（25床）</w:t>
            </w:r>
            <w:r>
              <w:rPr>
                <w:rFonts w:hint="eastAsia" w:ascii="宋体" w:hAnsi="宋体" w:cs="宋体"/>
                <w:color w:val="auto"/>
                <w:kern w:val="0"/>
                <w:sz w:val="22"/>
                <w:szCs w:val="22"/>
                <w:highlight w:val="none"/>
                <w:lang w:eastAsia="zh-CN" w:bidi="ar"/>
              </w:rPr>
              <w:t>）</w:t>
            </w:r>
            <w:r>
              <w:rPr>
                <w:rFonts w:hint="eastAsia" w:ascii="宋体" w:hAnsi="宋体" w:cs="宋体"/>
                <w:color w:val="auto"/>
                <w:kern w:val="0"/>
                <w:sz w:val="22"/>
                <w:szCs w:val="22"/>
                <w:highlight w:val="none"/>
                <w:lang w:bidi="ar"/>
              </w:rPr>
              <w:t>*</w:t>
            </w:r>
            <w:r>
              <w:rPr>
                <w:rFonts w:hint="eastAsia" w:ascii="宋体" w:hAnsi="宋体" w:cs="宋体"/>
                <w:color w:val="auto"/>
                <w:kern w:val="0"/>
                <w:sz w:val="22"/>
                <w:szCs w:val="22"/>
                <w:highlight w:val="none"/>
                <w:lang w:eastAsia="zh-CN" w:bidi="ar"/>
              </w:rPr>
              <w:t>各区间床位数每床位每日所需布品综合单价最高限价</w:t>
            </w:r>
            <w:r>
              <w:rPr>
                <w:rFonts w:hint="eastAsia" w:ascii="宋体" w:hAnsi="宋体" w:cs="宋体"/>
                <w:color w:val="auto"/>
                <w:kern w:val="0"/>
                <w:sz w:val="22"/>
                <w:szCs w:val="22"/>
                <w:highlight w:val="none"/>
                <w:lang w:bidi="ar"/>
              </w:rPr>
              <w:t>*中标折扣率进行统计。</w:t>
            </w:r>
            <w:r>
              <w:rPr>
                <w:rFonts w:hint="eastAsia" w:ascii="宋体" w:hAnsi="宋体" w:cs="宋体"/>
                <w:color w:val="auto"/>
                <w:kern w:val="0"/>
                <w:sz w:val="22"/>
                <w:szCs w:val="22"/>
                <w:highlight w:val="none"/>
                <w:lang w:val="en-US" w:eastAsia="zh-CN" w:bidi="ar"/>
              </w:rPr>
              <w:t>且血透室床位数量、值班室床位数量不再调整，请供应商自行考虑该报价风险。</w:t>
            </w:r>
          </w:p>
        </w:tc>
      </w:tr>
      <w:tr>
        <w:tblPrEx>
          <w:tblCellMar>
            <w:top w:w="0" w:type="dxa"/>
            <w:left w:w="108" w:type="dxa"/>
            <w:bottom w:w="0" w:type="dxa"/>
            <w:right w:w="108" w:type="dxa"/>
          </w:tblCellMar>
        </w:tblPrEx>
        <w:trPr>
          <w:trHeight w:val="685"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eastAsia="zh-CN" w:bidi="ar"/>
              </w:rPr>
              <w:t>801床-899床</w:t>
            </w:r>
          </w:p>
        </w:tc>
        <w:tc>
          <w:tcPr>
            <w:tcW w:w="3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8.5元/床/日</w:t>
            </w:r>
          </w:p>
        </w:tc>
        <w:tc>
          <w:tcPr>
            <w:tcW w:w="3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05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900（含）床以上</w:t>
            </w:r>
          </w:p>
        </w:tc>
        <w:tc>
          <w:tcPr>
            <w:tcW w:w="3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8.2元/床/日</w:t>
            </w:r>
          </w:p>
        </w:tc>
        <w:tc>
          <w:tcPr>
            <w:tcW w:w="3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2"/>
                <w:szCs w:val="22"/>
                <w:highlight w:val="none"/>
              </w:rPr>
            </w:pPr>
          </w:p>
        </w:tc>
      </w:tr>
    </w:tbl>
    <w:p>
      <w:pPr>
        <w:spacing w:line="360" w:lineRule="auto"/>
        <w:ind w:firstLine="440" w:firstLineChars="200"/>
        <w:rPr>
          <w:color w:val="auto"/>
          <w:highlight w:val="none"/>
        </w:rPr>
      </w:pPr>
      <w:r>
        <w:rPr>
          <w:rFonts w:hint="eastAsia" w:ascii="宋体" w:cs="宋体"/>
          <w:bCs/>
          <w:color w:val="auto"/>
          <w:kern w:val="0"/>
          <w:sz w:val="22"/>
          <w:szCs w:val="22"/>
          <w:highlight w:val="none"/>
        </w:rPr>
        <w:t>2、租赁布服一览表</w:t>
      </w:r>
    </w:p>
    <w:tbl>
      <w:tblPr>
        <w:tblStyle w:val="38"/>
        <w:tblW w:w="9928" w:type="dxa"/>
        <w:jc w:val="center"/>
        <w:tblLayout w:type="fixed"/>
        <w:tblCellMar>
          <w:top w:w="0" w:type="dxa"/>
          <w:left w:w="108" w:type="dxa"/>
          <w:bottom w:w="0" w:type="dxa"/>
          <w:right w:w="108" w:type="dxa"/>
        </w:tblCellMar>
      </w:tblPr>
      <w:tblGrid>
        <w:gridCol w:w="928"/>
        <w:gridCol w:w="1877"/>
        <w:gridCol w:w="7123"/>
      </w:tblGrid>
      <w:tr>
        <w:tblPrEx>
          <w:tblCellMar>
            <w:top w:w="0" w:type="dxa"/>
            <w:left w:w="108" w:type="dxa"/>
            <w:bottom w:w="0" w:type="dxa"/>
            <w:right w:w="108" w:type="dxa"/>
          </w:tblCellMar>
        </w:tblPrEx>
        <w:trPr>
          <w:trHeight w:val="316"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床单位</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品名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規格</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漂白缎条床包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CVC30*30 133*76漂白缎条布/制作尺寸200*98*15公分/四角松紧带（床垫尺寸：190*84*8cm）</w:t>
            </w:r>
          </w:p>
        </w:tc>
      </w:tr>
      <w:tr>
        <w:tblPrEx>
          <w:tblCellMar>
            <w:top w:w="0" w:type="dxa"/>
            <w:left w:w="108" w:type="dxa"/>
            <w:bottom w:w="0" w:type="dxa"/>
            <w:right w:w="108" w:type="dxa"/>
          </w:tblCellMar>
        </w:tblPrEx>
        <w:trPr>
          <w:trHeight w:val="92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漂白缎条枕套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CVC30*30 133*76漂白缎条布/制作尺寸50*75公分/信封式开口/印医院Logo/尺寸=长7.4cm,宽6.8cm，位置=距右边7cm,距下边4cm，颜色=绿339c (枕芯尺寸：47*70cm)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漂白缎条被套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CVC30*30 133*76漂白缎条布/160*240/160公分开口三組绑带(棉芯尺寸：150*200cm)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VIP病房被套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cvc32*32 142*76浅灰兰/155*240/155公分开口三組绑带</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VIP病房床包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cvc32*32 142*76浅灰兰/制作尺寸200*100*25公分/四角松紧带/（床垫尺寸197*95*8公分）</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VIP病房枕套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cvc32*32 142*76浅灰兰/制作尺寸50*75公分/信封式开口/印医院Logo</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产科被套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cvc32*32 142*76/水粉/155*240/155公分开口三組绑带</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产科床包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cvc32*32 142*76/水粉/制作尺寸200*98*15公分/四角松紧带/床垫尺寸193*84*8</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产科枕套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cvc32*32 142*76/水粉/制作尺寸50*75公分/信封式开口/印医院Logo</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儿科被套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cvc32*32 142*76/水兰绿/155*240/155公分开口三組绑带</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儿科床包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cvc32*32 142*76/兰绿/制作尺寸187*94*15公分/四角松紧带/床垫尺寸177*80*8</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儿科枕套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cvc32*32 142*76/水兰绿/制作尺寸50*75公分/信封式开口/印医院Logo</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感染科床包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C32*32 130*70/四色彩条/制作尺寸200*98*15公分/四角松紧带/床垫尺寸193*84*8</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感染科被套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C32*32 130*70/四色彩条/155*240/155公分开口三組绑带</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感染科枕套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C32*32 130*70/四色彩条/制作尺寸50*75公分/信封式开口/印医院Logo</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血透室床包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T/C32*32 130*70 雪青白条 /制作尺寸200*98*15公分/四角松紧带/印字</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血透室枕套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T/C32*32 130*70 雪青白条/制作尺寸50*75公分/信封式开口/印字</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18</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血透室被套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T/C32*32 130*70 雪青白条/制作尺寸155*240/155公分开口三組绑带</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枕套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白/CVC32*32 65*35 130*70/ 制作尺寸75*50CM ,信封式开口/刷字</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被套-OR.ER.OPD</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白/CVC32*32 65*35 100*50/制作尺寸155*240公分/155公分开口三組绑带</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床包-OR.ER.OPD</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白/CVC32*32 65*35 130*70/ 制作尺寸200*65↓10cm附松紧带</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值班公寓被套-1.8米床</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T/C32*32 130*70浅兰格制作尺寸：</w:t>
            </w:r>
            <w:r>
              <w:rPr>
                <w:rStyle w:val="192"/>
                <w:rFonts w:hint="eastAsia" w:ascii="宋体" w:hAnsi="宋体" w:cs="宋体"/>
                <w:color w:val="auto"/>
                <w:sz w:val="22"/>
                <w:szCs w:val="22"/>
                <w:highlight w:val="none"/>
                <w:lang w:bidi="ar"/>
              </w:rPr>
              <w:t>240*240/240</w:t>
            </w:r>
            <w:r>
              <w:rPr>
                <w:rFonts w:hint="eastAsia" w:ascii="宋体" w:hAnsi="宋体" w:cs="宋体"/>
                <w:color w:val="auto"/>
                <w:kern w:val="0"/>
                <w:sz w:val="22"/>
                <w:szCs w:val="22"/>
                <w:highlight w:val="none"/>
                <w:lang w:bidi="ar"/>
              </w:rPr>
              <w:t>公分开口三組绑带</w:t>
            </w:r>
            <w:r>
              <w:rPr>
                <w:rStyle w:val="192"/>
                <w:rFonts w:hint="eastAsia" w:ascii="宋体" w:hAnsi="宋体" w:cs="宋体"/>
                <w:color w:val="auto"/>
                <w:sz w:val="22"/>
                <w:szCs w:val="22"/>
                <w:highlight w:val="none"/>
                <w:lang w:bidi="ar"/>
              </w:rPr>
              <w:t>(</w:t>
            </w:r>
            <w:r>
              <w:rPr>
                <w:rFonts w:hint="eastAsia" w:ascii="宋体" w:hAnsi="宋体" w:cs="宋体"/>
                <w:color w:val="auto"/>
                <w:kern w:val="0"/>
                <w:sz w:val="22"/>
                <w:szCs w:val="22"/>
                <w:highlight w:val="none"/>
                <w:lang w:bidi="ar"/>
              </w:rPr>
              <w:t>棉芯尺寸：</w:t>
            </w:r>
            <w:r>
              <w:rPr>
                <w:rStyle w:val="192"/>
                <w:rFonts w:hint="eastAsia" w:ascii="宋体" w:hAnsi="宋体" w:cs="宋体"/>
                <w:color w:val="auto"/>
                <w:sz w:val="22"/>
                <w:szCs w:val="22"/>
                <w:highlight w:val="none"/>
                <w:lang w:bidi="ar"/>
              </w:rPr>
              <w:t>230*230cm)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值班公寓枕套-1.8米床</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T/C32*32 130*70浅兰格</w:t>
            </w:r>
            <w:r>
              <w:rPr>
                <w:rStyle w:val="192"/>
                <w:rFonts w:hint="eastAsia" w:ascii="宋体" w:hAnsi="宋体" w:cs="宋体"/>
                <w:color w:val="auto"/>
                <w:sz w:val="22"/>
                <w:szCs w:val="22"/>
                <w:highlight w:val="none"/>
                <w:lang w:bidi="ar"/>
              </w:rPr>
              <w:t>/</w:t>
            </w:r>
            <w:r>
              <w:rPr>
                <w:rFonts w:hint="eastAsia" w:ascii="宋体" w:hAnsi="宋体" w:cs="宋体"/>
                <w:color w:val="auto"/>
                <w:kern w:val="0"/>
                <w:sz w:val="22"/>
                <w:szCs w:val="22"/>
                <w:highlight w:val="none"/>
                <w:lang w:bidi="ar"/>
              </w:rPr>
              <w:t>制作尺寸</w:t>
            </w:r>
            <w:r>
              <w:rPr>
                <w:rStyle w:val="192"/>
                <w:rFonts w:hint="eastAsia" w:ascii="宋体" w:hAnsi="宋体" w:cs="宋体"/>
                <w:color w:val="auto"/>
                <w:sz w:val="22"/>
                <w:szCs w:val="22"/>
                <w:highlight w:val="none"/>
                <w:lang w:bidi="ar"/>
              </w:rPr>
              <w:t>50*75</w:t>
            </w:r>
            <w:r>
              <w:rPr>
                <w:rFonts w:hint="eastAsia" w:ascii="宋体" w:hAnsi="宋体" w:cs="宋体"/>
                <w:color w:val="auto"/>
                <w:kern w:val="0"/>
                <w:sz w:val="22"/>
                <w:szCs w:val="22"/>
                <w:highlight w:val="none"/>
                <w:lang w:bidi="ar"/>
              </w:rPr>
              <w:t>公分</w:t>
            </w:r>
            <w:r>
              <w:rPr>
                <w:rStyle w:val="192"/>
                <w:rFonts w:hint="eastAsia" w:ascii="宋体" w:hAnsi="宋体" w:cs="宋体"/>
                <w:color w:val="auto"/>
                <w:sz w:val="22"/>
                <w:szCs w:val="22"/>
                <w:highlight w:val="none"/>
                <w:lang w:bidi="ar"/>
              </w:rPr>
              <w:t>/</w:t>
            </w:r>
            <w:r>
              <w:rPr>
                <w:rFonts w:hint="eastAsia" w:ascii="宋体" w:hAnsi="宋体" w:cs="宋体"/>
                <w:color w:val="auto"/>
                <w:kern w:val="0"/>
                <w:sz w:val="22"/>
                <w:szCs w:val="22"/>
                <w:highlight w:val="none"/>
                <w:lang w:bidi="ar"/>
              </w:rPr>
              <w:t>信封式开口</w:t>
            </w:r>
            <w:r>
              <w:rPr>
                <w:rStyle w:val="192"/>
                <w:rFonts w:hint="eastAsia" w:ascii="宋体" w:hAnsi="宋体" w:cs="宋体"/>
                <w:color w:val="auto"/>
                <w:sz w:val="22"/>
                <w:szCs w:val="22"/>
                <w:highlight w:val="none"/>
                <w:lang w:bidi="ar"/>
              </w:rPr>
              <w:t>/ (</w:t>
            </w:r>
            <w:r>
              <w:rPr>
                <w:rFonts w:hint="eastAsia" w:ascii="宋体" w:hAnsi="宋体" w:cs="宋体"/>
                <w:color w:val="auto"/>
                <w:kern w:val="0"/>
                <w:sz w:val="22"/>
                <w:szCs w:val="22"/>
                <w:highlight w:val="none"/>
                <w:lang w:bidi="ar"/>
              </w:rPr>
              <w:t>枕芯尺寸：</w:t>
            </w:r>
            <w:r>
              <w:rPr>
                <w:rStyle w:val="192"/>
                <w:rFonts w:hint="eastAsia" w:ascii="宋体" w:hAnsi="宋体" w:cs="宋体"/>
                <w:color w:val="auto"/>
                <w:sz w:val="22"/>
                <w:szCs w:val="22"/>
                <w:highlight w:val="none"/>
                <w:lang w:bidi="ar"/>
              </w:rPr>
              <w:t>47*70cm)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值班公寓床单-1.8米床</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T/C32*32 130*70浅兰格</w:t>
            </w:r>
            <w:r>
              <w:rPr>
                <w:rStyle w:val="192"/>
                <w:rFonts w:hint="eastAsia" w:ascii="宋体" w:hAnsi="宋体" w:cs="宋体"/>
                <w:color w:val="auto"/>
                <w:sz w:val="22"/>
                <w:szCs w:val="22"/>
                <w:highlight w:val="none"/>
                <w:lang w:bidi="ar"/>
              </w:rPr>
              <w:t>/</w:t>
            </w:r>
            <w:r>
              <w:rPr>
                <w:rFonts w:hint="eastAsia" w:ascii="宋体" w:hAnsi="宋体" w:cs="宋体"/>
                <w:color w:val="auto"/>
                <w:kern w:val="0"/>
                <w:sz w:val="22"/>
                <w:szCs w:val="22"/>
                <w:highlight w:val="none"/>
                <w:lang w:bidi="ar"/>
              </w:rPr>
              <w:t>制作尺寸</w:t>
            </w:r>
            <w:r>
              <w:rPr>
                <w:rStyle w:val="192"/>
                <w:rFonts w:hint="eastAsia" w:ascii="宋体" w:hAnsi="宋体" w:cs="宋体"/>
                <w:color w:val="auto"/>
                <w:sz w:val="22"/>
                <w:szCs w:val="22"/>
                <w:highlight w:val="none"/>
                <w:lang w:bidi="ar"/>
              </w:rPr>
              <w:t>260*280</w:t>
            </w:r>
            <w:r>
              <w:rPr>
                <w:rFonts w:hint="eastAsia" w:ascii="宋体" w:hAnsi="宋体" w:cs="宋体"/>
                <w:color w:val="auto"/>
                <w:kern w:val="0"/>
                <w:sz w:val="22"/>
                <w:szCs w:val="22"/>
                <w:highlight w:val="none"/>
                <w:lang w:bidi="ar"/>
              </w:rPr>
              <w:t>公分</w:t>
            </w:r>
            <w:r>
              <w:rPr>
                <w:rStyle w:val="192"/>
                <w:rFonts w:hint="eastAsia" w:ascii="宋体" w:hAnsi="宋体" w:cs="宋体"/>
                <w:color w:val="auto"/>
                <w:sz w:val="22"/>
                <w:szCs w:val="22"/>
                <w:highlight w:val="none"/>
                <w:lang w:bidi="ar"/>
              </w:rPr>
              <w:t>/</w:t>
            </w:r>
            <w:r>
              <w:rPr>
                <w:rFonts w:hint="eastAsia" w:ascii="宋体" w:hAnsi="宋体" w:cs="宋体"/>
                <w:color w:val="auto"/>
                <w:kern w:val="0"/>
                <w:sz w:val="22"/>
                <w:szCs w:val="22"/>
                <w:highlight w:val="none"/>
                <w:lang w:bidi="ar"/>
              </w:rPr>
              <w:t>床垫尺寸</w:t>
            </w:r>
            <w:r>
              <w:rPr>
                <w:rStyle w:val="192"/>
                <w:rFonts w:hint="eastAsia" w:ascii="宋体" w:hAnsi="宋体" w:cs="宋体"/>
                <w:color w:val="auto"/>
                <w:sz w:val="22"/>
                <w:szCs w:val="22"/>
                <w:highlight w:val="none"/>
                <w:lang w:bidi="ar"/>
              </w:rPr>
              <w:t>200*180*30</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科室值班室被套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C40*40 133*72小斜纹心点兰格/制作尺寸150*200CM/150CM开口三组绑带</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科室值班室枕套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C40*40 133*72小斜纹心点兰格如圣雪兰布卡C册M-27/制作尺寸75*50CM，信封式开口</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科室值班室床单</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C40*40 133*72小斜纹心点兰格/制作尺寸150*230公分</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28</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病患衣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65*35 133*94/Medlight英文字印花/国民领/长袖平口袖口/睡衣前扣式，前开5扣/右下贴袋/附制作图</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病患裤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65*35 133*94/Medlight英文字印花/无门襟/右后贴袋/腰松紧带+绑带</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30</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骨科衣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65*35 133*94/Medlight英文字印花/七分袖/二側邊蓝色綁帶</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31</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骨科裤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65*35 133*94/Medlight英文字印花/七分褲/二側邊蓝色綁帶</w:t>
            </w:r>
          </w:p>
        </w:tc>
      </w:tr>
      <w:tr>
        <w:tblPrEx>
          <w:tblCellMar>
            <w:top w:w="0" w:type="dxa"/>
            <w:left w:w="108" w:type="dxa"/>
            <w:bottom w:w="0" w:type="dxa"/>
            <w:right w:w="108" w:type="dxa"/>
          </w:tblCellMar>
        </w:tblPrEx>
        <w:trPr>
          <w:trHeight w:val="65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32</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儿童病衣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C16*16 72*60/卡通色/长袍/和服式/四组绑带/长袖平口袖口/无口袋</w:t>
            </w:r>
          </w:p>
        </w:tc>
      </w:tr>
      <w:tr>
        <w:tblPrEx>
          <w:tblCellMar>
            <w:top w:w="0" w:type="dxa"/>
            <w:left w:w="108" w:type="dxa"/>
            <w:bottom w:w="0" w:type="dxa"/>
            <w:right w:w="108" w:type="dxa"/>
          </w:tblCellMar>
        </w:tblPrEx>
        <w:trPr>
          <w:trHeight w:val="47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33</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婴儿服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和服2线綁帶/袖口加指套</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产科婴儿服-1</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全棉/黄色</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产科婴儿服-2</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全棉/浅紫莲色/内含薄棉</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ICU床包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T/C 80/20 21*21 108*58中蓝/制作尺寸200*106*20公分/四角松紧带/印字</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ICU枕套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T/C 80/20 21*21 108*58中蓝/制作尺寸50*75公分/信封式开口/印字</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38</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T/C 80/20 21*21 108*58中蓝/制作尺寸155*240/155公分开口三組绑带/印字</w:t>
            </w:r>
          </w:p>
        </w:tc>
      </w:tr>
      <w:tr>
        <w:tblPrEx>
          <w:tblCellMar>
            <w:top w:w="0" w:type="dxa"/>
            <w:left w:w="108" w:type="dxa"/>
            <w:bottom w:w="0" w:type="dxa"/>
            <w:right w:w="108" w:type="dxa"/>
          </w:tblCellMar>
        </w:tblPrEx>
        <w:trPr>
          <w:trHeight w:val="9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ICU特殊床包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 40*40 133*72 梅之语 /制作尺寸200*106*30公分/四角松紧带/正中印字红色“苍医ICU”字体大小：长5cm,宽4cm/床垫尺寸：195*96*15cm</w:t>
            </w:r>
          </w:p>
        </w:tc>
      </w:tr>
      <w:tr>
        <w:tblPrEx>
          <w:tblCellMar>
            <w:top w:w="0" w:type="dxa"/>
            <w:left w:w="108" w:type="dxa"/>
            <w:bottom w:w="0" w:type="dxa"/>
            <w:right w:w="108" w:type="dxa"/>
          </w:tblCellMar>
        </w:tblPrEx>
        <w:trPr>
          <w:trHeight w:val="9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ICU特殊枕套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 40*40 133*72 梅之语 /制作尺寸50*75公分/信封式开口/正中印字红色“苍医ICU”字体大小：长5cm,宽4cm/枕芯尺寸：47*70cm</w:t>
            </w:r>
          </w:p>
        </w:tc>
      </w:tr>
      <w:tr>
        <w:tblPrEx>
          <w:tblCellMar>
            <w:top w:w="0" w:type="dxa"/>
            <w:left w:w="108" w:type="dxa"/>
            <w:bottom w:w="0" w:type="dxa"/>
            <w:right w:w="108" w:type="dxa"/>
          </w:tblCellMar>
        </w:tblPrEx>
        <w:trPr>
          <w:trHeight w:val="9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ICU特殊被套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 40*40 133*72 梅之语 /制作尺寸155*240/155公分开口三組绑带/正中印字红色“苍医ICU”字体大小：长5cm,宽4cm/被芯尺寸：150*200cm</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ICU病人服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C20*20 60*60浅蓝白条</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ICU病人裤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C20*20 60*60浅蓝白条</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高压氧舱病人衣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C20*20 88*61 浅粉藕荷条 /国民领/长袖平口袖口/前开3绑带</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高压氧舱病人裤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C20*20 88*61 浅粉藕荷条/无门襟/腰绑带</w:t>
            </w:r>
          </w:p>
        </w:tc>
      </w:tr>
      <w:tr>
        <w:tblPrEx>
          <w:tblCellMar>
            <w:top w:w="0" w:type="dxa"/>
            <w:left w:w="108" w:type="dxa"/>
            <w:bottom w:w="0" w:type="dxa"/>
            <w:right w:w="108" w:type="dxa"/>
          </w:tblCellMar>
        </w:tblPrEx>
        <w:trPr>
          <w:trHeight w:val="92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高压氧舱枕套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C20*20 88*61 浅粉藕荷条 /制作尺寸50*75公分/信封式开口/印医院Logo/尺寸=长7.4cm,宽6.8cm，位置=距右边7cm,距下边4cm，颜色=绿339c (枕芯尺寸：47*70cm)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高压氧舱被套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C20*20 88*61 浅粉藕荷条 /160*240/160公分开口三組绑带(棉芯尺寸：150*200cm)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48</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高压氧舱床包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C20*20 88*61 浅粉藕荷条/作尺寸200*98*15公分/四角松紧带（床垫尺寸：190*84*8cm）</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高压氧舱枕芯</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750g/全棉/45*70cm</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高压氧舱棉芯</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1750克/全棉 /150*200CM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高压氧舱棉衣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C20*20 88*61 浅粉藕荷条/圆领前开扣/长袖平口袖口/无口袋/内塞全棉一等棉花/全棉附料</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高压氧舱棉裤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C20*20 88*61 浅粉藕荷条 /腰棉绳绑带/无口袋/无门襟/内塞全棉一等棉花/全棉附料</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高压氧舱腹部约束带</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C20*20 88*61 浅粉藕荷条/全棉/主体50*20CM/主体4层/4条绑带/绑带尺寸75*3CM/绑带2层</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高压</w:t>
            </w:r>
            <w:r>
              <w:rPr>
                <w:rStyle w:val="193"/>
                <w:rFonts w:hint="eastAsia" w:ascii="宋体" w:hAnsi="宋体" w:eastAsia="宋体" w:cs="宋体"/>
                <w:color w:val="auto"/>
                <w:sz w:val="22"/>
                <w:szCs w:val="22"/>
                <w:highlight w:val="none"/>
                <w:lang w:bidi="ar"/>
              </w:rPr>
              <w:t>氧</w:t>
            </w:r>
            <w:r>
              <w:rPr>
                <w:rFonts w:hint="eastAsia" w:ascii="宋体" w:hAnsi="宋体" w:cs="宋体"/>
                <w:color w:val="auto"/>
                <w:kern w:val="0"/>
                <w:sz w:val="22"/>
                <w:szCs w:val="22"/>
                <w:highlight w:val="none"/>
                <w:lang w:bidi="ar"/>
              </w:rPr>
              <w:t>舱手腕约</w:t>
            </w:r>
            <w:r>
              <w:rPr>
                <w:rStyle w:val="193"/>
                <w:rFonts w:hint="eastAsia" w:ascii="宋体" w:hAnsi="宋体" w:eastAsia="宋体" w:cs="宋体"/>
                <w:color w:val="auto"/>
                <w:sz w:val="22"/>
                <w:szCs w:val="22"/>
                <w:highlight w:val="none"/>
                <w:lang w:bidi="ar"/>
              </w:rPr>
              <w:t>束</w:t>
            </w:r>
            <w:r>
              <w:rPr>
                <w:rFonts w:hint="eastAsia" w:ascii="宋体" w:hAnsi="宋体" w:cs="宋体"/>
                <w:color w:val="auto"/>
                <w:kern w:val="0"/>
                <w:sz w:val="22"/>
                <w:szCs w:val="22"/>
                <w:highlight w:val="none"/>
                <w:lang w:bidi="ar"/>
              </w:rPr>
              <w:t>带</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C20*20 88*61 浅粉藕荷条/全棉/主体20*10CM/主体4层/4条绑带/绑带尺寸40*3CM/绑带2层</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高压氧舱婴儿床单</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C20*20 88*61 浅粉藕荷条 如圣雪兰布卡B册D-1/全棉//90*60cm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肛肠裤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C21*21 104*61 墨绿/裤裆开口/腰围一圈遮羞布/松紧带+绑带/印字“苍医内镜中心”</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内镜中心被套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C21*21 108*58浅绿白条/155*240/155公分开口三組绑带</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58</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分娩室被套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cvc32*32 142*76/水粉/150*115CM/信封式开口/100CM处开口</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工作服</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品名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規格</w:t>
            </w:r>
          </w:p>
        </w:tc>
      </w:tr>
      <w:tr>
        <w:tblPrEx>
          <w:tblCellMar>
            <w:top w:w="0" w:type="dxa"/>
            <w:left w:w="108" w:type="dxa"/>
            <w:bottom w:w="0" w:type="dxa"/>
            <w:right w:w="108" w:type="dxa"/>
          </w:tblCellMar>
        </w:tblPrEx>
        <w:trPr>
          <w:trHeight w:val="92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助理员工作衣夏装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浅蓝色CVC21*21 65*35 124*69/短衣短袖/西装领/前开3扣/左胸上口袋及下两贴袋/衣领+袖口+口袋出白边/左臂绣医院Logo</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助理员工作裤夏装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浅蓝色CVC21*21 65*35 124*69/腰松紧带+绑带/两侧斜口袋/无拉链</w:t>
            </w:r>
          </w:p>
        </w:tc>
      </w:tr>
      <w:tr>
        <w:tblPrEx>
          <w:tblCellMar>
            <w:top w:w="0" w:type="dxa"/>
            <w:left w:w="108" w:type="dxa"/>
            <w:bottom w:w="0" w:type="dxa"/>
            <w:right w:w="108" w:type="dxa"/>
          </w:tblCellMar>
        </w:tblPrEx>
        <w:trPr>
          <w:trHeight w:val="92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男医技夏装短袖长衣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白色CVC21*21 65*35 124*69/西装领/前开4扣/左胸上口袋及下两贴袋/背面中间线底分叉/口袋+袖口出芽绿色/左臂绣医院Logo</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女医技夏装短袖长衣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白色CVC21*21 65*35 124*69/西装领/前开4扣/左胸上口袋及下两贴袋/背面半束腰带无扣/口袋+袖口出芽绿色/左臂绣医院Logo</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男医生夏装短袖长衣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白色CVC21*21 65*35 124*69/西装领/前开4扣/左胸上口袋及下两贴袋/背面中间线底分叉/左臂绣医院Logo</w:t>
            </w:r>
          </w:p>
        </w:tc>
      </w:tr>
      <w:tr>
        <w:tblPrEx>
          <w:tblCellMar>
            <w:top w:w="0" w:type="dxa"/>
            <w:left w:w="108" w:type="dxa"/>
            <w:bottom w:w="0" w:type="dxa"/>
            <w:right w:w="108" w:type="dxa"/>
          </w:tblCellMar>
        </w:tblPrEx>
        <w:trPr>
          <w:trHeight w:val="92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女医生夏装短袖长衣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白色CVC21*21 65*35 124*69/西装领/前开5扣/左胸上口袋及下两贴袋/背面半束腰带无扣/左臂绣医院Logo</w:t>
            </w:r>
          </w:p>
        </w:tc>
      </w:tr>
      <w:tr>
        <w:tblPrEx>
          <w:tblCellMar>
            <w:top w:w="0" w:type="dxa"/>
            <w:left w:w="108" w:type="dxa"/>
            <w:bottom w:w="0" w:type="dxa"/>
            <w:right w:w="108" w:type="dxa"/>
          </w:tblCellMar>
        </w:tblPrEx>
        <w:trPr>
          <w:trHeight w:val="92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男医技冬装长袖长衣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白色CVC22.5*21 65*35 138*71/西装领/前开4扣/左胸上口袋及下两贴袋/背面中间线底分叉/口袋+袖口出芽绿色/左臂绣医院Logo/款式比照夏装，只改短袖为长袖，袖口单扣</w:t>
            </w:r>
          </w:p>
        </w:tc>
      </w:tr>
      <w:tr>
        <w:tblPrEx>
          <w:tblCellMar>
            <w:top w:w="0" w:type="dxa"/>
            <w:left w:w="108" w:type="dxa"/>
            <w:bottom w:w="0" w:type="dxa"/>
            <w:right w:w="108" w:type="dxa"/>
          </w:tblCellMar>
        </w:tblPrEx>
        <w:trPr>
          <w:trHeight w:val="92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女医技冬装长袖长衣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白色CVC22.5*21 65*35 138*71/西装领/前开4扣/左胸上口袋及下两贴袋/背面半束腰带无扣/口袋+袖口出芽绿色/左臂绣医院Logo/款式比照夏装，只改短袖为长袖，袖口单扣</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男医生冬装长袖长衣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白色CVC22.5*21 65*35 138*71/西装领/前开4扣/左胸上口袋及下两贴袋/背面中间线底分叉/左臂绣医院Logo/款式比照夏装，只改短袖为长袖，袖口单扣</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女医生冬装长袖长衣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白色CVC22.5*21 65*35 138*71/西装领/前开5扣/左胸上口袋及下两贴袋/背面半束腰带无扣/左臂绣医院Logo/款式比照夏装，只改短袖为长袖，袖口单扣</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长袖短装护士服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JT/C45/2*21 138*71 全精梳漂白 圆领/前开2明扣3暗扣/下两贴袋/长袖/袖口单扣/左胸盼盼/左臂绣医院LOGO</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护士裤-1</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JT/C45/2*21 138*71 全精梳漂白/腰松紧带+绑带/两侧斜口袋/无拉链</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长袖短装护士长服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JT/C23.5*20 140*71 白/西装领/前开4明扣/下两贴袋/长袖/袖口单扣/左胸盼盼/左臂绣医院LOGO</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夏装短袖蓝大褂</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浅灰兰2号TC25*22.6 65*35 104*61如怡丰布料A册B-14/西装领/前开4扣/左胸上口袋及下两贴袋/背面中间线底分叉/左臂绣医院Logo</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孕妇护士服夏装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白色CVC21*21 65*35 124*69/蝴蝶领/前开2明扣6暗扣/两腰侧双扣调整带/短袖/下两贴袋/左臂绣医院Logo</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护士长裤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JT/C23.5*20 140*71 美标特整美国白/腰两侧松紧带/两侧斜口袋/有门禁/门禁拉链</w:t>
            </w:r>
          </w:p>
        </w:tc>
      </w:tr>
      <w:tr>
        <w:tblPrEx>
          <w:tblCellMar>
            <w:top w:w="0" w:type="dxa"/>
            <w:left w:w="108" w:type="dxa"/>
            <w:bottom w:w="0" w:type="dxa"/>
            <w:right w:w="108" w:type="dxa"/>
          </w:tblCellMar>
        </w:tblPrEx>
        <w:trPr>
          <w:trHeight w:val="92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助理员工作衣冬装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浅蓝色CVC22.5*21 65*35 138*71/短衣长袖，袖口单扣/西装领/前开3扣/左胸上口袋及下两贴袋/衣领+袖口+口袋出白边/左臂绣医院Logo/款式比照夏装，只改短袖为长袖</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18</w:t>
            </w:r>
          </w:p>
        </w:tc>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助理员工作裤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浅蓝色CVC21*21 65*35 124*69/腰松紧带+绑带/两侧斜口袋/无拉链</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工勤衣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天蓝色CVC22.5 65*35 138*71/长袖短衣/前开2明扣附拉链/袖口单扣/侧腰双扣调整带/两斜口袋</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工勤裤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天蓝色CVC22.5 65*35 138*71/腰侧松紧带/拉链门襟/腰附系皮带盼盼/两裤边斜口袋</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孕妇护士服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CVC22.5*21 65*35 138*71/立领/前开2明扣6暗扣/两腰侧双扣调整带/长袖平口袖口/左胸贴袋及下两贴袋/绣字</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22</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孕妇护士裤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CVC22.5*21 65*35 138*71/腰松紧带+绑带（绑带蓝色）/两斜口袋</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导医短袖衬衫</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白色/短袖/58.5%聚纤+22.9天丝+18.6%棉</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导医长袖外套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浅灰色/65%涤纶+35%粘纤</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导医马甲</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浅灰色/65%涤纶+35%粘纤</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导医裙子</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浅灰色/65%涤纶+35%粘纤</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导医长袖衬衫</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白色/58.5%聚纤+22.9天丝+18.6%棉</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28</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导医丝巾</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仿真丝/100%涤纶/60*60cm</w:t>
            </w:r>
          </w:p>
        </w:tc>
      </w:tr>
      <w:tr>
        <w:tblPrEx>
          <w:tblCellMar>
            <w:top w:w="0" w:type="dxa"/>
            <w:left w:w="108" w:type="dxa"/>
            <w:bottom w:w="0" w:type="dxa"/>
            <w:right w:w="108" w:type="dxa"/>
          </w:tblCellMar>
        </w:tblPrEx>
        <w:trPr>
          <w:trHeight w:val="59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导医外套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60%羊毛，40%聚酯纤维/黑色</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VIP护士服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JT/C45/2*21 138*71 浅紫莲 /圆领/前开2明扣3暗扣/下两贴袋/长袖/袖口单扣/左胸盼盼/左臂绣医院LOGO</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VIP护士裤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JT/C45/2*21 138*71 浅紫莲 /腰松紧带+绑带/两侧斜口袋/无拉链</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VIP夏装护士服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JT/C45/2*21 138*71 浅紫莲 /圆领/前开2明扣3暗扣/下两贴袋/短袖/左胸盼盼/左臂绣医院LOGO</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新生儿科护士长袖冬装特单服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JT/C45/2*21 138*71 浅紫莲 /螺纹领/长袖/螺纹袖口/下两贴袋/左胸盼盼</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新生儿科护士冬装特单裤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JT/C45/2*21 138*71 浅紫莲 /腰松紧带+绑带/两侧斜口袋/无拉链</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新生儿科护士短袖夏装特单服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JT/C25*22.6 104*61 浅紫莲 /螺纹领/短袖/下两贴袋/左胸盼盼</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新生儿科护士夏装特单裤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JT/C25*22.6 104*61 浅紫莲 /腰松紧带+绑带/两侧斜口袋/无拉链</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ICU护士冬装长袖特单服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JT/C45/2*21 138*71 浅绿/蝴蝶领/两侧腰双扣调整带/斜开3明扣4暗扣/下两贴袋/长袖袖口单扣</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38</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ICU护士冬装特单裤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JT/C45/2*21 138*71 浅绿 /腰松紧带+绑带/两侧斜口袋/无拉链</w:t>
            </w:r>
          </w:p>
        </w:tc>
      </w:tr>
      <w:tr>
        <w:tblPrEx>
          <w:tblCellMar>
            <w:top w:w="0" w:type="dxa"/>
            <w:left w:w="108" w:type="dxa"/>
            <w:bottom w:w="0" w:type="dxa"/>
            <w:right w:w="108" w:type="dxa"/>
          </w:tblCellMar>
        </w:tblPrEx>
        <w:trPr>
          <w:trHeight w:val="971"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ICU护士夏装短袖特单服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JT/C25*22.6 104*61 浅绿/蝴蝶领/两侧腰双扣调整带/斜开3明扣4暗扣/下两贴袋/短袖</w:t>
            </w:r>
          </w:p>
        </w:tc>
      </w:tr>
      <w:tr>
        <w:tblPrEx>
          <w:tblCellMar>
            <w:top w:w="0" w:type="dxa"/>
            <w:left w:w="108" w:type="dxa"/>
            <w:bottom w:w="0" w:type="dxa"/>
            <w:right w:w="108" w:type="dxa"/>
          </w:tblCellMar>
        </w:tblPrEx>
        <w:trPr>
          <w:trHeight w:val="60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ICU护士夏装特单裤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JT/C25*22.6 104*61 浅绿 /腰松紧带+绑带/两侧斜口袋/无拉链</w:t>
            </w:r>
          </w:p>
        </w:tc>
      </w:tr>
      <w:tr>
        <w:tblPrEx>
          <w:tblCellMar>
            <w:top w:w="0" w:type="dxa"/>
            <w:left w:w="108" w:type="dxa"/>
            <w:bottom w:w="0" w:type="dxa"/>
            <w:right w:w="108" w:type="dxa"/>
          </w:tblCellMar>
        </w:tblPrEx>
        <w:trPr>
          <w:trHeight w:val="92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ICU医</w:t>
            </w:r>
            <w:r>
              <w:rPr>
                <w:rStyle w:val="193"/>
                <w:rFonts w:hint="eastAsia" w:ascii="宋体" w:hAnsi="宋体" w:eastAsia="宋体" w:cs="宋体"/>
                <w:color w:val="auto"/>
                <w:sz w:val="22"/>
                <w:szCs w:val="22"/>
                <w:highlight w:val="none"/>
                <w:lang w:bidi="ar"/>
              </w:rPr>
              <w:t>生冬装</w:t>
            </w:r>
            <w:r>
              <w:rPr>
                <w:rFonts w:hint="eastAsia" w:ascii="宋体" w:hAnsi="宋体" w:cs="宋体"/>
                <w:color w:val="auto"/>
                <w:kern w:val="0"/>
                <w:sz w:val="22"/>
                <w:szCs w:val="22"/>
                <w:highlight w:val="none"/>
                <w:lang w:bidi="ar"/>
              </w:rPr>
              <w:t>长</w:t>
            </w:r>
            <w:r>
              <w:rPr>
                <w:rStyle w:val="193"/>
                <w:rFonts w:hint="eastAsia" w:ascii="宋体" w:hAnsi="宋体" w:eastAsia="宋体" w:cs="宋体"/>
                <w:color w:val="auto"/>
                <w:sz w:val="22"/>
                <w:szCs w:val="22"/>
                <w:highlight w:val="none"/>
                <w:lang w:bidi="ar"/>
              </w:rPr>
              <w:t>袖特</w:t>
            </w:r>
            <w:r>
              <w:rPr>
                <w:rFonts w:hint="eastAsia" w:ascii="宋体" w:hAnsi="宋体" w:cs="宋体"/>
                <w:color w:val="auto"/>
                <w:kern w:val="0"/>
                <w:sz w:val="22"/>
                <w:szCs w:val="22"/>
                <w:highlight w:val="none"/>
                <w:lang w:bidi="ar"/>
              </w:rPr>
              <w:t>单</w:t>
            </w:r>
            <w:r>
              <w:rPr>
                <w:rStyle w:val="193"/>
                <w:rFonts w:hint="eastAsia" w:ascii="宋体" w:hAnsi="宋体" w:eastAsia="宋体" w:cs="宋体"/>
                <w:color w:val="auto"/>
                <w:sz w:val="22"/>
                <w:szCs w:val="22"/>
                <w:highlight w:val="none"/>
                <w:lang w:bidi="ar"/>
              </w:rPr>
              <w:t>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JT/C23.5*20 140*71/葡萄紫/V领/长袖/螺纹袖口/下两贴袋/左胸盼盼</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ICU医生冬装特单裤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JT/C23.5*20 140*71/葡萄紫/腰松紧带+绑带/两侧斜口袋/无拉链</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短袖短装夏装护士服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JT/C45/2*21 138*71 全精梳漂白 /圆领/前开2明扣3暗扣/下两贴袋/短袖/左胸盼盼/左臂绣医院LOGO</w:t>
            </w:r>
          </w:p>
        </w:tc>
      </w:tr>
      <w:tr>
        <w:tblPrEx>
          <w:tblCellMar>
            <w:top w:w="0" w:type="dxa"/>
            <w:left w:w="108" w:type="dxa"/>
            <w:bottom w:w="0" w:type="dxa"/>
            <w:right w:w="108" w:type="dxa"/>
          </w:tblCellMar>
        </w:tblPrEx>
        <w:trPr>
          <w:trHeight w:val="704"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短袖短装夏装护士长服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JT/C23.5*20 140*71 白 /西装领/前开4明扣/下两贴袋/七分袖/左胸盼盼/左臂绣医院LOGO</w:t>
            </w:r>
          </w:p>
        </w:tc>
      </w:tr>
      <w:tr>
        <w:tblPrEx>
          <w:tblCellMar>
            <w:top w:w="0" w:type="dxa"/>
            <w:left w:w="108" w:type="dxa"/>
            <w:bottom w:w="0" w:type="dxa"/>
            <w:right w:w="108" w:type="dxa"/>
          </w:tblCellMar>
        </w:tblPrEx>
        <w:trPr>
          <w:trHeight w:val="916"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玫瑰紫夏装工作服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BJT/C 25*22.6 104*61 玫瑰紫/V领/短袖/下两贴袋/左胸盼盼</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玫瑰紫夏装工作裤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BJT/C 25*22.6 104*61 玫瑰紫/腰松紧带+绑带/两侧斜口袋/无拉链</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玫瑰紫外套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BJT/C 25*22.6 104*61 玫瑰紫/单层/夹克型/领子袖口螺纹/双斜口袋</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48</w:t>
            </w:r>
          </w:p>
        </w:tc>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藏青色马甲</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77.4%聚酯纤维，22.6%粘纤/藏青色</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49</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藏青色裤子</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77.4%聚酯纤维，22.6%粘纤/藏青色</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50</w:t>
            </w:r>
          </w:p>
        </w:tc>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藏青色西装外套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77.4%聚酯纤维，22.6%粘纤/藏青色</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51</w:t>
            </w:r>
          </w:p>
        </w:tc>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白色长袖衬衫</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白色/75%聚纤+25%棉</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浅紫莲外套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T/C 65/35浅紫莲/单层/夹克型/领子袖口粉色螺纹/双斜口袋</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53</w:t>
            </w:r>
          </w:p>
        </w:tc>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供应室工作服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BJT/C 20*16 122*60 墨绿/前3贴袋/前开4扣/长袖袖口单扣/小圆翻领/</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54</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供应室工作裤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BJT/C 20*16 122*60 墨绿/腰松紧带+绑带/两侧口袋/无拉链</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55</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夏装工作服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B-43 BJT/C25*22.6 104*61/葡萄紫/V领/左胸贴袋/下两贴袋/胸口明扣</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56</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夏装工作裤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B-43 BJT/C25*22.6 104*61/葡萄紫/无门襟/腰松紧带+绑带/两侧口袋</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手术室</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品名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規格</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绿双层大单</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C20*16 128*60/制作尺寸140*200cm/中间无车缝线/颜色为深绿斜纹</w:t>
            </w:r>
          </w:p>
        </w:tc>
      </w:tr>
      <w:tr>
        <w:tblPrEx>
          <w:tblCellMar>
            <w:top w:w="0" w:type="dxa"/>
            <w:left w:w="108" w:type="dxa"/>
            <w:bottom w:w="0" w:type="dxa"/>
            <w:right w:w="108" w:type="dxa"/>
          </w:tblCellMar>
        </w:tblPrEx>
        <w:trPr>
          <w:trHeight w:val="92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方洞巾</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C20*16 128*60/制作尺寸145*191cm，正方形洞口边长13公分/颜色为深绿斜纹</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绿单层治疗巾</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C20*16 128*60/制作尺寸40*60公分/颜色为深绿斜纹/单层</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治疗</w:t>
            </w:r>
            <w:r>
              <w:rPr>
                <w:rStyle w:val="193"/>
                <w:rFonts w:hint="eastAsia" w:ascii="宋体" w:hAnsi="宋体" w:eastAsia="宋体" w:cs="宋体"/>
                <w:color w:val="auto"/>
                <w:sz w:val="22"/>
                <w:szCs w:val="22"/>
                <w:highlight w:val="none"/>
                <w:lang w:bidi="ar"/>
              </w:rPr>
              <w:t>巾-1</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双层：一面防水超纤维，一面吸水层/制作尺寸70*80公分</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中大单-1</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防水面=200*180公分（单层四周折边）</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大洞巾-1</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缝边红色为记号，尺寸加大至330*220公分</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外包布</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面料：超纤维/制作尺寸90*90公分/单层/四边滚蓝色为记号</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外包布</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面料：超纤维/制作尺寸150*150公分/单层/四边滚黄色为记号</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手术衣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前片+袖防水/後片=T/C钴蓝</w:t>
            </w:r>
          </w:p>
        </w:tc>
      </w:tr>
      <w:tr>
        <w:tblPrEx>
          <w:tblCellMar>
            <w:top w:w="0" w:type="dxa"/>
            <w:left w:w="108" w:type="dxa"/>
            <w:bottom w:w="0" w:type="dxa"/>
            <w:right w:w="108" w:type="dxa"/>
          </w:tblCellMar>
        </w:tblPrEx>
        <w:trPr>
          <w:trHeight w:val="60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10</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上约束带</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主体制作尺寸26*11cm/4条绑带/绑带尺寸40*3CM/主体4层/绑带2层</w:t>
            </w:r>
          </w:p>
        </w:tc>
      </w:tr>
      <w:tr>
        <w:tblPrEx>
          <w:tblCellMar>
            <w:top w:w="0" w:type="dxa"/>
            <w:left w:w="108" w:type="dxa"/>
            <w:bottom w:w="0" w:type="dxa"/>
            <w:right w:w="108" w:type="dxa"/>
          </w:tblCellMar>
        </w:tblPrEx>
        <w:trPr>
          <w:trHeight w:val="60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11</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下约束带</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主体制作尺寸50*11cm/4条绑带/绑带尺寸50*3CM/主体4层/绑带2层</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手术室夏装外套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表布12860绿/单层/夹克型/领子袖口绿色螺纹/双斜口袋</w:t>
            </w:r>
          </w:p>
        </w:tc>
      </w:tr>
      <w:tr>
        <w:tblPrEx>
          <w:tblCellMar>
            <w:top w:w="0" w:type="dxa"/>
            <w:left w:w="108" w:type="dxa"/>
            <w:bottom w:w="0" w:type="dxa"/>
            <w:right w:w="108" w:type="dxa"/>
          </w:tblCellMar>
        </w:tblPrEx>
        <w:trPr>
          <w:trHeight w:val="316"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13</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手术室外套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表布12860绿/内里绒布/夹克型/领子袖口绿色螺纹/双斜口袋</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眼科洞巾</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C21*21 108*53/兰色/制作尺寸144*120cm/洞口直径10cm</w:t>
            </w:r>
          </w:p>
        </w:tc>
      </w:tr>
      <w:tr>
        <w:tblPrEx>
          <w:tblCellMar>
            <w:top w:w="0" w:type="dxa"/>
            <w:left w:w="108" w:type="dxa"/>
            <w:bottom w:w="0" w:type="dxa"/>
            <w:right w:w="108" w:type="dxa"/>
          </w:tblCellMar>
        </w:tblPrEx>
        <w:trPr>
          <w:trHeight w:val="739"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绿手术衣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C21*21 108*58/深果绿/罗纹袖口/搁手层/反穿且背面全包/四组绑带/双臂袖做双层</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单层治疗巾</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C20*16 128*60深墨绿色/制作尺寸75*75cm/单层</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17</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手术室参观衣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防静电材质</w:t>
            </w:r>
          </w:p>
        </w:tc>
      </w:tr>
      <w:tr>
        <w:tblPrEx>
          <w:tblCellMar>
            <w:top w:w="0" w:type="dxa"/>
            <w:left w:w="108" w:type="dxa"/>
            <w:bottom w:w="0" w:type="dxa"/>
            <w:right w:w="108" w:type="dxa"/>
          </w:tblCellMar>
        </w:tblPrEx>
        <w:trPr>
          <w:trHeight w:val="92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18</w:t>
            </w:r>
          </w:p>
        </w:tc>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手术室恢复床绿床包-1</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BJT/C20*16 122*60 墨绿色 /制作尺寸215*60↓15cm附松紧带/颜色为深绿斜纹/手术床床垫尺寸：198*50*8/印字”苍医手术室“/红色字体尺寸：长5cm,宽4cm/</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胡绿刷手衣-1</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CVC28*28 124*65 65*35/胡绿色/V领/左胸贴袋</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胡绿刷手衣-2</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CVC28*28 124*65 65*35/胡绿色/螺纹领/左胸贴袋</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胡绿刷手裤</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CVC28*28 124*65 65*35/胡绿色/腰绑带/左右大腿外侧贴口袋</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其他</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品名</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規格</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輸送車罩(淨)</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深藍/经密加厚防水布料/105*75*105CM/罩式/ 105其中一面中間交叉4吋/</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輸送車罩(污)</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咖啡色/经密加厚防水布料/105*75*105CM/罩式/ 105其中一面中間交叉4吋/</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污衣袋(一般)</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黃色/制作尺寸90*80cm/防水牛津布</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污衣袋(一般)</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黃色/制作尺寸90*110cm/防水牛津布</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污衣袋(一般)</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红色/制作尺寸90*80cm/防水牛津布</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污衣袋(一般)</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红色/制作尺寸90*110cm/防水牛津布</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防尘套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kern w:val="0"/>
                <w:sz w:val="22"/>
                <w:szCs w:val="22"/>
                <w:highlight w:val="none"/>
                <w:lang w:bidi="ar"/>
              </w:rPr>
              <w:t>灰白色/防水牛津布/个别尺寸及数量</w:t>
            </w:r>
            <w:r>
              <w:rPr>
                <w:rFonts w:hint="eastAsia" w:ascii="宋体" w:hAnsi="宋体" w:cs="宋体"/>
                <w:color w:val="auto"/>
                <w:kern w:val="0"/>
                <w:sz w:val="22"/>
                <w:szCs w:val="22"/>
                <w:highlight w:val="none"/>
                <w:lang w:val="en-US" w:eastAsia="zh-CN" w:bidi="ar"/>
              </w:rPr>
              <w:t>须按院方要求足量提供</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小棉芯</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600g/九曲棉/100*100cm</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毛巾毯</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纯棉/蓝色/尺寸150*200/1000g</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大浴巾</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纯棉/尺寸70*140cm/280g</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11</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棉芯</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2000克九曲棉 150*200CM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12</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枕芯</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600克九曲棉 45*70cm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X光衣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CVC40/2*30 90*60浅兰格/套穿式長袍5分袖/圓領</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隔離衣</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TC25*22.6 104*61淺藍色/反穿後綁帶/螺纹袖口</w:t>
            </w:r>
          </w:p>
        </w:tc>
      </w:tr>
      <w:tr>
        <w:tblPrEx>
          <w:tblCellMar>
            <w:top w:w="0" w:type="dxa"/>
            <w:left w:w="108" w:type="dxa"/>
            <w:bottom w:w="0" w:type="dxa"/>
            <w:right w:w="108" w:type="dxa"/>
          </w:tblCellMar>
        </w:tblPrEx>
        <w:trPr>
          <w:trHeight w:val="724"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康复科理疗床单</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浅绿色TC25*22.6 65*35 104*61/制作尺寸110*210公分，椭圆形洞长径20公分，短径18公分</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16</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圆护士帽</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B-43 BJT/C25*22.6 104*61/葡萄紫/样式如附件</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空调被-1.8米床</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100%聚酯纤维/2000g/尺寸230*230cm/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18</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输液室手垫</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BJT/C20*16 122*60 墨绿 /尺寸40*60/中间车线/每本15页/每本第一张印字“苍医输液室”/红色字体/单子尺寸</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19</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ICU水垫套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翠绿/制作尺寸50*30CM</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ICU冰袋套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靠兰/制作尺寸20*30CM</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新生儿科保温箱套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C20*16 128*60深墨绿色/制作尺寸长95*宽50*高65CM</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新生儿科包被套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彩色三角花65*35 138*71/制作尺寸95*60CM/上下各2绑带/双层/</w:t>
            </w:r>
          </w:p>
        </w:tc>
      </w:tr>
      <w:tr>
        <w:tblPrEx>
          <w:tblCellMar>
            <w:top w:w="0" w:type="dxa"/>
            <w:left w:w="108" w:type="dxa"/>
            <w:bottom w:w="0" w:type="dxa"/>
            <w:right w:w="108" w:type="dxa"/>
          </w:tblCellMar>
        </w:tblPrEx>
        <w:trPr>
          <w:trHeight w:val="40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空调被</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100%聚酯纤维/1500g/尺寸150*200cm/</w:t>
            </w:r>
          </w:p>
        </w:tc>
      </w:tr>
      <w:tr>
        <w:tblPrEx>
          <w:tblCellMar>
            <w:top w:w="0" w:type="dxa"/>
            <w:left w:w="108" w:type="dxa"/>
            <w:bottom w:w="0" w:type="dxa"/>
            <w:right w:w="108" w:type="dxa"/>
          </w:tblCellMar>
        </w:tblPrEx>
        <w:trPr>
          <w:trHeight w:val="92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24</w:t>
            </w:r>
          </w:p>
        </w:tc>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ICU防漏中单-普通床</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双层：一面防水超纤维，一面吸水层/绿色超细纤维面料/超细纤维尺寸90*75公分/两边缝T/C 80/蓝/尺寸90*15cm</w:t>
            </w:r>
          </w:p>
        </w:tc>
      </w:tr>
      <w:tr>
        <w:tblPrEx>
          <w:tblCellMar>
            <w:top w:w="0" w:type="dxa"/>
            <w:left w:w="108" w:type="dxa"/>
            <w:bottom w:w="0" w:type="dxa"/>
            <w:right w:w="108" w:type="dxa"/>
          </w:tblCellMar>
        </w:tblPrEx>
        <w:trPr>
          <w:trHeight w:val="92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25</w:t>
            </w:r>
          </w:p>
        </w:tc>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ICU防漏中单-特殊床</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双层：一面防水超纤维，一面吸水层/绿色超细纤维面料/超细纤维尺寸90*75公分/两边缝C 40*40 133*72 梅之语/尺寸90*15cm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白单层推拿巾</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C40*40 139*95  防羽府绸 /制作尺寸80*60公分</w:t>
            </w:r>
          </w:p>
        </w:tc>
      </w:tr>
      <w:tr>
        <w:tblPrEx>
          <w:tblCellMar>
            <w:top w:w="0" w:type="dxa"/>
            <w:left w:w="108" w:type="dxa"/>
            <w:bottom w:w="0" w:type="dxa"/>
            <w:right w:w="108" w:type="dxa"/>
          </w:tblCellMar>
        </w:tblPrEx>
        <w:trPr>
          <w:trHeight w:val="1110"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27</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康复科理疗床单</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浅绿色/制作尺寸110*210公分，椭圆形洞长径20公分，短径18公分，圆边距上端24公分，距左右48公分/(推拿床尺寸:192*90cm)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28</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康复科推拿床包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JT/C25*22.6 104*61/浅绿/制作尺寸202*77↓19CM/洞口大小17*15CM/两头松紧带（床垫尺寸192*67↓9CM）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29</w:t>
            </w:r>
          </w:p>
        </w:tc>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供应室小洞巾</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C20*16 128*60深墨绿色/单层/制作尺寸65*65cm/洞口直径9.5cm/洞口开正中间/印字“苍医供应室”</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30</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新生儿科奶瓶罐罩</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C20*16 128*60深墨绿色/单层/直径45cm/高60cm/一头绑带</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婴儿床防尘套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灰白色/防水牛津布/尺寸82*52↓60cm/</w:t>
            </w:r>
          </w:p>
        </w:tc>
      </w:tr>
      <w:tr>
        <w:tblPrEx>
          <w:tblCellMar>
            <w:top w:w="0" w:type="dxa"/>
            <w:left w:w="108" w:type="dxa"/>
            <w:bottom w:w="0" w:type="dxa"/>
            <w:right w:w="108" w:type="dxa"/>
          </w:tblCellMar>
        </w:tblPrEx>
        <w:trPr>
          <w:trHeight w:val="608"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门诊检查床枕套-1</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BJT/C45/2*21 138*71 /浅绿/制作尺寸50*75公分/信封式开口</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门诊检查床床单</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BJT/C45/2*21 138*71 /浅绿/制作尺寸200*70↓20+花折15公分/床垫尺寸：190*60*20cm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产科防水小床包</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黃色/制作尺寸100*80*7/防水牛津布/四角松紧带/印字“苍医产科”/字体大小：长5cm,宽4cm/床垫尺寸98*78*6cm</w:t>
            </w:r>
          </w:p>
        </w:tc>
      </w:tr>
      <w:tr>
        <w:tblPrEx>
          <w:tblCellMar>
            <w:top w:w="0" w:type="dxa"/>
            <w:left w:w="108" w:type="dxa"/>
            <w:bottom w:w="0" w:type="dxa"/>
            <w:right w:w="108" w:type="dxa"/>
          </w:tblCellMar>
        </w:tblPrEx>
        <w:trPr>
          <w:trHeight w:val="62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35</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卡通花色床垫套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C16*16 72*60/ 制作尺寸95*65公分/双层，信封式开口</w:t>
            </w:r>
          </w:p>
        </w:tc>
      </w:tr>
      <w:tr>
        <w:tblPrEx>
          <w:tblCellMar>
            <w:top w:w="0" w:type="dxa"/>
            <w:left w:w="108" w:type="dxa"/>
            <w:bottom w:w="0" w:type="dxa"/>
            <w:right w:w="108" w:type="dxa"/>
          </w:tblCellMar>
        </w:tblPrEx>
        <w:trPr>
          <w:trHeight w:val="632"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36</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卡通花色被套</w:t>
            </w:r>
          </w:p>
        </w:tc>
        <w:tc>
          <w:tcPr>
            <w:tcW w:w="7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C16*16 72*60/ 制作尺寸95*85公分/85公分开口两組绑带</w:t>
            </w:r>
          </w:p>
        </w:tc>
      </w:tr>
    </w:tbl>
    <w:p>
      <w:pPr>
        <w:spacing w:line="360" w:lineRule="auto"/>
        <w:ind w:firstLine="420" w:firstLineChars="200"/>
        <w:rPr>
          <w:rFonts w:hint="eastAsia" w:ascii="宋体" w:hAnsi="宋体"/>
          <w:color w:val="auto"/>
          <w:highlight w:val="none"/>
        </w:rPr>
      </w:pPr>
      <w:r>
        <w:rPr>
          <w:rFonts w:hint="eastAsia" w:ascii="宋体" w:hAnsi="宋体"/>
          <w:color w:val="auto"/>
          <w:highlight w:val="none"/>
        </w:rPr>
        <w:t>注：</w:t>
      </w:r>
      <w:r>
        <w:rPr>
          <w:rFonts w:hint="eastAsia" w:ascii="宋体" w:hAnsi="宋体"/>
          <w:color w:val="auto"/>
          <w:highlight w:val="none"/>
          <w:lang w:val="en-US" w:eastAsia="zh-CN"/>
        </w:rPr>
        <w:t>1.</w:t>
      </w:r>
      <w:r>
        <w:rPr>
          <w:rFonts w:hint="eastAsia" w:ascii="宋体" w:hAnsi="宋体"/>
          <w:color w:val="auto"/>
          <w:highlight w:val="none"/>
        </w:rPr>
        <w:t>上述清单内容为暂定采购内容，规格描述仅供参考，具体规格要求各供应商可根据现场踏勘后并考虑其报价风险。采购人可根据医院实际采购需求调整，后续中标单价不再调整。后期按照当日服务费=（当日实际使用床位数量+血透室床位数量（50床）+值班室床位数量（25床））*各区间床位数每床位每日所需布品综合单价最高限价*中标折扣率统计。</w:t>
      </w:r>
      <w:r>
        <w:rPr>
          <w:rFonts w:hint="eastAsia" w:ascii="宋体" w:hAnsi="宋体"/>
          <w:color w:val="auto"/>
          <w:highlight w:val="none"/>
          <w:lang w:eastAsia="zh-CN"/>
        </w:rPr>
        <w:t>实际累计总结算金额不得超过预算金额</w:t>
      </w:r>
      <w:r>
        <w:rPr>
          <w:rFonts w:hint="eastAsia" w:ascii="宋体" w:hAnsi="宋体"/>
          <w:color w:val="auto"/>
          <w:highlight w:val="none"/>
        </w:rPr>
        <w:t>，否则按相关政策执行。</w:t>
      </w:r>
    </w:p>
    <w:p>
      <w:pPr>
        <w:spacing w:line="360" w:lineRule="auto"/>
        <w:ind w:firstLine="420" w:firstLineChars="200"/>
        <w:rPr>
          <w:color w:val="auto"/>
          <w:highlight w:val="none"/>
        </w:rPr>
      </w:pPr>
      <w:r>
        <w:rPr>
          <w:rFonts w:hint="eastAsia" w:ascii="宋体" w:hAnsi="宋体"/>
          <w:color w:val="auto"/>
          <w:highlight w:val="none"/>
        </w:rPr>
        <w:t>3、商务条款：</w:t>
      </w:r>
    </w:p>
    <w:p>
      <w:pPr>
        <w:spacing w:line="360" w:lineRule="auto"/>
        <w:ind w:firstLine="420" w:firstLineChars="200"/>
        <w:rPr>
          <w:rFonts w:ascii="宋体" w:hAnsi="宋体"/>
          <w:color w:val="auto"/>
          <w:highlight w:val="none"/>
        </w:rPr>
      </w:pPr>
      <w:r>
        <w:rPr>
          <w:rFonts w:hint="eastAsia" w:ascii="宋体" w:hAnsi="宋体"/>
          <w:color w:val="auto"/>
          <w:highlight w:val="none"/>
        </w:rPr>
        <w:t>3.1合同期限：自合同签订起一年或实际结算金额接近采购预算。</w:t>
      </w:r>
    </w:p>
    <w:p>
      <w:pPr>
        <w:widowControl/>
        <w:spacing w:line="360" w:lineRule="auto"/>
        <w:ind w:firstLine="420" w:firstLineChars="200"/>
        <w:jc w:val="left"/>
        <w:rPr>
          <w:rFonts w:ascii="宋体" w:hAnsi="宋体"/>
          <w:color w:val="auto"/>
          <w:highlight w:val="none"/>
        </w:rPr>
      </w:pPr>
      <w:r>
        <w:rPr>
          <w:rFonts w:hint="eastAsia" w:ascii="宋体" w:hAnsi="宋体"/>
          <w:color w:val="auto"/>
          <w:highlight w:val="none"/>
        </w:rPr>
        <w:t>3.2付款方式：</w:t>
      </w:r>
    </w:p>
    <w:p>
      <w:pPr>
        <w:widowControl/>
        <w:spacing w:line="360" w:lineRule="auto"/>
        <w:ind w:firstLine="420" w:firstLineChars="200"/>
        <w:jc w:val="left"/>
        <w:rPr>
          <w:rFonts w:ascii="宋体" w:hAnsi="宋体"/>
          <w:color w:val="auto"/>
          <w:highlight w:val="none"/>
        </w:rPr>
      </w:pPr>
      <w:r>
        <w:rPr>
          <w:rFonts w:hint="eastAsia" w:ascii="宋体" w:hAnsi="宋体"/>
          <w:color w:val="auto"/>
          <w:highlight w:val="none"/>
        </w:rPr>
        <w:t>①签订合同后七个工作日内，中标单位向采购人支付</w:t>
      </w:r>
      <w:r>
        <w:rPr>
          <w:rFonts w:hint="eastAsia" w:ascii="宋体" w:hAnsi="宋体"/>
          <w:color w:val="auto"/>
          <w:highlight w:val="none"/>
          <w:lang w:val="en-US" w:eastAsia="zh-CN"/>
        </w:rPr>
        <w:t>合同总价的5%</w:t>
      </w:r>
      <w:r>
        <w:rPr>
          <w:rFonts w:hint="eastAsia" w:ascii="宋体" w:hAnsi="宋体"/>
          <w:color w:val="auto"/>
          <w:highlight w:val="none"/>
        </w:rPr>
        <w:t>作为履约保证金，采购人向中标单位支付合同总价的10%作为预付款；</w:t>
      </w:r>
    </w:p>
    <w:p>
      <w:pPr>
        <w:widowControl/>
        <w:spacing w:line="360" w:lineRule="auto"/>
        <w:ind w:firstLine="420" w:firstLineChars="200"/>
        <w:jc w:val="left"/>
        <w:rPr>
          <w:rFonts w:ascii="宋体" w:hAnsi="宋体"/>
          <w:color w:val="auto"/>
          <w:highlight w:val="none"/>
        </w:rPr>
      </w:pPr>
      <w:r>
        <w:rPr>
          <w:rFonts w:hint="eastAsia" w:ascii="宋体" w:hAnsi="宋体"/>
          <w:color w:val="auto"/>
          <w:highlight w:val="none"/>
        </w:rPr>
        <w:t>②按月支付，采购人在次月5日前收到中标人每月租赁布服累计报表并审核后根据中标单位开具的正规发票按实结算。（扣除预付款及相关罚款金额后支付）。</w:t>
      </w:r>
    </w:p>
    <w:p>
      <w:pPr>
        <w:widowControl/>
        <w:spacing w:line="360" w:lineRule="auto"/>
        <w:ind w:firstLine="420" w:firstLineChars="200"/>
        <w:jc w:val="left"/>
        <w:rPr>
          <w:rFonts w:ascii="宋体" w:hAnsi="宋体"/>
          <w:color w:val="auto"/>
          <w:highlight w:val="none"/>
        </w:rPr>
      </w:pPr>
      <w:r>
        <w:rPr>
          <w:rFonts w:hint="eastAsia" w:ascii="宋体" w:hAnsi="宋体"/>
          <w:color w:val="auto"/>
          <w:highlight w:val="none"/>
        </w:rPr>
        <w:t>③合同期满后，采购人一次性无息退还履约保证金。</w:t>
      </w:r>
    </w:p>
    <w:p>
      <w:pPr>
        <w:spacing w:line="360" w:lineRule="auto"/>
        <w:rPr>
          <w:rFonts w:ascii="宋体" w:hAnsi="宋体" w:cs="宋体"/>
          <w:b/>
          <w:color w:val="auto"/>
          <w:kern w:val="0"/>
          <w:sz w:val="24"/>
          <w:highlight w:val="none"/>
        </w:rPr>
      </w:pPr>
      <w:r>
        <w:rPr>
          <w:rFonts w:hint="eastAsia" w:ascii="宋体" w:hAnsi="宋体" w:cs="宋体"/>
          <w:b/>
          <w:color w:val="auto"/>
          <w:kern w:val="0"/>
          <w:sz w:val="24"/>
          <w:highlight w:val="none"/>
        </w:rPr>
        <w:t>三、具体要求</w:t>
      </w:r>
    </w:p>
    <w:p>
      <w:pPr>
        <w:spacing w:line="360" w:lineRule="auto"/>
        <w:rPr>
          <w:b/>
          <w:color w:val="auto"/>
          <w:highlight w:val="none"/>
        </w:rPr>
      </w:pPr>
      <w:r>
        <w:rPr>
          <w:rFonts w:hint="eastAsia"/>
          <w:b/>
          <w:color w:val="auto"/>
          <w:highlight w:val="none"/>
        </w:rPr>
        <w:t>（一）基本要求</w:t>
      </w:r>
    </w:p>
    <w:p>
      <w:pPr>
        <w:spacing w:line="360" w:lineRule="auto"/>
        <w:rPr>
          <w:rFonts w:ascii="宋体" w:hAnsi="宋体"/>
          <w:color w:val="auto"/>
          <w:highlight w:val="none"/>
        </w:rPr>
      </w:pPr>
      <w:r>
        <w:rPr>
          <w:rFonts w:ascii="宋体" w:hAnsi="宋体"/>
          <w:color w:val="auto"/>
          <w:highlight w:val="none"/>
        </w:rPr>
        <w:t>1</w:t>
      </w:r>
      <w:r>
        <w:rPr>
          <w:rFonts w:hint="eastAsia" w:ascii="宋体" w:hAnsi="宋体"/>
          <w:color w:val="auto"/>
          <w:highlight w:val="none"/>
        </w:rPr>
        <w:t>.采购人提供给中标人工作人员休息场所，提供污衣、洁衣中转场地，洁衣储存间的卫生和消毒工作由中标人负责。</w:t>
      </w:r>
    </w:p>
    <w:p>
      <w:pPr>
        <w:spacing w:line="360" w:lineRule="auto"/>
        <w:rPr>
          <w:rFonts w:ascii="宋体" w:hAnsi="宋体"/>
          <w:color w:val="auto"/>
          <w:highlight w:val="none"/>
        </w:rPr>
      </w:pPr>
      <w:r>
        <w:rPr>
          <w:rFonts w:hint="eastAsia" w:ascii="宋体" w:hAnsi="宋体"/>
          <w:color w:val="auto"/>
          <w:highlight w:val="none"/>
        </w:rPr>
        <w:t>2.采购人可不定期到中标人的洗涤现场对工作质量进行监督和指导，中标人应无条件配合，不得拒绝。</w:t>
      </w:r>
    </w:p>
    <w:p>
      <w:pPr>
        <w:spacing w:line="360" w:lineRule="auto"/>
        <w:rPr>
          <w:rFonts w:ascii="宋体" w:hAnsi="宋体"/>
          <w:color w:val="auto"/>
          <w:highlight w:val="none"/>
        </w:rPr>
      </w:pPr>
      <w:r>
        <w:rPr>
          <w:rFonts w:ascii="宋体" w:hAnsi="宋体"/>
          <w:color w:val="auto"/>
          <w:highlight w:val="none"/>
        </w:rPr>
        <w:t>3</w:t>
      </w:r>
      <w:r>
        <w:rPr>
          <w:rFonts w:hint="eastAsia" w:ascii="宋体" w:hAnsi="宋体"/>
          <w:color w:val="auto"/>
          <w:highlight w:val="none"/>
        </w:rPr>
        <w:t>.中标人用污衣袋将病人和工作人员的污衣物根据院感要求分开打包，打包污衣袋由中标人免费提供。对污衣袋包装的衣物，应在外包装上标明品种和数量给予登记，并按行业规定作特殊强化洗涤与消毒处理。采购人的衣物要求使用</w:t>
      </w:r>
      <w:r>
        <w:rPr>
          <w:rFonts w:hint="eastAsia" w:ascii="宋体" w:hAnsi="宋体"/>
          <w:b/>
          <w:bCs/>
          <w:color w:val="auto"/>
          <w:highlight w:val="none"/>
        </w:rPr>
        <w:t>医用隔离机实现清污分离洗涤的同时，设定专用</w:t>
      </w:r>
      <w:r>
        <w:rPr>
          <w:rFonts w:hint="eastAsia" w:ascii="宋体" w:hAnsi="宋体"/>
          <w:color w:val="auto"/>
          <w:highlight w:val="none"/>
        </w:rPr>
        <w:t>洗衣机，专机专洗，病人和工作人员衣物分开洗，分开烘干，同时不得和其他医院混洗，混烘干，混放等。</w:t>
      </w:r>
    </w:p>
    <w:p>
      <w:pPr>
        <w:spacing w:line="360" w:lineRule="auto"/>
        <w:rPr>
          <w:rFonts w:ascii="宋体" w:hAnsi="宋体"/>
          <w:color w:val="auto"/>
          <w:highlight w:val="none"/>
        </w:rPr>
      </w:pPr>
      <w:r>
        <w:rPr>
          <w:rFonts w:ascii="宋体" w:hAnsi="宋体"/>
          <w:color w:val="auto"/>
          <w:highlight w:val="none"/>
        </w:rPr>
        <w:t>4</w:t>
      </w:r>
      <w:r>
        <w:rPr>
          <w:rFonts w:hint="eastAsia" w:ascii="宋体" w:hAnsi="宋体"/>
          <w:color w:val="auto"/>
          <w:highlight w:val="none"/>
        </w:rPr>
        <w:t>.中标人负责每天（含所有节假日）到采购人指定地点收污衣，送洁衣。实行每天收送制度（如一收一送未收送完成，须视情况增加收送次数），收送衣物时间按照采购人要求执行。打包污衣的污衣袋和打包洁衣的洁衣袋由中标人免费提供使用。为符合感染控制要求，中标人不得于院内除污衣清点间外任何地点进行污衣清点；传染性（感染性）的织物，分类收集并于污衣袋上注明日期及做好感染标识后，收回中标人处按要求处理。</w:t>
      </w:r>
    </w:p>
    <w:p>
      <w:pPr>
        <w:spacing w:line="360" w:lineRule="auto"/>
        <w:rPr>
          <w:rFonts w:ascii="宋体" w:hAnsi="宋体"/>
          <w:color w:val="auto"/>
          <w:highlight w:val="none"/>
        </w:rPr>
      </w:pPr>
      <w:r>
        <w:rPr>
          <w:rFonts w:ascii="宋体" w:hAnsi="宋体"/>
          <w:color w:val="auto"/>
          <w:highlight w:val="none"/>
        </w:rPr>
        <w:t>5</w:t>
      </w:r>
      <w:r>
        <w:rPr>
          <w:rFonts w:hint="eastAsia" w:ascii="宋体" w:hAnsi="宋体"/>
          <w:color w:val="auto"/>
          <w:highlight w:val="none"/>
        </w:rPr>
        <w:t>.中标人负责和医院人员共同完成收送清点工作任务，每次送洁净织物的数量及品种依照前一天的收污衣的数量及品种（以前一天的洗衣单、返洗单数量和品种为准）作验收，</w:t>
      </w:r>
      <w:r>
        <w:rPr>
          <w:rFonts w:ascii="宋体" w:hAnsi="宋体"/>
          <w:color w:val="auto"/>
          <w:highlight w:val="none"/>
        </w:rPr>
        <w:t>100%</w:t>
      </w:r>
      <w:r>
        <w:rPr>
          <w:rFonts w:hint="eastAsia" w:ascii="宋体" w:hAnsi="宋体"/>
          <w:color w:val="auto"/>
          <w:highlight w:val="none"/>
        </w:rPr>
        <w:t>保证按污衣数量和品种送齐</w:t>
      </w:r>
      <w:r>
        <w:rPr>
          <w:rFonts w:ascii="宋体" w:hAnsi="宋体"/>
          <w:color w:val="auto"/>
          <w:highlight w:val="none"/>
        </w:rPr>
        <w:t>(</w:t>
      </w:r>
      <w:r>
        <w:rPr>
          <w:rFonts w:hint="eastAsia" w:ascii="宋体" w:hAnsi="宋体"/>
          <w:color w:val="auto"/>
          <w:highlight w:val="none"/>
        </w:rPr>
        <w:t>返洗及缝补的除外</w:t>
      </w:r>
      <w:r>
        <w:rPr>
          <w:rFonts w:ascii="宋体" w:hAnsi="宋体"/>
          <w:color w:val="auto"/>
          <w:highlight w:val="none"/>
        </w:rPr>
        <w:t>)</w:t>
      </w:r>
      <w:r>
        <w:rPr>
          <w:rFonts w:hint="eastAsia" w:ascii="宋体" w:hAnsi="宋体"/>
          <w:color w:val="auto"/>
          <w:highlight w:val="none"/>
        </w:rPr>
        <w:t>，中标人负责将洁衣送到各个科室。</w:t>
      </w:r>
    </w:p>
    <w:p>
      <w:pPr>
        <w:spacing w:line="360" w:lineRule="auto"/>
        <w:rPr>
          <w:color w:val="auto"/>
          <w:highlight w:val="none"/>
        </w:rPr>
      </w:pPr>
      <w:r>
        <w:rPr>
          <w:rFonts w:hint="eastAsia"/>
          <w:color w:val="auto"/>
          <w:highlight w:val="none"/>
        </w:rPr>
        <w:t>6. 按时、按量、保证质量完成医院交给的洗涤和配送任务，若因中标人的缘故导致衣物布草洗涤质量达不到正常卫生标准，而影响采购人织物使用和供应，应在双方交接时提出并立即退回中标人免费返洗，填写返洗单，双方确认签名。次日送洁衣时一并送回。</w:t>
      </w:r>
    </w:p>
    <w:p>
      <w:pPr>
        <w:spacing w:line="360" w:lineRule="auto"/>
        <w:rPr>
          <w:color w:val="auto"/>
          <w:highlight w:val="none"/>
        </w:rPr>
      </w:pPr>
      <w:r>
        <w:rPr>
          <w:rFonts w:hint="eastAsia"/>
          <w:color w:val="auto"/>
          <w:highlight w:val="none"/>
        </w:rPr>
        <w:t>7.中标人除洗干净、干燥、叠好、熨平外，还要对有破损或无钮扣的衣物布草给予免费缝补及补钉钮扣等工作，材料由中标人负责。</w:t>
      </w:r>
    </w:p>
    <w:p>
      <w:pPr>
        <w:spacing w:line="360" w:lineRule="auto"/>
        <w:rPr>
          <w:color w:val="auto"/>
          <w:highlight w:val="none"/>
        </w:rPr>
      </w:pPr>
      <w:r>
        <w:rPr>
          <w:rFonts w:hint="eastAsia"/>
          <w:color w:val="auto"/>
          <w:highlight w:val="none"/>
        </w:rPr>
        <w:t>8.中标人每月</w:t>
      </w:r>
      <w:r>
        <w:rPr>
          <w:color w:val="auto"/>
          <w:highlight w:val="none"/>
        </w:rPr>
        <w:t>5</w:t>
      </w:r>
      <w:r>
        <w:rPr>
          <w:rFonts w:hint="eastAsia"/>
          <w:color w:val="auto"/>
          <w:highlight w:val="none"/>
        </w:rPr>
        <w:t>号之前向采购人提交上个月的洗涤服务书面月报表，内容包括当月每天每科室洗涤各类衣物数量、当月结算金额等。采购人收到月报表后进行核实确认，根据合同约定结算。</w:t>
      </w:r>
    </w:p>
    <w:p>
      <w:pPr>
        <w:spacing w:line="360" w:lineRule="auto"/>
        <w:rPr>
          <w:color w:val="auto"/>
          <w:highlight w:val="none"/>
        </w:rPr>
      </w:pPr>
      <w:r>
        <w:rPr>
          <w:rFonts w:hint="eastAsia"/>
          <w:color w:val="auto"/>
          <w:highlight w:val="none"/>
        </w:rPr>
        <w:t>9.中标人洗涤收送服务的负责人每季度到采购人各科室和管理部门充分听取服务质量及洗涤工作意见，并收集问题登记本，对出现的问题限五个工作日内处理，请相关科室负责人签名确认，并把反馈单交洗衣部负责人签名，不断改进收送服务和洗涤工作质量等。</w:t>
      </w:r>
    </w:p>
    <w:p>
      <w:pPr>
        <w:spacing w:line="360" w:lineRule="auto"/>
        <w:rPr>
          <w:color w:val="auto"/>
          <w:highlight w:val="none"/>
        </w:rPr>
      </w:pPr>
      <w:r>
        <w:rPr>
          <w:color w:val="auto"/>
          <w:highlight w:val="none"/>
        </w:rPr>
        <w:t>1</w:t>
      </w:r>
      <w:r>
        <w:rPr>
          <w:rFonts w:hint="eastAsia"/>
          <w:color w:val="auto"/>
          <w:highlight w:val="none"/>
        </w:rPr>
        <w:t>0.为免有碍观瞻及感染防治需要，中标人于采购人院内执行污衣物回收作业时，回收车需加装帆布覆盖或用污衣袋装置污布品，且不得任意将装载污衣之污衣车、污衣袋随意放置于采购人院内走道、电梯口或任何空间，不可影响采购单位形象或业务运作。</w:t>
      </w:r>
    </w:p>
    <w:p>
      <w:pPr>
        <w:spacing w:line="360" w:lineRule="auto"/>
        <w:rPr>
          <w:color w:val="auto"/>
          <w:highlight w:val="none"/>
        </w:rPr>
      </w:pPr>
      <w:r>
        <w:rPr>
          <w:rFonts w:hint="eastAsia"/>
          <w:color w:val="auto"/>
          <w:highlight w:val="none"/>
        </w:rPr>
        <w:t>11.接送运输及费用：所有的洗涤物接送运输及费用均已包含在双方约定的医用纺织品租赁和洗涤价目中。中标人负责所有的医用纺织品租赁和洗涤衣物接送运输及费用。采购人并不需要另外支付除约定价格以外的任何其他费用。中标人因任何原因造成的采购人衣物的丢失、数目不清和意外损坏，均应负责按该洗涤物品的采购价向采购人赔偿。中标人拒不支付的，采购人有权从货款中或保证金中予以扣除。</w:t>
      </w:r>
    </w:p>
    <w:p>
      <w:pPr>
        <w:spacing w:line="360" w:lineRule="auto"/>
        <w:rPr>
          <w:color w:val="auto"/>
          <w:highlight w:val="none"/>
        </w:rPr>
      </w:pPr>
      <w:r>
        <w:rPr>
          <w:color w:val="auto"/>
          <w:highlight w:val="none"/>
        </w:rPr>
        <w:t>1</w:t>
      </w:r>
      <w:r>
        <w:rPr>
          <w:rFonts w:hint="eastAsia"/>
          <w:color w:val="auto"/>
          <w:highlight w:val="none"/>
        </w:rPr>
        <w:t>3.中标人的租赁医用纺织品和洗涤织物经验收确认为不合格的，一律由中标人无条件返工，其间所有费用均由中标人负责，采购人无需另外支付任何其它费用。</w:t>
      </w:r>
    </w:p>
    <w:p>
      <w:pPr>
        <w:spacing w:line="360" w:lineRule="auto"/>
        <w:rPr>
          <w:b/>
          <w:color w:val="auto"/>
          <w:highlight w:val="none"/>
        </w:rPr>
      </w:pPr>
      <w:r>
        <w:rPr>
          <w:rFonts w:hint="eastAsia"/>
          <w:b/>
          <w:color w:val="auto"/>
          <w:highlight w:val="none"/>
        </w:rPr>
        <w:t>（二）织物租赁要求</w:t>
      </w:r>
    </w:p>
    <w:p>
      <w:pPr>
        <w:spacing w:line="360" w:lineRule="auto"/>
        <w:rPr>
          <w:color w:val="auto"/>
          <w:highlight w:val="none"/>
        </w:rPr>
      </w:pPr>
      <w:r>
        <w:rPr>
          <w:color w:val="auto"/>
          <w:highlight w:val="none"/>
        </w:rPr>
        <w:t xml:space="preserve">1. </w:t>
      </w:r>
      <w:r>
        <w:rPr>
          <w:rFonts w:hint="eastAsia"/>
          <w:color w:val="auto"/>
          <w:highlight w:val="none"/>
        </w:rPr>
        <w:t>中标人以租赁方式供应采购方所需之医用织物。</w:t>
      </w:r>
    </w:p>
    <w:p>
      <w:pPr>
        <w:spacing w:line="360" w:lineRule="auto"/>
        <w:rPr>
          <w:color w:val="auto"/>
          <w:highlight w:val="none"/>
        </w:rPr>
      </w:pPr>
      <w:r>
        <w:rPr>
          <w:color w:val="auto"/>
          <w:highlight w:val="none"/>
        </w:rPr>
        <w:t xml:space="preserve">2. </w:t>
      </w:r>
      <w:r>
        <w:rPr>
          <w:rFonts w:hint="eastAsia"/>
          <w:color w:val="auto"/>
          <w:highlight w:val="none"/>
        </w:rPr>
        <w:t>中标人按照采购人确定的款式、材质、花式颜色等依约供货，如采购人对租赁织物的款式、材质、颜色进行调整，中标人应全力配合，且价格不变。按医院制定的计划分科室分批供应，以实际需求为准。</w:t>
      </w:r>
    </w:p>
    <w:p>
      <w:pPr>
        <w:spacing w:line="360" w:lineRule="auto"/>
        <w:rPr>
          <w:color w:val="auto"/>
          <w:highlight w:val="none"/>
        </w:rPr>
      </w:pPr>
      <w:r>
        <w:rPr>
          <w:color w:val="auto"/>
          <w:highlight w:val="none"/>
        </w:rPr>
        <w:t>3.</w:t>
      </w:r>
      <w:r>
        <w:rPr>
          <w:rFonts w:hint="eastAsia"/>
          <w:color w:val="auto"/>
          <w:highlight w:val="none"/>
        </w:rPr>
        <w:t>中标人拥有租赁物的所有权，医院有责任要求员工爱护租赁物品。</w:t>
      </w:r>
    </w:p>
    <w:p>
      <w:pPr>
        <w:spacing w:line="360" w:lineRule="auto"/>
        <w:rPr>
          <w:color w:val="auto"/>
          <w:highlight w:val="none"/>
        </w:rPr>
      </w:pPr>
      <w:r>
        <w:rPr>
          <w:color w:val="auto"/>
          <w:highlight w:val="none"/>
        </w:rPr>
        <w:t>4.</w:t>
      </w:r>
      <w:r>
        <w:rPr>
          <w:rFonts w:hint="eastAsia"/>
          <w:color w:val="auto"/>
          <w:highlight w:val="none"/>
        </w:rPr>
        <w:t>多重耐药菌的病人需根据医院要求使用不同颜色的布服衣裤。</w:t>
      </w:r>
    </w:p>
    <w:p>
      <w:pPr>
        <w:spacing w:line="360" w:lineRule="auto"/>
        <w:rPr>
          <w:color w:val="auto"/>
          <w:highlight w:val="none"/>
        </w:rPr>
      </w:pPr>
      <w:r>
        <w:rPr>
          <w:color w:val="auto"/>
          <w:highlight w:val="none"/>
        </w:rPr>
        <w:t>5.</w:t>
      </w:r>
      <w:r>
        <w:rPr>
          <w:rFonts w:hint="eastAsia"/>
          <w:color w:val="auto"/>
          <w:highlight w:val="none"/>
        </w:rPr>
        <w:t>医用织物供应必须无条件满足科室日常使用（足量配比病区布服1:5，手术室1:8，工作服1:3,）以备紧急突发状况。中标人方应确保采购方的被品有充足的数量以保证正常运行，除平时使用量不大的特殊被品外，采购方可随时领用；特殊被品的备用应在接到采购方需要补充被品的通知后，在</w:t>
      </w:r>
      <w:r>
        <w:rPr>
          <w:color w:val="auto"/>
          <w:highlight w:val="none"/>
        </w:rPr>
        <w:t>7</w:t>
      </w:r>
      <w:r>
        <w:rPr>
          <w:rFonts w:hint="eastAsia"/>
          <w:color w:val="auto"/>
          <w:highlight w:val="none"/>
        </w:rPr>
        <w:t>天内将被品补充到位。</w:t>
      </w:r>
    </w:p>
    <w:p>
      <w:pPr>
        <w:spacing w:line="360" w:lineRule="auto"/>
        <w:rPr>
          <w:color w:val="auto"/>
          <w:highlight w:val="none"/>
        </w:rPr>
      </w:pPr>
      <w:r>
        <w:rPr>
          <w:color w:val="auto"/>
          <w:highlight w:val="none"/>
        </w:rPr>
        <w:t>6.</w:t>
      </w:r>
      <w:r>
        <w:rPr>
          <w:rFonts w:hint="eastAsia"/>
          <w:b/>
          <w:bCs/>
          <w:color w:val="auto"/>
          <w:highlight w:val="none"/>
        </w:rPr>
        <w:t>为配合医院院感要求，中标人必须无条件免费提供两种颜色（分别为红色、黄色）污衣袋</w:t>
      </w:r>
      <w:r>
        <w:rPr>
          <w:rFonts w:hint="eastAsia"/>
          <w:color w:val="auto"/>
          <w:highlight w:val="none"/>
        </w:rPr>
        <w:t>，分别收放有明显污染的病人衣被、一般病人衣被及医护工作人员的工作衣服、婴幼儿衣被、手术布草。衣被收集袋应保持密闭直至清洗。所有洗净衣被应按工作人员与病人、一般污染与传染性污染分类，并用不同的包进行运送。</w:t>
      </w:r>
    </w:p>
    <w:p>
      <w:pPr>
        <w:spacing w:line="360" w:lineRule="auto"/>
        <w:rPr>
          <w:color w:val="auto"/>
          <w:highlight w:val="none"/>
        </w:rPr>
      </w:pPr>
      <w:r>
        <w:rPr>
          <w:color w:val="auto"/>
          <w:highlight w:val="none"/>
        </w:rPr>
        <w:t>6</w:t>
      </w:r>
      <w:r>
        <w:rPr>
          <w:rFonts w:hint="eastAsia"/>
          <w:color w:val="auto"/>
          <w:highlight w:val="none"/>
        </w:rPr>
        <w:t>.1中标人需将污衣车（由中标人提供）与污衣袋放置在采购人指定地点。</w:t>
      </w:r>
    </w:p>
    <w:p>
      <w:pPr>
        <w:spacing w:line="360" w:lineRule="auto"/>
        <w:rPr>
          <w:color w:val="auto"/>
          <w:highlight w:val="none"/>
        </w:rPr>
      </w:pPr>
      <w:r>
        <w:rPr>
          <w:color w:val="auto"/>
          <w:highlight w:val="none"/>
        </w:rPr>
        <w:t xml:space="preserve">7. </w:t>
      </w:r>
      <w:r>
        <w:rPr>
          <w:rFonts w:hint="eastAsia"/>
          <w:color w:val="auto"/>
          <w:highlight w:val="none"/>
        </w:rPr>
        <w:t>租赁织物的配送方式与拨补数量：</w:t>
      </w:r>
    </w:p>
    <w:p>
      <w:pPr>
        <w:spacing w:line="360" w:lineRule="auto"/>
        <w:rPr>
          <w:color w:val="auto"/>
          <w:highlight w:val="none"/>
        </w:rPr>
      </w:pPr>
      <w:r>
        <w:rPr>
          <w:color w:val="auto"/>
          <w:highlight w:val="none"/>
        </w:rPr>
        <w:t>7.1</w:t>
      </w:r>
      <w:r>
        <w:rPr>
          <w:rFonts w:hint="eastAsia"/>
          <w:color w:val="auto"/>
          <w:highlight w:val="none"/>
        </w:rPr>
        <w:t>配送由中标人每日定时依需求科室前日提供各品目需求数量配送至采购方各需求部门。</w:t>
      </w:r>
    </w:p>
    <w:p>
      <w:pPr>
        <w:spacing w:line="360" w:lineRule="auto"/>
        <w:rPr>
          <w:color w:val="auto"/>
          <w:highlight w:val="none"/>
        </w:rPr>
      </w:pPr>
      <w:r>
        <w:rPr>
          <w:color w:val="auto"/>
          <w:highlight w:val="none"/>
        </w:rPr>
        <w:t xml:space="preserve">7.2 </w:t>
      </w:r>
      <w:r>
        <w:rPr>
          <w:rFonts w:hint="eastAsia"/>
          <w:color w:val="auto"/>
          <w:highlight w:val="none"/>
        </w:rPr>
        <w:t>需求科室如因用量特殊及临时性紧急需求，如大量伤患或流行性疾病发生时，中标单位应于收到通知后尽速补充足够用量至需求部门。</w:t>
      </w:r>
    </w:p>
    <w:p>
      <w:pPr>
        <w:spacing w:line="360" w:lineRule="auto"/>
        <w:rPr>
          <w:color w:val="auto"/>
          <w:highlight w:val="none"/>
        </w:rPr>
      </w:pPr>
      <w:r>
        <w:rPr>
          <w:color w:val="auto"/>
          <w:highlight w:val="none"/>
        </w:rPr>
        <w:t>8.</w:t>
      </w:r>
      <w:r>
        <w:rPr>
          <w:rFonts w:hint="eastAsia"/>
          <w:color w:val="auto"/>
          <w:highlight w:val="none"/>
        </w:rPr>
        <w:t>所租赁织物要求在水温75℃，时间≥30min；或水温80℃，时间≥10min，进行洗涤，烘干消毒，满足院感需要；在中标人提供的耐洗次数内始终保持尺寸稳定。</w:t>
      </w:r>
    </w:p>
    <w:p>
      <w:pPr>
        <w:spacing w:line="360" w:lineRule="auto"/>
        <w:rPr>
          <w:color w:val="auto"/>
          <w:highlight w:val="none"/>
        </w:rPr>
      </w:pPr>
      <w:r>
        <w:rPr>
          <w:color w:val="auto"/>
          <w:highlight w:val="none"/>
        </w:rPr>
        <w:t>9.</w:t>
      </w:r>
      <w:r>
        <w:rPr>
          <w:rFonts w:hint="eastAsia"/>
          <w:color w:val="auto"/>
          <w:highlight w:val="none"/>
        </w:rPr>
        <w:t>租赁织物更换条件：</w:t>
      </w:r>
    </w:p>
    <w:p>
      <w:pPr>
        <w:spacing w:line="360" w:lineRule="auto"/>
        <w:rPr>
          <w:color w:val="auto"/>
          <w:highlight w:val="none"/>
        </w:rPr>
      </w:pPr>
      <w:r>
        <w:rPr>
          <w:rFonts w:hint="eastAsia"/>
          <w:color w:val="auto"/>
          <w:highlight w:val="none"/>
        </w:rPr>
        <w:t>当出现下列情况之一的，采购人有权要求中标人进行租赁织物的换新，必须</w:t>
      </w:r>
      <w:r>
        <w:rPr>
          <w:color w:val="auto"/>
          <w:highlight w:val="none"/>
        </w:rPr>
        <w:t>2</w:t>
      </w:r>
      <w:r>
        <w:rPr>
          <w:rFonts w:hint="eastAsia"/>
          <w:color w:val="auto"/>
          <w:highlight w:val="none"/>
        </w:rPr>
        <w:t>天内完成换新工作。</w:t>
      </w:r>
    </w:p>
    <w:p>
      <w:pPr>
        <w:spacing w:line="360" w:lineRule="auto"/>
        <w:rPr>
          <w:color w:val="auto"/>
          <w:highlight w:val="none"/>
        </w:rPr>
      </w:pPr>
      <w:r>
        <w:rPr>
          <w:color w:val="auto"/>
          <w:highlight w:val="none"/>
        </w:rPr>
        <w:t>9.1</w:t>
      </w:r>
      <w:r>
        <w:rPr>
          <w:rFonts w:hint="eastAsia"/>
          <w:color w:val="auto"/>
          <w:highlight w:val="none"/>
        </w:rPr>
        <w:t>面料表面有明显损伤、明显污渍无法处理且影响继续使用，无论是哪方责任引起的，中标人均应立即予以更换，以确保不影响采购人使用。</w:t>
      </w:r>
    </w:p>
    <w:p>
      <w:pPr>
        <w:spacing w:line="360" w:lineRule="auto"/>
        <w:rPr>
          <w:color w:val="auto"/>
          <w:highlight w:val="none"/>
        </w:rPr>
      </w:pPr>
      <w:r>
        <w:rPr>
          <w:color w:val="auto"/>
          <w:highlight w:val="none"/>
        </w:rPr>
        <w:t>9.2</w:t>
      </w:r>
      <w:r>
        <w:rPr>
          <w:rFonts w:hint="eastAsia"/>
          <w:color w:val="auto"/>
          <w:highlight w:val="none"/>
        </w:rPr>
        <w:t>当租赁物的重量减少</w:t>
      </w:r>
      <w:r>
        <w:rPr>
          <w:color w:val="auto"/>
          <w:highlight w:val="none"/>
        </w:rPr>
        <w:t>30%</w:t>
      </w:r>
      <w:r>
        <w:rPr>
          <w:rFonts w:hint="eastAsia"/>
          <w:color w:val="auto"/>
          <w:highlight w:val="none"/>
        </w:rPr>
        <w:t>时，中标人须以相同面料、款式、缝制工艺制作的新品替换。测试的方法是在同等的温度和湿度条件下，将新品和旧品在自然通风的房间内放置</w:t>
      </w:r>
      <w:r>
        <w:rPr>
          <w:color w:val="auto"/>
          <w:highlight w:val="none"/>
        </w:rPr>
        <w:t>24</w:t>
      </w:r>
      <w:r>
        <w:rPr>
          <w:rFonts w:hint="eastAsia"/>
          <w:color w:val="auto"/>
          <w:highlight w:val="none"/>
        </w:rPr>
        <w:t>小时后称重比较。</w:t>
      </w:r>
    </w:p>
    <w:p>
      <w:pPr>
        <w:spacing w:line="360" w:lineRule="auto"/>
        <w:rPr>
          <w:color w:val="auto"/>
          <w:highlight w:val="none"/>
        </w:rPr>
      </w:pPr>
      <w:r>
        <w:rPr>
          <w:color w:val="auto"/>
          <w:highlight w:val="none"/>
        </w:rPr>
        <w:t xml:space="preserve">9.3 </w:t>
      </w:r>
      <w:r>
        <w:rPr>
          <w:rFonts w:hint="eastAsia"/>
          <w:color w:val="auto"/>
          <w:highlight w:val="none"/>
        </w:rPr>
        <w:t>填充物变硬或结块、织物出现缩水、卷边、褶皱、褪色、破损等无法处理（</w:t>
      </w:r>
      <w:r>
        <w:rPr>
          <w:color w:val="auto"/>
          <w:highlight w:val="none"/>
        </w:rPr>
        <w:t>2</w:t>
      </w:r>
      <w:r>
        <w:rPr>
          <w:rFonts w:hint="eastAsia"/>
          <w:color w:val="auto"/>
          <w:highlight w:val="none"/>
        </w:rPr>
        <w:t>天内不能修复视为无法处理）而影响医院使用、形象的情况，采购人均有权要求中标人立即更换。</w:t>
      </w:r>
    </w:p>
    <w:p>
      <w:pPr>
        <w:spacing w:line="360" w:lineRule="auto"/>
        <w:rPr>
          <w:color w:val="auto"/>
          <w:highlight w:val="none"/>
        </w:rPr>
      </w:pPr>
      <w:r>
        <w:rPr>
          <w:color w:val="auto"/>
          <w:highlight w:val="none"/>
        </w:rPr>
        <w:t xml:space="preserve">9.4 </w:t>
      </w:r>
      <w:r>
        <w:rPr>
          <w:rFonts w:hint="eastAsia"/>
          <w:color w:val="auto"/>
          <w:highlight w:val="none"/>
        </w:rPr>
        <w:t>按照院感要求，严重污染的应予报废。</w:t>
      </w:r>
    </w:p>
    <w:p>
      <w:pPr>
        <w:spacing w:line="360" w:lineRule="auto"/>
        <w:rPr>
          <w:color w:val="auto"/>
          <w:highlight w:val="none"/>
        </w:rPr>
      </w:pPr>
      <w:r>
        <w:rPr>
          <w:rFonts w:hint="eastAsia"/>
          <w:color w:val="auto"/>
          <w:highlight w:val="none"/>
        </w:rPr>
        <w:t>1</w:t>
      </w:r>
      <w:r>
        <w:rPr>
          <w:color w:val="auto"/>
          <w:highlight w:val="none"/>
        </w:rPr>
        <w:t>0.</w:t>
      </w:r>
      <w:r>
        <w:rPr>
          <w:rFonts w:hint="eastAsia"/>
          <w:color w:val="auto"/>
          <w:highlight w:val="none"/>
        </w:rPr>
        <w:t>为了保证病人利益，改善病房环境，中标单位必须保证布制品、床单、被套、枕套的年更新率应达到45%以上，病人衣裤的年更新率应达到35%以上。</w:t>
      </w:r>
    </w:p>
    <w:p>
      <w:pPr>
        <w:spacing w:line="360" w:lineRule="auto"/>
        <w:rPr>
          <w:color w:val="auto"/>
          <w:highlight w:val="none"/>
        </w:rPr>
      </w:pPr>
      <w:r>
        <w:rPr>
          <w:color w:val="auto"/>
          <w:highlight w:val="none"/>
        </w:rPr>
        <w:t>11.</w:t>
      </w:r>
      <w:r>
        <w:rPr>
          <w:rFonts w:hint="eastAsia"/>
          <w:color w:val="auto"/>
          <w:highlight w:val="none"/>
        </w:rPr>
        <w:t>中标人未能按时提供租赁物，影响医院使用时，按影响的床位数的</w:t>
      </w:r>
      <w:r>
        <w:rPr>
          <w:color w:val="auto"/>
          <w:highlight w:val="none"/>
        </w:rPr>
        <w:t>3</w:t>
      </w:r>
      <w:r>
        <w:rPr>
          <w:rFonts w:hint="eastAsia"/>
          <w:color w:val="auto"/>
          <w:highlight w:val="none"/>
        </w:rPr>
        <w:t>倍计算在当月的服务费中扣除（不可抗力因素除外）。</w:t>
      </w:r>
    </w:p>
    <w:p>
      <w:pPr>
        <w:spacing w:line="360" w:lineRule="auto"/>
        <w:rPr>
          <w:color w:val="auto"/>
          <w:highlight w:val="none"/>
        </w:rPr>
      </w:pPr>
      <w:r>
        <w:rPr>
          <w:color w:val="auto"/>
          <w:highlight w:val="none"/>
        </w:rPr>
        <w:t>12.</w:t>
      </w:r>
      <w:r>
        <w:rPr>
          <w:rFonts w:hint="eastAsia"/>
          <w:color w:val="auto"/>
          <w:highlight w:val="none"/>
        </w:rPr>
        <w:t>医院床位增加时，应提前通知中标人增加租赁物数量，并根据合同要求按实际床位结算费用。增加部分中标人应该使用相同规格的面料，如不能使用相同规格的面料时，可采用相近规格、质量产品，并需事前得到医院的同意。</w:t>
      </w:r>
    </w:p>
    <w:p>
      <w:pPr>
        <w:spacing w:line="360" w:lineRule="auto"/>
        <w:rPr>
          <w:b/>
          <w:color w:val="auto"/>
          <w:highlight w:val="none"/>
        </w:rPr>
      </w:pPr>
      <w:r>
        <w:rPr>
          <w:rFonts w:hint="eastAsia"/>
          <w:b/>
          <w:color w:val="auto"/>
          <w:highlight w:val="none"/>
        </w:rPr>
        <w:t>（三）服务工作质量要求</w:t>
      </w:r>
    </w:p>
    <w:p>
      <w:pPr>
        <w:spacing w:line="360" w:lineRule="auto"/>
        <w:rPr>
          <w:color w:val="auto"/>
          <w:highlight w:val="none"/>
        </w:rPr>
      </w:pPr>
      <w:r>
        <w:rPr>
          <w:rFonts w:hint="eastAsia"/>
          <w:color w:val="auto"/>
          <w:highlight w:val="none"/>
        </w:rPr>
        <w:t>1.</w:t>
      </w:r>
      <w:r>
        <w:rPr>
          <w:color w:val="auto"/>
          <w:highlight w:val="none"/>
        </w:rPr>
        <w:t>.</w:t>
      </w:r>
      <w:r>
        <w:rPr>
          <w:rFonts w:hint="eastAsia"/>
          <w:color w:val="auto"/>
          <w:highlight w:val="none"/>
        </w:rPr>
        <w:t>中标人服务质量必须达到行业行规标准，排污必须符合环保要求；</w:t>
      </w:r>
    </w:p>
    <w:p>
      <w:pPr>
        <w:spacing w:line="360" w:lineRule="auto"/>
        <w:rPr>
          <w:color w:val="auto"/>
          <w:highlight w:val="none"/>
        </w:rPr>
      </w:pPr>
      <w:r>
        <w:rPr>
          <w:rFonts w:hint="eastAsia"/>
          <w:color w:val="auto"/>
          <w:highlight w:val="none"/>
        </w:rPr>
        <w:t>1</w:t>
      </w:r>
      <w:r>
        <w:rPr>
          <w:color w:val="auto"/>
          <w:highlight w:val="none"/>
        </w:rPr>
        <w:t xml:space="preserve">.1 </w:t>
      </w:r>
      <w:r>
        <w:rPr>
          <w:rFonts w:hint="eastAsia"/>
          <w:color w:val="auto"/>
          <w:highlight w:val="none"/>
        </w:rPr>
        <w:t>洁净度要求</w:t>
      </w:r>
    </w:p>
    <w:p>
      <w:pPr>
        <w:spacing w:line="360" w:lineRule="auto"/>
        <w:rPr>
          <w:color w:val="auto"/>
          <w:highlight w:val="none"/>
        </w:rPr>
      </w:pPr>
      <w:r>
        <w:rPr>
          <w:rFonts w:hint="eastAsia"/>
          <w:color w:val="auto"/>
          <w:highlight w:val="none"/>
        </w:rPr>
        <w:t>1</w:t>
      </w:r>
      <w:r>
        <w:rPr>
          <w:color w:val="auto"/>
          <w:highlight w:val="none"/>
        </w:rPr>
        <w:t xml:space="preserve">.1.1 </w:t>
      </w:r>
      <w:r>
        <w:rPr>
          <w:rFonts w:hint="eastAsia"/>
          <w:color w:val="auto"/>
          <w:highlight w:val="none"/>
        </w:rPr>
        <w:t>符合医用织物洗涤消毒技术规范的国家标准；</w:t>
      </w:r>
    </w:p>
    <w:p>
      <w:pPr>
        <w:spacing w:line="360" w:lineRule="auto"/>
        <w:rPr>
          <w:color w:val="auto"/>
          <w:highlight w:val="none"/>
        </w:rPr>
      </w:pPr>
      <w:r>
        <w:rPr>
          <w:rFonts w:hint="eastAsia"/>
          <w:color w:val="auto"/>
          <w:highlight w:val="none"/>
        </w:rPr>
        <w:t>1</w:t>
      </w:r>
      <w:r>
        <w:rPr>
          <w:color w:val="auto"/>
          <w:highlight w:val="none"/>
        </w:rPr>
        <w:t xml:space="preserve">.1.2 </w:t>
      </w:r>
      <w:r>
        <w:rPr>
          <w:rFonts w:hint="eastAsia"/>
          <w:color w:val="auto"/>
          <w:highlight w:val="none"/>
        </w:rPr>
        <w:t>洗涤物的过水漂洗要透彻，避免因洗涤剂残留而出现泛黄变色或触摸布类表面有黏涩感；</w:t>
      </w:r>
    </w:p>
    <w:p>
      <w:pPr>
        <w:spacing w:line="360" w:lineRule="auto"/>
        <w:rPr>
          <w:color w:val="auto"/>
          <w:highlight w:val="none"/>
        </w:rPr>
      </w:pPr>
      <w:r>
        <w:rPr>
          <w:rFonts w:hint="eastAsia"/>
          <w:color w:val="auto"/>
          <w:highlight w:val="none"/>
        </w:rPr>
        <w:t>1</w:t>
      </w:r>
      <w:r>
        <w:rPr>
          <w:color w:val="auto"/>
          <w:highlight w:val="none"/>
        </w:rPr>
        <w:t xml:space="preserve">.1.3 </w:t>
      </w:r>
      <w:r>
        <w:rPr>
          <w:rFonts w:hint="eastAsia"/>
          <w:color w:val="auto"/>
          <w:highlight w:val="none"/>
        </w:rPr>
        <w:t>对于沾染污垢或被染色的部位，应做到清洗还原后与布料原色基本保持一致。</w:t>
      </w:r>
    </w:p>
    <w:p>
      <w:pPr>
        <w:spacing w:line="360" w:lineRule="auto"/>
        <w:rPr>
          <w:color w:val="auto"/>
          <w:highlight w:val="none"/>
        </w:rPr>
      </w:pPr>
      <w:r>
        <w:rPr>
          <w:rFonts w:hint="eastAsia"/>
          <w:color w:val="auto"/>
          <w:highlight w:val="none"/>
        </w:rPr>
        <w:t>1</w:t>
      </w:r>
      <w:r>
        <w:rPr>
          <w:color w:val="auto"/>
          <w:highlight w:val="none"/>
        </w:rPr>
        <w:t xml:space="preserve">.2 </w:t>
      </w:r>
      <w:r>
        <w:rPr>
          <w:rFonts w:hint="eastAsia"/>
          <w:color w:val="auto"/>
          <w:highlight w:val="none"/>
        </w:rPr>
        <w:t>缝补要求</w:t>
      </w:r>
    </w:p>
    <w:p>
      <w:pPr>
        <w:spacing w:line="360" w:lineRule="auto"/>
        <w:rPr>
          <w:color w:val="auto"/>
          <w:highlight w:val="none"/>
        </w:rPr>
      </w:pPr>
      <w:r>
        <w:rPr>
          <w:rFonts w:hint="eastAsia"/>
          <w:color w:val="auto"/>
          <w:highlight w:val="none"/>
        </w:rPr>
        <w:t>1</w:t>
      </w:r>
      <w:r>
        <w:rPr>
          <w:color w:val="auto"/>
          <w:highlight w:val="none"/>
        </w:rPr>
        <w:t xml:space="preserve">.2.1 </w:t>
      </w:r>
      <w:r>
        <w:rPr>
          <w:rFonts w:hint="eastAsia"/>
          <w:color w:val="auto"/>
          <w:highlight w:val="none"/>
        </w:rPr>
        <w:t>医疗织物若有破损，钮扣、拉链、系带脱落，中标人须免费负责缝补或更新，作业所需材料及耗材均完全由中标人负责处理及供应。</w:t>
      </w:r>
    </w:p>
    <w:p>
      <w:pPr>
        <w:spacing w:line="360" w:lineRule="auto"/>
        <w:rPr>
          <w:color w:val="auto"/>
          <w:highlight w:val="none"/>
        </w:rPr>
      </w:pPr>
      <w:r>
        <w:rPr>
          <w:rFonts w:hint="eastAsia"/>
          <w:color w:val="auto"/>
          <w:highlight w:val="none"/>
        </w:rPr>
        <w:t>1</w:t>
      </w:r>
      <w:r>
        <w:rPr>
          <w:color w:val="auto"/>
          <w:highlight w:val="none"/>
        </w:rPr>
        <w:t>.2.2</w:t>
      </w:r>
      <w:r>
        <w:rPr>
          <w:rFonts w:hint="eastAsia"/>
          <w:color w:val="auto"/>
          <w:highlight w:val="none"/>
        </w:rPr>
        <w:t>所有布类如有破损，中标人须以补钉机及缝纫机或其他合格机器及时缝补，缝补针迹要求均匀、整齐；补钉的纽扣大小、颜色应与原来的纽扣基本一致，不可过大、过小或色差过大；</w:t>
      </w:r>
    </w:p>
    <w:p>
      <w:pPr>
        <w:spacing w:line="360" w:lineRule="auto"/>
        <w:rPr>
          <w:color w:val="auto"/>
          <w:highlight w:val="none"/>
        </w:rPr>
      </w:pPr>
      <w:r>
        <w:rPr>
          <w:rFonts w:hint="eastAsia"/>
          <w:color w:val="auto"/>
          <w:highlight w:val="none"/>
        </w:rPr>
        <w:t>1</w:t>
      </w:r>
      <w:r>
        <w:rPr>
          <w:color w:val="auto"/>
          <w:highlight w:val="none"/>
        </w:rPr>
        <w:t xml:space="preserve">.2.3 </w:t>
      </w:r>
      <w:r>
        <w:rPr>
          <w:rFonts w:hint="eastAsia"/>
          <w:color w:val="auto"/>
          <w:highlight w:val="none"/>
        </w:rPr>
        <w:t>破损衣物需缝补的，应在交接时向采购人提供补衣单，标明名称及数量，缝补时间不得超过</w:t>
      </w:r>
      <w:r>
        <w:rPr>
          <w:color w:val="auto"/>
          <w:highlight w:val="none"/>
        </w:rPr>
        <w:t>2</w:t>
      </w:r>
      <w:r>
        <w:rPr>
          <w:rFonts w:hint="eastAsia"/>
          <w:color w:val="auto"/>
          <w:highlight w:val="none"/>
        </w:rPr>
        <w:t>天。</w:t>
      </w:r>
    </w:p>
    <w:p>
      <w:pPr>
        <w:spacing w:line="360" w:lineRule="auto"/>
        <w:rPr>
          <w:rFonts w:hint="eastAsia" w:ascii="Times New Roman" w:hAnsi="Times New Roman" w:eastAsia="宋体" w:cs="Times New Roman"/>
          <w:b/>
          <w:bCs/>
          <w:color w:val="auto"/>
          <w:highlight w:val="none"/>
        </w:rPr>
      </w:pPr>
      <w:r>
        <w:rPr>
          <w:rFonts w:hint="eastAsia" w:ascii="微软雅黑" w:hAnsi="微软雅黑" w:eastAsia="微软雅黑" w:cs="微软雅黑"/>
          <w:b/>
          <w:bCs/>
          <w:color w:val="auto"/>
          <w:highlight w:val="none"/>
          <w:lang w:val="en-US" w:eastAsia="zh-CN"/>
        </w:rPr>
        <w:t>▲</w:t>
      </w:r>
      <w:r>
        <w:rPr>
          <w:rFonts w:hint="eastAsia" w:ascii="Times New Roman" w:hAnsi="Times New Roman" w:eastAsia="宋体" w:cs="Times New Roman"/>
          <w:b/>
          <w:bCs/>
          <w:color w:val="auto"/>
          <w:highlight w:val="none"/>
        </w:rPr>
        <w:t>1.3 设备</w:t>
      </w:r>
      <w:r>
        <w:rPr>
          <w:rFonts w:hint="eastAsia" w:cs="Times New Roman"/>
          <w:b/>
          <w:bCs/>
          <w:color w:val="auto"/>
          <w:highlight w:val="none"/>
          <w:lang w:val="en-US" w:eastAsia="zh-CN"/>
        </w:rPr>
        <w:t>基本</w:t>
      </w:r>
      <w:r>
        <w:rPr>
          <w:rFonts w:hint="eastAsia" w:ascii="Times New Roman" w:hAnsi="Times New Roman" w:eastAsia="宋体" w:cs="Times New Roman"/>
          <w:b/>
          <w:bCs/>
          <w:color w:val="auto"/>
          <w:highlight w:val="none"/>
        </w:rPr>
        <w:t>要求</w:t>
      </w:r>
    </w:p>
    <w:p>
      <w:pPr>
        <w:spacing w:line="360" w:lineRule="auto"/>
        <w:rPr>
          <w:rFonts w:hint="eastAsia"/>
          <w:b/>
          <w:bCs/>
          <w:color w:val="auto"/>
          <w:highlight w:val="none"/>
          <w:lang w:eastAsia="zh-CN"/>
        </w:rPr>
      </w:pPr>
      <w:r>
        <w:rPr>
          <w:rFonts w:hint="eastAsia"/>
          <w:b/>
          <w:bCs/>
          <w:color w:val="auto"/>
          <w:highlight w:val="none"/>
          <w:lang w:val="en-US" w:eastAsia="zh-CN"/>
        </w:rPr>
        <w:t>①拟投入</w:t>
      </w:r>
      <w:r>
        <w:rPr>
          <w:rFonts w:hint="eastAsia"/>
          <w:b/>
          <w:bCs/>
          <w:color w:val="auto"/>
          <w:highlight w:val="none"/>
        </w:rPr>
        <w:t>隔离式洗涤设备</w:t>
      </w:r>
      <w:r>
        <w:rPr>
          <w:rFonts w:hint="eastAsia"/>
          <w:b/>
          <w:bCs/>
          <w:color w:val="auto"/>
          <w:highlight w:val="none"/>
          <w:lang w:val="en-US" w:eastAsia="zh-CN"/>
        </w:rPr>
        <w:t>最低数量：不少于2辆</w:t>
      </w:r>
      <w:r>
        <w:rPr>
          <w:rFonts w:hint="eastAsia"/>
          <w:b/>
          <w:bCs/>
          <w:color w:val="auto"/>
          <w:highlight w:val="none"/>
          <w:lang w:eastAsia="zh-CN"/>
        </w:rPr>
        <w:t>；</w:t>
      </w:r>
    </w:p>
    <w:p>
      <w:pPr>
        <w:spacing w:line="360" w:lineRule="auto"/>
        <w:rPr>
          <w:rFonts w:hint="default"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②拟投入运送车辆</w:t>
      </w:r>
      <w:r>
        <w:rPr>
          <w:rFonts w:hint="eastAsia"/>
          <w:b/>
          <w:bCs/>
          <w:color w:val="auto"/>
          <w:highlight w:val="none"/>
          <w:lang w:val="en-US" w:eastAsia="zh-CN"/>
        </w:rPr>
        <w:t>最低数量：不少于1辆。</w:t>
      </w:r>
    </w:p>
    <w:p>
      <w:pPr>
        <w:spacing w:line="360" w:lineRule="auto"/>
        <w:rPr>
          <w:color w:val="auto"/>
          <w:highlight w:val="none"/>
        </w:rPr>
      </w:pPr>
      <w:r>
        <w:rPr>
          <w:rFonts w:hint="eastAsia"/>
          <w:color w:val="auto"/>
          <w:highlight w:val="none"/>
        </w:rPr>
        <w:t>1</w:t>
      </w:r>
      <w:r>
        <w:rPr>
          <w:color w:val="auto"/>
          <w:highlight w:val="none"/>
        </w:rPr>
        <w:t xml:space="preserve">.4 </w:t>
      </w:r>
      <w:r>
        <w:rPr>
          <w:rFonts w:hint="eastAsia"/>
          <w:color w:val="auto"/>
          <w:highlight w:val="none"/>
        </w:rPr>
        <w:t>衣被的分类和洗涤消毒要求</w:t>
      </w:r>
    </w:p>
    <w:p>
      <w:pPr>
        <w:spacing w:line="360" w:lineRule="auto"/>
        <w:rPr>
          <w:color w:val="auto"/>
          <w:highlight w:val="none"/>
        </w:rPr>
      </w:pPr>
      <w:r>
        <w:rPr>
          <w:rFonts w:hint="eastAsia"/>
          <w:color w:val="auto"/>
          <w:highlight w:val="none"/>
        </w:rPr>
        <w:t>1</w:t>
      </w:r>
      <w:r>
        <w:rPr>
          <w:color w:val="auto"/>
          <w:highlight w:val="none"/>
        </w:rPr>
        <w:t xml:space="preserve">.4.1 </w:t>
      </w:r>
      <w:r>
        <w:rPr>
          <w:rFonts w:hint="eastAsia"/>
          <w:color w:val="auto"/>
          <w:highlight w:val="none"/>
        </w:rPr>
        <w:t>病人衣被和医务人员衣物（口罩、值班织物、工作服）必须分类和专机洗涤，不得混洗；我院衣物不能和其他医院的衣物混合洗。</w:t>
      </w:r>
    </w:p>
    <w:p>
      <w:pPr>
        <w:spacing w:line="360" w:lineRule="auto"/>
        <w:rPr>
          <w:color w:val="auto"/>
          <w:highlight w:val="none"/>
        </w:rPr>
      </w:pPr>
      <w:r>
        <w:rPr>
          <w:rFonts w:hint="eastAsia"/>
          <w:color w:val="auto"/>
          <w:highlight w:val="none"/>
        </w:rPr>
        <w:t>1</w:t>
      </w:r>
      <w:r>
        <w:rPr>
          <w:color w:val="auto"/>
          <w:highlight w:val="none"/>
        </w:rPr>
        <w:t>.4.2</w:t>
      </w:r>
      <w:r>
        <w:rPr>
          <w:rFonts w:hint="eastAsia"/>
          <w:color w:val="auto"/>
          <w:highlight w:val="none"/>
        </w:rPr>
        <w:t>一般污染衣被：医院内可重复使用的纺织品。</w:t>
      </w:r>
    </w:p>
    <w:p>
      <w:pPr>
        <w:spacing w:line="360" w:lineRule="auto"/>
        <w:rPr>
          <w:color w:val="auto"/>
          <w:highlight w:val="none"/>
        </w:rPr>
      </w:pPr>
      <w:r>
        <w:rPr>
          <w:rFonts w:hint="eastAsia"/>
          <w:color w:val="auto"/>
          <w:highlight w:val="none"/>
        </w:rPr>
        <w:t>1</w:t>
      </w:r>
      <w:r>
        <w:rPr>
          <w:color w:val="auto"/>
          <w:highlight w:val="none"/>
        </w:rPr>
        <w:t>.4.2.1</w:t>
      </w:r>
      <w:r>
        <w:rPr>
          <w:rFonts w:hint="eastAsia"/>
          <w:color w:val="auto"/>
          <w:highlight w:val="none"/>
        </w:rPr>
        <w:t>普通病人污衣被：包括患者使用的衣物、床单、被罩、枕套。</w:t>
      </w:r>
    </w:p>
    <w:p>
      <w:pPr>
        <w:spacing w:line="360" w:lineRule="auto"/>
        <w:rPr>
          <w:color w:val="auto"/>
          <w:highlight w:val="none"/>
        </w:rPr>
      </w:pPr>
      <w:r>
        <w:rPr>
          <w:rFonts w:hint="eastAsia"/>
          <w:color w:val="auto"/>
          <w:highlight w:val="none"/>
        </w:rPr>
        <w:t>1</w:t>
      </w:r>
      <w:r>
        <w:rPr>
          <w:color w:val="auto"/>
          <w:highlight w:val="none"/>
        </w:rPr>
        <w:t>.4.2.2</w:t>
      </w:r>
      <w:r>
        <w:rPr>
          <w:rFonts w:hint="eastAsia"/>
          <w:color w:val="auto"/>
          <w:highlight w:val="none"/>
        </w:rPr>
        <w:t>医务人员污衣被：包括工作人员使用的工作服、值班用品织物。</w:t>
      </w:r>
    </w:p>
    <w:p>
      <w:pPr>
        <w:spacing w:line="360" w:lineRule="auto"/>
        <w:rPr>
          <w:color w:val="auto"/>
          <w:highlight w:val="none"/>
        </w:rPr>
      </w:pPr>
      <w:r>
        <w:rPr>
          <w:rFonts w:hint="eastAsia"/>
          <w:color w:val="auto"/>
          <w:highlight w:val="none"/>
        </w:rPr>
        <w:t>1</w:t>
      </w:r>
      <w:r>
        <w:rPr>
          <w:color w:val="auto"/>
          <w:highlight w:val="none"/>
        </w:rPr>
        <w:t>.4.2.3</w:t>
      </w:r>
      <w:r>
        <w:rPr>
          <w:rFonts w:hint="eastAsia"/>
          <w:color w:val="auto"/>
          <w:highlight w:val="none"/>
        </w:rPr>
        <w:t>手术室污衣：包括手术衣、手术铺单、手术用布。</w:t>
      </w:r>
    </w:p>
    <w:p>
      <w:pPr>
        <w:spacing w:line="360" w:lineRule="auto"/>
        <w:rPr>
          <w:color w:val="auto"/>
          <w:highlight w:val="none"/>
        </w:rPr>
      </w:pPr>
      <w:r>
        <w:rPr>
          <w:rFonts w:hint="eastAsia"/>
          <w:color w:val="auto"/>
          <w:highlight w:val="none"/>
        </w:rPr>
        <w:t>1</w:t>
      </w:r>
      <w:r>
        <w:rPr>
          <w:color w:val="auto"/>
          <w:highlight w:val="none"/>
        </w:rPr>
        <w:t>.4.2.4</w:t>
      </w:r>
      <w:r>
        <w:rPr>
          <w:rFonts w:hint="eastAsia"/>
          <w:color w:val="auto"/>
          <w:highlight w:val="none"/>
        </w:rPr>
        <w:t>婴幼儿污衣被：包括小毛巾、浴巾、婴儿夹衣、婴儿床上用品等。</w:t>
      </w:r>
    </w:p>
    <w:p>
      <w:pPr>
        <w:spacing w:line="360" w:lineRule="auto"/>
        <w:rPr>
          <w:color w:val="auto"/>
          <w:highlight w:val="none"/>
        </w:rPr>
      </w:pPr>
      <w:r>
        <w:rPr>
          <w:rFonts w:hint="eastAsia"/>
          <w:color w:val="auto"/>
          <w:highlight w:val="none"/>
        </w:rPr>
        <w:t>1</w:t>
      </w:r>
      <w:r>
        <w:rPr>
          <w:color w:val="auto"/>
          <w:highlight w:val="none"/>
        </w:rPr>
        <w:t xml:space="preserve">.4.3 </w:t>
      </w:r>
      <w:r>
        <w:rPr>
          <w:rFonts w:hint="eastAsia"/>
          <w:color w:val="auto"/>
          <w:highlight w:val="none"/>
        </w:rPr>
        <w:t>感染性污衣被：医院内被隔离的感染性疾病（包括传染病、多重耐药菌感染</w:t>
      </w:r>
      <w:r>
        <w:rPr>
          <w:color w:val="auto"/>
          <w:highlight w:val="none"/>
        </w:rPr>
        <w:t>/</w:t>
      </w:r>
      <w:r>
        <w:rPr>
          <w:rFonts w:hint="eastAsia"/>
          <w:color w:val="auto"/>
          <w:highlight w:val="none"/>
        </w:rPr>
        <w:t>定植）患者使用后，或者被患者血液、体液、分泌物（不包括汗液）和排泄物等污染，具有潜在生物污染风险的医用织物均视为感染性织物。</w:t>
      </w:r>
    </w:p>
    <w:p>
      <w:pPr>
        <w:spacing w:line="360" w:lineRule="auto"/>
        <w:rPr>
          <w:color w:val="auto"/>
          <w:highlight w:val="none"/>
        </w:rPr>
      </w:pPr>
      <w:r>
        <w:rPr>
          <w:rFonts w:hint="eastAsia"/>
          <w:color w:val="auto"/>
          <w:highlight w:val="none"/>
        </w:rPr>
        <w:t>1</w:t>
      </w:r>
      <w:r>
        <w:rPr>
          <w:color w:val="auto"/>
          <w:highlight w:val="none"/>
        </w:rPr>
        <w:t xml:space="preserve">.5 </w:t>
      </w:r>
      <w:r>
        <w:rPr>
          <w:rFonts w:hint="eastAsia"/>
          <w:color w:val="auto"/>
          <w:highlight w:val="none"/>
        </w:rPr>
        <w:t>衣被晾（烘）干、熨烫、摺叠、储存要求</w:t>
      </w:r>
    </w:p>
    <w:p>
      <w:pPr>
        <w:spacing w:line="360" w:lineRule="auto"/>
        <w:rPr>
          <w:color w:val="auto"/>
          <w:highlight w:val="none"/>
        </w:rPr>
      </w:pPr>
      <w:r>
        <w:rPr>
          <w:rFonts w:hint="eastAsia"/>
          <w:color w:val="auto"/>
          <w:highlight w:val="none"/>
        </w:rPr>
        <w:t>1</w:t>
      </w:r>
      <w:r>
        <w:rPr>
          <w:color w:val="auto"/>
          <w:highlight w:val="none"/>
        </w:rPr>
        <w:t xml:space="preserve">.5.1 </w:t>
      </w:r>
      <w:r>
        <w:rPr>
          <w:rFonts w:hint="eastAsia"/>
          <w:color w:val="auto"/>
          <w:highlight w:val="none"/>
        </w:rPr>
        <w:t>对工作人员和病人衣被；一般污染和传染性的衣被洗涤消毒后要分区晾（烘）干、熨烫、摺叠和储存，不得混杂。熨烫时要特别注意曾受或易受污染之处。</w:t>
      </w:r>
    </w:p>
    <w:p>
      <w:pPr>
        <w:spacing w:line="360" w:lineRule="auto"/>
        <w:rPr>
          <w:color w:val="auto"/>
          <w:highlight w:val="none"/>
        </w:rPr>
      </w:pPr>
      <w:r>
        <w:rPr>
          <w:rFonts w:hint="eastAsia"/>
          <w:color w:val="auto"/>
          <w:highlight w:val="none"/>
        </w:rPr>
        <w:t>1</w:t>
      </w:r>
      <w:r>
        <w:rPr>
          <w:color w:val="auto"/>
          <w:highlight w:val="none"/>
        </w:rPr>
        <w:t xml:space="preserve">.5.2 </w:t>
      </w:r>
      <w:r>
        <w:rPr>
          <w:rFonts w:hint="eastAsia"/>
          <w:color w:val="auto"/>
          <w:highlight w:val="none"/>
        </w:rPr>
        <w:t>儿科衣被应有专用烘干、摺叠、储存衣被处，不可与其他衣被混淆。</w:t>
      </w:r>
    </w:p>
    <w:p>
      <w:pPr>
        <w:spacing w:line="360" w:lineRule="auto"/>
        <w:rPr>
          <w:color w:val="auto"/>
          <w:highlight w:val="none"/>
        </w:rPr>
      </w:pPr>
      <w:r>
        <w:rPr>
          <w:rFonts w:hint="eastAsia"/>
          <w:color w:val="auto"/>
          <w:highlight w:val="none"/>
        </w:rPr>
        <w:t>1</w:t>
      </w:r>
      <w:r>
        <w:rPr>
          <w:color w:val="auto"/>
          <w:highlight w:val="none"/>
        </w:rPr>
        <w:t>.6</w:t>
      </w:r>
      <w:r>
        <w:rPr>
          <w:rFonts w:hint="eastAsia"/>
          <w:color w:val="auto"/>
          <w:highlight w:val="none"/>
        </w:rPr>
        <w:t>中标人必须保证租赁的医用纺织品和洗涤后送还采购人的衣物要达到以下要求：</w:t>
      </w:r>
    </w:p>
    <w:p>
      <w:pPr>
        <w:spacing w:line="360" w:lineRule="auto"/>
        <w:rPr>
          <w:color w:val="auto"/>
          <w:highlight w:val="none"/>
        </w:rPr>
      </w:pPr>
      <w:r>
        <w:rPr>
          <w:rFonts w:hint="eastAsia"/>
          <w:color w:val="auto"/>
          <w:highlight w:val="none"/>
        </w:rPr>
        <w:t>1</w:t>
      </w:r>
      <w:r>
        <w:rPr>
          <w:color w:val="auto"/>
          <w:highlight w:val="none"/>
        </w:rPr>
        <w:t xml:space="preserve">.6.1 </w:t>
      </w:r>
      <w:r>
        <w:rPr>
          <w:rFonts w:hint="eastAsia"/>
          <w:color w:val="auto"/>
          <w:highlight w:val="none"/>
        </w:rPr>
        <w:t>各类洗涤衣物的要求：清洗干净、无污渍残留；熨烫平整、挺括，外观无变色、串色、脱色及颜色发灰现象；无残留异味；无因洗涤原因造成的织物发硬、起毛、划伤、破损；成品按规范整理叠好。</w:t>
      </w:r>
    </w:p>
    <w:p>
      <w:pPr>
        <w:spacing w:line="360" w:lineRule="auto"/>
        <w:rPr>
          <w:color w:val="auto"/>
          <w:highlight w:val="none"/>
        </w:rPr>
      </w:pPr>
      <w:r>
        <w:rPr>
          <w:rFonts w:hint="eastAsia"/>
          <w:color w:val="auto"/>
          <w:highlight w:val="none"/>
        </w:rPr>
        <w:t>1</w:t>
      </w:r>
      <w:r>
        <w:rPr>
          <w:color w:val="auto"/>
          <w:highlight w:val="none"/>
        </w:rPr>
        <w:t xml:space="preserve">.6.2 </w:t>
      </w:r>
      <w:r>
        <w:rPr>
          <w:rFonts w:hint="eastAsia"/>
          <w:color w:val="auto"/>
          <w:highlight w:val="none"/>
        </w:rPr>
        <w:t>中标人必须保证不得使用任何有害人体健康的洗涤设备和原料。</w:t>
      </w:r>
    </w:p>
    <w:p>
      <w:pPr>
        <w:spacing w:line="360" w:lineRule="auto"/>
        <w:rPr>
          <w:color w:val="auto"/>
          <w:highlight w:val="none"/>
        </w:rPr>
      </w:pPr>
      <w:r>
        <w:rPr>
          <w:rFonts w:hint="eastAsia"/>
          <w:color w:val="auto"/>
          <w:highlight w:val="none"/>
        </w:rPr>
        <w:t>1</w:t>
      </w:r>
      <w:r>
        <w:rPr>
          <w:color w:val="auto"/>
          <w:highlight w:val="none"/>
        </w:rPr>
        <w:t xml:space="preserve">.6.3 </w:t>
      </w:r>
      <w:r>
        <w:rPr>
          <w:rFonts w:hint="eastAsia"/>
          <w:color w:val="auto"/>
          <w:highlight w:val="none"/>
        </w:rPr>
        <w:t>中标人送还租赁和洗涤织物时，由采购人派人按双方约定的验收及质量标准进行检查；不合格的中标人必须无条件返工。验收完毕，双方责任人共同在验收交接单上签字确认。以验收单注明的类别及数目作为结算依据。</w:t>
      </w:r>
    </w:p>
    <w:p>
      <w:pPr>
        <w:spacing w:line="360" w:lineRule="auto"/>
        <w:rPr>
          <w:color w:val="auto"/>
          <w:highlight w:val="none"/>
        </w:rPr>
      </w:pPr>
      <w:r>
        <w:rPr>
          <w:rFonts w:hint="eastAsia"/>
          <w:color w:val="auto"/>
          <w:highlight w:val="none"/>
        </w:rPr>
        <w:t>1</w:t>
      </w:r>
      <w:r>
        <w:rPr>
          <w:color w:val="auto"/>
          <w:highlight w:val="none"/>
        </w:rPr>
        <w:t xml:space="preserve">.7 </w:t>
      </w:r>
      <w:r>
        <w:rPr>
          <w:rFonts w:hint="eastAsia"/>
          <w:color w:val="auto"/>
          <w:highlight w:val="none"/>
        </w:rPr>
        <w:t>衣被收集运送要求</w:t>
      </w:r>
    </w:p>
    <w:p>
      <w:pPr>
        <w:spacing w:line="360" w:lineRule="auto"/>
        <w:rPr>
          <w:color w:val="auto"/>
          <w:highlight w:val="none"/>
        </w:rPr>
      </w:pPr>
      <w:r>
        <w:rPr>
          <w:rFonts w:hint="eastAsia"/>
          <w:color w:val="auto"/>
          <w:highlight w:val="none"/>
        </w:rPr>
        <w:t>1</w:t>
      </w:r>
      <w:r>
        <w:rPr>
          <w:color w:val="auto"/>
          <w:highlight w:val="none"/>
        </w:rPr>
        <w:t xml:space="preserve">.7.1 </w:t>
      </w:r>
      <w:r>
        <w:rPr>
          <w:rFonts w:hint="eastAsia"/>
          <w:color w:val="auto"/>
          <w:highlight w:val="none"/>
        </w:rPr>
        <w:t>医务人员污衣被（工作服、值班织物）与病人污衣被必须分开、分类清点、收集并分袋独立密封包装，不得混放。</w:t>
      </w:r>
    </w:p>
    <w:p>
      <w:pPr>
        <w:spacing w:line="360" w:lineRule="auto"/>
        <w:rPr>
          <w:color w:val="auto"/>
          <w:highlight w:val="none"/>
        </w:rPr>
      </w:pPr>
      <w:r>
        <w:rPr>
          <w:rFonts w:hint="eastAsia"/>
          <w:color w:val="auto"/>
          <w:highlight w:val="none"/>
        </w:rPr>
        <w:t>1</w:t>
      </w:r>
      <w:r>
        <w:rPr>
          <w:color w:val="auto"/>
          <w:highlight w:val="none"/>
        </w:rPr>
        <w:t xml:space="preserve">.7.2 </w:t>
      </w:r>
      <w:r>
        <w:rPr>
          <w:rFonts w:hint="eastAsia"/>
          <w:color w:val="auto"/>
          <w:highlight w:val="none"/>
        </w:rPr>
        <w:t>每天按时到医院各科室收、送出洗的衣物，按数量送回，不能丢失衣物。</w:t>
      </w:r>
    </w:p>
    <w:p>
      <w:pPr>
        <w:spacing w:line="360" w:lineRule="auto"/>
        <w:rPr>
          <w:color w:val="auto"/>
          <w:highlight w:val="none"/>
        </w:rPr>
      </w:pPr>
      <w:r>
        <w:rPr>
          <w:rFonts w:hint="eastAsia"/>
          <w:color w:val="auto"/>
          <w:highlight w:val="none"/>
        </w:rPr>
        <w:t>1</w:t>
      </w:r>
      <w:r>
        <w:rPr>
          <w:color w:val="auto"/>
          <w:highlight w:val="none"/>
        </w:rPr>
        <w:t xml:space="preserve">.7.3 </w:t>
      </w:r>
      <w:r>
        <w:rPr>
          <w:rFonts w:hint="eastAsia"/>
          <w:color w:val="auto"/>
          <w:highlight w:val="none"/>
        </w:rPr>
        <w:t>收污衣物人员须做好个人防护措施，如穿戴防护服装、手套、口罩、帽子等（中标人自备）。</w:t>
      </w:r>
    </w:p>
    <w:p>
      <w:pPr>
        <w:spacing w:line="360" w:lineRule="auto"/>
        <w:rPr>
          <w:color w:val="auto"/>
          <w:highlight w:val="none"/>
        </w:rPr>
      </w:pPr>
      <w:r>
        <w:rPr>
          <w:rFonts w:hint="eastAsia"/>
          <w:color w:val="auto"/>
          <w:highlight w:val="none"/>
        </w:rPr>
        <w:t>1</w:t>
      </w:r>
      <w:r>
        <w:rPr>
          <w:color w:val="auto"/>
          <w:highlight w:val="none"/>
        </w:rPr>
        <w:t xml:space="preserve">.8 </w:t>
      </w:r>
      <w:r>
        <w:rPr>
          <w:rFonts w:hint="eastAsia"/>
          <w:color w:val="auto"/>
          <w:highlight w:val="none"/>
        </w:rPr>
        <w:t>衣被收集运送工具配置要求</w:t>
      </w:r>
    </w:p>
    <w:p>
      <w:pPr>
        <w:spacing w:line="360" w:lineRule="auto"/>
        <w:rPr>
          <w:color w:val="auto"/>
          <w:highlight w:val="none"/>
        </w:rPr>
      </w:pPr>
      <w:r>
        <w:rPr>
          <w:rFonts w:hint="eastAsia"/>
          <w:color w:val="auto"/>
          <w:highlight w:val="none"/>
        </w:rPr>
        <w:t>1</w:t>
      </w:r>
      <w:r>
        <w:rPr>
          <w:color w:val="auto"/>
          <w:highlight w:val="none"/>
        </w:rPr>
        <w:t xml:space="preserve">.8.1 </w:t>
      </w:r>
      <w:r>
        <w:rPr>
          <w:rFonts w:hint="eastAsia"/>
          <w:color w:val="auto"/>
          <w:highlight w:val="none"/>
        </w:rPr>
        <w:t>运送车辆：运送机动车辆由中标人提供，用于送衣和接衣。车辆在每次运送洁净衣被前必须按照相关标准进行严格的消毒处理，每天先运送洁净衣被后再接运污衣。</w:t>
      </w:r>
    </w:p>
    <w:p>
      <w:pPr>
        <w:spacing w:line="360" w:lineRule="auto"/>
        <w:rPr>
          <w:color w:val="auto"/>
          <w:highlight w:val="none"/>
        </w:rPr>
      </w:pPr>
      <w:r>
        <w:rPr>
          <w:rFonts w:hint="eastAsia"/>
          <w:color w:val="auto"/>
          <w:highlight w:val="none"/>
        </w:rPr>
        <w:t>1</w:t>
      </w:r>
      <w:r>
        <w:rPr>
          <w:color w:val="auto"/>
          <w:highlight w:val="none"/>
        </w:rPr>
        <w:t xml:space="preserve">.8.2 </w:t>
      </w:r>
      <w:r>
        <w:rPr>
          <w:rFonts w:hint="eastAsia"/>
          <w:color w:val="auto"/>
          <w:highlight w:val="none"/>
        </w:rPr>
        <w:t>运送通道：必须按我院规定的洁污专用通道装卸衣被，不得交叉通行。</w:t>
      </w:r>
    </w:p>
    <w:p>
      <w:pPr>
        <w:spacing w:line="360" w:lineRule="auto"/>
        <w:rPr>
          <w:color w:val="auto"/>
          <w:highlight w:val="none"/>
        </w:rPr>
      </w:pPr>
      <w:r>
        <w:rPr>
          <w:rFonts w:hint="eastAsia"/>
          <w:color w:val="auto"/>
          <w:highlight w:val="none"/>
        </w:rPr>
        <w:t>1</w:t>
      </w:r>
      <w:r>
        <w:rPr>
          <w:color w:val="auto"/>
          <w:highlight w:val="none"/>
        </w:rPr>
        <w:t xml:space="preserve">.9 </w:t>
      </w:r>
      <w:r>
        <w:rPr>
          <w:rFonts w:hint="eastAsia"/>
          <w:color w:val="auto"/>
          <w:highlight w:val="none"/>
        </w:rPr>
        <w:t>项目工作人员要求</w:t>
      </w:r>
    </w:p>
    <w:p>
      <w:pPr>
        <w:spacing w:line="360" w:lineRule="auto"/>
        <w:rPr>
          <w:color w:val="auto"/>
          <w:highlight w:val="none"/>
        </w:rPr>
      </w:pPr>
      <w:r>
        <w:rPr>
          <w:rFonts w:hint="eastAsia"/>
          <w:color w:val="auto"/>
          <w:highlight w:val="none"/>
        </w:rPr>
        <w:t>1</w:t>
      </w:r>
      <w:r>
        <w:rPr>
          <w:color w:val="auto"/>
          <w:highlight w:val="none"/>
        </w:rPr>
        <w:t xml:space="preserve">.9.1 </w:t>
      </w:r>
      <w:r>
        <w:rPr>
          <w:rFonts w:hint="eastAsia"/>
          <w:color w:val="auto"/>
          <w:highlight w:val="none"/>
        </w:rPr>
        <w:t>工作人员上岗前体检，直接从事织物洗涤的工作人员上岗前必须到卫生防疫机构进行一次健康体检和消毒卫生知识及有关卫生标准的培训，取得健康体检合格证明和卫生培训合格证后方可上岗。</w:t>
      </w:r>
    </w:p>
    <w:p>
      <w:pPr>
        <w:spacing w:line="360" w:lineRule="auto"/>
        <w:rPr>
          <w:color w:val="auto"/>
          <w:highlight w:val="none"/>
        </w:rPr>
      </w:pPr>
      <w:r>
        <w:rPr>
          <w:rFonts w:hint="eastAsia"/>
          <w:color w:val="auto"/>
          <w:highlight w:val="none"/>
        </w:rPr>
        <w:t>1</w:t>
      </w:r>
      <w:r>
        <w:rPr>
          <w:color w:val="auto"/>
          <w:highlight w:val="none"/>
        </w:rPr>
        <w:t xml:space="preserve">.9.2 </w:t>
      </w:r>
      <w:r>
        <w:rPr>
          <w:rFonts w:hint="eastAsia"/>
          <w:color w:val="auto"/>
          <w:highlight w:val="none"/>
        </w:rPr>
        <w:t>患有活动性肺结核、病毒性肝炎、肠道传染病患者及病原携带者，化脓性或慢性渗出性皮肤病等传染病患者不得从事洗衣工作。</w:t>
      </w:r>
    </w:p>
    <w:p>
      <w:pPr>
        <w:spacing w:line="360" w:lineRule="auto"/>
        <w:rPr>
          <w:color w:val="auto"/>
          <w:highlight w:val="none"/>
        </w:rPr>
      </w:pPr>
      <w:r>
        <w:rPr>
          <w:rFonts w:hint="eastAsia"/>
          <w:color w:val="auto"/>
          <w:highlight w:val="none"/>
        </w:rPr>
        <w:t>1</w:t>
      </w:r>
      <w:r>
        <w:rPr>
          <w:color w:val="auto"/>
          <w:highlight w:val="none"/>
        </w:rPr>
        <w:t xml:space="preserve">.9.3 </w:t>
      </w:r>
      <w:r>
        <w:rPr>
          <w:rFonts w:hint="eastAsia"/>
          <w:color w:val="auto"/>
          <w:highlight w:val="none"/>
        </w:rPr>
        <w:t>工作人员必须严格执行洗衣房工作制度及各种工作流程。</w:t>
      </w:r>
    </w:p>
    <w:p>
      <w:pPr>
        <w:spacing w:line="360" w:lineRule="auto"/>
        <w:rPr>
          <w:color w:val="auto"/>
          <w:highlight w:val="none"/>
        </w:rPr>
      </w:pPr>
      <w:r>
        <w:rPr>
          <w:rFonts w:hint="eastAsia"/>
          <w:color w:val="auto"/>
          <w:highlight w:val="none"/>
        </w:rPr>
        <w:t>1</w:t>
      </w:r>
      <w:r>
        <w:rPr>
          <w:color w:val="auto"/>
          <w:highlight w:val="none"/>
        </w:rPr>
        <w:t>.9.</w:t>
      </w:r>
      <w:r>
        <w:rPr>
          <w:rFonts w:hint="eastAsia"/>
          <w:color w:val="auto"/>
          <w:highlight w:val="none"/>
        </w:rPr>
        <w:t>4长期驻院服务人员不得少于10人，值班人员需24小时接听院方来电，现场管理人员须具备有五年以上从事医院布服租赁服务管理经验和负责人的经历。</w:t>
      </w:r>
    </w:p>
    <w:p>
      <w:pPr>
        <w:spacing w:line="360" w:lineRule="auto"/>
        <w:rPr>
          <w:b/>
          <w:color w:val="auto"/>
          <w:highlight w:val="none"/>
        </w:rPr>
      </w:pPr>
      <w:r>
        <w:rPr>
          <w:rFonts w:hint="eastAsia"/>
          <w:b/>
          <w:color w:val="auto"/>
          <w:highlight w:val="none"/>
        </w:rPr>
        <w:t>（四）其他要求</w:t>
      </w:r>
    </w:p>
    <w:p>
      <w:pPr>
        <w:spacing w:line="360" w:lineRule="auto"/>
        <w:rPr>
          <w:color w:val="auto"/>
          <w:highlight w:val="none"/>
        </w:rPr>
      </w:pPr>
      <w:r>
        <w:rPr>
          <w:color w:val="auto"/>
          <w:highlight w:val="none"/>
        </w:rPr>
        <w:t xml:space="preserve">1. </w:t>
      </w:r>
      <w:r>
        <w:rPr>
          <w:rFonts w:hint="eastAsia"/>
          <w:color w:val="auto"/>
          <w:highlight w:val="none"/>
        </w:rPr>
        <w:t>中标人履行合约应自行雇用符合安全规范的合格工作人员，并应于正式工作前，将工作人员名册、编组、配置及职务代理造册送采购方备查。人员如有异动，均应事先通知采购方取得同意。其未列于名册内或未事先通知之人员，采购方可拒绝其进入院区作业。</w:t>
      </w:r>
    </w:p>
    <w:p>
      <w:pPr>
        <w:spacing w:line="360" w:lineRule="auto"/>
        <w:rPr>
          <w:color w:val="auto"/>
          <w:highlight w:val="none"/>
        </w:rPr>
      </w:pPr>
      <w:r>
        <w:rPr>
          <w:color w:val="auto"/>
          <w:highlight w:val="none"/>
        </w:rPr>
        <w:t xml:space="preserve">2. </w:t>
      </w:r>
      <w:r>
        <w:rPr>
          <w:rFonts w:hint="eastAsia"/>
          <w:color w:val="auto"/>
          <w:highlight w:val="none"/>
        </w:rPr>
        <w:t>中标人须派驻管理干部一名，负责本项目合同标的所有织物的供应、调度、人员指挥及工作协调等，工作日志记录应存档，采购人管理部门将不定期检查。</w:t>
      </w:r>
    </w:p>
    <w:p>
      <w:pPr>
        <w:spacing w:line="360" w:lineRule="auto"/>
        <w:rPr>
          <w:color w:val="auto"/>
          <w:highlight w:val="none"/>
        </w:rPr>
      </w:pPr>
      <w:r>
        <w:rPr>
          <w:color w:val="auto"/>
          <w:highlight w:val="none"/>
        </w:rPr>
        <w:t xml:space="preserve">3. </w:t>
      </w:r>
      <w:r>
        <w:rPr>
          <w:rFonts w:hint="eastAsia"/>
          <w:color w:val="auto"/>
          <w:highlight w:val="none"/>
        </w:rPr>
        <w:t>中标人每日需提供足够的现场工作人力，执行采购人清洁织物每日供应及污衣收取作业。</w:t>
      </w:r>
    </w:p>
    <w:p>
      <w:pPr>
        <w:spacing w:line="360" w:lineRule="auto"/>
        <w:rPr>
          <w:color w:val="auto"/>
          <w:highlight w:val="none"/>
        </w:rPr>
      </w:pPr>
      <w:r>
        <w:rPr>
          <w:color w:val="auto"/>
          <w:highlight w:val="none"/>
        </w:rPr>
        <w:t xml:space="preserve">4. </w:t>
      </w:r>
      <w:r>
        <w:rPr>
          <w:rFonts w:hint="eastAsia"/>
          <w:color w:val="auto"/>
          <w:highlight w:val="none"/>
        </w:rPr>
        <w:t>中标人雇用的工作人员作业时间，应依据</w:t>
      </w:r>
      <w:bookmarkStart w:id="7" w:name="_Hlk33557461"/>
      <w:r>
        <w:rPr>
          <w:rFonts w:hint="eastAsia"/>
          <w:color w:val="auto"/>
          <w:highlight w:val="none"/>
        </w:rPr>
        <w:t>采购人</w:t>
      </w:r>
      <w:bookmarkEnd w:id="7"/>
      <w:r>
        <w:rPr>
          <w:rFonts w:hint="eastAsia"/>
          <w:color w:val="auto"/>
          <w:highlight w:val="none"/>
        </w:rPr>
        <w:t>要求之作业时间规范执行，清洁织物每日应按供应量配送及进行污布品回收。</w:t>
      </w:r>
    </w:p>
    <w:p>
      <w:pPr>
        <w:spacing w:line="360" w:lineRule="auto"/>
        <w:rPr>
          <w:color w:val="auto"/>
          <w:highlight w:val="none"/>
        </w:rPr>
      </w:pPr>
      <w:r>
        <w:rPr>
          <w:color w:val="auto"/>
          <w:highlight w:val="none"/>
        </w:rPr>
        <w:t xml:space="preserve">5. </w:t>
      </w:r>
      <w:r>
        <w:rPr>
          <w:rFonts w:hint="eastAsia"/>
          <w:color w:val="auto"/>
          <w:highlight w:val="none"/>
        </w:rPr>
        <w:t>中标人指派的工作人员经采购方管理部门认为不合适或不称职时，应于接获书面通知一周内调换，不得拖延。</w:t>
      </w:r>
    </w:p>
    <w:p>
      <w:pPr>
        <w:spacing w:line="360" w:lineRule="auto"/>
        <w:rPr>
          <w:color w:val="auto"/>
          <w:highlight w:val="none"/>
        </w:rPr>
      </w:pPr>
      <w:r>
        <w:rPr>
          <w:color w:val="auto"/>
          <w:highlight w:val="none"/>
        </w:rPr>
        <w:t xml:space="preserve">6. </w:t>
      </w:r>
      <w:r>
        <w:rPr>
          <w:rFonts w:hint="eastAsia"/>
          <w:color w:val="auto"/>
          <w:highlight w:val="none"/>
        </w:rPr>
        <w:t>中标人所雇用的工作人员必须穿着统一的工作服（服装制作及费用由中标人负担）、配带工作证（由中标人负责制作且交影印本给采购方存查），应遵守采购方单位出入门禁管制规定。</w:t>
      </w:r>
    </w:p>
    <w:p>
      <w:pPr>
        <w:spacing w:line="360" w:lineRule="auto"/>
        <w:rPr>
          <w:color w:val="auto"/>
          <w:highlight w:val="none"/>
        </w:rPr>
      </w:pPr>
      <w:r>
        <w:rPr>
          <w:color w:val="auto"/>
          <w:highlight w:val="none"/>
        </w:rPr>
        <w:t xml:space="preserve">7. </w:t>
      </w:r>
      <w:r>
        <w:rPr>
          <w:rFonts w:hint="eastAsia"/>
          <w:color w:val="auto"/>
          <w:highlight w:val="none"/>
        </w:rPr>
        <w:t>中标人应做好雇佣工作人员的监督、管理工作，严格遵守采购方的规章制度。</w:t>
      </w:r>
    </w:p>
    <w:p>
      <w:pPr>
        <w:spacing w:line="360" w:lineRule="auto"/>
        <w:rPr>
          <w:color w:val="auto"/>
          <w:highlight w:val="none"/>
        </w:rPr>
      </w:pPr>
      <w:r>
        <w:rPr>
          <w:color w:val="auto"/>
          <w:highlight w:val="none"/>
        </w:rPr>
        <w:t>8.</w:t>
      </w:r>
      <w:r>
        <w:rPr>
          <w:rFonts w:hint="eastAsia"/>
          <w:color w:val="auto"/>
          <w:highlight w:val="none"/>
        </w:rPr>
        <w:t>中标人于合同签订一月内向采购方提交相关的管理制度，工作流程和员工档案资料。每月以书面形式向采购人提供月工作总结如员工工作、培训和考核和存在问题的整改等情况。</w:t>
      </w:r>
    </w:p>
    <w:p>
      <w:pPr>
        <w:spacing w:line="360" w:lineRule="auto"/>
        <w:rPr>
          <w:color w:val="auto"/>
          <w:highlight w:val="none"/>
        </w:rPr>
      </w:pPr>
      <w:r>
        <w:rPr>
          <w:color w:val="auto"/>
          <w:highlight w:val="none"/>
        </w:rPr>
        <w:t>9.</w:t>
      </w:r>
      <w:r>
        <w:rPr>
          <w:rFonts w:hint="eastAsia"/>
          <w:color w:val="auto"/>
          <w:highlight w:val="none"/>
        </w:rPr>
        <w:t>中标人应对采购人的环境及周边卫生保持清洁及宁静状态，并不得从事任何违背政府法规之行为。</w:t>
      </w:r>
    </w:p>
    <w:p>
      <w:pPr>
        <w:spacing w:line="360" w:lineRule="auto"/>
        <w:rPr>
          <w:color w:val="auto"/>
          <w:highlight w:val="none"/>
        </w:rPr>
      </w:pPr>
      <w:r>
        <w:rPr>
          <w:color w:val="auto"/>
          <w:highlight w:val="none"/>
        </w:rPr>
        <w:t xml:space="preserve">10. </w:t>
      </w:r>
      <w:r>
        <w:rPr>
          <w:rFonts w:hint="eastAsia"/>
          <w:color w:val="auto"/>
          <w:highlight w:val="none"/>
        </w:rPr>
        <w:t>每日供应采购人各病房、单位所需之使用量，应视实际需要增加库备量。</w:t>
      </w:r>
    </w:p>
    <w:p>
      <w:pPr>
        <w:spacing w:line="360" w:lineRule="auto"/>
        <w:rPr>
          <w:color w:val="auto"/>
          <w:highlight w:val="none"/>
        </w:rPr>
      </w:pPr>
      <w:r>
        <w:rPr>
          <w:color w:val="auto"/>
          <w:highlight w:val="none"/>
        </w:rPr>
        <w:t xml:space="preserve">11. </w:t>
      </w:r>
      <w:r>
        <w:rPr>
          <w:rFonts w:hint="eastAsia"/>
          <w:color w:val="auto"/>
          <w:highlight w:val="none"/>
        </w:rPr>
        <w:t>中标人有义务维护作业场所环境之清洁卫生，作业场所应每日进行清洁维护工作。设备、工具用毕后应保持清洁，置放整齐；不得随意放置，妨害观瞻及影响安全。如有拾获财物、器械应缴交采购人管理单位依规定处理，不得侵占。</w:t>
      </w:r>
    </w:p>
    <w:p>
      <w:pPr>
        <w:spacing w:line="360" w:lineRule="auto"/>
        <w:rPr>
          <w:color w:val="auto"/>
          <w:highlight w:val="none"/>
        </w:rPr>
      </w:pPr>
      <w:r>
        <w:rPr>
          <w:color w:val="auto"/>
          <w:highlight w:val="none"/>
        </w:rPr>
        <w:t xml:space="preserve">12. </w:t>
      </w:r>
      <w:r>
        <w:rPr>
          <w:rFonts w:hint="eastAsia"/>
          <w:color w:val="auto"/>
          <w:highlight w:val="none"/>
        </w:rPr>
        <w:t>中标人所使用的推车等运输工具需自备，并自负保管及维修之责任。如发生毁损、遗失、失窃等情况，</w:t>
      </w:r>
      <w:bookmarkStart w:id="8" w:name="_Hlk33558444"/>
      <w:r>
        <w:rPr>
          <w:rFonts w:hint="eastAsia"/>
          <w:color w:val="auto"/>
          <w:highlight w:val="none"/>
        </w:rPr>
        <w:t>采购人</w:t>
      </w:r>
      <w:bookmarkEnd w:id="8"/>
      <w:r>
        <w:rPr>
          <w:rFonts w:hint="eastAsia"/>
          <w:color w:val="auto"/>
          <w:highlight w:val="none"/>
        </w:rPr>
        <w:t>不负赔偿责任。</w:t>
      </w:r>
    </w:p>
    <w:p>
      <w:pPr>
        <w:spacing w:line="360" w:lineRule="auto"/>
        <w:rPr>
          <w:color w:val="auto"/>
          <w:highlight w:val="none"/>
        </w:rPr>
      </w:pPr>
      <w:r>
        <w:rPr>
          <w:color w:val="auto"/>
          <w:highlight w:val="none"/>
        </w:rPr>
        <w:t xml:space="preserve">13. </w:t>
      </w:r>
      <w:r>
        <w:rPr>
          <w:rFonts w:hint="eastAsia"/>
          <w:color w:val="auto"/>
          <w:highlight w:val="none"/>
        </w:rPr>
        <w:t>中标人所使用之货车，前往采购方院区载（收）织物时，须遵守采购方各院区停车场管理规定及卸货注意事项。</w:t>
      </w:r>
    </w:p>
    <w:p>
      <w:pPr>
        <w:spacing w:line="360" w:lineRule="auto"/>
        <w:rPr>
          <w:color w:val="auto"/>
          <w:highlight w:val="none"/>
        </w:rPr>
      </w:pPr>
      <w:r>
        <w:rPr>
          <w:color w:val="auto"/>
          <w:highlight w:val="none"/>
        </w:rPr>
        <w:t xml:space="preserve">14. </w:t>
      </w:r>
      <w:r>
        <w:rPr>
          <w:rFonts w:hint="eastAsia"/>
          <w:color w:val="auto"/>
          <w:highlight w:val="none"/>
        </w:rPr>
        <w:t>履约期间如遇采购人召开外包服务公司管理协调会议，中标人应派有全权代理之人出席，以利双方沟通，解决问题。</w:t>
      </w:r>
    </w:p>
    <w:p>
      <w:pPr>
        <w:spacing w:line="360" w:lineRule="auto"/>
        <w:rPr>
          <w:color w:val="auto"/>
          <w:highlight w:val="none"/>
        </w:rPr>
      </w:pPr>
      <w:r>
        <w:rPr>
          <w:color w:val="auto"/>
          <w:highlight w:val="none"/>
        </w:rPr>
        <w:t xml:space="preserve">15. </w:t>
      </w:r>
      <w:r>
        <w:rPr>
          <w:rFonts w:hint="eastAsia"/>
          <w:color w:val="auto"/>
          <w:highlight w:val="none"/>
        </w:rPr>
        <w:t>中标人送达采购人之所有织物异常的处理：如采购人使用单位发现织物有破损、脏污、血渍、异味、绑带脱落、量不足等异常情形，经通知中标人管理干部后，中标人应于正常作业时间内立即更换正常品。</w:t>
      </w:r>
    </w:p>
    <w:p>
      <w:pPr>
        <w:spacing w:line="360" w:lineRule="auto"/>
        <w:rPr>
          <w:color w:val="auto"/>
          <w:highlight w:val="none"/>
        </w:rPr>
      </w:pPr>
      <w:r>
        <w:rPr>
          <w:color w:val="auto"/>
          <w:highlight w:val="none"/>
        </w:rPr>
        <w:t xml:space="preserve">16. </w:t>
      </w:r>
      <w:r>
        <w:rPr>
          <w:rFonts w:hint="eastAsia"/>
          <w:color w:val="auto"/>
          <w:highlight w:val="none"/>
        </w:rPr>
        <w:t>中标人履约时床位数量按医院实际使用床位数（以采购人病案统计室月报表数据为准）</w:t>
      </w:r>
      <w:r>
        <w:rPr>
          <w:rFonts w:hint="eastAsia"/>
          <w:color w:val="auto"/>
          <w:highlight w:val="none"/>
          <w:lang w:eastAsia="zh-CN"/>
        </w:rPr>
        <w:t>、</w:t>
      </w:r>
      <w:r>
        <w:rPr>
          <w:rFonts w:hint="eastAsia"/>
          <w:color w:val="auto"/>
          <w:highlight w:val="none"/>
        </w:rPr>
        <w:t>血透室床位数量（50床）</w:t>
      </w:r>
      <w:r>
        <w:rPr>
          <w:rFonts w:hint="eastAsia"/>
          <w:color w:val="auto"/>
          <w:highlight w:val="none"/>
          <w:lang w:eastAsia="zh-CN"/>
        </w:rPr>
        <w:t>、</w:t>
      </w:r>
      <w:r>
        <w:rPr>
          <w:rFonts w:hint="eastAsia"/>
          <w:color w:val="auto"/>
          <w:highlight w:val="none"/>
        </w:rPr>
        <w:t>值班室床位数量（25床）</w:t>
      </w:r>
      <w:r>
        <w:rPr>
          <w:rFonts w:hint="eastAsia"/>
          <w:color w:val="auto"/>
          <w:highlight w:val="none"/>
          <w:lang w:val="en-US" w:eastAsia="zh-CN"/>
        </w:rPr>
        <w:t>的合计使用床位数量</w:t>
      </w:r>
      <w:r>
        <w:rPr>
          <w:rFonts w:hint="eastAsia"/>
          <w:color w:val="auto"/>
          <w:highlight w:val="none"/>
        </w:rPr>
        <w:t>，月底由双方有关人员签字，以此作为支付租赁及洗涤等相关费用的依据。</w:t>
      </w:r>
    </w:p>
    <w:p>
      <w:pPr>
        <w:spacing w:line="360" w:lineRule="auto"/>
        <w:rPr>
          <w:color w:val="auto"/>
          <w:highlight w:val="none"/>
        </w:rPr>
      </w:pPr>
      <w:r>
        <w:rPr>
          <w:color w:val="auto"/>
          <w:highlight w:val="none"/>
        </w:rPr>
        <w:t>17.</w:t>
      </w:r>
      <w:r>
        <w:rPr>
          <w:rFonts w:hint="eastAsia"/>
          <w:color w:val="auto"/>
          <w:highlight w:val="none"/>
        </w:rPr>
        <w:t>因中标人原因，导致发生院感事件的，由中标人负全部责任。</w:t>
      </w:r>
    </w:p>
    <w:p>
      <w:pPr>
        <w:spacing w:line="360" w:lineRule="auto"/>
        <w:rPr>
          <w:color w:val="auto"/>
          <w:highlight w:val="none"/>
        </w:rPr>
      </w:pPr>
      <w:r>
        <w:rPr>
          <w:color w:val="auto"/>
          <w:highlight w:val="none"/>
        </w:rPr>
        <w:t xml:space="preserve">18. </w:t>
      </w:r>
      <w:r>
        <w:rPr>
          <w:rFonts w:hint="eastAsia"/>
          <w:color w:val="auto"/>
          <w:highlight w:val="none"/>
        </w:rPr>
        <w:t>中标人必须做好各项应急预案，提供至少与其它一家洗衣厂签定的合作协议，以备本厂遇不可抗拒因素（如停电、停水或重大自然灾害等）能按时完成任务，不影响采购人正常运行。</w:t>
      </w:r>
      <w:r>
        <w:rPr>
          <w:rFonts w:hint="eastAsia" w:hAnsi="宋体"/>
          <w:color w:val="auto"/>
          <w:spacing w:val="2"/>
          <w:highlight w:val="none"/>
        </w:rPr>
        <w:t>如有采购人应急需要洗涤，中标单位无条件配合安排。</w:t>
      </w:r>
    </w:p>
    <w:p>
      <w:pPr>
        <w:spacing w:line="360" w:lineRule="auto"/>
        <w:rPr>
          <w:color w:val="auto"/>
          <w:highlight w:val="none"/>
        </w:rPr>
      </w:pPr>
      <w:r>
        <w:rPr>
          <w:color w:val="auto"/>
          <w:highlight w:val="none"/>
        </w:rPr>
        <w:t xml:space="preserve">19. </w:t>
      </w:r>
      <w:r>
        <w:rPr>
          <w:rFonts w:hint="eastAsia"/>
          <w:color w:val="auto"/>
          <w:highlight w:val="none"/>
        </w:rPr>
        <w:t>中标人不得以任何形式转租、转让、抵押本院的布服租赁项目，只从事采购人认可的服务工作。</w:t>
      </w:r>
    </w:p>
    <w:p>
      <w:pPr>
        <w:spacing w:line="360" w:lineRule="auto"/>
        <w:rPr>
          <w:color w:val="auto"/>
          <w:highlight w:val="none"/>
        </w:rPr>
      </w:pPr>
      <w:r>
        <w:rPr>
          <w:rFonts w:hint="eastAsia"/>
          <w:color w:val="auto"/>
          <w:highlight w:val="none"/>
        </w:rPr>
        <w:t>2</w:t>
      </w:r>
      <w:r>
        <w:rPr>
          <w:color w:val="auto"/>
          <w:highlight w:val="none"/>
        </w:rPr>
        <w:t>0</w:t>
      </w:r>
      <w:r>
        <w:rPr>
          <w:rFonts w:hint="eastAsia"/>
          <w:color w:val="auto"/>
          <w:highlight w:val="none"/>
        </w:rPr>
        <w:t>、对采购人自备布服如：</w:t>
      </w:r>
      <w:bookmarkStart w:id="9" w:name="_Hlk27330871"/>
      <w:r>
        <w:rPr>
          <w:rFonts w:hint="eastAsia"/>
          <w:color w:val="auto"/>
          <w:highlight w:val="none"/>
        </w:rPr>
        <w:t>帽子、志愿者工作服、毛衣、羽绒服；窗帘、床帘、隔帘(每半年一次,特殊科室按照院感要求）；毛毯、静配中心连体防静电防水服</w:t>
      </w:r>
      <w:bookmarkEnd w:id="9"/>
      <w:r>
        <w:rPr>
          <w:rFonts w:hint="eastAsia"/>
          <w:color w:val="auto"/>
          <w:highlight w:val="none"/>
        </w:rPr>
        <w:t>等免费提供洗涤服务。</w:t>
      </w:r>
    </w:p>
    <w:p>
      <w:pPr>
        <w:spacing w:line="360" w:lineRule="auto"/>
        <w:rPr>
          <w:color w:val="auto"/>
          <w:highlight w:val="none"/>
        </w:rPr>
      </w:pPr>
      <w:r>
        <w:rPr>
          <w:color w:val="auto"/>
          <w:highlight w:val="none"/>
        </w:rPr>
        <w:t>21.</w:t>
      </w:r>
      <w:r>
        <w:rPr>
          <w:rFonts w:hint="eastAsia"/>
          <w:color w:val="auto"/>
          <w:highlight w:val="none"/>
        </w:rPr>
        <w:t>本合同约定各项作业时间应依采购人规定执行，倘有异动或另有紧急需求时，中标人亦应配合采购人需求作业，倘有未尽事宜，得经双方协商后作为补充说明。</w:t>
      </w:r>
    </w:p>
    <w:p>
      <w:pPr>
        <w:spacing w:line="360" w:lineRule="auto"/>
        <w:rPr>
          <w:color w:val="auto"/>
          <w:highlight w:val="none"/>
        </w:rPr>
      </w:pPr>
      <w:r>
        <w:rPr>
          <w:color w:val="auto"/>
          <w:highlight w:val="none"/>
        </w:rPr>
        <w:t xml:space="preserve">22. </w:t>
      </w:r>
      <w:r>
        <w:rPr>
          <w:rFonts w:hint="eastAsia"/>
          <w:color w:val="auto"/>
          <w:highlight w:val="none"/>
        </w:rPr>
        <w:t>医院提供</w:t>
      </w:r>
      <w:r>
        <w:rPr>
          <w:color w:val="auto"/>
          <w:highlight w:val="none"/>
        </w:rPr>
        <w:t>8</w:t>
      </w:r>
      <w:r>
        <w:rPr>
          <w:rFonts w:hint="eastAsia"/>
          <w:color w:val="auto"/>
          <w:highlight w:val="none"/>
        </w:rPr>
        <w:t>0平方米的布服室，其它所需用品中标人自行配备。</w:t>
      </w:r>
    </w:p>
    <w:p>
      <w:pPr>
        <w:spacing w:line="360" w:lineRule="auto"/>
        <w:rPr>
          <w:color w:val="auto"/>
          <w:highlight w:val="none"/>
        </w:rPr>
      </w:pPr>
      <w:r>
        <w:rPr>
          <w:color w:val="auto"/>
          <w:highlight w:val="none"/>
        </w:rPr>
        <w:t xml:space="preserve">23. </w:t>
      </w:r>
      <w:r>
        <w:rPr>
          <w:rFonts w:hint="eastAsia"/>
          <w:color w:val="auto"/>
          <w:highlight w:val="none"/>
        </w:rPr>
        <w:t>中标人违反合同要求的规定，未能达到约定的服务目标，或出现重大服务失误，采购人有权要求终止合同；造成采购人经济损失的，中标人应给予采购人经济赔偿，并承担相应的法律责任。</w:t>
      </w:r>
    </w:p>
    <w:p>
      <w:pPr>
        <w:spacing w:line="360" w:lineRule="auto"/>
        <w:rPr>
          <w:rFonts w:hint="eastAsia"/>
          <w:color w:val="auto"/>
          <w:highlight w:val="none"/>
        </w:rPr>
      </w:pPr>
      <w:r>
        <w:rPr>
          <w:color w:val="auto"/>
          <w:highlight w:val="none"/>
        </w:rPr>
        <w:t xml:space="preserve">24. </w:t>
      </w:r>
      <w:r>
        <w:rPr>
          <w:rFonts w:hint="eastAsia"/>
          <w:color w:val="auto"/>
          <w:highlight w:val="none"/>
        </w:rPr>
        <w:t>投标人必须保证所使用的洗涤原料无毒、环保，保证专用运输车辆每日进行消毒清洗及紫外光照射消毒。洗涤所需的消毒剂由中标单位自备。</w:t>
      </w:r>
    </w:p>
    <w:p>
      <w:pPr>
        <w:spacing w:line="360" w:lineRule="auto"/>
        <w:rPr>
          <w:rFonts w:hint="eastAsia"/>
          <w:color w:val="auto"/>
          <w:highlight w:val="none"/>
        </w:rPr>
      </w:pPr>
      <w:r>
        <w:rPr>
          <w:rFonts w:hint="eastAsia"/>
          <w:color w:val="auto"/>
          <w:highlight w:val="none"/>
        </w:rPr>
        <w:t>25.中标人必须做到，凡涉及本项目的国家、行业和浙江省的相关规范、规程和标准等，无论其是否在本招标文件中已列明或未列明的，均应满足并执行；</w:t>
      </w:r>
    </w:p>
    <w:p>
      <w:pPr>
        <w:spacing w:line="360" w:lineRule="auto"/>
        <w:rPr>
          <w:rFonts w:hint="eastAsia"/>
          <w:color w:val="auto"/>
          <w:highlight w:val="none"/>
        </w:rPr>
      </w:pPr>
      <w:r>
        <w:rPr>
          <w:rFonts w:hint="eastAsia"/>
          <w:color w:val="auto"/>
          <w:highlight w:val="none"/>
        </w:rPr>
        <w:t>26.所聘用人员必须符合劳动部门有关用工规定，如违反劳动法用工所引发的劳动纠纷由中标人承担完全责任。中标单位自行负责其招聘员工的一切工资、福利；如发生工伤、疾病乃至死亡的一切责任及费用由中标人全部负责；中标单位应严格遵守国家有关的法律、法规及行业标准。</w:t>
      </w:r>
    </w:p>
    <w:p>
      <w:pPr>
        <w:spacing w:line="360" w:lineRule="auto"/>
        <w:rPr>
          <w:rFonts w:hint="eastAsia"/>
          <w:color w:val="auto"/>
          <w:highlight w:val="none"/>
        </w:rPr>
      </w:pPr>
      <w:r>
        <w:rPr>
          <w:rFonts w:hint="eastAsia"/>
          <w:color w:val="auto"/>
          <w:highlight w:val="none"/>
        </w:rPr>
        <w:t>（1）全部服务人员的工作时间应严格按国家有关法律、法规要求的标准执行，因工作原因产生的加班（含节假日加班）中标人应严格按国家有关法律、法规要求的标准给付员工加班薪资。</w:t>
      </w:r>
    </w:p>
    <w:p>
      <w:pPr>
        <w:spacing w:line="360" w:lineRule="auto"/>
        <w:rPr>
          <w:rFonts w:hint="eastAsia"/>
          <w:color w:val="auto"/>
          <w:highlight w:val="none"/>
        </w:rPr>
      </w:pPr>
      <w:r>
        <w:rPr>
          <w:rFonts w:hint="eastAsia"/>
          <w:color w:val="auto"/>
          <w:highlight w:val="none"/>
        </w:rPr>
        <w:t>（2）所有员工入院服务时都必须体检，并且合格的才能上岗（费用由中标单位负责）。</w:t>
      </w:r>
    </w:p>
    <w:p>
      <w:pPr>
        <w:spacing w:line="360" w:lineRule="auto"/>
        <w:rPr>
          <w:rFonts w:hint="eastAsia"/>
          <w:color w:val="auto"/>
          <w:highlight w:val="none"/>
        </w:rPr>
      </w:pPr>
      <w:r>
        <w:rPr>
          <w:rFonts w:hint="eastAsia"/>
          <w:color w:val="auto"/>
          <w:highlight w:val="none"/>
        </w:rPr>
        <w:t>27.院方不接受投标方任何因遗漏报价而发生的费用追加，因中标单位违反《劳动法》等法律法规而造成院方的连带责任和损失全部由中标单位承担。</w:t>
      </w:r>
    </w:p>
    <w:p>
      <w:pPr>
        <w:spacing w:line="360" w:lineRule="auto"/>
        <w:rPr>
          <w:rFonts w:hint="eastAsia"/>
          <w:color w:val="auto"/>
          <w:highlight w:val="none"/>
        </w:rPr>
      </w:pPr>
      <w:r>
        <w:rPr>
          <w:rFonts w:hint="eastAsia"/>
          <w:color w:val="auto"/>
          <w:highlight w:val="none"/>
        </w:rPr>
        <w:t>28.本次采购报价包括但不限于在承包区域内提供医用织物租赁洗涤服务所需的一切人员工资、奖金、各种加班费、夜餐费、高温补贴、各种社会保险、餐饮与交通、专用设备及工具、器械、耗材、服装、办公设备和设施、信息化费用、仓储、管理费用、税费、利润、政策性文件规定及物价上涨因素等服务期内的所有风险、责任费用等，包括了完成合同所需的一切本身和不可或缺的所有工作开支。注：人员工资不得低于苍南县最低基本工资标准。</w:t>
      </w:r>
    </w:p>
    <w:p>
      <w:pPr>
        <w:spacing w:line="360" w:lineRule="auto"/>
        <w:rPr>
          <w:b/>
          <w:color w:val="auto"/>
          <w:highlight w:val="none"/>
        </w:rPr>
      </w:pPr>
      <w:r>
        <w:rPr>
          <w:rFonts w:hint="eastAsia"/>
          <w:b/>
          <w:color w:val="auto"/>
          <w:highlight w:val="none"/>
        </w:rPr>
        <w:t>（五）员工工作服要求</w:t>
      </w:r>
    </w:p>
    <w:p>
      <w:pPr>
        <w:spacing w:line="360" w:lineRule="auto"/>
        <w:rPr>
          <w:color w:val="auto"/>
          <w:highlight w:val="none"/>
        </w:rPr>
      </w:pPr>
      <w:bookmarkStart w:id="10" w:name="_Hlk27332109"/>
      <w:r>
        <w:rPr>
          <w:rFonts w:hint="eastAsia"/>
          <w:color w:val="auto"/>
          <w:highlight w:val="none"/>
        </w:rPr>
        <w:t>1.医生及医技人员工作服要求：按照现有款式（白大褂）配备，冬装每人发放2套，夏装每人发放</w:t>
      </w:r>
      <w:r>
        <w:rPr>
          <w:color w:val="auto"/>
          <w:highlight w:val="none"/>
        </w:rPr>
        <w:t>2</w:t>
      </w:r>
      <w:r>
        <w:rPr>
          <w:rFonts w:hint="eastAsia"/>
          <w:color w:val="auto"/>
          <w:highlight w:val="none"/>
        </w:rPr>
        <w:t>。</w:t>
      </w:r>
    </w:p>
    <w:p>
      <w:pPr>
        <w:spacing w:line="360" w:lineRule="auto"/>
        <w:rPr>
          <w:color w:val="auto"/>
          <w:highlight w:val="none"/>
        </w:rPr>
      </w:pPr>
      <w:r>
        <w:rPr>
          <w:rFonts w:hint="eastAsia"/>
          <w:color w:val="auto"/>
          <w:highlight w:val="none"/>
        </w:rPr>
        <w:t>2.护士服要求：护士服按冬装每人发放2套、夏装每人发放</w:t>
      </w:r>
      <w:r>
        <w:rPr>
          <w:color w:val="auto"/>
          <w:highlight w:val="none"/>
        </w:rPr>
        <w:t>2</w:t>
      </w:r>
      <w:r>
        <w:rPr>
          <w:rFonts w:hint="eastAsia"/>
          <w:color w:val="auto"/>
          <w:highlight w:val="none"/>
        </w:rPr>
        <w:t>。特殊科室（急诊科、血液净化中心、重症医学科、感染科）冬夏装需按1:3及现有花色和布卡配备，护士长服装要求制服式。</w:t>
      </w:r>
    </w:p>
    <w:p>
      <w:pPr>
        <w:spacing w:line="360" w:lineRule="auto"/>
        <w:rPr>
          <w:color w:val="auto"/>
          <w:highlight w:val="none"/>
        </w:rPr>
      </w:pPr>
      <w:r>
        <w:rPr>
          <w:rFonts w:hint="eastAsia"/>
          <w:color w:val="auto"/>
          <w:highlight w:val="none"/>
        </w:rPr>
        <w:t>3.新进员工的工作服，按上述标准配备，中标人不得另行收费。</w:t>
      </w:r>
    </w:p>
    <w:p>
      <w:pPr>
        <w:spacing w:line="360" w:lineRule="auto"/>
        <w:rPr>
          <w:color w:val="auto"/>
          <w:highlight w:val="none"/>
        </w:rPr>
      </w:pPr>
      <w:r>
        <w:rPr>
          <w:color w:val="auto"/>
          <w:highlight w:val="none"/>
        </w:rPr>
        <w:t>4</w:t>
      </w:r>
      <w:r>
        <w:rPr>
          <w:rFonts w:hint="eastAsia"/>
          <w:color w:val="auto"/>
          <w:highlight w:val="none"/>
        </w:rPr>
        <w:t>.员工离职或调动到不同性质岗位，采购方需及时归还原发放工作服。</w:t>
      </w:r>
    </w:p>
    <w:p>
      <w:pPr>
        <w:spacing w:line="360" w:lineRule="auto"/>
        <w:rPr>
          <w:color w:val="auto"/>
          <w:highlight w:val="none"/>
        </w:rPr>
      </w:pPr>
      <w:r>
        <w:rPr>
          <w:rFonts w:hint="eastAsia"/>
          <w:color w:val="auto"/>
          <w:highlight w:val="none"/>
        </w:rPr>
        <w:t>5.窗口工作人员及部分临床相关职能部门人员按医护人员配备工作服。</w:t>
      </w:r>
    </w:p>
    <w:bookmarkEnd w:id="10"/>
    <w:p>
      <w:pPr>
        <w:spacing w:line="360" w:lineRule="auto"/>
        <w:rPr>
          <w:b/>
          <w:color w:val="auto"/>
          <w:highlight w:val="none"/>
        </w:rPr>
      </w:pPr>
      <w:r>
        <w:rPr>
          <w:rFonts w:hint="eastAsia"/>
          <w:b/>
          <w:color w:val="auto"/>
          <w:highlight w:val="none"/>
        </w:rPr>
        <w:t>（六）考核要求</w:t>
      </w:r>
    </w:p>
    <w:p>
      <w:pPr>
        <w:spacing w:line="48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1.为防止院内感染，中标人要保证对所有洗涤物品进行消毒，采购方将不定期对洗涤过程进行检查或对洗涤后的物品进行细菌学指标监测，如洗涤物品未进行消毒或细菌指标超标，每次扣除洗涤费5000元，检查发现未对洗涤物品进行消毒或监测3次不合格者，采购方可解除合同。</w:t>
      </w:r>
    </w:p>
    <w:p>
      <w:pPr>
        <w:spacing w:line="48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备注：细菌学指标的检查是指洗涤后的清洁织物微生物指标应符合下表的要求</w:t>
      </w:r>
    </w:p>
    <w:tbl>
      <w:tblPr>
        <w:tblStyle w:val="38"/>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44"/>
        <w:gridCol w:w="42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344" w:type="dxa"/>
            <w:vAlign w:val="center"/>
          </w:tcPr>
          <w:p>
            <w:pPr>
              <w:spacing w:line="48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项目</w:t>
            </w:r>
          </w:p>
        </w:tc>
        <w:tc>
          <w:tcPr>
            <w:tcW w:w="4296" w:type="dxa"/>
            <w:vAlign w:val="center"/>
          </w:tcPr>
          <w:p>
            <w:pPr>
              <w:spacing w:line="48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指标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344" w:type="dxa"/>
            <w:vAlign w:val="center"/>
          </w:tcPr>
          <w:p>
            <w:pPr>
              <w:spacing w:line="48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细菌菌落总数/(CFU/100cm2)</w:t>
            </w:r>
          </w:p>
        </w:tc>
        <w:tc>
          <w:tcPr>
            <w:tcW w:w="4296" w:type="dxa"/>
            <w:vAlign w:val="center"/>
          </w:tcPr>
          <w:p>
            <w:pPr>
              <w:spacing w:line="48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≤200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344" w:type="dxa"/>
            <w:vAlign w:val="center"/>
          </w:tcPr>
          <w:p>
            <w:pPr>
              <w:spacing w:line="48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大肠菌群</w:t>
            </w:r>
          </w:p>
        </w:tc>
        <w:tc>
          <w:tcPr>
            <w:tcW w:w="4296" w:type="dxa"/>
            <w:vAlign w:val="center"/>
          </w:tcPr>
          <w:p>
            <w:pPr>
              <w:spacing w:line="48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不得检出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0" w:hRule="atLeast"/>
          <w:jc w:val="center"/>
        </w:trPr>
        <w:tc>
          <w:tcPr>
            <w:tcW w:w="4344" w:type="dxa"/>
            <w:vAlign w:val="center"/>
          </w:tcPr>
          <w:p>
            <w:pPr>
              <w:spacing w:line="48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金黄色葡萄球菌</w:t>
            </w:r>
          </w:p>
        </w:tc>
        <w:tc>
          <w:tcPr>
            <w:tcW w:w="4296" w:type="dxa"/>
            <w:vAlign w:val="center"/>
          </w:tcPr>
          <w:p>
            <w:pPr>
              <w:spacing w:line="48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不得检出</w:t>
            </w:r>
          </w:p>
        </w:tc>
      </w:tr>
    </w:tbl>
    <w:p>
      <w:pPr>
        <w:spacing w:line="48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2.工作人员未及时取得健康合格证明，发现一人次扣100元。</w:t>
      </w:r>
    </w:p>
    <w:p>
      <w:pPr>
        <w:spacing w:line="48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3.医用织物应按照要求分机清洗，如未分机清洗，发现一次扣</w:t>
      </w:r>
      <w:r>
        <w:rPr>
          <w:rFonts w:ascii="宋体" w:hAnsi="宋体" w:cs="宋体"/>
          <w:color w:val="auto"/>
          <w:kern w:val="0"/>
          <w:sz w:val="22"/>
          <w:szCs w:val="22"/>
          <w:highlight w:val="none"/>
        </w:rPr>
        <w:t>100</w:t>
      </w:r>
      <w:r>
        <w:rPr>
          <w:rFonts w:hint="eastAsia" w:ascii="宋体" w:hAnsi="宋体" w:cs="宋体"/>
          <w:color w:val="auto"/>
          <w:kern w:val="0"/>
          <w:sz w:val="22"/>
          <w:szCs w:val="22"/>
          <w:highlight w:val="none"/>
        </w:rPr>
        <w:t>元；医用织物不与其他医院的医用织物混洗，如混洗，发现一次扣</w:t>
      </w:r>
      <w:r>
        <w:rPr>
          <w:rFonts w:ascii="宋体" w:hAnsi="宋体" w:cs="宋体"/>
          <w:color w:val="auto"/>
          <w:kern w:val="0"/>
          <w:sz w:val="22"/>
          <w:szCs w:val="22"/>
          <w:highlight w:val="none"/>
        </w:rPr>
        <w:t>100</w:t>
      </w:r>
      <w:r>
        <w:rPr>
          <w:rFonts w:hint="eastAsia" w:ascii="宋体" w:hAnsi="宋体" w:cs="宋体"/>
          <w:color w:val="auto"/>
          <w:kern w:val="0"/>
          <w:sz w:val="22"/>
          <w:szCs w:val="22"/>
          <w:highlight w:val="none"/>
        </w:rPr>
        <w:t>元；医用织物不与其他医院的医用织物混放，如混放，发现一次扣</w:t>
      </w:r>
      <w:r>
        <w:rPr>
          <w:rFonts w:ascii="宋体" w:hAnsi="宋体" w:cs="宋体"/>
          <w:color w:val="auto"/>
          <w:kern w:val="0"/>
          <w:sz w:val="22"/>
          <w:szCs w:val="22"/>
          <w:highlight w:val="none"/>
        </w:rPr>
        <w:t>100</w:t>
      </w:r>
      <w:r>
        <w:rPr>
          <w:rFonts w:hint="eastAsia" w:ascii="宋体" w:hAnsi="宋体" w:cs="宋体"/>
          <w:color w:val="auto"/>
          <w:kern w:val="0"/>
          <w:sz w:val="22"/>
          <w:szCs w:val="22"/>
          <w:highlight w:val="none"/>
        </w:rPr>
        <w:t>元。</w:t>
      </w:r>
    </w:p>
    <w:p>
      <w:pPr>
        <w:pStyle w:val="194"/>
        <w:ind w:firstLine="0" w:firstLineChars="0"/>
        <w:rPr>
          <w:color w:val="auto"/>
          <w:highlight w:val="none"/>
        </w:rPr>
      </w:pPr>
      <w:r>
        <w:rPr>
          <w:rFonts w:hint="eastAsia" w:ascii="宋体" w:hAnsi="宋体" w:cs="宋体"/>
          <w:color w:val="auto"/>
          <w:kern w:val="0"/>
          <w:sz w:val="22"/>
          <w:szCs w:val="22"/>
          <w:highlight w:val="none"/>
          <w:lang w:val="en-US"/>
        </w:rPr>
        <w:t>4.中标单位工作人员的工作、防护装置符合院感要求，发现一次不符合要求扣</w:t>
      </w:r>
      <w:r>
        <w:rPr>
          <w:rFonts w:ascii="宋体" w:hAnsi="宋体" w:cs="宋体"/>
          <w:color w:val="auto"/>
          <w:kern w:val="0"/>
          <w:sz w:val="22"/>
          <w:szCs w:val="22"/>
          <w:highlight w:val="none"/>
          <w:lang w:val="en-US"/>
        </w:rPr>
        <w:t>5</w:t>
      </w:r>
      <w:r>
        <w:rPr>
          <w:rFonts w:hint="eastAsia" w:ascii="宋体" w:hAnsi="宋体" w:cs="宋体"/>
          <w:color w:val="auto"/>
          <w:kern w:val="0"/>
          <w:sz w:val="22"/>
          <w:szCs w:val="22"/>
          <w:highlight w:val="none"/>
          <w:lang w:val="en-US"/>
        </w:rPr>
        <w:t>00元。</w:t>
      </w:r>
    </w:p>
    <w:p>
      <w:pPr>
        <w:pStyle w:val="194"/>
        <w:ind w:firstLine="0" w:firstLineChars="0"/>
        <w:rPr>
          <w:rFonts w:ascii="宋体" w:hAnsi="宋体" w:cs="宋体"/>
          <w:color w:val="auto"/>
          <w:kern w:val="0"/>
          <w:sz w:val="22"/>
          <w:szCs w:val="22"/>
          <w:highlight w:val="none"/>
          <w:lang w:val="en-US"/>
        </w:rPr>
      </w:pPr>
      <w:r>
        <w:rPr>
          <w:rFonts w:hint="eastAsia" w:ascii="宋体" w:hAnsi="宋体" w:cs="宋体"/>
          <w:color w:val="auto"/>
          <w:kern w:val="0"/>
          <w:sz w:val="22"/>
          <w:szCs w:val="22"/>
          <w:highlight w:val="none"/>
          <w:lang w:val="en-US"/>
        </w:rPr>
        <w:t>5.为防止院内感染，医用织物（无论清洗前后）的堆放、分拣必须严格在医院指定区域进行。若有违反，发现一次扣200元，</w:t>
      </w:r>
    </w:p>
    <w:p>
      <w:pPr>
        <w:pStyle w:val="194"/>
        <w:ind w:firstLine="0" w:firstLineChars="0"/>
        <w:rPr>
          <w:rFonts w:ascii="宋体" w:hAnsi="宋体" w:cs="宋体"/>
          <w:color w:val="auto"/>
          <w:kern w:val="0"/>
          <w:sz w:val="22"/>
          <w:szCs w:val="22"/>
          <w:highlight w:val="none"/>
          <w:lang w:val="en-US"/>
        </w:rPr>
      </w:pPr>
      <w:r>
        <w:rPr>
          <w:rFonts w:hint="eastAsia" w:ascii="宋体" w:hAnsi="宋体" w:cs="宋体"/>
          <w:color w:val="auto"/>
          <w:kern w:val="0"/>
          <w:sz w:val="22"/>
          <w:szCs w:val="22"/>
          <w:highlight w:val="none"/>
          <w:lang w:val="en-US"/>
        </w:rPr>
        <w:t>6.收到投诉，如工作人员不配合工作、影响采购方相关部门（科室）工作，视情节严重一次扣</w:t>
      </w:r>
      <w:r>
        <w:rPr>
          <w:rFonts w:ascii="宋体" w:hAnsi="宋体" w:cs="宋体"/>
          <w:color w:val="auto"/>
          <w:kern w:val="0"/>
          <w:sz w:val="22"/>
          <w:szCs w:val="22"/>
          <w:highlight w:val="none"/>
          <w:lang w:val="en-US"/>
        </w:rPr>
        <w:t>100</w:t>
      </w:r>
      <w:r>
        <w:rPr>
          <w:rFonts w:hint="eastAsia" w:ascii="宋体" w:hAnsi="宋体" w:cs="宋体"/>
          <w:color w:val="auto"/>
          <w:kern w:val="0"/>
          <w:sz w:val="22"/>
          <w:szCs w:val="22"/>
          <w:highlight w:val="none"/>
          <w:lang w:val="en-US"/>
        </w:rPr>
        <w:t>-</w:t>
      </w:r>
      <w:r>
        <w:rPr>
          <w:rFonts w:ascii="宋体" w:hAnsi="宋体" w:cs="宋体"/>
          <w:color w:val="auto"/>
          <w:kern w:val="0"/>
          <w:sz w:val="22"/>
          <w:szCs w:val="22"/>
          <w:highlight w:val="none"/>
          <w:lang w:val="en-US"/>
        </w:rPr>
        <w:t>2000</w:t>
      </w:r>
      <w:r>
        <w:rPr>
          <w:rFonts w:hint="eastAsia" w:ascii="宋体" w:hAnsi="宋体" w:cs="宋体"/>
          <w:color w:val="auto"/>
          <w:kern w:val="0"/>
          <w:sz w:val="22"/>
          <w:szCs w:val="22"/>
          <w:highlight w:val="none"/>
          <w:lang w:val="en-US"/>
        </w:rPr>
        <w:t>元。</w:t>
      </w:r>
    </w:p>
    <w:p>
      <w:pPr>
        <w:pStyle w:val="194"/>
        <w:ind w:firstLine="0" w:firstLineChars="0"/>
        <w:rPr>
          <w:rFonts w:ascii="宋体" w:hAnsi="宋体" w:cs="宋体"/>
          <w:color w:val="auto"/>
          <w:kern w:val="0"/>
          <w:sz w:val="22"/>
          <w:szCs w:val="22"/>
          <w:highlight w:val="none"/>
          <w:lang w:val="en-US"/>
        </w:rPr>
      </w:pPr>
      <w:r>
        <w:rPr>
          <w:rFonts w:hint="eastAsia" w:ascii="宋体" w:hAnsi="宋体" w:cs="宋体"/>
          <w:color w:val="auto"/>
          <w:kern w:val="0"/>
          <w:sz w:val="22"/>
          <w:szCs w:val="22"/>
          <w:highlight w:val="none"/>
          <w:lang w:val="en-US"/>
        </w:rPr>
        <w:t>7.因工作原因造成的设施设备损坏，由中标单位进行维修或者赔偿，若中标单位无法进行赔偿，采购方可安排进行维修，中标单位支付相关的费用。</w:t>
      </w:r>
    </w:p>
    <w:p>
      <w:pPr>
        <w:spacing w:line="360" w:lineRule="auto"/>
        <w:rPr>
          <w:color w:val="auto"/>
          <w:highlight w:val="none"/>
        </w:rPr>
      </w:pPr>
      <w:r>
        <w:rPr>
          <w:rFonts w:hint="eastAsia"/>
          <w:color w:val="auto"/>
          <w:highlight w:val="none"/>
        </w:rPr>
        <w:t>8.中标人员工发生被媒体曝光、影响医院公众形象或违反医院规章制度造成不良影响，或不履行其投标文件的承诺，而由此产生的损失及消除影响产生的费用，均由中标人全部承担。</w:t>
      </w:r>
    </w:p>
    <w:p>
      <w:pPr>
        <w:pStyle w:val="194"/>
        <w:ind w:firstLine="0" w:firstLineChars="0"/>
        <w:rPr>
          <w:rFonts w:ascii="宋体" w:hAnsi="宋体" w:cs="宋体"/>
          <w:color w:val="auto"/>
          <w:kern w:val="0"/>
          <w:sz w:val="22"/>
          <w:szCs w:val="22"/>
          <w:highlight w:val="none"/>
          <w:lang w:val="en-US"/>
        </w:rPr>
      </w:pPr>
      <w:r>
        <w:rPr>
          <w:rFonts w:ascii="宋体" w:hAnsi="宋体" w:cs="宋体"/>
          <w:color w:val="auto"/>
          <w:kern w:val="0"/>
          <w:sz w:val="22"/>
          <w:szCs w:val="22"/>
          <w:highlight w:val="none"/>
          <w:lang w:val="en-US"/>
        </w:rPr>
        <w:t>9</w:t>
      </w:r>
      <w:r>
        <w:rPr>
          <w:rFonts w:hint="eastAsia" w:ascii="宋体" w:hAnsi="宋体" w:cs="宋体"/>
          <w:color w:val="auto"/>
          <w:kern w:val="0"/>
          <w:sz w:val="22"/>
          <w:szCs w:val="22"/>
          <w:highlight w:val="none"/>
          <w:lang w:val="en-US"/>
        </w:rPr>
        <w:t>.工作人员严禁在院内吸烟。如有发现，按医院规定处罚。</w:t>
      </w:r>
    </w:p>
    <w:p>
      <w:pPr>
        <w:pStyle w:val="194"/>
        <w:ind w:firstLine="0" w:firstLineChars="0"/>
        <w:rPr>
          <w:rFonts w:ascii="宋体" w:hAnsi="宋体" w:cs="宋体"/>
          <w:color w:val="auto"/>
          <w:kern w:val="0"/>
          <w:sz w:val="22"/>
          <w:szCs w:val="22"/>
          <w:highlight w:val="none"/>
          <w:lang w:val="en-US"/>
        </w:rPr>
      </w:pPr>
      <w:r>
        <w:rPr>
          <w:rFonts w:hint="eastAsia" w:ascii="宋体" w:hAnsi="宋体" w:cs="宋体"/>
          <w:color w:val="auto"/>
          <w:kern w:val="0"/>
          <w:sz w:val="22"/>
          <w:szCs w:val="22"/>
          <w:highlight w:val="none"/>
          <w:lang w:val="en-US"/>
        </w:rPr>
        <w:t>1</w:t>
      </w:r>
      <w:r>
        <w:rPr>
          <w:rFonts w:ascii="宋体" w:hAnsi="宋体" w:cs="宋体"/>
          <w:color w:val="auto"/>
          <w:kern w:val="0"/>
          <w:sz w:val="22"/>
          <w:szCs w:val="22"/>
          <w:highlight w:val="none"/>
          <w:lang w:val="en-US"/>
        </w:rPr>
        <w:t>0</w:t>
      </w:r>
      <w:r>
        <w:rPr>
          <w:rFonts w:hint="eastAsia" w:ascii="宋体" w:hAnsi="宋体" w:cs="宋体"/>
          <w:color w:val="auto"/>
          <w:kern w:val="0"/>
          <w:sz w:val="22"/>
          <w:szCs w:val="22"/>
          <w:highlight w:val="none"/>
          <w:lang w:val="en-US"/>
        </w:rPr>
        <w:t>.中标单位工作人员不得乱放、混放医疗垃圾，须符合医院要求，若有违反，发现一次扣</w:t>
      </w:r>
      <w:r>
        <w:rPr>
          <w:rFonts w:ascii="宋体" w:hAnsi="宋体" w:cs="宋体"/>
          <w:color w:val="auto"/>
          <w:kern w:val="0"/>
          <w:sz w:val="22"/>
          <w:szCs w:val="22"/>
          <w:highlight w:val="none"/>
          <w:lang w:val="en-US"/>
        </w:rPr>
        <w:t>200</w:t>
      </w:r>
      <w:r>
        <w:rPr>
          <w:rFonts w:hint="eastAsia" w:ascii="宋体" w:hAnsi="宋体" w:cs="宋体"/>
          <w:color w:val="auto"/>
          <w:kern w:val="0"/>
          <w:sz w:val="22"/>
          <w:szCs w:val="22"/>
          <w:highlight w:val="none"/>
          <w:lang w:val="en-US"/>
        </w:rPr>
        <w:t>元。</w:t>
      </w:r>
    </w:p>
    <w:p>
      <w:pPr>
        <w:pStyle w:val="194"/>
        <w:ind w:firstLine="0" w:firstLineChars="0"/>
        <w:rPr>
          <w:rFonts w:ascii="宋体" w:hAnsi="宋体" w:cs="宋体"/>
          <w:color w:val="auto"/>
          <w:kern w:val="0"/>
          <w:sz w:val="22"/>
          <w:szCs w:val="22"/>
          <w:highlight w:val="none"/>
          <w:lang w:val="en-US"/>
        </w:rPr>
      </w:pPr>
      <w:r>
        <w:rPr>
          <w:rFonts w:ascii="宋体" w:hAnsi="宋体" w:cs="宋体"/>
          <w:color w:val="auto"/>
          <w:kern w:val="0"/>
          <w:sz w:val="22"/>
          <w:szCs w:val="22"/>
          <w:highlight w:val="none"/>
          <w:lang w:val="en-US"/>
        </w:rPr>
        <w:t>11</w:t>
      </w:r>
      <w:r>
        <w:rPr>
          <w:rFonts w:hint="eastAsia" w:ascii="宋体" w:hAnsi="宋体" w:cs="宋体"/>
          <w:color w:val="auto"/>
          <w:kern w:val="0"/>
          <w:sz w:val="22"/>
          <w:szCs w:val="22"/>
          <w:highlight w:val="none"/>
          <w:lang w:val="en-US"/>
        </w:rPr>
        <w:t>.采购方相关部门不定期对中标人现场检查所提出的问题在下次检查时未得到有效的整改，发现一处给予</w:t>
      </w:r>
      <w:r>
        <w:rPr>
          <w:rFonts w:ascii="宋体" w:hAnsi="宋体" w:cs="宋体"/>
          <w:color w:val="auto"/>
          <w:kern w:val="0"/>
          <w:sz w:val="22"/>
          <w:szCs w:val="22"/>
          <w:highlight w:val="none"/>
          <w:lang w:val="en-US"/>
        </w:rPr>
        <w:t>20</w:t>
      </w:r>
      <w:r>
        <w:rPr>
          <w:rFonts w:hint="eastAsia" w:ascii="宋体" w:hAnsi="宋体" w:cs="宋体"/>
          <w:color w:val="auto"/>
          <w:kern w:val="0"/>
          <w:sz w:val="22"/>
          <w:szCs w:val="22"/>
          <w:highlight w:val="none"/>
          <w:lang w:val="en-US"/>
        </w:rPr>
        <w:t>0元/处的处罚。</w:t>
      </w:r>
    </w:p>
    <w:p>
      <w:pPr>
        <w:pStyle w:val="194"/>
        <w:ind w:firstLine="0" w:firstLineChars="0"/>
        <w:rPr>
          <w:rFonts w:ascii="宋体" w:hAnsi="宋体" w:cs="宋体"/>
          <w:color w:val="auto"/>
          <w:kern w:val="0"/>
          <w:sz w:val="22"/>
          <w:szCs w:val="22"/>
          <w:highlight w:val="none"/>
          <w:lang w:val="en-US"/>
        </w:rPr>
      </w:pPr>
      <w:r>
        <w:rPr>
          <w:rFonts w:hint="eastAsia" w:ascii="宋体" w:hAnsi="宋体" w:cs="宋体"/>
          <w:color w:val="auto"/>
          <w:kern w:val="0"/>
          <w:sz w:val="22"/>
          <w:szCs w:val="22"/>
          <w:highlight w:val="none"/>
        </w:rPr>
        <w:t>12</w:t>
      </w:r>
      <w:r>
        <w:rPr>
          <w:rFonts w:hint="eastAsia" w:ascii="宋体" w:hAnsi="宋体" w:cs="宋体"/>
          <w:color w:val="auto"/>
          <w:kern w:val="0"/>
          <w:sz w:val="22"/>
          <w:szCs w:val="22"/>
          <w:highlight w:val="none"/>
          <w:lang w:val="en-US"/>
        </w:rPr>
        <w:t>.</w:t>
      </w:r>
      <w:r>
        <w:rPr>
          <w:rFonts w:hint="eastAsia" w:ascii="宋体" w:hAnsi="宋体" w:cs="宋体"/>
          <w:color w:val="auto"/>
          <w:kern w:val="0"/>
          <w:sz w:val="22"/>
          <w:szCs w:val="22"/>
          <w:highlight w:val="none"/>
        </w:rPr>
        <w:t>若因中标人不能按质、按量、按时交付洗涤衣物，严重影响采购人临床使用，特别是手术室</w:t>
      </w:r>
      <w:r>
        <w:rPr>
          <w:rFonts w:hint="eastAsia" w:ascii="宋体" w:hAnsi="宋体" w:cs="宋体"/>
          <w:color w:val="auto"/>
          <w:kern w:val="0"/>
          <w:sz w:val="22"/>
          <w:szCs w:val="22"/>
          <w:highlight w:val="none"/>
          <w:lang w:val="en-US"/>
        </w:rPr>
        <w:t>等重要部门的布类使用，则采购人将按2000元/次进行处罚。一年内累计发生三次以上的，医院有权解除合同，并要求进行相应的赔偿。</w:t>
      </w:r>
    </w:p>
    <w:p>
      <w:pPr>
        <w:pStyle w:val="194"/>
        <w:ind w:firstLine="0" w:firstLineChars="0"/>
        <w:rPr>
          <w:rFonts w:ascii="宋体" w:hAnsi="宋体" w:cs="宋体"/>
          <w:color w:val="auto"/>
          <w:kern w:val="0"/>
          <w:sz w:val="22"/>
          <w:szCs w:val="22"/>
          <w:highlight w:val="none"/>
          <w:lang w:val="en-US"/>
        </w:rPr>
      </w:pPr>
      <w:r>
        <w:rPr>
          <w:rFonts w:hint="eastAsia" w:ascii="宋体" w:hAnsi="宋体" w:cs="宋体"/>
          <w:color w:val="auto"/>
          <w:kern w:val="0"/>
          <w:sz w:val="22"/>
          <w:szCs w:val="22"/>
          <w:highlight w:val="none"/>
          <w:lang w:val="en-US"/>
        </w:rPr>
        <w:t>13.中标人必须保证当日所收洗涤物品在隔天全部完成洗涤，并准时送回到采购方。否则每迟送1天，罚款1000-5000元。</w:t>
      </w:r>
    </w:p>
    <w:p>
      <w:pPr>
        <w:pStyle w:val="194"/>
        <w:ind w:firstLine="0" w:firstLineChars="0"/>
        <w:rPr>
          <w:rFonts w:ascii="宋体" w:hAnsi="宋体" w:cs="宋体"/>
          <w:color w:val="auto"/>
          <w:kern w:val="0"/>
          <w:sz w:val="22"/>
          <w:szCs w:val="22"/>
          <w:highlight w:val="none"/>
          <w:lang w:val="en-US"/>
        </w:rPr>
      </w:pPr>
      <w:r>
        <w:rPr>
          <w:rFonts w:hint="eastAsia" w:ascii="宋体" w:hAnsi="宋体" w:cs="宋体"/>
          <w:color w:val="auto"/>
          <w:kern w:val="0"/>
          <w:sz w:val="22"/>
          <w:szCs w:val="22"/>
          <w:highlight w:val="none"/>
          <w:lang w:val="en-US"/>
        </w:rPr>
        <w:t>14.以上所有项目的罚款累计在当月服务费中核减。</w:t>
      </w:r>
    </w:p>
    <w:p>
      <w:pPr>
        <w:pStyle w:val="194"/>
        <w:ind w:firstLine="0" w:firstLineChars="0"/>
        <w:rPr>
          <w:rFonts w:hint="eastAsia" w:ascii="宋体" w:hAnsi="宋体" w:cs="宋体"/>
          <w:b/>
          <w:bCs/>
          <w:color w:val="auto"/>
          <w:kern w:val="0"/>
          <w:sz w:val="22"/>
          <w:szCs w:val="22"/>
          <w:highlight w:val="none"/>
          <w:lang w:val="en-US"/>
        </w:rPr>
      </w:pPr>
    </w:p>
    <w:p>
      <w:pPr>
        <w:pStyle w:val="194"/>
        <w:ind w:firstLine="0" w:firstLineChars="0"/>
        <w:rPr>
          <w:rFonts w:hint="eastAsia" w:ascii="宋体" w:hAnsi="宋体" w:cs="宋体"/>
          <w:b/>
          <w:bCs/>
          <w:color w:val="auto"/>
          <w:kern w:val="0"/>
          <w:sz w:val="22"/>
          <w:szCs w:val="22"/>
          <w:highlight w:val="none"/>
          <w:lang w:val="en-US"/>
        </w:rPr>
      </w:pPr>
    </w:p>
    <w:p>
      <w:pPr>
        <w:pStyle w:val="194"/>
        <w:ind w:firstLine="0" w:firstLineChars="0"/>
        <w:rPr>
          <w:rFonts w:ascii="宋体" w:hAnsi="宋体" w:cs="宋体"/>
          <w:b/>
          <w:bCs/>
          <w:color w:val="auto"/>
          <w:kern w:val="0"/>
          <w:sz w:val="22"/>
          <w:szCs w:val="22"/>
          <w:highlight w:val="none"/>
          <w:lang w:val="en-US"/>
        </w:rPr>
      </w:pPr>
      <w:r>
        <w:rPr>
          <w:rFonts w:hint="eastAsia" w:ascii="宋体" w:hAnsi="宋体" w:cs="宋体"/>
          <w:b/>
          <w:bCs/>
          <w:color w:val="auto"/>
          <w:kern w:val="0"/>
          <w:sz w:val="22"/>
          <w:szCs w:val="22"/>
          <w:highlight w:val="none"/>
          <w:lang w:val="en-US"/>
        </w:rPr>
        <w:t>四、布服租赁考评办法</w:t>
      </w:r>
    </w:p>
    <w:p>
      <w:pPr>
        <w:spacing w:line="360" w:lineRule="auto"/>
        <w:ind w:firstLine="420" w:firstLineChars="200"/>
        <w:jc w:val="center"/>
        <w:rPr>
          <w:color w:val="auto"/>
          <w:highlight w:val="none"/>
        </w:rPr>
      </w:pPr>
      <w:r>
        <w:rPr>
          <w:rFonts w:hint="eastAsia"/>
          <w:color w:val="auto"/>
          <w:highlight w:val="none"/>
        </w:rPr>
        <w:t>布服租赁考评办法</w:t>
      </w:r>
    </w:p>
    <w:p>
      <w:pPr>
        <w:spacing w:line="360" w:lineRule="auto"/>
        <w:ind w:firstLine="420" w:firstLineChars="200"/>
        <w:rPr>
          <w:color w:val="auto"/>
          <w:highlight w:val="none"/>
        </w:rPr>
      </w:pPr>
      <w:r>
        <w:rPr>
          <w:rFonts w:hint="eastAsia"/>
          <w:color w:val="auto"/>
          <w:highlight w:val="none"/>
        </w:rPr>
        <w:t>1.采购方后勤管理部门、各科室负责人每月对中标单位的服务质量进行考核（《苍南县人民医院布品租赁及洗涤服务项目质量考核表》）。</w:t>
      </w:r>
    </w:p>
    <w:p>
      <w:pPr>
        <w:spacing w:line="360" w:lineRule="auto"/>
        <w:ind w:firstLine="420" w:firstLineChars="200"/>
        <w:rPr>
          <w:color w:val="auto"/>
          <w:highlight w:val="none"/>
        </w:rPr>
      </w:pPr>
      <w:r>
        <w:rPr>
          <w:rFonts w:hint="eastAsia"/>
          <w:color w:val="auto"/>
          <w:highlight w:val="none"/>
        </w:rPr>
        <w:t>2.采购人对每月的服务质量考核进行统计汇总，其中各科室主管考核质量平均分的50%，总务处现场抽查考核平均分的50%，作为考核结果。</w:t>
      </w:r>
    </w:p>
    <w:p>
      <w:pPr>
        <w:spacing w:line="360" w:lineRule="auto"/>
        <w:ind w:firstLine="420" w:firstLineChars="200"/>
        <w:rPr>
          <w:color w:val="auto"/>
          <w:highlight w:val="none"/>
        </w:rPr>
      </w:pPr>
      <w:r>
        <w:rPr>
          <w:color w:val="auto"/>
          <w:highlight w:val="none"/>
        </w:rPr>
        <w:t>2</w:t>
      </w:r>
      <w:r>
        <w:rPr>
          <w:rFonts w:hint="eastAsia"/>
          <w:color w:val="auto"/>
          <w:highlight w:val="none"/>
        </w:rPr>
        <w:t>.1 考核结果高于90分（含），视为合格，全额支付租赁费；</w:t>
      </w:r>
    </w:p>
    <w:p>
      <w:pPr>
        <w:spacing w:line="360" w:lineRule="auto"/>
        <w:ind w:firstLine="420" w:firstLineChars="200"/>
        <w:rPr>
          <w:color w:val="auto"/>
          <w:highlight w:val="none"/>
        </w:rPr>
      </w:pPr>
      <w:r>
        <w:rPr>
          <w:color w:val="auto"/>
          <w:highlight w:val="none"/>
        </w:rPr>
        <w:t>2.</w:t>
      </w:r>
      <w:r>
        <w:rPr>
          <w:rFonts w:hint="eastAsia"/>
          <w:color w:val="auto"/>
          <w:highlight w:val="none"/>
        </w:rPr>
        <w:t>2 若考核成绩在90分至80分（含）之间，每降低一分扣1000元；</w:t>
      </w:r>
    </w:p>
    <w:p>
      <w:pPr>
        <w:spacing w:line="360" w:lineRule="auto"/>
        <w:ind w:firstLine="420" w:firstLineChars="200"/>
        <w:rPr>
          <w:color w:val="auto"/>
          <w:highlight w:val="none"/>
        </w:rPr>
      </w:pPr>
      <w:r>
        <w:rPr>
          <w:color w:val="auto"/>
          <w:highlight w:val="none"/>
        </w:rPr>
        <w:t>2</w:t>
      </w:r>
      <w:r>
        <w:rPr>
          <w:rFonts w:hint="eastAsia"/>
          <w:color w:val="auto"/>
          <w:highlight w:val="none"/>
        </w:rPr>
        <w:t>.3 若考核成绩80分至70分（含）之间，每降低一分扣1500元。并提交整改报告，且承诺须在1个月内完成整改；</w:t>
      </w:r>
    </w:p>
    <w:p>
      <w:pPr>
        <w:spacing w:line="360" w:lineRule="auto"/>
        <w:ind w:firstLine="420" w:firstLineChars="200"/>
        <w:rPr>
          <w:rFonts w:hint="eastAsia"/>
          <w:color w:val="auto"/>
          <w:highlight w:val="none"/>
        </w:rPr>
      </w:pPr>
      <w:r>
        <w:rPr>
          <w:rFonts w:hint="eastAsia"/>
          <w:color w:val="auto"/>
          <w:highlight w:val="none"/>
        </w:rPr>
        <w:t>2.4 若合同期内连续两次或累计三次考核成绩低于70分（不含70分），视同中标单位违约，采购人有权单方终止本合同。</w:t>
      </w:r>
    </w:p>
    <w:p>
      <w:pPr>
        <w:spacing w:line="360" w:lineRule="auto"/>
        <w:ind w:firstLine="420" w:firstLineChars="200"/>
        <w:rPr>
          <w:rFonts w:hint="eastAsia"/>
          <w:color w:val="auto"/>
          <w:highlight w:val="none"/>
        </w:rPr>
      </w:pPr>
      <w:r>
        <w:rPr>
          <w:rFonts w:hint="eastAsia"/>
          <w:color w:val="auto"/>
          <w:highlight w:val="none"/>
        </w:rPr>
        <w:t>3.以上罚款金额在每月的服务费中扣除。</w:t>
      </w:r>
    </w:p>
    <w:p>
      <w:pPr>
        <w:spacing w:line="360" w:lineRule="auto"/>
        <w:ind w:firstLine="420" w:firstLineChars="200"/>
        <w:rPr>
          <w:rFonts w:ascii="宋体"/>
          <w:b/>
          <w:color w:val="auto"/>
          <w:sz w:val="44"/>
          <w:szCs w:val="44"/>
          <w:highlight w:val="none"/>
        </w:rPr>
      </w:pPr>
      <w:r>
        <w:rPr>
          <w:color w:val="auto"/>
          <w:highlight w:val="none"/>
        </w:rPr>
        <w:t>4.</w:t>
      </w:r>
      <w:r>
        <w:rPr>
          <w:rFonts w:hint="eastAsia"/>
          <w:color w:val="auto"/>
          <w:highlight w:val="none"/>
        </w:rPr>
        <w:t>考核结果每月以书面形式反馈中标单位负责人，中标单位负责人必须针对考核分低于80分的科室进行原因分析及整改，并将整改报告提交总务处。</w:t>
      </w:r>
    </w:p>
    <w:p>
      <w:pPr>
        <w:spacing w:line="360" w:lineRule="auto"/>
        <w:ind w:firstLine="420" w:firstLineChars="200"/>
        <w:jc w:val="left"/>
        <w:rPr>
          <w:color w:val="auto"/>
          <w:highlight w:val="none"/>
        </w:rPr>
      </w:pPr>
    </w:p>
    <w:p>
      <w:pPr>
        <w:spacing w:line="360" w:lineRule="auto"/>
        <w:ind w:firstLine="420" w:firstLineChars="200"/>
        <w:jc w:val="left"/>
        <w:rPr>
          <w:color w:val="auto"/>
          <w:highlight w:val="none"/>
        </w:rPr>
      </w:pPr>
    </w:p>
    <w:p>
      <w:pPr>
        <w:spacing w:line="360" w:lineRule="auto"/>
        <w:ind w:firstLine="420" w:firstLineChars="200"/>
        <w:jc w:val="left"/>
        <w:rPr>
          <w:color w:val="auto"/>
          <w:highlight w:val="none"/>
        </w:rPr>
      </w:pPr>
    </w:p>
    <w:p>
      <w:pPr>
        <w:spacing w:line="360" w:lineRule="auto"/>
        <w:ind w:firstLine="420" w:firstLineChars="200"/>
        <w:jc w:val="left"/>
        <w:rPr>
          <w:color w:val="auto"/>
          <w:highlight w:val="none"/>
        </w:rPr>
      </w:pPr>
    </w:p>
    <w:p>
      <w:pPr>
        <w:spacing w:line="360" w:lineRule="auto"/>
        <w:ind w:firstLine="420" w:firstLineChars="200"/>
        <w:jc w:val="left"/>
        <w:rPr>
          <w:color w:val="auto"/>
          <w:highlight w:val="none"/>
        </w:rPr>
      </w:pPr>
    </w:p>
    <w:p>
      <w:pPr>
        <w:spacing w:line="360" w:lineRule="auto"/>
        <w:ind w:firstLine="420" w:firstLineChars="200"/>
        <w:jc w:val="left"/>
        <w:rPr>
          <w:color w:val="auto"/>
          <w:highlight w:val="none"/>
        </w:rPr>
      </w:pPr>
    </w:p>
    <w:p>
      <w:pPr>
        <w:spacing w:line="360" w:lineRule="auto"/>
        <w:ind w:firstLine="420" w:firstLineChars="200"/>
        <w:jc w:val="left"/>
        <w:rPr>
          <w:color w:val="auto"/>
          <w:highlight w:val="none"/>
        </w:rPr>
      </w:pPr>
    </w:p>
    <w:p>
      <w:pPr>
        <w:spacing w:line="360" w:lineRule="auto"/>
        <w:ind w:firstLine="420" w:firstLineChars="200"/>
        <w:jc w:val="left"/>
        <w:rPr>
          <w:color w:val="auto"/>
          <w:highlight w:val="none"/>
        </w:rPr>
      </w:pPr>
    </w:p>
    <w:p>
      <w:pPr>
        <w:pStyle w:val="2"/>
        <w:ind w:firstLine="200"/>
        <w:rPr>
          <w:color w:val="auto"/>
          <w:highlight w:val="none"/>
        </w:rPr>
      </w:pPr>
    </w:p>
    <w:p>
      <w:pPr>
        <w:pStyle w:val="4"/>
        <w:rPr>
          <w:color w:val="auto"/>
          <w:highlight w:val="none"/>
        </w:rPr>
      </w:pPr>
    </w:p>
    <w:p>
      <w:pPr>
        <w:rPr>
          <w:color w:val="auto"/>
          <w:highlight w:val="none"/>
        </w:rPr>
      </w:pPr>
    </w:p>
    <w:p>
      <w:pPr>
        <w:pStyle w:val="2"/>
        <w:ind w:firstLine="200"/>
        <w:rPr>
          <w:color w:val="auto"/>
          <w:highlight w:val="none"/>
        </w:rPr>
      </w:pPr>
    </w:p>
    <w:p>
      <w:pPr>
        <w:rPr>
          <w:color w:val="auto"/>
          <w:highlight w:val="none"/>
        </w:rPr>
      </w:pPr>
    </w:p>
    <w:p>
      <w:pPr>
        <w:pStyle w:val="3"/>
        <w:rPr>
          <w:color w:val="auto"/>
          <w:highlight w:val="none"/>
        </w:rPr>
      </w:pPr>
    </w:p>
    <w:p>
      <w:pPr>
        <w:pStyle w:val="2"/>
        <w:ind w:firstLine="200"/>
        <w:rPr>
          <w:color w:val="auto"/>
          <w:highlight w:val="none"/>
        </w:rPr>
      </w:pPr>
    </w:p>
    <w:p>
      <w:pPr>
        <w:pStyle w:val="4"/>
        <w:rPr>
          <w:color w:val="auto"/>
          <w:highlight w:val="none"/>
        </w:rPr>
      </w:pPr>
    </w:p>
    <w:p>
      <w:pPr>
        <w:rPr>
          <w:color w:val="auto"/>
          <w:highlight w:val="none"/>
        </w:rPr>
      </w:pPr>
    </w:p>
    <w:p>
      <w:pPr>
        <w:spacing w:line="360" w:lineRule="auto"/>
        <w:jc w:val="left"/>
        <w:rPr>
          <w:color w:val="auto"/>
          <w:highlight w:val="none"/>
        </w:rPr>
      </w:pPr>
    </w:p>
    <w:p>
      <w:pPr>
        <w:spacing w:line="360" w:lineRule="auto"/>
        <w:ind w:firstLine="420" w:firstLineChars="200"/>
        <w:jc w:val="left"/>
        <w:rPr>
          <w:color w:val="auto"/>
          <w:highlight w:val="none"/>
        </w:rPr>
      </w:pPr>
      <w:r>
        <w:rPr>
          <w:rFonts w:hint="eastAsia"/>
          <w:color w:val="auto"/>
          <w:highlight w:val="none"/>
        </w:rPr>
        <w:t>附件：苍南县人民医院布品租赁及洗涤服务项目质量考核表</w:t>
      </w:r>
    </w:p>
    <w:tbl>
      <w:tblPr>
        <w:tblStyle w:val="38"/>
        <w:tblW w:w="97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238"/>
        <w:gridCol w:w="670"/>
        <w:gridCol w:w="1622"/>
        <w:gridCol w:w="663"/>
        <w:gridCol w:w="730"/>
        <w:gridCol w:w="11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3" w:type="dxa"/>
            <w:gridSpan w:val="7"/>
            <w:vAlign w:val="center"/>
          </w:tcPr>
          <w:p>
            <w:pPr>
              <w:rPr>
                <w:color w:val="auto"/>
                <w:highlight w:val="none"/>
              </w:rPr>
            </w:pPr>
            <w:r>
              <w:rPr>
                <w:rFonts w:hint="eastAsia"/>
                <w:color w:val="auto"/>
                <w:highlight w:val="none"/>
              </w:rPr>
              <w:t>科室：      日期：     总分：     查核人员：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rPr>
                <w:color w:val="auto"/>
                <w:highlight w:val="none"/>
              </w:rPr>
            </w:pPr>
            <w:r>
              <w:rPr>
                <w:rFonts w:hint="eastAsia"/>
                <w:color w:val="auto"/>
                <w:highlight w:val="none"/>
              </w:rPr>
              <w:t>项目</w:t>
            </w:r>
          </w:p>
        </w:tc>
        <w:tc>
          <w:tcPr>
            <w:tcW w:w="4238" w:type="dxa"/>
            <w:vAlign w:val="center"/>
          </w:tcPr>
          <w:p>
            <w:pPr>
              <w:rPr>
                <w:color w:val="auto"/>
                <w:highlight w:val="none"/>
              </w:rPr>
            </w:pPr>
            <w:r>
              <w:rPr>
                <w:rFonts w:hint="eastAsia"/>
                <w:color w:val="auto"/>
                <w:highlight w:val="none"/>
              </w:rPr>
              <w:t>考核内容</w:t>
            </w:r>
          </w:p>
        </w:tc>
        <w:tc>
          <w:tcPr>
            <w:tcW w:w="670" w:type="dxa"/>
            <w:vAlign w:val="center"/>
          </w:tcPr>
          <w:p>
            <w:pPr>
              <w:jc w:val="center"/>
              <w:rPr>
                <w:color w:val="auto"/>
                <w:highlight w:val="none"/>
              </w:rPr>
            </w:pPr>
            <w:r>
              <w:rPr>
                <w:rFonts w:hint="eastAsia"/>
                <w:color w:val="auto"/>
                <w:highlight w:val="none"/>
              </w:rPr>
              <w:t>分值</w:t>
            </w:r>
          </w:p>
        </w:tc>
        <w:tc>
          <w:tcPr>
            <w:tcW w:w="1622" w:type="dxa"/>
            <w:vAlign w:val="center"/>
          </w:tcPr>
          <w:p>
            <w:pPr>
              <w:rPr>
                <w:color w:val="auto"/>
                <w:highlight w:val="none"/>
              </w:rPr>
            </w:pPr>
            <w:r>
              <w:rPr>
                <w:rFonts w:hint="eastAsia"/>
                <w:color w:val="auto"/>
                <w:highlight w:val="none"/>
              </w:rPr>
              <w:t>评分标准</w:t>
            </w:r>
          </w:p>
        </w:tc>
        <w:tc>
          <w:tcPr>
            <w:tcW w:w="663" w:type="dxa"/>
            <w:vAlign w:val="center"/>
          </w:tcPr>
          <w:p>
            <w:pPr>
              <w:rPr>
                <w:color w:val="auto"/>
                <w:highlight w:val="none"/>
              </w:rPr>
            </w:pPr>
            <w:r>
              <w:rPr>
                <w:rFonts w:hint="eastAsia"/>
                <w:color w:val="auto"/>
                <w:highlight w:val="none"/>
              </w:rPr>
              <w:t>扣分</w:t>
            </w:r>
          </w:p>
        </w:tc>
        <w:tc>
          <w:tcPr>
            <w:tcW w:w="730" w:type="dxa"/>
            <w:vAlign w:val="center"/>
          </w:tcPr>
          <w:p>
            <w:pPr>
              <w:rPr>
                <w:color w:val="auto"/>
                <w:highlight w:val="none"/>
              </w:rPr>
            </w:pPr>
            <w:r>
              <w:rPr>
                <w:rFonts w:hint="eastAsia"/>
                <w:color w:val="auto"/>
                <w:highlight w:val="none"/>
              </w:rPr>
              <w:t>得分</w:t>
            </w:r>
          </w:p>
        </w:tc>
        <w:tc>
          <w:tcPr>
            <w:tcW w:w="1125" w:type="dxa"/>
            <w:vAlign w:val="center"/>
          </w:tcPr>
          <w:p>
            <w:pPr>
              <w:rPr>
                <w:color w:val="auto"/>
                <w:highlight w:val="none"/>
              </w:rPr>
            </w:pPr>
            <w:r>
              <w:rPr>
                <w:rFonts w:hint="eastAsia"/>
                <w:color w:val="auto"/>
                <w:highlight w:val="none"/>
              </w:rPr>
              <w:t>扣分理由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restart"/>
            <w:vAlign w:val="center"/>
          </w:tcPr>
          <w:p>
            <w:pPr>
              <w:rPr>
                <w:color w:val="auto"/>
                <w:highlight w:val="none"/>
              </w:rPr>
            </w:pPr>
            <w:r>
              <w:rPr>
                <w:rFonts w:hint="eastAsia"/>
                <w:color w:val="auto"/>
                <w:highlight w:val="none"/>
              </w:rPr>
              <w:t>工作人员</w:t>
            </w:r>
          </w:p>
          <w:p>
            <w:pPr>
              <w:rPr>
                <w:color w:val="auto"/>
                <w:highlight w:val="none"/>
              </w:rPr>
            </w:pPr>
            <w:r>
              <w:rPr>
                <w:rFonts w:hint="eastAsia"/>
                <w:color w:val="auto"/>
                <w:highlight w:val="none"/>
              </w:rPr>
              <w:t>15分</w:t>
            </w:r>
          </w:p>
        </w:tc>
        <w:tc>
          <w:tcPr>
            <w:tcW w:w="4238" w:type="dxa"/>
            <w:vAlign w:val="center"/>
          </w:tcPr>
          <w:p>
            <w:pPr>
              <w:rPr>
                <w:rFonts w:ascii="宋体" w:hAnsi="宋体"/>
                <w:color w:val="auto"/>
                <w:highlight w:val="none"/>
              </w:rPr>
            </w:pPr>
            <w:r>
              <w:rPr>
                <w:rFonts w:hint="eastAsia" w:ascii="宋体" w:hAnsi="宋体"/>
                <w:color w:val="auto"/>
                <w:highlight w:val="none"/>
              </w:rPr>
              <w:t>1.工作人员着装整洁，佩戴工作证，收污衣，送洁衣的工作服分开。</w:t>
            </w:r>
          </w:p>
        </w:tc>
        <w:tc>
          <w:tcPr>
            <w:tcW w:w="670" w:type="dxa"/>
            <w:vAlign w:val="center"/>
          </w:tcPr>
          <w:p>
            <w:pPr>
              <w:jc w:val="center"/>
              <w:rPr>
                <w:rFonts w:ascii="宋体" w:hAnsi="宋体"/>
                <w:color w:val="auto"/>
                <w:highlight w:val="none"/>
              </w:rPr>
            </w:pPr>
            <w:r>
              <w:rPr>
                <w:rFonts w:hint="eastAsia" w:ascii="宋体" w:hAnsi="宋体"/>
                <w:color w:val="auto"/>
                <w:highlight w:val="none"/>
              </w:rPr>
              <w:t>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1分，最高5分</w:t>
            </w:r>
          </w:p>
        </w:tc>
        <w:tc>
          <w:tcPr>
            <w:tcW w:w="663" w:type="dxa"/>
            <w:vAlign w:val="center"/>
          </w:tcPr>
          <w:p>
            <w:pPr>
              <w:rPr>
                <w:color w:val="auto"/>
                <w:highlight w:val="none"/>
              </w:rPr>
            </w:pPr>
          </w:p>
        </w:tc>
        <w:tc>
          <w:tcPr>
            <w:tcW w:w="730" w:type="dxa"/>
            <w:vAlign w:val="center"/>
          </w:tcPr>
          <w:p>
            <w:pPr>
              <w:rPr>
                <w:color w:val="auto"/>
                <w:highlight w:val="none"/>
              </w:rPr>
            </w:pPr>
          </w:p>
          <w:p>
            <w:pPr>
              <w:rPr>
                <w:color w:val="auto"/>
                <w:highlight w:val="none"/>
              </w:rPr>
            </w:pPr>
          </w:p>
        </w:tc>
        <w:tc>
          <w:tcPr>
            <w:tcW w:w="1125" w:type="dxa"/>
            <w:vAlign w:val="center"/>
          </w:tcPr>
          <w:p>
            <w:pPr>
              <w:rPr>
                <w:color w:val="auto"/>
                <w:highlight w:val="none"/>
              </w:rPr>
            </w:pPr>
          </w:p>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2.工作人员做好自身防护，手套、口罩、帽子、穿防护衣。</w:t>
            </w:r>
          </w:p>
        </w:tc>
        <w:tc>
          <w:tcPr>
            <w:tcW w:w="670" w:type="dxa"/>
            <w:vAlign w:val="center"/>
          </w:tcPr>
          <w:p>
            <w:pPr>
              <w:jc w:val="center"/>
              <w:rPr>
                <w:rFonts w:ascii="宋体" w:hAnsi="宋体"/>
                <w:color w:val="auto"/>
                <w:highlight w:val="none"/>
              </w:rPr>
            </w:pPr>
            <w:r>
              <w:rPr>
                <w:rFonts w:hint="eastAsia" w:ascii="宋体" w:hAnsi="宋体"/>
                <w:color w:val="auto"/>
                <w:highlight w:val="none"/>
              </w:rPr>
              <w:t>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1分，最高5分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3.工作人员服务热情，与医院员工和睦相处，言行文明，无损医院形象。</w:t>
            </w:r>
          </w:p>
        </w:tc>
        <w:tc>
          <w:tcPr>
            <w:tcW w:w="670" w:type="dxa"/>
            <w:vAlign w:val="center"/>
          </w:tcPr>
          <w:p>
            <w:pPr>
              <w:jc w:val="center"/>
              <w:rPr>
                <w:rFonts w:ascii="宋体" w:hAnsi="宋体"/>
                <w:color w:val="auto"/>
                <w:highlight w:val="none"/>
              </w:rPr>
            </w:pPr>
            <w:r>
              <w:rPr>
                <w:rFonts w:hint="eastAsia" w:ascii="宋体" w:hAnsi="宋体"/>
                <w:color w:val="auto"/>
                <w:highlight w:val="none"/>
              </w:rPr>
              <w:t>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1分，最高5分</w:t>
            </w:r>
          </w:p>
        </w:tc>
        <w:tc>
          <w:tcPr>
            <w:tcW w:w="663" w:type="dxa"/>
            <w:vAlign w:val="center"/>
          </w:tcPr>
          <w:p>
            <w:pPr>
              <w:rPr>
                <w:color w:val="auto"/>
                <w:highlight w:val="none"/>
              </w:rPr>
            </w:pPr>
          </w:p>
        </w:tc>
        <w:tc>
          <w:tcPr>
            <w:tcW w:w="730" w:type="dxa"/>
            <w:vAlign w:val="center"/>
          </w:tcPr>
          <w:p>
            <w:pPr>
              <w:rPr>
                <w:color w:val="auto"/>
                <w:highlight w:val="none"/>
              </w:rPr>
            </w:pPr>
          </w:p>
          <w:p>
            <w:pPr>
              <w:rPr>
                <w:color w:val="auto"/>
                <w:highlight w:val="none"/>
              </w:rPr>
            </w:pPr>
          </w:p>
        </w:tc>
        <w:tc>
          <w:tcPr>
            <w:tcW w:w="1125" w:type="dxa"/>
            <w:vAlign w:val="center"/>
          </w:tcPr>
          <w:p>
            <w:pPr>
              <w:rPr>
                <w:color w:val="auto"/>
                <w:highlight w:val="none"/>
              </w:rPr>
            </w:pPr>
          </w:p>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restart"/>
            <w:vAlign w:val="center"/>
          </w:tcPr>
          <w:p>
            <w:pPr>
              <w:rPr>
                <w:color w:val="auto"/>
                <w:highlight w:val="none"/>
              </w:rPr>
            </w:pPr>
            <w:r>
              <w:rPr>
                <w:rFonts w:hint="eastAsia"/>
                <w:color w:val="auto"/>
                <w:highlight w:val="none"/>
              </w:rPr>
              <w:t>布品供应</w:t>
            </w:r>
          </w:p>
          <w:p>
            <w:pPr>
              <w:rPr>
                <w:color w:val="auto"/>
                <w:highlight w:val="none"/>
              </w:rPr>
            </w:pPr>
            <w:r>
              <w:rPr>
                <w:rFonts w:hint="eastAsia"/>
                <w:color w:val="auto"/>
                <w:highlight w:val="none"/>
              </w:rPr>
              <w:t>25分</w:t>
            </w:r>
          </w:p>
        </w:tc>
        <w:tc>
          <w:tcPr>
            <w:tcW w:w="4238" w:type="dxa"/>
            <w:vAlign w:val="center"/>
          </w:tcPr>
          <w:p>
            <w:pPr>
              <w:rPr>
                <w:rFonts w:ascii="宋体" w:hAnsi="宋体"/>
                <w:color w:val="auto"/>
                <w:highlight w:val="none"/>
              </w:rPr>
            </w:pPr>
            <w:r>
              <w:rPr>
                <w:rFonts w:hint="eastAsia" w:ascii="宋体" w:hAnsi="宋体"/>
                <w:color w:val="auto"/>
                <w:highlight w:val="none"/>
              </w:rPr>
              <w:t>1.指定地点收集污被物，绝对避免在病房过道，走廊清点，装入密闭有盖污衣车内，专线运送，路线由污到洁，不得逆行，院内运送车辆洁污分开，每日清洁、消毒。</w:t>
            </w:r>
          </w:p>
        </w:tc>
        <w:tc>
          <w:tcPr>
            <w:tcW w:w="670" w:type="dxa"/>
            <w:vAlign w:val="center"/>
          </w:tcPr>
          <w:p>
            <w:pPr>
              <w:jc w:val="center"/>
              <w:rPr>
                <w:rFonts w:ascii="宋体" w:hAnsi="宋体"/>
                <w:color w:val="auto"/>
                <w:highlight w:val="none"/>
              </w:rPr>
            </w:pPr>
            <w:r>
              <w:rPr>
                <w:rFonts w:ascii="宋体" w:hAnsi="宋体"/>
                <w:color w:val="auto"/>
                <w:highlight w:val="none"/>
              </w:rPr>
              <w:t>10</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2分，最高10分</w:t>
            </w:r>
          </w:p>
        </w:tc>
        <w:tc>
          <w:tcPr>
            <w:tcW w:w="663" w:type="dxa"/>
            <w:vAlign w:val="center"/>
          </w:tcPr>
          <w:p>
            <w:pPr>
              <w:rPr>
                <w:color w:val="auto"/>
                <w:highlight w:val="none"/>
              </w:rPr>
            </w:pPr>
          </w:p>
          <w:p>
            <w:pPr>
              <w:rPr>
                <w:color w:val="auto"/>
                <w:highlight w:val="none"/>
              </w:rPr>
            </w:pPr>
          </w:p>
        </w:tc>
        <w:tc>
          <w:tcPr>
            <w:tcW w:w="730" w:type="dxa"/>
            <w:vAlign w:val="center"/>
          </w:tcPr>
          <w:p>
            <w:pPr>
              <w:rPr>
                <w:color w:val="auto"/>
                <w:highlight w:val="none"/>
              </w:rPr>
            </w:pPr>
          </w:p>
          <w:p>
            <w:pPr>
              <w:rPr>
                <w:color w:val="auto"/>
                <w:highlight w:val="none"/>
              </w:rPr>
            </w:pPr>
          </w:p>
          <w:p>
            <w:pPr>
              <w:rPr>
                <w:color w:val="auto"/>
                <w:highlight w:val="none"/>
              </w:rPr>
            </w:pPr>
          </w:p>
        </w:tc>
        <w:tc>
          <w:tcPr>
            <w:tcW w:w="1125" w:type="dxa"/>
            <w:vAlign w:val="center"/>
          </w:tcPr>
          <w:p>
            <w:pPr>
              <w:rPr>
                <w:color w:val="auto"/>
                <w:highlight w:val="none"/>
              </w:rPr>
            </w:pPr>
          </w:p>
          <w:p>
            <w:pPr>
              <w:rPr>
                <w:color w:val="auto"/>
                <w:highlight w:val="none"/>
              </w:rPr>
            </w:pPr>
          </w:p>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2.对于科室突发紧急状况需要派送布品时，布服室服务人员能及时配合送达。</w:t>
            </w:r>
          </w:p>
        </w:tc>
        <w:tc>
          <w:tcPr>
            <w:tcW w:w="670" w:type="dxa"/>
            <w:vAlign w:val="center"/>
          </w:tcPr>
          <w:p>
            <w:pPr>
              <w:jc w:val="center"/>
              <w:rPr>
                <w:rFonts w:ascii="宋体" w:hAnsi="宋体"/>
                <w:color w:val="auto"/>
                <w:highlight w:val="none"/>
              </w:rPr>
            </w:pPr>
            <w:r>
              <w:rPr>
                <w:rFonts w:hint="eastAsia" w:ascii="宋体" w:hAnsi="宋体"/>
                <w:color w:val="auto"/>
                <w:highlight w:val="none"/>
              </w:rPr>
              <w:t>5</w:t>
            </w:r>
          </w:p>
        </w:tc>
        <w:tc>
          <w:tcPr>
            <w:tcW w:w="1622" w:type="dxa"/>
            <w:vAlign w:val="center"/>
          </w:tcPr>
          <w:p>
            <w:pPr>
              <w:rPr>
                <w:rFonts w:ascii="宋体" w:hAnsi="宋体"/>
                <w:color w:val="auto"/>
                <w:highlight w:val="none"/>
              </w:rPr>
            </w:pPr>
            <w:r>
              <w:rPr>
                <w:rFonts w:ascii="宋体" w:hAnsi="宋体"/>
                <w:color w:val="auto"/>
                <w:highlight w:val="none"/>
              </w:rPr>
              <w:t>1次未达</w:t>
            </w:r>
            <w:r>
              <w:rPr>
                <w:rFonts w:hint="eastAsia" w:ascii="宋体" w:hAnsi="宋体"/>
                <w:color w:val="auto"/>
                <w:highlight w:val="none"/>
              </w:rPr>
              <w:t>标扣</w:t>
            </w:r>
            <w:r>
              <w:rPr>
                <w:rFonts w:ascii="宋体" w:hAnsi="宋体"/>
                <w:color w:val="auto"/>
                <w:highlight w:val="none"/>
              </w:rPr>
              <w:t>5分</w:t>
            </w:r>
          </w:p>
        </w:tc>
        <w:tc>
          <w:tcPr>
            <w:tcW w:w="663" w:type="dxa"/>
            <w:vAlign w:val="center"/>
          </w:tcPr>
          <w:p>
            <w:pPr>
              <w:rPr>
                <w:color w:val="auto"/>
                <w:highlight w:val="none"/>
              </w:rPr>
            </w:pPr>
          </w:p>
        </w:tc>
        <w:tc>
          <w:tcPr>
            <w:tcW w:w="730" w:type="dxa"/>
            <w:vAlign w:val="center"/>
          </w:tcPr>
          <w:p>
            <w:pPr>
              <w:rPr>
                <w:color w:val="auto"/>
                <w:highlight w:val="none"/>
              </w:rPr>
            </w:pPr>
          </w:p>
          <w:p>
            <w:pPr>
              <w:rPr>
                <w:color w:val="auto"/>
                <w:highlight w:val="none"/>
              </w:rPr>
            </w:pPr>
          </w:p>
        </w:tc>
        <w:tc>
          <w:tcPr>
            <w:tcW w:w="1125" w:type="dxa"/>
            <w:vAlign w:val="center"/>
          </w:tcPr>
          <w:p>
            <w:pPr>
              <w:rPr>
                <w:color w:val="auto"/>
                <w:highlight w:val="none"/>
              </w:rPr>
            </w:pPr>
          </w:p>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3.平日布品供应及时，能满足各病区需求。</w:t>
            </w:r>
          </w:p>
        </w:tc>
        <w:tc>
          <w:tcPr>
            <w:tcW w:w="670" w:type="dxa"/>
            <w:vAlign w:val="center"/>
          </w:tcPr>
          <w:p>
            <w:pPr>
              <w:jc w:val="center"/>
              <w:rPr>
                <w:rFonts w:ascii="宋体" w:hAnsi="宋体"/>
                <w:color w:val="auto"/>
                <w:highlight w:val="none"/>
              </w:rPr>
            </w:pPr>
            <w:r>
              <w:rPr>
                <w:rFonts w:hint="eastAsia" w:ascii="宋体" w:hAnsi="宋体"/>
                <w:color w:val="auto"/>
                <w:highlight w:val="none"/>
              </w:rPr>
              <w:t>1</w:t>
            </w:r>
            <w:r>
              <w:rPr>
                <w:rFonts w:ascii="宋体" w:hAnsi="宋体"/>
                <w:color w:val="auto"/>
                <w:highlight w:val="none"/>
              </w:rPr>
              <w:t>0</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2分，最高10分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restart"/>
            <w:vAlign w:val="center"/>
          </w:tcPr>
          <w:p>
            <w:pPr>
              <w:rPr>
                <w:color w:val="auto"/>
                <w:highlight w:val="none"/>
              </w:rPr>
            </w:pPr>
            <w:r>
              <w:rPr>
                <w:rFonts w:hint="eastAsia"/>
                <w:color w:val="auto"/>
                <w:highlight w:val="none"/>
              </w:rPr>
              <w:t>洗涤质量</w:t>
            </w:r>
          </w:p>
          <w:p>
            <w:pPr>
              <w:rPr>
                <w:color w:val="auto"/>
                <w:highlight w:val="none"/>
              </w:rPr>
            </w:pPr>
            <w:r>
              <w:rPr>
                <w:rFonts w:hint="eastAsia"/>
                <w:color w:val="auto"/>
                <w:highlight w:val="none"/>
              </w:rPr>
              <w:t>60分</w:t>
            </w:r>
          </w:p>
        </w:tc>
        <w:tc>
          <w:tcPr>
            <w:tcW w:w="4238" w:type="dxa"/>
            <w:vAlign w:val="center"/>
          </w:tcPr>
          <w:p>
            <w:pPr>
              <w:rPr>
                <w:rFonts w:ascii="宋体" w:hAnsi="宋体"/>
                <w:color w:val="auto"/>
                <w:highlight w:val="none"/>
              </w:rPr>
            </w:pPr>
            <w:r>
              <w:rPr>
                <w:rFonts w:hint="eastAsia" w:ascii="宋体" w:hAnsi="宋体"/>
                <w:color w:val="auto"/>
                <w:highlight w:val="none"/>
              </w:rPr>
              <w:t>1.依规定整烫、折叠。</w:t>
            </w:r>
          </w:p>
        </w:tc>
        <w:tc>
          <w:tcPr>
            <w:tcW w:w="670" w:type="dxa"/>
            <w:vAlign w:val="center"/>
          </w:tcPr>
          <w:p>
            <w:pPr>
              <w:jc w:val="center"/>
              <w:rPr>
                <w:rFonts w:ascii="宋体" w:hAnsi="宋体"/>
                <w:color w:val="auto"/>
                <w:highlight w:val="none"/>
              </w:rPr>
            </w:pPr>
            <w:r>
              <w:rPr>
                <w:rFonts w:hint="eastAsia" w:ascii="宋体" w:hAnsi="宋体"/>
                <w:color w:val="auto"/>
                <w:highlight w:val="none"/>
              </w:rPr>
              <w:t>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1分，最高5分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2.破损未缝补。</w:t>
            </w:r>
          </w:p>
        </w:tc>
        <w:tc>
          <w:tcPr>
            <w:tcW w:w="670" w:type="dxa"/>
            <w:vAlign w:val="center"/>
          </w:tcPr>
          <w:p>
            <w:pPr>
              <w:jc w:val="center"/>
              <w:rPr>
                <w:rFonts w:ascii="宋体" w:hAnsi="宋体"/>
                <w:color w:val="auto"/>
                <w:highlight w:val="none"/>
              </w:rPr>
            </w:pPr>
            <w:r>
              <w:rPr>
                <w:rFonts w:hint="eastAsia" w:ascii="宋体" w:hAnsi="宋体"/>
                <w:color w:val="auto"/>
                <w:highlight w:val="none"/>
              </w:rPr>
              <w:t>10</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1分，最高10分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3.掉扣未缝补。</w:t>
            </w:r>
          </w:p>
        </w:tc>
        <w:tc>
          <w:tcPr>
            <w:tcW w:w="670" w:type="dxa"/>
            <w:vAlign w:val="center"/>
          </w:tcPr>
          <w:p>
            <w:pPr>
              <w:jc w:val="center"/>
              <w:rPr>
                <w:rFonts w:ascii="宋体" w:hAnsi="宋体"/>
                <w:color w:val="auto"/>
                <w:highlight w:val="none"/>
              </w:rPr>
            </w:pPr>
            <w:r>
              <w:rPr>
                <w:rFonts w:hint="eastAsia" w:ascii="宋体" w:hAnsi="宋体"/>
                <w:color w:val="auto"/>
                <w:highlight w:val="none"/>
              </w:rPr>
              <w:t>10</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1分，最高10分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4.污渍未洗净，回洗率在1%以内可以接受。</w:t>
            </w:r>
          </w:p>
        </w:tc>
        <w:tc>
          <w:tcPr>
            <w:tcW w:w="670" w:type="dxa"/>
            <w:vAlign w:val="center"/>
          </w:tcPr>
          <w:p>
            <w:pPr>
              <w:jc w:val="center"/>
              <w:rPr>
                <w:rFonts w:ascii="宋体" w:hAnsi="宋体"/>
                <w:color w:val="auto"/>
                <w:highlight w:val="none"/>
              </w:rPr>
            </w:pPr>
            <w:r>
              <w:rPr>
                <w:rFonts w:hint="eastAsia" w:ascii="宋体" w:hAnsi="宋体"/>
                <w:color w:val="auto"/>
                <w:highlight w:val="none"/>
              </w:rPr>
              <w:t>15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w:t>
            </w:r>
            <w:r>
              <w:rPr>
                <w:rFonts w:hint="eastAsia" w:ascii="宋体" w:hAnsi="宋体"/>
                <w:color w:val="auto"/>
                <w:highlight w:val="none"/>
              </w:rPr>
              <w:t>1</w:t>
            </w:r>
            <w:r>
              <w:rPr>
                <w:rFonts w:ascii="宋体" w:hAnsi="宋体"/>
                <w:color w:val="auto"/>
                <w:highlight w:val="none"/>
              </w:rPr>
              <w:t>5分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5.布服老旧未主动筛选。</w:t>
            </w:r>
          </w:p>
        </w:tc>
        <w:tc>
          <w:tcPr>
            <w:tcW w:w="670" w:type="dxa"/>
            <w:vAlign w:val="center"/>
          </w:tcPr>
          <w:p>
            <w:pPr>
              <w:jc w:val="center"/>
              <w:rPr>
                <w:rFonts w:ascii="宋体" w:hAnsi="宋体"/>
                <w:color w:val="auto"/>
                <w:highlight w:val="none"/>
              </w:rPr>
            </w:pPr>
            <w:r>
              <w:rPr>
                <w:rFonts w:hint="eastAsia" w:ascii="宋体" w:hAnsi="宋体"/>
                <w:color w:val="auto"/>
                <w:highlight w:val="none"/>
              </w:rPr>
              <w:t>15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w:t>
            </w:r>
            <w:r>
              <w:rPr>
                <w:rFonts w:hint="eastAsia" w:ascii="宋体" w:hAnsi="宋体"/>
                <w:color w:val="auto"/>
                <w:highlight w:val="none"/>
              </w:rPr>
              <w:t>1</w:t>
            </w:r>
            <w:r>
              <w:rPr>
                <w:rFonts w:ascii="宋体" w:hAnsi="宋体"/>
                <w:color w:val="auto"/>
                <w:highlight w:val="none"/>
              </w:rPr>
              <w:t>5分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6.感染性布类按院方要求处置，污衣袋袋口密封，不外露</w:t>
            </w:r>
          </w:p>
        </w:tc>
        <w:tc>
          <w:tcPr>
            <w:tcW w:w="670" w:type="dxa"/>
            <w:vAlign w:val="center"/>
          </w:tcPr>
          <w:p>
            <w:pPr>
              <w:jc w:val="center"/>
              <w:rPr>
                <w:rFonts w:ascii="宋体" w:hAnsi="宋体"/>
                <w:color w:val="auto"/>
                <w:highlight w:val="none"/>
              </w:rPr>
            </w:pPr>
            <w:r>
              <w:rPr>
                <w:rFonts w:hint="eastAsia" w:ascii="宋体" w:hAnsi="宋体"/>
                <w:color w:val="auto"/>
                <w:highlight w:val="none"/>
              </w:rPr>
              <w:t>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1分，最高5分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bl>
    <w:p>
      <w:pPr>
        <w:pStyle w:val="4"/>
        <w:rPr>
          <w:color w:val="auto"/>
          <w:highlight w:val="none"/>
        </w:rPr>
      </w:pPr>
    </w:p>
    <w:p>
      <w:pPr>
        <w:autoSpaceDE w:val="0"/>
        <w:autoSpaceDN w:val="0"/>
        <w:adjustRightInd w:val="0"/>
        <w:snapToGrid w:val="0"/>
        <w:spacing w:line="460" w:lineRule="exact"/>
        <w:jc w:val="center"/>
        <w:textAlignment w:val="bottom"/>
        <w:rPr>
          <w:rFonts w:ascii="宋体" w:hAnsi="宋体"/>
          <w:b/>
          <w:color w:val="auto"/>
          <w:sz w:val="36"/>
          <w:highlight w:val="none"/>
        </w:rPr>
      </w:pPr>
    </w:p>
    <w:p>
      <w:pPr>
        <w:autoSpaceDE w:val="0"/>
        <w:autoSpaceDN w:val="0"/>
        <w:adjustRightInd w:val="0"/>
        <w:snapToGrid w:val="0"/>
        <w:spacing w:line="460" w:lineRule="exact"/>
        <w:jc w:val="center"/>
        <w:textAlignment w:val="bottom"/>
        <w:rPr>
          <w:rFonts w:ascii="宋体" w:hAnsi="宋体"/>
          <w:b/>
          <w:color w:val="auto"/>
          <w:sz w:val="36"/>
          <w:highlight w:val="none"/>
        </w:rPr>
      </w:pPr>
    </w:p>
    <w:p>
      <w:pPr>
        <w:autoSpaceDE w:val="0"/>
        <w:autoSpaceDN w:val="0"/>
        <w:adjustRightInd w:val="0"/>
        <w:snapToGrid w:val="0"/>
        <w:spacing w:line="460" w:lineRule="exact"/>
        <w:jc w:val="center"/>
        <w:textAlignment w:val="bottom"/>
        <w:rPr>
          <w:rFonts w:ascii="宋体" w:hAnsi="宋体"/>
          <w:b/>
          <w:color w:val="auto"/>
          <w:sz w:val="36"/>
          <w:highlight w:val="none"/>
        </w:rPr>
      </w:pPr>
    </w:p>
    <w:p>
      <w:pPr>
        <w:autoSpaceDE w:val="0"/>
        <w:autoSpaceDN w:val="0"/>
        <w:adjustRightInd w:val="0"/>
        <w:snapToGrid w:val="0"/>
        <w:spacing w:line="460" w:lineRule="exact"/>
        <w:jc w:val="center"/>
        <w:textAlignment w:val="bottom"/>
        <w:rPr>
          <w:rFonts w:ascii="宋体" w:hAnsi="宋体"/>
          <w:b/>
          <w:color w:val="auto"/>
          <w:sz w:val="36"/>
          <w:highlight w:val="none"/>
        </w:rPr>
      </w:pPr>
    </w:p>
    <w:p>
      <w:pPr>
        <w:autoSpaceDE w:val="0"/>
        <w:autoSpaceDN w:val="0"/>
        <w:adjustRightInd w:val="0"/>
        <w:snapToGrid w:val="0"/>
        <w:spacing w:line="460" w:lineRule="exact"/>
        <w:jc w:val="center"/>
        <w:textAlignment w:val="bottom"/>
        <w:rPr>
          <w:rFonts w:ascii="宋体" w:hAnsi="宋体"/>
          <w:b/>
          <w:color w:val="auto"/>
          <w:sz w:val="36"/>
          <w:highlight w:val="none"/>
        </w:rPr>
      </w:pPr>
    </w:p>
    <w:p>
      <w:pPr>
        <w:autoSpaceDE w:val="0"/>
        <w:autoSpaceDN w:val="0"/>
        <w:adjustRightInd w:val="0"/>
        <w:snapToGrid w:val="0"/>
        <w:spacing w:line="460" w:lineRule="exact"/>
        <w:jc w:val="center"/>
        <w:textAlignment w:val="bottom"/>
        <w:rPr>
          <w:rFonts w:ascii="宋体" w:hAnsi="宋体"/>
          <w:b/>
          <w:color w:val="auto"/>
          <w:sz w:val="36"/>
          <w:highlight w:val="none"/>
        </w:rPr>
      </w:pPr>
    </w:p>
    <w:p>
      <w:pPr>
        <w:pStyle w:val="47"/>
        <w:rPr>
          <w:rFonts w:hAnsi="宋体"/>
          <w:b/>
          <w:color w:val="auto"/>
          <w:sz w:val="36"/>
          <w:highlight w:val="none"/>
        </w:rPr>
      </w:pPr>
    </w:p>
    <w:p>
      <w:pPr>
        <w:pStyle w:val="3"/>
        <w:rPr>
          <w:rFonts w:ascii="宋体" w:hAnsi="宋体"/>
          <w:b/>
          <w:color w:val="auto"/>
          <w:sz w:val="36"/>
          <w:highlight w:val="none"/>
        </w:rPr>
      </w:pPr>
    </w:p>
    <w:p>
      <w:pPr>
        <w:pStyle w:val="2"/>
        <w:ind w:firstLine="200"/>
        <w:rPr>
          <w:color w:val="auto"/>
          <w:highlight w:val="none"/>
        </w:rPr>
      </w:pPr>
    </w:p>
    <w:p>
      <w:pPr>
        <w:pStyle w:val="4"/>
        <w:rPr>
          <w:color w:val="auto"/>
          <w:highlight w:val="none"/>
        </w:rPr>
      </w:pPr>
    </w:p>
    <w:p>
      <w:pPr>
        <w:rPr>
          <w:color w:val="auto"/>
          <w:highlight w:val="none"/>
        </w:rPr>
      </w:pPr>
    </w:p>
    <w:p>
      <w:pPr>
        <w:pStyle w:val="2"/>
        <w:ind w:firstLine="200"/>
        <w:rPr>
          <w:color w:val="auto"/>
          <w:highlight w:val="none"/>
        </w:rPr>
      </w:pPr>
    </w:p>
    <w:p>
      <w:pPr>
        <w:autoSpaceDE w:val="0"/>
        <w:autoSpaceDN w:val="0"/>
        <w:adjustRightInd w:val="0"/>
        <w:snapToGrid w:val="0"/>
        <w:spacing w:line="460" w:lineRule="exact"/>
        <w:textAlignment w:val="bottom"/>
        <w:rPr>
          <w:rFonts w:ascii="宋体" w:hAnsi="宋体"/>
          <w:b/>
          <w:color w:val="auto"/>
          <w:sz w:val="36"/>
          <w:highlight w:val="none"/>
        </w:rPr>
      </w:pPr>
    </w:p>
    <w:p>
      <w:pPr>
        <w:pStyle w:val="3"/>
        <w:rPr>
          <w:color w:val="auto"/>
          <w:highlight w:val="none"/>
        </w:rPr>
      </w:pPr>
    </w:p>
    <w:p>
      <w:pPr>
        <w:autoSpaceDE w:val="0"/>
        <w:autoSpaceDN w:val="0"/>
        <w:adjustRightInd w:val="0"/>
        <w:snapToGrid w:val="0"/>
        <w:spacing w:line="460" w:lineRule="exact"/>
        <w:jc w:val="center"/>
        <w:textAlignment w:val="bottom"/>
        <w:rPr>
          <w:rFonts w:ascii="宋体" w:hAnsi="宋体"/>
          <w:b/>
          <w:color w:val="auto"/>
          <w:sz w:val="36"/>
          <w:highlight w:val="none"/>
        </w:rPr>
      </w:pPr>
      <w:r>
        <w:rPr>
          <w:rFonts w:hint="eastAsia" w:ascii="宋体" w:hAnsi="宋体"/>
          <w:b/>
          <w:color w:val="auto"/>
          <w:sz w:val="36"/>
          <w:highlight w:val="none"/>
        </w:rPr>
        <w:t>第三部分   供应商须知</w:t>
      </w:r>
    </w:p>
    <w:p>
      <w:pPr>
        <w:autoSpaceDE w:val="0"/>
        <w:autoSpaceDN w:val="0"/>
        <w:adjustRightInd w:val="0"/>
        <w:snapToGrid w:val="0"/>
        <w:spacing w:line="400" w:lineRule="exact"/>
        <w:textAlignment w:val="bottom"/>
        <w:rPr>
          <w:rFonts w:ascii="宋体" w:hAnsi="宋体"/>
          <w:b/>
          <w:color w:val="auto"/>
          <w:sz w:val="22"/>
          <w:szCs w:val="22"/>
          <w:highlight w:val="none"/>
        </w:rPr>
      </w:pPr>
      <w:r>
        <w:rPr>
          <w:rFonts w:hint="eastAsia" w:ascii="宋体" w:hAnsi="宋体"/>
          <w:b/>
          <w:color w:val="auto"/>
          <w:sz w:val="22"/>
          <w:szCs w:val="22"/>
          <w:highlight w:val="none"/>
        </w:rPr>
        <w:t>一、说明</w:t>
      </w:r>
    </w:p>
    <w:p>
      <w:pPr>
        <w:autoSpaceDE w:val="0"/>
        <w:autoSpaceDN w:val="0"/>
        <w:adjustRightInd w:val="0"/>
        <w:snapToGrid w:val="0"/>
        <w:spacing w:line="360" w:lineRule="auto"/>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1、本次招标工作是按照《中华人民共和国政府采购法》及相关法律法规规章组织和实施。</w:t>
      </w:r>
    </w:p>
    <w:p>
      <w:pPr>
        <w:widowControl/>
        <w:snapToGrid w:val="0"/>
        <w:spacing w:line="360" w:lineRule="auto"/>
        <w:ind w:firstLine="431" w:firstLineChars="196"/>
        <w:jc w:val="left"/>
        <w:rPr>
          <w:rFonts w:ascii="宋体" w:hAnsi="宋体"/>
          <w:color w:val="auto"/>
          <w:sz w:val="22"/>
          <w:szCs w:val="22"/>
          <w:highlight w:val="none"/>
        </w:rPr>
      </w:pPr>
      <w:r>
        <w:rPr>
          <w:rFonts w:hint="eastAsia" w:ascii="宋体" w:hAnsi="宋体" w:cs="’Times New Roman’"/>
          <w:color w:val="auto"/>
          <w:sz w:val="22"/>
          <w:szCs w:val="22"/>
          <w:highlight w:val="none"/>
        </w:rPr>
        <w:t>2、</w:t>
      </w:r>
      <w:r>
        <w:rPr>
          <w:rFonts w:hint="eastAsia" w:ascii="宋体" w:hAnsi="宋体"/>
          <w:color w:val="auto"/>
          <w:sz w:val="22"/>
          <w:szCs w:val="22"/>
          <w:highlight w:val="none"/>
        </w:rPr>
        <w:t>无论投标过程中的作法和结果如何，供应商自行承担投标活动中所发生的全部费用。</w:t>
      </w:r>
    </w:p>
    <w:p>
      <w:pPr>
        <w:autoSpaceDE w:val="0"/>
        <w:autoSpaceDN w:val="0"/>
        <w:adjustRightInd w:val="0"/>
        <w:snapToGrid w:val="0"/>
        <w:spacing w:line="360" w:lineRule="auto"/>
        <w:ind w:firstLine="431" w:firstLineChars="196"/>
        <w:jc w:val="left"/>
        <w:textAlignment w:val="bottom"/>
        <w:rPr>
          <w:rFonts w:ascii="宋体"/>
          <w:b/>
          <w:color w:val="auto"/>
          <w:sz w:val="22"/>
          <w:szCs w:val="22"/>
          <w:highlight w:val="none"/>
          <w:u w:val="single"/>
        </w:rPr>
      </w:pPr>
      <w:r>
        <w:rPr>
          <w:rFonts w:hint="eastAsia" w:ascii="宋体" w:hAnsi="宋体"/>
          <w:color w:val="auto"/>
          <w:sz w:val="22"/>
          <w:szCs w:val="22"/>
          <w:highlight w:val="none"/>
        </w:rPr>
        <w:t>3、</w:t>
      </w:r>
      <w:r>
        <w:rPr>
          <w:rFonts w:hint="eastAsia" w:ascii="宋体"/>
          <w:b/>
          <w:color w:val="auto"/>
          <w:sz w:val="22"/>
          <w:szCs w:val="22"/>
          <w:highlight w:val="none"/>
          <w:u w:val="single"/>
        </w:rPr>
        <w:t>供应商必须对全部内容进行报价，只对部分内容进行报价的供应商将按无效投标处理。</w:t>
      </w:r>
    </w:p>
    <w:p>
      <w:pPr>
        <w:spacing w:line="360" w:lineRule="auto"/>
        <w:ind w:firstLine="434"/>
        <w:rPr>
          <w:rFonts w:ascii="宋体" w:hAnsi="宋体" w:cs="宋体"/>
          <w:color w:val="auto"/>
          <w:kern w:val="0"/>
          <w:sz w:val="22"/>
          <w:highlight w:val="none"/>
        </w:rPr>
      </w:pPr>
      <w:r>
        <w:rPr>
          <w:rFonts w:hint="eastAsia" w:ascii="宋体" w:hAnsi="宋体" w:cs="宋体"/>
          <w:color w:val="auto"/>
          <w:kern w:val="0"/>
          <w:sz w:val="22"/>
          <w:highlight w:val="none"/>
        </w:rPr>
        <w:t>4、本次采购，招标文件及投标文件都以中文为准。报价统一采用人民币报价。</w:t>
      </w:r>
    </w:p>
    <w:p>
      <w:pPr>
        <w:spacing w:line="360" w:lineRule="auto"/>
        <w:ind w:firstLine="434"/>
        <w:rPr>
          <w:rFonts w:ascii="宋体" w:hAnsi="宋体" w:cs="宋体"/>
          <w:color w:val="auto"/>
          <w:kern w:val="0"/>
          <w:sz w:val="22"/>
          <w:highlight w:val="none"/>
        </w:rPr>
      </w:pPr>
      <w:r>
        <w:rPr>
          <w:rFonts w:hint="eastAsia" w:ascii="宋体" w:hAnsi="宋体" w:cs="宋体"/>
          <w:color w:val="auto"/>
          <w:kern w:val="0"/>
          <w:sz w:val="22"/>
          <w:highlight w:val="none"/>
        </w:rPr>
        <w:t>5、本次报价为直至服务完成的最终价格，完成本项目服务所需软硬件设施设备均由供应商自备。</w:t>
      </w:r>
    </w:p>
    <w:p>
      <w:pPr>
        <w:spacing w:line="360" w:lineRule="auto"/>
        <w:ind w:firstLine="434"/>
        <w:rPr>
          <w:rFonts w:ascii="宋体" w:hAnsi="宋体" w:cs="宋体"/>
          <w:color w:val="auto"/>
          <w:kern w:val="0"/>
          <w:sz w:val="22"/>
          <w:highlight w:val="none"/>
        </w:rPr>
      </w:pPr>
      <w:r>
        <w:rPr>
          <w:rFonts w:hint="eastAsia" w:ascii="宋体" w:hAnsi="宋体"/>
          <w:color w:val="auto"/>
          <w:sz w:val="22"/>
          <w:highlight w:val="none"/>
        </w:rPr>
        <w:t>6、如本次采购服务涉及国家强制性要求的，供应商应确保能满足其要求。</w:t>
      </w:r>
    </w:p>
    <w:p>
      <w:pPr>
        <w:autoSpaceDE w:val="0"/>
        <w:autoSpaceDN w:val="0"/>
        <w:adjustRightInd w:val="0"/>
        <w:snapToGrid w:val="0"/>
        <w:spacing w:line="360" w:lineRule="auto"/>
        <w:ind w:firstLine="446" w:firstLineChars="203"/>
        <w:textAlignment w:val="bottom"/>
        <w:rPr>
          <w:rFonts w:ascii="宋体"/>
          <w:color w:val="auto"/>
          <w:sz w:val="22"/>
          <w:highlight w:val="none"/>
        </w:rPr>
      </w:pPr>
      <w:r>
        <w:rPr>
          <w:rFonts w:hint="eastAsia" w:ascii="宋体"/>
          <w:color w:val="auto"/>
          <w:sz w:val="22"/>
          <w:highlight w:val="none"/>
        </w:rPr>
        <w:t>7、本次采购商务报价文件、技术资信文件分别评审，评标委员会首先评审供应商技术资信部分，再评审商务报价文件；技术资信部分无效的供应商不进入商务报价评审。</w:t>
      </w:r>
      <w:r>
        <w:rPr>
          <w:rFonts w:hint="eastAsia" w:ascii="宋体"/>
          <w:b/>
          <w:color w:val="auto"/>
          <w:sz w:val="22"/>
          <w:highlight w:val="none"/>
          <w:u w:val="single"/>
        </w:rPr>
        <w:t>要求供应商技术资信部分的投标文件（含资信与服务）中不得含产品报价，否则做无效投标处理。</w:t>
      </w:r>
    </w:p>
    <w:p>
      <w:pPr>
        <w:autoSpaceDE w:val="0"/>
        <w:autoSpaceDN w:val="0"/>
        <w:adjustRightInd w:val="0"/>
        <w:snapToGrid w:val="0"/>
        <w:spacing w:line="360" w:lineRule="auto"/>
        <w:ind w:firstLine="420" w:firstLineChars="190"/>
        <w:textAlignment w:val="bottom"/>
        <w:rPr>
          <w:rFonts w:ascii="宋体"/>
          <w:b/>
          <w:color w:val="auto"/>
          <w:sz w:val="22"/>
          <w:szCs w:val="22"/>
          <w:highlight w:val="none"/>
        </w:rPr>
      </w:pPr>
      <w:r>
        <w:rPr>
          <w:rFonts w:hint="eastAsia" w:ascii="宋体"/>
          <w:b/>
          <w:color w:val="auto"/>
          <w:sz w:val="22"/>
          <w:szCs w:val="22"/>
          <w:highlight w:val="none"/>
        </w:rPr>
        <w:t>8、供应商须自行现场勘察，以求得准确的报价依据。供应商须自行考虑投标报价的风险。</w:t>
      </w:r>
    </w:p>
    <w:p>
      <w:pPr>
        <w:spacing w:line="360" w:lineRule="auto"/>
        <w:ind w:firstLine="434"/>
        <w:rPr>
          <w:rFonts w:hint="eastAsia" w:ascii="宋体" w:hAnsi="宋体" w:eastAsia="宋体" w:cs="Times New Roman"/>
          <w:color w:val="auto"/>
          <w:kern w:val="0"/>
          <w:sz w:val="22"/>
          <w:highlight w:val="none"/>
        </w:rPr>
      </w:pPr>
      <w:r>
        <w:rPr>
          <w:rFonts w:hint="eastAsia" w:ascii="宋体" w:hAnsi="宋体"/>
          <w:color w:val="auto"/>
          <w:kern w:val="0"/>
          <w:sz w:val="22"/>
          <w:highlight w:val="none"/>
        </w:rPr>
        <w:t>9、本次项目按《财政部关于在政府采购活动中查询及使用信用记录的通知》（财库〔2016〕125号）相关规定，评标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投标文</w:t>
      </w:r>
      <w:r>
        <w:rPr>
          <w:rFonts w:hint="eastAsia" w:ascii="宋体" w:hAnsi="宋体" w:eastAsia="宋体" w:cs="Times New Roman"/>
          <w:color w:val="auto"/>
          <w:kern w:val="0"/>
          <w:sz w:val="22"/>
          <w:highlight w:val="none"/>
        </w:rPr>
        <w:t>件（响应文件）按无效标处理。</w:t>
      </w:r>
    </w:p>
    <w:p>
      <w:pPr>
        <w:spacing w:line="360" w:lineRule="auto"/>
        <w:ind w:firstLine="434"/>
        <w:rPr>
          <w:rFonts w:hint="eastAsia" w:ascii="宋体" w:hAnsi="宋体" w:cs="宋体"/>
          <w:color w:val="auto"/>
          <w:sz w:val="24"/>
          <w:highlight w:val="none"/>
          <w:u w:val="single"/>
          <w:lang w:val="en-US" w:eastAsia="zh-CN"/>
        </w:rPr>
      </w:pPr>
      <w:r>
        <w:rPr>
          <w:rFonts w:hint="eastAsia" w:ascii="宋体" w:hAnsi="宋体" w:cs="宋体"/>
          <w:color w:val="auto"/>
          <w:sz w:val="24"/>
          <w:highlight w:val="none"/>
          <w:u w:val="single"/>
          <w:lang w:eastAsia="zh-CN"/>
        </w:rPr>
        <w:t>▲10、</w:t>
      </w:r>
      <w:r>
        <w:rPr>
          <w:rFonts w:hint="eastAsia" w:ascii="宋体" w:hAnsi="宋体" w:cs="宋体"/>
          <w:color w:val="auto"/>
          <w:sz w:val="24"/>
          <w:highlight w:val="none"/>
          <w:u w:val="single"/>
          <w:lang w:val="en-US" w:eastAsia="zh-CN"/>
        </w:rPr>
        <w:t>本项目采购最高限价为300万元人民币。</w:t>
      </w:r>
      <w:r>
        <w:rPr>
          <w:rFonts w:hint="eastAsia" w:ascii="宋体" w:hAnsi="宋体" w:cs="宋体"/>
          <w:color w:val="auto"/>
          <w:sz w:val="24"/>
          <w:highlight w:val="none"/>
          <w:u w:val="single"/>
          <w:lang w:eastAsia="zh-CN"/>
        </w:rPr>
        <w:t>服务期限三年，服务合同一年一签，累计时间最长不超过3年。</w:t>
      </w:r>
      <w:r>
        <w:rPr>
          <w:rFonts w:hint="eastAsia" w:ascii="宋体" w:hAnsi="宋体" w:cs="宋体"/>
          <w:color w:val="auto"/>
          <w:sz w:val="24"/>
          <w:highlight w:val="none"/>
          <w:u w:val="single"/>
          <w:lang w:val="en-US" w:eastAsia="zh-CN"/>
        </w:rPr>
        <w:t>中标第一年的</w:t>
      </w:r>
      <w:r>
        <w:rPr>
          <w:rFonts w:hint="eastAsia" w:ascii="宋体" w:hAnsi="宋体" w:cs="宋体"/>
          <w:color w:val="auto"/>
          <w:sz w:val="24"/>
          <w:highlight w:val="none"/>
          <w:u w:val="single"/>
          <w:lang w:eastAsia="zh-CN"/>
        </w:rPr>
        <w:t>前三个月为试用期，如试用期</w:t>
      </w:r>
      <w:r>
        <w:rPr>
          <w:rFonts w:hint="eastAsia" w:ascii="宋体" w:hAnsi="宋体" w:cs="宋体"/>
          <w:color w:val="auto"/>
          <w:sz w:val="24"/>
          <w:highlight w:val="none"/>
          <w:u w:val="single"/>
          <w:lang w:val="en-US" w:eastAsia="zh-CN"/>
        </w:rPr>
        <w:t>内</w:t>
      </w:r>
      <w:r>
        <w:rPr>
          <w:rFonts w:hint="eastAsia" w:ascii="宋体" w:hAnsi="宋体" w:cs="宋体"/>
          <w:color w:val="auto"/>
          <w:sz w:val="24"/>
          <w:highlight w:val="none"/>
          <w:u w:val="single"/>
          <w:lang w:eastAsia="zh-CN"/>
        </w:rPr>
        <w:t>连续两次成绩低于70分（不含70分）（</w:t>
      </w:r>
      <w:r>
        <w:rPr>
          <w:rFonts w:hint="eastAsia" w:ascii="宋体" w:hAnsi="宋体" w:cs="宋体"/>
          <w:color w:val="auto"/>
          <w:sz w:val="24"/>
          <w:highlight w:val="none"/>
          <w:u w:val="single"/>
          <w:lang w:val="en-US" w:eastAsia="zh-CN"/>
        </w:rPr>
        <w:t>考核办法详见《</w:t>
      </w:r>
      <w:r>
        <w:rPr>
          <w:rFonts w:hint="eastAsia" w:ascii="宋体" w:hAnsi="宋体" w:cs="宋体"/>
          <w:color w:val="auto"/>
          <w:sz w:val="24"/>
          <w:highlight w:val="none"/>
          <w:u w:val="single"/>
          <w:lang w:eastAsia="zh-CN"/>
        </w:rPr>
        <w:t>苍南县人民医院布品租赁及洗涤服务项目质量考核表》），采购人有权单方终止本合同。</w:t>
      </w:r>
      <w:r>
        <w:rPr>
          <w:rFonts w:hint="eastAsia" w:ascii="宋体" w:hAnsi="宋体" w:cs="宋体"/>
          <w:color w:val="auto"/>
          <w:sz w:val="24"/>
          <w:highlight w:val="none"/>
          <w:u w:val="single"/>
          <w:lang w:val="en-US" w:eastAsia="zh-CN"/>
        </w:rPr>
        <w:t>每年度</w:t>
      </w:r>
      <w:r>
        <w:rPr>
          <w:rFonts w:hint="eastAsia" w:ascii="宋体" w:hAnsi="宋体" w:cs="宋体"/>
          <w:color w:val="auto"/>
          <w:sz w:val="24"/>
          <w:highlight w:val="none"/>
          <w:u w:val="single"/>
          <w:lang w:eastAsia="zh-CN"/>
        </w:rPr>
        <w:t>期满</w:t>
      </w:r>
      <w:r>
        <w:rPr>
          <w:rFonts w:hint="eastAsia" w:ascii="宋体" w:hAnsi="宋体" w:cs="宋体"/>
          <w:color w:val="auto"/>
          <w:sz w:val="24"/>
          <w:highlight w:val="none"/>
          <w:u w:val="single"/>
          <w:lang w:val="en-US" w:eastAsia="zh-CN"/>
        </w:rPr>
        <w:t>后</w:t>
      </w:r>
      <w:r>
        <w:rPr>
          <w:rFonts w:hint="eastAsia" w:ascii="宋体" w:hAnsi="宋体" w:cs="宋体"/>
          <w:color w:val="auto"/>
          <w:sz w:val="24"/>
          <w:highlight w:val="none"/>
          <w:u w:val="single"/>
          <w:lang w:eastAsia="zh-CN"/>
        </w:rPr>
        <w:t>采购人根据</w:t>
      </w:r>
      <w:r>
        <w:rPr>
          <w:rFonts w:hint="eastAsia" w:ascii="宋体" w:hAnsi="宋体" w:cs="宋体"/>
          <w:color w:val="auto"/>
          <w:sz w:val="24"/>
          <w:highlight w:val="none"/>
          <w:u w:val="single"/>
          <w:lang w:val="en-US" w:eastAsia="zh-CN"/>
        </w:rPr>
        <w:t>本年实际质量考核情况</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通过医院党委会议后</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按照</w:t>
      </w:r>
      <w:r>
        <w:rPr>
          <w:rFonts w:hint="eastAsia" w:ascii="宋体" w:hAnsi="宋体" w:cs="宋体"/>
          <w:color w:val="auto"/>
          <w:sz w:val="24"/>
          <w:highlight w:val="none"/>
          <w:u w:val="single"/>
          <w:lang w:eastAsia="zh-CN"/>
        </w:rPr>
        <w:t>规定：报财政、</w:t>
      </w:r>
      <w:r>
        <w:rPr>
          <w:rFonts w:hint="eastAsia" w:ascii="宋体" w:hAnsi="宋体" w:cs="宋体"/>
          <w:color w:val="auto"/>
          <w:sz w:val="24"/>
          <w:highlight w:val="none"/>
          <w:u w:val="single"/>
          <w:lang w:val="en-US" w:eastAsia="zh-CN"/>
        </w:rPr>
        <w:t>卫健局等部门审批备案</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方可</w:t>
      </w:r>
      <w:r>
        <w:rPr>
          <w:rFonts w:hint="eastAsia" w:ascii="宋体" w:hAnsi="宋体" w:cs="宋体"/>
          <w:color w:val="auto"/>
          <w:sz w:val="24"/>
          <w:highlight w:val="none"/>
          <w:u w:val="single"/>
          <w:lang w:eastAsia="zh-CN"/>
        </w:rPr>
        <w:t>续签次年合同，累计时间最长不超过3年。服务（合同）期满，中标人应根据采购人的要求延续提供至下一轮投标完成新服务商入住后方可退出，费用标准按原合同规定执行</w:t>
      </w:r>
      <w:r>
        <w:rPr>
          <w:rFonts w:hint="eastAsia" w:ascii="宋体" w:hAnsi="宋体" w:cs="宋体"/>
          <w:color w:val="auto"/>
          <w:sz w:val="24"/>
          <w:highlight w:val="none"/>
          <w:u w:val="single"/>
          <w:lang w:val="en-US" w:eastAsia="zh-CN"/>
        </w:rPr>
        <w:t>。供应商须自行现场勘察，以求得准确的报价依据。某些（个）供应商投标报价超出采购最高限价的，则拒绝接受其投标报价，投标按无效投标处理。</w:t>
      </w:r>
    </w:p>
    <w:p>
      <w:pPr>
        <w:pStyle w:val="8"/>
        <w:adjustRightInd w:val="0"/>
        <w:snapToGrid w:val="0"/>
        <w:spacing w:line="360" w:lineRule="auto"/>
        <w:ind w:firstLine="442"/>
        <w:rPr>
          <w:rFonts w:ascii="宋体" w:hAnsi="宋体"/>
          <w:b/>
          <w:color w:val="auto"/>
          <w:sz w:val="22"/>
          <w:szCs w:val="22"/>
          <w:highlight w:val="none"/>
        </w:rPr>
      </w:pPr>
      <w:r>
        <w:rPr>
          <w:rFonts w:hint="eastAsia" w:ascii="宋体" w:hAnsi="宋体"/>
          <w:b/>
          <w:color w:val="auto"/>
          <w:sz w:val="22"/>
          <w:szCs w:val="22"/>
          <w:highlight w:val="none"/>
        </w:rPr>
        <w:t>11、供应商投报折扣率。后期按照当日服务费=（当日实际使用床位数量+血透室床位数量（50床）+值班室床位数量（25床））*各区间床位数每床位每日所需布品综合单价最高限价*中标折扣率统计。每日一统计，每月一结算。</w:t>
      </w:r>
      <w:r>
        <w:rPr>
          <w:rFonts w:hint="eastAsia" w:ascii="宋体" w:hAnsi="宋体"/>
          <w:b/>
          <w:color w:val="auto"/>
          <w:sz w:val="22"/>
          <w:szCs w:val="22"/>
          <w:highlight w:val="none"/>
          <w:lang w:eastAsia="zh-CN"/>
        </w:rPr>
        <w:t>实际累计总结算金额不得超过预算金额</w:t>
      </w:r>
      <w:r>
        <w:rPr>
          <w:rFonts w:hint="eastAsia" w:ascii="宋体" w:hAnsi="宋体"/>
          <w:b/>
          <w:color w:val="auto"/>
          <w:sz w:val="22"/>
          <w:szCs w:val="22"/>
          <w:highlight w:val="none"/>
        </w:rPr>
        <w:t>，否则按相关政策执行。投标报价超出该采购预算（最高限价），该供应商按无效投标处理。本项目投标报价必须包括完成合同所需的一切本身和不可或缺的所有工作开支、政策性文件规定计合同包含的所有风险、责任等各项全部费用并承担一切风险责任。投标人认为完成本招标文件规定的项目承包内容所发生的直接成本、间接成本、利润、税金、政策性文件规定的费用、设备进出场费等一切费用均应计入投标报价，凡未列入的将被认为均已包含在投标总价中，今后不得以任何理由追加或调整。</w:t>
      </w:r>
    </w:p>
    <w:p>
      <w:pPr>
        <w:widowControl/>
        <w:autoSpaceDE w:val="0"/>
        <w:autoSpaceDN w:val="0"/>
        <w:snapToGrid w:val="0"/>
        <w:spacing w:line="360" w:lineRule="auto"/>
        <w:ind w:firstLine="442" w:firstLineChars="200"/>
        <w:jc w:val="left"/>
        <w:rPr>
          <w:rFonts w:ascii="宋体" w:hAnsi="宋体"/>
          <w:b/>
          <w:bCs/>
          <w:color w:val="auto"/>
          <w:sz w:val="22"/>
          <w:highlight w:val="none"/>
          <w:u w:val="single"/>
        </w:rPr>
      </w:pPr>
      <w:r>
        <w:rPr>
          <w:rFonts w:hint="eastAsia" w:ascii="宋体" w:hAnsi="宋体"/>
          <w:b/>
          <w:bCs/>
          <w:color w:val="auto"/>
          <w:sz w:val="22"/>
          <w:highlight w:val="none"/>
          <w:u w:val="single"/>
        </w:rPr>
        <w:t>12、</w:t>
      </w:r>
      <w:r>
        <w:rPr>
          <w:rFonts w:ascii="宋体" w:hAnsi="宋体"/>
          <w:b/>
          <w:bCs/>
          <w:color w:val="auto"/>
          <w:sz w:val="22"/>
          <w:highlight w:val="none"/>
          <w:u w:val="single"/>
        </w:rPr>
        <w:t>供应商进行电子</w:t>
      </w:r>
      <w:r>
        <w:rPr>
          <w:rFonts w:hint="eastAsia" w:ascii="宋体" w:hAnsi="宋体"/>
          <w:b/>
          <w:bCs/>
          <w:color w:val="auto"/>
          <w:sz w:val="22"/>
          <w:highlight w:val="none"/>
          <w:u w:val="single"/>
        </w:rPr>
        <w:t>响应</w:t>
      </w:r>
      <w:r>
        <w:rPr>
          <w:rFonts w:ascii="宋体" w:hAnsi="宋体"/>
          <w:b/>
          <w:bCs/>
          <w:color w:val="auto"/>
          <w:sz w:val="22"/>
          <w:highlight w:val="none"/>
          <w:u w:val="single"/>
        </w:rPr>
        <w:t>应安装客户端软件，并按照采购文件和电子交易平台的要求编制并加密</w:t>
      </w:r>
      <w:r>
        <w:rPr>
          <w:rFonts w:hint="eastAsia" w:ascii="宋体" w:hAnsi="宋体"/>
          <w:b/>
          <w:bCs/>
          <w:color w:val="auto"/>
          <w:sz w:val="22"/>
          <w:highlight w:val="none"/>
          <w:u w:val="single"/>
        </w:rPr>
        <w:t>投标</w:t>
      </w:r>
      <w:r>
        <w:rPr>
          <w:rFonts w:ascii="宋体" w:hAnsi="宋体"/>
          <w:b/>
          <w:bCs/>
          <w:color w:val="auto"/>
          <w:sz w:val="22"/>
          <w:highlight w:val="none"/>
          <w:u w:val="single"/>
        </w:rPr>
        <w:t>文件。供应商未按规定加密的投标文件，电子交易平台拒收并提示。</w:t>
      </w:r>
    </w:p>
    <w:p>
      <w:pPr>
        <w:widowControl/>
        <w:autoSpaceDE w:val="0"/>
        <w:autoSpaceDN w:val="0"/>
        <w:snapToGrid w:val="0"/>
        <w:spacing w:line="360" w:lineRule="auto"/>
        <w:ind w:firstLine="433"/>
        <w:jc w:val="left"/>
        <w:rPr>
          <w:rFonts w:ascii="宋体" w:hAnsi="宋体"/>
          <w:b/>
          <w:bCs/>
          <w:color w:val="auto"/>
          <w:sz w:val="22"/>
          <w:highlight w:val="none"/>
          <w:u w:val="single"/>
        </w:rPr>
      </w:pPr>
      <w:r>
        <w:rPr>
          <w:rFonts w:hint="eastAsia" w:ascii="宋体" w:hAnsi="宋体"/>
          <w:b/>
          <w:bCs/>
          <w:color w:val="auto"/>
          <w:sz w:val="22"/>
          <w:highlight w:val="none"/>
          <w:u w:val="single"/>
        </w:rPr>
        <w:t>13</w:t>
      </w:r>
      <w:r>
        <w:rPr>
          <w:rFonts w:ascii="宋体" w:hAnsi="宋体"/>
          <w:b/>
          <w:bCs/>
          <w:color w:val="auto"/>
          <w:sz w:val="22"/>
          <w:highlight w:val="none"/>
          <w:u w:val="single"/>
        </w:rPr>
        <w:t>、为保证供应商顺利投标，供应商须在投标截止前自行登录浙江省政府采购网站（http://www.zjzfcg.gov.cn），查看是否有补充更正公告文件。如供应商未按补充更正公告文件进行投标的，责任自负。</w:t>
      </w:r>
    </w:p>
    <w:p>
      <w:pPr>
        <w:widowControl/>
        <w:autoSpaceDE w:val="0"/>
        <w:autoSpaceDN w:val="0"/>
        <w:snapToGrid w:val="0"/>
        <w:spacing w:line="360" w:lineRule="auto"/>
        <w:ind w:firstLine="433"/>
        <w:jc w:val="left"/>
        <w:rPr>
          <w:rFonts w:ascii="宋体" w:hAnsi="宋体"/>
          <w:b/>
          <w:bCs/>
          <w:color w:val="auto"/>
          <w:sz w:val="22"/>
          <w:highlight w:val="none"/>
          <w:u w:val="single"/>
        </w:rPr>
      </w:pPr>
      <w:r>
        <w:rPr>
          <w:rFonts w:hint="eastAsia" w:ascii="宋体" w:hAnsi="宋体"/>
          <w:b/>
          <w:bCs/>
          <w:color w:val="auto"/>
          <w:sz w:val="22"/>
          <w:highlight w:val="none"/>
          <w:u w:val="single"/>
        </w:rPr>
        <w:t>14</w:t>
      </w:r>
      <w:r>
        <w:rPr>
          <w:rFonts w:ascii="宋体" w:hAnsi="宋体"/>
          <w:b/>
          <w:bCs/>
          <w:color w:val="auto"/>
          <w:sz w:val="22"/>
          <w:highlight w:val="none"/>
          <w:u w:val="single"/>
        </w:rPr>
        <w:t>、</w:t>
      </w:r>
      <w:r>
        <w:rPr>
          <w:rFonts w:hint="eastAsia" w:ascii="宋体" w:hAnsi="宋体"/>
          <w:b/>
          <w:bCs/>
          <w:color w:val="auto"/>
          <w:sz w:val="22"/>
          <w:highlight w:val="none"/>
          <w:u w:val="single"/>
        </w:rPr>
        <w:t>中标供应商在合同签订前，采购人有权要求中标供应商提供其投标文件中的相关文件资料的原件进行审核；如无法提供原件或提供的原件与其投标文件中的不符，采购人有权取消其中标资格，并提交主管部门处理。</w:t>
      </w:r>
    </w:p>
    <w:p>
      <w:pPr>
        <w:autoSpaceDE w:val="0"/>
        <w:autoSpaceDN w:val="0"/>
        <w:adjustRightInd w:val="0"/>
        <w:snapToGrid w:val="0"/>
        <w:spacing w:line="420" w:lineRule="exact"/>
        <w:textAlignment w:val="bottom"/>
        <w:outlineLvl w:val="0"/>
        <w:rPr>
          <w:rFonts w:ascii="宋体" w:hAnsi="宋体"/>
          <w:b/>
          <w:color w:val="auto"/>
          <w:sz w:val="22"/>
          <w:szCs w:val="22"/>
          <w:highlight w:val="none"/>
        </w:rPr>
      </w:pPr>
      <w:r>
        <w:rPr>
          <w:rFonts w:hint="eastAsia" w:ascii="宋体" w:hAnsi="宋体"/>
          <w:b/>
          <w:color w:val="auto"/>
          <w:sz w:val="22"/>
          <w:szCs w:val="22"/>
          <w:highlight w:val="none"/>
        </w:rPr>
        <w:t>二、供应商资格要求</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按招标公告要求</w:t>
      </w:r>
    </w:p>
    <w:p>
      <w:pPr>
        <w:autoSpaceDE w:val="0"/>
        <w:autoSpaceDN w:val="0"/>
        <w:adjustRightInd w:val="0"/>
        <w:snapToGrid w:val="0"/>
        <w:spacing w:line="420" w:lineRule="exact"/>
        <w:textAlignment w:val="bottom"/>
        <w:outlineLvl w:val="0"/>
        <w:rPr>
          <w:rFonts w:ascii="宋体" w:hAnsi="宋体"/>
          <w:b/>
          <w:color w:val="auto"/>
          <w:sz w:val="22"/>
          <w:szCs w:val="22"/>
          <w:highlight w:val="none"/>
        </w:rPr>
      </w:pPr>
      <w:r>
        <w:rPr>
          <w:rFonts w:hint="eastAsia" w:ascii="宋体" w:hAnsi="宋体"/>
          <w:b/>
          <w:color w:val="auto"/>
          <w:sz w:val="22"/>
          <w:szCs w:val="22"/>
          <w:highlight w:val="none"/>
        </w:rPr>
        <w:t>三、招标文件</w:t>
      </w:r>
    </w:p>
    <w:p>
      <w:pPr>
        <w:autoSpaceDE w:val="0"/>
        <w:autoSpaceDN w:val="0"/>
        <w:adjustRightInd w:val="0"/>
        <w:snapToGrid w:val="0"/>
        <w:spacing w:line="360" w:lineRule="auto"/>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1、招标文件</w:t>
      </w:r>
    </w:p>
    <w:p>
      <w:pPr>
        <w:autoSpaceDE w:val="0"/>
        <w:autoSpaceDN w:val="0"/>
        <w:adjustRightInd w:val="0"/>
        <w:snapToGrid w:val="0"/>
        <w:spacing w:line="360" w:lineRule="auto"/>
        <w:ind w:firstLine="431" w:firstLineChars="196"/>
        <w:textAlignment w:val="bottom"/>
        <w:rPr>
          <w:rFonts w:ascii="宋体" w:hAnsi="宋体"/>
          <w:color w:val="auto"/>
          <w:sz w:val="22"/>
          <w:highlight w:val="none"/>
        </w:rPr>
      </w:pPr>
      <w:r>
        <w:rPr>
          <w:rFonts w:hint="eastAsia" w:ascii="宋体" w:hAnsi="宋体"/>
          <w:color w:val="auto"/>
          <w:sz w:val="22"/>
          <w:highlight w:val="none"/>
        </w:rPr>
        <w:t>1.1招标文件的获取</w:t>
      </w:r>
    </w:p>
    <w:p>
      <w:pPr>
        <w:autoSpaceDE w:val="0"/>
        <w:autoSpaceDN w:val="0"/>
        <w:adjustRightInd w:val="0"/>
        <w:snapToGrid w:val="0"/>
        <w:spacing w:line="360" w:lineRule="auto"/>
        <w:ind w:firstLine="431" w:firstLineChars="196"/>
        <w:textAlignment w:val="bottom"/>
        <w:rPr>
          <w:rFonts w:ascii="宋体" w:hAnsi="宋体"/>
          <w:color w:val="auto"/>
          <w:sz w:val="22"/>
          <w:highlight w:val="none"/>
        </w:rPr>
      </w:pPr>
      <w:r>
        <w:rPr>
          <w:rFonts w:hint="eastAsia" w:ascii="宋体" w:hAnsi="宋体"/>
          <w:color w:val="auto"/>
          <w:sz w:val="22"/>
          <w:highlight w:val="none"/>
          <w:u w:val="single"/>
        </w:rPr>
        <w:t>本项目招标文件实行“浙江政府采购网或温州市公共资源交易网苍南县分网”在线获取，不提供招标文件纸质版。供应商获取招标文件前应先完成“政府采购云平台”的账号注册。</w:t>
      </w:r>
    </w:p>
    <w:p>
      <w:pPr>
        <w:autoSpaceDE w:val="0"/>
        <w:autoSpaceDN w:val="0"/>
        <w:adjustRightInd w:val="0"/>
        <w:snapToGrid w:val="0"/>
        <w:spacing w:line="360" w:lineRule="auto"/>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1.2招标文件约束力</w:t>
      </w:r>
    </w:p>
    <w:p>
      <w:pPr>
        <w:autoSpaceDE w:val="0"/>
        <w:autoSpaceDN w:val="0"/>
        <w:adjustRightInd w:val="0"/>
        <w:snapToGrid w:val="0"/>
        <w:spacing w:line="360" w:lineRule="auto"/>
        <w:ind w:right="-160" w:rightChars="-76" w:firstLine="431" w:firstLineChars="196"/>
        <w:textAlignment w:val="bottom"/>
        <w:rPr>
          <w:rFonts w:ascii="宋体" w:hAnsi="宋体"/>
          <w:color w:val="auto"/>
          <w:sz w:val="22"/>
          <w:szCs w:val="22"/>
          <w:highlight w:val="none"/>
          <w:u w:val="single"/>
        </w:rPr>
      </w:pPr>
      <w:r>
        <w:rPr>
          <w:rFonts w:hint="eastAsia" w:ascii="宋体" w:hAnsi="宋体"/>
          <w:color w:val="auto"/>
          <w:sz w:val="22"/>
          <w:szCs w:val="22"/>
          <w:highlight w:val="none"/>
        </w:rPr>
        <w:t>▲</w:t>
      </w:r>
      <w:r>
        <w:rPr>
          <w:rFonts w:hint="eastAsia" w:ascii="宋体" w:hAnsi="宋体"/>
          <w:color w:val="auto"/>
          <w:sz w:val="22"/>
          <w:szCs w:val="22"/>
          <w:highlight w:val="none"/>
          <w:u w:val="single"/>
        </w:rPr>
        <w:t>供应商一旦获取了本招标文件并参加投标，即被认为接受了本招标文件中所有条款和规定。</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1.3招标文件的组成</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招标文件由招标文件总目录所列内容及补充资料等组成。</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2、招标文件的澄清</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供应商对招标文件如有疑点要求澄清，或认为有必要与采购人进行技术交流，可用书面形式（包括信函、传真，下同）通知</w:t>
      </w:r>
      <w:r>
        <w:rPr>
          <w:rFonts w:hint="eastAsia" w:ascii="宋体" w:hAnsi="宋体"/>
          <w:color w:val="auto"/>
          <w:sz w:val="22"/>
          <w:szCs w:val="22"/>
          <w:highlight w:val="none"/>
          <w:u w:val="single"/>
        </w:rPr>
        <w:t>招标代理机构</w:t>
      </w:r>
      <w:r>
        <w:rPr>
          <w:rFonts w:hint="eastAsia" w:ascii="宋体" w:hAnsi="宋体"/>
          <w:color w:val="auto"/>
          <w:sz w:val="22"/>
          <w:szCs w:val="22"/>
          <w:highlight w:val="none"/>
        </w:rPr>
        <w:t>，但通知不得迟于规定的质疑时间前使招标代理机构收到，招标代理机构将采用书面形式予以答复。如有必要，可将不说明来源的答复发给各有关供应商。</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3、招标文件的修改</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3.1 在投标截止时间前，招标人或代理机构有权修改招标文件，</w:t>
      </w:r>
      <w:r>
        <w:rPr>
          <w:rFonts w:hint="eastAsia" w:ascii="宋体" w:hAnsi="宋体"/>
          <w:color w:val="auto"/>
          <w:sz w:val="22"/>
          <w:highlight w:val="none"/>
        </w:rPr>
        <w:t>并以更正公告形式通知供应商。</w:t>
      </w:r>
      <w:r>
        <w:rPr>
          <w:rFonts w:hint="eastAsia" w:ascii="宋体" w:hAnsi="宋体"/>
          <w:color w:val="auto"/>
          <w:sz w:val="22"/>
          <w:szCs w:val="22"/>
          <w:highlight w:val="none"/>
        </w:rPr>
        <w:t>补充文件作为招标文件的补充和组成部分，对所有供应商均有约束力。</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 xml:space="preserve">3.2 为使供应商有足够的时间按招标文件要求修正投标文件，招标人可酌情推迟投标截止时间和开标时间，并将此变更通知供应商。 </w:t>
      </w:r>
    </w:p>
    <w:p>
      <w:pPr>
        <w:autoSpaceDE w:val="0"/>
        <w:autoSpaceDN w:val="0"/>
        <w:adjustRightInd w:val="0"/>
        <w:snapToGrid w:val="0"/>
        <w:spacing w:line="420" w:lineRule="exact"/>
        <w:textAlignment w:val="bottom"/>
        <w:outlineLvl w:val="0"/>
        <w:rPr>
          <w:rFonts w:ascii="宋体" w:hAnsi="宋体"/>
          <w:b/>
          <w:color w:val="auto"/>
          <w:sz w:val="22"/>
          <w:szCs w:val="22"/>
          <w:highlight w:val="none"/>
        </w:rPr>
      </w:pPr>
      <w:r>
        <w:rPr>
          <w:rFonts w:hint="eastAsia" w:ascii="宋体" w:hAnsi="宋体"/>
          <w:b/>
          <w:color w:val="auto"/>
          <w:sz w:val="22"/>
          <w:szCs w:val="22"/>
          <w:highlight w:val="none"/>
        </w:rPr>
        <w:t>四、投标文件</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1、投标文件</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1.1投标人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服务在基本满足招标要求的前提下出现的微小差异。</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1.2投标人必须按招标文件的要求提供相关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1.3投标人应仔细阅读招标文件中的所有内容，按照招标文件要求，详细编制投标文件，所有文件资料必须是针对本次投标。不按招标文件的要求提供的投标文件可能导致被拒绝。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360" w:lineRule="auto"/>
        <w:ind w:firstLine="442" w:firstLineChars="200"/>
        <w:rPr>
          <w:rFonts w:ascii="宋体" w:hAnsi="宋体" w:cs="Arial"/>
          <w:b/>
          <w:bCs/>
          <w:color w:val="auto"/>
          <w:sz w:val="22"/>
          <w:highlight w:val="none"/>
          <w:u w:val="single"/>
        </w:rPr>
      </w:pPr>
      <w:r>
        <w:rPr>
          <w:rFonts w:hint="eastAsia" w:ascii="宋体"/>
          <w:b/>
          <w:color w:val="auto"/>
          <w:sz w:val="22"/>
          <w:szCs w:val="22"/>
          <w:highlight w:val="none"/>
        </w:rPr>
        <w:t>2</w:t>
      </w:r>
      <w:r>
        <w:rPr>
          <w:rFonts w:hint="eastAsia" w:ascii="宋体"/>
          <w:b/>
          <w:color w:val="auto"/>
          <w:sz w:val="22"/>
          <w:szCs w:val="22"/>
          <w:highlight w:val="none"/>
          <w:lang w:val="zh-CN"/>
        </w:rPr>
        <w:t>、</w:t>
      </w:r>
      <w:r>
        <w:rPr>
          <w:rFonts w:hint="eastAsia" w:ascii="宋体" w:hAnsi="宋体" w:cs="Arial"/>
          <w:b/>
          <w:bCs/>
          <w:color w:val="auto"/>
          <w:sz w:val="22"/>
          <w:highlight w:val="none"/>
          <w:u w:val="single"/>
        </w:rPr>
        <w:t>本项目通过“政府采购云平台（</w:t>
      </w:r>
      <w:r>
        <w:rPr>
          <w:rFonts w:ascii="宋体" w:hAnsi="宋体" w:cs="Arial"/>
          <w:b/>
          <w:bCs/>
          <w:color w:val="auto"/>
          <w:sz w:val="22"/>
          <w:highlight w:val="none"/>
          <w:u w:val="single"/>
        </w:rPr>
        <w:t>www.</w:t>
      </w:r>
      <w:r>
        <w:rPr>
          <w:rFonts w:hint="eastAsia" w:ascii="宋体" w:hAnsi="宋体" w:cs="Arial"/>
          <w:b/>
          <w:bCs/>
          <w:color w:val="auto"/>
          <w:sz w:val="22"/>
          <w:highlight w:val="none"/>
          <w:u w:val="single"/>
        </w:rPr>
        <w:t>zcy</w:t>
      </w:r>
      <w:r>
        <w:rPr>
          <w:rFonts w:ascii="宋体" w:hAnsi="宋体" w:cs="Arial"/>
          <w:b/>
          <w:bCs/>
          <w:color w:val="auto"/>
          <w:sz w:val="22"/>
          <w:highlight w:val="none"/>
          <w:u w:val="single"/>
        </w:rPr>
        <w:t>gov.cn</w:t>
      </w:r>
      <w:r>
        <w:rPr>
          <w:rFonts w:hint="eastAsia" w:ascii="宋体" w:hAnsi="宋体" w:cs="Arial"/>
          <w:b/>
          <w:bCs/>
          <w:color w:val="auto"/>
          <w:sz w:val="22"/>
          <w:highlight w:val="none"/>
          <w:u w:val="single"/>
        </w:rPr>
        <w:t>）”实行在线投标响应（电子投标）。供应商应通过“政采云电子交易客户端”，并按照本招标文件和“政府采购云平台”的要求编制并加密投标响应文件。</w:t>
      </w:r>
    </w:p>
    <w:p>
      <w:pPr>
        <w:widowControl/>
        <w:autoSpaceDE w:val="0"/>
        <w:autoSpaceDN w:val="0"/>
        <w:snapToGrid w:val="0"/>
        <w:spacing w:line="420" w:lineRule="exact"/>
        <w:ind w:firstLine="431"/>
        <w:jc w:val="left"/>
        <w:rPr>
          <w:color w:val="auto"/>
          <w:sz w:val="22"/>
          <w:highlight w:val="none"/>
        </w:rPr>
      </w:pPr>
      <w:r>
        <w:rPr>
          <w:rFonts w:hint="eastAsia"/>
          <w:color w:val="auto"/>
          <w:sz w:val="22"/>
          <w:highlight w:val="none"/>
        </w:rPr>
        <w:t>2.1 投标</w:t>
      </w:r>
      <w:r>
        <w:rPr>
          <w:color w:val="auto"/>
          <w:sz w:val="22"/>
          <w:highlight w:val="none"/>
        </w:rPr>
        <w:t>文件的组成</w:t>
      </w:r>
    </w:p>
    <w:p>
      <w:pPr>
        <w:widowControl/>
        <w:autoSpaceDE w:val="0"/>
        <w:autoSpaceDN w:val="0"/>
        <w:snapToGrid w:val="0"/>
        <w:spacing w:line="420" w:lineRule="exact"/>
        <w:ind w:firstLine="431"/>
        <w:jc w:val="left"/>
        <w:rPr>
          <w:color w:val="auto"/>
          <w:sz w:val="22"/>
          <w:highlight w:val="none"/>
        </w:rPr>
      </w:pPr>
      <w:r>
        <w:rPr>
          <w:rFonts w:hint="eastAsia"/>
          <w:color w:val="auto"/>
          <w:sz w:val="22"/>
          <w:highlight w:val="none"/>
        </w:rPr>
        <w:t>2.1.1</w:t>
      </w:r>
      <w:r>
        <w:rPr>
          <w:color w:val="auto"/>
          <w:sz w:val="22"/>
          <w:highlight w:val="none"/>
        </w:rPr>
        <w:t>完整的</w:t>
      </w:r>
      <w:r>
        <w:rPr>
          <w:rFonts w:hint="eastAsia"/>
          <w:color w:val="auto"/>
          <w:sz w:val="22"/>
          <w:highlight w:val="none"/>
        </w:rPr>
        <w:t>投标</w:t>
      </w:r>
      <w:r>
        <w:rPr>
          <w:color w:val="auto"/>
          <w:sz w:val="22"/>
          <w:highlight w:val="none"/>
        </w:rPr>
        <w:t>文件由</w:t>
      </w:r>
      <w:r>
        <w:rPr>
          <w:rFonts w:hint="eastAsia"/>
          <w:color w:val="auto"/>
          <w:sz w:val="22"/>
          <w:highlight w:val="none"/>
        </w:rPr>
        <w:t>《资格文件》、《商务技术文件》和《报价文件》三</w:t>
      </w:r>
      <w:r>
        <w:rPr>
          <w:color w:val="auto"/>
          <w:sz w:val="22"/>
          <w:highlight w:val="none"/>
        </w:rPr>
        <w:t>个部分组成</w:t>
      </w:r>
      <w:r>
        <w:rPr>
          <w:rFonts w:hint="eastAsia"/>
          <w:color w:val="auto"/>
          <w:sz w:val="22"/>
          <w:highlight w:val="none"/>
        </w:rPr>
        <w:t>（以下统称“投标文件”）。</w:t>
      </w:r>
    </w:p>
    <w:p>
      <w:pPr>
        <w:widowControl/>
        <w:autoSpaceDE w:val="0"/>
        <w:autoSpaceDN w:val="0"/>
        <w:snapToGrid w:val="0"/>
        <w:spacing w:line="420" w:lineRule="exact"/>
        <w:ind w:firstLine="431"/>
        <w:jc w:val="left"/>
        <w:rPr>
          <w:color w:val="auto"/>
          <w:sz w:val="22"/>
          <w:highlight w:val="none"/>
        </w:rPr>
      </w:pPr>
      <w:r>
        <w:rPr>
          <w:rFonts w:hint="eastAsia"/>
          <w:color w:val="auto"/>
          <w:sz w:val="22"/>
          <w:highlight w:val="none"/>
        </w:rPr>
        <w:t>2.1.2投标文件内容组成表（投标供应商应按以下清单提供相关资料，否则一切风险和责任由供应商自行承担）：</w:t>
      </w:r>
    </w:p>
    <w:tbl>
      <w:tblPr>
        <w:tblStyle w:val="38"/>
        <w:tblW w:w="10065"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075"/>
        <w:gridCol w:w="7560"/>
        <w:gridCol w:w="11"/>
        <w:gridCol w:w="7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709" w:type="dxa"/>
            <w:tcBorders>
              <w:bottom w:val="single" w:color="auto" w:sz="6" w:space="0"/>
            </w:tcBorders>
            <w:shd w:val="clear" w:color="auto" w:fill="DAEEF3"/>
            <w:vAlign w:val="center"/>
          </w:tcPr>
          <w:p>
            <w:pPr>
              <w:spacing w:line="276" w:lineRule="auto"/>
              <w:jc w:val="center"/>
              <w:rPr>
                <w:color w:val="auto"/>
                <w:sz w:val="22"/>
                <w:szCs w:val="22"/>
              </w:rPr>
            </w:pPr>
            <w:r>
              <w:rPr>
                <w:rFonts w:hint="eastAsia"/>
                <w:color w:val="auto"/>
                <w:sz w:val="22"/>
                <w:szCs w:val="22"/>
              </w:rPr>
              <w:t>序号</w:t>
            </w:r>
          </w:p>
        </w:tc>
        <w:tc>
          <w:tcPr>
            <w:tcW w:w="8646" w:type="dxa"/>
            <w:gridSpan w:val="3"/>
            <w:tcBorders>
              <w:bottom w:val="single" w:color="auto" w:sz="6" w:space="0"/>
            </w:tcBorders>
            <w:shd w:val="clear" w:color="auto" w:fill="DAEEF3"/>
            <w:vAlign w:val="center"/>
          </w:tcPr>
          <w:p>
            <w:pPr>
              <w:spacing w:line="276" w:lineRule="auto"/>
              <w:jc w:val="center"/>
              <w:rPr>
                <w:color w:val="auto"/>
                <w:sz w:val="22"/>
                <w:szCs w:val="22"/>
              </w:rPr>
            </w:pPr>
            <w:r>
              <w:rPr>
                <w:rFonts w:hint="eastAsia"/>
                <w:color w:val="auto"/>
                <w:sz w:val="22"/>
                <w:szCs w:val="22"/>
              </w:rPr>
              <w:t>响应文件组成内容</w:t>
            </w:r>
          </w:p>
        </w:tc>
        <w:tc>
          <w:tcPr>
            <w:tcW w:w="710" w:type="dxa"/>
            <w:tcBorders>
              <w:bottom w:val="single" w:color="auto" w:sz="6" w:space="0"/>
            </w:tcBorders>
            <w:shd w:val="clear" w:color="auto" w:fill="DAEEF3"/>
            <w:vAlign w:val="center"/>
          </w:tcPr>
          <w:p>
            <w:pPr>
              <w:spacing w:line="276" w:lineRule="auto"/>
              <w:jc w:val="center"/>
              <w:rPr>
                <w:color w:val="auto"/>
                <w:sz w:val="22"/>
                <w:szCs w:val="22"/>
              </w:rPr>
            </w:pPr>
            <w:r>
              <w:rPr>
                <w:rFonts w:hint="eastAsia"/>
                <w:color w:val="auto"/>
                <w:sz w:val="22"/>
                <w:szCs w:val="22"/>
              </w:rPr>
              <w:t>投标</w:t>
            </w:r>
          </w:p>
          <w:p>
            <w:pPr>
              <w:spacing w:line="276" w:lineRule="auto"/>
              <w:jc w:val="center"/>
              <w:rPr>
                <w:color w:val="auto"/>
                <w:sz w:val="22"/>
                <w:szCs w:val="22"/>
              </w:rPr>
            </w:pPr>
            <w:r>
              <w:rPr>
                <w:rFonts w:hint="eastAsia"/>
                <w:color w:val="auto"/>
                <w:sz w:val="22"/>
                <w:szCs w:val="22"/>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10065" w:type="dxa"/>
            <w:gridSpan w:val="5"/>
            <w:tcBorders>
              <w:top w:val="single" w:color="auto" w:sz="6" w:space="0"/>
              <w:bottom w:val="single" w:color="auto" w:sz="6" w:space="0"/>
            </w:tcBorders>
            <w:shd w:val="clear" w:color="auto" w:fill="FDE9D9"/>
            <w:vAlign w:val="center"/>
          </w:tcPr>
          <w:p>
            <w:pPr>
              <w:spacing w:line="276" w:lineRule="auto"/>
              <w:rPr>
                <w:color w:val="auto"/>
                <w:sz w:val="22"/>
                <w:szCs w:val="22"/>
              </w:rPr>
            </w:pPr>
            <w:r>
              <w:rPr>
                <w:rFonts w:hint="eastAsia"/>
                <w:color w:val="auto"/>
                <w:sz w:val="22"/>
                <w:szCs w:val="22"/>
              </w:rPr>
              <w:t>一、《资格文件》</w:t>
            </w:r>
            <w:r>
              <w:rPr>
                <w:rFonts w:hint="eastAsia" w:cs="Arial"/>
                <w:color w:val="auto"/>
                <w:sz w:val="22"/>
                <w:szCs w:val="22"/>
              </w:rPr>
              <w:t>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color w:val="auto"/>
                <w:sz w:val="22"/>
                <w:szCs w:val="22"/>
              </w:rPr>
            </w:pPr>
            <w:r>
              <w:rPr>
                <w:rFonts w:hint="eastAsia"/>
                <w:color w:val="auto"/>
                <w:sz w:val="22"/>
                <w:szCs w:val="22"/>
              </w:rPr>
              <w:t>1</w:t>
            </w:r>
          </w:p>
        </w:tc>
        <w:tc>
          <w:tcPr>
            <w:tcW w:w="8635" w:type="dxa"/>
            <w:gridSpan w:val="2"/>
            <w:tcBorders>
              <w:top w:val="single" w:color="auto" w:sz="6" w:space="0"/>
            </w:tcBorders>
            <w:vAlign w:val="center"/>
          </w:tcPr>
          <w:p>
            <w:pPr>
              <w:spacing w:line="276" w:lineRule="auto"/>
              <w:rPr>
                <w:color w:val="auto"/>
                <w:sz w:val="22"/>
                <w:szCs w:val="22"/>
              </w:rPr>
            </w:pPr>
            <w:r>
              <w:rPr>
                <w:rFonts w:hint="eastAsia"/>
                <w:color w:val="auto"/>
                <w:sz w:val="22"/>
                <w:szCs w:val="22"/>
              </w:rPr>
              <w:t>《资格文件》封面</w:t>
            </w:r>
          </w:p>
        </w:tc>
        <w:tc>
          <w:tcPr>
            <w:tcW w:w="721" w:type="dxa"/>
            <w:gridSpan w:val="2"/>
            <w:tcBorders>
              <w:top w:val="single" w:color="auto" w:sz="6" w:space="0"/>
            </w:tcBorders>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2</w:t>
            </w:r>
          </w:p>
        </w:tc>
        <w:tc>
          <w:tcPr>
            <w:tcW w:w="8635" w:type="dxa"/>
            <w:gridSpan w:val="2"/>
            <w:vAlign w:val="center"/>
          </w:tcPr>
          <w:p>
            <w:pPr>
              <w:spacing w:line="276" w:lineRule="auto"/>
              <w:rPr>
                <w:color w:val="auto"/>
                <w:sz w:val="22"/>
                <w:szCs w:val="22"/>
              </w:rPr>
            </w:pPr>
            <w:r>
              <w:rPr>
                <w:rFonts w:hint="eastAsia"/>
                <w:color w:val="auto"/>
                <w:sz w:val="22"/>
                <w:szCs w:val="22"/>
              </w:rPr>
              <w:t>《资格文件》目录（自拟）</w:t>
            </w:r>
          </w:p>
        </w:tc>
        <w:tc>
          <w:tcPr>
            <w:tcW w:w="721" w:type="dxa"/>
            <w:gridSpan w:val="2"/>
            <w:vAlign w:val="center"/>
          </w:tcPr>
          <w:p>
            <w:pPr>
              <w:spacing w:line="276" w:lineRule="auto"/>
              <w:jc w:val="center"/>
              <w:rPr>
                <w:rFonts w:cs="Arial"/>
                <w:color w:val="auto"/>
                <w:sz w:val="22"/>
                <w:szCs w:val="22"/>
              </w:rPr>
            </w:pPr>
            <w:r>
              <w:rPr>
                <w:rFonts w:hint="eastAsia" w:cs="Arial"/>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3</w:t>
            </w:r>
          </w:p>
        </w:tc>
        <w:tc>
          <w:tcPr>
            <w:tcW w:w="8635" w:type="dxa"/>
            <w:gridSpan w:val="2"/>
            <w:vAlign w:val="center"/>
          </w:tcPr>
          <w:p>
            <w:pPr>
              <w:spacing w:line="276" w:lineRule="auto"/>
              <w:rPr>
                <w:color w:val="auto"/>
                <w:sz w:val="22"/>
                <w:szCs w:val="22"/>
              </w:rPr>
            </w:pPr>
            <w:r>
              <w:rPr>
                <w:rFonts w:hint="eastAsia"/>
                <w:color w:val="auto"/>
                <w:sz w:val="22"/>
                <w:szCs w:val="22"/>
              </w:rPr>
              <w:t>资格审查声明函，格式见附件</w:t>
            </w:r>
          </w:p>
        </w:tc>
        <w:tc>
          <w:tcPr>
            <w:tcW w:w="721" w:type="dxa"/>
            <w:gridSpan w:val="2"/>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4</w:t>
            </w:r>
          </w:p>
        </w:tc>
        <w:tc>
          <w:tcPr>
            <w:tcW w:w="8635" w:type="dxa"/>
            <w:gridSpan w:val="2"/>
            <w:vAlign w:val="center"/>
          </w:tcPr>
          <w:p>
            <w:pPr>
              <w:spacing w:line="276" w:lineRule="auto"/>
              <w:rPr>
                <w:color w:val="auto"/>
                <w:sz w:val="22"/>
                <w:szCs w:val="22"/>
              </w:rPr>
            </w:pPr>
            <w:r>
              <w:rPr>
                <w:rFonts w:hint="eastAsia"/>
                <w:color w:val="auto"/>
                <w:sz w:val="22"/>
                <w:szCs w:val="22"/>
              </w:rPr>
              <w:t>具有独立承担民事责任能力的证明材料：</w:t>
            </w:r>
            <w:r>
              <w:rPr>
                <w:rFonts w:hint="eastAsia"/>
                <w:color w:val="auto"/>
                <w:sz w:val="22"/>
                <w:szCs w:val="22"/>
                <w:u w:val="single"/>
              </w:rPr>
              <w:t>企业法人营业执照</w:t>
            </w:r>
            <w:r>
              <w:rPr>
                <w:rFonts w:hint="eastAsia"/>
                <w:color w:val="auto"/>
                <w:sz w:val="22"/>
                <w:szCs w:val="22"/>
              </w:rPr>
              <w:t>（提供</w:t>
            </w:r>
            <w:r>
              <w:rPr>
                <w:rFonts w:hint="eastAsia" w:cs="Arial"/>
                <w:color w:val="auto"/>
                <w:sz w:val="22"/>
                <w:szCs w:val="22"/>
              </w:rPr>
              <w:t>复制件</w:t>
            </w:r>
            <w:r>
              <w:rPr>
                <w:rFonts w:hint="eastAsia"/>
                <w:color w:val="auto"/>
                <w:sz w:val="22"/>
                <w:szCs w:val="22"/>
              </w:rPr>
              <w:t>加盖供应商公章）或供应商为依法允许经营的事业单位的，应提交事业单位法人证书（提供</w:t>
            </w:r>
            <w:r>
              <w:rPr>
                <w:rFonts w:hint="eastAsia" w:cs="Arial"/>
                <w:color w:val="auto"/>
                <w:sz w:val="22"/>
                <w:szCs w:val="22"/>
              </w:rPr>
              <w:t>复制件</w:t>
            </w:r>
            <w:r>
              <w:rPr>
                <w:rFonts w:hint="eastAsia"/>
                <w:color w:val="auto"/>
                <w:sz w:val="22"/>
                <w:szCs w:val="22"/>
              </w:rPr>
              <w:t>加盖供应商公章）</w:t>
            </w:r>
          </w:p>
          <w:p>
            <w:pPr>
              <w:spacing w:line="276" w:lineRule="auto"/>
              <w:rPr>
                <w:color w:val="auto"/>
                <w:sz w:val="22"/>
                <w:szCs w:val="22"/>
              </w:rPr>
            </w:pPr>
            <w:r>
              <w:rPr>
                <w:rFonts w:hint="eastAsia"/>
                <w:color w:val="auto"/>
                <w:sz w:val="22"/>
                <w:szCs w:val="22"/>
              </w:rPr>
              <w:t>备注：金融、保险、通讯等特定行业的全国性企业所设立的区域性分支机构，以及个体工商户、个人独资企业、合伙企业参加本项目投标的，除上述提供自身企业营业执照外，还须提供</w:t>
            </w:r>
            <w:r>
              <w:rPr>
                <w:rFonts w:hint="eastAsia" w:cs="Arial"/>
                <w:color w:val="auto"/>
                <w:sz w:val="22"/>
                <w:szCs w:val="22"/>
              </w:rPr>
              <w:t>总公司（总机构）授权书或房产权证或其他有效财产证明材料（</w:t>
            </w:r>
            <w:r>
              <w:rPr>
                <w:rFonts w:hint="eastAsia"/>
                <w:color w:val="auto"/>
                <w:sz w:val="22"/>
                <w:szCs w:val="22"/>
              </w:rPr>
              <w:t>提供</w:t>
            </w:r>
            <w:r>
              <w:rPr>
                <w:rFonts w:hint="eastAsia" w:cs="Arial"/>
                <w:color w:val="auto"/>
                <w:sz w:val="22"/>
                <w:szCs w:val="22"/>
              </w:rPr>
              <w:t>复制件</w:t>
            </w:r>
            <w:r>
              <w:rPr>
                <w:rFonts w:hint="eastAsia"/>
                <w:color w:val="auto"/>
                <w:sz w:val="22"/>
                <w:szCs w:val="22"/>
              </w:rPr>
              <w:t>加盖供应商公章</w:t>
            </w:r>
            <w:r>
              <w:rPr>
                <w:rFonts w:hint="eastAsia" w:cs="Arial"/>
                <w:color w:val="auto"/>
                <w:sz w:val="22"/>
                <w:szCs w:val="22"/>
              </w:rPr>
              <w:t>）。</w:t>
            </w:r>
          </w:p>
        </w:tc>
        <w:tc>
          <w:tcPr>
            <w:tcW w:w="721" w:type="dxa"/>
            <w:gridSpan w:val="2"/>
            <w:vAlign w:val="center"/>
          </w:tcPr>
          <w:p>
            <w:pPr>
              <w:spacing w:line="276" w:lineRule="auto"/>
              <w:jc w:val="center"/>
              <w:rPr>
                <w:rFonts w:cs="Arial"/>
                <w:color w:val="auto"/>
                <w:sz w:val="22"/>
                <w:szCs w:val="22"/>
              </w:rPr>
            </w:pPr>
            <w:r>
              <w:rPr>
                <w:rFonts w:hint="eastAsia" w:cs="Arial"/>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5</w:t>
            </w:r>
          </w:p>
        </w:tc>
        <w:tc>
          <w:tcPr>
            <w:tcW w:w="8635" w:type="dxa"/>
            <w:gridSpan w:val="2"/>
            <w:vAlign w:val="center"/>
          </w:tcPr>
          <w:p>
            <w:pPr>
              <w:spacing w:line="276" w:lineRule="auto"/>
              <w:rPr>
                <w:color w:val="auto"/>
                <w:sz w:val="22"/>
                <w:szCs w:val="22"/>
              </w:rPr>
            </w:pPr>
            <w:r>
              <w:rPr>
                <w:rFonts w:hint="eastAsia"/>
                <w:color w:val="auto"/>
                <w:sz w:val="22"/>
                <w:szCs w:val="22"/>
              </w:rPr>
              <w:t>具有良好的商业信誉和健全的财务会计制度的证明材料：最近一年度财务报告（或审计机构审计的财务会计报表，包括资产负债表、现金流量表、利润表和财务情况说明书的复印件或银行资信证明。）（供应商成立时间未满一年的可以不提供，提供</w:t>
            </w:r>
            <w:r>
              <w:rPr>
                <w:rFonts w:hint="eastAsia" w:cs="Arial"/>
                <w:color w:val="auto"/>
                <w:sz w:val="22"/>
                <w:szCs w:val="22"/>
              </w:rPr>
              <w:t>复制件</w:t>
            </w:r>
            <w:r>
              <w:rPr>
                <w:rFonts w:hint="eastAsia"/>
                <w:color w:val="auto"/>
                <w:sz w:val="22"/>
                <w:szCs w:val="22"/>
              </w:rPr>
              <w:t>加盖供应商公章）</w:t>
            </w:r>
          </w:p>
        </w:tc>
        <w:tc>
          <w:tcPr>
            <w:tcW w:w="721" w:type="dxa"/>
            <w:gridSpan w:val="2"/>
            <w:vAlign w:val="center"/>
          </w:tcPr>
          <w:p>
            <w:pPr>
              <w:spacing w:line="276" w:lineRule="auto"/>
              <w:jc w:val="center"/>
              <w:rPr>
                <w:rFonts w:cs="Arial"/>
                <w:color w:val="auto"/>
                <w:sz w:val="22"/>
                <w:szCs w:val="22"/>
              </w:rPr>
            </w:pPr>
            <w:r>
              <w:rPr>
                <w:rFonts w:hint="eastAsia" w:cs="Arial"/>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6</w:t>
            </w:r>
          </w:p>
        </w:tc>
        <w:tc>
          <w:tcPr>
            <w:tcW w:w="8635" w:type="dxa"/>
            <w:gridSpan w:val="2"/>
            <w:vAlign w:val="center"/>
          </w:tcPr>
          <w:p>
            <w:pPr>
              <w:spacing w:line="276" w:lineRule="auto"/>
              <w:rPr>
                <w:color w:val="auto"/>
                <w:sz w:val="22"/>
                <w:szCs w:val="22"/>
              </w:rPr>
            </w:pPr>
            <w:r>
              <w:rPr>
                <w:rFonts w:hint="eastAsia"/>
                <w:color w:val="auto"/>
                <w:sz w:val="22"/>
                <w:szCs w:val="22"/>
              </w:rPr>
              <w:t>具有履行合同所必需的设备和专业技术能力的证明材料：</w:t>
            </w:r>
            <w:r>
              <w:rPr>
                <w:rFonts w:hint="eastAsia"/>
                <w:color w:val="auto"/>
                <w:sz w:val="22"/>
                <w:szCs w:val="22"/>
                <w:u w:val="single"/>
              </w:rPr>
              <w:t>承诺函，格式见附件也可自拟</w:t>
            </w:r>
          </w:p>
        </w:tc>
        <w:tc>
          <w:tcPr>
            <w:tcW w:w="721" w:type="dxa"/>
            <w:gridSpan w:val="2"/>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7</w:t>
            </w:r>
          </w:p>
        </w:tc>
        <w:tc>
          <w:tcPr>
            <w:tcW w:w="8635" w:type="dxa"/>
            <w:gridSpan w:val="2"/>
            <w:vAlign w:val="center"/>
          </w:tcPr>
          <w:p>
            <w:pPr>
              <w:spacing w:line="276" w:lineRule="auto"/>
              <w:rPr>
                <w:color w:val="auto"/>
                <w:sz w:val="22"/>
                <w:szCs w:val="22"/>
              </w:rPr>
            </w:pPr>
            <w:r>
              <w:rPr>
                <w:rFonts w:hint="eastAsia"/>
                <w:color w:val="auto"/>
                <w:sz w:val="22"/>
                <w:szCs w:val="22"/>
              </w:rPr>
              <w:t>有依法缴纳税收和社会保障金的良好记录的证明材料：1）缴纳税收证明资料（提供下列之一证明材料）：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文件。</w:t>
            </w:r>
          </w:p>
          <w:p>
            <w:pPr>
              <w:spacing w:line="276" w:lineRule="auto"/>
              <w:rPr>
                <w:rFonts w:cs="Arial"/>
                <w:color w:val="auto"/>
                <w:sz w:val="22"/>
                <w:szCs w:val="22"/>
              </w:rPr>
            </w:pPr>
            <w:r>
              <w:rPr>
                <w:rFonts w:hint="eastAsia"/>
                <w:color w:val="auto"/>
                <w:sz w:val="22"/>
                <w:szCs w:val="22"/>
              </w:rPr>
              <w:t>2）缴纳社会保险证明资料（提供下列之一证明材料）：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文件。</w:t>
            </w:r>
          </w:p>
        </w:tc>
        <w:tc>
          <w:tcPr>
            <w:tcW w:w="721" w:type="dxa"/>
            <w:gridSpan w:val="2"/>
            <w:vAlign w:val="center"/>
          </w:tcPr>
          <w:p>
            <w:pPr>
              <w:spacing w:line="276" w:lineRule="auto"/>
              <w:jc w:val="center"/>
              <w:rPr>
                <w:rFonts w:cs="Arial"/>
                <w:color w:val="auto"/>
                <w:sz w:val="22"/>
                <w:szCs w:val="22"/>
              </w:rPr>
            </w:pPr>
            <w:r>
              <w:rPr>
                <w:rFonts w:hint="eastAsia" w:cs="Arial"/>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8</w:t>
            </w:r>
          </w:p>
        </w:tc>
        <w:tc>
          <w:tcPr>
            <w:tcW w:w="8635" w:type="dxa"/>
            <w:gridSpan w:val="2"/>
            <w:vAlign w:val="center"/>
          </w:tcPr>
          <w:p>
            <w:pPr>
              <w:spacing w:line="276" w:lineRule="auto"/>
              <w:rPr>
                <w:rFonts w:cs="Arial"/>
                <w:color w:val="auto"/>
                <w:sz w:val="22"/>
                <w:szCs w:val="22"/>
              </w:rPr>
            </w:pPr>
            <w:r>
              <w:rPr>
                <w:rFonts w:hint="eastAsia"/>
                <w:color w:val="auto"/>
                <w:sz w:val="22"/>
                <w:szCs w:val="22"/>
              </w:rPr>
              <w:t>参加本次采购活动前三年内在经营活动中没有重大违法记录的证明材料：</w:t>
            </w:r>
            <w:r>
              <w:rPr>
                <w:rFonts w:hint="eastAsia"/>
                <w:color w:val="auto"/>
                <w:sz w:val="22"/>
                <w:szCs w:val="22"/>
                <w:u w:val="single"/>
              </w:rPr>
              <w:t>承诺函，格式见附件也可自拟</w:t>
            </w:r>
          </w:p>
        </w:tc>
        <w:tc>
          <w:tcPr>
            <w:tcW w:w="721" w:type="dxa"/>
            <w:gridSpan w:val="2"/>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9</w:t>
            </w:r>
          </w:p>
        </w:tc>
        <w:tc>
          <w:tcPr>
            <w:tcW w:w="8635" w:type="dxa"/>
            <w:gridSpan w:val="2"/>
            <w:vAlign w:val="center"/>
          </w:tcPr>
          <w:p>
            <w:pPr>
              <w:spacing w:line="276" w:lineRule="auto"/>
              <w:rPr>
                <w:color w:val="auto"/>
                <w:sz w:val="22"/>
                <w:szCs w:val="22"/>
              </w:rPr>
            </w:pPr>
            <w:r>
              <w:rPr>
                <w:rFonts w:hint="eastAsia"/>
                <w:color w:val="auto"/>
                <w:sz w:val="22"/>
                <w:szCs w:val="22"/>
              </w:rPr>
              <w:t>与参加本次项目同一合同项下政府采购活动的其他供应商不存在单位负责人为同一人或者直接控股、管理关系的证明材料：承诺函，格式见附件也可自拟</w:t>
            </w:r>
          </w:p>
        </w:tc>
        <w:tc>
          <w:tcPr>
            <w:tcW w:w="721" w:type="dxa"/>
            <w:gridSpan w:val="2"/>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10</w:t>
            </w:r>
          </w:p>
        </w:tc>
        <w:tc>
          <w:tcPr>
            <w:tcW w:w="8635" w:type="dxa"/>
            <w:gridSpan w:val="2"/>
            <w:vAlign w:val="center"/>
          </w:tcPr>
          <w:p>
            <w:pPr>
              <w:spacing w:line="276" w:lineRule="auto"/>
              <w:rPr>
                <w:color w:val="auto"/>
                <w:sz w:val="22"/>
                <w:szCs w:val="22"/>
              </w:rPr>
            </w:pPr>
            <w:r>
              <w:rPr>
                <w:rFonts w:hint="eastAsia" w:cs="Arial"/>
                <w:color w:val="auto"/>
                <w:sz w:val="22"/>
                <w:szCs w:val="22"/>
              </w:rPr>
              <w:t>未被</w:t>
            </w:r>
            <w:r>
              <w:rPr>
                <w:rFonts w:cs="Arial"/>
                <w:color w:val="auto"/>
                <w:sz w:val="22"/>
                <w:szCs w:val="22"/>
              </w:rPr>
              <w:t>“信用中国”</w:t>
            </w:r>
            <w:r>
              <w:rPr>
                <w:rFonts w:hint="eastAsia" w:cs="Arial"/>
                <w:color w:val="auto"/>
                <w:sz w:val="22"/>
                <w:szCs w:val="22"/>
              </w:rPr>
              <w:t>（</w:t>
            </w:r>
            <w:r>
              <w:rPr>
                <w:rFonts w:cs="Arial"/>
                <w:color w:val="auto"/>
                <w:sz w:val="22"/>
                <w:szCs w:val="22"/>
              </w:rPr>
              <w:t>www.creditchina.gov.cn</w:t>
            </w:r>
            <w:r>
              <w:rPr>
                <w:rFonts w:hint="eastAsia" w:cs="Arial"/>
                <w:color w:val="auto"/>
                <w:sz w:val="22"/>
                <w:szCs w:val="22"/>
              </w:rPr>
              <w:t>）、</w:t>
            </w:r>
            <w:r>
              <w:rPr>
                <w:rFonts w:cs="Arial"/>
                <w:color w:val="auto"/>
                <w:sz w:val="22"/>
                <w:szCs w:val="22"/>
              </w:rPr>
              <w:t>中国政府采购网</w:t>
            </w:r>
            <w:r>
              <w:rPr>
                <w:rFonts w:hint="eastAsia" w:cs="Arial"/>
                <w:color w:val="auto"/>
                <w:sz w:val="22"/>
                <w:szCs w:val="22"/>
              </w:rPr>
              <w:t>（</w:t>
            </w:r>
            <w:r>
              <w:rPr>
                <w:rFonts w:cs="Arial"/>
                <w:color w:val="auto"/>
                <w:sz w:val="22"/>
                <w:szCs w:val="22"/>
              </w:rPr>
              <w:t>www.ccgp.gov.cn</w:t>
            </w:r>
            <w:r>
              <w:rPr>
                <w:rFonts w:hint="eastAsia" w:cs="Arial"/>
                <w:color w:val="auto"/>
                <w:sz w:val="22"/>
                <w:szCs w:val="22"/>
              </w:rPr>
              <w:t>）</w:t>
            </w:r>
            <w:r>
              <w:rPr>
                <w:rFonts w:cs="Arial"/>
                <w:color w:val="auto"/>
                <w:sz w:val="22"/>
                <w:szCs w:val="22"/>
              </w:rPr>
              <w:t>列入失信被执行人</w:t>
            </w:r>
            <w:r>
              <w:rPr>
                <w:rFonts w:hint="eastAsia" w:cs="Arial"/>
                <w:color w:val="auto"/>
                <w:sz w:val="22"/>
                <w:szCs w:val="22"/>
              </w:rPr>
              <w:t>名单</w:t>
            </w:r>
            <w:r>
              <w:rPr>
                <w:rFonts w:cs="Arial"/>
                <w:color w:val="auto"/>
                <w:sz w:val="22"/>
                <w:szCs w:val="22"/>
              </w:rPr>
              <w:t>、重大税收违法案件当事人名单、政府采购严重违法失信行为记录名单</w:t>
            </w:r>
            <w:r>
              <w:rPr>
                <w:rFonts w:hint="eastAsia" w:cs="Arial"/>
                <w:color w:val="auto"/>
                <w:sz w:val="22"/>
                <w:szCs w:val="22"/>
              </w:rPr>
              <w:t>的证明材料：</w:t>
            </w:r>
            <w:r>
              <w:rPr>
                <w:rFonts w:hint="eastAsia"/>
                <w:color w:val="auto"/>
                <w:sz w:val="22"/>
                <w:szCs w:val="22"/>
                <w:u w:val="single"/>
              </w:rPr>
              <w:t>承诺函，格式见附件也可自拟</w:t>
            </w:r>
          </w:p>
        </w:tc>
        <w:tc>
          <w:tcPr>
            <w:tcW w:w="721" w:type="dxa"/>
            <w:gridSpan w:val="2"/>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cs="Arial"/>
                <w:color w:val="auto"/>
                <w:sz w:val="22"/>
                <w:szCs w:val="22"/>
              </w:rPr>
            </w:pPr>
            <w:r>
              <w:rPr>
                <w:rFonts w:hint="eastAsia" w:cs="Arial"/>
                <w:color w:val="auto"/>
                <w:sz w:val="22"/>
                <w:szCs w:val="22"/>
              </w:rPr>
              <w:t>11</w:t>
            </w:r>
          </w:p>
        </w:tc>
        <w:tc>
          <w:tcPr>
            <w:tcW w:w="8635" w:type="dxa"/>
            <w:gridSpan w:val="2"/>
          </w:tcPr>
          <w:p>
            <w:pPr>
              <w:autoSpaceDE w:val="0"/>
              <w:autoSpaceDN w:val="0"/>
              <w:adjustRightInd w:val="0"/>
              <w:snapToGrid w:val="0"/>
              <w:spacing w:line="240" w:lineRule="atLeast"/>
              <w:rPr>
                <w:rFonts w:cs="Arial"/>
                <w:color w:val="auto"/>
                <w:sz w:val="22"/>
                <w:szCs w:val="22"/>
              </w:rPr>
            </w:pPr>
            <w:r>
              <w:rPr>
                <w:rFonts w:hint="eastAsia" w:cs="Arial"/>
                <w:color w:val="auto"/>
                <w:sz w:val="22"/>
                <w:szCs w:val="22"/>
              </w:rPr>
              <w:t>供应商法定代表人授权书（非法定代表人参加投标时须提供）；如为法定代表人参与的只须提供法人身份证明。如为法人提供法人代表身份证明；如为授权代表提供授权书；（格式见附件）</w:t>
            </w:r>
          </w:p>
        </w:tc>
        <w:tc>
          <w:tcPr>
            <w:tcW w:w="721" w:type="dxa"/>
            <w:gridSpan w:val="2"/>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5"/>
            <w:tcBorders>
              <w:bottom w:val="single" w:color="auto" w:sz="6" w:space="0"/>
            </w:tcBorders>
            <w:shd w:val="clear" w:color="auto" w:fill="E5DFEC"/>
            <w:vAlign w:val="center"/>
          </w:tcPr>
          <w:p>
            <w:pPr>
              <w:spacing w:line="276" w:lineRule="auto"/>
              <w:rPr>
                <w:rFonts w:cs="Arial"/>
                <w:color w:val="auto"/>
                <w:sz w:val="22"/>
                <w:szCs w:val="22"/>
              </w:rPr>
            </w:pPr>
            <w:r>
              <w:rPr>
                <w:color w:val="auto"/>
                <w:sz w:val="22"/>
                <w:szCs w:val="22"/>
              </w:rPr>
              <w:t>▲</w:t>
            </w:r>
            <w:r>
              <w:rPr>
                <w:rFonts w:hint="eastAsia"/>
                <w:color w:val="auto"/>
                <w:sz w:val="22"/>
                <w:szCs w:val="22"/>
              </w:rPr>
              <w:t>备注：上述</w:t>
            </w:r>
            <w:r>
              <w:rPr>
                <w:rFonts w:hint="eastAsia" w:cs="Arial"/>
                <w:color w:val="auto"/>
                <w:sz w:val="22"/>
                <w:szCs w:val="22"/>
              </w:rPr>
              <w:t>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065" w:type="dxa"/>
            <w:gridSpan w:val="5"/>
            <w:tcBorders>
              <w:top w:val="single" w:color="auto" w:sz="6" w:space="0"/>
              <w:bottom w:val="single" w:color="auto" w:sz="6" w:space="0"/>
            </w:tcBorders>
            <w:shd w:val="clear" w:color="auto" w:fill="FDE9D9"/>
            <w:vAlign w:val="center"/>
          </w:tcPr>
          <w:p>
            <w:pPr>
              <w:spacing w:line="276" w:lineRule="auto"/>
              <w:rPr>
                <w:color w:val="auto"/>
                <w:sz w:val="22"/>
                <w:szCs w:val="22"/>
              </w:rPr>
            </w:pPr>
            <w:r>
              <w:rPr>
                <w:rFonts w:hint="eastAsia"/>
                <w:color w:val="auto"/>
                <w:sz w:val="22"/>
                <w:szCs w:val="22"/>
              </w:rPr>
              <w:t>二、</w:t>
            </w:r>
            <w:r>
              <w:rPr>
                <w:rFonts w:hint="eastAsia" w:cs="Arial"/>
                <w:color w:val="auto"/>
                <w:sz w:val="22"/>
                <w:szCs w:val="22"/>
              </w:rPr>
              <w:t>《商务技术文件》组成内容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color w:val="auto"/>
                <w:sz w:val="22"/>
                <w:szCs w:val="22"/>
              </w:rPr>
            </w:pPr>
            <w:r>
              <w:rPr>
                <w:rFonts w:hint="eastAsia"/>
                <w:color w:val="auto"/>
                <w:sz w:val="22"/>
                <w:szCs w:val="22"/>
              </w:rPr>
              <w:t>1</w:t>
            </w:r>
          </w:p>
        </w:tc>
        <w:tc>
          <w:tcPr>
            <w:tcW w:w="8646" w:type="dxa"/>
            <w:gridSpan w:val="3"/>
            <w:tcBorders>
              <w:top w:val="single" w:color="auto" w:sz="6" w:space="0"/>
            </w:tcBorders>
            <w:vAlign w:val="center"/>
          </w:tcPr>
          <w:p>
            <w:pPr>
              <w:spacing w:line="276" w:lineRule="auto"/>
              <w:rPr>
                <w:color w:val="auto"/>
                <w:sz w:val="22"/>
                <w:szCs w:val="22"/>
              </w:rPr>
            </w:pPr>
            <w:r>
              <w:rPr>
                <w:rFonts w:hint="eastAsia" w:cs="Arial"/>
                <w:color w:val="auto"/>
                <w:sz w:val="22"/>
                <w:szCs w:val="22"/>
              </w:rPr>
              <w:t>《商务技术文件》封面</w:t>
            </w:r>
          </w:p>
        </w:tc>
        <w:tc>
          <w:tcPr>
            <w:tcW w:w="710" w:type="dxa"/>
            <w:tcBorders>
              <w:top w:val="single" w:color="auto" w:sz="6" w:space="0"/>
            </w:tcBorders>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2</w:t>
            </w:r>
          </w:p>
        </w:tc>
        <w:tc>
          <w:tcPr>
            <w:tcW w:w="8646" w:type="dxa"/>
            <w:gridSpan w:val="3"/>
            <w:vAlign w:val="center"/>
          </w:tcPr>
          <w:p>
            <w:pPr>
              <w:spacing w:line="276" w:lineRule="auto"/>
              <w:rPr>
                <w:color w:val="auto"/>
                <w:sz w:val="22"/>
                <w:szCs w:val="22"/>
              </w:rPr>
            </w:pPr>
            <w:r>
              <w:rPr>
                <w:rFonts w:hint="eastAsia" w:cs="Arial"/>
                <w:color w:val="auto"/>
                <w:sz w:val="22"/>
                <w:szCs w:val="22"/>
              </w:rPr>
              <w:t>《商务技术文件》目录（自拟）</w:t>
            </w:r>
          </w:p>
        </w:tc>
        <w:tc>
          <w:tcPr>
            <w:tcW w:w="710" w:type="dxa"/>
            <w:vAlign w:val="center"/>
          </w:tcPr>
          <w:p>
            <w:pPr>
              <w:spacing w:line="276" w:lineRule="auto"/>
              <w:jc w:val="center"/>
              <w:rPr>
                <w:rFonts w:cs="Arial"/>
                <w:color w:val="auto"/>
                <w:sz w:val="22"/>
                <w:szCs w:val="22"/>
              </w:rPr>
            </w:pPr>
            <w:r>
              <w:rPr>
                <w:rFonts w:hint="eastAsia" w:cs="Arial"/>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3</w:t>
            </w:r>
          </w:p>
        </w:tc>
        <w:tc>
          <w:tcPr>
            <w:tcW w:w="8646" w:type="dxa"/>
            <w:gridSpan w:val="3"/>
            <w:vAlign w:val="center"/>
          </w:tcPr>
          <w:p>
            <w:pPr>
              <w:spacing w:line="276" w:lineRule="auto"/>
              <w:rPr>
                <w:rFonts w:cs="Arial"/>
                <w:color w:val="auto"/>
                <w:sz w:val="22"/>
                <w:szCs w:val="22"/>
              </w:rPr>
            </w:pPr>
            <w:r>
              <w:rPr>
                <w:rFonts w:hint="eastAsia" w:cs="Arial"/>
                <w:color w:val="auto"/>
                <w:sz w:val="22"/>
                <w:szCs w:val="22"/>
              </w:rPr>
              <w:t>供应商自评分指引表（自拟）</w:t>
            </w:r>
          </w:p>
        </w:tc>
        <w:tc>
          <w:tcPr>
            <w:tcW w:w="710" w:type="dxa"/>
            <w:vAlign w:val="center"/>
          </w:tcPr>
          <w:p>
            <w:pPr>
              <w:spacing w:line="276" w:lineRule="auto"/>
              <w:jc w:val="center"/>
              <w:rPr>
                <w:rFonts w:cs="Arial"/>
                <w:color w:val="auto"/>
                <w:sz w:val="22"/>
                <w:szCs w:val="22"/>
              </w:rPr>
            </w:pPr>
            <w:r>
              <w:rPr>
                <w:rFonts w:hint="eastAsia" w:cs="Arial"/>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4</w:t>
            </w:r>
          </w:p>
        </w:tc>
        <w:tc>
          <w:tcPr>
            <w:tcW w:w="8646" w:type="dxa"/>
            <w:gridSpan w:val="3"/>
            <w:vAlign w:val="center"/>
          </w:tcPr>
          <w:p>
            <w:pPr>
              <w:spacing w:line="276" w:lineRule="auto"/>
              <w:rPr>
                <w:rFonts w:cs="Arial"/>
                <w:color w:val="auto"/>
                <w:sz w:val="22"/>
                <w:szCs w:val="22"/>
              </w:rPr>
            </w:pPr>
            <w:r>
              <w:rPr>
                <w:color w:val="auto"/>
                <w:sz w:val="22"/>
                <w:szCs w:val="22"/>
              </w:rPr>
              <w:t>▲</w:t>
            </w:r>
            <w:r>
              <w:rPr>
                <w:rFonts w:cs="Arial"/>
                <w:color w:val="auto"/>
                <w:sz w:val="22"/>
                <w:szCs w:val="22"/>
              </w:rPr>
              <w:t>供应商参与政府采购活动投标资格声明</w:t>
            </w:r>
          </w:p>
        </w:tc>
        <w:tc>
          <w:tcPr>
            <w:tcW w:w="710" w:type="dxa"/>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5</w:t>
            </w:r>
          </w:p>
        </w:tc>
        <w:tc>
          <w:tcPr>
            <w:tcW w:w="8646" w:type="dxa"/>
            <w:gridSpan w:val="3"/>
            <w:vAlign w:val="center"/>
          </w:tcPr>
          <w:p>
            <w:pPr>
              <w:spacing w:line="276" w:lineRule="auto"/>
              <w:rPr>
                <w:color w:val="auto"/>
                <w:sz w:val="22"/>
                <w:szCs w:val="22"/>
              </w:rPr>
            </w:pPr>
            <w:r>
              <w:rPr>
                <w:color w:val="auto"/>
                <w:sz w:val="22"/>
                <w:szCs w:val="22"/>
              </w:rPr>
              <w:t>▲</w:t>
            </w:r>
            <w:r>
              <w:rPr>
                <w:rFonts w:hint="eastAsia" w:cs="Arial"/>
                <w:color w:val="auto"/>
                <w:sz w:val="22"/>
                <w:szCs w:val="22"/>
              </w:rPr>
              <w:t>投标</w:t>
            </w:r>
            <w:r>
              <w:rPr>
                <w:rFonts w:cs="Arial"/>
                <w:color w:val="auto"/>
                <w:sz w:val="22"/>
                <w:szCs w:val="22"/>
              </w:rPr>
              <w:t>函</w:t>
            </w:r>
          </w:p>
        </w:tc>
        <w:tc>
          <w:tcPr>
            <w:tcW w:w="710" w:type="dxa"/>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6</w:t>
            </w:r>
          </w:p>
        </w:tc>
        <w:tc>
          <w:tcPr>
            <w:tcW w:w="8646" w:type="dxa"/>
            <w:gridSpan w:val="3"/>
            <w:vAlign w:val="center"/>
          </w:tcPr>
          <w:p>
            <w:pPr>
              <w:spacing w:line="276" w:lineRule="auto"/>
              <w:rPr>
                <w:rFonts w:cs="Arial"/>
                <w:color w:val="auto"/>
                <w:sz w:val="22"/>
                <w:szCs w:val="22"/>
              </w:rPr>
            </w:pPr>
            <w:r>
              <w:rPr>
                <w:rFonts w:hint="eastAsia" w:cs="Arial"/>
                <w:color w:val="auto"/>
                <w:sz w:val="22"/>
                <w:szCs w:val="22"/>
              </w:rPr>
              <w:t>投标供应商情况声明（后附企业简介）</w:t>
            </w:r>
          </w:p>
        </w:tc>
        <w:tc>
          <w:tcPr>
            <w:tcW w:w="710" w:type="dxa"/>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color w:val="auto"/>
                <w:sz w:val="22"/>
                <w:szCs w:val="22"/>
              </w:rPr>
            </w:pPr>
            <w:r>
              <w:rPr>
                <w:rFonts w:hint="eastAsia"/>
                <w:color w:val="auto"/>
                <w:sz w:val="22"/>
                <w:szCs w:val="22"/>
              </w:rPr>
              <w:t>7</w:t>
            </w:r>
          </w:p>
        </w:tc>
        <w:tc>
          <w:tcPr>
            <w:tcW w:w="8646" w:type="dxa"/>
            <w:gridSpan w:val="3"/>
            <w:tcBorders>
              <w:bottom w:val="single" w:color="auto" w:sz="6" w:space="0"/>
            </w:tcBorders>
            <w:vAlign w:val="center"/>
          </w:tcPr>
          <w:p>
            <w:pPr>
              <w:spacing w:line="276" w:lineRule="auto"/>
              <w:rPr>
                <w:color w:val="auto"/>
                <w:sz w:val="22"/>
                <w:szCs w:val="22"/>
              </w:rPr>
            </w:pPr>
            <w:r>
              <w:rPr>
                <w:rFonts w:hint="eastAsia"/>
                <w:color w:val="auto"/>
                <w:sz w:val="22"/>
                <w:szCs w:val="22"/>
              </w:rPr>
              <w:t>商务偏离表、技术偏离表</w:t>
            </w:r>
          </w:p>
        </w:tc>
        <w:tc>
          <w:tcPr>
            <w:tcW w:w="710" w:type="dxa"/>
            <w:tcBorders>
              <w:bottom w:val="single" w:color="auto" w:sz="6" w:space="0"/>
            </w:tcBorders>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color w:val="auto"/>
                <w:sz w:val="22"/>
                <w:szCs w:val="22"/>
              </w:rPr>
            </w:pPr>
            <w:r>
              <w:rPr>
                <w:rFonts w:hint="eastAsia"/>
                <w:color w:val="auto"/>
                <w:sz w:val="22"/>
                <w:szCs w:val="22"/>
              </w:rPr>
              <w:t>8</w:t>
            </w:r>
          </w:p>
        </w:tc>
        <w:tc>
          <w:tcPr>
            <w:tcW w:w="8646" w:type="dxa"/>
            <w:gridSpan w:val="3"/>
            <w:tcBorders>
              <w:bottom w:val="single" w:color="auto" w:sz="6" w:space="0"/>
            </w:tcBorders>
            <w:vAlign w:val="center"/>
          </w:tcPr>
          <w:p>
            <w:pPr>
              <w:spacing w:line="276" w:lineRule="auto"/>
              <w:rPr>
                <w:color w:val="auto"/>
                <w:sz w:val="22"/>
                <w:szCs w:val="22"/>
              </w:rPr>
            </w:pPr>
            <w:r>
              <w:rPr>
                <w:rFonts w:hint="eastAsia"/>
                <w:color w:val="auto"/>
                <w:sz w:val="22"/>
                <w:szCs w:val="22"/>
              </w:rPr>
              <w:t>供应商自2018年1月1日以来类似业绩证明（业绩证明须提供合同</w:t>
            </w:r>
            <w:r>
              <w:rPr>
                <w:rFonts w:hint="eastAsia" w:cs="Arial"/>
                <w:color w:val="auto"/>
                <w:sz w:val="22"/>
                <w:szCs w:val="22"/>
              </w:rPr>
              <w:t>复印件</w:t>
            </w:r>
            <w:r>
              <w:rPr>
                <w:rFonts w:hint="eastAsia"/>
                <w:color w:val="auto"/>
                <w:sz w:val="22"/>
                <w:szCs w:val="22"/>
              </w:rPr>
              <w:t>加盖公章）</w:t>
            </w:r>
          </w:p>
        </w:tc>
        <w:tc>
          <w:tcPr>
            <w:tcW w:w="710" w:type="dxa"/>
            <w:tcBorders>
              <w:bottom w:val="single" w:color="auto" w:sz="6" w:space="0"/>
            </w:tcBorders>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color w:val="auto"/>
                <w:sz w:val="22"/>
                <w:szCs w:val="22"/>
              </w:rPr>
            </w:pPr>
            <w:r>
              <w:rPr>
                <w:rFonts w:hint="eastAsia"/>
                <w:color w:val="auto"/>
                <w:sz w:val="22"/>
                <w:szCs w:val="22"/>
              </w:rPr>
              <w:t>9</w:t>
            </w:r>
          </w:p>
        </w:tc>
        <w:tc>
          <w:tcPr>
            <w:tcW w:w="8646" w:type="dxa"/>
            <w:gridSpan w:val="3"/>
            <w:tcBorders>
              <w:bottom w:val="single" w:color="auto" w:sz="6" w:space="0"/>
            </w:tcBorders>
            <w:vAlign w:val="center"/>
          </w:tcPr>
          <w:p>
            <w:pPr>
              <w:spacing w:line="276" w:lineRule="auto"/>
              <w:rPr>
                <w:rFonts w:cs="Arial"/>
                <w:color w:val="auto"/>
                <w:sz w:val="22"/>
                <w:szCs w:val="22"/>
              </w:rPr>
            </w:pPr>
            <w:r>
              <w:rPr>
                <w:rFonts w:hint="eastAsia" w:cs="Arial"/>
                <w:color w:val="auto"/>
                <w:sz w:val="22"/>
                <w:szCs w:val="22"/>
              </w:rPr>
              <w:t>项目实施方案（包括但不限于本项目的服务管理、组织实施方案、运作流程方案等）</w:t>
            </w:r>
          </w:p>
        </w:tc>
        <w:tc>
          <w:tcPr>
            <w:tcW w:w="710" w:type="dxa"/>
            <w:tcBorders>
              <w:bottom w:val="single" w:color="auto" w:sz="6" w:space="0"/>
            </w:tcBorders>
            <w:vAlign w:val="center"/>
          </w:tcPr>
          <w:p>
            <w:pPr>
              <w:spacing w:line="276" w:lineRule="auto"/>
              <w:jc w:val="center"/>
              <w:rPr>
                <w:rFonts w:cs="Arial"/>
                <w:color w:val="auto"/>
                <w:sz w:val="22"/>
                <w:szCs w:val="22"/>
              </w:rPr>
            </w:pPr>
            <w:r>
              <w:rPr>
                <w:rFonts w:hint="eastAsia" w:cs="Arial"/>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color w:val="auto"/>
                <w:sz w:val="22"/>
                <w:szCs w:val="22"/>
              </w:rPr>
            </w:pPr>
            <w:r>
              <w:rPr>
                <w:rFonts w:hint="eastAsia"/>
                <w:color w:val="auto"/>
                <w:sz w:val="22"/>
                <w:szCs w:val="22"/>
              </w:rPr>
              <w:t>10</w:t>
            </w:r>
          </w:p>
        </w:tc>
        <w:tc>
          <w:tcPr>
            <w:tcW w:w="8646" w:type="dxa"/>
            <w:gridSpan w:val="3"/>
            <w:tcBorders>
              <w:bottom w:val="single" w:color="auto" w:sz="6" w:space="0"/>
            </w:tcBorders>
            <w:vAlign w:val="center"/>
          </w:tcPr>
          <w:p>
            <w:pPr>
              <w:spacing w:line="276" w:lineRule="auto"/>
              <w:rPr>
                <w:rFonts w:cs="Arial"/>
                <w:color w:val="auto"/>
                <w:sz w:val="22"/>
                <w:szCs w:val="22"/>
              </w:rPr>
            </w:pPr>
            <w:r>
              <w:rPr>
                <w:rFonts w:hint="eastAsia" w:cs="Arial"/>
                <w:color w:val="auto"/>
                <w:sz w:val="22"/>
                <w:szCs w:val="22"/>
              </w:rPr>
              <w:t>项目履约能力</w:t>
            </w:r>
          </w:p>
        </w:tc>
        <w:tc>
          <w:tcPr>
            <w:tcW w:w="710" w:type="dxa"/>
            <w:tcBorders>
              <w:bottom w:val="single" w:color="auto" w:sz="6" w:space="0"/>
            </w:tcBorders>
            <w:vAlign w:val="center"/>
          </w:tcPr>
          <w:p>
            <w:pPr>
              <w:spacing w:line="276" w:lineRule="auto"/>
              <w:jc w:val="center"/>
              <w:rPr>
                <w:rFonts w:cs="Arial"/>
                <w:color w:val="auto"/>
                <w:sz w:val="22"/>
                <w:szCs w:val="22"/>
              </w:rPr>
            </w:pPr>
            <w:r>
              <w:rPr>
                <w:rFonts w:hint="eastAsia" w:cs="Arial"/>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color w:val="auto"/>
                <w:sz w:val="22"/>
                <w:szCs w:val="22"/>
              </w:rPr>
            </w:pPr>
            <w:r>
              <w:rPr>
                <w:rFonts w:hint="eastAsia"/>
                <w:color w:val="auto"/>
                <w:sz w:val="22"/>
                <w:szCs w:val="22"/>
              </w:rPr>
              <w:t>11</w:t>
            </w:r>
          </w:p>
        </w:tc>
        <w:tc>
          <w:tcPr>
            <w:tcW w:w="8646" w:type="dxa"/>
            <w:gridSpan w:val="3"/>
            <w:tcBorders>
              <w:bottom w:val="single" w:color="auto" w:sz="6" w:space="0"/>
            </w:tcBorders>
            <w:vAlign w:val="center"/>
          </w:tcPr>
          <w:p>
            <w:pPr>
              <w:spacing w:line="276" w:lineRule="auto"/>
              <w:rPr>
                <w:rFonts w:cs="Arial"/>
                <w:color w:val="auto"/>
                <w:sz w:val="22"/>
                <w:szCs w:val="22"/>
              </w:rPr>
            </w:pPr>
            <w:r>
              <w:rPr>
                <w:rFonts w:hint="eastAsia" w:ascii="宋体"/>
                <w:bCs/>
                <w:color w:val="auto"/>
                <w:sz w:val="22"/>
                <w:szCs w:val="22"/>
              </w:rPr>
              <w:t>拟投入设备情况</w:t>
            </w:r>
          </w:p>
        </w:tc>
        <w:tc>
          <w:tcPr>
            <w:tcW w:w="710" w:type="dxa"/>
            <w:tcBorders>
              <w:bottom w:val="single" w:color="auto" w:sz="6" w:space="0"/>
            </w:tcBorders>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color w:val="auto"/>
                <w:sz w:val="22"/>
                <w:szCs w:val="22"/>
              </w:rPr>
            </w:pPr>
            <w:r>
              <w:rPr>
                <w:rFonts w:hint="eastAsia"/>
                <w:color w:val="auto"/>
                <w:sz w:val="22"/>
                <w:szCs w:val="22"/>
              </w:rPr>
              <w:t>12</w:t>
            </w:r>
          </w:p>
        </w:tc>
        <w:tc>
          <w:tcPr>
            <w:tcW w:w="8646" w:type="dxa"/>
            <w:gridSpan w:val="3"/>
            <w:tcBorders>
              <w:bottom w:val="single" w:color="auto" w:sz="6" w:space="0"/>
            </w:tcBorders>
            <w:vAlign w:val="center"/>
          </w:tcPr>
          <w:p>
            <w:pPr>
              <w:spacing w:line="276" w:lineRule="auto"/>
              <w:rPr>
                <w:rFonts w:ascii="宋体"/>
                <w:bCs/>
                <w:color w:val="auto"/>
                <w:sz w:val="22"/>
                <w:szCs w:val="22"/>
              </w:rPr>
            </w:pPr>
            <w:r>
              <w:rPr>
                <w:rFonts w:hint="eastAsia" w:ascii="宋体"/>
                <w:bCs/>
                <w:color w:val="auto"/>
                <w:sz w:val="22"/>
                <w:szCs w:val="22"/>
              </w:rPr>
              <w:t>人员配置、考核及培训方案方案</w:t>
            </w:r>
          </w:p>
        </w:tc>
        <w:tc>
          <w:tcPr>
            <w:tcW w:w="710" w:type="dxa"/>
            <w:tcBorders>
              <w:bottom w:val="single" w:color="auto" w:sz="6" w:space="0"/>
            </w:tcBorders>
            <w:vAlign w:val="center"/>
          </w:tcPr>
          <w:p>
            <w:pPr>
              <w:spacing w:line="276" w:lineRule="auto"/>
              <w:jc w:val="center"/>
              <w:rPr>
                <w:rFonts w:cs="Arial"/>
                <w:color w:val="auto"/>
                <w:sz w:val="22"/>
                <w:szCs w:val="22"/>
              </w:rPr>
            </w:pPr>
            <w:r>
              <w:rPr>
                <w:rFonts w:hint="eastAsia" w:cs="Arial"/>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color w:val="auto"/>
                <w:sz w:val="22"/>
                <w:szCs w:val="22"/>
              </w:rPr>
            </w:pPr>
            <w:r>
              <w:rPr>
                <w:rFonts w:hint="eastAsia"/>
                <w:color w:val="auto"/>
                <w:sz w:val="22"/>
                <w:szCs w:val="22"/>
              </w:rPr>
              <w:t>13</w:t>
            </w:r>
          </w:p>
        </w:tc>
        <w:tc>
          <w:tcPr>
            <w:tcW w:w="8646" w:type="dxa"/>
            <w:gridSpan w:val="3"/>
            <w:tcBorders>
              <w:bottom w:val="single" w:color="auto" w:sz="6" w:space="0"/>
            </w:tcBorders>
            <w:vAlign w:val="center"/>
          </w:tcPr>
          <w:p>
            <w:pPr>
              <w:spacing w:line="276" w:lineRule="auto"/>
              <w:rPr>
                <w:rFonts w:ascii="宋体"/>
                <w:bCs/>
                <w:color w:val="auto"/>
                <w:sz w:val="22"/>
                <w:szCs w:val="22"/>
              </w:rPr>
            </w:pPr>
            <w:r>
              <w:rPr>
                <w:rFonts w:hint="eastAsia" w:ascii="宋体"/>
                <w:bCs/>
                <w:color w:val="auto"/>
                <w:sz w:val="22"/>
                <w:szCs w:val="22"/>
              </w:rPr>
              <w:t>承诺书（包括但不限于驻派服务人员和布品供应承诺）</w:t>
            </w:r>
          </w:p>
        </w:tc>
        <w:tc>
          <w:tcPr>
            <w:tcW w:w="710" w:type="dxa"/>
            <w:tcBorders>
              <w:bottom w:val="single" w:color="auto" w:sz="6" w:space="0"/>
            </w:tcBorders>
            <w:vAlign w:val="center"/>
          </w:tcPr>
          <w:p>
            <w:pPr>
              <w:spacing w:line="276" w:lineRule="auto"/>
              <w:jc w:val="center"/>
              <w:rPr>
                <w:rFonts w:cs="Arial"/>
                <w:color w:val="auto"/>
                <w:sz w:val="22"/>
                <w:szCs w:val="22"/>
              </w:rPr>
            </w:pPr>
            <w:r>
              <w:rPr>
                <w:rFonts w:hint="eastAsia" w:cs="Arial"/>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color w:val="auto"/>
                <w:sz w:val="22"/>
                <w:szCs w:val="22"/>
              </w:rPr>
            </w:pPr>
            <w:r>
              <w:rPr>
                <w:rFonts w:hint="eastAsia"/>
                <w:color w:val="auto"/>
                <w:sz w:val="22"/>
                <w:szCs w:val="22"/>
              </w:rPr>
              <w:t>14</w:t>
            </w:r>
          </w:p>
        </w:tc>
        <w:tc>
          <w:tcPr>
            <w:tcW w:w="8646" w:type="dxa"/>
            <w:gridSpan w:val="3"/>
            <w:tcBorders>
              <w:bottom w:val="single" w:color="auto" w:sz="6" w:space="0"/>
            </w:tcBorders>
            <w:vAlign w:val="center"/>
          </w:tcPr>
          <w:p>
            <w:pPr>
              <w:spacing w:line="276" w:lineRule="auto"/>
              <w:rPr>
                <w:rFonts w:ascii="宋体"/>
                <w:bCs/>
                <w:color w:val="auto"/>
                <w:sz w:val="22"/>
                <w:szCs w:val="22"/>
              </w:rPr>
            </w:pPr>
            <w:r>
              <w:rPr>
                <w:rFonts w:hint="eastAsia" w:ascii="宋体"/>
                <w:bCs/>
                <w:color w:val="auto"/>
                <w:sz w:val="22"/>
                <w:szCs w:val="22"/>
              </w:rPr>
              <w:t>洗涤服务规范（包括但不限于提供布品收送（更新制作）的服务规范，洗涤、制作衣、整烫、缝补服务质量标准等。）</w:t>
            </w:r>
          </w:p>
        </w:tc>
        <w:tc>
          <w:tcPr>
            <w:tcW w:w="710" w:type="dxa"/>
            <w:tcBorders>
              <w:bottom w:val="single" w:color="auto" w:sz="6" w:space="0"/>
            </w:tcBorders>
            <w:vAlign w:val="center"/>
          </w:tcPr>
          <w:p>
            <w:pPr>
              <w:spacing w:line="276" w:lineRule="auto"/>
              <w:jc w:val="center"/>
              <w:rPr>
                <w:rFonts w:ascii="宋体"/>
                <w:b/>
                <w:bCs/>
                <w:color w:val="auto"/>
                <w:sz w:val="22"/>
                <w:szCs w:val="22"/>
              </w:rPr>
            </w:pPr>
            <w:r>
              <w:rPr>
                <w:rFonts w:hint="eastAsia" w:ascii="宋体"/>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color w:val="auto"/>
                <w:sz w:val="22"/>
                <w:szCs w:val="22"/>
              </w:rPr>
            </w:pPr>
            <w:r>
              <w:rPr>
                <w:rFonts w:hint="eastAsia"/>
                <w:color w:val="auto"/>
                <w:sz w:val="22"/>
                <w:szCs w:val="22"/>
              </w:rPr>
              <w:t>15</w:t>
            </w:r>
          </w:p>
        </w:tc>
        <w:tc>
          <w:tcPr>
            <w:tcW w:w="8646" w:type="dxa"/>
            <w:gridSpan w:val="3"/>
            <w:tcBorders>
              <w:bottom w:val="single" w:color="auto" w:sz="6" w:space="0"/>
            </w:tcBorders>
            <w:vAlign w:val="center"/>
          </w:tcPr>
          <w:p>
            <w:pPr>
              <w:spacing w:line="276" w:lineRule="auto"/>
              <w:rPr>
                <w:rFonts w:ascii="宋体"/>
                <w:bCs/>
                <w:color w:val="auto"/>
                <w:sz w:val="22"/>
                <w:szCs w:val="22"/>
              </w:rPr>
            </w:pPr>
            <w:r>
              <w:rPr>
                <w:rFonts w:hint="eastAsia" w:ascii="宋体"/>
                <w:bCs/>
                <w:color w:val="auto"/>
                <w:sz w:val="22"/>
                <w:szCs w:val="22"/>
              </w:rPr>
              <w:t>应急预案</w:t>
            </w:r>
          </w:p>
        </w:tc>
        <w:tc>
          <w:tcPr>
            <w:tcW w:w="710" w:type="dxa"/>
            <w:tcBorders>
              <w:bottom w:val="single" w:color="auto" w:sz="6" w:space="0"/>
            </w:tcBorders>
            <w:vAlign w:val="center"/>
          </w:tcPr>
          <w:p>
            <w:pPr>
              <w:spacing w:line="276" w:lineRule="auto"/>
              <w:jc w:val="center"/>
              <w:rPr>
                <w:rFonts w:cs="Arial"/>
                <w:color w:val="auto"/>
                <w:sz w:val="22"/>
                <w:szCs w:val="22"/>
              </w:rPr>
            </w:pPr>
            <w:r>
              <w:rPr>
                <w:rFonts w:hint="eastAsia" w:ascii="宋体"/>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color w:val="auto"/>
                <w:sz w:val="22"/>
                <w:szCs w:val="22"/>
              </w:rPr>
            </w:pPr>
            <w:r>
              <w:rPr>
                <w:color w:val="auto"/>
                <w:sz w:val="22"/>
                <w:szCs w:val="22"/>
              </w:rPr>
              <w:t>1</w:t>
            </w:r>
            <w:r>
              <w:rPr>
                <w:rFonts w:hint="eastAsia"/>
                <w:color w:val="auto"/>
                <w:sz w:val="22"/>
                <w:szCs w:val="22"/>
              </w:rPr>
              <w:t>6</w:t>
            </w:r>
          </w:p>
        </w:tc>
        <w:tc>
          <w:tcPr>
            <w:tcW w:w="8646" w:type="dxa"/>
            <w:gridSpan w:val="3"/>
            <w:tcBorders>
              <w:top w:val="single" w:color="auto" w:sz="6" w:space="0"/>
            </w:tcBorders>
            <w:vAlign w:val="center"/>
          </w:tcPr>
          <w:p>
            <w:pPr>
              <w:spacing w:line="276" w:lineRule="auto"/>
              <w:rPr>
                <w:rFonts w:cs="Arial"/>
                <w:color w:val="auto"/>
                <w:sz w:val="22"/>
                <w:szCs w:val="22"/>
              </w:rPr>
            </w:pPr>
            <w:r>
              <w:rPr>
                <w:rFonts w:cs="Arial"/>
                <w:color w:val="auto"/>
                <w:sz w:val="22"/>
                <w:szCs w:val="22"/>
              </w:rPr>
              <w:t>供应商认为有必要提供的其他</w:t>
            </w:r>
            <w:r>
              <w:rPr>
                <w:rFonts w:hint="eastAsia" w:cs="Arial"/>
                <w:color w:val="auto"/>
                <w:sz w:val="22"/>
                <w:szCs w:val="22"/>
              </w:rPr>
              <w:t>与报价有关的材料或说明（如有）</w:t>
            </w:r>
          </w:p>
        </w:tc>
        <w:tc>
          <w:tcPr>
            <w:tcW w:w="710" w:type="dxa"/>
            <w:tcBorders>
              <w:top w:val="single" w:color="auto" w:sz="6" w:space="0"/>
            </w:tcBorders>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10065" w:type="dxa"/>
            <w:gridSpan w:val="5"/>
            <w:tcBorders>
              <w:top w:val="single" w:color="auto" w:sz="6" w:space="0"/>
              <w:bottom w:val="single" w:color="auto" w:sz="6" w:space="0"/>
            </w:tcBorders>
            <w:shd w:val="clear" w:color="auto" w:fill="FDE9D9"/>
            <w:vAlign w:val="center"/>
          </w:tcPr>
          <w:p>
            <w:pPr>
              <w:spacing w:line="276" w:lineRule="auto"/>
              <w:jc w:val="center"/>
              <w:rPr>
                <w:color w:val="auto"/>
                <w:sz w:val="22"/>
                <w:szCs w:val="22"/>
              </w:rPr>
            </w:pPr>
            <w:r>
              <w:rPr>
                <w:rFonts w:hint="eastAsia"/>
                <w:color w:val="auto"/>
                <w:sz w:val="22"/>
                <w:szCs w:val="22"/>
              </w:rPr>
              <w:t>三、</w:t>
            </w:r>
            <w:r>
              <w:rPr>
                <w:rFonts w:hint="eastAsia" w:cs="Arial"/>
                <w:color w:val="auto"/>
                <w:sz w:val="22"/>
                <w:szCs w:val="22"/>
              </w:rPr>
              <w:t>《报价文件》组成内容</w:t>
            </w:r>
            <w:r>
              <w:rPr>
                <w:rFonts w:cs="Arial"/>
                <w:color w:val="auto"/>
                <w:sz w:val="22"/>
                <w:szCs w:val="22"/>
              </w:rPr>
              <w:t>【</w:t>
            </w:r>
            <w:r>
              <w:rPr>
                <w:rFonts w:hint="eastAsia" w:cs="Arial"/>
                <w:color w:val="auto"/>
                <w:sz w:val="22"/>
                <w:szCs w:val="22"/>
              </w:rPr>
              <w:t>依序编制</w:t>
            </w:r>
            <w:r>
              <w:rPr>
                <w:rFonts w:cs="Arial"/>
                <w:color w:val="auto"/>
                <w:sz w:val="22"/>
                <w:szCs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color w:val="auto"/>
                <w:sz w:val="22"/>
                <w:szCs w:val="22"/>
              </w:rPr>
            </w:pPr>
            <w:r>
              <w:rPr>
                <w:rFonts w:hint="eastAsia"/>
                <w:color w:val="auto"/>
                <w:sz w:val="22"/>
                <w:szCs w:val="22"/>
              </w:rPr>
              <w:t>1</w:t>
            </w:r>
          </w:p>
        </w:tc>
        <w:tc>
          <w:tcPr>
            <w:tcW w:w="8646" w:type="dxa"/>
            <w:gridSpan w:val="3"/>
            <w:tcBorders>
              <w:top w:val="single" w:color="auto" w:sz="6" w:space="0"/>
              <w:bottom w:val="single" w:color="auto" w:sz="6" w:space="0"/>
            </w:tcBorders>
            <w:vAlign w:val="center"/>
          </w:tcPr>
          <w:p>
            <w:pPr>
              <w:spacing w:line="276" w:lineRule="auto"/>
              <w:rPr>
                <w:rFonts w:cs="Arial"/>
                <w:color w:val="auto"/>
                <w:sz w:val="22"/>
                <w:szCs w:val="22"/>
              </w:rPr>
            </w:pPr>
            <w:r>
              <w:rPr>
                <w:rFonts w:hint="eastAsia" w:cs="Arial"/>
                <w:color w:val="auto"/>
                <w:sz w:val="22"/>
                <w:szCs w:val="22"/>
              </w:rPr>
              <w:t>《报价文件》封面</w:t>
            </w:r>
          </w:p>
        </w:tc>
        <w:tc>
          <w:tcPr>
            <w:tcW w:w="710" w:type="dxa"/>
            <w:tcBorders>
              <w:top w:val="single" w:color="auto" w:sz="6" w:space="0"/>
              <w:bottom w:val="single" w:color="auto" w:sz="6" w:space="0"/>
            </w:tcBorders>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color w:val="auto"/>
                <w:sz w:val="22"/>
                <w:szCs w:val="22"/>
              </w:rPr>
            </w:pPr>
            <w:r>
              <w:rPr>
                <w:rFonts w:hint="eastAsia"/>
                <w:color w:val="auto"/>
                <w:sz w:val="22"/>
                <w:szCs w:val="22"/>
              </w:rPr>
              <w:t>2</w:t>
            </w:r>
          </w:p>
        </w:tc>
        <w:tc>
          <w:tcPr>
            <w:tcW w:w="8646" w:type="dxa"/>
            <w:gridSpan w:val="3"/>
            <w:tcBorders>
              <w:top w:val="single" w:color="auto" w:sz="6" w:space="0"/>
              <w:bottom w:val="single" w:color="auto" w:sz="6" w:space="0"/>
            </w:tcBorders>
            <w:vAlign w:val="center"/>
          </w:tcPr>
          <w:p>
            <w:pPr>
              <w:spacing w:line="276" w:lineRule="auto"/>
              <w:rPr>
                <w:rFonts w:cs="Arial"/>
                <w:color w:val="auto"/>
                <w:sz w:val="22"/>
                <w:szCs w:val="22"/>
              </w:rPr>
            </w:pPr>
            <w:r>
              <w:rPr>
                <w:rFonts w:hint="eastAsia" w:cs="Arial"/>
                <w:color w:val="auto"/>
                <w:sz w:val="22"/>
                <w:szCs w:val="22"/>
              </w:rPr>
              <w:t>《报价文件》目录（格式自拟）</w:t>
            </w:r>
          </w:p>
        </w:tc>
        <w:tc>
          <w:tcPr>
            <w:tcW w:w="710" w:type="dxa"/>
            <w:tcBorders>
              <w:top w:val="single" w:color="auto" w:sz="6" w:space="0"/>
              <w:bottom w:val="single" w:color="auto" w:sz="6" w:space="0"/>
            </w:tcBorders>
            <w:vAlign w:val="center"/>
          </w:tcPr>
          <w:p>
            <w:pPr>
              <w:spacing w:line="276" w:lineRule="auto"/>
              <w:jc w:val="center"/>
              <w:rPr>
                <w:rFonts w:cs="Arial"/>
                <w:color w:val="auto"/>
                <w:sz w:val="22"/>
                <w:szCs w:val="22"/>
              </w:rPr>
            </w:pPr>
            <w:r>
              <w:rPr>
                <w:rFonts w:hint="eastAsia" w:cs="Arial"/>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color w:val="auto"/>
                <w:sz w:val="22"/>
                <w:szCs w:val="22"/>
              </w:rPr>
            </w:pPr>
            <w:r>
              <w:rPr>
                <w:rFonts w:hint="eastAsia"/>
                <w:color w:val="auto"/>
                <w:sz w:val="22"/>
                <w:szCs w:val="22"/>
              </w:rPr>
              <w:t>3</w:t>
            </w:r>
          </w:p>
        </w:tc>
        <w:tc>
          <w:tcPr>
            <w:tcW w:w="8646" w:type="dxa"/>
            <w:gridSpan w:val="3"/>
            <w:tcBorders>
              <w:top w:val="single" w:color="auto" w:sz="6" w:space="0"/>
              <w:bottom w:val="single" w:color="auto" w:sz="6" w:space="0"/>
            </w:tcBorders>
            <w:vAlign w:val="center"/>
          </w:tcPr>
          <w:p>
            <w:pPr>
              <w:spacing w:line="276" w:lineRule="auto"/>
              <w:rPr>
                <w:rFonts w:cs="Arial"/>
                <w:color w:val="auto"/>
                <w:sz w:val="22"/>
                <w:szCs w:val="22"/>
              </w:rPr>
            </w:pPr>
            <w:r>
              <w:rPr>
                <w:rFonts w:ascii="Arial" w:hAnsi="Arial" w:cs="Arial"/>
                <w:color w:val="auto"/>
                <w:sz w:val="22"/>
                <w:szCs w:val="22"/>
              </w:rPr>
              <w:t>▲</w:t>
            </w:r>
            <w:r>
              <w:rPr>
                <w:rFonts w:hint="eastAsia" w:cs="Arial"/>
                <w:color w:val="auto"/>
                <w:sz w:val="22"/>
                <w:szCs w:val="22"/>
              </w:rPr>
              <w:t>开标</w:t>
            </w:r>
            <w:r>
              <w:rPr>
                <w:rFonts w:cs="Arial"/>
                <w:color w:val="auto"/>
                <w:sz w:val="22"/>
                <w:szCs w:val="22"/>
              </w:rPr>
              <w:t>一览表</w:t>
            </w:r>
          </w:p>
        </w:tc>
        <w:tc>
          <w:tcPr>
            <w:tcW w:w="710" w:type="dxa"/>
            <w:tcBorders>
              <w:top w:val="single" w:color="auto" w:sz="6" w:space="0"/>
              <w:bottom w:val="single" w:color="auto" w:sz="6" w:space="0"/>
            </w:tcBorders>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color w:val="auto"/>
                <w:sz w:val="22"/>
                <w:szCs w:val="22"/>
              </w:rPr>
            </w:pPr>
            <w:r>
              <w:rPr>
                <w:rFonts w:hint="eastAsia"/>
                <w:color w:val="auto"/>
                <w:sz w:val="22"/>
                <w:szCs w:val="22"/>
              </w:rPr>
              <w:t>4</w:t>
            </w:r>
          </w:p>
        </w:tc>
        <w:tc>
          <w:tcPr>
            <w:tcW w:w="9356" w:type="dxa"/>
            <w:gridSpan w:val="4"/>
            <w:vAlign w:val="center"/>
          </w:tcPr>
          <w:p>
            <w:pPr>
              <w:spacing w:line="276" w:lineRule="auto"/>
              <w:rPr>
                <w:color w:val="auto"/>
                <w:sz w:val="22"/>
                <w:szCs w:val="22"/>
              </w:rPr>
            </w:pPr>
            <w:r>
              <w:rPr>
                <w:rFonts w:hint="eastAsia"/>
                <w:color w:val="auto"/>
                <w:sz w:val="22"/>
                <w:szCs w:val="22"/>
              </w:rPr>
              <w:t>供应商符合采购文件规定的政府采购扶持政策的证明文件（如符合）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Merge w:val="restart"/>
            <w:vAlign w:val="center"/>
          </w:tcPr>
          <w:p>
            <w:pPr>
              <w:spacing w:line="276" w:lineRule="auto"/>
              <w:jc w:val="center"/>
              <w:rPr>
                <w:color w:val="auto"/>
                <w:sz w:val="22"/>
                <w:szCs w:val="22"/>
              </w:rPr>
            </w:pPr>
            <w:r>
              <w:rPr>
                <w:rFonts w:hint="eastAsia"/>
                <w:color w:val="auto"/>
                <w:sz w:val="22"/>
                <w:szCs w:val="22"/>
              </w:rPr>
              <w:t>4.1</w:t>
            </w:r>
          </w:p>
        </w:tc>
        <w:tc>
          <w:tcPr>
            <w:tcW w:w="1075" w:type="dxa"/>
            <w:vMerge w:val="restart"/>
            <w:vAlign w:val="center"/>
          </w:tcPr>
          <w:p>
            <w:pPr>
              <w:spacing w:line="276" w:lineRule="auto"/>
              <w:jc w:val="center"/>
              <w:rPr>
                <w:rFonts w:cs="Arial"/>
                <w:color w:val="auto"/>
                <w:sz w:val="22"/>
                <w:szCs w:val="22"/>
              </w:rPr>
            </w:pPr>
            <w:r>
              <w:rPr>
                <w:rFonts w:hint="eastAsia" w:cs="Arial"/>
                <w:color w:val="auto"/>
                <w:sz w:val="22"/>
                <w:szCs w:val="22"/>
              </w:rPr>
              <w:t>价格扶持政策材料</w:t>
            </w:r>
          </w:p>
        </w:tc>
        <w:tc>
          <w:tcPr>
            <w:tcW w:w="7571" w:type="dxa"/>
            <w:gridSpan w:val="2"/>
            <w:vAlign w:val="center"/>
          </w:tcPr>
          <w:p>
            <w:pPr>
              <w:spacing w:line="276" w:lineRule="auto"/>
              <w:rPr>
                <w:color w:val="auto"/>
                <w:sz w:val="22"/>
                <w:szCs w:val="22"/>
              </w:rPr>
            </w:pPr>
            <w:r>
              <w:rPr>
                <w:rFonts w:hint="eastAsia"/>
                <w:color w:val="auto"/>
                <w:sz w:val="22"/>
                <w:szCs w:val="22"/>
              </w:rPr>
              <w:t>（1）中小企业声明函（如是，请提供）</w:t>
            </w:r>
          </w:p>
        </w:tc>
        <w:tc>
          <w:tcPr>
            <w:tcW w:w="710" w:type="dxa"/>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Merge w:val="continue"/>
            <w:vAlign w:val="center"/>
          </w:tcPr>
          <w:p>
            <w:pPr>
              <w:spacing w:line="276" w:lineRule="auto"/>
              <w:jc w:val="center"/>
              <w:rPr>
                <w:color w:val="auto"/>
                <w:sz w:val="22"/>
                <w:szCs w:val="22"/>
              </w:rPr>
            </w:pPr>
          </w:p>
        </w:tc>
        <w:tc>
          <w:tcPr>
            <w:tcW w:w="1075" w:type="dxa"/>
            <w:vMerge w:val="continue"/>
            <w:vAlign w:val="center"/>
          </w:tcPr>
          <w:p>
            <w:pPr>
              <w:spacing w:line="276" w:lineRule="auto"/>
              <w:jc w:val="center"/>
              <w:rPr>
                <w:rFonts w:cs="Arial"/>
                <w:color w:val="auto"/>
                <w:sz w:val="22"/>
                <w:szCs w:val="22"/>
              </w:rPr>
            </w:pPr>
          </w:p>
        </w:tc>
        <w:tc>
          <w:tcPr>
            <w:tcW w:w="7571" w:type="dxa"/>
            <w:gridSpan w:val="2"/>
            <w:vAlign w:val="center"/>
          </w:tcPr>
          <w:p>
            <w:pPr>
              <w:spacing w:line="276" w:lineRule="auto"/>
              <w:rPr>
                <w:color w:val="auto"/>
                <w:sz w:val="22"/>
                <w:szCs w:val="22"/>
              </w:rPr>
            </w:pPr>
            <w:r>
              <w:rPr>
                <w:rFonts w:hint="eastAsia"/>
                <w:color w:val="auto"/>
                <w:sz w:val="22"/>
                <w:szCs w:val="22"/>
              </w:rPr>
              <w:t>（2）残疾人福利性单位声明函（如是，请提供）</w:t>
            </w:r>
          </w:p>
        </w:tc>
        <w:tc>
          <w:tcPr>
            <w:tcW w:w="710" w:type="dxa"/>
            <w:vAlign w:val="center"/>
          </w:tcPr>
          <w:p>
            <w:pPr>
              <w:spacing w:line="276" w:lineRule="auto"/>
              <w:jc w:val="center"/>
              <w:rPr>
                <w:rFonts w:cs="Arial"/>
                <w:color w:val="auto"/>
                <w:sz w:val="22"/>
                <w:szCs w:val="22"/>
              </w:rPr>
            </w:pPr>
            <w:r>
              <w:rPr>
                <w:rFonts w:hint="eastAsia" w:cs="Arial"/>
                <w:color w:val="auto"/>
                <w:sz w:val="22"/>
                <w:szCs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Merge w:val="continue"/>
            <w:vAlign w:val="center"/>
          </w:tcPr>
          <w:p>
            <w:pPr>
              <w:spacing w:line="276" w:lineRule="auto"/>
              <w:jc w:val="center"/>
              <w:rPr>
                <w:color w:val="auto"/>
                <w:sz w:val="22"/>
                <w:szCs w:val="22"/>
              </w:rPr>
            </w:pPr>
          </w:p>
        </w:tc>
        <w:tc>
          <w:tcPr>
            <w:tcW w:w="1075" w:type="dxa"/>
            <w:vMerge w:val="continue"/>
            <w:vAlign w:val="center"/>
          </w:tcPr>
          <w:p>
            <w:pPr>
              <w:spacing w:line="276" w:lineRule="auto"/>
              <w:jc w:val="center"/>
              <w:rPr>
                <w:rFonts w:cs="Arial"/>
                <w:color w:val="auto"/>
                <w:sz w:val="22"/>
                <w:szCs w:val="22"/>
              </w:rPr>
            </w:pPr>
          </w:p>
        </w:tc>
        <w:tc>
          <w:tcPr>
            <w:tcW w:w="7571" w:type="dxa"/>
            <w:gridSpan w:val="2"/>
            <w:tcBorders>
              <w:bottom w:val="single" w:color="auto" w:sz="6" w:space="0"/>
            </w:tcBorders>
            <w:vAlign w:val="center"/>
          </w:tcPr>
          <w:p>
            <w:pPr>
              <w:spacing w:line="276" w:lineRule="auto"/>
              <w:rPr>
                <w:color w:val="auto"/>
                <w:sz w:val="22"/>
                <w:szCs w:val="22"/>
              </w:rPr>
            </w:pPr>
            <w:r>
              <w:rPr>
                <w:rFonts w:hint="eastAsia"/>
                <w:color w:val="auto"/>
                <w:sz w:val="22"/>
                <w:szCs w:val="22"/>
              </w:rPr>
              <w:t>（3）相关部门出具的监狱企业证明文件（如是，提供</w:t>
            </w:r>
            <w:r>
              <w:rPr>
                <w:rFonts w:hint="eastAsia" w:cs="Arial"/>
                <w:color w:val="auto"/>
                <w:sz w:val="22"/>
                <w:szCs w:val="22"/>
              </w:rPr>
              <w:t>复印件</w:t>
            </w:r>
            <w:r>
              <w:rPr>
                <w:rFonts w:hint="eastAsia"/>
                <w:color w:val="auto"/>
                <w:sz w:val="22"/>
                <w:szCs w:val="22"/>
              </w:rPr>
              <w:t>加盖供应商公章</w:t>
            </w:r>
            <w:r>
              <w:rPr>
                <w:rFonts w:hint="eastAsia" w:cs="Arial"/>
                <w:color w:val="auto"/>
                <w:sz w:val="22"/>
                <w:szCs w:val="22"/>
              </w:rPr>
              <w:t>）</w:t>
            </w:r>
          </w:p>
        </w:tc>
        <w:tc>
          <w:tcPr>
            <w:tcW w:w="710" w:type="dxa"/>
            <w:vAlign w:val="center"/>
          </w:tcPr>
          <w:p>
            <w:pPr>
              <w:spacing w:line="276" w:lineRule="auto"/>
              <w:jc w:val="center"/>
              <w:rPr>
                <w:rFonts w:cs="Arial"/>
                <w:color w:val="auto"/>
                <w:sz w:val="22"/>
                <w:szCs w:val="22"/>
              </w:rPr>
            </w:pPr>
            <w:r>
              <w:rPr>
                <w:rFonts w:hint="eastAsia" w:cs="Arial"/>
                <w:color w:val="auto"/>
                <w:sz w:val="22"/>
                <w:szCs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5"/>
            <w:shd w:val="clear" w:color="auto" w:fill="DAEEF3"/>
            <w:vAlign w:val="center"/>
          </w:tcPr>
          <w:p>
            <w:pPr>
              <w:spacing w:line="276" w:lineRule="auto"/>
              <w:jc w:val="center"/>
              <w:rPr>
                <w:rFonts w:cs="Arial"/>
                <w:color w:val="auto"/>
                <w:sz w:val="22"/>
                <w:szCs w:val="22"/>
              </w:rPr>
            </w:pPr>
            <w:r>
              <w:rPr>
                <w:rFonts w:hint="eastAsia" w:cs="Arial"/>
                <w:color w:val="auto"/>
                <w:sz w:val="22"/>
                <w:szCs w:val="22"/>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5"/>
            <w:vAlign w:val="center"/>
          </w:tcPr>
          <w:p>
            <w:pPr>
              <w:spacing w:line="276" w:lineRule="auto"/>
              <w:rPr>
                <w:color w:val="auto"/>
                <w:sz w:val="22"/>
                <w:szCs w:val="22"/>
              </w:rPr>
            </w:pPr>
            <w:r>
              <w:rPr>
                <w:rFonts w:hint="eastAsia"/>
                <w:color w:val="auto"/>
                <w:sz w:val="22"/>
                <w:szCs w:val="22"/>
              </w:rPr>
              <w:t>（1）上述内容本采购文件《响应文件格式》中有</w:t>
            </w:r>
            <w:r>
              <w:rPr>
                <w:color w:val="auto"/>
                <w:sz w:val="22"/>
                <w:szCs w:val="22"/>
              </w:rPr>
              <w:t>提供格式的，供应商</w:t>
            </w:r>
            <w:r>
              <w:rPr>
                <w:rFonts w:hint="eastAsia"/>
                <w:color w:val="auto"/>
                <w:sz w:val="22"/>
                <w:szCs w:val="22"/>
              </w:rPr>
              <w:t>可参</w:t>
            </w:r>
            <w:r>
              <w:rPr>
                <w:color w:val="auto"/>
                <w:sz w:val="22"/>
                <w:szCs w:val="22"/>
              </w:rPr>
              <w:t>照格式</w:t>
            </w:r>
            <w:r>
              <w:rPr>
                <w:rFonts w:hint="eastAsia"/>
                <w:color w:val="auto"/>
                <w:sz w:val="22"/>
                <w:szCs w:val="22"/>
              </w:rPr>
              <w:t>进行编制（格式中要求提供相关证明材料的还需后附相关证明材料），并按格式要求在指定位置根据要求进行签章，否则视为未提供；</w:t>
            </w:r>
          </w:p>
          <w:p>
            <w:pPr>
              <w:spacing w:line="276" w:lineRule="auto"/>
              <w:rPr>
                <w:color w:val="auto"/>
                <w:sz w:val="22"/>
                <w:szCs w:val="22"/>
              </w:rPr>
            </w:pPr>
            <w:r>
              <w:rPr>
                <w:rFonts w:hint="eastAsia"/>
                <w:color w:val="auto"/>
                <w:sz w:val="22"/>
                <w:szCs w:val="22"/>
              </w:rPr>
              <w:t>（2）采购文件《响应文件格式》</w:t>
            </w:r>
            <w:r>
              <w:rPr>
                <w:color w:val="auto"/>
                <w:sz w:val="22"/>
                <w:szCs w:val="22"/>
              </w:rPr>
              <w:t>未提供格式的，请各供应商自行拟定格式</w:t>
            </w:r>
            <w:r>
              <w:rPr>
                <w:rFonts w:hint="eastAsia"/>
                <w:color w:val="auto"/>
                <w:sz w:val="22"/>
                <w:szCs w:val="22"/>
              </w:rPr>
              <w:t>，并加盖单位公章并由法定代表人或其授权代表签署（签字或盖章），否则视为未提供；</w:t>
            </w:r>
          </w:p>
          <w:p>
            <w:pPr>
              <w:spacing w:line="276" w:lineRule="auto"/>
              <w:rPr>
                <w:color w:val="auto"/>
                <w:sz w:val="22"/>
                <w:szCs w:val="22"/>
              </w:rPr>
            </w:pPr>
            <w:r>
              <w:rPr>
                <w:rFonts w:hint="eastAsia"/>
                <w:color w:val="auto"/>
                <w:sz w:val="22"/>
                <w:szCs w:val="22"/>
              </w:rPr>
              <w:t>（3）可以提供复印件的相关证明材料必须加盖供应商公章，否则视为未提供（例如：各类资格资质证书、业绩材料、荣誉证书、验收材料等）；</w:t>
            </w:r>
          </w:p>
          <w:p>
            <w:pPr>
              <w:spacing w:line="276" w:lineRule="auto"/>
              <w:rPr>
                <w:color w:val="auto"/>
                <w:sz w:val="22"/>
                <w:szCs w:val="22"/>
              </w:rPr>
            </w:pPr>
            <w:r>
              <w:rPr>
                <w:rFonts w:hint="eastAsia" w:cs="Arial"/>
                <w:color w:val="auto"/>
                <w:sz w:val="22"/>
                <w:szCs w:val="22"/>
              </w:rPr>
              <w:t>（4）以上内容中标注“</w:t>
            </w:r>
            <w:r>
              <w:rPr>
                <w:color w:val="auto"/>
                <w:sz w:val="22"/>
                <w:szCs w:val="22"/>
              </w:rPr>
              <w:t>▲</w:t>
            </w:r>
            <w:r>
              <w:rPr>
                <w:rFonts w:hint="eastAsia" w:cs="Arial"/>
                <w:color w:val="auto"/>
                <w:sz w:val="22"/>
                <w:szCs w:val="22"/>
              </w:rPr>
              <w:t>”的内容为必须提供的内容，未提供的投标无效。</w:t>
            </w:r>
          </w:p>
        </w:tc>
      </w:tr>
    </w:tbl>
    <w:p>
      <w:pPr>
        <w:autoSpaceDE w:val="0"/>
        <w:autoSpaceDN w:val="0"/>
        <w:adjustRightInd w:val="0"/>
        <w:snapToGrid w:val="0"/>
        <w:spacing w:line="360" w:lineRule="auto"/>
        <w:textAlignment w:val="bottom"/>
        <w:rPr>
          <w:rFonts w:ascii="宋体" w:hAnsi="宋体"/>
          <w:b/>
          <w:bCs/>
          <w:color w:val="auto"/>
          <w:sz w:val="22"/>
          <w:highlight w:val="none"/>
          <w:u w:val="single"/>
        </w:rPr>
      </w:pPr>
      <w:r>
        <w:rPr>
          <w:rFonts w:hint="eastAsia" w:ascii="宋体" w:hAnsi="宋体"/>
          <w:b/>
          <w:bCs/>
          <w:color w:val="auto"/>
          <w:sz w:val="22"/>
          <w:highlight w:val="none"/>
        </w:rPr>
        <w:t>2.3、投标文件的签章：</w:t>
      </w:r>
    </w:p>
    <w:p>
      <w:pPr>
        <w:spacing w:line="360" w:lineRule="auto"/>
        <w:ind w:firstLine="424" w:firstLineChars="192"/>
        <w:rPr>
          <w:rFonts w:ascii="宋体" w:hAnsi="宋体" w:cs="Arial"/>
          <w:b/>
          <w:color w:val="auto"/>
          <w:kern w:val="0"/>
          <w:sz w:val="22"/>
          <w:highlight w:val="none"/>
        </w:rPr>
      </w:pPr>
      <w:r>
        <w:rPr>
          <w:rFonts w:hint="eastAsia" w:ascii="宋体" w:hAnsi="宋体" w:cs="Arial"/>
          <w:b/>
          <w:color w:val="auto"/>
          <w:kern w:val="0"/>
          <w:sz w:val="22"/>
          <w:highlight w:val="none"/>
        </w:rPr>
        <w:t>1）</w:t>
      </w:r>
      <w:r>
        <w:rPr>
          <w:rFonts w:hint="eastAsia" w:ascii="宋体" w:hAnsi="宋体"/>
          <w:b/>
          <w:bCs/>
          <w:color w:val="auto"/>
          <w:sz w:val="22"/>
          <w:highlight w:val="none"/>
        </w:rPr>
        <w:t>投标文件</w:t>
      </w:r>
      <w:r>
        <w:rPr>
          <w:rFonts w:hint="eastAsia" w:ascii="宋体" w:hAnsi="宋体" w:cs="Arial"/>
          <w:b/>
          <w:color w:val="auto"/>
          <w:kern w:val="0"/>
          <w:sz w:val="22"/>
          <w:highlight w:val="none"/>
        </w:rPr>
        <w:t>的签章：</w:t>
      </w:r>
      <w:r>
        <w:rPr>
          <w:rFonts w:hint="eastAsia" w:ascii="宋体" w:hAnsi="宋体"/>
          <w:b/>
          <w:color w:val="auto"/>
          <w:sz w:val="22"/>
          <w:highlight w:val="none"/>
        </w:rPr>
        <w:t>见《投标须知前附表》；</w:t>
      </w:r>
    </w:p>
    <w:p>
      <w:pPr>
        <w:spacing w:line="360" w:lineRule="auto"/>
        <w:ind w:firstLine="389" w:firstLineChars="176"/>
        <w:rPr>
          <w:rFonts w:ascii="宋体" w:hAnsi="宋体" w:cs="Arial"/>
          <w:color w:val="auto"/>
          <w:sz w:val="22"/>
          <w:highlight w:val="none"/>
        </w:rPr>
      </w:pPr>
      <w:r>
        <w:rPr>
          <w:rFonts w:hint="eastAsia" w:ascii="宋体" w:hAnsi="宋体" w:cs="Arial"/>
          <w:b/>
          <w:color w:val="auto"/>
          <w:kern w:val="0"/>
          <w:sz w:val="22"/>
          <w:highlight w:val="none"/>
        </w:rPr>
        <w:t>2）电子签章操作指南详见</w:t>
      </w:r>
      <w:r>
        <w:rPr>
          <w:rFonts w:hint="eastAsia" w:ascii="宋体" w:hAnsi="宋体" w:cs="Arial"/>
          <w:b/>
          <w:color w:val="auto"/>
          <w:sz w:val="22"/>
          <w:highlight w:val="none"/>
        </w:rPr>
        <w:t>《供应商项目采购-电子招投标操作指南》</w:t>
      </w:r>
      <w:r>
        <w:rPr>
          <w:rFonts w:hint="eastAsia" w:ascii="宋体" w:hAnsi="宋体" w:cs="Arial"/>
          <w:color w:val="auto"/>
          <w:sz w:val="22"/>
          <w:highlight w:val="none"/>
        </w:rPr>
        <w:t>。</w:t>
      </w:r>
    </w:p>
    <w:p>
      <w:pPr>
        <w:autoSpaceDE w:val="0"/>
        <w:autoSpaceDN w:val="0"/>
        <w:adjustRightInd w:val="0"/>
        <w:snapToGrid w:val="0"/>
        <w:spacing w:line="360" w:lineRule="auto"/>
        <w:ind w:firstLine="440" w:firstLineChars="200"/>
        <w:textAlignment w:val="bottom"/>
        <w:rPr>
          <w:rFonts w:ascii="宋体" w:hAnsi="宋体" w:cs="Arial"/>
          <w:color w:val="auto"/>
          <w:sz w:val="22"/>
          <w:szCs w:val="22"/>
          <w:highlight w:val="none"/>
        </w:rPr>
      </w:pPr>
      <w:bookmarkStart w:id="11" w:name="_Toc132655776"/>
      <w:bookmarkStart w:id="12" w:name="_Toc132122119"/>
      <w:bookmarkStart w:id="13" w:name="_Toc132123634"/>
      <w:bookmarkStart w:id="14" w:name="_Toc132125037"/>
      <w:bookmarkStart w:id="15" w:name="_Toc132123838"/>
      <w:bookmarkStart w:id="16" w:name="_Toc132123547"/>
      <w:bookmarkStart w:id="17" w:name="_Toc132123881"/>
      <w:bookmarkStart w:id="18" w:name="_Toc132126154"/>
      <w:bookmarkStart w:id="19" w:name="_Toc132123439"/>
      <w:bookmarkStart w:id="20" w:name="_Toc132125983"/>
      <w:bookmarkStart w:id="21" w:name="_Toc132124594"/>
      <w:bookmarkStart w:id="22" w:name="_Toc132122416"/>
      <w:bookmarkStart w:id="23" w:name="_Toc132125574"/>
      <w:bookmarkStart w:id="24" w:name="_Toc132125151"/>
      <w:bookmarkStart w:id="25" w:name="_Toc132125095"/>
      <w:r>
        <w:rPr>
          <w:rFonts w:hint="eastAsia" w:ascii="宋体" w:hAnsi="宋体" w:cs="Arial"/>
          <w:color w:val="auto"/>
          <w:sz w:val="22"/>
          <w:szCs w:val="22"/>
          <w:highlight w:val="none"/>
        </w:rPr>
        <w:t>3、投标内容填写说明</w:t>
      </w:r>
    </w:p>
    <w:p>
      <w:pPr>
        <w:autoSpaceDE w:val="0"/>
        <w:autoSpaceDN w:val="0"/>
        <w:adjustRightInd w:val="0"/>
        <w:snapToGrid w:val="0"/>
        <w:spacing w:line="360" w:lineRule="auto"/>
        <w:ind w:firstLine="440" w:firstLineChars="200"/>
        <w:textAlignment w:val="bottom"/>
        <w:rPr>
          <w:rFonts w:ascii="宋体" w:hAnsi="宋体" w:cs="Arial"/>
          <w:color w:val="auto"/>
          <w:sz w:val="22"/>
          <w:szCs w:val="22"/>
          <w:highlight w:val="none"/>
        </w:rPr>
      </w:pPr>
      <w:r>
        <w:rPr>
          <w:rFonts w:hint="eastAsia" w:ascii="宋体" w:hAnsi="宋体" w:cs="Arial"/>
          <w:color w:val="auto"/>
          <w:sz w:val="22"/>
          <w:szCs w:val="22"/>
          <w:highlight w:val="none"/>
        </w:rPr>
        <w:t>3.1、投标文件格式</w:t>
      </w:r>
    </w:p>
    <w:p>
      <w:pPr>
        <w:autoSpaceDE w:val="0"/>
        <w:autoSpaceDN w:val="0"/>
        <w:adjustRightInd w:val="0"/>
        <w:snapToGrid w:val="0"/>
        <w:spacing w:line="360" w:lineRule="auto"/>
        <w:ind w:firstLine="440" w:firstLineChars="200"/>
        <w:textAlignment w:val="bottom"/>
        <w:rPr>
          <w:rFonts w:ascii="宋体" w:hAnsi="宋体" w:cs="Arial"/>
          <w:color w:val="auto"/>
          <w:sz w:val="22"/>
          <w:szCs w:val="22"/>
          <w:highlight w:val="none"/>
        </w:rPr>
      </w:pPr>
      <w:r>
        <w:rPr>
          <w:rFonts w:hint="eastAsia" w:ascii="宋体" w:hAnsi="宋体" w:cs="Arial"/>
          <w:color w:val="auto"/>
          <w:sz w:val="22"/>
          <w:szCs w:val="22"/>
          <w:highlight w:val="none"/>
        </w:rPr>
        <w:t>供应商应按照第2条所列出的内容及格式</w:t>
      </w:r>
      <w:r>
        <w:rPr>
          <w:rFonts w:hint="eastAsia" w:ascii="宋体" w:hAnsi="宋体" w:cs="Arial"/>
          <w:bCs/>
          <w:color w:val="auto"/>
          <w:sz w:val="22"/>
          <w:szCs w:val="22"/>
          <w:highlight w:val="none"/>
          <w:u w:val="thick"/>
        </w:rPr>
        <w:t>逐一按顺序</w:t>
      </w:r>
      <w:r>
        <w:rPr>
          <w:rFonts w:hint="eastAsia" w:ascii="宋体" w:hAnsi="宋体" w:cs="Arial"/>
          <w:color w:val="auto"/>
          <w:sz w:val="22"/>
          <w:szCs w:val="22"/>
          <w:highlight w:val="none"/>
        </w:rPr>
        <w:t>组成投标文件。</w:t>
      </w:r>
    </w:p>
    <w:p>
      <w:pPr>
        <w:autoSpaceDE w:val="0"/>
        <w:autoSpaceDN w:val="0"/>
        <w:adjustRightInd w:val="0"/>
        <w:snapToGrid w:val="0"/>
        <w:spacing w:line="360" w:lineRule="auto"/>
        <w:ind w:firstLine="440" w:firstLineChars="200"/>
        <w:textAlignment w:val="bottom"/>
        <w:rPr>
          <w:rFonts w:ascii="宋体" w:hAnsi="宋体" w:cs="Arial"/>
          <w:color w:val="auto"/>
          <w:sz w:val="22"/>
          <w:szCs w:val="22"/>
          <w:highlight w:val="none"/>
        </w:rPr>
      </w:pPr>
      <w:r>
        <w:rPr>
          <w:rFonts w:hint="eastAsia" w:ascii="宋体" w:hAnsi="宋体" w:cs="Arial"/>
          <w:color w:val="auto"/>
          <w:sz w:val="22"/>
          <w:szCs w:val="22"/>
          <w:highlight w:val="none"/>
        </w:rPr>
        <w:t>3.2、《开标一览表》为商务标开标仪式上唱标的内容，供应商需按格式填写，统一规格，不得自行增减内容。</w:t>
      </w:r>
    </w:p>
    <w:p>
      <w:pPr>
        <w:autoSpaceDE w:val="0"/>
        <w:autoSpaceDN w:val="0"/>
        <w:adjustRightInd w:val="0"/>
        <w:snapToGrid w:val="0"/>
        <w:spacing w:line="360" w:lineRule="auto"/>
        <w:textAlignment w:val="bottom"/>
        <w:rPr>
          <w:rFonts w:ascii="宋体" w:hAnsi="宋体" w:cs="Arial"/>
          <w:color w:val="auto"/>
          <w:sz w:val="22"/>
          <w:szCs w:val="22"/>
          <w:highlight w:val="none"/>
        </w:rPr>
      </w:pPr>
      <w:bookmarkStart w:id="26" w:name="_Toc132122412"/>
      <w:bookmarkStart w:id="27" w:name="_Toc132122115"/>
      <w:r>
        <w:rPr>
          <w:rFonts w:hint="eastAsia" w:ascii="宋体" w:hAnsi="宋体" w:cs="Arial"/>
          <w:color w:val="auto"/>
          <w:sz w:val="22"/>
          <w:szCs w:val="22"/>
          <w:highlight w:val="none"/>
        </w:rPr>
        <w:t>4、投标报价</w:t>
      </w:r>
      <w:bookmarkEnd w:id="26"/>
      <w:bookmarkEnd w:id="27"/>
    </w:p>
    <w:p>
      <w:pPr>
        <w:autoSpaceDE w:val="0"/>
        <w:autoSpaceDN w:val="0"/>
        <w:adjustRightInd w:val="0"/>
        <w:snapToGrid w:val="0"/>
        <w:spacing w:line="360" w:lineRule="auto"/>
        <w:textAlignment w:val="bottom"/>
        <w:rPr>
          <w:rFonts w:ascii="宋体" w:hAnsi="宋体" w:cs="Arial"/>
          <w:color w:val="auto"/>
          <w:sz w:val="22"/>
          <w:szCs w:val="22"/>
          <w:highlight w:val="none"/>
        </w:rPr>
      </w:pPr>
      <w:r>
        <w:rPr>
          <w:rFonts w:hint="eastAsia" w:ascii="宋体" w:hAnsi="宋体" w:cs="Arial"/>
          <w:color w:val="auto"/>
          <w:sz w:val="22"/>
          <w:szCs w:val="22"/>
          <w:highlight w:val="none"/>
        </w:rPr>
        <w:t xml:space="preserve">    4.1、供应商应按招标文件中《开标一览表》填写投标总价。</w:t>
      </w:r>
    </w:p>
    <w:p>
      <w:pPr>
        <w:autoSpaceDE w:val="0"/>
        <w:autoSpaceDN w:val="0"/>
        <w:adjustRightInd w:val="0"/>
        <w:snapToGrid w:val="0"/>
        <w:spacing w:line="360" w:lineRule="auto"/>
        <w:ind w:firstLine="440" w:firstLineChars="200"/>
        <w:textAlignment w:val="bottom"/>
        <w:rPr>
          <w:rFonts w:ascii="宋体" w:hAnsi="宋体" w:cs="Arial"/>
          <w:bCs/>
          <w:color w:val="auto"/>
          <w:sz w:val="22"/>
          <w:szCs w:val="22"/>
          <w:highlight w:val="none"/>
        </w:rPr>
      </w:pPr>
      <w:r>
        <w:rPr>
          <w:rFonts w:hint="eastAsia" w:ascii="宋体" w:hAnsi="宋体" w:cs="Arial"/>
          <w:bCs/>
          <w:color w:val="auto"/>
          <w:sz w:val="22"/>
          <w:szCs w:val="22"/>
          <w:highlight w:val="none"/>
        </w:rPr>
        <w:t>4.2、本次招标只允许有一个报价，有选择的报价将不予接受。</w:t>
      </w:r>
    </w:p>
    <w:p>
      <w:pPr>
        <w:autoSpaceDE w:val="0"/>
        <w:autoSpaceDN w:val="0"/>
        <w:adjustRightInd w:val="0"/>
        <w:snapToGrid w:val="0"/>
        <w:spacing w:line="360" w:lineRule="auto"/>
        <w:ind w:firstLine="440" w:firstLineChars="200"/>
        <w:textAlignment w:val="bottom"/>
        <w:rPr>
          <w:rFonts w:ascii="宋体" w:hAnsi="宋体" w:cs="Arial"/>
          <w:color w:val="auto"/>
          <w:sz w:val="22"/>
          <w:szCs w:val="22"/>
          <w:highlight w:val="none"/>
        </w:rPr>
      </w:pPr>
      <w:r>
        <w:rPr>
          <w:rFonts w:hint="eastAsia" w:ascii="宋体" w:hAnsi="宋体" w:cs="Arial"/>
          <w:color w:val="auto"/>
          <w:sz w:val="22"/>
          <w:szCs w:val="22"/>
          <w:highlight w:val="none"/>
        </w:rPr>
        <w:t>4.3、</w:t>
      </w:r>
      <w:r>
        <w:rPr>
          <w:rFonts w:hint="eastAsia" w:ascii="宋体" w:hAnsi="宋体" w:cs="Arial"/>
          <w:b/>
          <w:color w:val="auto"/>
          <w:sz w:val="22"/>
          <w:szCs w:val="22"/>
          <w:highlight w:val="none"/>
          <w:u w:val="single"/>
        </w:rPr>
        <w:t>本次招标只有一次投标报价的机会，投标报价为本次招标所有服务的全部费用。</w:t>
      </w:r>
      <w:r>
        <w:rPr>
          <w:rFonts w:hint="eastAsia" w:ascii="宋体" w:hAnsi="宋体" w:cs="Arial"/>
          <w:color w:val="auto"/>
          <w:sz w:val="22"/>
          <w:szCs w:val="22"/>
          <w:highlight w:val="none"/>
        </w:rPr>
        <w:t>供应商应在各自技术和商务占优势的基础上并充分考虑本项目的重要性，提供对采购人最优惠的投标报价。</w:t>
      </w:r>
    </w:p>
    <w:p>
      <w:pPr>
        <w:autoSpaceDE w:val="0"/>
        <w:autoSpaceDN w:val="0"/>
        <w:adjustRightInd w:val="0"/>
        <w:snapToGrid w:val="0"/>
        <w:spacing w:line="440" w:lineRule="exact"/>
        <w:ind w:firstLine="433" w:firstLineChars="196"/>
        <w:textAlignment w:val="bottom"/>
        <w:rPr>
          <w:rFonts w:ascii="宋体" w:hAnsi="宋体" w:cs="Arial"/>
          <w:bCs/>
          <w:color w:val="auto"/>
          <w:sz w:val="22"/>
          <w:szCs w:val="22"/>
          <w:highlight w:val="none"/>
        </w:rPr>
      </w:pPr>
      <w:r>
        <w:rPr>
          <w:rFonts w:hint="eastAsia" w:ascii="宋体" w:hAnsi="宋体" w:cs="Arial"/>
          <w:b/>
          <w:color w:val="auto"/>
          <w:sz w:val="22"/>
          <w:szCs w:val="22"/>
          <w:highlight w:val="none"/>
        </w:rPr>
        <w:t>4.4、</w:t>
      </w:r>
      <w:r>
        <w:rPr>
          <w:rFonts w:hint="eastAsia" w:ascii="宋体" w:hAnsi="宋体" w:cs="Arial"/>
          <w:bCs/>
          <w:color w:val="auto"/>
          <w:sz w:val="22"/>
          <w:szCs w:val="22"/>
          <w:highlight w:val="none"/>
        </w:rPr>
        <w:t>开标一览表中的投标报价为包含但不仅限于苍南县人民医院布品租赁及洗涤服务项目全过程所涉及的全部费用以及合理的利润、税金、风险等其他一切费用等各项全部费用组成。最后报价为履行合同的最终报价，投标人不得再要求追加任何费用。</w:t>
      </w:r>
    </w:p>
    <w:p>
      <w:pPr>
        <w:autoSpaceDE w:val="0"/>
        <w:autoSpaceDN w:val="0"/>
        <w:adjustRightInd w:val="0"/>
        <w:snapToGrid w:val="0"/>
        <w:spacing w:line="360" w:lineRule="auto"/>
        <w:ind w:firstLine="431" w:firstLineChars="196"/>
        <w:textAlignment w:val="bottom"/>
        <w:rPr>
          <w:rFonts w:ascii="宋体" w:hAnsi="宋体" w:cs="Arial"/>
          <w:b/>
          <w:color w:val="auto"/>
          <w:sz w:val="22"/>
          <w:szCs w:val="22"/>
          <w:highlight w:val="none"/>
          <w:u w:val="single"/>
        </w:rPr>
      </w:pPr>
      <w:r>
        <w:rPr>
          <w:rFonts w:hint="eastAsia" w:ascii="宋体" w:hAnsi="宋体"/>
          <w:color w:val="auto"/>
          <w:sz w:val="22"/>
          <w:szCs w:val="22"/>
          <w:highlight w:val="none"/>
        </w:rPr>
        <w:t>▲</w:t>
      </w:r>
      <w:r>
        <w:rPr>
          <w:rFonts w:hint="eastAsia" w:ascii="宋体" w:hAnsi="宋体" w:cs="Arial"/>
          <w:b/>
          <w:color w:val="auto"/>
          <w:sz w:val="22"/>
          <w:szCs w:val="22"/>
          <w:highlight w:val="none"/>
          <w:u w:val="single"/>
        </w:rPr>
        <w:t>供应商在投标报价中应充分考虑所有可能发生的费用，否则采购人将视投标总价中已包括所有费用。</w:t>
      </w:r>
    </w:p>
    <w:p>
      <w:pPr>
        <w:autoSpaceDE w:val="0"/>
        <w:autoSpaceDN w:val="0"/>
        <w:adjustRightInd w:val="0"/>
        <w:snapToGrid w:val="0"/>
        <w:spacing w:line="360" w:lineRule="auto"/>
        <w:ind w:firstLine="431" w:firstLineChars="196"/>
        <w:textAlignment w:val="bottom"/>
        <w:rPr>
          <w:rFonts w:ascii="宋体" w:hAnsi="宋体" w:cs="Arial"/>
          <w:b/>
          <w:color w:val="auto"/>
          <w:sz w:val="22"/>
          <w:szCs w:val="22"/>
          <w:highlight w:val="none"/>
          <w:u w:val="single"/>
        </w:rPr>
      </w:pPr>
      <w:r>
        <w:rPr>
          <w:rFonts w:hint="eastAsia" w:ascii="宋体" w:hAnsi="宋体" w:cs="Arial"/>
          <w:color w:val="auto"/>
          <w:sz w:val="22"/>
          <w:szCs w:val="22"/>
          <w:highlight w:val="none"/>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360" w:lineRule="auto"/>
        <w:ind w:firstLine="431" w:firstLineChars="196"/>
        <w:textAlignment w:val="bottom"/>
        <w:rPr>
          <w:rFonts w:ascii="宋体" w:hAnsi="宋体" w:cs="仿宋_GB2312"/>
          <w:color w:val="auto"/>
          <w:sz w:val="22"/>
          <w:szCs w:val="22"/>
          <w:highlight w:val="none"/>
          <w:lang w:val="zh-CN"/>
        </w:rPr>
      </w:pPr>
      <w:r>
        <w:rPr>
          <w:rFonts w:hint="eastAsia" w:ascii="宋体" w:hAnsi="宋体" w:cs="Arial"/>
          <w:bCs/>
          <w:color w:val="auto"/>
          <w:sz w:val="22"/>
          <w:szCs w:val="22"/>
          <w:highlight w:val="none"/>
        </w:rPr>
        <w:t>填写报价表格时，各项费用应如实填写。</w:t>
      </w:r>
      <w:r>
        <w:rPr>
          <w:rFonts w:hint="eastAsia" w:ascii="宋体" w:hAnsi="宋体" w:cs="Arial"/>
          <w:color w:val="auto"/>
          <w:sz w:val="22"/>
          <w:szCs w:val="22"/>
          <w:highlight w:val="none"/>
        </w:rPr>
        <w:t>采购人要求分类报价是为了方便评标，但在任何情况下不限制采购人以其认为最合适的条款签订合同的权利。</w:t>
      </w:r>
    </w:p>
    <w:p>
      <w:pPr>
        <w:autoSpaceDE w:val="0"/>
        <w:autoSpaceDN w:val="0"/>
        <w:adjustRightInd w:val="0"/>
        <w:snapToGrid w:val="0"/>
        <w:spacing w:line="360" w:lineRule="auto"/>
        <w:textAlignment w:val="bottom"/>
        <w:rPr>
          <w:rFonts w:ascii="宋体" w:hAnsi="宋体" w:cs="Arial"/>
          <w:color w:val="auto"/>
          <w:sz w:val="22"/>
          <w:szCs w:val="22"/>
          <w:highlight w:val="none"/>
        </w:rPr>
      </w:pPr>
      <w:bookmarkStart w:id="28" w:name="_Toc132122116"/>
      <w:bookmarkStart w:id="29" w:name="_Toc132122413"/>
      <w:r>
        <w:rPr>
          <w:rFonts w:hint="eastAsia" w:ascii="宋体" w:hAnsi="宋体" w:cs="Arial"/>
          <w:color w:val="auto"/>
          <w:sz w:val="22"/>
          <w:szCs w:val="22"/>
          <w:highlight w:val="none"/>
        </w:rPr>
        <w:t xml:space="preserve"> 5、投标保证金</w:t>
      </w:r>
      <w:bookmarkEnd w:id="28"/>
      <w:bookmarkEnd w:id="29"/>
    </w:p>
    <w:p>
      <w:pPr>
        <w:pStyle w:val="22"/>
        <w:adjustRightInd w:val="0"/>
        <w:snapToGrid w:val="0"/>
        <w:spacing w:line="360" w:lineRule="auto"/>
        <w:ind w:firstLine="440" w:firstLineChars="200"/>
        <w:rPr>
          <w:color w:val="auto"/>
          <w:sz w:val="22"/>
          <w:szCs w:val="22"/>
          <w:highlight w:val="none"/>
          <w:u w:val="single"/>
        </w:rPr>
      </w:pPr>
      <w:r>
        <w:rPr>
          <w:rFonts w:hint="eastAsia"/>
          <w:color w:val="auto"/>
          <w:sz w:val="22"/>
          <w:szCs w:val="22"/>
          <w:highlight w:val="none"/>
          <w:u w:val="single"/>
        </w:rPr>
        <w:t>按照《浙江省财政厅关于明确政府采购保证金管理工作的通知》浙财采监〔2019〕5号文件规定，投标人无需缴纳投标保证金。</w:t>
      </w:r>
    </w:p>
    <w:p>
      <w:pPr>
        <w:pStyle w:val="22"/>
        <w:adjustRightInd w:val="0"/>
        <w:snapToGrid w:val="0"/>
        <w:spacing w:line="360" w:lineRule="auto"/>
        <w:ind w:firstLine="440" w:firstLineChars="200"/>
        <w:rPr>
          <w:rFonts w:hAnsi="宋体" w:cs="Arial"/>
          <w:color w:val="auto"/>
          <w:sz w:val="22"/>
          <w:szCs w:val="22"/>
          <w:highlight w:val="none"/>
        </w:rPr>
      </w:pPr>
      <w:bookmarkStart w:id="30" w:name="_Toc132122414"/>
      <w:bookmarkStart w:id="31" w:name="_Toc132122117"/>
      <w:r>
        <w:rPr>
          <w:rFonts w:hint="eastAsia" w:hAnsi="宋体" w:cs="Arial"/>
          <w:color w:val="auto"/>
          <w:sz w:val="22"/>
          <w:szCs w:val="22"/>
          <w:highlight w:val="none"/>
        </w:rPr>
        <w:t>6、投标文件的有效期</w:t>
      </w:r>
      <w:bookmarkEnd w:id="30"/>
      <w:bookmarkEnd w:id="31"/>
    </w:p>
    <w:p>
      <w:pPr>
        <w:pStyle w:val="22"/>
        <w:adjustRightInd w:val="0"/>
        <w:snapToGrid w:val="0"/>
        <w:spacing w:line="360" w:lineRule="auto"/>
        <w:ind w:right="-160" w:rightChars="-76" w:firstLine="440" w:firstLineChars="200"/>
        <w:rPr>
          <w:rFonts w:hAnsi="宋体" w:cs="Arial"/>
          <w:color w:val="auto"/>
          <w:sz w:val="22"/>
          <w:szCs w:val="22"/>
          <w:highlight w:val="none"/>
        </w:rPr>
      </w:pPr>
      <w:r>
        <w:rPr>
          <w:rFonts w:hint="eastAsia" w:hAnsi="宋体" w:cs="Arial"/>
          <w:color w:val="auto"/>
          <w:sz w:val="22"/>
          <w:szCs w:val="22"/>
          <w:highlight w:val="none"/>
        </w:rPr>
        <w:t>6.1自开标日起90天内，投标文件应保持有效。有效期短于这个规定期限的投标将被拒绝。</w:t>
      </w:r>
    </w:p>
    <w:p>
      <w:pPr>
        <w:pStyle w:val="22"/>
        <w:adjustRightInd w:val="0"/>
        <w:snapToGrid w:val="0"/>
        <w:spacing w:line="360" w:lineRule="auto"/>
        <w:ind w:firstLine="440" w:firstLineChars="200"/>
        <w:rPr>
          <w:rFonts w:hAnsi="宋体" w:cs="Arial"/>
          <w:color w:val="auto"/>
          <w:sz w:val="22"/>
          <w:szCs w:val="22"/>
          <w:highlight w:val="none"/>
        </w:rPr>
      </w:pPr>
      <w:r>
        <w:rPr>
          <w:rFonts w:hint="eastAsia" w:hAnsi="宋体" w:cs="Arial"/>
          <w:color w:val="auto"/>
          <w:sz w:val="22"/>
          <w:szCs w:val="22"/>
          <w:highlight w:val="none"/>
        </w:rPr>
        <w:t>6.2在特殊情况下，采购人可与供应商协商延长投标文件的有效期，这种要求和答复均应以书面形式进行。</w:t>
      </w:r>
    </w:p>
    <w:p>
      <w:pPr>
        <w:pStyle w:val="22"/>
        <w:adjustRightInd w:val="0"/>
        <w:snapToGrid w:val="0"/>
        <w:spacing w:line="360" w:lineRule="auto"/>
        <w:ind w:firstLine="440" w:firstLineChars="200"/>
        <w:rPr>
          <w:rFonts w:hAnsi="宋体" w:cs="Arial"/>
          <w:color w:val="auto"/>
          <w:sz w:val="22"/>
          <w:szCs w:val="22"/>
          <w:highlight w:val="none"/>
        </w:rPr>
      </w:pPr>
      <w:r>
        <w:rPr>
          <w:rFonts w:hint="eastAsia" w:hAnsi="宋体" w:cs="Arial"/>
          <w:color w:val="auto"/>
          <w:sz w:val="22"/>
          <w:szCs w:val="22"/>
          <w:highlight w:val="none"/>
        </w:rPr>
        <w:t>6.3供应商可拒绝接受延期要求。同意延长有效期的供应商不能修改投标文件。</w:t>
      </w:r>
    </w:p>
    <w:p>
      <w:pPr>
        <w:pStyle w:val="22"/>
        <w:adjustRightInd w:val="0"/>
        <w:snapToGrid w:val="0"/>
        <w:spacing w:line="360" w:lineRule="auto"/>
        <w:ind w:firstLine="440" w:firstLineChars="200"/>
        <w:rPr>
          <w:rFonts w:hAnsi="宋体" w:cs="Arial"/>
          <w:color w:val="auto"/>
          <w:sz w:val="22"/>
          <w:szCs w:val="22"/>
          <w:highlight w:val="none"/>
        </w:rPr>
      </w:pPr>
      <w:r>
        <w:rPr>
          <w:rFonts w:hint="eastAsia" w:hAnsi="宋体" w:cs="Arial"/>
          <w:color w:val="auto"/>
          <w:sz w:val="22"/>
          <w:szCs w:val="22"/>
          <w:highlight w:val="none"/>
        </w:rPr>
        <w:t>6.4当正本与副本不一致时，均以正本为准。当供应商投标文件未注明正本与副本且出现不一致时，评标委员会可以认定供应商出现选择性投标而对其投标予以废标。</w:t>
      </w:r>
    </w:p>
    <w:p>
      <w:pPr>
        <w:spacing w:line="360" w:lineRule="auto"/>
        <w:rPr>
          <w:rFonts w:ascii="宋体" w:hAnsi="宋体" w:cs="宋体"/>
          <w:b/>
          <w:color w:val="auto"/>
          <w:sz w:val="22"/>
          <w:highlight w:val="none"/>
        </w:rPr>
      </w:pPr>
      <w:bookmarkStart w:id="32" w:name="_Toc132122118"/>
      <w:bookmarkStart w:id="33" w:name="_Toc132122415"/>
      <w:r>
        <w:rPr>
          <w:rFonts w:hint="eastAsia" w:ascii="宋体" w:hAnsi="宋体" w:cs="宋体"/>
          <w:b/>
          <w:color w:val="auto"/>
          <w:sz w:val="22"/>
          <w:highlight w:val="none"/>
        </w:rPr>
        <w:t>7、投标文件的份数</w:t>
      </w:r>
      <w:bookmarkEnd w:id="32"/>
      <w:bookmarkEnd w:id="33"/>
    </w:p>
    <w:p>
      <w:pPr>
        <w:spacing w:line="360" w:lineRule="auto"/>
        <w:ind w:firstLine="442" w:firstLineChars="200"/>
        <w:rPr>
          <w:rFonts w:ascii="宋体" w:hAnsi="宋体" w:cs="宋体"/>
          <w:b/>
          <w:color w:val="auto"/>
          <w:sz w:val="22"/>
          <w:highlight w:val="none"/>
        </w:rPr>
      </w:pPr>
      <w:r>
        <w:rPr>
          <w:rFonts w:hint="eastAsia" w:ascii="宋体" w:hAnsi="宋体" w:cs="宋体"/>
          <w:b/>
          <w:color w:val="auto"/>
          <w:sz w:val="22"/>
          <w:highlight w:val="none"/>
        </w:rPr>
        <w:t>（1）“电子加密投标文件”：在线上传递交（一份）。</w:t>
      </w:r>
    </w:p>
    <w:p>
      <w:pPr>
        <w:pStyle w:val="22"/>
        <w:adjustRightInd w:val="0"/>
        <w:snapToGrid w:val="0"/>
        <w:spacing w:line="360" w:lineRule="auto"/>
        <w:ind w:firstLine="442" w:firstLineChars="200"/>
        <w:outlineLvl w:val="0"/>
        <w:rPr>
          <w:rFonts w:hint="eastAsia" w:ascii="宋体" w:hAnsi="宋体" w:eastAsia="宋体" w:cs="宋体"/>
          <w:b/>
          <w:color w:val="auto"/>
          <w:sz w:val="22"/>
          <w:highlight w:val="none"/>
        </w:rPr>
      </w:pPr>
      <w:r>
        <w:rPr>
          <w:rFonts w:hint="eastAsia" w:hAnsi="宋体" w:cs="宋体"/>
          <w:b/>
          <w:color w:val="auto"/>
          <w:sz w:val="22"/>
          <w:highlight w:val="none"/>
        </w:rPr>
        <w:t>（2）“备份投标文件”：密封包装后（当面送达由代理单位签收或采用邮寄形式由代理单位签收）投标截止时间前递交（一份）（收件地址：灵溪镇公投大厦704室（浙江名进建设项目管理有限公司 缪女士收 联系电话：135</w:t>
      </w:r>
      <w:r>
        <w:rPr>
          <w:rFonts w:hint="eastAsia" w:ascii="宋体" w:hAnsi="宋体" w:eastAsia="宋体" w:cs="宋体"/>
          <w:b/>
          <w:color w:val="auto"/>
          <w:sz w:val="22"/>
          <w:highlight w:val="none"/>
        </w:rPr>
        <w:t>87538322）</w:t>
      </w:r>
      <w:r>
        <w:rPr>
          <w:rFonts w:hint="eastAsia" w:ascii="宋体" w:hAnsi="宋体" w:eastAsia="宋体" w:cs="宋体"/>
          <w:b/>
          <w:color w:val="auto"/>
          <w:sz w:val="22"/>
          <w:highlight w:val="none"/>
          <w:lang w:val="en-US" w:eastAsia="zh-CN"/>
        </w:rPr>
        <w:t>或以</w:t>
      </w:r>
      <w:r>
        <w:rPr>
          <w:rFonts w:hint="eastAsia" w:ascii="宋体" w:hAnsi="宋体" w:eastAsia="宋体" w:cs="宋体"/>
          <w:b/>
          <w:color w:val="auto"/>
          <w:sz w:val="22"/>
          <w:highlight w:val="none"/>
        </w:rPr>
        <w:t>电子邮件形式递交数据电文形式的“备份投标文件”。电子邮箱：</w:t>
      </w:r>
      <w:r>
        <w:rPr>
          <w:rFonts w:hint="eastAsia" w:ascii="宋体" w:hAnsi="宋体" w:eastAsia="宋体" w:cs="宋体"/>
          <w:b/>
          <w:color w:val="auto"/>
          <w:sz w:val="22"/>
          <w:highlight w:val="none"/>
          <w:lang w:val="en-US" w:eastAsia="zh-CN"/>
        </w:rPr>
        <w:t>1017874347</w:t>
      </w:r>
      <w:r>
        <w:rPr>
          <w:rFonts w:hint="eastAsia" w:ascii="宋体" w:hAnsi="宋体" w:eastAsia="宋体" w:cs="宋体"/>
          <w:b/>
          <w:color w:val="auto"/>
          <w:sz w:val="22"/>
          <w:highlight w:val="none"/>
        </w:rPr>
        <w:t>@qq.com。</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pStyle w:val="22"/>
        <w:adjustRightInd w:val="0"/>
        <w:snapToGrid w:val="0"/>
        <w:spacing w:line="360" w:lineRule="auto"/>
        <w:ind w:firstLine="442"/>
        <w:outlineLvl w:val="0"/>
        <w:rPr>
          <w:rFonts w:hAnsi="宋体" w:cs="Arial"/>
          <w:b/>
          <w:bCs/>
          <w:color w:val="auto"/>
          <w:sz w:val="22"/>
          <w:highlight w:val="none"/>
        </w:rPr>
      </w:pPr>
      <w:r>
        <w:rPr>
          <w:rFonts w:hint="eastAsia" w:hAnsi="宋体" w:cs="Arial"/>
          <w:b/>
          <w:bCs/>
          <w:color w:val="auto"/>
          <w:sz w:val="22"/>
          <w:highlight w:val="none"/>
        </w:rPr>
        <w:t>五、投标文件的上传与递交</w:t>
      </w:r>
    </w:p>
    <w:p>
      <w:pPr>
        <w:pStyle w:val="22"/>
        <w:adjustRightInd w:val="0"/>
        <w:snapToGrid w:val="0"/>
        <w:spacing w:line="360" w:lineRule="auto"/>
        <w:ind w:firstLine="442" w:firstLineChars="200"/>
        <w:rPr>
          <w:rFonts w:hAnsi="宋体" w:cs="Arial"/>
          <w:b/>
          <w:color w:val="auto"/>
          <w:sz w:val="22"/>
          <w:highlight w:val="none"/>
        </w:rPr>
      </w:pPr>
      <w:r>
        <w:rPr>
          <w:rFonts w:hint="eastAsia" w:hAnsi="宋体" w:cs="Arial"/>
          <w:b/>
          <w:color w:val="auto"/>
          <w:sz w:val="22"/>
          <w:highlight w:val="none"/>
        </w:rPr>
        <w:t>1、投标文件的上传与递交</w:t>
      </w:r>
    </w:p>
    <w:p>
      <w:pPr>
        <w:spacing w:line="360" w:lineRule="auto"/>
        <w:ind w:firstLine="442" w:firstLineChars="200"/>
        <w:rPr>
          <w:rFonts w:ascii="宋体" w:hAnsi="宋体" w:cs="宋体"/>
          <w:b/>
          <w:color w:val="auto"/>
          <w:sz w:val="22"/>
          <w:highlight w:val="none"/>
        </w:rPr>
      </w:pPr>
      <w:r>
        <w:rPr>
          <w:rFonts w:hint="eastAsia" w:ascii="宋体" w:hAnsi="宋体" w:cs="宋体"/>
          <w:b/>
          <w:color w:val="auto"/>
          <w:sz w:val="22"/>
          <w:highlight w:val="none"/>
        </w:rPr>
        <w:t>（1）“电子加密投标文件”的上传、递交：</w:t>
      </w:r>
    </w:p>
    <w:p>
      <w:pPr>
        <w:spacing w:line="360" w:lineRule="auto"/>
        <w:rPr>
          <w:rFonts w:ascii="宋体" w:hAnsi="宋体" w:cs="宋体"/>
          <w:b/>
          <w:color w:val="auto"/>
          <w:sz w:val="22"/>
          <w:highlight w:val="none"/>
        </w:rPr>
      </w:pPr>
      <w:r>
        <w:rPr>
          <w:rFonts w:hint="eastAsia" w:ascii="宋体" w:hAnsi="宋体" w:cs="宋体"/>
          <w:b/>
          <w:color w:val="auto"/>
          <w:sz w:val="22"/>
          <w:highlight w:val="none"/>
        </w:rPr>
        <w:t>a.投标供应商应在投标截止时间前将“电子加密投标文件”成功上传递交至“政府采购云平台”，否则投标无效。</w:t>
      </w:r>
    </w:p>
    <w:p>
      <w:pPr>
        <w:spacing w:line="360" w:lineRule="auto"/>
        <w:rPr>
          <w:rFonts w:ascii="宋体" w:hAnsi="宋体" w:cs="宋体"/>
          <w:b/>
          <w:color w:val="auto"/>
          <w:sz w:val="22"/>
          <w:highlight w:val="none"/>
        </w:rPr>
      </w:pPr>
      <w:r>
        <w:rPr>
          <w:rFonts w:hint="eastAsia" w:ascii="宋体" w:hAnsi="宋体" w:cs="宋体"/>
          <w:b/>
          <w:color w:val="auto"/>
          <w:sz w:val="22"/>
          <w:highlight w:val="none"/>
        </w:rPr>
        <w:t>b.“电子加密投标文件”成功上传递交后，供应商可自行打印投标文件接收回执。</w:t>
      </w:r>
    </w:p>
    <w:p>
      <w:pPr>
        <w:spacing w:line="360" w:lineRule="auto"/>
        <w:ind w:firstLine="442" w:firstLineChars="200"/>
        <w:rPr>
          <w:rFonts w:ascii="宋体" w:hAnsi="宋体" w:cs="宋体"/>
          <w:b/>
          <w:color w:val="auto"/>
          <w:sz w:val="22"/>
          <w:highlight w:val="none"/>
        </w:rPr>
      </w:pPr>
      <w:r>
        <w:rPr>
          <w:rFonts w:hint="eastAsia" w:ascii="宋体" w:hAnsi="宋体" w:cs="宋体"/>
          <w:b/>
          <w:color w:val="auto"/>
          <w:sz w:val="22"/>
          <w:highlight w:val="none"/>
        </w:rPr>
        <w:t>（2）“备份投标文件”的密封包装、递交：</w:t>
      </w:r>
    </w:p>
    <w:p>
      <w:pPr>
        <w:spacing w:line="360" w:lineRule="auto"/>
        <w:rPr>
          <w:rFonts w:ascii="宋体" w:hAnsi="宋体" w:cs="宋体"/>
          <w:b/>
          <w:color w:val="auto"/>
          <w:sz w:val="22"/>
          <w:highlight w:val="none"/>
        </w:rPr>
      </w:pPr>
      <w:r>
        <w:rPr>
          <w:rFonts w:hint="eastAsia" w:ascii="宋体" w:hAnsi="宋体" w:cs="宋体"/>
          <w:b/>
          <w:color w:val="auto"/>
          <w:sz w:val="22"/>
          <w:highlight w:val="none"/>
        </w:rPr>
        <w:t>a.投标供应商在“政府采购云平台”完成“电子加密投标文件”的上传递交后，还可以（</w:t>
      </w:r>
      <w:r>
        <w:rPr>
          <w:rFonts w:hint="eastAsia" w:ascii="宋体" w:hAnsi="宋体"/>
          <w:b/>
          <w:color w:val="auto"/>
          <w:sz w:val="22"/>
          <w:highlight w:val="none"/>
        </w:rPr>
        <w:t>当面送达由代理单位签收或采用邮寄形式由代理单位签收</w:t>
      </w:r>
      <w:r>
        <w:rPr>
          <w:rFonts w:hint="eastAsia" w:ascii="宋体" w:hAnsi="宋体" w:cs="宋体"/>
          <w:b/>
          <w:color w:val="auto"/>
          <w:sz w:val="22"/>
          <w:highlight w:val="none"/>
        </w:rPr>
        <w:t>）在投标截止时间前递交以介质（U盘）存储的 “备份投标文件”（一份）；</w:t>
      </w:r>
    </w:p>
    <w:p>
      <w:pPr>
        <w:spacing w:line="360" w:lineRule="auto"/>
        <w:rPr>
          <w:rFonts w:ascii="宋体" w:hAnsi="宋体" w:cs="宋体"/>
          <w:b/>
          <w:color w:val="auto"/>
          <w:sz w:val="22"/>
          <w:highlight w:val="none"/>
        </w:rPr>
      </w:pPr>
      <w:r>
        <w:rPr>
          <w:rFonts w:hint="eastAsia" w:ascii="宋体" w:hAnsi="宋体" w:cs="宋体"/>
          <w:b/>
          <w:color w:val="auto"/>
          <w:sz w:val="22"/>
          <w:highlight w:val="none"/>
        </w:rPr>
        <w:t>b.“备份投标文件”应当密封包装，并在包装上标注投标项目名称、投标单位名称并加盖公章。没有密封包装或者逾期送达至投标地点的“备份投标文件”将不予接收；</w:t>
      </w:r>
    </w:p>
    <w:p>
      <w:pPr>
        <w:spacing w:line="460" w:lineRule="exact"/>
        <w:ind w:firstLine="442" w:firstLineChars="200"/>
        <w:rPr>
          <w:color w:val="auto"/>
          <w:sz w:val="22"/>
          <w:szCs w:val="22"/>
          <w:highlight w:val="none"/>
        </w:rPr>
      </w:pPr>
      <w:r>
        <w:rPr>
          <w:rFonts w:hint="eastAsia" w:hAnsi="宋体" w:cs="宋体"/>
          <w:b/>
          <w:color w:val="auto"/>
          <w:sz w:val="22"/>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22"/>
        <w:adjustRightInd w:val="0"/>
        <w:snapToGrid w:val="0"/>
        <w:spacing w:line="454" w:lineRule="atLeast"/>
        <w:ind w:firstLine="440" w:firstLineChars="200"/>
        <w:rPr>
          <w:rFonts w:hAnsi="宋体" w:cs="Arial"/>
          <w:color w:val="auto"/>
          <w:sz w:val="22"/>
          <w:szCs w:val="22"/>
          <w:highlight w:val="none"/>
        </w:rPr>
      </w:pPr>
      <w:r>
        <w:rPr>
          <w:rFonts w:hint="eastAsia" w:hAnsi="宋体" w:cs="Arial"/>
          <w:color w:val="auto"/>
          <w:sz w:val="22"/>
          <w:szCs w:val="22"/>
          <w:highlight w:val="none"/>
        </w:rPr>
        <w:t>2、投标截止时间</w:t>
      </w:r>
    </w:p>
    <w:p>
      <w:pPr>
        <w:pStyle w:val="22"/>
        <w:adjustRightInd w:val="0"/>
        <w:snapToGrid w:val="0"/>
        <w:spacing w:line="440" w:lineRule="atLeast"/>
        <w:rPr>
          <w:rFonts w:hAnsi="宋体" w:cs="Arial"/>
          <w:color w:val="auto"/>
          <w:sz w:val="22"/>
          <w:szCs w:val="22"/>
          <w:highlight w:val="none"/>
        </w:rPr>
      </w:pPr>
      <w:r>
        <w:rPr>
          <w:rFonts w:hint="eastAsia" w:hAnsi="宋体" w:cs="Arial"/>
          <w:color w:val="auto"/>
          <w:sz w:val="22"/>
          <w:szCs w:val="22"/>
          <w:highlight w:val="none"/>
        </w:rPr>
        <w:t xml:space="preserve">    2.1</w:t>
      </w:r>
      <w:r>
        <w:rPr>
          <w:rFonts w:hint="eastAsia" w:hAnsi="宋体" w:cs="Arial"/>
          <w:color w:val="auto"/>
          <w:sz w:val="22"/>
          <w:highlight w:val="none"/>
        </w:rPr>
        <w:t>投标文件必须在投标文件递交截止时间前成功上传递交至“政府采购云平台”，否则投标无效。</w:t>
      </w:r>
    </w:p>
    <w:p>
      <w:pPr>
        <w:pStyle w:val="8"/>
        <w:adjustRightInd w:val="0"/>
        <w:snapToGrid w:val="0"/>
        <w:spacing w:before="120" w:beforeLines="50" w:after="50" w:line="400" w:lineRule="atLeast"/>
        <w:ind w:firstLine="440"/>
        <w:rPr>
          <w:rFonts w:ascii="宋体"/>
          <w:color w:val="auto"/>
          <w:sz w:val="22"/>
          <w:szCs w:val="22"/>
          <w:highlight w:val="none"/>
        </w:rPr>
      </w:pPr>
      <w:r>
        <w:rPr>
          <w:rFonts w:hint="eastAsia" w:ascii="宋体"/>
          <w:color w:val="auto"/>
          <w:sz w:val="22"/>
          <w:szCs w:val="22"/>
          <w:highlight w:val="none"/>
        </w:rPr>
        <w:t>2.2招标代理机构如因故推迟投标截止时间，应在投标截止日前以更正公告形式通知所有投标人。在这种情况下，投标人的权利和义务将受到新的截止时间的约束。</w:t>
      </w:r>
    </w:p>
    <w:p>
      <w:pPr>
        <w:pStyle w:val="8"/>
        <w:adjustRightInd w:val="0"/>
        <w:snapToGrid w:val="0"/>
        <w:spacing w:before="120" w:beforeLines="50" w:after="50" w:line="360" w:lineRule="auto"/>
        <w:ind w:firstLine="440"/>
        <w:rPr>
          <w:rFonts w:ascii="宋体"/>
          <w:color w:val="auto"/>
          <w:sz w:val="22"/>
          <w:szCs w:val="22"/>
          <w:highlight w:val="none"/>
        </w:rPr>
      </w:pPr>
      <w:r>
        <w:rPr>
          <w:rFonts w:hint="eastAsia" w:ascii="宋体"/>
          <w:color w:val="auto"/>
          <w:sz w:val="22"/>
          <w:szCs w:val="22"/>
          <w:highlight w:val="none"/>
        </w:rPr>
        <w:t>3、投标文件的修改和撤回</w:t>
      </w:r>
    </w:p>
    <w:p>
      <w:pPr>
        <w:pStyle w:val="22"/>
        <w:adjustRightInd w:val="0"/>
        <w:snapToGrid w:val="0"/>
        <w:spacing w:line="360" w:lineRule="auto"/>
        <w:ind w:firstLine="433" w:firstLineChars="196"/>
        <w:rPr>
          <w:rFonts w:hAnsi="宋体" w:cs="Arial"/>
          <w:b/>
          <w:color w:val="auto"/>
          <w:kern w:val="0"/>
          <w:sz w:val="22"/>
          <w:highlight w:val="none"/>
        </w:rPr>
      </w:pPr>
      <w:r>
        <w:rPr>
          <w:rFonts w:hint="eastAsia" w:hAnsi="宋体" w:cs="Arial"/>
          <w:b/>
          <w:color w:val="auto"/>
          <w:kern w:val="0"/>
          <w:sz w:val="22"/>
          <w:highlight w:val="none"/>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r>
        <w:rPr>
          <w:rFonts w:hAnsi="宋体" w:cs="Arial"/>
          <w:b/>
          <w:color w:val="auto"/>
          <w:kern w:val="0"/>
          <w:sz w:val="22"/>
          <w:highlight w:val="none"/>
        </w:rPr>
        <w:t>投标截止时间后，投标供应商不得撤回、修改投标文件</w:t>
      </w:r>
      <w:r>
        <w:rPr>
          <w:rFonts w:hint="eastAsia" w:hAnsi="宋体" w:cs="Arial"/>
          <w:b/>
          <w:color w:val="auto"/>
          <w:kern w:val="0"/>
          <w:sz w:val="22"/>
          <w:highlight w:val="none"/>
        </w:rPr>
        <w:t>。</w:t>
      </w:r>
    </w:p>
    <w:p>
      <w:pPr>
        <w:pStyle w:val="22"/>
        <w:adjustRightInd w:val="0"/>
        <w:snapToGrid w:val="0"/>
        <w:spacing w:line="360" w:lineRule="auto"/>
        <w:ind w:firstLine="440"/>
        <w:rPr>
          <w:rFonts w:hAnsi="宋体" w:cs="Arial"/>
          <w:color w:val="auto"/>
          <w:sz w:val="22"/>
          <w:highlight w:val="none"/>
        </w:rPr>
      </w:pPr>
      <w:r>
        <w:rPr>
          <w:rFonts w:hint="eastAsia" w:hAnsi="宋体" w:cs="Arial"/>
          <w:color w:val="auto"/>
          <w:sz w:val="22"/>
          <w:highlight w:val="none"/>
        </w:rPr>
        <w:t>4、投标文件的备选方案</w:t>
      </w:r>
    </w:p>
    <w:p>
      <w:pPr>
        <w:pStyle w:val="22"/>
        <w:adjustRightInd w:val="0"/>
        <w:snapToGrid w:val="0"/>
        <w:spacing w:line="360" w:lineRule="auto"/>
        <w:ind w:firstLine="433" w:firstLineChars="196"/>
        <w:outlineLvl w:val="0"/>
        <w:rPr>
          <w:rFonts w:hAnsi="宋体" w:cs="Arial"/>
          <w:b/>
          <w:color w:val="auto"/>
          <w:kern w:val="0"/>
          <w:sz w:val="22"/>
          <w:highlight w:val="none"/>
        </w:rPr>
      </w:pPr>
      <w:r>
        <w:rPr>
          <w:rFonts w:hint="eastAsia" w:hAnsi="宋体" w:cs="Arial"/>
          <w:b/>
          <w:color w:val="auto"/>
          <w:kern w:val="0"/>
          <w:sz w:val="22"/>
          <w:highlight w:val="none"/>
        </w:rPr>
        <w:t>投标供应商不得递交任何的</w:t>
      </w:r>
      <w:r>
        <w:rPr>
          <w:rFonts w:hAnsi="宋体" w:cs="Arial"/>
          <w:b/>
          <w:color w:val="auto"/>
          <w:kern w:val="0"/>
          <w:sz w:val="22"/>
          <w:highlight w:val="none"/>
        </w:rPr>
        <w:t>投标备选（替代）方案</w:t>
      </w:r>
      <w:r>
        <w:rPr>
          <w:rFonts w:hint="eastAsia" w:hAnsi="宋体" w:cs="Arial"/>
          <w:b/>
          <w:color w:val="auto"/>
          <w:kern w:val="0"/>
          <w:sz w:val="22"/>
          <w:highlight w:val="none"/>
        </w:rPr>
        <w:t>，否则其投标文件将作无效标处理。与“电子加密投标文件”同时生成的“备份投标文件”不是投标备选（替代）方案。</w:t>
      </w:r>
    </w:p>
    <w:p>
      <w:pPr>
        <w:pStyle w:val="22"/>
        <w:adjustRightInd w:val="0"/>
        <w:snapToGrid w:val="0"/>
        <w:spacing w:line="360" w:lineRule="auto"/>
        <w:ind w:firstLine="435" w:firstLineChars="197"/>
        <w:outlineLvl w:val="0"/>
        <w:rPr>
          <w:rFonts w:hAnsi="宋体"/>
          <w:b/>
          <w:color w:val="auto"/>
          <w:sz w:val="22"/>
          <w:szCs w:val="22"/>
          <w:highlight w:val="none"/>
        </w:rPr>
      </w:pPr>
      <w:r>
        <w:rPr>
          <w:rFonts w:hint="eastAsia" w:hAnsi="宋体"/>
          <w:b/>
          <w:color w:val="auto"/>
          <w:sz w:val="22"/>
          <w:szCs w:val="22"/>
          <w:highlight w:val="none"/>
        </w:rPr>
        <w:t>六、开标和评标</w:t>
      </w:r>
    </w:p>
    <w:p>
      <w:pPr>
        <w:pStyle w:val="22"/>
        <w:adjustRightInd w:val="0"/>
        <w:snapToGrid w:val="0"/>
        <w:spacing w:line="360" w:lineRule="auto"/>
        <w:ind w:firstLine="440"/>
        <w:rPr>
          <w:rFonts w:hAnsi="宋体"/>
          <w:color w:val="auto"/>
          <w:sz w:val="22"/>
          <w:highlight w:val="none"/>
        </w:rPr>
      </w:pPr>
      <w:r>
        <w:rPr>
          <w:rFonts w:hint="eastAsia" w:hAnsi="宋体"/>
          <w:color w:val="auto"/>
          <w:sz w:val="22"/>
          <w:highlight w:val="none"/>
        </w:rPr>
        <w:t>1、开标形式</w:t>
      </w:r>
    </w:p>
    <w:p>
      <w:pPr>
        <w:pStyle w:val="22"/>
        <w:adjustRightInd w:val="0"/>
        <w:snapToGrid w:val="0"/>
        <w:spacing w:line="360" w:lineRule="auto"/>
        <w:ind w:firstLine="442"/>
        <w:rPr>
          <w:rFonts w:hAnsi="宋体"/>
          <w:b/>
          <w:color w:val="auto"/>
          <w:sz w:val="22"/>
          <w:highlight w:val="none"/>
        </w:rPr>
      </w:pPr>
      <w:r>
        <w:rPr>
          <w:rFonts w:hint="eastAsia" w:hAnsi="宋体"/>
          <w:b/>
          <w:color w:val="auto"/>
          <w:sz w:val="22"/>
          <w:highlight w:val="none"/>
        </w:rPr>
        <w:t>1.1采购组织机构将按照招标文件规定的时间通过“政府采购云平台”组织开标、开启投标文件，所有供应商均应当准时在线参加。</w:t>
      </w:r>
    </w:p>
    <w:p>
      <w:pPr>
        <w:pStyle w:val="22"/>
        <w:adjustRightInd w:val="0"/>
        <w:snapToGrid w:val="0"/>
        <w:spacing w:line="360" w:lineRule="auto"/>
        <w:ind w:firstLine="440"/>
        <w:rPr>
          <w:rFonts w:hAnsi="宋体"/>
          <w:color w:val="auto"/>
          <w:sz w:val="22"/>
          <w:highlight w:val="none"/>
        </w:rPr>
      </w:pPr>
      <w:r>
        <w:rPr>
          <w:rFonts w:hint="eastAsia" w:hAnsi="宋体"/>
          <w:color w:val="auto"/>
          <w:sz w:val="22"/>
          <w:highlight w:val="none"/>
        </w:rPr>
        <w:t>2、</w:t>
      </w:r>
      <w:r>
        <w:rPr>
          <w:rFonts w:hAnsi="宋体"/>
          <w:color w:val="auto"/>
          <w:sz w:val="22"/>
          <w:highlight w:val="none"/>
        </w:rPr>
        <w:t>开标</w:t>
      </w:r>
      <w:r>
        <w:rPr>
          <w:rFonts w:hint="eastAsia" w:hAnsi="宋体"/>
          <w:color w:val="auto"/>
          <w:sz w:val="22"/>
          <w:highlight w:val="none"/>
        </w:rPr>
        <w:t>准备</w:t>
      </w:r>
    </w:p>
    <w:p>
      <w:pPr>
        <w:pStyle w:val="22"/>
        <w:adjustRightInd w:val="0"/>
        <w:snapToGrid w:val="0"/>
        <w:spacing w:line="360" w:lineRule="auto"/>
        <w:ind w:firstLine="440"/>
        <w:rPr>
          <w:rFonts w:hAnsi="宋体"/>
          <w:color w:val="auto"/>
          <w:sz w:val="22"/>
          <w:highlight w:val="none"/>
        </w:rPr>
      </w:pPr>
      <w:r>
        <w:rPr>
          <w:rFonts w:hAnsi="宋体"/>
          <w:color w:val="auto"/>
          <w:sz w:val="22"/>
          <w:highlight w:val="none"/>
        </w:rPr>
        <w:t>2</w:t>
      </w:r>
      <w:r>
        <w:rPr>
          <w:rFonts w:hint="eastAsia" w:hAnsi="宋体"/>
          <w:color w:val="auto"/>
          <w:sz w:val="22"/>
          <w:highlight w:val="none"/>
        </w:rPr>
        <w:t>.1开标的准备工作由采购组织机构负责落实；</w:t>
      </w:r>
    </w:p>
    <w:p>
      <w:pPr>
        <w:pStyle w:val="22"/>
        <w:adjustRightInd w:val="0"/>
        <w:snapToGrid w:val="0"/>
        <w:spacing w:line="360" w:lineRule="auto"/>
        <w:ind w:firstLine="442"/>
        <w:rPr>
          <w:rFonts w:hAnsi="宋体"/>
          <w:b/>
          <w:color w:val="auto"/>
          <w:sz w:val="22"/>
          <w:highlight w:val="none"/>
        </w:rPr>
      </w:pPr>
      <w:r>
        <w:rPr>
          <w:rFonts w:hAnsi="宋体"/>
          <w:b/>
          <w:color w:val="auto"/>
          <w:sz w:val="22"/>
          <w:highlight w:val="none"/>
        </w:rPr>
        <w:t>2</w:t>
      </w:r>
      <w:r>
        <w:rPr>
          <w:rFonts w:hint="eastAsia" w:hAnsi="宋体"/>
          <w:b/>
          <w:color w:val="auto"/>
          <w:sz w:val="22"/>
          <w:highlight w:val="none"/>
        </w:rPr>
        <w:t>.2采购组织机构将按照招标文件规定的时间通过“政府采购云平台”组织开标、开启投标文件，所有供应商均应当准时在线参加。投标供应商</w:t>
      </w:r>
      <w:r>
        <w:rPr>
          <w:rFonts w:hAnsi="宋体"/>
          <w:b/>
          <w:color w:val="auto"/>
          <w:sz w:val="22"/>
          <w:highlight w:val="none"/>
        </w:rPr>
        <w:t>如不</w:t>
      </w:r>
      <w:r>
        <w:rPr>
          <w:rFonts w:hint="eastAsia" w:hAnsi="宋体"/>
          <w:b/>
          <w:color w:val="auto"/>
          <w:sz w:val="22"/>
          <w:highlight w:val="none"/>
        </w:rPr>
        <w:t>参加</w:t>
      </w:r>
      <w:r>
        <w:rPr>
          <w:rFonts w:hAnsi="宋体"/>
          <w:b/>
          <w:color w:val="auto"/>
          <w:sz w:val="22"/>
          <w:highlight w:val="none"/>
        </w:rPr>
        <w:t>开标大会的，</w:t>
      </w:r>
      <w:r>
        <w:rPr>
          <w:rFonts w:hint="eastAsia" w:hAnsi="宋体"/>
          <w:b/>
          <w:color w:val="auto"/>
          <w:sz w:val="22"/>
          <w:highlight w:val="none"/>
        </w:rPr>
        <w:t>视同认可开标结果，</w:t>
      </w:r>
      <w:r>
        <w:rPr>
          <w:rFonts w:hAnsi="宋体"/>
          <w:b/>
          <w:color w:val="auto"/>
          <w:sz w:val="22"/>
          <w:highlight w:val="none"/>
        </w:rPr>
        <w:t>事后不得对采购相关人员、开标过程和开标结果提出异议</w:t>
      </w:r>
      <w:r>
        <w:rPr>
          <w:rFonts w:hint="eastAsia" w:hAnsi="宋体"/>
          <w:b/>
          <w:color w:val="auto"/>
          <w:sz w:val="22"/>
          <w:highlight w:val="none"/>
        </w:rPr>
        <w:t>，同时投标供应商因未在线参加开标而导致投标文件无法按时解密等一切后果由供应商自己承担。</w:t>
      </w:r>
    </w:p>
    <w:p>
      <w:pPr>
        <w:spacing w:line="360" w:lineRule="auto"/>
        <w:ind w:firstLine="389" w:firstLineChars="177"/>
        <w:jc w:val="left"/>
        <w:rPr>
          <w:rFonts w:ascii="宋体" w:hAnsi="宋体"/>
          <w:color w:val="auto"/>
          <w:sz w:val="22"/>
          <w:highlight w:val="none"/>
        </w:rPr>
      </w:pPr>
      <w:r>
        <w:rPr>
          <w:rFonts w:hint="eastAsia" w:ascii="宋体" w:hAnsi="宋体"/>
          <w:color w:val="auto"/>
          <w:sz w:val="22"/>
          <w:highlight w:val="none"/>
        </w:rPr>
        <w:t>3、开标流程</w:t>
      </w:r>
    </w:p>
    <w:p>
      <w:pPr>
        <w:spacing w:line="360" w:lineRule="auto"/>
        <w:ind w:firstLine="389" w:firstLineChars="177"/>
        <w:jc w:val="left"/>
        <w:rPr>
          <w:rFonts w:ascii="宋体" w:hAnsi="宋体" w:cs="Arial"/>
          <w:color w:val="auto"/>
          <w:kern w:val="0"/>
          <w:sz w:val="22"/>
          <w:highlight w:val="none"/>
        </w:rPr>
      </w:pPr>
      <w:r>
        <w:rPr>
          <w:rFonts w:hint="eastAsia" w:ascii="宋体" w:hAnsi="宋体" w:cs="Arial"/>
          <w:color w:val="auto"/>
          <w:kern w:val="0"/>
          <w:sz w:val="22"/>
          <w:highlight w:val="none"/>
        </w:rPr>
        <w:t>（1）通过邮件形式</w:t>
      </w:r>
      <w:r>
        <w:rPr>
          <w:rFonts w:hint="eastAsia" w:ascii="宋体" w:hAnsi="宋体" w:cs="Arial"/>
          <w:b/>
          <w:color w:val="auto"/>
          <w:kern w:val="0"/>
          <w:sz w:val="22"/>
          <w:highlight w:val="none"/>
        </w:rPr>
        <w:t>（供应商的邮箱号以投标报名时填写的有效电子邮箱为准，下同）</w:t>
      </w:r>
      <w:r>
        <w:rPr>
          <w:rFonts w:hint="eastAsia" w:ascii="宋体" w:hAnsi="宋体" w:cs="Arial"/>
          <w:color w:val="auto"/>
          <w:kern w:val="0"/>
          <w:sz w:val="22"/>
          <w:highlight w:val="none"/>
        </w:rPr>
        <w:t>发送各投标供应商组织签署《政府采购活动现场确认声明书》，投标供应商在收到《政府采购活动现场确认声明书》后，须在30分钟内填写完成并回传</w:t>
      </w:r>
      <w:r>
        <w:rPr>
          <w:rFonts w:hint="eastAsia" w:ascii="宋体" w:hAnsi="宋体" w:cs="Arial"/>
          <w:b/>
          <w:color w:val="auto"/>
          <w:kern w:val="0"/>
          <w:sz w:val="22"/>
          <w:highlight w:val="none"/>
        </w:rPr>
        <w:t>（采购组织机构邮箱：</w:t>
      </w:r>
      <w:r>
        <w:rPr>
          <w:color w:val="auto"/>
          <w:highlight w:val="none"/>
        </w:rPr>
        <w:fldChar w:fldCharType="begin"/>
      </w:r>
      <w:r>
        <w:rPr>
          <w:color w:val="auto"/>
          <w:highlight w:val="none"/>
        </w:rPr>
        <w:instrText xml:space="preserve"> HYPERLINK "mailto:27845657@qq.com" </w:instrText>
      </w:r>
      <w:r>
        <w:rPr>
          <w:color w:val="auto"/>
          <w:highlight w:val="none"/>
        </w:rPr>
        <w:fldChar w:fldCharType="separate"/>
      </w:r>
      <w:r>
        <w:rPr>
          <w:rStyle w:val="45"/>
          <w:rFonts w:hint="eastAsia" w:hAnsi="宋体" w:cs="Arial"/>
          <w:b/>
          <w:color w:val="auto"/>
          <w:kern w:val="0"/>
          <w:sz w:val="22"/>
          <w:szCs w:val="22"/>
          <w:highlight w:val="none"/>
        </w:rPr>
        <w:t>1017874347@qq.com</w:t>
      </w:r>
      <w:r>
        <w:rPr>
          <w:rStyle w:val="45"/>
          <w:rFonts w:hint="eastAsia" w:hAnsi="宋体" w:cs="Arial"/>
          <w:b/>
          <w:color w:val="auto"/>
          <w:kern w:val="0"/>
          <w:sz w:val="22"/>
          <w:szCs w:val="22"/>
          <w:highlight w:val="none"/>
        </w:rPr>
        <w:fldChar w:fldCharType="end"/>
      </w:r>
      <w:r>
        <w:rPr>
          <w:rFonts w:hint="eastAsia" w:ascii="宋体" w:hAnsi="宋体" w:cs="Arial"/>
          <w:b/>
          <w:color w:val="auto"/>
          <w:kern w:val="0"/>
          <w:sz w:val="22"/>
          <w:highlight w:val="none"/>
        </w:rPr>
        <w:t>，下同）</w:t>
      </w:r>
      <w:r>
        <w:rPr>
          <w:rFonts w:hint="eastAsia" w:ascii="宋体" w:hAnsi="宋体" w:cs="Arial"/>
          <w:color w:val="auto"/>
          <w:kern w:val="0"/>
          <w:sz w:val="22"/>
          <w:highlight w:val="none"/>
        </w:rPr>
        <w:t>，否则按投标供应商默认处理；</w:t>
      </w:r>
    </w:p>
    <w:p>
      <w:pPr>
        <w:spacing w:line="360" w:lineRule="auto"/>
        <w:ind w:firstLine="389" w:firstLineChars="177"/>
        <w:jc w:val="left"/>
        <w:rPr>
          <w:rFonts w:ascii="宋体" w:hAnsi="宋体" w:cs="Arial"/>
          <w:color w:val="auto"/>
          <w:kern w:val="0"/>
          <w:sz w:val="22"/>
          <w:highlight w:val="none"/>
        </w:rPr>
      </w:pPr>
      <w:r>
        <w:rPr>
          <w:rFonts w:hint="eastAsia" w:ascii="宋体" w:hAnsi="宋体" w:cs="Arial"/>
          <w:color w:val="auto"/>
          <w:kern w:val="0"/>
          <w:sz w:val="22"/>
          <w:highlight w:val="none"/>
        </w:rPr>
        <w:t>（2）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389" w:firstLineChars="177"/>
        <w:jc w:val="left"/>
        <w:rPr>
          <w:rFonts w:ascii="宋体" w:hAnsi="宋体" w:cs="Arial"/>
          <w:color w:val="auto"/>
          <w:kern w:val="0"/>
          <w:sz w:val="22"/>
          <w:highlight w:val="none"/>
        </w:rPr>
      </w:pPr>
      <w:r>
        <w:rPr>
          <w:rFonts w:hint="eastAsia" w:ascii="宋体" w:hAnsi="宋体" w:cs="Arial"/>
          <w:color w:val="auto"/>
          <w:kern w:val="0"/>
          <w:sz w:val="22"/>
          <w:highlight w:val="none"/>
        </w:rPr>
        <w:t>（</w:t>
      </w:r>
      <w:r>
        <w:rPr>
          <w:rFonts w:ascii="宋体" w:hAnsi="宋体" w:cs="Arial"/>
          <w:color w:val="auto"/>
          <w:kern w:val="0"/>
          <w:sz w:val="22"/>
          <w:highlight w:val="none"/>
        </w:rPr>
        <w:t>3</w:t>
      </w:r>
      <w:r>
        <w:rPr>
          <w:rFonts w:hint="eastAsia" w:ascii="宋体" w:hAnsi="宋体" w:cs="Arial"/>
          <w:color w:val="auto"/>
          <w:kern w:val="0"/>
          <w:sz w:val="22"/>
          <w:highlight w:val="none"/>
        </w:rPr>
        <w:t>）开启投标文件，进入资格审查；</w:t>
      </w:r>
    </w:p>
    <w:p>
      <w:pPr>
        <w:spacing w:line="360" w:lineRule="auto"/>
        <w:ind w:firstLine="389" w:firstLineChars="177"/>
        <w:jc w:val="left"/>
        <w:rPr>
          <w:rFonts w:ascii="宋体" w:hAnsi="宋体" w:cs="Arial"/>
          <w:color w:val="auto"/>
          <w:kern w:val="0"/>
          <w:sz w:val="22"/>
          <w:highlight w:val="none"/>
        </w:rPr>
      </w:pPr>
      <w:r>
        <w:rPr>
          <w:rFonts w:hint="eastAsia" w:ascii="宋体" w:hAnsi="宋体" w:cs="Arial"/>
          <w:color w:val="auto"/>
          <w:kern w:val="0"/>
          <w:sz w:val="22"/>
          <w:highlight w:val="none"/>
        </w:rPr>
        <w:t>（</w:t>
      </w:r>
      <w:r>
        <w:rPr>
          <w:rFonts w:ascii="宋体" w:hAnsi="宋体" w:cs="Arial"/>
          <w:color w:val="auto"/>
          <w:kern w:val="0"/>
          <w:sz w:val="22"/>
          <w:highlight w:val="none"/>
        </w:rPr>
        <w:t>4</w:t>
      </w:r>
      <w:r>
        <w:rPr>
          <w:rFonts w:hint="eastAsia" w:ascii="宋体" w:hAnsi="宋体" w:cs="Arial"/>
          <w:color w:val="auto"/>
          <w:kern w:val="0"/>
          <w:sz w:val="22"/>
          <w:highlight w:val="none"/>
        </w:rPr>
        <w:t>）资格审查未通过的供应商将通过邮件形式告知；资格审查通过的投标供应商进入符合性审查及技术资信部分评审；</w:t>
      </w:r>
    </w:p>
    <w:p>
      <w:pPr>
        <w:spacing w:line="360" w:lineRule="auto"/>
        <w:ind w:firstLine="389" w:firstLineChars="177"/>
        <w:jc w:val="left"/>
        <w:rPr>
          <w:rFonts w:ascii="宋体" w:hAnsi="宋体" w:cs="Arial"/>
          <w:color w:val="auto"/>
          <w:kern w:val="0"/>
          <w:sz w:val="22"/>
          <w:highlight w:val="none"/>
        </w:rPr>
      </w:pPr>
      <w:r>
        <w:rPr>
          <w:rFonts w:hint="eastAsia" w:ascii="宋体" w:hAnsi="宋体" w:cs="Arial"/>
          <w:color w:val="auto"/>
          <w:kern w:val="0"/>
          <w:sz w:val="22"/>
          <w:highlight w:val="none"/>
        </w:rPr>
        <w:t>（5）符合性审查及技术资信部分评审结束后，通过发送邮件形式公布符合性审查、技术资信部分评审无效供应商名称及理由</w:t>
      </w:r>
      <w:r>
        <w:rPr>
          <w:rFonts w:ascii="宋体" w:hAnsi="宋体" w:cs="Arial"/>
          <w:color w:val="auto"/>
          <w:kern w:val="0"/>
          <w:sz w:val="22"/>
          <w:highlight w:val="none"/>
        </w:rPr>
        <w:t>；公布经</w:t>
      </w:r>
      <w:r>
        <w:rPr>
          <w:rFonts w:hint="eastAsia" w:ascii="宋体" w:hAnsi="宋体" w:cs="Arial"/>
          <w:color w:val="auto"/>
          <w:kern w:val="0"/>
          <w:sz w:val="22"/>
          <w:highlight w:val="none"/>
        </w:rPr>
        <w:t>符合性审查及技术资信部分</w:t>
      </w:r>
      <w:r>
        <w:rPr>
          <w:rFonts w:ascii="宋体" w:hAnsi="宋体" w:cs="Arial"/>
          <w:color w:val="auto"/>
          <w:kern w:val="0"/>
          <w:sz w:val="22"/>
          <w:highlight w:val="none"/>
        </w:rPr>
        <w:t>评审</w:t>
      </w:r>
      <w:r>
        <w:rPr>
          <w:rFonts w:hint="eastAsia" w:ascii="宋体" w:hAnsi="宋体" w:cs="Arial"/>
          <w:color w:val="auto"/>
          <w:kern w:val="0"/>
          <w:sz w:val="22"/>
          <w:highlight w:val="none"/>
        </w:rPr>
        <w:t>后有效投标</w:t>
      </w:r>
      <w:r>
        <w:rPr>
          <w:rFonts w:ascii="宋体" w:hAnsi="宋体" w:cs="Arial"/>
          <w:color w:val="auto"/>
          <w:kern w:val="0"/>
          <w:sz w:val="22"/>
          <w:highlight w:val="none"/>
        </w:rPr>
        <w:t>供应商</w:t>
      </w:r>
      <w:r>
        <w:rPr>
          <w:rFonts w:hint="eastAsia" w:ascii="宋体" w:hAnsi="宋体" w:cs="Arial"/>
          <w:color w:val="auto"/>
          <w:kern w:val="0"/>
          <w:sz w:val="22"/>
          <w:highlight w:val="none"/>
        </w:rPr>
        <w:t>的</w:t>
      </w:r>
      <w:r>
        <w:rPr>
          <w:rFonts w:ascii="宋体" w:hAnsi="宋体" w:cs="Arial"/>
          <w:color w:val="auto"/>
          <w:kern w:val="0"/>
          <w:sz w:val="22"/>
          <w:highlight w:val="none"/>
        </w:rPr>
        <w:t>名单，同时公布</w:t>
      </w:r>
      <w:r>
        <w:rPr>
          <w:rFonts w:hint="eastAsia" w:ascii="宋体" w:hAnsi="宋体" w:cs="Arial"/>
          <w:color w:val="auto"/>
          <w:kern w:val="0"/>
          <w:sz w:val="22"/>
          <w:highlight w:val="none"/>
        </w:rPr>
        <w:t>其技术资信部分</w:t>
      </w:r>
      <w:r>
        <w:rPr>
          <w:rFonts w:ascii="宋体" w:hAnsi="宋体" w:cs="Arial"/>
          <w:color w:val="auto"/>
          <w:kern w:val="0"/>
          <w:sz w:val="22"/>
          <w:highlight w:val="none"/>
        </w:rPr>
        <w:t>得分情况</w:t>
      </w:r>
      <w:r>
        <w:rPr>
          <w:rFonts w:hint="eastAsia" w:ascii="宋体" w:hAnsi="宋体" w:cs="Arial"/>
          <w:color w:val="auto"/>
          <w:kern w:val="0"/>
          <w:sz w:val="22"/>
          <w:highlight w:val="none"/>
        </w:rPr>
        <w:t>。</w:t>
      </w:r>
    </w:p>
    <w:p>
      <w:pPr>
        <w:spacing w:line="360" w:lineRule="auto"/>
        <w:ind w:firstLine="389" w:firstLineChars="177"/>
        <w:jc w:val="left"/>
        <w:rPr>
          <w:rFonts w:ascii="宋体" w:hAnsi="宋体" w:cs="Arial"/>
          <w:color w:val="auto"/>
          <w:kern w:val="0"/>
          <w:sz w:val="22"/>
          <w:highlight w:val="none"/>
        </w:rPr>
      </w:pPr>
      <w:r>
        <w:rPr>
          <w:rFonts w:hint="eastAsia" w:ascii="宋体" w:hAnsi="宋体" w:cs="Arial"/>
          <w:color w:val="auto"/>
          <w:kern w:val="0"/>
          <w:sz w:val="22"/>
          <w:highlight w:val="none"/>
        </w:rPr>
        <w:t>（6）开启符合性审查、技术资信部分评审有效投标供应商的《商务报价文件》，通过发送邮件形式公布开标一览表有关内容，同时当场制作开标记录表，供应商通过发送邮件形式</w:t>
      </w:r>
      <w:r>
        <w:rPr>
          <w:rFonts w:ascii="宋体" w:hAnsi="宋体" w:cs="Arial"/>
          <w:color w:val="auto"/>
          <w:kern w:val="0"/>
          <w:sz w:val="22"/>
          <w:highlight w:val="none"/>
        </w:rPr>
        <w:t>签字确认（不予确认的应说明理由，否则视为无异议）。唱标结束后，由评标委员会对报价的合理性、准确性等进行审查核实</w:t>
      </w:r>
      <w:r>
        <w:rPr>
          <w:rFonts w:hint="eastAsia" w:ascii="宋体" w:hAnsi="宋体" w:cs="Arial"/>
          <w:color w:val="auto"/>
          <w:kern w:val="0"/>
          <w:sz w:val="22"/>
          <w:highlight w:val="none"/>
        </w:rPr>
        <w:t>。</w:t>
      </w:r>
    </w:p>
    <w:p>
      <w:pPr>
        <w:spacing w:line="360" w:lineRule="auto"/>
        <w:ind w:firstLine="389" w:firstLineChars="177"/>
        <w:jc w:val="left"/>
        <w:rPr>
          <w:rFonts w:ascii="宋体" w:hAnsi="宋体" w:cs="Arial"/>
          <w:color w:val="auto"/>
          <w:kern w:val="0"/>
          <w:sz w:val="22"/>
          <w:highlight w:val="none"/>
        </w:rPr>
      </w:pPr>
      <w:r>
        <w:rPr>
          <w:rFonts w:hint="eastAsia" w:ascii="宋体" w:hAnsi="宋体" w:cs="Arial"/>
          <w:color w:val="auto"/>
          <w:kern w:val="0"/>
          <w:sz w:val="22"/>
          <w:highlight w:val="none"/>
        </w:rPr>
        <w:t>（7）商务技术评审结束后，通过发送邮件形式</w:t>
      </w:r>
      <w:r>
        <w:rPr>
          <w:rFonts w:ascii="宋体" w:hAnsi="宋体" w:cs="Arial"/>
          <w:color w:val="auto"/>
          <w:kern w:val="0"/>
          <w:sz w:val="22"/>
          <w:highlight w:val="none"/>
        </w:rPr>
        <w:t>公布经商务技术评审</w:t>
      </w:r>
      <w:r>
        <w:rPr>
          <w:rFonts w:hint="eastAsia" w:ascii="宋体" w:hAnsi="宋体" w:cs="Arial"/>
          <w:color w:val="auto"/>
          <w:kern w:val="0"/>
          <w:sz w:val="22"/>
          <w:highlight w:val="none"/>
        </w:rPr>
        <w:t>后有效投标</w:t>
      </w:r>
      <w:r>
        <w:rPr>
          <w:rFonts w:ascii="宋体" w:hAnsi="宋体" w:cs="Arial"/>
          <w:color w:val="auto"/>
          <w:kern w:val="0"/>
          <w:sz w:val="22"/>
          <w:highlight w:val="none"/>
        </w:rPr>
        <w:t>供应商</w:t>
      </w:r>
      <w:r>
        <w:rPr>
          <w:rFonts w:hint="eastAsia" w:ascii="宋体" w:hAnsi="宋体" w:cs="Arial"/>
          <w:color w:val="auto"/>
          <w:kern w:val="0"/>
          <w:sz w:val="22"/>
          <w:highlight w:val="none"/>
        </w:rPr>
        <w:t>的</w:t>
      </w:r>
      <w:r>
        <w:rPr>
          <w:rFonts w:ascii="宋体" w:hAnsi="宋体" w:cs="Arial"/>
          <w:color w:val="auto"/>
          <w:kern w:val="0"/>
          <w:sz w:val="22"/>
          <w:highlight w:val="none"/>
        </w:rPr>
        <w:t>名单及各供应商得分情况</w:t>
      </w:r>
      <w:r>
        <w:rPr>
          <w:rFonts w:hint="eastAsia" w:ascii="宋体" w:hAnsi="宋体" w:cs="Arial"/>
          <w:color w:val="auto"/>
          <w:kern w:val="0"/>
          <w:sz w:val="22"/>
          <w:highlight w:val="none"/>
        </w:rPr>
        <w:t>。</w:t>
      </w:r>
    </w:p>
    <w:p>
      <w:pPr>
        <w:spacing w:line="360" w:lineRule="auto"/>
        <w:ind w:firstLine="389" w:firstLineChars="177"/>
        <w:jc w:val="left"/>
        <w:rPr>
          <w:rFonts w:ascii="宋体" w:hAnsi="宋体" w:cs="Arial"/>
          <w:color w:val="auto"/>
          <w:kern w:val="0"/>
          <w:sz w:val="22"/>
          <w:highlight w:val="none"/>
        </w:rPr>
      </w:pPr>
      <w:r>
        <w:rPr>
          <w:rFonts w:hint="eastAsia" w:ascii="宋体" w:hAnsi="宋体" w:cs="Arial"/>
          <w:color w:val="auto"/>
          <w:kern w:val="0"/>
          <w:sz w:val="22"/>
          <w:highlight w:val="none"/>
        </w:rPr>
        <w:t>（8）评审结束后，通过发送邮件形式公布中标（成交）候选供应商名单，及采购人最终确定中标或成交供应商名单的时间和公告方式等。</w:t>
      </w:r>
    </w:p>
    <w:p>
      <w:pPr>
        <w:pStyle w:val="22"/>
        <w:adjustRightInd w:val="0"/>
        <w:snapToGrid w:val="0"/>
        <w:spacing w:line="360" w:lineRule="auto"/>
        <w:ind w:firstLine="442"/>
        <w:rPr>
          <w:rFonts w:hAnsi="宋体"/>
          <w:color w:val="auto"/>
          <w:sz w:val="22"/>
          <w:highlight w:val="none"/>
        </w:rPr>
      </w:pPr>
      <w:r>
        <w:rPr>
          <w:rFonts w:hint="eastAsia" w:hAnsi="宋体" w:cs="Arial"/>
          <w:b/>
          <w:color w:val="auto"/>
          <w:kern w:val="0"/>
          <w:sz w:val="22"/>
          <w:highlight w:val="none"/>
        </w:rPr>
        <w:t>特别说明：如遇“政府采购云平台”电子化开标或评审程序调整的，按调整后程序执行。</w:t>
      </w:r>
    </w:p>
    <w:p>
      <w:pPr>
        <w:spacing w:line="360" w:lineRule="auto"/>
        <w:ind w:firstLine="391" w:firstLineChars="177"/>
        <w:jc w:val="left"/>
        <w:rPr>
          <w:rFonts w:ascii="宋体" w:hAnsi="宋体"/>
          <w:b/>
          <w:color w:val="auto"/>
          <w:sz w:val="22"/>
          <w:highlight w:val="none"/>
        </w:rPr>
      </w:pPr>
      <w:r>
        <w:rPr>
          <w:rFonts w:hint="eastAsia" w:ascii="宋体" w:hAnsi="宋体"/>
          <w:b/>
          <w:color w:val="auto"/>
          <w:sz w:val="22"/>
          <w:highlight w:val="none"/>
        </w:rPr>
        <w:t>4、投标供应商资格审查</w:t>
      </w:r>
    </w:p>
    <w:p>
      <w:pPr>
        <w:spacing w:line="360" w:lineRule="auto"/>
        <w:ind w:firstLine="389" w:firstLineChars="177"/>
        <w:jc w:val="left"/>
        <w:rPr>
          <w:rFonts w:ascii="宋体" w:hAnsi="宋体" w:cs="Arial"/>
          <w:color w:val="auto"/>
          <w:kern w:val="0"/>
          <w:sz w:val="22"/>
          <w:highlight w:val="none"/>
        </w:rPr>
      </w:pPr>
      <w:r>
        <w:rPr>
          <w:rFonts w:ascii="宋体" w:hAnsi="宋体" w:cs="Arial"/>
          <w:color w:val="auto"/>
          <w:kern w:val="0"/>
          <w:sz w:val="22"/>
          <w:highlight w:val="none"/>
        </w:rPr>
        <w:t>4</w:t>
      </w:r>
      <w:r>
        <w:rPr>
          <w:rFonts w:hint="eastAsia" w:ascii="宋体" w:hAnsi="宋体" w:cs="Arial"/>
          <w:color w:val="auto"/>
          <w:kern w:val="0"/>
          <w:sz w:val="22"/>
          <w:highlight w:val="none"/>
        </w:rPr>
        <w:t>.1开启投标文件后，采购人或采购代理机构首先依法对各投标供应商的资格进行审查，审查各投标供应商的资格是否满足招标文件的要求。</w:t>
      </w:r>
      <w:r>
        <w:rPr>
          <w:rFonts w:ascii="宋体" w:hAnsi="宋体" w:cs="Arial"/>
          <w:color w:val="auto"/>
          <w:kern w:val="0"/>
          <w:sz w:val="22"/>
          <w:highlight w:val="none"/>
        </w:rPr>
        <w:t>采购人或采购代理机构对投标</w:t>
      </w:r>
      <w:r>
        <w:rPr>
          <w:rFonts w:hint="eastAsia" w:ascii="宋体" w:hAnsi="宋体" w:cs="Arial"/>
          <w:color w:val="auto"/>
          <w:kern w:val="0"/>
          <w:sz w:val="22"/>
          <w:highlight w:val="none"/>
        </w:rPr>
        <w:t>供应商</w:t>
      </w:r>
      <w:r>
        <w:rPr>
          <w:rFonts w:ascii="宋体" w:hAnsi="宋体" w:cs="Arial"/>
          <w:color w:val="auto"/>
          <w:kern w:val="0"/>
          <w:sz w:val="22"/>
          <w:highlight w:val="none"/>
        </w:rPr>
        <w:t>所</w:t>
      </w:r>
      <w:r>
        <w:rPr>
          <w:rFonts w:hint="eastAsia" w:ascii="宋体" w:hAnsi="宋体" w:cs="Arial"/>
          <w:color w:val="auto"/>
          <w:kern w:val="0"/>
          <w:sz w:val="22"/>
          <w:highlight w:val="none"/>
        </w:rPr>
        <w:t>提交</w:t>
      </w:r>
      <w:r>
        <w:rPr>
          <w:rFonts w:ascii="宋体" w:hAnsi="宋体" w:cs="Arial"/>
          <w:color w:val="auto"/>
          <w:kern w:val="0"/>
          <w:sz w:val="22"/>
          <w:highlight w:val="none"/>
        </w:rPr>
        <w:t>的资格证明材料仅负审核的责任。如发现投标</w:t>
      </w:r>
      <w:r>
        <w:rPr>
          <w:rFonts w:hint="eastAsia" w:ascii="宋体" w:hAnsi="宋体" w:cs="Arial"/>
          <w:color w:val="auto"/>
          <w:kern w:val="0"/>
          <w:sz w:val="22"/>
          <w:highlight w:val="none"/>
        </w:rPr>
        <w:t>供应商</w:t>
      </w:r>
      <w:r>
        <w:rPr>
          <w:rFonts w:ascii="宋体" w:hAnsi="宋体" w:cs="Arial"/>
          <w:color w:val="auto"/>
          <w:kern w:val="0"/>
          <w:sz w:val="22"/>
          <w:highlight w:val="none"/>
        </w:rPr>
        <w:t>所提</w:t>
      </w:r>
      <w:r>
        <w:rPr>
          <w:rFonts w:hint="eastAsia" w:ascii="宋体" w:hAnsi="宋体" w:cs="Arial"/>
          <w:color w:val="auto"/>
          <w:kern w:val="0"/>
          <w:sz w:val="22"/>
          <w:highlight w:val="none"/>
        </w:rPr>
        <w:t>交</w:t>
      </w:r>
      <w:r>
        <w:rPr>
          <w:rFonts w:ascii="宋体" w:hAnsi="宋体" w:cs="Arial"/>
          <w:color w:val="auto"/>
          <w:kern w:val="0"/>
          <w:sz w:val="22"/>
          <w:highlight w:val="none"/>
        </w:rPr>
        <w:t>的资格证明材料不合法或</w:t>
      </w:r>
      <w:r>
        <w:rPr>
          <w:rFonts w:hint="eastAsia" w:ascii="宋体" w:hAnsi="宋体" w:cs="Arial"/>
          <w:color w:val="auto"/>
          <w:kern w:val="0"/>
          <w:sz w:val="22"/>
          <w:highlight w:val="none"/>
        </w:rPr>
        <w:t>与事实不符</w:t>
      </w:r>
      <w:r>
        <w:rPr>
          <w:rFonts w:ascii="宋体" w:hAnsi="宋体" w:cs="Arial"/>
          <w:color w:val="auto"/>
          <w:kern w:val="0"/>
          <w:sz w:val="22"/>
          <w:highlight w:val="none"/>
        </w:rPr>
        <w:t>，采购人可取消</w:t>
      </w:r>
      <w:r>
        <w:rPr>
          <w:rFonts w:hint="eastAsia" w:ascii="宋体" w:hAnsi="宋体" w:cs="Arial"/>
          <w:color w:val="auto"/>
          <w:kern w:val="0"/>
          <w:sz w:val="22"/>
          <w:highlight w:val="none"/>
        </w:rPr>
        <w:t>其</w:t>
      </w:r>
      <w:r>
        <w:rPr>
          <w:rFonts w:ascii="宋体" w:hAnsi="宋体" w:cs="Arial"/>
          <w:color w:val="auto"/>
          <w:kern w:val="0"/>
          <w:sz w:val="22"/>
          <w:highlight w:val="none"/>
        </w:rPr>
        <w:t>中标资格并追究投标</w:t>
      </w:r>
      <w:r>
        <w:rPr>
          <w:rFonts w:hint="eastAsia" w:ascii="宋体" w:hAnsi="宋体" w:cs="Arial"/>
          <w:color w:val="auto"/>
          <w:kern w:val="0"/>
          <w:sz w:val="22"/>
          <w:highlight w:val="none"/>
        </w:rPr>
        <w:t>供应商</w:t>
      </w:r>
      <w:r>
        <w:rPr>
          <w:rFonts w:ascii="宋体" w:hAnsi="宋体" w:cs="Arial"/>
          <w:color w:val="auto"/>
          <w:kern w:val="0"/>
          <w:sz w:val="22"/>
          <w:highlight w:val="none"/>
        </w:rPr>
        <w:t>的法律责任。</w:t>
      </w:r>
    </w:p>
    <w:p>
      <w:pPr>
        <w:spacing w:line="360" w:lineRule="auto"/>
        <w:ind w:firstLine="389" w:firstLineChars="177"/>
        <w:jc w:val="left"/>
        <w:rPr>
          <w:rFonts w:ascii="宋体" w:hAnsi="宋体" w:cs="Arial"/>
          <w:color w:val="auto"/>
          <w:kern w:val="0"/>
          <w:sz w:val="22"/>
          <w:highlight w:val="none"/>
        </w:rPr>
      </w:pPr>
      <w:r>
        <w:rPr>
          <w:rFonts w:ascii="宋体" w:hAnsi="宋体" w:cs="Arial"/>
          <w:color w:val="auto"/>
          <w:kern w:val="0"/>
          <w:sz w:val="22"/>
          <w:highlight w:val="none"/>
        </w:rPr>
        <w:t>4</w:t>
      </w:r>
      <w:r>
        <w:rPr>
          <w:rFonts w:hint="eastAsia" w:ascii="宋体" w:hAnsi="宋体" w:cs="Arial"/>
          <w:color w:val="auto"/>
          <w:kern w:val="0"/>
          <w:sz w:val="22"/>
          <w:highlight w:val="none"/>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360" w:lineRule="auto"/>
        <w:ind w:firstLine="389" w:firstLineChars="177"/>
        <w:jc w:val="left"/>
        <w:rPr>
          <w:rFonts w:ascii="宋体" w:hAnsi="宋体" w:cs="Arial"/>
          <w:color w:val="auto"/>
          <w:kern w:val="0"/>
          <w:sz w:val="22"/>
          <w:highlight w:val="none"/>
        </w:rPr>
      </w:pPr>
      <w:r>
        <w:rPr>
          <w:rFonts w:ascii="宋体" w:hAnsi="宋体" w:cs="Arial"/>
          <w:color w:val="auto"/>
          <w:kern w:val="0"/>
          <w:sz w:val="22"/>
          <w:highlight w:val="none"/>
        </w:rPr>
        <w:t>4</w:t>
      </w:r>
      <w:r>
        <w:rPr>
          <w:rFonts w:hint="eastAsia" w:ascii="宋体" w:hAnsi="宋体" w:cs="Arial"/>
          <w:color w:val="auto"/>
          <w:kern w:val="0"/>
          <w:sz w:val="22"/>
          <w:highlight w:val="none"/>
        </w:rPr>
        <w:t>.3单位负责人为同一人或者存在直接控股、管理关系的不同供应商参加同一合同项下的政府采购活动的，相关投标供应商均作资格无效处理。</w:t>
      </w:r>
    </w:p>
    <w:p>
      <w:pPr>
        <w:pStyle w:val="22"/>
        <w:adjustRightInd w:val="0"/>
        <w:snapToGrid w:val="0"/>
        <w:spacing w:line="360" w:lineRule="auto"/>
        <w:ind w:firstLine="435" w:firstLineChars="197"/>
        <w:rPr>
          <w:rFonts w:hAnsi="宋体" w:cs="Arial"/>
          <w:b/>
          <w:color w:val="auto"/>
          <w:sz w:val="22"/>
          <w:szCs w:val="22"/>
          <w:highlight w:val="none"/>
        </w:rPr>
      </w:pPr>
      <w:r>
        <w:rPr>
          <w:rFonts w:hint="eastAsia" w:hAnsi="宋体" w:cs="Arial"/>
          <w:b/>
          <w:color w:val="auto"/>
          <w:sz w:val="22"/>
          <w:szCs w:val="22"/>
          <w:highlight w:val="none"/>
        </w:rPr>
        <w:t>5、评标</w:t>
      </w:r>
    </w:p>
    <w:p>
      <w:pPr>
        <w:pStyle w:val="22"/>
        <w:adjustRightInd w:val="0"/>
        <w:snapToGrid w:val="0"/>
        <w:spacing w:line="440" w:lineRule="atLeast"/>
        <w:ind w:firstLine="435" w:firstLineChars="197"/>
        <w:rPr>
          <w:rFonts w:hAnsi="宋体" w:cs="Arial"/>
          <w:b/>
          <w:color w:val="auto"/>
          <w:sz w:val="22"/>
          <w:szCs w:val="22"/>
          <w:highlight w:val="none"/>
        </w:rPr>
      </w:pPr>
      <w:r>
        <w:rPr>
          <w:rFonts w:hint="eastAsia" w:hAnsi="宋体" w:cs="Arial"/>
          <w:b/>
          <w:color w:val="auto"/>
          <w:sz w:val="22"/>
          <w:szCs w:val="22"/>
          <w:highlight w:val="none"/>
        </w:rPr>
        <w:t>5.1评标由招标机构依法组建的评标委员会负责</w:t>
      </w:r>
      <w:r>
        <w:rPr>
          <w:rFonts w:hint="eastAsia" w:hAnsi="宋体"/>
          <w:b/>
          <w:color w:val="auto"/>
          <w:sz w:val="22"/>
          <w:szCs w:val="22"/>
          <w:highlight w:val="none"/>
        </w:rPr>
        <w:t>，并独立履行下列职责：</w:t>
      </w:r>
    </w:p>
    <w:p>
      <w:pPr>
        <w:snapToGrid w:val="0"/>
        <w:spacing w:line="440" w:lineRule="atLeast"/>
        <w:ind w:firstLine="433" w:firstLineChars="197"/>
        <w:rPr>
          <w:rFonts w:ascii="宋体"/>
          <w:color w:val="auto"/>
          <w:sz w:val="22"/>
          <w:szCs w:val="22"/>
          <w:highlight w:val="none"/>
        </w:rPr>
      </w:pPr>
      <w:r>
        <w:rPr>
          <w:rFonts w:hint="eastAsia" w:ascii="宋体"/>
          <w:color w:val="auto"/>
          <w:sz w:val="22"/>
          <w:szCs w:val="22"/>
          <w:highlight w:val="none"/>
        </w:rPr>
        <w:t>1）审查投标文件是否符合招标文件要求，并做出评价；</w:t>
      </w:r>
    </w:p>
    <w:p>
      <w:pPr>
        <w:snapToGrid w:val="0"/>
        <w:spacing w:line="440" w:lineRule="atLeast"/>
        <w:ind w:firstLine="433" w:firstLineChars="197"/>
        <w:rPr>
          <w:rFonts w:ascii="宋体"/>
          <w:color w:val="auto"/>
          <w:sz w:val="22"/>
          <w:szCs w:val="22"/>
          <w:highlight w:val="none"/>
        </w:rPr>
      </w:pPr>
      <w:r>
        <w:rPr>
          <w:rFonts w:hint="eastAsia" w:ascii="宋体"/>
          <w:color w:val="auto"/>
          <w:sz w:val="22"/>
          <w:szCs w:val="22"/>
          <w:highlight w:val="none"/>
        </w:rPr>
        <w:t>2）要求投标人对投标文件有关事项做出解释或者澄清；</w:t>
      </w:r>
    </w:p>
    <w:p>
      <w:pPr>
        <w:snapToGrid w:val="0"/>
        <w:spacing w:line="440" w:lineRule="atLeast"/>
        <w:ind w:firstLine="433" w:firstLineChars="197"/>
        <w:rPr>
          <w:rFonts w:ascii="宋体"/>
          <w:color w:val="auto"/>
          <w:sz w:val="22"/>
          <w:szCs w:val="22"/>
          <w:highlight w:val="none"/>
        </w:rPr>
      </w:pPr>
      <w:r>
        <w:rPr>
          <w:rFonts w:hint="eastAsia" w:ascii="宋体"/>
          <w:color w:val="auto"/>
          <w:sz w:val="22"/>
          <w:szCs w:val="22"/>
          <w:highlight w:val="none"/>
        </w:rPr>
        <w:t>3）按照招标文件确定的评标办法确定预中标候选人，并对其排序；综合得分最高的投标人推荐为中标人；</w:t>
      </w:r>
    </w:p>
    <w:p>
      <w:pPr>
        <w:pStyle w:val="22"/>
        <w:adjustRightInd w:val="0"/>
        <w:snapToGrid w:val="0"/>
        <w:spacing w:line="440" w:lineRule="atLeast"/>
        <w:ind w:firstLine="433" w:firstLineChars="197"/>
        <w:rPr>
          <w:rFonts w:hAnsi="宋体"/>
          <w:color w:val="auto"/>
          <w:sz w:val="22"/>
          <w:szCs w:val="22"/>
          <w:highlight w:val="none"/>
        </w:rPr>
      </w:pPr>
      <w:r>
        <w:rPr>
          <w:rFonts w:hint="eastAsia" w:hAnsi="宋体"/>
          <w:color w:val="auto"/>
          <w:sz w:val="22"/>
          <w:szCs w:val="22"/>
          <w:highlight w:val="none"/>
        </w:rPr>
        <w:t>4）向招标人或者有关部门报告非法干预评标工作的行为。</w:t>
      </w:r>
    </w:p>
    <w:p>
      <w:pPr>
        <w:pStyle w:val="22"/>
        <w:adjustRightInd w:val="0"/>
        <w:snapToGrid w:val="0"/>
        <w:spacing w:line="440" w:lineRule="atLeast"/>
        <w:ind w:firstLine="433" w:firstLineChars="197"/>
        <w:rPr>
          <w:rFonts w:hAnsi="宋体"/>
          <w:color w:val="auto"/>
          <w:sz w:val="22"/>
          <w:szCs w:val="22"/>
          <w:highlight w:val="none"/>
        </w:rPr>
      </w:pPr>
      <w:r>
        <w:rPr>
          <w:rFonts w:hint="eastAsia" w:hAnsi="宋体"/>
          <w:color w:val="auto"/>
          <w:sz w:val="22"/>
          <w:szCs w:val="22"/>
          <w:highlight w:val="none"/>
        </w:rPr>
        <w:t>5）根据招标人的授权确定预中标候选人名单；</w:t>
      </w:r>
    </w:p>
    <w:p>
      <w:pPr>
        <w:snapToGrid w:val="0"/>
        <w:spacing w:line="440" w:lineRule="atLeast"/>
        <w:ind w:firstLine="435" w:firstLineChars="197"/>
        <w:rPr>
          <w:rFonts w:ascii="宋体"/>
          <w:b/>
          <w:color w:val="auto"/>
          <w:sz w:val="22"/>
          <w:szCs w:val="22"/>
          <w:highlight w:val="none"/>
        </w:rPr>
      </w:pPr>
      <w:r>
        <w:rPr>
          <w:rFonts w:hint="eastAsia" w:ascii="宋体"/>
          <w:b/>
          <w:color w:val="auto"/>
          <w:sz w:val="22"/>
          <w:szCs w:val="22"/>
          <w:highlight w:val="none"/>
        </w:rPr>
        <w:t>5.2评标应当遵循下列工作程序：</w:t>
      </w:r>
    </w:p>
    <w:p>
      <w:pPr>
        <w:snapToGrid w:val="0"/>
        <w:spacing w:line="440" w:lineRule="atLeast"/>
        <w:ind w:firstLine="433" w:firstLineChars="197"/>
        <w:rPr>
          <w:rFonts w:ascii="宋体"/>
          <w:color w:val="auto"/>
          <w:sz w:val="22"/>
          <w:szCs w:val="22"/>
          <w:highlight w:val="none"/>
        </w:rPr>
      </w:pPr>
      <w:r>
        <w:rPr>
          <w:rFonts w:hint="eastAsia" w:ascii="宋体"/>
          <w:color w:val="auto"/>
          <w:sz w:val="22"/>
          <w:szCs w:val="22"/>
          <w:highlight w:val="none"/>
        </w:rPr>
        <w:t>1）投标文件的初步审查和符合性审查。</w:t>
      </w:r>
    </w:p>
    <w:p>
      <w:pPr>
        <w:snapToGrid w:val="0"/>
        <w:spacing w:line="440" w:lineRule="atLeast"/>
        <w:ind w:firstLine="433" w:firstLineChars="197"/>
        <w:rPr>
          <w:rFonts w:ascii="宋体"/>
          <w:color w:val="auto"/>
          <w:sz w:val="22"/>
          <w:szCs w:val="22"/>
          <w:highlight w:val="none"/>
        </w:rPr>
      </w:pPr>
      <w:r>
        <w:rPr>
          <w:rFonts w:hint="eastAsia" w:ascii="宋体"/>
          <w:color w:val="auto"/>
          <w:sz w:val="22"/>
          <w:szCs w:val="22"/>
          <w:highlight w:val="none"/>
        </w:rPr>
        <w:t>（1)初步审查。对所有通过资格审查的投标供应商的投标文件进行初步审查，审查、评价投标文件是否符合招标文件的商务、技术、服务等实质性要求。</w:t>
      </w:r>
    </w:p>
    <w:p>
      <w:pPr>
        <w:snapToGrid w:val="0"/>
        <w:spacing w:line="440" w:lineRule="atLeast"/>
        <w:ind w:firstLine="323" w:firstLineChars="147"/>
        <w:rPr>
          <w:rFonts w:ascii="宋体"/>
          <w:color w:val="auto"/>
          <w:sz w:val="22"/>
          <w:szCs w:val="22"/>
          <w:highlight w:val="none"/>
        </w:rPr>
      </w:pPr>
      <w:r>
        <w:rPr>
          <w:rFonts w:hint="eastAsia" w:ascii="宋体"/>
          <w:color w:val="auto"/>
          <w:sz w:val="22"/>
          <w:szCs w:val="22"/>
          <w:highlight w:val="none"/>
        </w:rPr>
        <w:t>（2)符合性检查。依据招标文件的规定，从投标文件的有效性、完整性和对招标文件的响应程度进行审查，以确定是否对招标文件的实质性要求做出响应。</w:t>
      </w:r>
    </w:p>
    <w:p>
      <w:pPr>
        <w:snapToGrid w:val="0"/>
        <w:spacing w:line="440" w:lineRule="atLeast"/>
        <w:ind w:firstLine="433" w:firstLineChars="197"/>
        <w:rPr>
          <w:rFonts w:ascii="宋体"/>
          <w:color w:val="auto"/>
          <w:sz w:val="22"/>
          <w:szCs w:val="22"/>
          <w:highlight w:val="none"/>
        </w:rPr>
      </w:pPr>
      <w:r>
        <w:rPr>
          <w:rFonts w:hint="eastAsia" w:ascii="宋体"/>
          <w:color w:val="auto"/>
          <w:sz w:val="22"/>
          <w:szCs w:val="22"/>
          <w:highlight w:val="none"/>
        </w:rPr>
        <w:t>2）澄清有关问题。</w:t>
      </w:r>
      <w:r>
        <w:rPr>
          <w:rFonts w:hint="eastAsia" w:hAnsi="宋体" w:cs="Arial"/>
          <w:b/>
          <w:color w:val="auto"/>
          <w:kern w:val="0"/>
          <w:sz w:val="22"/>
          <w:highlight w:val="none"/>
        </w:rPr>
        <w:t>对于投标文件中含义不明确、同类问题表述不一致或者有明显文字和计算错误的内容，评标委员会将以书面形式（或通过“政府采购云平台”在线询标）的形式要求</w:t>
      </w:r>
      <w:r>
        <w:rPr>
          <w:rFonts w:hAnsi="宋体" w:cs="Arial"/>
          <w:b/>
          <w:color w:val="auto"/>
          <w:kern w:val="0"/>
          <w:sz w:val="22"/>
          <w:highlight w:val="none"/>
        </w:rPr>
        <w:t>投标供应商</w:t>
      </w:r>
      <w:r>
        <w:rPr>
          <w:rFonts w:hint="eastAsia" w:hAnsi="宋体" w:cs="Arial"/>
          <w:b/>
          <w:color w:val="auto"/>
          <w:kern w:val="0"/>
          <w:sz w:val="22"/>
          <w:highlight w:val="none"/>
        </w:rPr>
        <w:t>在规定的时间内作出必要的澄清、说明或者补正，投标供应商澄清、说明或补正时间为30分钟。</w:t>
      </w:r>
      <w:r>
        <w:rPr>
          <w:rFonts w:hAnsi="宋体"/>
          <w:b/>
          <w:bCs/>
          <w:color w:val="auto"/>
          <w:sz w:val="22"/>
          <w:highlight w:val="none"/>
        </w:rPr>
        <w:t>投标供应商</w:t>
      </w:r>
      <w:r>
        <w:rPr>
          <w:rFonts w:hint="eastAsia" w:hAnsi="宋体"/>
          <w:b/>
          <w:bCs/>
          <w:color w:val="auto"/>
          <w:sz w:val="22"/>
          <w:highlight w:val="none"/>
        </w:rPr>
        <w:t>的澄清、说明或者补正应当采用书面（或通过“政府采购云平台”在线答复）形式提交，并加盖公章，或者由法定代表人或其授权的代表签字。</w:t>
      </w:r>
      <w:r>
        <w:rPr>
          <w:rFonts w:hAnsi="宋体"/>
          <w:b/>
          <w:bCs/>
          <w:color w:val="auto"/>
          <w:sz w:val="22"/>
          <w:highlight w:val="none"/>
        </w:rPr>
        <w:t>投标供应商</w:t>
      </w:r>
      <w:r>
        <w:rPr>
          <w:rFonts w:hint="eastAsia" w:hAnsi="宋体"/>
          <w:b/>
          <w:bCs/>
          <w:color w:val="auto"/>
          <w:sz w:val="22"/>
          <w:highlight w:val="none"/>
        </w:rPr>
        <w:t>的澄清、说明或者补正不得超出投标文件的范围或者改变投标文件的实质性内容。</w:t>
      </w:r>
    </w:p>
    <w:p>
      <w:pPr>
        <w:pStyle w:val="22"/>
        <w:adjustRightInd w:val="0"/>
        <w:snapToGrid w:val="0"/>
        <w:spacing w:line="440" w:lineRule="atLeast"/>
        <w:ind w:firstLine="433" w:firstLineChars="197"/>
        <w:rPr>
          <w:rFonts w:hAnsi="宋体"/>
          <w:color w:val="auto"/>
          <w:sz w:val="22"/>
          <w:szCs w:val="22"/>
          <w:highlight w:val="none"/>
        </w:rPr>
      </w:pPr>
      <w:r>
        <w:rPr>
          <w:rFonts w:hint="eastAsia" w:hAnsi="宋体"/>
          <w:color w:val="auto"/>
          <w:sz w:val="22"/>
          <w:szCs w:val="22"/>
          <w:highlight w:val="none"/>
        </w:rPr>
        <w:t>3）比较与评价。按招标文件中规定的评标方法和标准，对资格性检查和符合性检查合格的投标文件进行商务和技术评估，综合比较与评价。</w:t>
      </w:r>
    </w:p>
    <w:p>
      <w:pPr>
        <w:pStyle w:val="22"/>
        <w:adjustRightInd w:val="0"/>
        <w:snapToGrid w:val="0"/>
        <w:spacing w:line="440" w:lineRule="atLeast"/>
        <w:ind w:firstLine="433" w:firstLineChars="197"/>
        <w:rPr>
          <w:rFonts w:hAnsi="宋体" w:cs="Arial"/>
          <w:color w:val="auto"/>
          <w:sz w:val="22"/>
          <w:szCs w:val="22"/>
          <w:highlight w:val="none"/>
        </w:rPr>
      </w:pPr>
      <w:r>
        <w:rPr>
          <w:rFonts w:hint="eastAsia" w:hAnsi="宋体"/>
          <w:color w:val="auto"/>
          <w:sz w:val="22"/>
          <w:szCs w:val="22"/>
          <w:highlight w:val="none"/>
        </w:rPr>
        <w:t>4）推荐预中标候选人名单，并根据招标人的授权确定中标人。</w:t>
      </w:r>
    </w:p>
    <w:p>
      <w:pPr>
        <w:pStyle w:val="22"/>
        <w:adjustRightInd w:val="0"/>
        <w:snapToGrid w:val="0"/>
        <w:spacing w:line="440" w:lineRule="atLeast"/>
        <w:ind w:firstLine="435" w:firstLineChars="197"/>
        <w:rPr>
          <w:rFonts w:hAnsi="宋体" w:cs="Arial"/>
          <w:b/>
          <w:color w:val="auto"/>
          <w:sz w:val="22"/>
          <w:szCs w:val="22"/>
          <w:highlight w:val="none"/>
        </w:rPr>
      </w:pPr>
      <w:r>
        <w:rPr>
          <w:rFonts w:hint="eastAsia" w:hAnsi="宋体" w:cs="Arial"/>
          <w:b/>
          <w:color w:val="auto"/>
          <w:sz w:val="22"/>
          <w:szCs w:val="22"/>
          <w:highlight w:val="none"/>
        </w:rPr>
        <w:t>5.3、</w:t>
      </w:r>
      <w:r>
        <w:rPr>
          <w:rFonts w:hint="eastAsia" w:hAnsi="宋体"/>
          <w:b/>
          <w:color w:val="auto"/>
          <w:sz w:val="22"/>
          <w:szCs w:val="22"/>
          <w:highlight w:val="none"/>
        </w:rPr>
        <w:t>本项目按时送达的投标文件应达到三家及三家以上，才可开标。否则应视该招标缺乏有效竞争而依法重新组织招标；</w:t>
      </w:r>
    </w:p>
    <w:p>
      <w:pPr>
        <w:pStyle w:val="22"/>
        <w:adjustRightInd w:val="0"/>
        <w:snapToGrid w:val="0"/>
        <w:spacing w:line="360" w:lineRule="auto"/>
        <w:ind w:firstLine="435" w:firstLineChars="197"/>
        <w:rPr>
          <w:rFonts w:hAnsi="宋体" w:cs="Arial"/>
          <w:b/>
          <w:color w:val="auto"/>
          <w:sz w:val="22"/>
          <w:szCs w:val="22"/>
          <w:highlight w:val="none"/>
          <w:u w:val="single"/>
        </w:rPr>
      </w:pPr>
      <w:r>
        <w:rPr>
          <w:rFonts w:hint="eastAsia" w:hAnsi="宋体" w:cs="Arial"/>
          <w:b/>
          <w:color w:val="auto"/>
          <w:sz w:val="22"/>
          <w:szCs w:val="22"/>
          <w:highlight w:val="none"/>
        </w:rPr>
        <w:t>5.4、</w:t>
      </w:r>
      <w:r>
        <w:rPr>
          <w:rFonts w:hint="eastAsia" w:hAnsi="宋体"/>
          <w:b/>
          <w:color w:val="auto"/>
          <w:sz w:val="22"/>
          <w:szCs w:val="22"/>
          <w:highlight w:val="none"/>
          <w:u w:val="single"/>
        </w:rPr>
        <w:t>▲</w:t>
      </w:r>
      <w:r>
        <w:rPr>
          <w:rFonts w:hint="eastAsia" w:hAnsi="宋体" w:cs="Arial"/>
          <w:b/>
          <w:color w:val="auto"/>
          <w:sz w:val="22"/>
          <w:szCs w:val="22"/>
          <w:highlight w:val="none"/>
          <w:u w:val="single"/>
        </w:rPr>
        <w:t>评标委员会发现投标文件有下列情形之一的属于重大偏差(评标委员会按少数服从多数原则认定),按照无效投标处理：</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1）未按招标文件要求编制或密封或字迹模糊、辨认不清的投标文件；</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2）投标人递交两份或两份以上内容不同的投标文件，未声明哪一份有效的；</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3）投标文件中法定代表人授权书、投标函、开标一览表没有按招标文件格式要求加盖有效公章、无法定代表人（或授权代表）签字（或印章）的；</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4）投标人投标文件中付款方式、完工期出现负偏差的；</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5）投标人技术资信部分投标文件中出现商务报价；</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6）明显不符合服务要求的投标文件；</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7）不符合招标文件中规定的实质性要求的投标文件，是否为偏离实质性要求由评标委员会认定。</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8）</w:t>
      </w:r>
      <w:r>
        <w:rPr>
          <w:rFonts w:hint="eastAsia" w:hAnsi="宋体" w:cs="Arial"/>
          <w:bCs/>
          <w:color w:val="auto"/>
          <w:sz w:val="22"/>
          <w:highlight w:val="none"/>
        </w:rPr>
        <w:t>仅提交“备份投标文件”的；</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9）投标人的投标文件中有不明确的问题或其报价明显不合理且又不能合理说明（解释清楚）或者不能提供相关证明材料的；</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10）存在串标、抬标或弄虚作假情况的；</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11）对关键条文的偏离、保留或反对，例如关于适用法律、税金等其他内容；</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12）其他经评标委员会认定的未能在实质上响应的或违反国家有关规定的投标文件。</w:t>
      </w:r>
    </w:p>
    <w:p>
      <w:pPr>
        <w:adjustRightInd w:val="0"/>
        <w:snapToGrid w:val="0"/>
        <w:spacing w:line="360" w:lineRule="auto"/>
        <w:ind w:firstLine="433" w:firstLineChars="197"/>
        <w:rPr>
          <w:rFonts w:ascii="宋体" w:cs="Arial"/>
          <w:color w:val="auto"/>
          <w:sz w:val="22"/>
          <w:szCs w:val="22"/>
          <w:highlight w:val="none"/>
        </w:rPr>
      </w:pPr>
      <w:r>
        <w:rPr>
          <w:rFonts w:hint="eastAsia" w:ascii="宋体" w:cs="Arial"/>
          <w:color w:val="auto"/>
          <w:sz w:val="22"/>
          <w:szCs w:val="22"/>
          <w:highlight w:val="none"/>
        </w:rPr>
        <w:t>5.5、实质上没有响应招标文件要求的投标将被拒绝。投标人不得通过修正或撤消不合要求的偏离从而使其投标成为实质上响应的投标。</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5.6、评标委员会对投标文件的判定，只依据投标内容本身，不依靠开标后的任何外来证明。</w:t>
      </w:r>
    </w:p>
    <w:p>
      <w:pPr>
        <w:pStyle w:val="22"/>
        <w:adjustRightInd w:val="0"/>
        <w:snapToGrid w:val="0"/>
        <w:spacing w:line="360" w:lineRule="auto"/>
        <w:ind w:firstLine="433" w:firstLineChars="197"/>
        <w:rPr>
          <w:rFonts w:hAnsi="宋体"/>
          <w:color w:val="auto"/>
          <w:sz w:val="22"/>
          <w:szCs w:val="22"/>
          <w:highlight w:val="none"/>
        </w:rPr>
      </w:pPr>
      <w:r>
        <w:rPr>
          <w:rFonts w:hint="eastAsia" w:hAnsi="宋体" w:cs="Arial"/>
          <w:color w:val="auto"/>
          <w:sz w:val="22"/>
          <w:szCs w:val="22"/>
          <w:highlight w:val="none"/>
        </w:rPr>
        <w:t>5.7、评标委员会</w:t>
      </w:r>
      <w:r>
        <w:rPr>
          <w:rFonts w:hint="eastAsia" w:hAnsi="宋体"/>
          <w:color w:val="auto"/>
          <w:sz w:val="22"/>
          <w:szCs w:val="22"/>
          <w:highlight w:val="none"/>
        </w:rPr>
        <w:t>在评标中，不得改变招标文件中规定的评标标准、方法和中标条件。</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olor w:val="auto"/>
          <w:sz w:val="22"/>
          <w:szCs w:val="22"/>
          <w:highlight w:val="none"/>
        </w:rPr>
        <w:t>5.8、评标时如遇到招标文件未规定的特殊情况，由评标委员会按少数服从多数原则集体决定处理。</w:t>
      </w:r>
    </w:p>
    <w:p>
      <w:pPr>
        <w:pStyle w:val="22"/>
        <w:adjustRightInd w:val="0"/>
        <w:snapToGrid w:val="0"/>
        <w:spacing w:line="360" w:lineRule="auto"/>
        <w:ind w:firstLine="435" w:firstLineChars="197"/>
        <w:rPr>
          <w:rFonts w:hAnsi="宋体" w:cs="Arial"/>
          <w:b/>
          <w:color w:val="auto"/>
          <w:sz w:val="22"/>
          <w:szCs w:val="22"/>
          <w:highlight w:val="none"/>
        </w:rPr>
      </w:pPr>
      <w:r>
        <w:rPr>
          <w:rFonts w:hint="eastAsia" w:hAnsi="宋体" w:cs="Arial"/>
          <w:b/>
          <w:color w:val="auto"/>
          <w:sz w:val="22"/>
          <w:szCs w:val="22"/>
          <w:highlight w:val="none"/>
        </w:rPr>
        <w:t>6、投标文件的澄清</w:t>
      </w:r>
    </w:p>
    <w:p>
      <w:pPr>
        <w:adjustRightInd w:val="0"/>
        <w:snapToGrid w:val="0"/>
        <w:spacing w:line="360" w:lineRule="auto"/>
        <w:ind w:firstLine="433" w:firstLineChars="197"/>
        <w:rPr>
          <w:rFonts w:ascii="宋体" w:cs="Arial"/>
          <w:color w:val="auto"/>
          <w:sz w:val="22"/>
          <w:szCs w:val="22"/>
          <w:highlight w:val="none"/>
        </w:rPr>
      </w:pPr>
      <w:r>
        <w:rPr>
          <w:rFonts w:hint="eastAsia" w:ascii="宋体" w:cs="Arial"/>
          <w:color w:val="auto"/>
          <w:sz w:val="22"/>
          <w:szCs w:val="22"/>
          <w:highlight w:val="none"/>
        </w:rPr>
        <w:t>6.1 为有利于对投标文件的比较和评议，必要时招标人及评标委员会可要求投标人对投标文件及合同条款进行澄清，并做出书面答复。书面答复须有投标授权代表签字并作为投标内容的一部分。</w:t>
      </w:r>
    </w:p>
    <w:p>
      <w:pPr>
        <w:adjustRightInd w:val="0"/>
        <w:snapToGrid w:val="0"/>
        <w:spacing w:line="360" w:lineRule="auto"/>
        <w:ind w:firstLine="433" w:firstLineChars="197"/>
        <w:rPr>
          <w:rFonts w:ascii="宋体" w:cs="Arial"/>
          <w:color w:val="auto"/>
          <w:sz w:val="22"/>
          <w:szCs w:val="22"/>
          <w:highlight w:val="none"/>
        </w:rPr>
      </w:pPr>
      <w:r>
        <w:rPr>
          <w:rFonts w:hint="eastAsia" w:ascii="宋体" w:cs="Arial"/>
          <w:color w:val="auto"/>
          <w:sz w:val="22"/>
          <w:szCs w:val="22"/>
          <w:highlight w:val="none"/>
        </w:rPr>
        <w:t xml:space="preserve">6.2 投标人对投标文件的澄清不得寻求、提供或允许改变投标价格等实质性内容。 </w:t>
      </w:r>
    </w:p>
    <w:p>
      <w:pPr>
        <w:pStyle w:val="22"/>
        <w:adjustRightInd w:val="0"/>
        <w:spacing w:line="360" w:lineRule="auto"/>
        <w:ind w:firstLine="477" w:firstLineChars="216"/>
        <w:rPr>
          <w:rFonts w:hAnsi="宋体"/>
          <w:b/>
          <w:bCs/>
          <w:color w:val="auto"/>
          <w:sz w:val="22"/>
          <w:highlight w:val="none"/>
        </w:rPr>
      </w:pPr>
      <w:r>
        <w:rPr>
          <w:rFonts w:hint="eastAsia" w:hAnsi="宋体"/>
          <w:b/>
          <w:bCs/>
          <w:color w:val="auto"/>
          <w:sz w:val="22"/>
          <w:highlight w:val="none"/>
        </w:rPr>
        <w:t>7、投标文件的错误修正</w:t>
      </w:r>
    </w:p>
    <w:p>
      <w:pPr>
        <w:pStyle w:val="22"/>
        <w:adjustRightInd w:val="0"/>
        <w:spacing w:line="360" w:lineRule="auto"/>
        <w:ind w:firstLine="440" w:firstLineChars="200"/>
        <w:rPr>
          <w:rFonts w:hAnsi="宋体" w:cs="Arial"/>
          <w:color w:val="auto"/>
          <w:kern w:val="0"/>
          <w:sz w:val="22"/>
          <w:highlight w:val="none"/>
        </w:rPr>
      </w:pPr>
      <w:r>
        <w:rPr>
          <w:rFonts w:hint="eastAsia" w:hAnsi="宋体" w:cs="Arial"/>
          <w:color w:val="auto"/>
          <w:kern w:val="0"/>
          <w:sz w:val="22"/>
          <w:highlight w:val="none"/>
        </w:rPr>
        <w:t>7.1投标</w:t>
      </w:r>
      <w:r>
        <w:rPr>
          <w:rFonts w:hAnsi="宋体" w:cs="Arial"/>
          <w:color w:val="auto"/>
          <w:kern w:val="0"/>
          <w:sz w:val="22"/>
          <w:highlight w:val="none"/>
        </w:rPr>
        <w:t>文件如果出现计算或表达上的错误，修正错误的原则如下：</w:t>
      </w:r>
    </w:p>
    <w:p>
      <w:pPr>
        <w:pStyle w:val="22"/>
        <w:adjustRightInd w:val="0"/>
        <w:spacing w:line="360" w:lineRule="auto"/>
        <w:ind w:firstLine="440" w:firstLineChars="200"/>
        <w:rPr>
          <w:rFonts w:hAnsi="宋体" w:cs="Arial"/>
          <w:color w:val="auto"/>
          <w:kern w:val="0"/>
          <w:sz w:val="22"/>
          <w:highlight w:val="none"/>
        </w:rPr>
      </w:pPr>
      <w:r>
        <w:rPr>
          <w:rFonts w:hAnsi="宋体" w:cs="Arial"/>
          <w:color w:val="auto"/>
          <w:kern w:val="0"/>
          <w:sz w:val="22"/>
          <w:highlight w:val="none"/>
        </w:rPr>
        <w:t>（1）</w:t>
      </w:r>
      <w:r>
        <w:rPr>
          <w:rFonts w:hint="eastAsia" w:hAnsi="宋体" w:cs="Arial"/>
          <w:color w:val="auto"/>
          <w:kern w:val="0"/>
          <w:sz w:val="22"/>
          <w:highlight w:val="none"/>
        </w:rPr>
        <w:t>投标</w:t>
      </w:r>
      <w:r>
        <w:rPr>
          <w:rFonts w:hAnsi="宋体" w:cs="Arial"/>
          <w:color w:val="auto"/>
          <w:kern w:val="0"/>
          <w:sz w:val="22"/>
          <w:highlight w:val="none"/>
        </w:rPr>
        <w:t>文件</w:t>
      </w:r>
      <w:r>
        <w:rPr>
          <w:rFonts w:hint="eastAsia" w:hAnsi="宋体" w:cs="Arial"/>
          <w:color w:val="auto"/>
          <w:kern w:val="0"/>
          <w:sz w:val="22"/>
          <w:highlight w:val="none"/>
        </w:rPr>
        <w:t>中</w:t>
      </w:r>
      <w:r>
        <w:rPr>
          <w:rFonts w:hAnsi="宋体" w:cs="Arial"/>
          <w:color w:val="auto"/>
          <w:kern w:val="0"/>
          <w:sz w:val="22"/>
          <w:highlight w:val="none"/>
        </w:rPr>
        <w:t>开标一览表</w:t>
      </w:r>
      <w:r>
        <w:rPr>
          <w:rFonts w:hint="eastAsia" w:hAnsi="宋体" w:cs="Arial"/>
          <w:color w:val="auto"/>
          <w:kern w:val="0"/>
          <w:sz w:val="22"/>
          <w:highlight w:val="none"/>
        </w:rPr>
        <w:t>（报价表）内容</w:t>
      </w:r>
      <w:r>
        <w:rPr>
          <w:rFonts w:hAnsi="宋体" w:cs="Arial"/>
          <w:color w:val="auto"/>
          <w:kern w:val="0"/>
          <w:sz w:val="22"/>
          <w:highlight w:val="none"/>
        </w:rPr>
        <w:t>与</w:t>
      </w:r>
      <w:r>
        <w:rPr>
          <w:rFonts w:hint="eastAsia" w:hAnsi="宋体" w:cs="Arial"/>
          <w:color w:val="auto"/>
          <w:kern w:val="0"/>
          <w:sz w:val="22"/>
          <w:highlight w:val="none"/>
        </w:rPr>
        <w:t>投标文件中相应内容不一致的</w:t>
      </w:r>
      <w:r>
        <w:rPr>
          <w:rFonts w:hAnsi="宋体" w:cs="Arial"/>
          <w:color w:val="auto"/>
          <w:kern w:val="0"/>
          <w:sz w:val="22"/>
          <w:highlight w:val="none"/>
        </w:rPr>
        <w:t>，以开标一览表</w:t>
      </w:r>
      <w:r>
        <w:rPr>
          <w:rFonts w:hint="eastAsia" w:hAnsi="宋体" w:cs="Arial"/>
          <w:color w:val="auto"/>
          <w:kern w:val="0"/>
          <w:sz w:val="22"/>
          <w:highlight w:val="none"/>
        </w:rPr>
        <w:t>（报价表）</w:t>
      </w:r>
      <w:r>
        <w:rPr>
          <w:rFonts w:hAnsi="宋体" w:cs="Arial"/>
          <w:color w:val="auto"/>
          <w:kern w:val="0"/>
          <w:sz w:val="22"/>
          <w:highlight w:val="none"/>
        </w:rPr>
        <w:t>为准。</w:t>
      </w:r>
    </w:p>
    <w:p>
      <w:pPr>
        <w:pStyle w:val="22"/>
        <w:adjustRightInd w:val="0"/>
        <w:spacing w:line="360" w:lineRule="auto"/>
        <w:ind w:firstLine="440" w:firstLineChars="200"/>
        <w:rPr>
          <w:rFonts w:hAnsi="宋体" w:cs="Arial"/>
          <w:color w:val="auto"/>
          <w:kern w:val="0"/>
          <w:sz w:val="22"/>
          <w:highlight w:val="none"/>
        </w:rPr>
      </w:pPr>
      <w:r>
        <w:rPr>
          <w:rFonts w:hAnsi="宋体" w:cs="Arial"/>
          <w:color w:val="auto"/>
          <w:kern w:val="0"/>
          <w:sz w:val="22"/>
          <w:highlight w:val="none"/>
        </w:rPr>
        <w:t>（2）</w:t>
      </w:r>
      <w:r>
        <w:rPr>
          <w:rFonts w:hint="eastAsia" w:hAnsi="宋体" w:cs="Arial"/>
          <w:color w:val="auto"/>
          <w:kern w:val="0"/>
          <w:sz w:val="22"/>
          <w:highlight w:val="none"/>
        </w:rPr>
        <w:t>投标</w:t>
      </w:r>
      <w:r>
        <w:rPr>
          <w:rFonts w:hAnsi="宋体" w:cs="Arial"/>
          <w:color w:val="auto"/>
          <w:kern w:val="0"/>
          <w:sz w:val="22"/>
          <w:highlight w:val="none"/>
        </w:rPr>
        <w:t>文件的大写金额和小写金额不一致的，以大写金额为准；</w:t>
      </w:r>
    </w:p>
    <w:p>
      <w:pPr>
        <w:pStyle w:val="22"/>
        <w:adjustRightInd w:val="0"/>
        <w:spacing w:line="360" w:lineRule="auto"/>
        <w:ind w:firstLine="440" w:firstLineChars="200"/>
        <w:rPr>
          <w:rFonts w:hAnsi="宋体" w:cs="Arial"/>
          <w:color w:val="auto"/>
          <w:kern w:val="0"/>
          <w:sz w:val="22"/>
          <w:highlight w:val="none"/>
        </w:rPr>
      </w:pPr>
      <w:r>
        <w:rPr>
          <w:rFonts w:hint="eastAsia" w:hAnsi="宋体" w:cs="Arial"/>
          <w:color w:val="auto"/>
          <w:kern w:val="0"/>
          <w:sz w:val="22"/>
          <w:highlight w:val="none"/>
        </w:rPr>
        <w:t>（3）单价金额小数点或者百分比有明显错位的，应以</w:t>
      </w:r>
      <w:r>
        <w:rPr>
          <w:rFonts w:hAnsi="宋体" w:cs="Arial"/>
          <w:color w:val="auto"/>
          <w:kern w:val="0"/>
          <w:sz w:val="22"/>
          <w:highlight w:val="none"/>
        </w:rPr>
        <w:t>开标一览表</w:t>
      </w:r>
      <w:r>
        <w:rPr>
          <w:rFonts w:hint="eastAsia" w:hAnsi="宋体" w:cs="Arial"/>
          <w:color w:val="auto"/>
          <w:kern w:val="0"/>
          <w:sz w:val="22"/>
          <w:highlight w:val="none"/>
        </w:rPr>
        <w:t>（报价表）的总价为准，并修改单价；</w:t>
      </w:r>
    </w:p>
    <w:p>
      <w:pPr>
        <w:pStyle w:val="22"/>
        <w:adjustRightInd w:val="0"/>
        <w:spacing w:line="360" w:lineRule="auto"/>
        <w:ind w:firstLine="440" w:firstLineChars="200"/>
        <w:rPr>
          <w:rFonts w:hAnsi="宋体" w:cs="Arial"/>
          <w:color w:val="auto"/>
          <w:kern w:val="0"/>
          <w:sz w:val="22"/>
          <w:highlight w:val="none"/>
        </w:rPr>
      </w:pPr>
      <w:r>
        <w:rPr>
          <w:rFonts w:hAnsi="宋体" w:cs="Arial"/>
          <w:color w:val="auto"/>
          <w:kern w:val="0"/>
          <w:sz w:val="22"/>
          <w:highlight w:val="none"/>
        </w:rPr>
        <w:t>（</w:t>
      </w:r>
      <w:r>
        <w:rPr>
          <w:rFonts w:hint="eastAsia" w:hAnsi="宋体" w:cs="Arial"/>
          <w:color w:val="auto"/>
          <w:kern w:val="0"/>
          <w:sz w:val="22"/>
          <w:highlight w:val="none"/>
        </w:rPr>
        <w:t>4</w:t>
      </w:r>
      <w:r>
        <w:rPr>
          <w:rFonts w:hAnsi="宋体" w:cs="Arial"/>
          <w:color w:val="auto"/>
          <w:kern w:val="0"/>
          <w:sz w:val="22"/>
          <w:highlight w:val="none"/>
        </w:rPr>
        <w:t>）总价金额与按单价汇总金额不一致的，以单价金额计算结果为准</w:t>
      </w:r>
      <w:r>
        <w:rPr>
          <w:rFonts w:hint="eastAsia" w:hAnsi="宋体" w:cs="Arial"/>
          <w:color w:val="auto"/>
          <w:kern w:val="0"/>
          <w:sz w:val="22"/>
          <w:highlight w:val="none"/>
        </w:rPr>
        <w:t>。</w:t>
      </w:r>
    </w:p>
    <w:p>
      <w:pPr>
        <w:pStyle w:val="22"/>
        <w:adjustRightInd w:val="0"/>
        <w:spacing w:line="360" w:lineRule="auto"/>
        <w:ind w:firstLine="440" w:firstLineChars="200"/>
        <w:rPr>
          <w:rFonts w:hAnsi="宋体" w:cs="Arial"/>
          <w:color w:val="auto"/>
          <w:kern w:val="0"/>
          <w:sz w:val="22"/>
          <w:highlight w:val="none"/>
        </w:rPr>
      </w:pPr>
      <w:r>
        <w:rPr>
          <w:rFonts w:hint="eastAsia" w:hAnsi="宋体" w:cs="Arial"/>
          <w:color w:val="auto"/>
          <w:kern w:val="0"/>
          <w:sz w:val="22"/>
          <w:highlight w:val="none"/>
        </w:rPr>
        <w:t>7.2</w:t>
      </w:r>
      <w:r>
        <w:rPr>
          <w:rFonts w:hAnsi="宋体" w:cs="Arial"/>
          <w:color w:val="auto"/>
          <w:kern w:val="0"/>
          <w:sz w:val="22"/>
          <w:highlight w:val="none"/>
        </w:rPr>
        <w:t>对不同文字文本的解释发生异议的，以中文文本为准。</w:t>
      </w:r>
    </w:p>
    <w:p>
      <w:pPr>
        <w:pStyle w:val="22"/>
        <w:adjustRightInd w:val="0"/>
        <w:snapToGrid w:val="0"/>
        <w:spacing w:line="360" w:lineRule="auto"/>
        <w:ind w:firstLine="435" w:firstLineChars="197"/>
        <w:rPr>
          <w:rFonts w:hAnsi="宋体" w:cs="Arial"/>
          <w:b/>
          <w:color w:val="auto"/>
          <w:sz w:val="22"/>
          <w:szCs w:val="22"/>
          <w:highlight w:val="none"/>
        </w:rPr>
      </w:pPr>
      <w:r>
        <w:rPr>
          <w:rFonts w:hint="eastAsia" w:hAnsi="宋体" w:cs="Arial"/>
          <w:b/>
          <w:color w:val="auto"/>
          <w:sz w:val="22"/>
          <w:szCs w:val="22"/>
          <w:highlight w:val="none"/>
        </w:rPr>
        <w:t>8、评标原则</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8.1评标委员会按照招标文件的要求和条件对投标文件进行商务和技术评估，综合比较与评价。</w:t>
      </w:r>
    </w:p>
    <w:p>
      <w:pPr>
        <w:pStyle w:val="22"/>
        <w:adjustRightInd w:val="0"/>
        <w:snapToGrid w:val="0"/>
        <w:spacing w:line="360" w:lineRule="auto"/>
        <w:ind w:firstLine="433" w:firstLineChars="197"/>
        <w:rPr>
          <w:rFonts w:hAnsi="宋体" w:cs="Arial"/>
          <w:color w:val="auto"/>
          <w:sz w:val="22"/>
          <w:szCs w:val="22"/>
          <w:highlight w:val="none"/>
        </w:rPr>
      </w:pPr>
      <w:r>
        <w:rPr>
          <w:rFonts w:hint="eastAsia" w:hAnsi="宋体" w:cs="Arial"/>
          <w:color w:val="auto"/>
          <w:sz w:val="22"/>
          <w:szCs w:val="22"/>
          <w:highlight w:val="none"/>
        </w:rPr>
        <w:t>8.2评标办法具体见本招标文件第六部分。</w:t>
      </w:r>
    </w:p>
    <w:p>
      <w:pPr>
        <w:pStyle w:val="22"/>
        <w:adjustRightInd w:val="0"/>
        <w:spacing w:line="360" w:lineRule="auto"/>
        <w:ind w:firstLine="442" w:firstLineChars="200"/>
        <w:rPr>
          <w:rFonts w:hAnsi="宋体"/>
          <w:b/>
          <w:color w:val="auto"/>
          <w:sz w:val="22"/>
          <w:highlight w:val="none"/>
        </w:rPr>
      </w:pPr>
      <w:r>
        <w:rPr>
          <w:rFonts w:hint="eastAsia" w:hAnsi="宋体"/>
          <w:b/>
          <w:color w:val="auto"/>
          <w:sz w:val="22"/>
          <w:highlight w:val="none"/>
        </w:rPr>
        <w:t>9、可中止电子交易活动的情形</w:t>
      </w:r>
    </w:p>
    <w:p>
      <w:pPr>
        <w:spacing w:line="360" w:lineRule="auto"/>
        <w:ind w:firstLine="389" w:firstLineChars="176"/>
        <w:rPr>
          <w:rFonts w:ascii="宋体" w:hAnsi="宋体"/>
          <w:b/>
          <w:color w:val="auto"/>
          <w:sz w:val="22"/>
          <w:highlight w:val="none"/>
        </w:rPr>
      </w:pPr>
      <w:r>
        <w:rPr>
          <w:rFonts w:hint="eastAsia" w:ascii="宋体" w:hAnsi="宋体"/>
          <w:b/>
          <w:color w:val="auto"/>
          <w:sz w:val="22"/>
          <w:highlight w:val="none"/>
        </w:rPr>
        <w:t>采购过程中出现以下情形，导致电子交易平台无法正常运行，或者无法保证电子交易的公平、公正和安全时，采购组织机构可中止电子交易活动：</w:t>
      </w:r>
    </w:p>
    <w:p>
      <w:pPr>
        <w:spacing w:line="360" w:lineRule="auto"/>
        <w:ind w:firstLine="387" w:firstLineChars="176"/>
        <w:rPr>
          <w:rFonts w:ascii="宋体" w:hAnsi="宋体"/>
          <w:color w:val="auto"/>
          <w:sz w:val="22"/>
          <w:highlight w:val="none"/>
        </w:rPr>
      </w:pPr>
      <w:r>
        <w:rPr>
          <w:rFonts w:hint="eastAsia" w:ascii="宋体" w:hAnsi="宋体"/>
          <w:color w:val="auto"/>
          <w:sz w:val="22"/>
          <w:highlight w:val="none"/>
        </w:rPr>
        <w:t>1、电子交易平台发生故障而无法登录访问的；</w:t>
      </w:r>
    </w:p>
    <w:p>
      <w:pPr>
        <w:spacing w:line="360" w:lineRule="auto"/>
        <w:ind w:firstLine="387" w:firstLineChars="176"/>
        <w:rPr>
          <w:rFonts w:ascii="宋体" w:hAnsi="宋体"/>
          <w:color w:val="auto"/>
          <w:sz w:val="22"/>
          <w:highlight w:val="none"/>
        </w:rPr>
      </w:pPr>
      <w:r>
        <w:rPr>
          <w:rFonts w:hint="eastAsia" w:ascii="宋体" w:hAnsi="宋体"/>
          <w:color w:val="auto"/>
          <w:sz w:val="22"/>
          <w:highlight w:val="none"/>
        </w:rPr>
        <w:t>2、电子交易平台应用或数据库出现错误，不能进行正常操作的；</w:t>
      </w:r>
    </w:p>
    <w:p>
      <w:pPr>
        <w:spacing w:line="360" w:lineRule="auto"/>
        <w:ind w:firstLine="387" w:firstLineChars="176"/>
        <w:rPr>
          <w:rFonts w:ascii="宋体" w:hAnsi="宋体"/>
          <w:color w:val="auto"/>
          <w:sz w:val="22"/>
          <w:highlight w:val="none"/>
        </w:rPr>
      </w:pPr>
      <w:r>
        <w:rPr>
          <w:rFonts w:hint="eastAsia" w:ascii="宋体" w:hAnsi="宋体"/>
          <w:color w:val="auto"/>
          <w:sz w:val="22"/>
          <w:highlight w:val="none"/>
        </w:rPr>
        <w:t>3、电子交易平台发现严重安全漏洞，有潜在泄密危险的；</w:t>
      </w:r>
    </w:p>
    <w:p>
      <w:pPr>
        <w:spacing w:line="360" w:lineRule="auto"/>
        <w:ind w:firstLine="387" w:firstLineChars="176"/>
        <w:rPr>
          <w:rFonts w:ascii="宋体" w:hAnsi="宋体"/>
          <w:color w:val="auto"/>
          <w:sz w:val="22"/>
          <w:highlight w:val="none"/>
        </w:rPr>
      </w:pPr>
      <w:r>
        <w:rPr>
          <w:rFonts w:hint="eastAsia" w:ascii="宋体" w:hAnsi="宋体"/>
          <w:color w:val="auto"/>
          <w:sz w:val="22"/>
          <w:highlight w:val="none"/>
        </w:rPr>
        <w:t>4、病毒发作导致不能进行正常操作的；</w:t>
      </w:r>
    </w:p>
    <w:p>
      <w:pPr>
        <w:spacing w:line="360" w:lineRule="auto"/>
        <w:ind w:firstLine="387" w:firstLineChars="176"/>
        <w:rPr>
          <w:rFonts w:ascii="宋体" w:hAnsi="宋体"/>
          <w:color w:val="auto"/>
          <w:sz w:val="22"/>
          <w:highlight w:val="none"/>
        </w:rPr>
      </w:pPr>
      <w:r>
        <w:rPr>
          <w:rFonts w:hint="eastAsia" w:ascii="宋体" w:hAnsi="宋体"/>
          <w:color w:val="auto"/>
          <w:sz w:val="22"/>
          <w:highlight w:val="none"/>
        </w:rPr>
        <w:t>5、其他无法保证电子交易的公平、公正和安全的情况。</w:t>
      </w:r>
    </w:p>
    <w:p>
      <w:pPr>
        <w:spacing w:line="360" w:lineRule="auto"/>
        <w:ind w:firstLine="389" w:firstLineChars="176"/>
        <w:rPr>
          <w:rFonts w:ascii="宋体" w:hAnsi="宋体"/>
          <w:b/>
          <w:color w:val="auto"/>
          <w:sz w:val="22"/>
          <w:highlight w:val="none"/>
        </w:rPr>
      </w:pPr>
      <w:r>
        <w:rPr>
          <w:rFonts w:hint="eastAsia" w:ascii="宋体" w:hAnsi="宋体"/>
          <w:b/>
          <w:color w:val="auto"/>
          <w:sz w:val="22"/>
          <w:highlight w:val="none"/>
        </w:rPr>
        <w:t>出现前款规定情形，不影响采购公平、公正性的，采购组织机构可以待上述情形消除后继续组织电子交易活动；影响或可能影响采购公平、公正性的，应当重新采购。</w:t>
      </w:r>
    </w:p>
    <w:p>
      <w:pPr>
        <w:pStyle w:val="22"/>
        <w:adjustRightInd w:val="0"/>
        <w:snapToGrid w:val="0"/>
        <w:spacing w:line="420" w:lineRule="atLeast"/>
        <w:ind w:firstLine="435" w:firstLineChars="197"/>
        <w:outlineLvl w:val="0"/>
        <w:rPr>
          <w:rFonts w:hAnsi="宋体"/>
          <w:b/>
          <w:color w:val="auto"/>
          <w:sz w:val="22"/>
          <w:szCs w:val="22"/>
          <w:highlight w:val="none"/>
        </w:rPr>
      </w:pPr>
      <w:r>
        <w:rPr>
          <w:rFonts w:hint="eastAsia" w:hAnsi="宋体"/>
          <w:b/>
          <w:color w:val="auto"/>
          <w:sz w:val="22"/>
          <w:szCs w:val="22"/>
          <w:highlight w:val="none"/>
        </w:rPr>
        <w:t>七、授予合同</w:t>
      </w:r>
    </w:p>
    <w:p>
      <w:pPr>
        <w:pStyle w:val="22"/>
        <w:adjustRightInd w:val="0"/>
        <w:snapToGrid w:val="0"/>
        <w:spacing w:line="420" w:lineRule="atLeast"/>
        <w:ind w:firstLine="433" w:firstLineChars="197"/>
        <w:rPr>
          <w:rFonts w:hAnsi="宋体"/>
          <w:color w:val="auto"/>
          <w:sz w:val="22"/>
          <w:szCs w:val="22"/>
          <w:highlight w:val="none"/>
        </w:rPr>
      </w:pPr>
      <w:r>
        <w:rPr>
          <w:rFonts w:hint="eastAsia" w:hAnsi="宋体"/>
          <w:color w:val="auto"/>
          <w:sz w:val="22"/>
          <w:szCs w:val="22"/>
          <w:highlight w:val="none"/>
        </w:rPr>
        <w:t>1、决标</w:t>
      </w:r>
    </w:p>
    <w:p>
      <w:pPr>
        <w:pStyle w:val="22"/>
        <w:adjustRightInd w:val="0"/>
        <w:snapToGrid w:val="0"/>
        <w:spacing w:line="420" w:lineRule="atLeast"/>
        <w:ind w:firstLine="433" w:firstLineChars="197"/>
        <w:rPr>
          <w:rFonts w:hAnsi="宋体"/>
          <w:color w:val="auto"/>
          <w:sz w:val="22"/>
          <w:szCs w:val="22"/>
          <w:highlight w:val="none"/>
        </w:rPr>
      </w:pPr>
      <w:r>
        <w:rPr>
          <w:rFonts w:hint="eastAsia" w:hAnsi="宋体"/>
          <w:color w:val="auto"/>
          <w:sz w:val="22"/>
          <w:szCs w:val="22"/>
          <w:highlight w:val="none"/>
        </w:rPr>
        <w:t>评标结束后，评标委员会按照招标文件确定的评标办法确定预中标候选人。</w:t>
      </w:r>
    </w:p>
    <w:p>
      <w:pPr>
        <w:pStyle w:val="22"/>
        <w:adjustRightInd w:val="0"/>
        <w:snapToGrid w:val="0"/>
        <w:spacing w:line="420" w:lineRule="atLeast"/>
        <w:ind w:firstLine="433" w:firstLineChars="197"/>
        <w:rPr>
          <w:rFonts w:hAnsi="宋体"/>
          <w:color w:val="auto"/>
          <w:sz w:val="22"/>
          <w:szCs w:val="22"/>
          <w:highlight w:val="none"/>
        </w:rPr>
      </w:pPr>
      <w:r>
        <w:rPr>
          <w:rFonts w:hint="eastAsia" w:hAnsi="宋体"/>
          <w:color w:val="auto"/>
          <w:sz w:val="22"/>
          <w:szCs w:val="22"/>
          <w:highlight w:val="none"/>
        </w:rPr>
        <w:t>2、中标通知书</w:t>
      </w:r>
    </w:p>
    <w:p>
      <w:pPr>
        <w:spacing w:line="420" w:lineRule="atLeast"/>
        <w:ind w:firstLine="433" w:firstLineChars="197"/>
        <w:rPr>
          <w:rFonts w:ascii="宋体"/>
          <w:color w:val="auto"/>
          <w:sz w:val="22"/>
          <w:szCs w:val="22"/>
          <w:highlight w:val="none"/>
        </w:rPr>
      </w:pPr>
      <w:r>
        <w:rPr>
          <w:rFonts w:hint="eastAsia" w:ascii="宋体"/>
          <w:color w:val="auto"/>
          <w:sz w:val="22"/>
          <w:szCs w:val="22"/>
          <w:highlight w:val="none"/>
        </w:rPr>
        <w:t>2.1、招标机构在</w:t>
      </w:r>
      <w:r>
        <w:rPr>
          <w:rFonts w:hint="eastAsia" w:hAnsi="宋体"/>
          <w:color w:val="auto"/>
          <w:spacing w:val="10"/>
          <w:sz w:val="22"/>
          <w:highlight w:val="none"/>
        </w:rPr>
        <w:t>浙江省政府采购网和温州市公共资源交易网苍南县分网上公示中标结果</w:t>
      </w:r>
      <w:r>
        <w:rPr>
          <w:rFonts w:hint="eastAsia" w:ascii="宋体"/>
          <w:color w:val="auto"/>
          <w:sz w:val="22"/>
          <w:szCs w:val="22"/>
          <w:highlight w:val="none"/>
        </w:rPr>
        <w:t>，公示期结束，如无异议，将向预中标候选人发出中标通知书。如发现投标人资格无效，则重新组织招标。</w:t>
      </w:r>
    </w:p>
    <w:p>
      <w:pPr>
        <w:adjustRightInd w:val="0"/>
        <w:snapToGrid w:val="0"/>
        <w:spacing w:line="420" w:lineRule="atLeast"/>
        <w:ind w:firstLine="433" w:firstLineChars="197"/>
        <w:rPr>
          <w:rFonts w:ascii="宋体"/>
          <w:color w:val="auto"/>
          <w:sz w:val="22"/>
          <w:szCs w:val="22"/>
          <w:highlight w:val="none"/>
        </w:rPr>
      </w:pPr>
      <w:r>
        <w:rPr>
          <w:rFonts w:hint="eastAsia" w:ascii="宋体"/>
          <w:color w:val="auto"/>
          <w:sz w:val="22"/>
          <w:szCs w:val="22"/>
          <w:highlight w:val="none"/>
        </w:rPr>
        <w:t>2.2、中标通知书对招标人和中标人具有法律约束力。中标通知书发出后，招标人改变中标结果或者中标人放弃中标的，应当承担法律责任。</w:t>
      </w:r>
    </w:p>
    <w:p>
      <w:pPr>
        <w:adjustRightInd w:val="0"/>
        <w:snapToGrid w:val="0"/>
        <w:spacing w:line="420" w:lineRule="atLeast"/>
        <w:ind w:firstLine="433" w:firstLineChars="197"/>
        <w:rPr>
          <w:rFonts w:ascii="宋体"/>
          <w:color w:val="auto"/>
          <w:sz w:val="22"/>
          <w:szCs w:val="22"/>
          <w:highlight w:val="none"/>
        </w:rPr>
      </w:pPr>
      <w:r>
        <w:rPr>
          <w:rFonts w:hint="eastAsia" w:ascii="宋体"/>
          <w:color w:val="auto"/>
          <w:sz w:val="22"/>
          <w:szCs w:val="22"/>
          <w:highlight w:val="none"/>
        </w:rPr>
        <w:t>3、评标委员会对未中标的投标人不作解释。</w:t>
      </w:r>
    </w:p>
    <w:p>
      <w:pPr>
        <w:pStyle w:val="22"/>
        <w:adjustRightInd w:val="0"/>
        <w:snapToGrid w:val="0"/>
        <w:spacing w:line="420" w:lineRule="atLeast"/>
        <w:ind w:firstLine="433" w:firstLineChars="197"/>
        <w:rPr>
          <w:rFonts w:hAnsi="宋体"/>
          <w:color w:val="auto"/>
          <w:sz w:val="22"/>
          <w:szCs w:val="22"/>
          <w:highlight w:val="none"/>
        </w:rPr>
      </w:pPr>
      <w:r>
        <w:rPr>
          <w:rFonts w:hint="eastAsia" w:hAnsi="宋体"/>
          <w:color w:val="auto"/>
          <w:sz w:val="22"/>
          <w:szCs w:val="22"/>
          <w:highlight w:val="none"/>
        </w:rPr>
        <w:t>4、签订合同</w:t>
      </w:r>
    </w:p>
    <w:p>
      <w:pPr>
        <w:pStyle w:val="22"/>
        <w:adjustRightInd w:val="0"/>
        <w:snapToGrid w:val="0"/>
        <w:spacing w:line="420" w:lineRule="atLeast"/>
        <w:ind w:firstLine="433" w:firstLineChars="197"/>
        <w:rPr>
          <w:rFonts w:hAnsi="宋体"/>
          <w:color w:val="auto"/>
          <w:sz w:val="22"/>
          <w:szCs w:val="22"/>
          <w:highlight w:val="none"/>
        </w:rPr>
      </w:pPr>
      <w:r>
        <w:rPr>
          <w:rFonts w:hint="eastAsia" w:hAnsi="宋体"/>
          <w:color w:val="auto"/>
          <w:sz w:val="22"/>
          <w:szCs w:val="22"/>
          <w:highlight w:val="none"/>
        </w:rPr>
        <w:t>4.1、公示期结束后，中标人应主动联系招标人领取中标通知书，并在30天内主动与招标人签订合同。中标人未经招标人许可，在规定时间内未与招标人签订合同，则视为拒签合同。</w:t>
      </w:r>
    </w:p>
    <w:p>
      <w:pPr>
        <w:pStyle w:val="22"/>
        <w:adjustRightInd w:val="0"/>
        <w:snapToGrid w:val="0"/>
        <w:spacing w:line="420" w:lineRule="atLeast"/>
        <w:ind w:firstLine="433" w:firstLineChars="197"/>
        <w:rPr>
          <w:rFonts w:hAnsi="宋体"/>
          <w:color w:val="auto"/>
          <w:sz w:val="22"/>
          <w:szCs w:val="22"/>
          <w:highlight w:val="none"/>
        </w:rPr>
      </w:pPr>
      <w:r>
        <w:rPr>
          <w:rFonts w:hint="eastAsia" w:hAnsi="宋体"/>
          <w:color w:val="auto"/>
          <w:sz w:val="22"/>
          <w:szCs w:val="22"/>
          <w:highlight w:val="none"/>
        </w:rPr>
        <w:t>4.2、招标文件、中标人的投标文件及投标修改文件、评标过程中有关澄清文件及经双方签字的询标纪要（承诺）和中标通知书均作为合同附件。</w:t>
      </w:r>
    </w:p>
    <w:p>
      <w:pPr>
        <w:pStyle w:val="22"/>
        <w:adjustRightInd w:val="0"/>
        <w:snapToGrid w:val="0"/>
        <w:spacing w:line="420" w:lineRule="atLeast"/>
        <w:ind w:firstLine="433" w:firstLineChars="197"/>
        <w:rPr>
          <w:rFonts w:hAnsi="宋体"/>
          <w:color w:val="auto"/>
          <w:sz w:val="22"/>
          <w:szCs w:val="22"/>
          <w:highlight w:val="none"/>
        </w:rPr>
      </w:pPr>
      <w:r>
        <w:rPr>
          <w:rFonts w:hint="eastAsia" w:hAnsi="宋体"/>
          <w:color w:val="auto"/>
          <w:sz w:val="22"/>
          <w:szCs w:val="22"/>
          <w:highlight w:val="none"/>
        </w:rPr>
        <w:t>4.3、拒签合同的责任</w:t>
      </w:r>
    </w:p>
    <w:p>
      <w:pPr>
        <w:pStyle w:val="22"/>
        <w:adjustRightInd w:val="0"/>
        <w:snapToGrid w:val="0"/>
        <w:spacing w:line="420" w:lineRule="atLeast"/>
        <w:ind w:firstLine="433" w:firstLineChars="197"/>
        <w:rPr>
          <w:rFonts w:hAnsi="宋体"/>
          <w:color w:val="auto"/>
          <w:sz w:val="22"/>
          <w:szCs w:val="22"/>
          <w:highlight w:val="none"/>
        </w:rPr>
      </w:pPr>
      <w:r>
        <w:rPr>
          <w:rFonts w:hint="eastAsia" w:hAnsi="宋体"/>
          <w:color w:val="auto"/>
          <w:sz w:val="22"/>
          <w:szCs w:val="22"/>
          <w:highlight w:val="none"/>
        </w:rPr>
        <w:t>中标人接到中标通知书后，在规定时间内（30日历天）拒签合同，以投标违约处理，并赔偿招标人由此造成的直接经济损失；招标人重新组织招标的，所需费用由原中标人承担。</w:t>
      </w:r>
    </w:p>
    <w:p>
      <w:pPr>
        <w:pStyle w:val="47"/>
        <w:rPr>
          <w:color w:val="auto"/>
          <w:highlight w:val="none"/>
        </w:rPr>
      </w:pPr>
    </w:p>
    <w:p>
      <w:pPr>
        <w:autoSpaceDE w:val="0"/>
        <w:autoSpaceDN w:val="0"/>
        <w:adjustRightInd w:val="0"/>
        <w:snapToGrid w:val="0"/>
        <w:spacing w:line="360" w:lineRule="auto"/>
        <w:ind w:firstLine="466" w:firstLineChars="212"/>
        <w:textAlignment w:val="bottom"/>
        <w:rPr>
          <w:rFonts w:ascii="宋体" w:hAnsi="宋体"/>
          <w:color w:val="auto"/>
          <w:sz w:val="22"/>
          <w:szCs w:val="22"/>
          <w:highlight w:val="none"/>
        </w:rPr>
      </w:pPr>
      <w:r>
        <w:rPr>
          <w:rFonts w:hint="eastAsia" w:ascii="宋体" w:hAnsi="宋体"/>
          <w:color w:val="auto"/>
          <w:sz w:val="22"/>
          <w:szCs w:val="22"/>
          <w:highlight w:val="none"/>
        </w:rPr>
        <w:t>5</w:t>
      </w:r>
      <w:r>
        <w:rPr>
          <w:rFonts w:hint="eastAsia" w:ascii="宋体" w:hAnsi="宋体" w:cs="仿宋_GB2312"/>
          <w:color w:val="auto"/>
          <w:sz w:val="22"/>
          <w:szCs w:val="22"/>
          <w:highlight w:val="none"/>
          <w:lang w:val="zh-CN"/>
        </w:rPr>
        <w:t>.</w:t>
      </w:r>
      <w:r>
        <w:rPr>
          <w:rFonts w:hint="eastAsia" w:ascii="宋体" w:hAnsi="宋体"/>
          <w:color w:val="auto"/>
          <w:sz w:val="22"/>
          <w:szCs w:val="22"/>
          <w:highlight w:val="none"/>
        </w:rPr>
        <w:t>招标代理服务费</w:t>
      </w:r>
    </w:p>
    <w:p>
      <w:pPr>
        <w:widowControl/>
        <w:spacing w:before="99" w:after="99" w:line="360" w:lineRule="auto"/>
        <w:ind w:right="96" w:firstLine="442" w:firstLineChars="200"/>
        <w:jc w:val="left"/>
        <w:rPr>
          <w:rFonts w:ascii="宋体" w:hAnsi="宋体"/>
          <w:b/>
          <w:color w:val="auto"/>
          <w:sz w:val="22"/>
          <w:szCs w:val="22"/>
          <w:highlight w:val="none"/>
          <w:u w:val="single"/>
        </w:rPr>
      </w:pPr>
      <w:r>
        <w:rPr>
          <w:rFonts w:hint="eastAsia" w:ascii="宋体" w:hAnsi="宋体"/>
          <w:b/>
          <w:color w:val="auto"/>
          <w:sz w:val="22"/>
          <w:szCs w:val="22"/>
          <w:highlight w:val="none"/>
          <w:u w:val="single"/>
        </w:rPr>
        <w:t>采购代理服务费向中标供应商收取，由中标供应商在领取中标通知书时一次性支付给代理单位。供应商在报价时须将采购代理服务费综合考虑在内。</w:t>
      </w:r>
    </w:p>
    <w:p>
      <w:pPr>
        <w:pStyle w:val="5"/>
        <w:spacing w:before="240" w:after="240"/>
        <w:rPr>
          <w:color w:val="auto"/>
          <w:sz w:val="22"/>
          <w:szCs w:val="22"/>
          <w:highlight w:val="none"/>
        </w:rPr>
      </w:pPr>
      <w:r>
        <w:rPr>
          <w:b/>
          <w:color w:val="auto"/>
          <w:sz w:val="36"/>
          <w:highlight w:val="none"/>
          <w:lang w:val="zh-CN"/>
        </w:rPr>
        <w:br w:type="page"/>
      </w:r>
      <w:bookmarkStart w:id="34" w:name="_Toc8608"/>
      <w:bookmarkStart w:id="35" w:name="_Toc7451"/>
      <w:bookmarkStart w:id="36" w:name="_Toc21083"/>
      <w:bookmarkStart w:id="37" w:name="_Toc15325"/>
      <w:bookmarkStart w:id="38" w:name="_Toc9045"/>
      <w:bookmarkStart w:id="39" w:name="_Toc31661"/>
      <w:r>
        <w:rPr>
          <w:rFonts w:hint="eastAsia" w:ascii="宋体" w:hAnsi="宋体"/>
          <w:b/>
          <w:bCs/>
          <w:color w:val="auto"/>
          <w:sz w:val="36"/>
          <w:szCs w:val="36"/>
          <w:highlight w:val="none"/>
        </w:rPr>
        <w:t>第四章 合同主要条款</w:t>
      </w:r>
      <w:bookmarkEnd w:id="34"/>
      <w:bookmarkEnd w:id="35"/>
      <w:bookmarkEnd w:id="36"/>
      <w:bookmarkEnd w:id="37"/>
      <w:bookmarkEnd w:id="38"/>
      <w:bookmarkEnd w:id="39"/>
      <w:r>
        <w:rPr>
          <w:rFonts w:hint="eastAsia" w:ascii="宋体" w:hAnsi="宋体"/>
          <w:b/>
          <w:bCs/>
          <w:color w:val="auto"/>
          <w:sz w:val="36"/>
          <w:szCs w:val="36"/>
          <w:highlight w:val="none"/>
        </w:rPr>
        <w:t>（参考格式）</w:t>
      </w:r>
    </w:p>
    <w:p>
      <w:pPr>
        <w:spacing w:line="480" w:lineRule="exac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（本合同为合同样稿，最终由双方协商后确定）</w:t>
      </w:r>
    </w:p>
    <w:p>
      <w:pPr>
        <w:spacing w:line="360" w:lineRule="auto"/>
        <w:ind w:firstLine="440" w:firstLineChars="200"/>
        <w:jc w:val="left"/>
        <w:rPr>
          <w:rFonts w:hAnsi="宋体" w:cs="宋体"/>
          <w:color w:val="auto"/>
          <w:sz w:val="22"/>
          <w:szCs w:val="22"/>
          <w:highlight w:val="none"/>
        </w:rPr>
      </w:pPr>
      <w:r>
        <w:rPr>
          <w:rFonts w:hint="eastAsia" w:hAnsi="宋体" w:cs="宋体"/>
          <w:color w:val="auto"/>
          <w:sz w:val="22"/>
          <w:szCs w:val="22"/>
          <w:highlight w:val="none"/>
        </w:rPr>
        <w:t xml:space="preserve">甲方： </w:t>
      </w:r>
      <w:r>
        <w:rPr>
          <w:rFonts w:hAnsi="宋体" w:cs="宋体"/>
          <w:color w:val="auto"/>
          <w:sz w:val="22"/>
          <w:szCs w:val="22"/>
          <w:highlight w:val="none"/>
        </w:rPr>
        <w:t xml:space="preserve">    </w:t>
      </w:r>
    </w:p>
    <w:p>
      <w:pPr>
        <w:spacing w:line="360" w:lineRule="auto"/>
        <w:ind w:firstLine="440" w:firstLineChars="200"/>
        <w:jc w:val="left"/>
        <w:rPr>
          <w:rFonts w:hAnsi="宋体" w:cs="宋体"/>
          <w:color w:val="auto"/>
          <w:sz w:val="22"/>
          <w:szCs w:val="22"/>
          <w:highlight w:val="none"/>
        </w:rPr>
      </w:pPr>
      <w:r>
        <w:rPr>
          <w:rFonts w:hint="eastAsia" w:hAnsi="宋体" w:cs="宋体"/>
          <w:color w:val="auto"/>
          <w:sz w:val="22"/>
          <w:szCs w:val="22"/>
          <w:highlight w:val="none"/>
        </w:rPr>
        <w:t xml:space="preserve">乙方： </w:t>
      </w:r>
    </w:p>
    <w:p>
      <w:pPr>
        <w:spacing w:line="360" w:lineRule="auto"/>
        <w:ind w:right="-153" w:rightChars="-73" w:firstLine="440" w:firstLineChars="200"/>
        <w:rPr>
          <w:rFonts w:ascii="宋体" w:hAnsi="宋体"/>
          <w:color w:val="auto"/>
          <w:sz w:val="22"/>
          <w:szCs w:val="22"/>
          <w:highlight w:val="none"/>
        </w:rPr>
      </w:pPr>
      <w:r>
        <w:rPr>
          <w:rFonts w:hint="eastAsia" w:ascii="宋体" w:hAnsi="宋体"/>
          <w:color w:val="auto"/>
          <w:sz w:val="22"/>
          <w:szCs w:val="22"/>
          <w:highlight w:val="none"/>
        </w:rPr>
        <w:t>根据 2021年  月  日</w:t>
      </w:r>
      <w:r>
        <w:rPr>
          <w:rFonts w:hint="eastAsia" w:hAnsi="宋体"/>
          <w:color w:val="auto"/>
          <w:sz w:val="22"/>
          <w:szCs w:val="22"/>
          <w:highlight w:val="none"/>
          <w:u w:val="single"/>
        </w:rPr>
        <w:t xml:space="preserve">                     </w:t>
      </w:r>
      <w:r>
        <w:rPr>
          <w:rFonts w:hint="eastAsia" w:hAnsi="宋体"/>
          <w:color w:val="auto"/>
          <w:sz w:val="22"/>
          <w:szCs w:val="22"/>
          <w:highlight w:val="none"/>
        </w:rPr>
        <w:t>采购</w:t>
      </w:r>
      <w:r>
        <w:rPr>
          <w:rFonts w:hint="eastAsia" w:ascii="宋体" w:hAnsi="宋体"/>
          <w:color w:val="auto"/>
          <w:sz w:val="22"/>
          <w:szCs w:val="22"/>
          <w:highlight w:val="none"/>
        </w:rPr>
        <w:t>（招标编号：     招标结果和招标文件要求，并依照《中华人民共和国民法典》《中华人民共和国政府采购法》及其他等有关法律、行政法规的规定，同时在平等、公平、诚实和信用的原则下，经双方协商一致，订立本合同。</w:t>
      </w:r>
    </w:p>
    <w:p>
      <w:pPr>
        <w:spacing w:line="360" w:lineRule="auto"/>
        <w:rPr>
          <w:rFonts w:ascii="Calibri" w:hAnsi="Calibri"/>
          <w:b/>
          <w:color w:val="auto"/>
          <w:sz w:val="22"/>
          <w:szCs w:val="22"/>
          <w:highlight w:val="none"/>
        </w:rPr>
      </w:pPr>
      <w:r>
        <w:rPr>
          <w:rFonts w:hint="eastAsia" w:ascii="Calibri" w:hAnsi="Calibri"/>
          <w:b/>
          <w:color w:val="auto"/>
          <w:sz w:val="22"/>
          <w:szCs w:val="22"/>
          <w:highlight w:val="none"/>
        </w:rPr>
        <w:t>一、业务范围</w:t>
      </w:r>
    </w:p>
    <w:p>
      <w:pPr>
        <w:spacing w:line="48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1. 租赁布品包括：所有医务人员工作服、值班布服、病人衣布服（包括感染性病人衣布服、VIP产科）、部分特殊科室服务人员（如膳食科人员）的工作服、怀孕医务人员所需的工作服、手术室医用织物、供应室医用织物、急诊医用织物、ICU医用织物、EICU医用织物、血透医用织物、被芯、枕芯、床罩、洁衣污衣袋等所有医院需要的织物。</w:t>
      </w:r>
    </w:p>
    <w:p>
      <w:pPr>
        <w:spacing w:line="48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2.服务内容：</w:t>
      </w:r>
    </w:p>
    <w:p>
      <w:pPr>
        <w:spacing w:line="48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2.1供应采购方各科室所需之织物。</w:t>
      </w:r>
    </w:p>
    <w:p>
      <w:pPr>
        <w:spacing w:line="48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2.2医用织物洗涤及采购人自备的帽子、毛衣、志愿者工作服、羽绒服、窗帘、床帘、毛毯、静配中心连体防静电防水服等的洗涤（提供收送、清洗、烘干、折叠、缝补一贯式作业的后勤服务）。</w:t>
      </w:r>
    </w:p>
    <w:p>
      <w:pPr>
        <w:spacing w:line="48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2.3其中导医布服、收费人员布服按采购人需求按时足量提供，费用均已包含在投标报价中，采购人不再另行支付费用。</w:t>
      </w:r>
    </w:p>
    <w:p>
      <w:pPr>
        <w:spacing w:line="480" w:lineRule="exact"/>
        <w:rPr>
          <w:rFonts w:ascii="宋体" w:hAnsi="宋体" w:cs="宋体"/>
          <w:color w:val="auto"/>
          <w:sz w:val="22"/>
          <w:szCs w:val="22"/>
          <w:highlight w:val="none"/>
        </w:rPr>
      </w:pPr>
      <w:r>
        <w:rPr>
          <w:rFonts w:hint="eastAsia" w:ascii="宋体" w:hAnsi="宋体" w:cs="宋体"/>
          <w:color w:val="auto"/>
          <w:sz w:val="22"/>
          <w:szCs w:val="22"/>
          <w:highlight w:val="none"/>
        </w:rPr>
        <w:t>3.服务内容：</w:t>
      </w:r>
    </w:p>
    <w:p>
      <w:pPr>
        <w:spacing w:line="480" w:lineRule="exact"/>
        <w:rPr>
          <w:rFonts w:ascii="宋体" w:hAnsi="宋体" w:cs="宋体"/>
          <w:color w:val="auto"/>
          <w:sz w:val="22"/>
          <w:szCs w:val="22"/>
          <w:highlight w:val="none"/>
        </w:rPr>
      </w:pPr>
      <w:r>
        <w:rPr>
          <w:rFonts w:ascii="宋体" w:hAnsi="宋体" w:cs="宋体"/>
          <w:color w:val="auto"/>
          <w:sz w:val="22"/>
          <w:szCs w:val="22"/>
          <w:highlight w:val="none"/>
        </w:rPr>
        <w:t>3.1</w:t>
      </w:r>
      <w:r>
        <w:rPr>
          <w:rFonts w:hint="eastAsia" w:ascii="宋体" w:hAnsi="宋体" w:cs="宋体"/>
          <w:color w:val="auto"/>
          <w:sz w:val="22"/>
          <w:szCs w:val="22"/>
          <w:highlight w:val="none"/>
        </w:rPr>
        <w:t>供应采购方各科室所需之医用织物。</w:t>
      </w:r>
    </w:p>
    <w:p>
      <w:pPr>
        <w:spacing w:line="480" w:lineRule="exact"/>
        <w:rPr>
          <w:rFonts w:ascii="宋体" w:hAnsi="宋体" w:cs="宋体"/>
          <w:bCs/>
          <w:color w:val="auto"/>
          <w:sz w:val="22"/>
          <w:szCs w:val="22"/>
          <w:highlight w:val="none"/>
        </w:rPr>
      </w:pPr>
      <w:r>
        <w:rPr>
          <w:rFonts w:ascii="宋体" w:hAnsi="宋体" w:cs="宋体"/>
          <w:color w:val="auto"/>
          <w:sz w:val="22"/>
          <w:szCs w:val="22"/>
          <w:highlight w:val="none"/>
        </w:rPr>
        <w:t>3.2</w:t>
      </w:r>
      <w:r>
        <w:rPr>
          <w:rFonts w:hint="eastAsia" w:ascii="宋体" w:hAnsi="宋体" w:cs="宋体"/>
          <w:bCs/>
          <w:color w:val="auto"/>
          <w:sz w:val="22"/>
          <w:szCs w:val="22"/>
          <w:highlight w:val="none"/>
        </w:rPr>
        <w:t>医用织物洗涤</w:t>
      </w:r>
      <w:r>
        <w:rPr>
          <w:rFonts w:hint="eastAsia" w:ascii="宋体" w:hAnsi="宋体" w:cs="宋体"/>
          <w:color w:val="auto"/>
          <w:sz w:val="22"/>
          <w:szCs w:val="22"/>
          <w:highlight w:val="none"/>
        </w:rPr>
        <w:t>及采购人自备的</w:t>
      </w:r>
      <w:r>
        <w:rPr>
          <w:rFonts w:hint="eastAsia"/>
          <w:color w:val="auto"/>
          <w:sz w:val="22"/>
          <w:szCs w:val="22"/>
          <w:highlight w:val="none"/>
        </w:rPr>
        <w:t>帽子、毛衣、羽绒服、窗帘、床帘、毛毯、静配中心连体防静电防水服等的洗涤</w:t>
      </w:r>
      <w:r>
        <w:rPr>
          <w:rFonts w:hint="eastAsia" w:ascii="宋体" w:hAnsi="宋体" w:cs="宋体"/>
          <w:color w:val="auto"/>
          <w:sz w:val="22"/>
          <w:szCs w:val="22"/>
          <w:highlight w:val="none"/>
        </w:rPr>
        <w:t>（提供收送、清洗、烘干、折叠、缝补一贯式作业的后勤服务）。</w:t>
      </w:r>
    </w:p>
    <w:p>
      <w:pPr>
        <w:spacing w:line="360" w:lineRule="auto"/>
        <w:rPr>
          <w:rFonts w:ascii="Calibri" w:hAnsi="Calibri"/>
          <w:b/>
          <w:color w:val="auto"/>
          <w:sz w:val="22"/>
          <w:szCs w:val="22"/>
          <w:highlight w:val="none"/>
        </w:rPr>
      </w:pPr>
      <w:r>
        <w:rPr>
          <w:rFonts w:hint="eastAsia" w:ascii="Calibri" w:hAnsi="Calibri"/>
          <w:b/>
          <w:color w:val="auto"/>
          <w:sz w:val="22"/>
          <w:szCs w:val="22"/>
          <w:highlight w:val="none"/>
        </w:rPr>
        <w:t>二、乙方义务及质量标准</w:t>
      </w:r>
    </w:p>
    <w:p>
      <w:pPr>
        <w:spacing w:line="360" w:lineRule="auto"/>
        <w:ind w:left="330" w:hanging="330" w:hangingChars="150"/>
        <w:rPr>
          <w:rFonts w:ascii="宋体" w:hAnsi="宋体" w:cs="仿宋_GB2312"/>
          <w:color w:val="auto"/>
          <w:sz w:val="22"/>
          <w:szCs w:val="22"/>
          <w:highlight w:val="none"/>
        </w:rPr>
      </w:pPr>
      <w:r>
        <w:rPr>
          <w:rFonts w:hint="eastAsia"/>
          <w:color w:val="auto"/>
          <w:sz w:val="22"/>
          <w:szCs w:val="22"/>
          <w:highlight w:val="none"/>
        </w:rPr>
        <w:t>1、</w:t>
      </w:r>
      <w:r>
        <w:rPr>
          <w:rFonts w:hint="eastAsia" w:ascii="宋体" w:hAnsi="宋体" w:cs="仿宋_GB2312"/>
          <w:color w:val="auto"/>
          <w:sz w:val="22"/>
          <w:szCs w:val="22"/>
          <w:highlight w:val="none"/>
        </w:rPr>
        <w:t>乙方以租赁方式供应甲方所需之医用织物（含织物之材料制作、供应、收集、分类配送等一贯作业服务），做好租赁织物的洗涤质量把关工作。</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2. 乙方按照甲方确定的织物款式、材质、花式颜色等依约供货，如甲方对租赁织物的款式、材质、颜色进行调整，乙方应全力配合，且租赁价格不变，以实际需求为准。</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3. 租赁织物最低配置要求：</w:t>
      </w:r>
    </w:p>
    <w:p>
      <w:pPr>
        <w:spacing w:line="360" w:lineRule="auto"/>
        <w:ind w:left="330" w:hanging="330" w:hangingChars="150"/>
        <w:rPr>
          <w:color w:val="auto"/>
          <w:sz w:val="22"/>
          <w:szCs w:val="22"/>
          <w:highlight w:val="none"/>
        </w:rPr>
      </w:pPr>
      <w:r>
        <w:rPr>
          <w:rFonts w:ascii="宋体" w:hAnsi="宋体" w:cs="仿宋_GB2312"/>
          <w:color w:val="auto"/>
          <w:sz w:val="22"/>
          <w:szCs w:val="22"/>
          <w:highlight w:val="none"/>
        </w:rPr>
        <w:t>3.1</w:t>
      </w:r>
      <w:r>
        <w:rPr>
          <w:rFonts w:hint="eastAsia"/>
          <w:color w:val="auto"/>
          <w:sz w:val="22"/>
          <w:szCs w:val="22"/>
          <w:highlight w:val="none"/>
        </w:rPr>
        <w:t>医用织物供应必须无条件满足科室日常使用（足量配比病区被服1:5，手术室1:8，工作服1:3,）以备紧急突发状况。</w:t>
      </w:r>
    </w:p>
    <w:p>
      <w:pPr>
        <w:spacing w:line="360" w:lineRule="auto"/>
        <w:rPr>
          <w:color w:val="auto"/>
          <w:sz w:val="22"/>
          <w:szCs w:val="22"/>
          <w:highlight w:val="none"/>
        </w:rPr>
      </w:pPr>
      <w:r>
        <w:rPr>
          <w:color w:val="auto"/>
          <w:sz w:val="22"/>
          <w:szCs w:val="22"/>
          <w:highlight w:val="none"/>
        </w:rPr>
        <w:t>3.2.</w:t>
      </w:r>
      <w:r>
        <w:rPr>
          <w:rFonts w:hint="eastAsia"/>
          <w:color w:val="auto"/>
          <w:sz w:val="22"/>
          <w:szCs w:val="22"/>
          <w:highlight w:val="none"/>
        </w:rPr>
        <w:t>工作服配置：</w:t>
      </w:r>
    </w:p>
    <w:p>
      <w:pPr>
        <w:spacing w:line="360" w:lineRule="auto"/>
        <w:ind w:firstLine="440" w:firstLineChars="200"/>
        <w:rPr>
          <w:color w:val="auto"/>
          <w:sz w:val="22"/>
          <w:szCs w:val="22"/>
          <w:highlight w:val="none"/>
        </w:rPr>
      </w:pPr>
      <w:r>
        <w:rPr>
          <w:color w:val="auto"/>
          <w:sz w:val="22"/>
          <w:szCs w:val="22"/>
          <w:highlight w:val="none"/>
        </w:rPr>
        <w:t>3.2.</w:t>
      </w:r>
      <w:r>
        <w:rPr>
          <w:rFonts w:hint="eastAsia"/>
          <w:color w:val="auto"/>
          <w:sz w:val="22"/>
          <w:szCs w:val="22"/>
          <w:highlight w:val="none"/>
        </w:rPr>
        <w:t>1、医生及医技人员工作服要求：按照现有款式（白大褂）配备，冬装每人发放2套，夏装每人发放</w:t>
      </w:r>
      <w:r>
        <w:rPr>
          <w:color w:val="auto"/>
          <w:sz w:val="22"/>
          <w:szCs w:val="22"/>
          <w:highlight w:val="none"/>
        </w:rPr>
        <w:t>2</w:t>
      </w:r>
      <w:r>
        <w:rPr>
          <w:rFonts w:hint="eastAsia"/>
          <w:color w:val="auto"/>
          <w:sz w:val="22"/>
          <w:szCs w:val="22"/>
          <w:highlight w:val="none"/>
        </w:rPr>
        <w:t>套。特殊科室如急诊科、重症医学科、康复医学科、口腔科除发放现有款式白大褂外需配分体式工作服按1:3配备。</w:t>
      </w:r>
    </w:p>
    <w:p>
      <w:pPr>
        <w:spacing w:line="360" w:lineRule="auto"/>
        <w:ind w:firstLine="440" w:firstLineChars="200"/>
        <w:rPr>
          <w:color w:val="auto"/>
          <w:sz w:val="22"/>
          <w:szCs w:val="22"/>
          <w:highlight w:val="none"/>
        </w:rPr>
      </w:pPr>
      <w:r>
        <w:rPr>
          <w:color w:val="auto"/>
          <w:sz w:val="22"/>
          <w:szCs w:val="22"/>
          <w:highlight w:val="none"/>
        </w:rPr>
        <w:t>3.2.</w:t>
      </w:r>
      <w:r>
        <w:rPr>
          <w:rFonts w:hint="eastAsia"/>
          <w:color w:val="auto"/>
          <w:sz w:val="22"/>
          <w:szCs w:val="22"/>
          <w:highlight w:val="none"/>
        </w:rPr>
        <w:t>2、护士服要求：护士服按冬装每人发放2套、夏装每人发放</w:t>
      </w:r>
      <w:r>
        <w:rPr>
          <w:color w:val="auto"/>
          <w:sz w:val="22"/>
          <w:szCs w:val="22"/>
          <w:highlight w:val="none"/>
        </w:rPr>
        <w:t>2</w:t>
      </w:r>
      <w:r>
        <w:rPr>
          <w:rFonts w:hint="eastAsia"/>
          <w:color w:val="auto"/>
          <w:sz w:val="22"/>
          <w:szCs w:val="22"/>
          <w:highlight w:val="none"/>
        </w:rPr>
        <w:t>套。特殊科室（急诊科、血液净化中心、重症医学科、感染科）冬夏装需按1:3及现有花色和布卡配备，护士长服装要求制服式。</w:t>
      </w:r>
    </w:p>
    <w:p>
      <w:pPr>
        <w:spacing w:line="360" w:lineRule="auto"/>
        <w:ind w:firstLine="440" w:firstLineChars="200"/>
        <w:rPr>
          <w:color w:val="auto"/>
          <w:sz w:val="22"/>
          <w:szCs w:val="22"/>
          <w:highlight w:val="none"/>
        </w:rPr>
      </w:pPr>
      <w:r>
        <w:rPr>
          <w:color w:val="auto"/>
          <w:sz w:val="22"/>
          <w:szCs w:val="22"/>
          <w:highlight w:val="none"/>
        </w:rPr>
        <w:t>3.2.</w:t>
      </w:r>
      <w:r>
        <w:rPr>
          <w:rFonts w:hint="eastAsia"/>
          <w:color w:val="auto"/>
          <w:sz w:val="22"/>
          <w:szCs w:val="22"/>
          <w:highlight w:val="none"/>
        </w:rPr>
        <w:t>3、新进员工的工作服，不再另行收费。</w:t>
      </w:r>
    </w:p>
    <w:p>
      <w:pPr>
        <w:spacing w:line="360" w:lineRule="auto"/>
        <w:ind w:firstLine="440" w:firstLineChars="200"/>
        <w:rPr>
          <w:rFonts w:ascii="宋体" w:hAnsi="宋体" w:cs="仿宋_GB2312"/>
          <w:color w:val="auto"/>
          <w:sz w:val="22"/>
          <w:szCs w:val="22"/>
          <w:highlight w:val="none"/>
        </w:rPr>
      </w:pPr>
      <w:r>
        <w:rPr>
          <w:color w:val="auto"/>
          <w:sz w:val="22"/>
          <w:szCs w:val="22"/>
          <w:highlight w:val="none"/>
        </w:rPr>
        <w:t>3.2.4</w:t>
      </w:r>
      <w:r>
        <w:rPr>
          <w:rFonts w:hint="eastAsia"/>
          <w:color w:val="auto"/>
          <w:sz w:val="22"/>
          <w:szCs w:val="22"/>
          <w:highlight w:val="none"/>
        </w:rPr>
        <w:t>、窗口工作人员及部分临床相关职能部门人员按医护人员配备工作服。</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5、乙方应每日定时依需求科室前日提供各品目需求数量配送至甲方各需求部门。</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6、乙方必须严格按照《医用织物洗涤消毒技术规范》等国家标准和规范进行被服洗涤，保证被服洗涤的质量，降低布类洗涤损耗。加强洗涤用品、洗涤方式的管理，必须使用甲方认可的有资质厂家的洗涤剂及消毒液，不得使用任何有害人体健康的洗涤设备与原料，保证被服洗涤卫生、整洁、整齐。</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7、乙方必须制订工作制度和标准，提高从业人员素质，规范员工流程和工作方式，人员配备应满足医院被服换洗的日常需求。</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8、破损缝补应注重线、布、纽扣等色泽统一、型号相同，确保美观。</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9、被服烘干要彻底，整烫要按规范烫平，确保纽扣及袖口的松紧，衣服纽扣缺少或小破损的要及时钉好、补好。</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10、乙方在运作过程中必须做好当天的收洗记录表（包括新补用被品），当月汇总一次并交给甲方负责人，以便甲方保存记录及监督检查。</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11、若遇到相关单位到甲方检查被品质量不合格，造成的一切损失由乙方承担。</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12、乙方在院方运作过程中违反有关安全操作规程、消防条例，导致人身安全、财产安全、意外等问题，乙方应承担由此引发的一切损失及责任。</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 xml:space="preserve">13、乙方须应甲方要求至少配备 </w:t>
      </w:r>
      <w:r>
        <w:rPr>
          <w:rFonts w:ascii="宋体" w:hAnsi="宋体" w:cs="仿宋_GB2312"/>
          <w:color w:val="auto"/>
          <w:sz w:val="22"/>
          <w:szCs w:val="22"/>
          <w:highlight w:val="none"/>
        </w:rPr>
        <w:t xml:space="preserve">    </w:t>
      </w:r>
      <w:r>
        <w:rPr>
          <w:rFonts w:hint="eastAsia" w:ascii="宋体" w:hAnsi="宋体" w:cs="仿宋_GB2312"/>
          <w:color w:val="auto"/>
          <w:sz w:val="22"/>
          <w:szCs w:val="22"/>
          <w:highlight w:val="none"/>
        </w:rPr>
        <w:t xml:space="preserve">名工人（主管 </w:t>
      </w:r>
      <w:r>
        <w:rPr>
          <w:rFonts w:ascii="宋体" w:hAnsi="宋体" w:cs="仿宋_GB2312"/>
          <w:color w:val="auto"/>
          <w:sz w:val="22"/>
          <w:szCs w:val="22"/>
          <w:highlight w:val="none"/>
        </w:rPr>
        <w:t xml:space="preserve">   </w:t>
      </w:r>
      <w:r>
        <w:rPr>
          <w:rFonts w:hint="eastAsia" w:ascii="宋体" w:hAnsi="宋体" w:cs="仿宋_GB2312"/>
          <w:color w:val="auto"/>
          <w:sz w:val="22"/>
          <w:szCs w:val="22"/>
          <w:highlight w:val="none"/>
        </w:rPr>
        <w:t xml:space="preserve"> 名，工人</w:t>
      </w:r>
      <w:r>
        <w:rPr>
          <w:rFonts w:ascii="宋体" w:hAnsi="宋体" w:cs="仿宋_GB2312"/>
          <w:color w:val="auto"/>
          <w:sz w:val="22"/>
          <w:szCs w:val="22"/>
          <w:highlight w:val="none"/>
        </w:rPr>
        <w:t xml:space="preserve">   </w:t>
      </w:r>
      <w:r>
        <w:rPr>
          <w:rFonts w:hint="eastAsia" w:ascii="宋体" w:hAnsi="宋体" w:cs="仿宋_GB2312"/>
          <w:color w:val="auto"/>
          <w:sz w:val="22"/>
          <w:szCs w:val="22"/>
          <w:highlight w:val="none"/>
        </w:rPr>
        <w:t xml:space="preserve"> 名），乙方承担所有其配备的工作人员费用，并负责其配备工作人员的人身及财产安全。</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15、乙方应确保甲方的被品有充足的数量以保证正常运行，除平时使用量不大的特殊被品外，甲方可随时领用；特殊被品的备用应在接到甲方需要补充被品的通知后，在</w:t>
      </w:r>
      <w:r>
        <w:rPr>
          <w:rFonts w:ascii="宋体" w:hAnsi="宋体" w:cs="仿宋_GB2312"/>
          <w:color w:val="auto"/>
          <w:sz w:val="22"/>
          <w:szCs w:val="22"/>
          <w:highlight w:val="none"/>
        </w:rPr>
        <w:t>7</w:t>
      </w:r>
      <w:r>
        <w:rPr>
          <w:rFonts w:hint="eastAsia" w:ascii="宋体" w:hAnsi="宋体" w:cs="仿宋_GB2312"/>
          <w:color w:val="auto"/>
          <w:sz w:val="22"/>
          <w:szCs w:val="22"/>
          <w:highlight w:val="none"/>
        </w:rPr>
        <w:t>天内将被品补充到位。</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1</w:t>
      </w:r>
      <w:r>
        <w:rPr>
          <w:rFonts w:ascii="宋体" w:hAnsi="宋体" w:cs="仿宋_GB2312"/>
          <w:color w:val="auto"/>
          <w:sz w:val="22"/>
          <w:szCs w:val="22"/>
          <w:highlight w:val="none"/>
        </w:rPr>
        <w:t>6</w:t>
      </w:r>
      <w:r>
        <w:rPr>
          <w:rFonts w:hint="eastAsia" w:ascii="宋体" w:hAnsi="宋体" w:cs="仿宋_GB2312"/>
          <w:color w:val="auto"/>
          <w:sz w:val="22"/>
          <w:szCs w:val="22"/>
          <w:highlight w:val="none"/>
        </w:rPr>
        <w:t>、工作中乙方必须严格执行院方各种被服的消毒隔离制度，并认真执行清洗的规章制度，分类清洗，病员的被服与医护人员的工作服须分机洗涤；婴儿衣服及新生儿衣服必须单独洗涤，根据衣物受感染程度可分别用专机洗涤，特别是隔离病人与烧伤病人衣被应用专机洗涤，要按照院感管理流程执行。</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1</w:t>
      </w:r>
      <w:r>
        <w:rPr>
          <w:rFonts w:ascii="宋体" w:hAnsi="宋体" w:cs="仿宋_GB2312"/>
          <w:color w:val="auto"/>
          <w:sz w:val="22"/>
          <w:szCs w:val="22"/>
          <w:highlight w:val="none"/>
        </w:rPr>
        <w:t>7</w:t>
      </w:r>
      <w:r>
        <w:rPr>
          <w:rFonts w:hint="eastAsia" w:ascii="宋体" w:hAnsi="宋体" w:cs="仿宋_GB2312"/>
          <w:color w:val="auto"/>
          <w:sz w:val="22"/>
          <w:szCs w:val="22"/>
          <w:highlight w:val="none"/>
        </w:rPr>
        <w:t>、遇到突发事件或者自然灾害，必须服从甲方指挥与安排。</w:t>
      </w:r>
      <w:r>
        <w:rPr>
          <w:rFonts w:hint="eastAsia"/>
          <w:color w:val="auto"/>
          <w:sz w:val="22"/>
          <w:szCs w:val="22"/>
          <w:highlight w:val="none"/>
        </w:rPr>
        <w:t>乙方必须做好各项应急预案，提供至少与其它一家洗衣厂签定的合作协议，以备本厂遇不可抗拒因素（如停电、停水或重大自然灾害等）能按时完成任务，不影响甲方正常运行。</w:t>
      </w:r>
      <w:r>
        <w:rPr>
          <w:rFonts w:hint="eastAsia" w:hAnsi="宋体"/>
          <w:color w:val="auto"/>
          <w:spacing w:val="2"/>
          <w:sz w:val="22"/>
          <w:szCs w:val="22"/>
          <w:highlight w:val="none"/>
        </w:rPr>
        <w:t>如有甲方应急需要洗涤，乙方需无条件配合安排。</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1</w:t>
      </w:r>
      <w:r>
        <w:rPr>
          <w:rFonts w:ascii="宋体" w:hAnsi="宋体" w:cs="仿宋_GB2312"/>
          <w:color w:val="auto"/>
          <w:sz w:val="22"/>
          <w:szCs w:val="22"/>
          <w:highlight w:val="none"/>
        </w:rPr>
        <w:t>8</w:t>
      </w:r>
      <w:r>
        <w:rPr>
          <w:rFonts w:hint="eastAsia" w:ascii="宋体" w:hAnsi="宋体" w:cs="仿宋_GB2312"/>
          <w:color w:val="auto"/>
          <w:sz w:val="22"/>
          <w:szCs w:val="22"/>
          <w:highlight w:val="none"/>
        </w:rPr>
        <w:t>、未经甲方同意，乙方无权在甲方区域内从事任何经营活动或类似宣传，否则甲方有权依照法律法规和甲方相关的规定责令乙方限期改正，并接受处罚。</w:t>
      </w:r>
    </w:p>
    <w:p>
      <w:pPr>
        <w:spacing w:line="360" w:lineRule="auto"/>
        <w:ind w:left="330" w:hanging="330" w:hangingChars="150"/>
        <w:rPr>
          <w:rFonts w:ascii="宋体" w:hAnsi="宋体" w:cs="仿宋_GB2312"/>
          <w:color w:val="auto"/>
          <w:sz w:val="22"/>
          <w:szCs w:val="22"/>
          <w:highlight w:val="none"/>
        </w:rPr>
      </w:pPr>
      <w:r>
        <w:rPr>
          <w:rFonts w:ascii="宋体" w:hAnsi="宋体" w:cs="仿宋_GB2312"/>
          <w:color w:val="auto"/>
          <w:sz w:val="22"/>
          <w:szCs w:val="22"/>
          <w:highlight w:val="none"/>
        </w:rPr>
        <w:t>19</w:t>
      </w:r>
      <w:r>
        <w:rPr>
          <w:rFonts w:hint="eastAsia" w:ascii="宋体" w:hAnsi="宋体" w:cs="仿宋_GB2312"/>
          <w:color w:val="auto"/>
          <w:sz w:val="22"/>
          <w:szCs w:val="22"/>
          <w:highlight w:val="none"/>
        </w:rPr>
        <w:t>、未经甲方同意， 乙方不得以任何形式转租、转让、抵押承包区域及承包合同内容，在承包区域内只能从事甲方认可的承包工作；否则甲方有权单方面终止合同，并保留进一步追究乙方责任的权利。在承包期内， 乙方任何重大变动或法律事宜均应通知甲方 。</w:t>
      </w:r>
    </w:p>
    <w:p>
      <w:pPr>
        <w:spacing w:line="360" w:lineRule="auto"/>
        <w:rPr>
          <w:rFonts w:ascii="Calibri" w:hAnsi="Calibri"/>
          <w:b/>
          <w:color w:val="auto"/>
          <w:sz w:val="22"/>
          <w:szCs w:val="22"/>
          <w:highlight w:val="none"/>
        </w:rPr>
      </w:pPr>
      <w:r>
        <w:rPr>
          <w:rFonts w:hint="eastAsia" w:ascii="Calibri" w:hAnsi="Calibri"/>
          <w:b/>
          <w:color w:val="auto"/>
          <w:sz w:val="22"/>
          <w:szCs w:val="22"/>
          <w:highlight w:val="none"/>
        </w:rPr>
        <w:t>三、甲方义务</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1、甲方负责被服收发、洗涤及质量的监督、指导、并抽检被服洗涤质量，发现被服破损不补、纽扣缺少、被服污迹未清洗、被服未烫平、被服染色，串色等质量问题时通知乙方整改，验收检查中确认洗涤质量不合格的被品由乙方无条件收回返工，期间费用均由乙方负责。</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2、当月的洗涤服务质量由甲方相关监管部门对乙方日常洗涤质量进行检查并考评，考评成绩与承包款项挂钩。（详见附件外包洗涤质量考核评分表）</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3、所有租赁物的所有权归乙方所有。</w:t>
      </w:r>
    </w:p>
    <w:p>
      <w:pPr>
        <w:spacing w:line="360" w:lineRule="auto"/>
        <w:rPr>
          <w:rFonts w:ascii="Calibri" w:hAnsi="Calibri"/>
          <w:b/>
          <w:color w:val="auto"/>
          <w:sz w:val="22"/>
          <w:szCs w:val="22"/>
          <w:highlight w:val="none"/>
        </w:rPr>
      </w:pPr>
      <w:r>
        <w:rPr>
          <w:rFonts w:hint="eastAsia" w:ascii="Calibri" w:hAnsi="Calibri"/>
          <w:b/>
          <w:color w:val="auto"/>
          <w:sz w:val="22"/>
          <w:szCs w:val="22"/>
          <w:highlight w:val="none"/>
        </w:rPr>
        <w:t>四、业务量统计</w:t>
      </w:r>
    </w:p>
    <w:p>
      <w:pPr>
        <w:spacing w:line="360" w:lineRule="auto"/>
        <w:ind w:left="315" w:leftChars="150" w:firstLine="110" w:firstLineChars="50"/>
        <w:rPr>
          <w:rFonts w:ascii="宋体" w:hAnsi="宋体" w:cs="仿宋_GB2312"/>
          <w:color w:val="auto"/>
          <w:sz w:val="22"/>
          <w:szCs w:val="22"/>
          <w:highlight w:val="none"/>
        </w:rPr>
      </w:pPr>
      <w:r>
        <w:rPr>
          <w:rFonts w:hint="eastAsia" w:ascii="宋体" w:hAnsi="宋体" w:cs="仿宋_GB2312"/>
          <w:color w:val="auto"/>
          <w:sz w:val="22"/>
          <w:szCs w:val="22"/>
          <w:highlight w:val="none"/>
        </w:rPr>
        <w:t>床位数量按医院实际使用床位数</w:t>
      </w:r>
      <w:r>
        <w:rPr>
          <w:rFonts w:hint="eastAsia" w:ascii="宋体" w:hAnsi="宋体" w:cs="仿宋_GB2312"/>
          <w:color w:val="auto"/>
          <w:sz w:val="22"/>
          <w:szCs w:val="22"/>
          <w:highlight w:val="none"/>
          <w:lang w:eastAsia="zh-CN"/>
        </w:rPr>
        <w:t>（</w:t>
      </w:r>
      <w:r>
        <w:rPr>
          <w:rFonts w:hint="eastAsia" w:ascii="宋体" w:hAnsi="宋体" w:cs="仿宋_GB2312"/>
          <w:b/>
          <w:bCs/>
          <w:color w:val="auto"/>
          <w:sz w:val="22"/>
          <w:szCs w:val="22"/>
          <w:highlight w:val="none"/>
        </w:rPr>
        <w:t>以甲方病案统计室月报表数据为准</w:t>
      </w:r>
      <w:r>
        <w:rPr>
          <w:rFonts w:hint="eastAsia" w:ascii="宋体" w:hAnsi="宋体" w:cs="仿宋_GB2312"/>
          <w:color w:val="auto"/>
          <w:sz w:val="22"/>
          <w:szCs w:val="22"/>
          <w:highlight w:val="none"/>
          <w:lang w:eastAsia="zh-CN"/>
        </w:rPr>
        <w:t>）</w:t>
      </w:r>
      <w:r>
        <w:rPr>
          <w:rFonts w:hint="eastAsia" w:ascii="宋体" w:hAnsi="宋体" w:cs="宋体"/>
          <w:color w:val="auto"/>
          <w:kern w:val="0"/>
          <w:sz w:val="22"/>
          <w:szCs w:val="22"/>
          <w:highlight w:val="none"/>
          <w:lang w:val="en-US" w:eastAsia="zh-CN" w:bidi="ar"/>
        </w:rPr>
        <w:t>、血透室床位数量（50床）、值班室床位数量（25床）的合计使用床位数量。</w:t>
      </w:r>
      <w:r>
        <w:rPr>
          <w:rFonts w:hint="eastAsia" w:ascii="宋体" w:hAnsi="宋体" w:cs="仿宋_GB2312"/>
          <w:color w:val="auto"/>
          <w:sz w:val="22"/>
          <w:szCs w:val="22"/>
          <w:highlight w:val="none"/>
        </w:rPr>
        <w:t>月底由双方有关人员签字，以此作为支付相关费用的依据。</w:t>
      </w:r>
    </w:p>
    <w:p>
      <w:pPr>
        <w:spacing w:line="360" w:lineRule="auto"/>
        <w:rPr>
          <w:rFonts w:ascii="Calibri" w:hAnsi="Calibri"/>
          <w:b/>
          <w:color w:val="auto"/>
          <w:sz w:val="22"/>
          <w:szCs w:val="22"/>
          <w:highlight w:val="none"/>
        </w:rPr>
      </w:pPr>
      <w:r>
        <w:rPr>
          <w:rFonts w:hint="eastAsia" w:ascii="Calibri" w:hAnsi="Calibri"/>
          <w:b/>
          <w:color w:val="auto"/>
          <w:sz w:val="22"/>
          <w:szCs w:val="22"/>
          <w:highlight w:val="none"/>
        </w:rPr>
        <w:t>五、合同价格及结算方式</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1、本次合同价格包括但不限于乙方在承包区域内提供医用织物租赁洗涤服务所需的一切人员工资、奖金、各种加班费、夜餐费、高温补贴、各种社会保险、餐饮与交通、专用设备及工具、器械、耗材、服装、办公设备和设施、信息化费用、仓储、管理费用、税费、利润、政策性文件规定及物价上涨因素等服务期内的所有风险、责任费用等，包括了完成合同所需的一切本身和不可或缺的所有工作开支。注：人员工资不得低于苍南县最低基本工资标准。</w:t>
      </w:r>
    </w:p>
    <w:p>
      <w:pPr>
        <w:spacing w:line="360" w:lineRule="auto"/>
        <w:ind w:left="330" w:hanging="330" w:hangingChars="150"/>
        <w:rPr>
          <w:rFonts w:ascii="宋体" w:hAnsi="宋体" w:cs="仿宋_GB2312"/>
          <w:color w:val="auto"/>
          <w:sz w:val="22"/>
          <w:szCs w:val="22"/>
          <w:highlight w:val="none"/>
        </w:rPr>
      </w:pPr>
      <w:r>
        <w:rPr>
          <w:rFonts w:ascii="宋体" w:hAnsi="宋体" w:cs="仿宋_GB2312"/>
          <w:color w:val="auto"/>
          <w:sz w:val="22"/>
          <w:szCs w:val="22"/>
          <w:highlight w:val="none"/>
        </w:rPr>
        <w:t>2</w:t>
      </w:r>
      <w:r>
        <w:rPr>
          <w:rFonts w:hint="eastAsia" w:ascii="宋体" w:hAnsi="宋体" w:cs="仿宋_GB2312"/>
          <w:color w:val="auto"/>
          <w:sz w:val="22"/>
          <w:szCs w:val="22"/>
          <w:highlight w:val="none"/>
        </w:rPr>
        <w:t>、付款方式：</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①签订合同后七个工作日内，乙方向甲方支付合同总价的5%作为履约保证金，甲方向乙方支付合同总价的10%作为预付款；</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②按月支付，甲方在次月5日前收到乙方每月租赁布服累计报表并审核后根据乙方开具的正规发票按实结算。（扣除预付款及相关罚款金额后支付）。</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③合同期满后，甲方一次性无息退还履约保证金。</w:t>
      </w:r>
    </w:p>
    <w:p>
      <w:pPr>
        <w:spacing w:line="360" w:lineRule="auto"/>
        <w:ind w:left="330" w:hanging="330" w:hangingChars="150"/>
        <w:rPr>
          <w:rFonts w:ascii="宋体" w:hAnsi="宋体" w:cs="宋体"/>
          <w:color w:val="auto"/>
          <w:kern w:val="0"/>
          <w:sz w:val="22"/>
          <w:szCs w:val="22"/>
          <w:highlight w:val="none"/>
          <w:lang w:bidi="ar"/>
        </w:rPr>
      </w:pPr>
      <w:r>
        <w:rPr>
          <w:rFonts w:ascii="宋体" w:hAnsi="宋体" w:cs="仿宋_GB2312"/>
          <w:color w:val="auto"/>
          <w:sz w:val="22"/>
          <w:szCs w:val="22"/>
          <w:highlight w:val="none"/>
        </w:rPr>
        <w:t>3</w:t>
      </w:r>
      <w:r>
        <w:rPr>
          <w:rFonts w:hint="eastAsia" w:ascii="宋体" w:hAnsi="宋体" w:cs="仿宋_GB2312"/>
          <w:color w:val="auto"/>
          <w:sz w:val="22"/>
          <w:szCs w:val="22"/>
          <w:highlight w:val="none"/>
        </w:rPr>
        <w:t>、本合同的承包单价如下，</w:t>
      </w:r>
      <w:r>
        <w:rPr>
          <w:rFonts w:hint="eastAsia" w:ascii="宋体" w:hAnsi="宋体" w:cs="宋体"/>
          <w:color w:val="auto"/>
          <w:kern w:val="0"/>
          <w:sz w:val="22"/>
          <w:szCs w:val="22"/>
          <w:highlight w:val="none"/>
          <w:lang w:bidi="ar"/>
        </w:rPr>
        <w:t>每日床位数量在800（含）床，每床位每日所需布品单价为</w:t>
      </w:r>
      <w:r>
        <w:rPr>
          <w:rFonts w:hint="eastAsia" w:ascii="宋体" w:hAnsi="宋体" w:cs="宋体"/>
          <w:color w:val="auto"/>
          <w:kern w:val="0"/>
          <w:sz w:val="22"/>
          <w:szCs w:val="22"/>
          <w:highlight w:val="none"/>
          <w:u w:val="single"/>
          <w:lang w:bidi="ar"/>
        </w:rPr>
        <w:t xml:space="preserve">      </w:t>
      </w:r>
      <w:r>
        <w:rPr>
          <w:rFonts w:hint="eastAsia" w:ascii="宋体" w:hAnsi="宋体" w:cs="宋体"/>
          <w:color w:val="auto"/>
          <w:kern w:val="0"/>
          <w:sz w:val="22"/>
          <w:szCs w:val="22"/>
          <w:highlight w:val="none"/>
          <w:lang w:bidi="ar"/>
        </w:rPr>
        <w:t>元/床/日，每日床位数量在</w:t>
      </w:r>
      <w:r>
        <w:rPr>
          <w:rFonts w:hint="eastAsia" w:ascii="宋体" w:hAnsi="宋体" w:cs="宋体"/>
          <w:color w:val="auto"/>
          <w:kern w:val="0"/>
          <w:sz w:val="22"/>
          <w:szCs w:val="22"/>
          <w:highlight w:val="none"/>
          <w:lang w:eastAsia="zh-CN" w:bidi="ar"/>
        </w:rPr>
        <w:t>801床-899床</w:t>
      </w:r>
      <w:r>
        <w:rPr>
          <w:rFonts w:hint="eastAsia" w:ascii="宋体" w:hAnsi="宋体" w:cs="宋体"/>
          <w:color w:val="auto"/>
          <w:kern w:val="0"/>
          <w:sz w:val="22"/>
          <w:szCs w:val="22"/>
          <w:highlight w:val="none"/>
          <w:lang w:bidi="ar"/>
        </w:rPr>
        <w:t>之间的，每床位每日所需布品单价为</w:t>
      </w:r>
      <w:r>
        <w:rPr>
          <w:rFonts w:hint="eastAsia" w:ascii="宋体" w:hAnsi="宋体" w:cs="宋体"/>
          <w:color w:val="auto"/>
          <w:kern w:val="0"/>
          <w:sz w:val="22"/>
          <w:szCs w:val="22"/>
          <w:highlight w:val="none"/>
          <w:u w:val="single"/>
          <w:lang w:bidi="ar"/>
        </w:rPr>
        <w:t xml:space="preserve">      </w:t>
      </w:r>
      <w:r>
        <w:rPr>
          <w:rFonts w:hint="eastAsia" w:ascii="宋体" w:hAnsi="宋体" w:cs="宋体"/>
          <w:color w:val="auto"/>
          <w:kern w:val="0"/>
          <w:sz w:val="22"/>
          <w:szCs w:val="22"/>
          <w:highlight w:val="none"/>
          <w:lang w:bidi="ar"/>
        </w:rPr>
        <w:t>元/床/日，每日床位数量在900（含）床以上的，每床位每日所需布品单价单价为</w:t>
      </w:r>
      <w:r>
        <w:rPr>
          <w:rFonts w:hint="eastAsia" w:ascii="宋体" w:hAnsi="宋体" w:cs="宋体"/>
          <w:color w:val="auto"/>
          <w:kern w:val="0"/>
          <w:sz w:val="22"/>
          <w:szCs w:val="22"/>
          <w:highlight w:val="none"/>
          <w:u w:val="single"/>
          <w:lang w:bidi="ar"/>
        </w:rPr>
        <w:t xml:space="preserve">      </w:t>
      </w:r>
      <w:r>
        <w:rPr>
          <w:rFonts w:hint="eastAsia" w:ascii="宋体" w:hAnsi="宋体" w:cs="宋体"/>
          <w:color w:val="auto"/>
          <w:kern w:val="0"/>
          <w:sz w:val="22"/>
          <w:szCs w:val="22"/>
          <w:highlight w:val="none"/>
          <w:lang w:bidi="ar"/>
        </w:rPr>
        <w:t>元/床/日。乙方须满足甲方每日每床位所需布服数量，后期按照当日服务费=（当日实际使用床位数量+血透室床位数量（50床）+值班室床位数量（25床））*各区间床位数每床位每日所需布品综合单价最高限价*中标折扣率进行结算。每日一统计，每月一结算。</w:t>
      </w:r>
    </w:p>
    <w:p>
      <w:pPr>
        <w:spacing w:line="360" w:lineRule="auto"/>
        <w:rPr>
          <w:rFonts w:ascii="Calibri" w:hAnsi="Calibri"/>
          <w:b/>
          <w:color w:val="auto"/>
          <w:sz w:val="22"/>
          <w:szCs w:val="22"/>
          <w:highlight w:val="none"/>
        </w:rPr>
      </w:pPr>
      <w:r>
        <w:rPr>
          <w:rFonts w:hint="eastAsia" w:ascii="Calibri" w:hAnsi="Calibri"/>
          <w:b/>
          <w:color w:val="auto"/>
          <w:sz w:val="22"/>
          <w:szCs w:val="22"/>
          <w:highlight w:val="none"/>
        </w:rPr>
        <w:t>六、布服租赁考评办法（详见合同附件）</w:t>
      </w:r>
    </w:p>
    <w:p>
      <w:pPr>
        <w:spacing w:line="360" w:lineRule="auto"/>
        <w:rPr>
          <w:rFonts w:ascii="Calibri" w:hAnsi="Calibri"/>
          <w:b/>
          <w:color w:val="auto"/>
          <w:sz w:val="22"/>
          <w:szCs w:val="22"/>
          <w:highlight w:val="none"/>
        </w:rPr>
      </w:pPr>
      <w:r>
        <w:rPr>
          <w:rFonts w:hint="eastAsia" w:ascii="Calibri" w:hAnsi="Calibri"/>
          <w:b/>
          <w:color w:val="auto"/>
          <w:sz w:val="22"/>
          <w:szCs w:val="22"/>
          <w:highlight w:val="none"/>
        </w:rPr>
        <w:t>七、其他条款</w:t>
      </w:r>
    </w:p>
    <w:p>
      <w:pPr>
        <w:spacing w:line="360" w:lineRule="auto"/>
        <w:rPr>
          <w:rFonts w:ascii="宋体" w:hAnsi="宋体" w:cs="仿宋_GB2312"/>
          <w:color w:val="auto"/>
          <w:sz w:val="22"/>
          <w:szCs w:val="22"/>
          <w:highlight w:val="none"/>
        </w:rPr>
      </w:pPr>
      <w:r>
        <w:rPr>
          <w:rFonts w:hint="eastAsia" w:ascii="宋体" w:hAnsi="宋体" w:cs="仿宋_GB2312"/>
          <w:color w:val="auto"/>
          <w:sz w:val="22"/>
          <w:szCs w:val="22"/>
          <w:highlight w:val="none"/>
        </w:rPr>
        <w:t>1、乙方所聘用人员必须符合劳动部门有关用工规定，如违反劳动法用工所引发的劳动纠纷由乙方承担完全责任。乙方自行负责其招聘员工的一切工资、福利；如发生工伤、疾病乃至死亡的一切责任及费用由乙方全部负责；乙方应严格遵守国家有关的法律、法规及行业标准。</w:t>
      </w:r>
    </w:p>
    <w:p>
      <w:pPr>
        <w:spacing w:line="360" w:lineRule="auto"/>
        <w:rPr>
          <w:rFonts w:ascii="宋体" w:hAnsi="宋体" w:cs="仿宋_GB2312"/>
          <w:color w:val="auto"/>
          <w:sz w:val="22"/>
          <w:szCs w:val="22"/>
          <w:highlight w:val="none"/>
        </w:rPr>
      </w:pPr>
      <w:r>
        <w:rPr>
          <w:rFonts w:hint="eastAsia" w:ascii="宋体" w:hAnsi="宋体" w:cs="仿宋_GB2312"/>
          <w:color w:val="auto"/>
          <w:sz w:val="22"/>
          <w:szCs w:val="22"/>
          <w:highlight w:val="none"/>
        </w:rPr>
        <w:t>2、甲方应向乙方提供突发公共事件预案及其他应告知乙方的相关内部文件，以便乙方配合甲方工作。</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3、发生突发公共卫生事件时，乙方应主动配合甲方工作，按甲方需求延长工作时间及改变工作内容或要求。</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4、其他情况下，甲方认为需要乙方配合延长工作时间及改变工作内容要求的，经乙方同意后亦可配合。</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5、乙方工作人员出入院区及在工作场所内均应遵守甲方规定，并穿着乙方规定工作服。</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6、乙方工作人员每年必须在甲方做一次身体检查（费用比照甲方员工，乙方自付）检查项目由甲方管理部门规定，另检查结果经认定工作人员有不适本项工作之疾病时，甲方可要求乙方更换所属工作人员。</w:t>
      </w:r>
    </w:p>
    <w:p>
      <w:pPr>
        <w:spacing w:line="360" w:lineRule="auto"/>
        <w:ind w:left="330" w:hanging="330" w:hangingChars="150"/>
        <w:rPr>
          <w:rFonts w:ascii="宋体" w:hAnsi="宋体" w:cs="仿宋_GB2312"/>
          <w:color w:val="auto"/>
          <w:sz w:val="22"/>
          <w:szCs w:val="22"/>
          <w:highlight w:val="none"/>
        </w:rPr>
      </w:pPr>
      <w:r>
        <w:rPr>
          <w:rFonts w:hint="eastAsia" w:ascii="宋体" w:hAnsi="宋体" w:cs="仿宋_GB2312"/>
          <w:color w:val="auto"/>
          <w:sz w:val="22"/>
          <w:szCs w:val="22"/>
          <w:highlight w:val="none"/>
        </w:rPr>
        <w:t>7、为了保证病人利益，改善病房环境，乙方必须保证用布制品、床单、被套、枕套的年更新率应达到45%以上，病人衣裤的年更新率应达到35%以上。</w:t>
      </w:r>
    </w:p>
    <w:p>
      <w:pPr>
        <w:spacing w:line="440" w:lineRule="exact"/>
        <w:rPr>
          <w:rFonts w:ascii="宋体" w:hAnsi="宋体" w:cs="仿宋_GB2312"/>
          <w:color w:val="auto"/>
          <w:sz w:val="22"/>
          <w:szCs w:val="22"/>
          <w:highlight w:val="none"/>
        </w:rPr>
      </w:pPr>
      <w:r>
        <w:rPr>
          <w:rFonts w:hint="eastAsia" w:ascii="宋体" w:hAnsi="宋体" w:cs="仿宋_GB2312"/>
          <w:color w:val="auto"/>
          <w:sz w:val="22"/>
          <w:szCs w:val="22"/>
          <w:highlight w:val="none"/>
        </w:rPr>
        <w:t>8、合约期满若双方不再续约而甲方未能及时备妥布服，乙方同意延长合约三个月。</w:t>
      </w:r>
    </w:p>
    <w:p>
      <w:pPr>
        <w:spacing w:line="360" w:lineRule="auto"/>
        <w:rPr>
          <w:rFonts w:ascii="Calibri" w:hAnsi="Calibri"/>
          <w:b/>
          <w:color w:val="auto"/>
          <w:sz w:val="22"/>
          <w:szCs w:val="22"/>
          <w:highlight w:val="none"/>
        </w:rPr>
      </w:pPr>
      <w:r>
        <w:rPr>
          <w:rFonts w:hint="eastAsia" w:ascii="Calibri" w:hAnsi="Calibri"/>
          <w:b/>
          <w:color w:val="auto"/>
          <w:sz w:val="22"/>
          <w:szCs w:val="22"/>
          <w:highlight w:val="none"/>
        </w:rPr>
        <w:t>八、合同期限</w:t>
      </w:r>
    </w:p>
    <w:p>
      <w:pPr>
        <w:spacing w:line="360" w:lineRule="auto"/>
        <w:ind w:firstLine="440" w:firstLineChars="200"/>
        <w:rPr>
          <w:color w:val="auto"/>
          <w:sz w:val="22"/>
          <w:szCs w:val="22"/>
          <w:highlight w:val="none"/>
        </w:rPr>
      </w:pPr>
      <w:r>
        <w:rPr>
          <w:rFonts w:hint="eastAsia"/>
          <w:color w:val="auto"/>
          <w:sz w:val="22"/>
          <w:szCs w:val="22"/>
          <w:highlight w:val="none"/>
        </w:rPr>
        <w:t>自合同签订起一年或实际结算金额接近采购预算。</w:t>
      </w:r>
    </w:p>
    <w:p>
      <w:pPr>
        <w:spacing w:line="360" w:lineRule="auto"/>
        <w:rPr>
          <w:rFonts w:ascii="Calibri" w:hAnsi="Calibri"/>
          <w:b/>
          <w:color w:val="auto"/>
          <w:sz w:val="22"/>
          <w:szCs w:val="22"/>
          <w:highlight w:val="none"/>
        </w:rPr>
      </w:pPr>
      <w:r>
        <w:rPr>
          <w:rFonts w:hint="eastAsia" w:ascii="Calibri" w:hAnsi="Calibri"/>
          <w:b/>
          <w:color w:val="auto"/>
          <w:sz w:val="22"/>
          <w:szCs w:val="22"/>
          <w:highlight w:val="none"/>
        </w:rPr>
        <w:t>九、不可抗力事件处理及合同终止</w:t>
      </w:r>
    </w:p>
    <w:p>
      <w:pPr>
        <w:spacing w:line="360" w:lineRule="auto"/>
        <w:ind w:firstLine="440" w:firstLineChars="200"/>
        <w:rPr>
          <w:rFonts w:ascii="宋体" w:hAnsi="宋体" w:cs="Arial"/>
          <w:color w:val="auto"/>
          <w:sz w:val="22"/>
          <w:szCs w:val="22"/>
          <w:highlight w:val="none"/>
        </w:rPr>
      </w:pPr>
      <w:r>
        <w:rPr>
          <w:rFonts w:ascii="宋体" w:hAnsi="宋体"/>
          <w:color w:val="auto"/>
          <w:sz w:val="22"/>
          <w:szCs w:val="22"/>
          <w:highlight w:val="none"/>
        </w:rPr>
        <w:t>1.</w:t>
      </w:r>
      <w:r>
        <w:rPr>
          <w:rFonts w:hint="eastAsia" w:ascii="宋体" w:hAnsi="宋体" w:cs="Arial"/>
          <w:color w:val="auto"/>
          <w:sz w:val="22"/>
          <w:szCs w:val="22"/>
          <w:highlight w:val="none"/>
        </w:rPr>
        <w:t xml:space="preserve"> 在承包期间</w:t>
      </w:r>
      <w:r>
        <w:rPr>
          <w:rFonts w:hint="eastAsia"/>
          <w:color w:val="auto"/>
          <w:sz w:val="22"/>
          <w:szCs w:val="22"/>
          <w:highlight w:val="none"/>
        </w:rPr>
        <w:t>发生不可抗力（战争、严重火灾、水灾、台风和地震以及其他经双方同意属不可抗力的事故）</w:t>
      </w:r>
      <w:r>
        <w:rPr>
          <w:rFonts w:hint="eastAsia" w:ascii="宋体" w:hAnsi="宋体" w:cs="Arial"/>
          <w:color w:val="auto"/>
          <w:sz w:val="22"/>
          <w:szCs w:val="22"/>
          <w:highlight w:val="none"/>
        </w:rPr>
        <w:t>的原因，导致承合同不能或不能全部履行，双方可以按以下各项执行：</w:t>
      </w:r>
    </w:p>
    <w:p>
      <w:pPr>
        <w:spacing w:line="360" w:lineRule="auto"/>
        <w:ind w:firstLine="440" w:firstLineChars="200"/>
        <w:rPr>
          <w:rFonts w:ascii="宋体" w:hAnsi="宋体" w:cs="Arial"/>
          <w:color w:val="auto"/>
          <w:sz w:val="22"/>
          <w:szCs w:val="22"/>
          <w:highlight w:val="none"/>
        </w:rPr>
      </w:pPr>
      <w:r>
        <w:rPr>
          <w:rFonts w:hint="eastAsia" w:ascii="宋体" w:hAnsi="宋体" w:cs="Arial"/>
          <w:color w:val="auto"/>
          <w:sz w:val="22"/>
          <w:szCs w:val="22"/>
          <w:highlight w:val="none"/>
        </w:rPr>
        <w:t xml:space="preserve"> </w:t>
      </w:r>
      <w:r>
        <w:rPr>
          <w:rFonts w:ascii="宋体" w:hAnsi="宋体" w:cs="Arial"/>
          <w:color w:val="auto"/>
          <w:sz w:val="22"/>
          <w:szCs w:val="22"/>
          <w:highlight w:val="none"/>
        </w:rPr>
        <w:t>1</w:t>
      </w:r>
      <w:r>
        <w:rPr>
          <w:rFonts w:hint="eastAsia" w:ascii="宋体" w:hAnsi="宋体" w:cs="Arial"/>
          <w:color w:val="auto"/>
          <w:sz w:val="22"/>
          <w:szCs w:val="22"/>
          <w:highlight w:val="none"/>
        </w:rPr>
        <w:t>.1任何一方可以书面形式终止合同无需做出任何赔偿。</w:t>
      </w:r>
    </w:p>
    <w:p>
      <w:pPr>
        <w:spacing w:line="360" w:lineRule="auto"/>
        <w:ind w:firstLine="440" w:firstLineChars="200"/>
        <w:rPr>
          <w:rFonts w:ascii="宋体" w:hAnsi="宋体" w:cs="Arial"/>
          <w:color w:val="auto"/>
          <w:sz w:val="22"/>
          <w:szCs w:val="22"/>
          <w:highlight w:val="none"/>
        </w:rPr>
      </w:pPr>
      <w:r>
        <w:rPr>
          <w:rFonts w:hint="eastAsia" w:ascii="宋体" w:hAnsi="宋体" w:cs="Arial"/>
          <w:color w:val="auto"/>
          <w:sz w:val="22"/>
          <w:szCs w:val="22"/>
          <w:highlight w:val="none"/>
        </w:rPr>
        <w:t xml:space="preserve"> 1.2因不可抗力导致合同终止，并不影响任何一方对不可抗力先前发生的违约行为合法追偿。</w:t>
      </w:r>
    </w:p>
    <w:p>
      <w:pPr>
        <w:spacing w:line="360" w:lineRule="auto"/>
        <w:ind w:firstLine="440" w:firstLineChars="200"/>
        <w:rPr>
          <w:rFonts w:ascii="宋体" w:hAnsi="宋体" w:cs="Arial"/>
          <w:color w:val="auto"/>
          <w:sz w:val="22"/>
          <w:szCs w:val="22"/>
          <w:highlight w:val="none"/>
        </w:rPr>
      </w:pPr>
      <w:r>
        <w:rPr>
          <w:rFonts w:hint="eastAsia" w:ascii="宋体" w:hAnsi="宋体" w:cs="Arial"/>
          <w:color w:val="auto"/>
          <w:sz w:val="22"/>
          <w:szCs w:val="22"/>
          <w:highlight w:val="none"/>
        </w:rPr>
        <w:t xml:space="preserve"> 1.3甲方不负责因不可抗力造成合同不能正常履行的责任。</w:t>
      </w:r>
    </w:p>
    <w:p>
      <w:pPr>
        <w:spacing w:line="360" w:lineRule="auto"/>
        <w:rPr>
          <w:rFonts w:ascii="宋体" w:hAnsi="宋体"/>
          <w:color w:val="auto"/>
          <w:sz w:val="22"/>
          <w:szCs w:val="22"/>
          <w:highlight w:val="none"/>
        </w:rPr>
      </w:pPr>
      <w:r>
        <w:rPr>
          <w:rFonts w:ascii="宋体" w:hAnsi="宋体"/>
          <w:color w:val="auto"/>
          <w:sz w:val="22"/>
          <w:szCs w:val="22"/>
          <w:highlight w:val="none"/>
        </w:rPr>
        <w:t>2.</w:t>
      </w:r>
      <w:r>
        <w:rPr>
          <w:rFonts w:hint="eastAsia" w:ascii="宋体" w:hAnsi="宋体"/>
          <w:color w:val="auto"/>
          <w:sz w:val="22"/>
          <w:szCs w:val="22"/>
          <w:highlight w:val="none"/>
        </w:rPr>
        <w:t>合同终止：如出现以下情况之一，本合同将无条件终止，甲方有权没收乙方履约保证金且乙方应赔偿甲方因合同终止带来的各种损失（包括但不限于直接损失、间接损失、违约金、诉讼费、财产保全费、执行费、仲裁费、律师代理费等）：</w:t>
      </w:r>
    </w:p>
    <w:p>
      <w:pPr>
        <w:spacing w:line="360" w:lineRule="auto"/>
        <w:ind w:left="425"/>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r>
        <w:rPr>
          <w:rFonts w:ascii="宋体" w:hAnsi="宋体" w:cs="宋体"/>
          <w:color w:val="auto"/>
          <w:kern w:val="0"/>
          <w:sz w:val="22"/>
          <w:szCs w:val="22"/>
          <w:highlight w:val="none"/>
        </w:rPr>
        <w:t>.1</w:t>
      </w:r>
      <w:r>
        <w:rPr>
          <w:rFonts w:hint="eastAsia" w:ascii="宋体" w:hAnsi="宋体" w:cs="宋体"/>
          <w:color w:val="auto"/>
          <w:kern w:val="0"/>
          <w:sz w:val="22"/>
          <w:szCs w:val="22"/>
          <w:highlight w:val="none"/>
        </w:rPr>
        <w:t>发现乙方存在项目转包或分包。</w:t>
      </w:r>
    </w:p>
    <w:p>
      <w:pPr>
        <w:spacing w:line="360" w:lineRule="auto"/>
        <w:ind w:left="425"/>
        <w:rPr>
          <w:rFonts w:ascii="宋体" w:hAnsi="宋体" w:cs="宋体"/>
          <w:color w:val="auto"/>
          <w:kern w:val="0"/>
          <w:sz w:val="22"/>
          <w:szCs w:val="22"/>
          <w:highlight w:val="none"/>
        </w:rPr>
      </w:pPr>
      <w:r>
        <w:rPr>
          <w:rFonts w:ascii="宋体" w:hAnsi="宋体" w:cs="宋体"/>
          <w:color w:val="auto"/>
          <w:kern w:val="0"/>
          <w:sz w:val="22"/>
          <w:szCs w:val="22"/>
          <w:highlight w:val="none"/>
        </w:rPr>
        <w:t>2.2</w:t>
      </w:r>
      <w:r>
        <w:rPr>
          <w:rFonts w:hint="eastAsia" w:ascii="宋体" w:hAnsi="宋体" w:cs="宋体"/>
          <w:color w:val="auto"/>
          <w:kern w:val="0"/>
          <w:sz w:val="22"/>
          <w:szCs w:val="22"/>
          <w:highlight w:val="none"/>
        </w:rPr>
        <w:t>乙方员工最低工资低于国家标准。</w:t>
      </w:r>
    </w:p>
    <w:p>
      <w:pPr>
        <w:spacing w:line="360" w:lineRule="auto"/>
        <w:ind w:left="425"/>
        <w:rPr>
          <w:rFonts w:ascii="宋体" w:hAnsi="Courier New" w:cs="Courier New"/>
          <w:color w:val="auto"/>
          <w:sz w:val="22"/>
          <w:szCs w:val="22"/>
          <w:highlight w:val="none"/>
        </w:rPr>
      </w:pPr>
      <w:r>
        <w:rPr>
          <w:rFonts w:ascii="宋体" w:hAnsi="宋体" w:cs="宋体"/>
          <w:color w:val="auto"/>
          <w:kern w:val="0"/>
          <w:sz w:val="22"/>
          <w:szCs w:val="22"/>
          <w:highlight w:val="none"/>
        </w:rPr>
        <w:t>2.3</w:t>
      </w:r>
      <w:r>
        <w:rPr>
          <w:rFonts w:hint="eastAsia" w:ascii="宋体" w:hAnsi="宋体" w:cs="宋体"/>
          <w:color w:val="auto"/>
          <w:kern w:val="0"/>
          <w:sz w:val="22"/>
          <w:szCs w:val="22"/>
          <w:highlight w:val="none"/>
        </w:rPr>
        <w:t>乙方不愿意承担员工的工资津贴、奖金和与其工作相关的、国家或地方法规所征收的其他税收、费用、社会福利和加班费。</w:t>
      </w:r>
    </w:p>
    <w:p>
      <w:pPr>
        <w:spacing w:line="360" w:lineRule="auto"/>
        <w:ind w:left="425"/>
        <w:rPr>
          <w:rFonts w:ascii="宋体" w:hAnsi="宋体" w:cs="宋体"/>
          <w:color w:val="auto"/>
          <w:kern w:val="0"/>
          <w:sz w:val="22"/>
          <w:szCs w:val="22"/>
          <w:highlight w:val="none"/>
        </w:rPr>
      </w:pPr>
      <w:r>
        <w:rPr>
          <w:rFonts w:ascii="宋体" w:hAnsi="Courier New" w:cs="Courier New"/>
          <w:color w:val="auto"/>
          <w:sz w:val="22"/>
          <w:szCs w:val="22"/>
          <w:highlight w:val="none"/>
        </w:rPr>
        <w:t>2.4</w:t>
      </w:r>
      <w:r>
        <w:rPr>
          <w:rFonts w:hint="eastAsia" w:ascii="宋体" w:hAnsi="Courier New" w:cs="Courier New"/>
          <w:color w:val="auto"/>
          <w:sz w:val="22"/>
          <w:szCs w:val="22"/>
          <w:highlight w:val="none"/>
        </w:rPr>
        <w:t>乙方实际服务能力与招标文件要求严重不符；</w:t>
      </w:r>
    </w:p>
    <w:p>
      <w:pPr>
        <w:spacing w:line="360" w:lineRule="auto"/>
        <w:ind w:left="425"/>
        <w:rPr>
          <w:rFonts w:ascii="宋体" w:hAnsi="Courier New" w:cs="Courier New"/>
          <w:color w:val="auto"/>
          <w:sz w:val="22"/>
          <w:szCs w:val="22"/>
          <w:highlight w:val="none"/>
        </w:rPr>
      </w:pPr>
      <w:r>
        <w:rPr>
          <w:rFonts w:ascii="宋体" w:hAnsi="Courier New" w:cs="Courier New"/>
          <w:color w:val="auto"/>
          <w:sz w:val="22"/>
          <w:szCs w:val="22"/>
          <w:highlight w:val="none"/>
        </w:rPr>
        <w:t>2.5</w:t>
      </w:r>
      <w:r>
        <w:rPr>
          <w:rFonts w:hint="eastAsia" w:ascii="宋体" w:hAnsi="Courier New" w:cs="Courier New"/>
          <w:color w:val="auto"/>
          <w:sz w:val="22"/>
          <w:szCs w:val="22"/>
          <w:highlight w:val="none"/>
        </w:rPr>
        <w:t>乙方员工发生违法犯罪行为，造成严重不良社会影响或造成甲方重大经济损失的。</w:t>
      </w:r>
    </w:p>
    <w:p>
      <w:pPr>
        <w:spacing w:line="360" w:lineRule="auto"/>
        <w:ind w:left="425"/>
        <w:rPr>
          <w:rFonts w:ascii="宋体" w:hAnsi="Courier New" w:cs="Courier New"/>
          <w:color w:val="auto"/>
          <w:sz w:val="22"/>
          <w:szCs w:val="22"/>
          <w:highlight w:val="none"/>
        </w:rPr>
      </w:pPr>
      <w:r>
        <w:rPr>
          <w:rFonts w:hint="eastAsia" w:ascii="宋体" w:hAnsi="Courier New" w:cs="Courier New"/>
          <w:color w:val="auto"/>
          <w:sz w:val="22"/>
          <w:szCs w:val="22"/>
          <w:highlight w:val="none"/>
        </w:rPr>
        <w:t>2.6任何因乙方原因导致合同解除或终止的。</w:t>
      </w:r>
    </w:p>
    <w:p>
      <w:pPr>
        <w:spacing w:line="360" w:lineRule="auto"/>
        <w:rPr>
          <w:color w:val="auto"/>
          <w:sz w:val="22"/>
          <w:szCs w:val="22"/>
          <w:highlight w:val="none"/>
        </w:rPr>
      </w:pPr>
      <w:r>
        <w:rPr>
          <w:color w:val="auto"/>
          <w:sz w:val="22"/>
          <w:szCs w:val="22"/>
          <w:highlight w:val="none"/>
        </w:rPr>
        <w:t>3</w:t>
      </w:r>
      <w:r>
        <w:rPr>
          <w:rFonts w:hint="eastAsia"/>
          <w:color w:val="auto"/>
          <w:sz w:val="22"/>
          <w:szCs w:val="22"/>
          <w:highlight w:val="none"/>
        </w:rPr>
        <w:t>、除不可抗力外，如发生乙方不能履行合同义务，或甲方提前终止合同等情况，应及时以书面形式通知对方。甲方双方应本着友好的态度进行协商，妥善解决。如协商无效，按下列规定计算并支付违约金。</w:t>
      </w:r>
    </w:p>
    <w:p>
      <w:pPr>
        <w:spacing w:line="360" w:lineRule="auto"/>
        <w:rPr>
          <w:color w:val="auto"/>
          <w:sz w:val="22"/>
          <w:szCs w:val="22"/>
          <w:highlight w:val="none"/>
        </w:rPr>
      </w:pPr>
      <w:r>
        <w:rPr>
          <w:rFonts w:hint="eastAsia"/>
          <w:color w:val="auto"/>
          <w:sz w:val="22"/>
          <w:szCs w:val="22"/>
          <w:highlight w:val="none"/>
        </w:rPr>
        <w:t>（1）如乙方未能履行合同规定的任何一项义务，造成甲方的损失，甲方有权从履约保证金中直接扣除。</w:t>
      </w:r>
    </w:p>
    <w:p>
      <w:pPr>
        <w:spacing w:line="360" w:lineRule="auto"/>
        <w:rPr>
          <w:color w:val="auto"/>
          <w:sz w:val="22"/>
          <w:szCs w:val="22"/>
          <w:highlight w:val="none"/>
        </w:rPr>
      </w:pPr>
      <w:r>
        <w:rPr>
          <w:rFonts w:hint="eastAsia"/>
          <w:color w:val="auto"/>
          <w:sz w:val="22"/>
          <w:szCs w:val="22"/>
          <w:highlight w:val="none"/>
        </w:rPr>
        <w:t>（2）若甲方无正当理由提前终止合同，应向乙方偿付违约金，违约金按未结算部分合同价款的</w:t>
      </w:r>
      <w:r>
        <w:rPr>
          <w:color w:val="auto"/>
          <w:sz w:val="22"/>
          <w:szCs w:val="22"/>
          <w:highlight w:val="none"/>
        </w:rPr>
        <w:t>1</w:t>
      </w:r>
      <w:r>
        <w:rPr>
          <w:rFonts w:hint="eastAsia"/>
          <w:color w:val="auto"/>
          <w:sz w:val="22"/>
          <w:szCs w:val="22"/>
          <w:highlight w:val="none"/>
        </w:rPr>
        <w:t>%计算。</w:t>
      </w:r>
    </w:p>
    <w:p>
      <w:pPr>
        <w:spacing w:line="360" w:lineRule="auto"/>
        <w:rPr>
          <w:color w:val="auto"/>
          <w:sz w:val="22"/>
          <w:szCs w:val="22"/>
          <w:highlight w:val="none"/>
        </w:rPr>
      </w:pPr>
      <w:r>
        <w:rPr>
          <w:rFonts w:hint="eastAsia"/>
          <w:color w:val="auto"/>
          <w:sz w:val="22"/>
          <w:szCs w:val="22"/>
          <w:highlight w:val="none"/>
        </w:rPr>
        <w:t>（3）乙方不能按合同规定的时间交货和提供服务时，除扣除每日服务费用外，乙方还应向甲方付延期违约金，每天（次）按人民币1000元计收，逐次加倍，3次以上甲方有权终止合同。</w:t>
      </w:r>
    </w:p>
    <w:p>
      <w:pPr>
        <w:spacing w:line="360" w:lineRule="auto"/>
        <w:rPr>
          <w:color w:val="auto"/>
          <w:sz w:val="22"/>
          <w:szCs w:val="22"/>
          <w:highlight w:val="none"/>
        </w:rPr>
      </w:pPr>
      <w:r>
        <w:rPr>
          <w:rFonts w:hint="eastAsia"/>
          <w:color w:val="auto"/>
          <w:sz w:val="22"/>
          <w:szCs w:val="22"/>
          <w:highlight w:val="none"/>
        </w:rPr>
        <w:t>（4）若乙方无正当理由提前终止合同，应向甲方偿付违约金，违约金按未结算部分合同价款的</w:t>
      </w:r>
      <w:r>
        <w:rPr>
          <w:color w:val="auto"/>
          <w:sz w:val="22"/>
          <w:szCs w:val="22"/>
          <w:highlight w:val="none"/>
        </w:rPr>
        <w:t>1</w:t>
      </w:r>
      <w:r>
        <w:rPr>
          <w:rFonts w:hint="eastAsia"/>
          <w:color w:val="auto"/>
          <w:sz w:val="22"/>
          <w:szCs w:val="22"/>
          <w:highlight w:val="none"/>
        </w:rPr>
        <w:t>%计算。</w:t>
      </w:r>
    </w:p>
    <w:p>
      <w:pPr>
        <w:spacing w:line="360" w:lineRule="auto"/>
        <w:rPr>
          <w:color w:val="auto"/>
          <w:sz w:val="22"/>
          <w:szCs w:val="22"/>
          <w:highlight w:val="none"/>
        </w:rPr>
      </w:pPr>
      <w:r>
        <w:rPr>
          <w:color w:val="auto"/>
          <w:sz w:val="22"/>
          <w:szCs w:val="22"/>
          <w:highlight w:val="none"/>
        </w:rPr>
        <w:t>4</w:t>
      </w:r>
      <w:r>
        <w:rPr>
          <w:rFonts w:hint="eastAsia"/>
          <w:color w:val="auto"/>
          <w:sz w:val="22"/>
          <w:szCs w:val="22"/>
          <w:highlight w:val="none"/>
        </w:rPr>
        <w:t>、经双方协商同意可终止部分或全部合同的，无须承担违约责任。</w:t>
      </w:r>
    </w:p>
    <w:p>
      <w:pPr>
        <w:spacing w:line="360" w:lineRule="auto"/>
        <w:rPr>
          <w:rFonts w:ascii="Calibri" w:hAnsi="Calibri"/>
          <w:b/>
          <w:color w:val="auto"/>
          <w:sz w:val="22"/>
          <w:szCs w:val="22"/>
          <w:highlight w:val="none"/>
        </w:rPr>
      </w:pPr>
      <w:r>
        <w:rPr>
          <w:rFonts w:hint="eastAsia" w:ascii="Calibri" w:hAnsi="Calibri"/>
          <w:b/>
          <w:color w:val="auto"/>
          <w:sz w:val="22"/>
          <w:szCs w:val="22"/>
          <w:highlight w:val="none"/>
        </w:rPr>
        <w:t>十、其他</w:t>
      </w:r>
    </w:p>
    <w:p>
      <w:pPr>
        <w:spacing w:line="48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以下文件是本协议不可分割的组成部分，与本合同具有同等法律效力：</w:t>
      </w:r>
    </w:p>
    <w:p>
      <w:pPr>
        <w:spacing w:line="48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1、甲方的招标文件</w:t>
      </w:r>
    </w:p>
    <w:p>
      <w:pPr>
        <w:spacing w:line="48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2、乙方提交的投标文件（包括出具的承诺书）、技术澄清及询标答复的所有内容、中标通知书。</w:t>
      </w:r>
    </w:p>
    <w:p>
      <w:pPr>
        <w:spacing w:line="48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如上述文件和合同有矛盾之处，以有利于甲方的条款为准。</w:t>
      </w:r>
    </w:p>
    <w:p>
      <w:pPr>
        <w:spacing w:line="360" w:lineRule="auto"/>
        <w:rPr>
          <w:rFonts w:ascii="Calibri" w:hAnsi="Calibri"/>
          <w:b/>
          <w:color w:val="auto"/>
          <w:sz w:val="22"/>
          <w:szCs w:val="22"/>
          <w:highlight w:val="none"/>
        </w:rPr>
      </w:pPr>
      <w:r>
        <w:rPr>
          <w:rFonts w:hint="eastAsia" w:ascii="Calibri" w:hAnsi="Calibri"/>
          <w:b/>
          <w:color w:val="auto"/>
          <w:sz w:val="22"/>
          <w:szCs w:val="22"/>
          <w:highlight w:val="none"/>
        </w:rPr>
        <w:t>十一、合同未尽事宜，由甲、乙双方协商解决，经协商无法解决的，可向苍南县人民法院起诉。</w:t>
      </w:r>
    </w:p>
    <w:p>
      <w:pPr>
        <w:spacing w:line="360" w:lineRule="auto"/>
        <w:rPr>
          <w:rFonts w:ascii="Calibri" w:hAnsi="Calibri"/>
          <w:b/>
          <w:color w:val="auto"/>
          <w:sz w:val="22"/>
          <w:szCs w:val="22"/>
          <w:highlight w:val="none"/>
        </w:rPr>
      </w:pPr>
      <w:r>
        <w:rPr>
          <w:rFonts w:hint="eastAsia" w:ascii="Calibri" w:hAnsi="Calibri"/>
          <w:b/>
          <w:color w:val="auto"/>
          <w:sz w:val="22"/>
          <w:szCs w:val="22"/>
          <w:highlight w:val="none"/>
        </w:rPr>
        <w:t>十二、协议生效：本协议经甲、乙双方法人代表签字并加盖公章后生效。</w:t>
      </w:r>
    </w:p>
    <w:p>
      <w:pPr>
        <w:spacing w:line="360" w:lineRule="auto"/>
        <w:rPr>
          <w:rFonts w:ascii="Calibri" w:hAnsi="Calibri"/>
          <w:b/>
          <w:color w:val="auto"/>
          <w:sz w:val="22"/>
          <w:szCs w:val="22"/>
          <w:highlight w:val="none"/>
        </w:rPr>
      </w:pPr>
      <w:r>
        <w:rPr>
          <w:rFonts w:hint="eastAsia" w:ascii="Calibri" w:hAnsi="Calibri"/>
          <w:b/>
          <w:color w:val="auto"/>
          <w:sz w:val="22"/>
          <w:szCs w:val="22"/>
          <w:highlight w:val="none"/>
        </w:rPr>
        <w:t>十三、本协议壹式陆份，甲、乙双方各执贰份，苍南县政府采购管理办公室、代理公司各执一壹份。</w:t>
      </w:r>
    </w:p>
    <w:p>
      <w:pPr>
        <w:spacing w:line="480" w:lineRule="auto"/>
        <w:rPr>
          <w:rFonts w:ascii="宋体" w:hAnsi="宋体" w:cs="宋体"/>
          <w:color w:val="auto"/>
          <w:sz w:val="22"/>
          <w:szCs w:val="22"/>
          <w:highlight w:val="none"/>
        </w:rPr>
      </w:pPr>
      <w:r>
        <w:rPr>
          <w:rFonts w:hint="eastAsia" w:ascii="宋体" w:hAnsi="宋体" w:cs="宋体"/>
          <w:color w:val="auto"/>
          <w:sz w:val="22"/>
          <w:szCs w:val="22"/>
          <w:highlight w:val="none"/>
        </w:rPr>
        <w:t>甲方（公章）                                     乙方（公章）</w:t>
      </w:r>
    </w:p>
    <w:p>
      <w:pPr>
        <w:spacing w:line="480" w:lineRule="auto"/>
        <w:rPr>
          <w:rFonts w:ascii="宋体" w:hAnsi="宋体" w:cs="宋体"/>
          <w:color w:val="auto"/>
          <w:sz w:val="22"/>
          <w:szCs w:val="22"/>
          <w:highlight w:val="none"/>
        </w:rPr>
      </w:pPr>
      <w:r>
        <w:rPr>
          <w:rFonts w:hint="eastAsia" w:ascii="宋体" w:hAnsi="宋体" w:cs="宋体"/>
          <w:color w:val="auto"/>
          <w:sz w:val="22"/>
          <w:szCs w:val="22"/>
          <w:highlight w:val="none"/>
        </w:rPr>
        <w:t>法定代表人：                                     法定代表人：</w:t>
      </w:r>
    </w:p>
    <w:p>
      <w:pPr>
        <w:spacing w:line="480" w:lineRule="auto"/>
        <w:rPr>
          <w:rFonts w:ascii="宋体" w:hAnsi="宋体" w:cs="宋体"/>
          <w:color w:val="auto"/>
          <w:sz w:val="22"/>
          <w:szCs w:val="22"/>
          <w:highlight w:val="none"/>
        </w:rPr>
      </w:pPr>
      <w:r>
        <w:rPr>
          <w:rFonts w:hint="eastAsia" w:ascii="宋体" w:hAnsi="宋体" w:cs="宋体"/>
          <w:color w:val="auto"/>
          <w:sz w:val="22"/>
          <w:szCs w:val="22"/>
          <w:highlight w:val="none"/>
        </w:rPr>
        <w:t>委托代理人：                                     委托代理人：</w:t>
      </w:r>
    </w:p>
    <w:p>
      <w:pPr>
        <w:spacing w:line="480" w:lineRule="auto"/>
        <w:rPr>
          <w:rFonts w:ascii="宋体" w:hAnsi="宋体" w:cs="宋体"/>
          <w:color w:val="auto"/>
          <w:sz w:val="22"/>
          <w:szCs w:val="22"/>
          <w:highlight w:val="none"/>
        </w:rPr>
      </w:pPr>
      <w:r>
        <w:rPr>
          <w:rFonts w:hint="eastAsia" w:ascii="宋体" w:hAnsi="宋体" w:cs="宋体"/>
          <w:color w:val="auto"/>
          <w:sz w:val="22"/>
          <w:szCs w:val="22"/>
          <w:highlight w:val="none"/>
        </w:rPr>
        <w:t>联系电话：                                       联系电话：</w:t>
      </w:r>
    </w:p>
    <w:p>
      <w:pPr>
        <w:spacing w:line="480" w:lineRule="auto"/>
        <w:rPr>
          <w:rFonts w:ascii="宋体" w:hAnsi="宋体" w:cs="宋体"/>
          <w:color w:val="auto"/>
          <w:sz w:val="22"/>
          <w:szCs w:val="22"/>
          <w:highlight w:val="none"/>
        </w:rPr>
      </w:pPr>
      <w:r>
        <w:rPr>
          <w:rFonts w:hint="eastAsia" w:ascii="宋体" w:hAnsi="宋体" w:cs="宋体"/>
          <w:color w:val="auto"/>
          <w:sz w:val="22"/>
          <w:szCs w:val="22"/>
          <w:highlight w:val="none"/>
        </w:rPr>
        <w:t>开户银行：                                       开户银行：</w:t>
      </w:r>
    </w:p>
    <w:p>
      <w:pPr>
        <w:spacing w:line="480" w:lineRule="auto"/>
        <w:rPr>
          <w:rFonts w:ascii="宋体" w:hAnsi="宋体" w:cs="宋体"/>
          <w:color w:val="auto"/>
          <w:sz w:val="22"/>
          <w:szCs w:val="22"/>
          <w:highlight w:val="none"/>
        </w:rPr>
      </w:pPr>
      <w:r>
        <w:rPr>
          <w:rFonts w:hint="eastAsia" w:ascii="宋体" w:hAnsi="宋体" w:cs="宋体"/>
          <w:color w:val="auto"/>
          <w:sz w:val="22"/>
          <w:szCs w:val="22"/>
          <w:highlight w:val="none"/>
        </w:rPr>
        <w:t>帐号：                                           帐号：</w:t>
      </w:r>
    </w:p>
    <w:p>
      <w:pPr>
        <w:spacing w:line="480" w:lineRule="auto"/>
        <w:rPr>
          <w:rFonts w:ascii="宋体" w:hAnsi="宋体" w:cs="宋体"/>
          <w:color w:val="auto"/>
          <w:sz w:val="22"/>
          <w:szCs w:val="22"/>
          <w:highlight w:val="none"/>
        </w:rPr>
      </w:pPr>
      <w:r>
        <w:rPr>
          <w:rFonts w:hint="eastAsia" w:ascii="宋体" w:hAnsi="宋体" w:cs="宋体"/>
          <w:color w:val="auto"/>
          <w:sz w:val="22"/>
          <w:szCs w:val="22"/>
          <w:highlight w:val="none"/>
        </w:rPr>
        <w:t>地址及邮编：                                     地址及邮编：</w:t>
      </w:r>
    </w:p>
    <w:p>
      <w:pPr>
        <w:spacing w:line="480" w:lineRule="auto"/>
        <w:rPr>
          <w:rFonts w:ascii="宋体" w:hAnsi="宋体" w:cs="宋体"/>
          <w:color w:val="auto"/>
          <w:sz w:val="22"/>
          <w:szCs w:val="22"/>
          <w:highlight w:val="none"/>
        </w:rPr>
      </w:pPr>
    </w:p>
    <w:p>
      <w:pPr>
        <w:spacing w:line="480" w:lineRule="auto"/>
        <w:ind w:firstLine="4510" w:firstLineChars="2050"/>
        <w:jc w:val="center"/>
        <w:rPr>
          <w:rFonts w:ascii="宋体" w:hAnsi="宋体" w:cs="宋体"/>
          <w:color w:val="auto"/>
          <w:sz w:val="22"/>
          <w:szCs w:val="22"/>
          <w:highlight w:val="none"/>
        </w:rPr>
      </w:pPr>
      <w:r>
        <w:rPr>
          <w:rFonts w:hint="eastAsia" w:ascii="宋体" w:hAnsi="宋体" w:cs="宋体"/>
          <w:color w:val="auto"/>
          <w:sz w:val="22"/>
          <w:szCs w:val="22"/>
          <w:highlight w:val="none"/>
        </w:rPr>
        <w:t>签订时间：    年   月    日</w:t>
      </w: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pStyle w:val="22"/>
        <w:adjustRightInd w:val="0"/>
        <w:snapToGrid w:val="0"/>
        <w:spacing w:line="400" w:lineRule="exact"/>
        <w:jc w:val="center"/>
        <w:rPr>
          <w:rFonts w:hAnsi="宋体"/>
          <w:color w:val="auto"/>
          <w:sz w:val="36"/>
          <w:szCs w:val="36"/>
          <w:highlight w:val="none"/>
        </w:rPr>
      </w:pPr>
    </w:p>
    <w:p>
      <w:pPr>
        <w:spacing w:line="360" w:lineRule="auto"/>
        <w:jc w:val="left"/>
        <w:rPr>
          <w:color w:val="auto"/>
          <w:highlight w:val="none"/>
        </w:rPr>
      </w:pPr>
    </w:p>
    <w:p>
      <w:pPr>
        <w:pStyle w:val="2"/>
        <w:rPr>
          <w:color w:val="auto"/>
          <w:highlight w:val="none"/>
        </w:rPr>
      </w:pPr>
    </w:p>
    <w:p>
      <w:pPr>
        <w:spacing w:line="360" w:lineRule="auto"/>
        <w:ind w:firstLine="420" w:firstLineChars="200"/>
        <w:jc w:val="left"/>
        <w:rPr>
          <w:color w:val="auto"/>
          <w:highlight w:val="none"/>
        </w:rPr>
      </w:pPr>
      <w:r>
        <w:rPr>
          <w:rFonts w:hint="eastAsia"/>
          <w:color w:val="auto"/>
          <w:highlight w:val="none"/>
        </w:rPr>
        <w:t>附件：苍南县人民医院布品租赁及洗涤服务项目质量考核表</w:t>
      </w:r>
    </w:p>
    <w:tbl>
      <w:tblPr>
        <w:tblStyle w:val="38"/>
        <w:tblW w:w="97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238"/>
        <w:gridCol w:w="670"/>
        <w:gridCol w:w="1622"/>
        <w:gridCol w:w="663"/>
        <w:gridCol w:w="730"/>
        <w:gridCol w:w="11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3" w:type="dxa"/>
            <w:gridSpan w:val="7"/>
            <w:vAlign w:val="center"/>
          </w:tcPr>
          <w:p>
            <w:pPr>
              <w:rPr>
                <w:color w:val="auto"/>
                <w:highlight w:val="none"/>
              </w:rPr>
            </w:pPr>
            <w:r>
              <w:rPr>
                <w:rFonts w:hint="eastAsia"/>
                <w:color w:val="auto"/>
                <w:highlight w:val="none"/>
              </w:rPr>
              <w:t>科室：      日期：     总分：     查核人员：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rPr>
                <w:color w:val="auto"/>
                <w:highlight w:val="none"/>
              </w:rPr>
            </w:pPr>
            <w:r>
              <w:rPr>
                <w:rFonts w:hint="eastAsia"/>
                <w:color w:val="auto"/>
                <w:highlight w:val="none"/>
              </w:rPr>
              <w:t>项目</w:t>
            </w:r>
          </w:p>
        </w:tc>
        <w:tc>
          <w:tcPr>
            <w:tcW w:w="4238" w:type="dxa"/>
            <w:vAlign w:val="center"/>
          </w:tcPr>
          <w:p>
            <w:pPr>
              <w:rPr>
                <w:color w:val="auto"/>
                <w:highlight w:val="none"/>
              </w:rPr>
            </w:pPr>
            <w:r>
              <w:rPr>
                <w:rFonts w:hint="eastAsia"/>
                <w:color w:val="auto"/>
                <w:highlight w:val="none"/>
              </w:rPr>
              <w:t>考核内容</w:t>
            </w:r>
          </w:p>
        </w:tc>
        <w:tc>
          <w:tcPr>
            <w:tcW w:w="670" w:type="dxa"/>
            <w:vAlign w:val="center"/>
          </w:tcPr>
          <w:p>
            <w:pPr>
              <w:jc w:val="center"/>
              <w:rPr>
                <w:color w:val="auto"/>
                <w:highlight w:val="none"/>
              </w:rPr>
            </w:pPr>
            <w:r>
              <w:rPr>
                <w:rFonts w:hint="eastAsia"/>
                <w:color w:val="auto"/>
                <w:highlight w:val="none"/>
              </w:rPr>
              <w:t>分值</w:t>
            </w:r>
          </w:p>
        </w:tc>
        <w:tc>
          <w:tcPr>
            <w:tcW w:w="1622" w:type="dxa"/>
            <w:vAlign w:val="center"/>
          </w:tcPr>
          <w:p>
            <w:pPr>
              <w:rPr>
                <w:color w:val="auto"/>
                <w:highlight w:val="none"/>
              </w:rPr>
            </w:pPr>
            <w:r>
              <w:rPr>
                <w:rFonts w:hint="eastAsia"/>
                <w:color w:val="auto"/>
                <w:highlight w:val="none"/>
              </w:rPr>
              <w:t>评分标准</w:t>
            </w:r>
          </w:p>
        </w:tc>
        <w:tc>
          <w:tcPr>
            <w:tcW w:w="663" w:type="dxa"/>
            <w:vAlign w:val="center"/>
          </w:tcPr>
          <w:p>
            <w:pPr>
              <w:rPr>
                <w:color w:val="auto"/>
                <w:highlight w:val="none"/>
              </w:rPr>
            </w:pPr>
            <w:r>
              <w:rPr>
                <w:rFonts w:hint="eastAsia"/>
                <w:color w:val="auto"/>
                <w:highlight w:val="none"/>
              </w:rPr>
              <w:t>扣分</w:t>
            </w:r>
          </w:p>
        </w:tc>
        <w:tc>
          <w:tcPr>
            <w:tcW w:w="730" w:type="dxa"/>
            <w:vAlign w:val="center"/>
          </w:tcPr>
          <w:p>
            <w:pPr>
              <w:rPr>
                <w:color w:val="auto"/>
                <w:highlight w:val="none"/>
              </w:rPr>
            </w:pPr>
            <w:r>
              <w:rPr>
                <w:rFonts w:hint="eastAsia"/>
                <w:color w:val="auto"/>
                <w:highlight w:val="none"/>
              </w:rPr>
              <w:t>得分</w:t>
            </w:r>
          </w:p>
        </w:tc>
        <w:tc>
          <w:tcPr>
            <w:tcW w:w="1125" w:type="dxa"/>
            <w:vAlign w:val="center"/>
          </w:tcPr>
          <w:p>
            <w:pPr>
              <w:rPr>
                <w:color w:val="auto"/>
                <w:highlight w:val="none"/>
              </w:rPr>
            </w:pPr>
            <w:r>
              <w:rPr>
                <w:rFonts w:hint="eastAsia"/>
                <w:color w:val="auto"/>
                <w:highlight w:val="none"/>
              </w:rPr>
              <w:t>扣分理由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restart"/>
            <w:vAlign w:val="center"/>
          </w:tcPr>
          <w:p>
            <w:pPr>
              <w:rPr>
                <w:color w:val="auto"/>
                <w:highlight w:val="none"/>
              </w:rPr>
            </w:pPr>
            <w:r>
              <w:rPr>
                <w:rFonts w:hint="eastAsia"/>
                <w:color w:val="auto"/>
                <w:highlight w:val="none"/>
              </w:rPr>
              <w:t>工作人员</w:t>
            </w:r>
          </w:p>
          <w:p>
            <w:pPr>
              <w:rPr>
                <w:color w:val="auto"/>
                <w:highlight w:val="none"/>
              </w:rPr>
            </w:pPr>
            <w:r>
              <w:rPr>
                <w:rFonts w:hint="eastAsia"/>
                <w:color w:val="auto"/>
                <w:highlight w:val="none"/>
              </w:rPr>
              <w:t>15分</w:t>
            </w:r>
          </w:p>
        </w:tc>
        <w:tc>
          <w:tcPr>
            <w:tcW w:w="4238" w:type="dxa"/>
            <w:vAlign w:val="center"/>
          </w:tcPr>
          <w:p>
            <w:pPr>
              <w:rPr>
                <w:rFonts w:ascii="宋体" w:hAnsi="宋体"/>
                <w:color w:val="auto"/>
                <w:highlight w:val="none"/>
              </w:rPr>
            </w:pPr>
            <w:r>
              <w:rPr>
                <w:rFonts w:hint="eastAsia" w:ascii="宋体" w:hAnsi="宋体"/>
                <w:color w:val="auto"/>
                <w:highlight w:val="none"/>
              </w:rPr>
              <w:t>1.工作人员着装整洁，佩戴工作证，收污衣，送洁衣的工作服分开。</w:t>
            </w:r>
          </w:p>
        </w:tc>
        <w:tc>
          <w:tcPr>
            <w:tcW w:w="670" w:type="dxa"/>
            <w:vAlign w:val="center"/>
          </w:tcPr>
          <w:p>
            <w:pPr>
              <w:jc w:val="center"/>
              <w:rPr>
                <w:rFonts w:ascii="宋体" w:hAnsi="宋体"/>
                <w:color w:val="auto"/>
                <w:highlight w:val="none"/>
              </w:rPr>
            </w:pPr>
            <w:r>
              <w:rPr>
                <w:rFonts w:hint="eastAsia" w:ascii="宋体" w:hAnsi="宋体"/>
                <w:color w:val="auto"/>
                <w:highlight w:val="none"/>
              </w:rPr>
              <w:t>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1分，最高5分</w:t>
            </w:r>
          </w:p>
        </w:tc>
        <w:tc>
          <w:tcPr>
            <w:tcW w:w="663" w:type="dxa"/>
            <w:vAlign w:val="center"/>
          </w:tcPr>
          <w:p>
            <w:pPr>
              <w:rPr>
                <w:color w:val="auto"/>
                <w:highlight w:val="none"/>
              </w:rPr>
            </w:pPr>
          </w:p>
        </w:tc>
        <w:tc>
          <w:tcPr>
            <w:tcW w:w="730" w:type="dxa"/>
            <w:vAlign w:val="center"/>
          </w:tcPr>
          <w:p>
            <w:pPr>
              <w:rPr>
                <w:color w:val="auto"/>
                <w:highlight w:val="none"/>
              </w:rPr>
            </w:pPr>
          </w:p>
          <w:p>
            <w:pPr>
              <w:rPr>
                <w:color w:val="auto"/>
                <w:highlight w:val="none"/>
              </w:rPr>
            </w:pPr>
          </w:p>
        </w:tc>
        <w:tc>
          <w:tcPr>
            <w:tcW w:w="1125" w:type="dxa"/>
            <w:vAlign w:val="center"/>
          </w:tcPr>
          <w:p>
            <w:pPr>
              <w:rPr>
                <w:color w:val="auto"/>
                <w:highlight w:val="none"/>
              </w:rPr>
            </w:pPr>
          </w:p>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2.工作人员做好自身防护，手套、口罩、帽子、穿防护衣。</w:t>
            </w:r>
          </w:p>
        </w:tc>
        <w:tc>
          <w:tcPr>
            <w:tcW w:w="670" w:type="dxa"/>
            <w:vAlign w:val="center"/>
          </w:tcPr>
          <w:p>
            <w:pPr>
              <w:jc w:val="center"/>
              <w:rPr>
                <w:rFonts w:ascii="宋体" w:hAnsi="宋体"/>
                <w:color w:val="auto"/>
                <w:highlight w:val="none"/>
              </w:rPr>
            </w:pPr>
            <w:r>
              <w:rPr>
                <w:rFonts w:hint="eastAsia" w:ascii="宋体" w:hAnsi="宋体"/>
                <w:color w:val="auto"/>
                <w:highlight w:val="none"/>
              </w:rPr>
              <w:t>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1分，最高5分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3.工作人员服务热情，与医院员工和睦相处，言行文明，无损医院形象。</w:t>
            </w:r>
          </w:p>
        </w:tc>
        <w:tc>
          <w:tcPr>
            <w:tcW w:w="670" w:type="dxa"/>
            <w:vAlign w:val="center"/>
          </w:tcPr>
          <w:p>
            <w:pPr>
              <w:jc w:val="center"/>
              <w:rPr>
                <w:rFonts w:ascii="宋体" w:hAnsi="宋体"/>
                <w:color w:val="auto"/>
                <w:highlight w:val="none"/>
              </w:rPr>
            </w:pPr>
            <w:r>
              <w:rPr>
                <w:rFonts w:hint="eastAsia" w:ascii="宋体" w:hAnsi="宋体"/>
                <w:color w:val="auto"/>
                <w:highlight w:val="none"/>
              </w:rPr>
              <w:t>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1分，最高5分</w:t>
            </w:r>
          </w:p>
        </w:tc>
        <w:tc>
          <w:tcPr>
            <w:tcW w:w="663" w:type="dxa"/>
            <w:vAlign w:val="center"/>
          </w:tcPr>
          <w:p>
            <w:pPr>
              <w:rPr>
                <w:color w:val="auto"/>
                <w:highlight w:val="none"/>
              </w:rPr>
            </w:pPr>
          </w:p>
        </w:tc>
        <w:tc>
          <w:tcPr>
            <w:tcW w:w="730" w:type="dxa"/>
            <w:vAlign w:val="center"/>
          </w:tcPr>
          <w:p>
            <w:pPr>
              <w:rPr>
                <w:color w:val="auto"/>
                <w:highlight w:val="none"/>
              </w:rPr>
            </w:pPr>
          </w:p>
          <w:p>
            <w:pPr>
              <w:rPr>
                <w:color w:val="auto"/>
                <w:highlight w:val="none"/>
              </w:rPr>
            </w:pPr>
          </w:p>
        </w:tc>
        <w:tc>
          <w:tcPr>
            <w:tcW w:w="1125" w:type="dxa"/>
            <w:vAlign w:val="center"/>
          </w:tcPr>
          <w:p>
            <w:pPr>
              <w:rPr>
                <w:color w:val="auto"/>
                <w:highlight w:val="none"/>
              </w:rPr>
            </w:pPr>
          </w:p>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restart"/>
            <w:vAlign w:val="center"/>
          </w:tcPr>
          <w:p>
            <w:pPr>
              <w:rPr>
                <w:color w:val="auto"/>
                <w:highlight w:val="none"/>
              </w:rPr>
            </w:pPr>
            <w:r>
              <w:rPr>
                <w:rFonts w:hint="eastAsia"/>
                <w:color w:val="auto"/>
                <w:highlight w:val="none"/>
              </w:rPr>
              <w:t>布品供应</w:t>
            </w:r>
          </w:p>
          <w:p>
            <w:pPr>
              <w:rPr>
                <w:color w:val="auto"/>
                <w:highlight w:val="none"/>
              </w:rPr>
            </w:pPr>
            <w:r>
              <w:rPr>
                <w:rFonts w:hint="eastAsia"/>
                <w:color w:val="auto"/>
                <w:highlight w:val="none"/>
              </w:rPr>
              <w:t>25分</w:t>
            </w:r>
          </w:p>
        </w:tc>
        <w:tc>
          <w:tcPr>
            <w:tcW w:w="4238" w:type="dxa"/>
            <w:vAlign w:val="center"/>
          </w:tcPr>
          <w:p>
            <w:pPr>
              <w:rPr>
                <w:rFonts w:ascii="宋体" w:hAnsi="宋体"/>
                <w:color w:val="auto"/>
                <w:highlight w:val="none"/>
              </w:rPr>
            </w:pPr>
            <w:r>
              <w:rPr>
                <w:rFonts w:hint="eastAsia" w:ascii="宋体" w:hAnsi="宋体"/>
                <w:color w:val="auto"/>
                <w:highlight w:val="none"/>
              </w:rPr>
              <w:t>1.指定地点收集污被物，绝对避免在病房过道，走廊清点，装入密闭有盖污衣车内，专线运送，路线由污到洁，不得逆行，院内运送车辆洁污分开，每日清洁、消毒。</w:t>
            </w:r>
          </w:p>
        </w:tc>
        <w:tc>
          <w:tcPr>
            <w:tcW w:w="670" w:type="dxa"/>
            <w:vAlign w:val="center"/>
          </w:tcPr>
          <w:p>
            <w:pPr>
              <w:jc w:val="center"/>
              <w:rPr>
                <w:rFonts w:ascii="宋体" w:hAnsi="宋体"/>
                <w:color w:val="auto"/>
                <w:highlight w:val="none"/>
              </w:rPr>
            </w:pPr>
            <w:r>
              <w:rPr>
                <w:rFonts w:ascii="宋体" w:hAnsi="宋体"/>
                <w:color w:val="auto"/>
                <w:highlight w:val="none"/>
              </w:rPr>
              <w:t>10</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2分，最高10分</w:t>
            </w:r>
          </w:p>
        </w:tc>
        <w:tc>
          <w:tcPr>
            <w:tcW w:w="663" w:type="dxa"/>
            <w:vAlign w:val="center"/>
          </w:tcPr>
          <w:p>
            <w:pPr>
              <w:rPr>
                <w:color w:val="auto"/>
                <w:highlight w:val="none"/>
              </w:rPr>
            </w:pPr>
          </w:p>
          <w:p>
            <w:pPr>
              <w:rPr>
                <w:color w:val="auto"/>
                <w:highlight w:val="none"/>
              </w:rPr>
            </w:pPr>
          </w:p>
        </w:tc>
        <w:tc>
          <w:tcPr>
            <w:tcW w:w="730" w:type="dxa"/>
            <w:vAlign w:val="center"/>
          </w:tcPr>
          <w:p>
            <w:pPr>
              <w:rPr>
                <w:color w:val="auto"/>
                <w:highlight w:val="none"/>
              </w:rPr>
            </w:pPr>
          </w:p>
          <w:p>
            <w:pPr>
              <w:rPr>
                <w:color w:val="auto"/>
                <w:highlight w:val="none"/>
              </w:rPr>
            </w:pPr>
          </w:p>
          <w:p>
            <w:pPr>
              <w:rPr>
                <w:color w:val="auto"/>
                <w:highlight w:val="none"/>
              </w:rPr>
            </w:pPr>
          </w:p>
        </w:tc>
        <w:tc>
          <w:tcPr>
            <w:tcW w:w="1125" w:type="dxa"/>
            <w:vAlign w:val="center"/>
          </w:tcPr>
          <w:p>
            <w:pPr>
              <w:rPr>
                <w:color w:val="auto"/>
                <w:highlight w:val="none"/>
              </w:rPr>
            </w:pPr>
          </w:p>
          <w:p>
            <w:pPr>
              <w:rPr>
                <w:color w:val="auto"/>
                <w:highlight w:val="none"/>
              </w:rPr>
            </w:pPr>
          </w:p>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2.对于科室突发紧急状况需要派送布品时，布服室服务人员能及时配合送达。</w:t>
            </w:r>
          </w:p>
        </w:tc>
        <w:tc>
          <w:tcPr>
            <w:tcW w:w="670" w:type="dxa"/>
            <w:vAlign w:val="center"/>
          </w:tcPr>
          <w:p>
            <w:pPr>
              <w:jc w:val="center"/>
              <w:rPr>
                <w:rFonts w:ascii="宋体" w:hAnsi="宋体"/>
                <w:color w:val="auto"/>
                <w:highlight w:val="none"/>
              </w:rPr>
            </w:pPr>
            <w:r>
              <w:rPr>
                <w:rFonts w:hint="eastAsia" w:ascii="宋体" w:hAnsi="宋体"/>
                <w:color w:val="auto"/>
                <w:highlight w:val="none"/>
              </w:rPr>
              <w:t>5</w:t>
            </w:r>
          </w:p>
        </w:tc>
        <w:tc>
          <w:tcPr>
            <w:tcW w:w="1622" w:type="dxa"/>
            <w:vAlign w:val="center"/>
          </w:tcPr>
          <w:p>
            <w:pPr>
              <w:rPr>
                <w:rFonts w:ascii="宋体" w:hAnsi="宋体"/>
                <w:color w:val="auto"/>
                <w:highlight w:val="none"/>
              </w:rPr>
            </w:pPr>
            <w:r>
              <w:rPr>
                <w:rFonts w:ascii="宋体" w:hAnsi="宋体"/>
                <w:color w:val="auto"/>
                <w:highlight w:val="none"/>
              </w:rPr>
              <w:t>1次未达</w:t>
            </w:r>
            <w:r>
              <w:rPr>
                <w:rFonts w:hint="eastAsia" w:ascii="宋体" w:hAnsi="宋体"/>
                <w:color w:val="auto"/>
                <w:highlight w:val="none"/>
              </w:rPr>
              <w:t>标扣</w:t>
            </w:r>
            <w:r>
              <w:rPr>
                <w:rFonts w:ascii="宋体" w:hAnsi="宋体"/>
                <w:color w:val="auto"/>
                <w:highlight w:val="none"/>
              </w:rPr>
              <w:t>5分</w:t>
            </w:r>
          </w:p>
        </w:tc>
        <w:tc>
          <w:tcPr>
            <w:tcW w:w="663" w:type="dxa"/>
            <w:vAlign w:val="center"/>
          </w:tcPr>
          <w:p>
            <w:pPr>
              <w:rPr>
                <w:color w:val="auto"/>
                <w:highlight w:val="none"/>
              </w:rPr>
            </w:pPr>
          </w:p>
        </w:tc>
        <w:tc>
          <w:tcPr>
            <w:tcW w:w="730" w:type="dxa"/>
            <w:vAlign w:val="center"/>
          </w:tcPr>
          <w:p>
            <w:pPr>
              <w:rPr>
                <w:color w:val="auto"/>
                <w:highlight w:val="none"/>
              </w:rPr>
            </w:pPr>
          </w:p>
          <w:p>
            <w:pPr>
              <w:rPr>
                <w:color w:val="auto"/>
                <w:highlight w:val="none"/>
              </w:rPr>
            </w:pPr>
          </w:p>
        </w:tc>
        <w:tc>
          <w:tcPr>
            <w:tcW w:w="1125" w:type="dxa"/>
            <w:vAlign w:val="center"/>
          </w:tcPr>
          <w:p>
            <w:pPr>
              <w:rPr>
                <w:color w:val="auto"/>
                <w:highlight w:val="none"/>
              </w:rPr>
            </w:pPr>
          </w:p>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3.平日布品供应及时，能满足各病区需求。</w:t>
            </w:r>
          </w:p>
        </w:tc>
        <w:tc>
          <w:tcPr>
            <w:tcW w:w="670" w:type="dxa"/>
            <w:vAlign w:val="center"/>
          </w:tcPr>
          <w:p>
            <w:pPr>
              <w:jc w:val="center"/>
              <w:rPr>
                <w:rFonts w:ascii="宋体" w:hAnsi="宋体"/>
                <w:color w:val="auto"/>
                <w:highlight w:val="none"/>
              </w:rPr>
            </w:pPr>
            <w:r>
              <w:rPr>
                <w:rFonts w:hint="eastAsia" w:ascii="宋体" w:hAnsi="宋体"/>
                <w:color w:val="auto"/>
                <w:highlight w:val="none"/>
              </w:rPr>
              <w:t>1</w:t>
            </w:r>
            <w:r>
              <w:rPr>
                <w:rFonts w:ascii="宋体" w:hAnsi="宋体"/>
                <w:color w:val="auto"/>
                <w:highlight w:val="none"/>
              </w:rPr>
              <w:t>0</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2分，最高10分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restart"/>
            <w:vAlign w:val="center"/>
          </w:tcPr>
          <w:p>
            <w:pPr>
              <w:rPr>
                <w:color w:val="auto"/>
                <w:highlight w:val="none"/>
              </w:rPr>
            </w:pPr>
            <w:r>
              <w:rPr>
                <w:rFonts w:hint="eastAsia"/>
                <w:color w:val="auto"/>
                <w:highlight w:val="none"/>
              </w:rPr>
              <w:t>洗涤质量</w:t>
            </w:r>
          </w:p>
          <w:p>
            <w:pPr>
              <w:rPr>
                <w:color w:val="auto"/>
                <w:highlight w:val="none"/>
              </w:rPr>
            </w:pPr>
            <w:r>
              <w:rPr>
                <w:rFonts w:hint="eastAsia"/>
                <w:color w:val="auto"/>
                <w:highlight w:val="none"/>
              </w:rPr>
              <w:t>60分</w:t>
            </w:r>
          </w:p>
        </w:tc>
        <w:tc>
          <w:tcPr>
            <w:tcW w:w="4238" w:type="dxa"/>
            <w:vAlign w:val="center"/>
          </w:tcPr>
          <w:p>
            <w:pPr>
              <w:rPr>
                <w:rFonts w:ascii="宋体" w:hAnsi="宋体"/>
                <w:color w:val="auto"/>
                <w:highlight w:val="none"/>
              </w:rPr>
            </w:pPr>
            <w:r>
              <w:rPr>
                <w:rFonts w:hint="eastAsia" w:ascii="宋体" w:hAnsi="宋体"/>
                <w:color w:val="auto"/>
                <w:highlight w:val="none"/>
              </w:rPr>
              <w:t>1.依规定整烫、折叠。</w:t>
            </w:r>
          </w:p>
        </w:tc>
        <w:tc>
          <w:tcPr>
            <w:tcW w:w="670" w:type="dxa"/>
            <w:vAlign w:val="center"/>
          </w:tcPr>
          <w:p>
            <w:pPr>
              <w:jc w:val="center"/>
              <w:rPr>
                <w:rFonts w:ascii="宋体" w:hAnsi="宋体"/>
                <w:color w:val="auto"/>
                <w:highlight w:val="none"/>
              </w:rPr>
            </w:pPr>
            <w:r>
              <w:rPr>
                <w:rFonts w:hint="eastAsia" w:ascii="宋体" w:hAnsi="宋体"/>
                <w:color w:val="auto"/>
                <w:highlight w:val="none"/>
              </w:rPr>
              <w:t>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1分，最高5分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2.破损未缝补。</w:t>
            </w:r>
          </w:p>
        </w:tc>
        <w:tc>
          <w:tcPr>
            <w:tcW w:w="670" w:type="dxa"/>
            <w:vAlign w:val="center"/>
          </w:tcPr>
          <w:p>
            <w:pPr>
              <w:jc w:val="center"/>
              <w:rPr>
                <w:rFonts w:ascii="宋体" w:hAnsi="宋体"/>
                <w:color w:val="auto"/>
                <w:highlight w:val="none"/>
              </w:rPr>
            </w:pPr>
            <w:r>
              <w:rPr>
                <w:rFonts w:hint="eastAsia" w:ascii="宋体" w:hAnsi="宋体"/>
                <w:color w:val="auto"/>
                <w:highlight w:val="none"/>
              </w:rPr>
              <w:t>10</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1分，最高10分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3.掉扣未缝补。</w:t>
            </w:r>
          </w:p>
        </w:tc>
        <w:tc>
          <w:tcPr>
            <w:tcW w:w="670" w:type="dxa"/>
            <w:vAlign w:val="center"/>
          </w:tcPr>
          <w:p>
            <w:pPr>
              <w:jc w:val="center"/>
              <w:rPr>
                <w:rFonts w:ascii="宋体" w:hAnsi="宋体"/>
                <w:color w:val="auto"/>
                <w:highlight w:val="none"/>
              </w:rPr>
            </w:pPr>
            <w:r>
              <w:rPr>
                <w:rFonts w:hint="eastAsia" w:ascii="宋体" w:hAnsi="宋体"/>
                <w:color w:val="auto"/>
                <w:highlight w:val="none"/>
              </w:rPr>
              <w:t>10</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1分，最高10分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4.污渍未洗净，回洗率在1%以内可以接受。</w:t>
            </w:r>
          </w:p>
        </w:tc>
        <w:tc>
          <w:tcPr>
            <w:tcW w:w="670" w:type="dxa"/>
            <w:vAlign w:val="center"/>
          </w:tcPr>
          <w:p>
            <w:pPr>
              <w:jc w:val="center"/>
              <w:rPr>
                <w:rFonts w:ascii="宋体" w:hAnsi="宋体"/>
                <w:color w:val="auto"/>
                <w:highlight w:val="none"/>
              </w:rPr>
            </w:pPr>
            <w:r>
              <w:rPr>
                <w:rFonts w:hint="eastAsia" w:ascii="宋体" w:hAnsi="宋体"/>
                <w:color w:val="auto"/>
                <w:highlight w:val="none"/>
              </w:rPr>
              <w:t>15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w:t>
            </w:r>
            <w:r>
              <w:rPr>
                <w:rFonts w:hint="eastAsia" w:ascii="宋体" w:hAnsi="宋体"/>
                <w:color w:val="auto"/>
                <w:highlight w:val="none"/>
              </w:rPr>
              <w:t>1</w:t>
            </w:r>
            <w:r>
              <w:rPr>
                <w:rFonts w:ascii="宋体" w:hAnsi="宋体"/>
                <w:color w:val="auto"/>
                <w:highlight w:val="none"/>
              </w:rPr>
              <w:t>5分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5.布服老旧未主动筛选。</w:t>
            </w:r>
          </w:p>
        </w:tc>
        <w:tc>
          <w:tcPr>
            <w:tcW w:w="670" w:type="dxa"/>
            <w:vAlign w:val="center"/>
          </w:tcPr>
          <w:p>
            <w:pPr>
              <w:jc w:val="center"/>
              <w:rPr>
                <w:rFonts w:ascii="宋体" w:hAnsi="宋体"/>
                <w:color w:val="auto"/>
                <w:highlight w:val="none"/>
              </w:rPr>
            </w:pPr>
            <w:r>
              <w:rPr>
                <w:rFonts w:hint="eastAsia" w:ascii="宋体" w:hAnsi="宋体"/>
                <w:color w:val="auto"/>
                <w:highlight w:val="none"/>
              </w:rPr>
              <w:t>15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w:t>
            </w:r>
            <w:r>
              <w:rPr>
                <w:rFonts w:hint="eastAsia" w:ascii="宋体" w:hAnsi="宋体"/>
                <w:color w:val="auto"/>
                <w:highlight w:val="none"/>
              </w:rPr>
              <w:t>1</w:t>
            </w:r>
            <w:r>
              <w:rPr>
                <w:rFonts w:ascii="宋体" w:hAnsi="宋体"/>
                <w:color w:val="auto"/>
                <w:highlight w:val="none"/>
              </w:rPr>
              <w:t>5分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Merge w:val="continue"/>
            <w:vAlign w:val="center"/>
          </w:tcPr>
          <w:p>
            <w:pPr>
              <w:rPr>
                <w:color w:val="auto"/>
                <w:highlight w:val="none"/>
              </w:rPr>
            </w:pPr>
          </w:p>
        </w:tc>
        <w:tc>
          <w:tcPr>
            <w:tcW w:w="4238" w:type="dxa"/>
            <w:vAlign w:val="center"/>
          </w:tcPr>
          <w:p>
            <w:pPr>
              <w:rPr>
                <w:rFonts w:ascii="宋体" w:hAnsi="宋体"/>
                <w:color w:val="auto"/>
                <w:highlight w:val="none"/>
              </w:rPr>
            </w:pPr>
            <w:r>
              <w:rPr>
                <w:rFonts w:hint="eastAsia" w:ascii="宋体" w:hAnsi="宋体"/>
                <w:color w:val="auto"/>
                <w:highlight w:val="none"/>
              </w:rPr>
              <w:t>6.感染性布类按院方要求处置，污衣袋袋口密封，不外露</w:t>
            </w:r>
          </w:p>
        </w:tc>
        <w:tc>
          <w:tcPr>
            <w:tcW w:w="670" w:type="dxa"/>
            <w:vAlign w:val="center"/>
          </w:tcPr>
          <w:p>
            <w:pPr>
              <w:jc w:val="center"/>
              <w:rPr>
                <w:rFonts w:ascii="宋体" w:hAnsi="宋体"/>
                <w:color w:val="auto"/>
                <w:highlight w:val="none"/>
              </w:rPr>
            </w:pPr>
            <w:r>
              <w:rPr>
                <w:rFonts w:hint="eastAsia" w:ascii="宋体" w:hAnsi="宋体"/>
                <w:color w:val="auto"/>
                <w:highlight w:val="none"/>
              </w:rPr>
              <w:t>5</w:t>
            </w:r>
          </w:p>
        </w:tc>
        <w:tc>
          <w:tcPr>
            <w:tcW w:w="1622" w:type="dxa"/>
            <w:vAlign w:val="center"/>
          </w:tcPr>
          <w:p>
            <w:pPr>
              <w:rPr>
                <w:rFonts w:ascii="宋体" w:hAnsi="宋体"/>
                <w:color w:val="auto"/>
                <w:highlight w:val="none"/>
              </w:rPr>
            </w:pPr>
            <w:r>
              <w:rPr>
                <w:rFonts w:ascii="宋体" w:hAnsi="宋体"/>
                <w:color w:val="auto"/>
                <w:highlight w:val="none"/>
              </w:rPr>
              <w:t>1次未达标</w:t>
            </w:r>
            <w:r>
              <w:rPr>
                <w:rFonts w:hint="eastAsia" w:ascii="宋体" w:hAnsi="宋体"/>
                <w:color w:val="auto"/>
                <w:highlight w:val="none"/>
              </w:rPr>
              <w:t>扣</w:t>
            </w:r>
            <w:r>
              <w:rPr>
                <w:rFonts w:ascii="宋体" w:hAnsi="宋体"/>
                <w:color w:val="auto"/>
                <w:highlight w:val="none"/>
              </w:rPr>
              <w:t>1分，最高5分</w:t>
            </w:r>
          </w:p>
        </w:tc>
        <w:tc>
          <w:tcPr>
            <w:tcW w:w="663" w:type="dxa"/>
            <w:vAlign w:val="center"/>
          </w:tcPr>
          <w:p>
            <w:pPr>
              <w:rPr>
                <w:color w:val="auto"/>
                <w:highlight w:val="none"/>
              </w:rPr>
            </w:pPr>
          </w:p>
        </w:tc>
        <w:tc>
          <w:tcPr>
            <w:tcW w:w="730" w:type="dxa"/>
            <w:vAlign w:val="center"/>
          </w:tcPr>
          <w:p>
            <w:pPr>
              <w:rPr>
                <w:color w:val="auto"/>
                <w:highlight w:val="none"/>
              </w:rPr>
            </w:pPr>
          </w:p>
        </w:tc>
        <w:tc>
          <w:tcPr>
            <w:tcW w:w="1125" w:type="dxa"/>
            <w:vAlign w:val="center"/>
          </w:tcPr>
          <w:p>
            <w:pPr>
              <w:rPr>
                <w:color w:val="auto"/>
                <w:highlight w:val="none"/>
              </w:rPr>
            </w:pPr>
          </w:p>
        </w:tc>
      </w:tr>
    </w:tbl>
    <w:p>
      <w:pPr>
        <w:pStyle w:val="22"/>
        <w:adjustRightInd w:val="0"/>
        <w:snapToGrid w:val="0"/>
        <w:spacing w:line="400" w:lineRule="exact"/>
        <w:jc w:val="center"/>
        <w:rPr>
          <w:rFonts w:hAnsi="宋体"/>
          <w:color w:val="auto"/>
          <w:sz w:val="36"/>
          <w:szCs w:val="36"/>
          <w:highlight w:val="none"/>
        </w:rPr>
      </w:pPr>
    </w:p>
    <w:p>
      <w:pPr>
        <w:spacing w:line="360" w:lineRule="auto"/>
        <w:ind w:firstLine="420" w:firstLineChars="200"/>
        <w:rPr>
          <w:color w:val="auto"/>
          <w:highlight w:val="none"/>
        </w:rPr>
      </w:pPr>
      <w:r>
        <w:rPr>
          <w:color w:val="auto"/>
          <w:highlight w:val="none"/>
        </w:rPr>
        <w:t>1.</w:t>
      </w:r>
      <w:r>
        <w:rPr>
          <w:rFonts w:hint="eastAsia"/>
          <w:color w:val="auto"/>
          <w:highlight w:val="none"/>
        </w:rPr>
        <w:t>采购方后勤管理部门、各科室负责人每月对中标单位的服务质量进行考核（《苍南县人民医院布品租赁及洗涤服务项目质量考核表》）。</w:t>
      </w:r>
    </w:p>
    <w:p>
      <w:pPr>
        <w:spacing w:line="360" w:lineRule="auto"/>
        <w:ind w:firstLine="420" w:firstLineChars="200"/>
        <w:rPr>
          <w:color w:val="auto"/>
          <w:highlight w:val="none"/>
        </w:rPr>
      </w:pPr>
      <w:r>
        <w:rPr>
          <w:rFonts w:hint="eastAsia"/>
          <w:color w:val="auto"/>
          <w:highlight w:val="none"/>
        </w:rPr>
        <w:t>2.采购人对每月的服务质量考核进行统计汇总，其中各科室主管考核质量平均分的50%，总务处现场抽查考核平均分的50%，作为考核结果。</w:t>
      </w:r>
    </w:p>
    <w:p>
      <w:pPr>
        <w:spacing w:line="360" w:lineRule="auto"/>
        <w:ind w:firstLine="420" w:firstLineChars="200"/>
        <w:rPr>
          <w:color w:val="auto"/>
          <w:highlight w:val="none"/>
        </w:rPr>
      </w:pPr>
      <w:r>
        <w:rPr>
          <w:color w:val="auto"/>
          <w:highlight w:val="none"/>
        </w:rPr>
        <w:t>2</w:t>
      </w:r>
      <w:r>
        <w:rPr>
          <w:rFonts w:hint="eastAsia"/>
          <w:color w:val="auto"/>
          <w:highlight w:val="none"/>
        </w:rPr>
        <w:t>.1 考核结果高于90分（含），视为合格，全额支付租赁费；</w:t>
      </w:r>
    </w:p>
    <w:p>
      <w:pPr>
        <w:spacing w:line="360" w:lineRule="auto"/>
        <w:ind w:firstLine="420" w:firstLineChars="200"/>
        <w:rPr>
          <w:color w:val="auto"/>
          <w:highlight w:val="none"/>
        </w:rPr>
      </w:pPr>
      <w:r>
        <w:rPr>
          <w:color w:val="auto"/>
          <w:highlight w:val="none"/>
        </w:rPr>
        <w:t>2.</w:t>
      </w:r>
      <w:r>
        <w:rPr>
          <w:rFonts w:hint="eastAsia"/>
          <w:color w:val="auto"/>
          <w:highlight w:val="none"/>
        </w:rPr>
        <w:t>2 若考核成绩在90分至80分（含）之间，每降低一分扣1000元；</w:t>
      </w:r>
    </w:p>
    <w:p>
      <w:pPr>
        <w:spacing w:line="360" w:lineRule="auto"/>
        <w:ind w:firstLine="420" w:firstLineChars="200"/>
        <w:rPr>
          <w:color w:val="auto"/>
          <w:highlight w:val="none"/>
        </w:rPr>
      </w:pPr>
      <w:r>
        <w:rPr>
          <w:color w:val="auto"/>
          <w:highlight w:val="none"/>
        </w:rPr>
        <w:t>2</w:t>
      </w:r>
      <w:r>
        <w:rPr>
          <w:rFonts w:hint="eastAsia"/>
          <w:color w:val="auto"/>
          <w:highlight w:val="none"/>
        </w:rPr>
        <w:t>.3 若考核成绩80分至70分（含）之间，每降低一分扣1500元。并提交整改报告，须在1个月内完成整改；</w:t>
      </w:r>
    </w:p>
    <w:p>
      <w:pPr>
        <w:spacing w:line="360" w:lineRule="auto"/>
        <w:ind w:firstLine="420" w:firstLineChars="200"/>
        <w:rPr>
          <w:color w:val="auto"/>
          <w:sz w:val="22"/>
          <w:szCs w:val="22"/>
          <w:highlight w:val="none"/>
        </w:rPr>
      </w:pPr>
      <w:r>
        <w:rPr>
          <w:color w:val="auto"/>
          <w:highlight w:val="none"/>
        </w:rPr>
        <w:t>2</w:t>
      </w:r>
      <w:r>
        <w:rPr>
          <w:rFonts w:hint="eastAsia"/>
          <w:color w:val="auto"/>
          <w:highlight w:val="none"/>
        </w:rPr>
        <w:t>.4 若合同期内连续两次或累计三次考核成绩低于70分（不含70分）</w:t>
      </w:r>
      <w:r>
        <w:rPr>
          <w:rFonts w:hint="eastAsia"/>
          <w:color w:val="auto"/>
          <w:sz w:val="22"/>
          <w:szCs w:val="22"/>
          <w:highlight w:val="none"/>
        </w:rPr>
        <w:t>，视同中标单位违约，采购人有权单方终止本合同。</w:t>
      </w:r>
    </w:p>
    <w:p>
      <w:pPr>
        <w:spacing w:line="360" w:lineRule="auto"/>
        <w:ind w:firstLine="420" w:firstLineChars="200"/>
        <w:rPr>
          <w:color w:val="auto"/>
          <w:highlight w:val="none"/>
        </w:rPr>
      </w:pPr>
      <w:r>
        <w:rPr>
          <w:color w:val="auto"/>
          <w:highlight w:val="none"/>
        </w:rPr>
        <w:t>3.</w:t>
      </w:r>
      <w:r>
        <w:rPr>
          <w:rFonts w:hint="eastAsia"/>
          <w:color w:val="auto"/>
          <w:highlight w:val="none"/>
        </w:rPr>
        <w:t>以上罚款金额在每月的服务费中扣除。</w:t>
      </w:r>
    </w:p>
    <w:p>
      <w:pPr>
        <w:spacing w:line="360" w:lineRule="auto"/>
        <w:ind w:firstLine="420" w:firstLineChars="200"/>
        <w:rPr>
          <w:rFonts w:hint="eastAsia"/>
          <w:color w:val="auto"/>
          <w:highlight w:val="none"/>
        </w:rPr>
      </w:pPr>
      <w:r>
        <w:rPr>
          <w:color w:val="auto"/>
          <w:highlight w:val="none"/>
        </w:rPr>
        <w:t>4.</w:t>
      </w:r>
      <w:r>
        <w:rPr>
          <w:rFonts w:hint="eastAsia"/>
          <w:color w:val="auto"/>
          <w:highlight w:val="none"/>
        </w:rPr>
        <w:t>考核结果每月以书面形式反馈中标单位负责人，中标单位负责人必须针对考核分低于80分的科室进行原因分析及整改，并将整改报告提交总务处。</w:t>
      </w:r>
    </w:p>
    <w:p>
      <w:pPr>
        <w:pStyle w:val="22"/>
        <w:adjustRightInd w:val="0"/>
        <w:snapToGrid w:val="0"/>
        <w:spacing w:line="400" w:lineRule="exact"/>
        <w:jc w:val="center"/>
        <w:rPr>
          <w:rFonts w:hAnsi="宋体"/>
          <w:color w:val="auto"/>
          <w:sz w:val="36"/>
          <w:szCs w:val="36"/>
          <w:highlight w:val="none"/>
        </w:rPr>
      </w:pPr>
      <w:r>
        <w:rPr>
          <w:rFonts w:hint="eastAsia" w:hAnsi="宋体"/>
          <w:color w:val="auto"/>
          <w:sz w:val="36"/>
          <w:szCs w:val="36"/>
          <w:highlight w:val="none"/>
        </w:rPr>
        <w:t>第五部分    投标文件格式</w:t>
      </w:r>
    </w:p>
    <w:p>
      <w:pPr>
        <w:pStyle w:val="22"/>
        <w:adjustRightInd w:val="0"/>
        <w:snapToGrid w:val="0"/>
        <w:spacing w:line="500" w:lineRule="exact"/>
        <w:rPr>
          <w:rFonts w:hAnsi="宋体"/>
          <w:color w:val="auto"/>
          <w:sz w:val="30"/>
          <w:highlight w:val="none"/>
        </w:rPr>
      </w:pPr>
    </w:p>
    <w:p>
      <w:pPr>
        <w:pStyle w:val="31"/>
        <w:rPr>
          <w:color w:val="auto"/>
          <w:highlight w:val="none"/>
        </w:rPr>
      </w:pPr>
    </w:p>
    <w:p>
      <w:pPr>
        <w:widowControl/>
        <w:snapToGrid w:val="0"/>
        <w:spacing w:line="460" w:lineRule="atLeast"/>
        <w:jc w:val="center"/>
        <w:rPr>
          <w:color w:val="auto"/>
          <w:sz w:val="36"/>
          <w:highlight w:val="none"/>
        </w:rPr>
      </w:pPr>
      <w:r>
        <w:rPr>
          <w:rFonts w:hint="eastAsia"/>
          <w:color w:val="auto"/>
          <w:sz w:val="36"/>
          <w:highlight w:val="none"/>
        </w:rPr>
        <w:t>（未提供格式的由供应商自拟）</w:t>
      </w:r>
    </w:p>
    <w:p>
      <w:pPr>
        <w:spacing w:line="360" w:lineRule="auto"/>
        <w:ind w:firstLine="424" w:firstLineChars="151"/>
        <w:rPr>
          <w:rFonts w:ascii="仿宋" w:hAnsi="仿宋" w:eastAsia="仿宋" w:cs="Arial"/>
          <w:b/>
          <w:color w:val="auto"/>
          <w:sz w:val="28"/>
          <w:highlight w:val="none"/>
          <w:u w:val="single"/>
        </w:rPr>
      </w:pPr>
      <w:r>
        <w:rPr>
          <w:rFonts w:ascii="仿宋" w:hAnsi="仿宋" w:eastAsia="仿宋" w:cs="Arial"/>
          <w:b/>
          <w:color w:val="auto"/>
          <w:sz w:val="28"/>
          <w:highlight w:val="none"/>
        </w:rPr>
        <w:t>重要提示：</w:t>
      </w:r>
    </w:p>
    <w:p>
      <w:pPr>
        <w:spacing w:line="360" w:lineRule="auto"/>
        <w:ind w:firstLine="424" w:firstLineChars="151"/>
        <w:jc w:val="left"/>
        <w:rPr>
          <w:rFonts w:ascii="仿宋" w:hAnsi="仿宋" w:eastAsia="仿宋" w:cs="Arial"/>
          <w:b/>
          <w:color w:val="auto"/>
          <w:sz w:val="28"/>
          <w:szCs w:val="28"/>
          <w:highlight w:val="none"/>
          <w:u w:val="single"/>
        </w:rPr>
      </w:pPr>
      <w:r>
        <w:rPr>
          <w:rFonts w:hint="eastAsia" w:ascii="仿宋" w:hAnsi="仿宋" w:eastAsia="仿宋"/>
          <w:b/>
          <w:color w:val="auto"/>
          <w:sz w:val="28"/>
          <w:szCs w:val="28"/>
          <w:highlight w:val="none"/>
        </w:rPr>
        <w:t>（1）</w:t>
      </w:r>
      <w:r>
        <w:rPr>
          <w:rFonts w:hint="eastAsia" w:ascii="仿宋" w:hAnsi="仿宋" w:eastAsia="仿宋" w:cs="Arial"/>
          <w:b/>
          <w:color w:val="auto"/>
          <w:sz w:val="28"/>
          <w:szCs w:val="28"/>
          <w:highlight w:val="none"/>
          <w:u w:val="single"/>
        </w:rPr>
        <w:t>本章节</w:t>
      </w:r>
      <w:r>
        <w:rPr>
          <w:rFonts w:hint="eastAsia" w:ascii="仿宋" w:hAnsi="仿宋" w:eastAsia="仿宋"/>
          <w:b/>
          <w:color w:val="auto"/>
          <w:sz w:val="28"/>
          <w:szCs w:val="28"/>
          <w:highlight w:val="none"/>
          <w:u w:val="single"/>
        </w:rPr>
        <w:t>中有</w:t>
      </w:r>
      <w:r>
        <w:rPr>
          <w:rFonts w:ascii="仿宋" w:hAnsi="仿宋" w:eastAsia="仿宋"/>
          <w:b/>
          <w:color w:val="auto"/>
          <w:sz w:val="28"/>
          <w:szCs w:val="28"/>
          <w:highlight w:val="none"/>
          <w:u w:val="single"/>
        </w:rPr>
        <w:t>提供格式的，</w:t>
      </w:r>
      <w:r>
        <w:rPr>
          <w:rFonts w:hint="eastAsia" w:ascii="仿宋" w:hAnsi="仿宋" w:eastAsia="仿宋"/>
          <w:b/>
          <w:color w:val="auto"/>
          <w:sz w:val="28"/>
          <w:szCs w:val="28"/>
          <w:highlight w:val="none"/>
          <w:u w:val="single"/>
        </w:rPr>
        <w:t>投标</w:t>
      </w:r>
      <w:r>
        <w:rPr>
          <w:rFonts w:ascii="仿宋" w:hAnsi="仿宋" w:eastAsia="仿宋"/>
          <w:b/>
          <w:color w:val="auto"/>
          <w:sz w:val="28"/>
          <w:szCs w:val="28"/>
          <w:highlight w:val="none"/>
          <w:u w:val="single"/>
        </w:rPr>
        <w:t>供应商</w:t>
      </w:r>
      <w:r>
        <w:rPr>
          <w:rFonts w:hint="eastAsia" w:ascii="仿宋" w:hAnsi="仿宋" w:eastAsia="仿宋"/>
          <w:b/>
          <w:color w:val="auto"/>
          <w:sz w:val="28"/>
          <w:szCs w:val="28"/>
          <w:highlight w:val="none"/>
          <w:u w:val="single"/>
        </w:rPr>
        <w:t>可参</w:t>
      </w:r>
      <w:r>
        <w:rPr>
          <w:rFonts w:ascii="仿宋" w:hAnsi="仿宋" w:eastAsia="仿宋"/>
          <w:b/>
          <w:color w:val="auto"/>
          <w:sz w:val="28"/>
          <w:szCs w:val="28"/>
          <w:highlight w:val="none"/>
          <w:u w:val="single"/>
        </w:rPr>
        <w:t>照</w:t>
      </w:r>
      <w:r>
        <w:rPr>
          <w:rFonts w:hint="eastAsia" w:ascii="仿宋" w:hAnsi="仿宋" w:eastAsia="仿宋"/>
          <w:b/>
          <w:color w:val="auto"/>
          <w:sz w:val="28"/>
          <w:szCs w:val="28"/>
          <w:highlight w:val="none"/>
          <w:u w:val="single"/>
        </w:rPr>
        <w:t>本章节提供的</w:t>
      </w:r>
      <w:r>
        <w:rPr>
          <w:rFonts w:ascii="仿宋" w:hAnsi="仿宋" w:eastAsia="仿宋"/>
          <w:b/>
          <w:color w:val="auto"/>
          <w:sz w:val="28"/>
          <w:szCs w:val="28"/>
          <w:highlight w:val="none"/>
          <w:u w:val="single"/>
        </w:rPr>
        <w:t>格式</w:t>
      </w:r>
      <w:r>
        <w:rPr>
          <w:rFonts w:hint="eastAsia" w:ascii="仿宋" w:hAnsi="仿宋" w:eastAsia="仿宋"/>
          <w:b/>
          <w:color w:val="auto"/>
          <w:sz w:val="28"/>
          <w:szCs w:val="28"/>
          <w:highlight w:val="none"/>
          <w:u w:val="single"/>
        </w:rPr>
        <w:t>进行编制（格式中要求提供相关证明材料的还需后附相关证明材料）。并按格式要求在指定位置根据要求进行电子签章，否则视为未提供；</w:t>
      </w:r>
    </w:p>
    <w:p>
      <w:pPr>
        <w:pStyle w:val="22"/>
        <w:adjustRightInd w:val="0"/>
        <w:snapToGrid w:val="0"/>
        <w:spacing w:line="460" w:lineRule="exact"/>
        <w:rPr>
          <w:rFonts w:hAnsi="宋体"/>
          <w:b/>
          <w:color w:val="auto"/>
          <w:sz w:val="24"/>
          <w:szCs w:val="24"/>
          <w:highlight w:val="none"/>
        </w:rPr>
      </w:pPr>
      <w:r>
        <w:rPr>
          <w:rFonts w:hint="eastAsia" w:ascii="仿宋" w:hAnsi="仿宋" w:eastAsia="仿宋"/>
          <w:b/>
          <w:color w:val="auto"/>
          <w:sz w:val="28"/>
          <w:szCs w:val="28"/>
          <w:highlight w:val="none"/>
        </w:rPr>
        <w:t>（2）</w:t>
      </w:r>
      <w:r>
        <w:rPr>
          <w:rFonts w:hint="eastAsia" w:ascii="仿宋" w:hAnsi="仿宋" w:eastAsia="仿宋" w:cs="Arial"/>
          <w:b/>
          <w:color w:val="auto"/>
          <w:sz w:val="28"/>
          <w:szCs w:val="28"/>
          <w:highlight w:val="none"/>
          <w:u w:val="single"/>
        </w:rPr>
        <w:t>本章节</w:t>
      </w:r>
      <w:r>
        <w:rPr>
          <w:rFonts w:ascii="仿宋" w:hAnsi="仿宋" w:eastAsia="仿宋"/>
          <w:b/>
          <w:color w:val="auto"/>
          <w:sz w:val="28"/>
          <w:szCs w:val="28"/>
          <w:highlight w:val="none"/>
          <w:u w:val="single"/>
        </w:rPr>
        <w:t>未提供格式的，请各投标单位自行拟定格式</w:t>
      </w:r>
      <w:r>
        <w:rPr>
          <w:rFonts w:hint="eastAsia" w:ascii="仿宋" w:hAnsi="仿宋" w:eastAsia="仿宋"/>
          <w:b/>
          <w:color w:val="auto"/>
          <w:sz w:val="28"/>
          <w:szCs w:val="28"/>
          <w:highlight w:val="none"/>
          <w:u w:val="single"/>
        </w:rPr>
        <w:t>，并加盖单位公章并由法定代表人或其授权代表签署（签字或盖章），否则视为未提供；</w:t>
      </w:r>
    </w:p>
    <w:p>
      <w:pPr>
        <w:pStyle w:val="22"/>
        <w:adjustRightInd w:val="0"/>
        <w:snapToGrid w:val="0"/>
        <w:spacing w:line="500" w:lineRule="exact"/>
        <w:rPr>
          <w:rFonts w:hAnsi="宋体"/>
          <w:color w:val="auto"/>
          <w:sz w:val="30"/>
          <w:highlight w:val="none"/>
        </w:rPr>
      </w:pPr>
    </w:p>
    <w:p>
      <w:pPr>
        <w:pStyle w:val="22"/>
        <w:adjustRightInd w:val="0"/>
        <w:snapToGrid w:val="0"/>
        <w:spacing w:line="500" w:lineRule="exact"/>
        <w:rPr>
          <w:rFonts w:hAnsi="宋体"/>
          <w:color w:val="auto"/>
          <w:sz w:val="30"/>
          <w:highlight w:val="none"/>
        </w:rPr>
      </w:pPr>
    </w:p>
    <w:p>
      <w:pPr>
        <w:pStyle w:val="31"/>
        <w:rPr>
          <w:color w:val="auto"/>
          <w:highlight w:val="none"/>
        </w:rPr>
      </w:pPr>
    </w:p>
    <w:p>
      <w:pPr>
        <w:rPr>
          <w:color w:val="auto"/>
          <w:highlight w:val="none"/>
        </w:rPr>
      </w:pPr>
    </w:p>
    <w:p>
      <w:pPr>
        <w:pStyle w:val="47"/>
        <w:rPr>
          <w:color w:val="auto"/>
          <w:highlight w:val="none"/>
        </w:rPr>
      </w:pPr>
    </w:p>
    <w:p>
      <w:pPr>
        <w:pStyle w:val="3"/>
        <w:rPr>
          <w:color w:val="auto"/>
          <w:highlight w:val="none"/>
        </w:rPr>
      </w:pPr>
    </w:p>
    <w:p>
      <w:pPr>
        <w:pStyle w:val="2"/>
        <w:ind w:firstLine="200"/>
        <w:rPr>
          <w:color w:val="auto"/>
          <w:highlight w:val="none"/>
        </w:rPr>
      </w:pPr>
    </w:p>
    <w:p>
      <w:pPr>
        <w:pStyle w:val="2"/>
        <w:ind w:firstLine="200"/>
        <w:rPr>
          <w:color w:val="auto"/>
          <w:highlight w:val="none"/>
        </w:rPr>
      </w:pPr>
    </w:p>
    <w:p>
      <w:pPr>
        <w:pStyle w:val="2"/>
        <w:ind w:firstLine="200"/>
        <w:rPr>
          <w:color w:val="auto"/>
          <w:highlight w:val="none"/>
        </w:rPr>
      </w:pPr>
    </w:p>
    <w:p>
      <w:pPr>
        <w:pStyle w:val="22"/>
        <w:adjustRightInd w:val="0"/>
        <w:snapToGrid w:val="0"/>
        <w:spacing w:line="500" w:lineRule="exact"/>
        <w:rPr>
          <w:rFonts w:hAnsi="宋体"/>
          <w:color w:val="auto"/>
          <w:sz w:val="30"/>
          <w:highlight w:val="none"/>
        </w:rPr>
      </w:pPr>
    </w:p>
    <w:p>
      <w:pPr>
        <w:pStyle w:val="22"/>
        <w:adjustRightInd w:val="0"/>
        <w:snapToGrid w:val="0"/>
        <w:spacing w:line="500" w:lineRule="exact"/>
        <w:rPr>
          <w:rFonts w:hAnsi="宋体"/>
          <w:color w:val="auto"/>
          <w:sz w:val="30"/>
          <w:highlight w:val="none"/>
        </w:rPr>
      </w:pPr>
    </w:p>
    <w:p>
      <w:pPr>
        <w:pStyle w:val="22"/>
        <w:adjustRightInd w:val="0"/>
        <w:snapToGrid w:val="0"/>
        <w:spacing w:line="500" w:lineRule="exact"/>
        <w:rPr>
          <w:rFonts w:hAnsi="宋体"/>
          <w:color w:val="auto"/>
          <w:sz w:val="30"/>
          <w:highlight w:val="none"/>
        </w:rPr>
      </w:pPr>
    </w:p>
    <w:p>
      <w:pPr>
        <w:pStyle w:val="22"/>
        <w:adjustRightInd w:val="0"/>
        <w:snapToGrid w:val="0"/>
        <w:spacing w:line="500" w:lineRule="exact"/>
        <w:rPr>
          <w:rFonts w:hAnsi="宋体"/>
          <w:color w:val="auto"/>
          <w:sz w:val="30"/>
          <w:highlight w:val="none"/>
        </w:rPr>
      </w:pPr>
    </w:p>
    <w:p>
      <w:pPr>
        <w:pStyle w:val="22"/>
        <w:adjustRightInd w:val="0"/>
        <w:snapToGrid w:val="0"/>
        <w:spacing w:line="500" w:lineRule="exact"/>
        <w:rPr>
          <w:rFonts w:hAnsi="宋体"/>
          <w:color w:val="auto"/>
          <w:sz w:val="30"/>
          <w:highlight w:val="none"/>
        </w:rPr>
      </w:pPr>
    </w:p>
    <w:p>
      <w:pPr>
        <w:pStyle w:val="31"/>
        <w:rPr>
          <w:rFonts w:hAnsi="宋体"/>
          <w:color w:val="auto"/>
          <w:sz w:val="30"/>
          <w:highlight w:val="none"/>
        </w:rPr>
      </w:pPr>
    </w:p>
    <w:p>
      <w:pPr>
        <w:rPr>
          <w:rFonts w:hAnsi="宋体"/>
          <w:color w:val="auto"/>
          <w:sz w:val="30"/>
          <w:highlight w:val="none"/>
        </w:rPr>
      </w:pPr>
    </w:p>
    <w:p>
      <w:pPr>
        <w:pStyle w:val="47"/>
        <w:rPr>
          <w:color w:val="auto"/>
          <w:highlight w:val="none"/>
        </w:rPr>
      </w:pPr>
    </w:p>
    <w:p>
      <w:pPr>
        <w:pStyle w:val="22"/>
        <w:adjustRightInd w:val="0"/>
        <w:snapToGrid w:val="0"/>
        <w:spacing w:line="500" w:lineRule="exact"/>
        <w:rPr>
          <w:rFonts w:hAnsi="宋体"/>
          <w:color w:val="auto"/>
          <w:sz w:val="30"/>
          <w:highlight w:val="none"/>
        </w:rPr>
      </w:pPr>
    </w:p>
    <w:p>
      <w:pPr>
        <w:pStyle w:val="22"/>
        <w:adjustRightInd w:val="0"/>
        <w:snapToGrid w:val="0"/>
        <w:spacing w:line="500" w:lineRule="exact"/>
        <w:rPr>
          <w:rFonts w:hAnsi="宋体"/>
          <w:color w:val="auto"/>
          <w:sz w:val="30"/>
          <w:highlight w:val="none"/>
        </w:rPr>
      </w:pPr>
    </w:p>
    <w:p>
      <w:pPr>
        <w:tabs>
          <w:tab w:val="left" w:pos="7457"/>
        </w:tabs>
        <w:autoSpaceDE w:val="0"/>
        <w:autoSpaceDN w:val="0"/>
        <w:adjustRightInd w:val="0"/>
        <w:jc w:val="left"/>
        <w:rPr>
          <w:rFonts w:ascii="宋体" w:hAnsi="宋体"/>
          <w:color w:val="auto"/>
          <w:sz w:val="30"/>
          <w:szCs w:val="21"/>
          <w:highlight w:val="none"/>
        </w:rPr>
      </w:pPr>
    </w:p>
    <w:p>
      <w:pPr>
        <w:pStyle w:val="47"/>
        <w:rPr>
          <w:color w:val="auto"/>
          <w:highlight w:val="none"/>
        </w:rPr>
      </w:pPr>
    </w:p>
    <w:p>
      <w:pPr>
        <w:keepNext/>
        <w:keepLines/>
        <w:widowControl/>
        <w:spacing w:before="120" w:line="360" w:lineRule="auto"/>
        <w:jc w:val="left"/>
        <w:outlineLvl w:val="1"/>
        <w:rPr>
          <w:rFonts w:eastAsia="黑体"/>
          <w:b/>
          <w:color w:val="auto"/>
          <w:kern w:val="0"/>
          <w:sz w:val="28"/>
          <w:szCs w:val="22"/>
          <w:highlight w:val="none"/>
        </w:rPr>
      </w:pPr>
      <w:r>
        <w:rPr>
          <w:rFonts w:hint="eastAsia" w:eastAsia="黑体"/>
          <w:b/>
          <w:color w:val="auto"/>
          <w:kern w:val="0"/>
          <w:sz w:val="28"/>
          <w:szCs w:val="22"/>
          <w:highlight w:val="none"/>
        </w:rPr>
        <w:t>一、“资格文件</w:t>
      </w:r>
      <w:r>
        <w:rPr>
          <w:rFonts w:eastAsia="黑体"/>
          <w:b/>
          <w:color w:val="auto"/>
          <w:kern w:val="0"/>
          <w:sz w:val="28"/>
          <w:szCs w:val="22"/>
          <w:highlight w:val="none"/>
        </w:rPr>
        <w:t>”</w:t>
      </w:r>
      <w:r>
        <w:rPr>
          <w:rFonts w:hint="eastAsia" w:eastAsia="黑体"/>
          <w:b/>
          <w:color w:val="auto"/>
          <w:kern w:val="0"/>
          <w:sz w:val="28"/>
          <w:szCs w:val="22"/>
          <w:highlight w:val="none"/>
        </w:rPr>
        <w:t>格式</w:t>
      </w:r>
    </w:p>
    <w:p>
      <w:pPr>
        <w:keepNext/>
        <w:keepLines/>
        <w:spacing w:before="240" w:after="240" w:line="360" w:lineRule="auto"/>
        <w:jc w:val="left"/>
        <w:outlineLvl w:val="2"/>
        <w:rPr>
          <w:rFonts w:eastAsia="黑体"/>
          <w:b/>
          <w:color w:val="auto"/>
          <w:sz w:val="28"/>
          <w:szCs w:val="22"/>
          <w:highlight w:val="none"/>
        </w:rPr>
      </w:pPr>
      <w:r>
        <w:rPr>
          <w:rFonts w:hint="eastAsia" w:eastAsia="黑体"/>
          <w:b/>
          <w:color w:val="auto"/>
          <w:sz w:val="28"/>
          <w:szCs w:val="22"/>
          <w:highlight w:val="none"/>
        </w:rPr>
        <w:t>1.1 “资格文件”封面</w:t>
      </w:r>
    </w:p>
    <w:p>
      <w:pPr>
        <w:spacing w:line="360" w:lineRule="auto"/>
        <w:jc w:val="right"/>
        <w:rPr>
          <w:rFonts w:ascii="Arial" w:hAnsi="Arial" w:eastAsia="新宋体" w:cs="Arial"/>
          <w:b/>
          <w:color w:val="auto"/>
          <w:sz w:val="32"/>
          <w:szCs w:val="22"/>
          <w:highlight w:val="none"/>
        </w:rPr>
      </w:pPr>
    </w:p>
    <w:p>
      <w:pPr>
        <w:spacing w:line="360" w:lineRule="auto"/>
        <w:jc w:val="center"/>
        <w:rPr>
          <w:rFonts w:ascii="Arial" w:hAnsi="Arial" w:eastAsia="新宋体" w:cs="Arial"/>
          <w:b/>
          <w:color w:val="auto"/>
          <w:sz w:val="52"/>
          <w:szCs w:val="22"/>
          <w:highlight w:val="none"/>
        </w:rPr>
      </w:pPr>
      <w:r>
        <w:rPr>
          <w:rFonts w:hint="eastAsia" w:ascii="华文中宋" w:hAnsi="华文中宋" w:eastAsia="华文中宋" w:cs="Arial"/>
          <w:b/>
          <w:color w:val="auto"/>
          <w:w w:val="90"/>
          <w:sz w:val="36"/>
          <w:szCs w:val="20"/>
          <w:highlight w:val="none"/>
        </w:rPr>
        <w:t>苍南县人民医院布品租赁及洗涤服务项目</w:t>
      </w:r>
    </w:p>
    <w:p>
      <w:pPr>
        <w:spacing w:line="360" w:lineRule="auto"/>
        <w:jc w:val="center"/>
        <w:rPr>
          <w:rFonts w:ascii="Arial" w:hAnsi="Arial" w:eastAsia="新宋体" w:cs="Arial"/>
          <w:b/>
          <w:color w:val="auto"/>
          <w:sz w:val="52"/>
          <w:szCs w:val="22"/>
          <w:highlight w:val="none"/>
        </w:rPr>
      </w:pPr>
    </w:p>
    <w:p>
      <w:pPr>
        <w:spacing w:line="276" w:lineRule="auto"/>
        <w:jc w:val="center"/>
        <w:rPr>
          <w:rFonts w:ascii="华文中宋" w:hAnsi="华文中宋" w:eastAsia="华文中宋" w:cs="Arial"/>
          <w:color w:val="auto"/>
          <w:sz w:val="96"/>
          <w:szCs w:val="22"/>
          <w:highlight w:val="none"/>
        </w:rPr>
      </w:pPr>
      <w:r>
        <w:rPr>
          <w:rFonts w:hint="eastAsia" w:ascii="华文中宋" w:hAnsi="华文中宋" w:eastAsia="华文中宋" w:cs="Arial"/>
          <w:color w:val="auto"/>
          <w:sz w:val="96"/>
          <w:szCs w:val="22"/>
          <w:highlight w:val="none"/>
        </w:rPr>
        <w:t>响 应</w:t>
      </w:r>
      <w:r>
        <w:rPr>
          <w:rFonts w:ascii="华文中宋" w:hAnsi="华文中宋" w:eastAsia="华文中宋" w:cs="Arial"/>
          <w:color w:val="auto"/>
          <w:sz w:val="96"/>
          <w:szCs w:val="22"/>
          <w:highlight w:val="none"/>
        </w:rPr>
        <w:t xml:space="preserve"> </w:t>
      </w:r>
      <w:r>
        <w:rPr>
          <w:rFonts w:hint="eastAsia" w:ascii="华文中宋" w:hAnsi="华文中宋" w:eastAsia="华文中宋" w:cs="Arial"/>
          <w:color w:val="auto"/>
          <w:sz w:val="96"/>
          <w:szCs w:val="22"/>
          <w:highlight w:val="none"/>
        </w:rPr>
        <w:t>文</w:t>
      </w:r>
      <w:r>
        <w:rPr>
          <w:rFonts w:ascii="华文中宋" w:hAnsi="华文中宋" w:eastAsia="华文中宋" w:cs="Arial"/>
          <w:color w:val="auto"/>
          <w:sz w:val="96"/>
          <w:szCs w:val="22"/>
          <w:highlight w:val="none"/>
        </w:rPr>
        <w:t xml:space="preserve"> </w:t>
      </w:r>
      <w:r>
        <w:rPr>
          <w:rFonts w:hint="eastAsia" w:ascii="华文中宋" w:hAnsi="华文中宋" w:eastAsia="华文中宋" w:cs="Arial"/>
          <w:color w:val="auto"/>
          <w:sz w:val="96"/>
          <w:szCs w:val="22"/>
          <w:highlight w:val="none"/>
        </w:rPr>
        <w:t>件</w:t>
      </w:r>
    </w:p>
    <w:p>
      <w:pPr>
        <w:spacing w:line="360" w:lineRule="auto"/>
        <w:jc w:val="center"/>
        <w:rPr>
          <w:rFonts w:ascii="华文中宋" w:hAnsi="华文中宋" w:eastAsia="华文中宋" w:cs="Arial"/>
          <w:b/>
          <w:color w:val="auto"/>
          <w:sz w:val="52"/>
          <w:szCs w:val="22"/>
          <w:highlight w:val="none"/>
        </w:rPr>
      </w:pPr>
      <w:r>
        <w:rPr>
          <w:rFonts w:hint="eastAsia" w:ascii="华文中宋" w:hAnsi="华文中宋" w:eastAsia="华文中宋" w:cs="Arial"/>
          <w:b/>
          <w:color w:val="auto"/>
          <w:sz w:val="52"/>
          <w:szCs w:val="22"/>
          <w:highlight w:val="none"/>
        </w:rPr>
        <w:t>（资格文件）</w:t>
      </w:r>
    </w:p>
    <w:p>
      <w:pPr>
        <w:spacing w:line="360" w:lineRule="auto"/>
        <w:jc w:val="center"/>
        <w:rPr>
          <w:rFonts w:ascii="华文中宋" w:hAnsi="华文中宋" w:eastAsia="华文中宋" w:cs="Arial"/>
          <w:b/>
          <w:color w:val="auto"/>
          <w:sz w:val="52"/>
          <w:szCs w:val="22"/>
          <w:highlight w:val="none"/>
        </w:rPr>
      </w:pPr>
    </w:p>
    <w:tbl>
      <w:tblPr>
        <w:tblStyle w:val="38"/>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项目编号：</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供应商名称（盖章）：</w:t>
            </w:r>
            <w:r>
              <w:rPr>
                <w:rFonts w:ascii="仿宋" w:hAnsi="仿宋" w:eastAsia="仿宋" w:cs="Arial"/>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供应商地址：</w:t>
            </w:r>
            <w:r>
              <w:rPr>
                <w:rFonts w:ascii="仿宋" w:hAnsi="仿宋" w:eastAsia="仿宋" w:cs="Arial"/>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法定代表人或其授权代表（签字或盖章）：</w:t>
            </w:r>
            <w:r>
              <w:rPr>
                <w:rFonts w:ascii="仿宋" w:hAnsi="仿宋" w:eastAsia="仿宋" w:cs="Arial"/>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日期：</w:t>
            </w:r>
            <w:r>
              <w:rPr>
                <w:rFonts w:ascii="仿宋" w:hAnsi="仿宋" w:eastAsia="仿宋" w:cs="Arial"/>
                <w:b/>
                <w:color w:val="auto"/>
                <w:w w:val="90"/>
                <w:sz w:val="28"/>
                <w:szCs w:val="28"/>
                <w:highlight w:val="none"/>
              </w:rPr>
              <w:t>__________________________________________________________</w:t>
            </w:r>
          </w:p>
        </w:tc>
      </w:tr>
    </w:tbl>
    <w:p>
      <w:pPr>
        <w:snapToGrid w:val="0"/>
        <w:spacing w:line="460" w:lineRule="atLeast"/>
        <w:rPr>
          <w:color w:val="auto"/>
          <w:szCs w:val="22"/>
          <w:highlight w:val="none"/>
        </w:rPr>
      </w:pPr>
    </w:p>
    <w:p>
      <w:pPr>
        <w:snapToGrid w:val="0"/>
        <w:spacing w:line="460" w:lineRule="atLeast"/>
        <w:rPr>
          <w:color w:val="auto"/>
          <w:sz w:val="36"/>
          <w:szCs w:val="22"/>
          <w:highlight w:val="none"/>
        </w:rPr>
      </w:pPr>
    </w:p>
    <w:p>
      <w:pPr>
        <w:keepNext/>
        <w:keepLines/>
        <w:spacing w:before="240" w:after="240" w:line="360" w:lineRule="auto"/>
        <w:jc w:val="left"/>
        <w:outlineLvl w:val="2"/>
        <w:rPr>
          <w:rFonts w:eastAsia="黑体"/>
          <w:b/>
          <w:color w:val="auto"/>
          <w:sz w:val="28"/>
          <w:szCs w:val="22"/>
          <w:highlight w:val="none"/>
        </w:rPr>
      </w:pPr>
    </w:p>
    <w:p>
      <w:pPr>
        <w:ind w:firstLine="422" w:firstLineChars="200"/>
        <w:rPr>
          <w:b/>
          <w:color w:val="auto"/>
          <w:szCs w:val="22"/>
          <w:highlight w:val="none"/>
        </w:rPr>
      </w:pPr>
    </w:p>
    <w:p>
      <w:pPr>
        <w:rPr>
          <w:color w:val="auto"/>
          <w:szCs w:val="22"/>
          <w:highlight w:val="none"/>
        </w:rPr>
      </w:pPr>
    </w:p>
    <w:p>
      <w:pPr>
        <w:keepNext/>
        <w:keepLines/>
        <w:spacing w:before="240" w:after="240" w:line="360" w:lineRule="auto"/>
        <w:jc w:val="left"/>
        <w:outlineLvl w:val="2"/>
        <w:rPr>
          <w:rFonts w:eastAsia="黑体"/>
          <w:b/>
          <w:color w:val="auto"/>
          <w:sz w:val="28"/>
          <w:szCs w:val="22"/>
          <w:highlight w:val="none"/>
        </w:rPr>
      </w:pPr>
      <w:r>
        <w:rPr>
          <w:rFonts w:hint="eastAsia" w:eastAsia="黑体"/>
          <w:b/>
          <w:color w:val="auto"/>
          <w:sz w:val="28"/>
          <w:szCs w:val="22"/>
          <w:highlight w:val="none"/>
        </w:rPr>
        <w:t>1.3 供应商资格审查声明函</w:t>
      </w:r>
    </w:p>
    <w:p>
      <w:pPr>
        <w:jc w:val="center"/>
        <w:rPr>
          <w:rFonts w:ascii="华文中宋" w:hAnsi="华文中宋" w:eastAsia="华文中宋"/>
          <w:b/>
          <w:color w:val="auto"/>
          <w:sz w:val="44"/>
          <w:szCs w:val="44"/>
          <w:highlight w:val="none"/>
        </w:rPr>
      </w:pPr>
    </w:p>
    <w:p>
      <w:pPr>
        <w:jc w:val="center"/>
        <w:rPr>
          <w:color w:val="auto"/>
          <w:szCs w:val="22"/>
          <w:highlight w:val="none"/>
        </w:rPr>
      </w:pPr>
      <w:r>
        <w:rPr>
          <w:rFonts w:hint="eastAsia" w:ascii="华文中宋" w:hAnsi="华文中宋" w:eastAsia="华文中宋"/>
          <w:b/>
          <w:color w:val="auto"/>
          <w:sz w:val="44"/>
          <w:szCs w:val="44"/>
          <w:highlight w:val="none"/>
        </w:rPr>
        <w:t>供应商资格审查声明函</w:t>
      </w:r>
    </w:p>
    <w:p>
      <w:pPr>
        <w:rPr>
          <w:color w:val="auto"/>
          <w:szCs w:val="22"/>
          <w:highlight w:val="none"/>
        </w:rPr>
      </w:pPr>
    </w:p>
    <w:p>
      <w:pPr>
        <w:spacing w:line="360" w:lineRule="auto"/>
        <w:rPr>
          <w:rFonts w:ascii="仿宋" w:hAnsi="仿宋" w:eastAsia="仿宋" w:cs="Arial"/>
          <w:b/>
          <w:color w:val="auto"/>
          <w:w w:val="90"/>
          <w:sz w:val="28"/>
          <w:szCs w:val="22"/>
          <w:highlight w:val="none"/>
          <w:u w:val="single"/>
        </w:rPr>
      </w:pPr>
    </w:p>
    <w:p>
      <w:pPr>
        <w:spacing w:line="360" w:lineRule="auto"/>
        <w:rPr>
          <w:rFonts w:ascii="仿宋" w:hAnsi="仿宋" w:eastAsia="仿宋" w:cs="Arial"/>
          <w:b/>
          <w:color w:val="auto"/>
          <w:sz w:val="32"/>
          <w:szCs w:val="28"/>
          <w:highlight w:val="none"/>
          <w:u w:val="single"/>
        </w:rPr>
      </w:pPr>
      <w:r>
        <w:rPr>
          <w:rFonts w:hint="eastAsia" w:ascii="仿宋" w:hAnsi="仿宋" w:eastAsia="仿宋" w:cs="Arial"/>
          <w:b/>
          <w:color w:val="auto"/>
          <w:sz w:val="32"/>
          <w:szCs w:val="28"/>
          <w:highlight w:val="none"/>
          <w:u w:val="single"/>
        </w:rPr>
        <w:t>苍南县人民医院</w:t>
      </w:r>
      <w:r>
        <w:rPr>
          <w:rFonts w:hint="eastAsia" w:ascii="仿宋" w:hAnsi="仿宋" w:eastAsia="仿宋" w:cs="Arial"/>
          <w:b/>
          <w:color w:val="auto"/>
          <w:w w:val="90"/>
          <w:sz w:val="28"/>
          <w:szCs w:val="22"/>
          <w:highlight w:val="none"/>
          <w:u w:val="single"/>
        </w:rPr>
        <w:t>：</w:t>
      </w:r>
    </w:p>
    <w:p>
      <w:pPr>
        <w:spacing w:line="360" w:lineRule="auto"/>
        <w:rPr>
          <w:rFonts w:ascii="仿宋" w:hAnsi="仿宋" w:eastAsia="仿宋" w:cs="Arial"/>
          <w:color w:val="auto"/>
          <w:sz w:val="32"/>
          <w:szCs w:val="28"/>
          <w:highlight w:val="none"/>
        </w:rPr>
      </w:pPr>
    </w:p>
    <w:p>
      <w:pPr>
        <w:spacing w:line="360" w:lineRule="auto"/>
        <w:ind w:firstLine="560" w:firstLineChars="200"/>
        <w:rPr>
          <w:rFonts w:ascii="仿宋" w:hAnsi="仿宋" w:eastAsia="仿宋" w:cs="Arial"/>
          <w:color w:val="auto"/>
          <w:sz w:val="28"/>
          <w:szCs w:val="22"/>
          <w:highlight w:val="none"/>
        </w:rPr>
      </w:pPr>
      <w:r>
        <w:rPr>
          <w:rFonts w:hint="eastAsia" w:ascii="仿宋" w:hAnsi="仿宋" w:eastAsia="仿宋" w:cs="Arial"/>
          <w:color w:val="auto"/>
          <w:sz w:val="28"/>
          <w:szCs w:val="22"/>
          <w:highlight w:val="none"/>
        </w:rPr>
        <w:t>我公司郑重声明，我公司参加</w:t>
      </w:r>
      <w:r>
        <w:rPr>
          <w:rFonts w:hint="eastAsia" w:ascii="仿宋" w:hAnsi="仿宋" w:eastAsia="仿宋" w:cs="Arial"/>
          <w:color w:val="auto"/>
          <w:sz w:val="28"/>
          <w:szCs w:val="22"/>
          <w:highlight w:val="none"/>
          <w:u w:val="single"/>
        </w:rPr>
        <w:t>苍南县人民医院布品租赁及洗涤服务项目</w:t>
      </w:r>
      <w:r>
        <w:rPr>
          <w:rFonts w:hint="eastAsia" w:ascii="仿宋" w:hAnsi="仿宋" w:eastAsia="仿宋" w:cs="Arial"/>
          <w:b/>
          <w:color w:val="auto"/>
          <w:sz w:val="28"/>
          <w:szCs w:val="22"/>
          <w:highlight w:val="none"/>
          <w:u w:val="single"/>
        </w:rPr>
        <w:t>（项目编号：          ）</w:t>
      </w:r>
      <w:r>
        <w:rPr>
          <w:rFonts w:hint="eastAsia" w:ascii="仿宋" w:hAnsi="仿宋" w:eastAsia="仿宋" w:cs="Arial"/>
          <w:color w:val="auto"/>
          <w:sz w:val="28"/>
          <w:szCs w:val="22"/>
          <w:highlight w:val="none"/>
        </w:rPr>
        <w:t>的政府采购活动中所提交的《资格文件》所有内容真实、有效，不存在提供虚假材料的行为。如有违反，愿承担一切责任。</w:t>
      </w:r>
    </w:p>
    <w:p>
      <w:pPr>
        <w:spacing w:line="360" w:lineRule="auto"/>
        <w:ind w:firstLine="560" w:firstLineChars="200"/>
        <w:rPr>
          <w:rFonts w:ascii="仿宋" w:hAnsi="仿宋" w:eastAsia="仿宋" w:cs="Arial"/>
          <w:color w:val="auto"/>
          <w:sz w:val="28"/>
          <w:szCs w:val="22"/>
          <w:highlight w:val="none"/>
        </w:rPr>
      </w:pPr>
    </w:p>
    <w:p>
      <w:pPr>
        <w:spacing w:line="360" w:lineRule="auto"/>
        <w:ind w:firstLine="560" w:firstLineChars="200"/>
        <w:rPr>
          <w:rFonts w:ascii="仿宋" w:hAnsi="仿宋" w:eastAsia="仿宋" w:cs="Arial"/>
          <w:color w:val="auto"/>
          <w:sz w:val="22"/>
          <w:szCs w:val="22"/>
          <w:highlight w:val="none"/>
        </w:rPr>
      </w:pPr>
      <w:r>
        <w:rPr>
          <w:rFonts w:hint="eastAsia" w:ascii="仿宋" w:hAnsi="仿宋" w:eastAsia="仿宋" w:cs="Arial"/>
          <w:color w:val="auto"/>
          <w:sz w:val="28"/>
          <w:szCs w:val="22"/>
          <w:highlight w:val="none"/>
        </w:rPr>
        <w:t>特此声明！</w:t>
      </w:r>
    </w:p>
    <w:p>
      <w:pPr>
        <w:spacing w:line="360" w:lineRule="auto"/>
        <w:ind w:firstLine="420" w:firstLineChars="200"/>
        <w:rPr>
          <w:rFonts w:ascii="仿宋" w:hAnsi="仿宋" w:eastAsia="仿宋" w:cs="Arial"/>
          <w:color w:val="auto"/>
          <w:szCs w:val="22"/>
          <w:highlight w:val="none"/>
        </w:rPr>
      </w:pPr>
    </w:p>
    <w:p>
      <w:pPr>
        <w:spacing w:line="360" w:lineRule="auto"/>
        <w:ind w:firstLine="420" w:firstLineChars="200"/>
        <w:rPr>
          <w:rFonts w:ascii="仿宋" w:hAnsi="仿宋" w:eastAsia="仿宋" w:cs="Arial"/>
          <w:color w:val="auto"/>
          <w:szCs w:val="22"/>
          <w:highlight w:val="none"/>
        </w:rPr>
      </w:pPr>
    </w:p>
    <w:p>
      <w:pPr>
        <w:spacing w:line="360" w:lineRule="auto"/>
        <w:ind w:firstLine="420" w:firstLineChars="200"/>
        <w:rPr>
          <w:rFonts w:ascii="仿宋" w:hAnsi="仿宋" w:eastAsia="仿宋" w:cs="Arial"/>
          <w:color w:val="auto"/>
          <w:szCs w:val="22"/>
          <w:highlight w:val="none"/>
        </w:rPr>
      </w:pP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供应商名称</w:t>
      </w:r>
      <w:r>
        <w:rPr>
          <w:rFonts w:hint="eastAsia" w:ascii="仿宋" w:hAnsi="仿宋" w:eastAsia="仿宋" w:cs="Arial"/>
          <w:b/>
          <w:color w:val="auto"/>
          <w:sz w:val="28"/>
          <w:szCs w:val="22"/>
          <w:highlight w:val="none"/>
        </w:rPr>
        <w:t>（盖章）</w:t>
      </w:r>
      <w:r>
        <w:rPr>
          <w:rFonts w:hint="eastAsia" w:ascii="仿宋" w:hAnsi="仿宋" w:eastAsia="仿宋" w:cs="Arial"/>
          <w:color w:val="auto"/>
          <w:sz w:val="28"/>
          <w:szCs w:val="28"/>
          <w:highlight w:val="none"/>
        </w:rPr>
        <w:t>：</w:t>
      </w:r>
      <w:r>
        <w:rPr>
          <w:rFonts w:ascii="仿宋" w:hAnsi="仿宋" w:eastAsia="仿宋" w:cs="Arial"/>
          <w:color w:val="auto"/>
          <w:w w:val="90"/>
          <w:sz w:val="28"/>
          <w:szCs w:val="28"/>
          <w:highlight w:val="none"/>
        </w:rPr>
        <w:t>_________________________________________</w:t>
      </w: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法定代表人或其授权代表</w:t>
      </w:r>
      <w:r>
        <w:rPr>
          <w:rFonts w:hint="eastAsia" w:ascii="仿宋" w:hAnsi="仿宋" w:eastAsia="仿宋" w:cs="Arial"/>
          <w:b/>
          <w:color w:val="auto"/>
          <w:sz w:val="28"/>
          <w:szCs w:val="22"/>
          <w:highlight w:val="none"/>
        </w:rPr>
        <w:t>（签字或盖章）</w:t>
      </w:r>
      <w:r>
        <w:rPr>
          <w:rFonts w:hint="eastAsia" w:ascii="仿宋" w:hAnsi="仿宋" w:eastAsia="仿宋" w:cs="Arial"/>
          <w:color w:val="auto"/>
          <w:sz w:val="28"/>
          <w:szCs w:val="28"/>
          <w:highlight w:val="none"/>
        </w:rPr>
        <w:t>：</w:t>
      </w:r>
      <w:r>
        <w:rPr>
          <w:rFonts w:ascii="仿宋" w:hAnsi="仿宋" w:eastAsia="仿宋" w:cs="Arial"/>
          <w:color w:val="auto"/>
          <w:w w:val="90"/>
          <w:sz w:val="28"/>
          <w:szCs w:val="28"/>
          <w:highlight w:val="none"/>
        </w:rPr>
        <w:t>__________________________</w:t>
      </w:r>
    </w:p>
    <w:p>
      <w:pPr>
        <w:rPr>
          <w:rFonts w:ascii="仿宋" w:hAnsi="仿宋" w:eastAsia="仿宋" w:cs="Arial"/>
          <w:b/>
          <w:color w:val="auto"/>
          <w:szCs w:val="22"/>
          <w:highlight w:val="none"/>
        </w:rPr>
      </w:pPr>
      <w:r>
        <w:rPr>
          <w:rFonts w:hint="eastAsia" w:ascii="仿宋" w:hAnsi="仿宋" w:eastAsia="仿宋" w:cs="Arial"/>
          <w:color w:val="auto"/>
          <w:sz w:val="28"/>
          <w:szCs w:val="28"/>
          <w:highlight w:val="none"/>
        </w:rPr>
        <w:t>日期：</w:t>
      </w:r>
      <w:r>
        <w:rPr>
          <w:rFonts w:ascii="仿宋" w:hAnsi="仿宋" w:eastAsia="仿宋" w:cs="Arial"/>
          <w:color w:val="auto"/>
          <w:w w:val="90"/>
          <w:sz w:val="28"/>
          <w:szCs w:val="28"/>
          <w:highlight w:val="none"/>
        </w:rPr>
        <w:t>_____</w:t>
      </w:r>
      <w:r>
        <w:rPr>
          <w:rFonts w:hint="eastAsia" w:ascii="仿宋" w:hAnsi="仿宋" w:eastAsia="仿宋" w:cs="Arial"/>
          <w:color w:val="auto"/>
          <w:w w:val="90"/>
          <w:sz w:val="28"/>
          <w:szCs w:val="28"/>
          <w:highlight w:val="none"/>
        </w:rPr>
        <w:t>年</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月</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日</w:t>
      </w:r>
    </w:p>
    <w:p>
      <w:pPr>
        <w:rPr>
          <w:color w:val="auto"/>
          <w:szCs w:val="22"/>
          <w:highlight w:val="none"/>
        </w:rPr>
      </w:pPr>
    </w:p>
    <w:p>
      <w:pPr>
        <w:rPr>
          <w:color w:val="auto"/>
          <w:szCs w:val="22"/>
          <w:highlight w:val="none"/>
        </w:rPr>
      </w:pPr>
    </w:p>
    <w:p>
      <w:pPr>
        <w:adjustRightInd w:val="0"/>
        <w:spacing w:line="420" w:lineRule="atLeast"/>
        <w:textAlignment w:val="baseline"/>
        <w:rPr>
          <w:rFonts w:ascii="宋体" w:hAnsi="Courier New"/>
          <w:b/>
          <w:color w:val="auto"/>
          <w:highlight w:val="none"/>
        </w:rPr>
      </w:pPr>
    </w:p>
    <w:p>
      <w:pPr>
        <w:spacing w:after="120"/>
        <w:rPr>
          <w:b/>
          <w:color w:val="auto"/>
          <w:szCs w:val="22"/>
          <w:highlight w:val="none"/>
        </w:rPr>
      </w:pPr>
    </w:p>
    <w:p>
      <w:pPr>
        <w:spacing w:line="360" w:lineRule="auto"/>
        <w:ind w:firstLine="422" w:firstLineChars="200"/>
        <w:rPr>
          <w:b/>
          <w:color w:val="auto"/>
          <w:szCs w:val="22"/>
          <w:highlight w:val="none"/>
        </w:rPr>
      </w:pPr>
    </w:p>
    <w:p>
      <w:pPr>
        <w:spacing w:line="360" w:lineRule="auto"/>
        <w:ind w:firstLine="422" w:firstLineChars="200"/>
        <w:rPr>
          <w:b/>
          <w:color w:val="auto"/>
          <w:szCs w:val="22"/>
          <w:highlight w:val="none"/>
        </w:rPr>
      </w:pPr>
    </w:p>
    <w:p>
      <w:pPr>
        <w:spacing w:line="360" w:lineRule="auto"/>
        <w:ind w:firstLine="422" w:firstLineChars="200"/>
        <w:rPr>
          <w:b/>
          <w:color w:val="auto"/>
          <w:szCs w:val="22"/>
          <w:highlight w:val="none"/>
        </w:rPr>
      </w:pPr>
    </w:p>
    <w:p>
      <w:pPr>
        <w:spacing w:line="360" w:lineRule="auto"/>
        <w:ind w:firstLine="422" w:firstLineChars="200"/>
        <w:rPr>
          <w:b/>
          <w:color w:val="auto"/>
          <w:szCs w:val="22"/>
          <w:highlight w:val="none"/>
        </w:rPr>
      </w:pPr>
    </w:p>
    <w:p>
      <w:pPr>
        <w:spacing w:line="360" w:lineRule="auto"/>
        <w:ind w:firstLine="422" w:firstLineChars="200"/>
        <w:rPr>
          <w:b/>
          <w:color w:val="auto"/>
          <w:szCs w:val="22"/>
          <w:highlight w:val="none"/>
        </w:rPr>
      </w:pPr>
    </w:p>
    <w:p>
      <w:pPr>
        <w:keepNext/>
        <w:keepLines/>
        <w:spacing w:before="240" w:after="240" w:line="360" w:lineRule="auto"/>
        <w:jc w:val="left"/>
        <w:outlineLvl w:val="2"/>
        <w:rPr>
          <w:rFonts w:eastAsia="黑体"/>
          <w:b/>
          <w:color w:val="auto"/>
          <w:sz w:val="28"/>
          <w:szCs w:val="22"/>
          <w:highlight w:val="none"/>
        </w:rPr>
      </w:pPr>
      <w:r>
        <w:rPr>
          <w:rFonts w:hint="eastAsia" w:eastAsia="黑体"/>
          <w:b/>
          <w:color w:val="auto"/>
          <w:sz w:val="28"/>
          <w:szCs w:val="22"/>
          <w:highlight w:val="none"/>
        </w:rPr>
        <w:t>1.4具有独立承担民事责任能力的证明材料</w:t>
      </w:r>
    </w:p>
    <w:p>
      <w:pPr>
        <w:spacing w:line="360" w:lineRule="auto"/>
        <w:jc w:val="center"/>
        <w:rPr>
          <w:rFonts w:ascii="华文中宋" w:hAnsi="华文中宋" w:eastAsia="华文中宋"/>
          <w:b/>
          <w:color w:val="auto"/>
          <w:sz w:val="44"/>
          <w:szCs w:val="44"/>
          <w:highlight w:val="none"/>
        </w:rPr>
      </w:pPr>
      <w:r>
        <w:rPr>
          <w:rFonts w:hint="eastAsia" w:ascii="华文中宋" w:hAnsi="华文中宋" w:eastAsia="华文中宋"/>
          <w:b/>
          <w:color w:val="auto"/>
          <w:sz w:val="44"/>
          <w:szCs w:val="44"/>
          <w:highlight w:val="none"/>
        </w:rPr>
        <w:t>企业法人营业执照</w:t>
      </w:r>
    </w:p>
    <w:tbl>
      <w:tblPr>
        <w:tblStyle w:val="38"/>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rPr>
                <w:rFonts w:ascii="仿宋" w:hAnsi="仿宋" w:eastAsia="仿宋"/>
                <w:b/>
                <w:color w:val="auto"/>
                <w:szCs w:val="22"/>
                <w:highlight w:val="none"/>
              </w:rPr>
            </w:pPr>
            <w:r>
              <w:rPr>
                <w:rFonts w:hint="eastAsia" w:ascii="仿宋" w:hAnsi="仿宋" w:eastAsia="仿宋" w:cs="Arial"/>
                <w:b/>
                <w:color w:val="auto"/>
                <w:szCs w:val="22"/>
                <w:highlight w:val="none"/>
              </w:rPr>
              <w:t>资格要求：</w:t>
            </w:r>
            <w:r>
              <w:rPr>
                <w:rFonts w:hint="eastAsia" w:ascii="仿宋" w:hAnsi="仿宋" w:eastAsia="仿宋"/>
                <w:b/>
                <w:color w:val="auto"/>
                <w:szCs w:val="22"/>
                <w:highlight w:val="none"/>
              </w:rPr>
              <w:t>具有独立承担民事责任能力</w:t>
            </w:r>
          </w:p>
          <w:p>
            <w:pPr>
              <w:spacing w:line="276" w:lineRule="auto"/>
              <w:rPr>
                <w:rFonts w:ascii="仿宋" w:hAnsi="仿宋" w:eastAsia="仿宋"/>
                <w:b/>
                <w:color w:val="auto"/>
                <w:szCs w:val="22"/>
                <w:highlight w:val="none"/>
              </w:rPr>
            </w:pPr>
          </w:p>
          <w:p>
            <w:pPr>
              <w:spacing w:line="276" w:lineRule="auto"/>
              <w:rPr>
                <w:rFonts w:ascii="仿宋" w:hAnsi="仿宋" w:eastAsia="仿宋"/>
                <w:color w:val="auto"/>
                <w:szCs w:val="22"/>
                <w:highlight w:val="none"/>
              </w:rPr>
            </w:pPr>
            <w:r>
              <w:rPr>
                <w:rFonts w:hint="eastAsia" w:ascii="仿宋" w:hAnsi="仿宋" w:eastAsia="仿宋"/>
                <w:b/>
                <w:color w:val="auto"/>
                <w:szCs w:val="22"/>
                <w:highlight w:val="none"/>
              </w:rPr>
              <w:t>证明材料：</w:t>
            </w:r>
            <w:r>
              <w:rPr>
                <w:rFonts w:hint="eastAsia" w:ascii="仿宋" w:hAnsi="仿宋" w:eastAsia="仿宋"/>
                <w:b/>
                <w:color w:val="auto"/>
                <w:szCs w:val="22"/>
                <w:highlight w:val="none"/>
                <w:u w:val="single"/>
              </w:rPr>
              <w:t>企业营业执照</w:t>
            </w:r>
            <w:r>
              <w:rPr>
                <w:rFonts w:hint="eastAsia" w:ascii="仿宋" w:hAnsi="仿宋" w:eastAsia="仿宋"/>
                <w:color w:val="auto"/>
                <w:szCs w:val="22"/>
                <w:highlight w:val="none"/>
              </w:rPr>
              <w:t>（提供</w:t>
            </w:r>
            <w:r>
              <w:rPr>
                <w:rFonts w:hint="eastAsia" w:ascii="仿宋" w:hAnsi="仿宋" w:eastAsia="仿宋" w:cs="Arial"/>
                <w:color w:val="auto"/>
                <w:szCs w:val="22"/>
                <w:highlight w:val="none"/>
              </w:rPr>
              <w:t>复制件</w:t>
            </w:r>
            <w:r>
              <w:rPr>
                <w:rFonts w:hint="eastAsia" w:ascii="仿宋" w:hAnsi="仿宋" w:eastAsia="仿宋"/>
                <w:color w:val="auto"/>
                <w:szCs w:val="22"/>
                <w:highlight w:val="none"/>
              </w:rPr>
              <w:t>加盖供应商公章）或</w:t>
            </w:r>
            <w:r>
              <w:rPr>
                <w:rFonts w:hint="eastAsia" w:ascii="仿宋" w:hAnsi="仿宋" w:eastAsia="仿宋"/>
                <w:b/>
                <w:color w:val="auto"/>
                <w:szCs w:val="22"/>
                <w:highlight w:val="none"/>
                <w:u w:val="single"/>
              </w:rPr>
              <w:t>供应商为依法允许经营的事业单位的，应提交事业单位法人证书</w:t>
            </w:r>
            <w:r>
              <w:rPr>
                <w:rFonts w:hint="eastAsia" w:ascii="仿宋" w:hAnsi="仿宋" w:eastAsia="仿宋"/>
                <w:color w:val="auto"/>
                <w:szCs w:val="22"/>
                <w:highlight w:val="none"/>
              </w:rPr>
              <w:t>（提供复制件加盖供应商公章）</w:t>
            </w:r>
          </w:p>
          <w:p>
            <w:pPr>
              <w:spacing w:line="276" w:lineRule="auto"/>
              <w:rPr>
                <w:rFonts w:ascii="仿宋" w:hAnsi="仿宋" w:eastAsia="仿宋"/>
                <w:color w:val="auto"/>
                <w:szCs w:val="22"/>
                <w:highlight w:val="none"/>
              </w:rPr>
            </w:pPr>
          </w:p>
          <w:p>
            <w:pPr>
              <w:spacing w:line="360" w:lineRule="auto"/>
              <w:rPr>
                <w:rFonts w:ascii="仿宋" w:hAnsi="仿宋" w:eastAsia="仿宋" w:cs="Arial"/>
                <w:color w:val="auto"/>
                <w:szCs w:val="22"/>
                <w:highlight w:val="none"/>
              </w:rPr>
            </w:pPr>
            <w:r>
              <w:rPr>
                <w:rFonts w:hint="eastAsia" w:ascii="仿宋" w:hAnsi="仿宋" w:eastAsia="仿宋"/>
                <w:color w:val="auto"/>
                <w:szCs w:val="22"/>
                <w:highlight w:val="none"/>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color w:val="auto"/>
                <w:szCs w:val="22"/>
                <w:highlight w:val="none"/>
              </w:rPr>
              <w:t>总公司（总机构）授权书或房产权证或其他有效财产证明材料（</w:t>
            </w:r>
            <w:r>
              <w:rPr>
                <w:rFonts w:hint="eastAsia" w:ascii="仿宋" w:hAnsi="仿宋" w:eastAsia="仿宋"/>
                <w:color w:val="auto"/>
                <w:szCs w:val="22"/>
                <w:highlight w:val="none"/>
              </w:rPr>
              <w:t>提供</w:t>
            </w:r>
            <w:r>
              <w:rPr>
                <w:rFonts w:hint="eastAsia" w:ascii="仿宋" w:hAnsi="仿宋" w:eastAsia="仿宋" w:cs="Arial"/>
                <w:color w:val="auto"/>
                <w:szCs w:val="22"/>
                <w:highlight w:val="none"/>
              </w:rPr>
              <w:t>复制件</w:t>
            </w:r>
            <w:r>
              <w:rPr>
                <w:rFonts w:hint="eastAsia" w:ascii="仿宋" w:hAnsi="仿宋" w:eastAsia="仿宋"/>
                <w:color w:val="auto"/>
                <w:szCs w:val="22"/>
                <w:highlight w:val="none"/>
              </w:rPr>
              <w:t>加盖供应商公章</w:t>
            </w:r>
            <w:r>
              <w:rPr>
                <w:rFonts w:hint="eastAsia" w:ascii="仿宋" w:hAnsi="仿宋" w:eastAsia="仿宋" w:cs="Arial"/>
                <w:color w:val="auto"/>
                <w:szCs w:val="22"/>
                <w:highlight w:val="none"/>
              </w:rPr>
              <w:t>）。</w:t>
            </w:r>
          </w:p>
        </w:tc>
      </w:tr>
    </w:tbl>
    <w:p>
      <w:pPr>
        <w:snapToGrid w:val="0"/>
        <w:spacing w:line="460" w:lineRule="atLeast"/>
        <w:rPr>
          <w:color w:val="auto"/>
          <w:sz w:val="30"/>
          <w:szCs w:val="22"/>
          <w:highlight w:val="none"/>
        </w:rPr>
      </w:pPr>
    </w:p>
    <w:p>
      <w:pPr>
        <w:keepNext/>
        <w:keepLines/>
        <w:spacing w:before="240" w:after="240" w:line="360" w:lineRule="auto"/>
        <w:jc w:val="left"/>
        <w:outlineLvl w:val="2"/>
        <w:rPr>
          <w:rFonts w:eastAsia="黑体"/>
          <w:b/>
          <w:color w:val="auto"/>
          <w:sz w:val="28"/>
          <w:szCs w:val="22"/>
          <w:highlight w:val="none"/>
        </w:rPr>
      </w:pPr>
      <w:r>
        <w:rPr>
          <w:rFonts w:hint="eastAsia" w:eastAsia="黑体"/>
          <w:b/>
          <w:color w:val="auto"/>
          <w:sz w:val="28"/>
          <w:szCs w:val="22"/>
          <w:highlight w:val="none"/>
        </w:rPr>
        <w:t>1.5具有良好的商业信誉和健全的财务会计制度的证明材料</w:t>
      </w:r>
    </w:p>
    <w:p>
      <w:pPr>
        <w:spacing w:line="360" w:lineRule="auto"/>
        <w:jc w:val="center"/>
        <w:rPr>
          <w:rFonts w:ascii="华文中宋" w:hAnsi="华文中宋" w:eastAsia="华文中宋"/>
          <w:b/>
          <w:color w:val="auto"/>
          <w:sz w:val="44"/>
          <w:szCs w:val="44"/>
          <w:highlight w:val="none"/>
        </w:rPr>
      </w:pPr>
      <w:r>
        <w:rPr>
          <w:rFonts w:hint="eastAsia" w:ascii="华文中宋" w:hAnsi="华文中宋" w:eastAsia="华文中宋"/>
          <w:b/>
          <w:color w:val="auto"/>
          <w:sz w:val="44"/>
          <w:szCs w:val="44"/>
          <w:highlight w:val="none"/>
        </w:rPr>
        <w:t>最近一年度财务报告</w:t>
      </w:r>
    </w:p>
    <w:tbl>
      <w:tblPr>
        <w:tblStyle w:val="38"/>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9207" w:hRule="atLeast"/>
        </w:trPr>
        <w:tc>
          <w:tcPr>
            <w:tcW w:w="9145" w:type="dxa"/>
            <w:vAlign w:val="center"/>
          </w:tcPr>
          <w:p>
            <w:pPr>
              <w:spacing w:line="360" w:lineRule="auto"/>
              <w:rPr>
                <w:rFonts w:ascii="仿宋" w:hAnsi="仿宋" w:eastAsia="仿宋"/>
                <w:b/>
                <w:color w:val="auto"/>
                <w:szCs w:val="22"/>
                <w:highlight w:val="none"/>
              </w:rPr>
            </w:pPr>
            <w:r>
              <w:rPr>
                <w:rFonts w:hint="eastAsia" w:ascii="仿宋" w:hAnsi="仿宋" w:eastAsia="仿宋" w:cs="Arial"/>
                <w:b/>
                <w:color w:val="auto"/>
                <w:szCs w:val="22"/>
                <w:highlight w:val="none"/>
              </w:rPr>
              <w:t>资格要求：</w:t>
            </w:r>
            <w:r>
              <w:rPr>
                <w:rFonts w:hint="eastAsia" w:ascii="仿宋" w:hAnsi="仿宋" w:eastAsia="仿宋"/>
                <w:b/>
                <w:color w:val="auto"/>
                <w:szCs w:val="22"/>
                <w:highlight w:val="none"/>
              </w:rPr>
              <w:t>具有良好的商业信誉和健全的财务会计制度</w:t>
            </w:r>
          </w:p>
          <w:p>
            <w:pPr>
              <w:spacing w:line="360" w:lineRule="auto"/>
              <w:rPr>
                <w:rFonts w:ascii="仿宋" w:hAnsi="仿宋" w:eastAsia="仿宋"/>
                <w:b/>
                <w:color w:val="auto"/>
                <w:szCs w:val="22"/>
                <w:highlight w:val="none"/>
              </w:rPr>
            </w:pPr>
          </w:p>
          <w:p>
            <w:pPr>
              <w:spacing w:line="360" w:lineRule="auto"/>
              <w:rPr>
                <w:rFonts w:ascii="仿宋" w:hAnsi="仿宋" w:eastAsia="仿宋"/>
                <w:b/>
                <w:color w:val="auto"/>
                <w:szCs w:val="22"/>
                <w:highlight w:val="none"/>
                <w:u w:val="single"/>
              </w:rPr>
            </w:pPr>
            <w:r>
              <w:rPr>
                <w:rFonts w:hint="eastAsia" w:ascii="仿宋" w:hAnsi="仿宋" w:eastAsia="仿宋"/>
                <w:b/>
                <w:color w:val="auto"/>
                <w:szCs w:val="22"/>
                <w:highlight w:val="none"/>
              </w:rPr>
              <w:t>证明材料：最近一年度财务报告或审计机构审计的财务会计报表（包括资产负债表、现金流量表、利润表和财务情况说明书的复印件或银行资信证明。）</w:t>
            </w:r>
          </w:p>
          <w:p>
            <w:pPr>
              <w:spacing w:line="360" w:lineRule="auto"/>
              <w:rPr>
                <w:rFonts w:ascii="仿宋" w:hAnsi="仿宋" w:eastAsia="仿宋" w:cs="Arial"/>
                <w:b/>
                <w:i/>
                <w:color w:val="auto"/>
                <w:szCs w:val="22"/>
                <w:highlight w:val="none"/>
              </w:rPr>
            </w:pPr>
            <w:r>
              <w:rPr>
                <w:rFonts w:hint="eastAsia" w:ascii="仿宋" w:hAnsi="仿宋" w:eastAsia="仿宋"/>
                <w:color w:val="auto"/>
                <w:szCs w:val="22"/>
                <w:highlight w:val="none"/>
              </w:rPr>
              <w:t>（供应商成立时间未满一年的可以不提供，提供</w:t>
            </w:r>
            <w:r>
              <w:rPr>
                <w:rFonts w:hint="eastAsia" w:ascii="仿宋" w:hAnsi="仿宋" w:eastAsia="仿宋" w:cs="Arial"/>
                <w:color w:val="auto"/>
                <w:szCs w:val="22"/>
                <w:highlight w:val="none"/>
              </w:rPr>
              <w:t>复制件</w:t>
            </w:r>
            <w:r>
              <w:rPr>
                <w:rFonts w:hint="eastAsia" w:ascii="仿宋" w:hAnsi="仿宋" w:eastAsia="仿宋"/>
                <w:color w:val="auto"/>
                <w:szCs w:val="22"/>
                <w:highlight w:val="none"/>
              </w:rPr>
              <w:t>加盖供应商公章）</w:t>
            </w:r>
          </w:p>
          <w:p>
            <w:pPr>
              <w:spacing w:line="360" w:lineRule="auto"/>
              <w:jc w:val="center"/>
              <w:rPr>
                <w:rFonts w:ascii="仿宋" w:hAnsi="仿宋" w:eastAsia="仿宋" w:cs="Arial"/>
                <w:b/>
                <w:i/>
                <w:color w:val="auto"/>
                <w:szCs w:val="21"/>
                <w:highlight w:val="none"/>
              </w:rPr>
            </w:pPr>
          </w:p>
        </w:tc>
      </w:tr>
    </w:tbl>
    <w:p>
      <w:pPr>
        <w:snapToGrid w:val="0"/>
        <w:spacing w:line="460" w:lineRule="atLeast"/>
        <w:rPr>
          <w:color w:val="auto"/>
          <w:sz w:val="30"/>
          <w:szCs w:val="22"/>
          <w:highlight w:val="none"/>
        </w:rPr>
      </w:pPr>
    </w:p>
    <w:p>
      <w:pPr>
        <w:snapToGrid w:val="0"/>
        <w:spacing w:line="460" w:lineRule="atLeast"/>
        <w:rPr>
          <w:color w:val="auto"/>
          <w:sz w:val="30"/>
          <w:szCs w:val="22"/>
          <w:highlight w:val="none"/>
        </w:rPr>
      </w:pPr>
    </w:p>
    <w:p>
      <w:pPr>
        <w:snapToGrid w:val="0"/>
        <w:spacing w:line="460" w:lineRule="atLeast"/>
        <w:rPr>
          <w:color w:val="auto"/>
          <w:sz w:val="30"/>
          <w:szCs w:val="22"/>
          <w:highlight w:val="none"/>
        </w:rPr>
      </w:pPr>
    </w:p>
    <w:p>
      <w:pPr>
        <w:snapToGrid w:val="0"/>
        <w:spacing w:line="460" w:lineRule="atLeast"/>
        <w:rPr>
          <w:color w:val="auto"/>
          <w:sz w:val="30"/>
          <w:szCs w:val="22"/>
          <w:highlight w:val="none"/>
        </w:rPr>
      </w:pPr>
    </w:p>
    <w:p>
      <w:pPr>
        <w:rPr>
          <w:color w:val="auto"/>
          <w:sz w:val="30"/>
          <w:szCs w:val="22"/>
          <w:highlight w:val="none"/>
        </w:rPr>
      </w:pPr>
    </w:p>
    <w:p>
      <w:pPr>
        <w:rPr>
          <w:color w:val="auto"/>
          <w:sz w:val="30"/>
          <w:szCs w:val="22"/>
          <w:highlight w:val="none"/>
        </w:rPr>
      </w:pPr>
    </w:p>
    <w:p>
      <w:pPr>
        <w:keepNext/>
        <w:keepLines/>
        <w:spacing w:before="240" w:after="240" w:line="360" w:lineRule="auto"/>
        <w:jc w:val="left"/>
        <w:outlineLvl w:val="2"/>
        <w:rPr>
          <w:rFonts w:eastAsia="黑体"/>
          <w:b/>
          <w:color w:val="auto"/>
          <w:sz w:val="28"/>
          <w:szCs w:val="22"/>
          <w:highlight w:val="none"/>
        </w:rPr>
      </w:pPr>
      <w:r>
        <w:rPr>
          <w:rFonts w:hint="eastAsia" w:eastAsia="黑体"/>
          <w:b/>
          <w:color w:val="auto"/>
          <w:sz w:val="28"/>
          <w:szCs w:val="22"/>
          <w:highlight w:val="none"/>
        </w:rPr>
        <w:t>1.6具有履行合同所必需的设备和专业技术能力的承诺函：</w:t>
      </w:r>
      <w:r>
        <w:rPr>
          <w:rFonts w:eastAsia="黑体"/>
          <w:b/>
          <w:color w:val="auto"/>
          <w:sz w:val="28"/>
          <w:szCs w:val="22"/>
          <w:highlight w:val="none"/>
        </w:rPr>
        <w:t xml:space="preserve"> </w:t>
      </w:r>
    </w:p>
    <w:p>
      <w:pPr>
        <w:spacing w:line="360" w:lineRule="auto"/>
        <w:rPr>
          <w:color w:val="auto"/>
          <w:szCs w:val="22"/>
          <w:highlight w:val="none"/>
        </w:rPr>
      </w:pPr>
    </w:p>
    <w:p>
      <w:pPr>
        <w:spacing w:line="360" w:lineRule="auto"/>
        <w:jc w:val="center"/>
        <w:rPr>
          <w:rFonts w:ascii="华文中宋" w:hAnsi="华文中宋" w:eastAsia="华文中宋" w:cs="Arial"/>
          <w:b/>
          <w:color w:val="auto"/>
          <w:w w:val="80"/>
          <w:sz w:val="40"/>
          <w:szCs w:val="40"/>
          <w:highlight w:val="none"/>
        </w:rPr>
      </w:pPr>
      <w:r>
        <w:rPr>
          <w:rFonts w:hint="eastAsia" w:ascii="华文中宋" w:hAnsi="华文中宋" w:eastAsia="华文中宋" w:cs="Arial"/>
          <w:b/>
          <w:color w:val="auto"/>
          <w:w w:val="80"/>
          <w:sz w:val="40"/>
          <w:szCs w:val="40"/>
          <w:highlight w:val="none"/>
        </w:rPr>
        <w:t>供应商具有履行合同所必需的设备和专业技术能力的承诺函</w:t>
      </w:r>
    </w:p>
    <w:p>
      <w:pPr>
        <w:spacing w:line="360" w:lineRule="auto"/>
        <w:rPr>
          <w:rFonts w:ascii="华文中宋" w:hAnsi="华文中宋" w:eastAsia="华文中宋" w:cs="Arial"/>
          <w:b/>
          <w:color w:val="auto"/>
          <w:szCs w:val="28"/>
          <w:highlight w:val="none"/>
          <w:u w:val="single"/>
        </w:rPr>
      </w:pPr>
    </w:p>
    <w:p>
      <w:pPr>
        <w:spacing w:line="360" w:lineRule="auto"/>
        <w:rPr>
          <w:rFonts w:ascii="仿宋" w:hAnsi="仿宋" w:eastAsia="仿宋" w:cs="Arial"/>
          <w:b/>
          <w:color w:val="auto"/>
          <w:sz w:val="28"/>
          <w:szCs w:val="28"/>
          <w:highlight w:val="none"/>
          <w:u w:val="single"/>
        </w:rPr>
      </w:pPr>
      <w:r>
        <w:rPr>
          <w:rFonts w:hint="eastAsia" w:ascii="仿宋" w:hAnsi="仿宋" w:eastAsia="仿宋" w:cs="Arial"/>
          <w:b/>
          <w:color w:val="auto"/>
          <w:w w:val="90"/>
          <w:sz w:val="28"/>
          <w:szCs w:val="22"/>
          <w:highlight w:val="none"/>
          <w:u w:val="single"/>
        </w:rPr>
        <w:t>苍南县人民医院：</w:t>
      </w:r>
    </w:p>
    <w:p>
      <w:pPr>
        <w:spacing w:line="360" w:lineRule="auto"/>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我方郑重声明，我方具有履行</w:t>
      </w:r>
      <w:r>
        <w:rPr>
          <w:rFonts w:hint="eastAsia" w:ascii="仿宋" w:hAnsi="仿宋" w:eastAsia="仿宋" w:cs="Arial"/>
          <w:b/>
          <w:color w:val="auto"/>
          <w:sz w:val="28"/>
          <w:szCs w:val="28"/>
          <w:highlight w:val="none"/>
          <w:u w:val="single"/>
        </w:rPr>
        <w:t>苍南县人民医院布品租赁及洗涤服务项目（项目编号：           ）</w:t>
      </w:r>
      <w:r>
        <w:rPr>
          <w:rFonts w:hint="eastAsia" w:ascii="仿宋" w:hAnsi="仿宋" w:eastAsia="仿宋" w:cs="Arial"/>
          <w:color w:val="auto"/>
          <w:sz w:val="28"/>
          <w:szCs w:val="28"/>
          <w:highlight w:val="none"/>
        </w:rPr>
        <w:t>合同所必需的设备和专业技术能力，如中标，我方将按我方响应文件承诺，保证合同顺利履行。如有虚假或隐瞒，愿意承担一切后果。</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特此承诺</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供应商名称（盖章）：</w:t>
      </w:r>
      <w:r>
        <w:rPr>
          <w:rFonts w:ascii="仿宋" w:hAnsi="仿宋" w:eastAsia="仿宋" w:cs="Arial"/>
          <w:color w:val="auto"/>
          <w:w w:val="90"/>
          <w:sz w:val="28"/>
          <w:szCs w:val="28"/>
          <w:highlight w:val="none"/>
        </w:rPr>
        <w:t>__________________________________________</w:t>
      </w:r>
    </w:p>
    <w:p>
      <w:pPr>
        <w:snapToGrid w:val="0"/>
        <w:spacing w:line="360" w:lineRule="auto"/>
        <w:rPr>
          <w:rFonts w:ascii="仿宋" w:hAnsi="仿宋" w:eastAsia="仿宋" w:cs="Arial"/>
          <w:color w:val="auto"/>
          <w:sz w:val="28"/>
          <w:szCs w:val="28"/>
          <w:highlight w:val="none"/>
          <w:u w:val="single"/>
        </w:rPr>
      </w:pPr>
      <w:r>
        <w:rPr>
          <w:rFonts w:hint="eastAsia" w:ascii="仿宋" w:hAnsi="仿宋" w:eastAsia="仿宋" w:cs="Arial"/>
          <w:color w:val="auto"/>
          <w:sz w:val="28"/>
          <w:szCs w:val="28"/>
          <w:highlight w:val="none"/>
        </w:rPr>
        <w:t>法定代表人或其授权代表（签字或盖章）：</w:t>
      </w:r>
      <w:r>
        <w:rPr>
          <w:rFonts w:ascii="仿宋" w:hAnsi="仿宋" w:eastAsia="仿宋" w:cs="Arial"/>
          <w:color w:val="auto"/>
          <w:w w:val="90"/>
          <w:sz w:val="28"/>
          <w:szCs w:val="28"/>
          <w:highlight w:val="none"/>
        </w:rPr>
        <w:t>___________________________</w:t>
      </w:r>
    </w:p>
    <w:p>
      <w:pPr>
        <w:snapToGrid w:val="0"/>
        <w:spacing w:line="360" w:lineRule="auto"/>
        <w:rPr>
          <w:rFonts w:ascii="Arial" w:hAnsi="Arial" w:cs="Arial"/>
          <w:color w:val="auto"/>
          <w:sz w:val="22"/>
          <w:szCs w:val="22"/>
          <w:highlight w:val="none"/>
          <w:u w:val="single"/>
        </w:rPr>
      </w:pPr>
      <w:r>
        <w:rPr>
          <w:rFonts w:hint="eastAsia" w:ascii="仿宋" w:hAnsi="仿宋" w:eastAsia="仿宋" w:cs="Arial"/>
          <w:color w:val="auto"/>
          <w:sz w:val="28"/>
          <w:szCs w:val="28"/>
          <w:highlight w:val="none"/>
        </w:rPr>
        <w:t>日期：</w:t>
      </w:r>
      <w:r>
        <w:rPr>
          <w:rFonts w:ascii="仿宋" w:hAnsi="仿宋" w:eastAsia="仿宋" w:cs="Arial"/>
          <w:color w:val="auto"/>
          <w:w w:val="90"/>
          <w:sz w:val="28"/>
          <w:szCs w:val="28"/>
          <w:highlight w:val="none"/>
        </w:rPr>
        <w:t>________</w:t>
      </w:r>
      <w:r>
        <w:rPr>
          <w:rFonts w:hint="eastAsia" w:ascii="仿宋" w:hAnsi="仿宋" w:eastAsia="仿宋" w:cs="Arial"/>
          <w:color w:val="auto"/>
          <w:w w:val="90"/>
          <w:sz w:val="28"/>
          <w:szCs w:val="28"/>
          <w:highlight w:val="none"/>
        </w:rPr>
        <w:t>年</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月</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日</w:t>
      </w:r>
    </w:p>
    <w:p>
      <w:pPr>
        <w:snapToGrid w:val="0"/>
        <w:spacing w:line="460" w:lineRule="atLeast"/>
        <w:rPr>
          <w:color w:val="auto"/>
          <w:sz w:val="30"/>
          <w:szCs w:val="22"/>
          <w:highlight w:val="none"/>
        </w:rPr>
      </w:pPr>
    </w:p>
    <w:p>
      <w:pPr>
        <w:keepNext/>
        <w:keepLines/>
        <w:widowControl/>
        <w:spacing w:line="360" w:lineRule="auto"/>
        <w:outlineLvl w:val="0"/>
        <w:rPr>
          <w:rFonts w:ascii="Arial" w:hAnsi="Arial" w:cs="Arial"/>
          <w:b/>
          <w:bCs/>
          <w:color w:val="auto"/>
          <w:sz w:val="30"/>
          <w:szCs w:val="32"/>
          <w:highlight w:val="none"/>
        </w:rPr>
      </w:pPr>
    </w:p>
    <w:p>
      <w:pPr>
        <w:rPr>
          <w:color w:val="auto"/>
          <w:sz w:val="30"/>
          <w:szCs w:val="22"/>
          <w:highlight w:val="none"/>
        </w:rPr>
      </w:pPr>
    </w:p>
    <w:p>
      <w:pPr>
        <w:keepNext/>
        <w:keepLines/>
        <w:widowControl/>
        <w:spacing w:line="360" w:lineRule="auto"/>
        <w:outlineLvl w:val="0"/>
        <w:rPr>
          <w:rFonts w:ascii="Arial" w:hAnsi="Arial" w:cs="Arial"/>
          <w:b/>
          <w:bCs/>
          <w:color w:val="auto"/>
          <w:sz w:val="30"/>
          <w:szCs w:val="32"/>
          <w:highlight w:val="none"/>
        </w:rPr>
      </w:pPr>
    </w:p>
    <w:p>
      <w:pPr>
        <w:rPr>
          <w:color w:val="auto"/>
          <w:szCs w:val="22"/>
          <w:highlight w:val="none"/>
        </w:rPr>
      </w:pPr>
    </w:p>
    <w:p>
      <w:pPr>
        <w:rPr>
          <w:color w:val="auto"/>
          <w:sz w:val="30"/>
          <w:szCs w:val="22"/>
          <w:highlight w:val="none"/>
        </w:rPr>
      </w:pPr>
    </w:p>
    <w:p>
      <w:pPr>
        <w:keepNext/>
        <w:keepLines/>
        <w:spacing w:before="240" w:after="240" w:line="360" w:lineRule="auto"/>
        <w:jc w:val="left"/>
        <w:outlineLvl w:val="2"/>
        <w:rPr>
          <w:rFonts w:eastAsia="黑体"/>
          <w:b/>
          <w:color w:val="auto"/>
          <w:sz w:val="28"/>
          <w:szCs w:val="22"/>
          <w:highlight w:val="none"/>
        </w:rPr>
      </w:pPr>
      <w:r>
        <w:rPr>
          <w:rFonts w:hint="eastAsia" w:eastAsia="黑体"/>
          <w:b/>
          <w:color w:val="auto"/>
          <w:sz w:val="28"/>
          <w:szCs w:val="22"/>
          <w:highlight w:val="none"/>
        </w:rPr>
        <w:t>1.7有依法缴纳税收和社会保障金的良好记录的证明材料</w:t>
      </w:r>
    </w:p>
    <w:p>
      <w:pPr>
        <w:spacing w:line="360" w:lineRule="auto"/>
        <w:jc w:val="center"/>
        <w:rPr>
          <w:rFonts w:ascii="华文中宋" w:hAnsi="华文中宋" w:eastAsia="华文中宋" w:cs="Arial"/>
          <w:b/>
          <w:color w:val="auto"/>
          <w:w w:val="80"/>
          <w:sz w:val="44"/>
          <w:szCs w:val="44"/>
          <w:highlight w:val="none"/>
        </w:rPr>
      </w:pPr>
    </w:p>
    <w:p>
      <w:pPr>
        <w:snapToGrid w:val="0"/>
        <w:spacing w:line="360" w:lineRule="auto"/>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缴纳税收证明资料（提供下列之一证明材料）：</w:t>
      </w:r>
    </w:p>
    <w:p>
      <w:pPr>
        <w:autoSpaceDE w:val="0"/>
        <w:autoSpaceDN w:val="0"/>
        <w:adjustRightInd w:val="0"/>
        <w:snapToGrid w:val="0"/>
        <w:spacing w:line="430" w:lineRule="atLeast"/>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文件。</w:t>
      </w:r>
    </w:p>
    <w:p>
      <w:pPr>
        <w:spacing w:after="120"/>
        <w:ind w:left="420" w:leftChars="200" w:right="210"/>
        <w:rPr>
          <w:b/>
          <w:color w:val="auto"/>
          <w:sz w:val="22"/>
          <w:szCs w:val="22"/>
          <w:highlight w:val="none"/>
        </w:rPr>
      </w:pPr>
    </w:p>
    <w:p>
      <w:pPr>
        <w:snapToGrid w:val="0"/>
        <w:spacing w:line="360" w:lineRule="auto"/>
        <w:ind w:firstLine="440" w:firstLineChars="20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4.2缴纳社会保险证明资料（提供下列之一证明材料）：</w:t>
      </w:r>
    </w:p>
    <w:p>
      <w:pPr>
        <w:spacing w:line="360" w:lineRule="auto"/>
        <w:ind w:firstLine="440" w:firstLineChars="200"/>
        <w:rPr>
          <w:rFonts w:ascii="仿宋" w:hAnsi="仿宋" w:eastAsia="仿宋" w:cs="Arial"/>
          <w:color w:val="auto"/>
          <w:sz w:val="22"/>
          <w:szCs w:val="22"/>
          <w:highlight w:val="none"/>
        </w:rPr>
      </w:pPr>
      <w:r>
        <w:rPr>
          <w:rFonts w:hint="eastAsia" w:ascii="仿宋" w:hAnsi="仿宋" w:eastAsia="仿宋" w:cs="仿宋"/>
          <w:color w:val="auto"/>
          <w:sz w:val="22"/>
          <w:szCs w:val="22"/>
          <w:highlight w:val="none"/>
        </w:rPr>
        <w:t>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文件。</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p>
    <w:p>
      <w:pPr>
        <w:keepNext/>
        <w:keepLines/>
        <w:widowControl/>
        <w:spacing w:line="360" w:lineRule="auto"/>
        <w:outlineLvl w:val="0"/>
        <w:rPr>
          <w:rFonts w:ascii="仿宋" w:hAnsi="仿宋" w:eastAsia="仿宋" w:cs="Arial"/>
          <w:b/>
          <w:bCs/>
          <w:color w:val="auto"/>
          <w:sz w:val="28"/>
          <w:szCs w:val="28"/>
          <w:highlight w:val="none"/>
        </w:rPr>
      </w:pPr>
      <w:r>
        <w:rPr>
          <w:rFonts w:hint="eastAsia" w:ascii="仿宋" w:hAnsi="仿宋" w:eastAsia="仿宋" w:cs="Arial"/>
          <w:b/>
          <w:bCs/>
          <w:color w:val="auto"/>
          <w:sz w:val="28"/>
          <w:szCs w:val="28"/>
          <w:highlight w:val="none"/>
        </w:rPr>
        <w:t>（提供复制件加盖供应商公章）</w:t>
      </w:r>
    </w:p>
    <w:p>
      <w:pPr>
        <w:rPr>
          <w:rFonts w:ascii="仿宋" w:hAnsi="仿宋" w:eastAsia="仿宋" w:cs="Arial"/>
          <w:color w:val="auto"/>
          <w:sz w:val="28"/>
          <w:szCs w:val="28"/>
          <w:highlight w:val="none"/>
        </w:rPr>
      </w:pPr>
    </w:p>
    <w:p>
      <w:pPr>
        <w:keepNext/>
        <w:keepLines/>
        <w:widowControl/>
        <w:spacing w:line="360" w:lineRule="auto"/>
        <w:outlineLvl w:val="0"/>
        <w:rPr>
          <w:rFonts w:ascii="仿宋" w:hAnsi="仿宋" w:eastAsia="仿宋" w:cs="Arial"/>
          <w:b/>
          <w:bCs/>
          <w:color w:val="auto"/>
          <w:sz w:val="28"/>
          <w:szCs w:val="28"/>
          <w:highlight w:val="none"/>
        </w:rPr>
      </w:pPr>
    </w:p>
    <w:p>
      <w:pPr>
        <w:rPr>
          <w:rFonts w:ascii="仿宋" w:hAnsi="仿宋" w:eastAsia="仿宋" w:cs="Arial"/>
          <w:color w:val="auto"/>
          <w:sz w:val="28"/>
          <w:szCs w:val="28"/>
          <w:highlight w:val="none"/>
        </w:rPr>
      </w:pPr>
    </w:p>
    <w:p>
      <w:pPr>
        <w:keepNext/>
        <w:keepLines/>
        <w:widowControl/>
        <w:spacing w:line="360" w:lineRule="auto"/>
        <w:outlineLvl w:val="0"/>
        <w:rPr>
          <w:rFonts w:ascii="仿宋" w:hAnsi="仿宋" w:eastAsia="仿宋" w:cs="Arial"/>
          <w:b/>
          <w:bCs/>
          <w:color w:val="auto"/>
          <w:sz w:val="28"/>
          <w:szCs w:val="28"/>
          <w:highlight w:val="none"/>
        </w:rPr>
      </w:pPr>
    </w:p>
    <w:p>
      <w:pPr>
        <w:rPr>
          <w:rFonts w:ascii="仿宋" w:hAnsi="仿宋" w:eastAsia="仿宋" w:cs="Arial"/>
          <w:color w:val="auto"/>
          <w:sz w:val="28"/>
          <w:szCs w:val="28"/>
          <w:highlight w:val="none"/>
        </w:rPr>
      </w:pPr>
    </w:p>
    <w:p>
      <w:pPr>
        <w:rPr>
          <w:rFonts w:ascii="仿宋" w:hAnsi="仿宋" w:eastAsia="仿宋" w:cs="Arial"/>
          <w:color w:val="auto"/>
          <w:sz w:val="28"/>
          <w:szCs w:val="28"/>
          <w:highlight w:val="none"/>
        </w:rPr>
      </w:pPr>
    </w:p>
    <w:p>
      <w:pPr>
        <w:rPr>
          <w:rFonts w:ascii="仿宋" w:hAnsi="仿宋" w:eastAsia="仿宋" w:cs="Arial"/>
          <w:color w:val="auto"/>
          <w:sz w:val="28"/>
          <w:szCs w:val="28"/>
          <w:highlight w:val="none"/>
        </w:rPr>
      </w:pPr>
    </w:p>
    <w:p>
      <w:pPr>
        <w:rPr>
          <w:rFonts w:ascii="仿宋" w:hAnsi="仿宋" w:eastAsia="仿宋" w:cs="Arial"/>
          <w:color w:val="auto"/>
          <w:sz w:val="28"/>
          <w:szCs w:val="28"/>
          <w:highlight w:val="none"/>
        </w:rPr>
      </w:pPr>
    </w:p>
    <w:p>
      <w:pPr>
        <w:rPr>
          <w:rFonts w:ascii="仿宋" w:hAnsi="仿宋" w:eastAsia="仿宋" w:cs="Arial"/>
          <w:color w:val="auto"/>
          <w:sz w:val="28"/>
          <w:szCs w:val="28"/>
          <w:highlight w:val="none"/>
        </w:rPr>
      </w:pPr>
    </w:p>
    <w:p>
      <w:pPr>
        <w:rPr>
          <w:rFonts w:ascii="仿宋" w:hAnsi="仿宋" w:eastAsia="仿宋" w:cs="Arial"/>
          <w:color w:val="auto"/>
          <w:sz w:val="28"/>
          <w:szCs w:val="28"/>
          <w:highlight w:val="none"/>
        </w:rPr>
      </w:pPr>
    </w:p>
    <w:p>
      <w:pPr>
        <w:rPr>
          <w:rFonts w:ascii="仿宋" w:hAnsi="仿宋" w:eastAsia="仿宋" w:cs="Arial"/>
          <w:color w:val="auto"/>
          <w:sz w:val="28"/>
          <w:szCs w:val="28"/>
          <w:highlight w:val="none"/>
        </w:rPr>
      </w:pPr>
    </w:p>
    <w:p>
      <w:pPr>
        <w:rPr>
          <w:rFonts w:ascii="仿宋" w:hAnsi="仿宋" w:eastAsia="仿宋" w:cs="Arial"/>
          <w:color w:val="auto"/>
          <w:sz w:val="28"/>
          <w:szCs w:val="28"/>
          <w:highlight w:val="none"/>
        </w:rPr>
      </w:pPr>
    </w:p>
    <w:p>
      <w:pPr>
        <w:rPr>
          <w:rFonts w:ascii="仿宋" w:hAnsi="仿宋" w:eastAsia="仿宋" w:cs="Arial"/>
          <w:color w:val="auto"/>
          <w:sz w:val="28"/>
          <w:szCs w:val="28"/>
          <w:highlight w:val="none"/>
        </w:rPr>
      </w:pPr>
    </w:p>
    <w:p>
      <w:pPr>
        <w:keepNext/>
        <w:keepLines/>
        <w:spacing w:before="240" w:after="240" w:line="360" w:lineRule="auto"/>
        <w:jc w:val="left"/>
        <w:outlineLvl w:val="2"/>
        <w:rPr>
          <w:rFonts w:eastAsia="黑体"/>
          <w:b/>
          <w:color w:val="auto"/>
          <w:sz w:val="28"/>
          <w:szCs w:val="22"/>
          <w:highlight w:val="none"/>
        </w:rPr>
      </w:pPr>
      <w:r>
        <w:rPr>
          <w:rFonts w:hint="eastAsia" w:eastAsia="黑体"/>
          <w:b/>
          <w:color w:val="auto"/>
          <w:sz w:val="28"/>
          <w:szCs w:val="28"/>
          <w:highlight w:val="none"/>
        </w:rPr>
        <w:t>1.8参加本次采购活动前三年内在经营活动中没有重大违法记录的承诺函</w:t>
      </w:r>
      <w:r>
        <w:rPr>
          <w:rFonts w:hint="eastAsia" w:eastAsia="黑体"/>
          <w:b/>
          <w:color w:val="auto"/>
          <w:sz w:val="28"/>
          <w:szCs w:val="22"/>
          <w:highlight w:val="none"/>
        </w:rPr>
        <w:t>：</w:t>
      </w:r>
    </w:p>
    <w:p>
      <w:pPr>
        <w:ind w:firstLine="389"/>
        <w:rPr>
          <w:color w:val="auto"/>
          <w:szCs w:val="22"/>
          <w:highlight w:val="none"/>
        </w:rPr>
      </w:pPr>
    </w:p>
    <w:p>
      <w:pPr>
        <w:spacing w:line="360" w:lineRule="auto"/>
        <w:jc w:val="center"/>
        <w:rPr>
          <w:rFonts w:ascii="华文中宋" w:hAnsi="华文中宋" w:eastAsia="华文中宋" w:cs="Arial"/>
          <w:b/>
          <w:color w:val="auto"/>
          <w:w w:val="80"/>
          <w:sz w:val="28"/>
          <w:szCs w:val="44"/>
          <w:highlight w:val="none"/>
        </w:rPr>
      </w:pPr>
      <w:r>
        <w:rPr>
          <w:rFonts w:hint="eastAsia" w:ascii="华文中宋" w:hAnsi="华文中宋" w:eastAsia="华文中宋" w:cs="Arial"/>
          <w:b/>
          <w:color w:val="auto"/>
          <w:w w:val="80"/>
          <w:sz w:val="40"/>
          <w:szCs w:val="40"/>
          <w:highlight w:val="none"/>
        </w:rPr>
        <w:t>参加本次政府采购项目前三年内在经营活动中没有重大违法记录的承诺函</w:t>
      </w:r>
    </w:p>
    <w:p>
      <w:pPr>
        <w:spacing w:line="360" w:lineRule="auto"/>
        <w:rPr>
          <w:rFonts w:ascii="仿宋" w:hAnsi="仿宋" w:eastAsia="仿宋" w:cs="Arial"/>
          <w:color w:val="auto"/>
          <w:sz w:val="28"/>
          <w:szCs w:val="28"/>
          <w:highlight w:val="none"/>
          <w:u w:val="single"/>
        </w:rPr>
      </w:pPr>
      <w:r>
        <w:rPr>
          <w:rFonts w:hint="eastAsia" w:ascii="仿宋" w:hAnsi="仿宋" w:eastAsia="仿宋" w:cs="Arial"/>
          <w:b/>
          <w:color w:val="auto"/>
          <w:w w:val="90"/>
          <w:sz w:val="28"/>
          <w:szCs w:val="22"/>
          <w:highlight w:val="none"/>
          <w:u w:val="single"/>
        </w:rPr>
        <w:t>苍南县人民医院：</w:t>
      </w:r>
    </w:p>
    <w:p>
      <w:pPr>
        <w:spacing w:line="360" w:lineRule="auto"/>
        <w:ind w:firstLine="548" w:firstLineChars="196"/>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我方</w:t>
      </w:r>
      <w:r>
        <w:rPr>
          <w:rFonts w:ascii="仿宋" w:hAnsi="仿宋" w:eastAsia="仿宋" w:cs="Arial"/>
          <w:color w:val="auto"/>
          <w:sz w:val="28"/>
          <w:szCs w:val="28"/>
          <w:highlight w:val="none"/>
          <w:u w:val="single"/>
        </w:rPr>
        <w:t xml:space="preserve">        </w:t>
      </w:r>
      <w:r>
        <w:rPr>
          <w:rFonts w:hint="eastAsia" w:ascii="仿宋" w:hAnsi="仿宋" w:eastAsia="仿宋" w:cs="Arial"/>
          <w:color w:val="auto"/>
          <w:sz w:val="28"/>
          <w:szCs w:val="28"/>
          <w:highlight w:val="none"/>
          <w:u w:val="single"/>
        </w:rPr>
        <w:t>（供应商名称）</w:t>
      </w:r>
      <w:r>
        <w:rPr>
          <w:rFonts w:ascii="仿宋" w:hAnsi="仿宋" w:eastAsia="仿宋" w:cs="Arial"/>
          <w:color w:val="auto"/>
          <w:sz w:val="28"/>
          <w:szCs w:val="28"/>
          <w:highlight w:val="none"/>
          <w:u w:val="single"/>
        </w:rPr>
        <w:t xml:space="preserve">             </w:t>
      </w:r>
      <w:r>
        <w:rPr>
          <w:rFonts w:hint="eastAsia" w:ascii="仿宋" w:hAnsi="仿宋" w:eastAsia="仿宋" w:cs="Arial"/>
          <w:color w:val="auto"/>
          <w:sz w:val="28"/>
          <w:szCs w:val="28"/>
          <w:highlight w:val="none"/>
        </w:rPr>
        <w:t>在参加</w:t>
      </w:r>
      <w:r>
        <w:rPr>
          <w:rFonts w:hint="eastAsia" w:ascii="仿宋" w:hAnsi="仿宋" w:eastAsia="仿宋" w:cs="Arial"/>
          <w:b/>
          <w:color w:val="auto"/>
          <w:sz w:val="28"/>
          <w:szCs w:val="28"/>
          <w:highlight w:val="none"/>
          <w:u w:val="single"/>
        </w:rPr>
        <w:t>苍南县人民医院布品租赁及洗涤服务项目（项目编号：         ）</w:t>
      </w:r>
      <w:r>
        <w:rPr>
          <w:rFonts w:hint="eastAsia" w:ascii="仿宋" w:hAnsi="仿宋" w:eastAsia="仿宋" w:cs="Arial"/>
          <w:color w:val="auto"/>
          <w:sz w:val="28"/>
          <w:szCs w:val="28"/>
          <w:highlight w:val="none"/>
        </w:rPr>
        <w:t>采购活动前三年内，在经营活动中没有重大违法记录（没有因违法经营受到刑事处罚，没有被责令停产停业、被吊销许可证或者执照、被处以较大数额罚款（处罚金额超叁万及以上的）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仿宋" w:hAnsi="仿宋" w:eastAsia="仿宋" w:cs="Arial"/>
          <w:color w:val="auto"/>
          <w:sz w:val="28"/>
          <w:szCs w:val="28"/>
          <w:highlight w:val="none"/>
        </w:rPr>
        <w:t>/</w:t>
      </w:r>
      <w:r>
        <w:rPr>
          <w:rFonts w:hint="eastAsia" w:ascii="仿宋" w:hAnsi="仿宋" w:eastAsia="仿宋" w:cs="Arial"/>
          <w:color w:val="auto"/>
          <w:sz w:val="28"/>
          <w:szCs w:val="28"/>
          <w:highlight w:val="none"/>
        </w:rPr>
        <w:t>谈判</w:t>
      </w:r>
      <w:r>
        <w:rPr>
          <w:rFonts w:ascii="仿宋" w:hAnsi="仿宋" w:eastAsia="仿宋" w:cs="Arial"/>
          <w:color w:val="auto"/>
          <w:sz w:val="28"/>
          <w:szCs w:val="28"/>
          <w:highlight w:val="none"/>
        </w:rPr>
        <w:t>/</w:t>
      </w:r>
      <w:r>
        <w:rPr>
          <w:rFonts w:hint="eastAsia" w:ascii="仿宋" w:hAnsi="仿宋" w:eastAsia="仿宋" w:cs="Arial"/>
          <w:color w:val="auto"/>
          <w:sz w:val="28"/>
          <w:szCs w:val="28"/>
          <w:highlight w:val="none"/>
        </w:rPr>
        <w:t>中标（成交）</w:t>
      </w:r>
      <w:r>
        <w:rPr>
          <w:rFonts w:ascii="仿宋" w:hAnsi="仿宋" w:eastAsia="仿宋" w:cs="Arial"/>
          <w:color w:val="auto"/>
          <w:sz w:val="28"/>
          <w:szCs w:val="28"/>
          <w:highlight w:val="none"/>
        </w:rPr>
        <w:t>/</w:t>
      </w:r>
      <w:r>
        <w:rPr>
          <w:rFonts w:hint="eastAsia" w:ascii="仿宋" w:hAnsi="仿宋" w:eastAsia="仿宋" w:cs="Arial"/>
          <w:color w:val="auto"/>
          <w:sz w:val="28"/>
          <w:szCs w:val="28"/>
          <w:highlight w:val="none"/>
        </w:rPr>
        <w:t>签订合同），我方对此无任何异议，并愿意承担一切后果和责任。</w:t>
      </w: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特此声明</w:t>
      </w:r>
    </w:p>
    <w:p>
      <w:pPr>
        <w:spacing w:line="360" w:lineRule="auto"/>
        <w:ind w:firstLine="560" w:firstLineChars="200"/>
        <w:rPr>
          <w:rFonts w:ascii="仿宋" w:hAnsi="仿宋" w:eastAsia="仿宋" w:cs="Arial"/>
          <w:color w:val="auto"/>
          <w:sz w:val="28"/>
          <w:szCs w:val="28"/>
          <w:highlight w:val="none"/>
        </w:rPr>
      </w:pP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供应商名称（盖章）：</w:t>
      </w:r>
      <w:r>
        <w:rPr>
          <w:rFonts w:ascii="仿宋" w:hAnsi="仿宋" w:eastAsia="仿宋" w:cs="Arial"/>
          <w:color w:val="auto"/>
          <w:w w:val="90"/>
          <w:sz w:val="28"/>
          <w:szCs w:val="28"/>
          <w:highlight w:val="none"/>
        </w:rPr>
        <w:t>__________________________________________</w:t>
      </w:r>
    </w:p>
    <w:p>
      <w:pPr>
        <w:snapToGrid w:val="0"/>
        <w:spacing w:line="360" w:lineRule="auto"/>
        <w:rPr>
          <w:rFonts w:ascii="仿宋" w:hAnsi="仿宋" w:eastAsia="仿宋" w:cs="Arial"/>
          <w:color w:val="auto"/>
          <w:sz w:val="28"/>
          <w:szCs w:val="28"/>
          <w:highlight w:val="none"/>
          <w:u w:val="single"/>
        </w:rPr>
      </w:pPr>
      <w:r>
        <w:rPr>
          <w:rFonts w:hint="eastAsia" w:ascii="仿宋" w:hAnsi="仿宋" w:eastAsia="仿宋" w:cs="Arial"/>
          <w:color w:val="auto"/>
          <w:sz w:val="28"/>
          <w:szCs w:val="28"/>
          <w:highlight w:val="none"/>
        </w:rPr>
        <w:t>法定代表人或其授权代表（签字或盖章）：</w:t>
      </w:r>
      <w:r>
        <w:rPr>
          <w:rFonts w:ascii="仿宋" w:hAnsi="仿宋" w:eastAsia="仿宋" w:cs="Arial"/>
          <w:color w:val="auto"/>
          <w:w w:val="90"/>
          <w:sz w:val="28"/>
          <w:szCs w:val="28"/>
          <w:highlight w:val="none"/>
        </w:rPr>
        <w:t>__________________________</w:t>
      </w:r>
    </w:p>
    <w:p>
      <w:pPr>
        <w:rPr>
          <w:rFonts w:ascii="仿宋" w:hAnsi="仿宋" w:eastAsia="仿宋" w:cs="Arial"/>
          <w:color w:val="auto"/>
          <w:w w:val="90"/>
          <w:sz w:val="28"/>
          <w:szCs w:val="28"/>
          <w:highlight w:val="none"/>
        </w:rPr>
      </w:pPr>
      <w:r>
        <w:rPr>
          <w:rFonts w:hint="eastAsia" w:ascii="仿宋" w:hAnsi="仿宋" w:eastAsia="仿宋" w:cs="Arial"/>
          <w:color w:val="auto"/>
          <w:sz w:val="28"/>
          <w:szCs w:val="28"/>
          <w:highlight w:val="none"/>
        </w:rPr>
        <w:t>日期：</w:t>
      </w:r>
      <w:r>
        <w:rPr>
          <w:rFonts w:ascii="仿宋" w:hAnsi="仿宋" w:eastAsia="仿宋" w:cs="Arial"/>
          <w:color w:val="auto"/>
          <w:w w:val="90"/>
          <w:sz w:val="28"/>
          <w:szCs w:val="28"/>
          <w:highlight w:val="none"/>
        </w:rPr>
        <w:t>________</w:t>
      </w:r>
      <w:r>
        <w:rPr>
          <w:rFonts w:hint="eastAsia" w:ascii="仿宋" w:hAnsi="仿宋" w:eastAsia="仿宋" w:cs="Arial"/>
          <w:color w:val="auto"/>
          <w:w w:val="90"/>
          <w:sz w:val="28"/>
          <w:szCs w:val="28"/>
          <w:highlight w:val="none"/>
        </w:rPr>
        <w:t>年</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月</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日</w:t>
      </w:r>
    </w:p>
    <w:p>
      <w:pPr>
        <w:snapToGrid w:val="0"/>
        <w:spacing w:line="460" w:lineRule="atLeast"/>
        <w:rPr>
          <w:rFonts w:ascii="仿宋" w:hAnsi="仿宋" w:eastAsia="仿宋" w:cs="Arial"/>
          <w:color w:val="auto"/>
          <w:w w:val="90"/>
          <w:szCs w:val="28"/>
          <w:highlight w:val="none"/>
        </w:rPr>
      </w:pPr>
    </w:p>
    <w:p>
      <w:pPr>
        <w:snapToGrid w:val="0"/>
        <w:spacing w:line="460" w:lineRule="atLeast"/>
        <w:rPr>
          <w:color w:val="auto"/>
          <w:sz w:val="30"/>
          <w:szCs w:val="22"/>
          <w:highlight w:val="none"/>
        </w:rPr>
      </w:pPr>
    </w:p>
    <w:p>
      <w:pPr>
        <w:keepNext/>
        <w:keepLines/>
        <w:spacing w:before="240" w:after="240" w:line="360" w:lineRule="auto"/>
        <w:jc w:val="left"/>
        <w:outlineLvl w:val="2"/>
        <w:rPr>
          <w:rFonts w:eastAsia="黑体"/>
          <w:b/>
          <w:color w:val="auto"/>
          <w:sz w:val="28"/>
          <w:szCs w:val="22"/>
          <w:highlight w:val="none"/>
        </w:rPr>
      </w:pPr>
      <w:r>
        <w:rPr>
          <w:rFonts w:hint="eastAsia" w:ascii="仿宋" w:hAnsi="仿宋" w:eastAsia="仿宋" w:cs="Arial"/>
          <w:b/>
          <w:color w:val="auto"/>
          <w:w w:val="90"/>
          <w:sz w:val="28"/>
          <w:szCs w:val="28"/>
          <w:highlight w:val="none"/>
        </w:rPr>
        <w:t>1.9</w:t>
      </w:r>
      <w:r>
        <w:rPr>
          <w:rFonts w:hint="eastAsia" w:eastAsia="黑体"/>
          <w:b/>
          <w:color w:val="auto"/>
          <w:sz w:val="28"/>
          <w:szCs w:val="22"/>
          <w:highlight w:val="none"/>
        </w:rPr>
        <w:t>与参加本次项目同一合同项下政府采购活动的其他供应商不存在单位负责人为同一人或者直接控股、管理关系的承诺函：</w:t>
      </w:r>
    </w:p>
    <w:p>
      <w:pPr>
        <w:spacing w:line="360" w:lineRule="auto"/>
        <w:jc w:val="center"/>
        <w:rPr>
          <w:rFonts w:ascii="华文中宋" w:hAnsi="华文中宋" w:eastAsia="华文中宋" w:cs="Arial"/>
          <w:b/>
          <w:color w:val="auto"/>
          <w:sz w:val="28"/>
          <w:szCs w:val="44"/>
          <w:highlight w:val="none"/>
        </w:rPr>
      </w:pPr>
      <w:r>
        <w:rPr>
          <w:rFonts w:hint="eastAsia" w:ascii="华文中宋" w:hAnsi="华文中宋" w:eastAsia="华文中宋" w:cs="Arial"/>
          <w:b/>
          <w:color w:val="auto"/>
          <w:sz w:val="28"/>
          <w:szCs w:val="44"/>
          <w:highlight w:val="none"/>
        </w:rPr>
        <w:t>与参加本次项目同一合同项下政府采购活动的其他供应商不存在单位负责人为同一人或者直接控股、管理关系的承诺函</w:t>
      </w:r>
    </w:p>
    <w:p>
      <w:pPr>
        <w:spacing w:line="360" w:lineRule="auto"/>
        <w:rPr>
          <w:rFonts w:ascii="华文中宋" w:hAnsi="华文中宋" w:eastAsia="华文中宋" w:cs="Arial"/>
          <w:b/>
          <w:color w:val="auto"/>
          <w:szCs w:val="28"/>
          <w:highlight w:val="none"/>
          <w:u w:val="single"/>
        </w:rPr>
      </w:pPr>
    </w:p>
    <w:p>
      <w:pPr>
        <w:spacing w:line="360" w:lineRule="auto"/>
        <w:rPr>
          <w:rFonts w:ascii="仿宋" w:hAnsi="仿宋" w:eastAsia="仿宋" w:cs="Arial"/>
          <w:b/>
          <w:color w:val="auto"/>
          <w:sz w:val="28"/>
          <w:szCs w:val="28"/>
          <w:highlight w:val="none"/>
          <w:u w:val="single"/>
        </w:rPr>
      </w:pPr>
      <w:r>
        <w:rPr>
          <w:rFonts w:hint="eastAsia" w:ascii="仿宋" w:hAnsi="仿宋" w:eastAsia="仿宋" w:cs="Arial"/>
          <w:b/>
          <w:color w:val="auto"/>
          <w:w w:val="90"/>
          <w:sz w:val="28"/>
          <w:szCs w:val="22"/>
          <w:highlight w:val="none"/>
          <w:u w:val="single"/>
        </w:rPr>
        <w:t>苍南县人民医院：</w:t>
      </w:r>
      <w:r>
        <w:rPr>
          <w:rFonts w:ascii="仿宋" w:hAnsi="仿宋" w:eastAsia="仿宋" w:cs="Arial"/>
          <w:b/>
          <w:color w:val="auto"/>
          <w:sz w:val="28"/>
          <w:szCs w:val="28"/>
          <w:highlight w:val="none"/>
          <w:u w:val="single"/>
        </w:rPr>
        <w:t xml:space="preserve"> </w:t>
      </w:r>
    </w:p>
    <w:p>
      <w:pPr>
        <w:spacing w:line="360" w:lineRule="auto"/>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我方郑重承诺，我方此次参加</w:t>
      </w:r>
      <w:r>
        <w:rPr>
          <w:rFonts w:hint="eastAsia" w:ascii="仿宋" w:hAnsi="仿宋" w:eastAsia="仿宋" w:cs="Arial"/>
          <w:b/>
          <w:color w:val="auto"/>
          <w:sz w:val="28"/>
          <w:szCs w:val="28"/>
          <w:highlight w:val="none"/>
          <w:u w:val="single"/>
        </w:rPr>
        <w:t>苍南县人民医院布品租赁及洗涤服务项目（项目编号：        ）</w:t>
      </w:r>
      <w:r>
        <w:rPr>
          <w:rFonts w:hint="eastAsia" w:ascii="仿宋" w:hAnsi="仿宋" w:eastAsia="仿宋" w:cs="Arial"/>
          <w:color w:val="auto"/>
          <w:sz w:val="28"/>
          <w:szCs w:val="28"/>
          <w:highlight w:val="none"/>
        </w:rPr>
        <w:t>的投标，与参加本次项目同一合同项下政府采购活动的其他供应商不存在单位负责人为同一人或者直接控股、管理关系。如有虚假或隐瞒，愿意承担一切后果。</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特此承诺</w:t>
      </w:r>
    </w:p>
    <w:p>
      <w:pPr>
        <w:spacing w:line="360" w:lineRule="auto"/>
        <w:ind w:firstLine="560" w:firstLineChars="200"/>
        <w:rPr>
          <w:rFonts w:ascii="仿宋" w:hAnsi="仿宋" w:eastAsia="仿宋" w:cs="Arial"/>
          <w:color w:val="auto"/>
          <w:sz w:val="28"/>
          <w:szCs w:val="28"/>
          <w:highlight w:val="none"/>
        </w:rPr>
      </w:pP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供应商名称（盖章）：</w:t>
      </w:r>
      <w:r>
        <w:rPr>
          <w:rFonts w:ascii="仿宋" w:hAnsi="仿宋" w:eastAsia="仿宋" w:cs="Arial"/>
          <w:color w:val="auto"/>
          <w:w w:val="90"/>
          <w:sz w:val="28"/>
          <w:szCs w:val="28"/>
          <w:highlight w:val="none"/>
        </w:rPr>
        <w:t>__________________________________________</w:t>
      </w:r>
    </w:p>
    <w:p>
      <w:pPr>
        <w:snapToGrid w:val="0"/>
        <w:spacing w:line="360" w:lineRule="auto"/>
        <w:rPr>
          <w:rFonts w:ascii="仿宋" w:hAnsi="仿宋" w:eastAsia="仿宋" w:cs="Arial"/>
          <w:color w:val="auto"/>
          <w:sz w:val="28"/>
          <w:szCs w:val="28"/>
          <w:highlight w:val="none"/>
          <w:u w:val="single"/>
        </w:rPr>
      </w:pPr>
      <w:r>
        <w:rPr>
          <w:rFonts w:hint="eastAsia" w:ascii="仿宋" w:hAnsi="仿宋" w:eastAsia="仿宋" w:cs="Arial"/>
          <w:color w:val="auto"/>
          <w:sz w:val="28"/>
          <w:szCs w:val="28"/>
          <w:highlight w:val="none"/>
        </w:rPr>
        <w:t>法定代表人或其授权代表（签字或盖章）：</w:t>
      </w:r>
      <w:r>
        <w:rPr>
          <w:rFonts w:ascii="仿宋" w:hAnsi="仿宋" w:eastAsia="仿宋" w:cs="Arial"/>
          <w:color w:val="auto"/>
          <w:w w:val="90"/>
          <w:sz w:val="28"/>
          <w:szCs w:val="28"/>
          <w:highlight w:val="none"/>
        </w:rPr>
        <w:t>___________________________</w:t>
      </w:r>
    </w:p>
    <w:p>
      <w:pPr>
        <w:rPr>
          <w:color w:val="auto"/>
          <w:szCs w:val="22"/>
          <w:highlight w:val="none"/>
        </w:rPr>
      </w:pPr>
      <w:r>
        <w:rPr>
          <w:rFonts w:hint="eastAsia" w:ascii="仿宋" w:hAnsi="仿宋" w:eastAsia="仿宋" w:cs="Arial"/>
          <w:color w:val="auto"/>
          <w:sz w:val="28"/>
          <w:szCs w:val="28"/>
          <w:highlight w:val="none"/>
        </w:rPr>
        <w:t>日期：</w:t>
      </w:r>
      <w:r>
        <w:rPr>
          <w:rFonts w:ascii="仿宋" w:hAnsi="仿宋" w:eastAsia="仿宋" w:cs="Arial"/>
          <w:color w:val="auto"/>
          <w:w w:val="90"/>
          <w:sz w:val="28"/>
          <w:szCs w:val="28"/>
          <w:highlight w:val="none"/>
        </w:rPr>
        <w:t>________</w:t>
      </w:r>
      <w:r>
        <w:rPr>
          <w:rFonts w:hint="eastAsia" w:ascii="仿宋" w:hAnsi="仿宋" w:eastAsia="仿宋" w:cs="Arial"/>
          <w:color w:val="auto"/>
          <w:w w:val="90"/>
          <w:sz w:val="28"/>
          <w:szCs w:val="28"/>
          <w:highlight w:val="none"/>
        </w:rPr>
        <w:t>年</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月</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日</w:t>
      </w:r>
    </w:p>
    <w:p>
      <w:pPr>
        <w:snapToGrid w:val="0"/>
        <w:spacing w:line="460" w:lineRule="atLeast"/>
        <w:rPr>
          <w:color w:val="auto"/>
          <w:sz w:val="30"/>
          <w:szCs w:val="22"/>
          <w:highlight w:val="none"/>
        </w:rPr>
      </w:pPr>
    </w:p>
    <w:p>
      <w:pPr>
        <w:snapToGrid w:val="0"/>
        <w:spacing w:line="460" w:lineRule="atLeast"/>
        <w:rPr>
          <w:color w:val="auto"/>
          <w:sz w:val="30"/>
          <w:szCs w:val="22"/>
          <w:highlight w:val="none"/>
        </w:rPr>
      </w:pPr>
    </w:p>
    <w:p>
      <w:pPr>
        <w:snapToGrid w:val="0"/>
        <w:spacing w:line="460" w:lineRule="atLeast"/>
        <w:rPr>
          <w:color w:val="auto"/>
          <w:sz w:val="30"/>
          <w:szCs w:val="22"/>
          <w:highlight w:val="none"/>
        </w:rPr>
      </w:pPr>
    </w:p>
    <w:p>
      <w:pPr>
        <w:rPr>
          <w:color w:val="auto"/>
          <w:sz w:val="30"/>
          <w:szCs w:val="22"/>
          <w:highlight w:val="none"/>
        </w:rPr>
      </w:pPr>
    </w:p>
    <w:p>
      <w:pPr>
        <w:rPr>
          <w:color w:val="auto"/>
          <w:sz w:val="30"/>
          <w:szCs w:val="22"/>
          <w:highlight w:val="none"/>
        </w:rPr>
      </w:pPr>
    </w:p>
    <w:p>
      <w:pPr>
        <w:snapToGrid w:val="0"/>
        <w:spacing w:line="460" w:lineRule="atLeast"/>
        <w:rPr>
          <w:color w:val="auto"/>
          <w:sz w:val="30"/>
          <w:szCs w:val="22"/>
          <w:highlight w:val="none"/>
        </w:rPr>
      </w:pPr>
    </w:p>
    <w:p>
      <w:pPr>
        <w:snapToGrid w:val="0"/>
        <w:spacing w:line="460" w:lineRule="atLeast"/>
        <w:rPr>
          <w:color w:val="auto"/>
          <w:sz w:val="30"/>
          <w:szCs w:val="22"/>
          <w:highlight w:val="none"/>
        </w:rPr>
      </w:pPr>
    </w:p>
    <w:p>
      <w:pPr>
        <w:snapToGrid w:val="0"/>
        <w:spacing w:line="460" w:lineRule="atLeast"/>
        <w:rPr>
          <w:color w:val="auto"/>
          <w:sz w:val="30"/>
          <w:szCs w:val="22"/>
          <w:highlight w:val="none"/>
        </w:rPr>
      </w:pPr>
    </w:p>
    <w:p>
      <w:pPr>
        <w:keepNext/>
        <w:keepLines/>
        <w:spacing w:before="240" w:after="240" w:line="360" w:lineRule="auto"/>
        <w:jc w:val="left"/>
        <w:outlineLvl w:val="2"/>
        <w:rPr>
          <w:rFonts w:eastAsia="黑体"/>
          <w:b/>
          <w:color w:val="auto"/>
          <w:sz w:val="28"/>
          <w:szCs w:val="22"/>
          <w:highlight w:val="none"/>
        </w:rPr>
      </w:pPr>
      <w:r>
        <w:rPr>
          <w:rFonts w:hint="eastAsia" w:eastAsia="黑体"/>
          <w:b/>
          <w:color w:val="auto"/>
          <w:sz w:val="28"/>
          <w:szCs w:val="22"/>
          <w:highlight w:val="none"/>
        </w:rPr>
        <w:t>1.10没有失信行为的承诺函</w:t>
      </w:r>
    </w:p>
    <w:p>
      <w:pPr>
        <w:spacing w:line="360" w:lineRule="auto"/>
        <w:jc w:val="center"/>
        <w:rPr>
          <w:rFonts w:ascii="华文中宋" w:hAnsi="华文中宋" w:eastAsia="华文中宋" w:cs="Arial"/>
          <w:b/>
          <w:color w:val="auto"/>
          <w:sz w:val="44"/>
          <w:szCs w:val="44"/>
          <w:highlight w:val="none"/>
        </w:rPr>
      </w:pPr>
      <w:r>
        <w:rPr>
          <w:rFonts w:hint="eastAsia" w:ascii="华文中宋" w:hAnsi="华文中宋" w:eastAsia="华文中宋" w:cs="Arial"/>
          <w:b/>
          <w:color w:val="auto"/>
          <w:sz w:val="44"/>
          <w:szCs w:val="44"/>
          <w:highlight w:val="none"/>
        </w:rPr>
        <w:t>供应商没有失信记录承诺函</w:t>
      </w:r>
    </w:p>
    <w:p>
      <w:pPr>
        <w:spacing w:line="360" w:lineRule="auto"/>
        <w:rPr>
          <w:rFonts w:ascii="华文中宋" w:hAnsi="华文中宋" w:eastAsia="华文中宋" w:cs="Arial"/>
          <w:b/>
          <w:color w:val="auto"/>
          <w:szCs w:val="28"/>
          <w:highlight w:val="none"/>
          <w:u w:val="single"/>
        </w:rPr>
      </w:pPr>
    </w:p>
    <w:p>
      <w:pPr>
        <w:spacing w:line="360" w:lineRule="auto"/>
        <w:rPr>
          <w:rFonts w:ascii="仿宋" w:hAnsi="仿宋" w:eastAsia="仿宋" w:cs="Arial"/>
          <w:b/>
          <w:color w:val="auto"/>
          <w:sz w:val="28"/>
          <w:szCs w:val="28"/>
          <w:highlight w:val="none"/>
          <w:u w:val="single"/>
        </w:rPr>
      </w:pPr>
      <w:r>
        <w:rPr>
          <w:rFonts w:hint="eastAsia" w:ascii="仿宋" w:hAnsi="仿宋" w:eastAsia="仿宋" w:cs="Arial"/>
          <w:b/>
          <w:color w:val="auto"/>
          <w:w w:val="90"/>
          <w:sz w:val="28"/>
          <w:szCs w:val="22"/>
          <w:highlight w:val="none"/>
          <w:u w:val="single"/>
        </w:rPr>
        <w:t>苍南县人民医院：</w:t>
      </w:r>
    </w:p>
    <w:p>
      <w:pPr>
        <w:spacing w:line="360" w:lineRule="auto"/>
        <w:rPr>
          <w:rFonts w:ascii="仿宋" w:hAnsi="仿宋" w:eastAsia="仿宋" w:cs="Arial"/>
          <w:color w:val="auto"/>
          <w:sz w:val="28"/>
          <w:szCs w:val="28"/>
          <w:highlight w:val="none"/>
        </w:rPr>
      </w:pPr>
    </w:p>
    <w:p>
      <w:pPr>
        <w:spacing w:line="360" w:lineRule="auto"/>
        <w:ind w:firstLine="565" w:firstLineChars="202"/>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我公司郑重承诺：到本项目投标截止时间为止，我公司未被</w:t>
      </w:r>
      <w:r>
        <w:rPr>
          <w:rFonts w:ascii="仿宋" w:hAnsi="仿宋" w:eastAsia="仿宋" w:cs="Arial"/>
          <w:color w:val="auto"/>
          <w:sz w:val="28"/>
          <w:szCs w:val="28"/>
          <w:highlight w:val="none"/>
        </w:rPr>
        <w:t>“信用中国”</w:t>
      </w:r>
      <w:r>
        <w:rPr>
          <w:rFonts w:hint="eastAsia" w:ascii="仿宋" w:hAnsi="仿宋" w:eastAsia="仿宋" w:cs="Arial"/>
          <w:color w:val="auto"/>
          <w:sz w:val="28"/>
          <w:szCs w:val="28"/>
          <w:highlight w:val="none"/>
        </w:rPr>
        <w:t>（</w:t>
      </w:r>
      <w:r>
        <w:rPr>
          <w:rFonts w:ascii="仿宋" w:hAnsi="仿宋" w:eastAsia="仿宋" w:cs="Arial"/>
          <w:color w:val="auto"/>
          <w:sz w:val="28"/>
          <w:szCs w:val="28"/>
          <w:highlight w:val="none"/>
        </w:rPr>
        <w:t>www.creditchina.gov.cn</w:t>
      </w:r>
      <w:r>
        <w:rPr>
          <w:rFonts w:hint="eastAsia" w:ascii="仿宋" w:hAnsi="仿宋" w:eastAsia="仿宋" w:cs="Arial"/>
          <w:color w:val="auto"/>
          <w:sz w:val="28"/>
          <w:szCs w:val="28"/>
          <w:highlight w:val="none"/>
        </w:rPr>
        <w:t>）、</w:t>
      </w:r>
      <w:r>
        <w:rPr>
          <w:rFonts w:ascii="仿宋" w:hAnsi="仿宋" w:eastAsia="仿宋" w:cs="Arial"/>
          <w:color w:val="auto"/>
          <w:sz w:val="28"/>
          <w:szCs w:val="28"/>
          <w:highlight w:val="none"/>
        </w:rPr>
        <w:t>中国政府采购网</w:t>
      </w:r>
      <w:r>
        <w:rPr>
          <w:rFonts w:hint="eastAsia" w:ascii="仿宋" w:hAnsi="仿宋" w:eastAsia="仿宋" w:cs="Arial"/>
          <w:color w:val="auto"/>
          <w:sz w:val="28"/>
          <w:szCs w:val="28"/>
          <w:highlight w:val="none"/>
        </w:rPr>
        <w:t>（</w:t>
      </w:r>
      <w:r>
        <w:rPr>
          <w:rFonts w:ascii="仿宋" w:hAnsi="仿宋" w:eastAsia="仿宋" w:cs="Arial"/>
          <w:color w:val="auto"/>
          <w:sz w:val="28"/>
          <w:szCs w:val="28"/>
          <w:highlight w:val="none"/>
        </w:rPr>
        <w:t>www.ccgp.gov.cn</w:t>
      </w:r>
      <w:r>
        <w:rPr>
          <w:rFonts w:hint="eastAsia" w:ascii="仿宋" w:hAnsi="仿宋" w:eastAsia="仿宋" w:cs="Arial"/>
          <w:color w:val="auto"/>
          <w:sz w:val="28"/>
          <w:szCs w:val="28"/>
          <w:highlight w:val="none"/>
        </w:rPr>
        <w:t>）</w:t>
      </w:r>
      <w:r>
        <w:rPr>
          <w:rFonts w:ascii="仿宋" w:hAnsi="仿宋" w:eastAsia="仿宋" w:cs="Arial"/>
          <w:color w:val="auto"/>
          <w:sz w:val="28"/>
          <w:szCs w:val="28"/>
          <w:highlight w:val="none"/>
        </w:rPr>
        <w:t>列入失信被执行人</w:t>
      </w:r>
      <w:r>
        <w:rPr>
          <w:rFonts w:hint="eastAsia" w:ascii="仿宋" w:hAnsi="仿宋" w:eastAsia="仿宋" w:cs="Arial"/>
          <w:color w:val="auto"/>
          <w:sz w:val="28"/>
          <w:szCs w:val="28"/>
          <w:highlight w:val="none"/>
        </w:rPr>
        <w:t>名单</w:t>
      </w:r>
      <w:r>
        <w:rPr>
          <w:rFonts w:ascii="仿宋" w:hAnsi="仿宋" w:eastAsia="仿宋" w:cs="Arial"/>
          <w:color w:val="auto"/>
          <w:sz w:val="28"/>
          <w:szCs w:val="28"/>
          <w:highlight w:val="none"/>
        </w:rPr>
        <w:t>、重大税收违法案件当事人名单、政府采购严重违法失信行为记录名单</w:t>
      </w:r>
      <w:r>
        <w:rPr>
          <w:rFonts w:hint="eastAsia" w:ascii="仿宋" w:hAnsi="仿宋" w:eastAsia="仿宋" w:cs="Arial"/>
          <w:color w:val="auto"/>
          <w:sz w:val="28"/>
          <w:szCs w:val="28"/>
          <w:highlight w:val="none"/>
        </w:rPr>
        <w:t>。如有隐瞒，愿承担一切责任。</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特此声明</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供应商名称（盖章）：</w:t>
      </w:r>
      <w:r>
        <w:rPr>
          <w:rFonts w:ascii="仿宋" w:hAnsi="仿宋" w:eastAsia="仿宋" w:cs="Arial"/>
          <w:color w:val="auto"/>
          <w:w w:val="90"/>
          <w:sz w:val="28"/>
          <w:szCs w:val="28"/>
          <w:highlight w:val="none"/>
        </w:rPr>
        <w:t>__________________________________________</w:t>
      </w:r>
    </w:p>
    <w:p>
      <w:pPr>
        <w:snapToGrid w:val="0"/>
        <w:spacing w:line="360" w:lineRule="auto"/>
        <w:rPr>
          <w:rFonts w:ascii="仿宋" w:hAnsi="仿宋" w:eastAsia="仿宋" w:cs="Arial"/>
          <w:color w:val="auto"/>
          <w:sz w:val="28"/>
          <w:szCs w:val="28"/>
          <w:highlight w:val="none"/>
          <w:u w:val="single"/>
        </w:rPr>
      </w:pPr>
      <w:r>
        <w:rPr>
          <w:rFonts w:hint="eastAsia" w:ascii="仿宋" w:hAnsi="仿宋" w:eastAsia="仿宋" w:cs="Arial"/>
          <w:color w:val="auto"/>
          <w:sz w:val="28"/>
          <w:szCs w:val="28"/>
          <w:highlight w:val="none"/>
        </w:rPr>
        <w:t>法定代表人或其授权代表（签字或盖章）：</w:t>
      </w:r>
      <w:r>
        <w:rPr>
          <w:rFonts w:ascii="仿宋" w:hAnsi="仿宋" w:eastAsia="仿宋" w:cs="Arial"/>
          <w:color w:val="auto"/>
          <w:w w:val="90"/>
          <w:sz w:val="28"/>
          <w:szCs w:val="28"/>
          <w:highlight w:val="none"/>
        </w:rPr>
        <w:t>___________________________</w:t>
      </w:r>
    </w:p>
    <w:p>
      <w:pPr>
        <w:rPr>
          <w:color w:val="auto"/>
          <w:szCs w:val="22"/>
          <w:highlight w:val="none"/>
        </w:rPr>
      </w:pPr>
      <w:r>
        <w:rPr>
          <w:rFonts w:hint="eastAsia" w:ascii="仿宋" w:hAnsi="仿宋" w:eastAsia="仿宋" w:cs="Arial"/>
          <w:color w:val="auto"/>
          <w:sz w:val="28"/>
          <w:szCs w:val="28"/>
          <w:highlight w:val="none"/>
        </w:rPr>
        <w:t>日期：</w:t>
      </w:r>
      <w:r>
        <w:rPr>
          <w:rFonts w:ascii="仿宋" w:hAnsi="仿宋" w:eastAsia="仿宋" w:cs="Arial"/>
          <w:color w:val="auto"/>
          <w:w w:val="90"/>
          <w:sz w:val="28"/>
          <w:szCs w:val="28"/>
          <w:highlight w:val="none"/>
        </w:rPr>
        <w:t>________</w:t>
      </w:r>
      <w:r>
        <w:rPr>
          <w:rFonts w:hint="eastAsia" w:ascii="仿宋" w:hAnsi="仿宋" w:eastAsia="仿宋" w:cs="Arial"/>
          <w:color w:val="auto"/>
          <w:w w:val="90"/>
          <w:sz w:val="28"/>
          <w:szCs w:val="28"/>
          <w:highlight w:val="none"/>
        </w:rPr>
        <w:t>年</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月</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日</w:t>
      </w:r>
    </w:p>
    <w:p>
      <w:pPr>
        <w:rPr>
          <w:color w:val="auto"/>
          <w:szCs w:val="22"/>
          <w:highlight w:val="none"/>
        </w:rPr>
      </w:pPr>
    </w:p>
    <w:p>
      <w:pPr>
        <w:spacing w:line="360" w:lineRule="auto"/>
        <w:ind w:firstLine="370" w:firstLineChars="196"/>
        <w:rPr>
          <w:rFonts w:ascii="仿宋" w:hAnsi="仿宋" w:eastAsia="仿宋" w:cs="Arial"/>
          <w:color w:val="auto"/>
          <w:w w:val="90"/>
          <w:szCs w:val="28"/>
          <w:highlight w:val="none"/>
        </w:rPr>
      </w:pPr>
    </w:p>
    <w:p>
      <w:pPr>
        <w:snapToGrid w:val="0"/>
        <w:spacing w:line="460" w:lineRule="atLeast"/>
        <w:rPr>
          <w:color w:val="auto"/>
          <w:sz w:val="30"/>
          <w:szCs w:val="22"/>
          <w:highlight w:val="none"/>
        </w:rPr>
      </w:pPr>
    </w:p>
    <w:p>
      <w:pPr>
        <w:keepNext/>
        <w:keepLines/>
        <w:widowControl/>
        <w:spacing w:line="360" w:lineRule="auto"/>
        <w:outlineLvl w:val="0"/>
        <w:rPr>
          <w:rFonts w:ascii="Arial" w:hAnsi="Arial" w:cs="Arial"/>
          <w:b/>
          <w:bCs/>
          <w:color w:val="auto"/>
          <w:sz w:val="30"/>
          <w:szCs w:val="32"/>
          <w:highlight w:val="none"/>
        </w:rPr>
      </w:pPr>
    </w:p>
    <w:p>
      <w:pPr>
        <w:rPr>
          <w:color w:val="auto"/>
          <w:sz w:val="30"/>
          <w:szCs w:val="22"/>
          <w:highlight w:val="none"/>
        </w:rPr>
      </w:pPr>
    </w:p>
    <w:p>
      <w:pPr>
        <w:rPr>
          <w:rFonts w:ascii="仿宋" w:hAnsi="仿宋" w:eastAsia="仿宋" w:cs="Arial"/>
          <w:b/>
          <w:color w:val="auto"/>
          <w:w w:val="90"/>
          <w:szCs w:val="28"/>
          <w:highlight w:val="none"/>
        </w:rPr>
      </w:pPr>
    </w:p>
    <w:p>
      <w:pPr>
        <w:pStyle w:val="2"/>
        <w:rPr>
          <w:rFonts w:ascii="仿宋" w:hAnsi="仿宋" w:eastAsia="仿宋" w:cs="Arial"/>
          <w:b/>
          <w:color w:val="auto"/>
          <w:w w:val="90"/>
          <w:szCs w:val="28"/>
          <w:highlight w:val="none"/>
        </w:rPr>
      </w:pPr>
    </w:p>
    <w:p>
      <w:pPr>
        <w:pStyle w:val="4"/>
        <w:rPr>
          <w:rFonts w:ascii="仿宋" w:hAnsi="仿宋" w:eastAsia="仿宋" w:cs="Arial"/>
          <w:b/>
          <w:color w:val="auto"/>
          <w:w w:val="90"/>
          <w:szCs w:val="28"/>
          <w:highlight w:val="none"/>
        </w:rPr>
      </w:pPr>
    </w:p>
    <w:p>
      <w:pPr>
        <w:rPr>
          <w:color w:val="auto"/>
          <w:highlight w:val="none"/>
        </w:rPr>
      </w:pPr>
    </w:p>
    <w:p>
      <w:pPr>
        <w:ind w:firstLine="380" w:firstLineChars="200"/>
        <w:rPr>
          <w:rFonts w:ascii="仿宋" w:hAnsi="仿宋" w:eastAsia="仿宋" w:cs="Arial"/>
          <w:b/>
          <w:color w:val="auto"/>
          <w:w w:val="90"/>
          <w:szCs w:val="28"/>
          <w:highlight w:val="none"/>
        </w:rPr>
      </w:pPr>
    </w:p>
    <w:p>
      <w:pPr>
        <w:keepNext/>
        <w:keepLines/>
        <w:spacing w:before="240" w:after="240" w:line="360" w:lineRule="auto"/>
        <w:jc w:val="left"/>
        <w:outlineLvl w:val="2"/>
        <w:rPr>
          <w:rFonts w:eastAsia="黑体"/>
          <w:b/>
          <w:color w:val="auto"/>
          <w:sz w:val="28"/>
          <w:szCs w:val="22"/>
          <w:highlight w:val="none"/>
        </w:rPr>
      </w:pPr>
      <w:r>
        <w:rPr>
          <w:rFonts w:hint="eastAsia" w:eastAsia="黑体"/>
          <w:b/>
          <w:color w:val="auto"/>
          <w:sz w:val="28"/>
          <w:szCs w:val="22"/>
          <w:highlight w:val="none"/>
        </w:rPr>
        <w:t>1.11</w:t>
      </w:r>
      <w:r>
        <w:rPr>
          <w:rFonts w:eastAsia="黑体"/>
          <w:b/>
          <w:color w:val="auto"/>
          <w:sz w:val="28"/>
          <w:szCs w:val="22"/>
          <w:highlight w:val="none"/>
        </w:rPr>
        <w:t>法定代表人授权书</w:t>
      </w:r>
      <w:r>
        <w:rPr>
          <w:rFonts w:hint="eastAsia" w:eastAsia="黑体"/>
          <w:b/>
          <w:color w:val="auto"/>
          <w:sz w:val="28"/>
          <w:szCs w:val="22"/>
          <w:highlight w:val="none"/>
        </w:rPr>
        <w:t>（非法定代表人参加投标时提供）或法定代表人身份证明书（法定代表人参加投标时提供）</w:t>
      </w:r>
    </w:p>
    <w:p>
      <w:pPr>
        <w:autoSpaceDE w:val="0"/>
        <w:autoSpaceDN w:val="0"/>
        <w:snapToGrid w:val="0"/>
        <w:spacing w:line="460" w:lineRule="exact"/>
        <w:jc w:val="center"/>
        <w:rPr>
          <w:b/>
          <w:color w:val="auto"/>
          <w:sz w:val="28"/>
          <w:szCs w:val="22"/>
          <w:highlight w:val="none"/>
        </w:rPr>
      </w:pPr>
      <w:r>
        <w:rPr>
          <w:b/>
          <w:color w:val="auto"/>
          <w:sz w:val="28"/>
          <w:szCs w:val="22"/>
          <w:highlight w:val="none"/>
        </w:rPr>
        <w:t>法定代表人授权书</w:t>
      </w:r>
    </w:p>
    <w:p>
      <w:pPr>
        <w:autoSpaceDE w:val="0"/>
        <w:autoSpaceDN w:val="0"/>
        <w:snapToGrid w:val="0"/>
        <w:spacing w:line="460" w:lineRule="exact"/>
        <w:rPr>
          <w:color w:val="auto"/>
          <w:szCs w:val="22"/>
          <w:highlight w:val="none"/>
        </w:rPr>
      </w:pPr>
    </w:p>
    <w:p>
      <w:pPr>
        <w:snapToGrid w:val="0"/>
        <w:spacing w:line="360" w:lineRule="auto"/>
        <w:rPr>
          <w:color w:val="auto"/>
          <w:szCs w:val="22"/>
          <w:highlight w:val="none"/>
          <w:u w:val="single"/>
        </w:rPr>
      </w:pPr>
    </w:p>
    <w:p>
      <w:pPr>
        <w:snapToGrid w:val="0"/>
        <w:spacing w:line="360" w:lineRule="auto"/>
        <w:rPr>
          <w:color w:val="auto"/>
          <w:sz w:val="22"/>
          <w:szCs w:val="22"/>
          <w:highlight w:val="none"/>
        </w:rPr>
      </w:pPr>
      <w:r>
        <w:rPr>
          <w:rFonts w:hint="eastAsia"/>
          <w:color w:val="auto"/>
          <w:sz w:val="22"/>
          <w:szCs w:val="22"/>
          <w:highlight w:val="none"/>
          <w:u w:val="single"/>
        </w:rPr>
        <w:t>苍南县人民医院</w:t>
      </w:r>
      <w:r>
        <w:rPr>
          <w:color w:val="auto"/>
          <w:sz w:val="22"/>
          <w:szCs w:val="22"/>
          <w:highlight w:val="none"/>
        </w:rPr>
        <w:t>：</w:t>
      </w:r>
    </w:p>
    <w:p>
      <w:pPr>
        <w:snapToGrid w:val="0"/>
        <w:spacing w:line="360" w:lineRule="auto"/>
        <w:ind w:firstLine="440"/>
        <w:rPr>
          <w:color w:val="auto"/>
          <w:sz w:val="22"/>
          <w:szCs w:val="22"/>
          <w:highlight w:val="none"/>
        </w:rPr>
      </w:pPr>
      <w:r>
        <w:rPr>
          <w:color w:val="auto"/>
          <w:sz w:val="22"/>
          <w:szCs w:val="22"/>
          <w:highlight w:val="none"/>
        </w:rPr>
        <w:t>本授权委托书声明：我</w:t>
      </w:r>
      <w:r>
        <w:rPr>
          <w:color w:val="auto"/>
          <w:sz w:val="22"/>
          <w:szCs w:val="22"/>
          <w:highlight w:val="none"/>
          <w:u w:val="single"/>
        </w:rPr>
        <w:t xml:space="preserve">   （法定代表人姓名）   </w:t>
      </w:r>
      <w:r>
        <w:rPr>
          <w:color w:val="auto"/>
          <w:sz w:val="22"/>
          <w:szCs w:val="22"/>
          <w:highlight w:val="none"/>
        </w:rPr>
        <w:t>系</w:t>
      </w:r>
      <w:r>
        <w:rPr>
          <w:color w:val="auto"/>
          <w:sz w:val="22"/>
          <w:szCs w:val="22"/>
          <w:highlight w:val="none"/>
          <w:u w:val="single"/>
        </w:rPr>
        <w:t xml:space="preserve">   （供应商名称）  </w:t>
      </w:r>
      <w:r>
        <w:rPr>
          <w:color w:val="auto"/>
          <w:sz w:val="22"/>
          <w:szCs w:val="22"/>
          <w:highlight w:val="none"/>
        </w:rPr>
        <w:t>的法定代表人，现授权委托</w:t>
      </w:r>
      <w:r>
        <w:rPr>
          <w:color w:val="auto"/>
          <w:sz w:val="22"/>
          <w:szCs w:val="22"/>
          <w:highlight w:val="none"/>
          <w:u w:val="single"/>
        </w:rPr>
        <w:t xml:space="preserve">  （单 位 名 称）   </w:t>
      </w:r>
      <w:r>
        <w:rPr>
          <w:color w:val="auto"/>
          <w:sz w:val="22"/>
          <w:szCs w:val="22"/>
          <w:highlight w:val="none"/>
        </w:rPr>
        <w:t>的</w:t>
      </w:r>
      <w:r>
        <w:rPr>
          <w:color w:val="auto"/>
          <w:sz w:val="22"/>
          <w:szCs w:val="22"/>
          <w:highlight w:val="none"/>
          <w:u w:val="single"/>
        </w:rPr>
        <w:t xml:space="preserve">  （授权代表姓名）  </w:t>
      </w:r>
      <w:r>
        <w:rPr>
          <w:color w:val="auto"/>
          <w:sz w:val="22"/>
          <w:szCs w:val="22"/>
          <w:highlight w:val="none"/>
        </w:rPr>
        <w:t>为我公司法定代表人授权代表，参加贵处组织的</w:t>
      </w:r>
      <w:r>
        <w:rPr>
          <w:color w:val="auto"/>
          <w:sz w:val="22"/>
          <w:szCs w:val="22"/>
          <w:highlight w:val="none"/>
          <w:u w:val="single"/>
        </w:rPr>
        <w:t xml:space="preserve">  招标项目名称（括号中填写项目编号）  </w:t>
      </w:r>
      <w:r>
        <w:rPr>
          <w:color w:val="auto"/>
          <w:sz w:val="22"/>
          <w:szCs w:val="22"/>
          <w:highlight w:val="none"/>
        </w:rPr>
        <w:t>项目投标，全权处理本次招投标活动中的一切事宜，我承认授权代表全权代表我所签署的本项目的投标文件的内容。</w:t>
      </w:r>
    </w:p>
    <w:p>
      <w:pPr>
        <w:snapToGrid w:val="0"/>
        <w:spacing w:line="360" w:lineRule="auto"/>
        <w:ind w:firstLine="440"/>
        <w:rPr>
          <w:color w:val="auto"/>
          <w:sz w:val="22"/>
          <w:szCs w:val="22"/>
          <w:highlight w:val="none"/>
        </w:rPr>
      </w:pPr>
      <w:r>
        <w:rPr>
          <w:color w:val="auto"/>
          <w:sz w:val="22"/>
          <w:szCs w:val="22"/>
          <w:highlight w:val="none"/>
        </w:rPr>
        <w:t>授权代表无转授权，特此授权</w:t>
      </w:r>
    </w:p>
    <w:p>
      <w:pPr>
        <w:snapToGrid w:val="0"/>
        <w:spacing w:line="360" w:lineRule="auto"/>
        <w:ind w:left="1260"/>
        <w:rPr>
          <w:color w:val="auto"/>
          <w:sz w:val="22"/>
          <w:szCs w:val="22"/>
          <w:highlight w:val="none"/>
        </w:rPr>
      </w:pPr>
    </w:p>
    <w:p>
      <w:pPr>
        <w:snapToGrid w:val="0"/>
        <w:spacing w:line="360" w:lineRule="auto"/>
        <w:ind w:left="2098" w:firstLine="959"/>
        <w:rPr>
          <w:color w:val="auto"/>
          <w:sz w:val="22"/>
          <w:szCs w:val="22"/>
          <w:highlight w:val="none"/>
          <w:u w:val="single"/>
        </w:rPr>
      </w:pPr>
      <w:r>
        <w:rPr>
          <w:color w:val="auto"/>
          <w:sz w:val="22"/>
          <w:szCs w:val="22"/>
          <w:highlight w:val="none"/>
        </w:rPr>
        <w:t>授权代表：</w:t>
      </w:r>
      <w:r>
        <w:rPr>
          <w:color w:val="auto"/>
          <w:sz w:val="22"/>
          <w:szCs w:val="22"/>
          <w:highlight w:val="none"/>
          <w:u w:val="single"/>
        </w:rPr>
        <w:t xml:space="preserve">   </w:t>
      </w:r>
      <w:r>
        <w:rPr>
          <w:rFonts w:hint="eastAsia"/>
          <w:color w:val="auto"/>
          <w:sz w:val="22"/>
          <w:szCs w:val="22"/>
          <w:highlight w:val="none"/>
          <w:u w:val="single"/>
        </w:rPr>
        <w:t xml:space="preserve">    </w:t>
      </w:r>
      <w:r>
        <w:rPr>
          <w:color w:val="auto"/>
          <w:sz w:val="22"/>
          <w:szCs w:val="22"/>
          <w:highlight w:val="none"/>
          <w:u w:val="single"/>
        </w:rPr>
        <w:t xml:space="preserve"> </w:t>
      </w:r>
      <w:r>
        <w:rPr>
          <w:color w:val="auto"/>
          <w:sz w:val="22"/>
          <w:szCs w:val="22"/>
          <w:highlight w:val="none"/>
        </w:rPr>
        <w:t xml:space="preserve"> 性别 ：</w:t>
      </w:r>
      <w:r>
        <w:rPr>
          <w:color w:val="auto"/>
          <w:sz w:val="22"/>
          <w:szCs w:val="22"/>
          <w:highlight w:val="none"/>
          <w:u w:val="single"/>
        </w:rPr>
        <w:t xml:space="preserve">     </w:t>
      </w:r>
      <w:r>
        <w:rPr>
          <w:color w:val="auto"/>
          <w:sz w:val="22"/>
          <w:szCs w:val="22"/>
          <w:highlight w:val="none"/>
        </w:rPr>
        <w:t xml:space="preserve"> 年龄：</w:t>
      </w:r>
      <w:r>
        <w:rPr>
          <w:color w:val="auto"/>
          <w:sz w:val="22"/>
          <w:szCs w:val="22"/>
          <w:highlight w:val="none"/>
          <w:u w:val="single"/>
        </w:rPr>
        <w:t xml:space="preserve">    </w:t>
      </w:r>
    </w:p>
    <w:p>
      <w:pPr>
        <w:snapToGrid w:val="0"/>
        <w:spacing w:line="360" w:lineRule="auto"/>
        <w:ind w:left="2098" w:firstLine="959"/>
        <w:rPr>
          <w:color w:val="auto"/>
          <w:sz w:val="22"/>
          <w:szCs w:val="22"/>
          <w:highlight w:val="none"/>
          <w:u w:val="single"/>
        </w:rPr>
      </w:pPr>
      <w:r>
        <w:rPr>
          <w:color w:val="auto"/>
          <w:sz w:val="22"/>
          <w:szCs w:val="22"/>
          <w:highlight w:val="none"/>
        </w:rPr>
        <w:t>身份证号码：</w:t>
      </w:r>
      <w:r>
        <w:rPr>
          <w:color w:val="auto"/>
          <w:sz w:val="22"/>
          <w:szCs w:val="22"/>
          <w:highlight w:val="none"/>
          <w:u w:val="single"/>
        </w:rPr>
        <w:t xml:space="preserve">                         </w:t>
      </w:r>
      <w:r>
        <w:rPr>
          <w:color w:val="auto"/>
          <w:sz w:val="22"/>
          <w:szCs w:val="22"/>
          <w:highlight w:val="none"/>
        </w:rPr>
        <w:t xml:space="preserve"> 职务：</w:t>
      </w:r>
      <w:r>
        <w:rPr>
          <w:color w:val="auto"/>
          <w:sz w:val="22"/>
          <w:szCs w:val="22"/>
          <w:highlight w:val="none"/>
          <w:u w:val="single"/>
        </w:rPr>
        <w:t xml:space="preserve">      </w:t>
      </w:r>
    </w:p>
    <w:p>
      <w:pPr>
        <w:snapToGrid w:val="0"/>
        <w:spacing w:line="360" w:lineRule="auto"/>
        <w:ind w:left="2098" w:firstLine="959"/>
        <w:rPr>
          <w:color w:val="auto"/>
          <w:sz w:val="22"/>
          <w:szCs w:val="22"/>
          <w:highlight w:val="none"/>
          <w:u w:val="single"/>
        </w:rPr>
      </w:pPr>
      <w:r>
        <w:rPr>
          <w:color w:val="auto"/>
          <w:sz w:val="22"/>
          <w:szCs w:val="22"/>
          <w:highlight w:val="none"/>
        </w:rPr>
        <w:t>详细通讯地址：</w:t>
      </w:r>
      <w:r>
        <w:rPr>
          <w:color w:val="auto"/>
          <w:sz w:val="22"/>
          <w:szCs w:val="22"/>
          <w:highlight w:val="none"/>
          <w:u w:val="single"/>
        </w:rPr>
        <w:t xml:space="preserve">                 </w:t>
      </w:r>
      <w:r>
        <w:rPr>
          <w:color w:val="auto"/>
          <w:sz w:val="22"/>
          <w:szCs w:val="22"/>
          <w:highlight w:val="none"/>
        </w:rPr>
        <w:t xml:space="preserve"> 邮政编码：</w:t>
      </w:r>
      <w:r>
        <w:rPr>
          <w:color w:val="auto"/>
          <w:sz w:val="22"/>
          <w:szCs w:val="22"/>
          <w:highlight w:val="none"/>
          <w:u w:val="single"/>
        </w:rPr>
        <w:t xml:space="preserve">           </w:t>
      </w:r>
    </w:p>
    <w:p>
      <w:pPr>
        <w:snapToGrid w:val="0"/>
        <w:ind w:left="2098" w:firstLine="959"/>
        <w:rPr>
          <w:color w:val="auto"/>
          <w:sz w:val="22"/>
          <w:szCs w:val="22"/>
          <w:highlight w:val="none"/>
          <w:u w:val="single"/>
        </w:rPr>
      </w:pPr>
      <w:r>
        <w:rPr>
          <w:color w:val="auto"/>
          <w:sz w:val="22"/>
          <w:szCs w:val="22"/>
          <w:highlight w:val="none"/>
        </w:rPr>
        <w:t>电话：</w:t>
      </w:r>
      <w:r>
        <w:rPr>
          <w:color w:val="auto"/>
          <w:sz w:val="22"/>
          <w:szCs w:val="22"/>
          <w:highlight w:val="none"/>
          <w:u w:val="single"/>
        </w:rPr>
        <w:t xml:space="preserve">                   </w:t>
      </w:r>
      <w:r>
        <w:rPr>
          <w:color w:val="auto"/>
          <w:sz w:val="22"/>
          <w:szCs w:val="22"/>
          <w:highlight w:val="none"/>
        </w:rPr>
        <w:t xml:space="preserve"> 传真：</w:t>
      </w:r>
      <w:r>
        <w:rPr>
          <w:color w:val="auto"/>
          <w:sz w:val="22"/>
          <w:szCs w:val="22"/>
          <w:highlight w:val="none"/>
          <w:u w:val="single"/>
        </w:rPr>
        <w:t xml:space="preserve">                    </w:t>
      </w:r>
    </w:p>
    <w:p>
      <w:pPr>
        <w:snapToGrid w:val="0"/>
        <w:ind w:left="2098" w:firstLine="959"/>
        <w:rPr>
          <w:color w:val="auto"/>
          <w:sz w:val="22"/>
          <w:szCs w:val="22"/>
          <w:highlight w:val="none"/>
        </w:rPr>
      </w:pPr>
      <w:r>
        <w:rPr>
          <w:color w:val="auto"/>
          <w:sz w:val="22"/>
          <w:szCs w:val="22"/>
          <w:highlight w:val="none"/>
        </w:rPr>
        <w:t xml:space="preserve">                                </w:t>
      </w:r>
    </w:p>
    <w:p>
      <w:pPr>
        <w:snapToGrid w:val="0"/>
        <w:spacing w:line="360" w:lineRule="auto"/>
        <w:ind w:right="440" w:firstLine="3080" w:firstLineChars="1400"/>
        <w:rPr>
          <w:color w:val="auto"/>
          <w:sz w:val="22"/>
          <w:szCs w:val="22"/>
          <w:highlight w:val="none"/>
        </w:rPr>
      </w:pPr>
      <w:r>
        <w:rPr>
          <w:color w:val="auto"/>
          <w:sz w:val="22"/>
          <w:szCs w:val="22"/>
          <w:highlight w:val="none"/>
        </w:rPr>
        <w:t>供应商：</w:t>
      </w:r>
      <w:r>
        <w:rPr>
          <w:color w:val="auto"/>
          <w:sz w:val="22"/>
          <w:szCs w:val="22"/>
          <w:highlight w:val="none"/>
          <w:u w:val="single"/>
        </w:rPr>
        <w:t xml:space="preserve">                                  （盖章）</w:t>
      </w:r>
    </w:p>
    <w:p>
      <w:pPr>
        <w:snapToGrid w:val="0"/>
        <w:spacing w:line="360" w:lineRule="auto"/>
        <w:ind w:right="440" w:firstLine="3080" w:firstLineChars="1400"/>
        <w:rPr>
          <w:color w:val="auto"/>
          <w:sz w:val="22"/>
          <w:szCs w:val="22"/>
          <w:highlight w:val="none"/>
        </w:rPr>
      </w:pPr>
      <w:r>
        <w:rPr>
          <w:color w:val="auto"/>
          <w:sz w:val="22"/>
          <w:szCs w:val="22"/>
          <w:highlight w:val="none"/>
        </w:rPr>
        <w:t>法定代表人：</w:t>
      </w:r>
      <w:r>
        <w:rPr>
          <w:color w:val="auto"/>
          <w:sz w:val="22"/>
          <w:szCs w:val="22"/>
          <w:highlight w:val="none"/>
          <w:u w:val="single"/>
        </w:rPr>
        <w:t xml:space="preserve">                   （签字或盖章）</w:t>
      </w:r>
    </w:p>
    <w:p>
      <w:pPr>
        <w:snapToGrid w:val="0"/>
        <w:spacing w:line="360" w:lineRule="auto"/>
        <w:rPr>
          <w:color w:val="auto"/>
          <w:sz w:val="22"/>
          <w:szCs w:val="22"/>
          <w:highlight w:val="none"/>
        </w:rPr>
      </w:pPr>
    </w:p>
    <w:p>
      <w:pPr>
        <w:snapToGrid w:val="0"/>
        <w:spacing w:line="360" w:lineRule="auto"/>
        <w:ind w:left="2098" w:right="440" w:firstLine="959"/>
        <w:rPr>
          <w:color w:val="auto"/>
          <w:szCs w:val="22"/>
          <w:highlight w:val="none"/>
        </w:rPr>
      </w:pPr>
      <w:r>
        <w:rPr>
          <w:color w:val="auto"/>
          <w:sz w:val="22"/>
          <w:szCs w:val="22"/>
          <w:highlight w:val="none"/>
        </w:rPr>
        <w:t>授权委托日期：</w:t>
      </w:r>
      <w:r>
        <w:rPr>
          <w:color w:val="auto"/>
          <w:sz w:val="22"/>
          <w:szCs w:val="22"/>
          <w:highlight w:val="none"/>
          <w:u w:val="single"/>
        </w:rPr>
        <w:t xml:space="preserve">     </w:t>
      </w:r>
      <w:r>
        <w:rPr>
          <w:color w:val="auto"/>
          <w:sz w:val="22"/>
          <w:szCs w:val="22"/>
          <w:highlight w:val="none"/>
        </w:rPr>
        <w:t xml:space="preserve">年 </w:t>
      </w:r>
      <w:r>
        <w:rPr>
          <w:color w:val="auto"/>
          <w:sz w:val="22"/>
          <w:szCs w:val="22"/>
          <w:highlight w:val="none"/>
          <w:u w:val="single"/>
        </w:rPr>
        <w:t xml:space="preserve">    </w:t>
      </w:r>
      <w:r>
        <w:rPr>
          <w:color w:val="auto"/>
          <w:sz w:val="22"/>
          <w:szCs w:val="22"/>
          <w:highlight w:val="none"/>
        </w:rPr>
        <w:t>月</w:t>
      </w:r>
      <w:r>
        <w:rPr>
          <w:color w:val="auto"/>
          <w:sz w:val="22"/>
          <w:szCs w:val="22"/>
          <w:highlight w:val="none"/>
          <w:u w:val="single"/>
        </w:rPr>
        <w:t xml:space="preserve">     </w:t>
      </w:r>
      <w:r>
        <w:rPr>
          <w:color w:val="auto"/>
          <w:sz w:val="22"/>
          <w:szCs w:val="22"/>
          <w:highlight w:val="none"/>
        </w:rPr>
        <w:t>日</w:t>
      </w:r>
    </w:p>
    <w:tbl>
      <w:tblPr>
        <w:tblStyle w:val="38"/>
        <w:tblW w:w="0" w:type="auto"/>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jc w:val="center"/>
              <w:rPr>
                <w:color w:val="auto"/>
                <w:szCs w:val="22"/>
                <w:highlight w:val="none"/>
              </w:rPr>
            </w:pPr>
          </w:p>
          <w:p>
            <w:pPr>
              <w:snapToGrid w:val="0"/>
              <w:spacing w:line="400" w:lineRule="exact"/>
              <w:jc w:val="center"/>
              <w:rPr>
                <w:color w:val="auto"/>
                <w:szCs w:val="22"/>
                <w:highlight w:val="none"/>
              </w:rPr>
            </w:pPr>
          </w:p>
          <w:p>
            <w:pPr>
              <w:snapToGrid w:val="0"/>
              <w:spacing w:line="320" w:lineRule="atLeast"/>
              <w:jc w:val="center"/>
              <w:rPr>
                <w:color w:val="auto"/>
                <w:sz w:val="22"/>
                <w:szCs w:val="22"/>
                <w:highlight w:val="none"/>
              </w:rPr>
            </w:pPr>
            <w:r>
              <w:rPr>
                <w:color w:val="auto"/>
                <w:sz w:val="22"/>
                <w:szCs w:val="22"/>
                <w:highlight w:val="none"/>
              </w:rPr>
              <w:t>授权代表身份证复印件与影印件粘贴处</w:t>
            </w:r>
          </w:p>
          <w:p>
            <w:pPr>
              <w:snapToGrid w:val="0"/>
              <w:spacing w:line="400" w:lineRule="exact"/>
              <w:jc w:val="center"/>
              <w:rPr>
                <w:color w:val="auto"/>
                <w:szCs w:val="22"/>
                <w:highlight w:val="none"/>
              </w:rPr>
            </w:pPr>
          </w:p>
          <w:p>
            <w:pPr>
              <w:snapToGrid w:val="0"/>
              <w:spacing w:line="400" w:lineRule="exact"/>
              <w:jc w:val="center"/>
              <w:rPr>
                <w:color w:val="auto"/>
                <w:szCs w:val="22"/>
                <w:highlight w:val="none"/>
              </w:rPr>
            </w:pPr>
          </w:p>
          <w:p>
            <w:pPr>
              <w:snapToGrid w:val="0"/>
              <w:spacing w:line="400" w:lineRule="exact"/>
              <w:jc w:val="center"/>
              <w:rPr>
                <w:color w:val="auto"/>
                <w:szCs w:val="22"/>
                <w:highlight w:val="none"/>
              </w:rPr>
            </w:pPr>
          </w:p>
          <w:p>
            <w:pPr>
              <w:snapToGrid w:val="0"/>
              <w:spacing w:line="400" w:lineRule="exact"/>
              <w:jc w:val="center"/>
              <w:rPr>
                <w:color w:val="auto"/>
                <w:szCs w:val="22"/>
                <w:highlight w:val="none"/>
              </w:rPr>
            </w:pPr>
          </w:p>
          <w:p>
            <w:pPr>
              <w:snapToGrid w:val="0"/>
              <w:spacing w:line="400" w:lineRule="exact"/>
              <w:jc w:val="center"/>
              <w:rPr>
                <w:color w:val="auto"/>
                <w:sz w:val="36"/>
                <w:szCs w:val="22"/>
                <w:highlight w:val="none"/>
              </w:rPr>
            </w:pPr>
          </w:p>
        </w:tc>
      </w:tr>
    </w:tbl>
    <w:p>
      <w:pPr>
        <w:tabs>
          <w:tab w:val="left" w:pos="360"/>
        </w:tabs>
        <w:snapToGrid w:val="0"/>
        <w:spacing w:line="580" w:lineRule="atLeast"/>
        <w:ind w:left="360"/>
        <w:rPr>
          <w:color w:val="auto"/>
          <w:szCs w:val="22"/>
          <w:highlight w:val="none"/>
        </w:rPr>
      </w:pPr>
      <w:r>
        <w:rPr>
          <w:rFonts w:hAnsi="Courier New"/>
          <w:b/>
          <w:color w:val="auto"/>
          <w:sz w:val="22"/>
          <w:szCs w:val="22"/>
          <w:highlight w:val="none"/>
        </w:rPr>
        <w:t>注：法定代表人必须签字或盖章，否则做无效标处理。</w:t>
      </w:r>
    </w:p>
    <w:p>
      <w:pPr>
        <w:adjustRightInd w:val="0"/>
        <w:snapToGrid w:val="0"/>
        <w:spacing w:line="320" w:lineRule="atLeast"/>
        <w:jc w:val="center"/>
        <w:outlineLvl w:val="1"/>
        <w:rPr>
          <w:rFonts w:ascii="宋体" w:hAnsi="宋体" w:cs="仿宋_GB2312"/>
          <w:b/>
          <w:bCs/>
          <w:color w:val="auto"/>
          <w:sz w:val="32"/>
          <w:szCs w:val="32"/>
          <w:highlight w:val="none"/>
          <w:lang w:val="zh-CN"/>
        </w:rPr>
      </w:pPr>
    </w:p>
    <w:p>
      <w:pPr>
        <w:adjustRightInd w:val="0"/>
        <w:snapToGrid w:val="0"/>
        <w:spacing w:line="320" w:lineRule="atLeast"/>
        <w:outlineLvl w:val="1"/>
        <w:rPr>
          <w:rFonts w:ascii="宋体" w:hAnsi="宋体" w:cs="仿宋_GB2312"/>
          <w:b/>
          <w:bCs/>
          <w:color w:val="auto"/>
          <w:sz w:val="32"/>
          <w:szCs w:val="32"/>
          <w:highlight w:val="none"/>
          <w:lang w:val="zh-CN"/>
        </w:rPr>
      </w:pPr>
    </w:p>
    <w:p>
      <w:pPr>
        <w:spacing w:line="360" w:lineRule="auto"/>
        <w:jc w:val="center"/>
        <w:rPr>
          <w:rFonts w:ascii="仿宋" w:hAnsi="仿宋" w:eastAsia="仿宋" w:cs="仿宋"/>
          <w:b/>
          <w:bCs/>
          <w:color w:val="auto"/>
          <w:kern w:val="0"/>
          <w:sz w:val="28"/>
          <w:szCs w:val="28"/>
          <w:highlight w:val="none"/>
        </w:rPr>
      </w:pPr>
      <w:r>
        <w:rPr>
          <w:rFonts w:hint="eastAsia" w:ascii="华文中宋" w:hAnsi="华文中宋" w:eastAsia="华文中宋" w:cs="Arial"/>
          <w:b/>
          <w:color w:val="auto"/>
          <w:kern w:val="0"/>
          <w:sz w:val="40"/>
          <w:szCs w:val="40"/>
          <w:highlight w:val="none"/>
        </w:rPr>
        <w:t>法定代表人身份证明书</w:t>
      </w:r>
    </w:p>
    <w:p>
      <w:pPr>
        <w:spacing w:line="288" w:lineRule="auto"/>
        <w:jc w:val="center"/>
        <w:rPr>
          <w:rFonts w:ascii="仿宋" w:hAnsi="仿宋" w:eastAsia="仿宋" w:cs="仿宋"/>
          <w:b/>
          <w:bCs/>
          <w:color w:val="auto"/>
          <w:kern w:val="0"/>
          <w:sz w:val="28"/>
          <w:szCs w:val="28"/>
          <w:highlight w:val="none"/>
        </w:rPr>
      </w:pPr>
    </w:p>
    <w:p>
      <w:pPr>
        <w:spacing w:line="288"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单位名称：</w:t>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p>
    <w:p>
      <w:pPr>
        <w:spacing w:line="288" w:lineRule="auto"/>
        <w:ind w:firstLine="482" w:firstLineChars="200"/>
        <w:rPr>
          <w:rFonts w:ascii="仿宋" w:hAnsi="仿宋" w:eastAsia="仿宋" w:cs="仿宋"/>
          <w:b/>
          <w:color w:val="auto"/>
          <w:kern w:val="0"/>
          <w:sz w:val="24"/>
          <w:highlight w:val="none"/>
        </w:rPr>
      </w:pPr>
    </w:p>
    <w:p>
      <w:pPr>
        <w:spacing w:line="288" w:lineRule="auto"/>
        <w:ind w:firstLine="482" w:firstLineChars="200"/>
        <w:rPr>
          <w:rFonts w:ascii="仿宋" w:hAnsi="仿宋" w:eastAsia="仿宋" w:cs="仿宋"/>
          <w:b/>
          <w:color w:val="auto"/>
          <w:kern w:val="0"/>
          <w:sz w:val="24"/>
          <w:highlight w:val="none"/>
          <w:u w:val="single"/>
        </w:rPr>
      </w:pPr>
      <w:r>
        <w:rPr>
          <w:rFonts w:hint="eastAsia" w:ascii="仿宋" w:hAnsi="仿宋" w:eastAsia="仿宋" w:cs="仿宋"/>
          <w:b/>
          <w:color w:val="auto"/>
          <w:kern w:val="0"/>
          <w:sz w:val="24"/>
          <w:highlight w:val="none"/>
        </w:rPr>
        <w:t>单位性质：</w:t>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p>
    <w:p>
      <w:pPr>
        <w:spacing w:line="288" w:lineRule="auto"/>
        <w:ind w:firstLine="482" w:firstLineChars="200"/>
        <w:rPr>
          <w:rFonts w:ascii="仿宋" w:hAnsi="仿宋" w:eastAsia="仿宋" w:cs="仿宋"/>
          <w:b/>
          <w:color w:val="auto"/>
          <w:kern w:val="0"/>
          <w:sz w:val="24"/>
          <w:highlight w:val="none"/>
        </w:rPr>
      </w:pPr>
    </w:p>
    <w:p>
      <w:pPr>
        <w:spacing w:line="288" w:lineRule="auto"/>
        <w:ind w:firstLine="482" w:firstLineChars="200"/>
        <w:rPr>
          <w:rFonts w:ascii="仿宋" w:hAnsi="仿宋" w:eastAsia="仿宋" w:cs="仿宋"/>
          <w:b/>
          <w:color w:val="auto"/>
          <w:kern w:val="0"/>
          <w:sz w:val="24"/>
          <w:highlight w:val="none"/>
          <w:u w:val="single"/>
        </w:rPr>
      </w:pPr>
      <w:r>
        <w:rPr>
          <w:rFonts w:hint="eastAsia" w:ascii="仿宋" w:hAnsi="仿宋" w:eastAsia="仿宋" w:cs="仿宋"/>
          <w:b/>
          <w:color w:val="auto"/>
          <w:kern w:val="0"/>
          <w:sz w:val="24"/>
          <w:highlight w:val="none"/>
        </w:rPr>
        <w:t>地    址：</w:t>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 xml:space="preserve">  </w:t>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 xml:space="preserve">       </w:t>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p>
    <w:p>
      <w:pPr>
        <w:spacing w:line="288" w:lineRule="auto"/>
        <w:ind w:firstLine="482" w:firstLineChars="200"/>
        <w:rPr>
          <w:rFonts w:ascii="仿宋" w:hAnsi="仿宋" w:eastAsia="仿宋" w:cs="仿宋"/>
          <w:b/>
          <w:color w:val="auto"/>
          <w:kern w:val="0"/>
          <w:sz w:val="24"/>
          <w:highlight w:val="none"/>
        </w:rPr>
      </w:pPr>
    </w:p>
    <w:p>
      <w:pPr>
        <w:spacing w:line="288"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成立时间：</w:t>
      </w:r>
      <w:r>
        <w:rPr>
          <w:rFonts w:hint="eastAsia" w:ascii="仿宋" w:hAnsi="仿宋" w:eastAsia="仿宋" w:cs="仿宋"/>
          <w:b/>
          <w:color w:val="auto"/>
          <w:kern w:val="0"/>
          <w:sz w:val="24"/>
          <w:highlight w:val="none"/>
          <w:u w:val="single"/>
        </w:rPr>
        <w:t xml:space="preserve">           </w:t>
      </w:r>
      <w:r>
        <w:rPr>
          <w:rFonts w:hint="eastAsia" w:ascii="仿宋" w:hAnsi="仿宋" w:eastAsia="仿宋" w:cs="仿宋"/>
          <w:b/>
          <w:color w:val="auto"/>
          <w:kern w:val="0"/>
          <w:sz w:val="24"/>
          <w:highlight w:val="none"/>
        </w:rPr>
        <w:t>年</w:t>
      </w:r>
      <w:r>
        <w:rPr>
          <w:rFonts w:hint="eastAsia" w:ascii="仿宋" w:hAnsi="仿宋" w:eastAsia="仿宋" w:cs="仿宋"/>
          <w:b/>
          <w:color w:val="auto"/>
          <w:kern w:val="0"/>
          <w:sz w:val="24"/>
          <w:highlight w:val="none"/>
          <w:u w:val="single"/>
        </w:rPr>
        <w:t xml:space="preserve">                </w:t>
      </w:r>
      <w:r>
        <w:rPr>
          <w:rFonts w:hint="eastAsia" w:ascii="仿宋" w:hAnsi="仿宋" w:eastAsia="仿宋" w:cs="仿宋"/>
          <w:b/>
          <w:color w:val="auto"/>
          <w:kern w:val="0"/>
          <w:sz w:val="24"/>
          <w:highlight w:val="none"/>
        </w:rPr>
        <w:t>月</w:t>
      </w:r>
      <w:r>
        <w:rPr>
          <w:rFonts w:hint="eastAsia" w:ascii="仿宋" w:hAnsi="仿宋" w:eastAsia="仿宋" w:cs="仿宋"/>
          <w:b/>
          <w:color w:val="auto"/>
          <w:kern w:val="0"/>
          <w:sz w:val="24"/>
          <w:highlight w:val="none"/>
          <w:u w:val="single"/>
        </w:rPr>
        <w:t xml:space="preserve">         </w:t>
      </w:r>
      <w:r>
        <w:rPr>
          <w:rFonts w:hint="eastAsia" w:ascii="仿宋" w:hAnsi="仿宋" w:eastAsia="仿宋" w:cs="仿宋"/>
          <w:b/>
          <w:color w:val="auto"/>
          <w:kern w:val="0"/>
          <w:sz w:val="24"/>
          <w:highlight w:val="none"/>
        </w:rPr>
        <w:t>日</w:t>
      </w:r>
    </w:p>
    <w:p>
      <w:pPr>
        <w:spacing w:line="288" w:lineRule="auto"/>
        <w:ind w:firstLine="482" w:firstLineChars="200"/>
        <w:rPr>
          <w:rFonts w:ascii="仿宋" w:hAnsi="仿宋" w:eastAsia="仿宋" w:cs="仿宋"/>
          <w:b/>
          <w:color w:val="auto"/>
          <w:kern w:val="0"/>
          <w:sz w:val="24"/>
          <w:highlight w:val="none"/>
        </w:rPr>
      </w:pPr>
    </w:p>
    <w:p>
      <w:pPr>
        <w:spacing w:line="288" w:lineRule="auto"/>
        <w:ind w:firstLine="482" w:firstLineChars="200"/>
        <w:rPr>
          <w:rFonts w:ascii="仿宋" w:hAnsi="仿宋" w:eastAsia="仿宋" w:cs="仿宋"/>
          <w:b/>
          <w:color w:val="auto"/>
          <w:kern w:val="0"/>
          <w:sz w:val="24"/>
          <w:highlight w:val="none"/>
          <w:u w:val="single"/>
        </w:rPr>
      </w:pPr>
      <w:r>
        <w:rPr>
          <w:rFonts w:hint="eastAsia" w:ascii="仿宋" w:hAnsi="仿宋" w:eastAsia="仿宋" w:cs="仿宋"/>
          <w:b/>
          <w:color w:val="auto"/>
          <w:kern w:val="0"/>
          <w:sz w:val="24"/>
          <w:highlight w:val="none"/>
        </w:rPr>
        <w:t xml:space="preserve">经营期限： </w:t>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 xml:space="preserve">                                                   </w:t>
      </w:r>
    </w:p>
    <w:p>
      <w:pPr>
        <w:spacing w:line="288" w:lineRule="auto"/>
        <w:ind w:firstLine="482" w:firstLineChars="200"/>
        <w:rPr>
          <w:rFonts w:ascii="仿宋" w:hAnsi="仿宋" w:eastAsia="仿宋" w:cs="仿宋"/>
          <w:b/>
          <w:color w:val="auto"/>
          <w:kern w:val="0"/>
          <w:sz w:val="24"/>
          <w:highlight w:val="none"/>
        </w:rPr>
      </w:pPr>
    </w:p>
    <w:p>
      <w:pPr>
        <w:spacing w:line="288" w:lineRule="auto"/>
        <w:ind w:firstLine="482" w:firstLineChars="200"/>
        <w:rPr>
          <w:rFonts w:ascii="仿宋" w:hAnsi="仿宋" w:eastAsia="仿宋" w:cs="仿宋"/>
          <w:b/>
          <w:color w:val="auto"/>
          <w:kern w:val="0"/>
          <w:sz w:val="24"/>
          <w:highlight w:val="none"/>
          <w:u w:val="single"/>
        </w:rPr>
      </w:pPr>
      <w:r>
        <w:rPr>
          <w:rFonts w:hint="eastAsia" w:ascii="仿宋" w:hAnsi="仿宋" w:eastAsia="仿宋" w:cs="仿宋"/>
          <w:b/>
          <w:color w:val="auto"/>
          <w:kern w:val="0"/>
          <w:sz w:val="24"/>
          <w:highlight w:val="none"/>
        </w:rPr>
        <w:t>姓    名：</w:t>
      </w:r>
      <w:r>
        <w:rPr>
          <w:rFonts w:hint="eastAsia" w:ascii="仿宋" w:hAnsi="仿宋" w:eastAsia="仿宋" w:cs="仿宋"/>
          <w:b/>
          <w:color w:val="auto"/>
          <w:kern w:val="0"/>
          <w:sz w:val="24"/>
          <w:highlight w:val="none"/>
          <w:u w:val="single"/>
        </w:rPr>
        <w:t xml:space="preserve">        </w:t>
      </w:r>
      <w:r>
        <w:rPr>
          <w:rFonts w:hint="eastAsia" w:ascii="仿宋" w:hAnsi="仿宋" w:eastAsia="仿宋" w:cs="仿宋"/>
          <w:b/>
          <w:color w:val="auto"/>
          <w:kern w:val="0"/>
          <w:sz w:val="24"/>
          <w:highlight w:val="none"/>
        </w:rPr>
        <w:t>性别：</w:t>
      </w:r>
      <w:r>
        <w:rPr>
          <w:rFonts w:hint="eastAsia" w:ascii="仿宋" w:hAnsi="仿宋" w:eastAsia="仿宋" w:cs="仿宋"/>
          <w:b/>
          <w:color w:val="auto"/>
          <w:kern w:val="0"/>
          <w:sz w:val="24"/>
          <w:highlight w:val="none"/>
          <w:u w:val="single"/>
        </w:rPr>
        <w:t xml:space="preserve">      </w:t>
      </w:r>
      <w:r>
        <w:rPr>
          <w:rFonts w:hint="eastAsia" w:ascii="仿宋" w:hAnsi="仿宋" w:eastAsia="仿宋" w:cs="仿宋"/>
          <w:b/>
          <w:color w:val="auto"/>
          <w:kern w:val="0"/>
          <w:sz w:val="24"/>
          <w:highlight w:val="none"/>
        </w:rPr>
        <w:t>年龄：</w:t>
      </w:r>
      <w:r>
        <w:rPr>
          <w:rFonts w:hint="eastAsia" w:ascii="仿宋" w:hAnsi="仿宋" w:eastAsia="仿宋" w:cs="仿宋"/>
          <w:b/>
          <w:color w:val="auto"/>
          <w:kern w:val="0"/>
          <w:sz w:val="24"/>
          <w:highlight w:val="none"/>
          <w:u w:val="single"/>
        </w:rPr>
        <w:t xml:space="preserve">       </w:t>
      </w:r>
      <w:r>
        <w:rPr>
          <w:rFonts w:hint="eastAsia" w:ascii="仿宋" w:hAnsi="仿宋" w:eastAsia="仿宋" w:cs="仿宋"/>
          <w:b/>
          <w:color w:val="auto"/>
          <w:kern w:val="0"/>
          <w:sz w:val="24"/>
          <w:highlight w:val="none"/>
        </w:rPr>
        <w:t xml:space="preserve"> 职务：</w:t>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ab/>
      </w:r>
      <w:r>
        <w:rPr>
          <w:rFonts w:hint="eastAsia" w:ascii="仿宋" w:hAnsi="仿宋" w:eastAsia="仿宋" w:cs="仿宋"/>
          <w:b/>
          <w:color w:val="auto"/>
          <w:kern w:val="0"/>
          <w:sz w:val="24"/>
          <w:highlight w:val="none"/>
          <w:u w:val="single"/>
        </w:rPr>
        <w:t xml:space="preserve"> </w:t>
      </w:r>
    </w:p>
    <w:p>
      <w:pPr>
        <w:spacing w:line="288" w:lineRule="auto"/>
        <w:ind w:firstLine="482" w:firstLineChars="200"/>
        <w:rPr>
          <w:rFonts w:ascii="仿宋" w:hAnsi="仿宋" w:eastAsia="仿宋" w:cs="仿宋"/>
          <w:b/>
          <w:color w:val="auto"/>
          <w:kern w:val="0"/>
          <w:sz w:val="24"/>
          <w:highlight w:val="none"/>
        </w:rPr>
      </w:pPr>
    </w:p>
    <w:p>
      <w:pPr>
        <w:spacing w:line="288"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系</w:t>
      </w:r>
      <w:r>
        <w:rPr>
          <w:rFonts w:hint="eastAsia" w:ascii="仿宋" w:hAnsi="仿宋" w:eastAsia="仿宋" w:cs="仿宋"/>
          <w:b/>
          <w:color w:val="auto"/>
          <w:kern w:val="0"/>
          <w:sz w:val="24"/>
          <w:highlight w:val="none"/>
          <w:u w:val="single"/>
        </w:rPr>
        <w:t xml:space="preserve">          （供应商单位名称）         </w:t>
      </w:r>
      <w:r>
        <w:rPr>
          <w:rFonts w:hint="eastAsia" w:ascii="仿宋" w:hAnsi="仿宋" w:eastAsia="仿宋" w:cs="仿宋"/>
          <w:b/>
          <w:color w:val="auto"/>
          <w:kern w:val="0"/>
          <w:sz w:val="24"/>
          <w:highlight w:val="none"/>
        </w:rPr>
        <w:t>的法定代表人。</w:t>
      </w:r>
    </w:p>
    <w:p>
      <w:pPr>
        <w:spacing w:line="288" w:lineRule="auto"/>
        <w:ind w:firstLine="482" w:firstLineChars="200"/>
        <w:rPr>
          <w:rFonts w:ascii="仿宋" w:hAnsi="仿宋" w:eastAsia="仿宋" w:cs="仿宋"/>
          <w:b/>
          <w:color w:val="auto"/>
          <w:kern w:val="0"/>
          <w:sz w:val="24"/>
          <w:highlight w:val="none"/>
        </w:rPr>
      </w:pPr>
    </w:p>
    <w:p>
      <w:pPr>
        <w:spacing w:line="288" w:lineRule="auto"/>
        <w:ind w:firstLine="482" w:firstLineChars="200"/>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特此证明。</w:t>
      </w:r>
    </w:p>
    <w:tbl>
      <w:tblPr>
        <w:tblStyle w:val="38"/>
        <w:tblW w:w="0" w:type="auto"/>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rFonts w:ascii="仿宋_GB2312" w:cs="宋体"/>
                <w:b/>
                <w:color w:val="auto"/>
                <w:kern w:val="0"/>
                <w:sz w:val="24"/>
                <w:szCs w:val="21"/>
                <w:highlight w:val="none"/>
              </w:rPr>
            </w:pPr>
          </w:p>
          <w:p>
            <w:pPr>
              <w:widowControl/>
              <w:snapToGrid w:val="0"/>
              <w:spacing w:line="400" w:lineRule="exact"/>
              <w:jc w:val="center"/>
              <w:rPr>
                <w:rFonts w:ascii="仿宋_GB2312" w:cs="宋体"/>
                <w:b/>
                <w:color w:val="auto"/>
                <w:kern w:val="0"/>
                <w:sz w:val="24"/>
                <w:szCs w:val="21"/>
                <w:highlight w:val="none"/>
              </w:rPr>
            </w:pPr>
          </w:p>
          <w:p>
            <w:pPr>
              <w:widowControl/>
              <w:snapToGrid w:val="0"/>
              <w:spacing w:line="320" w:lineRule="atLeast"/>
              <w:jc w:val="center"/>
              <w:rPr>
                <w:rFonts w:ascii="仿宋_GB2312" w:cs="宋体"/>
                <w:b/>
                <w:color w:val="auto"/>
                <w:kern w:val="0"/>
                <w:sz w:val="22"/>
                <w:szCs w:val="21"/>
                <w:highlight w:val="none"/>
              </w:rPr>
            </w:pPr>
            <w:r>
              <w:rPr>
                <w:rFonts w:hint="eastAsia" w:ascii="仿宋_GB2312" w:cs="宋体"/>
                <w:b/>
                <w:color w:val="auto"/>
                <w:kern w:val="0"/>
                <w:sz w:val="22"/>
                <w:szCs w:val="21"/>
                <w:highlight w:val="none"/>
              </w:rPr>
              <w:t>法定代表人</w:t>
            </w:r>
            <w:r>
              <w:rPr>
                <w:rFonts w:ascii="仿宋_GB2312" w:cs="宋体"/>
                <w:b/>
                <w:color w:val="auto"/>
                <w:kern w:val="0"/>
                <w:sz w:val="22"/>
                <w:szCs w:val="21"/>
                <w:highlight w:val="none"/>
              </w:rPr>
              <w:t>身份证复印件与影印件粘贴处</w:t>
            </w:r>
          </w:p>
          <w:p>
            <w:pPr>
              <w:widowControl/>
              <w:snapToGrid w:val="0"/>
              <w:spacing w:line="400" w:lineRule="exact"/>
              <w:jc w:val="center"/>
              <w:rPr>
                <w:rFonts w:ascii="仿宋_GB2312" w:cs="宋体"/>
                <w:b/>
                <w:color w:val="auto"/>
                <w:kern w:val="0"/>
                <w:sz w:val="24"/>
                <w:szCs w:val="21"/>
                <w:highlight w:val="none"/>
              </w:rPr>
            </w:pPr>
          </w:p>
          <w:p>
            <w:pPr>
              <w:widowControl/>
              <w:snapToGrid w:val="0"/>
              <w:spacing w:line="400" w:lineRule="exact"/>
              <w:jc w:val="center"/>
              <w:rPr>
                <w:rFonts w:ascii="仿宋_GB2312" w:cs="宋体"/>
                <w:b/>
                <w:color w:val="auto"/>
                <w:kern w:val="0"/>
                <w:sz w:val="24"/>
                <w:szCs w:val="21"/>
                <w:highlight w:val="none"/>
              </w:rPr>
            </w:pPr>
          </w:p>
          <w:p>
            <w:pPr>
              <w:widowControl/>
              <w:snapToGrid w:val="0"/>
              <w:spacing w:line="400" w:lineRule="exact"/>
              <w:jc w:val="center"/>
              <w:rPr>
                <w:rFonts w:ascii="仿宋_GB2312" w:cs="宋体"/>
                <w:b/>
                <w:color w:val="auto"/>
                <w:kern w:val="0"/>
                <w:sz w:val="24"/>
                <w:szCs w:val="21"/>
                <w:highlight w:val="none"/>
              </w:rPr>
            </w:pPr>
          </w:p>
          <w:p>
            <w:pPr>
              <w:widowControl/>
              <w:snapToGrid w:val="0"/>
              <w:spacing w:line="400" w:lineRule="exact"/>
              <w:jc w:val="center"/>
              <w:rPr>
                <w:rFonts w:ascii="仿宋_GB2312" w:cs="宋体"/>
                <w:b/>
                <w:color w:val="auto"/>
                <w:kern w:val="0"/>
                <w:sz w:val="24"/>
                <w:szCs w:val="21"/>
                <w:highlight w:val="none"/>
              </w:rPr>
            </w:pPr>
          </w:p>
          <w:p>
            <w:pPr>
              <w:widowControl/>
              <w:snapToGrid w:val="0"/>
              <w:spacing w:line="400" w:lineRule="exact"/>
              <w:jc w:val="center"/>
              <w:rPr>
                <w:rFonts w:ascii="仿宋_GB2312" w:cs="宋体"/>
                <w:b/>
                <w:color w:val="auto"/>
                <w:kern w:val="0"/>
                <w:sz w:val="36"/>
                <w:szCs w:val="21"/>
                <w:highlight w:val="none"/>
              </w:rPr>
            </w:pPr>
          </w:p>
        </w:tc>
      </w:tr>
    </w:tbl>
    <w:p>
      <w:pPr>
        <w:tabs>
          <w:tab w:val="left" w:pos="720"/>
          <w:tab w:val="left" w:pos="900"/>
        </w:tabs>
        <w:spacing w:line="360" w:lineRule="auto"/>
        <w:rPr>
          <w:rFonts w:ascii="仿宋" w:hAnsi="仿宋" w:eastAsia="仿宋" w:cs="仿宋"/>
          <w:b/>
          <w:color w:val="auto"/>
          <w:kern w:val="0"/>
          <w:sz w:val="28"/>
          <w:szCs w:val="28"/>
          <w:highlight w:val="none"/>
        </w:rPr>
      </w:pPr>
    </w:p>
    <w:p>
      <w:pPr>
        <w:tabs>
          <w:tab w:val="left" w:pos="720"/>
          <w:tab w:val="left" w:pos="900"/>
        </w:tabs>
        <w:spacing w:line="288" w:lineRule="auto"/>
        <w:ind w:firstLine="4779" w:firstLineChars="1700"/>
        <w:rPr>
          <w:rFonts w:ascii="仿宋" w:hAnsi="仿宋" w:eastAsia="仿宋" w:cs="仿宋"/>
          <w:b/>
          <w:color w:val="auto"/>
          <w:kern w:val="0"/>
          <w:sz w:val="28"/>
          <w:szCs w:val="28"/>
          <w:highlight w:val="none"/>
          <w:u w:val="single"/>
        </w:rPr>
      </w:pPr>
      <w:r>
        <w:rPr>
          <w:rFonts w:hint="eastAsia" w:ascii="仿宋" w:hAnsi="仿宋" w:eastAsia="仿宋" w:cs="仿宋"/>
          <w:b/>
          <w:color w:val="auto"/>
          <w:kern w:val="0"/>
          <w:sz w:val="28"/>
          <w:szCs w:val="28"/>
          <w:highlight w:val="none"/>
        </w:rPr>
        <w:t>供应商：</w:t>
      </w:r>
      <w:r>
        <w:rPr>
          <w:rFonts w:hint="eastAsia" w:ascii="仿宋" w:hAnsi="仿宋" w:eastAsia="仿宋" w:cs="仿宋"/>
          <w:b/>
          <w:color w:val="auto"/>
          <w:kern w:val="0"/>
          <w:sz w:val="28"/>
          <w:szCs w:val="28"/>
          <w:highlight w:val="none"/>
          <w:u w:val="single"/>
        </w:rPr>
        <w:t xml:space="preserve">            （盖公章）</w:t>
      </w:r>
    </w:p>
    <w:p>
      <w:pPr>
        <w:spacing w:line="288" w:lineRule="auto"/>
        <w:ind w:right="480" w:firstLine="4760" w:firstLineChars="1700"/>
        <w:rPr>
          <w:rFonts w:ascii="仿宋" w:hAnsi="仿宋" w:eastAsia="仿宋" w:cs="仿宋"/>
          <w:color w:val="auto"/>
          <w:szCs w:val="28"/>
          <w:highlight w:val="none"/>
        </w:rPr>
        <w:sectPr>
          <w:footerReference r:id="rId11" w:type="first"/>
          <w:headerReference r:id="rId9" w:type="default"/>
          <w:footerReference r:id="rId10" w:type="default"/>
          <w:pgSz w:w="11906" w:h="16838"/>
          <w:pgMar w:top="1440" w:right="1418" w:bottom="1440" w:left="1418" w:header="680" w:footer="907" w:gutter="0"/>
          <w:cols w:space="720" w:num="1"/>
          <w:titlePg/>
          <w:docGrid w:linePitch="271" w:charSpace="0"/>
        </w:sectPr>
      </w:pPr>
      <w:r>
        <w:rPr>
          <w:rFonts w:hint="eastAsia" w:ascii="仿宋" w:hAnsi="仿宋" w:eastAsia="仿宋" w:cs="仿宋"/>
          <w:color w:val="auto"/>
          <w:sz w:val="28"/>
          <w:szCs w:val="28"/>
          <w:highlight w:val="none"/>
        </w:rPr>
        <w:t>日   期：</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p>
    <w:p>
      <w:pPr>
        <w:keepNext/>
        <w:keepLines/>
        <w:widowControl/>
        <w:spacing w:before="120" w:line="360" w:lineRule="auto"/>
        <w:jc w:val="left"/>
        <w:outlineLvl w:val="1"/>
        <w:rPr>
          <w:rFonts w:eastAsia="黑体"/>
          <w:b/>
          <w:color w:val="auto"/>
          <w:kern w:val="0"/>
          <w:sz w:val="28"/>
          <w:szCs w:val="22"/>
          <w:highlight w:val="none"/>
        </w:rPr>
      </w:pPr>
      <w:bookmarkStart w:id="40" w:name="_Toc440162800"/>
      <w:bookmarkStart w:id="41" w:name="_Toc30408915"/>
      <w:bookmarkStart w:id="42" w:name="_Toc7988414"/>
      <w:bookmarkStart w:id="43" w:name="_Toc424164168"/>
      <w:bookmarkStart w:id="44" w:name="_Toc8008423"/>
      <w:bookmarkStart w:id="45" w:name="_Toc24550050"/>
      <w:bookmarkStart w:id="46" w:name="_Toc7988468"/>
      <w:r>
        <w:rPr>
          <w:rFonts w:hint="eastAsia" w:eastAsia="黑体"/>
          <w:b/>
          <w:color w:val="auto"/>
          <w:kern w:val="0"/>
          <w:sz w:val="28"/>
          <w:szCs w:val="22"/>
          <w:highlight w:val="none"/>
        </w:rPr>
        <w:t>二、“商务技术文件</w:t>
      </w:r>
      <w:r>
        <w:rPr>
          <w:rFonts w:eastAsia="黑体"/>
          <w:b/>
          <w:color w:val="auto"/>
          <w:kern w:val="0"/>
          <w:sz w:val="28"/>
          <w:szCs w:val="22"/>
          <w:highlight w:val="none"/>
        </w:rPr>
        <w:t>”</w:t>
      </w:r>
      <w:r>
        <w:rPr>
          <w:rFonts w:hint="eastAsia" w:eastAsia="黑体"/>
          <w:b/>
          <w:color w:val="auto"/>
          <w:kern w:val="0"/>
          <w:sz w:val="28"/>
          <w:szCs w:val="22"/>
          <w:highlight w:val="none"/>
        </w:rPr>
        <w:t>格式</w:t>
      </w:r>
      <w:bookmarkEnd w:id="40"/>
      <w:bookmarkEnd w:id="41"/>
      <w:bookmarkEnd w:id="42"/>
      <w:bookmarkEnd w:id="43"/>
      <w:bookmarkEnd w:id="44"/>
      <w:bookmarkEnd w:id="45"/>
      <w:bookmarkEnd w:id="46"/>
    </w:p>
    <w:p>
      <w:pPr>
        <w:keepNext/>
        <w:keepLines/>
        <w:spacing w:before="240" w:after="240" w:line="360" w:lineRule="auto"/>
        <w:jc w:val="left"/>
        <w:outlineLvl w:val="2"/>
        <w:rPr>
          <w:rFonts w:eastAsia="黑体"/>
          <w:b/>
          <w:color w:val="auto"/>
          <w:sz w:val="28"/>
          <w:szCs w:val="22"/>
          <w:highlight w:val="none"/>
        </w:rPr>
      </w:pPr>
      <w:r>
        <w:rPr>
          <w:rFonts w:hint="eastAsia" w:eastAsia="黑体"/>
          <w:b/>
          <w:color w:val="auto"/>
          <w:sz w:val="28"/>
          <w:szCs w:val="22"/>
          <w:highlight w:val="none"/>
        </w:rPr>
        <w:t>2.1 “商务技术文件”封面</w:t>
      </w:r>
    </w:p>
    <w:p>
      <w:pPr>
        <w:spacing w:line="360" w:lineRule="auto"/>
        <w:jc w:val="right"/>
        <w:rPr>
          <w:rFonts w:ascii="Arial" w:hAnsi="Arial" w:eastAsia="新宋体" w:cs="Arial"/>
          <w:b/>
          <w:color w:val="auto"/>
          <w:sz w:val="32"/>
          <w:szCs w:val="22"/>
          <w:highlight w:val="none"/>
        </w:rPr>
      </w:pPr>
    </w:p>
    <w:p>
      <w:pPr>
        <w:spacing w:line="276" w:lineRule="auto"/>
        <w:jc w:val="center"/>
        <w:rPr>
          <w:rFonts w:ascii="华文中宋" w:hAnsi="华文中宋" w:eastAsia="华文中宋" w:cs="Arial"/>
          <w:b/>
          <w:color w:val="auto"/>
          <w:w w:val="90"/>
          <w:sz w:val="220"/>
          <w:szCs w:val="22"/>
          <w:highlight w:val="none"/>
        </w:rPr>
      </w:pPr>
      <w:r>
        <w:rPr>
          <w:rFonts w:hint="eastAsia" w:ascii="华文中宋" w:hAnsi="华文中宋" w:eastAsia="华文中宋" w:cs="Arial"/>
          <w:b/>
          <w:color w:val="auto"/>
          <w:w w:val="90"/>
          <w:sz w:val="44"/>
          <w:szCs w:val="22"/>
          <w:highlight w:val="none"/>
        </w:rPr>
        <w:t>苍南县人民医院布品租赁及洗涤服务项目</w:t>
      </w:r>
    </w:p>
    <w:p>
      <w:pPr>
        <w:spacing w:line="360" w:lineRule="auto"/>
        <w:jc w:val="center"/>
        <w:rPr>
          <w:rFonts w:ascii="Arial" w:hAnsi="Arial" w:eastAsia="新宋体" w:cs="Arial"/>
          <w:b/>
          <w:color w:val="auto"/>
          <w:sz w:val="52"/>
          <w:szCs w:val="22"/>
          <w:highlight w:val="none"/>
        </w:rPr>
      </w:pPr>
    </w:p>
    <w:p>
      <w:pPr>
        <w:spacing w:line="276" w:lineRule="auto"/>
        <w:jc w:val="center"/>
        <w:rPr>
          <w:rFonts w:ascii="华文中宋" w:hAnsi="华文中宋" w:eastAsia="华文中宋" w:cs="Arial"/>
          <w:color w:val="auto"/>
          <w:sz w:val="96"/>
          <w:szCs w:val="22"/>
          <w:highlight w:val="none"/>
        </w:rPr>
      </w:pPr>
      <w:r>
        <w:rPr>
          <w:rFonts w:hint="eastAsia" w:ascii="华文中宋" w:hAnsi="华文中宋" w:eastAsia="华文中宋" w:cs="Arial"/>
          <w:color w:val="auto"/>
          <w:sz w:val="96"/>
          <w:szCs w:val="22"/>
          <w:highlight w:val="none"/>
        </w:rPr>
        <w:t>投 标</w:t>
      </w:r>
      <w:r>
        <w:rPr>
          <w:rFonts w:ascii="华文中宋" w:hAnsi="华文中宋" w:eastAsia="华文中宋" w:cs="Arial"/>
          <w:color w:val="auto"/>
          <w:sz w:val="96"/>
          <w:szCs w:val="22"/>
          <w:highlight w:val="none"/>
        </w:rPr>
        <w:t xml:space="preserve"> </w:t>
      </w:r>
      <w:r>
        <w:rPr>
          <w:rFonts w:hint="eastAsia" w:ascii="华文中宋" w:hAnsi="华文中宋" w:eastAsia="华文中宋" w:cs="Arial"/>
          <w:color w:val="auto"/>
          <w:sz w:val="96"/>
          <w:szCs w:val="22"/>
          <w:highlight w:val="none"/>
        </w:rPr>
        <w:t>文</w:t>
      </w:r>
      <w:r>
        <w:rPr>
          <w:rFonts w:ascii="华文中宋" w:hAnsi="华文中宋" w:eastAsia="华文中宋" w:cs="Arial"/>
          <w:color w:val="auto"/>
          <w:sz w:val="96"/>
          <w:szCs w:val="22"/>
          <w:highlight w:val="none"/>
        </w:rPr>
        <w:t xml:space="preserve"> </w:t>
      </w:r>
      <w:r>
        <w:rPr>
          <w:rFonts w:hint="eastAsia" w:ascii="华文中宋" w:hAnsi="华文中宋" w:eastAsia="华文中宋" w:cs="Arial"/>
          <w:color w:val="auto"/>
          <w:sz w:val="96"/>
          <w:szCs w:val="22"/>
          <w:highlight w:val="none"/>
        </w:rPr>
        <w:t>件</w:t>
      </w:r>
    </w:p>
    <w:p>
      <w:pPr>
        <w:spacing w:line="360" w:lineRule="auto"/>
        <w:jc w:val="center"/>
        <w:rPr>
          <w:rFonts w:ascii="华文中宋" w:hAnsi="华文中宋" w:eastAsia="华文中宋" w:cs="Arial"/>
          <w:b/>
          <w:color w:val="auto"/>
          <w:sz w:val="52"/>
          <w:szCs w:val="22"/>
          <w:highlight w:val="none"/>
        </w:rPr>
      </w:pPr>
      <w:r>
        <w:rPr>
          <w:rFonts w:hint="eastAsia" w:ascii="华文中宋" w:hAnsi="华文中宋" w:eastAsia="华文中宋" w:cs="Arial"/>
          <w:b/>
          <w:color w:val="auto"/>
          <w:sz w:val="52"/>
          <w:szCs w:val="22"/>
          <w:highlight w:val="none"/>
        </w:rPr>
        <w:t>（商务技术文件）</w:t>
      </w:r>
    </w:p>
    <w:p>
      <w:pPr>
        <w:spacing w:line="360" w:lineRule="auto"/>
        <w:jc w:val="center"/>
        <w:rPr>
          <w:rFonts w:ascii="华文中宋" w:hAnsi="华文中宋" w:eastAsia="华文中宋" w:cs="Arial"/>
          <w:b/>
          <w:color w:val="auto"/>
          <w:sz w:val="52"/>
          <w:szCs w:val="22"/>
          <w:highlight w:val="none"/>
        </w:rPr>
      </w:pPr>
    </w:p>
    <w:tbl>
      <w:tblPr>
        <w:tblStyle w:val="38"/>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项目编号：</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供应商名称（盖章）：</w:t>
            </w:r>
            <w:r>
              <w:rPr>
                <w:rFonts w:ascii="仿宋" w:hAnsi="仿宋" w:eastAsia="仿宋" w:cs="Arial"/>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供应商地址：</w:t>
            </w:r>
            <w:r>
              <w:rPr>
                <w:rFonts w:ascii="仿宋" w:hAnsi="仿宋" w:eastAsia="仿宋" w:cs="Arial"/>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法定代表人或其授权代表（签字或盖章）：</w:t>
            </w:r>
            <w:r>
              <w:rPr>
                <w:rFonts w:ascii="仿宋" w:hAnsi="仿宋" w:eastAsia="仿宋" w:cs="Arial"/>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日期：</w:t>
            </w:r>
            <w:r>
              <w:rPr>
                <w:rFonts w:ascii="仿宋" w:hAnsi="仿宋" w:eastAsia="仿宋" w:cs="Arial"/>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auto"/>
                <w:sz w:val="28"/>
                <w:szCs w:val="28"/>
                <w:highlight w:val="none"/>
              </w:rPr>
            </w:pPr>
          </w:p>
        </w:tc>
      </w:tr>
    </w:tbl>
    <w:p>
      <w:pPr>
        <w:rPr>
          <w:color w:val="auto"/>
          <w:szCs w:val="22"/>
          <w:highlight w:val="none"/>
        </w:rPr>
      </w:pPr>
    </w:p>
    <w:p>
      <w:pPr>
        <w:keepNext/>
        <w:keepLines/>
        <w:spacing w:before="240" w:after="240" w:line="360" w:lineRule="auto"/>
        <w:jc w:val="left"/>
        <w:outlineLvl w:val="2"/>
        <w:rPr>
          <w:rFonts w:eastAsia="黑体"/>
          <w:b/>
          <w:color w:val="auto"/>
          <w:sz w:val="28"/>
          <w:szCs w:val="22"/>
          <w:highlight w:val="none"/>
        </w:rPr>
      </w:pPr>
      <w:r>
        <w:rPr>
          <w:rFonts w:eastAsia="黑体"/>
          <w:b/>
          <w:color w:val="auto"/>
          <w:sz w:val="28"/>
          <w:szCs w:val="22"/>
          <w:highlight w:val="none"/>
        </w:rPr>
        <w:br w:type="page"/>
      </w:r>
      <w:r>
        <w:rPr>
          <w:rFonts w:hint="eastAsia" w:eastAsia="黑体"/>
          <w:b/>
          <w:color w:val="auto"/>
          <w:sz w:val="28"/>
          <w:szCs w:val="22"/>
          <w:highlight w:val="none"/>
        </w:rPr>
        <w:t>2.3供应商自评分指引表</w:t>
      </w:r>
    </w:p>
    <w:tbl>
      <w:tblPr>
        <w:tblStyle w:val="38"/>
        <w:tblW w:w="0" w:type="auto"/>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r>
              <w:rPr>
                <w:color w:val="auto"/>
                <w:sz w:val="22"/>
                <w:szCs w:val="22"/>
                <w:highlight w:val="none"/>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color w:val="auto"/>
                <w:sz w:val="22"/>
                <w:szCs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color w:val="auto"/>
                <w:sz w:val="22"/>
                <w:szCs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exact"/>
              <w:rPr>
                <w:color w:val="auto"/>
                <w:sz w:val="22"/>
                <w:szCs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color w:val="auto"/>
                <w:sz w:val="22"/>
                <w:szCs w:val="22"/>
                <w:highlight w:val="none"/>
              </w:rPr>
            </w:pPr>
          </w:p>
        </w:tc>
      </w:tr>
    </w:tbl>
    <w:p>
      <w:pPr>
        <w:rPr>
          <w:color w:val="auto"/>
          <w:szCs w:val="22"/>
          <w:highlight w:val="none"/>
        </w:rPr>
      </w:pPr>
    </w:p>
    <w:p>
      <w:pPr>
        <w:rPr>
          <w:color w:val="auto"/>
          <w:sz w:val="32"/>
          <w:szCs w:val="22"/>
          <w:highlight w:val="none"/>
        </w:rPr>
      </w:pPr>
    </w:p>
    <w:p>
      <w:pPr>
        <w:rPr>
          <w:color w:val="auto"/>
          <w:sz w:val="32"/>
          <w:szCs w:val="22"/>
          <w:highlight w:val="none"/>
        </w:rPr>
      </w:pPr>
    </w:p>
    <w:p>
      <w:pPr>
        <w:rPr>
          <w:color w:val="auto"/>
          <w:sz w:val="32"/>
          <w:szCs w:val="22"/>
          <w:highlight w:val="none"/>
        </w:rPr>
      </w:pPr>
    </w:p>
    <w:p>
      <w:pPr>
        <w:rPr>
          <w:color w:val="auto"/>
          <w:sz w:val="32"/>
          <w:szCs w:val="22"/>
          <w:highlight w:val="none"/>
        </w:rPr>
      </w:pPr>
    </w:p>
    <w:p>
      <w:pPr>
        <w:rPr>
          <w:color w:val="auto"/>
          <w:sz w:val="32"/>
          <w:szCs w:val="22"/>
          <w:highlight w:val="none"/>
        </w:rPr>
      </w:pPr>
    </w:p>
    <w:p>
      <w:pPr>
        <w:rPr>
          <w:color w:val="auto"/>
          <w:sz w:val="32"/>
          <w:szCs w:val="22"/>
          <w:highlight w:val="none"/>
        </w:rPr>
      </w:pPr>
    </w:p>
    <w:p>
      <w:pPr>
        <w:rPr>
          <w:color w:val="auto"/>
          <w:sz w:val="32"/>
          <w:szCs w:val="22"/>
          <w:highlight w:val="none"/>
        </w:rPr>
      </w:pPr>
    </w:p>
    <w:p>
      <w:pPr>
        <w:rPr>
          <w:color w:val="auto"/>
          <w:sz w:val="32"/>
          <w:szCs w:val="22"/>
          <w:highlight w:val="none"/>
        </w:rPr>
      </w:pPr>
    </w:p>
    <w:p>
      <w:pPr>
        <w:rPr>
          <w:color w:val="auto"/>
          <w:sz w:val="32"/>
          <w:szCs w:val="22"/>
          <w:highlight w:val="none"/>
        </w:rPr>
      </w:pPr>
    </w:p>
    <w:p>
      <w:pPr>
        <w:rPr>
          <w:color w:val="auto"/>
          <w:sz w:val="32"/>
          <w:szCs w:val="22"/>
          <w:highlight w:val="none"/>
        </w:rPr>
      </w:pPr>
    </w:p>
    <w:p>
      <w:pPr>
        <w:rPr>
          <w:color w:val="auto"/>
          <w:sz w:val="32"/>
          <w:szCs w:val="22"/>
          <w:highlight w:val="none"/>
        </w:rPr>
      </w:pPr>
    </w:p>
    <w:p>
      <w:pPr>
        <w:rPr>
          <w:color w:val="auto"/>
          <w:sz w:val="32"/>
          <w:szCs w:val="22"/>
          <w:highlight w:val="none"/>
        </w:rPr>
      </w:pPr>
      <w:r>
        <w:rPr>
          <w:rFonts w:hint="eastAsia"/>
          <w:color w:val="auto"/>
          <w:sz w:val="32"/>
          <w:szCs w:val="22"/>
          <w:highlight w:val="none"/>
        </w:rPr>
        <w:t>2.4</w:t>
      </w:r>
      <w:r>
        <w:rPr>
          <w:color w:val="auto"/>
          <w:sz w:val="32"/>
          <w:szCs w:val="22"/>
          <w:highlight w:val="none"/>
        </w:rPr>
        <w:t>供应商参与政府采购活动投标资格声明函</w:t>
      </w:r>
    </w:p>
    <w:p>
      <w:pPr>
        <w:snapToGrid w:val="0"/>
        <w:spacing w:line="360" w:lineRule="exact"/>
        <w:jc w:val="center"/>
        <w:rPr>
          <w:b/>
          <w:color w:val="auto"/>
          <w:sz w:val="32"/>
          <w:szCs w:val="22"/>
          <w:highlight w:val="none"/>
        </w:rPr>
      </w:pPr>
      <w:r>
        <w:rPr>
          <w:b/>
          <w:color w:val="auto"/>
          <w:sz w:val="32"/>
          <w:szCs w:val="22"/>
          <w:highlight w:val="none"/>
        </w:rPr>
        <w:t>供应商参与政府采购活动投标资格声明函</w:t>
      </w:r>
    </w:p>
    <w:tbl>
      <w:tblPr>
        <w:tblStyle w:val="38"/>
        <w:tblW w:w="0" w:type="auto"/>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color w:val="auto"/>
                <w:sz w:val="22"/>
                <w:szCs w:val="22"/>
                <w:highlight w:val="none"/>
              </w:rPr>
            </w:pPr>
            <w:r>
              <w:rPr>
                <w:color w:val="auto"/>
                <w:sz w:val="22"/>
                <w:szCs w:val="22"/>
                <w:highlight w:val="none"/>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ind w:left="422" w:firstLine="331"/>
              <w:rPr>
                <w:color w:val="auto"/>
                <w:sz w:val="22"/>
                <w:szCs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color w:val="auto"/>
                <w:sz w:val="22"/>
                <w:szCs w:val="22"/>
                <w:highlight w:val="none"/>
              </w:rPr>
            </w:pPr>
            <w:r>
              <w:rPr>
                <w:color w:val="auto"/>
                <w:sz w:val="22"/>
                <w:szCs w:val="22"/>
                <w:highlight w:val="none"/>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ind w:left="422" w:firstLine="361"/>
              <w:rPr>
                <w:color w:val="auto"/>
                <w:sz w:val="22"/>
                <w:szCs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color w:val="auto"/>
                <w:sz w:val="22"/>
                <w:szCs w:val="22"/>
                <w:highlight w:val="none"/>
              </w:rPr>
            </w:pPr>
            <w:r>
              <w:rPr>
                <w:color w:val="auto"/>
                <w:sz w:val="22"/>
                <w:szCs w:val="22"/>
                <w:highlight w:val="none"/>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rPr>
                <w:color w:val="auto"/>
                <w:sz w:val="22"/>
                <w:szCs w:val="22"/>
                <w:highlight w:val="none"/>
              </w:rPr>
            </w:pPr>
            <w:r>
              <w:rPr>
                <w:color w:val="auto"/>
                <w:sz w:val="22"/>
                <w:szCs w:val="22"/>
                <w:highlight w:val="none"/>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00" w:lineRule="exact"/>
              <w:ind w:firstLine="450"/>
              <w:rPr>
                <w:color w:val="auto"/>
                <w:sz w:val="22"/>
                <w:szCs w:val="22"/>
                <w:highlight w:val="none"/>
              </w:rPr>
            </w:pPr>
            <w:r>
              <w:rPr>
                <w:color w:val="auto"/>
                <w:sz w:val="22"/>
                <w:szCs w:val="22"/>
                <w:highlight w:val="none"/>
              </w:rPr>
              <w:t>1、根据政府采购法第二十二条规定，我单位满足以下条件：</w:t>
            </w:r>
          </w:p>
          <w:p>
            <w:pPr>
              <w:snapToGrid w:val="0"/>
              <w:spacing w:line="400" w:lineRule="exact"/>
              <w:ind w:firstLine="450"/>
              <w:rPr>
                <w:color w:val="auto"/>
                <w:sz w:val="22"/>
                <w:szCs w:val="22"/>
                <w:highlight w:val="none"/>
              </w:rPr>
            </w:pPr>
            <w:r>
              <w:rPr>
                <w:color w:val="auto"/>
                <w:sz w:val="22"/>
                <w:szCs w:val="22"/>
                <w:highlight w:val="none"/>
              </w:rPr>
              <w:t xml:space="preserve">（一）具有独立承担民事责任的能力； </w:t>
            </w:r>
            <w:r>
              <w:rPr>
                <w:color w:val="auto"/>
                <w:sz w:val="22"/>
                <w:szCs w:val="22"/>
                <w:highlight w:val="none"/>
              </w:rPr>
              <w:br w:type="textWrapping"/>
            </w:r>
            <w:r>
              <w:rPr>
                <w:color w:val="auto"/>
                <w:sz w:val="22"/>
                <w:szCs w:val="22"/>
                <w:highlight w:val="none"/>
              </w:rPr>
              <w:t xml:space="preserve">　　（二）具有良好的商业信誉和健全的财务会计制度； </w:t>
            </w:r>
            <w:r>
              <w:rPr>
                <w:color w:val="auto"/>
                <w:sz w:val="22"/>
                <w:szCs w:val="22"/>
                <w:highlight w:val="none"/>
              </w:rPr>
              <w:br w:type="textWrapping"/>
            </w:r>
            <w:r>
              <w:rPr>
                <w:color w:val="auto"/>
                <w:sz w:val="22"/>
                <w:szCs w:val="22"/>
                <w:highlight w:val="none"/>
              </w:rPr>
              <w:t xml:space="preserve">　　（三）具有履行合同所必需的设备和专业技术能力； </w:t>
            </w:r>
            <w:r>
              <w:rPr>
                <w:color w:val="auto"/>
                <w:sz w:val="22"/>
                <w:szCs w:val="22"/>
                <w:highlight w:val="none"/>
              </w:rPr>
              <w:br w:type="textWrapping"/>
            </w:r>
            <w:r>
              <w:rPr>
                <w:color w:val="auto"/>
                <w:sz w:val="22"/>
                <w:szCs w:val="22"/>
                <w:highlight w:val="none"/>
              </w:rPr>
              <w:t xml:space="preserve">　　（四）有依法缴纳税收和社会保障资金的良好记录； </w:t>
            </w:r>
            <w:r>
              <w:rPr>
                <w:color w:val="auto"/>
                <w:sz w:val="22"/>
                <w:szCs w:val="22"/>
                <w:highlight w:val="none"/>
              </w:rPr>
              <w:br w:type="textWrapping"/>
            </w:r>
            <w:r>
              <w:rPr>
                <w:color w:val="auto"/>
                <w:sz w:val="22"/>
                <w:szCs w:val="22"/>
                <w:highlight w:val="none"/>
              </w:rPr>
              <w:t xml:space="preserve">　　（五）参加政府采购活动前三年内，在经营活动中没有重大违法记录； </w:t>
            </w:r>
            <w:r>
              <w:rPr>
                <w:color w:val="auto"/>
                <w:sz w:val="22"/>
                <w:szCs w:val="22"/>
                <w:highlight w:val="none"/>
              </w:rPr>
              <w:br w:type="textWrapping"/>
            </w:r>
            <w:r>
              <w:rPr>
                <w:color w:val="auto"/>
                <w:sz w:val="22"/>
                <w:szCs w:val="22"/>
                <w:highlight w:val="none"/>
              </w:rPr>
              <w:t xml:space="preserve">　　（六）法律、行政法规规定的其他条件。 </w:t>
            </w:r>
          </w:p>
          <w:p>
            <w:pPr>
              <w:snapToGrid w:val="0"/>
              <w:spacing w:line="400" w:lineRule="exact"/>
              <w:ind w:firstLine="450"/>
              <w:rPr>
                <w:b/>
                <w:color w:val="auto"/>
                <w:sz w:val="22"/>
                <w:szCs w:val="22"/>
                <w:highlight w:val="none"/>
              </w:rPr>
            </w:pPr>
            <w:r>
              <w:rPr>
                <w:color w:val="auto"/>
                <w:sz w:val="22"/>
                <w:szCs w:val="22"/>
                <w:highlight w:val="none"/>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b/>
                <w:color w:val="auto"/>
                <w:sz w:val="22"/>
                <w:szCs w:val="22"/>
                <w:highlight w:val="none"/>
              </w:rPr>
              <w:t>我单位承诺不存在上述文件规定依法限制参与政府采购的情况。</w:t>
            </w:r>
          </w:p>
          <w:p>
            <w:pPr>
              <w:snapToGrid w:val="0"/>
              <w:spacing w:line="400" w:lineRule="exact"/>
              <w:ind w:firstLine="450"/>
              <w:rPr>
                <w:color w:val="auto"/>
                <w:sz w:val="22"/>
                <w:szCs w:val="22"/>
                <w:highlight w:val="none"/>
              </w:rPr>
            </w:pPr>
            <w:r>
              <w:rPr>
                <w:color w:val="auto"/>
                <w:sz w:val="22"/>
                <w:szCs w:val="22"/>
                <w:highlight w:val="none"/>
              </w:rPr>
              <w:t>3、我单位承诺没有被各地、各级财政部门限制参加政府采购活动。</w:t>
            </w:r>
          </w:p>
          <w:p>
            <w:pPr>
              <w:tabs>
                <w:tab w:val="center" w:pos="4483"/>
              </w:tabs>
              <w:snapToGrid w:val="0"/>
              <w:spacing w:line="360" w:lineRule="auto"/>
              <w:ind w:firstLine="400"/>
              <w:rPr>
                <w:color w:val="auto"/>
                <w:sz w:val="22"/>
                <w:szCs w:val="22"/>
                <w:highlight w:val="none"/>
                <w:u w:val="single"/>
              </w:rPr>
            </w:pPr>
            <w:r>
              <w:rPr>
                <w:color w:val="auto"/>
                <w:sz w:val="22"/>
                <w:szCs w:val="22"/>
                <w:highlight w:val="none"/>
              </w:rPr>
              <w:t>4、我单位承诺参与本项目政府采购活动3年内没有其它重大违法记录（重大违法记录，是指供应商因违法经营受到刑事处罚或者责令停产停业、吊销许可证或者执照、较大数额罚款等行政处罚）。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snapToGrid w:val="0"/>
              <w:spacing w:line="360" w:lineRule="auto"/>
              <w:ind w:firstLine="440"/>
              <w:rPr>
                <w:color w:val="auto"/>
                <w:sz w:val="22"/>
                <w:szCs w:val="22"/>
                <w:highlight w:val="none"/>
              </w:rPr>
            </w:pPr>
            <w:r>
              <w:rPr>
                <w:color w:val="auto"/>
                <w:sz w:val="22"/>
                <w:szCs w:val="22"/>
                <w:highlight w:val="none"/>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left="422" w:firstLine="331"/>
              <w:rPr>
                <w:color w:val="auto"/>
                <w:sz w:val="22"/>
                <w:szCs w:val="22"/>
                <w:highlight w:val="none"/>
              </w:rPr>
            </w:pPr>
            <w:r>
              <w:rPr>
                <w:color w:val="auto"/>
                <w:sz w:val="22"/>
                <w:szCs w:val="22"/>
                <w:highlight w:val="none"/>
              </w:rPr>
              <w:t>供应商名称（加盖盖章）：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left="422" w:firstLine="316"/>
              <w:rPr>
                <w:color w:val="auto"/>
                <w:sz w:val="22"/>
                <w:szCs w:val="22"/>
                <w:highlight w:val="none"/>
              </w:rPr>
            </w:pPr>
            <w:r>
              <w:rPr>
                <w:color w:val="auto"/>
                <w:sz w:val="22"/>
                <w:szCs w:val="22"/>
                <w:highlight w:val="none"/>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00" w:lineRule="exact"/>
              <w:ind w:left="422" w:firstLine="331"/>
              <w:rPr>
                <w:color w:val="auto"/>
                <w:sz w:val="22"/>
                <w:szCs w:val="22"/>
                <w:highlight w:val="none"/>
              </w:rPr>
            </w:pPr>
            <w:r>
              <w:rPr>
                <w:color w:val="auto"/>
                <w:sz w:val="22"/>
                <w:szCs w:val="22"/>
                <w:highlight w:val="none"/>
              </w:rPr>
              <w:t>签署日期：</w:t>
            </w:r>
          </w:p>
        </w:tc>
      </w:tr>
    </w:tbl>
    <w:p>
      <w:pPr>
        <w:snapToGrid w:val="0"/>
        <w:spacing w:line="460" w:lineRule="atLeast"/>
        <w:rPr>
          <w:color w:val="auto"/>
          <w:sz w:val="30"/>
          <w:szCs w:val="22"/>
          <w:highlight w:val="none"/>
        </w:rPr>
      </w:pPr>
    </w:p>
    <w:p>
      <w:pPr>
        <w:rPr>
          <w:color w:val="auto"/>
          <w:sz w:val="36"/>
          <w:szCs w:val="22"/>
          <w:highlight w:val="none"/>
        </w:rPr>
      </w:pPr>
    </w:p>
    <w:p>
      <w:pPr>
        <w:rPr>
          <w:color w:val="auto"/>
          <w:sz w:val="36"/>
          <w:szCs w:val="22"/>
          <w:highlight w:val="none"/>
        </w:rPr>
      </w:pPr>
    </w:p>
    <w:p>
      <w:pPr>
        <w:rPr>
          <w:color w:val="auto"/>
          <w:sz w:val="36"/>
          <w:szCs w:val="22"/>
          <w:highlight w:val="none"/>
        </w:rPr>
      </w:pPr>
    </w:p>
    <w:p>
      <w:pPr>
        <w:adjustRightInd w:val="0"/>
        <w:snapToGrid w:val="0"/>
        <w:spacing w:line="500" w:lineRule="exact"/>
        <w:rPr>
          <w:rFonts w:ascii="宋体" w:hAnsi="宋体"/>
          <w:b/>
          <w:color w:val="auto"/>
          <w:sz w:val="36"/>
          <w:szCs w:val="22"/>
          <w:highlight w:val="none"/>
        </w:rPr>
      </w:pPr>
      <w:r>
        <w:rPr>
          <w:rFonts w:hint="eastAsia" w:ascii="宋体" w:hAnsi="宋体" w:cs="宋体"/>
          <w:b/>
          <w:color w:val="auto"/>
          <w:kern w:val="0"/>
          <w:sz w:val="32"/>
          <w:highlight w:val="none"/>
        </w:rPr>
        <w:t>2.5投标函</w:t>
      </w:r>
      <w:r>
        <w:rPr>
          <w:rFonts w:hint="eastAsia" w:ascii="宋体" w:hAnsi="宋体" w:cs="宋体"/>
          <w:b/>
          <w:color w:val="auto"/>
          <w:kern w:val="0"/>
          <w:sz w:val="32"/>
          <w:highlight w:val="none"/>
        </w:rPr>
        <w:cr/>
      </w:r>
      <w:r>
        <w:rPr>
          <w:rFonts w:hint="eastAsia" w:ascii="宋体" w:hAnsi="宋体"/>
          <w:b/>
          <w:color w:val="auto"/>
          <w:sz w:val="32"/>
          <w:szCs w:val="22"/>
          <w:highlight w:val="none"/>
        </w:rPr>
        <w:t xml:space="preserve">                         </w:t>
      </w:r>
      <w:r>
        <w:rPr>
          <w:rFonts w:hint="eastAsia" w:ascii="宋体" w:hAnsi="宋体"/>
          <w:b/>
          <w:color w:val="auto"/>
          <w:sz w:val="36"/>
          <w:szCs w:val="22"/>
          <w:highlight w:val="none"/>
        </w:rPr>
        <w:t>投  标  函</w:t>
      </w:r>
    </w:p>
    <w:p>
      <w:pPr>
        <w:adjustRightInd w:val="0"/>
        <w:snapToGrid w:val="0"/>
        <w:spacing w:line="360" w:lineRule="atLeast"/>
        <w:ind w:firstLine="450"/>
        <w:rPr>
          <w:rFonts w:ascii="宋体" w:hAnsi="宋体"/>
          <w:b/>
          <w:color w:val="auto"/>
          <w:sz w:val="22"/>
          <w:szCs w:val="22"/>
          <w:highlight w:val="none"/>
          <w:u w:val="single"/>
        </w:rPr>
      </w:pPr>
      <w:r>
        <w:rPr>
          <w:rFonts w:hint="eastAsia" w:ascii="宋体" w:hAnsi="宋体"/>
          <w:b/>
          <w:color w:val="auto"/>
          <w:sz w:val="22"/>
          <w:szCs w:val="22"/>
          <w:highlight w:val="none"/>
          <w:u w:val="single"/>
        </w:rPr>
        <w:t>苍南县人民医院：</w:t>
      </w:r>
    </w:p>
    <w:p>
      <w:pPr>
        <w:adjustRightInd w:val="0"/>
        <w:snapToGrid w:val="0"/>
        <w:spacing w:line="360" w:lineRule="atLeast"/>
        <w:ind w:firstLine="450"/>
        <w:rPr>
          <w:rFonts w:ascii="宋体" w:hAnsi="宋体"/>
          <w:b/>
          <w:color w:val="auto"/>
          <w:sz w:val="22"/>
          <w:szCs w:val="22"/>
          <w:highlight w:val="none"/>
        </w:rPr>
      </w:pPr>
    </w:p>
    <w:p>
      <w:pPr>
        <w:autoSpaceDE w:val="0"/>
        <w:autoSpaceDN w:val="0"/>
        <w:adjustRightInd w:val="0"/>
        <w:snapToGrid w:val="0"/>
        <w:spacing w:line="360" w:lineRule="atLeast"/>
        <w:rPr>
          <w:rFonts w:cs="仿宋_GB2312"/>
          <w:color w:val="auto"/>
          <w:sz w:val="22"/>
          <w:szCs w:val="22"/>
          <w:highlight w:val="none"/>
          <w:lang w:val="zh-CN"/>
        </w:rPr>
      </w:pPr>
      <w:r>
        <w:rPr>
          <w:rFonts w:hint="eastAsia"/>
          <w:color w:val="auto"/>
          <w:sz w:val="22"/>
          <w:szCs w:val="22"/>
          <w:highlight w:val="none"/>
        </w:rPr>
        <w:t xml:space="preserve">     </w:t>
      </w:r>
      <w:r>
        <w:rPr>
          <w:rFonts w:cs="仿宋_GB2312"/>
          <w:color w:val="auto"/>
          <w:sz w:val="22"/>
          <w:szCs w:val="22"/>
          <w:highlight w:val="none"/>
          <w:lang w:val="zh-CN"/>
        </w:rPr>
        <w:t xml:space="preserve"> </w:t>
      </w:r>
      <w:r>
        <w:rPr>
          <w:rFonts w:cs="仿宋_GB2312"/>
          <w:color w:val="auto"/>
          <w:sz w:val="22"/>
          <w:szCs w:val="22"/>
          <w:highlight w:val="none"/>
          <w:u w:val="single"/>
          <w:lang w:val="zh-CN"/>
        </w:rPr>
        <w:t xml:space="preserve">                    </w:t>
      </w:r>
      <w:r>
        <w:rPr>
          <w:rFonts w:hint="eastAsia" w:cs="仿宋_GB2312"/>
          <w:color w:val="auto"/>
          <w:sz w:val="22"/>
          <w:szCs w:val="22"/>
          <w:highlight w:val="none"/>
          <w:lang w:val="zh-CN"/>
        </w:rPr>
        <w:t>（供应商全称）授权</w:t>
      </w:r>
      <w:r>
        <w:rPr>
          <w:rFonts w:cs="仿宋_GB2312"/>
          <w:color w:val="auto"/>
          <w:sz w:val="22"/>
          <w:szCs w:val="22"/>
          <w:highlight w:val="none"/>
          <w:u w:val="single"/>
          <w:lang w:val="zh-CN"/>
        </w:rPr>
        <w:t xml:space="preserve">              </w:t>
      </w:r>
      <w:r>
        <w:rPr>
          <w:rFonts w:cs="仿宋_GB2312"/>
          <w:color w:val="auto"/>
          <w:sz w:val="22"/>
          <w:szCs w:val="22"/>
          <w:highlight w:val="none"/>
          <w:lang w:val="zh-CN"/>
        </w:rPr>
        <w:t xml:space="preserve"> </w:t>
      </w:r>
      <w:r>
        <w:rPr>
          <w:rFonts w:hint="eastAsia" w:cs="仿宋_GB2312"/>
          <w:color w:val="auto"/>
          <w:sz w:val="22"/>
          <w:szCs w:val="22"/>
          <w:highlight w:val="none"/>
          <w:lang w:val="zh-CN"/>
        </w:rPr>
        <w:t>（授权代表名称）</w:t>
      </w:r>
      <w:r>
        <w:rPr>
          <w:rFonts w:cs="仿宋_GB2312"/>
          <w:color w:val="auto"/>
          <w:sz w:val="22"/>
          <w:szCs w:val="22"/>
          <w:highlight w:val="none"/>
          <w:u w:val="single"/>
          <w:lang w:val="zh-CN"/>
        </w:rPr>
        <w:t xml:space="preserve">         </w:t>
      </w:r>
      <w:r>
        <w:rPr>
          <w:rFonts w:hint="eastAsia" w:cs="仿宋_GB2312"/>
          <w:color w:val="auto"/>
          <w:sz w:val="22"/>
          <w:szCs w:val="22"/>
          <w:highlight w:val="none"/>
          <w:lang w:val="zh-CN"/>
        </w:rPr>
        <w:t>（职务、职称）为授权代表，参加贵方组织的</w:t>
      </w:r>
      <w:r>
        <w:rPr>
          <w:rFonts w:cs="仿宋_GB2312"/>
          <w:color w:val="auto"/>
          <w:sz w:val="22"/>
          <w:szCs w:val="22"/>
          <w:highlight w:val="none"/>
          <w:u w:val="single"/>
          <w:lang w:val="zh-CN"/>
        </w:rPr>
        <w:t xml:space="preserve">           </w:t>
      </w:r>
      <w:r>
        <w:rPr>
          <w:rFonts w:hint="eastAsia" w:cs="仿宋_GB2312"/>
          <w:color w:val="auto"/>
          <w:sz w:val="22"/>
          <w:szCs w:val="22"/>
          <w:highlight w:val="none"/>
          <w:lang w:val="zh-CN"/>
        </w:rPr>
        <w:t>（招标项目名称）（括号内填投标编号）招标的有关活动，为此：并对</w:t>
      </w:r>
      <w:r>
        <w:rPr>
          <w:rFonts w:hint="eastAsia" w:cs="仿宋_GB2312"/>
          <w:color w:val="auto"/>
          <w:sz w:val="22"/>
          <w:szCs w:val="22"/>
          <w:highlight w:val="none"/>
          <w:u w:val="single"/>
          <w:lang w:val="zh-CN"/>
        </w:rPr>
        <w:t xml:space="preserve">            </w:t>
      </w:r>
      <w:r>
        <w:rPr>
          <w:rFonts w:hint="eastAsia" w:cs="仿宋_GB2312"/>
          <w:color w:val="auto"/>
          <w:sz w:val="22"/>
          <w:szCs w:val="22"/>
          <w:highlight w:val="none"/>
          <w:lang w:val="zh-CN"/>
        </w:rPr>
        <w:t>项目（采购项目名称）进行投标。</w:t>
      </w:r>
      <w:r>
        <w:rPr>
          <w:rFonts w:cs="仿宋_GB2312"/>
          <w:color w:val="auto"/>
          <w:sz w:val="22"/>
          <w:szCs w:val="22"/>
          <w:highlight w:val="none"/>
          <w:lang w:val="zh-CN"/>
        </w:rPr>
        <w:t xml:space="preserve">   </w:t>
      </w: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r>
        <w:rPr>
          <w:rFonts w:hint="eastAsia" w:cs="仿宋_GB2312"/>
          <w:color w:val="auto"/>
          <w:sz w:val="22"/>
          <w:szCs w:val="22"/>
          <w:highlight w:val="none"/>
          <w:lang w:val="zh-CN"/>
        </w:rPr>
        <w:t>1、提供供应商须知规定的全部投标文件。</w:t>
      </w: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r>
        <w:rPr>
          <w:rFonts w:cs="仿宋_GB2312"/>
          <w:color w:val="auto"/>
          <w:sz w:val="22"/>
          <w:szCs w:val="22"/>
          <w:highlight w:val="none"/>
          <w:lang w:val="zh-CN"/>
        </w:rPr>
        <w:t>2</w:t>
      </w:r>
      <w:r>
        <w:rPr>
          <w:rFonts w:hint="eastAsia" w:cs="仿宋_GB2312"/>
          <w:color w:val="auto"/>
          <w:sz w:val="22"/>
          <w:szCs w:val="22"/>
          <w:highlight w:val="none"/>
          <w:lang w:val="zh-CN"/>
        </w:rPr>
        <w:t>、保证遵守招标文件中的有关规定和收费标准。</w:t>
      </w: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r>
        <w:rPr>
          <w:rFonts w:hint="eastAsia" w:cs="仿宋_GB2312"/>
          <w:color w:val="auto"/>
          <w:sz w:val="22"/>
          <w:szCs w:val="22"/>
          <w:highlight w:val="none"/>
          <w:lang w:val="zh-CN"/>
        </w:rPr>
        <w:t>3、保证忠实地执行采购人、中标供应商双方所签的合同，</w:t>
      </w:r>
      <w:r>
        <w:rPr>
          <w:rFonts w:cs="仿宋_GB2312"/>
          <w:color w:val="auto"/>
          <w:sz w:val="22"/>
          <w:szCs w:val="22"/>
          <w:highlight w:val="none"/>
          <w:lang w:val="zh-CN"/>
        </w:rPr>
        <w:t xml:space="preserve"> </w:t>
      </w:r>
      <w:r>
        <w:rPr>
          <w:rFonts w:hint="eastAsia" w:cs="仿宋_GB2312"/>
          <w:color w:val="auto"/>
          <w:sz w:val="22"/>
          <w:szCs w:val="22"/>
          <w:highlight w:val="none"/>
          <w:lang w:val="zh-CN"/>
        </w:rPr>
        <w:t>并承担合同规定的责任义务。</w:t>
      </w: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r>
        <w:rPr>
          <w:rFonts w:hint="eastAsia" w:cs="仿宋_GB2312"/>
          <w:color w:val="auto"/>
          <w:sz w:val="22"/>
          <w:szCs w:val="22"/>
          <w:highlight w:val="none"/>
          <w:lang w:val="zh-CN"/>
        </w:rPr>
        <w:t>4、我方承诺在合同生效后</w:t>
      </w:r>
      <w:r>
        <w:rPr>
          <w:rFonts w:hint="eastAsia" w:cs="仿宋_GB2312"/>
          <w:b/>
          <w:color w:val="auto"/>
          <w:sz w:val="22"/>
          <w:szCs w:val="22"/>
          <w:highlight w:val="none"/>
          <w:u w:val="single"/>
          <w:lang w:val="zh-CN"/>
        </w:rPr>
        <w:t>按招标文件要求完成本项目</w:t>
      </w:r>
      <w:r>
        <w:rPr>
          <w:rFonts w:hint="eastAsia" w:cs="仿宋_GB2312"/>
          <w:color w:val="auto"/>
          <w:sz w:val="22"/>
          <w:szCs w:val="22"/>
          <w:highlight w:val="none"/>
          <w:lang w:val="zh-CN"/>
        </w:rPr>
        <w:t>。</w:t>
      </w: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r>
        <w:rPr>
          <w:rFonts w:hint="eastAsia" w:cs="仿宋_GB2312"/>
          <w:color w:val="auto"/>
          <w:sz w:val="22"/>
          <w:szCs w:val="22"/>
          <w:highlight w:val="none"/>
          <w:lang w:val="zh-CN"/>
        </w:rPr>
        <w:t>5、供应商已详细审查全部招标文件，包括招标文件补充文件（如果有的话）。我方完全理解并同意放弃对这方面有不明及误解的权力。如果招标文件有相互矛盾之处，我方同意按采购人的理解处理。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r>
        <w:rPr>
          <w:rFonts w:hint="eastAsia" w:cs="仿宋_GB2312"/>
          <w:color w:val="auto"/>
          <w:sz w:val="22"/>
          <w:szCs w:val="22"/>
          <w:highlight w:val="none"/>
          <w:lang w:val="zh-CN"/>
        </w:rPr>
        <w:t>6、利益冲突：近三年内直至目前，我公司与本项目的采购人、采购机构没有任何的利害关系。</w:t>
      </w: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r>
        <w:rPr>
          <w:rFonts w:hint="eastAsia" w:cs="仿宋_GB2312"/>
          <w:color w:val="auto"/>
          <w:sz w:val="22"/>
          <w:szCs w:val="22"/>
          <w:highlight w:val="none"/>
          <w:lang w:val="zh-CN"/>
        </w:rPr>
        <w:t>7、我公司近三年内没有行贿受贿记录；我公司符合</w:t>
      </w:r>
      <w:r>
        <w:rPr>
          <w:color w:val="auto"/>
          <w:sz w:val="22"/>
          <w:szCs w:val="22"/>
          <w:highlight w:val="none"/>
        </w:rPr>
        <w:t>《中华人民共和国政府采购法》</w:t>
      </w:r>
      <w:r>
        <w:rPr>
          <w:rFonts w:hint="eastAsia"/>
          <w:color w:val="auto"/>
          <w:sz w:val="22"/>
          <w:szCs w:val="22"/>
          <w:highlight w:val="none"/>
        </w:rPr>
        <w:t>第二十二条</w:t>
      </w:r>
      <w:r>
        <w:rPr>
          <w:color w:val="auto"/>
          <w:sz w:val="22"/>
          <w:szCs w:val="22"/>
          <w:highlight w:val="none"/>
        </w:rPr>
        <w:t>对</w:t>
      </w:r>
      <w:r>
        <w:rPr>
          <w:rFonts w:hint="eastAsia"/>
          <w:color w:val="auto"/>
          <w:sz w:val="22"/>
          <w:szCs w:val="22"/>
          <w:highlight w:val="none"/>
        </w:rPr>
        <w:t>供应商</w:t>
      </w:r>
      <w:r>
        <w:rPr>
          <w:color w:val="auto"/>
          <w:sz w:val="22"/>
          <w:szCs w:val="22"/>
          <w:highlight w:val="none"/>
        </w:rPr>
        <w:t>的</w:t>
      </w:r>
      <w:r>
        <w:rPr>
          <w:rFonts w:hint="eastAsia"/>
          <w:color w:val="auto"/>
          <w:sz w:val="22"/>
          <w:szCs w:val="22"/>
          <w:highlight w:val="none"/>
        </w:rPr>
        <w:t>资格</w:t>
      </w:r>
      <w:r>
        <w:rPr>
          <w:color w:val="auto"/>
          <w:sz w:val="22"/>
          <w:szCs w:val="22"/>
          <w:highlight w:val="none"/>
        </w:rPr>
        <w:t>要求</w:t>
      </w:r>
      <w:r>
        <w:rPr>
          <w:rFonts w:hint="eastAsia"/>
          <w:color w:val="auto"/>
          <w:sz w:val="22"/>
          <w:szCs w:val="22"/>
          <w:highlight w:val="none"/>
        </w:rPr>
        <w:t>；</w:t>
      </w:r>
      <w:r>
        <w:rPr>
          <w:rFonts w:hint="eastAsia" w:cs="仿宋_GB2312"/>
          <w:color w:val="auto"/>
          <w:sz w:val="22"/>
          <w:szCs w:val="22"/>
          <w:highlight w:val="none"/>
          <w:lang w:val="zh-CN"/>
        </w:rPr>
        <w:t>我公司没有被政府采购管理部门限制参加投标。</w:t>
      </w: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r>
        <w:rPr>
          <w:rFonts w:hint="eastAsia" w:cs="仿宋_GB2312"/>
          <w:color w:val="auto"/>
          <w:sz w:val="22"/>
          <w:szCs w:val="22"/>
          <w:highlight w:val="none"/>
          <w:lang w:val="zh-CN"/>
        </w:rPr>
        <w:t>8、愿意向贵方提供任何与该项投标有关的数据、情况和技术资料，完全理解贵方不一定接受最低价的投标或收到的任何投标。</w:t>
      </w: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r>
        <w:rPr>
          <w:rFonts w:hint="eastAsia" w:cs="仿宋_GB2312"/>
          <w:color w:val="auto"/>
          <w:sz w:val="22"/>
          <w:szCs w:val="22"/>
          <w:highlight w:val="none"/>
          <w:lang w:val="zh-CN"/>
        </w:rPr>
        <w:t>9、本投标自开标之日起9</w:t>
      </w:r>
      <w:r>
        <w:rPr>
          <w:rFonts w:cs="仿宋_GB2312"/>
          <w:color w:val="auto"/>
          <w:sz w:val="22"/>
          <w:szCs w:val="22"/>
          <w:highlight w:val="none"/>
          <w:lang w:val="zh-CN"/>
        </w:rPr>
        <w:t>0</w:t>
      </w:r>
      <w:r>
        <w:rPr>
          <w:rFonts w:hint="eastAsia" w:cs="仿宋_GB2312"/>
          <w:color w:val="auto"/>
          <w:sz w:val="22"/>
          <w:szCs w:val="22"/>
          <w:highlight w:val="none"/>
          <w:lang w:val="zh-CN"/>
        </w:rPr>
        <w:t>天内有效。</w:t>
      </w: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r>
        <w:rPr>
          <w:rFonts w:hint="eastAsia" w:cs="仿宋_GB2312"/>
          <w:color w:val="auto"/>
          <w:sz w:val="22"/>
          <w:szCs w:val="22"/>
          <w:highlight w:val="none"/>
          <w:lang w:val="zh-CN"/>
        </w:rPr>
        <w:t>10、与本投标有关的一切往来通讯请寄：</w:t>
      </w:r>
    </w:p>
    <w:p>
      <w:pPr>
        <w:autoSpaceDE w:val="0"/>
        <w:autoSpaceDN w:val="0"/>
        <w:adjustRightInd w:val="0"/>
        <w:snapToGrid w:val="0"/>
        <w:spacing w:line="360" w:lineRule="atLeast"/>
        <w:ind w:firstLine="585" w:firstLineChars="266"/>
        <w:rPr>
          <w:rFonts w:cs="仿宋_GB2312"/>
          <w:color w:val="auto"/>
          <w:sz w:val="22"/>
          <w:szCs w:val="22"/>
          <w:highlight w:val="none"/>
          <w:lang w:val="zh-CN"/>
        </w:rPr>
      </w:pPr>
      <w:r>
        <w:rPr>
          <w:rFonts w:hint="eastAsia" w:cs="仿宋_GB2312"/>
          <w:color w:val="auto"/>
          <w:sz w:val="22"/>
          <w:szCs w:val="22"/>
          <w:highlight w:val="none"/>
          <w:lang w:val="zh-CN"/>
        </w:rPr>
        <w:t>地址：</w:t>
      </w:r>
      <w:r>
        <w:rPr>
          <w:rFonts w:cs="仿宋_GB2312"/>
          <w:color w:val="auto"/>
          <w:sz w:val="22"/>
          <w:szCs w:val="22"/>
          <w:highlight w:val="none"/>
          <w:u w:val="single"/>
          <w:lang w:val="zh-CN"/>
        </w:rPr>
        <w:t xml:space="preserve">                                 </w:t>
      </w:r>
    </w:p>
    <w:p>
      <w:pPr>
        <w:autoSpaceDE w:val="0"/>
        <w:autoSpaceDN w:val="0"/>
        <w:adjustRightInd w:val="0"/>
        <w:snapToGrid w:val="0"/>
        <w:spacing w:line="360" w:lineRule="atLeast"/>
        <w:ind w:firstLine="585" w:firstLineChars="266"/>
        <w:rPr>
          <w:rFonts w:cs="仿宋_GB2312"/>
          <w:color w:val="auto"/>
          <w:sz w:val="22"/>
          <w:szCs w:val="22"/>
          <w:highlight w:val="none"/>
          <w:lang w:val="zh-CN"/>
        </w:rPr>
      </w:pPr>
      <w:r>
        <w:rPr>
          <w:rFonts w:hint="eastAsia" w:cs="仿宋_GB2312"/>
          <w:color w:val="auto"/>
          <w:sz w:val="22"/>
          <w:szCs w:val="22"/>
          <w:highlight w:val="none"/>
          <w:lang w:val="zh-CN"/>
        </w:rPr>
        <w:t>邮编：</w:t>
      </w:r>
      <w:r>
        <w:rPr>
          <w:rFonts w:cs="仿宋_GB2312"/>
          <w:color w:val="auto"/>
          <w:sz w:val="22"/>
          <w:szCs w:val="22"/>
          <w:highlight w:val="none"/>
          <w:u w:val="single"/>
          <w:lang w:val="zh-CN"/>
        </w:rPr>
        <w:t xml:space="preserve">               </w:t>
      </w:r>
      <w:r>
        <w:rPr>
          <w:rFonts w:hint="eastAsia" w:cs="仿宋_GB2312"/>
          <w:color w:val="auto"/>
          <w:sz w:val="22"/>
          <w:szCs w:val="22"/>
          <w:highlight w:val="none"/>
          <w:lang w:val="zh-CN"/>
        </w:rPr>
        <w:t>电话：</w:t>
      </w:r>
      <w:r>
        <w:rPr>
          <w:rFonts w:cs="仿宋_GB2312"/>
          <w:color w:val="auto"/>
          <w:sz w:val="22"/>
          <w:szCs w:val="22"/>
          <w:highlight w:val="none"/>
          <w:u w:val="single"/>
          <w:lang w:val="zh-CN"/>
        </w:rPr>
        <w:t xml:space="preserve">                 </w:t>
      </w:r>
      <w:r>
        <w:rPr>
          <w:rFonts w:hint="eastAsia" w:cs="仿宋_GB2312"/>
          <w:color w:val="auto"/>
          <w:sz w:val="22"/>
          <w:szCs w:val="22"/>
          <w:highlight w:val="none"/>
          <w:lang w:val="zh-CN"/>
        </w:rPr>
        <w:t>传真：</w:t>
      </w:r>
      <w:r>
        <w:rPr>
          <w:rFonts w:cs="仿宋_GB2312"/>
          <w:color w:val="auto"/>
          <w:sz w:val="22"/>
          <w:szCs w:val="22"/>
          <w:highlight w:val="none"/>
          <w:u w:val="single"/>
          <w:lang w:val="zh-CN"/>
        </w:rPr>
        <w:t xml:space="preserve">                 </w:t>
      </w:r>
    </w:p>
    <w:p>
      <w:pPr>
        <w:autoSpaceDE w:val="0"/>
        <w:autoSpaceDN w:val="0"/>
        <w:adjustRightInd w:val="0"/>
        <w:snapToGrid w:val="0"/>
        <w:spacing w:line="360" w:lineRule="atLeast"/>
        <w:ind w:firstLine="26" w:firstLineChars="12"/>
        <w:rPr>
          <w:rFonts w:cs="仿宋_GB2312"/>
          <w:color w:val="auto"/>
          <w:sz w:val="22"/>
          <w:szCs w:val="22"/>
          <w:highlight w:val="none"/>
          <w:lang w:val="zh-CN"/>
        </w:rPr>
      </w:pP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r>
        <w:rPr>
          <w:rFonts w:hint="eastAsia" w:cs="仿宋_GB2312"/>
          <w:color w:val="auto"/>
          <w:sz w:val="22"/>
          <w:szCs w:val="22"/>
          <w:highlight w:val="none"/>
          <w:lang w:val="zh-CN"/>
        </w:rPr>
        <w:t>供应商全称（盖章）：</w:t>
      </w: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r>
        <w:rPr>
          <w:rFonts w:hint="eastAsia" w:cs="仿宋_GB2312"/>
          <w:color w:val="auto"/>
          <w:sz w:val="22"/>
          <w:szCs w:val="22"/>
          <w:highlight w:val="none"/>
          <w:lang w:val="zh-CN"/>
        </w:rPr>
        <w:t>法定代表人或授权代表（签字或签章）：</w:t>
      </w: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r>
        <w:rPr>
          <w:rFonts w:hint="eastAsia" w:cs="仿宋_GB2312"/>
          <w:color w:val="auto"/>
          <w:sz w:val="22"/>
          <w:szCs w:val="22"/>
          <w:highlight w:val="none"/>
          <w:lang w:val="zh-CN"/>
        </w:rPr>
        <w:t>日期：</w:t>
      </w:r>
    </w:p>
    <w:p>
      <w:pPr>
        <w:autoSpaceDE w:val="0"/>
        <w:autoSpaceDN w:val="0"/>
        <w:adjustRightInd w:val="0"/>
        <w:snapToGrid w:val="0"/>
        <w:spacing w:line="360" w:lineRule="atLeast"/>
        <w:ind w:left="1" w:firstLine="585" w:firstLineChars="266"/>
        <w:rPr>
          <w:rFonts w:cs="仿宋_GB2312"/>
          <w:color w:val="auto"/>
          <w:sz w:val="22"/>
          <w:szCs w:val="22"/>
          <w:highlight w:val="none"/>
          <w:lang w:val="zh-CN"/>
        </w:rPr>
      </w:pPr>
    </w:p>
    <w:p>
      <w:pPr>
        <w:autoSpaceDE w:val="0"/>
        <w:autoSpaceDN w:val="0"/>
        <w:adjustRightInd w:val="0"/>
        <w:snapToGrid w:val="0"/>
        <w:spacing w:line="360" w:lineRule="atLeast"/>
        <w:ind w:firstLine="601" w:firstLineChars="285"/>
        <w:rPr>
          <w:rFonts w:cs="仿宋_GB2312"/>
          <w:b/>
          <w:color w:val="auto"/>
          <w:sz w:val="22"/>
          <w:szCs w:val="22"/>
          <w:highlight w:val="none"/>
          <w:u w:val="single"/>
          <w:lang w:val="zh-CN"/>
        </w:rPr>
      </w:pPr>
      <w:r>
        <w:rPr>
          <w:rFonts w:hint="eastAsia"/>
          <w:b/>
          <w:color w:val="auto"/>
          <w:szCs w:val="22"/>
          <w:highlight w:val="none"/>
          <w:u w:val="single"/>
        </w:rPr>
        <w:t>不提供本函做无效投标处理。</w:t>
      </w:r>
    </w:p>
    <w:p>
      <w:pPr>
        <w:spacing w:line="400" w:lineRule="atLeast"/>
        <w:rPr>
          <w:rFonts w:ascii="宋体" w:hAnsi="宋体"/>
          <w:b/>
          <w:color w:val="auto"/>
          <w:sz w:val="32"/>
          <w:szCs w:val="32"/>
          <w:highlight w:val="none"/>
        </w:rPr>
      </w:pPr>
    </w:p>
    <w:p>
      <w:pPr>
        <w:spacing w:line="400" w:lineRule="atLeast"/>
        <w:rPr>
          <w:rFonts w:ascii="宋体" w:hAnsi="宋体"/>
          <w:b/>
          <w:color w:val="auto"/>
          <w:sz w:val="32"/>
          <w:szCs w:val="32"/>
          <w:highlight w:val="none"/>
        </w:rPr>
      </w:pPr>
    </w:p>
    <w:p>
      <w:pPr>
        <w:spacing w:line="400" w:lineRule="atLeast"/>
        <w:rPr>
          <w:rFonts w:ascii="宋体" w:hAnsi="宋体"/>
          <w:b/>
          <w:color w:val="auto"/>
          <w:sz w:val="32"/>
          <w:szCs w:val="32"/>
          <w:highlight w:val="none"/>
        </w:rPr>
      </w:pPr>
    </w:p>
    <w:p>
      <w:pPr>
        <w:spacing w:line="400" w:lineRule="atLeast"/>
        <w:rPr>
          <w:rFonts w:ascii="宋体" w:hAnsi="宋体"/>
          <w:b/>
          <w:color w:val="auto"/>
          <w:sz w:val="32"/>
          <w:szCs w:val="32"/>
          <w:highlight w:val="none"/>
        </w:rPr>
      </w:pPr>
    </w:p>
    <w:p>
      <w:pPr>
        <w:spacing w:line="400" w:lineRule="atLeast"/>
        <w:rPr>
          <w:rFonts w:ascii="宋体" w:hAnsi="宋体"/>
          <w:b/>
          <w:color w:val="auto"/>
          <w:sz w:val="32"/>
          <w:szCs w:val="32"/>
          <w:highlight w:val="none"/>
        </w:rPr>
      </w:pPr>
    </w:p>
    <w:p>
      <w:pPr>
        <w:rPr>
          <w:rFonts w:hAnsi="宋体"/>
          <w:b/>
          <w:color w:val="auto"/>
          <w:sz w:val="36"/>
          <w:highlight w:val="none"/>
        </w:rPr>
      </w:pPr>
    </w:p>
    <w:p>
      <w:pPr>
        <w:rPr>
          <w:color w:val="auto"/>
          <w:szCs w:val="22"/>
          <w:highlight w:val="none"/>
        </w:rPr>
      </w:pPr>
    </w:p>
    <w:p>
      <w:pPr>
        <w:adjustRightInd w:val="0"/>
        <w:snapToGrid w:val="0"/>
        <w:spacing w:line="320" w:lineRule="atLeast"/>
        <w:outlineLvl w:val="0"/>
        <w:rPr>
          <w:rFonts w:ascii="宋体" w:hAnsi="Courier New"/>
          <w:b/>
          <w:color w:val="auto"/>
          <w:sz w:val="32"/>
          <w:szCs w:val="22"/>
          <w:highlight w:val="none"/>
        </w:rPr>
      </w:pPr>
      <w:r>
        <w:rPr>
          <w:rFonts w:hint="eastAsia" w:ascii="宋体" w:hAnsi="宋体" w:cs="宋体"/>
          <w:b/>
          <w:color w:val="auto"/>
          <w:kern w:val="0"/>
          <w:sz w:val="32"/>
          <w:highlight w:val="none"/>
        </w:rPr>
        <w:t>2.</w:t>
      </w:r>
      <w:r>
        <w:rPr>
          <w:rFonts w:hint="eastAsia" w:ascii="宋体" w:hAnsi="Courier New"/>
          <w:b/>
          <w:color w:val="auto"/>
          <w:sz w:val="32"/>
          <w:szCs w:val="22"/>
          <w:highlight w:val="none"/>
        </w:rPr>
        <w:t>6投标供应商情况声明</w:t>
      </w:r>
    </w:p>
    <w:p>
      <w:pPr>
        <w:adjustRightInd w:val="0"/>
        <w:snapToGrid w:val="0"/>
        <w:spacing w:line="320" w:lineRule="atLeast"/>
        <w:jc w:val="center"/>
        <w:outlineLvl w:val="0"/>
        <w:rPr>
          <w:rFonts w:ascii="宋体" w:hAnsi="宋体"/>
          <w:b/>
          <w:color w:val="auto"/>
          <w:sz w:val="36"/>
          <w:szCs w:val="22"/>
          <w:highlight w:val="none"/>
        </w:rPr>
      </w:pPr>
      <w:r>
        <w:rPr>
          <w:rFonts w:hint="eastAsia" w:ascii="宋体" w:hAnsi="宋体"/>
          <w:b/>
          <w:color w:val="auto"/>
          <w:sz w:val="36"/>
          <w:szCs w:val="22"/>
          <w:highlight w:val="none"/>
        </w:rPr>
        <w:t>投标供应商情况声明</w:t>
      </w:r>
    </w:p>
    <w:p>
      <w:pPr>
        <w:spacing w:line="400" w:lineRule="exact"/>
        <w:outlineLvl w:val="0"/>
        <w:rPr>
          <w:color w:val="auto"/>
          <w:sz w:val="22"/>
          <w:szCs w:val="22"/>
          <w:highlight w:val="none"/>
        </w:rPr>
      </w:pPr>
      <w:r>
        <w:rPr>
          <w:rFonts w:hint="eastAsia"/>
          <w:color w:val="auto"/>
          <w:sz w:val="22"/>
          <w:szCs w:val="22"/>
          <w:highlight w:val="none"/>
        </w:rPr>
        <w:t>1. 名称及概况：</w:t>
      </w:r>
    </w:p>
    <w:p>
      <w:pPr>
        <w:spacing w:line="400" w:lineRule="exact"/>
        <w:rPr>
          <w:color w:val="auto"/>
          <w:sz w:val="22"/>
          <w:szCs w:val="22"/>
          <w:highlight w:val="none"/>
        </w:rPr>
      </w:pPr>
      <w:r>
        <w:rPr>
          <w:rFonts w:hint="eastAsia"/>
          <w:color w:val="auto"/>
          <w:sz w:val="22"/>
          <w:szCs w:val="22"/>
          <w:highlight w:val="none"/>
        </w:rPr>
        <w:t>（1）供应商名称：</w:t>
      </w:r>
      <w:r>
        <w:rPr>
          <w:rFonts w:hint="eastAsia"/>
          <w:color w:val="auto"/>
          <w:sz w:val="22"/>
          <w:szCs w:val="22"/>
          <w:highlight w:val="none"/>
          <w:u w:val="single"/>
        </w:rPr>
        <w:t xml:space="preserve">                           </w:t>
      </w:r>
    </w:p>
    <w:p>
      <w:pPr>
        <w:spacing w:line="400" w:lineRule="exact"/>
        <w:rPr>
          <w:color w:val="auto"/>
          <w:sz w:val="22"/>
          <w:szCs w:val="22"/>
          <w:highlight w:val="none"/>
        </w:rPr>
      </w:pPr>
      <w:r>
        <w:rPr>
          <w:rFonts w:hint="eastAsia"/>
          <w:color w:val="auto"/>
          <w:sz w:val="22"/>
          <w:szCs w:val="22"/>
          <w:highlight w:val="none"/>
        </w:rPr>
        <w:t>（2）总部地址：</w:t>
      </w:r>
      <w:r>
        <w:rPr>
          <w:rFonts w:hint="eastAsia"/>
          <w:color w:val="auto"/>
          <w:sz w:val="22"/>
          <w:szCs w:val="22"/>
          <w:highlight w:val="none"/>
          <w:u w:val="single"/>
        </w:rPr>
        <w:t xml:space="preserve">                             </w:t>
      </w:r>
    </w:p>
    <w:p>
      <w:pPr>
        <w:spacing w:line="400" w:lineRule="exact"/>
        <w:ind w:firstLine="600"/>
        <w:rPr>
          <w:color w:val="auto"/>
          <w:sz w:val="22"/>
          <w:szCs w:val="22"/>
          <w:highlight w:val="none"/>
          <w:u w:val="single"/>
        </w:rPr>
      </w:pPr>
      <w:r>
        <w:rPr>
          <w:rFonts w:hint="eastAsia"/>
          <w:color w:val="auto"/>
          <w:sz w:val="22"/>
          <w:szCs w:val="22"/>
          <w:highlight w:val="none"/>
        </w:rPr>
        <w:t>传真/电话号码：</w:t>
      </w:r>
      <w:r>
        <w:rPr>
          <w:rFonts w:hint="eastAsia"/>
          <w:color w:val="auto"/>
          <w:sz w:val="22"/>
          <w:szCs w:val="22"/>
          <w:highlight w:val="none"/>
          <w:u w:val="single"/>
        </w:rPr>
        <w:t xml:space="preserve">                        </w:t>
      </w:r>
    </w:p>
    <w:p>
      <w:pPr>
        <w:spacing w:line="400" w:lineRule="exact"/>
        <w:rPr>
          <w:color w:val="auto"/>
          <w:sz w:val="22"/>
          <w:szCs w:val="22"/>
          <w:highlight w:val="none"/>
        </w:rPr>
      </w:pPr>
      <w:r>
        <w:rPr>
          <w:rFonts w:hint="eastAsia"/>
          <w:color w:val="auto"/>
          <w:sz w:val="22"/>
          <w:szCs w:val="22"/>
          <w:highlight w:val="none"/>
        </w:rPr>
        <w:t>（3）温州设立长期驻点办公地址（如有）：</w:t>
      </w:r>
      <w:r>
        <w:rPr>
          <w:rFonts w:hint="eastAsia"/>
          <w:color w:val="auto"/>
          <w:sz w:val="22"/>
          <w:szCs w:val="22"/>
          <w:highlight w:val="none"/>
          <w:u w:val="single"/>
        </w:rPr>
        <w:t xml:space="preserve">                        </w:t>
      </w:r>
    </w:p>
    <w:p>
      <w:pPr>
        <w:spacing w:line="400" w:lineRule="exact"/>
        <w:rPr>
          <w:color w:val="auto"/>
          <w:sz w:val="22"/>
          <w:szCs w:val="22"/>
          <w:highlight w:val="none"/>
        </w:rPr>
      </w:pPr>
      <w:r>
        <w:rPr>
          <w:rFonts w:hint="eastAsia"/>
          <w:color w:val="auto"/>
          <w:sz w:val="22"/>
          <w:szCs w:val="22"/>
          <w:highlight w:val="none"/>
        </w:rPr>
        <w:t xml:space="preserve">     电话号码：</w:t>
      </w:r>
      <w:r>
        <w:rPr>
          <w:rFonts w:hint="eastAsia"/>
          <w:color w:val="auto"/>
          <w:sz w:val="22"/>
          <w:szCs w:val="22"/>
          <w:highlight w:val="none"/>
          <w:u w:val="single"/>
        </w:rPr>
        <w:t xml:space="preserve">                        </w:t>
      </w:r>
    </w:p>
    <w:p>
      <w:pPr>
        <w:spacing w:line="400" w:lineRule="exact"/>
        <w:rPr>
          <w:color w:val="auto"/>
          <w:sz w:val="22"/>
          <w:szCs w:val="22"/>
          <w:highlight w:val="none"/>
        </w:rPr>
      </w:pPr>
      <w:r>
        <w:rPr>
          <w:rFonts w:hint="eastAsia"/>
          <w:color w:val="auto"/>
          <w:sz w:val="22"/>
          <w:szCs w:val="22"/>
          <w:highlight w:val="none"/>
        </w:rPr>
        <w:t>（4）成立或注册日期：</w:t>
      </w:r>
      <w:r>
        <w:rPr>
          <w:rFonts w:hint="eastAsia"/>
          <w:color w:val="auto"/>
          <w:sz w:val="22"/>
          <w:szCs w:val="22"/>
          <w:highlight w:val="none"/>
          <w:u w:val="single"/>
        </w:rPr>
        <w:t xml:space="preserve">                        </w:t>
      </w:r>
    </w:p>
    <w:p>
      <w:pPr>
        <w:spacing w:line="400" w:lineRule="exact"/>
        <w:rPr>
          <w:color w:val="auto"/>
          <w:sz w:val="22"/>
          <w:szCs w:val="22"/>
          <w:highlight w:val="none"/>
        </w:rPr>
      </w:pPr>
      <w:r>
        <w:rPr>
          <w:rFonts w:hint="eastAsia"/>
          <w:color w:val="auto"/>
          <w:sz w:val="22"/>
          <w:szCs w:val="22"/>
          <w:highlight w:val="none"/>
        </w:rPr>
        <w:t>（5）实收资本：</w:t>
      </w:r>
      <w:r>
        <w:rPr>
          <w:rFonts w:hint="eastAsia"/>
          <w:color w:val="auto"/>
          <w:sz w:val="22"/>
          <w:szCs w:val="22"/>
          <w:highlight w:val="none"/>
          <w:u w:val="single"/>
        </w:rPr>
        <w:t xml:space="preserve">                              </w:t>
      </w:r>
    </w:p>
    <w:p>
      <w:pPr>
        <w:spacing w:line="400" w:lineRule="exact"/>
        <w:rPr>
          <w:color w:val="auto"/>
          <w:sz w:val="22"/>
          <w:szCs w:val="22"/>
          <w:highlight w:val="none"/>
        </w:rPr>
      </w:pPr>
      <w:r>
        <w:rPr>
          <w:rFonts w:hint="eastAsia"/>
          <w:color w:val="auto"/>
          <w:sz w:val="22"/>
          <w:szCs w:val="22"/>
          <w:highlight w:val="none"/>
        </w:rPr>
        <w:t>（6）近期资产负债表（到</w:t>
      </w:r>
      <w:r>
        <w:rPr>
          <w:rFonts w:hint="eastAsia"/>
          <w:color w:val="auto"/>
          <w:sz w:val="22"/>
          <w:szCs w:val="22"/>
          <w:highlight w:val="none"/>
          <w:u w:val="single"/>
        </w:rPr>
        <w:t xml:space="preserve">        </w:t>
      </w:r>
      <w:r>
        <w:rPr>
          <w:rFonts w:hint="eastAsia"/>
          <w:color w:val="auto"/>
          <w:sz w:val="22"/>
          <w:szCs w:val="22"/>
          <w:highlight w:val="none"/>
        </w:rPr>
        <w:t>年</w:t>
      </w:r>
      <w:r>
        <w:rPr>
          <w:rFonts w:hint="eastAsia"/>
          <w:color w:val="auto"/>
          <w:sz w:val="22"/>
          <w:szCs w:val="22"/>
          <w:highlight w:val="none"/>
          <w:u w:val="single"/>
        </w:rPr>
        <w:t xml:space="preserve">    </w:t>
      </w:r>
      <w:r>
        <w:rPr>
          <w:rFonts w:hint="eastAsia"/>
          <w:color w:val="auto"/>
          <w:sz w:val="22"/>
          <w:szCs w:val="22"/>
          <w:highlight w:val="none"/>
        </w:rPr>
        <w:t>月</w:t>
      </w:r>
      <w:r>
        <w:rPr>
          <w:rFonts w:hint="eastAsia"/>
          <w:color w:val="auto"/>
          <w:sz w:val="22"/>
          <w:szCs w:val="22"/>
          <w:highlight w:val="none"/>
          <w:u w:val="single"/>
        </w:rPr>
        <w:t xml:space="preserve">    </w:t>
      </w:r>
      <w:r>
        <w:rPr>
          <w:rFonts w:hint="eastAsia"/>
          <w:color w:val="auto"/>
          <w:sz w:val="22"/>
          <w:szCs w:val="22"/>
          <w:highlight w:val="none"/>
        </w:rPr>
        <w:t>日止）</w:t>
      </w:r>
    </w:p>
    <w:p>
      <w:pPr>
        <w:spacing w:line="400" w:lineRule="exact"/>
        <w:rPr>
          <w:color w:val="auto"/>
          <w:sz w:val="22"/>
          <w:szCs w:val="22"/>
          <w:highlight w:val="none"/>
        </w:rPr>
      </w:pPr>
      <w:r>
        <w:rPr>
          <w:rFonts w:hint="eastAsia"/>
          <w:color w:val="auto"/>
          <w:sz w:val="22"/>
          <w:szCs w:val="22"/>
          <w:highlight w:val="none"/>
        </w:rPr>
        <w:t xml:space="preserve">  1）固定资产：</w:t>
      </w:r>
      <w:r>
        <w:rPr>
          <w:rFonts w:hint="eastAsia"/>
          <w:color w:val="auto"/>
          <w:sz w:val="22"/>
          <w:szCs w:val="22"/>
          <w:highlight w:val="none"/>
          <w:u w:val="single"/>
        </w:rPr>
        <w:t xml:space="preserve">               </w:t>
      </w:r>
    </w:p>
    <w:p>
      <w:pPr>
        <w:spacing w:line="400" w:lineRule="exact"/>
        <w:rPr>
          <w:color w:val="auto"/>
          <w:sz w:val="22"/>
          <w:szCs w:val="22"/>
          <w:highlight w:val="none"/>
        </w:rPr>
      </w:pPr>
      <w:r>
        <w:rPr>
          <w:rFonts w:hint="eastAsia"/>
          <w:color w:val="auto"/>
          <w:sz w:val="22"/>
          <w:szCs w:val="22"/>
          <w:highlight w:val="none"/>
        </w:rPr>
        <w:t xml:space="preserve">  2）流动资产：</w:t>
      </w:r>
      <w:r>
        <w:rPr>
          <w:rFonts w:hint="eastAsia"/>
          <w:color w:val="auto"/>
          <w:sz w:val="22"/>
          <w:szCs w:val="22"/>
          <w:highlight w:val="none"/>
          <w:u w:val="single"/>
        </w:rPr>
        <w:t xml:space="preserve">               </w:t>
      </w:r>
    </w:p>
    <w:p>
      <w:pPr>
        <w:spacing w:line="400" w:lineRule="exact"/>
        <w:rPr>
          <w:color w:val="auto"/>
          <w:sz w:val="22"/>
          <w:szCs w:val="22"/>
          <w:highlight w:val="none"/>
        </w:rPr>
      </w:pPr>
      <w:r>
        <w:rPr>
          <w:rFonts w:hint="eastAsia"/>
          <w:color w:val="auto"/>
          <w:sz w:val="22"/>
          <w:szCs w:val="22"/>
          <w:highlight w:val="none"/>
        </w:rPr>
        <w:t xml:space="preserve">  3）长期负债：</w:t>
      </w:r>
      <w:r>
        <w:rPr>
          <w:rFonts w:hint="eastAsia"/>
          <w:color w:val="auto"/>
          <w:sz w:val="22"/>
          <w:szCs w:val="22"/>
          <w:highlight w:val="none"/>
          <w:u w:val="single"/>
        </w:rPr>
        <w:t xml:space="preserve">               </w:t>
      </w:r>
    </w:p>
    <w:p>
      <w:pPr>
        <w:spacing w:line="400" w:lineRule="exact"/>
        <w:rPr>
          <w:color w:val="auto"/>
          <w:sz w:val="22"/>
          <w:szCs w:val="22"/>
          <w:highlight w:val="none"/>
        </w:rPr>
      </w:pPr>
      <w:r>
        <w:rPr>
          <w:rFonts w:hint="eastAsia"/>
          <w:color w:val="auto"/>
          <w:sz w:val="22"/>
          <w:szCs w:val="22"/>
          <w:highlight w:val="none"/>
        </w:rPr>
        <w:t xml:space="preserve">  4）流动负债：</w:t>
      </w:r>
      <w:r>
        <w:rPr>
          <w:rFonts w:hint="eastAsia"/>
          <w:color w:val="auto"/>
          <w:sz w:val="22"/>
          <w:szCs w:val="22"/>
          <w:highlight w:val="none"/>
          <w:u w:val="single"/>
        </w:rPr>
        <w:t xml:space="preserve">               </w:t>
      </w:r>
    </w:p>
    <w:p>
      <w:pPr>
        <w:spacing w:line="400" w:lineRule="exact"/>
        <w:rPr>
          <w:color w:val="auto"/>
          <w:sz w:val="22"/>
          <w:szCs w:val="22"/>
          <w:highlight w:val="none"/>
        </w:rPr>
      </w:pPr>
      <w:r>
        <w:rPr>
          <w:rFonts w:hint="eastAsia"/>
          <w:color w:val="auto"/>
          <w:sz w:val="22"/>
          <w:szCs w:val="22"/>
          <w:highlight w:val="none"/>
        </w:rPr>
        <w:t xml:space="preserve">  5）净值：</w:t>
      </w:r>
      <w:r>
        <w:rPr>
          <w:rFonts w:hint="eastAsia"/>
          <w:color w:val="auto"/>
          <w:sz w:val="22"/>
          <w:szCs w:val="22"/>
          <w:highlight w:val="none"/>
          <w:u w:val="single"/>
        </w:rPr>
        <w:t xml:space="preserve">                   </w:t>
      </w:r>
    </w:p>
    <w:p>
      <w:pPr>
        <w:spacing w:line="400" w:lineRule="exact"/>
        <w:rPr>
          <w:color w:val="auto"/>
          <w:sz w:val="22"/>
          <w:szCs w:val="22"/>
          <w:highlight w:val="none"/>
        </w:rPr>
      </w:pPr>
      <w:r>
        <w:rPr>
          <w:rFonts w:hint="eastAsia"/>
          <w:color w:val="auto"/>
          <w:sz w:val="22"/>
          <w:szCs w:val="22"/>
          <w:highlight w:val="none"/>
        </w:rPr>
        <w:t>（6）主要负责人姓名：</w:t>
      </w:r>
      <w:r>
        <w:rPr>
          <w:rFonts w:hint="eastAsia"/>
          <w:color w:val="auto"/>
          <w:sz w:val="22"/>
          <w:szCs w:val="22"/>
          <w:highlight w:val="none"/>
          <w:u w:val="single"/>
        </w:rPr>
        <w:t xml:space="preserve">                      </w:t>
      </w:r>
    </w:p>
    <w:p>
      <w:pPr>
        <w:spacing w:line="360" w:lineRule="exact"/>
        <w:ind w:left="660" w:hanging="660" w:hangingChars="300"/>
        <w:rPr>
          <w:color w:val="auto"/>
          <w:sz w:val="22"/>
          <w:szCs w:val="22"/>
          <w:highlight w:val="none"/>
        </w:rPr>
      </w:pPr>
      <w:r>
        <w:rPr>
          <w:rFonts w:hint="eastAsia"/>
          <w:color w:val="auto"/>
          <w:sz w:val="22"/>
          <w:szCs w:val="22"/>
          <w:highlight w:val="none"/>
        </w:rPr>
        <w:t>2．企业生产设备及规模：</w:t>
      </w:r>
    </w:p>
    <w:p>
      <w:pPr>
        <w:spacing w:line="360" w:lineRule="exact"/>
        <w:ind w:left="660" w:hanging="660" w:hangingChars="300"/>
        <w:outlineLvl w:val="0"/>
        <w:rPr>
          <w:color w:val="auto"/>
          <w:sz w:val="22"/>
          <w:szCs w:val="22"/>
          <w:highlight w:val="none"/>
        </w:rPr>
      </w:pPr>
      <w:r>
        <w:rPr>
          <w:rFonts w:hint="eastAsia"/>
          <w:color w:val="auto"/>
          <w:sz w:val="22"/>
          <w:szCs w:val="22"/>
          <w:highlight w:val="none"/>
        </w:rPr>
        <w:t>3. 企业人员情况：</w:t>
      </w:r>
    </w:p>
    <w:p>
      <w:pPr>
        <w:spacing w:line="400" w:lineRule="exact"/>
        <w:rPr>
          <w:color w:val="auto"/>
          <w:sz w:val="22"/>
          <w:szCs w:val="22"/>
          <w:highlight w:val="none"/>
        </w:rPr>
      </w:pPr>
      <w:r>
        <w:rPr>
          <w:rFonts w:hint="eastAsia"/>
          <w:color w:val="auto"/>
          <w:sz w:val="22"/>
          <w:szCs w:val="22"/>
          <w:highlight w:val="none"/>
        </w:rPr>
        <w:t>职工（在职）人数</w:t>
      </w:r>
      <w:r>
        <w:rPr>
          <w:rFonts w:hint="eastAsia"/>
          <w:color w:val="auto"/>
          <w:sz w:val="22"/>
          <w:szCs w:val="22"/>
          <w:highlight w:val="none"/>
          <w:u w:val="single"/>
        </w:rPr>
        <w:t xml:space="preserve">       </w:t>
      </w:r>
      <w:r>
        <w:rPr>
          <w:rFonts w:hint="eastAsia"/>
          <w:color w:val="auto"/>
          <w:sz w:val="22"/>
          <w:szCs w:val="22"/>
          <w:highlight w:val="none"/>
        </w:rPr>
        <w:t>人，其中技术人员</w:t>
      </w:r>
      <w:r>
        <w:rPr>
          <w:rFonts w:hint="eastAsia"/>
          <w:color w:val="auto"/>
          <w:sz w:val="22"/>
          <w:szCs w:val="22"/>
          <w:highlight w:val="none"/>
          <w:u w:val="single"/>
        </w:rPr>
        <w:t xml:space="preserve">       </w:t>
      </w:r>
      <w:r>
        <w:rPr>
          <w:rFonts w:hint="eastAsia"/>
          <w:color w:val="auto"/>
          <w:sz w:val="22"/>
          <w:szCs w:val="22"/>
          <w:highlight w:val="none"/>
        </w:rPr>
        <w:t>人，</w:t>
      </w:r>
    </w:p>
    <w:p>
      <w:pPr>
        <w:spacing w:line="360" w:lineRule="exact"/>
        <w:ind w:left="660" w:hanging="660" w:hangingChars="300"/>
        <w:outlineLvl w:val="0"/>
        <w:rPr>
          <w:color w:val="auto"/>
          <w:sz w:val="22"/>
          <w:szCs w:val="22"/>
          <w:highlight w:val="none"/>
        </w:rPr>
      </w:pPr>
      <w:r>
        <w:rPr>
          <w:rFonts w:hint="eastAsia"/>
          <w:color w:val="auto"/>
          <w:sz w:val="22"/>
          <w:szCs w:val="22"/>
          <w:highlight w:val="none"/>
        </w:rPr>
        <w:t>4. 近三年的年营业总额</w:t>
      </w:r>
      <w:r>
        <w:rPr>
          <w:rFonts w:hint="eastAsia"/>
          <w:color w:val="auto"/>
          <w:sz w:val="22"/>
          <w:szCs w:val="22"/>
          <w:highlight w:val="none"/>
          <w:u w:val="single"/>
        </w:rPr>
        <w:t xml:space="preserve">                       </w:t>
      </w:r>
    </w:p>
    <w:p>
      <w:pPr>
        <w:spacing w:line="400" w:lineRule="exact"/>
        <w:ind w:firstLine="220" w:firstLineChars="100"/>
        <w:rPr>
          <w:color w:val="auto"/>
          <w:sz w:val="22"/>
          <w:szCs w:val="22"/>
          <w:highlight w:val="none"/>
        </w:rPr>
      </w:pPr>
      <w:r>
        <w:rPr>
          <w:rFonts w:hint="eastAsia"/>
          <w:color w:val="auto"/>
          <w:sz w:val="22"/>
          <w:szCs w:val="22"/>
          <w:highlight w:val="none"/>
        </w:rPr>
        <w:t>兹证明上述声明是真实、正确的、并提供了全部能提供的资料和数据，我们同意遵照贵方要求出示有关证明文件。</w:t>
      </w:r>
    </w:p>
    <w:p>
      <w:pPr>
        <w:spacing w:line="400" w:lineRule="exact"/>
        <w:rPr>
          <w:color w:val="auto"/>
          <w:sz w:val="22"/>
          <w:szCs w:val="22"/>
          <w:highlight w:val="none"/>
        </w:rPr>
      </w:pPr>
    </w:p>
    <w:p>
      <w:pPr>
        <w:spacing w:line="400" w:lineRule="exact"/>
        <w:rPr>
          <w:color w:val="auto"/>
          <w:sz w:val="22"/>
          <w:szCs w:val="22"/>
          <w:highlight w:val="none"/>
        </w:rPr>
      </w:pPr>
      <w:r>
        <w:rPr>
          <w:rFonts w:hint="eastAsia"/>
          <w:color w:val="auto"/>
          <w:sz w:val="22"/>
          <w:szCs w:val="22"/>
          <w:highlight w:val="none"/>
        </w:rPr>
        <w:t>供应商名称</w:t>
      </w:r>
      <w:r>
        <w:rPr>
          <w:rFonts w:hint="eastAsia"/>
          <w:color w:val="auto"/>
          <w:sz w:val="22"/>
          <w:szCs w:val="22"/>
          <w:highlight w:val="none"/>
          <w:u w:val="single"/>
        </w:rPr>
        <w:t xml:space="preserve">                               （盖章）</w:t>
      </w:r>
    </w:p>
    <w:p>
      <w:pPr>
        <w:spacing w:line="400" w:lineRule="exact"/>
        <w:rPr>
          <w:color w:val="auto"/>
          <w:sz w:val="22"/>
          <w:szCs w:val="22"/>
          <w:highlight w:val="none"/>
        </w:rPr>
      </w:pPr>
      <w:r>
        <w:rPr>
          <w:rFonts w:hint="eastAsia"/>
          <w:color w:val="auto"/>
          <w:sz w:val="22"/>
          <w:szCs w:val="22"/>
          <w:highlight w:val="none"/>
        </w:rPr>
        <w:t>法定代表人姓名和职务</w:t>
      </w:r>
      <w:r>
        <w:rPr>
          <w:rFonts w:hint="eastAsia"/>
          <w:color w:val="auto"/>
          <w:sz w:val="22"/>
          <w:szCs w:val="22"/>
          <w:highlight w:val="none"/>
          <w:u w:val="single"/>
        </w:rPr>
        <w:t xml:space="preserve">                     </w:t>
      </w:r>
    </w:p>
    <w:p>
      <w:pPr>
        <w:spacing w:line="400" w:lineRule="exact"/>
        <w:rPr>
          <w:rFonts w:cs="仿宋_GB2312"/>
          <w:color w:val="auto"/>
          <w:sz w:val="22"/>
          <w:szCs w:val="22"/>
          <w:highlight w:val="none"/>
          <w:lang w:val="zh-CN"/>
        </w:rPr>
      </w:pPr>
      <w:r>
        <w:rPr>
          <w:rFonts w:hint="eastAsia" w:cs="仿宋_GB2312"/>
          <w:color w:val="auto"/>
          <w:sz w:val="22"/>
          <w:szCs w:val="22"/>
          <w:highlight w:val="none"/>
          <w:lang w:val="zh-CN"/>
        </w:rPr>
        <w:t>法定代表人（负责人）或授权代表（签字或签章）</w:t>
      </w:r>
      <w:r>
        <w:rPr>
          <w:rFonts w:hint="eastAsia"/>
          <w:color w:val="auto"/>
          <w:sz w:val="22"/>
          <w:szCs w:val="22"/>
          <w:highlight w:val="none"/>
          <w:u w:val="single"/>
        </w:rPr>
        <w:t xml:space="preserve">                     </w:t>
      </w:r>
    </w:p>
    <w:p>
      <w:pPr>
        <w:spacing w:line="400" w:lineRule="exact"/>
        <w:rPr>
          <w:color w:val="auto"/>
          <w:sz w:val="22"/>
          <w:szCs w:val="22"/>
          <w:highlight w:val="none"/>
        </w:rPr>
      </w:pPr>
      <w:r>
        <w:rPr>
          <w:rFonts w:hint="eastAsia"/>
          <w:color w:val="auto"/>
          <w:sz w:val="22"/>
          <w:szCs w:val="22"/>
          <w:highlight w:val="none"/>
        </w:rPr>
        <w:t>签字日期</w:t>
      </w:r>
      <w:r>
        <w:rPr>
          <w:rFonts w:hint="eastAsia"/>
          <w:color w:val="auto"/>
          <w:sz w:val="22"/>
          <w:szCs w:val="22"/>
          <w:highlight w:val="none"/>
          <w:u w:val="single"/>
        </w:rPr>
        <w:t xml:space="preserve">                                 </w:t>
      </w:r>
    </w:p>
    <w:p>
      <w:pPr>
        <w:spacing w:line="360" w:lineRule="exact"/>
        <w:rPr>
          <w:color w:val="auto"/>
          <w:sz w:val="22"/>
          <w:szCs w:val="22"/>
          <w:highlight w:val="none"/>
          <w:u w:val="single"/>
        </w:rPr>
      </w:pPr>
      <w:r>
        <w:rPr>
          <w:rFonts w:hint="eastAsia"/>
          <w:color w:val="auto"/>
          <w:sz w:val="22"/>
          <w:szCs w:val="22"/>
          <w:highlight w:val="none"/>
        </w:rPr>
        <w:t>电子邮件</w:t>
      </w:r>
      <w:r>
        <w:rPr>
          <w:rFonts w:hint="eastAsia"/>
          <w:color w:val="auto"/>
          <w:sz w:val="22"/>
          <w:szCs w:val="22"/>
          <w:highlight w:val="none"/>
          <w:u w:val="single"/>
        </w:rPr>
        <w:t xml:space="preserve">                                 </w:t>
      </w:r>
    </w:p>
    <w:p>
      <w:pPr>
        <w:spacing w:line="400" w:lineRule="atLeast"/>
        <w:rPr>
          <w:rFonts w:ascii="宋体" w:hAnsi="宋体"/>
          <w:b/>
          <w:color w:val="auto"/>
          <w:sz w:val="32"/>
          <w:szCs w:val="32"/>
          <w:highlight w:val="none"/>
        </w:rPr>
      </w:pPr>
    </w:p>
    <w:p>
      <w:pPr>
        <w:spacing w:line="400" w:lineRule="atLeast"/>
        <w:rPr>
          <w:rFonts w:ascii="宋体" w:hAnsi="宋体"/>
          <w:b/>
          <w:color w:val="auto"/>
          <w:sz w:val="32"/>
          <w:szCs w:val="32"/>
          <w:highlight w:val="none"/>
        </w:rPr>
      </w:pPr>
    </w:p>
    <w:p>
      <w:pPr>
        <w:spacing w:line="400" w:lineRule="atLeast"/>
        <w:rPr>
          <w:rFonts w:ascii="宋体" w:hAnsi="宋体"/>
          <w:b/>
          <w:color w:val="auto"/>
          <w:sz w:val="32"/>
          <w:szCs w:val="32"/>
          <w:highlight w:val="none"/>
        </w:rPr>
      </w:pPr>
    </w:p>
    <w:p>
      <w:pPr>
        <w:spacing w:line="400" w:lineRule="atLeast"/>
        <w:rPr>
          <w:rFonts w:ascii="宋体" w:hAnsi="宋体"/>
          <w:b/>
          <w:color w:val="auto"/>
          <w:sz w:val="32"/>
          <w:szCs w:val="32"/>
          <w:highlight w:val="none"/>
        </w:rPr>
      </w:pPr>
    </w:p>
    <w:p>
      <w:pPr>
        <w:autoSpaceDE w:val="0"/>
        <w:autoSpaceDN w:val="0"/>
        <w:adjustRightInd w:val="0"/>
        <w:outlineLvl w:val="0"/>
        <w:rPr>
          <w:b/>
          <w:color w:val="auto"/>
          <w:sz w:val="32"/>
          <w:szCs w:val="22"/>
          <w:highlight w:val="none"/>
        </w:rPr>
      </w:pPr>
    </w:p>
    <w:p>
      <w:pPr>
        <w:autoSpaceDE w:val="0"/>
        <w:autoSpaceDN w:val="0"/>
        <w:adjustRightInd w:val="0"/>
        <w:outlineLvl w:val="0"/>
        <w:rPr>
          <w:b/>
          <w:color w:val="auto"/>
          <w:sz w:val="32"/>
          <w:szCs w:val="22"/>
          <w:highlight w:val="none"/>
          <w:lang w:val="zh-CN"/>
        </w:rPr>
      </w:pPr>
      <w:r>
        <w:rPr>
          <w:rFonts w:hint="eastAsia"/>
          <w:b/>
          <w:color w:val="auto"/>
          <w:sz w:val="32"/>
          <w:szCs w:val="22"/>
          <w:highlight w:val="none"/>
        </w:rPr>
        <w:t>2</w:t>
      </w:r>
      <w:r>
        <w:rPr>
          <w:rFonts w:hint="eastAsia"/>
          <w:b/>
          <w:color w:val="auto"/>
          <w:sz w:val="32"/>
          <w:szCs w:val="22"/>
          <w:highlight w:val="none"/>
          <w:lang w:val="zh-CN"/>
        </w:rPr>
        <w:t>.7商务偏离表、技术偏离表</w:t>
      </w:r>
    </w:p>
    <w:p>
      <w:pPr>
        <w:autoSpaceDE w:val="0"/>
        <w:autoSpaceDN w:val="0"/>
        <w:adjustRightInd w:val="0"/>
        <w:spacing w:line="440" w:lineRule="atLeast"/>
        <w:ind w:firstLine="3413"/>
        <w:outlineLvl w:val="0"/>
        <w:rPr>
          <w:b/>
          <w:color w:val="auto"/>
          <w:sz w:val="36"/>
          <w:szCs w:val="22"/>
          <w:highlight w:val="none"/>
          <w:lang w:val="zh-CN"/>
        </w:rPr>
      </w:pPr>
      <w:r>
        <w:rPr>
          <w:rFonts w:hint="eastAsia"/>
          <w:b/>
          <w:color w:val="auto"/>
          <w:sz w:val="36"/>
          <w:szCs w:val="22"/>
          <w:highlight w:val="none"/>
          <w:lang w:val="zh-CN"/>
        </w:rPr>
        <w:t>商</w:t>
      </w:r>
      <w:r>
        <w:rPr>
          <w:b/>
          <w:color w:val="auto"/>
          <w:sz w:val="36"/>
          <w:szCs w:val="22"/>
          <w:highlight w:val="none"/>
          <w:lang w:val="zh-CN"/>
        </w:rPr>
        <w:t xml:space="preserve"> </w:t>
      </w:r>
      <w:r>
        <w:rPr>
          <w:rFonts w:hint="eastAsia"/>
          <w:b/>
          <w:color w:val="auto"/>
          <w:sz w:val="36"/>
          <w:szCs w:val="22"/>
          <w:highlight w:val="none"/>
          <w:lang w:val="zh-CN"/>
        </w:rPr>
        <w:t>务</w:t>
      </w:r>
      <w:r>
        <w:rPr>
          <w:b/>
          <w:color w:val="auto"/>
          <w:sz w:val="36"/>
          <w:szCs w:val="22"/>
          <w:highlight w:val="none"/>
          <w:lang w:val="zh-CN"/>
        </w:rPr>
        <w:t xml:space="preserve"> </w:t>
      </w:r>
      <w:r>
        <w:rPr>
          <w:rFonts w:hint="eastAsia"/>
          <w:b/>
          <w:color w:val="auto"/>
          <w:sz w:val="36"/>
          <w:szCs w:val="22"/>
          <w:highlight w:val="none"/>
          <w:lang w:val="zh-CN"/>
        </w:rPr>
        <w:t>偏</w:t>
      </w:r>
      <w:r>
        <w:rPr>
          <w:b/>
          <w:color w:val="auto"/>
          <w:sz w:val="36"/>
          <w:szCs w:val="22"/>
          <w:highlight w:val="none"/>
          <w:lang w:val="zh-CN"/>
        </w:rPr>
        <w:t xml:space="preserve"> </w:t>
      </w:r>
      <w:r>
        <w:rPr>
          <w:rFonts w:hint="eastAsia"/>
          <w:b/>
          <w:color w:val="auto"/>
          <w:sz w:val="36"/>
          <w:szCs w:val="22"/>
          <w:highlight w:val="none"/>
          <w:lang w:val="zh-CN"/>
        </w:rPr>
        <w:t>离</w:t>
      </w:r>
      <w:r>
        <w:rPr>
          <w:b/>
          <w:color w:val="auto"/>
          <w:sz w:val="36"/>
          <w:szCs w:val="22"/>
          <w:highlight w:val="none"/>
          <w:lang w:val="zh-CN"/>
        </w:rPr>
        <w:t xml:space="preserve"> </w:t>
      </w:r>
      <w:r>
        <w:rPr>
          <w:rFonts w:hint="eastAsia"/>
          <w:b/>
          <w:color w:val="auto"/>
          <w:sz w:val="36"/>
          <w:szCs w:val="22"/>
          <w:highlight w:val="none"/>
          <w:lang w:val="zh-CN"/>
        </w:rPr>
        <w:t>表</w:t>
      </w:r>
    </w:p>
    <w:p>
      <w:pPr>
        <w:autoSpaceDE w:val="0"/>
        <w:autoSpaceDN w:val="0"/>
        <w:adjustRightInd w:val="0"/>
        <w:spacing w:line="440" w:lineRule="atLeast"/>
        <w:ind w:firstLine="3413"/>
        <w:rPr>
          <w:b/>
          <w:color w:val="auto"/>
          <w:sz w:val="36"/>
          <w:szCs w:val="22"/>
          <w:highlight w:val="none"/>
          <w:lang w:val="zh-CN"/>
        </w:rPr>
      </w:pPr>
    </w:p>
    <w:tbl>
      <w:tblPr>
        <w:tblStyle w:val="38"/>
        <w:tblW w:w="0" w:type="auto"/>
        <w:tblInd w:w="0" w:type="dxa"/>
        <w:tblLayout w:type="fixed"/>
        <w:tblCellMar>
          <w:top w:w="0" w:type="dxa"/>
          <w:left w:w="108" w:type="dxa"/>
          <w:bottom w:w="0" w:type="dxa"/>
          <w:right w:w="108" w:type="dxa"/>
        </w:tblCellMar>
      </w:tblPr>
      <w:tblGrid>
        <w:gridCol w:w="900"/>
        <w:gridCol w:w="1800"/>
        <w:gridCol w:w="2664"/>
        <w:gridCol w:w="2110"/>
        <w:gridCol w:w="2126"/>
      </w:tblGrid>
      <w:tr>
        <w:tblPrEx>
          <w:tblCellMar>
            <w:top w:w="0" w:type="dxa"/>
            <w:left w:w="108" w:type="dxa"/>
            <w:bottom w:w="0" w:type="dxa"/>
            <w:right w:w="108" w:type="dxa"/>
          </w:tblCellMar>
        </w:tblPrEx>
        <w:trPr>
          <w:trHeight w:val="936" w:hRule="atLeast"/>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color w:val="auto"/>
                <w:szCs w:val="22"/>
                <w:highlight w:val="none"/>
                <w:lang w:val="zh-CN"/>
              </w:rPr>
            </w:pPr>
            <w:r>
              <w:rPr>
                <w:rFonts w:hint="eastAsia"/>
                <w:b/>
                <w:color w:val="auto"/>
                <w:szCs w:val="22"/>
                <w:highlight w:val="none"/>
                <w:lang w:val="zh-CN"/>
              </w:rPr>
              <w:t>序</w:t>
            </w:r>
            <w:r>
              <w:rPr>
                <w:b/>
                <w:color w:val="auto"/>
                <w:szCs w:val="22"/>
                <w:highlight w:val="none"/>
                <w:lang w:val="zh-CN"/>
              </w:rPr>
              <w:t xml:space="preserve"> </w:t>
            </w:r>
            <w:r>
              <w:rPr>
                <w:rFonts w:hint="eastAsia"/>
                <w:b/>
                <w:color w:val="auto"/>
                <w:szCs w:val="22"/>
                <w:highlight w:val="none"/>
                <w:lang w:val="zh-CN"/>
              </w:rPr>
              <w:t>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color w:val="auto"/>
                <w:szCs w:val="22"/>
                <w:highlight w:val="none"/>
                <w:lang w:val="zh-CN"/>
              </w:rPr>
            </w:pPr>
            <w:r>
              <w:rPr>
                <w:rFonts w:hint="eastAsia"/>
                <w:b/>
                <w:color w:val="auto"/>
                <w:szCs w:val="22"/>
                <w:highlight w:val="none"/>
                <w:lang w:val="zh-CN"/>
              </w:rPr>
              <w:t>内容</w:t>
            </w:r>
          </w:p>
        </w:tc>
        <w:tc>
          <w:tcPr>
            <w:tcW w:w="26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color w:val="auto"/>
                <w:szCs w:val="22"/>
                <w:highlight w:val="none"/>
                <w:lang w:val="zh-CN"/>
              </w:rPr>
            </w:pPr>
            <w:r>
              <w:rPr>
                <w:rFonts w:hint="eastAsia"/>
                <w:b/>
                <w:color w:val="auto"/>
                <w:szCs w:val="22"/>
                <w:highlight w:val="none"/>
                <w:lang w:val="zh-CN"/>
              </w:rPr>
              <w:t>招标文件规范要求</w:t>
            </w:r>
          </w:p>
        </w:tc>
        <w:tc>
          <w:tcPr>
            <w:tcW w:w="21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color w:val="auto"/>
                <w:szCs w:val="22"/>
                <w:highlight w:val="none"/>
                <w:lang w:val="zh-CN"/>
              </w:rPr>
            </w:pPr>
            <w:r>
              <w:rPr>
                <w:rFonts w:hint="eastAsia"/>
                <w:b/>
                <w:color w:val="auto"/>
                <w:szCs w:val="22"/>
                <w:highlight w:val="none"/>
                <w:lang w:val="zh-CN"/>
              </w:rPr>
              <w:t>投标文件</w:t>
            </w:r>
          </w:p>
          <w:p>
            <w:pPr>
              <w:autoSpaceDE w:val="0"/>
              <w:autoSpaceDN w:val="0"/>
              <w:adjustRightInd w:val="0"/>
              <w:spacing w:line="440" w:lineRule="atLeast"/>
              <w:jc w:val="center"/>
              <w:rPr>
                <w:b/>
                <w:color w:val="auto"/>
                <w:szCs w:val="22"/>
                <w:highlight w:val="none"/>
                <w:lang w:val="zh-CN"/>
              </w:rPr>
            </w:pPr>
            <w:r>
              <w:rPr>
                <w:rFonts w:hint="eastAsia"/>
                <w:b/>
                <w:color w:val="auto"/>
                <w:szCs w:val="22"/>
                <w:highlight w:val="none"/>
                <w:lang w:val="zh-CN"/>
              </w:rPr>
              <w:t>对应规范</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color w:val="auto"/>
                <w:szCs w:val="22"/>
                <w:highlight w:val="none"/>
                <w:lang w:val="zh-CN"/>
              </w:rPr>
            </w:pPr>
            <w:r>
              <w:rPr>
                <w:rFonts w:hint="eastAsia"/>
                <w:b/>
                <w:color w:val="auto"/>
                <w:szCs w:val="22"/>
                <w:highlight w:val="none"/>
                <w:lang w:val="zh-CN"/>
              </w:rPr>
              <w:t>备</w:t>
            </w:r>
            <w:r>
              <w:rPr>
                <w:b/>
                <w:color w:val="auto"/>
                <w:szCs w:val="22"/>
                <w:highlight w:val="none"/>
                <w:lang w:val="zh-CN"/>
              </w:rPr>
              <w:t xml:space="preserve"> </w:t>
            </w:r>
            <w:r>
              <w:rPr>
                <w:rFonts w:hint="eastAsia"/>
                <w:b/>
                <w:color w:val="auto"/>
                <w:szCs w:val="22"/>
                <w:highlight w:val="none"/>
                <w:lang w:val="zh-CN"/>
              </w:rPr>
              <w:t>注</w:t>
            </w: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bl>
    <w:p>
      <w:pPr>
        <w:autoSpaceDE w:val="0"/>
        <w:autoSpaceDN w:val="0"/>
        <w:adjustRightInd w:val="0"/>
        <w:spacing w:line="440" w:lineRule="atLeast"/>
        <w:rPr>
          <w:b/>
          <w:color w:val="auto"/>
          <w:szCs w:val="22"/>
          <w:highlight w:val="none"/>
          <w:lang w:val="zh-CN"/>
        </w:rPr>
      </w:pPr>
      <w:r>
        <w:rPr>
          <w:rFonts w:hint="eastAsia"/>
          <w:b/>
          <w:color w:val="auto"/>
          <w:szCs w:val="22"/>
          <w:highlight w:val="none"/>
          <w:lang w:val="zh-CN"/>
        </w:rPr>
        <w:t>供应商盖章：</w:t>
      </w:r>
    </w:p>
    <w:p>
      <w:pPr>
        <w:autoSpaceDE w:val="0"/>
        <w:autoSpaceDN w:val="0"/>
        <w:adjustRightInd w:val="0"/>
        <w:spacing w:line="440" w:lineRule="atLeast"/>
        <w:outlineLvl w:val="0"/>
        <w:rPr>
          <w:b/>
          <w:color w:val="auto"/>
          <w:sz w:val="32"/>
          <w:szCs w:val="22"/>
          <w:highlight w:val="none"/>
          <w:lang w:val="zh-CN"/>
        </w:rPr>
      </w:pPr>
    </w:p>
    <w:p>
      <w:pPr>
        <w:autoSpaceDE w:val="0"/>
        <w:autoSpaceDN w:val="0"/>
        <w:adjustRightInd w:val="0"/>
        <w:spacing w:line="440" w:lineRule="atLeast"/>
        <w:ind w:firstLine="3614" w:firstLineChars="1000"/>
        <w:outlineLvl w:val="0"/>
        <w:rPr>
          <w:b/>
          <w:color w:val="auto"/>
          <w:sz w:val="36"/>
          <w:szCs w:val="22"/>
          <w:highlight w:val="none"/>
          <w:lang w:val="zh-CN"/>
        </w:rPr>
      </w:pPr>
      <w:r>
        <w:rPr>
          <w:rFonts w:hint="eastAsia"/>
          <w:b/>
          <w:color w:val="auto"/>
          <w:sz w:val="36"/>
          <w:szCs w:val="22"/>
          <w:highlight w:val="none"/>
          <w:lang w:val="zh-CN"/>
        </w:rPr>
        <w:t>技术偏离表</w:t>
      </w:r>
    </w:p>
    <w:tbl>
      <w:tblPr>
        <w:tblStyle w:val="38"/>
        <w:tblW w:w="0" w:type="auto"/>
        <w:tblInd w:w="-192" w:type="dxa"/>
        <w:tblLayout w:type="fixed"/>
        <w:tblCellMar>
          <w:top w:w="0" w:type="dxa"/>
          <w:left w:w="108" w:type="dxa"/>
          <w:bottom w:w="0" w:type="dxa"/>
          <w:right w:w="108" w:type="dxa"/>
        </w:tblCellMar>
      </w:tblPr>
      <w:tblGrid>
        <w:gridCol w:w="900"/>
        <w:gridCol w:w="1800"/>
        <w:gridCol w:w="2300"/>
        <w:gridCol w:w="2000"/>
        <w:gridCol w:w="2800"/>
      </w:tblGrid>
      <w:tr>
        <w:tblPrEx>
          <w:tblCellMar>
            <w:top w:w="0" w:type="dxa"/>
            <w:left w:w="108" w:type="dxa"/>
            <w:bottom w:w="0" w:type="dxa"/>
            <w:right w:w="108" w:type="dxa"/>
          </w:tblCellMar>
        </w:tblPrEx>
        <w:trPr>
          <w:trHeight w:val="918" w:hRule="atLeast"/>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color w:val="auto"/>
                <w:szCs w:val="22"/>
                <w:highlight w:val="none"/>
                <w:lang w:val="zh-CN"/>
              </w:rPr>
            </w:pPr>
            <w:r>
              <w:rPr>
                <w:rFonts w:hint="eastAsia"/>
                <w:b/>
                <w:color w:val="auto"/>
                <w:szCs w:val="22"/>
                <w:highlight w:val="none"/>
                <w:lang w:val="zh-CN"/>
              </w:rPr>
              <w:t>序</w:t>
            </w:r>
            <w:r>
              <w:rPr>
                <w:b/>
                <w:color w:val="auto"/>
                <w:szCs w:val="22"/>
                <w:highlight w:val="none"/>
                <w:lang w:val="zh-CN"/>
              </w:rPr>
              <w:t xml:space="preserve"> </w:t>
            </w:r>
            <w:r>
              <w:rPr>
                <w:rFonts w:hint="eastAsia"/>
                <w:b/>
                <w:color w:val="auto"/>
                <w:szCs w:val="22"/>
                <w:highlight w:val="none"/>
                <w:lang w:val="zh-CN"/>
              </w:rPr>
              <w:t>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color w:val="auto"/>
                <w:szCs w:val="22"/>
                <w:highlight w:val="none"/>
                <w:lang w:val="zh-CN"/>
              </w:rPr>
            </w:pPr>
            <w:r>
              <w:rPr>
                <w:rFonts w:hint="eastAsia"/>
                <w:b/>
                <w:color w:val="auto"/>
                <w:szCs w:val="22"/>
                <w:highlight w:val="none"/>
                <w:lang w:val="zh-CN"/>
              </w:rPr>
              <w:t>内容</w:t>
            </w:r>
          </w:p>
        </w:tc>
        <w:tc>
          <w:tcPr>
            <w:tcW w:w="23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color w:val="auto"/>
                <w:szCs w:val="22"/>
                <w:highlight w:val="none"/>
                <w:lang w:val="zh-CN"/>
              </w:rPr>
            </w:pPr>
            <w:r>
              <w:rPr>
                <w:rFonts w:hint="eastAsia"/>
                <w:b/>
                <w:color w:val="auto"/>
                <w:szCs w:val="22"/>
                <w:highlight w:val="none"/>
                <w:lang w:val="zh-CN"/>
              </w:rPr>
              <w:t>招标文件规范要求</w:t>
            </w:r>
          </w:p>
        </w:tc>
        <w:tc>
          <w:tcPr>
            <w:tcW w:w="20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color w:val="auto"/>
                <w:szCs w:val="22"/>
                <w:highlight w:val="none"/>
                <w:lang w:val="zh-CN"/>
              </w:rPr>
            </w:pPr>
            <w:r>
              <w:rPr>
                <w:rFonts w:hint="eastAsia"/>
                <w:b/>
                <w:color w:val="auto"/>
                <w:szCs w:val="22"/>
                <w:highlight w:val="none"/>
                <w:lang w:val="zh-CN"/>
              </w:rPr>
              <w:t>投标文件</w:t>
            </w:r>
          </w:p>
          <w:p>
            <w:pPr>
              <w:autoSpaceDE w:val="0"/>
              <w:autoSpaceDN w:val="0"/>
              <w:adjustRightInd w:val="0"/>
              <w:spacing w:line="440" w:lineRule="atLeast"/>
              <w:jc w:val="center"/>
              <w:rPr>
                <w:b/>
                <w:color w:val="auto"/>
                <w:szCs w:val="22"/>
                <w:highlight w:val="none"/>
                <w:lang w:val="zh-CN"/>
              </w:rPr>
            </w:pPr>
            <w:r>
              <w:rPr>
                <w:rFonts w:hint="eastAsia"/>
                <w:b/>
                <w:color w:val="auto"/>
                <w:szCs w:val="22"/>
                <w:highlight w:val="none"/>
                <w:lang w:val="zh-CN"/>
              </w:rPr>
              <w:t>对应规范</w:t>
            </w:r>
          </w:p>
        </w:tc>
        <w:tc>
          <w:tcPr>
            <w:tcW w:w="2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b/>
                <w:color w:val="auto"/>
                <w:szCs w:val="22"/>
                <w:highlight w:val="none"/>
                <w:lang w:val="zh-CN"/>
              </w:rPr>
            </w:pPr>
            <w:r>
              <w:rPr>
                <w:rFonts w:hint="eastAsia"/>
                <w:b/>
                <w:color w:val="auto"/>
                <w:szCs w:val="22"/>
                <w:highlight w:val="none"/>
                <w:lang w:val="zh-CN"/>
              </w:rPr>
              <w:t>备</w:t>
            </w:r>
            <w:r>
              <w:rPr>
                <w:b/>
                <w:color w:val="auto"/>
                <w:szCs w:val="22"/>
                <w:highlight w:val="none"/>
                <w:lang w:val="zh-CN"/>
              </w:rPr>
              <w:t xml:space="preserve"> </w:t>
            </w:r>
            <w:r>
              <w:rPr>
                <w:rFonts w:hint="eastAsia"/>
                <w:b/>
                <w:color w:val="auto"/>
                <w:szCs w:val="22"/>
                <w:highlight w:val="none"/>
                <w:lang w:val="zh-CN"/>
              </w:rPr>
              <w:t>注</w:t>
            </w: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b/>
                <w:color w:val="auto"/>
                <w:szCs w:val="22"/>
                <w:highlight w:val="none"/>
                <w:lang w:val="zh-CN"/>
              </w:rPr>
            </w:pPr>
          </w:p>
        </w:tc>
      </w:tr>
    </w:tbl>
    <w:p>
      <w:pPr>
        <w:autoSpaceDE w:val="0"/>
        <w:autoSpaceDN w:val="0"/>
        <w:adjustRightInd w:val="0"/>
        <w:spacing w:line="440" w:lineRule="atLeast"/>
        <w:rPr>
          <w:b/>
          <w:color w:val="auto"/>
          <w:szCs w:val="22"/>
          <w:highlight w:val="none"/>
          <w:lang w:val="zh-CN"/>
        </w:rPr>
      </w:pPr>
      <w:r>
        <w:rPr>
          <w:rFonts w:hint="eastAsia"/>
          <w:b/>
          <w:color w:val="auto"/>
          <w:szCs w:val="22"/>
          <w:highlight w:val="none"/>
          <w:lang w:val="zh-CN"/>
        </w:rPr>
        <w:t>供应商盖章：</w:t>
      </w:r>
      <w:r>
        <w:rPr>
          <w:b/>
          <w:color w:val="auto"/>
          <w:szCs w:val="22"/>
          <w:highlight w:val="none"/>
          <w:u w:val="single"/>
          <w:lang w:val="zh-CN"/>
        </w:rPr>
        <w:t xml:space="preserve">               </w:t>
      </w:r>
    </w:p>
    <w:p>
      <w:pPr>
        <w:autoSpaceDE w:val="0"/>
        <w:autoSpaceDN w:val="0"/>
        <w:adjustRightInd w:val="0"/>
        <w:rPr>
          <w:color w:val="auto"/>
          <w:sz w:val="32"/>
          <w:highlight w:val="none"/>
        </w:rPr>
        <w:sectPr>
          <w:headerReference r:id="rId12" w:type="default"/>
          <w:footerReference r:id="rId13" w:type="default"/>
          <w:pgSz w:w="11906" w:h="16838"/>
          <w:pgMar w:top="1440" w:right="1361" w:bottom="1440" w:left="1361" w:header="851" w:footer="992" w:gutter="0"/>
          <w:cols w:space="720" w:num="1"/>
          <w:docGrid w:linePitch="312" w:charSpace="0"/>
        </w:sectPr>
      </w:pPr>
    </w:p>
    <w:p>
      <w:pPr>
        <w:autoSpaceDE w:val="0"/>
        <w:autoSpaceDN w:val="0"/>
        <w:adjustRightInd w:val="0"/>
        <w:outlineLvl w:val="0"/>
        <w:rPr>
          <w:b/>
          <w:color w:val="auto"/>
          <w:sz w:val="32"/>
          <w:szCs w:val="22"/>
          <w:highlight w:val="none"/>
          <w:lang w:val="zh-CN"/>
        </w:rPr>
      </w:pPr>
      <w:r>
        <w:rPr>
          <w:rFonts w:hint="eastAsia"/>
          <w:b/>
          <w:color w:val="auto"/>
          <w:sz w:val="32"/>
          <w:szCs w:val="22"/>
          <w:highlight w:val="none"/>
        </w:rPr>
        <w:t>2</w:t>
      </w:r>
      <w:r>
        <w:rPr>
          <w:rFonts w:hint="eastAsia"/>
          <w:b/>
          <w:color w:val="auto"/>
          <w:sz w:val="32"/>
          <w:szCs w:val="22"/>
          <w:highlight w:val="none"/>
          <w:lang w:val="zh-CN"/>
        </w:rPr>
        <w:t>.8 2018年1月1日以来的类似项目业绩证明</w:t>
      </w:r>
    </w:p>
    <w:p>
      <w:pPr>
        <w:adjustRightInd w:val="0"/>
        <w:snapToGrid w:val="0"/>
        <w:spacing w:line="400" w:lineRule="exact"/>
        <w:ind w:firstLine="1446" w:firstLineChars="400"/>
        <w:jc w:val="center"/>
        <w:rPr>
          <w:rFonts w:ascii="宋体" w:hAnsi="宋体"/>
          <w:b/>
          <w:color w:val="auto"/>
          <w:sz w:val="36"/>
          <w:szCs w:val="36"/>
          <w:highlight w:val="none"/>
        </w:rPr>
      </w:pPr>
      <w:r>
        <w:rPr>
          <w:rFonts w:hint="eastAsia" w:ascii="宋体" w:hAnsi="宋体"/>
          <w:b/>
          <w:color w:val="auto"/>
          <w:sz w:val="36"/>
          <w:szCs w:val="36"/>
          <w:highlight w:val="none"/>
        </w:rPr>
        <w:t>2018年1月1日以来的类似项目业绩证明</w:t>
      </w:r>
    </w:p>
    <w:tbl>
      <w:tblPr>
        <w:tblStyle w:val="3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537"/>
        <w:gridCol w:w="1041"/>
        <w:gridCol w:w="1199"/>
        <w:gridCol w:w="970"/>
        <w:gridCol w:w="966"/>
        <w:gridCol w:w="1034"/>
        <w:gridCol w:w="1695"/>
        <w:gridCol w:w="1174"/>
        <w:gridCol w:w="1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b/>
                <w:color w:val="auto"/>
                <w:sz w:val="22"/>
                <w:szCs w:val="22"/>
                <w:highlight w:val="none"/>
              </w:rPr>
            </w:pPr>
            <w:r>
              <w:rPr>
                <w:rFonts w:hint="eastAsia"/>
                <w:b/>
                <w:color w:val="auto"/>
                <w:sz w:val="22"/>
                <w:szCs w:val="22"/>
                <w:highlight w:val="none"/>
              </w:rPr>
              <w:t>序号</w:t>
            </w:r>
          </w:p>
        </w:tc>
        <w:tc>
          <w:tcPr>
            <w:tcW w:w="1041" w:type="dxa"/>
            <w:vAlign w:val="center"/>
          </w:tcPr>
          <w:p>
            <w:pPr>
              <w:autoSpaceDE w:val="0"/>
              <w:autoSpaceDN w:val="0"/>
              <w:adjustRightInd w:val="0"/>
              <w:jc w:val="center"/>
              <w:rPr>
                <w:b/>
                <w:color w:val="auto"/>
                <w:sz w:val="22"/>
                <w:szCs w:val="22"/>
                <w:highlight w:val="none"/>
              </w:rPr>
            </w:pPr>
            <w:r>
              <w:rPr>
                <w:rFonts w:hint="eastAsia"/>
                <w:b/>
                <w:color w:val="auto"/>
                <w:sz w:val="22"/>
                <w:szCs w:val="22"/>
                <w:highlight w:val="none"/>
              </w:rPr>
              <w:t>项目名称</w:t>
            </w:r>
          </w:p>
        </w:tc>
        <w:tc>
          <w:tcPr>
            <w:tcW w:w="1199" w:type="dxa"/>
            <w:vAlign w:val="center"/>
          </w:tcPr>
          <w:p>
            <w:pPr>
              <w:autoSpaceDE w:val="0"/>
              <w:autoSpaceDN w:val="0"/>
              <w:adjustRightInd w:val="0"/>
              <w:jc w:val="center"/>
              <w:rPr>
                <w:b/>
                <w:color w:val="auto"/>
                <w:sz w:val="22"/>
                <w:szCs w:val="22"/>
                <w:highlight w:val="none"/>
              </w:rPr>
            </w:pPr>
            <w:r>
              <w:rPr>
                <w:rFonts w:hint="eastAsia"/>
                <w:b/>
                <w:color w:val="auto"/>
                <w:sz w:val="22"/>
                <w:szCs w:val="22"/>
                <w:highlight w:val="none"/>
              </w:rPr>
              <w:t>项目地址</w:t>
            </w:r>
          </w:p>
        </w:tc>
        <w:tc>
          <w:tcPr>
            <w:tcW w:w="970" w:type="dxa"/>
            <w:vAlign w:val="center"/>
          </w:tcPr>
          <w:p>
            <w:pPr>
              <w:autoSpaceDE w:val="0"/>
              <w:autoSpaceDN w:val="0"/>
              <w:adjustRightInd w:val="0"/>
              <w:jc w:val="center"/>
              <w:rPr>
                <w:b/>
                <w:color w:val="auto"/>
                <w:sz w:val="22"/>
                <w:szCs w:val="22"/>
                <w:highlight w:val="none"/>
              </w:rPr>
            </w:pPr>
            <w:r>
              <w:rPr>
                <w:rFonts w:hint="eastAsia"/>
                <w:b/>
                <w:color w:val="auto"/>
                <w:sz w:val="22"/>
                <w:szCs w:val="22"/>
                <w:highlight w:val="none"/>
              </w:rPr>
              <w:t>合同内容</w:t>
            </w:r>
          </w:p>
        </w:tc>
        <w:tc>
          <w:tcPr>
            <w:tcW w:w="966" w:type="dxa"/>
            <w:vAlign w:val="center"/>
          </w:tcPr>
          <w:p>
            <w:pPr>
              <w:autoSpaceDE w:val="0"/>
              <w:autoSpaceDN w:val="0"/>
              <w:adjustRightInd w:val="0"/>
              <w:jc w:val="center"/>
              <w:rPr>
                <w:b/>
                <w:color w:val="auto"/>
                <w:sz w:val="22"/>
                <w:szCs w:val="22"/>
                <w:highlight w:val="none"/>
              </w:rPr>
            </w:pPr>
            <w:r>
              <w:rPr>
                <w:rFonts w:hint="eastAsia"/>
                <w:b/>
                <w:color w:val="auto"/>
                <w:sz w:val="22"/>
                <w:szCs w:val="22"/>
                <w:highlight w:val="none"/>
              </w:rPr>
              <w:t>合同总价</w:t>
            </w:r>
          </w:p>
        </w:tc>
        <w:tc>
          <w:tcPr>
            <w:tcW w:w="1034" w:type="dxa"/>
            <w:vAlign w:val="center"/>
          </w:tcPr>
          <w:p>
            <w:pPr>
              <w:autoSpaceDE w:val="0"/>
              <w:autoSpaceDN w:val="0"/>
              <w:adjustRightInd w:val="0"/>
              <w:jc w:val="center"/>
              <w:rPr>
                <w:b/>
                <w:color w:val="auto"/>
                <w:sz w:val="22"/>
                <w:szCs w:val="22"/>
                <w:highlight w:val="none"/>
              </w:rPr>
            </w:pPr>
            <w:r>
              <w:rPr>
                <w:rFonts w:hint="eastAsia"/>
                <w:b/>
                <w:color w:val="auto"/>
                <w:sz w:val="22"/>
                <w:szCs w:val="22"/>
                <w:highlight w:val="none"/>
              </w:rPr>
              <w:t>签约日期</w:t>
            </w:r>
          </w:p>
        </w:tc>
        <w:tc>
          <w:tcPr>
            <w:tcW w:w="1695" w:type="dxa"/>
            <w:tcBorders>
              <w:right w:val="single" w:color="auto" w:sz="4" w:space="0"/>
            </w:tcBorders>
            <w:vAlign w:val="center"/>
          </w:tcPr>
          <w:p>
            <w:pPr>
              <w:autoSpaceDE w:val="0"/>
              <w:autoSpaceDN w:val="0"/>
              <w:adjustRightInd w:val="0"/>
              <w:jc w:val="center"/>
              <w:rPr>
                <w:b/>
                <w:color w:val="auto"/>
                <w:sz w:val="22"/>
                <w:szCs w:val="22"/>
                <w:highlight w:val="none"/>
              </w:rPr>
            </w:pPr>
            <w:r>
              <w:rPr>
                <w:rFonts w:hint="eastAsia"/>
                <w:b/>
                <w:color w:val="auto"/>
                <w:sz w:val="22"/>
                <w:szCs w:val="22"/>
                <w:highlight w:val="none"/>
              </w:rPr>
              <w:t>采购方联系人</w:t>
            </w:r>
          </w:p>
        </w:tc>
        <w:tc>
          <w:tcPr>
            <w:tcW w:w="1174" w:type="dxa"/>
            <w:tcBorders>
              <w:left w:val="single" w:color="auto" w:sz="4" w:space="0"/>
              <w:right w:val="single" w:color="auto" w:sz="4" w:space="0"/>
            </w:tcBorders>
            <w:vAlign w:val="center"/>
          </w:tcPr>
          <w:p>
            <w:pPr>
              <w:autoSpaceDE w:val="0"/>
              <w:autoSpaceDN w:val="0"/>
              <w:adjustRightInd w:val="0"/>
              <w:jc w:val="center"/>
              <w:rPr>
                <w:b/>
                <w:color w:val="auto"/>
                <w:sz w:val="22"/>
                <w:szCs w:val="22"/>
                <w:highlight w:val="none"/>
              </w:rPr>
            </w:pPr>
            <w:r>
              <w:rPr>
                <w:rFonts w:hint="eastAsia"/>
                <w:b/>
                <w:color w:val="auto"/>
                <w:sz w:val="22"/>
                <w:szCs w:val="22"/>
                <w:highlight w:val="none"/>
              </w:rPr>
              <w:t>联系电话</w:t>
            </w:r>
          </w:p>
        </w:tc>
        <w:tc>
          <w:tcPr>
            <w:tcW w:w="1407" w:type="dxa"/>
            <w:tcBorders>
              <w:left w:val="single" w:color="auto" w:sz="4" w:space="0"/>
            </w:tcBorders>
            <w:vAlign w:val="center"/>
          </w:tcPr>
          <w:p>
            <w:pPr>
              <w:autoSpaceDE w:val="0"/>
              <w:autoSpaceDN w:val="0"/>
              <w:adjustRightInd w:val="0"/>
              <w:jc w:val="center"/>
              <w:rPr>
                <w:b/>
                <w:color w:val="auto"/>
                <w:sz w:val="22"/>
                <w:szCs w:val="22"/>
                <w:highlight w:val="none"/>
              </w:rPr>
            </w:pPr>
            <w:r>
              <w:rPr>
                <w:rFonts w:hint="eastAsia"/>
                <w:b/>
                <w:color w:val="auto"/>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color w:val="auto"/>
                <w:szCs w:val="22"/>
                <w:highlight w:val="none"/>
              </w:rPr>
            </w:pPr>
          </w:p>
        </w:tc>
        <w:tc>
          <w:tcPr>
            <w:tcW w:w="1041" w:type="dxa"/>
            <w:vAlign w:val="center"/>
          </w:tcPr>
          <w:p>
            <w:pPr>
              <w:autoSpaceDE w:val="0"/>
              <w:autoSpaceDN w:val="0"/>
              <w:adjustRightInd w:val="0"/>
              <w:jc w:val="center"/>
              <w:rPr>
                <w:color w:val="auto"/>
                <w:szCs w:val="22"/>
                <w:highlight w:val="none"/>
              </w:rPr>
            </w:pPr>
          </w:p>
        </w:tc>
        <w:tc>
          <w:tcPr>
            <w:tcW w:w="1199" w:type="dxa"/>
            <w:vAlign w:val="center"/>
          </w:tcPr>
          <w:p>
            <w:pPr>
              <w:autoSpaceDE w:val="0"/>
              <w:autoSpaceDN w:val="0"/>
              <w:adjustRightInd w:val="0"/>
              <w:jc w:val="center"/>
              <w:rPr>
                <w:color w:val="auto"/>
                <w:szCs w:val="22"/>
                <w:highlight w:val="none"/>
              </w:rPr>
            </w:pPr>
          </w:p>
        </w:tc>
        <w:tc>
          <w:tcPr>
            <w:tcW w:w="970" w:type="dxa"/>
            <w:vAlign w:val="center"/>
          </w:tcPr>
          <w:p>
            <w:pPr>
              <w:autoSpaceDE w:val="0"/>
              <w:autoSpaceDN w:val="0"/>
              <w:adjustRightInd w:val="0"/>
              <w:jc w:val="center"/>
              <w:rPr>
                <w:color w:val="auto"/>
                <w:szCs w:val="22"/>
                <w:highlight w:val="none"/>
              </w:rPr>
            </w:pPr>
          </w:p>
        </w:tc>
        <w:tc>
          <w:tcPr>
            <w:tcW w:w="966" w:type="dxa"/>
            <w:vAlign w:val="center"/>
          </w:tcPr>
          <w:p>
            <w:pPr>
              <w:autoSpaceDE w:val="0"/>
              <w:autoSpaceDN w:val="0"/>
              <w:adjustRightInd w:val="0"/>
              <w:jc w:val="center"/>
              <w:rPr>
                <w:color w:val="auto"/>
                <w:szCs w:val="22"/>
                <w:highlight w:val="none"/>
              </w:rPr>
            </w:pPr>
          </w:p>
        </w:tc>
        <w:tc>
          <w:tcPr>
            <w:tcW w:w="1034" w:type="dxa"/>
            <w:vAlign w:val="center"/>
          </w:tcPr>
          <w:p>
            <w:pPr>
              <w:autoSpaceDE w:val="0"/>
              <w:autoSpaceDN w:val="0"/>
              <w:adjustRightInd w:val="0"/>
              <w:jc w:val="center"/>
              <w:rPr>
                <w:color w:val="auto"/>
                <w:szCs w:val="22"/>
                <w:highlight w:val="none"/>
              </w:rPr>
            </w:pPr>
          </w:p>
        </w:tc>
        <w:tc>
          <w:tcPr>
            <w:tcW w:w="1695" w:type="dxa"/>
            <w:tcBorders>
              <w:right w:val="single" w:color="auto" w:sz="4" w:space="0"/>
            </w:tcBorders>
            <w:vAlign w:val="center"/>
          </w:tcPr>
          <w:p>
            <w:pPr>
              <w:autoSpaceDE w:val="0"/>
              <w:autoSpaceDN w:val="0"/>
              <w:adjustRightInd w:val="0"/>
              <w:jc w:val="center"/>
              <w:rPr>
                <w:color w:val="auto"/>
                <w:szCs w:val="22"/>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color w:val="auto"/>
                <w:szCs w:val="22"/>
                <w:highlight w:val="none"/>
              </w:rPr>
            </w:pPr>
          </w:p>
        </w:tc>
        <w:tc>
          <w:tcPr>
            <w:tcW w:w="1407" w:type="dxa"/>
            <w:tcBorders>
              <w:left w:val="single" w:color="auto" w:sz="4" w:space="0"/>
            </w:tcBorders>
            <w:vAlign w:val="center"/>
          </w:tcPr>
          <w:p>
            <w:pPr>
              <w:autoSpaceDE w:val="0"/>
              <w:autoSpaceDN w:val="0"/>
              <w:adjustRightInd w:val="0"/>
              <w:jc w:val="center"/>
              <w:rPr>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color w:val="auto"/>
                <w:szCs w:val="22"/>
                <w:highlight w:val="none"/>
              </w:rPr>
            </w:pPr>
          </w:p>
        </w:tc>
        <w:tc>
          <w:tcPr>
            <w:tcW w:w="1041" w:type="dxa"/>
            <w:vAlign w:val="center"/>
          </w:tcPr>
          <w:p>
            <w:pPr>
              <w:autoSpaceDE w:val="0"/>
              <w:autoSpaceDN w:val="0"/>
              <w:adjustRightInd w:val="0"/>
              <w:jc w:val="center"/>
              <w:rPr>
                <w:color w:val="auto"/>
                <w:szCs w:val="22"/>
                <w:highlight w:val="none"/>
              </w:rPr>
            </w:pPr>
          </w:p>
        </w:tc>
        <w:tc>
          <w:tcPr>
            <w:tcW w:w="1199" w:type="dxa"/>
            <w:vAlign w:val="center"/>
          </w:tcPr>
          <w:p>
            <w:pPr>
              <w:autoSpaceDE w:val="0"/>
              <w:autoSpaceDN w:val="0"/>
              <w:adjustRightInd w:val="0"/>
              <w:jc w:val="center"/>
              <w:rPr>
                <w:color w:val="auto"/>
                <w:szCs w:val="22"/>
                <w:highlight w:val="none"/>
              </w:rPr>
            </w:pPr>
          </w:p>
        </w:tc>
        <w:tc>
          <w:tcPr>
            <w:tcW w:w="970" w:type="dxa"/>
            <w:vAlign w:val="center"/>
          </w:tcPr>
          <w:p>
            <w:pPr>
              <w:autoSpaceDE w:val="0"/>
              <w:autoSpaceDN w:val="0"/>
              <w:adjustRightInd w:val="0"/>
              <w:jc w:val="center"/>
              <w:rPr>
                <w:color w:val="auto"/>
                <w:szCs w:val="22"/>
                <w:highlight w:val="none"/>
              </w:rPr>
            </w:pPr>
          </w:p>
        </w:tc>
        <w:tc>
          <w:tcPr>
            <w:tcW w:w="966" w:type="dxa"/>
            <w:vAlign w:val="center"/>
          </w:tcPr>
          <w:p>
            <w:pPr>
              <w:autoSpaceDE w:val="0"/>
              <w:autoSpaceDN w:val="0"/>
              <w:adjustRightInd w:val="0"/>
              <w:jc w:val="center"/>
              <w:rPr>
                <w:color w:val="auto"/>
                <w:szCs w:val="22"/>
                <w:highlight w:val="none"/>
              </w:rPr>
            </w:pPr>
          </w:p>
        </w:tc>
        <w:tc>
          <w:tcPr>
            <w:tcW w:w="1034" w:type="dxa"/>
            <w:vAlign w:val="center"/>
          </w:tcPr>
          <w:p>
            <w:pPr>
              <w:autoSpaceDE w:val="0"/>
              <w:autoSpaceDN w:val="0"/>
              <w:adjustRightInd w:val="0"/>
              <w:jc w:val="center"/>
              <w:rPr>
                <w:color w:val="auto"/>
                <w:szCs w:val="22"/>
                <w:highlight w:val="none"/>
              </w:rPr>
            </w:pPr>
          </w:p>
        </w:tc>
        <w:tc>
          <w:tcPr>
            <w:tcW w:w="1695" w:type="dxa"/>
            <w:tcBorders>
              <w:right w:val="single" w:color="auto" w:sz="4" w:space="0"/>
            </w:tcBorders>
            <w:vAlign w:val="center"/>
          </w:tcPr>
          <w:p>
            <w:pPr>
              <w:autoSpaceDE w:val="0"/>
              <w:autoSpaceDN w:val="0"/>
              <w:adjustRightInd w:val="0"/>
              <w:jc w:val="center"/>
              <w:rPr>
                <w:color w:val="auto"/>
                <w:szCs w:val="22"/>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color w:val="auto"/>
                <w:szCs w:val="22"/>
                <w:highlight w:val="none"/>
              </w:rPr>
            </w:pPr>
          </w:p>
        </w:tc>
        <w:tc>
          <w:tcPr>
            <w:tcW w:w="1407" w:type="dxa"/>
            <w:tcBorders>
              <w:left w:val="single" w:color="auto" w:sz="4" w:space="0"/>
            </w:tcBorders>
            <w:vAlign w:val="center"/>
          </w:tcPr>
          <w:p>
            <w:pPr>
              <w:autoSpaceDE w:val="0"/>
              <w:autoSpaceDN w:val="0"/>
              <w:adjustRightInd w:val="0"/>
              <w:jc w:val="center"/>
              <w:rPr>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color w:val="auto"/>
                <w:szCs w:val="22"/>
                <w:highlight w:val="none"/>
              </w:rPr>
            </w:pPr>
          </w:p>
        </w:tc>
        <w:tc>
          <w:tcPr>
            <w:tcW w:w="1041" w:type="dxa"/>
            <w:vAlign w:val="center"/>
          </w:tcPr>
          <w:p>
            <w:pPr>
              <w:autoSpaceDE w:val="0"/>
              <w:autoSpaceDN w:val="0"/>
              <w:adjustRightInd w:val="0"/>
              <w:jc w:val="center"/>
              <w:rPr>
                <w:color w:val="auto"/>
                <w:szCs w:val="22"/>
                <w:highlight w:val="none"/>
              </w:rPr>
            </w:pPr>
          </w:p>
        </w:tc>
        <w:tc>
          <w:tcPr>
            <w:tcW w:w="1199" w:type="dxa"/>
            <w:vAlign w:val="center"/>
          </w:tcPr>
          <w:p>
            <w:pPr>
              <w:autoSpaceDE w:val="0"/>
              <w:autoSpaceDN w:val="0"/>
              <w:adjustRightInd w:val="0"/>
              <w:jc w:val="center"/>
              <w:rPr>
                <w:color w:val="auto"/>
                <w:szCs w:val="22"/>
                <w:highlight w:val="none"/>
              </w:rPr>
            </w:pPr>
          </w:p>
        </w:tc>
        <w:tc>
          <w:tcPr>
            <w:tcW w:w="970" w:type="dxa"/>
            <w:vAlign w:val="center"/>
          </w:tcPr>
          <w:p>
            <w:pPr>
              <w:autoSpaceDE w:val="0"/>
              <w:autoSpaceDN w:val="0"/>
              <w:adjustRightInd w:val="0"/>
              <w:jc w:val="center"/>
              <w:rPr>
                <w:color w:val="auto"/>
                <w:szCs w:val="22"/>
                <w:highlight w:val="none"/>
              </w:rPr>
            </w:pPr>
          </w:p>
        </w:tc>
        <w:tc>
          <w:tcPr>
            <w:tcW w:w="966" w:type="dxa"/>
            <w:vAlign w:val="center"/>
          </w:tcPr>
          <w:p>
            <w:pPr>
              <w:autoSpaceDE w:val="0"/>
              <w:autoSpaceDN w:val="0"/>
              <w:adjustRightInd w:val="0"/>
              <w:jc w:val="center"/>
              <w:rPr>
                <w:color w:val="auto"/>
                <w:szCs w:val="22"/>
                <w:highlight w:val="none"/>
              </w:rPr>
            </w:pPr>
          </w:p>
        </w:tc>
        <w:tc>
          <w:tcPr>
            <w:tcW w:w="1034" w:type="dxa"/>
            <w:vAlign w:val="center"/>
          </w:tcPr>
          <w:p>
            <w:pPr>
              <w:autoSpaceDE w:val="0"/>
              <w:autoSpaceDN w:val="0"/>
              <w:adjustRightInd w:val="0"/>
              <w:jc w:val="center"/>
              <w:rPr>
                <w:color w:val="auto"/>
                <w:szCs w:val="22"/>
                <w:highlight w:val="none"/>
              </w:rPr>
            </w:pPr>
          </w:p>
        </w:tc>
        <w:tc>
          <w:tcPr>
            <w:tcW w:w="1695" w:type="dxa"/>
            <w:tcBorders>
              <w:right w:val="single" w:color="auto" w:sz="4" w:space="0"/>
            </w:tcBorders>
            <w:vAlign w:val="center"/>
          </w:tcPr>
          <w:p>
            <w:pPr>
              <w:autoSpaceDE w:val="0"/>
              <w:autoSpaceDN w:val="0"/>
              <w:adjustRightInd w:val="0"/>
              <w:jc w:val="center"/>
              <w:rPr>
                <w:color w:val="auto"/>
                <w:szCs w:val="22"/>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color w:val="auto"/>
                <w:szCs w:val="22"/>
                <w:highlight w:val="none"/>
              </w:rPr>
            </w:pPr>
          </w:p>
        </w:tc>
        <w:tc>
          <w:tcPr>
            <w:tcW w:w="1407" w:type="dxa"/>
            <w:tcBorders>
              <w:left w:val="single" w:color="auto" w:sz="4" w:space="0"/>
            </w:tcBorders>
            <w:vAlign w:val="center"/>
          </w:tcPr>
          <w:p>
            <w:pPr>
              <w:autoSpaceDE w:val="0"/>
              <w:autoSpaceDN w:val="0"/>
              <w:adjustRightInd w:val="0"/>
              <w:jc w:val="center"/>
              <w:rPr>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color w:val="auto"/>
                <w:szCs w:val="22"/>
                <w:highlight w:val="none"/>
              </w:rPr>
            </w:pPr>
          </w:p>
        </w:tc>
        <w:tc>
          <w:tcPr>
            <w:tcW w:w="1041" w:type="dxa"/>
            <w:vAlign w:val="center"/>
          </w:tcPr>
          <w:p>
            <w:pPr>
              <w:autoSpaceDE w:val="0"/>
              <w:autoSpaceDN w:val="0"/>
              <w:adjustRightInd w:val="0"/>
              <w:jc w:val="center"/>
              <w:rPr>
                <w:color w:val="auto"/>
                <w:szCs w:val="22"/>
                <w:highlight w:val="none"/>
              </w:rPr>
            </w:pPr>
          </w:p>
        </w:tc>
        <w:tc>
          <w:tcPr>
            <w:tcW w:w="1199" w:type="dxa"/>
            <w:vAlign w:val="center"/>
          </w:tcPr>
          <w:p>
            <w:pPr>
              <w:autoSpaceDE w:val="0"/>
              <w:autoSpaceDN w:val="0"/>
              <w:adjustRightInd w:val="0"/>
              <w:jc w:val="center"/>
              <w:rPr>
                <w:color w:val="auto"/>
                <w:szCs w:val="22"/>
                <w:highlight w:val="none"/>
              </w:rPr>
            </w:pPr>
          </w:p>
        </w:tc>
        <w:tc>
          <w:tcPr>
            <w:tcW w:w="970" w:type="dxa"/>
            <w:vAlign w:val="center"/>
          </w:tcPr>
          <w:p>
            <w:pPr>
              <w:autoSpaceDE w:val="0"/>
              <w:autoSpaceDN w:val="0"/>
              <w:adjustRightInd w:val="0"/>
              <w:jc w:val="center"/>
              <w:rPr>
                <w:color w:val="auto"/>
                <w:szCs w:val="22"/>
                <w:highlight w:val="none"/>
              </w:rPr>
            </w:pPr>
          </w:p>
        </w:tc>
        <w:tc>
          <w:tcPr>
            <w:tcW w:w="966" w:type="dxa"/>
            <w:vAlign w:val="center"/>
          </w:tcPr>
          <w:p>
            <w:pPr>
              <w:autoSpaceDE w:val="0"/>
              <w:autoSpaceDN w:val="0"/>
              <w:adjustRightInd w:val="0"/>
              <w:jc w:val="center"/>
              <w:rPr>
                <w:color w:val="auto"/>
                <w:szCs w:val="22"/>
                <w:highlight w:val="none"/>
              </w:rPr>
            </w:pPr>
          </w:p>
        </w:tc>
        <w:tc>
          <w:tcPr>
            <w:tcW w:w="1034" w:type="dxa"/>
            <w:vAlign w:val="center"/>
          </w:tcPr>
          <w:p>
            <w:pPr>
              <w:autoSpaceDE w:val="0"/>
              <w:autoSpaceDN w:val="0"/>
              <w:adjustRightInd w:val="0"/>
              <w:jc w:val="center"/>
              <w:rPr>
                <w:color w:val="auto"/>
                <w:szCs w:val="22"/>
                <w:highlight w:val="none"/>
              </w:rPr>
            </w:pPr>
          </w:p>
        </w:tc>
        <w:tc>
          <w:tcPr>
            <w:tcW w:w="1695" w:type="dxa"/>
            <w:tcBorders>
              <w:right w:val="single" w:color="auto" w:sz="4" w:space="0"/>
            </w:tcBorders>
            <w:vAlign w:val="center"/>
          </w:tcPr>
          <w:p>
            <w:pPr>
              <w:autoSpaceDE w:val="0"/>
              <w:autoSpaceDN w:val="0"/>
              <w:adjustRightInd w:val="0"/>
              <w:jc w:val="center"/>
              <w:rPr>
                <w:color w:val="auto"/>
                <w:szCs w:val="22"/>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color w:val="auto"/>
                <w:szCs w:val="22"/>
                <w:highlight w:val="none"/>
              </w:rPr>
            </w:pPr>
          </w:p>
        </w:tc>
        <w:tc>
          <w:tcPr>
            <w:tcW w:w="1407" w:type="dxa"/>
            <w:tcBorders>
              <w:left w:val="single" w:color="auto" w:sz="4" w:space="0"/>
            </w:tcBorders>
            <w:vAlign w:val="center"/>
          </w:tcPr>
          <w:p>
            <w:pPr>
              <w:autoSpaceDE w:val="0"/>
              <w:autoSpaceDN w:val="0"/>
              <w:adjustRightInd w:val="0"/>
              <w:jc w:val="center"/>
              <w:rPr>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color w:val="auto"/>
                <w:szCs w:val="22"/>
                <w:highlight w:val="none"/>
              </w:rPr>
            </w:pPr>
          </w:p>
        </w:tc>
        <w:tc>
          <w:tcPr>
            <w:tcW w:w="1041" w:type="dxa"/>
            <w:vAlign w:val="center"/>
          </w:tcPr>
          <w:p>
            <w:pPr>
              <w:autoSpaceDE w:val="0"/>
              <w:autoSpaceDN w:val="0"/>
              <w:adjustRightInd w:val="0"/>
              <w:jc w:val="center"/>
              <w:rPr>
                <w:color w:val="auto"/>
                <w:szCs w:val="22"/>
                <w:highlight w:val="none"/>
              </w:rPr>
            </w:pPr>
          </w:p>
        </w:tc>
        <w:tc>
          <w:tcPr>
            <w:tcW w:w="1199" w:type="dxa"/>
            <w:vAlign w:val="center"/>
          </w:tcPr>
          <w:p>
            <w:pPr>
              <w:autoSpaceDE w:val="0"/>
              <w:autoSpaceDN w:val="0"/>
              <w:adjustRightInd w:val="0"/>
              <w:jc w:val="center"/>
              <w:rPr>
                <w:color w:val="auto"/>
                <w:szCs w:val="22"/>
                <w:highlight w:val="none"/>
              </w:rPr>
            </w:pPr>
          </w:p>
        </w:tc>
        <w:tc>
          <w:tcPr>
            <w:tcW w:w="970" w:type="dxa"/>
            <w:vAlign w:val="center"/>
          </w:tcPr>
          <w:p>
            <w:pPr>
              <w:autoSpaceDE w:val="0"/>
              <w:autoSpaceDN w:val="0"/>
              <w:adjustRightInd w:val="0"/>
              <w:jc w:val="center"/>
              <w:rPr>
                <w:color w:val="auto"/>
                <w:szCs w:val="22"/>
                <w:highlight w:val="none"/>
              </w:rPr>
            </w:pPr>
          </w:p>
        </w:tc>
        <w:tc>
          <w:tcPr>
            <w:tcW w:w="966" w:type="dxa"/>
            <w:vAlign w:val="center"/>
          </w:tcPr>
          <w:p>
            <w:pPr>
              <w:autoSpaceDE w:val="0"/>
              <w:autoSpaceDN w:val="0"/>
              <w:adjustRightInd w:val="0"/>
              <w:jc w:val="center"/>
              <w:rPr>
                <w:color w:val="auto"/>
                <w:szCs w:val="22"/>
                <w:highlight w:val="none"/>
              </w:rPr>
            </w:pPr>
          </w:p>
        </w:tc>
        <w:tc>
          <w:tcPr>
            <w:tcW w:w="1034" w:type="dxa"/>
            <w:vAlign w:val="center"/>
          </w:tcPr>
          <w:p>
            <w:pPr>
              <w:autoSpaceDE w:val="0"/>
              <w:autoSpaceDN w:val="0"/>
              <w:adjustRightInd w:val="0"/>
              <w:jc w:val="center"/>
              <w:rPr>
                <w:color w:val="auto"/>
                <w:szCs w:val="22"/>
                <w:highlight w:val="none"/>
              </w:rPr>
            </w:pPr>
          </w:p>
        </w:tc>
        <w:tc>
          <w:tcPr>
            <w:tcW w:w="1695" w:type="dxa"/>
            <w:tcBorders>
              <w:right w:val="single" w:color="auto" w:sz="4" w:space="0"/>
            </w:tcBorders>
            <w:vAlign w:val="center"/>
          </w:tcPr>
          <w:p>
            <w:pPr>
              <w:autoSpaceDE w:val="0"/>
              <w:autoSpaceDN w:val="0"/>
              <w:adjustRightInd w:val="0"/>
              <w:jc w:val="center"/>
              <w:rPr>
                <w:color w:val="auto"/>
                <w:szCs w:val="22"/>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color w:val="auto"/>
                <w:szCs w:val="22"/>
                <w:highlight w:val="none"/>
              </w:rPr>
            </w:pPr>
          </w:p>
        </w:tc>
        <w:tc>
          <w:tcPr>
            <w:tcW w:w="1407" w:type="dxa"/>
            <w:tcBorders>
              <w:left w:val="single" w:color="auto" w:sz="4" w:space="0"/>
            </w:tcBorders>
            <w:vAlign w:val="center"/>
          </w:tcPr>
          <w:p>
            <w:pPr>
              <w:autoSpaceDE w:val="0"/>
              <w:autoSpaceDN w:val="0"/>
              <w:adjustRightInd w:val="0"/>
              <w:jc w:val="center"/>
              <w:rPr>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color w:val="auto"/>
                <w:szCs w:val="22"/>
                <w:highlight w:val="none"/>
              </w:rPr>
            </w:pPr>
          </w:p>
        </w:tc>
        <w:tc>
          <w:tcPr>
            <w:tcW w:w="1041" w:type="dxa"/>
            <w:vAlign w:val="center"/>
          </w:tcPr>
          <w:p>
            <w:pPr>
              <w:autoSpaceDE w:val="0"/>
              <w:autoSpaceDN w:val="0"/>
              <w:adjustRightInd w:val="0"/>
              <w:jc w:val="center"/>
              <w:rPr>
                <w:color w:val="auto"/>
                <w:szCs w:val="22"/>
                <w:highlight w:val="none"/>
              </w:rPr>
            </w:pPr>
          </w:p>
        </w:tc>
        <w:tc>
          <w:tcPr>
            <w:tcW w:w="1199" w:type="dxa"/>
            <w:vAlign w:val="center"/>
          </w:tcPr>
          <w:p>
            <w:pPr>
              <w:autoSpaceDE w:val="0"/>
              <w:autoSpaceDN w:val="0"/>
              <w:adjustRightInd w:val="0"/>
              <w:jc w:val="center"/>
              <w:rPr>
                <w:color w:val="auto"/>
                <w:szCs w:val="22"/>
                <w:highlight w:val="none"/>
              </w:rPr>
            </w:pPr>
          </w:p>
        </w:tc>
        <w:tc>
          <w:tcPr>
            <w:tcW w:w="970" w:type="dxa"/>
            <w:vAlign w:val="center"/>
          </w:tcPr>
          <w:p>
            <w:pPr>
              <w:autoSpaceDE w:val="0"/>
              <w:autoSpaceDN w:val="0"/>
              <w:adjustRightInd w:val="0"/>
              <w:jc w:val="center"/>
              <w:rPr>
                <w:color w:val="auto"/>
                <w:szCs w:val="22"/>
                <w:highlight w:val="none"/>
              </w:rPr>
            </w:pPr>
          </w:p>
        </w:tc>
        <w:tc>
          <w:tcPr>
            <w:tcW w:w="966" w:type="dxa"/>
            <w:vAlign w:val="center"/>
          </w:tcPr>
          <w:p>
            <w:pPr>
              <w:autoSpaceDE w:val="0"/>
              <w:autoSpaceDN w:val="0"/>
              <w:adjustRightInd w:val="0"/>
              <w:jc w:val="center"/>
              <w:rPr>
                <w:color w:val="auto"/>
                <w:szCs w:val="22"/>
                <w:highlight w:val="none"/>
              </w:rPr>
            </w:pPr>
          </w:p>
        </w:tc>
        <w:tc>
          <w:tcPr>
            <w:tcW w:w="1034" w:type="dxa"/>
            <w:vAlign w:val="center"/>
          </w:tcPr>
          <w:p>
            <w:pPr>
              <w:autoSpaceDE w:val="0"/>
              <w:autoSpaceDN w:val="0"/>
              <w:adjustRightInd w:val="0"/>
              <w:jc w:val="center"/>
              <w:rPr>
                <w:color w:val="auto"/>
                <w:szCs w:val="22"/>
                <w:highlight w:val="none"/>
              </w:rPr>
            </w:pPr>
          </w:p>
        </w:tc>
        <w:tc>
          <w:tcPr>
            <w:tcW w:w="1695" w:type="dxa"/>
            <w:tcBorders>
              <w:right w:val="single" w:color="auto" w:sz="4" w:space="0"/>
            </w:tcBorders>
            <w:vAlign w:val="center"/>
          </w:tcPr>
          <w:p>
            <w:pPr>
              <w:autoSpaceDE w:val="0"/>
              <w:autoSpaceDN w:val="0"/>
              <w:adjustRightInd w:val="0"/>
              <w:jc w:val="center"/>
              <w:rPr>
                <w:color w:val="auto"/>
                <w:szCs w:val="22"/>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color w:val="auto"/>
                <w:szCs w:val="22"/>
                <w:highlight w:val="none"/>
              </w:rPr>
            </w:pPr>
          </w:p>
        </w:tc>
        <w:tc>
          <w:tcPr>
            <w:tcW w:w="1407" w:type="dxa"/>
            <w:tcBorders>
              <w:left w:val="single" w:color="auto" w:sz="4" w:space="0"/>
            </w:tcBorders>
            <w:vAlign w:val="center"/>
          </w:tcPr>
          <w:p>
            <w:pPr>
              <w:autoSpaceDE w:val="0"/>
              <w:autoSpaceDN w:val="0"/>
              <w:adjustRightInd w:val="0"/>
              <w:jc w:val="center"/>
              <w:rPr>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vAlign w:val="center"/>
          </w:tcPr>
          <w:p>
            <w:pPr>
              <w:autoSpaceDE w:val="0"/>
              <w:autoSpaceDN w:val="0"/>
              <w:adjustRightInd w:val="0"/>
              <w:jc w:val="center"/>
              <w:rPr>
                <w:color w:val="auto"/>
                <w:szCs w:val="22"/>
                <w:highlight w:val="none"/>
              </w:rPr>
            </w:pPr>
          </w:p>
        </w:tc>
        <w:tc>
          <w:tcPr>
            <w:tcW w:w="1041" w:type="dxa"/>
            <w:vAlign w:val="center"/>
          </w:tcPr>
          <w:p>
            <w:pPr>
              <w:autoSpaceDE w:val="0"/>
              <w:autoSpaceDN w:val="0"/>
              <w:adjustRightInd w:val="0"/>
              <w:jc w:val="center"/>
              <w:rPr>
                <w:color w:val="auto"/>
                <w:szCs w:val="22"/>
                <w:highlight w:val="none"/>
              </w:rPr>
            </w:pPr>
          </w:p>
        </w:tc>
        <w:tc>
          <w:tcPr>
            <w:tcW w:w="1199" w:type="dxa"/>
            <w:vAlign w:val="center"/>
          </w:tcPr>
          <w:p>
            <w:pPr>
              <w:autoSpaceDE w:val="0"/>
              <w:autoSpaceDN w:val="0"/>
              <w:adjustRightInd w:val="0"/>
              <w:jc w:val="center"/>
              <w:rPr>
                <w:color w:val="auto"/>
                <w:szCs w:val="22"/>
                <w:highlight w:val="none"/>
              </w:rPr>
            </w:pPr>
          </w:p>
        </w:tc>
        <w:tc>
          <w:tcPr>
            <w:tcW w:w="970" w:type="dxa"/>
            <w:vAlign w:val="center"/>
          </w:tcPr>
          <w:p>
            <w:pPr>
              <w:autoSpaceDE w:val="0"/>
              <w:autoSpaceDN w:val="0"/>
              <w:adjustRightInd w:val="0"/>
              <w:jc w:val="center"/>
              <w:rPr>
                <w:color w:val="auto"/>
                <w:szCs w:val="22"/>
                <w:highlight w:val="none"/>
              </w:rPr>
            </w:pPr>
          </w:p>
        </w:tc>
        <w:tc>
          <w:tcPr>
            <w:tcW w:w="966" w:type="dxa"/>
            <w:vAlign w:val="center"/>
          </w:tcPr>
          <w:p>
            <w:pPr>
              <w:autoSpaceDE w:val="0"/>
              <w:autoSpaceDN w:val="0"/>
              <w:adjustRightInd w:val="0"/>
              <w:jc w:val="center"/>
              <w:rPr>
                <w:color w:val="auto"/>
                <w:szCs w:val="22"/>
                <w:highlight w:val="none"/>
              </w:rPr>
            </w:pPr>
          </w:p>
        </w:tc>
        <w:tc>
          <w:tcPr>
            <w:tcW w:w="1034" w:type="dxa"/>
            <w:vAlign w:val="center"/>
          </w:tcPr>
          <w:p>
            <w:pPr>
              <w:autoSpaceDE w:val="0"/>
              <w:autoSpaceDN w:val="0"/>
              <w:adjustRightInd w:val="0"/>
              <w:jc w:val="center"/>
              <w:rPr>
                <w:color w:val="auto"/>
                <w:szCs w:val="22"/>
                <w:highlight w:val="none"/>
              </w:rPr>
            </w:pPr>
          </w:p>
        </w:tc>
        <w:tc>
          <w:tcPr>
            <w:tcW w:w="1695" w:type="dxa"/>
            <w:tcBorders>
              <w:right w:val="single" w:color="auto" w:sz="4" w:space="0"/>
            </w:tcBorders>
            <w:vAlign w:val="center"/>
          </w:tcPr>
          <w:p>
            <w:pPr>
              <w:autoSpaceDE w:val="0"/>
              <w:autoSpaceDN w:val="0"/>
              <w:adjustRightInd w:val="0"/>
              <w:jc w:val="center"/>
              <w:rPr>
                <w:color w:val="auto"/>
                <w:szCs w:val="22"/>
                <w:highlight w:val="none"/>
              </w:rPr>
            </w:pPr>
          </w:p>
        </w:tc>
        <w:tc>
          <w:tcPr>
            <w:tcW w:w="1174" w:type="dxa"/>
            <w:tcBorders>
              <w:left w:val="single" w:color="auto" w:sz="4" w:space="0"/>
              <w:right w:val="single" w:color="auto" w:sz="4" w:space="0"/>
            </w:tcBorders>
            <w:vAlign w:val="center"/>
          </w:tcPr>
          <w:p>
            <w:pPr>
              <w:autoSpaceDE w:val="0"/>
              <w:autoSpaceDN w:val="0"/>
              <w:adjustRightInd w:val="0"/>
              <w:jc w:val="center"/>
              <w:rPr>
                <w:color w:val="auto"/>
                <w:szCs w:val="22"/>
                <w:highlight w:val="none"/>
              </w:rPr>
            </w:pPr>
          </w:p>
        </w:tc>
        <w:tc>
          <w:tcPr>
            <w:tcW w:w="1407" w:type="dxa"/>
            <w:tcBorders>
              <w:left w:val="single" w:color="auto" w:sz="4" w:space="0"/>
            </w:tcBorders>
            <w:vAlign w:val="center"/>
          </w:tcPr>
          <w:p>
            <w:pPr>
              <w:autoSpaceDE w:val="0"/>
              <w:autoSpaceDN w:val="0"/>
              <w:adjustRightInd w:val="0"/>
              <w:jc w:val="center"/>
              <w:rPr>
                <w:color w:val="auto"/>
                <w:szCs w:val="22"/>
                <w:highlight w:val="none"/>
              </w:rPr>
            </w:pPr>
          </w:p>
        </w:tc>
      </w:tr>
    </w:tbl>
    <w:p>
      <w:pPr>
        <w:rPr>
          <w:b/>
          <w:color w:val="auto"/>
          <w:sz w:val="22"/>
          <w:szCs w:val="22"/>
          <w:highlight w:val="none"/>
        </w:rPr>
      </w:pPr>
      <w:r>
        <w:rPr>
          <w:rFonts w:hint="eastAsia"/>
          <w:b/>
          <w:color w:val="auto"/>
          <w:sz w:val="22"/>
          <w:szCs w:val="22"/>
          <w:highlight w:val="none"/>
        </w:rPr>
        <w:t>注：1、按评标细则要求提供，须附在商务技术投标文件中</w:t>
      </w:r>
      <w:r>
        <w:rPr>
          <w:rFonts w:hint="eastAsia"/>
          <w:color w:val="auto"/>
          <w:sz w:val="22"/>
          <w:szCs w:val="22"/>
          <w:highlight w:val="none"/>
        </w:rPr>
        <w:t>。</w:t>
      </w:r>
    </w:p>
    <w:p>
      <w:pPr>
        <w:spacing w:line="400" w:lineRule="atLeast"/>
        <w:rPr>
          <w:rFonts w:ascii="宋体" w:hAnsi="宋体"/>
          <w:b/>
          <w:color w:val="auto"/>
          <w:sz w:val="22"/>
          <w:szCs w:val="22"/>
          <w:highlight w:val="none"/>
        </w:rPr>
      </w:pPr>
    </w:p>
    <w:p>
      <w:pPr>
        <w:spacing w:line="400" w:lineRule="atLeast"/>
        <w:rPr>
          <w:rFonts w:ascii="宋体" w:hAnsi="宋体"/>
          <w:b/>
          <w:color w:val="auto"/>
          <w:sz w:val="22"/>
          <w:szCs w:val="22"/>
          <w:highlight w:val="none"/>
        </w:rPr>
      </w:pPr>
    </w:p>
    <w:p>
      <w:pPr>
        <w:spacing w:line="400" w:lineRule="atLeast"/>
        <w:rPr>
          <w:rFonts w:ascii="宋体" w:hAnsi="宋体"/>
          <w:b/>
          <w:color w:val="auto"/>
          <w:sz w:val="22"/>
          <w:szCs w:val="22"/>
          <w:highlight w:val="none"/>
        </w:rPr>
      </w:pPr>
    </w:p>
    <w:p>
      <w:pPr>
        <w:spacing w:line="400" w:lineRule="exact"/>
        <w:rPr>
          <w:rFonts w:ascii="宋体" w:hAnsi="宋体"/>
          <w:b/>
          <w:color w:val="auto"/>
          <w:sz w:val="22"/>
          <w:szCs w:val="22"/>
          <w:highlight w:val="none"/>
        </w:rPr>
      </w:pPr>
      <w:r>
        <w:rPr>
          <w:rFonts w:hint="eastAsia" w:ascii="宋体" w:hAnsi="宋体"/>
          <w:b/>
          <w:color w:val="auto"/>
          <w:sz w:val="22"/>
          <w:szCs w:val="22"/>
          <w:highlight w:val="none"/>
        </w:rPr>
        <w:t>供应商名称（盖章）：</w:t>
      </w:r>
    </w:p>
    <w:p>
      <w:pPr>
        <w:spacing w:line="400" w:lineRule="exact"/>
        <w:rPr>
          <w:rFonts w:ascii="宋体" w:hAnsi="宋体"/>
          <w:b/>
          <w:color w:val="auto"/>
          <w:sz w:val="22"/>
          <w:szCs w:val="22"/>
          <w:highlight w:val="none"/>
        </w:rPr>
      </w:pPr>
      <w:r>
        <w:rPr>
          <w:rFonts w:ascii="宋体" w:hAnsi="宋体"/>
          <w:b/>
          <w:color w:val="auto"/>
          <w:sz w:val="22"/>
          <w:szCs w:val="22"/>
          <w:highlight w:val="none"/>
        </w:rPr>
        <w:t>法定代表人或授权代表（签字或盖章）</w:t>
      </w:r>
      <w:r>
        <w:rPr>
          <w:rFonts w:hint="eastAsia" w:ascii="宋体" w:hAnsi="宋体"/>
          <w:b/>
          <w:color w:val="auto"/>
          <w:sz w:val="22"/>
          <w:szCs w:val="22"/>
          <w:highlight w:val="none"/>
        </w:rPr>
        <w:t>：</w:t>
      </w:r>
    </w:p>
    <w:p>
      <w:pPr>
        <w:spacing w:line="400" w:lineRule="exact"/>
        <w:rPr>
          <w:rFonts w:ascii="宋体" w:hAnsi="宋体"/>
          <w:b/>
          <w:color w:val="auto"/>
          <w:sz w:val="22"/>
          <w:szCs w:val="22"/>
          <w:highlight w:val="none"/>
        </w:rPr>
      </w:pPr>
      <w:r>
        <w:rPr>
          <w:rFonts w:hint="eastAsia" w:ascii="宋体" w:hAnsi="宋体"/>
          <w:b/>
          <w:color w:val="auto"/>
          <w:sz w:val="22"/>
          <w:szCs w:val="22"/>
          <w:highlight w:val="none"/>
        </w:rPr>
        <w:t>日    期：</w:t>
      </w:r>
    </w:p>
    <w:p>
      <w:pPr>
        <w:spacing w:line="400" w:lineRule="exact"/>
        <w:rPr>
          <w:rFonts w:ascii="宋体" w:hAnsi="宋体"/>
          <w:b/>
          <w:color w:val="auto"/>
          <w:sz w:val="22"/>
          <w:szCs w:val="22"/>
          <w:highlight w:val="none"/>
        </w:rPr>
      </w:pPr>
    </w:p>
    <w:p>
      <w:pPr>
        <w:spacing w:line="400" w:lineRule="exact"/>
        <w:rPr>
          <w:rFonts w:ascii="宋体" w:hAnsi="宋体"/>
          <w:b/>
          <w:color w:val="auto"/>
          <w:sz w:val="22"/>
          <w:szCs w:val="22"/>
          <w:highlight w:val="none"/>
        </w:rPr>
      </w:pPr>
    </w:p>
    <w:p>
      <w:pPr>
        <w:spacing w:line="400" w:lineRule="exact"/>
        <w:rPr>
          <w:rFonts w:ascii="宋体" w:hAnsi="宋体"/>
          <w:b/>
          <w:color w:val="auto"/>
          <w:sz w:val="22"/>
          <w:szCs w:val="22"/>
          <w:highlight w:val="none"/>
        </w:rPr>
      </w:pPr>
    </w:p>
    <w:p>
      <w:pPr>
        <w:spacing w:line="400" w:lineRule="exact"/>
        <w:rPr>
          <w:rFonts w:ascii="宋体" w:hAnsi="宋体"/>
          <w:b/>
          <w:color w:val="auto"/>
          <w:sz w:val="22"/>
          <w:szCs w:val="22"/>
          <w:highlight w:val="none"/>
        </w:rPr>
      </w:pPr>
    </w:p>
    <w:p>
      <w:pPr>
        <w:spacing w:line="400" w:lineRule="exact"/>
        <w:rPr>
          <w:rFonts w:ascii="宋体" w:hAnsi="宋体"/>
          <w:b/>
          <w:color w:val="auto"/>
          <w:sz w:val="22"/>
          <w:szCs w:val="22"/>
          <w:highlight w:val="none"/>
        </w:rPr>
      </w:pPr>
    </w:p>
    <w:p>
      <w:pPr>
        <w:spacing w:line="400" w:lineRule="exact"/>
        <w:rPr>
          <w:rFonts w:ascii="宋体" w:hAnsi="宋体"/>
          <w:b/>
          <w:color w:val="auto"/>
          <w:sz w:val="22"/>
          <w:szCs w:val="22"/>
          <w:highlight w:val="none"/>
        </w:rPr>
      </w:pPr>
    </w:p>
    <w:p>
      <w:pPr>
        <w:spacing w:line="400" w:lineRule="exact"/>
        <w:rPr>
          <w:rFonts w:ascii="宋体" w:hAnsi="宋体"/>
          <w:b/>
          <w:color w:val="auto"/>
          <w:sz w:val="22"/>
          <w:szCs w:val="22"/>
          <w:highlight w:val="none"/>
        </w:rPr>
      </w:pPr>
    </w:p>
    <w:p>
      <w:pPr>
        <w:spacing w:line="400" w:lineRule="exact"/>
        <w:rPr>
          <w:rFonts w:ascii="宋体" w:hAnsi="宋体"/>
          <w:b/>
          <w:color w:val="auto"/>
          <w:sz w:val="22"/>
          <w:szCs w:val="22"/>
          <w:highlight w:val="none"/>
        </w:rPr>
      </w:pPr>
    </w:p>
    <w:p>
      <w:pPr>
        <w:spacing w:line="400" w:lineRule="exact"/>
        <w:rPr>
          <w:rFonts w:ascii="宋体" w:hAnsi="宋体"/>
          <w:b/>
          <w:color w:val="auto"/>
          <w:sz w:val="22"/>
          <w:szCs w:val="22"/>
          <w:highlight w:val="none"/>
        </w:rPr>
      </w:pPr>
    </w:p>
    <w:p>
      <w:pPr>
        <w:spacing w:line="400" w:lineRule="exact"/>
        <w:rPr>
          <w:rFonts w:ascii="宋体" w:hAnsi="宋体"/>
          <w:b/>
          <w:color w:val="auto"/>
          <w:sz w:val="22"/>
          <w:szCs w:val="22"/>
          <w:highlight w:val="none"/>
        </w:rPr>
      </w:pPr>
    </w:p>
    <w:p>
      <w:pPr>
        <w:spacing w:line="400" w:lineRule="exact"/>
        <w:rPr>
          <w:rFonts w:ascii="宋体" w:hAnsi="宋体"/>
          <w:b/>
          <w:color w:val="auto"/>
          <w:sz w:val="22"/>
          <w:szCs w:val="22"/>
          <w:highlight w:val="none"/>
        </w:rPr>
      </w:pPr>
    </w:p>
    <w:p>
      <w:pPr>
        <w:autoSpaceDE w:val="0"/>
        <w:autoSpaceDN w:val="0"/>
        <w:adjustRightInd w:val="0"/>
        <w:snapToGrid w:val="0"/>
        <w:spacing w:line="360" w:lineRule="atLeast"/>
        <w:textAlignment w:val="bottom"/>
        <w:rPr>
          <w:b/>
          <w:color w:val="auto"/>
          <w:szCs w:val="22"/>
          <w:highlight w:val="none"/>
        </w:rPr>
      </w:pPr>
    </w:p>
    <w:p>
      <w:pPr>
        <w:spacing w:before="120" w:beforeLines="50" w:after="120" w:afterLines="50"/>
        <w:ind w:left="428" w:right="-11" w:hanging="428" w:hangingChars="203"/>
        <w:rPr>
          <w:rFonts w:eastAsia="楷体_GB2312"/>
          <w:b/>
          <w:color w:val="auto"/>
          <w:szCs w:val="22"/>
          <w:highlight w:val="none"/>
        </w:rPr>
      </w:pPr>
    </w:p>
    <w:p>
      <w:pPr>
        <w:rPr>
          <w:b/>
          <w:color w:val="auto"/>
          <w:sz w:val="32"/>
          <w:szCs w:val="22"/>
          <w:highlight w:val="none"/>
        </w:rPr>
      </w:pPr>
      <w:r>
        <w:rPr>
          <w:rFonts w:hint="eastAsia"/>
          <w:b/>
          <w:color w:val="auto"/>
          <w:sz w:val="32"/>
          <w:szCs w:val="22"/>
          <w:highlight w:val="none"/>
        </w:rPr>
        <w:t>2.11</w:t>
      </w:r>
      <w:r>
        <w:rPr>
          <w:rFonts w:hint="eastAsia"/>
          <w:b/>
          <w:color w:val="auto"/>
          <w:sz w:val="30"/>
          <w:szCs w:val="22"/>
          <w:highlight w:val="none"/>
        </w:rPr>
        <w:t>拟投入设备情况</w:t>
      </w:r>
    </w:p>
    <w:p>
      <w:pPr>
        <w:spacing w:line="360" w:lineRule="auto"/>
        <w:ind w:right="-21" w:rightChars="-10"/>
        <w:rPr>
          <w:b/>
          <w:color w:val="auto"/>
          <w:sz w:val="30"/>
          <w:szCs w:val="30"/>
          <w:highlight w:val="none"/>
        </w:rPr>
      </w:pPr>
    </w:p>
    <w:p>
      <w:pPr>
        <w:widowControl/>
        <w:jc w:val="center"/>
        <w:rPr>
          <w:rFonts w:ascii="宋体" w:hAnsi="宋体" w:cs="宋体"/>
          <w:b/>
          <w:bCs/>
          <w:color w:val="auto"/>
          <w:sz w:val="28"/>
          <w:szCs w:val="28"/>
          <w:highlight w:val="none"/>
        </w:rPr>
      </w:pPr>
    </w:p>
    <w:p>
      <w:pPr>
        <w:widowControl/>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（一）拟投入洗衣设备一览表</w:t>
      </w:r>
    </w:p>
    <w:p>
      <w:pPr>
        <w:widowControl/>
        <w:jc w:val="center"/>
        <w:rPr>
          <w:rFonts w:ascii="宋体" w:hAnsi="宋体" w:cs="宋体"/>
          <w:b/>
          <w:bCs/>
          <w:color w:val="auto"/>
          <w:sz w:val="28"/>
          <w:szCs w:val="28"/>
          <w:highlight w:val="none"/>
        </w:rPr>
      </w:pPr>
    </w:p>
    <w:tbl>
      <w:tblPr>
        <w:tblStyle w:val="38"/>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368"/>
        <w:gridCol w:w="821"/>
        <w:gridCol w:w="1509"/>
        <w:gridCol w:w="1531"/>
        <w:gridCol w:w="1989"/>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01" w:type="dxa"/>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368" w:type="dxa"/>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设备名称</w:t>
            </w:r>
          </w:p>
        </w:tc>
        <w:tc>
          <w:tcPr>
            <w:tcW w:w="821" w:type="dxa"/>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品牌</w:t>
            </w:r>
          </w:p>
        </w:tc>
        <w:tc>
          <w:tcPr>
            <w:tcW w:w="1509" w:type="dxa"/>
            <w:vAlign w:val="center"/>
          </w:tcPr>
          <w:p>
            <w:pPr>
              <w:widowControl/>
              <w:ind w:left="52"/>
              <w:jc w:val="center"/>
              <w:rPr>
                <w:rFonts w:ascii="宋体" w:hAnsi="宋体" w:cs="宋体"/>
                <w:b/>
                <w:bCs/>
                <w:color w:val="auto"/>
                <w:sz w:val="24"/>
                <w:highlight w:val="none"/>
              </w:rPr>
            </w:pPr>
            <w:r>
              <w:rPr>
                <w:rFonts w:hint="eastAsia" w:ascii="宋体" w:hAnsi="宋体" w:cs="宋体"/>
                <w:b/>
                <w:bCs/>
                <w:color w:val="auto"/>
                <w:sz w:val="24"/>
                <w:highlight w:val="none"/>
              </w:rPr>
              <w:t>规格型号</w:t>
            </w:r>
          </w:p>
        </w:tc>
        <w:tc>
          <w:tcPr>
            <w:tcW w:w="1531" w:type="dxa"/>
            <w:vAlign w:val="center"/>
          </w:tcPr>
          <w:p>
            <w:pPr>
              <w:widowControl/>
              <w:ind w:left="152"/>
              <w:jc w:val="center"/>
              <w:rPr>
                <w:rFonts w:ascii="宋体" w:hAnsi="宋体" w:cs="宋体"/>
                <w:b/>
                <w:bCs/>
                <w:color w:val="auto"/>
                <w:sz w:val="24"/>
                <w:highlight w:val="none"/>
              </w:rPr>
            </w:pPr>
            <w:r>
              <w:rPr>
                <w:rFonts w:hint="eastAsia" w:ascii="宋体" w:hAnsi="宋体" w:cs="宋体"/>
                <w:b/>
                <w:bCs/>
                <w:color w:val="auto"/>
                <w:sz w:val="24"/>
                <w:highlight w:val="none"/>
              </w:rPr>
              <w:t>购置时间</w:t>
            </w:r>
          </w:p>
        </w:tc>
        <w:tc>
          <w:tcPr>
            <w:tcW w:w="1989" w:type="dxa"/>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主要技术指标</w:t>
            </w:r>
          </w:p>
        </w:tc>
        <w:tc>
          <w:tcPr>
            <w:tcW w:w="1098" w:type="dxa"/>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901" w:type="dxa"/>
            <w:vAlign w:val="center"/>
          </w:tcPr>
          <w:p>
            <w:pPr>
              <w:spacing w:line="360" w:lineRule="auto"/>
              <w:rPr>
                <w:rFonts w:ascii="宋体"/>
                <w:dstrike/>
                <w:color w:val="auto"/>
                <w:sz w:val="24"/>
                <w:highlight w:val="none"/>
              </w:rPr>
            </w:pPr>
          </w:p>
        </w:tc>
        <w:tc>
          <w:tcPr>
            <w:tcW w:w="1368" w:type="dxa"/>
            <w:vAlign w:val="center"/>
          </w:tcPr>
          <w:p>
            <w:pPr>
              <w:spacing w:line="360" w:lineRule="auto"/>
              <w:rPr>
                <w:rFonts w:ascii="宋体"/>
                <w:dstrike/>
                <w:color w:val="auto"/>
                <w:sz w:val="24"/>
                <w:highlight w:val="none"/>
              </w:rPr>
            </w:pPr>
          </w:p>
        </w:tc>
        <w:tc>
          <w:tcPr>
            <w:tcW w:w="821" w:type="dxa"/>
            <w:vAlign w:val="center"/>
          </w:tcPr>
          <w:p>
            <w:pPr>
              <w:spacing w:line="360" w:lineRule="auto"/>
              <w:rPr>
                <w:rFonts w:ascii="宋体"/>
                <w:dstrike/>
                <w:color w:val="auto"/>
                <w:sz w:val="24"/>
                <w:highlight w:val="none"/>
              </w:rPr>
            </w:pPr>
          </w:p>
        </w:tc>
        <w:tc>
          <w:tcPr>
            <w:tcW w:w="1509" w:type="dxa"/>
            <w:vAlign w:val="center"/>
          </w:tcPr>
          <w:p>
            <w:pPr>
              <w:spacing w:line="360" w:lineRule="auto"/>
              <w:rPr>
                <w:rFonts w:ascii="宋体"/>
                <w:dstrike/>
                <w:color w:val="auto"/>
                <w:sz w:val="24"/>
                <w:highlight w:val="none"/>
              </w:rPr>
            </w:pPr>
          </w:p>
        </w:tc>
        <w:tc>
          <w:tcPr>
            <w:tcW w:w="1531" w:type="dxa"/>
            <w:vAlign w:val="center"/>
          </w:tcPr>
          <w:p>
            <w:pPr>
              <w:spacing w:line="360" w:lineRule="auto"/>
              <w:rPr>
                <w:rFonts w:ascii="宋体"/>
                <w:dstrike/>
                <w:color w:val="auto"/>
                <w:sz w:val="24"/>
                <w:highlight w:val="none"/>
              </w:rPr>
            </w:pPr>
          </w:p>
        </w:tc>
        <w:tc>
          <w:tcPr>
            <w:tcW w:w="1989" w:type="dxa"/>
            <w:vAlign w:val="center"/>
          </w:tcPr>
          <w:p>
            <w:pPr>
              <w:spacing w:line="360" w:lineRule="auto"/>
              <w:rPr>
                <w:rFonts w:ascii="宋体"/>
                <w:dstrike/>
                <w:color w:val="auto"/>
                <w:sz w:val="24"/>
                <w:highlight w:val="none"/>
              </w:rPr>
            </w:pPr>
          </w:p>
        </w:tc>
        <w:tc>
          <w:tcPr>
            <w:tcW w:w="1098"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01" w:type="dxa"/>
            <w:vAlign w:val="center"/>
          </w:tcPr>
          <w:p>
            <w:pPr>
              <w:spacing w:line="360" w:lineRule="auto"/>
              <w:rPr>
                <w:rFonts w:ascii="宋体"/>
                <w:dstrike/>
                <w:color w:val="auto"/>
                <w:sz w:val="24"/>
                <w:highlight w:val="none"/>
              </w:rPr>
            </w:pPr>
          </w:p>
        </w:tc>
        <w:tc>
          <w:tcPr>
            <w:tcW w:w="1368" w:type="dxa"/>
            <w:vAlign w:val="center"/>
          </w:tcPr>
          <w:p>
            <w:pPr>
              <w:spacing w:line="360" w:lineRule="auto"/>
              <w:rPr>
                <w:rFonts w:ascii="宋体"/>
                <w:dstrike/>
                <w:color w:val="auto"/>
                <w:sz w:val="24"/>
                <w:highlight w:val="none"/>
              </w:rPr>
            </w:pPr>
          </w:p>
        </w:tc>
        <w:tc>
          <w:tcPr>
            <w:tcW w:w="821" w:type="dxa"/>
            <w:vAlign w:val="center"/>
          </w:tcPr>
          <w:p>
            <w:pPr>
              <w:spacing w:line="360" w:lineRule="auto"/>
              <w:rPr>
                <w:rFonts w:ascii="宋体"/>
                <w:dstrike/>
                <w:color w:val="auto"/>
                <w:sz w:val="24"/>
                <w:highlight w:val="none"/>
              </w:rPr>
            </w:pPr>
          </w:p>
        </w:tc>
        <w:tc>
          <w:tcPr>
            <w:tcW w:w="1509" w:type="dxa"/>
            <w:vAlign w:val="center"/>
          </w:tcPr>
          <w:p>
            <w:pPr>
              <w:spacing w:line="360" w:lineRule="auto"/>
              <w:rPr>
                <w:rFonts w:ascii="宋体"/>
                <w:dstrike/>
                <w:color w:val="auto"/>
                <w:sz w:val="24"/>
                <w:highlight w:val="none"/>
              </w:rPr>
            </w:pPr>
          </w:p>
        </w:tc>
        <w:tc>
          <w:tcPr>
            <w:tcW w:w="1531" w:type="dxa"/>
            <w:vAlign w:val="center"/>
          </w:tcPr>
          <w:p>
            <w:pPr>
              <w:spacing w:line="360" w:lineRule="auto"/>
              <w:rPr>
                <w:rFonts w:ascii="宋体"/>
                <w:dstrike/>
                <w:color w:val="auto"/>
                <w:sz w:val="24"/>
                <w:highlight w:val="none"/>
              </w:rPr>
            </w:pPr>
          </w:p>
        </w:tc>
        <w:tc>
          <w:tcPr>
            <w:tcW w:w="1989" w:type="dxa"/>
            <w:vAlign w:val="center"/>
          </w:tcPr>
          <w:p>
            <w:pPr>
              <w:spacing w:line="360" w:lineRule="auto"/>
              <w:rPr>
                <w:rFonts w:ascii="宋体"/>
                <w:dstrike/>
                <w:color w:val="auto"/>
                <w:sz w:val="24"/>
                <w:highlight w:val="none"/>
              </w:rPr>
            </w:pPr>
          </w:p>
        </w:tc>
        <w:tc>
          <w:tcPr>
            <w:tcW w:w="1098"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901" w:type="dxa"/>
            <w:vAlign w:val="center"/>
          </w:tcPr>
          <w:p>
            <w:pPr>
              <w:spacing w:line="360" w:lineRule="auto"/>
              <w:rPr>
                <w:rFonts w:ascii="宋体"/>
                <w:dstrike/>
                <w:color w:val="auto"/>
                <w:sz w:val="24"/>
                <w:highlight w:val="none"/>
              </w:rPr>
            </w:pPr>
          </w:p>
        </w:tc>
        <w:tc>
          <w:tcPr>
            <w:tcW w:w="1368" w:type="dxa"/>
            <w:vAlign w:val="center"/>
          </w:tcPr>
          <w:p>
            <w:pPr>
              <w:spacing w:line="360" w:lineRule="auto"/>
              <w:rPr>
                <w:rFonts w:ascii="宋体"/>
                <w:dstrike/>
                <w:color w:val="auto"/>
                <w:sz w:val="24"/>
                <w:highlight w:val="none"/>
              </w:rPr>
            </w:pPr>
          </w:p>
        </w:tc>
        <w:tc>
          <w:tcPr>
            <w:tcW w:w="821" w:type="dxa"/>
            <w:vAlign w:val="center"/>
          </w:tcPr>
          <w:p>
            <w:pPr>
              <w:spacing w:line="360" w:lineRule="auto"/>
              <w:rPr>
                <w:rFonts w:ascii="宋体"/>
                <w:dstrike/>
                <w:color w:val="auto"/>
                <w:sz w:val="24"/>
                <w:highlight w:val="none"/>
              </w:rPr>
            </w:pPr>
          </w:p>
        </w:tc>
        <w:tc>
          <w:tcPr>
            <w:tcW w:w="1509" w:type="dxa"/>
            <w:vAlign w:val="center"/>
          </w:tcPr>
          <w:p>
            <w:pPr>
              <w:spacing w:line="360" w:lineRule="auto"/>
              <w:rPr>
                <w:rFonts w:ascii="宋体"/>
                <w:dstrike/>
                <w:color w:val="auto"/>
                <w:sz w:val="24"/>
                <w:highlight w:val="none"/>
              </w:rPr>
            </w:pPr>
          </w:p>
        </w:tc>
        <w:tc>
          <w:tcPr>
            <w:tcW w:w="1531" w:type="dxa"/>
            <w:vAlign w:val="center"/>
          </w:tcPr>
          <w:p>
            <w:pPr>
              <w:spacing w:line="360" w:lineRule="auto"/>
              <w:rPr>
                <w:rFonts w:ascii="宋体"/>
                <w:dstrike/>
                <w:color w:val="auto"/>
                <w:sz w:val="24"/>
                <w:highlight w:val="none"/>
              </w:rPr>
            </w:pPr>
          </w:p>
        </w:tc>
        <w:tc>
          <w:tcPr>
            <w:tcW w:w="1989" w:type="dxa"/>
            <w:vAlign w:val="center"/>
          </w:tcPr>
          <w:p>
            <w:pPr>
              <w:spacing w:line="360" w:lineRule="auto"/>
              <w:rPr>
                <w:rFonts w:ascii="宋体"/>
                <w:dstrike/>
                <w:color w:val="auto"/>
                <w:sz w:val="24"/>
                <w:highlight w:val="none"/>
              </w:rPr>
            </w:pPr>
          </w:p>
        </w:tc>
        <w:tc>
          <w:tcPr>
            <w:tcW w:w="1098"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901" w:type="dxa"/>
            <w:vAlign w:val="center"/>
          </w:tcPr>
          <w:p>
            <w:pPr>
              <w:spacing w:line="360" w:lineRule="auto"/>
              <w:rPr>
                <w:rFonts w:ascii="宋体"/>
                <w:dstrike/>
                <w:color w:val="auto"/>
                <w:sz w:val="24"/>
                <w:highlight w:val="none"/>
              </w:rPr>
            </w:pPr>
          </w:p>
        </w:tc>
        <w:tc>
          <w:tcPr>
            <w:tcW w:w="1368" w:type="dxa"/>
            <w:vAlign w:val="center"/>
          </w:tcPr>
          <w:p>
            <w:pPr>
              <w:spacing w:line="360" w:lineRule="auto"/>
              <w:rPr>
                <w:rFonts w:ascii="宋体"/>
                <w:dstrike/>
                <w:color w:val="auto"/>
                <w:sz w:val="24"/>
                <w:highlight w:val="none"/>
              </w:rPr>
            </w:pPr>
          </w:p>
        </w:tc>
        <w:tc>
          <w:tcPr>
            <w:tcW w:w="821" w:type="dxa"/>
            <w:vAlign w:val="center"/>
          </w:tcPr>
          <w:p>
            <w:pPr>
              <w:spacing w:line="360" w:lineRule="auto"/>
              <w:rPr>
                <w:rFonts w:ascii="宋体"/>
                <w:dstrike/>
                <w:color w:val="auto"/>
                <w:sz w:val="24"/>
                <w:highlight w:val="none"/>
              </w:rPr>
            </w:pPr>
          </w:p>
        </w:tc>
        <w:tc>
          <w:tcPr>
            <w:tcW w:w="1509" w:type="dxa"/>
            <w:vAlign w:val="center"/>
          </w:tcPr>
          <w:p>
            <w:pPr>
              <w:spacing w:line="360" w:lineRule="auto"/>
              <w:rPr>
                <w:rFonts w:ascii="宋体"/>
                <w:dstrike/>
                <w:color w:val="auto"/>
                <w:sz w:val="24"/>
                <w:highlight w:val="none"/>
              </w:rPr>
            </w:pPr>
          </w:p>
        </w:tc>
        <w:tc>
          <w:tcPr>
            <w:tcW w:w="1531" w:type="dxa"/>
            <w:vAlign w:val="center"/>
          </w:tcPr>
          <w:p>
            <w:pPr>
              <w:spacing w:line="360" w:lineRule="auto"/>
              <w:rPr>
                <w:rFonts w:ascii="宋体"/>
                <w:dstrike/>
                <w:color w:val="auto"/>
                <w:sz w:val="24"/>
                <w:highlight w:val="none"/>
              </w:rPr>
            </w:pPr>
          </w:p>
        </w:tc>
        <w:tc>
          <w:tcPr>
            <w:tcW w:w="1989" w:type="dxa"/>
            <w:vAlign w:val="center"/>
          </w:tcPr>
          <w:p>
            <w:pPr>
              <w:spacing w:line="360" w:lineRule="auto"/>
              <w:rPr>
                <w:rFonts w:ascii="宋体"/>
                <w:dstrike/>
                <w:color w:val="auto"/>
                <w:sz w:val="24"/>
                <w:highlight w:val="none"/>
              </w:rPr>
            </w:pPr>
          </w:p>
        </w:tc>
        <w:tc>
          <w:tcPr>
            <w:tcW w:w="1098"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901" w:type="dxa"/>
            <w:vAlign w:val="center"/>
          </w:tcPr>
          <w:p>
            <w:pPr>
              <w:spacing w:line="360" w:lineRule="auto"/>
              <w:rPr>
                <w:rFonts w:ascii="宋体"/>
                <w:dstrike/>
                <w:color w:val="auto"/>
                <w:sz w:val="24"/>
                <w:highlight w:val="none"/>
              </w:rPr>
            </w:pPr>
          </w:p>
        </w:tc>
        <w:tc>
          <w:tcPr>
            <w:tcW w:w="1368" w:type="dxa"/>
            <w:vAlign w:val="center"/>
          </w:tcPr>
          <w:p>
            <w:pPr>
              <w:spacing w:line="360" w:lineRule="auto"/>
              <w:rPr>
                <w:rFonts w:ascii="宋体"/>
                <w:dstrike/>
                <w:color w:val="auto"/>
                <w:sz w:val="24"/>
                <w:highlight w:val="none"/>
              </w:rPr>
            </w:pPr>
          </w:p>
        </w:tc>
        <w:tc>
          <w:tcPr>
            <w:tcW w:w="821" w:type="dxa"/>
            <w:vAlign w:val="center"/>
          </w:tcPr>
          <w:p>
            <w:pPr>
              <w:spacing w:line="360" w:lineRule="auto"/>
              <w:rPr>
                <w:rFonts w:ascii="宋体"/>
                <w:dstrike/>
                <w:color w:val="auto"/>
                <w:sz w:val="24"/>
                <w:highlight w:val="none"/>
              </w:rPr>
            </w:pPr>
          </w:p>
        </w:tc>
        <w:tc>
          <w:tcPr>
            <w:tcW w:w="1509" w:type="dxa"/>
            <w:vAlign w:val="center"/>
          </w:tcPr>
          <w:p>
            <w:pPr>
              <w:spacing w:line="360" w:lineRule="auto"/>
              <w:rPr>
                <w:rFonts w:ascii="宋体"/>
                <w:dstrike/>
                <w:color w:val="auto"/>
                <w:sz w:val="24"/>
                <w:highlight w:val="none"/>
              </w:rPr>
            </w:pPr>
          </w:p>
        </w:tc>
        <w:tc>
          <w:tcPr>
            <w:tcW w:w="1531" w:type="dxa"/>
            <w:vAlign w:val="center"/>
          </w:tcPr>
          <w:p>
            <w:pPr>
              <w:spacing w:line="360" w:lineRule="auto"/>
              <w:rPr>
                <w:rFonts w:ascii="宋体"/>
                <w:dstrike/>
                <w:color w:val="auto"/>
                <w:sz w:val="24"/>
                <w:highlight w:val="none"/>
              </w:rPr>
            </w:pPr>
          </w:p>
        </w:tc>
        <w:tc>
          <w:tcPr>
            <w:tcW w:w="1989" w:type="dxa"/>
            <w:vAlign w:val="center"/>
          </w:tcPr>
          <w:p>
            <w:pPr>
              <w:spacing w:line="360" w:lineRule="auto"/>
              <w:rPr>
                <w:rFonts w:ascii="宋体"/>
                <w:dstrike/>
                <w:color w:val="auto"/>
                <w:sz w:val="24"/>
                <w:highlight w:val="none"/>
              </w:rPr>
            </w:pPr>
          </w:p>
        </w:tc>
        <w:tc>
          <w:tcPr>
            <w:tcW w:w="1098"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01" w:type="dxa"/>
            <w:vAlign w:val="center"/>
          </w:tcPr>
          <w:p>
            <w:pPr>
              <w:spacing w:line="360" w:lineRule="auto"/>
              <w:rPr>
                <w:rFonts w:ascii="宋体"/>
                <w:dstrike/>
                <w:color w:val="auto"/>
                <w:sz w:val="24"/>
                <w:highlight w:val="none"/>
              </w:rPr>
            </w:pPr>
          </w:p>
        </w:tc>
        <w:tc>
          <w:tcPr>
            <w:tcW w:w="1368" w:type="dxa"/>
            <w:vAlign w:val="center"/>
          </w:tcPr>
          <w:p>
            <w:pPr>
              <w:spacing w:line="360" w:lineRule="auto"/>
              <w:rPr>
                <w:rFonts w:ascii="宋体"/>
                <w:dstrike/>
                <w:color w:val="auto"/>
                <w:sz w:val="24"/>
                <w:highlight w:val="none"/>
              </w:rPr>
            </w:pPr>
          </w:p>
        </w:tc>
        <w:tc>
          <w:tcPr>
            <w:tcW w:w="821" w:type="dxa"/>
            <w:vAlign w:val="center"/>
          </w:tcPr>
          <w:p>
            <w:pPr>
              <w:spacing w:line="360" w:lineRule="auto"/>
              <w:rPr>
                <w:rFonts w:ascii="宋体"/>
                <w:dstrike/>
                <w:color w:val="auto"/>
                <w:sz w:val="24"/>
                <w:highlight w:val="none"/>
              </w:rPr>
            </w:pPr>
          </w:p>
        </w:tc>
        <w:tc>
          <w:tcPr>
            <w:tcW w:w="1509" w:type="dxa"/>
            <w:vAlign w:val="center"/>
          </w:tcPr>
          <w:p>
            <w:pPr>
              <w:spacing w:line="360" w:lineRule="auto"/>
              <w:rPr>
                <w:rFonts w:ascii="宋体"/>
                <w:dstrike/>
                <w:color w:val="auto"/>
                <w:sz w:val="24"/>
                <w:highlight w:val="none"/>
              </w:rPr>
            </w:pPr>
          </w:p>
        </w:tc>
        <w:tc>
          <w:tcPr>
            <w:tcW w:w="1531" w:type="dxa"/>
            <w:vAlign w:val="center"/>
          </w:tcPr>
          <w:p>
            <w:pPr>
              <w:spacing w:line="360" w:lineRule="auto"/>
              <w:rPr>
                <w:rFonts w:ascii="宋体"/>
                <w:dstrike/>
                <w:color w:val="auto"/>
                <w:sz w:val="24"/>
                <w:highlight w:val="none"/>
              </w:rPr>
            </w:pPr>
          </w:p>
        </w:tc>
        <w:tc>
          <w:tcPr>
            <w:tcW w:w="1989" w:type="dxa"/>
            <w:vAlign w:val="center"/>
          </w:tcPr>
          <w:p>
            <w:pPr>
              <w:spacing w:line="360" w:lineRule="auto"/>
              <w:rPr>
                <w:rFonts w:ascii="宋体"/>
                <w:dstrike/>
                <w:color w:val="auto"/>
                <w:sz w:val="24"/>
                <w:highlight w:val="none"/>
              </w:rPr>
            </w:pPr>
          </w:p>
        </w:tc>
        <w:tc>
          <w:tcPr>
            <w:tcW w:w="1098"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01" w:type="dxa"/>
            <w:vAlign w:val="center"/>
          </w:tcPr>
          <w:p>
            <w:pPr>
              <w:spacing w:line="360" w:lineRule="auto"/>
              <w:rPr>
                <w:rFonts w:ascii="宋体"/>
                <w:dstrike/>
                <w:color w:val="auto"/>
                <w:sz w:val="24"/>
                <w:highlight w:val="none"/>
              </w:rPr>
            </w:pPr>
          </w:p>
        </w:tc>
        <w:tc>
          <w:tcPr>
            <w:tcW w:w="1368" w:type="dxa"/>
            <w:vAlign w:val="center"/>
          </w:tcPr>
          <w:p>
            <w:pPr>
              <w:spacing w:line="360" w:lineRule="auto"/>
              <w:rPr>
                <w:rFonts w:ascii="宋体"/>
                <w:dstrike/>
                <w:color w:val="auto"/>
                <w:sz w:val="24"/>
                <w:highlight w:val="none"/>
              </w:rPr>
            </w:pPr>
          </w:p>
        </w:tc>
        <w:tc>
          <w:tcPr>
            <w:tcW w:w="821" w:type="dxa"/>
            <w:vAlign w:val="center"/>
          </w:tcPr>
          <w:p>
            <w:pPr>
              <w:spacing w:line="360" w:lineRule="auto"/>
              <w:rPr>
                <w:rFonts w:ascii="宋体"/>
                <w:dstrike/>
                <w:color w:val="auto"/>
                <w:sz w:val="24"/>
                <w:highlight w:val="none"/>
              </w:rPr>
            </w:pPr>
          </w:p>
        </w:tc>
        <w:tc>
          <w:tcPr>
            <w:tcW w:w="1509" w:type="dxa"/>
            <w:vAlign w:val="center"/>
          </w:tcPr>
          <w:p>
            <w:pPr>
              <w:spacing w:line="360" w:lineRule="auto"/>
              <w:rPr>
                <w:rFonts w:ascii="宋体"/>
                <w:dstrike/>
                <w:color w:val="auto"/>
                <w:sz w:val="24"/>
                <w:highlight w:val="none"/>
              </w:rPr>
            </w:pPr>
          </w:p>
        </w:tc>
        <w:tc>
          <w:tcPr>
            <w:tcW w:w="1531" w:type="dxa"/>
            <w:vAlign w:val="center"/>
          </w:tcPr>
          <w:p>
            <w:pPr>
              <w:spacing w:line="360" w:lineRule="auto"/>
              <w:rPr>
                <w:rFonts w:ascii="宋体"/>
                <w:dstrike/>
                <w:color w:val="auto"/>
                <w:sz w:val="24"/>
                <w:highlight w:val="none"/>
              </w:rPr>
            </w:pPr>
          </w:p>
        </w:tc>
        <w:tc>
          <w:tcPr>
            <w:tcW w:w="1989" w:type="dxa"/>
            <w:vAlign w:val="center"/>
          </w:tcPr>
          <w:p>
            <w:pPr>
              <w:spacing w:line="360" w:lineRule="auto"/>
              <w:rPr>
                <w:rFonts w:ascii="宋体"/>
                <w:dstrike/>
                <w:color w:val="auto"/>
                <w:sz w:val="24"/>
                <w:highlight w:val="none"/>
              </w:rPr>
            </w:pPr>
          </w:p>
        </w:tc>
        <w:tc>
          <w:tcPr>
            <w:tcW w:w="1098"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01" w:type="dxa"/>
            <w:vAlign w:val="center"/>
          </w:tcPr>
          <w:p>
            <w:pPr>
              <w:spacing w:line="360" w:lineRule="auto"/>
              <w:rPr>
                <w:rFonts w:ascii="宋体"/>
                <w:dstrike/>
                <w:color w:val="auto"/>
                <w:sz w:val="24"/>
                <w:highlight w:val="none"/>
              </w:rPr>
            </w:pPr>
          </w:p>
        </w:tc>
        <w:tc>
          <w:tcPr>
            <w:tcW w:w="1368" w:type="dxa"/>
            <w:vAlign w:val="center"/>
          </w:tcPr>
          <w:p>
            <w:pPr>
              <w:spacing w:line="360" w:lineRule="auto"/>
              <w:rPr>
                <w:rFonts w:ascii="宋体"/>
                <w:dstrike/>
                <w:color w:val="auto"/>
                <w:sz w:val="24"/>
                <w:highlight w:val="none"/>
              </w:rPr>
            </w:pPr>
          </w:p>
        </w:tc>
        <w:tc>
          <w:tcPr>
            <w:tcW w:w="821" w:type="dxa"/>
            <w:vAlign w:val="center"/>
          </w:tcPr>
          <w:p>
            <w:pPr>
              <w:spacing w:line="360" w:lineRule="auto"/>
              <w:rPr>
                <w:rFonts w:ascii="宋体"/>
                <w:dstrike/>
                <w:color w:val="auto"/>
                <w:sz w:val="24"/>
                <w:highlight w:val="none"/>
              </w:rPr>
            </w:pPr>
          </w:p>
        </w:tc>
        <w:tc>
          <w:tcPr>
            <w:tcW w:w="1509" w:type="dxa"/>
            <w:vAlign w:val="center"/>
          </w:tcPr>
          <w:p>
            <w:pPr>
              <w:spacing w:line="360" w:lineRule="auto"/>
              <w:rPr>
                <w:rFonts w:ascii="宋体"/>
                <w:dstrike/>
                <w:color w:val="auto"/>
                <w:sz w:val="24"/>
                <w:highlight w:val="none"/>
              </w:rPr>
            </w:pPr>
          </w:p>
        </w:tc>
        <w:tc>
          <w:tcPr>
            <w:tcW w:w="1531" w:type="dxa"/>
            <w:vAlign w:val="center"/>
          </w:tcPr>
          <w:p>
            <w:pPr>
              <w:spacing w:line="360" w:lineRule="auto"/>
              <w:rPr>
                <w:rFonts w:ascii="宋体"/>
                <w:dstrike/>
                <w:color w:val="auto"/>
                <w:sz w:val="24"/>
                <w:highlight w:val="none"/>
              </w:rPr>
            </w:pPr>
          </w:p>
        </w:tc>
        <w:tc>
          <w:tcPr>
            <w:tcW w:w="1989" w:type="dxa"/>
            <w:vAlign w:val="center"/>
          </w:tcPr>
          <w:p>
            <w:pPr>
              <w:spacing w:line="360" w:lineRule="auto"/>
              <w:rPr>
                <w:rFonts w:ascii="宋体"/>
                <w:dstrike/>
                <w:color w:val="auto"/>
                <w:sz w:val="24"/>
                <w:highlight w:val="none"/>
              </w:rPr>
            </w:pPr>
          </w:p>
        </w:tc>
        <w:tc>
          <w:tcPr>
            <w:tcW w:w="1098" w:type="dxa"/>
            <w:vAlign w:val="center"/>
          </w:tcPr>
          <w:p>
            <w:pPr>
              <w:spacing w:line="360" w:lineRule="auto"/>
              <w:rPr>
                <w:rFonts w:ascii="宋体"/>
                <w:dstrike/>
                <w:color w:val="auto"/>
                <w:sz w:val="24"/>
                <w:highlight w:val="none"/>
              </w:rPr>
            </w:pPr>
          </w:p>
        </w:tc>
      </w:tr>
    </w:tbl>
    <w:p>
      <w:pPr>
        <w:spacing w:line="360" w:lineRule="auto"/>
        <w:ind w:firstLine="424" w:firstLineChars="177"/>
        <w:rPr>
          <w:rFonts w:ascii="宋体" w:hAnsi="宋体" w:cs="宋体"/>
          <w:color w:val="auto"/>
          <w:sz w:val="24"/>
          <w:highlight w:val="none"/>
        </w:rPr>
      </w:pPr>
    </w:p>
    <w:p>
      <w:pPr>
        <w:spacing w:line="360" w:lineRule="auto"/>
        <w:ind w:right="-21" w:rightChars="-10"/>
        <w:rPr>
          <w:rFonts w:ascii="仿宋_GB2312" w:cs="宋体"/>
          <w:b/>
          <w:color w:val="auto"/>
          <w:kern w:val="0"/>
          <w:szCs w:val="22"/>
          <w:highlight w:val="none"/>
        </w:rPr>
      </w:pPr>
      <w:r>
        <w:rPr>
          <w:rFonts w:hint="eastAsia" w:ascii="仿宋_GB2312" w:cs="宋体"/>
          <w:b/>
          <w:color w:val="auto"/>
          <w:kern w:val="0"/>
          <w:sz w:val="22"/>
          <w:szCs w:val="22"/>
          <w:highlight w:val="none"/>
        </w:rPr>
        <w:t>供应商全称（公章）：</w:t>
      </w:r>
    </w:p>
    <w:p>
      <w:pPr>
        <w:spacing w:line="360" w:lineRule="auto"/>
        <w:ind w:right="-21" w:rightChars="-10"/>
        <w:rPr>
          <w:rFonts w:ascii="仿宋_GB2312" w:cs="宋体"/>
          <w:b/>
          <w:color w:val="auto"/>
          <w:kern w:val="0"/>
          <w:szCs w:val="22"/>
          <w:highlight w:val="none"/>
        </w:rPr>
      </w:pPr>
      <w:r>
        <w:rPr>
          <w:rFonts w:hint="eastAsia" w:ascii="仿宋_GB2312" w:cs="宋体"/>
          <w:b/>
          <w:color w:val="auto"/>
          <w:kern w:val="0"/>
          <w:sz w:val="22"/>
          <w:szCs w:val="22"/>
          <w:highlight w:val="none"/>
        </w:rPr>
        <w:t>法定代表人或授权代表（签字或签章）：</w:t>
      </w:r>
    </w:p>
    <w:p>
      <w:pPr>
        <w:rPr>
          <w:rFonts w:ascii="仿宋_GB2312" w:cs="宋体"/>
          <w:b/>
          <w:color w:val="auto"/>
          <w:kern w:val="0"/>
          <w:szCs w:val="22"/>
          <w:highlight w:val="none"/>
        </w:rPr>
      </w:pPr>
      <w:r>
        <w:rPr>
          <w:rFonts w:hint="eastAsia" w:ascii="仿宋_GB2312" w:cs="宋体"/>
          <w:b/>
          <w:color w:val="auto"/>
          <w:kern w:val="0"/>
          <w:sz w:val="22"/>
          <w:szCs w:val="22"/>
          <w:highlight w:val="none"/>
        </w:rPr>
        <w:t>日期：</w:t>
      </w:r>
    </w:p>
    <w:p>
      <w:pPr>
        <w:pStyle w:val="195"/>
        <w:shd w:val="clear" w:color="auto" w:fill="FFFFFF"/>
        <w:spacing w:before="0" w:beforeAutospacing="0" w:after="0" w:afterAutospacing="0" w:line="360" w:lineRule="auto"/>
        <w:ind w:firstLine="465" w:firstLineChars="177"/>
        <w:rPr>
          <w:rFonts w:cs="Times New Roman"/>
          <w:b/>
          <w:bCs/>
          <w:dstrike/>
          <w:color w:val="auto"/>
          <w:spacing w:val="11"/>
          <w:highlight w:val="none"/>
        </w:rPr>
      </w:pPr>
    </w:p>
    <w:p>
      <w:pPr>
        <w:widowControl/>
        <w:jc w:val="left"/>
        <w:rPr>
          <w:rFonts w:ascii="宋体" w:hAnsi="宋体" w:cs="宋体"/>
          <w:b/>
          <w:bCs/>
          <w:color w:val="auto"/>
          <w:sz w:val="28"/>
          <w:szCs w:val="28"/>
          <w:highlight w:val="none"/>
        </w:rPr>
      </w:pPr>
    </w:p>
    <w:p>
      <w:pPr>
        <w:widowControl/>
        <w:jc w:val="left"/>
        <w:rPr>
          <w:rFonts w:ascii="宋体" w:hAnsi="宋体" w:cs="宋体"/>
          <w:b/>
          <w:bCs/>
          <w:color w:val="auto"/>
          <w:sz w:val="28"/>
          <w:szCs w:val="28"/>
          <w:highlight w:val="none"/>
        </w:rPr>
      </w:pPr>
    </w:p>
    <w:p>
      <w:pPr>
        <w:widowControl/>
        <w:jc w:val="left"/>
        <w:rPr>
          <w:rFonts w:ascii="宋体" w:hAnsi="宋体" w:cs="宋体"/>
          <w:b/>
          <w:bCs/>
          <w:color w:val="auto"/>
          <w:sz w:val="28"/>
          <w:szCs w:val="28"/>
          <w:highlight w:val="none"/>
        </w:rPr>
      </w:pPr>
    </w:p>
    <w:p>
      <w:pPr>
        <w:widowControl/>
        <w:jc w:val="left"/>
        <w:rPr>
          <w:rFonts w:ascii="宋体" w:hAnsi="宋体" w:cs="宋体"/>
          <w:b/>
          <w:bCs/>
          <w:color w:val="auto"/>
          <w:sz w:val="28"/>
          <w:szCs w:val="28"/>
          <w:highlight w:val="none"/>
        </w:rPr>
      </w:pPr>
    </w:p>
    <w:p>
      <w:pPr>
        <w:widowControl/>
        <w:jc w:val="left"/>
        <w:rPr>
          <w:rFonts w:ascii="宋体" w:hAnsi="宋体" w:cs="宋体"/>
          <w:b/>
          <w:bCs/>
          <w:color w:val="auto"/>
          <w:sz w:val="28"/>
          <w:szCs w:val="28"/>
          <w:highlight w:val="none"/>
        </w:rPr>
      </w:pPr>
    </w:p>
    <w:p>
      <w:pPr>
        <w:widowControl/>
        <w:jc w:val="left"/>
        <w:rPr>
          <w:rFonts w:ascii="宋体" w:hAnsi="宋体" w:cs="宋体"/>
          <w:b/>
          <w:bCs/>
          <w:color w:val="auto"/>
          <w:sz w:val="28"/>
          <w:szCs w:val="28"/>
          <w:highlight w:val="none"/>
        </w:rPr>
      </w:pPr>
    </w:p>
    <w:p>
      <w:pPr>
        <w:widowControl/>
        <w:jc w:val="left"/>
        <w:rPr>
          <w:rFonts w:ascii="宋体" w:hAnsi="宋体" w:cs="宋体"/>
          <w:b/>
          <w:bCs/>
          <w:color w:val="auto"/>
          <w:sz w:val="28"/>
          <w:szCs w:val="28"/>
          <w:highlight w:val="none"/>
        </w:rPr>
      </w:pPr>
    </w:p>
    <w:p>
      <w:pPr>
        <w:widowControl/>
        <w:jc w:val="center"/>
        <w:rPr>
          <w:rFonts w:ascii="宋体" w:hAnsi="宋体" w:cs="宋体"/>
          <w:b/>
          <w:bCs/>
          <w:color w:val="auto"/>
          <w:sz w:val="28"/>
          <w:szCs w:val="28"/>
          <w:highlight w:val="none"/>
        </w:rPr>
      </w:pPr>
    </w:p>
    <w:p>
      <w:pPr>
        <w:pStyle w:val="2"/>
        <w:ind w:firstLine="200"/>
        <w:rPr>
          <w:color w:val="auto"/>
          <w:highlight w:val="none"/>
        </w:rPr>
      </w:pPr>
    </w:p>
    <w:p>
      <w:pPr>
        <w:widowControl/>
        <w:jc w:val="center"/>
        <w:rPr>
          <w:rFonts w:ascii="宋体" w:hAnsi="宋体" w:cs="宋体"/>
          <w:b/>
          <w:bCs/>
          <w:color w:val="auto"/>
          <w:sz w:val="28"/>
          <w:szCs w:val="28"/>
          <w:highlight w:val="none"/>
        </w:rPr>
      </w:pPr>
    </w:p>
    <w:p>
      <w:pPr>
        <w:widowControl/>
        <w:jc w:val="center"/>
        <w:rPr>
          <w:rFonts w:ascii="宋体" w:hAnsi="宋体" w:cs="宋体"/>
          <w:b/>
          <w:bCs/>
          <w:color w:val="auto"/>
          <w:sz w:val="28"/>
          <w:szCs w:val="28"/>
          <w:highlight w:val="none"/>
        </w:rPr>
      </w:pPr>
    </w:p>
    <w:p>
      <w:pPr>
        <w:widowControl/>
        <w:jc w:val="center"/>
        <w:rPr>
          <w:rFonts w:ascii="宋体" w:hAnsi="宋体" w:cs="宋体"/>
          <w:b/>
          <w:bCs/>
          <w:color w:val="auto"/>
          <w:sz w:val="28"/>
          <w:szCs w:val="28"/>
          <w:highlight w:val="none"/>
        </w:rPr>
      </w:pPr>
    </w:p>
    <w:p>
      <w:pPr>
        <w:widowControl/>
        <w:jc w:val="center"/>
        <w:rPr>
          <w:rFonts w:ascii="宋体" w:hAnsi="宋体" w:cs="宋体"/>
          <w:b/>
          <w:bCs/>
          <w:color w:val="auto"/>
          <w:sz w:val="28"/>
          <w:szCs w:val="28"/>
          <w:highlight w:val="none"/>
        </w:rPr>
      </w:pPr>
    </w:p>
    <w:p>
      <w:pPr>
        <w:pStyle w:val="2"/>
        <w:ind w:firstLine="200"/>
        <w:rPr>
          <w:color w:val="auto"/>
          <w:highlight w:val="none"/>
        </w:rPr>
      </w:pPr>
    </w:p>
    <w:p>
      <w:pPr>
        <w:widowControl/>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（二）拟投入运送车辆一览表</w:t>
      </w:r>
    </w:p>
    <w:p>
      <w:pPr>
        <w:widowControl/>
        <w:jc w:val="center"/>
        <w:rPr>
          <w:rFonts w:ascii="宋体" w:hAnsi="宋体" w:cs="宋体"/>
          <w:b/>
          <w:bCs/>
          <w:color w:val="auto"/>
          <w:sz w:val="28"/>
          <w:szCs w:val="28"/>
          <w:highlight w:val="none"/>
        </w:rPr>
      </w:pPr>
    </w:p>
    <w:tbl>
      <w:tblPr>
        <w:tblStyle w:val="38"/>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337"/>
        <w:gridCol w:w="827"/>
        <w:gridCol w:w="1318"/>
        <w:gridCol w:w="1419"/>
        <w:gridCol w:w="1737"/>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71" w:type="dxa"/>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337" w:type="dxa"/>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车辆名称</w:t>
            </w:r>
          </w:p>
        </w:tc>
        <w:tc>
          <w:tcPr>
            <w:tcW w:w="827" w:type="dxa"/>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品牌</w:t>
            </w:r>
          </w:p>
        </w:tc>
        <w:tc>
          <w:tcPr>
            <w:tcW w:w="1318" w:type="dxa"/>
            <w:vAlign w:val="center"/>
          </w:tcPr>
          <w:p>
            <w:pPr>
              <w:widowControl/>
              <w:ind w:left="52"/>
              <w:jc w:val="center"/>
              <w:rPr>
                <w:rFonts w:ascii="宋体" w:hAnsi="宋体" w:cs="宋体"/>
                <w:b/>
                <w:bCs/>
                <w:color w:val="auto"/>
                <w:sz w:val="24"/>
                <w:highlight w:val="none"/>
              </w:rPr>
            </w:pPr>
            <w:r>
              <w:rPr>
                <w:rFonts w:hint="eastAsia" w:ascii="宋体" w:hAnsi="宋体" w:cs="宋体"/>
                <w:b/>
                <w:bCs/>
                <w:color w:val="auto"/>
                <w:sz w:val="24"/>
                <w:highlight w:val="none"/>
              </w:rPr>
              <w:t>规格型号</w:t>
            </w:r>
          </w:p>
        </w:tc>
        <w:tc>
          <w:tcPr>
            <w:tcW w:w="1419" w:type="dxa"/>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购置时间</w:t>
            </w:r>
          </w:p>
        </w:tc>
        <w:tc>
          <w:tcPr>
            <w:tcW w:w="1737" w:type="dxa"/>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主要技术指标</w:t>
            </w:r>
          </w:p>
        </w:tc>
        <w:tc>
          <w:tcPr>
            <w:tcW w:w="927" w:type="dxa"/>
            <w:vAlign w:val="center"/>
          </w:tcPr>
          <w:p>
            <w:pPr>
              <w:widowControl/>
              <w:jc w:val="center"/>
              <w:rPr>
                <w:rFonts w:ascii="宋体" w:hAnsi="宋体" w:cs="宋体"/>
                <w:b/>
                <w:bCs/>
                <w:color w:val="auto"/>
                <w:sz w:val="24"/>
                <w:highlight w:val="none"/>
              </w:rPr>
            </w:pPr>
            <w:r>
              <w:rPr>
                <w:rFonts w:hint="eastAsia" w:ascii="宋体" w:hAnsi="宋体" w:cs="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771" w:type="dxa"/>
            <w:vAlign w:val="center"/>
          </w:tcPr>
          <w:p>
            <w:pPr>
              <w:spacing w:line="360" w:lineRule="auto"/>
              <w:rPr>
                <w:rFonts w:ascii="宋体"/>
                <w:dstrike/>
                <w:color w:val="auto"/>
                <w:sz w:val="24"/>
                <w:highlight w:val="none"/>
              </w:rPr>
            </w:pPr>
          </w:p>
        </w:tc>
        <w:tc>
          <w:tcPr>
            <w:tcW w:w="1337" w:type="dxa"/>
            <w:vAlign w:val="center"/>
          </w:tcPr>
          <w:p>
            <w:pPr>
              <w:spacing w:line="360" w:lineRule="auto"/>
              <w:rPr>
                <w:rFonts w:ascii="宋体"/>
                <w:dstrike/>
                <w:color w:val="auto"/>
                <w:sz w:val="24"/>
                <w:highlight w:val="none"/>
              </w:rPr>
            </w:pPr>
          </w:p>
        </w:tc>
        <w:tc>
          <w:tcPr>
            <w:tcW w:w="827" w:type="dxa"/>
            <w:vAlign w:val="center"/>
          </w:tcPr>
          <w:p>
            <w:pPr>
              <w:spacing w:line="360" w:lineRule="auto"/>
              <w:rPr>
                <w:rFonts w:ascii="宋体"/>
                <w:dstrike/>
                <w:color w:val="auto"/>
                <w:sz w:val="24"/>
                <w:highlight w:val="none"/>
              </w:rPr>
            </w:pPr>
          </w:p>
        </w:tc>
        <w:tc>
          <w:tcPr>
            <w:tcW w:w="1318" w:type="dxa"/>
            <w:vAlign w:val="center"/>
          </w:tcPr>
          <w:p>
            <w:pPr>
              <w:spacing w:line="360" w:lineRule="auto"/>
              <w:rPr>
                <w:rFonts w:ascii="宋体"/>
                <w:dstrike/>
                <w:color w:val="auto"/>
                <w:sz w:val="24"/>
                <w:highlight w:val="none"/>
              </w:rPr>
            </w:pPr>
          </w:p>
        </w:tc>
        <w:tc>
          <w:tcPr>
            <w:tcW w:w="1419" w:type="dxa"/>
            <w:vAlign w:val="center"/>
          </w:tcPr>
          <w:p>
            <w:pPr>
              <w:spacing w:line="360" w:lineRule="auto"/>
              <w:rPr>
                <w:rFonts w:ascii="宋体"/>
                <w:dstrike/>
                <w:color w:val="auto"/>
                <w:sz w:val="24"/>
                <w:highlight w:val="none"/>
              </w:rPr>
            </w:pPr>
          </w:p>
        </w:tc>
        <w:tc>
          <w:tcPr>
            <w:tcW w:w="1737" w:type="dxa"/>
            <w:vAlign w:val="center"/>
          </w:tcPr>
          <w:p>
            <w:pPr>
              <w:spacing w:line="360" w:lineRule="auto"/>
              <w:rPr>
                <w:rFonts w:ascii="宋体"/>
                <w:dstrike/>
                <w:color w:val="auto"/>
                <w:sz w:val="24"/>
                <w:highlight w:val="none"/>
              </w:rPr>
            </w:pPr>
          </w:p>
        </w:tc>
        <w:tc>
          <w:tcPr>
            <w:tcW w:w="927"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771" w:type="dxa"/>
            <w:vAlign w:val="center"/>
          </w:tcPr>
          <w:p>
            <w:pPr>
              <w:spacing w:line="360" w:lineRule="auto"/>
              <w:rPr>
                <w:rFonts w:ascii="宋体"/>
                <w:dstrike/>
                <w:color w:val="auto"/>
                <w:sz w:val="24"/>
                <w:highlight w:val="none"/>
              </w:rPr>
            </w:pPr>
          </w:p>
        </w:tc>
        <w:tc>
          <w:tcPr>
            <w:tcW w:w="1337" w:type="dxa"/>
            <w:vAlign w:val="center"/>
          </w:tcPr>
          <w:p>
            <w:pPr>
              <w:spacing w:line="360" w:lineRule="auto"/>
              <w:rPr>
                <w:rFonts w:ascii="宋体"/>
                <w:dstrike/>
                <w:color w:val="auto"/>
                <w:sz w:val="24"/>
                <w:highlight w:val="none"/>
              </w:rPr>
            </w:pPr>
          </w:p>
        </w:tc>
        <w:tc>
          <w:tcPr>
            <w:tcW w:w="827" w:type="dxa"/>
            <w:vAlign w:val="center"/>
          </w:tcPr>
          <w:p>
            <w:pPr>
              <w:spacing w:line="360" w:lineRule="auto"/>
              <w:rPr>
                <w:rFonts w:ascii="宋体"/>
                <w:dstrike/>
                <w:color w:val="auto"/>
                <w:sz w:val="24"/>
                <w:highlight w:val="none"/>
              </w:rPr>
            </w:pPr>
          </w:p>
        </w:tc>
        <w:tc>
          <w:tcPr>
            <w:tcW w:w="1318" w:type="dxa"/>
            <w:vAlign w:val="center"/>
          </w:tcPr>
          <w:p>
            <w:pPr>
              <w:spacing w:line="360" w:lineRule="auto"/>
              <w:rPr>
                <w:rFonts w:ascii="宋体"/>
                <w:dstrike/>
                <w:color w:val="auto"/>
                <w:sz w:val="24"/>
                <w:highlight w:val="none"/>
              </w:rPr>
            </w:pPr>
          </w:p>
        </w:tc>
        <w:tc>
          <w:tcPr>
            <w:tcW w:w="1419" w:type="dxa"/>
            <w:vAlign w:val="center"/>
          </w:tcPr>
          <w:p>
            <w:pPr>
              <w:spacing w:line="360" w:lineRule="auto"/>
              <w:rPr>
                <w:rFonts w:ascii="宋体"/>
                <w:dstrike/>
                <w:color w:val="auto"/>
                <w:sz w:val="24"/>
                <w:highlight w:val="none"/>
              </w:rPr>
            </w:pPr>
          </w:p>
        </w:tc>
        <w:tc>
          <w:tcPr>
            <w:tcW w:w="1737" w:type="dxa"/>
            <w:vAlign w:val="center"/>
          </w:tcPr>
          <w:p>
            <w:pPr>
              <w:spacing w:line="360" w:lineRule="auto"/>
              <w:rPr>
                <w:rFonts w:ascii="宋体"/>
                <w:dstrike/>
                <w:color w:val="auto"/>
                <w:sz w:val="24"/>
                <w:highlight w:val="none"/>
              </w:rPr>
            </w:pPr>
          </w:p>
        </w:tc>
        <w:tc>
          <w:tcPr>
            <w:tcW w:w="927"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771" w:type="dxa"/>
            <w:vAlign w:val="center"/>
          </w:tcPr>
          <w:p>
            <w:pPr>
              <w:spacing w:line="360" w:lineRule="auto"/>
              <w:rPr>
                <w:rFonts w:ascii="宋体"/>
                <w:dstrike/>
                <w:color w:val="auto"/>
                <w:sz w:val="24"/>
                <w:highlight w:val="none"/>
              </w:rPr>
            </w:pPr>
          </w:p>
        </w:tc>
        <w:tc>
          <w:tcPr>
            <w:tcW w:w="1337" w:type="dxa"/>
            <w:vAlign w:val="center"/>
          </w:tcPr>
          <w:p>
            <w:pPr>
              <w:spacing w:line="360" w:lineRule="auto"/>
              <w:rPr>
                <w:rFonts w:ascii="宋体"/>
                <w:dstrike/>
                <w:color w:val="auto"/>
                <w:sz w:val="24"/>
                <w:highlight w:val="none"/>
              </w:rPr>
            </w:pPr>
          </w:p>
        </w:tc>
        <w:tc>
          <w:tcPr>
            <w:tcW w:w="827" w:type="dxa"/>
            <w:vAlign w:val="center"/>
          </w:tcPr>
          <w:p>
            <w:pPr>
              <w:spacing w:line="360" w:lineRule="auto"/>
              <w:rPr>
                <w:rFonts w:ascii="宋体"/>
                <w:dstrike/>
                <w:color w:val="auto"/>
                <w:sz w:val="24"/>
                <w:highlight w:val="none"/>
              </w:rPr>
            </w:pPr>
          </w:p>
        </w:tc>
        <w:tc>
          <w:tcPr>
            <w:tcW w:w="1318" w:type="dxa"/>
            <w:vAlign w:val="center"/>
          </w:tcPr>
          <w:p>
            <w:pPr>
              <w:spacing w:line="360" w:lineRule="auto"/>
              <w:rPr>
                <w:rFonts w:ascii="宋体"/>
                <w:dstrike/>
                <w:color w:val="auto"/>
                <w:sz w:val="24"/>
                <w:highlight w:val="none"/>
              </w:rPr>
            </w:pPr>
          </w:p>
        </w:tc>
        <w:tc>
          <w:tcPr>
            <w:tcW w:w="1419" w:type="dxa"/>
            <w:vAlign w:val="center"/>
          </w:tcPr>
          <w:p>
            <w:pPr>
              <w:spacing w:line="360" w:lineRule="auto"/>
              <w:rPr>
                <w:rFonts w:ascii="宋体"/>
                <w:dstrike/>
                <w:color w:val="auto"/>
                <w:sz w:val="24"/>
                <w:highlight w:val="none"/>
              </w:rPr>
            </w:pPr>
          </w:p>
        </w:tc>
        <w:tc>
          <w:tcPr>
            <w:tcW w:w="1737" w:type="dxa"/>
            <w:vAlign w:val="center"/>
          </w:tcPr>
          <w:p>
            <w:pPr>
              <w:spacing w:line="360" w:lineRule="auto"/>
              <w:rPr>
                <w:rFonts w:ascii="宋体"/>
                <w:dstrike/>
                <w:color w:val="auto"/>
                <w:sz w:val="24"/>
                <w:highlight w:val="none"/>
              </w:rPr>
            </w:pPr>
          </w:p>
        </w:tc>
        <w:tc>
          <w:tcPr>
            <w:tcW w:w="927"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771" w:type="dxa"/>
            <w:vAlign w:val="center"/>
          </w:tcPr>
          <w:p>
            <w:pPr>
              <w:spacing w:line="360" w:lineRule="auto"/>
              <w:rPr>
                <w:rFonts w:ascii="宋体"/>
                <w:dstrike/>
                <w:color w:val="auto"/>
                <w:sz w:val="24"/>
                <w:highlight w:val="none"/>
              </w:rPr>
            </w:pPr>
          </w:p>
        </w:tc>
        <w:tc>
          <w:tcPr>
            <w:tcW w:w="1337" w:type="dxa"/>
            <w:vAlign w:val="center"/>
          </w:tcPr>
          <w:p>
            <w:pPr>
              <w:spacing w:line="360" w:lineRule="auto"/>
              <w:rPr>
                <w:rFonts w:ascii="宋体"/>
                <w:dstrike/>
                <w:color w:val="auto"/>
                <w:sz w:val="24"/>
                <w:highlight w:val="none"/>
              </w:rPr>
            </w:pPr>
          </w:p>
        </w:tc>
        <w:tc>
          <w:tcPr>
            <w:tcW w:w="827" w:type="dxa"/>
            <w:vAlign w:val="center"/>
          </w:tcPr>
          <w:p>
            <w:pPr>
              <w:spacing w:line="360" w:lineRule="auto"/>
              <w:rPr>
                <w:rFonts w:ascii="宋体"/>
                <w:dstrike/>
                <w:color w:val="auto"/>
                <w:sz w:val="24"/>
                <w:highlight w:val="none"/>
              </w:rPr>
            </w:pPr>
          </w:p>
        </w:tc>
        <w:tc>
          <w:tcPr>
            <w:tcW w:w="1318" w:type="dxa"/>
            <w:vAlign w:val="center"/>
          </w:tcPr>
          <w:p>
            <w:pPr>
              <w:spacing w:line="360" w:lineRule="auto"/>
              <w:rPr>
                <w:rFonts w:ascii="宋体"/>
                <w:dstrike/>
                <w:color w:val="auto"/>
                <w:sz w:val="24"/>
                <w:highlight w:val="none"/>
              </w:rPr>
            </w:pPr>
          </w:p>
        </w:tc>
        <w:tc>
          <w:tcPr>
            <w:tcW w:w="1419" w:type="dxa"/>
            <w:vAlign w:val="center"/>
          </w:tcPr>
          <w:p>
            <w:pPr>
              <w:spacing w:line="360" w:lineRule="auto"/>
              <w:rPr>
                <w:rFonts w:ascii="宋体"/>
                <w:dstrike/>
                <w:color w:val="auto"/>
                <w:sz w:val="24"/>
                <w:highlight w:val="none"/>
              </w:rPr>
            </w:pPr>
          </w:p>
        </w:tc>
        <w:tc>
          <w:tcPr>
            <w:tcW w:w="1737" w:type="dxa"/>
            <w:vAlign w:val="center"/>
          </w:tcPr>
          <w:p>
            <w:pPr>
              <w:spacing w:line="360" w:lineRule="auto"/>
              <w:rPr>
                <w:rFonts w:ascii="宋体"/>
                <w:dstrike/>
                <w:color w:val="auto"/>
                <w:sz w:val="24"/>
                <w:highlight w:val="none"/>
              </w:rPr>
            </w:pPr>
          </w:p>
        </w:tc>
        <w:tc>
          <w:tcPr>
            <w:tcW w:w="927"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771" w:type="dxa"/>
            <w:vAlign w:val="center"/>
          </w:tcPr>
          <w:p>
            <w:pPr>
              <w:spacing w:line="360" w:lineRule="auto"/>
              <w:rPr>
                <w:rFonts w:ascii="宋体"/>
                <w:dstrike/>
                <w:color w:val="auto"/>
                <w:sz w:val="24"/>
                <w:highlight w:val="none"/>
              </w:rPr>
            </w:pPr>
          </w:p>
        </w:tc>
        <w:tc>
          <w:tcPr>
            <w:tcW w:w="1337" w:type="dxa"/>
            <w:vAlign w:val="center"/>
          </w:tcPr>
          <w:p>
            <w:pPr>
              <w:spacing w:line="360" w:lineRule="auto"/>
              <w:rPr>
                <w:rFonts w:ascii="宋体"/>
                <w:dstrike/>
                <w:color w:val="auto"/>
                <w:sz w:val="24"/>
                <w:highlight w:val="none"/>
              </w:rPr>
            </w:pPr>
          </w:p>
        </w:tc>
        <w:tc>
          <w:tcPr>
            <w:tcW w:w="827" w:type="dxa"/>
            <w:vAlign w:val="center"/>
          </w:tcPr>
          <w:p>
            <w:pPr>
              <w:spacing w:line="360" w:lineRule="auto"/>
              <w:rPr>
                <w:rFonts w:ascii="宋体"/>
                <w:dstrike/>
                <w:color w:val="auto"/>
                <w:sz w:val="24"/>
                <w:highlight w:val="none"/>
              </w:rPr>
            </w:pPr>
          </w:p>
        </w:tc>
        <w:tc>
          <w:tcPr>
            <w:tcW w:w="1318" w:type="dxa"/>
            <w:vAlign w:val="center"/>
          </w:tcPr>
          <w:p>
            <w:pPr>
              <w:spacing w:line="360" w:lineRule="auto"/>
              <w:rPr>
                <w:rFonts w:ascii="宋体"/>
                <w:dstrike/>
                <w:color w:val="auto"/>
                <w:sz w:val="24"/>
                <w:highlight w:val="none"/>
              </w:rPr>
            </w:pPr>
          </w:p>
        </w:tc>
        <w:tc>
          <w:tcPr>
            <w:tcW w:w="1419" w:type="dxa"/>
            <w:vAlign w:val="center"/>
          </w:tcPr>
          <w:p>
            <w:pPr>
              <w:spacing w:line="360" w:lineRule="auto"/>
              <w:rPr>
                <w:rFonts w:ascii="宋体"/>
                <w:dstrike/>
                <w:color w:val="auto"/>
                <w:sz w:val="24"/>
                <w:highlight w:val="none"/>
              </w:rPr>
            </w:pPr>
          </w:p>
        </w:tc>
        <w:tc>
          <w:tcPr>
            <w:tcW w:w="1737" w:type="dxa"/>
            <w:vAlign w:val="center"/>
          </w:tcPr>
          <w:p>
            <w:pPr>
              <w:spacing w:line="360" w:lineRule="auto"/>
              <w:rPr>
                <w:rFonts w:ascii="宋体"/>
                <w:dstrike/>
                <w:color w:val="auto"/>
                <w:sz w:val="24"/>
                <w:highlight w:val="none"/>
              </w:rPr>
            </w:pPr>
          </w:p>
        </w:tc>
        <w:tc>
          <w:tcPr>
            <w:tcW w:w="927"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771" w:type="dxa"/>
            <w:vAlign w:val="center"/>
          </w:tcPr>
          <w:p>
            <w:pPr>
              <w:spacing w:line="360" w:lineRule="auto"/>
              <w:rPr>
                <w:rFonts w:ascii="宋体"/>
                <w:dstrike/>
                <w:color w:val="auto"/>
                <w:sz w:val="24"/>
                <w:highlight w:val="none"/>
              </w:rPr>
            </w:pPr>
          </w:p>
        </w:tc>
        <w:tc>
          <w:tcPr>
            <w:tcW w:w="1337" w:type="dxa"/>
            <w:vAlign w:val="center"/>
          </w:tcPr>
          <w:p>
            <w:pPr>
              <w:spacing w:line="360" w:lineRule="auto"/>
              <w:rPr>
                <w:rFonts w:ascii="宋体"/>
                <w:dstrike/>
                <w:color w:val="auto"/>
                <w:sz w:val="24"/>
                <w:highlight w:val="none"/>
              </w:rPr>
            </w:pPr>
          </w:p>
        </w:tc>
        <w:tc>
          <w:tcPr>
            <w:tcW w:w="827" w:type="dxa"/>
            <w:vAlign w:val="center"/>
          </w:tcPr>
          <w:p>
            <w:pPr>
              <w:spacing w:line="360" w:lineRule="auto"/>
              <w:rPr>
                <w:rFonts w:ascii="宋体"/>
                <w:dstrike/>
                <w:color w:val="auto"/>
                <w:sz w:val="24"/>
                <w:highlight w:val="none"/>
              </w:rPr>
            </w:pPr>
          </w:p>
        </w:tc>
        <w:tc>
          <w:tcPr>
            <w:tcW w:w="1318" w:type="dxa"/>
            <w:vAlign w:val="center"/>
          </w:tcPr>
          <w:p>
            <w:pPr>
              <w:spacing w:line="360" w:lineRule="auto"/>
              <w:rPr>
                <w:rFonts w:ascii="宋体"/>
                <w:dstrike/>
                <w:color w:val="auto"/>
                <w:sz w:val="24"/>
                <w:highlight w:val="none"/>
              </w:rPr>
            </w:pPr>
          </w:p>
        </w:tc>
        <w:tc>
          <w:tcPr>
            <w:tcW w:w="1419" w:type="dxa"/>
            <w:vAlign w:val="center"/>
          </w:tcPr>
          <w:p>
            <w:pPr>
              <w:spacing w:line="360" w:lineRule="auto"/>
              <w:rPr>
                <w:rFonts w:ascii="宋体"/>
                <w:dstrike/>
                <w:color w:val="auto"/>
                <w:sz w:val="24"/>
                <w:highlight w:val="none"/>
              </w:rPr>
            </w:pPr>
          </w:p>
        </w:tc>
        <w:tc>
          <w:tcPr>
            <w:tcW w:w="1737" w:type="dxa"/>
            <w:vAlign w:val="center"/>
          </w:tcPr>
          <w:p>
            <w:pPr>
              <w:spacing w:line="360" w:lineRule="auto"/>
              <w:rPr>
                <w:rFonts w:ascii="宋体"/>
                <w:dstrike/>
                <w:color w:val="auto"/>
                <w:sz w:val="24"/>
                <w:highlight w:val="none"/>
              </w:rPr>
            </w:pPr>
          </w:p>
        </w:tc>
        <w:tc>
          <w:tcPr>
            <w:tcW w:w="927"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771" w:type="dxa"/>
            <w:vAlign w:val="center"/>
          </w:tcPr>
          <w:p>
            <w:pPr>
              <w:spacing w:line="360" w:lineRule="auto"/>
              <w:rPr>
                <w:rFonts w:ascii="宋体"/>
                <w:dstrike/>
                <w:color w:val="auto"/>
                <w:sz w:val="24"/>
                <w:highlight w:val="none"/>
              </w:rPr>
            </w:pPr>
          </w:p>
        </w:tc>
        <w:tc>
          <w:tcPr>
            <w:tcW w:w="1337" w:type="dxa"/>
            <w:vAlign w:val="center"/>
          </w:tcPr>
          <w:p>
            <w:pPr>
              <w:spacing w:line="360" w:lineRule="auto"/>
              <w:rPr>
                <w:rFonts w:ascii="宋体"/>
                <w:dstrike/>
                <w:color w:val="auto"/>
                <w:sz w:val="24"/>
                <w:highlight w:val="none"/>
              </w:rPr>
            </w:pPr>
          </w:p>
        </w:tc>
        <w:tc>
          <w:tcPr>
            <w:tcW w:w="827" w:type="dxa"/>
            <w:vAlign w:val="center"/>
          </w:tcPr>
          <w:p>
            <w:pPr>
              <w:spacing w:line="360" w:lineRule="auto"/>
              <w:rPr>
                <w:rFonts w:ascii="宋体"/>
                <w:dstrike/>
                <w:color w:val="auto"/>
                <w:sz w:val="24"/>
                <w:highlight w:val="none"/>
              </w:rPr>
            </w:pPr>
          </w:p>
        </w:tc>
        <w:tc>
          <w:tcPr>
            <w:tcW w:w="1318" w:type="dxa"/>
            <w:vAlign w:val="center"/>
          </w:tcPr>
          <w:p>
            <w:pPr>
              <w:spacing w:line="360" w:lineRule="auto"/>
              <w:rPr>
                <w:rFonts w:ascii="宋体"/>
                <w:dstrike/>
                <w:color w:val="auto"/>
                <w:sz w:val="24"/>
                <w:highlight w:val="none"/>
              </w:rPr>
            </w:pPr>
          </w:p>
        </w:tc>
        <w:tc>
          <w:tcPr>
            <w:tcW w:w="1419" w:type="dxa"/>
            <w:vAlign w:val="center"/>
          </w:tcPr>
          <w:p>
            <w:pPr>
              <w:spacing w:line="360" w:lineRule="auto"/>
              <w:rPr>
                <w:rFonts w:ascii="宋体"/>
                <w:dstrike/>
                <w:color w:val="auto"/>
                <w:sz w:val="24"/>
                <w:highlight w:val="none"/>
              </w:rPr>
            </w:pPr>
          </w:p>
        </w:tc>
        <w:tc>
          <w:tcPr>
            <w:tcW w:w="1737" w:type="dxa"/>
            <w:vAlign w:val="center"/>
          </w:tcPr>
          <w:p>
            <w:pPr>
              <w:spacing w:line="360" w:lineRule="auto"/>
              <w:rPr>
                <w:rFonts w:ascii="宋体"/>
                <w:dstrike/>
                <w:color w:val="auto"/>
                <w:sz w:val="24"/>
                <w:highlight w:val="none"/>
              </w:rPr>
            </w:pPr>
          </w:p>
        </w:tc>
        <w:tc>
          <w:tcPr>
            <w:tcW w:w="927" w:type="dxa"/>
            <w:vAlign w:val="center"/>
          </w:tcPr>
          <w:p>
            <w:pPr>
              <w:spacing w:line="360" w:lineRule="auto"/>
              <w:rPr>
                <w:rFonts w:ascii="宋体"/>
                <w:dstrike/>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771" w:type="dxa"/>
            <w:vAlign w:val="center"/>
          </w:tcPr>
          <w:p>
            <w:pPr>
              <w:spacing w:line="360" w:lineRule="auto"/>
              <w:rPr>
                <w:rFonts w:ascii="宋体"/>
                <w:dstrike/>
                <w:color w:val="auto"/>
                <w:sz w:val="24"/>
                <w:highlight w:val="none"/>
              </w:rPr>
            </w:pPr>
          </w:p>
        </w:tc>
        <w:tc>
          <w:tcPr>
            <w:tcW w:w="1337" w:type="dxa"/>
            <w:vAlign w:val="center"/>
          </w:tcPr>
          <w:p>
            <w:pPr>
              <w:spacing w:line="360" w:lineRule="auto"/>
              <w:rPr>
                <w:rFonts w:ascii="宋体"/>
                <w:dstrike/>
                <w:color w:val="auto"/>
                <w:sz w:val="24"/>
                <w:highlight w:val="none"/>
              </w:rPr>
            </w:pPr>
          </w:p>
        </w:tc>
        <w:tc>
          <w:tcPr>
            <w:tcW w:w="827" w:type="dxa"/>
            <w:vAlign w:val="center"/>
          </w:tcPr>
          <w:p>
            <w:pPr>
              <w:spacing w:line="360" w:lineRule="auto"/>
              <w:rPr>
                <w:rFonts w:ascii="宋体"/>
                <w:dstrike/>
                <w:color w:val="auto"/>
                <w:sz w:val="24"/>
                <w:highlight w:val="none"/>
              </w:rPr>
            </w:pPr>
          </w:p>
        </w:tc>
        <w:tc>
          <w:tcPr>
            <w:tcW w:w="1318" w:type="dxa"/>
            <w:vAlign w:val="center"/>
          </w:tcPr>
          <w:p>
            <w:pPr>
              <w:spacing w:line="360" w:lineRule="auto"/>
              <w:rPr>
                <w:rFonts w:ascii="宋体"/>
                <w:dstrike/>
                <w:color w:val="auto"/>
                <w:sz w:val="24"/>
                <w:highlight w:val="none"/>
              </w:rPr>
            </w:pPr>
          </w:p>
        </w:tc>
        <w:tc>
          <w:tcPr>
            <w:tcW w:w="1419" w:type="dxa"/>
            <w:vAlign w:val="center"/>
          </w:tcPr>
          <w:p>
            <w:pPr>
              <w:spacing w:line="360" w:lineRule="auto"/>
              <w:rPr>
                <w:rFonts w:ascii="宋体"/>
                <w:dstrike/>
                <w:color w:val="auto"/>
                <w:sz w:val="24"/>
                <w:highlight w:val="none"/>
              </w:rPr>
            </w:pPr>
          </w:p>
        </w:tc>
        <w:tc>
          <w:tcPr>
            <w:tcW w:w="1737" w:type="dxa"/>
            <w:vAlign w:val="center"/>
          </w:tcPr>
          <w:p>
            <w:pPr>
              <w:spacing w:line="360" w:lineRule="auto"/>
              <w:rPr>
                <w:rFonts w:ascii="宋体"/>
                <w:dstrike/>
                <w:color w:val="auto"/>
                <w:sz w:val="24"/>
                <w:highlight w:val="none"/>
              </w:rPr>
            </w:pPr>
          </w:p>
        </w:tc>
        <w:tc>
          <w:tcPr>
            <w:tcW w:w="927" w:type="dxa"/>
            <w:vAlign w:val="center"/>
          </w:tcPr>
          <w:p>
            <w:pPr>
              <w:spacing w:line="360" w:lineRule="auto"/>
              <w:rPr>
                <w:rFonts w:ascii="宋体"/>
                <w:dstrike/>
                <w:color w:val="auto"/>
                <w:sz w:val="24"/>
                <w:highlight w:val="none"/>
              </w:rPr>
            </w:pPr>
          </w:p>
        </w:tc>
      </w:tr>
    </w:tbl>
    <w:p>
      <w:pPr>
        <w:widowControl/>
        <w:jc w:val="left"/>
        <w:rPr>
          <w:rFonts w:ascii="宋体" w:hAnsi="宋体" w:cs="宋体"/>
          <w:b/>
          <w:bCs/>
          <w:color w:val="auto"/>
          <w:sz w:val="28"/>
          <w:szCs w:val="28"/>
          <w:highlight w:val="none"/>
        </w:rPr>
      </w:pPr>
    </w:p>
    <w:p>
      <w:pPr>
        <w:spacing w:line="360" w:lineRule="auto"/>
        <w:ind w:right="-21" w:rightChars="-10"/>
        <w:rPr>
          <w:rFonts w:ascii="仿宋_GB2312" w:cs="宋体"/>
          <w:b/>
          <w:color w:val="auto"/>
          <w:kern w:val="0"/>
          <w:szCs w:val="22"/>
          <w:highlight w:val="none"/>
        </w:rPr>
      </w:pPr>
      <w:r>
        <w:rPr>
          <w:rFonts w:hint="eastAsia" w:ascii="仿宋_GB2312" w:cs="宋体"/>
          <w:b/>
          <w:color w:val="auto"/>
          <w:kern w:val="0"/>
          <w:sz w:val="22"/>
          <w:szCs w:val="22"/>
          <w:highlight w:val="none"/>
        </w:rPr>
        <w:t>供应商全称（公章）：</w:t>
      </w:r>
    </w:p>
    <w:p>
      <w:pPr>
        <w:spacing w:line="360" w:lineRule="auto"/>
        <w:ind w:right="-21" w:rightChars="-10"/>
        <w:rPr>
          <w:rFonts w:ascii="仿宋_GB2312" w:cs="宋体"/>
          <w:b/>
          <w:color w:val="auto"/>
          <w:kern w:val="0"/>
          <w:szCs w:val="22"/>
          <w:highlight w:val="none"/>
        </w:rPr>
      </w:pPr>
      <w:r>
        <w:rPr>
          <w:rFonts w:hint="eastAsia" w:ascii="仿宋_GB2312" w:cs="宋体"/>
          <w:b/>
          <w:color w:val="auto"/>
          <w:kern w:val="0"/>
          <w:sz w:val="22"/>
          <w:szCs w:val="22"/>
          <w:highlight w:val="none"/>
        </w:rPr>
        <w:t>法定代表人或授权代表（签字或签章）：</w:t>
      </w:r>
    </w:p>
    <w:p>
      <w:pPr>
        <w:rPr>
          <w:rFonts w:ascii="仿宋_GB2312" w:cs="宋体"/>
          <w:b/>
          <w:color w:val="auto"/>
          <w:kern w:val="0"/>
          <w:szCs w:val="22"/>
          <w:highlight w:val="none"/>
        </w:rPr>
      </w:pPr>
      <w:r>
        <w:rPr>
          <w:rFonts w:hint="eastAsia" w:ascii="仿宋_GB2312" w:cs="宋体"/>
          <w:b/>
          <w:color w:val="auto"/>
          <w:kern w:val="0"/>
          <w:sz w:val="22"/>
          <w:szCs w:val="22"/>
          <w:highlight w:val="none"/>
        </w:rPr>
        <w:t>日期：</w:t>
      </w:r>
    </w:p>
    <w:p>
      <w:pPr>
        <w:rPr>
          <w:b/>
          <w:color w:val="auto"/>
          <w:sz w:val="32"/>
          <w:szCs w:val="22"/>
          <w:highlight w:val="none"/>
        </w:rPr>
      </w:pPr>
    </w:p>
    <w:p>
      <w:pPr>
        <w:rPr>
          <w:b/>
          <w:color w:val="auto"/>
          <w:sz w:val="32"/>
          <w:szCs w:val="22"/>
          <w:highlight w:val="none"/>
        </w:rPr>
      </w:pPr>
    </w:p>
    <w:p>
      <w:pPr>
        <w:rPr>
          <w:b/>
          <w:color w:val="auto"/>
          <w:sz w:val="32"/>
          <w:szCs w:val="22"/>
          <w:highlight w:val="none"/>
        </w:rPr>
      </w:pPr>
    </w:p>
    <w:p>
      <w:pPr>
        <w:rPr>
          <w:b/>
          <w:color w:val="auto"/>
          <w:sz w:val="32"/>
          <w:szCs w:val="22"/>
          <w:highlight w:val="none"/>
        </w:rPr>
      </w:pPr>
    </w:p>
    <w:p>
      <w:pPr>
        <w:rPr>
          <w:b/>
          <w:color w:val="auto"/>
          <w:sz w:val="32"/>
          <w:szCs w:val="22"/>
          <w:highlight w:val="none"/>
        </w:rPr>
      </w:pPr>
    </w:p>
    <w:p>
      <w:pPr>
        <w:rPr>
          <w:b/>
          <w:color w:val="auto"/>
          <w:sz w:val="32"/>
          <w:szCs w:val="22"/>
          <w:highlight w:val="none"/>
        </w:rPr>
      </w:pPr>
    </w:p>
    <w:p>
      <w:pPr>
        <w:rPr>
          <w:b/>
          <w:color w:val="auto"/>
          <w:sz w:val="32"/>
          <w:szCs w:val="22"/>
          <w:highlight w:val="none"/>
        </w:rPr>
      </w:pPr>
    </w:p>
    <w:p>
      <w:pPr>
        <w:pStyle w:val="2"/>
        <w:ind w:firstLine="321"/>
        <w:rPr>
          <w:b/>
          <w:color w:val="auto"/>
          <w:kern w:val="2"/>
          <w:sz w:val="32"/>
          <w:szCs w:val="22"/>
          <w:highlight w:val="none"/>
        </w:rPr>
      </w:pPr>
    </w:p>
    <w:p>
      <w:pPr>
        <w:pStyle w:val="4"/>
        <w:rPr>
          <w:b/>
          <w:color w:val="auto"/>
          <w:sz w:val="32"/>
          <w:szCs w:val="22"/>
          <w:highlight w:val="none"/>
        </w:rPr>
      </w:pPr>
    </w:p>
    <w:p>
      <w:pPr>
        <w:rPr>
          <w:b/>
          <w:color w:val="auto"/>
          <w:sz w:val="32"/>
          <w:szCs w:val="22"/>
          <w:highlight w:val="none"/>
        </w:rPr>
      </w:pPr>
    </w:p>
    <w:p>
      <w:pPr>
        <w:pStyle w:val="2"/>
        <w:ind w:firstLine="321"/>
        <w:rPr>
          <w:b/>
          <w:color w:val="auto"/>
          <w:kern w:val="2"/>
          <w:sz w:val="32"/>
          <w:szCs w:val="22"/>
          <w:highlight w:val="none"/>
        </w:rPr>
      </w:pPr>
    </w:p>
    <w:p>
      <w:pPr>
        <w:pStyle w:val="4"/>
        <w:rPr>
          <w:b/>
          <w:color w:val="auto"/>
          <w:sz w:val="32"/>
          <w:szCs w:val="22"/>
          <w:highlight w:val="none"/>
        </w:rPr>
      </w:pPr>
    </w:p>
    <w:p>
      <w:pPr>
        <w:rPr>
          <w:b/>
          <w:color w:val="auto"/>
          <w:sz w:val="32"/>
          <w:szCs w:val="22"/>
          <w:highlight w:val="none"/>
        </w:rPr>
      </w:pPr>
    </w:p>
    <w:p>
      <w:pPr>
        <w:pStyle w:val="2"/>
        <w:ind w:firstLine="321"/>
        <w:rPr>
          <w:b/>
          <w:color w:val="auto"/>
          <w:kern w:val="2"/>
          <w:sz w:val="32"/>
          <w:szCs w:val="22"/>
          <w:highlight w:val="none"/>
        </w:rPr>
      </w:pPr>
    </w:p>
    <w:p>
      <w:pPr>
        <w:pStyle w:val="4"/>
        <w:rPr>
          <w:b/>
          <w:color w:val="auto"/>
          <w:sz w:val="32"/>
          <w:szCs w:val="22"/>
          <w:highlight w:val="none"/>
        </w:rPr>
      </w:pPr>
    </w:p>
    <w:p>
      <w:pPr>
        <w:rPr>
          <w:b/>
          <w:color w:val="auto"/>
          <w:sz w:val="32"/>
          <w:szCs w:val="22"/>
          <w:highlight w:val="none"/>
        </w:rPr>
      </w:pPr>
    </w:p>
    <w:p>
      <w:pPr>
        <w:pStyle w:val="2"/>
        <w:ind w:firstLine="321"/>
        <w:rPr>
          <w:b/>
          <w:color w:val="auto"/>
          <w:kern w:val="2"/>
          <w:sz w:val="32"/>
          <w:szCs w:val="22"/>
          <w:highlight w:val="none"/>
        </w:rPr>
      </w:pPr>
    </w:p>
    <w:p>
      <w:pPr>
        <w:pStyle w:val="4"/>
        <w:rPr>
          <w:color w:val="auto"/>
          <w:highlight w:val="none"/>
        </w:rPr>
      </w:pPr>
    </w:p>
    <w:p>
      <w:pPr>
        <w:rPr>
          <w:b/>
          <w:color w:val="auto"/>
          <w:sz w:val="32"/>
          <w:szCs w:val="22"/>
          <w:highlight w:val="none"/>
        </w:rPr>
      </w:pPr>
    </w:p>
    <w:p>
      <w:pPr>
        <w:rPr>
          <w:b/>
          <w:color w:val="auto"/>
          <w:sz w:val="32"/>
          <w:szCs w:val="22"/>
          <w:highlight w:val="none"/>
          <w:lang w:val="zh-CN"/>
        </w:rPr>
      </w:pPr>
      <w:r>
        <w:rPr>
          <w:b/>
          <w:color w:val="auto"/>
          <w:sz w:val="32"/>
          <w:szCs w:val="22"/>
          <w:highlight w:val="none"/>
        </w:rPr>
        <w:t>2.1</w:t>
      </w:r>
      <w:r>
        <w:rPr>
          <w:rFonts w:hint="eastAsia"/>
          <w:b/>
          <w:color w:val="auto"/>
          <w:sz w:val="32"/>
          <w:szCs w:val="22"/>
          <w:highlight w:val="none"/>
        </w:rPr>
        <w:t>6</w:t>
      </w:r>
      <w:r>
        <w:rPr>
          <w:rFonts w:hint="eastAsia"/>
          <w:b/>
          <w:color w:val="auto"/>
          <w:sz w:val="32"/>
          <w:szCs w:val="22"/>
          <w:highlight w:val="none"/>
          <w:lang w:val="zh-CN"/>
        </w:rPr>
        <w:t>供应商认为有必要提供的其他材料或说明（如有）</w:t>
      </w:r>
    </w:p>
    <w:p>
      <w:pPr>
        <w:keepNext/>
        <w:keepLines/>
        <w:spacing w:before="120" w:after="120" w:line="360" w:lineRule="auto"/>
        <w:outlineLvl w:val="3"/>
        <w:rPr>
          <w:rFonts w:ascii="Arial" w:hAnsi="Arial" w:eastAsia="黑体"/>
          <w:b/>
          <w:color w:val="auto"/>
          <w:sz w:val="24"/>
          <w:szCs w:val="22"/>
          <w:highlight w:val="none"/>
        </w:rPr>
      </w:pPr>
    </w:p>
    <w:p>
      <w:pPr>
        <w:spacing w:line="360" w:lineRule="auto"/>
        <w:jc w:val="center"/>
        <w:rPr>
          <w:rFonts w:ascii="华文中宋" w:hAnsi="华文中宋" w:eastAsia="华文中宋"/>
          <w:b/>
          <w:color w:val="auto"/>
          <w:sz w:val="40"/>
          <w:szCs w:val="22"/>
          <w:highlight w:val="none"/>
        </w:rPr>
      </w:pPr>
      <w:r>
        <w:rPr>
          <w:rFonts w:hint="eastAsia" w:ascii="华文中宋" w:hAnsi="华文中宋" w:eastAsia="华文中宋"/>
          <w:b/>
          <w:color w:val="auto"/>
          <w:sz w:val="40"/>
          <w:szCs w:val="22"/>
          <w:highlight w:val="none"/>
        </w:rPr>
        <w:t>供应商认为有必要提供的其他材料或说明</w:t>
      </w:r>
    </w:p>
    <w:p>
      <w:pPr>
        <w:spacing w:line="360" w:lineRule="auto"/>
        <w:rPr>
          <w:rFonts w:ascii="仿宋" w:hAnsi="仿宋" w:eastAsia="仿宋" w:cs="Arial"/>
          <w:b/>
          <w:color w:val="auto"/>
          <w:szCs w:val="22"/>
          <w:highlight w:val="none"/>
          <w:u w:val="single"/>
        </w:rPr>
      </w:pPr>
      <w:r>
        <w:rPr>
          <w:rFonts w:hint="eastAsia" w:ascii="仿宋" w:hAnsi="仿宋" w:eastAsia="仿宋" w:cs="Arial"/>
          <w:b/>
          <w:color w:val="auto"/>
          <w:szCs w:val="22"/>
          <w:highlight w:val="none"/>
        </w:rPr>
        <w:t>项目</w:t>
      </w:r>
      <w:r>
        <w:rPr>
          <w:rFonts w:ascii="仿宋" w:hAnsi="仿宋" w:eastAsia="仿宋" w:cs="Arial"/>
          <w:b/>
          <w:color w:val="auto"/>
          <w:szCs w:val="22"/>
          <w:highlight w:val="none"/>
        </w:rPr>
        <w:t>名称：</w:t>
      </w:r>
      <w:r>
        <w:rPr>
          <w:rFonts w:hint="eastAsia" w:ascii="仿宋" w:hAnsi="仿宋" w:eastAsia="仿宋" w:cs="Arial"/>
          <w:b/>
          <w:color w:val="auto"/>
          <w:szCs w:val="22"/>
          <w:highlight w:val="none"/>
          <w:u w:val="single"/>
        </w:rPr>
        <w:t>苍南县人民医院布品租赁及洗涤服务项目</w:t>
      </w:r>
    </w:p>
    <w:p>
      <w:pPr>
        <w:spacing w:line="360" w:lineRule="auto"/>
        <w:rPr>
          <w:rFonts w:ascii="仿宋" w:hAnsi="仿宋" w:eastAsia="仿宋" w:cs="Arial"/>
          <w:b/>
          <w:color w:val="auto"/>
          <w:szCs w:val="22"/>
          <w:highlight w:val="none"/>
          <w:u w:val="single"/>
        </w:rPr>
      </w:pPr>
      <w:r>
        <w:rPr>
          <w:rFonts w:ascii="仿宋" w:hAnsi="仿宋" w:eastAsia="仿宋" w:cs="Arial"/>
          <w:b/>
          <w:color w:val="auto"/>
          <w:szCs w:val="22"/>
          <w:highlight w:val="none"/>
        </w:rPr>
        <w:t>项目编号：</w:t>
      </w:r>
      <w:r>
        <w:rPr>
          <w:rFonts w:hint="eastAsia" w:ascii="仿宋" w:hAnsi="仿宋" w:eastAsia="仿宋" w:cs="Arial"/>
          <w:b/>
          <w:color w:val="auto"/>
          <w:szCs w:val="22"/>
          <w:highlight w:val="none"/>
          <w:u w:val="single"/>
        </w:rPr>
        <w:t xml:space="preserve">      </w:t>
      </w:r>
    </w:p>
    <w:tbl>
      <w:tblPr>
        <w:tblStyle w:val="38"/>
        <w:tblW w:w="0" w:type="auto"/>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632" w:hRule="atLeast"/>
        </w:trPr>
        <w:tc>
          <w:tcPr>
            <w:tcW w:w="9145" w:type="dxa"/>
          </w:tcPr>
          <w:p>
            <w:pPr>
              <w:spacing w:line="360" w:lineRule="auto"/>
              <w:rPr>
                <w:rFonts w:ascii="Arial" w:hAnsi="新宋体" w:eastAsia="新宋体" w:cs="Arial"/>
                <w:color w:val="auto"/>
                <w:szCs w:val="21"/>
                <w:highlight w:val="none"/>
              </w:rPr>
            </w:pPr>
          </w:p>
        </w:tc>
      </w:tr>
    </w:tbl>
    <w:p>
      <w:pPr>
        <w:snapToGrid w:val="0"/>
        <w:spacing w:line="360" w:lineRule="auto"/>
        <w:rPr>
          <w:rFonts w:ascii="仿宋" w:hAnsi="仿宋" w:eastAsia="仿宋" w:cs="Arial"/>
          <w:color w:val="auto"/>
          <w:szCs w:val="22"/>
          <w:highlight w:val="none"/>
        </w:rPr>
      </w:pPr>
      <w:r>
        <w:rPr>
          <w:rFonts w:hint="eastAsia" w:ascii="仿宋" w:hAnsi="仿宋" w:eastAsia="仿宋" w:cs="Arial"/>
          <w:color w:val="auto"/>
          <w:szCs w:val="22"/>
          <w:highlight w:val="none"/>
        </w:rPr>
        <w:t>供应商名称（盖章）：</w:t>
      </w:r>
      <w:r>
        <w:rPr>
          <w:rFonts w:ascii="仿宋" w:hAnsi="仿宋" w:eastAsia="仿宋" w:cs="Arial"/>
          <w:color w:val="auto"/>
          <w:szCs w:val="22"/>
          <w:highlight w:val="none"/>
        </w:rPr>
        <w:t>____________________________________________</w:t>
      </w:r>
    </w:p>
    <w:p>
      <w:pPr>
        <w:snapToGrid w:val="0"/>
        <w:spacing w:line="360" w:lineRule="auto"/>
        <w:rPr>
          <w:rFonts w:ascii="仿宋" w:hAnsi="仿宋" w:eastAsia="仿宋" w:cs="Arial"/>
          <w:color w:val="auto"/>
          <w:szCs w:val="22"/>
          <w:highlight w:val="none"/>
          <w:u w:val="single"/>
        </w:rPr>
      </w:pPr>
      <w:r>
        <w:rPr>
          <w:rFonts w:hint="eastAsia" w:ascii="仿宋" w:hAnsi="仿宋" w:eastAsia="仿宋" w:cs="Arial"/>
          <w:color w:val="auto"/>
          <w:szCs w:val="22"/>
          <w:highlight w:val="none"/>
        </w:rPr>
        <w:t>法定代表人或其授权代表（签字或盖章）：</w:t>
      </w:r>
      <w:r>
        <w:rPr>
          <w:rFonts w:ascii="仿宋" w:hAnsi="仿宋" w:eastAsia="仿宋" w:cs="Arial"/>
          <w:color w:val="auto"/>
          <w:szCs w:val="22"/>
          <w:highlight w:val="none"/>
        </w:rPr>
        <w:t>____________________________</w:t>
      </w:r>
    </w:p>
    <w:p>
      <w:pPr>
        <w:spacing w:line="360" w:lineRule="auto"/>
        <w:rPr>
          <w:rFonts w:ascii="Arial" w:hAnsi="Arial" w:eastAsia="新宋体" w:cs="Arial"/>
          <w:color w:val="auto"/>
          <w:szCs w:val="21"/>
          <w:highlight w:val="none"/>
          <w:u w:val="single"/>
        </w:rPr>
      </w:pPr>
      <w:r>
        <w:rPr>
          <w:rFonts w:hint="eastAsia" w:ascii="仿宋" w:hAnsi="仿宋" w:eastAsia="仿宋" w:cs="Arial"/>
          <w:color w:val="auto"/>
          <w:szCs w:val="22"/>
          <w:highlight w:val="none"/>
        </w:rPr>
        <w:t>日期：</w:t>
      </w:r>
      <w:r>
        <w:rPr>
          <w:rFonts w:ascii="仿宋" w:hAnsi="仿宋" w:eastAsia="仿宋" w:cs="Arial"/>
          <w:color w:val="auto"/>
          <w:szCs w:val="22"/>
          <w:highlight w:val="none"/>
        </w:rPr>
        <w:t>________</w:t>
      </w:r>
      <w:r>
        <w:rPr>
          <w:rFonts w:hint="eastAsia" w:ascii="仿宋" w:hAnsi="仿宋" w:eastAsia="仿宋" w:cs="Arial"/>
          <w:color w:val="auto"/>
          <w:szCs w:val="22"/>
          <w:highlight w:val="none"/>
        </w:rPr>
        <w:t>年</w:t>
      </w:r>
      <w:r>
        <w:rPr>
          <w:rFonts w:ascii="仿宋" w:hAnsi="仿宋" w:eastAsia="仿宋" w:cs="Arial"/>
          <w:color w:val="auto"/>
          <w:szCs w:val="22"/>
          <w:highlight w:val="none"/>
        </w:rPr>
        <w:t>____</w:t>
      </w:r>
      <w:r>
        <w:rPr>
          <w:rFonts w:hint="eastAsia" w:ascii="仿宋" w:hAnsi="仿宋" w:eastAsia="仿宋" w:cs="Arial"/>
          <w:color w:val="auto"/>
          <w:szCs w:val="22"/>
          <w:highlight w:val="none"/>
        </w:rPr>
        <w:t>月</w:t>
      </w:r>
      <w:r>
        <w:rPr>
          <w:rFonts w:ascii="仿宋" w:hAnsi="仿宋" w:eastAsia="仿宋" w:cs="Arial"/>
          <w:color w:val="auto"/>
          <w:szCs w:val="22"/>
          <w:highlight w:val="none"/>
        </w:rPr>
        <w:t>____</w:t>
      </w:r>
      <w:r>
        <w:rPr>
          <w:rFonts w:hint="eastAsia" w:ascii="仿宋" w:hAnsi="仿宋" w:eastAsia="仿宋" w:cs="Arial"/>
          <w:color w:val="auto"/>
          <w:szCs w:val="22"/>
          <w:highlight w:val="none"/>
        </w:rPr>
        <w:t>日</w:t>
      </w:r>
    </w:p>
    <w:p>
      <w:pPr>
        <w:tabs>
          <w:tab w:val="left" w:pos="1575"/>
        </w:tabs>
        <w:adjustRightInd w:val="0"/>
        <w:snapToGrid w:val="0"/>
        <w:spacing w:line="360" w:lineRule="auto"/>
        <w:jc w:val="center"/>
        <w:rPr>
          <w:rFonts w:eastAsia="新宋体"/>
          <w:b/>
          <w:color w:val="auto"/>
          <w:sz w:val="36"/>
          <w:szCs w:val="36"/>
          <w:highlight w:val="none"/>
        </w:rPr>
      </w:pPr>
    </w:p>
    <w:p>
      <w:pPr>
        <w:spacing w:line="360" w:lineRule="auto"/>
        <w:jc w:val="center"/>
        <w:rPr>
          <w:rFonts w:ascii="新宋体" w:hAnsi="新宋体" w:eastAsia="新宋体"/>
          <w:b/>
          <w:color w:val="auto"/>
          <w:sz w:val="28"/>
          <w:szCs w:val="28"/>
          <w:highlight w:val="none"/>
        </w:rPr>
      </w:pPr>
    </w:p>
    <w:p>
      <w:pPr>
        <w:spacing w:line="360" w:lineRule="auto"/>
        <w:jc w:val="center"/>
        <w:rPr>
          <w:rFonts w:ascii="新宋体" w:hAnsi="新宋体" w:eastAsia="新宋体"/>
          <w:b/>
          <w:color w:val="auto"/>
          <w:sz w:val="28"/>
          <w:szCs w:val="28"/>
          <w:highlight w:val="none"/>
        </w:rPr>
      </w:pPr>
      <w:r>
        <w:rPr>
          <w:rFonts w:hint="eastAsia" w:ascii="新宋体" w:hAnsi="新宋体" w:eastAsia="新宋体"/>
          <w:b/>
          <w:color w:val="auto"/>
          <w:sz w:val="28"/>
          <w:szCs w:val="28"/>
          <w:highlight w:val="none"/>
        </w:rPr>
        <w:t>诚信投标承诺书</w:t>
      </w:r>
    </w:p>
    <w:p>
      <w:pPr>
        <w:spacing w:line="520" w:lineRule="exact"/>
        <w:ind w:right="-153" w:rightChars="-73"/>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本企业郑重承诺：</w:t>
      </w:r>
    </w:p>
    <w:p>
      <w:pPr>
        <w:spacing w:line="500" w:lineRule="exact"/>
        <w:ind w:firstLine="440" w:firstLineChars="200"/>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为了积极配合采购人组织的</w:t>
      </w:r>
      <w:r>
        <w:rPr>
          <w:rFonts w:hint="eastAsia" w:ascii="新宋体" w:hAnsi="新宋体" w:eastAsia="新宋体"/>
          <w:color w:val="auto"/>
          <w:sz w:val="22"/>
          <w:szCs w:val="22"/>
          <w:highlight w:val="none"/>
          <w:u w:val="single"/>
        </w:rPr>
        <w:t xml:space="preserve"> （项目名称） </w:t>
      </w:r>
      <w:r>
        <w:rPr>
          <w:rFonts w:hint="eastAsia" w:ascii="新宋体" w:hAnsi="新宋体" w:eastAsia="新宋体"/>
          <w:color w:val="auto"/>
          <w:sz w:val="22"/>
          <w:szCs w:val="22"/>
          <w:highlight w:val="none"/>
        </w:rPr>
        <w:t>招标工作，有效遏制不公平竞争和违规违纪问题的发生，确保招标工作的公平、公正、公开，我们保证认真贯彻</w:t>
      </w:r>
      <w:r>
        <w:rPr>
          <w:rFonts w:hint="eastAsia" w:ascii="新宋体" w:hAnsi="新宋体" w:eastAsia="新宋体" w:cs="Century Gothic"/>
          <w:color w:val="auto"/>
          <w:sz w:val="22"/>
          <w:szCs w:val="22"/>
          <w:highlight w:val="none"/>
        </w:rPr>
        <w:t>《中华人民共和国政府采购法》、《政府采购货物和服务招标投标管理办法》和《关于进一步规范政府采购活动的若干意见》等法律及有关法规</w:t>
      </w:r>
      <w:r>
        <w:rPr>
          <w:rFonts w:hint="eastAsia" w:ascii="新宋体" w:hAnsi="新宋体" w:eastAsia="新宋体"/>
          <w:color w:val="auto"/>
          <w:sz w:val="22"/>
          <w:szCs w:val="22"/>
          <w:highlight w:val="none"/>
        </w:rPr>
        <w:t>相关规定以及有关廉洁要求，特承诺如下事项：</w:t>
      </w:r>
    </w:p>
    <w:p>
      <w:pPr>
        <w:snapToGrid w:val="0"/>
        <w:spacing w:line="500" w:lineRule="exact"/>
        <w:ind w:firstLine="385" w:firstLineChars="17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1、自觉遵守国家法律法规及有关廉政建设制度。</w:t>
      </w:r>
    </w:p>
    <w:p>
      <w:pPr>
        <w:snapToGrid w:val="0"/>
        <w:spacing w:line="500" w:lineRule="exact"/>
        <w:ind w:firstLine="385" w:firstLineChars="17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2、主动了解采购人招投标纪律，积极配合采购人执行招投标廉政建设的有关规定。</w:t>
      </w:r>
    </w:p>
    <w:p>
      <w:pPr>
        <w:snapToGrid w:val="0"/>
        <w:spacing w:line="500" w:lineRule="exact"/>
        <w:ind w:firstLine="385" w:firstLineChars="17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3、不使用不正当手段妨碍、排挤其它供应商或串通投标。</w:t>
      </w:r>
    </w:p>
    <w:p>
      <w:pPr>
        <w:snapToGrid w:val="0"/>
        <w:spacing w:line="500" w:lineRule="exact"/>
        <w:ind w:firstLine="385" w:firstLineChars="17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4、按照本招标文件规定的方式进行投标，不隐瞒本单位投标资质的真实情况，投标资质符合规定。</w:t>
      </w:r>
    </w:p>
    <w:p>
      <w:pPr>
        <w:snapToGrid w:val="0"/>
        <w:spacing w:line="500" w:lineRule="exact"/>
        <w:ind w:firstLine="385" w:firstLineChars="17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5、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snapToGrid w:val="0"/>
        <w:spacing w:line="500" w:lineRule="exact"/>
        <w:ind w:firstLine="385" w:firstLineChars="17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6、不向采购人及个人购置或提供通讯工具、交通工具和高档办公用品等。</w:t>
      </w:r>
    </w:p>
    <w:p>
      <w:pPr>
        <w:snapToGrid w:val="0"/>
        <w:spacing w:line="500" w:lineRule="exact"/>
        <w:ind w:firstLine="385" w:firstLineChars="17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7、不向采购人涉及招标的人员的配偶、子女分包此次招标项目。</w:t>
      </w:r>
    </w:p>
    <w:p>
      <w:pPr>
        <w:snapToGrid w:val="0"/>
        <w:spacing w:line="500" w:lineRule="exact"/>
        <w:ind w:firstLine="385" w:firstLineChars="17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8、不向采购人及个人支付好处费、介绍费。</w:t>
      </w:r>
    </w:p>
    <w:p>
      <w:pPr>
        <w:snapToGrid w:val="0"/>
        <w:spacing w:line="500" w:lineRule="exact"/>
        <w:ind w:firstLine="385" w:firstLineChars="17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9、一旦发现相关人员在招标过程中的索要财物等不廉洁行为，坚决予以抵制，并及时向有关纪检监察部门举报。</w:t>
      </w:r>
    </w:p>
    <w:p>
      <w:pPr>
        <w:snapToGrid w:val="0"/>
        <w:spacing w:line="500" w:lineRule="exact"/>
        <w:ind w:firstLine="385" w:firstLineChars="175"/>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10、我们若违反上述承诺，愿接受取消供应商中标资格及其他任何形式的处理。</w:t>
      </w:r>
    </w:p>
    <w:p>
      <w:pPr>
        <w:snapToGrid w:val="0"/>
        <w:spacing w:line="500" w:lineRule="exact"/>
        <w:ind w:firstLine="385" w:firstLineChars="175"/>
        <w:rPr>
          <w:rFonts w:ascii="新宋体" w:hAnsi="新宋体" w:eastAsia="新宋体"/>
          <w:color w:val="auto"/>
          <w:sz w:val="22"/>
          <w:szCs w:val="22"/>
          <w:highlight w:val="none"/>
        </w:rPr>
      </w:pPr>
    </w:p>
    <w:p>
      <w:pPr>
        <w:spacing w:line="440" w:lineRule="exact"/>
        <w:rPr>
          <w:rFonts w:ascii="新宋体" w:hAnsi="新宋体" w:eastAsia="新宋体"/>
          <w:color w:val="auto"/>
          <w:sz w:val="22"/>
          <w:szCs w:val="22"/>
          <w:highlight w:val="none"/>
        </w:rPr>
      </w:pPr>
      <w:r>
        <w:rPr>
          <w:rFonts w:hint="eastAsia" w:ascii="新宋体" w:hAnsi="新宋体" w:eastAsia="新宋体"/>
          <w:color w:val="auto"/>
          <w:sz w:val="22"/>
          <w:szCs w:val="22"/>
          <w:highlight w:val="none"/>
        </w:rPr>
        <w:t>供应商全称(盖章)</w:t>
      </w:r>
      <w:r>
        <w:rPr>
          <w:rFonts w:hint="eastAsia" w:ascii="新宋体" w:hAnsi="新宋体" w:eastAsia="新宋体"/>
          <w:color w:val="auto"/>
          <w:sz w:val="22"/>
          <w:szCs w:val="22"/>
          <w:highlight w:val="none"/>
          <w:u w:val="single"/>
        </w:rPr>
        <w:t xml:space="preserve">                    </w:t>
      </w:r>
    </w:p>
    <w:p>
      <w:pPr>
        <w:spacing w:line="440" w:lineRule="exact"/>
        <w:rPr>
          <w:rFonts w:ascii="新宋体" w:hAnsi="新宋体" w:eastAsia="新宋体"/>
          <w:color w:val="auto"/>
          <w:sz w:val="22"/>
          <w:szCs w:val="22"/>
          <w:highlight w:val="none"/>
          <w:u w:val="single"/>
        </w:rPr>
      </w:pPr>
      <w:r>
        <w:rPr>
          <w:rFonts w:hint="eastAsia" w:ascii="新宋体" w:hAnsi="新宋体" w:eastAsia="新宋体"/>
          <w:color w:val="auto"/>
          <w:sz w:val="22"/>
          <w:szCs w:val="22"/>
          <w:highlight w:val="none"/>
        </w:rPr>
        <w:t>法定代表人（负责人）或授权代表（签字或签章）</w:t>
      </w:r>
      <w:r>
        <w:rPr>
          <w:rFonts w:hint="eastAsia" w:ascii="新宋体" w:hAnsi="新宋体" w:eastAsia="新宋体"/>
          <w:color w:val="auto"/>
          <w:sz w:val="22"/>
          <w:szCs w:val="22"/>
          <w:highlight w:val="none"/>
          <w:u w:val="single"/>
        </w:rPr>
        <w:t xml:space="preserve">          </w:t>
      </w:r>
    </w:p>
    <w:p>
      <w:pPr>
        <w:spacing w:line="440" w:lineRule="exact"/>
        <w:rPr>
          <w:rFonts w:ascii="新宋体" w:hAnsi="新宋体" w:eastAsia="新宋体"/>
          <w:bCs/>
          <w:color w:val="auto"/>
          <w:sz w:val="22"/>
          <w:szCs w:val="22"/>
          <w:highlight w:val="none"/>
        </w:rPr>
      </w:pPr>
      <w:r>
        <w:rPr>
          <w:rFonts w:hint="eastAsia" w:ascii="新宋体" w:hAnsi="新宋体" w:eastAsia="新宋体"/>
          <w:color w:val="auto"/>
          <w:sz w:val="22"/>
          <w:szCs w:val="22"/>
          <w:highlight w:val="none"/>
        </w:rPr>
        <w:t>日 期</w:t>
      </w:r>
      <w:r>
        <w:rPr>
          <w:rFonts w:hint="eastAsia" w:ascii="新宋体" w:hAnsi="新宋体" w:eastAsia="新宋体"/>
          <w:color w:val="auto"/>
          <w:sz w:val="22"/>
          <w:szCs w:val="22"/>
          <w:highlight w:val="none"/>
          <w:u w:val="single"/>
        </w:rPr>
        <w:t xml:space="preserve">                               </w:t>
      </w:r>
    </w:p>
    <w:p>
      <w:pPr>
        <w:adjustRightInd w:val="0"/>
        <w:snapToGrid w:val="0"/>
        <w:spacing w:line="400" w:lineRule="exact"/>
        <w:jc w:val="center"/>
        <w:rPr>
          <w:rFonts w:ascii="宋体" w:hAnsi="宋体" w:eastAsia="新宋体"/>
          <w:b/>
          <w:color w:val="auto"/>
          <w:sz w:val="24"/>
          <w:szCs w:val="22"/>
          <w:highlight w:val="none"/>
        </w:rPr>
      </w:pPr>
    </w:p>
    <w:p>
      <w:pPr>
        <w:adjustRightInd w:val="0"/>
        <w:snapToGrid w:val="0"/>
        <w:spacing w:line="400" w:lineRule="exact"/>
        <w:jc w:val="center"/>
        <w:rPr>
          <w:rFonts w:ascii="宋体" w:hAnsi="宋体" w:eastAsia="新宋体"/>
          <w:b/>
          <w:color w:val="auto"/>
          <w:sz w:val="24"/>
          <w:szCs w:val="22"/>
          <w:highlight w:val="none"/>
        </w:rPr>
      </w:pPr>
    </w:p>
    <w:p>
      <w:pPr>
        <w:adjustRightInd w:val="0"/>
        <w:snapToGrid w:val="0"/>
        <w:spacing w:line="400" w:lineRule="exact"/>
        <w:jc w:val="center"/>
        <w:rPr>
          <w:rFonts w:ascii="宋体" w:hAnsi="宋体" w:eastAsia="新宋体"/>
          <w:b/>
          <w:color w:val="auto"/>
          <w:sz w:val="24"/>
          <w:szCs w:val="22"/>
          <w:highlight w:val="none"/>
        </w:rPr>
      </w:pPr>
    </w:p>
    <w:p>
      <w:pPr>
        <w:adjustRightInd w:val="0"/>
        <w:snapToGrid w:val="0"/>
        <w:spacing w:line="400" w:lineRule="exact"/>
        <w:jc w:val="center"/>
        <w:rPr>
          <w:rFonts w:ascii="宋体" w:hAnsi="宋体" w:eastAsia="新宋体"/>
          <w:b/>
          <w:color w:val="auto"/>
          <w:sz w:val="24"/>
          <w:szCs w:val="22"/>
          <w:highlight w:val="none"/>
        </w:rPr>
      </w:pPr>
    </w:p>
    <w:p>
      <w:pPr>
        <w:adjustRightInd w:val="0"/>
        <w:snapToGrid w:val="0"/>
        <w:spacing w:line="400" w:lineRule="exact"/>
        <w:jc w:val="center"/>
        <w:rPr>
          <w:rFonts w:ascii="宋体" w:hAnsi="宋体" w:eastAsia="新宋体"/>
          <w:b/>
          <w:color w:val="auto"/>
          <w:sz w:val="24"/>
          <w:szCs w:val="22"/>
          <w:highlight w:val="none"/>
        </w:rPr>
      </w:pPr>
    </w:p>
    <w:p>
      <w:pPr>
        <w:keepNext/>
        <w:keepLines/>
        <w:widowControl/>
        <w:spacing w:before="120" w:line="360" w:lineRule="auto"/>
        <w:jc w:val="left"/>
        <w:outlineLvl w:val="1"/>
        <w:rPr>
          <w:rFonts w:eastAsia="黑体"/>
          <w:b/>
          <w:color w:val="auto"/>
          <w:kern w:val="0"/>
          <w:sz w:val="28"/>
          <w:szCs w:val="22"/>
          <w:highlight w:val="none"/>
        </w:rPr>
      </w:pPr>
      <w:bookmarkStart w:id="47" w:name="page1"/>
      <w:bookmarkEnd w:id="47"/>
      <w:r>
        <w:rPr>
          <w:rFonts w:hint="eastAsia" w:eastAsia="黑体"/>
          <w:b/>
          <w:color w:val="auto"/>
          <w:kern w:val="0"/>
          <w:sz w:val="28"/>
          <w:szCs w:val="22"/>
          <w:highlight w:val="none"/>
        </w:rPr>
        <w:t>三、“报价文件</w:t>
      </w:r>
      <w:r>
        <w:rPr>
          <w:rFonts w:eastAsia="黑体"/>
          <w:b/>
          <w:color w:val="auto"/>
          <w:kern w:val="0"/>
          <w:sz w:val="28"/>
          <w:szCs w:val="22"/>
          <w:highlight w:val="none"/>
        </w:rPr>
        <w:t>”</w:t>
      </w:r>
      <w:r>
        <w:rPr>
          <w:rFonts w:hint="eastAsia" w:eastAsia="黑体"/>
          <w:b/>
          <w:color w:val="auto"/>
          <w:kern w:val="0"/>
          <w:sz w:val="28"/>
          <w:szCs w:val="22"/>
          <w:highlight w:val="none"/>
        </w:rPr>
        <w:t>格式</w:t>
      </w:r>
    </w:p>
    <w:p>
      <w:pPr>
        <w:keepNext/>
        <w:keepLines/>
        <w:spacing w:before="120" w:after="120" w:line="360" w:lineRule="auto"/>
        <w:outlineLvl w:val="3"/>
        <w:rPr>
          <w:rFonts w:ascii="Arial" w:hAnsi="Arial" w:eastAsia="黑体"/>
          <w:b/>
          <w:color w:val="auto"/>
          <w:sz w:val="24"/>
          <w:szCs w:val="22"/>
          <w:highlight w:val="none"/>
        </w:rPr>
      </w:pPr>
      <w:r>
        <w:rPr>
          <w:rFonts w:hint="eastAsia" w:ascii="Arial" w:hAnsi="Arial" w:eastAsia="黑体"/>
          <w:b/>
          <w:color w:val="auto"/>
          <w:sz w:val="24"/>
          <w:szCs w:val="22"/>
          <w:highlight w:val="none"/>
        </w:rPr>
        <w:t>3.1 “报价文件”封面</w:t>
      </w:r>
    </w:p>
    <w:p>
      <w:pPr>
        <w:spacing w:line="360" w:lineRule="auto"/>
        <w:jc w:val="right"/>
        <w:rPr>
          <w:rFonts w:ascii="Arial" w:hAnsi="Arial" w:eastAsia="新宋体" w:cs="Arial"/>
          <w:b/>
          <w:color w:val="auto"/>
          <w:sz w:val="32"/>
          <w:szCs w:val="22"/>
          <w:highlight w:val="none"/>
        </w:rPr>
      </w:pPr>
    </w:p>
    <w:p>
      <w:pPr>
        <w:spacing w:line="276" w:lineRule="auto"/>
        <w:jc w:val="center"/>
        <w:rPr>
          <w:rFonts w:ascii="华文中宋" w:hAnsi="华文中宋" w:eastAsia="华文中宋" w:cs="Arial"/>
          <w:b/>
          <w:color w:val="auto"/>
          <w:w w:val="80"/>
          <w:sz w:val="52"/>
          <w:szCs w:val="22"/>
          <w:highlight w:val="none"/>
        </w:rPr>
      </w:pPr>
      <w:r>
        <w:rPr>
          <w:rFonts w:hint="eastAsia" w:ascii="华文中宋" w:hAnsi="华文中宋" w:eastAsia="华文中宋" w:cs="Arial"/>
          <w:b/>
          <w:color w:val="auto"/>
          <w:w w:val="90"/>
          <w:sz w:val="44"/>
          <w:szCs w:val="22"/>
          <w:highlight w:val="none"/>
        </w:rPr>
        <w:t>苍南县人民医院布品租赁及洗涤服务项目</w:t>
      </w:r>
    </w:p>
    <w:p>
      <w:pPr>
        <w:spacing w:line="360" w:lineRule="auto"/>
        <w:jc w:val="center"/>
        <w:rPr>
          <w:rFonts w:ascii="Arial" w:hAnsi="Arial" w:eastAsia="新宋体" w:cs="Arial"/>
          <w:b/>
          <w:color w:val="auto"/>
          <w:sz w:val="52"/>
          <w:szCs w:val="22"/>
          <w:highlight w:val="none"/>
        </w:rPr>
      </w:pPr>
    </w:p>
    <w:p>
      <w:pPr>
        <w:spacing w:line="276" w:lineRule="auto"/>
        <w:jc w:val="center"/>
        <w:rPr>
          <w:rFonts w:ascii="华文中宋" w:hAnsi="华文中宋" w:eastAsia="华文中宋" w:cs="Arial"/>
          <w:color w:val="auto"/>
          <w:sz w:val="96"/>
          <w:szCs w:val="22"/>
          <w:highlight w:val="none"/>
        </w:rPr>
      </w:pPr>
      <w:r>
        <w:rPr>
          <w:rFonts w:hint="eastAsia" w:ascii="华文中宋" w:hAnsi="华文中宋" w:eastAsia="华文中宋" w:cs="Arial"/>
          <w:color w:val="auto"/>
          <w:sz w:val="96"/>
          <w:szCs w:val="22"/>
          <w:highlight w:val="none"/>
        </w:rPr>
        <w:t>投 标</w:t>
      </w:r>
      <w:r>
        <w:rPr>
          <w:rFonts w:ascii="华文中宋" w:hAnsi="华文中宋" w:eastAsia="华文中宋" w:cs="Arial"/>
          <w:color w:val="auto"/>
          <w:sz w:val="96"/>
          <w:szCs w:val="22"/>
          <w:highlight w:val="none"/>
        </w:rPr>
        <w:t xml:space="preserve"> </w:t>
      </w:r>
      <w:r>
        <w:rPr>
          <w:rFonts w:hint="eastAsia" w:ascii="华文中宋" w:hAnsi="华文中宋" w:eastAsia="华文中宋" w:cs="Arial"/>
          <w:color w:val="auto"/>
          <w:sz w:val="96"/>
          <w:szCs w:val="22"/>
          <w:highlight w:val="none"/>
        </w:rPr>
        <w:t>文</w:t>
      </w:r>
      <w:r>
        <w:rPr>
          <w:rFonts w:ascii="华文中宋" w:hAnsi="华文中宋" w:eastAsia="华文中宋" w:cs="Arial"/>
          <w:color w:val="auto"/>
          <w:sz w:val="96"/>
          <w:szCs w:val="22"/>
          <w:highlight w:val="none"/>
        </w:rPr>
        <w:t xml:space="preserve"> </w:t>
      </w:r>
      <w:r>
        <w:rPr>
          <w:rFonts w:hint="eastAsia" w:ascii="华文中宋" w:hAnsi="华文中宋" w:eastAsia="华文中宋" w:cs="Arial"/>
          <w:color w:val="auto"/>
          <w:sz w:val="96"/>
          <w:szCs w:val="22"/>
          <w:highlight w:val="none"/>
        </w:rPr>
        <w:t>件</w:t>
      </w:r>
    </w:p>
    <w:p>
      <w:pPr>
        <w:spacing w:line="360" w:lineRule="auto"/>
        <w:jc w:val="center"/>
        <w:rPr>
          <w:rFonts w:ascii="华文中宋" w:hAnsi="华文中宋" w:eastAsia="华文中宋" w:cs="Arial"/>
          <w:b/>
          <w:color w:val="auto"/>
          <w:sz w:val="52"/>
          <w:szCs w:val="22"/>
          <w:highlight w:val="none"/>
        </w:rPr>
      </w:pPr>
      <w:r>
        <w:rPr>
          <w:rFonts w:hint="eastAsia" w:ascii="华文中宋" w:hAnsi="华文中宋" w:eastAsia="华文中宋" w:cs="Arial"/>
          <w:b/>
          <w:color w:val="auto"/>
          <w:sz w:val="52"/>
          <w:szCs w:val="22"/>
          <w:highlight w:val="none"/>
        </w:rPr>
        <w:t>（报价文件）</w:t>
      </w:r>
    </w:p>
    <w:p>
      <w:pPr>
        <w:spacing w:line="360" w:lineRule="auto"/>
        <w:jc w:val="center"/>
        <w:rPr>
          <w:rFonts w:ascii="华文中宋" w:hAnsi="华文中宋" w:eastAsia="华文中宋" w:cs="Arial"/>
          <w:b/>
          <w:color w:val="auto"/>
          <w:sz w:val="52"/>
          <w:szCs w:val="22"/>
          <w:highlight w:val="none"/>
        </w:rPr>
      </w:pPr>
    </w:p>
    <w:tbl>
      <w:tblPr>
        <w:tblStyle w:val="38"/>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 xml:space="preserve">项目编号： </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供应商名称（盖章）：</w:t>
            </w:r>
            <w:r>
              <w:rPr>
                <w:rFonts w:ascii="仿宋" w:hAnsi="仿宋" w:eastAsia="仿宋" w:cs="Arial"/>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供应商地址：</w:t>
            </w:r>
            <w:r>
              <w:rPr>
                <w:rFonts w:ascii="仿宋" w:hAnsi="仿宋" w:eastAsia="仿宋" w:cs="Arial"/>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法定代表人或其授权代表（签字或盖章）：</w:t>
            </w:r>
            <w:r>
              <w:rPr>
                <w:rFonts w:ascii="仿宋" w:hAnsi="仿宋" w:eastAsia="仿宋" w:cs="Arial"/>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日期：</w:t>
            </w:r>
            <w:r>
              <w:rPr>
                <w:rFonts w:ascii="仿宋" w:hAnsi="仿宋" w:eastAsia="仿宋" w:cs="Arial"/>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auto"/>
                <w:sz w:val="28"/>
                <w:szCs w:val="28"/>
                <w:highlight w:val="none"/>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t>开标前不得启封</w:t>
            </w:r>
          </w:p>
        </w:tc>
      </w:tr>
    </w:tbl>
    <w:p>
      <w:pPr>
        <w:adjustRightInd w:val="0"/>
        <w:snapToGrid w:val="0"/>
        <w:spacing w:line="500" w:lineRule="exact"/>
        <w:rPr>
          <w:rFonts w:ascii="宋体" w:hAnsi="宋体"/>
          <w:b/>
          <w:color w:val="auto"/>
          <w:sz w:val="30"/>
          <w:szCs w:val="22"/>
          <w:highlight w:val="none"/>
        </w:rPr>
      </w:pPr>
    </w:p>
    <w:p>
      <w:pPr>
        <w:autoSpaceDE w:val="0"/>
        <w:autoSpaceDN w:val="0"/>
        <w:adjustRightInd w:val="0"/>
        <w:snapToGrid w:val="0"/>
        <w:spacing w:line="360" w:lineRule="atLeast"/>
        <w:rPr>
          <w:color w:val="auto"/>
          <w:highlight w:val="none"/>
        </w:rPr>
        <w:sectPr>
          <w:headerReference r:id="rId15" w:type="first"/>
          <w:footerReference r:id="rId17" w:type="first"/>
          <w:headerReference r:id="rId14" w:type="default"/>
          <w:footerReference r:id="rId16" w:type="default"/>
          <w:pgSz w:w="11906" w:h="16838"/>
          <w:pgMar w:top="1440" w:right="1361" w:bottom="1440" w:left="1361" w:header="720" w:footer="720" w:gutter="0"/>
          <w:cols w:space="720" w:num="1"/>
          <w:titlePg/>
          <w:docGrid w:linePitch="286" w:charSpace="-3831"/>
        </w:sectPr>
      </w:pPr>
    </w:p>
    <w:p>
      <w:pPr>
        <w:adjustRightInd w:val="0"/>
        <w:snapToGrid w:val="0"/>
        <w:spacing w:line="400" w:lineRule="exact"/>
        <w:rPr>
          <w:rFonts w:ascii="宋体" w:hAnsi="宋体"/>
          <w:b/>
          <w:color w:val="auto"/>
          <w:sz w:val="36"/>
          <w:szCs w:val="36"/>
          <w:highlight w:val="none"/>
        </w:rPr>
      </w:pPr>
      <w:r>
        <w:rPr>
          <w:rFonts w:hint="eastAsia" w:ascii="宋体" w:hAnsi="宋体"/>
          <w:b/>
          <w:color w:val="auto"/>
          <w:sz w:val="36"/>
          <w:szCs w:val="36"/>
          <w:highlight w:val="none"/>
        </w:rPr>
        <w:t>3.3开标一览表</w:t>
      </w:r>
      <w:r>
        <w:rPr>
          <w:rFonts w:ascii="宋体" w:hAnsi="宋体"/>
          <w:b/>
          <w:color w:val="auto"/>
          <w:sz w:val="36"/>
          <w:szCs w:val="36"/>
          <w:highlight w:val="none"/>
        </w:rPr>
        <w:t xml:space="preserve"> </w:t>
      </w:r>
      <w:r>
        <w:rPr>
          <w:rFonts w:hint="eastAsia" w:ascii="宋体" w:hAnsi="宋体"/>
          <w:b/>
          <w:color w:val="auto"/>
          <w:sz w:val="36"/>
          <w:szCs w:val="36"/>
          <w:highlight w:val="none"/>
        </w:rPr>
        <w:t xml:space="preserve">   </w:t>
      </w:r>
    </w:p>
    <w:p>
      <w:pPr>
        <w:adjustRightInd w:val="0"/>
        <w:snapToGrid w:val="0"/>
        <w:spacing w:line="400" w:lineRule="exact"/>
        <w:jc w:val="center"/>
        <w:rPr>
          <w:rFonts w:ascii="宋体" w:hAnsi="宋体"/>
          <w:b/>
          <w:color w:val="auto"/>
          <w:sz w:val="36"/>
          <w:szCs w:val="36"/>
          <w:highlight w:val="none"/>
        </w:rPr>
      </w:pPr>
      <w:r>
        <w:rPr>
          <w:rFonts w:hint="eastAsia" w:ascii="宋体" w:hAnsi="宋体"/>
          <w:b/>
          <w:color w:val="auto"/>
          <w:sz w:val="36"/>
          <w:szCs w:val="36"/>
          <w:highlight w:val="none"/>
        </w:rPr>
        <w:t>开标一览表</w:t>
      </w:r>
    </w:p>
    <w:p>
      <w:pPr>
        <w:adjustRightInd w:val="0"/>
        <w:snapToGrid w:val="0"/>
        <w:spacing w:line="400" w:lineRule="exact"/>
        <w:rPr>
          <w:rFonts w:ascii="宋体" w:hAnsi="宋体"/>
          <w:b/>
          <w:color w:val="auto"/>
          <w:sz w:val="36"/>
          <w:szCs w:val="36"/>
          <w:highlight w:val="none"/>
        </w:rPr>
      </w:pPr>
    </w:p>
    <w:p>
      <w:pPr>
        <w:adjustRightInd w:val="0"/>
        <w:snapToGrid w:val="0"/>
        <w:spacing w:line="400" w:lineRule="exact"/>
        <w:rPr>
          <w:rFonts w:ascii="宋体" w:hAnsi="宋体"/>
          <w:b/>
          <w:color w:val="auto"/>
          <w:sz w:val="36"/>
          <w:szCs w:val="36"/>
          <w:highlight w:val="none"/>
        </w:rPr>
      </w:pPr>
    </w:p>
    <w:p>
      <w:pPr>
        <w:spacing w:line="360" w:lineRule="auto"/>
        <w:rPr>
          <w:rFonts w:ascii="宋体" w:hAnsi="宋体" w:cs="Arial"/>
          <w:b/>
          <w:bCs/>
          <w:color w:val="auto"/>
          <w:sz w:val="22"/>
          <w:szCs w:val="22"/>
          <w:highlight w:val="none"/>
          <w:u w:val="single"/>
        </w:rPr>
      </w:pPr>
      <w:r>
        <w:rPr>
          <w:rFonts w:ascii="宋体" w:hAnsi="宋体" w:cs="Arial"/>
          <w:color w:val="auto"/>
          <w:sz w:val="22"/>
          <w:szCs w:val="22"/>
          <w:highlight w:val="none"/>
        </w:rPr>
        <w:t>项目名称：</w:t>
      </w:r>
      <w:r>
        <w:rPr>
          <w:rFonts w:hint="eastAsia" w:ascii="宋体" w:hAnsi="宋体" w:cs="Arial"/>
          <w:b/>
          <w:bCs/>
          <w:color w:val="auto"/>
          <w:sz w:val="22"/>
          <w:szCs w:val="22"/>
          <w:highlight w:val="none"/>
          <w:u w:val="single"/>
        </w:rPr>
        <w:t>苍南县人民医院布品租赁及洗涤服务项目</w:t>
      </w:r>
    </w:p>
    <w:p>
      <w:pPr>
        <w:spacing w:line="360" w:lineRule="auto"/>
        <w:rPr>
          <w:rFonts w:ascii="宋体" w:hAnsi="宋体" w:cs="Arial"/>
          <w:color w:val="auto"/>
          <w:sz w:val="22"/>
          <w:szCs w:val="22"/>
          <w:highlight w:val="none"/>
          <w:u w:val="single"/>
        </w:rPr>
      </w:pPr>
      <w:r>
        <w:rPr>
          <w:rFonts w:ascii="宋体" w:hAnsi="宋体" w:cs="Arial"/>
          <w:color w:val="auto"/>
          <w:sz w:val="22"/>
          <w:szCs w:val="22"/>
          <w:highlight w:val="none"/>
        </w:rPr>
        <w:t>项目编号：</w:t>
      </w:r>
      <w:r>
        <w:rPr>
          <w:rFonts w:hint="eastAsia" w:ascii="宋体" w:hAnsi="宋体" w:cs="Arial"/>
          <w:b/>
          <w:bCs/>
          <w:color w:val="auto"/>
          <w:sz w:val="22"/>
          <w:szCs w:val="22"/>
          <w:highlight w:val="none"/>
          <w:u w:val="single"/>
        </w:rPr>
        <w:t>CNDL</w:t>
      </w:r>
    </w:p>
    <w:tbl>
      <w:tblPr>
        <w:tblStyle w:val="38"/>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906"/>
        <w:gridCol w:w="2271"/>
        <w:gridCol w:w="1329"/>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102" w:type="dxa"/>
            <w:tcBorders>
              <w:right w:val="single" w:color="auto" w:sz="4" w:space="0"/>
            </w:tcBorders>
            <w:vAlign w:val="center"/>
          </w:tcPr>
          <w:p>
            <w:pPr>
              <w:pStyle w:val="21"/>
              <w:spacing w:before="120" w:after="120" w:line="240" w:lineRule="auto"/>
              <w:jc w:val="center"/>
              <w:rPr>
                <w:rFonts w:ascii="宋体" w:hAnsi="宋体"/>
                <w:b w:val="0"/>
                <w:bCs/>
                <w:color w:val="auto"/>
                <w:sz w:val="22"/>
                <w:szCs w:val="22"/>
                <w:highlight w:val="none"/>
              </w:rPr>
            </w:pPr>
            <w:r>
              <w:rPr>
                <w:rFonts w:hint="eastAsia" w:ascii="宋体" w:hAnsi="宋体"/>
                <w:b w:val="0"/>
                <w:bCs/>
                <w:color w:val="auto"/>
                <w:sz w:val="22"/>
                <w:szCs w:val="22"/>
                <w:highlight w:val="none"/>
              </w:rPr>
              <w:t>项目名称</w:t>
            </w:r>
          </w:p>
        </w:tc>
        <w:tc>
          <w:tcPr>
            <w:tcW w:w="1906" w:type="dxa"/>
            <w:tcBorders>
              <w:right w:val="single" w:color="auto" w:sz="4" w:space="0"/>
            </w:tcBorders>
            <w:vAlign w:val="center"/>
          </w:tcPr>
          <w:p>
            <w:pPr>
              <w:pStyle w:val="21"/>
              <w:spacing w:before="120" w:after="120" w:line="240" w:lineRule="auto"/>
              <w:jc w:val="center"/>
              <w:rPr>
                <w:rFonts w:ascii="宋体" w:hAnsi="宋体"/>
                <w:b w:val="0"/>
                <w:bCs/>
                <w:color w:val="auto"/>
                <w:sz w:val="22"/>
                <w:szCs w:val="22"/>
                <w:highlight w:val="none"/>
              </w:rPr>
            </w:pPr>
            <w:r>
              <w:rPr>
                <w:rFonts w:hint="eastAsia" w:ascii="宋体" w:hAnsi="宋体"/>
                <w:b w:val="0"/>
                <w:bCs/>
                <w:color w:val="auto"/>
                <w:sz w:val="22"/>
                <w:szCs w:val="22"/>
                <w:highlight w:val="none"/>
              </w:rPr>
              <w:t>每日床位数量</w:t>
            </w:r>
          </w:p>
        </w:tc>
        <w:tc>
          <w:tcPr>
            <w:tcW w:w="2271" w:type="dxa"/>
            <w:vAlign w:val="center"/>
          </w:tcPr>
          <w:p>
            <w:pPr>
              <w:pStyle w:val="21"/>
              <w:spacing w:before="120" w:after="120" w:line="240" w:lineRule="auto"/>
              <w:jc w:val="center"/>
              <w:rPr>
                <w:rFonts w:hint="eastAsia" w:ascii="宋体" w:hAnsi="宋体" w:eastAsia="仿宋_GB2312"/>
                <w:b w:val="0"/>
                <w:bCs/>
                <w:color w:val="auto"/>
                <w:sz w:val="22"/>
                <w:szCs w:val="22"/>
                <w:highlight w:val="none"/>
                <w:lang w:eastAsia="zh-CN"/>
              </w:rPr>
            </w:pPr>
            <w:r>
              <w:rPr>
                <w:rFonts w:hint="eastAsia" w:ascii="宋体" w:hAnsi="宋体"/>
                <w:b w:val="0"/>
                <w:bCs/>
                <w:color w:val="auto"/>
                <w:sz w:val="22"/>
                <w:szCs w:val="22"/>
                <w:highlight w:val="none"/>
                <w:lang w:eastAsia="zh-CN"/>
              </w:rPr>
              <w:t>各区间床位数每床位每日所需布品综合单价最高限价</w:t>
            </w:r>
          </w:p>
        </w:tc>
        <w:tc>
          <w:tcPr>
            <w:tcW w:w="1329" w:type="dxa"/>
            <w:vAlign w:val="center"/>
          </w:tcPr>
          <w:p>
            <w:pPr>
              <w:pStyle w:val="21"/>
              <w:spacing w:before="120" w:after="120" w:line="240" w:lineRule="auto"/>
              <w:jc w:val="center"/>
              <w:rPr>
                <w:rFonts w:ascii="宋体" w:hAnsi="宋体"/>
                <w:b w:val="0"/>
                <w:bCs/>
                <w:color w:val="auto"/>
                <w:sz w:val="22"/>
                <w:szCs w:val="22"/>
                <w:highlight w:val="none"/>
              </w:rPr>
            </w:pPr>
            <w:r>
              <w:rPr>
                <w:rFonts w:hint="eastAsia" w:ascii="宋体" w:hAnsi="宋体"/>
                <w:b w:val="0"/>
                <w:bCs/>
                <w:color w:val="auto"/>
                <w:sz w:val="22"/>
                <w:szCs w:val="22"/>
                <w:highlight w:val="none"/>
              </w:rPr>
              <w:t>投标折扣率</w:t>
            </w:r>
          </w:p>
        </w:tc>
        <w:tc>
          <w:tcPr>
            <w:tcW w:w="2429" w:type="dxa"/>
            <w:vAlign w:val="center"/>
          </w:tcPr>
          <w:p>
            <w:pPr>
              <w:pStyle w:val="21"/>
              <w:spacing w:before="120" w:after="120" w:line="240" w:lineRule="auto"/>
              <w:jc w:val="center"/>
              <w:rPr>
                <w:b w:val="0"/>
                <w:bCs/>
                <w:color w:val="auto"/>
                <w:sz w:val="22"/>
                <w:szCs w:val="22"/>
                <w:highlight w:val="none"/>
              </w:rPr>
            </w:pPr>
            <w:r>
              <w:rPr>
                <w:rFonts w:hint="eastAsia" w:ascii="宋体" w:hAnsi="宋体"/>
                <w:b w:val="0"/>
                <w:bCs/>
                <w:color w:val="auto"/>
                <w:sz w:val="22"/>
                <w:szCs w:val="22"/>
                <w:highlight w:val="none"/>
              </w:rPr>
              <w:t>结算单价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102" w:type="dxa"/>
            <w:vMerge w:val="restart"/>
            <w:tcBorders>
              <w:right w:val="single" w:color="auto" w:sz="4" w:space="0"/>
            </w:tcBorders>
            <w:vAlign w:val="center"/>
          </w:tcPr>
          <w:p>
            <w:pPr>
              <w:pStyle w:val="21"/>
              <w:spacing w:before="120" w:after="120" w:line="240" w:lineRule="auto"/>
              <w:jc w:val="center"/>
              <w:rPr>
                <w:rFonts w:ascii="宋体" w:hAnsi="宋体" w:eastAsia="宋体"/>
                <w:b w:val="0"/>
                <w:bCs/>
                <w:color w:val="auto"/>
                <w:sz w:val="22"/>
                <w:szCs w:val="22"/>
                <w:highlight w:val="none"/>
              </w:rPr>
            </w:pPr>
            <w:r>
              <w:rPr>
                <w:rFonts w:hint="eastAsia" w:ascii="宋体" w:hAnsi="宋体" w:eastAsia="宋体"/>
                <w:b w:val="0"/>
                <w:bCs/>
                <w:color w:val="auto"/>
                <w:sz w:val="22"/>
                <w:szCs w:val="22"/>
                <w:highlight w:val="none"/>
              </w:rPr>
              <w:t>苍南县人民医院布品租赁及洗涤服务项目</w:t>
            </w:r>
          </w:p>
        </w:tc>
        <w:tc>
          <w:tcPr>
            <w:tcW w:w="1906" w:type="dxa"/>
            <w:tcBorders>
              <w:right w:val="single" w:color="auto" w:sz="4" w:space="0"/>
            </w:tcBorders>
            <w:vAlign w:val="center"/>
          </w:tcPr>
          <w:p>
            <w:pPr>
              <w:pStyle w:val="21"/>
              <w:spacing w:before="120" w:after="120" w:line="240" w:lineRule="auto"/>
              <w:jc w:val="center"/>
              <w:rPr>
                <w:rFonts w:ascii="宋体" w:hAnsi="宋体" w:eastAsia="宋体"/>
                <w:b w:val="0"/>
                <w:bCs/>
                <w:color w:val="auto"/>
                <w:sz w:val="22"/>
                <w:szCs w:val="22"/>
                <w:highlight w:val="none"/>
              </w:rPr>
            </w:pPr>
            <w:r>
              <w:rPr>
                <w:rFonts w:hint="eastAsia" w:ascii="宋体" w:hAnsi="宋体" w:eastAsia="宋体"/>
                <w:b w:val="0"/>
                <w:bCs/>
                <w:color w:val="auto"/>
                <w:sz w:val="22"/>
                <w:szCs w:val="22"/>
                <w:highlight w:val="none"/>
              </w:rPr>
              <w:t>800（含）床以下</w:t>
            </w:r>
          </w:p>
        </w:tc>
        <w:tc>
          <w:tcPr>
            <w:tcW w:w="2271" w:type="dxa"/>
            <w:vAlign w:val="center"/>
          </w:tcPr>
          <w:p>
            <w:pPr>
              <w:pStyle w:val="21"/>
              <w:spacing w:before="120" w:after="120" w:line="240" w:lineRule="auto"/>
              <w:jc w:val="center"/>
              <w:rPr>
                <w:rFonts w:ascii="宋体" w:hAnsi="宋体" w:eastAsia="宋体"/>
                <w:b w:val="0"/>
                <w:bCs/>
                <w:color w:val="auto"/>
                <w:sz w:val="22"/>
                <w:szCs w:val="22"/>
                <w:highlight w:val="none"/>
              </w:rPr>
            </w:pPr>
            <w:r>
              <w:rPr>
                <w:rFonts w:hint="eastAsia" w:ascii="宋体" w:hAnsi="宋体" w:eastAsia="宋体"/>
                <w:b w:val="0"/>
                <w:bCs/>
                <w:color w:val="auto"/>
                <w:sz w:val="22"/>
                <w:szCs w:val="22"/>
                <w:highlight w:val="none"/>
              </w:rPr>
              <w:t>8.7元/床/日</w:t>
            </w:r>
          </w:p>
        </w:tc>
        <w:tc>
          <w:tcPr>
            <w:tcW w:w="1329" w:type="dxa"/>
            <w:vMerge w:val="restart"/>
            <w:vAlign w:val="center"/>
          </w:tcPr>
          <w:p>
            <w:pPr>
              <w:pStyle w:val="22"/>
              <w:snapToGrid w:val="0"/>
              <w:ind w:left="880" w:hanging="880" w:hangingChars="400"/>
              <w:jc w:val="center"/>
              <w:rPr>
                <w:rFonts w:hAnsi="宋体"/>
                <w:bCs/>
                <w:color w:val="auto"/>
                <w:kern w:val="0"/>
                <w:sz w:val="22"/>
                <w:szCs w:val="22"/>
                <w:highlight w:val="none"/>
                <w:u w:val="single"/>
              </w:rPr>
            </w:pPr>
          </w:p>
          <w:p>
            <w:pPr>
              <w:pStyle w:val="21"/>
              <w:spacing w:before="120" w:after="120" w:line="240" w:lineRule="auto"/>
              <w:jc w:val="center"/>
              <w:rPr>
                <w:rFonts w:hAnsi="宋体"/>
                <w:b w:val="0"/>
                <w:bCs/>
                <w:color w:val="auto"/>
                <w:sz w:val="22"/>
                <w:szCs w:val="22"/>
                <w:highlight w:val="none"/>
              </w:rPr>
            </w:pPr>
            <w:r>
              <w:rPr>
                <w:rFonts w:hint="eastAsia" w:hAnsi="宋体"/>
                <w:b w:val="0"/>
                <w:bCs/>
                <w:color w:val="auto"/>
                <w:sz w:val="22"/>
                <w:szCs w:val="22"/>
                <w:highlight w:val="none"/>
                <w:u w:val="single"/>
              </w:rPr>
              <w:t xml:space="preserve">        %</w:t>
            </w:r>
          </w:p>
        </w:tc>
        <w:tc>
          <w:tcPr>
            <w:tcW w:w="2429" w:type="dxa"/>
            <w:vAlign w:val="center"/>
          </w:tcPr>
          <w:p>
            <w:pPr>
              <w:pStyle w:val="22"/>
              <w:snapToGrid w:val="0"/>
              <w:ind w:left="880" w:hanging="880" w:hangingChars="400"/>
              <w:jc w:val="center"/>
              <w:rPr>
                <w:rFonts w:hAnsi="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102" w:type="dxa"/>
            <w:vMerge w:val="continue"/>
            <w:tcBorders>
              <w:right w:val="single" w:color="auto" w:sz="4" w:space="0"/>
            </w:tcBorders>
            <w:vAlign w:val="center"/>
          </w:tcPr>
          <w:p>
            <w:pPr>
              <w:pStyle w:val="21"/>
              <w:spacing w:before="120" w:after="120" w:line="240" w:lineRule="auto"/>
              <w:jc w:val="center"/>
              <w:rPr>
                <w:rFonts w:ascii="宋体" w:hAnsi="宋体"/>
                <w:b w:val="0"/>
                <w:bCs/>
                <w:color w:val="auto"/>
                <w:sz w:val="22"/>
                <w:szCs w:val="22"/>
                <w:highlight w:val="none"/>
              </w:rPr>
            </w:pPr>
          </w:p>
        </w:tc>
        <w:tc>
          <w:tcPr>
            <w:tcW w:w="1906" w:type="dxa"/>
            <w:tcBorders>
              <w:right w:val="single" w:color="auto" w:sz="4" w:space="0"/>
            </w:tcBorders>
            <w:vAlign w:val="center"/>
          </w:tcPr>
          <w:p>
            <w:pPr>
              <w:pStyle w:val="21"/>
              <w:spacing w:before="120" w:after="120" w:line="240" w:lineRule="auto"/>
              <w:jc w:val="center"/>
              <w:rPr>
                <w:rFonts w:hint="eastAsia" w:ascii="宋体" w:hAnsi="宋体" w:eastAsia="宋体"/>
                <w:b w:val="0"/>
                <w:bCs/>
                <w:color w:val="auto"/>
                <w:sz w:val="22"/>
                <w:szCs w:val="22"/>
                <w:highlight w:val="none"/>
                <w:lang w:eastAsia="zh-CN"/>
              </w:rPr>
            </w:pPr>
            <w:r>
              <w:rPr>
                <w:rFonts w:hint="eastAsia" w:ascii="宋体" w:hAnsi="宋体" w:eastAsia="宋体"/>
                <w:b w:val="0"/>
                <w:bCs/>
                <w:color w:val="auto"/>
                <w:sz w:val="22"/>
                <w:szCs w:val="22"/>
                <w:highlight w:val="none"/>
                <w:lang w:eastAsia="zh-CN"/>
              </w:rPr>
              <w:t>801床-899床</w:t>
            </w:r>
          </w:p>
        </w:tc>
        <w:tc>
          <w:tcPr>
            <w:tcW w:w="2271" w:type="dxa"/>
            <w:vAlign w:val="center"/>
          </w:tcPr>
          <w:p>
            <w:pPr>
              <w:pStyle w:val="21"/>
              <w:spacing w:before="120" w:after="120" w:line="240" w:lineRule="auto"/>
              <w:jc w:val="center"/>
              <w:rPr>
                <w:rFonts w:ascii="宋体" w:hAnsi="宋体" w:eastAsia="宋体"/>
                <w:b w:val="0"/>
                <w:bCs/>
                <w:color w:val="auto"/>
                <w:sz w:val="22"/>
                <w:szCs w:val="22"/>
                <w:highlight w:val="none"/>
              </w:rPr>
            </w:pPr>
            <w:r>
              <w:rPr>
                <w:rFonts w:hint="eastAsia" w:ascii="宋体" w:hAnsi="宋体" w:eastAsia="宋体"/>
                <w:b w:val="0"/>
                <w:bCs/>
                <w:color w:val="auto"/>
                <w:sz w:val="22"/>
                <w:szCs w:val="22"/>
                <w:highlight w:val="none"/>
              </w:rPr>
              <w:t>8.5元/床/日</w:t>
            </w:r>
          </w:p>
        </w:tc>
        <w:tc>
          <w:tcPr>
            <w:tcW w:w="1329" w:type="dxa"/>
            <w:vMerge w:val="continue"/>
            <w:vAlign w:val="center"/>
          </w:tcPr>
          <w:p>
            <w:pPr>
              <w:pStyle w:val="21"/>
              <w:spacing w:before="120" w:after="120" w:line="240" w:lineRule="auto"/>
              <w:jc w:val="center"/>
              <w:rPr>
                <w:rFonts w:hAnsi="宋体"/>
                <w:b w:val="0"/>
                <w:bCs/>
                <w:color w:val="auto"/>
                <w:sz w:val="22"/>
                <w:szCs w:val="22"/>
                <w:highlight w:val="none"/>
              </w:rPr>
            </w:pPr>
          </w:p>
        </w:tc>
        <w:tc>
          <w:tcPr>
            <w:tcW w:w="2429" w:type="dxa"/>
            <w:vAlign w:val="center"/>
          </w:tcPr>
          <w:p>
            <w:pPr>
              <w:pStyle w:val="21"/>
              <w:spacing w:before="120" w:after="120" w:line="240" w:lineRule="auto"/>
              <w:jc w:val="center"/>
              <w:rPr>
                <w:rFonts w:ascii="宋体" w:hAnsi="宋体" w:eastAsia="宋体" w:cs="宋体"/>
                <w:b w:val="0"/>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1102" w:type="dxa"/>
            <w:vMerge w:val="continue"/>
            <w:tcBorders>
              <w:right w:val="single" w:color="auto" w:sz="4" w:space="0"/>
            </w:tcBorders>
            <w:vAlign w:val="center"/>
          </w:tcPr>
          <w:p>
            <w:pPr>
              <w:pStyle w:val="21"/>
              <w:spacing w:before="120" w:after="120" w:line="240" w:lineRule="auto"/>
              <w:jc w:val="center"/>
              <w:rPr>
                <w:rFonts w:ascii="宋体" w:hAnsi="宋体"/>
                <w:b w:val="0"/>
                <w:bCs/>
                <w:color w:val="auto"/>
                <w:sz w:val="22"/>
                <w:szCs w:val="22"/>
                <w:highlight w:val="none"/>
              </w:rPr>
            </w:pPr>
          </w:p>
        </w:tc>
        <w:tc>
          <w:tcPr>
            <w:tcW w:w="1906" w:type="dxa"/>
            <w:tcBorders>
              <w:right w:val="single" w:color="auto" w:sz="4" w:space="0"/>
            </w:tcBorders>
            <w:vAlign w:val="center"/>
          </w:tcPr>
          <w:p>
            <w:pPr>
              <w:pStyle w:val="21"/>
              <w:spacing w:before="120" w:after="120" w:line="240" w:lineRule="auto"/>
              <w:jc w:val="center"/>
              <w:rPr>
                <w:rFonts w:ascii="宋体" w:hAnsi="宋体" w:eastAsia="宋体"/>
                <w:b w:val="0"/>
                <w:bCs/>
                <w:color w:val="auto"/>
                <w:sz w:val="22"/>
                <w:szCs w:val="22"/>
                <w:highlight w:val="none"/>
              </w:rPr>
            </w:pPr>
            <w:r>
              <w:rPr>
                <w:rFonts w:hint="eastAsia" w:ascii="宋体" w:hAnsi="宋体" w:eastAsia="宋体"/>
                <w:b w:val="0"/>
                <w:bCs/>
                <w:color w:val="auto"/>
                <w:sz w:val="22"/>
                <w:szCs w:val="22"/>
                <w:highlight w:val="none"/>
              </w:rPr>
              <w:t xml:space="preserve"> 900（含）床以上</w:t>
            </w:r>
          </w:p>
        </w:tc>
        <w:tc>
          <w:tcPr>
            <w:tcW w:w="2271" w:type="dxa"/>
            <w:vAlign w:val="center"/>
          </w:tcPr>
          <w:p>
            <w:pPr>
              <w:pStyle w:val="21"/>
              <w:spacing w:before="120" w:after="120" w:line="240" w:lineRule="auto"/>
              <w:jc w:val="center"/>
              <w:rPr>
                <w:rFonts w:ascii="宋体" w:hAnsi="宋体" w:eastAsia="宋体"/>
                <w:b w:val="0"/>
                <w:bCs/>
                <w:color w:val="auto"/>
                <w:sz w:val="22"/>
                <w:szCs w:val="22"/>
                <w:highlight w:val="none"/>
              </w:rPr>
            </w:pPr>
            <w:r>
              <w:rPr>
                <w:rFonts w:hint="eastAsia" w:ascii="宋体" w:hAnsi="宋体" w:eastAsia="宋体"/>
                <w:b w:val="0"/>
                <w:bCs/>
                <w:color w:val="auto"/>
                <w:sz w:val="22"/>
                <w:szCs w:val="22"/>
                <w:highlight w:val="none"/>
              </w:rPr>
              <w:t>8.2元/床/日</w:t>
            </w:r>
          </w:p>
        </w:tc>
        <w:tc>
          <w:tcPr>
            <w:tcW w:w="1329" w:type="dxa"/>
            <w:vMerge w:val="continue"/>
            <w:vAlign w:val="center"/>
          </w:tcPr>
          <w:p>
            <w:pPr>
              <w:pStyle w:val="21"/>
              <w:spacing w:before="120" w:after="120" w:line="240" w:lineRule="auto"/>
              <w:jc w:val="center"/>
              <w:rPr>
                <w:rFonts w:hAnsi="宋体"/>
                <w:b w:val="0"/>
                <w:bCs/>
                <w:color w:val="auto"/>
                <w:sz w:val="22"/>
                <w:szCs w:val="22"/>
                <w:highlight w:val="none"/>
              </w:rPr>
            </w:pPr>
          </w:p>
        </w:tc>
        <w:tc>
          <w:tcPr>
            <w:tcW w:w="2429" w:type="dxa"/>
            <w:vAlign w:val="center"/>
          </w:tcPr>
          <w:p>
            <w:pPr>
              <w:pStyle w:val="21"/>
              <w:spacing w:before="120" w:after="120" w:line="240" w:lineRule="auto"/>
              <w:jc w:val="center"/>
              <w:rPr>
                <w:rFonts w:ascii="宋体" w:hAnsi="宋体" w:eastAsia="宋体" w:cs="宋体"/>
                <w:b w:val="0"/>
                <w:bCs/>
                <w:color w:val="auto"/>
                <w:sz w:val="22"/>
                <w:szCs w:val="22"/>
                <w:highlight w:val="none"/>
              </w:rPr>
            </w:pPr>
          </w:p>
        </w:tc>
      </w:tr>
    </w:tbl>
    <w:p>
      <w:pPr>
        <w:spacing w:line="360" w:lineRule="auto"/>
        <w:rPr>
          <w:rFonts w:ascii="宋体" w:hAnsi="宋体" w:cs="Arial"/>
          <w:color w:val="auto"/>
          <w:sz w:val="22"/>
          <w:szCs w:val="22"/>
          <w:highlight w:val="none"/>
        </w:rPr>
      </w:pPr>
      <w:r>
        <w:rPr>
          <w:rFonts w:ascii="宋体" w:hAnsi="宋体" w:cs="Arial"/>
          <w:color w:val="auto"/>
          <w:sz w:val="22"/>
          <w:szCs w:val="22"/>
          <w:highlight w:val="none"/>
        </w:rPr>
        <w:t>注：1、报价一经涂改，应在涂改处加盖单位公章或者由法定代表人或授权委托人签字或盖章，</w:t>
      </w:r>
      <w:r>
        <w:rPr>
          <w:rFonts w:ascii="宋体" w:hAnsi="宋体" w:cs="Arial"/>
          <w:bCs/>
          <w:color w:val="auto"/>
          <w:sz w:val="22"/>
          <w:szCs w:val="22"/>
          <w:highlight w:val="none"/>
        </w:rPr>
        <w:t>否则响应无效。</w:t>
      </w:r>
    </w:p>
    <w:p>
      <w:pPr>
        <w:numPr>
          <w:ilvl w:val="0"/>
          <w:numId w:val="2"/>
        </w:numPr>
        <w:adjustRightInd w:val="0"/>
        <w:snapToGrid w:val="0"/>
        <w:spacing w:line="400" w:lineRule="exact"/>
        <w:rPr>
          <w:rFonts w:ascii="宋体" w:hAnsi="宋体"/>
          <w:b/>
          <w:bCs/>
          <w:color w:val="auto"/>
          <w:sz w:val="22"/>
          <w:szCs w:val="22"/>
          <w:highlight w:val="none"/>
        </w:rPr>
      </w:pPr>
      <w:r>
        <w:rPr>
          <w:rFonts w:ascii="宋体" w:hAnsi="宋体"/>
          <w:b/>
          <w:bCs/>
          <w:color w:val="auto"/>
          <w:sz w:val="22"/>
          <w:szCs w:val="22"/>
          <w:highlight w:val="none"/>
        </w:rPr>
        <w:t>本表中的报价为总报价，应</w:t>
      </w:r>
      <w:r>
        <w:rPr>
          <w:rFonts w:ascii="宋体" w:hAnsi="宋体"/>
          <w:b/>
          <w:bCs/>
          <w:color w:val="auto"/>
          <w:sz w:val="22"/>
          <w:szCs w:val="22"/>
          <w:highlight w:val="none"/>
          <w:u w:val="single"/>
        </w:rPr>
        <w:t>包含但不仅限于</w:t>
      </w:r>
      <w:r>
        <w:rPr>
          <w:rFonts w:hint="eastAsia" w:ascii="宋体" w:hAnsi="宋体"/>
          <w:b/>
          <w:bCs/>
          <w:color w:val="auto"/>
          <w:sz w:val="22"/>
          <w:szCs w:val="22"/>
          <w:highlight w:val="none"/>
          <w:u w:val="single"/>
        </w:rPr>
        <w:t>苍南县人民医院布品租赁及洗涤服务项目</w:t>
      </w:r>
      <w:r>
        <w:rPr>
          <w:rFonts w:ascii="宋体" w:hAnsi="宋体"/>
          <w:b/>
          <w:bCs/>
          <w:color w:val="auto"/>
          <w:sz w:val="22"/>
          <w:szCs w:val="22"/>
          <w:highlight w:val="none"/>
          <w:u w:val="single"/>
        </w:rPr>
        <w:t>全过程所涉及的</w:t>
      </w:r>
      <w:r>
        <w:rPr>
          <w:rFonts w:hint="eastAsia" w:ascii="宋体" w:hAnsi="宋体"/>
          <w:b/>
          <w:bCs/>
          <w:color w:val="auto"/>
          <w:sz w:val="22"/>
          <w:szCs w:val="22"/>
          <w:highlight w:val="none"/>
          <w:u w:val="single"/>
        </w:rPr>
        <w:t>全部费用以及合理的利润、税金、风险等其他一切费用</w:t>
      </w:r>
      <w:r>
        <w:rPr>
          <w:rFonts w:ascii="宋体" w:hAnsi="宋体"/>
          <w:b/>
          <w:bCs/>
          <w:color w:val="auto"/>
          <w:sz w:val="22"/>
          <w:szCs w:val="22"/>
          <w:highlight w:val="none"/>
          <w:u w:val="single"/>
        </w:rPr>
        <w:t>。最后报价为履行合同的最终报价，投标人不得再要求追加任何费用</w:t>
      </w:r>
      <w:r>
        <w:rPr>
          <w:rFonts w:ascii="宋体" w:hAnsi="宋体"/>
          <w:b/>
          <w:bCs/>
          <w:color w:val="auto"/>
          <w:sz w:val="22"/>
          <w:szCs w:val="22"/>
          <w:highlight w:val="none"/>
        </w:rPr>
        <w:t>。</w:t>
      </w:r>
    </w:p>
    <w:p>
      <w:pPr>
        <w:adjustRightInd w:val="0"/>
        <w:snapToGrid w:val="0"/>
        <w:spacing w:line="400" w:lineRule="exact"/>
        <w:rPr>
          <w:rFonts w:ascii="宋体" w:hAnsi="宋体"/>
          <w:bCs/>
          <w:color w:val="auto"/>
          <w:sz w:val="22"/>
          <w:szCs w:val="22"/>
          <w:highlight w:val="none"/>
        </w:rPr>
      </w:pPr>
      <w:r>
        <w:rPr>
          <w:rFonts w:hint="eastAsia" w:ascii="宋体" w:hAnsi="宋体"/>
          <w:bCs/>
          <w:color w:val="auto"/>
          <w:sz w:val="22"/>
          <w:szCs w:val="22"/>
          <w:highlight w:val="none"/>
        </w:rPr>
        <w:t>例：当中标折扣率为90%</w:t>
      </w:r>
      <w:r>
        <w:rPr>
          <w:rFonts w:hint="eastAsia" w:ascii="宋体" w:hAnsi="宋体"/>
          <w:bCs/>
          <w:color w:val="auto"/>
          <w:sz w:val="22"/>
          <w:szCs w:val="22"/>
          <w:highlight w:val="none"/>
          <w:lang w:eastAsia="zh-CN"/>
        </w:rPr>
        <w:t>，</w:t>
      </w:r>
      <w:r>
        <w:rPr>
          <w:rFonts w:hint="eastAsia" w:ascii="宋体" w:hAnsi="宋体" w:cs="宋体"/>
          <w:color w:val="auto"/>
          <w:kern w:val="0"/>
          <w:sz w:val="22"/>
          <w:szCs w:val="22"/>
          <w:highlight w:val="none"/>
          <w:lang w:val="en-US" w:eastAsia="zh-CN" w:bidi="ar"/>
        </w:rPr>
        <w:t>血透室床位数量50床，值班室床位数量25床均为固定数量</w:t>
      </w:r>
      <w:r>
        <w:rPr>
          <w:rFonts w:hint="eastAsia" w:ascii="宋体" w:hAnsi="宋体"/>
          <w:bCs/>
          <w:color w:val="auto"/>
          <w:sz w:val="22"/>
          <w:szCs w:val="22"/>
          <w:highlight w:val="none"/>
        </w:rPr>
        <w:t>。则当八月份内有5天每日实际使用床位数量为</w:t>
      </w:r>
      <w:r>
        <w:rPr>
          <w:rFonts w:hint="eastAsia" w:ascii="宋体" w:hAnsi="宋体"/>
          <w:bCs/>
          <w:color w:val="auto"/>
          <w:sz w:val="22"/>
          <w:szCs w:val="22"/>
          <w:highlight w:val="none"/>
          <w:lang w:val="en-US" w:eastAsia="zh-CN"/>
        </w:rPr>
        <w:t>675</w:t>
      </w:r>
      <w:r>
        <w:rPr>
          <w:rFonts w:hint="eastAsia" w:ascii="宋体" w:hAnsi="宋体"/>
          <w:bCs/>
          <w:color w:val="auto"/>
          <w:sz w:val="22"/>
          <w:szCs w:val="22"/>
          <w:highlight w:val="none"/>
        </w:rPr>
        <w:t>床；有6天每日实际使用床位数量为</w:t>
      </w:r>
      <w:r>
        <w:rPr>
          <w:rFonts w:hint="eastAsia" w:ascii="宋体" w:hAnsi="宋体"/>
          <w:bCs/>
          <w:color w:val="auto"/>
          <w:sz w:val="22"/>
          <w:szCs w:val="22"/>
          <w:highlight w:val="none"/>
          <w:lang w:val="en-US" w:eastAsia="zh-CN"/>
        </w:rPr>
        <w:t>725</w:t>
      </w:r>
      <w:r>
        <w:rPr>
          <w:rFonts w:hint="eastAsia" w:ascii="宋体" w:hAnsi="宋体"/>
          <w:bCs/>
          <w:color w:val="auto"/>
          <w:sz w:val="22"/>
          <w:szCs w:val="22"/>
          <w:highlight w:val="none"/>
        </w:rPr>
        <w:t>床；有10天每日实际使用床位数量为</w:t>
      </w:r>
      <w:r>
        <w:rPr>
          <w:rFonts w:hint="eastAsia" w:ascii="宋体" w:hAnsi="宋体"/>
          <w:bCs/>
          <w:color w:val="auto"/>
          <w:sz w:val="22"/>
          <w:szCs w:val="22"/>
          <w:highlight w:val="none"/>
          <w:lang w:val="en-US" w:eastAsia="zh-CN"/>
        </w:rPr>
        <w:t>775</w:t>
      </w:r>
      <w:r>
        <w:rPr>
          <w:rFonts w:hint="eastAsia" w:ascii="宋体" w:hAnsi="宋体"/>
          <w:bCs/>
          <w:color w:val="auto"/>
          <w:sz w:val="22"/>
          <w:szCs w:val="22"/>
          <w:highlight w:val="none"/>
        </w:rPr>
        <w:t>床；有4天每日实际使用床位数量为8</w:t>
      </w:r>
      <w:r>
        <w:rPr>
          <w:rFonts w:hint="eastAsia" w:ascii="宋体" w:hAnsi="宋体"/>
          <w:bCs/>
          <w:color w:val="auto"/>
          <w:sz w:val="22"/>
          <w:szCs w:val="22"/>
          <w:highlight w:val="none"/>
          <w:lang w:val="en-US" w:eastAsia="zh-CN"/>
        </w:rPr>
        <w:t>24</w:t>
      </w:r>
      <w:r>
        <w:rPr>
          <w:rFonts w:hint="eastAsia" w:ascii="宋体" w:hAnsi="宋体"/>
          <w:bCs/>
          <w:color w:val="auto"/>
          <w:sz w:val="22"/>
          <w:szCs w:val="22"/>
          <w:highlight w:val="none"/>
        </w:rPr>
        <w:t>床；有6天每日实际使用床位数量为</w:t>
      </w:r>
      <w:r>
        <w:rPr>
          <w:rFonts w:hint="eastAsia" w:ascii="宋体" w:hAnsi="宋体"/>
          <w:bCs/>
          <w:color w:val="auto"/>
          <w:sz w:val="22"/>
          <w:szCs w:val="22"/>
          <w:highlight w:val="none"/>
          <w:lang w:val="en-US" w:eastAsia="zh-CN"/>
        </w:rPr>
        <w:t>825</w:t>
      </w:r>
      <w:r>
        <w:rPr>
          <w:rFonts w:hint="eastAsia" w:ascii="宋体" w:hAnsi="宋体"/>
          <w:bCs/>
          <w:color w:val="auto"/>
          <w:sz w:val="22"/>
          <w:szCs w:val="22"/>
          <w:highlight w:val="none"/>
        </w:rPr>
        <w:t>床。</w:t>
      </w:r>
    </w:p>
    <w:p>
      <w:pPr>
        <w:adjustRightInd w:val="0"/>
        <w:snapToGrid w:val="0"/>
        <w:spacing w:line="400" w:lineRule="exact"/>
        <w:rPr>
          <w:rFonts w:ascii="宋体" w:hAnsi="宋体"/>
          <w:b/>
          <w:color w:val="auto"/>
          <w:sz w:val="22"/>
          <w:szCs w:val="22"/>
          <w:highlight w:val="none"/>
        </w:rPr>
      </w:pPr>
      <w:r>
        <w:rPr>
          <w:rFonts w:hint="eastAsia" w:ascii="宋体" w:hAnsi="宋体"/>
          <w:bCs/>
          <w:color w:val="auto"/>
          <w:sz w:val="22"/>
          <w:szCs w:val="22"/>
          <w:highlight w:val="none"/>
        </w:rPr>
        <w:t>当月结算服务按照：</w:t>
      </w:r>
      <w:r>
        <w:rPr>
          <w:rFonts w:hint="eastAsia" w:ascii="宋体" w:hAnsi="宋体"/>
          <w:bCs/>
          <w:color w:val="auto"/>
          <w:sz w:val="22"/>
          <w:szCs w:val="22"/>
          <w:highlight w:val="none"/>
          <w:lang w:eastAsia="zh-CN"/>
        </w:rPr>
        <w:t>（</w:t>
      </w:r>
      <w:r>
        <w:rPr>
          <w:rFonts w:hint="eastAsia" w:ascii="宋体" w:hAnsi="宋体"/>
          <w:bCs/>
          <w:color w:val="auto"/>
          <w:sz w:val="22"/>
          <w:szCs w:val="22"/>
          <w:highlight w:val="none"/>
          <w:lang w:val="en-US" w:eastAsia="zh-CN"/>
        </w:rPr>
        <w:t>675+50+25</w:t>
      </w:r>
      <w:r>
        <w:rPr>
          <w:rFonts w:hint="eastAsia" w:ascii="宋体" w:hAnsi="宋体"/>
          <w:bCs/>
          <w:color w:val="auto"/>
          <w:sz w:val="22"/>
          <w:szCs w:val="22"/>
          <w:highlight w:val="none"/>
          <w:lang w:eastAsia="zh-CN"/>
        </w:rPr>
        <w:t>）</w:t>
      </w:r>
      <w:r>
        <w:rPr>
          <w:rFonts w:hint="eastAsia" w:ascii="宋体" w:hAnsi="宋体"/>
          <w:bCs/>
          <w:color w:val="auto"/>
          <w:sz w:val="22"/>
          <w:szCs w:val="22"/>
          <w:highlight w:val="none"/>
          <w:lang w:val="en-US" w:eastAsia="zh-CN"/>
        </w:rPr>
        <w:t>床</w:t>
      </w:r>
      <w:r>
        <w:rPr>
          <w:rFonts w:hint="eastAsia" w:ascii="宋体" w:hAnsi="宋体"/>
          <w:bCs/>
          <w:color w:val="auto"/>
          <w:sz w:val="22"/>
          <w:szCs w:val="22"/>
          <w:highlight w:val="none"/>
        </w:rPr>
        <w:t>*8.7元/床/日*90%*5天+</w:t>
      </w:r>
      <w:r>
        <w:rPr>
          <w:rFonts w:hint="eastAsia" w:ascii="宋体" w:hAnsi="宋体"/>
          <w:bCs/>
          <w:color w:val="auto"/>
          <w:sz w:val="22"/>
          <w:szCs w:val="22"/>
          <w:highlight w:val="none"/>
          <w:lang w:eastAsia="zh-CN"/>
        </w:rPr>
        <w:t>（</w:t>
      </w:r>
      <w:r>
        <w:rPr>
          <w:rFonts w:hint="eastAsia" w:ascii="宋体" w:hAnsi="宋体"/>
          <w:bCs/>
          <w:color w:val="auto"/>
          <w:sz w:val="22"/>
          <w:szCs w:val="22"/>
          <w:highlight w:val="none"/>
          <w:lang w:val="en-US" w:eastAsia="zh-CN"/>
        </w:rPr>
        <w:t>725+50+25）床</w:t>
      </w:r>
      <w:r>
        <w:rPr>
          <w:rFonts w:hint="eastAsia" w:ascii="宋体" w:hAnsi="宋体"/>
          <w:bCs/>
          <w:color w:val="auto"/>
          <w:sz w:val="22"/>
          <w:szCs w:val="22"/>
          <w:highlight w:val="none"/>
        </w:rPr>
        <w:t>*8.7元/床/日*90%*6天+</w:t>
      </w:r>
      <w:r>
        <w:rPr>
          <w:rFonts w:hint="eastAsia" w:ascii="宋体" w:hAnsi="宋体"/>
          <w:bCs/>
          <w:color w:val="auto"/>
          <w:sz w:val="22"/>
          <w:szCs w:val="22"/>
          <w:highlight w:val="none"/>
          <w:lang w:eastAsia="zh-CN"/>
        </w:rPr>
        <w:t>（</w:t>
      </w:r>
      <w:r>
        <w:rPr>
          <w:rFonts w:hint="eastAsia" w:ascii="宋体" w:hAnsi="宋体"/>
          <w:bCs/>
          <w:color w:val="auto"/>
          <w:sz w:val="22"/>
          <w:szCs w:val="22"/>
          <w:highlight w:val="none"/>
          <w:lang w:val="en-US" w:eastAsia="zh-CN"/>
        </w:rPr>
        <w:t>775+50+25</w:t>
      </w:r>
      <w:r>
        <w:rPr>
          <w:rFonts w:hint="eastAsia" w:ascii="宋体" w:hAnsi="宋体"/>
          <w:bCs/>
          <w:color w:val="auto"/>
          <w:sz w:val="22"/>
          <w:szCs w:val="22"/>
          <w:highlight w:val="none"/>
          <w:lang w:eastAsia="zh-CN"/>
        </w:rPr>
        <w:t>）</w:t>
      </w:r>
      <w:r>
        <w:rPr>
          <w:rFonts w:hint="eastAsia" w:ascii="宋体" w:hAnsi="宋体"/>
          <w:bCs/>
          <w:color w:val="auto"/>
          <w:sz w:val="22"/>
          <w:szCs w:val="22"/>
          <w:highlight w:val="none"/>
          <w:lang w:val="en-US" w:eastAsia="zh-CN"/>
        </w:rPr>
        <w:t>床</w:t>
      </w:r>
      <w:r>
        <w:rPr>
          <w:rFonts w:hint="eastAsia" w:ascii="宋体" w:hAnsi="宋体"/>
          <w:bCs/>
          <w:color w:val="auto"/>
          <w:sz w:val="22"/>
          <w:szCs w:val="22"/>
          <w:highlight w:val="none"/>
        </w:rPr>
        <w:t>*8.5元/床/日*90%*10天+</w:t>
      </w:r>
      <w:r>
        <w:rPr>
          <w:rFonts w:hint="eastAsia" w:ascii="宋体" w:hAnsi="宋体"/>
          <w:bCs/>
          <w:color w:val="auto"/>
          <w:sz w:val="22"/>
          <w:szCs w:val="22"/>
          <w:highlight w:val="none"/>
          <w:lang w:eastAsia="zh-CN"/>
        </w:rPr>
        <w:t>（</w:t>
      </w:r>
      <w:r>
        <w:rPr>
          <w:rFonts w:hint="eastAsia" w:ascii="宋体" w:hAnsi="宋体"/>
          <w:bCs/>
          <w:color w:val="auto"/>
          <w:sz w:val="22"/>
          <w:szCs w:val="22"/>
          <w:highlight w:val="none"/>
          <w:lang w:val="en-US" w:eastAsia="zh-CN"/>
        </w:rPr>
        <w:t>824+50+25</w:t>
      </w:r>
      <w:r>
        <w:rPr>
          <w:rFonts w:hint="eastAsia" w:ascii="宋体" w:hAnsi="宋体"/>
          <w:bCs/>
          <w:color w:val="auto"/>
          <w:sz w:val="22"/>
          <w:szCs w:val="22"/>
          <w:highlight w:val="none"/>
          <w:lang w:eastAsia="zh-CN"/>
        </w:rPr>
        <w:t>）</w:t>
      </w:r>
      <w:r>
        <w:rPr>
          <w:rFonts w:hint="eastAsia" w:ascii="宋体" w:hAnsi="宋体"/>
          <w:bCs/>
          <w:color w:val="auto"/>
          <w:sz w:val="22"/>
          <w:szCs w:val="22"/>
          <w:highlight w:val="none"/>
        </w:rPr>
        <w:t>床*8.5元/床/日*90%*4天+</w:t>
      </w:r>
      <w:r>
        <w:rPr>
          <w:rFonts w:hint="eastAsia" w:ascii="宋体" w:hAnsi="宋体"/>
          <w:bCs/>
          <w:color w:val="auto"/>
          <w:sz w:val="22"/>
          <w:szCs w:val="22"/>
          <w:highlight w:val="none"/>
          <w:lang w:eastAsia="zh-CN"/>
        </w:rPr>
        <w:t>（</w:t>
      </w:r>
      <w:r>
        <w:rPr>
          <w:rFonts w:hint="eastAsia" w:ascii="宋体" w:hAnsi="宋体"/>
          <w:bCs/>
          <w:color w:val="auto"/>
          <w:sz w:val="22"/>
          <w:szCs w:val="22"/>
          <w:highlight w:val="none"/>
          <w:lang w:val="en-US" w:eastAsia="zh-CN"/>
        </w:rPr>
        <w:t>825+50+25</w:t>
      </w:r>
      <w:r>
        <w:rPr>
          <w:rFonts w:hint="eastAsia" w:ascii="宋体" w:hAnsi="宋体"/>
          <w:bCs/>
          <w:color w:val="auto"/>
          <w:sz w:val="22"/>
          <w:szCs w:val="22"/>
          <w:highlight w:val="none"/>
          <w:lang w:eastAsia="zh-CN"/>
        </w:rPr>
        <w:t>）</w:t>
      </w:r>
      <w:r>
        <w:rPr>
          <w:rFonts w:hint="eastAsia" w:ascii="宋体" w:hAnsi="宋体"/>
          <w:bCs/>
          <w:color w:val="auto"/>
          <w:sz w:val="22"/>
          <w:szCs w:val="22"/>
          <w:highlight w:val="none"/>
          <w:lang w:val="en-US" w:eastAsia="zh-CN"/>
        </w:rPr>
        <w:t>床*</w:t>
      </w:r>
      <w:r>
        <w:rPr>
          <w:rFonts w:hint="eastAsia" w:ascii="宋体" w:hAnsi="宋体"/>
          <w:bCs/>
          <w:color w:val="auto"/>
          <w:sz w:val="22"/>
          <w:szCs w:val="22"/>
          <w:highlight w:val="none"/>
        </w:rPr>
        <w:t>8.2元/床/日*90%*6天=199332.9元，再扣除相应罚款金额后支付该月服务费用。</w:t>
      </w:r>
    </w:p>
    <w:p>
      <w:pPr>
        <w:autoSpaceDE w:val="0"/>
        <w:autoSpaceDN w:val="0"/>
        <w:adjustRightInd w:val="0"/>
        <w:spacing w:line="440" w:lineRule="atLeast"/>
        <w:rPr>
          <w:rFonts w:cs="仿宋_GB2312"/>
          <w:color w:val="auto"/>
          <w:sz w:val="22"/>
          <w:szCs w:val="22"/>
          <w:highlight w:val="none"/>
          <w:lang w:val="zh-CN"/>
        </w:rPr>
      </w:pPr>
      <w:r>
        <w:rPr>
          <w:rFonts w:hint="eastAsia" w:cs="仿宋_GB2312"/>
          <w:color w:val="auto"/>
          <w:sz w:val="22"/>
          <w:szCs w:val="22"/>
          <w:highlight w:val="none"/>
          <w:lang w:val="zh-CN"/>
        </w:rPr>
        <w:t>供应商全称（盖章）：</w:t>
      </w:r>
    </w:p>
    <w:p>
      <w:pPr>
        <w:autoSpaceDE w:val="0"/>
        <w:autoSpaceDN w:val="0"/>
        <w:adjustRightInd w:val="0"/>
        <w:spacing w:line="440" w:lineRule="atLeast"/>
        <w:rPr>
          <w:rFonts w:cs="仿宋_GB2312"/>
          <w:color w:val="auto"/>
          <w:sz w:val="22"/>
          <w:szCs w:val="22"/>
          <w:highlight w:val="none"/>
          <w:lang w:val="zh-CN"/>
        </w:rPr>
      </w:pPr>
      <w:r>
        <w:rPr>
          <w:rFonts w:hint="eastAsia" w:cs="仿宋_GB2312"/>
          <w:color w:val="auto"/>
          <w:sz w:val="22"/>
          <w:szCs w:val="22"/>
          <w:highlight w:val="none"/>
          <w:lang w:val="zh-CN"/>
        </w:rPr>
        <w:t>法定代表人或授权代表（签字或签章）：</w:t>
      </w:r>
    </w:p>
    <w:p>
      <w:pPr>
        <w:autoSpaceDE w:val="0"/>
        <w:autoSpaceDN w:val="0"/>
        <w:adjustRightInd w:val="0"/>
        <w:spacing w:line="440" w:lineRule="atLeast"/>
        <w:rPr>
          <w:color w:val="auto"/>
          <w:szCs w:val="22"/>
          <w:highlight w:val="none"/>
          <w:lang w:val="zh-CN"/>
        </w:rPr>
      </w:pPr>
      <w:r>
        <w:rPr>
          <w:rFonts w:hint="eastAsia" w:cs="仿宋_GB2312"/>
          <w:color w:val="auto"/>
          <w:sz w:val="22"/>
          <w:szCs w:val="22"/>
          <w:highlight w:val="none"/>
          <w:lang w:val="zh-CN"/>
        </w:rPr>
        <w:t>日期：</w:t>
      </w:r>
    </w:p>
    <w:p>
      <w:pPr>
        <w:rPr>
          <w:color w:val="auto"/>
          <w:szCs w:val="22"/>
          <w:highlight w:val="none"/>
          <w:lang w:val="zh-CN"/>
        </w:rPr>
      </w:pPr>
    </w:p>
    <w:p>
      <w:pPr>
        <w:adjustRightInd w:val="0"/>
        <w:snapToGrid w:val="0"/>
        <w:spacing w:line="400" w:lineRule="exact"/>
        <w:rPr>
          <w:rFonts w:ascii="宋体" w:hAnsi="宋体"/>
          <w:b/>
          <w:color w:val="auto"/>
          <w:sz w:val="36"/>
          <w:szCs w:val="36"/>
          <w:highlight w:val="none"/>
        </w:rPr>
      </w:pPr>
    </w:p>
    <w:p>
      <w:pPr>
        <w:adjustRightInd w:val="0"/>
        <w:snapToGrid w:val="0"/>
        <w:spacing w:line="400" w:lineRule="exact"/>
        <w:rPr>
          <w:rFonts w:ascii="宋体" w:hAnsi="宋体"/>
          <w:b/>
          <w:color w:val="auto"/>
          <w:sz w:val="36"/>
          <w:szCs w:val="36"/>
          <w:highlight w:val="none"/>
        </w:rPr>
      </w:pPr>
    </w:p>
    <w:p>
      <w:pPr>
        <w:keepNext/>
        <w:keepLines/>
        <w:spacing w:before="260" w:after="260" w:line="416" w:lineRule="auto"/>
        <w:outlineLvl w:val="2"/>
        <w:rPr>
          <w:rFonts w:ascii="Calibri" w:hAnsi="Calibri"/>
          <w:b/>
          <w:bCs/>
          <w:color w:val="auto"/>
          <w:sz w:val="32"/>
          <w:szCs w:val="32"/>
          <w:highlight w:val="none"/>
        </w:rPr>
      </w:pPr>
      <w:r>
        <w:rPr>
          <w:rFonts w:hint="eastAsia"/>
          <w:color w:val="auto"/>
          <w:sz w:val="36"/>
          <w:szCs w:val="36"/>
          <w:highlight w:val="none"/>
        </w:rPr>
        <w:t>3.4</w:t>
      </w:r>
      <w:r>
        <w:rPr>
          <w:rFonts w:hint="eastAsia" w:ascii="Calibri" w:hAnsi="Calibri"/>
          <w:b/>
          <w:bCs/>
          <w:color w:val="auto"/>
          <w:sz w:val="32"/>
          <w:szCs w:val="32"/>
          <w:highlight w:val="none"/>
        </w:rPr>
        <w:t>符合政府采购扶持政策的相关证明材料（如是）</w:t>
      </w:r>
    </w:p>
    <w:p>
      <w:pPr>
        <w:keepNext/>
        <w:keepLines/>
        <w:spacing w:before="280" w:after="290" w:line="376" w:lineRule="auto"/>
        <w:outlineLvl w:val="3"/>
        <w:rPr>
          <w:rFonts w:ascii="Calibri" w:hAnsi="Calibri"/>
          <w:b/>
          <w:bCs/>
          <w:color w:val="auto"/>
          <w:sz w:val="28"/>
          <w:szCs w:val="28"/>
          <w:highlight w:val="none"/>
        </w:rPr>
      </w:pPr>
      <w:r>
        <w:rPr>
          <w:rFonts w:hint="eastAsia" w:ascii="Cambria" w:hAnsi="Cambria"/>
          <w:b/>
          <w:bCs/>
          <w:color w:val="auto"/>
          <w:sz w:val="28"/>
          <w:szCs w:val="28"/>
          <w:highlight w:val="none"/>
        </w:rPr>
        <w:t>3.4.1 中小企业声明函及相关证明材料（如是）</w:t>
      </w:r>
    </w:p>
    <w:p>
      <w:pPr>
        <w:spacing w:line="380" w:lineRule="exact"/>
        <w:jc w:val="center"/>
        <w:rPr>
          <w:rFonts w:ascii="仿宋_GB2312" w:hAnsi="宋体" w:cs="宋体"/>
          <w:b/>
          <w:bCs/>
          <w:color w:val="auto"/>
          <w:kern w:val="0"/>
          <w:sz w:val="24"/>
          <w:highlight w:val="none"/>
        </w:rPr>
      </w:pPr>
      <w:r>
        <w:rPr>
          <w:rFonts w:hint="eastAsia" w:ascii="仿宋_GB2312" w:hAnsi="宋体" w:cs="宋体"/>
          <w:b/>
          <w:bCs/>
          <w:color w:val="auto"/>
          <w:kern w:val="0"/>
          <w:sz w:val="24"/>
          <w:highlight w:val="none"/>
        </w:rPr>
        <w:t>（一）中小企业声明函（本项目属于服务采购项目）</w:t>
      </w:r>
    </w:p>
    <w:p>
      <w:pPr>
        <w:spacing w:line="360" w:lineRule="auto"/>
        <w:ind w:firstLine="442" w:firstLineChars="200"/>
        <w:rPr>
          <w:rFonts w:ascii="宋体" w:hAnsi="宋体" w:cs="宋体"/>
          <w:b/>
          <w:color w:val="auto"/>
          <w:kern w:val="0"/>
          <w:sz w:val="22"/>
          <w:szCs w:val="21"/>
          <w:highlight w:val="none"/>
        </w:rPr>
      </w:pPr>
    </w:p>
    <w:p>
      <w:pPr>
        <w:spacing w:line="480" w:lineRule="auto"/>
        <w:ind w:firstLine="442" w:firstLineChars="200"/>
        <w:rPr>
          <w:rFonts w:ascii="宋体" w:hAnsi="宋体" w:cs="宋体"/>
          <w:b/>
          <w:color w:val="auto"/>
          <w:kern w:val="0"/>
          <w:sz w:val="22"/>
          <w:szCs w:val="21"/>
          <w:highlight w:val="none"/>
        </w:rPr>
      </w:pPr>
      <w:r>
        <w:rPr>
          <w:rFonts w:hint="eastAsia" w:ascii="宋体" w:hAnsi="宋体" w:cs="宋体"/>
          <w:b/>
          <w:color w:val="auto"/>
          <w:kern w:val="0"/>
          <w:sz w:val="22"/>
          <w:szCs w:val="21"/>
          <w:highlight w:val="none"/>
        </w:rPr>
        <w:t>本公司郑重声明，根据《政府采购促进中小企业发展管理办法》（财库﹝2020﹞46 号）的规定，本公司参加</w:t>
      </w:r>
      <w:r>
        <w:rPr>
          <w:rFonts w:hint="eastAsia" w:ascii="宋体" w:hAnsi="宋体" w:cs="宋体"/>
          <w:b/>
          <w:color w:val="auto"/>
          <w:kern w:val="0"/>
          <w:sz w:val="22"/>
          <w:szCs w:val="21"/>
          <w:highlight w:val="none"/>
          <w:u w:val="single"/>
        </w:rPr>
        <w:t>（采购单位）</w:t>
      </w:r>
      <w:r>
        <w:rPr>
          <w:rFonts w:hint="eastAsia" w:ascii="宋体" w:hAnsi="宋体" w:cs="宋体"/>
          <w:b/>
          <w:color w:val="auto"/>
          <w:kern w:val="0"/>
          <w:sz w:val="22"/>
          <w:szCs w:val="21"/>
          <w:highlight w:val="none"/>
        </w:rPr>
        <w:t>的</w:t>
      </w:r>
      <w:r>
        <w:rPr>
          <w:rFonts w:hint="eastAsia" w:ascii="宋体" w:hAnsi="宋体" w:cs="宋体"/>
          <w:b/>
          <w:color w:val="auto"/>
          <w:kern w:val="0"/>
          <w:sz w:val="22"/>
          <w:szCs w:val="21"/>
          <w:highlight w:val="none"/>
          <w:u w:val="single"/>
        </w:rPr>
        <w:t>（采购项目）</w:t>
      </w:r>
      <w:r>
        <w:rPr>
          <w:rFonts w:hint="eastAsia" w:ascii="宋体" w:hAnsi="宋体" w:cs="宋体"/>
          <w:b/>
          <w:color w:val="auto"/>
          <w:kern w:val="0"/>
          <w:sz w:val="22"/>
          <w:szCs w:val="21"/>
          <w:highlight w:val="none"/>
        </w:rPr>
        <w:t>采购活动，服务全部由符合政策要求的中小企业承接。具体情况如下：</w:t>
      </w:r>
    </w:p>
    <w:p>
      <w:pPr>
        <w:spacing w:line="480" w:lineRule="auto"/>
        <w:ind w:firstLine="221" w:firstLineChars="100"/>
        <w:rPr>
          <w:rFonts w:ascii="宋体" w:hAnsi="宋体" w:cs="宋体"/>
          <w:b/>
          <w:color w:val="auto"/>
          <w:kern w:val="0"/>
          <w:sz w:val="22"/>
          <w:szCs w:val="21"/>
          <w:highlight w:val="none"/>
        </w:rPr>
      </w:pPr>
      <w:r>
        <w:rPr>
          <w:rFonts w:hint="eastAsia" w:ascii="宋体" w:hAnsi="宋体" w:cs="宋体"/>
          <w:b/>
          <w:color w:val="auto"/>
          <w:kern w:val="0"/>
          <w:sz w:val="22"/>
          <w:szCs w:val="21"/>
          <w:highlight w:val="none"/>
        </w:rPr>
        <w:t xml:space="preserve">1. </w:t>
      </w:r>
      <w:r>
        <w:rPr>
          <w:rFonts w:hint="eastAsia" w:ascii="宋体" w:hAnsi="宋体" w:cs="宋体"/>
          <w:b/>
          <w:color w:val="auto"/>
          <w:kern w:val="0"/>
          <w:sz w:val="22"/>
          <w:szCs w:val="21"/>
          <w:highlight w:val="none"/>
          <w:u w:val="single"/>
        </w:rPr>
        <w:t>（标的名称）</w:t>
      </w:r>
      <w:r>
        <w:rPr>
          <w:rFonts w:hint="eastAsia" w:ascii="宋体" w:hAnsi="宋体" w:cs="宋体"/>
          <w:b/>
          <w:color w:val="auto"/>
          <w:kern w:val="0"/>
          <w:sz w:val="22"/>
          <w:szCs w:val="21"/>
          <w:highlight w:val="none"/>
        </w:rPr>
        <w:t>，属于工信部联企业[2011]300号文件的（“其他未列明行业”）；承建（承接）企业为（</w:t>
      </w:r>
      <w:r>
        <w:rPr>
          <w:rFonts w:hint="eastAsia" w:ascii="宋体" w:hAnsi="宋体" w:cs="宋体"/>
          <w:b/>
          <w:color w:val="auto"/>
          <w:kern w:val="0"/>
          <w:sz w:val="22"/>
          <w:szCs w:val="21"/>
          <w:highlight w:val="none"/>
          <w:u w:val="single"/>
        </w:rPr>
        <w:t>企业名称</w:t>
      </w:r>
      <w:r>
        <w:rPr>
          <w:rFonts w:hint="eastAsia" w:ascii="宋体" w:hAnsi="宋体" w:cs="宋体"/>
          <w:b/>
          <w:color w:val="auto"/>
          <w:kern w:val="0"/>
          <w:sz w:val="22"/>
          <w:szCs w:val="21"/>
          <w:highlight w:val="none"/>
        </w:rPr>
        <w:t>），从业人员</w:t>
      </w:r>
      <w:r>
        <w:rPr>
          <w:rFonts w:hint="eastAsia" w:ascii="宋体" w:hAnsi="宋体" w:cs="宋体"/>
          <w:b/>
          <w:color w:val="auto"/>
          <w:kern w:val="0"/>
          <w:sz w:val="22"/>
          <w:szCs w:val="21"/>
          <w:highlight w:val="none"/>
          <w:u w:val="single"/>
        </w:rPr>
        <w:t xml:space="preserve">    </w:t>
      </w:r>
      <w:r>
        <w:rPr>
          <w:rFonts w:hint="eastAsia" w:ascii="宋体" w:hAnsi="宋体" w:cs="宋体"/>
          <w:b/>
          <w:color w:val="auto"/>
          <w:kern w:val="0"/>
          <w:sz w:val="22"/>
          <w:szCs w:val="21"/>
          <w:highlight w:val="none"/>
        </w:rPr>
        <w:t>人，营业收入为</w:t>
      </w:r>
      <w:r>
        <w:rPr>
          <w:rFonts w:hint="eastAsia" w:ascii="宋体" w:hAnsi="宋体" w:cs="宋体"/>
          <w:b/>
          <w:color w:val="auto"/>
          <w:kern w:val="0"/>
          <w:sz w:val="22"/>
          <w:szCs w:val="21"/>
          <w:highlight w:val="none"/>
          <w:u w:val="single"/>
        </w:rPr>
        <w:t xml:space="preserve">    </w:t>
      </w:r>
      <w:r>
        <w:rPr>
          <w:rFonts w:hint="eastAsia" w:ascii="宋体" w:hAnsi="宋体" w:cs="宋体"/>
          <w:b/>
          <w:color w:val="auto"/>
          <w:kern w:val="0"/>
          <w:sz w:val="22"/>
          <w:szCs w:val="21"/>
          <w:highlight w:val="none"/>
        </w:rPr>
        <w:t>万元，资产总额为</w:t>
      </w:r>
      <w:r>
        <w:rPr>
          <w:rFonts w:hint="eastAsia" w:ascii="宋体" w:hAnsi="宋体" w:cs="宋体"/>
          <w:b/>
          <w:color w:val="auto"/>
          <w:kern w:val="0"/>
          <w:sz w:val="22"/>
          <w:szCs w:val="21"/>
          <w:highlight w:val="none"/>
          <w:u w:val="single"/>
        </w:rPr>
        <w:t xml:space="preserve">    </w:t>
      </w:r>
      <w:r>
        <w:rPr>
          <w:rFonts w:hint="eastAsia" w:ascii="宋体" w:hAnsi="宋体" w:cs="宋体"/>
          <w:b/>
          <w:color w:val="auto"/>
          <w:kern w:val="0"/>
          <w:sz w:val="22"/>
          <w:szCs w:val="21"/>
          <w:highlight w:val="none"/>
        </w:rPr>
        <w:t>万元，属于</w:t>
      </w:r>
      <w:r>
        <w:rPr>
          <w:rFonts w:hint="eastAsia" w:ascii="宋体" w:hAnsi="宋体" w:cs="宋体"/>
          <w:b/>
          <w:color w:val="auto"/>
          <w:kern w:val="0"/>
          <w:sz w:val="22"/>
          <w:szCs w:val="21"/>
          <w:highlight w:val="none"/>
          <w:u w:val="single"/>
        </w:rPr>
        <w:t>（中型企业或小微型企业）</w:t>
      </w:r>
      <w:r>
        <w:rPr>
          <w:rFonts w:hint="eastAsia" w:ascii="宋体" w:hAnsi="宋体" w:cs="宋体"/>
          <w:b/>
          <w:color w:val="auto"/>
          <w:kern w:val="0"/>
          <w:sz w:val="22"/>
          <w:szCs w:val="21"/>
          <w:highlight w:val="none"/>
        </w:rPr>
        <w:t xml:space="preserve">； </w:t>
      </w:r>
    </w:p>
    <w:p>
      <w:pPr>
        <w:spacing w:line="480" w:lineRule="auto"/>
        <w:ind w:firstLine="221" w:firstLineChars="100"/>
        <w:rPr>
          <w:rFonts w:ascii="宋体" w:hAnsi="宋体" w:cs="宋体"/>
          <w:b/>
          <w:color w:val="auto"/>
          <w:kern w:val="0"/>
          <w:sz w:val="22"/>
          <w:szCs w:val="21"/>
          <w:highlight w:val="none"/>
        </w:rPr>
      </w:pPr>
      <w:r>
        <w:rPr>
          <w:rFonts w:hint="eastAsia" w:ascii="宋体" w:hAnsi="宋体" w:cs="宋体"/>
          <w:b/>
          <w:color w:val="auto"/>
          <w:kern w:val="0"/>
          <w:sz w:val="22"/>
          <w:szCs w:val="21"/>
          <w:highlight w:val="none"/>
        </w:rPr>
        <w:t>……</w:t>
      </w:r>
    </w:p>
    <w:p>
      <w:pPr>
        <w:spacing w:line="480" w:lineRule="auto"/>
        <w:ind w:firstLine="221" w:firstLineChars="100"/>
        <w:rPr>
          <w:rFonts w:ascii="宋体" w:hAnsi="宋体" w:cs="宋体"/>
          <w:b/>
          <w:color w:val="auto"/>
          <w:kern w:val="0"/>
          <w:sz w:val="22"/>
          <w:szCs w:val="21"/>
          <w:highlight w:val="none"/>
        </w:rPr>
      </w:pPr>
      <w:r>
        <w:rPr>
          <w:rFonts w:hint="eastAsia" w:ascii="宋体" w:hAnsi="宋体" w:cs="宋体"/>
          <w:b/>
          <w:color w:val="auto"/>
          <w:kern w:val="0"/>
          <w:sz w:val="22"/>
          <w:szCs w:val="21"/>
          <w:highlight w:val="none"/>
        </w:rPr>
        <w:t>以上企业，不属于大企业的分支机构，不存在控股股东为大企业的情形，也不存在与大企业的负责人为同一人的情形。</w:t>
      </w:r>
    </w:p>
    <w:p>
      <w:pPr>
        <w:spacing w:line="480" w:lineRule="auto"/>
        <w:ind w:firstLine="221" w:firstLineChars="100"/>
        <w:rPr>
          <w:rFonts w:ascii="宋体" w:hAnsi="宋体" w:cs="宋体"/>
          <w:b/>
          <w:color w:val="auto"/>
          <w:kern w:val="0"/>
          <w:sz w:val="22"/>
          <w:szCs w:val="21"/>
          <w:highlight w:val="none"/>
        </w:rPr>
      </w:pPr>
      <w:r>
        <w:rPr>
          <w:rFonts w:hint="eastAsia" w:ascii="宋体" w:hAnsi="宋体" w:cs="宋体"/>
          <w:b/>
          <w:color w:val="auto"/>
          <w:kern w:val="0"/>
          <w:sz w:val="22"/>
          <w:szCs w:val="21"/>
          <w:highlight w:val="none"/>
        </w:rPr>
        <w:t>本企业对上述声明内容的真实性负责。如有虚假，将依法承担提供虚假材料相应责任。</w:t>
      </w:r>
    </w:p>
    <w:p>
      <w:pPr>
        <w:spacing w:line="480" w:lineRule="auto"/>
        <w:ind w:firstLine="221" w:firstLineChars="100"/>
        <w:rPr>
          <w:rFonts w:ascii="宋体" w:hAnsi="宋体" w:cs="宋体"/>
          <w:b/>
          <w:color w:val="auto"/>
          <w:kern w:val="0"/>
          <w:sz w:val="22"/>
          <w:szCs w:val="21"/>
          <w:highlight w:val="none"/>
        </w:rPr>
      </w:pPr>
      <w:r>
        <w:rPr>
          <w:rFonts w:hint="eastAsia" w:ascii="宋体" w:hAnsi="宋体" w:cs="宋体"/>
          <w:b/>
          <w:color w:val="auto"/>
          <w:kern w:val="0"/>
          <w:sz w:val="22"/>
          <w:szCs w:val="21"/>
          <w:highlight w:val="none"/>
        </w:rPr>
        <w:t xml:space="preserve">                                            </w:t>
      </w:r>
    </w:p>
    <w:p>
      <w:pPr>
        <w:spacing w:line="480" w:lineRule="auto"/>
        <w:ind w:firstLine="442" w:firstLineChars="200"/>
        <w:rPr>
          <w:rFonts w:ascii="宋体" w:hAnsi="宋体" w:cs="宋体"/>
          <w:b/>
          <w:color w:val="auto"/>
          <w:kern w:val="0"/>
          <w:sz w:val="22"/>
          <w:szCs w:val="21"/>
          <w:highlight w:val="none"/>
        </w:rPr>
      </w:pPr>
      <w:r>
        <w:rPr>
          <w:rFonts w:hint="eastAsia" w:ascii="宋体" w:hAnsi="宋体" w:cs="宋体"/>
          <w:b/>
          <w:color w:val="auto"/>
          <w:kern w:val="0"/>
          <w:sz w:val="22"/>
          <w:szCs w:val="21"/>
          <w:highlight w:val="none"/>
        </w:rPr>
        <w:t xml:space="preserve">企业名称（盖章）： </w:t>
      </w:r>
    </w:p>
    <w:p>
      <w:pPr>
        <w:spacing w:line="480" w:lineRule="auto"/>
        <w:ind w:firstLine="446" w:firstLineChars="202"/>
        <w:jc w:val="left"/>
        <w:rPr>
          <w:rFonts w:ascii="宋体" w:hAnsi="宋体" w:cs="宋体"/>
          <w:b/>
          <w:color w:val="auto"/>
          <w:kern w:val="0"/>
          <w:sz w:val="22"/>
          <w:szCs w:val="21"/>
          <w:highlight w:val="none"/>
        </w:rPr>
      </w:pPr>
      <w:r>
        <w:rPr>
          <w:rFonts w:hint="eastAsia" w:ascii="宋体" w:hAnsi="宋体" w:cs="宋体"/>
          <w:b/>
          <w:color w:val="auto"/>
          <w:kern w:val="0"/>
          <w:sz w:val="22"/>
          <w:szCs w:val="21"/>
          <w:highlight w:val="none"/>
        </w:rPr>
        <w:t>日 期：</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备注：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（1）从业人员、营业收入、资产总额填报上一年度数据；</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新成立企业应参照国务院批准的中小企业划分标准，根据企业自身情况如实判断。认为本企业属于小微企业的，可按照《办法》的规定出具《中小企业声明函》，享受相关扶持政策。无上一年度数据的新成立企业可不填报，但需在下划线空格中填写“无上一年度数据的新成立企业”，否则做无效声明函；</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（3）中小企业划分标准文件：工信部联企业[2011]300号文件，本项目所属行业以本页为准，不允许更改；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享受小微型企业的价格扣除扶持政策：在服务采购项目中，服务的承接商应当为小微企业，不对其中涉及的货物的制造商或工程的承接商作出要求，在工程采购项目中，工程应当由小微企业承建，不对其中涉及的货物的制造商或服务的承接商作出要求；</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（5）《中小企业声明函》中表述错误、不明确、矛盾的视为无效声明函。</w:t>
      </w:r>
    </w:p>
    <w:p>
      <w:pPr>
        <w:spacing w:line="360" w:lineRule="auto"/>
        <w:rPr>
          <w:rFonts w:ascii="宋体" w:hAnsi="宋体" w:cs="宋体"/>
          <w:color w:val="auto"/>
          <w:szCs w:val="21"/>
          <w:highlight w:val="none"/>
        </w:rPr>
        <w:sectPr>
          <w:headerReference r:id="rId18" w:type="default"/>
          <w:footerReference r:id="rId19" w:type="default"/>
          <w:pgSz w:w="11907" w:h="16840"/>
          <w:pgMar w:top="1247" w:right="1134" w:bottom="1247" w:left="1134" w:header="851" w:footer="992" w:gutter="0"/>
          <w:pgNumType w:fmt="numberInDash"/>
          <w:cols w:space="720" w:num="1"/>
          <w:docGrid w:linePitch="312" w:charSpace="0"/>
        </w:sectPr>
      </w:pPr>
      <w:r>
        <w:rPr>
          <w:rFonts w:hint="eastAsia" w:ascii="宋体" w:hAnsi="宋体" w:cs="宋体"/>
          <w:color w:val="auto"/>
          <w:szCs w:val="21"/>
          <w:highlight w:val="none"/>
        </w:rPr>
        <w:t>（6）不享受小微型企业价格扣除扶持政策的企业无需填写，如为分公司进行投标必须按总公司数据进行填报。</w:t>
      </w:r>
    </w:p>
    <w:p>
      <w:pPr>
        <w:keepNext/>
        <w:keepLines/>
        <w:spacing w:before="280" w:after="290" w:line="376" w:lineRule="auto"/>
        <w:outlineLvl w:val="3"/>
        <w:rPr>
          <w:rFonts w:ascii="Cambria" w:hAnsi="Cambria"/>
          <w:b/>
          <w:bCs/>
          <w:color w:val="auto"/>
          <w:sz w:val="28"/>
          <w:szCs w:val="28"/>
        </w:rPr>
      </w:pPr>
      <w:bookmarkStart w:id="48" w:name="_GoBack"/>
      <w:r>
        <w:rPr>
          <w:rFonts w:ascii="仿宋_GB2312" w:cs="宋体"/>
          <w:b/>
          <w:color w:val="auto"/>
          <w:kern w:val="0"/>
          <w:szCs w:val="21"/>
        </w:rPr>
        <w:drawing>
          <wp:inline distT="0" distB="0" distL="114300" distR="114300">
            <wp:extent cx="5600700" cy="7762875"/>
            <wp:effectExtent l="0" t="0" r="0" b="952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31"/>
                    <a:stretch>
                      <a:fillRect/>
                    </a:stretch>
                  </pic:blipFill>
                  <pic:spPr>
                    <a:xfrm>
                      <a:off x="0" y="0"/>
                      <a:ext cx="5600700" cy="7762875"/>
                    </a:xfrm>
                    <a:prstGeom prst="rect">
                      <a:avLst/>
                    </a:prstGeom>
                    <a:noFill/>
                    <a:ln>
                      <a:noFill/>
                    </a:ln>
                  </pic:spPr>
                </pic:pic>
              </a:graphicData>
            </a:graphic>
          </wp:inline>
        </w:drawing>
      </w:r>
      <w:bookmarkEnd w:id="48"/>
      <w:r>
        <w:rPr>
          <w:rFonts w:ascii="仿宋_GB2312" w:cs="宋体"/>
          <w:b/>
          <w:color w:val="auto"/>
          <w:kern w:val="0"/>
          <w:szCs w:val="21"/>
        </w:rPr>
        <w:drawing>
          <wp:inline distT="0" distB="0" distL="114300" distR="114300">
            <wp:extent cx="5857875" cy="7791450"/>
            <wp:effectExtent l="0" t="0" r="9525" b="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32"/>
                    <a:stretch>
                      <a:fillRect/>
                    </a:stretch>
                  </pic:blipFill>
                  <pic:spPr>
                    <a:xfrm>
                      <a:off x="0" y="0"/>
                      <a:ext cx="5857875" cy="7791450"/>
                    </a:xfrm>
                    <a:prstGeom prst="rect">
                      <a:avLst/>
                    </a:prstGeom>
                    <a:noFill/>
                    <a:ln>
                      <a:noFill/>
                    </a:ln>
                  </pic:spPr>
                </pic:pic>
              </a:graphicData>
            </a:graphic>
          </wp:inline>
        </w:drawing>
      </w:r>
      <w:r>
        <w:rPr>
          <w:rFonts w:ascii="仿宋_GB2312" w:cs="宋体"/>
          <w:b/>
          <w:color w:val="auto"/>
          <w:kern w:val="0"/>
          <w:szCs w:val="21"/>
        </w:rPr>
        <w:drawing>
          <wp:inline distT="0" distB="0" distL="114300" distR="114300">
            <wp:extent cx="5772150" cy="7886700"/>
            <wp:effectExtent l="0" t="0" r="0" b="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33"/>
                    <a:stretch>
                      <a:fillRect/>
                    </a:stretch>
                  </pic:blipFill>
                  <pic:spPr>
                    <a:xfrm>
                      <a:off x="0" y="0"/>
                      <a:ext cx="5772150" cy="7886700"/>
                    </a:xfrm>
                    <a:prstGeom prst="rect">
                      <a:avLst/>
                    </a:prstGeom>
                    <a:noFill/>
                    <a:ln>
                      <a:noFill/>
                    </a:ln>
                  </pic:spPr>
                </pic:pic>
              </a:graphicData>
            </a:graphic>
          </wp:inline>
        </w:drawing>
      </w:r>
      <w:r>
        <w:rPr>
          <w:rFonts w:ascii="仿宋_GB2312" w:cs="宋体"/>
          <w:b/>
          <w:color w:val="auto"/>
          <w:kern w:val="0"/>
          <w:szCs w:val="21"/>
        </w:rPr>
        <w:drawing>
          <wp:inline distT="0" distB="0" distL="114300" distR="114300">
            <wp:extent cx="5848350" cy="2447925"/>
            <wp:effectExtent l="0" t="0" r="0" b="9525"/>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34"/>
                    <a:stretch>
                      <a:fillRect/>
                    </a:stretch>
                  </pic:blipFill>
                  <pic:spPr>
                    <a:xfrm>
                      <a:off x="0" y="0"/>
                      <a:ext cx="5848350" cy="2447925"/>
                    </a:xfrm>
                    <a:prstGeom prst="rect">
                      <a:avLst/>
                    </a:prstGeom>
                    <a:noFill/>
                    <a:ln>
                      <a:noFill/>
                    </a:ln>
                  </pic:spPr>
                </pic:pic>
              </a:graphicData>
            </a:graphic>
          </wp:inline>
        </w:drawing>
      </w:r>
    </w:p>
    <w:p>
      <w:pPr>
        <w:keepNext/>
        <w:keepLines/>
        <w:spacing w:before="280" w:after="290" w:line="376" w:lineRule="auto"/>
        <w:outlineLvl w:val="3"/>
        <w:rPr>
          <w:rFonts w:ascii="Cambria" w:hAnsi="Cambria"/>
          <w:b/>
          <w:bCs/>
          <w:color w:val="auto"/>
          <w:sz w:val="28"/>
          <w:szCs w:val="28"/>
        </w:rPr>
      </w:pPr>
    </w:p>
    <w:p>
      <w:pPr>
        <w:keepNext/>
        <w:keepLines/>
        <w:spacing w:before="280" w:after="290" w:line="376" w:lineRule="auto"/>
        <w:outlineLvl w:val="3"/>
        <w:rPr>
          <w:rFonts w:ascii="Cambria" w:hAnsi="Cambria"/>
          <w:b/>
          <w:bCs/>
          <w:color w:val="auto"/>
          <w:sz w:val="28"/>
          <w:szCs w:val="28"/>
        </w:rPr>
      </w:pPr>
    </w:p>
    <w:p>
      <w:pPr>
        <w:keepNext/>
        <w:keepLines/>
        <w:spacing w:before="280" w:after="290" w:line="376" w:lineRule="auto"/>
        <w:outlineLvl w:val="3"/>
        <w:rPr>
          <w:rFonts w:ascii="Cambria" w:hAnsi="Cambria"/>
          <w:b/>
          <w:bCs/>
          <w:color w:val="auto"/>
          <w:sz w:val="28"/>
          <w:szCs w:val="28"/>
        </w:rPr>
      </w:pPr>
    </w:p>
    <w:p>
      <w:pPr>
        <w:keepNext/>
        <w:keepLines/>
        <w:spacing w:before="280" w:after="290" w:line="376" w:lineRule="auto"/>
        <w:outlineLvl w:val="3"/>
        <w:rPr>
          <w:rFonts w:ascii="Cambria" w:hAnsi="Cambria"/>
          <w:b/>
          <w:bCs/>
          <w:color w:val="auto"/>
          <w:sz w:val="28"/>
          <w:szCs w:val="28"/>
        </w:rPr>
      </w:pPr>
    </w:p>
    <w:p>
      <w:pPr>
        <w:keepNext/>
        <w:keepLines/>
        <w:spacing w:before="280" w:after="290" w:line="376" w:lineRule="auto"/>
        <w:outlineLvl w:val="3"/>
        <w:rPr>
          <w:rFonts w:ascii="Cambria" w:hAnsi="Cambria"/>
          <w:b/>
          <w:bCs/>
          <w:color w:val="auto"/>
          <w:sz w:val="28"/>
          <w:szCs w:val="28"/>
        </w:rPr>
      </w:pPr>
    </w:p>
    <w:p>
      <w:pPr>
        <w:keepNext/>
        <w:keepLines/>
        <w:spacing w:before="280" w:after="290" w:line="376" w:lineRule="auto"/>
        <w:outlineLvl w:val="3"/>
        <w:rPr>
          <w:rFonts w:ascii="Cambria" w:hAnsi="Cambria"/>
          <w:b/>
          <w:bCs/>
          <w:color w:val="auto"/>
          <w:sz w:val="28"/>
          <w:szCs w:val="28"/>
        </w:rPr>
      </w:pPr>
    </w:p>
    <w:p>
      <w:pPr>
        <w:keepNext/>
        <w:keepLines/>
        <w:spacing w:before="280" w:after="290" w:line="376" w:lineRule="auto"/>
        <w:outlineLvl w:val="3"/>
        <w:rPr>
          <w:rFonts w:ascii="Cambria" w:hAnsi="Cambria"/>
          <w:b/>
          <w:bCs/>
          <w:color w:val="auto"/>
          <w:sz w:val="28"/>
          <w:szCs w:val="28"/>
        </w:rPr>
      </w:pPr>
    </w:p>
    <w:p>
      <w:pPr>
        <w:keepNext/>
        <w:keepLines/>
        <w:spacing w:before="280" w:after="290" w:line="376" w:lineRule="auto"/>
        <w:outlineLvl w:val="3"/>
        <w:rPr>
          <w:rFonts w:ascii="Cambria" w:hAnsi="Cambria"/>
          <w:b/>
          <w:bCs/>
          <w:color w:val="auto"/>
          <w:sz w:val="28"/>
          <w:szCs w:val="28"/>
        </w:rPr>
      </w:pPr>
    </w:p>
    <w:p>
      <w:pPr>
        <w:keepNext/>
        <w:keepLines/>
        <w:spacing w:before="280" w:after="290" w:line="376" w:lineRule="auto"/>
        <w:outlineLvl w:val="3"/>
        <w:rPr>
          <w:rFonts w:ascii="Cambria" w:hAnsi="Cambria"/>
          <w:b/>
          <w:bCs/>
          <w:color w:val="auto"/>
          <w:sz w:val="28"/>
          <w:szCs w:val="28"/>
        </w:rPr>
      </w:pPr>
    </w:p>
    <w:p>
      <w:pPr>
        <w:keepNext/>
        <w:keepLines/>
        <w:spacing w:before="280" w:after="290" w:line="376" w:lineRule="auto"/>
        <w:outlineLvl w:val="3"/>
        <w:rPr>
          <w:rFonts w:ascii="Cambria" w:hAnsi="Cambria"/>
          <w:b/>
          <w:bCs/>
          <w:color w:val="auto"/>
          <w:sz w:val="28"/>
          <w:szCs w:val="28"/>
        </w:rPr>
      </w:pPr>
    </w:p>
    <w:p>
      <w:pPr>
        <w:keepNext/>
        <w:keepLines/>
        <w:spacing w:before="280" w:after="290" w:line="376" w:lineRule="auto"/>
        <w:outlineLvl w:val="3"/>
        <w:rPr>
          <w:rFonts w:ascii="Cambria" w:hAnsi="Cambria"/>
          <w:b/>
          <w:bCs/>
          <w:color w:val="auto"/>
          <w:sz w:val="28"/>
          <w:szCs w:val="28"/>
        </w:rPr>
      </w:pPr>
    </w:p>
    <w:p>
      <w:pPr>
        <w:keepNext/>
        <w:keepLines/>
        <w:spacing w:before="280" w:after="290" w:line="376" w:lineRule="auto"/>
        <w:outlineLvl w:val="3"/>
        <w:rPr>
          <w:rFonts w:ascii="Cambria" w:hAnsi="Cambria"/>
          <w:b/>
          <w:bCs/>
          <w:color w:val="auto"/>
          <w:sz w:val="28"/>
          <w:szCs w:val="28"/>
        </w:rPr>
      </w:pPr>
    </w:p>
    <w:p>
      <w:pPr>
        <w:keepNext/>
        <w:keepLines/>
        <w:spacing w:before="280" w:after="290" w:line="376" w:lineRule="auto"/>
        <w:outlineLvl w:val="3"/>
        <w:rPr>
          <w:rFonts w:ascii="Cambria" w:hAnsi="Cambria"/>
          <w:b/>
          <w:bCs/>
          <w:color w:val="auto"/>
          <w:sz w:val="28"/>
          <w:szCs w:val="28"/>
        </w:rPr>
      </w:pPr>
      <w:r>
        <w:rPr>
          <w:rFonts w:hint="eastAsia" w:ascii="Cambria" w:hAnsi="Cambria"/>
          <w:b/>
          <w:bCs/>
          <w:color w:val="auto"/>
          <w:sz w:val="28"/>
          <w:szCs w:val="28"/>
        </w:rPr>
        <w:t>3.4.2 残疾人福利性单位声明函（如是）</w:t>
      </w:r>
    </w:p>
    <w:p>
      <w:pPr>
        <w:widowControl/>
        <w:jc w:val="left"/>
        <w:rPr>
          <w:rFonts w:ascii="宋体" w:hAnsi="宋体" w:cs="宋体"/>
          <w:color w:val="auto"/>
          <w:kern w:val="0"/>
          <w:sz w:val="24"/>
          <w:szCs w:val="22"/>
        </w:rPr>
      </w:pPr>
    </w:p>
    <w:p>
      <w:pPr>
        <w:widowControl/>
        <w:spacing w:line="360" w:lineRule="auto"/>
        <w:jc w:val="center"/>
        <w:rPr>
          <w:rFonts w:ascii="华文中宋" w:hAnsi="华文中宋" w:eastAsia="华文中宋" w:cs="宋体"/>
          <w:b/>
          <w:color w:val="auto"/>
          <w:kern w:val="0"/>
          <w:sz w:val="44"/>
          <w:szCs w:val="44"/>
        </w:rPr>
      </w:pPr>
      <w:r>
        <w:rPr>
          <w:rFonts w:hint="eastAsia" w:ascii="华文中宋" w:hAnsi="华文中宋" w:eastAsia="华文中宋" w:cs="宋体"/>
          <w:b/>
          <w:color w:val="auto"/>
          <w:kern w:val="0"/>
          <w:sz w:val="44"/>
          <w:szCs w:val="44"/>
        </w:rPr>
        <w:t>残疾人福利性单位声明函</w:t>
      </w:r>
    </w:p>
    <w:p>
      <w:pPr>
        <w:widowControl/>
        <w:spacing w:line="360" w:lineRule="auto"/>
        <w:jc w:val="center"/>
        <w:rPr>
          <w:rFonts w:ascii="仿宋_GB2312" w:hAnsi="宋体" w:eastAsia="仿宋_GB2312" w:cs="宋体"/>
          <w:b/>
          <w:color w:val="auto"/>
          <w:spacing w:val="6"/>
          <w:kern w:val="0"/>
          <w:sz w:val="32"/>
          <w:szCs w:val="32"/>
        </w:rPr>
      </w:pPr>
    </w:p>
    <w:p>
      <w:pPr>
        <w:widowControl/>
        <w:spacing w:line="360" w:lineRule="auto"/>
        <w:ind w:firstLine="584" w:firstLineChars="200"/>
        <w:jc w:val="left"/>
        <w:rPr>
          <w:rFonts w:ascii="仿宋" w:hAnsi="仿宋" w:eastAsia="仿宋" w:cs="宋体"/>
          <w:color w:val="auto"/>
          <w:spacing w:val="6"/>
          <w:kern w:val="0"/>
          <w:sz w:val="28"/>
          <w:szCs w:val="22"/>
        </w:rPr>
      </w:pPr>
      <w:r>
        <w:rPr>
          <w:rFonts w:hint="eastAsia" w:ascii="仿宋" w:hAnsi="仿宋" w:eastAsia="仿宋" w:cs="宋体"/>
          <w:color w:val="auto"/>
          <w:spacing w:val="6"/>
          <w:kern w:val="0"/>
          <w:sz w:val="28"/>
          <w:szCs w:val="22"/>
        </w:rPr>
        <w:t>本单位郑重声明，根据《财政部</w:t>
      </w:r>
      <w:r>
        <w:rPr>
          <w:rFonts w:ascii="仿宋" w:hAnsi="仿宋" w:eastAsia="仿宋" w:cs="宋体"/>
          <w:color w:val="auto"/>
          <w:spacing w:val="6"/>
          <w:kern w:val="0"/>
          <w:sz w:val="28"/>
          <w:szCs w:val="22"/>
        </w:rPr>
        <w:t xml:space="preserve"> </w:t>
      </w:r>
      <w:r>
        <w:rPr>
          <w:rFonts w:hint="eastAsia" w:ascii="仿宋" w:hAnsi="仿宋" w:eastAsia="仿宋" w:cs="宋体"/>
          <w:color w:val="auto"/>
          <w:spacing w:val="6"/>
          <w:kern w:val="0"/>
          <w:sz w:val="28"/>
          <w:szCs w:val="22"/>
        </w:rPr>
        <w:t>民政部</w:t>
      </w:r>
      <w:r>
        <w:rPr>
          <w:rFonts w:ascii="仿宋" w:hAnsi="仿宋" w:eastAsia="仿宋" w:cs="宋体"/>
          <w:color w:val="auto"/>
          <w:spacing w:val="6"/>
          <w:kern w:val="0"/>
          <w:sz w:val="28"/>
          <w:szCs w:val="22"/>
        </w:rPr>
        <w:t xml:space="preserve"> </w:t>
      </w:r>
      <w:r>
        <w:rPr>
          <w:rFonts w:hint="eastAsia" w:ascii="仿宋" w:hAnsi="仿宋" w:eastAsia="仿宋" w:cs="宋体"/>
          <w:color w:val="auto"/>
          <w:spacing w:val="6"/>
          <w:kern w:val="0"/>
          <w:sz w:val="28"/>
          <w:szCs w:val="22"/>
        </w:rPr>
        <w:t>中国残疾人联合会关于促进残疾人就业政府采购政策的通知》（财库</w:t>
      </w:r>
      <w:r>
        <w:rPr>
          <w:rFonts w:hint="eastAsia" w:ascii="仿宋" w:hAnsi="仿宋" w:eastAsia="仿宋" w:cs="宋体"/>
          <w:color w:val="auto"/>
          <w:kern w:val="0"/>
          <w:sz w:val="28"/>
          <w:szCs w:val="22"/>
        </w:rPr>
        <w:t>〔</w:t>
      </w:r>
      <w:r>
        <w:rPr>
          <w:rFonts w:ascii="仿宋" w:hAnsi="仿宋" w:eastAsia="仿宋" w:cs="宋体"/>
          <w:color w:val="auto"/>
          <w:kern w:val="0"/>
          <w:sz w:val="28"/>
          <w:szCs w:val="22"/>
        </w:rPr>
        <w:t>2017</w:t>
      </w:r>
      <w:r>
        <w:rPr>
          <w:rFonts w:hint="eastAsia" w:ascii="仿宋" w:hAnsi="仿宋" w:eastAsia="仿宋" w:cs="宋体"/>
          <w:color w:val="auto"/>
          <w:kern w:val="0"/>
          <w:sz w:val="28"/>
          <w:szCs w:val="22"/>
        </w:rPr>
        <w:t>〕</w:t>
      </w:r>
      <w:r>
        <w:rPr>
          <w:rFonts w:ascii="仿宋" w:hAnsi="仿宋" w:eastAsia="仿宋" w:cs="宋体"/>
          <w:color w:val="auto"/>
          <w:kern w:val="0"/>
          <w:sz w:val="28"/>
          <w:szCs w:val="22"/>
        </w:rPr>
        <w:t>141</w:t>
      </w:r>
      <w:r>
        <w:rPr>
          <w:rFonts w:hint="eastAsia" w:ascii="仿宋" w:hAnsi="仿宋" w:eastAsia="仿宋" w:cs="宋体"/>
          <w:color w:val="auto"/>
          <w:spacing w:val="6"/>
          <w:kern w:val="0"/>
          <w:sz w:val="28"/>
          <w:szCs w:val="22"/>
        </w:rPr>
        <w:t>号）的规定，本单位为符合条件的残疾人福利性单位，且本单位参加</w:t>
      </w:r>
      <w:r>
        <w:rPr>
          <w:rFonts w:hint="eastAsia" w:ascii="仿宋" w:hAnsi="仿宋" w:eastAsia="仿宋" w:cs="Arial"/>
          <w:b/>
          <w:color w:val="auto"/>
          <w:kern w:val="0"/>
          <w:sz w:val="28"/>
          <w:szCs w:val="28"/>
          <w:u w:val="single"/>
        </w:rPr>
        <w:t xml:space="preserve"> 苍南县人民医院布品租赁及洗涤服务项目（项目编号：             ）</w:t>
      </w:r>
      <w:r>
        <w:rPr>
          <w:rFonts w:hint="eastAsia" w:ascii="仿宋" w:hAnsi="仿宋" w:eastAsia="仿宋" w:cs="宋体"/>
          <w:color w:val="auto"/>
          <w:spacing w:val="6"/>
          <w:kern w:val="0"/>
          <w:sz w:val="28"/>
          <w:szCs w:val="22"/>
        </w:rPr>
        <w:t>的采购活动提供本单位制造的货物（由本单位承担工程</w:t>
      </w:r>
      <w:r>
        <w:rPr>
          <w:rFonts w:ascii="仿宋" w:hAnsi="仿宋" w:eastAsia="仿宋" w:cs="宋体"/>
          <w:color w:val="auto"/>
          <w:spacing w:val="6"/>
          <w:kern w:val="0"/>
          <w:sz w:val="28"/>
          <w:szCs w:val="22"/>
        </w:rPr>
        <w:t>/</w:t>
      </w:r>
      <w:r>
        <w:rPr>
          <w:rFonts w:hint="eastAsia" w:ascii="仿宋" w:hAnsi="仿宋" w:eastAsia="仿宋" w:cs="宋体"/>
          <w:color w:val="auto"/>
          <w:spacing w:val="6"/>
          <w:kern w:val="0"/>
          <w:sz w:val="28"/>
          <w:szCs w:val="22"/>
        </w:rPr>
        <w:t>提供服务），或者提供其他残疾人福利性单位制造的货物（不包括使用非残疾人福利性单位注册商标的货物）。</w:t>
      </w:r>
    </w:p>
    <w:p>
      <w:pPr>
        <w:widowControl/>
        <w:spacing w:line="360" w:lineRule="auto"/>
        <w:ind w:firstLine="584" w:firstLineChars="200"/>
        <w:jc w:val="left"/>
        <w:rPr>
          <w:rFonts w:ascii="仿宋" w:hAnsi="仿宋" w:eastAsia="仿宋" w:cs="宋体"/>
          <w:color w:val="auto"/>
          <w:spacing w:val="6"/>
          <w:kern w:val="0"/>
          <w:sz w:val="24"/>
          <w:szCs w:val="22"/>
        </w:rPr>
      </w:pPr>
      <w:r>
        <w:rPr>
          <w:rFonts w:hint="eastAsia" w:ascii="仿宋" w:hAnsi="仿宋" w:eastAsia="仿宋" w:cs="宋体"/>
          <w:color w:val="auto"/>
          <w:spacing w:val="6"/>
          <w:kern w:val="0"/>
          <w:sz w:val="28"/>
          <w:szCs w:val="22"/>
        </w:rPr>
        <w:t>本单位对上述声明的真实性负责。如有虚假，将依法承担相应责任。</w:t>
      </w:r>
    </w:p>
    <w:p>
      <w:pPr>
        <w:widowControl/>
        <w:spacing w:line="360" w:lineRule="auto"/>
        <w:ind w:firstLine="504" w:firstLineChars="200"/>
        <w:jc w:val="left"/>
        <w:rPr>
          <w:rFonts w:ascii="仿宋" w:hAnsi="仿宋" w:eastAsia="仿宋" w:cs="宋体"/>
          <w:color w:val="auto"/>
          <w:spacing w:val="6"/>
          <w:kern w:val="0"/>
          <w:sz w:val="24"/>
          <w:szCs w:val="22"/>
        </w:rPr>
      </w:pPr>
    </w:p>
    <w:p>
      <w:pPr>
        <w:widowControl/>
        <w:spacing w:line="360" w:lineRule="auto"/>
        <w:ind w:firstLine="504" w:firstLineChars="200"/>
        <w:jc w:val="left"/>
        <w:rPr>
          <w:rFonts w:ascii="仿宋" w:hAnsi="仿宋" w:eastAsia="仿宋" w:cs="宋体"/>
          <w:color w:val="auto"/>
          <w:spacing w:val="6"/>
          <w:kern w:val="0"/>
          <w:sz w:val="24"/>
          <w:szCs w:val="22"/>
        </w:rPr>
      </w:pPr>
    </w:p>
    <w:p>
      <w:pPr>
        <w:widowControl/>
        <w:tabs>
          <w:tab w:val="left" w:pos="4860"/>
        </w:tabs>
        <w:spacing w:line="360" w:lineRule="auto"/>
        <w:ind w:right="1560"/>
        <w:jc w:val="left"/>
        <w:rPr>
          <w:rFonts w:ascii="仿宋" w:hAnsi="仿宋" w:eastAsia="仿宋" w:cs="宋体"/>
          <w:color w:val="auto"/>
          <w:spacing w:val="6"/>
          <w:kern w:val="0"/>
          <w:sz w:val="28"/>
          <w:szCs w:val="22"/>
        </w:rPr>
      </w:pPr>
      <w:r>
        <w:rPr>
          <w:rFonts w:hint="eastAsia" w:ascii="仿宋" w:hAnsi="仿宋" w:eastAsia="仿宋" w:cs="宋体"/>
          <w:color w:val="auto"/>
          <w:spacing w:val="6"/>
          <w:kern w:val="0"/>
          <w:sz w:val="28"/>
          <w:szCs w:val="22"/>
        </w:rPr>
        <w:t>单位名称（盖章）：</w:t>
      </w:r>
      <w:r>
        <w:rPr>
          <w:rFonts w:ascii="仿宋" w:hAnsi="仿宋" w:eastAsia="仿宋" w:cs="Arial"/>
          <w:color w:val="auto"/>
          <w:w w:val="90"/>
          <w:kern w:val="0"/>
          <w:sz w:val="28"/>
          <w:szCs w:val="22"/>
        </w:rPr>
        <w:t>__________________________________</w:t>
      </w:r>
    </w:p>
    <w:p>
      <w:pPr>
        <w:widowControl/>
        <w:tabs>
          <w:tab w:val="left" w:pos="4860"/>
        </w:tabs>
        <w:spacing w:line="360" w:lineRule="auto"/>
        <w:ind w:right="1560"/>
        <w:jc w:val="left"/>
        <w:rPr>
          <w:rFonts w:ascii="仿宋" w:hAnsi="仿宋" w:eastAsia="仿宋" w:cs="宋体"/>
          <w:color w:val="auto"/>
          <w:spacing w:val="6"/>
          <w:kern w:val="0"/>
          <w:sz w:val="28"/>
          <w:szCs w:val="22"/>
        </w:rPr>
      </w:pPr>
    </w:p>
    <w:p>
      <w:pPr>
        <w:widowControl/>
        <w:spacing w:line="360" w:lineRule="auto"/>
        <w:jc w:val="left"/>
        <w:rPr>
          <w:rFonts w:ascii="仿宋" w:hAnsi="仿宋" w:eastAsia="仿宋" w:cs="Arial"/>
          <w:color w:val="auto"/>
          <w:w w:val="90"/>
          <w:kern w:val="0"/>
          <w:sz w:val="28"/>
          <w:szCs w:val="22"/>
        </w:rPr>
      </w:pPr>
      <w:r>
        <w:rPr>
          <w:rFonts w:hint="eastAsia" w:ascii="仿宋" w:hAnsi="仿宋" w:eastAsia="仿宋" w:cs="宋体"/>
          <w:color w:val="auto"/>
          <w:spacing w:val="6"/>
          <w:kern w:val="0"/>
          <w:sz w:val="28"/>
          <w:szCs w:val="22"/>
        </w:rPr>
        <w:t>日</w:t>
      </w:r>
      <w:r>
        <w:rPr>
          <w:rFonts w:ascii="仿宋" w:hAnsi="仿宋" w:eastAsia="仿宋" w:cs="宋体"/>
          <w:color w:val="auto"/>
          <w:spacing w:val="6"/>
          <w:kern w:val="0"/>
          <w:sz w:val="28"/>
          <w:szCs w:val="22"/>
        </w:rPr>
        <w:t xml:space="preserve">  </w:t>
      </w:r>
      <w:r>
        <w:rPr>
          <w:rFonts w:hint="eastAsia" w:ascii="仿宋" w:hAnsi="仿宋" w:eastAsia="仿宋" w:cs="宋体"/>
          <w:color w:val="auto"/>
          <w:spacing w:val="6"/>
          <w:kern w:val="0"/>
          <w:sz w:val="28"/>
          <w:szCs w:val="22"/>
        </w:rPr>
        <w:t>期：</w:t>
      </w:r>
      <w:r>
        <w:rPr>
          <w:rFonts w:ascii="仿宋" w:hAnsi="仿宋" w:eastAsia="仿宋" w:cs="Arial"/>
          <w:color w:val="auto"/>
          <w:w w:val="90"/>
          <w:kern w:val="0"/>
          <w:sz w:val="28"/>
          <w:szCs w:val="22"/>
        </w:rPr>
        <w:t>____________________________________________</w:t>
      </w:r>
    </w:p>
    <w:p>
      <w:pPr>
        <w:rPr>
          <w:rFonts w:ascii="宋体" w:hAnsi="宋体" w:cs="宋体"/>
          <w:bCs/>
          <w:color w:val="auto"/>
          <w:sz w:val="32"/>
          <w:szCs w:val="32"/>
        </w:rPr>
      </w:pPr>
      <w:r>
        <w:rPr>
          <w:rFonts w:hint="eastAsia" w:ascii="宋体" w:hAnsi="宋体" w:cs="宋体"/>
          <w:b/>
          <w:color w:val="auto"/>
          <w:szCs w:val="21"/>
        </w:rPr>
        <w:br w:type="page"/>
      </w:r>
    </w:p>
    <w:p>
      <w:pPr>
        <w:spacing w:before="240" w:after="60"/>
        <w:outlineLvl w:val="0"/>
        <w:rPr>
          <w:rFonts w:ascii="宋体" w:hAnsi="宋体" w:cs="宋体"/>
          <w:bCs/>
          <w:color w:val="auto"/>
          <w:sz w:val="32"/>
          <w:szCs w:val="32"/>
        </w:rPr>
      </w:pPr>
      <w:r>
        <w:rPr>
          <w:rFonts w:hint="eastAsia" w:ascii="宋体" w:hAnsi="宋体" w:cs="宋体"/>
          <w:bCs/>
          <w:color w:val="auto"/>
          <w:sz w:val="32"/>
          <w:szCs w:val="32"/>
        </w:rPr>
        <w:t>附：中小企业政府采购信用融资材料</w:t>
      </w:r>
    </w:p>
    <w:p>
      <w:pPr>
        <w:jc w:val="center"/>
        <w:rPr>
          <w:rFonts w:ascii="仿宋_GB2312" w:cs="宋体"/>
          <w:b/>
          <w:color w:val="auto"/>
          <w:kern w:val="0"/>
          <w:sz w:val="36"/>
          <w:szCs w:val="36"/>
        </w:rPr>
      </w:pPr>
    </w:p>
    <w:p>
      <w:pPr>
        <w:jc w:val="center"/>
        <w:rPr>
          <w:rFonts w:ascii="仿宋" w:hAnsi="仿宋" w:eastAsia="仿宋" w:cs="仿宋"/>
          <w:bCs/>
          <w:color w:val="auto"/>
          <w:kern w:val="0"/>
          <w:sz w:val="36"/>
          <w:szCs w:val="36"/>
        </w:rPr>
      </w:pPr>
      <w:r>
        <w:rPr>
          <w:rFonts w:hint="eastAsia" w:ascii="仿宋" w:hAnsi="仿宋" w:eastAsia="仿宋" w:cs="仿宋"/>
          <w:bCs/>
          <w:color w:val="auto"/>
          <w:kern w:val="0"/>
          <w:sz w:val="36"/>
          <w:szCs w:val="36"/>
        </w:rPr>
        <w:t>温州市政府采购信用融资意向银行选择表</w:t>
      </w:r>
    </w:p>
    <w:p>
      <w:pPr>
        <w:jc w:val="center"/>
        <w:rPr>
          <w:rFonts w:ascii="仿宋" w:hAnsi="仿宋" w:eastAsia="仿宋" w:cs="仿宋"/>
          <w:bCs/>
          <w:color w:val="auto"/>
          <w:kern w:val="0"/>
          <w:sz w:val="36"/>
          <w:szCs w:val="36"/>
        </w:rPr>
      </w:pPr>
      <w:r>
        <w:rPr>
          <w:rFonts w:hint="eastAsia" w:ascii="仿宋" w:hAnsi="仿宋" w:eastAsia="仿宋" w:cs="仿宋"/>
          <w:bCs/>
          <w:color w:val="auto"/>
          <w:kern w:val="0"/>
          <w:sz w:val="32"/>
          <w:szCs w:val="32"/>
        </w:rPr>
        <w:t>（温州市供应商填写）</w:t>
      </w:r>
    </w:p>
    <w:tbl>
      <w:tblPr>
        <w:tblStyle w:val="38"/>
        <w:tblW w:w="9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851"/>
        <w:gridCol w:w="1559"/>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spacing w:line="360" w:lineRule="auto"/>
              <w:jc w:val="center"/>
              <w:rPr>
                <w:rFonts w:ascii="仿宋" w:hAnsi="仿宋" w:eastAsia="仿宋" w:cs="仿宋"/>
                <w:bCs/>
                <w:color w:val="auto"/>
                <w:sz w:val="28"/>
                <w:szCs w:val="28"/>
              </w:rPr>
            </w:pPr>
            <w:r>
              <w:rPr>
                <w:rFonts w:hint="eastAsia" w:ascii="仿宋" w:hAnsi="仿宋" w:eastAsia="仿宋" w:cs="仿宋"/>
                <w:bCs/>
                <w:color w:val="auto"/>
                <w:sz w:val="28"/>
                <w:szCs w:val="28"/>
              </w:rPr>
              <w:t>企业名称</w:t>
            </w:r>
          </w:p>
        </w:tc>
        <w:tc>
          <w:tcPr>
            <w:tcW w:w="7794" w:type="dxa"/>
            <w:gridSpan w:val="5"/>
          </w:tcPr>
          <w:p>
            <w:pPr>
              <w:spacing w:line="360" w:lineRule="auto"/>
              <w:jc w:val="center"/>
              <w:rPr>
                <w:rFonts w:ascii="仿宋" w:hAnsi="仿宋" w:eastAsia="仿宋" w:cs="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spacing w:line="360" w:lineRule="auto"/>
              <w:jc w:val="center"/>
              <w:rPr>
                <w:rFonts w:ascii="仿宋" w:hAnsi="仿宋" w:eastAsia="仿宋" w:cs="仿宋"/>
                <w:bCs/>
                <w:color w:val="auto"/>
                <w:sz w:val="28"/>
                <w:szCs w:val="28"/>
              </w:rPr>
            </w:pPr>
            <w:r>
              <w:rPr>
                <w:rFonts w:hint="eastAsia" w:ascii="仿宋" w:hAnsi="仿宋" w:eastAsia="仿宋" w:cs="仿宋"/>
                <w:bCs/>
                <w:color w:val="auto"/>
                <w:sz w:val="28"/>
                <w:szCs w:val="28"/>
              </w:rPr>
              <w:t>企业注册地</w:t>
            </w:r>
          </w:p>
        </w:tc>
        <w:tc>
          <w:tcPr>
            <w:tcW w:w="3685" w:type="dxa"/>
            <w:gridSpan w:val="2"/>
          </w:tcPr>
          <w:p>
            <w:pPr>
              <w:spacing w:line="360" w:lineRule="auto"/>
              <w:jc w:val="center"/>
              <w:rPr>
                <w:rFonts w:ascii="仿宋" w:hAnsi="仿宋" w:eastAsia="仿宋" w:cs="仿宋"/>
                <w:bCs/>
                <w:color w:val="auto"/>
                <w:sz w:val="28"/>
                <w:szCs w:val="28"/>
              </w:rPr>
            </w:pPr>
          </w:p>
        </w:tc>
        <w:tc>
          <w:tcPr>
            <w:tcW w:w="2410" w:type="dxa"/>
            <w:gridSpan w:val="2"/>
          </w:tcPr>
          <w:p>
            <w:pPr>
              <w:spacing w:line="360" w:lineRule="auto"/>
              <w:jc w:val="center"/>
              <w:rPr>
                <w:rFonts w:ascii="仿宋" w:hAnsi="仿宋" w:eastAsia="仿宋" w:cs="仿宋"/>
                <w:bCs/>
                <w:color w:val="auto"/>
                <w:sz w:val="28"/>
                <w:szCs w:val="28"/>
              </w:rPr>
            </w:pPr>
            <w:r>
              <w:rPr>
                <w:rFonts w:hint="eastAsia" w:ascii="仿宋" w:hAnsi="仿宋" w:eastAsia="仿宋" w:cs="仿宋"/>
                <w:bCs/>
                <w:color w:val="auto"/>
                <w:sz w:val="28"/>
                <w:szCs w:val="28"/>
              </w:rPr>
              <w:t>是否有融资意向</w:t>
            </w:r>
          </w:p>
        </w:tc>
        <w:tc>
          <w:tcPr>
            <w:tcW w:w="1699" w:type="dxa"/>
          </w:tcPr>
          <w:p>
            <w:pPr>
              <w:spacing w:line="360" w:lineRule="auto"/>
              <w:jc w:val="center"/>
              <w:rPr>
                <w:rFonts w:ascii="仿宋" w:hAnsi="仿宋" w:eastAsia="仿宋" w:cs="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668" w:type="dxa"/>
          </w:tcPr>
          <w:p>
            <w:pPr>
              <w:spacing w:line="360" w:lineRule="auto"/>
              <w:jc w:val="center"/>
              <w:rPr>
                <w:rFonts w:ascii="仿宋" w:hAnsi="仿宋" w:eastAsia="仿宋" w:cs="仿宋"/>
                <w:bCs/>
                <w:color w:val="auto"/>
                <w:sz w:val="28"/>
                <w:szCs w:val="28"/>
              </w:rPr>
            </w:pPr>
            <w:r>
              <w:rPr>
                <w:rFonts w:hint="eastAsia" w:ascii="仿宋" w:hAnsi="仿宋" w:eastAsia="仿宋" w:cs="仿宋"/>
                <w:bCs/>
                <w:color w:val="auto"/>
                <w:sz w:val="28"/>
                <w:szCs w:val="28"/>
              </w:rPr>
              <w:t>融资联系人</w:t>
            </w:r>
          </w:p>
        </w:tc>
        <w:tc>
          <w:tcPr>
            <w:tcW w:w="2268" w:type="dxa"/>
          </w:tcPr>
          <w:p>
            <w:pPr>
              <w:spacing w:line="360" w:lineRule="auto"/>
              <w:jc w:val="center"/>
              <w:rPr>
                <w:rFonts w:ascii="仿宋" w:hAnsi="仿宋" w:eastAsia="仿宋" w:cs="仿宋"/>
                <w:bCs/>
                <w:color w:val="auto"/>
                <w:sz w:val="28"/>
                <w:szCs w:val="28"/>
              </w:rPr>
            </w:pPr>
          </w:p>
        </w:tc>
        <w:tc>
          <w:tcPr>
            <w:tcW w:w="2268" w:type="dxa"/>
            <w:gridSpan w:val="2"/>
          </w:tcPr>
          <w:p>
            <w:pPr>
              <w:spacing w:line="360" w:lineRule="auto"/>
              <w:jc w:val="center"/>
              <w:rPr>
                <w:rFonts w:ascii="仿宋" w:hAnsi="仿宋" w:eastAsia="仿宋" w:cs="仿宋"/>
                <w:bCs/>
                <w:color w:val="auto"/>
                <w:sz w:val="28"/>
                <w:szCs w:val="28"/>
              </w:rPr>
            </w:pPr>
            <w:r>
              <w:rPr>
                <w:rFonts w:hint="eastAsia" w:ascii="仿宋" w:hAnsi="仿宋" w:eastAsia="仿宋" w:cs="仿宋"/>
                <w:bCs/>
                <w:color w:val="auto"/>
                <w:sz w:val="28"/>
                <w:szCs w:val="28"/>
              </w:rPr>
              <w:t>联系方式</w:t>
            </w:r>
          </w:p>
        </w:tc>
        <w:tc>
          <w:tcPr>
            <w:tcW w:w="3258" w:type="dxa"/>
            <w:gridSpan w:val="2"/>
          </w:tcPr>
          <w:p>
            <w:pPr>
              <w:spacing w:line="360" w:lineRule="auto"/>
              <w:jc w:val="center"/>
              <w:rPr>
                <w:rFonts w:ascii="仿宋" w:hAnsi="仿宋" w:eastAsia="仿宋" w:cs="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vAlign w:val="center"/>
          </w:tcPr>
          <w:p>
            <w:pPr>
              <w:spacing w:line="360" w:lineRule="auto"/>
              <w:jc w:val="center"/>
              <w:rPr>
                <w:rFonts w:ascii="仿宋" w:hAnsi="仿宋" w:eastAsia="仿宋" w:cs="仿宋"/>
                <w:bCs/>
                <w:color w:val="auto"/>
                <w:sz w:val="30"/>
                <w:szCs w:val="30"/>
              </w:rPr>
            </w:pPr>
            <w:r>
              <w:rPr>
                <w:rFonts w:hint="eastAsia" w:ascii="仿宋" w:hAnsi="仿宋" w:eastAsia="仿宋" w:cs="仿宋"/>
                <w:bCs/>
                <w:color w:val="auto"/>
                <w:sz w:val="30"/>
                <w:szCs w:val="30"/>
              </w:rPr>
              <w:t>温州市政府采购信用融资合作银行</w:t>
            </w:r>
          </w:p>
        </w:tc>
        <w:tc>
          <w:tcPr>
            <w:tcW w:w="3258" w:type="dxa"/>
            <w:gridSpan w:val="2"/>
          </w:tcPr>
          <w:p>
            <w:pPr>
              <w:spacing w:line="360" w:lineRule="auto"/>
              <w:jc w:val="center"/>
              <w:rPr>
                <w:rFonts w:ascii="仿宋" w:hAnsi="仿宋" w:eastAsia="仿宋" w:cs="仿宋"/>
                <w:bCs/>
                <w:color w:val="auto"/>
                <w:sz w:val="30"/>
                <w:szCs w:val="30"/>
              </w:rPr>
            </w:pPr>
            <w:r>
              <w:rPr>
                <w:rFonts w:hint="eastAsia" w:ascii="仿宋" w:hAnsi="仿宋" w:eastAsia="仿宋" w:cs="仿宋"/>
                <w:bCs/>
                <w:color w:val="auto"/>
                <w:sz w:val="30"/>
                <w:szCs w:val="30"/>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tcPr>
          <w:p>
            <w:pPr>
              <w:spacing w:line="360" w:lineRule="auto"/>
              <w:jc w:val="left"/>
              <w:rPr>
                <w:rFonts w:ascii="仿宋" w:hAnsi="仿宋" w:eastAsia="仿宋" w:cs="仿宋"/>
                <w:bCs/>
                <w:color w:val="auto"/>
                <w:sz w:val="30"/>
                <w:szCs w:val="30"/>
              </w:rPr>
            </w:pPr>
            <w:r>
              <w:rPr>
                <w:rFonts w:hint="eastAsia" w:ascii="仿宋" w:hAnsi="仿宋" w:eastAsia="仿宋" w:cs="仿宋"/>
                <w:bCs/>
                <w:color w:val="auto"/>
                <w:sz w:val="30"/>
                <w:szCs w:val="30"/>
              </w:rPr>
              <w:t>温州银行股份有限公司温州分行</w:t>
            </w:r>
          </w:p>
        </w:tc>
        <w:tc>
          <w:tcPr>
            <w:tcW w:w="3258" w:type="dxa"/>
            <w:gridSpan w:val="2"/>
          </w:tcPr>
          <w:p>
            <w:pPr>
              <w:spacing w:line="360" w:lineRule="auto"/>
              <w:jc w:val="left"/>
              <w:rPr>
                <w:rFonts w:ascii="仿宋" w:hAnsi="仿宋" w:eastAsia="仿宋" w:cs="仿宋"/>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tcPr>
          <w:p>
            <w:pPr>
              <w:spacing w:line="360" w:lineRule="auto"/>
              <w:jc w:val="left"/>
              <w:rPr>
                <w:rFonts w:ascii="仿宋" w:hAnsi="仿宋" w:eastAsia="仿宋" w:cs="仿宋"/>
                <w:bCs/>
                <w:color w:val="auto"/>
                <w:sz w:val="30"/>
                <w:szCs w:val="30"/>
              </w:rPr>
            </w:pPr>
            <w:r>
              <w:rPr>
                <w:rFonts w:hint="eastAsia" w:ascii="仿宋" w:hAnsi="仿宋" w:eastAsia="仿宋" w:cs="仿宋"/>
                <w:bCs/>
                <w:color w:val="auto"/>
                <w:sz w:val="30"/>
                <w:szCs w:val="30"/>
              </w:rPr>
              <w:t>温州银行股份有限公司鹿城分行</w:t>
            </w:r>
          </w:p>
        </w:tc>
        <w:tc>
          <w:tcPr>
            <w:tcW w:w="3258" w:type="dxa"/>
            <w:gridSpan w:val="2"/>
          </w:tcPr>
          <w:p>
            <w:pPr>
              <w:spacing w:line="360" w:lineRule="auto"/>
              <w:jc w:val="left"/>
              <w:rPr>
                <w:rFonts w:ascii="仿宋" w:hAnsi="仿宋" w:eastAsia="仿宋" w:cs="仿宋"/>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jc w:val="left"/>
              <w:rPr>
                <w:rFonts w:ascii="仿宋" w:hAnsi="仿宋" w:eastAsia="仿宋" w:cs="仿宋"/>
                <w:bCs/>
                <w:color w:val="auto"/>
                <w:sz w:val="28"/>
                <w:szCs w:val="28"/>
              </w:rPr>
            </w:pPr>
            <w:r>
              <w:rPr>
                <w:rFonts w:hint="eastAsia" w:ascii="仿宋" w:hAnsi="仿宋" w:eastAsia="仿宋" w:cs="仿宋"/>
                <w:bCs/>
                <w:color w:val="auto"/>
                <w:sz w:val="28"/>
                <w:szCs w:val="28"/>
              </w:rPr>
              <w:t>中国工商银行股份有限公司温州分行</w:t>
            </w:r>
          </w:p>
        </w:tc>
        <w:tc>
          <w:tcPr>
            <w:tcW w:w="3258" w:type="dxa"/>
            <w:gridSpan w:val="2"/>
          </w:tcPr>
          <w:p>
            <w:pPr>
              <w:spacing w:line="360" w:lineRule="auto"/>
              <w:jc w:val="left"/>
              <w:rPr>
                <w:rFonts w:ascii="仿宋" w:hAnsi="仿宋" w:eastAsia="仿宋" w:cs="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204" w:type="dxa"/>
            <w:gridSpan w:val="4"/>
          </w:tcPr>
          <w:p>
            <w:pPr>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中国建设银行股份有限公司温州分行</w:t>
            </w:r>
          </w:p>
        </w:tc>
        <w:tc>
          <w:tcPr>
            <w:tcW w:w="3258" w:type="dxa"/>
            <w:gridSpan w:val="2"/>
          </w:tcPr>
          <w:p>
            <w:pPr>
              <w:rPr>
                <w:rFonts w:ascii="仿宋" w:hAnsi="仿宋" w:eastAsia="仿宋" w:cs="仿宋"/>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jc w:val="left"/>
              <w:rPr>
                <w:rFonts w:ascii="仿宋" w:hAnsi="仿宋" w:eastAsia="仿宋" w:cs="仿宋"/>
                <w:bCs/>
                <w:color w:val="auto"/>
                <w:sz w:val="28"/>
                <w:szCs w:val="28"/>
              </w:rPr>
            </w:pPr>
            <w:r>
              <w:rPr>
                <w:rFonts w:hint="eastAsia" w:ascii="仿宋" w:hAnsi="仿宋" w:eastAsia="仿宋" w:cs="仿宋"/>
                <w:bCs/>
                <w:color w:val="auto"/>
                <w:sz w:val="28"/>
                <w:szCs w:val="28"/>
              </w:rPr>
              <w:t>中国邮政储蓄银行股份有限公司温州市分行</w:t>
            </w:r>
          </w:p>
        </w:tc>
        <w:tc>
          <w:tcPr>
            <w:tcW w:w="3258" w:type="dxa"/>
            <w:gridSpan w:val="2"/>
          </w:tcPr>
          <w:p>
            <w:pPr>
              <w:spacing w:line="360" w:lineRule="auto"/>
              <w:jc w:val="left"/>
              <w:rPr>
                <w:rFonts w:ascii="仿宋" w:hAnsi="仿宋" w:eastAsia="仿宋" w:cs="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jc w:val="left"/>
              <w:rPr>
                <w:rFonts w:ascii="仿宋" w:hAnsi="仿宋" w:eastAsia="仿宋" w:cs="仿宋"/>
                <w:bCs/>
                <w:color w:val="auto"/>
                <w:sz w:val="28"/>
                <w:szCs w:val="28"/>
              </w:rPr>
            </w:pPr>
            <w:r>
              <w:rPr>
                <w:rFonts w:hint="eastAsia" w:ascii="仿宋" w:hAnsi="仿宋" w:eastAsia="仿宋" w:cs="仿宋"/>
                <w:bCs/>
                <w:color w:val="auto"/>
                <w:sz w:val="28"/>
                <w:szCs w:val="28"/>
              </w:rPr>
              <w:t>中国民生银行股份有限公司温州分行</w:t>
            </w:r>
          </w:p>
        </w:tc>
        <w:tc>
          <w:tcPr>
            <w:tcW w:w="3258" w:type="dxa"/>
            <w:gridSpan w:val="2"/>
          </w:tcPr>
          <w:p>
            <w:pPr>
              <w:spacing w:line="360" w:lineRule="auto"/>
              <w:jc w:val="left"/>
              <w:rPr>
                <w:rFonts w:ascii="仿宋" w:hAnsi="仿宋" w:eastAsia="仿宋" w:cs="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jc w:val="left"/>
              <w:rPr>
                <w:rFonts w:ascii="仿宋" w:hAnsi="仿宋" w:eastAsia="仿宋" w:cs="仿宋"/>
                <w:bCs/>
                <w:color w:val="auto"/>
                <w:sz w:val="28"/>
                <w:szCs w:val="28"/>
              </w:rPr>
            </w:pPr>
            <w:r>
              <w:rPr>
                <w:rFonts w:hint="eastAsia" w:ascii="仿宋" w:hAnsi="仿宋" w:eastAsia="仿宋" w:cs="仿宋"/>
                <w:bCs/>
                <w:color w:val="auto"/>
                <w:sz w:val="28"/>
                <w:szCs w:val="28"/>
              </w:rPr>
              <w:t>宁波银行股份有限公司温州分行</w:t>
            </w:r>
          </w:p>
        </w:tc>
        <w:tc>
          <w:tcPr>
            <w:tcW w:w="3258" w:type="dxa"/>
            <w:gridSpan w:val="2"/>
          </w:tcPr>
          <w:p>
            <w:pPr>
              <w:spacing w:line="360" w:lineRule="auto"/>
              <w:jc w:val="left"/>
              <w:rPr>
                <w:rFonts w:ascii="仿宋" w:hAnsi="仿宋" w:eastAsia="仿宋" w:cs="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jc w:val="left"/>
              <w:rPr>
                <w:rFonts w:ascii="仿宋" w:hAnsi="仿宋" w:eastAsia="仿宋" w:cs="仿宋"/>
                <w:bCs/>
                <w:color w:val="auto"/>
                <w:sz w:val="28"/>
                <w:szCs w:val="28"/>
              </w:rPr>
            </w:pPr>
            <w:r>
              <w:rPr>
                <w:rFonts w:hint="eastAsia" w:ascii="仿宋" w:hAnsi="仿宋" w:eastAsia="仿宋" w:cs="仿宋"/>
                <w:bCs/>
                <w:color w:val="auto"/>
                <w:sz w:val="28"/>
                <w:szCs w:val="28"/>
              </w:rPr>
              <w:t>杭州银行股份有限公司温州分行</w:t>
            </w:r>
          </w:p>
        </w:tc>
        <w:tc>
          <w:tcPr>
            <w:tcW w:w="3258" w:type="dxa"/>
            <w:gridSpan w:val="2"/>
          </w:tcPr>
          <w:p>
            <w:pPr>
              <w:spacing w:line="360" w:lineRule="auto"/>
              <w:jc w:val="left"/>
              <w:rPr>
                <w:rFonts w:ascii="仿宋" w:hAnsi="仿宋" w:eastAsia="仿宋" w:cs="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jc w:val="left"/>
              <w:rPr>
                <w:rFonts w:ascii="仿宋" w:hAnsi="仿宋" w:eastAsia="仿宋" w:cs="仿宋"/>
                <w:bCs/>
                <w:color w:val="auto"/>
                <w:sz w:val="28"/>
                <w:szCs w:val="28"/>
              </w:rPr>
            </w:pPr>
            <w:r>
              <w:rPr>
                <w:rFonts w:hint="eastAsia" w:ascii="仿宋" w:hAnsi="仿宋" w:eastAsia="仿宋" w:cs="仿宋"/>
                <w:bCs/>
                <w:color w:val="auto"/>
                <w:sz w:val="28"/>
                <w:szCs w:val="28"/>
              </w:rPr>
              <w:t>招商银行股份有限公司温州分行</w:t>
            </w:r>
          </w:p>
        </w:tc>
        <w:tc>
          <w:tcPr>
            <w:tcW w:w="3258" w:type="dxa"/>
            <w:gridSpan w:val="2"/>
          </w:tcPr>
          <w:p>
            <w:pPr>
              <w:spacing w:line="360" w:lineRule="auto"/>
              <w:jc w:val="left"/>
              <w:rPr>
                <w:rFonts w:ascii="仿宋" w:hAnsi="仿宋" w:eastAsia="仿宋" w:cs="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jc w:val="left"/>
              <w:rPr>
                <w:rFonts w:ascii="仿宋" w:hAnsi="仿宋" w:eastAsia="仿宋" w:cs="仿宋"/>
                <w:bCs/>
                <w:color w:val="auto"/>
                <w:sz w:val="28"/>
                <w:szCs w:val="28"/>
              </w:rPr>
            </w:pPr>
            <w:r>
              <w:rPr>
                <w:rFonts w:hint="eastAsia" w:ascii="仿宋" w:hAnsi="仿宋" w:eastAsia="仿宋" w:cs="仿宋"/>
                <w:bCs/>
                <w:color w:val="auto"/>
                <w:sz w:val="28"/>
                <w:szCs w:val="28"/>
              </w:rPr>
              <w:t>兴业银行股份有限公司温州分行</w:t>
            </w:r>
          </w:p>
        </w:tc>
        <w:tc>
          <w:tcPr>
            <w:tcW w:w="3258" w:type="dxa"/>
            <w:gridSpan w:val="2"/>
          </w:tcPr>
          <w:p>
            <w:pPr>
              <w:spacing w:line="360" w:lineRule="auto"/>
              <w:jc w:val="left"/>
              <w:rPr>
                <w:rFonts w:ascii="仿宋" w:hAnsi="仿宋" w:eastAsia="仿宋" w:cs="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jc w:val="left"/>
              <w:rPr>
                <w:rFonts w:ascii="仿宋" w:hAnsi="仿宋" w:eastAsia="仿宋" w:cs="仿宋"/>
                <w:bCs/>
                <w:color w:val="auto"/>
                <w:sz w:val="28"/>
                <w:szCs w:val="28"/>
              </w:rPr>
            </w:pPr>
            <w:r>
              <w:rPr>
                <w:rFonts w:hint="eastAsia" w:ascii="仿宋" w:hAnsi="仿宋" w:eastAsia="仿宋" w:cs="仿宋"/>
                <w:bCs/>
                <w:color w:val="auto"/>
                <w:sz w:val="28"/>
                <w:szCs w:val="28"/>
              </w:rPr>
              <w:t>交通银行股份有限公司温州分行</w:t>
            </w:r>
          </w:p>
        </w:tc>
        <w:tc>
          <w:tcPr>
            <w:tcW w:w="3258" w:type="dxa"/>
            <w:gridSpan w:val="2"/>
          </w:tcPr>
          <w:p>
            <w:pPr>
              <w:spacing w:line="360" w:lineRule="auto"/>
              <w:jc w:val="left"/>
              <w:rPr>
                <w:rFonts w:ascii="仿宋" w:hAnsi="仿宋" w:eastAsia="仿宋" w:cs="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204" w:type="dxa"/>
            <w:gridSpan w:val="4"/>
          </w:tcPr>
          <w:p>
            <w:pPr>
              <w:spacing w:line="360" w:lineRule="auto"/>
              <w:jc w:val="left"/>
              <w:rPr>
                <w:rFonts w:ascii="仿宋" w:hAnsi="仿宋" w:eastAsia="仿宋" w:cs="仿宋"/>
                <w:bCs/>
                <w:color w:val="auto"/>
                <w:sz w:val="28"/>
                <w:szCs w:val="28"/>
              </w:rPr>
            </w:pPr>
            <w:r>
              <w:rPr>
                <w:rFonts w:hint="eastAsia" w:ascii="仿宋" w:hAnsi="仿宋" w:eastAsia="仿宋" w:cs="仿宋"/>
                <w:bCs/>
                <w:color w:val="auto"/>
                <w:sz w:val="28"/>
                <w:szCs w:val="28"/>
              </w:rPr>
              <w:t>上海浦东发展银行股份有限公司温州分行</w:t>
            </w:r>
          </w:p>
        </w:tc>
        <w:tc>
          <w:tcPr>
            <w:tcW w:w="3258" w:type="dxa"/>
            <w:gridSpan w:val="2"/>
          </w:tcPr>
          <w:p>
            <w:pPr>
              <w:spacing w:line="360" w:lineRule="auto"/>
              <w:jc w:val="left"/>
              <w:rPr>
                <w:rFonts w:ascii="仿宋" w:hAnsi="仿宋" w:eastAsia="仿宋" w:cs="仿宋"/>
                <w:bCs/>
                <w:color w:val="auto"/>
                <w:sz w:val="28"/>
                <w:szCs w:val="28"/>
              </w:rPr>
            </w:pPr>
          </w:p>
        </w:tc>
      </w:tr>
    </w:tbl>
    <w:p>
      <w:pPr>
        <w:rPr>
          <w:rFonts w:ascii="仿宋" w:hAnsi="仿宋" w:eastAsia="仿宋" w:cs="仿宋"/>
          <w:bCs/>
          <w:color w:val="auto"/>
          <w:kern w:val="0"/>
          <w:sz w:val="24"/>
        </w:rPr>
      </w:pPr>
      <w:r>
        <w:rPr>
          <w:rFonts w:hint="eastAsia" w:ascii="仿宋" w:hAnsi="仿宋" w:eastAsia="仿宋" w:cs="仿宋"/>
          <w:bCs/>
          <w:color w:val="auto"/>
          <w:kern w:val="0"/>
          <w:sz w:val="24"/>
        </w:rPr>
        <w:t>注：1、本表填写对象为注册地在温州市域内的供应商。</w:t>
      </w:r>
    </w:p>
    <w:p>
      <w:pPr>
        <w:ind w:firstLine="480" w:firstLineChars="200"/>
        <w:rPr>
          <w:rFonts w:ascii="仿宋" w:hAnsi="仿宋" w:eastAsia="仿宋" w:cs="仿宋"/>
          <w:b/>
          <w:color w:val="auto"/>
          <w:kern w:val="0"/>
          <w:sz w:val="24"/>
        </w:rPr>
      </w:pPr>
      <w:r>
        <w:rPr>
          <w:rFonts w:hint="eastAsia" w:ascii="仿宋" w:hAnsi="仿宋" w:eastAsia="仿宋" w:cs="仿宋"/>
          <w:bCs/>
          <w:color w:val="auto"/>
          <w:kern w:val="0"/>
          <w:sz w:val="24"/>
        </w:rPr>
        <w:t>2、财政部门根据企业自行选择，将本表及企业相关信息推送至相对应的融资意向银行经办人。</w:t>
      </w:r>
    </w:p>
    <w:p>
      <w:pPr>
        <w:rPr>
          <w:rFonts w:ascii="仿宋" w:hAnsi="仿宋" w:eastAsia="仿宋" w:cs="仿宋"/>
          <w:color w:val="auto"/>
        </w:rPr>
        <w:sectPr>
          <w:headerReference r:id="rId21" w:type="first"/>
          <w:footerReference r:id="rId23" w:type="first"/>
          <w:headerReference r:id="rId20" w:type="default"/>
          <w:footerReference r:id="rId22" w:type="default"/>
          <w:pgSz w:w="11907" w:h="16840"/>
          <w:pgMar w:top="1247" w:right="1281" w:bottom="1440" w:left="1287" w:header="624" w:footer="992" w:gutter="0"/>
          <w:cols w:space="720" w:num="1"/>
          <w:titlePg/>
          <w:docGrid w:linePitch="287" w:charSpace="0"/>
        </w:sect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9"/>
        <w:gridCol w:w="3384"/>
        <w:gridCol w:w="107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tcPr>
          <w:p>
            <w:pPr>
              <w:jc w:val="center"/>
              <w:rPr>
                <w:rFonts w:ascii="仿宋_GB2312" w:cs="宋体"/>
                <w:bCs/>
                <w:color w:val="auto"/>
                <w:kern w:val="0"/>
                <w:sz w:val="28"/>
                <w:szCs w:val="28"/>
              </w:rPr>
            </w:pPr>
            <w:r>
              <w:rPr>
                <w:rFonts w:hint="eastAsia" w:ascii="微软雅黑" w:hAnsi="微软雅黑" w:eastAsia="微软雅黑" w:cs="宋体"/>
                <w:bCs/>
                <w:color w:val="auto"/>
                <w:kern w:val="0"/>
                <w:sz w:val="33"/>
                <w:szCs w:val="33"/>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277" w:type="dxa"/>
            <w:vAlign w:val="center"/>
          </w:tcPr>
          <w:p>
            <w:pPr>
              <w:jc w:val="center"/>
              <w:rPr>
                <w:rFonts w:ascii="宋体" w:hAnsi="宋体" w:cs="宋体"/>
                <w:bCs/>
                <w:color w:val="auto"/>
                <w:sz w:val="28"/>
                <w:szCs w:val="28"/>
              </w:rPr>
            </w:pPr>
            <w:r>
              <w:rPr>
                <w:rFonts w:hint="eastAsia" w:ascii="宋体" w:hAnsi="宋体" w:cs="宋体"/>
                <w:bCs/>
                <w:color w:val="auto"/>
                <w:sz w:val="28"/>
                <w:szCs w:val="28"/>
              </w:rPr>
              <w:t>银行名称</w:t>
            </w:r>
          </w:p>
        </w:tc>
        <w:tc>
          <w:tcPr>
            <w:tcW w:w="5497" w:type="dxa"/>
            <w:vAlign w:val="center"/>
          </w:tcPr>
          <w:p>
            <w:pPr>
              <w:jc w:val="center"/>
              <w:rPr>
                <w:rFonts w:ascii="宋体" w:hAnsi="宋体" w:cs="宋体"/>
                <w:bCs/>
                <w:color w:val="auto"/>
                <w:sz w:val="28"/>
                <w:szCs w:val="28"/>
              </w:rPr>
            </w:pPr>
            <w:r>
              <w:rPr>
                <w:rFonts w:hint="eastAsia" w:ascii="宋体" w:hAnsi="宋体" w:cs="宋体"/>
                <w:bCs/>
                <w:color w:val="auto"/>
                <w:sz w:val="28"/>
                <w:szCs w:val="28"/>
              </w:rPr>
              <w:t>产品特点（不超过120字）</w:t>
            </w:r>
          </w:p>
        </w:tc>
        <w:tc>
          <w:tcPr>
            <w:tcW w:w="1559" w:type="dxa"/>
            <w:vAlign w:val="center"/>
          </w:tcPr>
          <w:p>
            <w:pPr>
              <w:jc w:val="center"/>
              <w:rPr>
                <w:rFonts w:ascii="宋体" w:hAnsi="宋体" w:cs="宋体"/>
                <w:bCs/>
                <w:color w:val="auto"/>
                <w:sz w:val="28"/>
                <w:szCs w:val="28"/>
              </w:rPr>
            </w:pPr>
            <w:r>
              <w:rPr>
                <w:rFonts w:hint="eastAsia" w:ascii="宋体" w:hAnsi="宋体" w:cs="宋体"/>
                <w:bCs/>
                <w:color w:val="auto"/>
                <w:sz w:val="28"/>
                <w:szCs w:val="28"/>
              </w:rPr>
              <w:t>经办人</w:t>
            </w:r>
          </w:p>
        </w:tc>
        <w:tc>
          <w:tcPr>
            <w:tcW w:w="2841" w:type="dxa"/>
            <w:vAlign w:val="center"/>
          </w:tcPr>
          <w:p>
            <w:pPr>
              <w:jc w:val="center"/>
              <w:rPr>
                <w:rFonts w:ascii="宋体" w:hAnsi="宋体" w:cs="宋体"/>
                <w:bCs/>
                <w:color w:val="auto"/>
                <w:kern w:val="0"/>
                <w:sz w:val="28"/>
                <w:szCs w:val="28"/>
              </w:rPr>
            </w:pPr>
            <w:r>
              <w:rPr>
                <w:rFonts w:hint="eastAsia" w:ascii="宋体" w:hAnsi="宋体" w:cs="宋体"/>
                <w:bCs/>
                <w:color w:val="auto"/>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vAlign w:val="center"/>
          </w:tcPr>
          <w:p>
            <w:pPr>
              <w:spacing w:line="360" w:lineRule="auto"/>
              <w:jc w:val="center"/>
              <w:rPr>
                <w:rFonts w:ascii="宋体" w:hAnsi="宋体" w:cs="宋体"/>
                <w:bCs/>
                <w:color w:val="auto"/>
              </w:rPr>
            </w:pPr>
            <w:r>
              <w:rPr>
                <w:rFonts w:hint="eastAsia" w:ascii="宋体" w:hAnsi="宋体" w:cs="宋体"/>
                <w:bCs/>
                <w:color w:val="auto"/>
              </w:rPr>
              <w:t>中国工商银行股份有限公司温州分行</w:t>
            </w:r>
          </w:p>
        </w:tc>
        <w:tc>
          <w:tcPr>
            <w:tcW w:w="5497" w:type="dxa"/>
          </w:tcPr>
          <w:p>
            <w:pPr>
              <w:rPr>
                <w:rFonts w:ascii="仿宋_GB2312" w:cs="宋体"/>
                <w:bCs/>
                <w:color w:val="auto"/>
                <w:kern w:val="0"/>
                <w:szCs w:val="21"/>
              </w:rPr>
            </w:pPr>
            <w:r>
              <w:rPr>
                <w:rFonts w:hint="eastAsia" w:ascii="仿宋_GB2312" w:cs="宋体"/>
                <w:bCs/>
                <w:color w:val="auto"/>
                <w:kern w:val="0"/>
                <w:szCs w:val="21"/>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559" w:type="dxa"/>
            <w:vAlign w:val="center"/>
          </w:tcPr>
          <w:p>
            <w:pPr>
              <w:jc w:val="center"/>
              <w:rPr>
                <w:rFonts w:ascii="宋体" w:hAnsi="宋体" w:cs="宋体"/>
                <w:bCs/>
                <w:color w:val="auto"/>
                <w:szCs w:val="28"/>
              </w:rPr>
            </w:pPr>
            <w:r>
              <w:rPr>
                <w:rFonts w:hint="eastAsia" w:ascii="宋体" w:hAnsi="宋体" w:cs="宋体"/>
                <w:bCs/>
                <w:color w:val="auto"/>
                <w:szCs w:val="28"/>
              </w:rPr>
              <w:t>王经理</w:t>
            </w:r>
          </w:p>
        </w:tc>
        <w:tc>
          <w:tcPr>
            <w:tcW w:w="2841" w:type="dxa"/>
            <w:vAlign w:val="center"/>
          </w:tcPr>
          <w:p>
            <w:pPr>
              <w:jc w:val="center"/>
              <w:rPr>
                <w:rFonts w:ascii="宋体" w:hAnsi="宋体" w:cs="宋体"/>
                <w:bCs/>
                <w:color w:val="auto"/>
                <w:kern w:val="0"/>
                <w:szCs w:val="21"/>
              </w:rPr>
            </w:pPr>
            <w:r>
              <w:rPr>
                <w:rFonts w:hint="eastAsia" w:ascii="宋体" w:hAnsi="宋体" w:cs="宋体"/>
                <w:bCs/>
                <w:color w:val="auto"/>
                <w:kern w:val="0"/>
                <w:szCs w:val="21"/>
              </w:rPr>
              <w:t>0577-88186626</w:t>
            </w:r>
          </w:p>
          <w:p>
            <w:pPr>
              <w:jc w:val="center"/>
              <w:rPr>
                <w:rFonts w:ascii="宋体" w:hAnsi="宋体" w:cs="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277" w:type="dxa"/>
            <w:vAlign w:val="center"/>
          </w:tcPr>
          <w:p>
            <w:pPr>
              <w:jc w:val="center"/>
              <w:rPr>
                <w:rFonts w:ascii="仿宋_GB2312" w:cs="宋体"/>
                <w:bCs/>
                <w:color w:val="auto"/>
                <w:kern w:val="0"/>
              </w:rPr>
            </w:pPr>
            <w:r>
              <w:rPr>
                <w:rFonts w:hint="eastAsia" w:ascii="宋体" w:hAnsi="宋体" w:cs="宋体"/>
                <w:bCs/>
                <w:color w:val="auto"/>
                <w:kern w:val="0"/>
              </w:rPr>
              <w:t>中国建设银行股份有限公司温州分行</w:t>
            </w:r>
          </w:p>
        </w:tc>
        <w:tc>
          <w:tcPr>
            <w:tcW w:w="5497" w:type="dxa"/>
          </w:tcPr>
          <w:p>
            <w:pPr>
              <w:rPr>
                <w:rFonts w:ascii="仿宋_GB2312" w:cs="宋体"/>
                <w:bCs/>
                <w:color w:val="auto"/>
                <w:kern w:val="0"/>
                <w:szCs w:val="21"/>
              </w:rPr>
            </w:pPr>
            <w:r>
              <w:rPr>
                <w:rFonts w:hint="eastAsia" w:ascii="仿宋_GB2312" w:cs="宋体"/>
                <w:bCs/>
                <w:color w:val="auto"/>
                <w:kern w:val="0"/>
                <w:szCs w:val="21"/>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559" w:type="dxa"/>
            <w:vAlign w:val="center"/>
          </w:tcPr>
          <w:p>
            <w:pPr>
              <w:jc w:val="center"/>
              <w:rPr>
                <w:rFonts w:ascii="宋体" w:hAnsi="宋体" w:cs="宋体"/>
                <w:bCs/>
                <w:color w:val="auto"/>
                <w:kern w:val="0"/>
                <w:szCs w:val="28"/>
              </w:rPr>
            </w:pPr>
            <w:r>
              <w:rPr>
                <w:rFonts w:hint="eastAsia" w:ascii="宋体" w:hAnsi="宋体" w:cs="宋体"/>
                <w:bCs/>
                <w:color w:val="auto"/>
                <w:kern w:val="0"/>
                <w:szCs w:val="28"/>
              </w:rPr>
              <w:t>张经理</w:t>
            </w:r>
          </w:p>
        </w:tc>
        <w:tc>
          <w:tcPr>
            <w:tcW w:w="2841" w:type="dxa"/>
            <w:vAlign w:val="center"/>
          </w:tcPr>
          <w:p>
            <w:pPr>
              <w:jc w:val="center"/>
              <w:rPr>
                <w:rFonts w:ascii="宋体" w:hAnsi="宋体" w:cs="宋体"/>
                <w:bCs/>
                <w:color w:val="auto"/>
                <w:kern w:val="0"/>
                <w:szCs w:val="28"/>
              </w:rPr>
            </w:pPr>
            <w:r>
              <w:rPr>
                <w:rFonts w:hint="eastAsia" w:ascii="宋体" w:hAnsi="宋体" w:cs="宋体"/>
                <w:bCs/>
                <w:color w:val="auto"/>
                <w:kern w:val="0"/>
                <w:szCs w:val="28"/>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vAlign w:val="center"/>
          </w:tcPr>
          <w:p>
            <w:pPr>
              <w:spacing w:line="360" w:lineRule="auto"/>
              <w:jc w:val="center"/>
              <w:rPr>
                <w:rFonts w:ascii="宋体" w:hAnsi="宋体" w:cs="宋体"/>
                <w:bCs/>
                <w:color w:val="auto"/>
              </w:rPr>
            </w:pPr>
            <w:r>
              <w:rPr>
                <w:rFonts w:hint="eastAsia" w:ascii="宋体" w:hAnsi="宋体" w:cs="宋体"/>
                <w:bCs/>
                <w:color w:val="auto"/>
              </w:rPr>
              <w:t>中国邮政储蓄银行股份有限公司温州市分行</w:t>
            </w:r>
          </w:p>
        </w:tc>
        <w:tc>
          <w:tcPr>
            <w:tcW w:w="5497" w:type="dxa"/>
            <w:vAlign w:val="center"/>
          </w:tcPr>
          <w:p>
            <w:pPr>
              <w:rPr>
                <w:rFonts w:ascii="仿宋_GB2312" w:cs="宋体"/>
                <w:bCs/>
                <w:color w:val="auto"/>
                <w:kern w:val="0"/>
                <w:szCs w:val="28"/>
              </w:rPr>
            </w:pPr>
            <w:r>
              <w:rPr>
                <w:rFonts w:hint="eastAsia" w:ascii="仿宋_GB2312" w:cs="宋体"/>
                <w:bCs/>
                <w:color w:val="auto"/>
                <w:kern w:val="0"/>
                <w:szCs w:val="28"/>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559" w:type="dxa"/>
            <w:vAlign w:val="center"/>
          </w:tcPr>
          <w:p>
            <w:pPr>
              <w:jc w:val="center"/>
              <w:rPr>
                <w:rFonts w:ascii="仿宋_GB2312" w:cs="宋体"/>
                <w:bCs/>
                <w:color w:val="auto"/>
                <w:kern w:val="0"/>
                <w:szCs w:val="28"/>
              </w:rPr>
            </w:pPr>
            <w:r>
              <w:rPr>
                <w:rFonts w:hint="eastAsia" w:ascii="仿宋_GB2312" w:cs="宋体"/>
                <w:bCs/>
                <w:color w:val="auto"/>
                <w:kern w:val="0"/>
                <w:szCs w:val="28"/>
              </w:rPr>
              <w:t>郑经理</w:t>
            </w:r>
          </w:p>
        </w:tc>
        <w:tc>
          <w:tcPr>
            <w:tcW w:w="2841" w:type="dxa"/>
            <w:vAlign w:val="center"/>
          </w:tcPr>
          <w:p>
            <w:pPr>
              <w:jc w:val="center"/>
              <w:rPr>
                <w:rFonts w:ascii="宋体" w:hAnsi="宋体" w:cs="宋体"/>
                <w:bCs/>
                <w:color w:val="auto"/>
                <w:kern w:val="0"/>
                <w:szCs w:val="21"/>
              </w:rPr>
            </w:pPr>
            <w:r>
              <w:rPr>
                <w:rFonts w:hint="eastAsia" w:ascii="宋体" w:hAnsi="宋体" w:cs="宋体"/>
                <w:bCs/>
                <w:color w:val="auto"/>
                <w:kern w:val="0"/>
                <w:szCs w:val="21"/>
              </w:rPr>
              <w:t>0577-88193910</w:t>
            </w:r>
          </w:p>
          <w:p>
            <w:pPr>
              <w:jc w:val="center"/>
              <w:rPr>
                <w:rFonts w:ascii="宋体" w:hAnsi="宋体" w:cs="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vAlign w:val="center"/>
          </w:tcPr>
          <w:p>
            <w:pPr>
              <w:spacing w:line="360" w:lineRule="auto"/>
              <w:jc w:val="center"/>
              <w:rPr>
                <w:rFonts w:ascii="宋体" w:hAnsi="宋体" w:cs="宋体"/>
                <w:bCs/>
                <w:color w:val="auto"/>
              </w:rPr>
            </w:pPr>
            <w:r>
              <w:rPr>
                <w:rFonts w:hint="eastAsia" w:ascii="宋体" w:hAnsi="宋体" w:cs="宋体"/>
                <w:bCs/>
                <w:color w:val="auto"/>
              </w:rPr>
              <w:t>中国民生银行股份有限公司温州分行</w:t>
            </w:r>
          </w:p>
        </w:tc>
        <w:tc>
          <w:tcPr>
            <w:tcW w:w="5497" w:type="dxa"/>
          </w:tcPr>
          <w:p>
            <w:pPr>
              <w:jc w:val="left"/>
              <w:rPr>
                <w:rFonts w:ascii="仿宋_GB2312" w:cs="宋体"/>
                <w:bCs/>
                <w:color w:val="auto"/>
                <w:kern w:val="0"/>
                <w:szCs w:val="28"/>
              </w:rPr>
            </w:pPr>
            <w:r>
              <w:rPr>
                <w:rFonts w:hint="eastAsia" w:ascii="宋体" w:hAnsi="宋体" w:cs="宋体"/>
                <w:bCs/>
                <w:color w:val="auto"/>
                <w:kern w:val="0"/>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559" w:type="dxa"/>
            <w:vAlign w:val="center"/>
          </w:tcPr>
          <w:p>
            <w:pPr>
              <w:jc w:val="center"/>
              <w:rPr>
                <w:rFonts w:ascii="仿宋_GB2312" w:cs="宋体"/>
                <w:bCs/>
                <w:color w:val="auto"/>
                <w:kern w:val="0"/>
                <w:szCs w:val="28"/>
              </w:rPr>
            </w:pPr>
            <w:r>
              <w:rPr>
                <w:rFonts w:hint="eastAsia" w:ascii="仿宋_GB2312" w:cs="宋体"/>
                <w:bCs/>
                <w:color w:val="auto"/>
                <w:kern w:val="0"/>
                <w:szCs w:val="28"/>
              </w:rPr>
              <w:t>项经理</w:t>
            </w:r>
          </w:p>
        </w:tc>
        <w:tc>
          <w:tcPr>
            <w:tcW w:w="2841" w:type="dxa"/>
            <w:vAlign w:val="center"/>
          </w:tcPr>
          <w:p>
            <w:pPr>
              <w:jc w:val="center"/>
              <w:rPr>
                <w:rFonts w:ascii="宋体" w:hAnsi="宋体" w:cs="宋体"/>
                <w:bCs/>
                <w:color w:val="auto"/>
                <w:kern w:val="0"/>
                <w:szCs w:val="21"/>
              </w:rPr>
            </w:pPr>
            <w:r>
              <w:rPr>
                <w:rFonts w:hint="eastAsia" w:ascii="宋体" w:hAnsi="宋体" w:cs="宋体"/>
                <w:bCs/>
                <w:color w:val="auto"/>
                <w:kern w:val="0"/>
                <w:szCs w:val="21"/>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vAlign w:val="center"/>
          </w:tcPr>
          <w:p>
            <w:pPr>
              <w:spacing w:line="360" w:lineRule="auto"/>
              <w:jc w:val="center"/>
              <w:rPr>
                <w:rFonts w:ascii="宋体" w:hAnsi="宋体" w:cs="宋体"/>
                <w:bCs/>
                <w:color w:val="auto"/>
              </w:rPr>
            </w:pPr>
            <w:r>
              <w:rPr>
                <w:rFonts w:hint="eastAsia" w:ascii="宋体" w:hAnsi="宋体" w:cs="宋体"/>
                <w:bCs/>
                <w:color w:val="auto"/>
              </w:rPr>
              <w:t>宁波银行股份有限公司温州分行</w:t>
            </w:r>
          </w:p>
        </w:tc>
        <w:tc>
          <w:tcPr>
            <w:tcW w:w="5497" w:type="dxa"/>
          </w:tcPr>
          <w:p>
            <w:pPr>
              <w:rPr>
                <w:rFonts w:ascii="仿宋_GB2312" w:cs="宋体"/>
                <w:bCs/>
                <w:color w:val="auto"/>
                <w:kern w:val="0"/>
                <w:szCs w:val="28"/>
              </w:rPr>
            </w:pPr>
            <w:r>
              <w:rPr>
                <w:rFonts w:ascii="宋体" w:hAnsi="宋体" w:cs="宋体"/>
                <w:bCs/>
                <w:color w:val="auto"/>
                <w:kern w:val="0"/>
                <w:szCs w:val="28"/>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hint="eastAsia" w:ascii="宋体" w:hAnsi="宋体" w:cs="宋体"/>
                <w:bCs/>
                <w:color w:val="auto"/>
                <w:kern w:val="0"/>
                <w:szCs w:val="28"/>
              </w:rPr>
              <w:t>，最大金额不超过</w:t>
            </w:r>
            <w:r>
              <w:rPr>
                <w:rFonts w:ascii="宋体" w:hAnsi="宋体" w:cs="宋体"/>
                <w:bCs/>
                <w:color w:val="auto"/>
                <w:kern w:val="0"/>
                <w:szCs w:val="28"/>
              </w:rPr>
              <w:t>2000</w:t>
            </w:r>
            <w:r>
              <w:rPr>
                <w:rFonts w:hint="eastAsia" w:ascii="宋体" w:hAnsi="宋体" w:cs="宋体"/>
                <w:bCs/>
                <w:color w:val="auto"/>
                <w:kern w:val="0"/>
                <w:szCs w:val="28"/>
              </w:rPr>
              <w:t>万元。</w:t>
            </w:r>
          </w:p>
        </w:tc>
        <w:tc>
          <w:tcPr>
            <w:tcW w:w="1559" w:type="dxa"/>
            <w:vAlign w:val="center"/>
          </w:tcPr>
          <w:p>
            <w:pPr>
              <w:jc w:val="center"/>
              <w:rPr>
                <w:rFonts w:ascii="仿宋_GB2312" w:cs="宋体"/>
                <w:bCs/>
                <w:color w:val="auto"/>
                <w:kern w:val="0"/>
                <w:szCs w:val="28"/>
              </w:rPr>
            </w:pPr>
            <w:r>
              <w:rPr>
                <w:rFonts w:hint="eastAsia" w:ascii="仿宋_GB2312" w:cs="宋体"/>
                <w:bCs/>
                <w:color w:val="auto"/>
                <w:kern w:val="0"/>
                <w:szCs w:val="28"/>
              </w:rPr>
              <w:t>陈经理</w:t>
            </w:r>
          </w:p>
        </w:tc>
        <w:tc>
          <w:tcPr>
            <w:tcW w:w="2841" w:type="dxa"/>
            <w:vAlign w:val="center"/>
          </w:tcPr>
          <w:p>
            <w:pPr>
              <w:jc w:val="center"/>
              <w:rPr>
                <w:rFonts w:ascii="宋体" w:hAnsi="宋体" w:cs="宋体"/>
                <w:bCs/>
                <w:color w:val="auto"/>
                <w:kern w:val="0"/>
                <w:szCs w:val="21"/>
              </w:rPr>
            </w:pPr>
            <w:r>
              <w:rPr>
                <w:rFonts w:ascii="宋体" w:hAnsi="宋体" w:cs="宋体"/>
                <w:bCs/>
                <w:color w:val="auto"/>
                <w:kern w:val="0"/>
                <w:szCs w:val="21"/>
              </w:rPr>
              <w:t>0577－88007377</w:t>
            </w:r>
          </w:p>
          <w:p>
            <w:pPr>
              <w:jc w:val="center"/>
              <w:rPr>
                <w:rFonts w:ascii="宋体" w:hAnsi="宋体" w:cs="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vAlign w:val="center"/>
          </w:tcPr>
          <w:p>
            <w:pPr>
              <w:spacing w:line="360" w:lineRule="auto"/>
              <w:jc w:val="center"/>
              <w:rPr>
                <w:rFonts w:ascii="宋体" w:hAnsi="宋体" w:cs="宋体"/>
                <w:bCs/>
                <w:color w:val="auto"/>
              </w:rPr>
            </w:pPr>
            <w:r>
              <w:rPr>
                <w:rFonts w:hint="eastAsia" w:ascii="宋体" w:hAnsi="宋体" w:cs="宋体"/>
                <w:bCs/>
                <w:color w:val="auto"/>
              </w:rPr>
              <w:t>杭州银行股份有限公司温州分行</w:t>
            </w:r>
          </w:p>
        </w:tc>
        <w:tc>
          <w:tcPr>
            <w:tcW w:w="5497" w:type="dxa"/>
          </w:tcPr>
          <w:p>
            <w:pPr>
              <w:rPr>
                <w:rFonts w:ascii="仿宋_GB2312" w:cs="宋体"/>
                <w:bCs/>
                <w:color w:val="auto"/>
                <w:kern w:val="0"/>
                <w:szCs w:val="21"/>
              </w:rPr>
            </w:pPr>
            <w:r>
              <w:rPr>
                <w:rFonts w:ascii="仿宋_GB2312" w:cs="宋体"/>
                <w:bCs/>
                <w:color w:val="auto"/>
                <w:kern w:val="0"/>
                <w:szCs w:val="21"/>
              </w:rPr>
              <w:t>门槛低：</w:t>
            </w:r>
            <w:r>
              <w:rPr>
                <w:rFonts w:hint="eastAsia" w:ascii="仿宋_GB2312" w:cs="宋体"/>
                <w:bCs/>
                <w:color w:val="auto"/>
                <w:kern w:val="0"/>
                <w:szCs w:val="21"/>
              </w:rPr>
              <w:t>纯</w:t>
            </w:r>
            <w:r>
              <w:rPr>
                <w:rFonts w:ascii="仿宋_GB2312" w:cs="宋体"/>
                <w:bCs/>
                <w:color w:val="auto"/>
                <w:kern w:val="0"/>
                <w:szCs w:val="21"/>
              </w:rPr>
              <w:t>信用，</w:t>
            </w:r>
            <w:r>
              <w:rPr>
                <w:rFonts w:hint="eastAsia" w:ascii="仿宋_GB2312" w:cs="宋体"/>
                <w:bCs/>
                <w:color w:val="auto"/>
                <w:kern w:val="0"/>
                <w:szCs w:val="21"/>
              </w:rPr>
              <w:t>平台</w:t>
            </w:r>
            <w:r>
              <w:rPr>
                <w:rFonts w:ascii="仿宋_GB2312" w:cs="宋体"/>
                <w:bCs/>
                <w:color w:val="auto"/>
                <w:kern w:val="0"/>
                <w:szCs w:val="21"/>
              </w:rPr>
              <w:t>注册入库并取得采购合同即可申请</w:t>
            </w:r>
          </w:p>
          <w:p>
            <w:pPr>
              <w:rPr>
                <w:rFonts w:ascii="仿宋_GB2312" w:cs="宋体"/>
                <w:bCs/>
                <w:color w:val="auto"/>
                <w:kern w:val="0"/>
                <w:szCs w:val="21"/>
              </w:rPr>
            </w:pPr>
            <w:r>
              <w:rPr>
                <w:rFonts w:hint="eastAsia" w:ascii="仿宋_GB2312" w:cs="宋体"/>
                <w:bCs/>
                <w:color w:val="auto"/>
                <w:kern w:val="0"/>
                <w:szCs w:val="21"/>
              </w:rPr>
              <w:t>手续简</w:t>
            </w:r>
            <w:r>
              <w:rPr>
                <w:rFonts w:ascii="仿宋_GB2312" w:cs="宋体"/>
                <w:bCs/>
                <w:color w:val="auto"/>
                <w:kern w:val="0"/>
                <w:szCs w:val="21"/>
              </w:rPr>
              <w:t>：</w:t>
            </w:r>
            <w:r>
              <w:rPr>
                <w:rFonts w:hint="eastAsia" w:ascii="仿宋_GB2312" w:cs="宋体"/>
                <w:bCs/>
                <w:color w:val="auto"/>
                <w:kern w:val="0"/>
                <w:szCs w:val="21"/>
              </w:rPr>
              <w:t>线上申请</w:t>
            </w:r>
            <w:r>
              <w:rPr>
                <w:rFonts w:ascii="仿宋_GB2312" w:cs="宋体"/>
                <w:bCs/>
                <w:color w:val="auto"/>
                <w:kern w:val="0"/>
                <w:szCs w:val="21"/>
              </w:rPr>
              <w:t>+</w:t>
            </w:r>
            <w:r>
              <w:rPr>
                <w:rFonts w:hint="eastAsia" w:ascii="仿宋_GB2312" w:cs="宋体"/>
                <w:bCs/>
                <w:color w:val="auto"/>
                <w:kern w:val="0"/>
                <w:szCs w:val="21"/>
              </w:rPr>
              <w:t>线上</w:t>
            </w:r>
            <w:r>
              <w:rPr>
                <w:rFonts w:ascii="仿宋_GB2312" w:cs="宋体"/>
                <w:bCs/>
                <w:color w:val="auto"/>
                <w:kern w:val="0"/>
                <w:szCs w:val="21"/>
              </w:rPr>
              <w:t>签约，</w:t>
            </w:r>
            <w:r>
              <w:rPr>
                <w:rFonts w:hint="eastAsia" w:ascii="仿宋_GB2312" w:cs="宋体"/>
                <w:bCs/>
                <w:color w:val="auto"/>
                <w:kern w:val="0"/>
                <w:szCs w:val="21"/>
              </w:rPr>
              <w:t>足不</w:t>
            </w:r>
            <w:r>
              <w:rPr>
                <w:rFonts w:ascii="仿宋_GB2312" w:cs="宋体"/>
                <w:bCs/>
                <w:color w:val="auto"/>
                <w:kern w:val="0"/>
                <w:szCs w:val="21"/>
              </w:rPr>
              <w:t>出</w:t>
            </w:r>
            <w:r>
              <w:rPr>
                <w:rFonts w:hint="eastAsia" w:ascii="仿宋_GB2312" w:cs="宋体"/>
                <w:bCs/>
                <w:color w:val="auto"/>
                <w:kern w:val="0"/>
                <w:szCs w:val="21"/>
              </w:rPr>
              <w:t>户</w:t>
            </w:r>
          </w:p>
          <w:p>
            <w:pPr>
              <w:rPr>
                <w:rFonts w:ascii="仿宋_GB2312" w:cs="宋体"/>
                <w:bCs/>
                <w:color w:val="auto"/>
                <w:kern w:val="0"/>
                <w:szCs w:val="21"/>
              </w:rPr>
            </w:pPr>
            <w:r>
              <w:rPr>
                <w:rFonts w:hint="eastAsia" w:ascii="仿宋_GB2312" w:cs="宋体"/>
                <w:bCs/>
                <w:color w:val="auto"/>
                <w:kern w:val="0"/>
                <w:szCs w:val="21"/>
              </w:rPr>
              <w:t>利率</w:t>
            </w:r>
            <w:r>
              <w:rPr>
                <w:rFonts w:ascii="仿宋_GB2312" w:cs="宋体"/>
                <w:bCs/>
                <w:color w:val="auto"/>
                <w:kern w:val="0"/>
                <w:szCs w:val="21"/>
              </w:rPr>
              <w:t>优：</w:t>
            </w:r>
            <w:r>
              <w:rPr>
                <w:rFonts w:hint="eastAsia" w:ascii="仿宋_GB2312" w:cs="宋体"/>
                <w:bCs/>
                <w:color w:val="auto"/>
                <w:kern w:val="0"/>
                <w:szCs w:val="21"/>
              </w:rPr>
              <w:t>按</w:t>
            </w:r>
            <w:r>
              <w:rPr>
                <w:rFonts w:ascii="仿宋_GB2312" w:cs="宋体"/>
                <w:bCs/>
                <w:color w:val="auto"/>
                <w:kern w:val="0"/>
                <w:szCs w:val="21"/>
              </w:rPr>
              <w:t>优于一般中小企业</w:t>
            </w:r>
            <w:r>
              <w:rPr>
                <w:rFonts w:hint="eastAsia" w:ascii="仿宋_GB2312" w:cs="宋体"/>
                <w:bCs/>
                <w:color w:val="auto"/>
                <w:kern w:val="0"/>
                <w:szCs w:val="21"/>
              </w:rPr>
              <w:t>贷款</w:t>
            </w:r>
            <w:r>
              <w:rPr>
                <w:rFonts w:ascii="仿宋_GB2312" w:cs="宋体"/>
                <w:bCs/>
                <w:color w:val="auto"/>
                <w:kern w:val="0"/>
                <w:szCs w:val="21"/>
              </w:rPr>
              <w:t>利率执行</w:t>
            </w:r>
          </w:p>
          <w:p>
            <w:pPr>
              <w:rPr>
                <w:rFonts w:ascii="仿宋_GB2312" w:cs="宋体"/>
                <w:bCs/>
                <w:color w:val="auto"/>
                <w:kern w:val="0"/>
                <w:szCs w:val="28"/>
              </w:rPr>
            </w:pPr>
            <w:r>
              <w:rPr>
                <w:rFonts w:hint="eastAsia" w:ascii="仿宋_GB2312" w:cs="宋体"/>
                <w:bCs/>
                <w:color w:val="auto"/>
                <w:kern w:val="0"/>
                <w:szCs w:val="21"/>
              </w:rPr>
              <w:t>额度高</w:t>
            </w:r>
            <w:r>
              <w:rPr>
                <w:rFonts w:ascii="仿宋_GB2312" w:cs="宋体"/>
                <w:bCs/>
                <w:color w:val="auto"/>
                <w:kern w:val="0"/>
                <w:szCs w:val="21"/>
              </w:rPr>
              <w:t>：</w:t>
            </w:r>
            <w:r>
              <w:rPr>
                <w:rFonts w:hint="eastAsia" w:ascii="仿宋_GB2312" w:cs="宋体"/>
                <w:bCs/>
                <w:color w:val="auto"/>
                <w:kern w:val="0"/>
                <w:szCs w:val="21"/>
              </w:rPr>
              <w:t>最高为</w:t>
            </w:r>
            <w:r>
              <w:rPr>
                <w:rFonts w:ascii="仿宋_GB2312" w:cs="宋体"/>
                <w:bCs/>
                <w:color w:val="auto"/>
                <w:kern w:val="0"/>
                <w:szCs w:val="21"/>
              </w:rPr>
              <w:t>合同金额的80%</w:t>
            </w:r>
          </w:p>
        </w:tc>
        <w:tc>
          <w:tcPr>
            <w:tcW w:w="1559" w:type="dxa"/>
            <w:vAlign w:val="center"/>
          </w:tcPr>
          <w:p>
            <w:pPr>
              <w:jc w:val="center"/>
              <w:rPr>
                <w:rFonts w:ascii="仿宋_GB2312" w:cs="宋体"/>
                <w:bCs/>
                <w:color w:val="auto"/>
                <w:kern w:val="0"/>
                <w:szCs w:val="28"/>
              </w:rPr>
            </w:pPr>
            <w:r>
              <w:rPr>
                <w:rFonts w:ascii="仿宋_GB2312" w:cs="宋体"/>
                <w:bCs/>
                <w:color w:val="auto"/>
                <w:kern w:val="0"/>
                <w:szCs w:val="28"/>
              </w:rPr>
              <w:t>叶</w:t>
            </w:r>
            <w:r>
              <w:rPr>
                <w:rFonts w:hint="eastAsia" w:ascii="仿宋_GB2312" w:cs="宋体"/>
                <w:bCs/>
                <w:color w:val="auto"/>
                <w:kern w:val="0"/>
                <w:szCs w:val="28"/>
              </w:rPr>
              <w:t>经理</w:t>
            </w:r>
          </w:p>
        </w:tc>
        <w:tc>
          <w:tcPr>
            <w:tcW w:w="2841" w:type="dxa"/>
            <w:vAlign w:val="center"/>
          </w:tcPr>
          <w:p>
            <w:pPr>
              <w:jc w:val="center"/>
              <w:rPr>
                <w:rFonts w:ascii="宋体" w:hAnsi="宋体" w:cs="宋体"/>
                <w:bCs/>
                <w:color w:val="auto"/>
                <w:kern w:val="0"/>
                <w:szCs w:val="21"/>
              </w:rPr>
            </w:pPr>
            <w:r>
              <w:rPr>
                <w:rFonts w:hint="eastAsia" w:ascii="宋体" w:hAnsi="宋体" w:cs="宋体"/>
                <w:bCs/>
                <w:color w:val="auto"/>
                <w:kern w:val="0"/>
                <w:szCs w:val="21"/>
              </w:rPr>
              <w:t>0577-</w:t>
            </w:r>
            <w:r>
              <w:rPr>
                <w:rFonts w:ascii="宋体" w:hAnsi="宋体" w:cs="宋体"/>
                <w:bCs/>
                <w:color w:val="auto"/>
                <w:kern w:val="0"/>
                <w:szCs w:val="21"/>
              </w:rPr>
              <w:t>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vAlign w:val="center"/>
          </w:tcPr>
          <w:p>
            <w:pPr>
              <w:spacing w:line="360" w:lineRule="auto"/>
              <w:jc w:val="center"/>
              <w:rPr>
                <w:rFonts w:ascii="宋体" w:hAnsi="宋体" w:cs="宋体"/>
                <w:bCs/>
                <w:color w:val="auto"/>
              </w:rPr>
            </w:pPr>
            <w:r>
              <w:rPr>
                <w:rFonts w:hint="eastAsia" w:ascii="宋体" w:hAnsi="宋体" w:cs="宋体"/>
                <w:bCs/>
                <w:color w:val="auto"/>
              </w:rPr>
              <w:t>招商银行股份有限公司温州分行</w:t>
            </w:r>
          </w:p>
        </w:tc>
        <w:tc>
          <w:tcPr>
            <w:tcW w:w="5497" w:type="dxa"/>
          </w:tcPr>
          <w:p>
            <w:pPr>
              <w:rPr>
                <w:rFonts w:ascii="仿宋_GB2312" w:cs="宋体"/>
                <w:bCs/>
                <w:color w:val="auto"/>
                <w:kern w:val="0"/>
                <w:szCs w:val="28"/>
              </w:rPr>
            </w:pPr>
            <w:r>
              <w:rPr>
                <w:rFonts w:hint="eastAsia" w:ascii="仿宋_GB2312" w:cs="宋体"/>
                <w:bCs/>
                <w:color w:val="auto"/>
                <w:kern w:val="0"/>
                <w:szCs w:val="28"/>
              </w:rPr>
              <w:t>政采贷是招商银行针对政府采购招投标中标供应商，以政府采购合同项下未来应收账款为第一还款来源的融资业务，无需抵质押物。额度最高可达2</w:t>
            </w:r>
            <w:r>
              <w:rPr>
                <w:rFonts w:ascii="仿宋_GB2312" w:cs="宋体"/>
                <w:bCs/>
                <w:color w:val="auto"/>
                <w:kern w:val="0"/>
                <w:szCs w:val="28"/>
              </w:rPr>
              <w:t>000</w:t>
            </w:r>
            <w:r>
              <w:rPr>
                <w:rFonts w:hint="eastAsia" w:ascii="仿宋_GB2312" w:cs="宋体"/>
                <w:bCs/>
                <w:color w:val="auto"/>
                <w:kern w:val="0"/>
                <w:szCs w:val="28"/>
              </w:rPr>
              <w:t>万，同时可开通自助贷款直通功能，自助贷款额度最高可达1</w:t>
            </w:r>
            <w:r>
              <w:rPr>
                <w:rFonts w:ascii="仿宋_GB2312" w:cs="宋体"/>
                <w:bCs/>
                <w:color w:val="auto"/>
                <w:kern w:val="0"/>
                <w:szCs w:val="28"/>
              </w:rPr>
              <w:t>000</w:t>
            </w:r>
            <w:r>
              <w:rPr>
                <w:rFonts w:hint="eastAsia" w:ascii="仿宋_GB2312" w:cs="宋体"/>
                <w:bCs/>
                <w:color w:val="auto"/>
                <w:kern w:val="0"/>
                <w:szCs w:val="28"/>
              </w:rPr>
              <w:t>万，支持线上申请、随借随还。</w:t>
            </w:r>
          </w:p>
        </w:tc>
        <w:tc>
          <w:tcPr>
            <w:tcW w:w="1559" w:type="dxa"/>
            <w:vAlign w:val="center"/>
          </w:tcPr>
          <w:p>
            <w:pPr>
              <w:jc w:val="center"/>
              <w:rPr>
                <w:rFonts w:ascii="仿宋_GB2312" w:cs="宋体"/>
                <w:bCs/>
                <w:color w:val="auto"/>
                <w:kern w:val="0"/>
                <w:szCs w:val="28"/>
              </w:rPr>
            </w:pPr>
            <w:r>
              <w:rPr>
                <w:rFonts w:hint="eastAsia" w:ascii="仿宋_GB2312" w:cs="宋体"/>
                <w:bCs/>
                <w:color w:val="auto"/>
                <w:kern w:val="0"/>
                <w:szCs w:val="28"/>
              </w:rPr>
              <w:t>陈经理</w:t>
            </w:r>
          </w:p>
        </w:tc>
        <w:tc>
          <w:tcPr>
            <w:tcW w:w="2841" w:type="dxa"/>
            <w:vAlign w:val="center"/>
          </w:tcPr>
          <w:p>
            <w:pPr>
              <w:jc w:val="center"/>
              <w:rPr>
                <w:rFonts w:ascii="宋体" w:hAnsi="宋体" w:cs="宋体"/>
                <w:bCs/>
                <w:color w:val="auto"/>
                <w:kern w:val="0"/>
                <w:szCs w:val="21"/>
              </w:rPr>
            </w:pPr>
            <w:r>
              <w:rPr>
                <w:rFonts w:hint="eastAsia" w:ascii="宋体" w:hAnsi="宋体" w:cs="宋体"/>
                <w:bCs/>
                <w:color w:val="auto"/>
                <w:kern w:val="0"/>
                <w:szCs w:val="21"/>
              </w:rPr>
              <w:t>0577-8</w:t>
            </w:r>
            <w:r>
              <w:rPr>
                <w:rFonts w:ascii="宋体" w:hAnsi="宋体" w:cs="宋体"/>
                <w:bCs/>
                <w:color w:val="auto"/>
                <w:kern w:val="0"/>
                <w:szCs w:val="21"/>
              </w:rPr>
              <w:t>8056876</w:t>
            </w:r>
          </w:p>
          <w:p>
            <w:pPr>
              <w:jc w:val="center"/>
              <w:rPr>
                <w:rFonts w:ascii="宋体" w:hAnsi="宋体" w:cs="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vAlign w:val="center"/>
          </w:tcPr>
          <w:p>
            <w:pPr>
              <w:spacing w:line="360" w:lineRule="auto"/>
              <w:jc w:val="center"/>
              <w:rPr>
                <w:rFonts w:ascii="宋体" w:hAnsi="宋体" w:cs="宋体"/>
                <w:bCs/>
                <w:color w:val="auto"/>
              </w:rPr>
            </w:pPr>
            <w:r>
              <w:rPr>
                <w:rFonts w:hint="eastAsia" w:ascii="宋体" w:hAnsi="宋体" w:cs="宋体"/>
                <w:bCs/>
                <w:color w:val="auto"/>
              </w:rPr>
              <w:t>兴业银行股份有限公司温州分行</w:t>
            </w:r>
          </w:p>
        </w:tc>
        <w:tc>
          <w:tcPr>
            <w:tcW w:w="5497" w:type="dxa"/>
            <w:vAlign w:val="center"/>
          </w:tcPr>
          <w:p>
            <w:pPr>
              <w:rPr>
                <w:rFonts w:ascii="宋体" w:hAnsi="宋体" w:cs="宋体"/>
                <w:bCs/>
                <w:color w:val="auto"/>
              </w:rPr>
            </w:pPr>
            <w:r>
              <w:rPr>
                <w:rFonts w:hint="eastAsia" w:ascii="宋体" w:hAnsi="宋体" w:cs="宋体"/>
                <w:bCs/>
                <w:color w:val="auto"/>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559" w:type="dxa"/>
            <w:vAlign w:val="center"/>
          </w:tcPr>
          <w:p>
            <w:pPr>
              <w:jc w:val="center"/>
              <w:rPr>
                <w:rFonts w:ascii="仿宋_GB2312" w:cs="宋体"/>
                <w:bCs/>
                <w:color w:val="auto"/>
                <w:kern w:val="0"/>
                <w:szCs w:val="28"/>
              </w:rPr>
            </w:pPr>
            <w:r>
              <w:rPr>
                <w:rFonts w:hint="eastAsia" w:ascii="仿宋_GB2312" w:cs="宋体"/>
                <w:bCs/>
                <w:color w:val="auto"/>
                <w:kern w:val="0"/>
                <w:szCs w:val="28"/>
              </w:rPr>
              <w:t>张经理</w:t>
            </w:r>
          </w:p>
          <w:p>
            <w:pPr>
              <w:jc w:val="center"/>
              <w:rPr>
                <w:rFonts w:ascii="仿宋_GB2312" w:cs="宋体"/>
                <w:bCs/>
                <w:color w:val="auto"/>
                <w:kern w:val="0"/>
                <w:szCs w:val="28"/>
              </w:rPr>
            </w:pPr>
            <w:r>
              <w:rPr>
                <w:rFonts w:hint="eastAsia" w:ascii="仿宋_GB2312" w:cs="宋体"/>
                <w:bCs/>
                <w:color w:val="auto"/>
                <w:kern w:val="0"/>
                <w:szCs w:val="28"/>
              </w:rPr>
              <w:t>陈经理</w:t>
            </w:r>
          </w:p>
        </w:tc>
        <w:tc>
          <w:tcPr>
            <w:tcW w:w="2841" w:type="dxa"/>
            <w:vAlign w:val="center"/>
          </w:tcPr>
          <w:p>
            <w:pPr>
              <w:jc w:val="center"/>
              <w:rPr>
                <w:rFonts w:ascii="宋体" w:hAnsi="宋体"/>
                <w:bCs/>
                <w:color w:val="auto"/>
                <w:szCs w:val="22"/>
              </w:rPr>
            </w:pPr>
            <w:r>
              <w:rPr>
                <w:rFonts w:hint="eastAsia" w:ascii="宋体" w:hAnsi="宋体"/>
                <w:bCs/>
                <w:color w:val="auto"/>
                <w:szCs w:val="22"/>
              </w:rPr>
              <w:t>0577-</w:t>
            </w:r>
            <w:r>
              <w:rPr>
                <w:rFonts w:ascii="宋体" w:hAnsi="宋体"/>
                <w:bCs/>
                <w:color w:val="auto"/>
                <w:szCs w:val="22"/>
              </w:rPr>
              <w:t>88369368</w:t>
            </w:r>
            <w:r>
              <w:rPr>
                <w:rFonts w:hint="eastAsia" w:ascii="宋体" w:hAnsi="宋体"/>
                <w:bCs/>
                <w:color w:val="auto"/>
                <w:szCs w:val="22"/>
              </w:rPr>
              <w:t>/13857713118</w:t>
            </w:r>
          </w:p>
          <w:p>
            <w:pPr>
              <w:jc w:val="center"/>
              <w:rPr>
                <w:rFonts w:ascii="宋体" w:hAnsi="宋体"/>
                <w:bCs/>
                <w:color w:val="auto"/>
                <w:szCs w:val="22"/>
              </w:rPr>
            </w:pPr>
            <w:r>
              <w:rPr>
                <w:rFonts w:hint="eastAsia" w:ascii="宋体" w:hAnsi="宋体"/>
                <w:bCs/>
                <w:color w:val="auto"/>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vAlign w:val="center"/>
          </w:tcPr>
          <w:p>
            <w:pPr>
              <w:spacing w:line="360" w:lineRule="auto"/>
              <w:jc w:val="center"/>
              <w:rPr>
                <w:rFonts w:ascii="宋体" w:hAnsi="宋体" w:cs="宋体"/>
                <w:bCs/>
                <w:color w:val="auto"/>
              </w:rPr>
            </w:pPr>
            <w:r>
              <w:rPr>
                <w:rFonts w:hint="eastAsia" w:ascii="宋体" w:hAnsi="宋体" w:cs="宋体"/>
                <w:bCs/>
                <w:color w:val="auto"/>
              </w:rPr>
              <w:t>温州银行股份有限公司温州分行</w:t>
            </w:r>
          </w:p>
        </w:tc>
        <w:tc>
          <w:tcPr>
            <w:tcW w:w="5497" w:type="dxa"/>
          </w:tcPr>
          <w:p>
            <w:pPr>
              <w:rPr>
                <w:rFonts w:ascii="宋体" w:hAnsi="宋体" w:cs="宋体"/>
                <w:bCs/>
                <w:color w:val="auto"/>
                <w:kern w:val="0"/>
              </w:rPr>
            </w:pPr>
            <w:r>
              <w:rPr>
                <w:rFonts w:hint="eastAsia" w:ascii="宋体" w:hAnsi="宋体" w:cs="宋体"/>
                <w:bCs/>
                <w:color w:val="auto"/>
                <w:kern w:val="0"/>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559" w:type="dxa"/>
            <w:vAlign w:val="center"/>
          </w:tcPr>
          <w:p>
            <w:pPr>
              <w:jc w:val="center"/>
              <w:rPr>
                <w:rFonts w:ascii="宋体" w:hAnsi="宋体" w:cs="宋体"/>
                <w:bCs/>
                <w:color w:val="auto"/>
                <w:kern w:val="0"/>
              </w:rPr>
            </w:pPr>
            <w:r>
              <w:rPr>
                <w:rFonts w:hint="eastAsia" w:ascii="宋体" w:hAnsi="宋体" w:cs="宋体"/>
                <w:bCs/>
                <w:color w:val="auto"/>
                <w:kern w:val="0"/>
              </w:rPr>
              <w:t>陈经理</w:t>
            </w:r>
          </w:p>
        </w:tc>
        <w:tc>
          <w:tcPr>
            <w:tcW w:w="2841" w:type="dxa"/>
            <w:vAlign w:val="center"/>
          </w:tcPr>
          <w:p>
            <w:pPr>
              <w:jc w:val="center"/>
              <w:rPr>
                <w:rFonts w:ascii="宋体" w:hAnsi="宋体" w:cs="宋体"/>
                <w:bCs/>
                <w:color w:val="auto"/>
                <w:kern w:val="0"/>
                <w:szCs w:val="21"/>
              </w:rPr>
            </w:pPr>
            <w:r>
              <w:rPr>
                <w:rFonts w:hint="eastAsia" w:ascii="宋体" w:hAnsi="宋体" w:cs="宋体"/>
                <w:bCs/>
                <w:color w:val="auto"/>
                <w:kern w:val="0"/>
                <w:szCs w:val="21"/>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vAlign w:val="center"/>
          </w:tcPr>
          <w:p>
            <w:pPr>
              <w:spacing w:line="360" w:lineRule="auto"/>
              <w:jc w:val="center"/>
              <w:rPr>
                <w:rFonts w:ascii="宋体" w:hAnsi="宋体" w:cs="宋体"/>
                <w:bCs/>
                <w:color w:val="auto"/>
              </w:rPr>
            </w:pPr>
            <w:r>
              <w:rPr>
                <w:rFonts w:hint="eastAsia" w:ascii="宋体" w:hAnsi="宋体" w:cs="宋体"/>
                <w:bCs/>
                <w:color w:val="auto"/>
              </w:rPr>
              <w:t>温州银行股份有限公司鹿城分行</w:t>
            </w:r>
          </w:p>
        </w:tc>
        <w:tc>
          <w:tcPr>
            <w:tcW w:w="5497" w:type="dxa"/>
          </w:tcPr>
          <w:p>
            <w:pPr>
              <w:rPr>
                <w:rFonts w:ascii="仿宋_GB2312" w:cs="宋体"/>
                <w:bCs/>
                <w:color w:val="auto"/>
                <w:kern w:val="0"/>
                <w:szCs w:val="28"/>
              </w:rPr>
            </w:pPr>
            <w:r>
              <w:rPr>
                <w:rFonts w:hint="eastAsia" w:ascii="仿宋_GB2312" w:cs="宋体"/>
                <w:bCs/>
                <w:color w:val="auto"/>
                <w:kern w:val="0"/>
                <w:szCs w:val="28"/>
              </w:rPr>
              <w:t>政采</w:t>
            </w:r>
            <w:r>
              <w:rPr>
                <w:rFonts w:ascii="仿宋_GB2312" w:cs="宋体"/>
                <w:bCs/>
                <w:color w:val="auto"/>
                <w:kern w:val="0"/>
                <w:szCs w:val="28"/>
              </w:rPr>
              <w:t>订单贷：</w:t>
            </w:r>
            <w:r>
              <w:rPr>
                <w:rFonts w:hint="eastAsia" w:ascii="仿宋_GB2312" w:cs="宋体"/>
                <w:bCs/>
                <w:color w:val="auto"/>
                <w:kern w:val="0"/>
                <w:szCs w:val="28"/>
              </w:rPr>
              <w:t>1、面向政府采购项目供应商，满足供应商资金周转需求，凭中标通知书即可申请，2、秒知额高，最高可贷500万元，单笔业务金额可贷中标金额的80%，</w:t>
            </w:r>
          </w:p>
          <w:p>
            <w:pPr>
              <w:ind w:left="5"/>
              <w:rPr>
                <w:rFonts w:ascii="Calibri" w:hAnsi="Calibri"/>
                <w:bCs/>
                <w:color w:val="auto"/>
                <w:szCs w:val="28"/>
              </w:rPr>
            </w:pPr>
            <w:r>
              <w:rPr>
                <w:rFonts w:hint="eastAsia" w:ascii="Calibri" w:hAnsi="Calibri"/>
                <w:bCs/>
                <w:color w:val="auto"/>
                <w:szCs w:val="28"/>
              </w:rPr>
              <w:t>最长期限可贷1年。信保贷：1、额度最高可达500万元</w:t>
            </w:r>
          </w:p>
          <w:p>
            <w:pPr>
              <w:rPr>
                <w:rFonts w:ascii="仿宋_GB2312" w:cs="宋体"/>
                <w:bCs/>
                <w:color w:val="auto"/>
                <w:kern w:val="0"/>
                <w:szCs w:val="28"/>
              </w:rPr>
            </w:pPr>
            <w:r>
              <w:rPr>
                <w:rFonts w:hint="eastAsia" w:ascii="仿宋_GB2312" w:cs="宋体"/>
                <w:bCs/>
                <w:color w:val="auto"/>
                <w:kern w:val="0"/>
                <w:szCs w:val="28"/>
              </w:rPr>
              <w:t>2、担保灵活，信用贷款3、贷款年利率至少可享受本单位一般性中小企业信用贷款利率基础上下浮10 %</w:t>
            </w:r>
          </w:p>
        </w:tc>
        <w:tc>
          <w:tcPr>
            <w:tcW w:w="1559" w:type="dxa"/>
            <w:vAlign w:val="center"/>
          </w:tcPr>
          <w:p>
            <w:pPr>
              <w:jc w:val="center"/>
              <w:rPr>
                <w:rFonts w:ascii="宋体" w:hAnsi="宋体" w:cs="宋体"/>
                <w:bCs/>
                <w:color w:val="auto"/>
                <w:kern w:val="0"/>
                <w:szCs w:val="21"/>
              </w:rPr>
            </w:pPr>
            <w:r>
              <w:rPr>
                <w:rFonts w:hint="eastAsia" w:ascii="宋体" w:hAnsi="宋体" w:cs="宋体"/>
                <w:bCs/>
                <w:color w:val="auto"/>
                <w:kern w:val="0"/>
                <w:szCs w:val="21"/>
              </w:rPr>
              <w:t>戴经理</w:t>
            </w:r>
          </w:p>
        </w:tc>
        <w:tc>
          <w:tcPr>
            <w:tcW w:w="2841" w:type="dxa"/>
            <w:vAlign w:val="center"/>
          </w:tcPr>
          <w:p>
            <w:pPr>
              <w:jc w:val="center"/>
              <w:rPr>
                <w:rFonts w:ascii="宋体" w:hAnsi="宋体" w:cs="宋体"/>
                <w:bCs/>
                <w:color w:val="auto"/>
                <w:kern w:val="0"/>
                <w:szCs w:val="21"/>
              </w:rPr>
            </w:pPr>
            <w:r>
              <w:rPr>
                <w:rFonts w:hint="eastAsia" w:ascii="宋体" w:hAnsi="宋体" w:cs="宋体"/>
                <w:bCs/>
                <w:color w:val="auto"/>
                <w:kern w:val="0"/>
                <w:szCs w:val="21"/>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7" w:type="dxa"/>
            <w:vAlign w:val="center"/>
          </w:tcPr>
          <w:p>
            <w:pPr>
              <w:spacing w:line="360" w:lineRule="auto"/>
              <w:jc w:val="center"/>
              <w:rPr>
                <w:rFonts w:ascii="宋体" w:hAnsi="宋体" w:cs="宋体"/>
                <w:bCs/>
                <w:color w:val="auto"/>
              </w:rPr>
            </w:pPr>
            <w:r>
              <w:rPr>
                <w:rFonts w:hint="eastAsia" w:ascii="宋体" w:hAnsi="宋体" w:cs="宋体"/>
                <w:bCs/>
                <w:color w:val="auto"/>
              </w:rPr>
              <w:t>交通银行股份有限公司温州分行</w:t>
            </w:r>
          </w:p>
        </w:tc>
        <w:tc>
          <w:tcPr>
            <w:tcW w:w="5497" w:type="dxa"/>
          </w:tcPr>
          <w:p>
            <w:pPr>
              <w:autoSpaceDE w:val="0"/>
              <w:autoSpaceDN w:val="0"/>
              <w:adjustRightInd w:val="0"/>
              <w:jc w:val="left"/>
              <w:rPr>
                <w:rFonts w:ascii="宋体" w:hAnsi="宋体" w:cs="宋体"/>
                <w:bCs/>
                <w:color w:val="auto"/>
                <w:kern w:val="0"/>
              </w:rPr>
            </w:pPr>
            <w:r>
              <w:rPr>
                <w:rFonts w:hint="eastAsia" w:ascii="宋体" w:hAnsi="宋体" w:cs="宋体"/>
                <w:bCs/>
                <w:color w:val="auto"/>
                <w:kern w:val="0"/>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559" w:type="dxa"/>
            <w:vAlign w:val="center"/>
          </w:tcPr>
          <w:p>
            <w:pPr>
              <w:jc w:val="center"/>
              <w:rPr>
                <w:rFonts w:ascii="仿宋_GB2312" w:cs="宋体"/>
                <w:bCs/>
                <w:color w:val="auto"/>
                <w:kern w:val="0"/>
                <w:szCs w:val="28"/>
              </w:rPr>
            </w:pPr>
            <w:r>
              <w:rPr>
                <w:rFonts w:hint="eastAsia" w:ascii="仿宋_GB2312" w:cs="宋体"/>
                <w:bCs/>
                <w:color w:val="auto"/>
                <w:kern w:val="0"/>
                <w:szCs w:val="28"/>
              </w:rPr>
              <w:t>缪经理</w:t>
            </w:r>
          </w:p>
        </w:tc>
        <w:tc>
          <w:tcPr>
            <w:tcW w:w="2841" w:type="dxa"/>
            <w:vAlign w:val="center"/>
          </w:tcPr>
          <w:p>
            <w:pPr>
              <w:jc w:val="center"/>
              <w:rPr>
                <w:rFonts w:ascii="仿宋_GB2312" w:cs="宋体"/>
                <w:bCs/>
                <w:color w:val="auto"/>
                <w:kern w:val="0"/>
                <w:szCs w:val="28"/>
              </w:rPr>
            </w:pPr>
            <w:r>
              <w:rPr>
                <w:rFonts w:hint="eastAsia" w:ascii="宋体" w:hAnsi="宋体" w:cs="宋体"/>
                <w:bCs/>
                <w:color w:val="auto"/>
                <w:kern w:val="0"/>
                <w:szCs w:val="21"/>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277" w:type="dxa"/>
            <w:vAlign w:val="center"/>
          </w:tcPr>
          <w:p>
            <w:pPr>
              <w:spacing w:line="360" w:lineRule="auto"/>
              <w:jc w:val="center"/>
              <w:rPr>
                <w:rFonts w:ascii="宋体" w:hAnsi="宋体" w:cs="宋体"/>
                <w:bCs/>
                <w:color w:val="auto"/>
              </w:rPr>
            </w:pPr>
            <w:r>
              <w:rPr>
                <w:rFonts w:hint="eastAsia" w:ascii="宋体" w:hAnsi="宋体" w:cs="宋体"/>
                <w:bCs/>
                <w:color w:val="auto"/>
              </w:rPr>
              <w:t>上海浦东发展银行股份有限公司温州分行</w:t>
            </w:r>
          </w:p>
        </w:tc>
        <w:tc>
          <w:tcPr>
            <w:tcW w:w="5497" w:type="dxa"/>
          </w:tcPr>
          <w:p>
            <w:pPr>
              <w:jc w:val="left"/>
              <w:rPr>
                <w:rFonts w:ascii="宋体" w:hAnsi="宋体" w:cs="宋体"/>
                <w:bCs/>
                <w:color w:val="auto"/>
                <w:kern w:val="0"/>
              </w:rPr>
            </w:pPr>
            <w:r>
              <w:rPr>
                <w:rFonts w:hint="eastAsia" w:ascii="宋体" w:hAnsi="宋体" w:cs="宋体"/>
                <w:bCs/>
                <w:color w:val="auto"/>
                <w:kern w:val="0"/>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rFonts w:ascii="仿宋_GB2312" w:cs="宋体"/>
                <w:bCs/>
                <w:color w:val="auto"/>
                <w:kern w:val="0"/>
                <w:szCs w:val="28"/>
              </w:rPr>
            </w:pPr>
            <w:r>
              <w:rPr>
                <w:rFonts w:hint="eastAsia" w:ascii="宋体" w:hAnsi="宋体" w:cs="宋体"/>
                <w:bCs/>
                <w:color w:val="auto"/>
                <w:kern w:val="0"/>
              </w:rPr>
              <w:t>所需材料：企业基础证件、相关中标文件（中标通知书 、采购合同等）、其他必要文件</w:t>
            </w:r>
          </w:p>
        </w:tc>
        <w:tc>
          <w:tcPr>
            <w:tcW w:w="1559" w:type="dxa"/>
            <w:vAlign w:val="center"/>
          </w:tcPr>
          <w:p>
            <w:pPr>
              <w:jc w:val="center"/>
              <w:rPr>
                <w:rFonts w:ascii="宋体" w:hAnsi="宋体" w:cs="宋体"/>
                <w:bCs/>
                <w:color w:val="auto"/>
                <w:kern w:val="0"/>
              </w:rPr>
            </w:pPr>
            <w:r>
              <w:rPr>
                <w:rFonts w:hint="eastAsia" w:ascii="宋体" w:hAnsi="宋体" w:cs="宋体"/>
                <w:bCs/>
                <w:color w:val="auto"/>
                <w:kern w:val="0"/>
              </w:rPr>
              <w:t>叶经理</w:t>
            </w:r>
          </w:p>
        </w:tc>
        <w:tc>
          <w:tcPr>
            <w:tcW w:w="2841" w:type="dxa"/>
            <w:vAlign w:val="center"/>
          </w:tcPr>
          <w:p>
            <w:pPr>
              <w:jc w:val="center"/>
              <w:rPr>
                <w:rFonts w:ascii="宋体" w:hAnsi="宋体" w:cs="宋体"/>
                <w:bCs/>
                <w:color w:val="auto"/>
                <w:kern w:val="0"/>
                <w:szCs w:val="21"/>
              </w:rPr>
            </w:pPr>
            <w:r>
              <w:rPr>
                <w:rFonts w:hint="eastAsia" w:ascii="宋体" w:hAnsi="宋体" w:cs="宋体"/>
                <w:bCs/>
                <w:color w:val="auto"/>
                <w:kern w:val="0"/>
                <w:szCs w:val="21"/>
              </w:rPr>
              <w:t>0577-55570829</w:t>
            </w:r>
          </w:p>
          <w:p>
            <w:pPr>
              <w:jc w:val="center"/>
              <w:rPr>
                <w:rFonts w:ascii="宋体" w:hAnsi="宋体" w:cs="宋体"/>
                <w:bCs/>
                <w:color w:val="auto"/>
                <w:kern w:val="0"/>
                <w:szCs w:val="21"/>
              </w:rPr>
            </w:pPr>
          </w:p>
        </w:tc>
      </w:tr>
    </w:tbl>
    <w:p>
      <w:pPr>
        <w:rPr>
          <w:snapToGrid w:val="0"/>
          <w:color w:val="auto"/>
          <w:szCs w:val="21"/>
        </w:rPr>
      </w:pPr>
    </w:p>
    <w:p>
      <w:pPr>
        <w:pStyle w:val="22"/>
        <w:adjustRightInd w:val="0"/>
        <w:snapToGrid w:val="0"/>
        <w:spacing w:line="400" w:lineRule="exact"/>
        <w:rPr>
          <w:rFonts w:hAnsi="宋体" w:eastAsia="新宋体"/>
          <w:color w:val="auto"/>
          <w:sz w:val="24"/>
        </w:rPr>
        <w:sectPr>
          <w:headerReference r:id="rId25" w:type="first"/>
          <w:footerReference r:id="rId27" w:type="first"/>
          <w:headerReference r:id="rId24" w:type="default"/>
          <w:footerReference r:id="rId26" w:type="default"/>
          <w:pgSz w:w="11907" w:h="16840"/>
          <w:pgMar w:top="1440" w:right="1106" w:bottom="1440" w:left="1157" w:header="680" w:footer="567" w:gutter="0"/>
          <w:cols w:space="720" w:num="1"/>
          <w:titlePg/>
          <w:docGrid w:linePitch="312" w:charSpace="0"/>
        </w:sectPr>
      </w:pPr>
    </w:p>
    <w:p>
      <w:pPr>
        <w:autoSpaceDE w:val="0"/>
        <w:autoSpaceDN w:val="0"/>
        <w:adjustRightInd w:val="0"/>
        <w:snapToGrid w:val="0"/>
        <w:spacing w:line="360" w:lineRule="atLeast"/>
        <w:jc w:val="center"/>
        <w:textAlignment w:val="bottom"/>
        <w:rPr>
          <w:rFonts w:ascii="宋体" w:hAnsi="宋体"/>
          <w:color w:val="auto"/>
          <w:sz w:val="36"/>
        </w:rPr>
      </w:pPr>
      <w:r>
        <w:rPr>
          <w:rFonts w:hint="eastAsia" w:ascii="宋体" w:hAnsi="宋体"/>
          <w:color w:val="auto"/>
          <w:sz w:val="36"/>
        </w:rPr>
        <w:t>第六部分   评标办法</w:t>
      </w:r>
    </w:p>
    <w:p>
      <w:pPr>
        <w:tabs>
          <w:tab w:val="left" w:pos="8820"/>
        </w:tabs>
        <w:adjustRightInd w:val="0"/>
        <w:snapToGrid w:val="0"/>
        <w:spacing w:line="240" w:lineRule="exact"/>
        <w:ind w:firstLine="446" w:firstLineChars="200"/>
        <w:rPr>
          <w:rFonts w:ascii="宋体" w:hAnsi="宋体"/>
          <w:color w:val="auto"/>
          <w:sz w:val="22"/>
          <w:szCs w:val="22"/>
        </w:rPr>
      </w:pPr>
    </w:p>
    <w:p>
      <w:pPr>
        <w:tabs>
          <w:tab w:val="left" w:pos="8820"/>
        </w:tabs>
        <w:adjustRightInd w:val="0"/>
        <w:snapToGrid w:val="0"/>
        <w:spacing w:line="420" w:lineRule="atLeast"/>
        <w:ind w:firstLine="446" w:firstLineChars="200"/>
        <w:rPr>
          <w:rFonts w:ascii="宋体" w:hAnsi="宋体"/>
          <w:color w:val="auto"/>
          <w:sz w:val="22"/>
          <w:szCs w:val="22"/>
        </w:rPr>
      </w:pPr>
      <w:r>
        <w:rPr>
          <w:rFonts w:hint="eastAsia" w:ascii="宋体" w:hAnsi="宋体"/>
          <w:color w:val="auto"/>
          <w:sz w:val="22"/>
          <w:szCs w:val="22"/>
        </w:rPr>
        <w:t>根据《中华人民共和国政府采购法》等有关政府采购法规，结合本次所要采购项目的实际，按照公平、公正、科学、择优的原则选择中标单位，特制定本评标办法。</w:t>
      </w:r>
    </w:p>
    <w:p>
      <w:pPr>
        <w:adjustRightInd w:val="0"/>
        <w:snapToGrid w:val="0"/>
        <w:spacing w:line="420" w:lineRule="atLeast"/>
        <w:jc w:val="center"/>
        <w:outlineLvl w:val="0"/>
        <w:rPr>
          <w:rFonts w:ascii="宋体" w:hAnsi="宋体"/>
          <w:bCs/>
          <w:color w:val="auto"/>
          <w:sz w:val="22"/>
          <w:szCs w:val="22"/>
        </w:rPr>
      </w:pPr>
      <w:r>
        <w:rPr>
          <w:rFonts w:hint="eastAsia" w:ascii="宋体" w:hAnsi="宋体"/>
          <w:bCs/>
          <w:color w:val="auto"/>
          <w:sz w:val="22"/>
          <w:szCs w:val="22"/>
        </w:rPr>
        <w:t>一、总则</w:t>
      </w:r>
    </w:p>
    <w:p>
      <w:pPr>
        <w:pStyle w:val="24"/>
        <w:adjustRightInd w:val="0"/>
        <w:snapToGrid w:val="0"/>
        <w:spacing w:line="400" w:lineRule="exact"/>
        <w:rPr>
          <w:rFonts w:hAnsi="宋体"/>
          <w:color w:val="auto"/>
          <w:sz w:val="22"/>
          <w:szCs w:val="22"/>
        </w:rPr>
      </w:pPr>
      <w:r>
        <w:rPr>
          <w:rFonts w:hint="eastAsia" w:hAnsi="宋体"/>
          <w:color w:val="auto"/>
          <w:sz w:val="22"/>
          <w:szCs w:val="22"/>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pStyle w:val="24"/>
        <w:adjustRightInd w:val="0"/>
        <w:snapToGrid w:val="0"/>
        <w:spacing w:line="420" w:lineRule="atLeast"/>
        <w:rPr>
          <w:rFonts w:hAnsi="宋体" w:cs="Arial"/>
          <w:bCs/>
          <w:color w:val="auto"/>
          <w:kern w:val="28"/>
          <w:szCs w:val="21"/>
        </w:rPr>
      </w:pPr>
      <w:r>
        <w:rPr>
          <w:rFonts w:hint="eastAsia" w:hAnsi="宋体" w:cs="Arial"/>
          <w:bCs/>
          <w:color w:val="auto"/>
          <w:kern w:val="28"/>
          <w:szCs w:val="21"/>
        </w:rPr>
        <w:t>评标应遵循公平、公正、科学、择优的原则推荐备选中标人。</w:t>
      </w:r>
    </w:p>
    <w:p>
      <w:pPr>
        <w:adjustRightInd w:val="0"/>
        <w:snapToGrid w:val="0"/>
        <w:spacing w:line="400" w:lineRule="exact"/>
        <w:jc w:val="center"/>
        <w:outlineLvl w:val="0"/>
        <w:rPr>
          <w:rFonts w:ascii="宋体" w:hAnsi="宋体"/>
          <w:bCs/>
          <w:color w:val="auto"/>
          <w:sz w:val="22"/>
          <w:szCs w:val="22"/>
        </w:rPr>
      </w:pPr>
      <w:r>
        <w:rPr>
          <w:rFonts w:hint="eastAsia" w:ascii="宋体" w:hAnsi="宋体"/>
          <w:bCs/>
          <w:color w:val="auto"/>
          <w:sz w:val="22"/>
          <w:szCs w:val="22"/>
        </w:rPr>
        <w:t>二．评标组织</w:t>
      </w:r>
    </w:p>
    <w:p>
      <w:pPr>
        <w:pStyle w:val="24"/>
        <w:adjustRightInd w:val="0"/>
        <w:snapToGrid w:val="0"/>
        <w:spacing w:line="400" w:lineRule="exact"/>
        <w:rPr>
          <w:rFonts w:hAnsi="宋体"/>
          <w:color w:val="auto"/>
          <w:sz w:val="22"/>
          <w:szCs w:val="22"/>
        </w:rPr>
      </w:pPr>
      <w:r>
        <w:rPr>
          <w:rFonts w:hint="eastAsia" w:hAnsi="宋体"/>
          <w:color w:val="auto"/>
          <w:sz w:val="22"/>
          <w:szCs w:val="22"/>
        </w:rPr>
        <w:t>评标工作由采购人依法组建的评标委员会负责，评标委员会由采购人代表以及评标专家库中随机抽取的有关技术、经济专家共同组成。评标全过程由招标管理部门监督整个开标、评标和定标过程。</w:t>
      </w:r>
    </w:p>
    <w:p>
      <w:pPr>
        <w:spacing w:line="400" w:lineRule="exact"/>
        <w:jc w:val="center"/>
        <w:rPr>
          <w:rFonts w:ascii="宋体" w:hAnsi="宋体"/>
          <w:bCs/>
          <w:color w:val="auto"/>
          <w:sz w:val="22"/>
          <w:szCs w:val="22"/>
        </w:rPr>
      </w:pPr>
      <w:r>
        <w:rPr>
          <w:rFonts w:hint="eastAsia" w:ascii="宋体" w:hAnsi="宋体"/>
          <w:bCs/>
          <w:color w:val="auto"/>
          <w:sz w:val="22"/>
          <w:szCs w:val="22"/>
        </w:rPr>
        <w:t>三、评标程序</w:t>
      </w:r>
    </w:p>
    <w:p>
      <w:pPr>
        <w:pStyle w:val="8"/>
        <w:adjustRightInd w:val="0"/>
        <w:snapToGrid w:val="0"/>
        <w:spacing w:before="156" w:after="50" w:line="400" w:lineRule="exact"/>
        <w:ind w:left="-213" w:leftChars="-100" w:right="-213" w:rightChars="-100" w:firstLine="450"/>
        <w:rPr>
          <w:b/>
          <w:bCs/>
          <w:color w:val="auto"/>
          <w:sz w:val="22"/>
          <w:szCs w:val="22"/>
          <w:u w:val="single"/>
        </w:rPr>
      </w:pPr>
      <w:r>
        <w:rPr>
          <w:rFonts w:hint="eastAsia"/>
          <w:b/>
          <w:bCs/>
          <w:color w:val="auto"/>
          <w:sz w:val="22"/>
          <w:szCs w:val="22"/>
          <w:u w:val="single"/>
        </w:rPr>
        <w:t>第一步：</w:t>
      </w:r>
      <w:r>
        <w:rPr>
          <w:rFonts w:hint="eastAsia" w:ascii="宋体" w:hAnsi="宋体"/>
          <w:b/>
          <w:bCs/>
          <w:color w:val="auto"/>
          <w:sz w:val="22"/>
          <w:szCs w:val="22"/>
          <w:u w:val="single"/>
        </w:rPr>
        <w:t>评标委员会根据评审原则和评审办法，对各供应商的技术资信部分投标进行评审并打分，技术资信标不合格的供应商对该标段做无效标处理，不进入该标段商务标评审。</w:t>
      </w:r>
    </w:p>
    <w:p>
      <w:pPr>
        <w:adjustRightInd w:val="0"/>
        <w:snapToGrid w:val="0"/>
        <w:spacing w:before="100" w:after="50" w:line="400" w:lineRule="exact"/>
        <w:ind w:left="-213" w:leftChars="-100" w:right="-213" w:rightChars="-100" w:firstLine="446" w:firstLineChars="200"/>
        <w:rPr>
          <w:rFonts w:ascii="宋体" w:hAnsi="宋体"/>
          <w:b/>
          <w:bCs/>
          <w:color w:val="auto"/>
          <w:sz w:val="22"/>
          <w:szCs w:val="22"/>
          <w:u w:val="single"/>
        </w:rPr>
      </w:pPr>
      <w:r>
        <w:rPr>
          <w:rFonts w:hint="eastAsia" w:ascii="宋体" w:hAnsi="宋体"/>
          <w:b/>
          <w:bCs/>
          <w:color w:val="auto"/>
          <w:sz w:val="22"/>
          <w:szCs w:val="22"/>
          <w:u w:val="single"/>
        </w:rPr>
        <w:t>第二步：公布技术资信标得分，开启合格技术资信标的商务报价标。</w:t>
      </w:r>
    </w:p>
    <w:p>
      <w:pPr>
        <w:adjustRightInd w:val="0"/>
        <w:snapToGrid w:val="0"/>
        <w:spacing w:before="100" w:after="50" w:line="400" w:lineRule="exact"/>
        <w:ind w:left="-213" w:leftChars="-100" w:right="-213" w:rightChars="-100" w:firstLine="446" w:firstLineChars="200"/>
        <w:rPr>
          <w:rFonts w:ascii="宋体" w:hAnsi="宋体"/>
          <w:b/>
          <w:bCs/>
          <w:color w:val="auto"/>
          <w:sz w:val="22"/>
          <w:szCs w:val="22"/>
          <w:u w:val="single"/>
        </w:rPr>
      </w:pPr>
      <w:r>
        <w:rPr>
          <w:rFonts w:hint="eastAsia" w:ascii="宋体" w:hAnsi="宋体"/>
          <w:b/>
          <w:bCs/>
          <w:color w:val="auto"/>
          <w:sz w:val="22"/>
          <w:szCs w:val="22"/>
          <w:u w:val="single"/>
        </w:rPr>
        <w:t>第三步：评标委员会推荐一名技术资信标和商务报价标合计分值最高的供应商为中标侯选供应商，并提交书面评审报告。</w:t>
      </w:r>
    </w:p>
    <w:p>
      <w:pPr>
        <w:adjustRightInd w:val="0"/>
        <w:snapToGrid w:val="0"/>
        <w:spacing w:before="100" w:after="50" w:line="400" w:lineRule="exact"/>
        <w:ind w:left="-213" w:leftChars="-100" w:right="-213" w:rightChars="-100" w:firstLine="446" w:firstLineChars="200"/>
        <w:rPr>
          <w:rFonts w:ascii="宋体" w:hAnsi="宋体"/>
          <w:b/>
          <w:bCs/>
          <w:color w:val="auto"/>
          <w:sz w:val="22"/>
          <w:szCs w:val="22"/>
          <w:u w:val="single"/>
        </w:rPr>
      </w:pPr>
      <w:r>
        <w:rPr>
          <w:rFonts w:hint="eastAsia" w:ascii="宋体" w:hAnsi="宋体"/>
          <w:b/>
          <w:bCs/>
          <w:color w:val="auto"/>
          <w:sz w:val="22"/>
          <w:szCs w:val="22"/>
          <w:u w:val="single"/>
        </w:rPr>
        <w:t>第四步：采购人授权评标委员会根据评审报告确定中标供应商。</w:t>
      </w:r>
    </w:p>
    <w:p>
      <w:pPr>
        <w:pStyle w:val="30"/>
        <w:snapToGrid w:val="0"/>
        <w:spacing w:line="400" w:lineRule="exact"/>
        <w:ind w:left="-213" w:leftChars="-100" w:right="-213" w:rightChars="-100" w:firstLine="448"/>
        <w:rPr>
          <w:rFonts w:ascii="宋体" w:hAnsi="宋体"/>
          <w:color w:val="auto"/>
          <w:sz w:val="22"/>
          <w:szCs w:val="22"/>
        </w:rPr>
      </w:pPr>
      <w:r>
        <w:rPr>
          <w:rFonts w:hint="eastAsia" w:ascii="宋体" w:hAnsi="宋体"/>
          <w:color w:val="auto"/>
          <w:sz w:val="22"/>
          <w:szCs w:val="22"/>
        </w:rPr>
        <w:t>中标供应商放弃中标，或者因不可抗力提出不能履行合同，采购人可以取消其中标资格。并按有关规定重新组织采购。</w:t>
      </w:r>
    </w:p>
    <w:p>
      <w:pPr>
        <w:adjustRightInd w:val="0"/>
        <w:snapToGrid w:val="0"/>
        <w:spacing w:before="100" w:after="50" w:line="400" w:lineRule="exact"/>
        <w:ind w:left="-213" w:leftChars="-100" w:right="-213" w:rightChars="-100" w:firstLine="446" w:firstLineChars="200"/>
        <w:rPr>
          <w:rFonts w:ascii="宋体" w:hAnsi="宋体" w:cs="宋体"/>
          <w:b/>
          <w:color w:val="auto"/>
          <w:sz w:val="28"/>
          <w:szCs w:val="28"/>
        </w:rPr>
      </w:pPr>
      <w:r>
        <w:rPr>
          <w:rFonts w:hint="eastAsia" w:ascii="宋体" w:hAnsi="宋体"/>
          <w:b/>
          <w:bCs/>
          <w:color w:val="auto"/>
          <w:sz w:val="22"/>
          <w:szCs w:val="22"/>
          <w:u w:val="single"/>
        </w:rPr>
        <w:t>其它参见本采购文件第三部分：“供应商须知” 中的相关内容。</w:t>
      </w:r>
    </w:p>
    <w:p>
      <w:pPr>
        <w:spacing w:line="400" w:lineRule="exact"/>
        <w:ind w:firstLine="566" w:firstLineChars="200"/>
        <w:jc w:val="center"/>
        <w:rPr>
          <w:rFonts w:ascii="宋体" w:hAnsi="宋体" w:cs="宋体"/>
          <w:b/>
          <w:color w:val="auto"/>
          <w:sz w:val="28"/>
          <w:szCs w:val="28"/>
        </w:rPr>
      </w:pPr>
    </w:p>
    <w:p>
      <w:pPr>
        <w:spacing w:line="400" w:lineRule="exact"/>
        <w:ind w:firstLine="566" w:firstLineChars="200"/>
        <w:jc w:val="center"/>
        <w:rPr>
          <w:rFonts w:ascii="宋体" w:hAnsi="宋体" w:cs="宋体"/>
          <w:b/>
          <w:color w:val="auto"/>
          <w:sz w:val="28"/>
          <w:szCs w:val="28"/>
        </w:rPr>
      </w:pPr>
      <w:r>
        <w:rPr>
          <w:rFonts w:hint="eastAsia" w:ascii="宋体" w:hAnsi="宋体" w:cs="宋体"/>
          <w:b/>
          <w:color w:val="auto"/>
          <w:sz w:val="28"/>
          <w:szCs w:val="28"/>
        </w:rPr>
        <w:t>四、评标办法</w:t>
      </w:r>
    </w:p>
    <w:p>
      <w:pPr>
        <w:pStyle w:val="22"/>
        <w:adjustRightInd w:val="0"/>
        <w:snapToGrid w:val="0"/>
        <w:spacing w:line="360" w:lineRule="auto"/>
        <w:rPr>
          <w:rFonts w:hAnsi="宋体"/>
          <w:b/>
          <w:color w:val="auto"/>
          <w:sz w:val="22"/>
          <w:szCs w:val="22"/>
        </w:rPr>
      </w:pPr>
      <w:r>
        <w:rPr>
          <w:rFonts w:hint="eastAsia" w:hAnsi="宋体"/>
          <w:b/>
          <w:color w:val="auto"/>
          <w:sz w:val="22"/>
          <w:szCs w:val="22"/>
        </w:rPr>
        <w:t>一．商务报价评分30分</w:t>
      </w:r>
    </w:p>
    <w:p>
      <w:pPr>
        <w:pStyle w:val="22"/>
        <w:adjustRightInd w:val="0"/>
        <w:snapToGrid w:val="0"/>
        <w:spacing w:line="360" w:lineRule="auto"/>
        <w:ind w:firstLine="446" w:firstLineChars="200"/>
        <w:rPr>
          <w:rFonts w:hAnsi="宋体"/>
          <w:color w:val="auto"/>
          <w:sz w:val="22"/>
          <w:szCs w:val="22"/>
        </w:rPr>
      </w:pPr>
      <w:r>
        <w:rPr>
          <w:rFonts w:hint="eastAsia" w:hAnsi="宋体"/>
          <w:color w:val="auto"/>
          <w:sz w:val="22"/>
          <w:szCs w:val="22"/>
        </w:rPr>
        <w:t>1、以供应商有效投标价中的最低价为评标基准价，得满分30分。各标段商务报价评分结算公式为:投标报价得分=(评标基准价／投标报价)×30%×100。</w:t>
      </w:r>
    </w:p>
    <w:p>
      <w:pPr>
        <w:pStyle w:val="22"/>
        <w:spacing w:line="360" w:lineRule="auto"/>
        <w:ind w:firstLine="446" w:firstLineChars="200"/>
        <w:rPr>
          <w:rFonts w:hAnsi="宋体"/>
          <w:color w:val="auto"/>
          <w:sz w:val="22"/>
          <w:szCs w:val="22"/>
        </w:rPr>
      </w:pPr>
      <w:r>
        <w:rPr>
          <w:rFonts w:hint="eastAsia" w:hAnsi="宋体"/>
          <w:color w:val="auto"/>
          <w:sz w:val="22"/>
          <w:szCs w:val="22"/>
        </w:rPr>
        <w:t>2、供应商投标报价超出该采购预算或投标单价超出预算单价，该供应商按无效投标处理。</w:t>
      </w:r>
    </w:p>
    <w:p>
      <w:pPr>
        <w:pStyle w:val="22"/>
        <w:spacing w:line="360" w:lineRule="auto"/>
        <w:ind w:firstLine="446" w:firstLineChars="200"/>
        <w:rPr>
          <w:rFonts w:hAnsi="宋体"/>
          <w:b/>
          <w:bCs/>
          <w:color w:val="auto"/>
          <w:sz w:val="22"/>
          <w:szCs w:val="22"/>
        </w:rPr>
      </w:pPr>
      <w:r>
        <w:rPr>
          <w:rFonts w:hint="eastAsia" w:hAnsi="宋体"/>
          <w:b/>
          <w:bCs/>
          <w:color w:val="auto"/>
          <w:sz w:val="22"/>
          <w:szCs w:val="22"/>
        </w:rPr>
        <w:t>3、重要提示：为防止围标串标和低价恶意竞标的行为，评审时如发现投标供应商的报价明显高于市场价格或低于成本价，投标供应商必须按照评审小组的要求做出书面说明并提供相关证明材料。如投标供应商不能合理说明原因并提供相关证明材料的，评审小组将对其投标作无效处理，同时由采购组织机构向同级财政部门通报情况，视情将其列入不良供应商名单。</w:t>
      </w:r>
    </w:p>
    <w:p>
      <w:pPr>
        <w:adjustRightInd w:val="0"/>
        <w:snapToGrid w:val="0"/>
        <w:spacing w:before="100" w:after="50" w:line="360" w:lineRule="auto"/>
        <w:ind w:firstLine="420"/>
        <w:rPr>
          <w:rFonts w:ascii="宋体"/>
          <w:b/>
          <w:bCs/>
          <w:color w:val="auto"/>
          <w:sz w:val="22"/>
        </w:rPr>
      </w:pPr>
      <w:r>
        <w:rPr>
          <w:rFonts w:hint="eastAsia" w:ascii="宋体"/>
          <w:b/>
          <w:bCs/>
          <w:color w:val="auto"/>
          <w:sz w:val="22"/>
        </w:rPr>
        <w:t>4、</w:t>
      </w:r>
      <w:r>
        <w:rPr>
          <w:rFonts w:ascii="宋体"/>
          <w:b/>
          <w:bCs/>
          <w:color w:val="auto"/>
          <w:sz w:val="22"/>
        </w:rPr>
        <w:t>本项目在报价分评审时依据</w:t>
      </w:r>
      <w:r>
        <w:rPr>
          <w:rFonts w:hint="eastAsia" w:ascii="宋体"/>
          <w:b/>
          <w:bCs/>
          <w:color w:val="auto"/>
          <w:sz w:val="22"/>
        </w:rPr>
        <w:t>《政府采购促进中小企业发展管理办法》（财库[2020]46号）</w:t>
      </w:r>
      <w:r>
        <w:rPr>
          <w:rFonts w:ascii="宋体"/>
          <w:b/>
          <w:bCs/>
          <w:color w:val="auto"/>
          <w:sz w:val="22"/>
        </w:rPr>
        <w:t>相关规定，对小型和微型企业给予价格扣除，用扣除后的价格参与评审，具体规定如下：</w:t>
      </w:r>
    </w:p>
    <w:p>
      <w:pPr>
        <w:adjustRightInd w:val="0"/>
        <w:snapToGrid w:val="0"/>
        <w:spacing w:before="100" w:after="50" w:line="360" w:lineRule="auto"/>
        <w:ind w:firstLine="420"/>
        <w:rPr>
          <w:rFonts w:ascii="宋体"/>
          <w:b/>
          <w:bCs/>
          <w:color w:val="auto"/>
          <w:sz w:val="22"/>
          <w:u w:val="single"/>
        </w:rPr>
      </w:pPr>
      <w:r>
        <w:rPr>
          <w:rFonts w:hint="eastAsia" w:ascii="宋体"/>
          <w:b/>
          <w:bCs/>
          <w:color w:val="auto"/>
          <w:sz w:val="22"/>
          <w:u w:val="single"/>
        </w:rPr>
        <w:t>4</w:t>
      </w:r>
      <w:r>
        <w:rPr>
          <w:rFonts w:ascii="宋体"/>
          <w:b/>
          <w:bCs/>
          <w:color w:val="auto"/>
          <w:sz w:val="22"/>
          <w:u w:val="single"/>
        </w:rPr>
        <w:t>.1供应商必须同时满足以下所有规定，</w:t>
      </w:r>
      <w:r>
        <w:rPr>
          <w:rFonts w:hint="eastAsia" w:ascii="宋体"/>
          <w:b/>
          <w:bCs/>
          <w:color w:val="auto"/>
          <w:sz w:val="22"/>
          <w:u w:val="single"/>
        </w:rPr>
        <w:t>才能</w:t>
      </w:r>
      <w:r>
        <w:rPr>
          <w:rFonts w:ascii="宋体"/>
          <w:b/>
          <w:bCs/>
          <w:color w:val="auto"/>
          <w:sz w:val="22"/>
          <w:u w:val="single"/>
        </w:rPr>
        <w:t>享受小型、微型企业的价格扣除扶持政策：</w:t>
      </w:r>
    </w:p>
    <w:p>
      <w:pPr>
        <w:adjustRightInd w:val="0"/>
        <w:snapToGrid w:val="0"/>
        <w:spacing w:before="100" w:after="50" w:line="360" w:lineRule="auto"/>
        <w:ind w:firstLine="420"/>
        <w:rPr>
          <w:rFonts w:ascii="宋体" w:hAnsi="宋体" w:cs="宋体"/>
          <w:color w:val="auto"/>
          <w:sz w:val="22"/>
        </w:rPr>
      </w:pPr>
      <w:r>
        <w:rPr>
          <w:rFonts w:hint="eastAsia" w:ascii="宋体" w:hAnsi="宋体" w:cs="宋体"/>
          <w:color w:val="auto"/>
          <w:sz w:val="22"/>
        </w:rPr>
        <w:t xml:space="preserve">（1）供应商必须符合工信部联企业[2011]300号规定的小型、微型企业的划分标准(行业对应)； </w:t>
      </w:r>
    </w:p>
    <w:p>
      <w:pPr>
        <w:adjustRightInd w:val="0"/>
        <w:snapToGrid w:val="0"/>
        <w:spacing w:before="100" w:after="50" w:line="360" w:lineRule="auto"/>
        <w:ind w:firstLine="420"/>
        <w:rPr>
          <w:rFonts w:ascii="宋体" w:hAnsi="宋体" w:cs="宋体"/>
          <w:color w:val="auto"/>
          <w:sz w:val="22"/>
        </w:rPr>
      </w:pPr>
      <w:r>
        <w:rPr>
          <w:rFonts w:hint="eastAsia" w:ascii="宋体" w:hAnsi="宋体" w:cs="宋体"/>
          <w:color w:val="auto"/>
          <w:sz w:val="22"/>
        </w:rPr>
        <w:t>（2）供应商所投产品全部是本企业(或者其他小型、微型企业)制造的货物，承担的工程或服务。（备注：小型、微型企业制造的产品如使用了中、大型企业注册商标的，等同于中、大型企业制造的产品，不享受价格扣除政策。）</w:t>
      </w:r>
    </w:p>
    <w:p>
      <w:pPr>
        <w:adjustRightInd w:val="0"/>
        <w:snapToGrid w:val="0"/>
        <w:spacing w:before="100" w:after="50" w:line="360" w:lineRule="auto"/>
        <w:ind w:firstLine="420"/>
        <w:rPr>
          <w:rFonts w:ascii="宋体" w:hAnsi="宋体" w:cs="宋体"/>
          <w:color w:val="auto"/>
          <w:sz w:val="22"/>
        </w:rPr>
      </w:pPr>
      <w:r>
        <w:rPr>
          <w:rFonts w:hint="eastAsia" w:ascii="宋体" w:hAnsi="宋体" w:cs="宋体"/>
          <w:color w:val="auto"/>
          <w:sz w:val="22"/>
        </w:rPr>
        <w:t>（3）供应商在投标响应文件里必须提交《中小企业声明函》，如果提供的是其他小型、微型企业制造的产品（服务）的，还须同时提供该企业是小型、微型企业的《中小企业声明函》。</w:t>
      </w:r>
    </w:p>
    <w:p>
      <w:pPr>
        <w:adjustRightInd w:val="0"/>
        <w:snapToGrid w:val="0"/>
        <w:spacing w:before="100" w:after="50" w:line="360" w:lineRule="auto"/>
        <w:ind w:firstLine="420"/>
        <w:rPr>
          <w:rFonts w:ascii="宋体"/>
          <w:color w:val="auto"/>
          <w:sz w:val="22"/>
        </w:rPr>
      </w:pPr>
      <w:r>
        <w:rPr>
          <w:rFonts w:hint="eastAsia"/>
          <w:color w:val="auto"/>
          <w:sz w:val="22"/>
        </w:rPr>
        <w:t>注：</w:t>
      </w:r>
      <w:r>
        <w:rPr>
          <w:rFonts w:ascii="宋体"/>
          <w:color w:val="auto"/>
          <w:sz w:val="22"/>
        </w:rPr>
        <w:t>本项目对小型和微型企业的</w:t>
      </w:r>
      <w:r>
        <w:rPr>
          <w:rFonts w:hint="eastAsia" w:ascii="宋体"/>
          <w:color w:val="auto"/>
          <w:sz w:val="22"/>
        </w:rPr>
        <w:t>报价</w:t>
      </w:r>
      <w:r>
        <w:rPr>
          <w:rFonts w:hint="eastAsia"/>
          <w:color w:val="auto"/>
          <w:sz w:val="22"/>
        </w:rPr>
        <w:t>总</w:t>
      </w:r>
      <w:r>
        <w:rPr>
          <w:rFonts w:ascii="宋体"/>
          <w:color w:val="auto"/>
          <w:sz w:val="22"/>
        </w:rPr>
        <w:t xml:space="preserve">价给予 6% 的扣除，用扣除后的价格参与报价分评审。 </w:t>
      </w:r>
      <w:r>
        <w:rPr>
          <w:rFonts w:hint="eastAsia" w:ascii="宋体"/>
          <w:color w:val="auto"/>
          <w:sz w:val="22"/>
        </w:rPr>
        <w:t>则商务报价按供应商投标报价*94%计算投标报价得分。（四舍五入，保留小数点后二位）。</w:t>
      </w:r>
      <w:r>
        <w:rPr>
          <w:rFonts w:ascii="宋体"/>
          <w:color w:val="auto"/>
          <w:sz w:val="22"/>
        </w:rPr>
        <w:t>小、微企业按上述优惠取得政府采购合同后，不得分包或转包给大型、中型企业。</w:t>
      </w:r>
    </w:p>
    <w:p>
      <w:pPr>
        <w:adjustRightInd w:val="0"/>
        <w:snapToGrid w:val="0"/>
        <w:spacing w:before="100" w:after="50" w:line="360" w:lineRule="auto"/>
        <w:ind w:firstLine="420"/>
        <w:rPr>
          <w:rFonts w:ascii="宋体"/>
          <w:b/>
          <w:bCs/>
          <w:color w:val="auto"/>
          <w:sz w:val="22"/>
        </w:rPr>
      </w:pPr>
      <w:r>
        <w:rPr>
          <w:rFonts w:hint="eastAsia"/>
          <w:b/>
          <w:bCs/>
          <w:color w:val="auto"/>
          <w:sz w:val="22"/>
        </w:rPr>
        <w:t>4.2大中型企业和其他自然人、法人或者其他组织与小型、微型企业组成联合体共同参加政府采购活动。联合协议中约定，小型、微型企业的协议合同金额占到联合体协议合同总金额30%以上的，给予联合体报价总价3%的扣除。联合体各方均为小型、微型企业的，联合体视同为小型、微型企业。（联合体中小型、微型企业需同时满足3.1条中（1）（2）（3）项）</w:t>
      </w:r>
    </w:p>
    <w:p>
      <w:pPr>
        <w:adjustRightInd w:val="0"/>
        <w:snapToGrid w:val="0"/>
        <w:spacing w:before="100" w:after="50" w:line="360" w:lineRule="auto"/>
        <w:ind w:firstLine="420"/>
        <w:rPr>
          <w:rFonts w:ascii="宋体"/>
          <w:color w:val="auto"/>
          <w:sz w:val="22"/>
          <w:u w:val="single"/>
        </w:rPr>
      </w:pPr>
      <w:r>
        <w:rPr>
          <w:rFonts w:hint="eastAsia" w:ascii="宋体"/>
          <w:color w:val="auto"/>
          <w:sz w:val="22"/>
          <w:u w:val="single"/>
        </w:rPr>
        <w:t>5符合《财政部、司法部关于政府采购支持监狱企业发展有关问题的通知》（财库[2014]68 号）规定的监狱企业，在全部提供本单位制造的货物或者提供其他监狱企业制造的货物（不包括使用非监狱企业注册商标的货物）参加政府采购活动时，视同小型、微型企业享受 6%的</w:t>
      </w:r>
      <w:r>
        <w:rPr>
          <w:rFonts w:hint="eastAsia"/>
          <w:color w:val="auto"/>
          <w:sz w:val="22"/>
          <w:u w:val="single"/>
        </w:rPr>
        <w:t>报价总价</w:t>
      </w:r>
      <w:r>
        <w:rPr>
          <w:rFonts w:hint="eastAsia" w:ascii="宋体"/>
          <w:color w:val="auto"/>
          <w:sz w:val="22"/>
          <w:u w:val="single"/>
        </w:rPr>
        <w:t>扣除扶持政策。</w:t>
      </w:r>
    </w:p>
    <w:p>
      <w:pPr>
        <w:adjustRightInd w:val="0"/>
        <w:snapToGrid w:val="0"/>
        <w:spacing w:before="100" w:after="50" w:line="360" w:lineRule="auto"/>
        <w:ind w:firstLine="420"/>
        <w:rPr>
          <w:rFonts w:ascii="宋体"/>
          <w:color w:val="auto"/>
          <w:sz w:val="22"/>
        </w:rPr>
      </w:pPr>
      <w:r>
        <w:rPr>
          <w:rFonts w:hint="eastAsia" w:ascii="宋体"/>
          <w:color w:val="auto"/>
          <w:sz w:val="22"/>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360" w:lineRule="auto"/>
        <w:ind w:firstLine="420"/>
        <w:rPr>
          <w:rFonts w:ascii="宋体"/>
          <w:color w:val="auto"/>
          <w:sz w:val="22"/>
          <w:u w:val="single"/>
        </w:rPr>
      </w:pPr>
      <w:r>
        <w:rPr>
          <w:rFonts w:hint="eastAsia" w:ascii="宋体"/>
          <w:color w:val="auto"/>
          <w:sz w:val="22"/>
          <w:u w:val="single"/>
        </w:rPr>
        <w:t>6、符合《财政部、民政部、中国残疾人联合会关于促进残疾人就业政府采购政策的通知》（财库[2017]141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w:t>
      </w:r>
      <w:r>
        <w:rPr>
          <w:rFonts w:hint="eastAsia"/>
          <w:color w:val="auto"/>
          <w:sz w:val="22"/>
          <w:u w:val="single"/>
        </w:rPr>
        <w:t>，</w:t>
      </w:r>
      <w:r>
        <w:rPr>
          <w:rFonts w:hint="eastAsia" w:ascii="宋体"/>
          <w:color w:val="auto"/>
          <w:sz w:val="22"/>
          <w:u w:val="single"/>
        </w:rPr>
        <w:t>享受 6%的</w:t>
      </w:r>
      <w:r>
        <w:rPr>
          <w:rFonts w:hint="eastAsia"/>
          <w:color w:val="auto"/>
          <w:sz w:val="22"/>
          <w:u w:val="single"/>
        </w:rPr>
        <w:t>报价总价</w:t>
      </w:r>
      <w:r>
        <w:rPr>
          <w:rFonts w:hint="eastAsia" w:ascii="宋体"/>
          <w:color w:val="auto"/>
          <w:sz w:val="22"/>
          <w:u w:val="single"/>
        </w:rPr>
        <w:t>扣除扶持政策。</w:t>
      </w:r>
    </w:p>
    <w:p>
      <w:pPr>
        <w:pStyle w:val="31"/>
        <w:rPr>
          <w:color w:val="auto"/>
        </w:rPr>
      </w:pPr>
      <w:r>
        <w:rPr>
          <w:rFonts w:hint="eastAsia" w:ascii="宋体"/>
          <w:color w:val="auto"/>
          <w:sz w:val="22"/>
        </w:rPr>
        <w:t>备注：（1）残疾人福利性单位证明材料：残疾人福利性单位声明函。（2）如提供其他残疾人福利性单位制造的货物，还须同时提供该企业的残疾人福利性单位声明函。</w:t>
      </w:r>
    </w:p>
    <w:p>
      <w:pPr>
        <w:rPr>
          <w:rFonts w:hAnsi="宋体"/>
          <w:b/>
          <w:color w:val="auto"/>
          <w:sz w:val="22"/>
          <w:szCs w:val="22"/>
        </w:rPr>
      </w:pPr>
      <w:r>
        <w:rPr>
          <w:rFonts w:hint="eastAsia" w:hAnsi="宋体"/>
          <w:b/>
          <w:color w:val="auto"/>
          <w:sz w:val="22"/>
          <w:szCs w:val="22"/>
          <w:u w:val="single"/>
        </w:rPr>
        <w:t>二．技术、安装、服务、资信、业绩综合评分</w:t>
      </w:r>
      <w:r>
        <w:rPr>
          <w:rFonts w:hint="eastAsia" w:hAnsi="宋体"/>
          <w:b/>
          <w:color w:val="auto"/>
          <w:sz w:val="22"/>
          <w:szCs w:val="22"/>
        </w:rPr>
        <w:t xml:space="preserve">  70分</w:t>
      </w:r>
    </w:p>
    <w:tbl>
      <w:tblPr>
        <w:tblStyle w:val="38"/>
        <w:tblW w:w="9630" w:type="dxa"/>
        <w:tblInd w:w="5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0"/>
        <w:gridCol w:w="1551"/>
        <w:gridCol w:w="6329"/>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760" w:type="dxa"/>
          </w:tcPr>
          <w:p>
            <w:pPr>
              <w:pStyle w:val="196"/>
              <w:spacing w:before="184"/>
              <w:ind w:left="138" w:right="132"/>
              <w:jc w:val="center"/>
              <w:rPr>
                <w:color w:val="auto"/>
              </w:rPr>
            </w:pPr>
            <w:r>
              <w:rPr>
                <w:color w:val="auto"/>
              </w:rPr>
              <w:t>序号</w:t>
            </w:r>
          </w:p>
        </w:tc>
        <w:tc>
          <w:tcPr>
            <w:tcW w:w="1551" w:type="dxa"/>
          </w:tcPr>
          <w:p>
            <w:pPr>
              <w:pStyle w:val="196"/>
              <w:spacing w:before="184"/>
              <w:ind w:left="303"/>
              <w:rPr>
                <w:color w:val="auto"/>
              </w:rPr>
            </w:pPr>
            <w:r>
              <w:rPr>
                <w:color w:val="auto"/>
              </w:rPr>
              <w:t>评审内容</w:t>
            </w:r>
          </w:p>
        </w:tc>
        <w:tc>
          <w:tcPr>
            <w:tcW w:w="6329" w:type="dxa"/>
          </w:tcPr>
          <w:p>
            <w:pPr>
              <w:pStyle w:val="196"/>
              <w:spacing w:before="184"/>
              <w:ind w:left="2953" w:right="2496"/>
              <w:jc w:val="center"/>
              <w:rPr>
                <w:color w:val="auto"/>
              </w:rPr>
            </w:pPr>
            <w:r>
              <w:rPr>
                <w:color w:val="auto"/>
              </w:rPr>
              <w:t>评分标准</w:t>
            </w:r>
          </w:p>
        </w:tc>
        <w:tc>
          <w:tcPr>
            <w:tcW w:w="990" w:type="dxa"/>
          </w:tcPr>
          <w:p>
            <w:pPr>
              <w:pStyle w:val="196"/>
              <w:spacing w:before="184"/>
              <w:ind w:left="142" w:right="136"/>
              <w:jc w:val="center"/>
              <w:rPr>
                <w:color w:val="auto"/>
              </w:rPr>
            </w:pPr>
            <w:r>
              <w:rPr>
                <w:color w:val="auto"/>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6" w:hRule="atLeast"/>
        </w:trPr>
        <w:tc>
          <w:tcPr>
            <w:tcW w:w="760" w:type="dxa"/>
          </w:tcPr>
          <w:p>
            <w:pPr>
              <w:pStyle w:val="196"/>
              <w:rPr>
                <w:color w:val="auto"/>
              </w:rPr>
            </w:pPr>
          </w:p>
          <w:p>
            <w:pPr>
              <w:pStyle w:val="196"/>
              <w:rPr>
                <w:color w:val="auto"/>
              </w:rPr>
            </w:pPr>
          </w:p>
          <w:p>
            <w:pPr>
              <w:pStyle w:val="196"/>
              <w:rPr>
                <w:color w:val="auto"/>
              </w:rPr>
            </w:pPr>
          </w:p>
          <w:p>
            <w:pPr>
              <w:pStyle w:val="196"/>
              <w:rPr>
                <w:color w:val="auto"/>
              </w:rPr>
            </w:pPr>
          </w:p>
          <w:p>
            <w:pPr>
              <w:pStyle w:val="196"/>
              <w:rPr>
                <w:color w:val="auto"/>
              </w:rPr>
            </w:pPr>
          </w:p>
          <w:p>
            <w:pPr>
              <w:pStyle w:val="196"/>
              <w:spacing w:before="6"/>
              <w:rPr>
                <w:color w:val="auto"/>
                <w:sz w:val="27"/>
              </w:rPr>
            </w:pPr>
          </w:p>
          <w:p>
            <w:pPr>
              <w:pStyle w:val="196"/>
              <w:ind w:left="8"/>
              <w:jc w:val="center"/>
              <w:rPr>
                <w:color w:val="auto"/>
              </w:rPr>
            </w:pPr>
            <w:r>
              <w:rPr>
                <w:color w:val="auto"/>
              </w:rPr>
              <w:t>1</w:t>
            </w:r>
          </w:p>
        </w:tc>
        <w:tc>
          <w:tcPr>
            <w:tcW w:w="1551" w:type="dxa"/>
          </w:tcPr>
          <w:p>
            <w:pPr>
              <w:pStyle w:val="196"/>
              <w:rPr>
                <w:color w:val="auto"/>
              </w:rPr>
            </w:pPr>
          </w:p>
          <w:p>
            <w:pPr>
              <w:pStyle w:val="196"/>
              <w:rPr>
                <w:color w:val="auto"/>
              </w:rPr>
            </w:pPr>
          </w:p>
          <w:p>
            <w:pPr>
              <w:pStyle w:val="196"/>
              <w:rPr>
                <w:color w:val="auto"/>
              </w:rPr>
            </w:pPr>
          </w:p>
          <w:p>
            <w:pPr>
              <w:pStyle w:val="196"/>
              <w:rPr>
                <w:color w:val="auto"/>
              </w:rPr>
            </w:pPr>
          </w:p>
          <w:p>
            <w:pPr>
              <w:pStyle w:val="196"/>
              <w:rPr>
                <w:color w:val="auto"/>
              </w:rPr>
            </w:pPr>
          </w:p>
          <w:p>
            <w:pPr>
              <w:pStyle w:val="196"/>
              <w:spacing w:before="194" w:line="268" w:lineRule="auto"/>
              <w:ind w:left="413" w:right="179" w:hanging="221"/>
              <w:jc w:val="center"/>
              <w:rPr>
                <w:color w:val="auto"/>
              </w:rPr>
            </w:pPr>
            <w:r>
              <w:rPr>
                <w:color w:val="auto"/>
              </w:rPr>
              <w:t>洗涤场所布局情况</w:t>
            </w:r>
            <w:r>
              <w:rPr>
                <w:rFonts w:hint="eastAsia"/>
                <w:color w:val="auto"/>
              </w:rPr>
              <w:t>（12分）</w:t>
            </w:r>
          </w:p>
        </w:tc>
        <w:tc>
          <w:tcPr>
            <w:tcW w:w="6329" w:type="dxa"/>
          </w:tcPr>
          <w:p>
            <w:pPr>
              <w:pStyle w:val="196"/>
              <w:spacing w:line="268" w:lineRule="auto"/>
              <w:ind w:left="108" w:right="74"/>
              <w:rPr>
                <w:color w:val="auto"/>
              </w:rPr>
            </w:pPr>
            <w:r>
              <w:rPr>
                <w:color w:val="auto"/>
              </w:rPr>
              <w:t>根据各投标人医疗被服洗涤场所，符合 WST508-2016《医院医用织物洗涤消毒技术规范》要求的，在污染区与清洁区之间设置有全封闭式实质性隔断情况进行评审：</w:t>
            </w:r>
          </w:p>
          <w:p>
            <w:pPr>
              <w:pStyle w:val="196"/>
              <w:spacing w:line="268" w:lineRule="auto"/>
              <w:ind w:left="108" w:right="74"/>
              <w:rPr>
                <w:color w:val="auto"/>
              </w:rPr>
            </w:pPr>
            <w:r>
              <w:rPr>
                <w:rFonts w:hint="eastAsia"/>
                <w:color w:val="auto"/>
              </w:rPr>
              <w:t>1.</w:t>
            </w:r>
            <w:r>
              <w:rPr>
                <w:color w:val="auto"/>
              </w:rPr>
              <w:t>投标人洗涤厂房清洁区与污染区以楼层全式封闭实质隔离的，得12 分；</w:t>
            </w:r>
          </w:p>
          <w:p>
            <w:pPr>
              <w:pStyle w:val="196"/>
              <w:spacing w:line="268" w:lineRule="auto"/>
              <w:ind w:left="108" w:right="74"/>
              <w:rPr>
                <w:color w:val="auto"/>
              </w:rPr>
            </w:pPr>
            <w:r>
              <w:rPr>
                <w:rFonts w:hint="eastAsia"/>
                <w:color w:val="auto"/>
              </w:rPr>
              <w:t>2.</w:t>
            </w:r>
            <w:r>
              <w:rPr>
                <w:color w:val="auto"/>
              </w:rPr>
              <w:t>投标人洗涤厂房清洁区与污染区在同一楼层使用砖混架构墙体全封闭实质隔离的得，得 6 分；</w:t>
            </w:r>
          </w:p>
          <w:p>
            <w:pPr>
              <w:pStyle w:val="196"/>
              <w:spacing w:line="268" w:lineRule="auto"/>
              <w:ind w:left="108" w:right="74"/>
              <w:rPr>
                <w:color w:val="auto"/>
              </w:rPr>
            </w:pPr>
            <w:r>
              <w:rPr>
                <w:rFonts w:hint="eastAsia"/>
                <w:color w:val="auto"/>
              </w:rPr>
              <w:t>3.</w:t>
            </w:r>
            <w:r>
              <w:rPr>
                <w:color w:val="auto"/>
              </w:rPr>
              <w:t>投标人洗涤厂房清洁区与污染区在同一楼层使用其他材料墙体全封闭实质隔离的，得 4 分；</w:t>
            </w:r>
          </w:p>
          <w:p>
            <w:pPr>
              <w:pStyle w:val="196"/>
              <w:spacing w:line="268" w:lineRule="auto"/>
              <w:ind w:left="108" w:right="74"/>
              <w:rPr>
                <w:color w:val="auto"/>
              </w:rPr>
            </w:pPr>
            <w:r>
              <w:rPr>
                <w:rFonts w:hint="eastAsia"/>
                <w:color w:val="auto"/>
              </w:rPr>
              <w:t>4.</w:t>
            </w:r>
            <w:r>
              <w:rPr>
                <w:color w:val="auto"/>
              </w:rPr>
              <w:t>投标人洗涤厂房清洁区与污染区没有全封闭实质性隔断的，不得分。</w:t>
            </w:r>
          </w:p>
          <w:p>
            <w:pPr>
              <w:pStyle w:val="196"/>
              <w:spacing w:line="268" w:lineRule="auto"/>
              <w:ind w:left="108" w:right="74"/>
              <w:rPr>
                <w:color w:val="auto"/>
              </w:rPr>
            </w:pPr>
            <w:r>
              <w:rPr>
                <w:color w:val="auto"/>
              </w:rPr>
              <w:t>注：须提供污染区与清洁区全封闭式实质性隔断示意图和现场照片并加以情况说明，不提供不得分。</w:t>
            </w:r>
          </w:p>
        </w:tc>
        <w:tc>
          <w:tcPr>
            <w:tcW w:w="990" w:type="dxa"/>
          </w:tcPr>
          <w:p>
            <w:pPr>
              <w:pStyle w:val="196"/>
              <w:rPr>
                <w:color w:val="auto"/>
              </w:rPr>
            </w:pPr>
          </w:p>
          <w:p>
            <w:pPr>
              <w:pStyle w:val="196"/>
              <w:rPr>
                <w:color w:val="auto"/>
              </w:rPr>
            </w:pPr>
          </w:p>
          <w:p>
            <w:pPr>
              <w:pStyle w:val="196"/>
              <w:rPr>
                <w:color w:val="auto"/>
              </w:rPr>
            </w:pPr>
          </w:p>
          <w:p>
            <w:pPr>
              <w:pStyle w:val="196"/>
              <w:rPr>
                <w:color w:val="auto"/>
              </w:rPr>
            </w:pPr>
          </w:p>
          <w:p>
            <w:pPr>
              <w:pStyle w:val="196"/>
              <w:rPr>
                <w:color w:val="auto"/>
              </w:rPr>
            </w:pPr>
          </w:p>
          <w:p>
            <w:pPr>
              <w:pStyle w:val="196"/>
              <w:rPr>
                <w:color w:val="auto"/>
                <w:sz w:val="32"/>
              </w:rPr>
            </w:pPr>
          </w:p>
          <w:p>
            <w:pPr>
              <w:pStyle w:val="196"/>
              <w:ind w:left="144" w:right="136"/>
              <w:jc w:val="center"/>
              <w:rPr>
                <w:color w:val="auto"/>
              </w:rPr>
            </w:pPr>
            <w:r>
              <w:rPr>
                <w:color w:val="auto"/>
              </w:rPr>
              <w:t>0-12分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760" w:type="dxa"/>
            <w:vAlign w:val="center"/>
          </w:tcPr>
          <w:p>
            <w:pPr>
              <w:pStyle w:val="196"/>
              <w:spacing w:before="158"/>
              <w:ind w:left="8"/>
              <w:jc w:val="center"/>
              <w:rPr>
                <w:color w:val="auto"/>
              </w:rPr>
            </w:pPr>
            <w:r>
              <w:rPr>
                <w:color w:val="auto"/>
              </w:rPr>
              <w:t>2</w:t>
            </w:r>
          </w:p>
        </w:tc>
        <w:tc>
          <w:tcPr>
            <w:tcW w:w="1551" w:type="dxa"/>
            <w:vAlign w:val="center"/>
          </w:tcPr>
          <w:p>
            <w:pPr>
              <w:pStyle w:val="196"/>
              <w:spacing w:before="35" w:line="255" w:lineRule="exact"/>
              <w:ind w:left="175" w:right="169"/>
              <w:jc w:val="center"/>
              <w:rPr>
                <w:color w:val="auto"/>
              </w:rPr>
            </w:pPr>
            <w:r>
              <w:rPr>
                <w:rFonts w:hint="eastAsia"/>
                <w:color w:val="auto"/>
              </w:rPr>
              <w:t>体系认证</w:t>
            </w:r>
          </w:p>
          <w:p>
            <w:pPr>
              <w:pStyle w:val="196"/>
              <w:spacing w:before="35" w:line="255" w:lineRule="exact"/>
              <w:ind w:left="175" w:right="169"/>
              <w:jc w:val="center"/>
              <w:rPr>
                <w:color w:val="auto"/>
              </w:rPr>
            </w:pPr>
            <w:r>
              <w:rPr>
                <w:rFonts w:hint="eastAsia"/>
                <w:color w:val="auto"/>
              </w:rPr>
              <w:t>（6分）</w:t>
            </w:r>
          </w:p>
        </w:tc>
        <w:tc>
          <w:tcPr>
            <w:tcW w:w="6329" w:type="dxa"/>
            <w:vAlign w:val="center"/>
          </w:tcPr>
          <w:p>
            <w:pPr>
              <w:pStyle w:val="196"/>
              <w:spacing w:line="268" w:lineRule="auto"/>
              <w:ind w:left="108" w:right="74"/>
              <w:rPr>
                <w:color w:val="auto"/>
              </w:rPr>
            </w:pPr>
            <w:r>
              <w:rPr>
                <w:color w:val="auto"/>
              </w:rPr>
              <w:t>1</w:t>
            </w:r>
            <w:r>
              <w:rPr>
                <w:rFonts w:hint="eastAsia"/>
                <w:color w:val="auto"/>
              </w:rPr>
              <w:t>.</w:t>
            </w:r>
            <w:r>
              <w:rPr>
                <w:color w:val="auto"/>
              </w:rPr>
              <w:t>供应商具有有效的质量体系认证证书的得 2 分。</w:t>
            </w:r>
          </w:p>
          <w:p>
            <w:pPr>
              <w:pStyle w:val="196"/>
              <w:spacing w:line="268" w:lineRule="auto"/>
              <w:ind w:left="108" w:right="74"/>
              <w:rPr>
                <w:color w:val="auto"/>
              </w:rPr>
            </w:pPr>
            <w:r>
              <w:rPr>
                <w:rFonts w:hint="eastAsia"/>
                <w:color w:val="auto"/>
              </w:rPr>
              <w:t>2.</w:t>
            </w:r>
            <w:r>
              <w:rPr>
                <w:color w:val="auto"/>
              </w:rPr>
              <w:t>供应商具有有效的职业健康安全管理体系认证证书的得 2 分</w:t>
            </w:r>
          </w:p>
          <w:p>
            <w:pPr>
              <w:pStyle w:val="196"/>
              <w:spacing w:line="268" w:lineRule="auto"/>
              <w:ind w:left="108" w:right="74"/>
              <w:rPr>
                <w:color w:val="auto"/>
              </w:rPr>
            </w:pPr>
            <w:r>
              <w:rPr>
                <w:rFonts w:hint="eastAsia"/>
                <w:color w:val="auto"/>
              </w:rPr>
              <w:t>3.</w:t>
            </w:r>
            <w:r>
              <w:rPr>
                <w:color w:val="auto"/>
              </w:rPr>
              <w:t>供应商具有有效的环境体系认证证书的得 2 分。</w:t>
            </w:r>
          </w:p>
          <w:p>
            <w:pPr>
              <w:pStyle w:val="196"/>
              <w:spacing w:line="268" w:lineRule="auto"/>
              <w:ind w:left="108" w:right="74"/>
              <w:rPr>
                <w:color w:val="auto"/>
              </w:rPr>
            </w:pPr>
            <w:r>
              <w:rPr>
                <w:color w:val="auto"/>
              </w:rPr>
              <w:t>注：须提供上述有效期内的认证证书复印件</w:t>
            </w:r>
            <w:r>
              <w:rPr>
                <w:rFonts w:hint="eastAsia"/>
                <w:color w:val="auto"/>
              </w:rPr>
              <w:t>并</w:t>
            </w:r>
            <w:r>
              <w:rPr>
                <w:color w:val="auto"/>
              </w:rPr>
              <w:t>加盖公章</w:t>
            </w:r>
            <w:r>
              <w:rPr>
                <w:rFonts w:hint="eastAsia"/>
                <w:color w:val="auto"/>
              </w:rPr>
              <w:t>。</w:t>
            </w:r>
          </w:p>
        </w:tc>
        <w:tc>
          <w:tcPr>
            <w:tcW w:w="990" w:type="dxa"/>
            <w:vAlign w:val="center"/>
          </w:tcPr>
          <w:p>
            <w:pPr>
              <w:pStyle w:val="196"/>
              <w:spacing w:before="10"/>
              <w:jc w:val="center"/>
              <w:rPr>
                <w:color w:val="auto"/>
                <w:sz w:val="16"/>
              </w:rPr>
            </w:pPr>
          </w:p>
          <w:p>
            <w:pPr>
              <w:pStyle w:val="196"/>
              <w:ind w:left="215"/>
              <w:jc w:val="center"/>
              <w:rPr>
                <w:color w:val="auto"/>
              </w:rPr>
            </w:pPr>
            <w:r>
              <w:rPr>
                <w:color w:val="auto"/>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60" w:type="dxa"/>
            <w:vMerge w:val="restart"/>
          </w:tcPr>
          <w:p>
            <w:pPr>
              <w:pStyle w:val="196"/>
              <w:rPr>
                <w:color w:val="auto"/>
              </w:rPr>
            </w:pPr>
          </w:p>
          <w:p>
            <w:pPr>
              <w:pStyle w:val="196"/>
              <w:rPr>
                <w:color w:val="auto"/>
              </w:rPr>
            </w:pPr>
          </w:p>
          <w:p>
            <w:pPr>
              <w:pStyle w:val="196"/>
              <w:rPr>
                <w:color w:val="auto"/>
              </w:rPr>
            </w:pPr>
          </w:p>
          <w:p>
            <w:pPr>
              <w:pStyle w:val="196"/>
              <w:rPr>
                <w:color w:val="auto"/>
              </w:rPr>
            </w:pPr>
          </w:p>
          <w:p>
            <w:pPr>
              <w:pStyle w:val="196"/>
              <w:rPr>
                <w:color w:val="auto"/>
              </w:rPr>
            </w:pPr>
          </w:p>
          <w:p>
            <w:pPr>
              <w:pStyle w:val="196"/>
              <w:rPr>
                <w:color w:val="auto"/>
              </w:rPr>
            </w:pPr>
          </w:p>
          <w:p>
            <w:pPr>
              <w:pStyle w:val="196"/>
              <w:spacing w:before="2"/>
              <w:rPr>
                <w:color w:val="auto"/>
                <w:sz w:val="18"/>
              </w:rPr>
            </w:pPr>
          </w:p>
          <w:p>
            <w:pPr>
              <w:pStyle w:val="196"/>
              <w:ind w:left="8"/>
              <w:jc w:val="center"/>
              <w:rPr>
                <w:color w:val="auto"/>
              </w:rPr>
            </w:pPr>
            <w:r>
              <w:rPr>
                <w:color w:val="auto"/>
              </w:rPr>
              <w:t>3</w:t>
            </w:r>
          </w:p>
        </w:tc>
        <w:tc>
          <w:tcPr>
            <w:tcW w:w="1551" w:type="dxa"/>
            <w:vMerge w:val="restart"/>
          </w:tcPr>
          <w:p>
            <w:pPr>
              <w:pStyle w:val="196"/>
              <w:rPr>
                <w:color w:val="auto"/>
              </w:rPr>
            </w:pPr>
          </w:p>
          <w:p>
            <w:pPr>
              <w:pStyle w:val="196"/>
              <w:rPr>
                <w:color w:val="auto"/>
              </w:rPr>
            </w:pPr>
          </w:p>
          <w:p>
            <w:pPr>
              <w:pStyle w:val="196"/>
              <w:rPr>
                <w:color w:val="auto"/>
              </w:rPr>
            </w:pPr>
          </w:p>
          <w:p>
            <w:pPr>
              <w:pStyle w:val="196"/>
              <w:rPr>
                <w:color w:val="auto"/>
              </w:rPr>
            </w:pPr>
          </w:p>
          <w:p>
            <w:pPr>
              <w:pStyle w:val="196"/>
              <w:rPr>
                <w:color w:val="auto"/>
              </w:rPr>
            </w:pPr>
          </w:p>
          <w:p>
            <w:pPr>
              <w:pStyle w:val="196"/>
              <w:spacing w:before="10"/>
              <w:rPr>
                <w:b/>
                <w:bCs/>
                <w:color w:val="auto"/>
                <w:sz w:val="27"/>
              </w:rPr>
            </w:pPr>
          </w:p>
          <w:p>
            <w:pPr>
              <w:pStyle w:val="196"/>
              <w:spacing w:line="268" w:lineRule="auto"/>
              <w:ind w:left="636" w:right="181" w:hanging="444"/>
              <w:rPr>
                <w:b/>
                <w:bCs/>
                <w:color w:val="auto"/>
              </w:rPr>
            </w:pPr>
            <w:r>
              <w:rPr>
                <w:b/>
                <w:bCs/>
                <w:color w:val="auto"/>
              </w:rPr>
              <w:t>服务实施方案</w:t>
            </w:r>
          </w:p>
          <w:p>
            <w:pPr>
              <w:pStyle w:val="196"/>
              <w:spacing w:line="268" w:lineRule="auto"/>
              <w:ind w:left="636" w:right="181" w:hanging="444"/>
              <w:jc w:val="center"/>
              <w:rPr>
                <w:color w:val="auto"/>
              </w:rPr>
            </w:pPr>
            <w:r>
              <w:rPr>
                <w:rFonts w:hint="eastAsia"/>
                <w:b/>
                <w:bCs/>
                <w:color w:val="auto"/>
              </w:rPr>
              <w:t>（</w:t>
            </w:r>
            <w:r>
              <w:rPr>
                <w:rFonts w:hint="eastAsia"/>
                <w:b/>
                <w:bCs/>
                <w:color w:val="auto"/>
                <w:lang w:val="en-US" w:eastAsia="zh-CN"/>
              </w:rPr>
              <w:t>26</w:t>
            </w:r>
            <w:r>
              <w:rPr>
                <w:b/>
                <w:bCs/>
                <w:color w:val="auto"/>
              </w:rPr>
              <w:t>分）</w:t>
            </w:r>
          </w:p>
        </w:tc>
        <w:tc>
          <w:tcPr>
            <w:tcW w:w="6329" w:type="dxa"/>
          </w:tcPr>
          <w:p>
            <w:pPr>
              <w:pStyle w:val="196"/>
              <w:spacing w:before="35"/>
              <w:ind w:left="108"/>
              <w:rPr>
                <w:color w:val="auto"/>
              </w:rPr>
            </w:pPr>
            <w:r>
              <w:rPr>
                <w:rFonts w:hint="eastAsia"/>
                <w:color w:val="auto"/>
              </w:rPr>
              <w:t>根据供应商针对本项目</w:t>
            </w:r>
            <w:r>
              <w:rPr>
                <w:color w:val="auto"/>
              </w:rPr>
              <w:t>洗涤服务各个环节（收送的服务规范、洗涤、制作、整烫、缝补服务等）质量规范符合性、先进性</w:t>
            </w:r>
            <w:r>
              <w:rPr>
                <w:rFonts w:hint="eastAsia"/>
                <w:color w:val="auto"/>
              </w:rPr>
              <w:t>进行评审。</w:t>
            </w:r>
            <w:r>
              <w:rPr>
                <w:rFonts w:hint="eastAsia" w:ascii="宋体" w:hAnsi="宋体"/>
                <w:bCs/>
                <w:color w:val="auto"/>
                <w:sz w:val="22"/>
                <w:szCs w:val="22"/>
              </w:rPr>
              <w:t>其中：</w:t>
            </w:r>
            <w:r>
              <w:rPr>
                <w:rFonts w:hint="eastAsia"/>
                <w:color w:val="auto"/>
              </w:rPr>
              <w:t>完全满足</w:t>
            </w:r>
            <w:r>
              <w:rPr>
                <w:rFonts w:hint="eastAsia"/>
                <w:color w:val="auto"/>
                <w:lang w:val="en-US" w:eastAsia="zh-CN"/>
              </w:rPr>
              <w:t>要求</w:t>
            </w:r>
            <w:r>
              <w:rPr>
                <w:rFonts w:hint="eastAsia"/>
                <w:color w:val="auto"/>
              </w:rPr>
              <w:t>得4.1-</w:t>
            </w:r>
            <w:r>
              <w:rPr>
                <w:rFonts w:hint="eastAsia"/>
                <w:color w:val="auto"/>
                <w:lang w:val="en-US" w:eastAsia="zh-CN"/>
              </w:rPr>
              <w:t>6</w:t>
            </w:r>
            <w:r>
              <w:rPr>
                <w:rFonts w:hint="eastAsia"/>
                <w:color w:val="auto"/>
              </w:rPr>
              <w:t>分，基本满足</w:t>
            </w:r>
            <w:r>
              <w:rPr>
                <w:rFonts w:hint="eastAsia"/>
                <w:color w:val="auto"/>
                <w:lang w:val="en-US" w:eastAsia="zh-CN"/>
              </w:rPr>
              <w:t>要求</w:t>
            </w:r>
            <w:r>
              <w:rPr>
                <w:rFonts w:hint="eastAsia"/>
                <w:color w:val="auto"/>
              </w:rPr>
              <w:t>得2.1-4分，个别满足</w:t>
            </w:r>
            <w:r>
              <w:rPr>
                <w:rFonts w:hint="eastAsia"/>
                <w:color w:val="auto"/>
                <w:lang w:val="en-US" w:eastAsia="zh-CN"/>
              </w:rPr>
              <w:t>要求</w:t>
            </w:r>
            <w:r>
              <w:rPr>
                <w:rFonts w:hint="eastAsia"/>
                <w:color w:val="auto"/>
              </w:rPr>
              <w:t>得0-2分。</w:t>
            </w:r>
          </w:p>
        </w:tc>
        <w:tc>
          <w:tcPr>
            <w:tcW w:w="990" w:type="dxa"/>
            <w:vAlign w:val="center"/>
          </w:tcPr>
          <w:p>
            <w:pPr>
              <w:pStyle w:val="30"/>
              <w:spacing w:line="360" w:lineRule="exact"/>
              <w:ind w:firstLine="0" w:firstLineChars="0"/>
              <w:jc w:val="center"/>
              <w:rPr>
                <w:rFonts w:hint="eastAsia" w:ascii="宋体" w:hAnsi="宋体"/>
                <w:bCs/>
                <w:color w:val="auto"/>
                <w:sz w:val="22"/>
                <w:szCs w:val="22"/>
              </w:rPr>
            </w:pPr>
          </w:p>
          <w:p>
            <w:pPr>
              <w:pStyle w:val="30"/>
              <w:spacing w:line="360" w:lineRule="exact"/>
              <w:ind w:firstLine="0" w:firstLineChars="0"/>
              <w:jc w:val="center"/>
              <w:rPr>
                <w:rFonts w:hint="eastAsia" w:ascii="宋体" w:hAnsi="宋体"/>
                <w:bCs/>
                <w:color w:val="auto"/>
                <w:sz w:val="22"/>
                <w:szCs w:val="22"/>
              </w:rPr>
            </w:pPr>
          </w:p>
          <w:p>
            <w:pPr>
              <w:pStyle w:val="30"/>
              <w:spacing w:line="360" w:lineRule="exact"/>
              <w:ind w:firstLine="0" w:firstLineChars="0"/>
              <w:jc w:val="center"/>
              <w:rPr>
                <w:rFonts w:hint="eastAsia" w:ascii="宋体" w:hAnsi="宋体"/>
                <w:bCs/>
                <w:color w:val="auto"/>
                <w:sz w:val="22"/>
                <w:szCs w:val="22"/>
              </w:rPr>
            </w:pPr>
            <w:r>
              <w:rPr>
                <w:rFonts w:hint="eastAsia" w:ascii="宋体" w:hAnsi="宋体"/>
                <w:bCs/>
                <w:color w:val="auto"/>
                <w:sz w:val="22"/>
                <w:szCs w:val="22"/>
              </w:rPr>
              <w:t>0-</w:t>
            </w:r>
            <w:r>
              <w:rPr>
                <w:rFonts w:hint="eastAsia" w:ascii="宋体" w:hAnsi="宋体"/>
                <w:bCs/>
                <w:color w:val="auto"/>
                <w:sz w:val="22"/>
                <w:szCs w:val="22"/>
                <w:lang w:val="en-US" w:eastAsia="zh-CN"/>
              </w:rPr>
              <w:t>6</w:t>
            </w:r>
            <w:r>
              <w:rPr>
                <w:rFonts w:hint="eastAsia" w:ascii="宋体" w:hAnsi="宋体"/>
                <w:bCs/>
                <w:color w:val="auto"/>
                <w:sz w:val="22"/>
                <w:szCs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760" w:type="dxa"/>
            <w:vMerge w:val="continue"/>
          </w:tcPr>
          <w:p>
            <w:pPr>
              <w:pStyle w:val="196"/>
              <w:ind w:left="160"/>
              <w:rPr>
                <w:color w:val="auto"/>
              </w:rPr>
            </w:pPr>
          </w:p>
        </w:tc>
        <w:tc>
          <w:tcPr>
            <w:tcW w:w="1551" w:type="dxa"/>
            <w:vMerge w:val="continue"/>
          </w:tcPr>
          <w:p>
            <w:pPr>
              <w:pStyle w:val="196"/>
              <w:ind w:left="160"/>
              <w:rPr>
                <w:color w:val="auto"/>
              </w:rPr>
            </w:pPr>
          </w:p>
        </w:tc>
        <w:tc>
          <w:tcPr>
            <w:tcW w:w="6329" w:type="dxa"/>
          </w:tcPr>
          <w:p>
            <w:pPr>
              <w:pStyle w:val="196"/>
              <w:ind w:left="160"/>
              <w:rPr>
                <w:rFonts w:hint="eastAsia"/>
                <w:color w:val="auto"/>
              </w:rPr>
            </w:pPr>
            <w:r>
              <w:rPr>
                <w:rFonts w:hint="eastAsia"/>
                <w:color w:val="auto"/>
              </w:rPr>
              <w:t>根据供应商针对本项目</w:t>
            </w:r>
            <w:r>
              <w:rPr>
                <w:color w:val="auto"/>
              </w:rPr>
              <w:t>洗涤服务各个环节（收送的服务规范、洗涤、制作、整烫、缝补服务等）的实施方案和技术措施</w:t>
            </w:r>
            <w:r>
              <w:rPr>
                <w:rFonts w:hint="eastAsia"/>
                <w:color w:val="auto"/>
              </w:rPr>
              <w:t>进行评审。</w:t>
            </w:r>
            <w:r>
              <w:rPr>
                <w:rFonts w:hint="eastAsia" w:ascii="宋体" w:hAnsi="宋体"/>
                <w:bCs/>
                <w:color w:val="auto"/>
                <w:sz w:val="22"/>
                <w:szCs w:val="22"/>
              </w:rPr>
              <w:t>其中：</w:t>
            </w:r>
            <w:r>
              <w:rPr>
                <w:rFonts w:hint="eastAsia"/>
                <w:color w:val="auto"/>
              </w:rPr>
              <w:t>完全满足</w:t>
            </w:r>
            <w:r>
              <w:rPr>
                <w:rFonts w:hint="eastAsia"/>
                <w:color w:val="auto"/>
                <w:lang w:val="en-US" w:eastAsia="zh-CN"/>
              </w:rPr>
              <w:t>要求</w:t>
            </w:r>
            <w:r>
              <w:rPr>
                <w:rFonts w:hint="eastAsia"/>
                <w:color w:val="auto"/>
              </w:rPr>
              <w:t>得4.1-</w:t>
            </w:r>
            <w:r>
              <w:rPr>
                <w:rFonts w:hint="eastAsia"/>
                <w:color w:val="auto"/>
                <w:lang w:val="en-US" w:eastAsia="zh-CN"/>
              </w:rPr>
              <w:t>6</w:t>
            </w:r>
            <w:r>
              <w:rPr>
                <w:rFonts w:hint="eastAsia"/>
                <w:color w:val="auto"/>
              </w:rPr>
              <w:t>分，基本满足</w:t>
            </w:r>
            <w:r>
              <w:rPr>
                <w:rFonts w:hint="eastAsia"/>
                <w:color w:val="auto"/>
                <w:lang w:val="en-US" w:eastAsia="zh-CN"/>
              </w:rPr>
              <w:t>要求</w:t>
            </w:r>
            <w:r>
              <w:rPr>
                <w:rFonts w:hint="eastAsia"/>
                <w:color w:val="auto"/>
              </w:rPr>
              <w:t>得2.1-4分，个别满足</w:t>
            </w:r>
            <w:r>
              <w:rPr>
                <w:rFonts w:hint="eastAsia"/>
                <w:color w:val="auto"/>
                <w:lang w:val="en-US" w:eastAsia="zh-CN"/>
              </w:rPr>
              <w:t>要求</w:t>
            </w:r>
            <w:r>
              <w:rPr>
                <w:rFonts w:hint="eastAsia"/>
                <w:color w:val="auto"/>
              </w:rPr>
              <w:t>得0-2分。</w:t>
            </w:r>
          </w:p>
        </w:tc>
        <w:tc>
          <w:tcPr>
            <w:tcW w:w="990" w:type="dxa"/>
            <w:vAlign w:val="center"/>
          </w:tcPr>
          <w:p>
            <w:pPr>
              <w:pStyle w:val="30"/>
              <w:spacing w:line="360" w:lineRule="exact"/>
              <w:ind w:firstLine="0" w:firstLineChars="0"/>
              <w:jc w:val="center"/>
              <w:rPr>
                <w:rFonts w:hint="default" w:ascii="宋体" w:hAnsi="宋体"/>
                <w:bCs/>
                <w:color w:val="auto"/>
                <w:sz w:val="22"/>
                <w:szCs w:val="22"/>
                <w:lang w:val="en-US" w:eastAsia="zh-CN"/>
              </w:rPr>
            </w:pPr>
            <w:r>
              <w:rPr>
                <w:rFonts w:hint="eastAsia" w:ascii="宋体" w:hAnsi="宋体"/>
                <w:bCs/>
                <w:color w:val="auto"/>
                <w:sz w:val="22"/>
                <w:szCs w:val="22"/>
                <w:lang w:val="en-US" w:eastAsia="zh-CN"/>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760" w:type="dxa"/>
            <w:vMerge w:val="continue"/>
          </w:tcPr>
          <w:p>
            <w:pPr>
              <w:pStyle w:val="196"/>
              <w:ind w:left="160"/>
              <w:rPr>
                <w:color w:val="auto"/>
              </w:rPr>
            </w:pPr>
          </w:p>
        </w:tc>
        <w:tc>
          <w:tcPr>
            <w:tcW w:w="1551" w:type="dxa"/>
            <w:vMerge w:val="continue"/>
          </w:tcPr>
          <w:p>
            <w:pPr>
              <w:pStyle w:val="196"/>
              <w:ind w:left="160"/>
              <w:rPr>
                <w:color w:val="auto"/>
              </w:rPr>
            </w:pPr>
          </w:p>
        </w:tc>
        <w:tc>
          <w:tcPr>
            <w:tcW w:w="6329" w:type="dxa"/>
            <w:vAlign w:val="center"/>
          </w:tcPr>
          <w:p>
            <w:pPr>
              <w:pStyle w:val="196"/>
              <w:spacing w:before="35"/>
              <w:ind w:left="108"/>
              <w:rPr>
                <w:color w:val="auto"/>
              </w:rPr>
            </w:pPr>
            <w:r>
              <w:rPr>
                <w:rFonts w:hint="eastAsia" w:ascii="宋体" w:hAnsi="宋体"/>
                <w:color w:val="auto"/>
                <w:sz w:val="22"/>
                <w:szCs w:val="22"/>
              </w:rPr>
              <w:t>医用织物</w:t>
            </w:r>
            <w:r>
              <w:rPr>
                <w:rFonts w:hint="eastAsia" w:ascii="宋体" w:hAnsi="宋体"/>
                <w:bCs/>
                <w:color w:val="auto"/>
                <w:sz w:val="22"/>
                <w:szCs w:val="22"/>
              </w:rPr>
              <w:t>洗涤服务人员的考核办法，奖惩措施、员工培训方案由专家进行评审。其中：</w:t>
            </w:r>
            <w:r>
              <w:rPr>
                <w:rFonts w:hint="eastAsia"/>
                <w:color w:val="auto"/>
              </w:rPr>
              <w:t>完全满足</w:t>
            </w:r>
            <w:r>
              <w:rPr>
                <w:rFonts w:hint="eastAsia"/>
                <w:color w:val="auto"/>
                <w:lang w:val="en-US" w:eastAsia="zh-CN"/>
              </w:rPr>
              <w:t>要求</w:t>
            </w:r>
            <w:r>
              <w:rPr>
                <w:rFonts w:hint="eastAsia"/>
                <w:color w:val="auto"/>
              </w:rPr>
              <w:t>得4.1-7分，基本满足</w:t>
            </w:r>
            <w:r>
              <w:rPr>
                <w:rFonts w:hint="eastAsia"/>
                <w:color w:val="auto"/>
                <w:lang w:val="en-US" w:eastAsia="zh-CN"/>
              </w:rPr>
              <w:t>要求</w:t>
            </w:r>
            <w:r>
              <w:rPr>
                <w:rFonts w:hint="eastAsia"/>
                <w:color w:val="auto"/>
              </w:rPr>
              <w:t>得2.1-4分，个别满足</w:t>
            </w:r>
            <w:r>
              <w:rPr>
                <w:rFonts w:hint="eastAsia"/>
                <w:color w:val="auto"/>
                <w:lang w:val="en-US" w:eastAsia="zh-CN"/>
              </w:rPr>
              <w:t>要求</w:t>
            </w:r>
            <w:r>
              <w:rPr>
                <w:rFonts w:hint="eastAsia"/>
                <w:color w:val="auto"/>
              </w:rPr>
              <w:t>得0-2分。</w:t>
            </w:r>
          </w:p>
        </w:tc>
        <w:tc>
          <w:tcPr>
            <w:tcW w:w="990" w:type="dxa"/>
            <w:vAlign w:val="center"/>
          </w:tcPr>
          <w:p>
            <w:pPr>
              <w:pStyle w:val="30"/>
              <w:spacing w:line="360" w:lineRule="exact"/>
              <w:ind w:firstLine="0" w:firstLineChars="0"/>
              <w:jc w:val="center"/>
              <w:rPr>
                <w:color w:val="auto"/>
              </w:rPr>
            </w:pPr>
            <w:r>
              <w:rPr>
                <w:rFonts w:hint="eastAsia" w:ascii="宋体" w:hAnsi="宋体"/>
                <w:bCs/>
                <w:color w:val="auto"/>
                <w:sz w:val="22"/>
                <w:szCs w:val="22"/>
              </w:rPr>
              <w:t>0-</w:t>
            </w:r>
            <w:r>
              <w:rPr>
                <w:rFonts w:hint="eastAsia" w:ascii="宋体" w:hAnsi="宋体"/>
                <w:bCs/>
                <w:color w:val="auto"/>
                <w:sz w:val="22"/>
                <w:szCs w:val="22"/>
                <w:lang w:val="en-US" w:eastAsia="zh-CN"/>
              </w:rPr>
              <w:t>7</w:t>
            </w:r>
            <w:r>
              <w:rPr>
                <w:rFonts w:hint="eastAsia" w:ascii="宋体" w:hAnsi="宋体"/>
                <w:bCs/>
                <w:color w:val="auto"/>
                <w:sz w:val="22"/>
                <w:szCs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760" w:type="dxa"/>
            <w:vMerge w:val="continue"/>
          </w:tcPr>
          <w:p>
            <w:pPr>
              <w:pStyle w:val="196"/>
              <w:ind w:left="160"/>
              <w:rPr>
                <w:color w:val="auto"/>
              </w:rPr>
            </w:pPr>
          </w:p>
        </w:tc>
        <w:tc>
          <w:tcPr>
            <w:tcW w:w="1551" w:type="dxa"/>
            <w:vMerge w:val="continue"/>
          </w:tcPr>
          <w:p>
            <w:pPr>
              <w:pStyle w:val="196"/>
              <w:ind w:left="160"/>
              <w:rPr>
                <w:color w:val="auto"/>
              </w:rPr>
            </w:pPr>
          </w:p>
        </w:tc>
        <w:tc>
          <w:tcPr>
            <w:tcW w:w="6329" w:type="dxa"/>
          </w:tcPr>
          <w:p>
            <w:pPr>
              <w:pStyle w:val="196"/>
              <w:spacing w:before="35" w:line="279" w:lineRule="exact"/>
              <w:ind w:left="108"/>
              <w:rPr>
                <w:color w:val="auto"/>
                <w:spacing w:val="-14"/>
              </w:rPr>
            </w:pPr>
            <w:r>
              <w:rPr>
                <w:rFonts w:hint="eastAsia"/>
                <w:bCs/>
                <w:color w:val="auto"/>
              </w:rPr>
              <w:t>应急响应能力：</w:t>
            </w:r>
            <w:r>
              <w:rPr>
                <w:rFonts w:hint="eastAsia" w:ascii="宋体" w:hAnsi="宋体"/>
                <w:bCs/>
                <w:color w:val="auto"/>
                <w:sz w:val="22"/>
                <w:szCs w:val="22"/>
              </w:rPr>
              <w:t>洗涤车间设置的地点，</w:t>
            </w:r>
            <w:r>
              <w:rPr>
                <w:rFonts w:hint="eastAsia"/>
                <w:bCs/>
                <w:color w:val="auto"/>
                <w:sz w:val="22"/>
                <w:szCs w:val="22"/>
              </w:rPr>
              <w:t>应急</w:t>
            </w:r>
            <w:r>
              <w:rPr>
                <w:rFonts w:hint="eastAsia" w:ascii="宋体" w:hAnsi="宋体"/>
                <w:bCs/>
                <w:color w:val="auto"/>
                <w:sz w:val="22"/>
                <w:szCs w:val="22"/>
              </w:rPr>
              <w:t>服务响应时间，</w:t>
            </w:r>
            <w:r>
              <w:rPr>
                <w:rFonts w:hint="eastAsia"/>
                <w:bCs/>
                <w:color w:val="auto"/>
                <w:sz w:val="22"/>
                <w:szCs w:val="22"/>
              </w:rPr>
              <w:t>承诺</w:t>
            </w:r>
            <w:r>
              <w:rPr>
                <w:rFonts w:hint="eastAsia" w:ascii="宋体" w:hAnsi="宋体"/>
                <w:bCs/>
                <w:color w:val="auto"/>
                <w:sz w:val="22"/>
                <w:szCs w:val="22"/>
              </w:rPr>
              <w:t>到达现场服务时间等</w:t>
            </w:r>
            <w:r>
              <w:rPr>
                <w:rFonts w:hint="eastAsia"/>
                <w:bCs/>
                <w:color w:val="auto"/>
                <w:sz w:val="22"/>
                <w:szCs w:val="22"/>
              </w:rPr>
              <w:t>方面进行评审。</w:t>
            </w:r>
            <w:r>
              <w:rPr>
                <w:rFonts w:hint="eastAsia" w:ascii="宋体" w:hAnsi="宋体"/>
                <w:bCs/>
                <w:color w:val="auto"/>
                <w:sz w:val="22"/>
                <w:szCs w:val="22"/>
              </w:rPr>
              <w:t>其中：</w:t>
            </w:r>
            <w:r>
              <w:rPr>
                <w:rFonts w:hint="eastAsia"/>
                <w:color w:val="auto"/>
              </w:rPr>
              <w:t>完全满足</w:t>
            </w:r>
            <w:r>
              <w:rPr>
                <w:rFonts w:hint="eastAsia"/>
                <w:color w:val="auto"/>
                <w:lang w:val="en-US" w:eastAsia="zh-CN"/>
              </w:rPr>
              <w:t>要求</w:t>
            </w:r>
            <w:r>
              <w:rPr>
                <w:rFonts w:hint="eastAsia"/>
                <w:color w:val="auto"/>
              </w:rPr>
              <w:t>得4.1-7分，基本满足</w:t>
            </w:r>
            <w:r>
              <w:rPr>
                <w:rFonts w:hint="eastAsia"/>
                <w:color w:val="auto"/>
                <w:lang w:val="en-US" w:eastAsia="zh-CN"/>
              </w:rPr>
              <w:t>要求</w:t>
            </w:r>
            <w:r>
              <w:rPr>
                <w:rFonts w:hint="eastAsia"/>
                <w:color w:val="auto"/>
              </w:rPr>
              <w:t>得2.1-4分，个别满足</w:t>
            </w:r>
            <w:r>
              <w:rPr>
                <w:rFonts w:hint="eastAsia"/>
                <w:color w:val="auto"/>
                <w:lang w:val="en-US" w:eastAsia="zh-CN"/>
              </w:rPr>
              <w:t>要求</w:t>
            </w:r>
            <w:r>
              <w:rPr>
                <w:rFonts w:hint="eastAsia"/>
                <w:color w:val="auto"/>
              </w:rPr>
              <w:t>得0-2分。</w:t>
            </w:r>
          </w:p>
        </w:tc>
        <w:tc>
          <w:tcPr>
            <w:tcW w:w="990" w:type="dxa"/>
            <w:vAlign w:val="center"/>
          </w:tcPr>
          <w:p>
            <w:pPr>
              <w:pStyle w:val="196"/>
              <w:spacing w:before="1"/>
              <w:jc w:val="center"/>
              <w:rPr>
                <w:color w:val="auto"/>
                <w:spacing w:val="-14"/>
              </w:rPr>
            </w:pPr>
            <w:r>
              <w:rPr>
                <w:color w:val="auto"/>
              </w:rPr>
              <w:t>0-</w:t>
            </w:r>
            <w:r>
              <w:rPr>
                <w:rFonts w:hint="eastAsia"/>
                <w:color w:val="auto"/>
                <w:lang w:val="en-US" w:eastAsia="zh-CN"/>
              </w:rPr>
              <w:t>7</w:t>
            </w:r>
            <w:r>
              <w:rPr>
                <w:color w:val="auto"/>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760" w:type="dxa"/>
            <w:vAlign w:val="center"/>
          </w:tcPr>
          <w:p>
            <w:pPr>
              <w:pStyle w:val="196"/>
              <w:spacing w:before="158"/>
              <w:ind w:left="8"/>
              <w:jc w:val="center"/>
              <w:rPr>
                <w:color w:val="auto"/>
              </w:rPr>
            </w:pPr>
          </w:p>
        </w:tc>
        <w:tc>
          <w:tcPr>
            <w:tcW w:w="1551" w:type="dxa"/>
          </w:tcPr>
          <w:p>
            <w:pPr>
              <w:pStyle w:val="196"/>
              <w:rPr>
                <w:color w:val="auto"/>
              </w:rPr>
            </w:pPr>
          </w:p>
          <w:p>
            <w:pPr>
              <w:pStyle w:val="196"/>
              <w:rPr>
                <w:color w:val="auto"/>
              </w:rPr>
            </w:pPr>
          </w:p>
          <w:p>
            <w:pPr>
              <w:pStyle w:val="196"/>
              <w:spacing w:before="164" w:line="268" w:lineRule="auto"/>
              <w:ind w:left="636" w:right="179" w:hanging="444"/>
              <w:jc w:val="center"/>
              <w:rPr>
                <w:rFonts w:ascii="宋体" w:hAnsi="宋体" w:cs="宋体"/>
                <w:b/>
                <w:bCs/>
                <w:color w:val="auto"/>
              </w:rPr>
            </w:pPr>
            <w:r>
              <w:rPr>
                <w:rFonts w:hint="eastAsia" w:ascii="宋体" w:hAnsi="宋体" w:cs="宋体"/>
                <w:b/>
                <w:bCs/>
                <w:color w:val="auto"/>
              </w:rPr>
              <w:t>类似业绩</w:t>
            </w:r>
          </w:p>
          <w:p>
            <w:pPr>
              <w:pStyle w:val="196"/>
              <w:spacing w:before="164" w:line="268" w:lineRule="auto"/>
              <w:ind w:left="636" w:right="179" w:hanging="444"/>
              <w:jc w:val="center"/>
              <w:rPr>
                <w:color w:val="auto"/>
              </w:rPr>
            </w:pPr>
            <w:r>
              <w:rPr>
                <w:rFonts w:hint="eastAsia" w:ascii="宋体" w:hAnsi="宋体" w:cs="宋体"/>
                <w:b/>
                <w:bCs/>
                <w:color w:val="auto"/>
              </w:rPr>
              <w:t>（</w:t>
            </w:r>
            <w:r>
              <w:rPr>
                <w:rFonts w:ascii="宋体" w:hAnsi="宋体" w:cs="宋体"/>
                <w:b/>
                <w:bCs/>
                <w:color w:val="auto"/>
              </w:rPr>
              <w:t>1</w:t>
            </w:r>
            <w:r>
              <w:rPr>
                <w:rFonts w:hint="eastAsia" w:ascii="宋体" w:hAnsi="宋体" w:cs="宋体"/>
                <w:b/>
                <w:bCs/>
                <w:color w:val="auto"/>
                <w:lang w:val="en-US" w:eastAsia="zh-CN"/>
              </w:rPr>
              <w:t>2</w:t>
            </w:r>
            <w:r>
              <w:rPr>
                <w:rFonts w:ascii="宋体" w:hAnsi="宋体" w:cs="宋体"/>
                <w:b/>
                <w:bCs/>
                <w:color w:val="auto"/>
              </w:rPr>
              <w:t>分）</w:t>
            </w:r>
          </w:p>
        </w:tc>
        <w:tc>
          <w:tcPr>
            <w:tcW w:w="6329" w:type="dxa"/>
          </w:tcPr>
          <w:p>
            <w:pPr>
              <w:widowControl/>
              <w:jc w:val="left"/>
              <w:rPr>
                <w:rFonts w:hint="eastAsia"/>
                <w:color w:val="auto"/>
                <w:lang w:val="zh-CN"/>
              </w:rPr>
            </w:pPr>
            <w:r>
              <w:rPr>
                <w:rFonts w:hint="eastAsia"/>
                <w:color w:val="auto"/>
                <w:lang w:val="zh-CN"/>
              </w:rPr>
              <w:t>1.投标人自2018 年1 月1 日以来承接二级及以上综合性医院布品租赁及洗涤项目的业绩（以合同签订时间为准），每提供1个项目业绩的得2 分，本项最高得 6 分。</w:t>
            </w:r>
          </w:p>
          <w:p>
            <w:pPr>
              <w:widowControl/>
              <w:jc w:val="left"/>
              <w:rPr>
                <w:rFonts w:hint="eastAsia"/>
                <w:color w:val="auto"/>
                <w:lang w:val="zh-CN"/>
              </w:rPr>
            </w:pPr>
            <w:r>
              <w:rPr>
                <w:rFonts w:hint="eastAsia"/>
                <w:color w:val="auto"/>
                <w:lang w:val="zh-CN"/>
              </w:rPr>
              <w:t>（注：</w:t>
            </w:r>
            <w:r>
              <w:rPr>
                <w:rFonts w:hint="eastAsia"/>
                <w:color w:val="auto"/>
                <w:lang w:val="zh-CN" w:eastAsia="zh-Hans"/>
              </w:rPr>
              <w:t>须提供中标通知书及合同复印件加盖有效公章，不提供不得分</w:t>
            </w:r>
            <w:r>
              <w:rPr>
                <w:rFonts w:hint="eastAsia"/>
                <w:color w:val="auto"/>
                <w:lang w:val="zh-CN"/>
              </w:rPr>
              <w:t>）</w:t>
            </w:r>
          </w:p>
          <w:p>
            <w:pPr>
              <w:widowControl/>
              <w:jc w:val="left"/>
              <w:rPr>
                <w:rFonts w:hint="eastAsia"/>
                <w:color w:val="auto"/>
                <w:lang w:val="zh-CN"/>
              </w:rPr>
            </w:pPr>
            <w:r>
              <w:rPr>
                <w:rFonts w:hint="eastAsia"/>
                <w:color w:val="auto"/>
                <w:lang w:val="en-US"/>
              </w:rPr>
              <w:t>2.</w:t>
            </w:r>
            <w:r>
              <w:rPr>
                <w:rFonts w:hint="eastAsia"/>
                <w:color w:val="auto"/>
                <w:lang w:val="zh-CN"/>
              </w:rPr>
              <w:t>在上述业绩中获得过业主好评或</w:t>
            </w:r>
            <w:r>
              <w:rPr>
                <w:rFonts w:hint="eastAsia"/>
                <w:color w:val="auto"/>
                <w:lang w:val="en-US"/>
              </w:rPr>
              <w:t>由行政部门颁发的</w:t>
            </w:r>
            <w:r>
              <w:rPr>
                <w:rFonts w:hint="eastAsia"/>
                <w:color w:val="auto"/>
                <w:lang w:val="zh-CN"/>
              </w:rPr>
              <w:t>相关荣誉的，每提供一份证明材料得2分，本小项最高可得</w:t>
            </w:r>
            <w:r>
              <w:rPr>
                <w:rFonts w:hint="eastAsia"/>
                <w:color w:val="auto"/>
                <w:lang w:val="en-US"/>
              </w:rPr>
              <w:t>6</w:t>
            </w:r>
            <w:r>
              <w:rPr>
                <w:rFonts w:hint="eastAsia"/>
                <w:color w:val="auto"/>
                <w:lang w:val="zh-CN"/>
              </w:rPr>
              <w:t>分。</w:t>
            </w:r>
          </w:p>
          <w:p>
            <w:pPr>
              <w:widowControl/>
              <w:jc w:val="left"/>
              <w:rPr>
                <w:rFonts w:hint="eastAsia"/>
                <w:color w:val="auto"/>
                <w:lang w:val="zh-CN"/>
              </w:rPr>
            </w:pPr>
            <w:r>
              <w:rPr>
                <w:rFonts w:hint="eastAsia"/>
                <w:color w:val="auto"/>
                <w:lang w:val="zh-CN"/>
              </w:rPr>
              <w:t>（注：以业主提供的相关证明材料为准</w:t>
            </w:r>
            <w:r>
              <w:rPr>
                <w:rFonts w:hint="eastAsia"/>
                <w:color w:val="auto"/>
                <w:lang w:val="zh-CN" w:eastAsia="zh-Hans"/>
              </w:rPr>
              <w:t>，</w:t>
            </w:r>
            <w:r>
              <w:rPr>
                <w:rFonts w:hint="eastAsia"/>
                <w:color w:val="auto"/>
                <w:lang w:val="zh-CN"/>
              </w:rPr>
              <w:t>加盖单位公章，</w:t>
            </w:r>
            <w:r>
              <w:rPr>
                <w:rFonts w:hint="eastAsia"/>
                <w:color w:val="auto"/>
                <w:lang w:val="zh-CN" w:eastAsia="zh-Hans"/>
              </w:rPr>
              <w:t>不提供不得分</w:t>
            </w:r>
            <w:r>
              <w:rPr>
                <w:rFonts w:hint="eastAsia"/>
                <w:color w:val="auto"/>
                <w:lang w:val="zh-CN"/>
              </w:rPr>
              <w:t>)</w:t>
            </w:r>
          </w:p>
        </w:tc>
        <w:tc>
          <w:tcPr>
            <w:tcW w:w="990" w:type="dxa"/>
          </w:tcPr>
          <w:p>
            <w:pPr>
              <w:widowControl/>
              <w:jc w:val="center"/>
              <w:rPr>
                <w:rFonts w:hint="eastAsia"/>
                <w:color w:val="auto"/>
                <w:lang w:val="zh-CN"/>
              </w:rPr>
            </w:pPr>
          </w:p>
          <w:p>
            <w:pPr>
              <w:widowControl/>
              <w:jc w:val="center"/>
              <w:rPr>
                <w:rFonts w:hint="eastAsia"/>
                <w:color w:val="auto"/>
                <w:lang w:val="zh-CN"/>
              </w:rPr>
            </w:pPr>
          </w:p>
          <w:p>
            <w:pPr>
              <w:widowControl/>
              <w:jc w:val="center"/>
              <w:rPr>
                <w:rFonts w:hint="eastAsia"/>
                <w:color w:val="auto"/>
                <w:lang w:val="zh-CN"/>
              </w:rPr>
            </w:pPr>
          </w:p>
          <w:p>
            <w:pPr>
              <w:widowControl/>
              <w:jc w:val="center"/>
              <w:rPr>
                <w:rFonts w:hint="eastAsia"/>
                <w:color w:val="auto"/>
                <w:lang w:val="zh-CN"/>
              </w:rPr>
            </w:pPr>
            <w:r>
              <w:rPr>
                <w:rFonts w:hint="eastAsia"/>
                <w:color w:val="auto"/>
                <w:lang w:val="zh-CN"/>
              </w:rPr>
              <w:t>0-1</w:t>
            </w:r>
            <w:r>
              <w:rPr>
                <w:rFonts w:hint="eastAsia"/>
                <w:color w:val="auto"/>
                <w:lang w:val="en-US" w:eastAsia="zh-CN"/>
              </w:rPr>
              <w:t>2</w:t>
            </w:r>
            <w:r>
              <w:rPr>
                <w:rFonts w:hint="eastAsia"/>
                <w:color w:val="auto"/>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5" w:hRule="atLeast"/>
        </w:trPr>
        <w:tc>
          <w:tcPr>
            <w:tcW w:w="760" w:type="dxa"/>
            <w:vAlign w:val="center"/>
          </w:tcPr>
          <w:p>
            <w:pPr>
              <w:pStyle w:val="196"/>
              <w:spacing w:before="158"/>
              <w:ind w:left="8"/>
              <w:jc w:val="center"/>
              <w:rPr>
                <w:color w:val="auto"/>
              </w:rPr>
            </w:pPr>
          </w:p>
        </w:tc>
        <w:tc>
          <w:tcPr>
            <w:tcW w:w="1551" w:type="dxa"/>
          </w:tcPr>
          <w:p>
            <w:pPr>
              <w:pStyle w:val="196"/>
              <w:rPr>
                <w:color w:val="auto"/>
              </w:rPr>
            </w:pPr>
          </w:p>
          <w:p>
            <w:pPr>
              <w:pStyle w:val="196"/>
              <w:rPr>
                <w:color w:val="auto"/>
              </w:rPr>
            </w:pPr>
          </w:p>
          <w:p>
            <w:pPr>
              <w:pStyle w:val="196"/>
              <w:spacing w:before="9"/>
              <w:rPr>
                <w:color w:val="auto"/>
              </w:rPr>
            </w:pPr>
          </w:p>
          <w:p>
            <w:pPr>
              <w:pStyle w:val="196"/>
              <w:spacing w:before="1" w:line="268" w:lineRule="auto"/>
              <w:ind w:left="303" w:right="179" w:hanging="111"/>
              <w:rPr>
                <w:color w:val="auto"/>
              </w:rPr>
            </w:pPr>
            <w:r>
              <w:rPr>
                <w:b/>
                <w:bCs/>
                <w:color w:val="auto"/>
              </w:rPr>
              <w:t>设备及车辆配备情况</w:t>
            </w:r>
            <w:r>
              <w:rPr>
                <w:rFonts w:hint="eastAsia"/>
                <w:b/>
                <w:bCs/>
                <w:color w:val="auto"/>
              </w:rPr>
              <w:t>（</w:t>
            </w:r>
            <w:r>
              <w:rPr>
                <w:rFonts w:hint="eastAsia"/>
                <w:b/>
                <w:bCs/>
                <w:color w:val="auto"/>
                <w:lang w:val="en-US" w:eastAsia="zh-CN"/>
              </w:rPr>
              <w:t>14</w:t>
            </w:r>
            <w:r>
              <w:rPr>
                <w:b/>
                <w:bCs/>
                <w:color w:val="auto"/>
              </w:rPr>
              <w:t>分）</w:t>
            </w:r>
          </w:p>
        </w:tc>
        <w:tc>
          <w:tcPr>
            <w:tcW w:w="6329" w:type="dxa"/>
          </w:tcPr>
          <w:p>
            <w:pPr>
              <w:widowControl/>
              <w:jc w:val="left"/>
              <w:rPr>
                <w:rFonts w:hint="eastAsia"/>
                <w:color w:val="auto"/>
                <w:lang w:val="zh-CN"/>
              </w:rPr>
            </w:pPr>
            <w:r>
              <w:rPr>
                <w:rFonts w:hint="eastAsia"/>
                <w:color w:val="auto"/>
                <w:lang w:val="en-US" w:eastAsia="zh-CN"/>
              </w:rPr>
              <w:t>在满足招标文件基本洗涤设备条件下</w:t>
            </w:r>
            <w:r>
              <w:rPr>
                <w:rFonts w:hint="eastAsia"/>
                <w:color w:val="auto"/>
                <w:lang w:val="zh-CN"/>
              </w:rPr>
              <w:t>，</w:t>
            </w:r>
            <w:r>
              <w:rPr>
                <w:rFonts w:hint="eastAsia"/>
                <w:color w:val="auto"/>
                <w:lang w:val="en-US" w:eastAsia="zh-CN"/>
              </w:rPr>
              <w:t>根据</w:t>
            </w:r>
            <w:r>
              <w:rPr>
                <w:rFonts w:hint="eastAsia"/>
                <w:color w:val="auto"/>
                <w:lang w:val="zh-CN"/>
              </w:rPr>
              <w:t>供应商实际投入医用隔离式洗涤设备、车辆配备情况，投入配备合理性，由专家打分：</w:t>
            </w:r>
          </w:p>
          <w:p>
            <w:pPr>
              <w:widowControl/>
              <w:jc w:val="left"/>
              <w:rPr>
                <w:rFonts w:hint="eastAsia"/>
                <w:color w:val="auto"/>
                <w:lang w:val="zh-CN"/>
              </w:rPr>
            </w:pPr>
            <w:r>
              <w:rPr>
                <w:rFonts w:hint="eastAsia"/>
                <w:color w:val="auto"/>
                <w:lang w:val="zh-CN"/>
              </w:rPr>
              <w:t>（1）每提供1台医用隔离式洗涤设备的得1分，本项最高得</w:t>
            </w:r>
            <w:r>
              <w:rPr>
                <w:rFonts w:hint="eastAsia"/>
                <w:color w:val="auto"/>
                <w:lang w:val="en-US" w:eastAsia="zh-CN"/>
              </w:rPr>
              <w:t>10</w:t>
            </w:r>
            <w:r>
              <w:rPr>
                <w:rFonts w:hint="eastAsia"/>
                <w:color w:val="auto"/>
                <w:lang w:val="zh-CN"/>
              </w:rPr>
              <w:t>分；注：</w:t>
            </w:r>
            <w:r>
              <w:rPr>
                <w:rFonts w:hint="eastAsia"/>
                <w:color w:val="auto"/>
                <w:lang w:val="en-US" w:eastAsia="zh-CN"/>
              </w:rPr>
              <w:t>则须</w:t>
            </w:r>
            <w:r>
              <w:rPr>
                <w:rFonts w:hint="eastAsia"/>
                <w:color w:val="auto"/>
                <w:lang w:val="zh-CN"/>
              </w:rPr>
              <w:t>提供相应设备的实物照片及购买发票</w:t>
            </w:r>
            <w:r>
              <w:rPr>
                <w:rFonts w:hint="eastAsia"/>
                <w:color w:val="auto"/>
                <w:lang w:val="zh-CN" w:eastAsia="zh-CN"/>
              </w:rPr>
              <w:t>，</w:t>
            </w:r>
            <w:r>
              <w:rPr>
                <w:rFonts w:hint="eastAsia"/>
                <w:color w:val="auto"/>
                <w:lang w:val="zh-CN"/>
              </w:rPr>
              <w:t>购买发票名称须与本次投标供应商名称一致</w:t>
            </w:r>
            <w:r>
              <w:rPr>
                <w:rFonts w:hint="eastAsia"/>
                <w:color w:val="auto"/>
                <w:lang w:val="zh-CN" w:eastAsia="zh-CN"/>
              </w:rPr>
              <w:t>，</w:t>
            </w:r>
            <w:r>
              <w:rPr>
                <w:rFonts w:hint="eastAsia"/>
                <w:color w:val="auto"/>
                <w:lang w:val="en-US" w:eastAsia="zh-CN"/>
              </w:rPr>
              <w:t>否则</w:t>
            </w:r>
            <w:r>
              <w:rPr>
                <w:rFonts w:hint="eastAsia"/>
                <w:color w:val="auto"/>
                <w:lang w:val="zh-CN"/>
              </w:rPr>
              <w:t>不得分。</w:t>
            </w:r>
          </w:p>
          <w:p>
            <w:pPr>
              <w:widowControl/>
              <w:jc w:val="left"/>
              <w:rPr>
                <w:rFonts w:hint="eastAsia"/>
                <w:color w:val="auto"/>
                <w:lang w:val="zh-CN" w:eastAsia="zh-CN"/>
              </w:rPr>
            </w:pPr>
            <w:r>
              <w:rPr>
                <w:rFonts w:hint="eastAsia"/>
                <w:color w:val="auto"/>
                <w:lang w:val="en-US" w:eastAsia="zh-CN"/>
              </w:rPr>
              <w:t>（2）每提供1</w:t>
            </w:r>
            <w:r>
              <w:rPr>
                <w:rFonts w:hint="eastAsia"/>
                <w:color w:val="auto"/>
                <w:lang w:val="zh-CN" w:eastAsia="zh-CN"/>
              </w:rPr>
              <w:t>辆</w:t>
            </w:r>
            <w:r>
              <w:rPr>
                <w:rFonts w:hint="eastAsia"/>
                <w:color w:val="auto"/>
                <w:lang w:val="en-US" w:eastAsia="zh-CN"/>
              </w:rPr>
              <w:t>车</w:t>
            </w:r>
            <w:r>
              <w:rPr>
                <w:rFonts w:hint="eastAsia"/>
                <w:color w:val="auto"/>
                <w:lang w:val="zh-CN" w:eastAsia="zh-CN"/>
              </w:rPr>
              <w:t>辆得 1 分，本项最高得 4 分。</w:t>
            </w:r>
          </w:p>
          <w:p>
            <w:pPr>
              <w:widowControl/>
              <w:jc w:val="left"/>
              <w:rPr>
                <w:rFonts w:hint="eastAsia"/>
                <w:color w:val="auto"/>
                <w:lang w:val="zh-CN"/>
              </w:rPr>
            </w:pPr>
            <w:r>
              <w:rPr>
                <w:rFonts w:hint="eastAsia"/>
                <w:color w:val="auto"/>
                <w:lang w:val="en-US" w:eastAsia="zh-CN"/>
              </w:rPr>
              <w:t>注：则须提供相应设备的实物照片、相应车辆行的行驶证及购买发票，行驶证上所有人名称须与本次投标供应商名称一致，否则不得分</w:t>
            </w:r>
            <w:r>
              <w:rPr>
                <w:rFonts w:hint="eastAsia"/>
                <w:color w:val="auto"/>
                <w:lang w:val="zh-CN" w:eastAsia="zh-CN"/>
              </w:rPr>
              <w:t>。</w:t>
            </w:r>
          </w:p>
        </w:tc>
        <w:tc>
          <w:tcPr>
            <w:tcW w:w="990" w:type="dxa"/>
            <w:vAlign w:val="center"/>
          </w:tcPr>
          <w:p>
            <w:pPr>
              <w:widowControl/>
              <w:jc w:val="center"/>
              <w:rPr>
                <w:rFonts w:hint="eastAsia"/>
                <w:color w:val="auto"/>
                <w:lang w:val="zh-CN"/>
              </w:rPr>
            </w:pPr>
          </w:p>
          <w:p>
            <w:pPr>
              <w:widowControl/>
              <w:jc w:val="center"/>
              <w:rPr>
                <w:rFonts w:hint="eastAsia"/>
                <w:color w:val="auto"/>
                <w:lang w:val="zh-CN"/>
              </w:rPr>
            </w:pPr>
            <w:r>
              <w:rPr>
                <w:rFonts w:hint="eastAsia"/>
                <w:color w:val="auto"/>
                <w:lang w:val="zh-CN"/>
              </w:rPr>
              <w:t>0-</w:t>
            </w:r>
            <w:r>
              <w:rPr>
                <w:rFonts w:hint="eastAsia"/>
                <w:color w:val="auto"/>
                <w:lang w:val="en-US" w:eastAsia="zh-CN"/>
              </w:rPr>
              <w:t>14</w:t>
            </w:r>
            <w:r>
              <w:rPr>
                <w:rFonts w:hint="eastAsia"/>
                <w:color w:val="auto"/>
                <w:lang w:val="zh-CN"/>
              </w:rPr>
              <w:t>分</w:t>
            </w:r>
          </w:p>
        </w:tc>
      </w:tr>
    </w:tbl>
    <w:p>
      <w:pPr>
        <w:spacing w:line="420" w:lineRule="exact"/>
        <w:ind w:right="-106" w:rightChars="-50"/>
        <w:rPr>
          <w:rFonts w:ascii="宋体" w:hAnsi="宋体" w:cs="宋体"/>
          <w:b/>
          <w:color w:val="auto"/>
          <w:sz w:val="22"/>
          <w:szCs w:val="22"/>
        </w:rPr>
      </w:pPr>
      <w:r>
        <w:rPr>
          <w:rFonts w:hint="eastAsia" w:ascii="宋体" w:hAnsi="宋体"/>
          <w:color w:val="auto"/>
          <w:sz w:val="22"/>
          <w:szCs w:val="22"/>
        </w:rPr>
        <w:t>三．</w:t>
      </w:r>
      <w:r>
        <w:rPr>
          <w:rFonts w:hint="eastAsia" w:ascii="宋体" w:hAnsi="宋体" w:cs="宋体"/>
          <w:b/>
          <w:color w:val="auto"/>
          <w:sz w:val="22"/>
          <w:szCs w:val="22"/>
        </w:rPr>
        <w:t>确定中标人</w:t>
      </w:r>
    </w:p>
    <w:p>
      <w:pPr>
        <w:autoSpaceDE w:val="0"/>
        <w:autoSpaceDN w:val="0"/>
        <w:adjustRightInd w:val="0"/>
        <w:spacing w:line="420" w:lineRule="exact"/>
        <w:ind w:left="-106" w:leftChars="-50" w:right="-106" w:rightChars="-50" w:firstLine="446" w:firstLineChars="200"/>
        <w:jc w:val="left"/>
        <w:rPr>
          <w:rFonts w:ascii="宋体" w:hAnsi="宋体" w:cs="宋体"/>
          <w:b/>
          <w:bCs/>
          <w:color w:val="auto"/>
          <w:sz w:val="22"/>
          <w:szCs w:val="22"/>
        </w:rPr>
      </w:pPr>
      <w:r>
        <w:rPr>
          <w:rFonts w:hint="eastAsia" w:ascii="宋体" w:hAnsi="宋体" w:cs="宋体"/>
          <w:b/>
          <w:bCs/>
          <w:color w:val="auto"/>
          <w:sz w:val="22"/>
          <w:szCs w:val="22"/>
        </w:rPr>
        <w:t>1、每个投标人最终得分=技术资信部分分值（所有评标委员会成员打分的算术平均值）＋商务报价部分分值。</w:t>
      </w:r>
    </w:p>
    <w:p>
      <w:pPr>
        <w:autoSpaceDE w:val="0"/>
        <w:autoSpaceDN w:val="0"/>
        <w:adjustRightInd w:val="0"/>
        <w:spacing w:line="420" w:lineRule="exact"/>
        <w:ind w:left="-106" w:leftChars="-50" w:right="-106" w:rightChars="-50" w:firstLine="446" w:firstLineChars="200"/>
        <w:jc w:val="left"/>
        <w:rPr>
          <w:rFonts w:ascii="宋体" w:hAnsi="宋体" w:cs="宋体"/>
          <w:b/>
          <w:bCs/>
          <w:color w:val="auto"/>
          <w:sz w:val="22"/>
          <w:szCs w:val="22"/>
        </w:rPr>
      </w:pPr>
      <w:r>
        <w:rPr>
          <w:rFonts w:hint="eastAsia" w:ascii="宋体" w:hAnsi="宋体" w:cs="宋体"/>
          <w:b/>
          <w:bCs/>
          <w:color w:val="auto"/>
          <w:sz w:val="22"/>
          <w:szCs w:val="22"/>
        </w:rPr>
        <w:t>2、评标委员会推荐得分最高的投标人为预中标供应商（如果得分相同则按报价从低到高顺序依次推荐为预中标单位）；（如果以上都相同则由采购人抽签决定），并编写采购报告。</w:t>
      </w:r>
    </w:p>
    <w:p>
      <w:pPr>
        <w:autoSpaceDE w:val="0"/>
        <w:autoSpaceDN w:val="0"/>
        <w:adjustRightInd w:val="0"/>
        <w:spacing w:line="420" w:lineRule="exact"/>
        <w:ind w:left="-106" w:leftChars="-50" w:right="-106" w:rightChars="-50" w:firstLine="446" w:firstLineChars="200"/>
        <w:jc w:val="left"/>
        <w:rPr>
          <w:rFonts w:ascii="宋体" w:hAnsi="宋体" w:cs="宋体"/>
          <w:b/>
          <w:bCs/>
          <w:color w:val="auto"/>
          <w:sz w:val="22"/>
          <w:szCs w:val="22"/>
        </w:rPr>
      </w:pPr>
      <w:r>
        <w:rPr>
          <w:rFonts w:hint="eastAsia" w:ascii="宋体" w:hAnsi="宋体" w:cs="宋体"/>
          <w:b/>
          <w:bCs/>
          <w:color w:val="auto"/>
          <w:sz w:val="22"/>
          <w:szCs w:val="22"/>
        </w:rPr>
        <w:t>3、所有分值计算保留小数点后二位，小数点后三位四舍五入。</w:t>
      </w:r>
    </w:p>
    <w:p>
      <w:pPr>
        <w:autoSpaceDE w:val="0"/>
        <w:autoSpaceDN w:val="0"/>
        <w:adjustRightInd w:val="0"/>
        <w:spacing w:line="420" w:lineRule="exact"/>
        <w:ind w:left="-106" w:leftChars="-50" w:right="-106" w:rightChars="-50" w:firstLine="446" w:firstLineChars="200"/>
        <w:jc w:val="left"/>
        <w:rPr>
          <w:rFonts w:ascii="宋体" w:hAnsi="宋体" w:cs="宋体"/>
          <w:b/>
          <w:bCs/>
          <w:color w:val="auto"/>
          <w:sz w:val="22"/>
          <w:szCs w:val="22"/>
        </w:rPr>
      </w:pPr>
      <w:r>
        <w:rPr>
          <w:rFonts w:hint="eastAsia" w:ascii="宋体" w:hAnsi="宋体" w:cs="宋体"/>
          <w:b/>
          <w:bCs/>
          <w:color w:val="auto"/>
          <w:sz w:val="22"/>
          <w:szCs w:val="22"/>
        </w:rPr>
        <w:t>4、评标结束后，招标人将在浙江政府采购网、苍南县公共资源交易中心网站及其他政府采购指定信息发布媒体上公示中标结果。公示期结束，且在规定期限内无异议则招标机构将向中标人发出中标通知书。</w:t>
      </w:r>
    </w:p>
    <w:p>
      <w:pPr>
        <w:spacing w:line="420" w:lineRule="exact"/>
        <w:ind w:left="-106" w:leftChars="-50" w:right="-106" w:rightChars="-50" w:firstLine="446" w:firstLineChars="200"/>
        <w:rPr>
          <w:rFonts w:ascii="宋体" w:hAnsi="宋体" w:cs="宋体"/>
          <w:b/>
          <w:color w:val="auto"/>
          <w:sz w:val="22"/>
          <w:szCs w:val="22"/>
        </w:rPr>
      </w:pPr>
      <w:r>
        <w:rPr>
          <w:rFonts w:hint="eastAsia" w:ascii="宋体" w:hAnsi="宋体" w:cs="宋体"/>
          <w:b/>
          <w:bCs/>
          <w:color w:val="auto"/>
          <w:sz w:val="22"/>
          <w:szCs w:val="22"/>
        </w:rPr>
        <w:t>四．</w:t>
      </w:r>
      <w:r>
        <w:rPr>
          <w:rFonts w:hint="eastAsia" w:ascii="宋体" w:hAnsi="宋体" w:cs="宋体"/>
          <w:b/>
          <w:color w:val="auto"/>
          <w:sz w:val="22"/>
          <w:szCs w:val="22"/>
        </w:rPr>
        <w:t>投标人义务</w:t>
      </w:r>
    </w:p>
    <w:p>
      <w:pPr>
        <w:spacing w:line="420" w:lineRule="exact"/>
        <w:ind w:left="-106" w:leftChars="-50" w:right="-106" w:rightChars="-50" w:firstLine="557" w:firstLineChars="250"/>
        <w:rPr>
          <w:rFonts w:ascii="宋体" w:hAnsi="宋体" w:cs="宋体"/>
          <w:bCs/>
          <w:color w:val="auto"/>
          <w:sz w:val="22"/>
          <w:szCs w:val="22"/>
        </w:rPr>
      </w:pPr>
      <w:r>
        <w:rPr>
          <w:rFonts w:hint="eastAsia" w:ascii="宋体" w:hAnsi="宋体" w:cs="宋体"/>
          <w:bCs/>
          <w:color w:val="auto"/>
          <w:sz w:val="22"/>
          <w:szCs w:val="22"/>
        </w:rPr>
        <w:t>投标人应随时接受评标委员会的询标，解答包括有关的商务、技术问题等。评标结束，所有评标资料存招标人备查。</w:t>
      </w:r>
    </w:p>
    <w:sectPr>
      <w:headerReference r:id="rId28" w:type="default"/>
      <w:footerReference r:id="rId29" w:type="default"/>
      <w:pgSz w:w="11906" w:h="16838"/>
      <w:pgMar w:top="1440" w:right="1247" w:bottom="1440" w:left="1247"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DFKai-SB">
    <w:panose1 w:val="03000509000000000000"/>
    <w:charset w:val="88"/>
    <w:family w:val="auto"/>
    <w:pitch w:val="default"/>
    <w:sig w:usb0="00000003" w:usb1="082E0000" w:usb2="00000016" w:usb3="00000000" w:csb0="00100001"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 New Roman’">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entury Gothic">
    <w:altName w:val="Segoe Print"/>
    <w:panose1 w:val="020B0502020202020204"/>
    <w:charset w:val="00"/>
    <w:family w:val="swiss"/>
    <w:pitch w:val="default"/>
    <w:sig w:usb0="00000000"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720"/>
      <w:rPr>
        <w:rFonts w:ascii="宋体"/>
      </w:rPr>
    </w:pPr>
  </w:p>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220"/>
      </w:tabs>
      <w:ind w:right="1080"/>
      <w:jc w:val="left"/>
      <w:rPr>
        <w:rFonts w:ascii="仿宋_GB2312" w:cs="宋体"/>
        <w:b/>
        <w:color w:val="000000"/>
        <w:sz w:val="18"/>
        <w:szCs w:val="18"/>
      </w:rPr>
    </w:pPr>
    <w:r>
      <w:rPr>
        <w:rFonts w:ascii="仿宋_GB2312" w:cs="宋体"/>
        <w:b/>
        <w:color w:val="000000"/>
        <w:sz w:val="18"/>
        <w:szCs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left"/>
                            <w:rPr>
                              <w:rFonts w:ascii="仿宋_GB2312" w:cs="宋体"/>
                              <w:b/>
                              <w:color w:val="000000"/>
                              <w:sz w:val="18"/>
                              <w:szCs w:val="18"/>
                            </w:rPr>
                          </w:pPr>
                          <w:r>
                            <w:rPr>
                              <w:rFonts w:hint="eastAsia" w:ascii="仿宋_GB2312" w:cs="宋体"/>
                              <w:b/>
                              <w:color w:val="000000"/>
                              <w:sz w:val="18"/>
                              <w:szCs w:val="18"/>
                            </w:rPr>
                            <w:fldChar w:fldCharType="begin"/>
                          </w:r>
                          <w:r>
                            <w:rPr>
                              <w:rFonts w:hint="eastAsia" w:ascii="仿宋_GB2312" w:cs="宋体"/>
                              <w:b/>
                              <w:color w:val="000000"/>
                              <w:sz w:val="18"/>
                              <w:szCs w:val="18"/>
                            </w:rPr>
                            <w:instrText xml:space="preserve"> PAGE  \* MERGEFORMAT </w:instrText>
                          </w:r>
                          <w:r>
                            <w:rPr>
                              <w:rFonts w:hint="eastAsia" w:ascii="仿宋_GB2312" w:cs="宋体"/>
                              <w:b/>
                              <w:color w:val="000000"/>
                              <w:sz w:val="18"/>
                              <w:szCs w:val="18"/>
                            </w:rPr>
                            <w:fldChar w:fldCharType="separate"/>
                          </w:r>
                          <w:r>
                            <w:rPr>
                              <w:rFonts w:hint="eastAsia" w:ascii="仿宋_GB2312" w:cs="宋体"/>
                              <w:b/>
                              <w:color w:val="000000"/>
                              <w:sz w:val="18"/>
                              <w:szCs w:val="18"/>
                            </w:rPr>
                            <w:t>44</w:t>
                          </w:r>
                          <w:r>
                            <w:rPr>
                              <w:rFonts w:hint="eastAsia" w:ascii="仿宋_GB2312" w:cs="宋体"/>
                              <w:b/>
                              <w:color w:val="000000"/>
                              <w:sz w:val="18"/>
                              <w:szCs w:val="18"/>
                            </w:rPr>
                            <w:fldChar w:fldCharType="end"/>
                          </w:r>
                        </w:p>
                      </w:txbxContent>
                    </wps:txbx>
                    <wps:bodyPr wrap="none" lIns="0" tIns="0" rIns="0" bIns="0">
                      <a:spAutoFit/>
                    </wps:bodyPr>
                  </wps:wsp>
                </a:graphicData>
              </a:graphic>
            </wp:anchor>
          </w:drawing>
        </mc:Choice>
        <mc:Fallback>
          <w:pict>
            <v:shape id="文本框 3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GzBf+cQBAACPAwAADgAAAAAAAAABACAAAAAeAQAAZHJzL2Uyb0RvYy54bWxQ&#10;SwUGAAAAAAYABgBZAQAAVAUAAAAA&#10;">
              <v:fill on="f" focussize="0,0"/>
              <v:stroke on="f"/>
              <v:imagedata o:title=""/>
              <o:lock v:ext="edit" aspectratio="f"/>
              <v:textbox inset="0mm,0mm,0mm,0mm" style="mso-fit-shape-to-text:t;">
                <w:txbxContent>
                  <w:p>
                    <w:pPr>
                      <w:jc w:val="left"/>
                      <w:rPr>
                        <w:rFonts w:ascii="仿宋_GB2312" w:cs="宋体"/>
                        <w:b/>
                        <w:color w:val="000000"/>
                        <w:sz w:val="18"/>
                        <w:szCs w:val="18"/>
                      </w:rPr>
                    </w:pPr>
                    <w:r>
                      <w:rPr>
                        <w:rFonts w:hint="eastAsia" w:ascii="仿宋_GB2312" w:cs="宋体"/>
                        <w:b/>
                        <w:color w:val="000000"/>
                        <w:sz w:val="18"/>
                        <w:szCs w:val="18"/>
                      </w:rPr>
                      <w:fldChar w:fldCharType="begin"/>
                    </w:r>
                    <w:r>
                      <w:rPr>
                        <w:rFonts w:hint="eastAsia" w:ascii="仿宋_GB2312" w:cs="宋体"/>
                        <w:b/>
                        <w:color w:val="000000"/>
                        <w:sz w:val="18"/>
                        <w:szCs w:val="18"/>
                      </w:rPr>
                      <w:instrText xml:space="preserve"> PAGE  \* MERGEFORMAT </w:instrText>
                    </w:r>
                    <w:r>
                      <w:rPr>
                        <w:rFonts w:hint="eastAsia" w:ascii="仿宋_GB2312" w:cs="宋体"/>
                        <w:b/>
                        <w:color w:val="000000"/>
                        <w:sz w:val="18"/>
                        <w:szCs w:val="18"/>
                      </w:rPr>
                      <w:fldChar w:fldCharType="separate"/>
                    </w:r>
                    <w:r>
                      <w:rPr>
                        <w:rFonts w:hint="eastAsia" w:ascii="仿宋_GB2312" w:cs="宋体"/>
                        <w:b/>
                        <w:color w:val="000000"/>
                        <w:sz w:val="18"/>
                        <w:szCs w:val="18"/>
                      </w:rPr>
                      <w:t>44</w:t>
                    </w:r>
                    <w:r>
                      <w:rPr>
                        <w:rFonts w:hint="eastAsia" w:ascii="仿宋_GB2312" w:cs="宋体"/>
                        <w:b/>
                        <w:color w:val="000000"/>
                        <w:sz w:val="18"/>
                        <w:szCs w:val="1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仿宋_GB2312" w:cs="宋体"/>
        <w:b/>
        <w:color w:val="000000"/>
        <w:sz w:val="18"/>
        <w:szCs w:val="18"/>
      </w:rPr>
    </w:pPr>
    <w:r>
      <w:rPr>
        <w:rFonts w:ascii="仿宋_GB2312" w:cs="宋体"/>
        <w:b/>
        <w:color w:val="000000"/>
        <w:sz w:val="18"/>
        <w:szCs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left"/>
                            <w:rPr>
                              <w:rFonts w:ascii="仿宋_GB2312" w:cs="宋体"/>
                              <w:b/>
                              <w:color w:val="000000"/>
                              <w:sz w:val="18"/>
                              <w:szCs w:val="18"/>
                            </w:rPr>
                          </w:pPr>
                          <w:r>
                            <w:rPr>
                              <w:rFonts w:hint="eastAsia" w:ascii="仿宋_GB2312" w:cs="宋体"/>
                              <w:b/>
                              <w:color w:val="000000"/>
                              <w:sz w:val="18"/>
                              <w:szCs w:val="18"/>
                            </w:rPr>
                            <w:fldChar w:fldCharType="begin"/>
                          </w:r>
                          <w:r>
                            <w:rPr>
                              <w:rFonts w:hint="eastAsia" w:ascii="仿宋_GB2312" w:cs="宋体"/>
                              <w:b/>
                              <w:color w:val="000000"/>
                              <w:sz w:val="18"/>
                              <w:szCs w:val="18"/>
                            </w:rPr>
                            <w:instrText xml:space="preserve"> PAGE  \* MERGEFORMAT </w:instrText>
                          </w:r>
                          <w:r>
                            <w:rPr>
                              <w:rFonts w:hint="eastAsia" w:ascii="仿宋_GB2312" w:cs="宋体"/>
                              <w:b/>
                              <w:color w:val="000000"/>
                              <w:sz w:val="18"/>
                              <w:szCs w:val="18"/>
                            </w:rPr>
                            <w:fldChar w:fldCharType="separate"/>
                          </w:r>
                          <w:r>
                            <w:rPr>
                              <w:rFonts w:hint="eastAsia" w:ascii="仿宋_GB2312" w:cs="宋体"/>
                              <w:b/>
                              <w:color w:val="000000"/>
                              <w:sz w:val="18"/>
                              <w:szCs w:val="18"/>
                            </w:rPr>
                            <w:t>1</w:t>
                          </w:r>
                          <w:r>
                            <w:rPr>
                              <w:rFonts w:hint="eastAsia" w:ascii="仿宋_GB2312" w:cs="宋体"/>
                              <w:b/>
                              <w:color w:val="000000"/>
                              <w:sz w:val="18"/>
                              <w:szCs w:val="18"/>
                            </w:rPr>
                            <w:fldChar w:fldCharType="end"/>
                          </w:r>
                        </w:p>
                      </w:txbxContent>
                    </wps:txbx>
                    <wps:bodyPr wrap="none" lIns="0" tIns="0" rIns="0" bIns="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iTqf0wwEAAI8DAAAOAAAAAAAAAAEAIAAAAB4BAABkcnMvZTJvRG9jLnhtbFBL&#10;BQYAAAAABgAGAFkBAABTBQAAAAA=&#10;">
              <v:fill on="f" focussize="0,0"/>
              <v:stroke on="f"/>
              <v:imagedata o:title=""/>
              <o:lock v:ext="edit" aspectratio="f"/>
              <v:textbox inset="0mm,0mm,0mm,0mm" style="mso-fit-shape-to-text:t;">
                <w:txbxContent>
                  <w:p>
                    <w:pPr>
                      <w:jc w:val="left"/>
                      <w:rPr>
                        <w:rFonts w:ascii="仿宋_GB2312" w:cs="宋体"/>
                        <w:b/>
                        <w:color w:val="000000"/>
                        <w:sz w:val="18"/>
                        <w:szCs w:val="18"/>
                      </w:rPr>
                    </w:pPr>
                    <w:r>
                      <w:rPr>
                        <w:rFonts w:hint="eastAsia" w:ascii="仿宋_GB2312" w:cs="宋体"/>
                        <w:b/>
                        <w:color w:val="000000"/>
                        <w:sz w:val="18"/>
                        <w:szCs w:val="18"/>
                      </w:rPr>
                      <w:fldChar w:fldCharType="begin"/>
                    </w:r>
                    <w:r>
                      <w:rPr>
                        <w:rFonts w:hint="eastAsia" w:ascii="仿宋_GB2312" w:cs="宋体"/>
                        <w:b/>
                        <w:color w:val="000000"/>
                        <w:sz w:val="18"/>
                        <w:szCs w:val="18"/>
                      </w:rPr>
                      <w:instrText xml:space="preserve"> PAGE  \* MERGEFORMAT </w:instrText>
                    </w:r>
                    <w:r>
                      <w:rPr>
                        <w:rFonts w:hint="eastAsia" w:ascii="仿宋_GB2312" w:cs="宋体"/>
                        <w:b/>
                        <w:color w:val="000000"/>
                        <w:sz w:val="18"/>
                        <w:szCs w:val="18"/>
                      </w:rPr>
                      <w:fldChar w:fldCharType="separate"/>
                    </w:r>
                    <w:r>
                      <w:rPr>
                        <w:rFonts w:hint="eastAsia" w:ascii="仿宋_GB2312" w:cs="宋体"/>
                        <w:b/>
                        <w:color w:val="000000"/>
                        <w:sz w:val="18"/>
                        <w:szCs w:val="18"/>
                      </w:rPr>
                      <w:t>1</w:t>
                    </w:r>
                    <w:r>
                      <w:rPr>
                        <w:rFonts w:hint="eastAsia" w:ascii="仿宋_GB2312" w:cs="宋体"/>
                        <w:b/>
                        <w:color w:val="000000"/>
                        <w:sz w:val="18"/>
                        <w:szCs w:val="1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65</w:t>
                          </w:r>
                          <w:r>
                            <w:rPr>
                              <w:rFonts w:hint="eastAsia"/>
                              <w:sz w:val="18"/>
                            </w:rPr>
                            <w:fldChar w:fldCharType="end"/>
                          </w:r>
                        </w:p>
                      </w:txbxContent>
                    </wps:txbx>
                    <wps:bodyPr wrap="none" lIns="0" tIns="0" rIns="0" bIns="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aCy/UdABAAClAwAADgAAAAAAAAABACAAAAAeAQAAZHJz&#10;L2Uyb0RvYy54bWxQSwUGAAAAAAYABgBZAQAAY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65</w:t>
                    </w:r>
                    <w:r>
                      <w:rPr>
                        <w:rFonts w:hint="eastAsia"/>
                        <w:sz w:val="18"/>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57</w:t>
                          </w:r>
                          <w:r>
                            <w:rPr>
                              <w:rFonts w:hint="eastAsia"/>
                              <w:sz w:val="18"/>
                            </w:rP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OyqLoPRAQAApQMAAA4AAAAAAAAAAQAgAAAAHg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57</w:t>
                    </w:r>
                    <w:r>
                      <w:rPr>
                        <w:rFonts w:hint="eastAsia"/>
                        <w:sz w:val="1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70</w:t>
                          </w:r>
                          <w:r>
                            <w:rPr>
                              <w:rFonts w:hint="eastAsia"/>
                              <w:sz w:val="18"/>
                            </w:rP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NMqUq0gEAAKYDAAAOAAAAAAAAAAEAIAAAAB4BAABk&#10;cnMvZTJvRG9jLnhtbFBLBQYAAAAABgAGAFkBAABi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70</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仿宋_GB2312" w:cs="宋体"/>
        <w:b/>
        <w:color w:val="000000"/>
        <w:sz w:val="18"/>
        <w:szCs w:val="18"/>
      </w:rPr>
    </w:pPr>
    <w:r>
      <w:rPr>
        <w:rFonts w:ascii="仿宋_GB2312" w:cs="宋体"/>
        <w:b/>
        <w:color w:val="000000"/>
        <w:sz w:val="18"/>
        <w:szCs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left"/>
                            <w:rPr>
                              <w:rStyle w:val="42"/>
                              <w:rFonts w:ascii="仿宋_GB2312" w:cs="宋体"/>
                              <w:b/>
                              <w:color w:val="000000"/>
                              <w:sz w:val="18"/>
                              <w:szCs w:val="18"/>
                            </w:rPr>
                          </w:pPr>
                          <w:r>
                            <w:rPr>
                              <w:rFonts w:ascii="仿宋_GB2312" w:cs="宋体"/>
                              <w:b/>
                              <w:color w:val="000000"/>
                              <w:sz w:val="18"/>
                              <w:szCs w:val="18"/>
                            </w:rPr>
                            <w:fldChar w:fldCharType="begin"/>
                          </w:r>
                          <w:r>
                            <w:rPr>
                              <w:rStyle w:val="42"/>
                              <w:b/>
                              <w:color w:val="000000"/>
                              <w:sz w:val="18"/>
                              <w:szCs w:val="18"/>
                            </w:rPr>
                            <w:instrText xml:space="preserve">PAGE  </w:instrText>
                          </w:r>
                          <w:r>
                            <w:rPr>
                              <w:rFonts w:ascii="仿宋_GB2312" w:cs="宋体"/>
                              <w:b/>
                              <w:color w:val="000000"/>
                              <w:sz w:val="18"/>
                              <w:szCs w:val="18"/>
                            </w:rPr>
                            <w:fldChar w:fldCharType="separate"/>
                          </w:r>
                          <w:r>
                            <w:rPr>
                              <w:rStyle w:val="42"/>
                              <w:b/>
                              <w:color w:val="000000"/>
                              <w:sz w:val="18"/>
                              <w:szCs w:val="18"/>
                            </w:rPr>
                            <w:t>6</w:t>
                          </w:r>
                          <w:r>
                            <w:rPr>
                              <w:rFonts w:ascii="仿宋_GB2312" w:cs="宋体"/>
                              <w:b/>
                              <w:color w:val="000000"/>
                              <w:sz w:val="18"/>
                              <w:szCs w:val="18"/>
                            </w:rPr>
                            <w:fldChar w:fldCharType="end"/>
                          </w:r>
                        </w:p>
                      </w:txbxContent>
                    </wps:txbx>
                    <wps:bodyPr wrap="none" lIns="0" tIns="0" rIns="0" bIns="0">
                      <a:spAutoFit/>
                    </wps:bodyPr>
                  </wps:wsp>
                </a:graphicData>
              </a:graphic>
            </wp:anchor>
          </w:drawing>
        </mc:Choice>
        <mc:Fallback>
          <w:pict>
            <v:shape id="文本框 205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hi2NcQBAACR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3iJtxQ4rjFiV9+fL/8/H359Y2s&#10;qtfLLFEfoMbM+4C5aXjrB0yf/YDOzHxQ0eYvciIYR4HPV4HlkIjIj9ar9brCkMDYfEF89vA8REjv&#10;pLckGw2NOMEiLD99gDSmzim5mvN32pgyReP+ciBm9rDc+9hjttKwHyZCe9+ekU+Pw2+ow12nxLx3&#10;qG3ek9mIs7GfjFwDwptjwsKln4w6Qk3FcFKF0bRVeRUe30vWw5+0/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5hi2NcQBAACRAwAADgAAAAAAAAABACAAAAAeAQAAZHJzL2Uyb0RvYy54bWxQ&#10;SwUGAAAAAAYABgBZAQAAVAUAAAAA&#10;">
              <v:fill on="f" focussize="0,0"/>
              <v:stroke on="f"/>
              <v:imagedata o:title=""/>
              <o:lock v:ext="edit" aspectratio="f"/>
              <v:textbox inset="0mm,0mm,0mm,0mm" style="mso-fit-shape-to-text:t;">
                <w:txbxContent>
                  <w:p>
                    <w:pPr>
                      <w:jc w:val="left"/>
                      <w:rPr>
                        <w:rStyle w:val="42"/>
                        <w:rFonts w:ascii="仿宋_GB2312" w:cs="宋体"/>
                        <w:b/>
                        <w:color w:val="000000"/>
                        <w:sz w:val="18"/>
                        <w:szCs w:val="18"/>
                      </w:rPr>
                    </w:pPr>
                    <w:r>
                      <w:rPr>
                        <w:rFonts w:ascii="仿宋_GB2312" w:cs="宋体"/>
                        <w:b/>
                        <w:color w:val="000000"/>
                        <w:sz w:val="18"/>
                        <w:szCs w:val="18"/>
                      </w:rPr>
                      <w:fldChar w:fldCharType="begin"/>
                    </w:r>
                    <w:r>
                      <w:rPr>
                        <w:rStyle w:val="42"/>
                        <w:b/>
                        <w:color w:val="000000"/>
                        <w:sz w:val="18"/>
                        <w:szCs w:val="18"/>
                      </w:rPr>
                      <w:instrText xml:space="preserve">PAGE  </w:instrText>
                    </w:r>
                    <w:r>
                      <w:rPr>
                        <w:rFonts w:ascii="仿宋_GB2312" w:cs="宋体"/>
                        <w:b/>
                        <w:color w:val="000000"/>
                        <w:sz w:val="18"/>
                        <w:szCs w:val="18"/>
                      </w:rPr>
                      <w:fldChar w:fldCharType="separate"/>
                    </w:r>
                    <w:r>
                      <w:rPr>
                        <w:rStyle w:val="42"/>
                        <w:b/>
                        <w:color w:val="000000"/>
                        <w:sz w:val="18"/>
                        <w:szCs w:val="18"/>
                      </w:rPr>
                      <w:t>6</w:t>
                    </w:r>
                    <w:r>
                      <w:rPr>
                        <w:rFonts w:ascii="仿宋_GB2312" w:cs="宋体"/>
                        <w:b/>
                        <w:color w:val="000000"/>
                        <w:sz w:val="18"/>
                        <w:szCs w:val="18"/>
                      </w:rPr>
                      <w:fldChar w:fldCharType="end"/>
                    </w:r>
                  </w:p>
                </w:txbxContent>
              </v:textbox>
            </v:shape>
          </w:pict>
        </mc:Fallback>
      </mc:AlternateContent>
    </w:r>
  </w:p>
  <w:p>
    <w:pPr>
      <w:rPr>
        <w:rFonts w:ascii="仿宋_GB2312" w:cs="宋体"/>
        <w:b/>
        <w:color w:val="000000"/>
        <w:kern w:val="0"/>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_GB2312" w:cs="宋体"/>
        <w:b/>
        <w:color w:val="000000"/>
        <w:sz w:val="18"/>
        <w:szCs w:val="18"/>
      </w:rPr>
    </w:pPr>
    <w:r>
      <w:rPr>
        <w:rFonts w:ascii="仿宋_GB2312" w:cs="宋体"/>
        <w:b/>
        <w:color w:val="000000"/>
        <w:sz w:val="18"/>
        <w:szCs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2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仿宋_GB2312" w:cs="宋体"/>
                              <w:b/>
                              <w:color w:val="000000"/>
                              <w:kern w:val="0"/>
                              <w:sz w:val="18"/>
                              <w:szCs w:val="21"/>
                            </w:rPr>
                          </w:pPr>
                          <w:r>
                            <w:rPr>
                              <w:rFonts w:hint="eastAsia" w:ascii="仿宋_GB2312" w:cs="宋体"/>
                              <w:b/>
                              <w:color w:val="000000"/>
                              <w:kern w:val="0"/>
                              <w:sz w:val="18"/>
                              <w:szCs w:val="21"/>
                            </w:rPr>
                            <w:fldChar w:fldCharType="begin"/>
                          </w:r>
                          <w:r>
                            <w:rPr>
                              <w:rFonts w:hint="eastAsia" w:ascii="仿宋_GB2312" w:cs="宋体"/>
                              <w:b/>
                              <w:color w:val="000000"/>
                              <w:kern w:val="0"/>
                              <w:sz w:val="18"/>
                              <w:szCs w:val="21"/>
                            </w:rPr>
                            <w:instrText xml:space="preserve"> PAGE  \* MERGEFORMAT </w:instrText>
                          </w:r>
                          <w:r>
                            <w:rPr>
                              <w:rFonts w:hint="eastAsia" w:ascii="仿宋_GB2312" w:cs="宋体"/>
                              <w:b/>
                              <w:color w:val="000000"/>
                              <w:kern w:val="0"/>
                              <w:sz w:val="18"/>
                              <w:szCs w:val="21"/>
                            </w:rPr>
                            <w:fldChar w:fldCharType="separate"/>
                          </w:r>
                          <w:r>
                            <w:rPr>
                              <w:rFonts w:ascii="仿宋_GB2312" w:cs="宋体"/>
                              <w:b/>
                              <w:color w:val="000000"/>
                              <w:kern w:val="0"/>
                              <w:sz w:val="18"/>
                              <w:szCs w:val="21"/>
                            </w:rPr>
                            <w:t>2</w:t>
                          </w:r>
                          <w:r>
                            <w:rPr>
                              <w:rFonts w:hint="eastAsia" w:ascii="仿宋_GB2312" w:cs="宋体"/>
                              <w:b/>
                              <w:color w:val="000000"/>
                              <w:kern w:val="0"/>
                              <w:sz w:val="18"/>
                              <w:szCs w:val="21"/>
                            </w:rPr>
                            <w:fldChar w:fldCharType="end"/>
                          </w:r>
                        </w:p>
                      </w:txbxContent>
                    </wps:txbx>
                    <wps:bodyPr wrap="none" lIns="0" tIns="0" rIns="0" bIns="0">
                      <a:spAutoFit/>
                    </wps:bodyPr>
                  </wps:wsp>
                </a:graphicData>
              </a:graphic>
            </wp:anchor>
          </w:drawing>
        </mc:Choice>
        <mc:Fallback>
          <w:pict>
            <v:shape id="文本框 2052"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VV6sQBAACRAwAADgAAAAAAAAABACAAAAAeAQAAZHJzL2Uyb0RvYy54bWxQ&#10;SwUGAAAAAAYABgBZAQAAVAUAAAAA&#10;">
              <v:fill on="f" focussize="0,0"/>
              <v:stroke on="f"/>
              <v:imagedata o:title=""/>
              <o:lock v:ext="edit" aspectratio="f"/>
              <v:textbox inset="0mm,0mm,0mm,0mm" style="mso-fit-shape-to-text:t;">
                <w:txbxContent>
                  <w:p>
                    <w:pPr>
                      <w:snapToGrid w:val="0"/>
                      <w:rPr>
                        <w:rFonts w:ascii="仿宋_GB2312" w:cs="宋体"/>
                        <w:b/>
                        <w:color w:val="000000"/>
                        <w:kern w:val="0"/>
                        <w:sz w:val="18"/>
                        <w:szCs w:val="21"/>
                      </w:rPr>
                    </w:pPr>
                    <w:r>
                      <w:rPr>
                        <w:rFonts w:hint="eastAsia" w:ascii="仿宋_GB2312" w:cs="宋体"/>
                        <w:b/>
                        <w:color w:val="000000"/>
                        <w:kern w:val="0"/>
                        <w:sz w:val="18"/>
                        <w:szCs w:val="21"/>
                      </w:rPr>
                      <w:fldChar w:fldCharType="begin"/>
                    </w:r>
                    <w:r>
                      <w:rPr>
                        <w:rFonts w:hint="eastAsia" w:ascii="仿宋_GB2312" w:cs="宋体"/>
                        <w:b/>
                        <w:color w:val="000000"/>
                        <w:kern w:val="0"/>
                        <w:sz w:val="18"/>
                        <w:szCs w:val="21"/>
                      </w:rPr>
                      <w:instrText xml:space="preserve"> PAGE  \* MERGEFORMAT </w:instrText>
                    </w:r>
                    <w:r>
                      <w:rPr>
                        <w:rFonts w:hint="eastAsia" w:ascii="仿宋_GB2312" w:cs="宋体"/>
                        <w:b/>
                        <w:color w:val="000000"/>
                        <w:kern w:val="0"/>
                        <w:sz w:val="18"/>
                        <w:szCs w:val="21"/>
                      </w:rPr>
                      <w:fldChar w:fldCharType="separate"/>
                    </w:r>
                    <w:r>
                      <w:rPr>
                        <w:rFonts w:ascii="仿宋_GB2312" w:cs="宋体"/>
                        <w:b/>
                        <w:color w:val="000000"/>
                        <w:kern w:val="0"/>
                        <w:sz w:val="18"/>
                        <w:szCs w:val="21"/>
                      </w:rPr>
                      <w:t>2</w:t>
                    </w:r>
                    <w:r>
                      <w:rPr>
                        <w:rFonts w:hint="eastAsia" w:ascii="仿宋_GB2312" w:cs="宋体"/>
                        <w:b/>
                        <w:color w:val="000000"/>
                        <w:kern w:val="0"/>
                        <w:sz w:val="18"/>
                        <w:szCs w:val="21"/>
                      </w:rPr>
                      <w:fldChar w:fldCharType="end"/>
                    </w:r>
                  </w:p>
                </w:txbxContent>
              </v:textbox>
            </v:shape>
          </w:pict>
        </mc:Fallback>
      </mc:AlternateContent>
    </w:r>
  </w:p>
  <w:p>
    <w:pPr>
      <w:rPr>
        <w:rFonts w:ascii="仿宋_GB2312" w:cs="宋体"/>
        <w:b/>
        <w:color w:val="000000"/>
        <w:kern w:val="0"/>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b/>
        <w:color w:val="000000"/>
        <w:sz w:val="18"/>
        <w:szCs w:val="18"/>
      </w:rPr>
    </w:pPr>
    <w:r>
      <w:rPr>
        <w:b/>
        <w:color w:val="000000"/>
        <w:sz w:val="18"/>
        <w:szCs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left"/>
                            <w:rPr>
                              <w:b/>
                              <w:color w:val="000000"/>
                              <w:sz w:val="18"/>
                              <w:szCs w:val="18"/>
                            </w:rPr>
                          </w:pPr>
                          <w:r>
                            <w:rPr>
                              <w:b/>
                              <w:color w:val="000000"/>
                              <w:sz w:val="18"/>
                              <w:szCs w:val="18"/>
                            </w:rPr>
                            <w:fldChar w:fldCharType="begin"/>
                          </w:r>
                          <w:r>
                            <w:rPr>
                              <w:rFonts w:ascii="宋体"/>
                              <w:b/>
                              <w:color w:val="000000"/>
                              <w:sz w:val="18"/>
                              <w:szCs w:val="18"/>
                            </w:rPr>
                            <w:instrText xml:space="preserve">PAGE  </w:instrText>
                          </w:r>
                          <w:r>
                            <w:rPr>
                              <w:b/>
                              <w:color w:val="000000"/>
                              <w:sz w:val="18"/>
                              <w:szCs w:val="18"/>
                            </w:rPr>
                            <w:fldChar w:fldCharType="separate"/>
                          </w:r>
                          <w:r>
                            <w:rPr>
                              <w:rFonts w:ascii="宋体"/>
                              <w:b/>
                              <w:color w:val="000000"/>
                              <w:sz w:val="18"/>
                              <w:szCs w:val="18"/>
                            </w:rPr>
                            <w:t>60</w:t>
                          </w:r>
                          <w:r>
                            <w:rPr>
                              <w:b/>
                              <w:color w:val="000000"/>
                              <w:sz w:val="18"/>
                              <w:szCs w:val="18"/>
                            </w:rPr>
                            <w:fldChar w:fldCharType="end"/>
                          </w:r>
                        </w:p>
                      </w:txbxContent>
                    </wps:txbx>
                    <wps:bodyPr wrap="none" lIns="0" tIns="0" rIns="0" bIns="0">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Fy3CL/CAQAAjwMAAA4AAAAAAAAAAQAgAAAAHgEAAGRycy9lMm9Eb2MueG1sUEsF&#10;BgAAAAAGAAYAWQEAAFIFAAAAAA==&#10;">
              <v:fill on="f" focussize="0,0"/>
              <v:stroke on="f"/>
              <v:imagedata o:title=""/>
              <o:lock v:ext="edit" aspectratio="f"/>
              <v:textbox inset="0mm,0mm,0mm,0mm" style="mso-fit-shape-to-text:t;">
                <w:txbxContent>
                  <w:p>
                    <w:pPr>
                      <w:snapToGrid w:val="0"/>
                      <w:jc w:val="left"/>
                      <w:rPr>
                        <w:b/>
                        <w:color w:val="000000"/>
                        <w:sz w:val="18"/>
                        <w:szCs w:val="18"/>
                      </w:rPr>
                    </w:pPr>
                    <w:r>
                      <w:rPr>
                        <w:b/>
                        <w:color w:val="000000"/>
                        <w:sz w:val="18"/>
                        <w:szCs w:val="18"/>
                      </w:rPr>
                      <w:fldChar w:fldCharType="begin"/>
                    </w:r>
                    <w:r>
                      <w:rPr>
                        <w:rFonts w:ascii="宋体"/>
                        <w:b/>
                        <w:color w:val="000000"/>
                        <w:sz w:val="18"/>
                        <w:szCs w:val="18"/>
                      </w:rPr>
                      <w:instrText xml:space="preserve">PAGE  </w:instrText>
                    </w:r>
                    <w:r>
                      <w:rPr>
                        <w:b/>
                        <w:color w:val="000000"/>
                        <w:sz w:val="18"/>
                        <w:szCs w:val="18"/>
                      </w:rPr>
                      <w:fldChar w:fldCharType="separate"/>
                    </w:r>
                    <w:r>
                      <w:rPr>
                        <w:rFonts w:ascii="宋体"/>
                        <w:b/>
                        <w:color w:val="000000"/>
                        <w:sz w:val="18"/>
                        <w:szCs w:val="18"/>
                      </w:rPr>
                      <w:t>60</w:t>
                    </w:r>
                    <w:r>
                      <w:rPr>
                        <w:b/>
                        <w:color w:val="000000"/>
                        <w:sz w:val="18"/>
                        <w:szCs w:val="18"/>
                      </w:rPr>
                      <w:fldChar w:fldCharType="end"/>
                    </w:r>
                  </w:p>
                </w:txbxContent>
              </v:textbox>
            </v:shape>
          </w:pict>
        </mc:Fallback>
      </mc:AlternateContent>
    </w:r>
    <w:r>
      <w:rPr>
        <w:b/>
        <w:color w:val="000000"/>
        <w:sz w:val="18"/>
        <w:szCs w:val="18"/>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-35560</wp:posOffset>
              </wp:positionV>
              <wp:extent cx="5934075" cy="0"/>
              <wp:effectExtent l="0" t="0" r="0" b="0"/>
              <wp:wrapNone/>
              <wp:docPr id="18" name="直线 31"/>
              <wp:cNvGraphicFramePr/>
              <a:graphic xmlns:a="http://schemas.openxmlformats.org/drawingml/2006/main">
                <a:graphicData uri="http://schemas.microsoft.com/office/word/2010/wordprocessingShape">
                  <wps:wsp>
                    <wps:cNvCnPr/>
                    <wps:spPr>
                      <a:xfrm flipH="1">
                        <a:off x="0" y="0"/>
                        <a:ext cx="59340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1" o:spid="_x0000_s1026" o:spt="20" style="position:absolute;left:0pt;flip:x;margin-left:5.25pt;margin-top:-2.8pt;height:0pt;width:467.25pt;z-index:251665408;mso-width-relative:page;mso-height-relative:page;" filled="f" stroked="t" coordsize="21600,21600" o:gfxdata="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eYc1PVAAAA&#10;CAEAAA8AAAAAAAAAAQAgAAAAIgAAAGRycy9kb3ducmV2LnhtbFBLAQIUABQAAAAIAIdO4kDDc2O/&#10;5wEAANsDAAAOAAAAAAAAAAEAIAAAACQBAABkcnMvZTJvRG9jLnhtbFBLBQYAAAAABgAGAFkBAAB9&#10;BQAAAAA=&#10;">
              <v:fill on="f" focussize="0,0"/>
              <v:stroke color="#000000" joinstyle="round"/>
              <v:imagedata o:title=""/>
              <o:lock v:ext="edit" aspectratio="f"/>
            </v:line>
          </w:pict>
        </mc:Fallback>
      </mc:AlternateContent>
    </w:r>
    <w:r>
      <w:rPr>
        <w:rFonts w:hint="eastAsia"/>
        <w:b/>
        <w:color w:val="000000"/>
        <w:sz w:val="18"/>
        <w:szCs w:val="18"/>
      </w:rPr>
      <w:t>浙江名进建设项目管理有限公司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b/>
        <w:color w:val="000000"/>
        <w:sz w:val="18"/>
        <w:szCs w:val="18"/>
      </w:rPr>
    </w:pPr>
    <w:r>
      <w:rPr>
        <w:b/>
        <w:color w:val="000000"/>
        <w:sz w:val="18"/>
        <w:szCs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left"/>
                            <w:rPr>
                              <w:b/>
                              <w:color w:val="000000"/>
                              <w:sz w:val="18"/>
                              <w:szCs w:val="18"/>
                            </w:rPr>
                          </w:pPr>
                          <w:r>
                            <w:rPr>
                              <w:b/>
                              <w:color w:val="000000"/>
                              <w:sz w:val="18"/>
                              <w:szCs w:val="18"/>
                            </w:rPr>
                            <w:fldChar w:fldCharType="begin"/>
                          </w:r>
                          <w:r>
                            <w:rPr>
                              <w:rFonts w:ascii="宋体"/>
                              <w:b/>
                              <w:color w:val="000000"/>
                              <w:sz w:val="18"/>
                              <w:szCs w:val="18"/>
                            </w:rPr>
                            <w:instrText xml:space="preserve">PAGE  </w:instrText>
                          </w:r>
                          <w:r>
                            <w:rPr>
                              <w:b/>
                              <w:color w:val="000000"/>
                              <w:sz w:val="18"/>
                              <w:szCs w:val="18"/>
                            </w:rPr>
                            <w:fldChar w:fldCharType="separate"/>
                          </w:r>
                          <w:r>
                            <w:rPr>
                              <w:rFonts w:ascii="宋体"/>
                              <w:b/>
                              <w:color w:val="000000"/>
                              <w:sz w:val="18"/>
                              <w:szCs w:val="18"/>
                            </w:rPr>
                            <w:t>3</w:t>
                          </w:r>
                          <w:r>
                            <w:rPr>
                              <w:b/>
                              <w:color w:val="000000"/>
                              <w:sz w:val="18"/>
                              <w:szCs w:val="18"/>
                            </w:rPr>
                            <w:fldChar w:fldCharType="end"/>
                          </w:r>
                        </w:p>
                      </w:txbxContent>
                    </wps:txbx>
                    <wps:bodyPr wrap="none" lIns="0" tIns="0" rIns="0" bIns="0">
                      <a:spAutoFit/>
                    </wps:bodyPr>
                  </wps:wsp>
                </a:graphicData>
              </a:graphic>
            </wp:anchor>
          </w:drawing>
        </mc:Choice>
        <mc:Fallback>
          <w:pict>
            <v:shape id="文本框 32"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MhS1sMBAACP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9TIL1AeoMe82YGYa3vsBk2c/oDPzHlS0+YuMCMZR3tNFXjkkIvKj1XK1qjAkMDZfEJ/dPw8R0gfp&#10;LclGQyPOr8jKj58gjalzSq7m/I02pszQuP8ciJk9LPc+9pitNOyGidDOtyfk0+PoG+pw0ykxHx0q&#10;m7dkNuJs7CYj14Dw7pCwcOkno45QUzGcU2E07VRehH/vJev+P9r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QyFLWwwEAAI8DAAAOAAAAAAAAAAEAIAAAAB4BAABkcnMvZTJvRG9jLnhtbFBL&#10;BQYAAAAABgAGAFkBAABTBQAAAAA=&#10;">
              <v:fill on="f" focussize="0,0"/>
              <v:stroke on="f"/>
              <v:imagedata o:title=""/>
              <o:lock v:ext="edit" aspectratio="f"/>
              <v:textbox inset="0mm,0mm,0mm,0mm" style="mso-fit-shape-to-text:t;">
                <w:txbxContent>
                  <w:p>
                    <w:pPr>
                      <w:snapToGrid w:val="0"/>
                      <w:jc w:val="left"/>
                      <w:rPr>
                        <w:b/>
                        <w:color w:val="000000"/>
                        <w:sz w:val="18"/>
                        <w:szCs w:val="18"/>
                      </w:rPr>
                    </w:pPr>
                    <w:r>
                      <w:rPr>
                        <w:b/>
                        <w:color w:val="000000"/>
                        <w:sz w:val="18"/>
                        <w:szCs w:val="18"/>
                      </w:rPr>
                      <w:fldChar w:fldCharType="begin"/>
                    </w:r>
                    <w:r>
                      <w:rPr>
                        <w:rFonts w:ascii="宋体"/>
                        <w:b/>
                        <w:color w:val="000000"/>
                        <w:sz w:val="18"/>
                        <w:szCs w:val="18"/>
                      </w:rPr>
                      <w:instrText xml:space="preserve">PAGE  </w:instrText>
                    </w:r>
                    <w:r>
                      <w:rPr>
                        <w:b/>
                        <w:color w:val="000000"/>
                        <w:sz w:val="18"/>
                        <w:szCs w:val="18"/>
                      </w:rPr>
                      <w:fldChar w:fldCharType="separate"/>
                    </w:r>
                    <w:r>
                      <w:rPr>
                        <w:rFonts w:ascii="宋体"/>
                        <w:b/>
                        <w:color w:val="000000"/>
                        <w:sz w:val="18"/>
                        <w:szCs w:val="18"/>
                      </w:rPr>
                      <w:t>3</w:t>
                    </w:r>
                    <w:r>
                      <w:rPr>
                        <w:b/>
                        <w:color w:val="000000"/>
                        <w:sz w:val="18"/>
                        <w:szCs w:val="18"/>
                      </w:rPr>
                      <w:fldChar w:fldCharType="end"/>
                    </w:r>
                  </w:p>
                </w:txbxContent>
              </v:textbox>
            </v:shape>
          </w:pict>
        </mc:Fallback>
      </mc:AlternateContent>
    </w:r>
    <w:r>
      <w:rPr>
        <w:b/>
        <w:color w:val="000000"/>
        <w:sz w:val="18"/>
        <w:szCs w:val="18"/>
      </w:rPr>
      <mc:AlternateContent>
        <mc:Choice Requires="wps">
          <w:drawing>
            <wp:anchor distT="0" distB="0" distL="114300" distR="114300" simplePos="0" relativeHeight="251669504" behindDoc="0" locked="0" layoutInCell="1" allowOverlap="1">
              <wp:simplePos x="0" y="0"/>
              <wp:positionH relativeFrom="column">
                <wp:posOffset>66675</wp:posOffset>
              </wp:positionH>
              <wp:positionV relativeFrom="paragraph">
                <wp:posOffset>-35560</wp:posOffset>
              </wp:positionV>
              <wp:extent cx="5934075" cy="0"/>
              <wp:effectExtent l="0" t="0" r="0" b="0"/>
              <wp:wrapNone/>
              <wp:docPr id="20" name="直线 33"/>
              <wp:cNvGraphicFramePr/>
              <a:graphic xmlns:a="http://schemas.openxmlformats.org/drawingml/2006/main">
                <a:graphicData uri="http://schemas.microsoft.com/office/word/2010/wordprocessingShape">
                  <wps:wsp>
                    <wps:cNvCnPr/>
                    <wps:spPr>
                      <a:xfrm flipH="1">
                        <a:off x="0" y="0"/>
                        <a:ext cx="59340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3" o:spid="_x0000_s1026" o:spt="20" style="position:absolute;left:0pt;flip:x;margin-left:5.25pt;margin-top:-2.8pt;height:0pt;width:467.25pt;z-index:251669504;mso-width-relative:page;mso-height-relative:page;" filled="f" stroked="t" coordsize="21600,21600" o:gfxdata="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mHNT1QAA&#10;AAgBAAAPAAAAAAAAAAEAIAAAACIAAABkcnMvZG93bnJldi54bWxQSwECFAAUAAAACACHTuJAOPRO&#10;wOgBAADbAwAADgAAAAAAAAABACAAAAAkAQAAZHJzL2Uyb0RvYy54bWxQSwUGAAAAAAYABgBZAQAA&#10;fgUAAAAA&#10;">
              <v:fill on="f" focussize="0,0"/>
              <v:stroke color="#000000" joinstyle="round"/>
              <v:imagedata o:title=""/>
              <o:lock v:ext="edit" aspectratio="f"/>
            </v:line>
          </w:pict>
        </mc:Fallback>
      </mc:AlternateContent>
    </w:r>
    <w:r>
      <w:rPr>
        <w:rFonts w:hint="eastAsia"/>
        <w:b/>
        <w:color w:val="000000"/>
        <w:sz w:val="18"/>
        <w:szCs w:val="18"/>
      </w:rPr>
      <w:t>浙江名进建设项目管理有限公司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b/>
        <w:color w:val="000000"/>
        <w:sz w:val="24"/>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仿宋_GB2312" w:cs="宋体"/>
        <w:b/>
        <w:color w:val="000000"/>
        <w:sz w:val="18"/>
        <w:szCs w:val="18"/>
      </w:rPr>
    </w:pPr>
    <w:r>
      <w:rPr>
        <w:rFonts w:ascii="仿宋_GB2312" w:cs="宋体"/>
        <w:b/>
        <w:color w:val="000000"/>
        <w:sz w:val="18"/>
        <w:szCs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ascii="仿宋_GB2312" w:cs="宋体"/>
                              <w:b/>
                              <w:color w:val="000000"/>
                              <w:kern w:val="0"/>
                              <w:sz w:val="18"/>
                              <w:szCs w:val="21"/>
                            </w:rPr>
                          </w:pPr>
                          <w:r>
                            <w:rPr>
                              <w:rFonts w:hint="eastAsia" w:ascii="仿宋_GB2312" w:cs="宋体"/>
                              <w:b/>
                              <w:color w:val="000000"/>
                              <w:kern w:val="0"/>
                              <w:sz w:val="18"/>
                              <w:szCs w:val="21"/>
                            </w:rPr>
                            <w:fldChar w:fldCharType="begin"/>
                          </w:r>
                          <w:r>
                            <w:rPr>
                              <w:rFonts w:hint="eastAsia" w:ascii="仿宋_GB2312" w:cs="宋体"/>
                              <w:b/>
                              <w:color w:val="000000"/>
                              <w:kern w:val="0"/>
                              <w:sz w:val="18"/>
                              <w:szCs w:val="21"/>
                            </w:rPr>
                            <w:instrText xml:space="preserve"> PAGE  \* MERGEFORMAT </w:instrText>
                          </w:r>
                          <w:r>
                            <w:rPr>
                              <w:rFonts w:hint="eastAsia" w:ascii="仿宋_GB2312" w:cs="宋体"/>
                              <w:b/>
                              <w:color w:val="000000"/>
                              <w:kern w:val="0"/>
                              <w:sz w:val="18"/>
                              <w:szCs w:val="21"/>
                            </w:rPr>
                            <w:fldChar w:fldCharType="separate"/>
                          </w:r>
                          <w:r>
                            <w:rPr>
                              <w:rFonts w:ascii="仿宋_GB2312" w:cs="宋体"/>
                              <w:b/>
                              <w:color w:val="000000"/>
                              <w:kern w:val="0"/>
                              <w:sz w:val="18"/>
                              <w:szCs w:val="21"/>
                            </w:rPr>
                            <w:t>- 3 -</w:t>
                          </w:r>
                          <w:r>
                            <w:rPr>
                              <w:rFonts w:hint="eastAsia" w:ascii="仿宋_GB2312" w:cs="宋体"/>
                              <w:b/>
                              <w:color w:val="000000"/>
                              <w:kern w:val="0"/>
                              <w:sz w:val="18"/>
                              <w:szCs w:val="21"/>
                            </w:rPr>
                            <w:fldChar w:fldCharType="end"/>
                          </w:r>
                        </w:p>
                      </w:txbxContent>
                    </wps:txbx>
                    <wps:bodyPr wrap="none" lIns="0" tIns="0" rIns="0" bIns="0">
                      <a:spAutoFit/>
                    </wps:bodyPr>
                  </wps:wsp>
                </a:graphicData>
              </a:graphic>
            </wp:anchor>
          </w:drawing>
        </mc:Choice>
        <mc:Fallback>
          <w:pict>
            <v:shape id="文本框 34"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HpwMHrNAQAAmQMAAA4AAAAAAAAAAQAgAAAAIgEAAGRy&#10;cy9lMm9Eb2MueG1sUEsFBgAAAAAGAAYAWQEAAGEFAAAAAA==&#10;">
              <v:fill on="f" focussize="0,0"/>
              <v:stroke on="f" weight="1.25pt"/>
              <v:imagedata o:title=""/>
              <o:lock v:ext="edit" aspectratio="f"/>
              <v:textbox inset="0mm,0mm,0mm,0mm" style="mso-fit-shape-to-text:t;">
                <w:txbxContent>
                  <w:p>
                    <w:pPr>
                      <w:snapToGrid w:val="0"/>
                      <w:rPr>
                        <w:rFonts w:ascii="仿宋_GB2312" w:cs="宋体"/>
                        <w:b/>
                        <w:color w:val="000000"/>
                        <w:kern w:val="0"/>
                        <w:sz w:val="18"/>
                        <w:szCs w:val="21"/>
                      </w:rPr>
                    </w:pPr>
                    <w:r>
                      <w:rPr>
                        <w:rFonts w:hint="eastAsia" w:ascii="仿宋_GB2312" w:cs="宋体"/>
                        <w:b/>
                        <w:color w:val="000000"/>
                        <w:kern w:val="0"/>
                        <w:sz w:val="18"/>
                        <w:szCs w:val="21"/>
                      </w:rPr>
                      <w:fldChar w:fldCharType="begin"/>
                    </w:r>
                    <w:r>
                      <w:rPr>
                        <w:rFonts w:hint="eastAsia" w:ascii="仿宋_GB2312" w:cs="宋体"/>
                        <w:b/>
                        <w:color w:val="000000"/>
                        <w:kern w:val="0"/>
                        <w:sz w:val="18"/>
                        <w:szCs w:val="21"/>
                      </w:rPr>
                      <w:instrText xml:space="preserve"> PAGE  \* MERGEFORMAT </w:instrText>
                    </w:r>
                    <w:r>
                      <w:rPr>
                        <w:rFonts w:hint="eastAsia" w:ascii="仿宋_GB2312" w:cs="宋体"/>
                        <w:b/>
                        <w:color w:val="000000"/>
                        <w:kern w:val="0"/>
                        <w:sz w:val="18"/>
                        <w:szCs w:val="21"/>
                      </w:rPr>
                      <w:fldChar w:fldCharType="separate"/>
                    </w:r>
                    <w:r>
                      <w:rPr>
                        <w:rFonts w:ascii="仿宋_GB2312" w:cs="宋体"/>
                        <w:b/>
                        <w:color w:val="000000"/>
                        <w:kern w:val="0"/>
                        <w:sz w:val="18"/>
                        <w:szCs w:val="21"/>
                      </w:rPr>
                      <w:t>- 3 -</w:t>
                    </w:r>
                    <w:r>
                      <w:rPr>
                        <w:rFonts w:hint="eastAsia" w:ascii="仿宋_GB2312" w:cs="宋体"/>
                        <w:b/>
                        <w:color w:val="000000"/>
                        <w:kern w:val="0"/>
                        <w:sz w:val="18"/>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仿宋" w:hAnsi="仿宋" w:eastAsia="仿宋" w:cs="仿宋"/>
        <w:b/>
      </w:rPr>
    </w:pPr>
    <w:r>
      <w:rPr>
        <w:rFonts w:hint="eastAsia" w:ascii="仿宋" w:hAnsi="仿宋" w:eastAsia="仿宋" w:cs="仿宋"/>
        <w:b/>
      </w:rPr>
      <w:t>苍南县政府采购招标文件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_GB2312" w:cs="宋体"/>
        <w:b/>
        <w:color w:val="000000"/>
        <w:kern w:val="0"/>
        <w:szCs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楷体" w:hAnsi="楷体" w:eastAsia="楷体"/>
      </w:rPr>
    </w:pPr>
    <w:r>
      <w:rPr>
        <w:rFonts w:hint="eastAsia" w:ascii="楷体" w:hAnsi="楷体" w:eastAsia="楷体"/>
        <w:b/>
      </w:rPr>
      <w:t>苍南县政府采购招标文件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r>
      <w:rPr>
        <w:rFonts w:hint="eastAsia" w:ascii="宋体"/>
        <w:b/>
      </w:rPr>
      <w:t>苍南县政府采购招标文件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jc w:val="center"/>
      <w:rPr>
        <w:rFonts w:ascii="仿宋_GB2312" w:cs="宋体"/>
        <w:b/>
        <w:color w:val="000000"/>
        <w:sz w:val="18"/>
        <w:szCs w:val="18"/>
      </w:rPr>
    </w:pPr>
  </w:p>
  <w:p>
    <w:pPr>
      <w:rPr>
        <w:rFonts w:ascii="仿宋_GB2312" w:cs="宋体"/>
        <w:b/>
        <w:color w:val="000000"/>
        <w:kern w:val="0"/>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hd w:val="clear" w:color="auto" w:fill="FFFFFF"/>
      <w:snapToGrid w:val="0"/>
      <w:rPr>
        <w:b/>
        <w:color w:val="000000"/>
        <w:sz w:val="18"/>
        <w:szCs w:val="18"/>
      </w:rPr>
    </w:pPr>
    <w:r>
      <w:rPr>
        <w:rFonts w:hint="eastAsia"/>
        <w:b/>
        <w:color w:val="000000"/>
        <w:sz w:val="18"/>
        <w:szCs w:val="18"/>
        <w:shd w:val="pct10" w:color="auto" w:fill="FFFFFF"/>
      </w:rPr>
      <w:t>苍南县政府采购招标文件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hd w:val="clear" w:color="auto" w:fill="FFFFFF"/>
      <w:snapToGrid w:val="0"/>
      <w:rPr>
        <w:b/>
        <w:color w:val="000000"/>
        <w:sz w:val="18"/>
        <w:szCs w:val="18"/>
      </w:rPr>
    </w:pPr>
    <w:r>
      <w:rPr>
        <w:rFonts w:hint="eastAsia"/>
        <w:b/>
        <w:color w:val="000000"/>
        <w:sz w:val="18"/>
        <w:szCs w:val="18"/>
        <w:shd w:val="pct10" w:color="auto" w:fill="FFFFFF"/>
      </w:rPr>
      <w:t>苍南县政府采购招标文件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color w:val="000000"/>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rPr>
        <w:rFonts w:ascii="仿宋_GB2312" w:cs="宋体"/>
        <w:b/>
        <w:color w:val="000000"/>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rPr>
        <w:rFonts w:ascii="宋体" w:cs="宋体"/>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5C6FD"/>
    <w:multiLevelType w:val="singleLevel"/>
    <w:tmpl w:val="97C5C6FD"/>
    <w:lvl w:ilvl="0" w:tentative="0">
      <w:start w:val="1"/>
      <w:numFmt w:val="decimal"/>
      <w:suff w:val="nothing"/>
      <w:lvlText w:val="%1、"/>
      <w:lvlJc w:val="left"/>
    </w:lvl>
  </w:abstractNum>
  <w:abstractNum w:abstractNumId="1">
    <w:nsid w:val="63197C64"/>
    <w:multiLevelType w:val="multilevel"/>
    <w:tmpl w:val="63197C64"/>
    <w:lvl w:ilvl="0" w:tentative="0">
      <w:start w:val="1"/>
      <w:numFmt w:val="japaneseCounting"/>
      <w:lvlText w:val="%1、"/>
      <w:lvlJc w:val="left"/>
      <w:pPr>
        <w:ind w:left="910" w:hanging="480"/>
      </w:pPr>
      <w:rPr>
        <w:rFonts w:hint="default"/>
        <w:b/>
      </w:rPr>
    </w:lvl>
    <w:lvl w:ilvl="1" w:tentative="0">
      <w:start w:val="1"/>
      <w:numFmt w:val="lowerLetter"/>
      <w:lvlText w:val="%2)"/>
      <w:lvlJc w:val="left"/>
      <w:pPr>
        <w:ind w:left="1270" w:hanging="420"/>
      </w:pPr>
    </w:lvl>
    <w:lvl w:ilvl="2" w:tentative="0">
      <w:start w:val="1"/>
      <w:numFmt w:val="lowerRoman"/>
      <w:lvlText w:val="%3."/>
      <w:lvlJc w:val="right"/>
      <w:pPr>
        <w:ind w:left="1690" w:hanging="420"/>
      </w:pPr>
    </w:lvl>
    <w:lvl w:ilvl="3" w:tentative="0">
      <w:start w:val="1"/>
      <w:numFmt w:val="decimal"/>
      <w:lvlText w:val="%4."/>
      <w:lvlJc w:val="left"/>
      <w:pPr>
        <w:ind w:left="2110" w:hanging="420"/>
      </w:pPr>
    </w:lvl>
    <w:lvl w:ilvl="4" w:tentative="0">
      <w:start w:val="1"/>
      <w:numFmt w:val="lowerLetter"/>
      <w:lvlText w:val="%5)"/>
      <w:lvlJc w:val="left"/>
      <w:pPr>
        <w:ind w:left="2530" w:hanging="420"/>
      </w:pPr>
    </w:lvl>
    <w:lvl w:ilvl="5" w:tentative="0">
      <w:start w:val="1"/>
      <w:numFmt w:val="lowerRoman"/>
      <w:pStyle w:val="10"/>
      <w:lvlText w:val="%6."/>
      <w:lvlJc w:val="right"/>
      <w:pPr>
        <w:ind w:left="2950" w:hanging="420"/>
      </w:pPr>
    </w:lvl>
    <w:lvl w:ilvl="6" w:tentative="0">
      <w:start w:val="1"/>
      <w:numFmt w:val="decimal"/>
      <w:pStyle w:val="11"/>
      <w:lvlText w:val="%7."/>
      <w:lvlJc w:val="left"/>
      <w:pPr>
        <w:ind w:left="3370" w:hanging="420"/>
      </w:pPr>
    </w:lvl>
    <w:lvl w:ilvl="7" w:tentative="0">
      <w:start w:val="1"/>
      <w:numFmt w:val="lowerLetter"/>
      <w:pStyle w:val="12"/>
      <w:lvlText w:val="%8)"/>
      <w:lvlJc w:val="left"/>
      <w:pPr>
        <w:ind w:left="3790" w:hanging="420"/>
      </w:pPr>
    </w:lvl>
    <w:lvl w:ilvl="8" w:tentative="0">
      <w:start w:val="1"/>
      <w:numFmt w:val="lowerRoman"/>
      <w:pStyle w:val="13"/>
      <w:lvlText w:val="%9."/>
      <w:lvlJc w:val="right"/>
      <w:pPr>
        <w:ind w:left="42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7"/>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74A1F"/>
    <w:rsid w:val="00000040"/>
    <w:rsid w:val="0000024A"/>
    <w:rsid w:val="0000037D"/>
    <w:rsid w:val="0000052D"/>
    <w:rsid w:val="0000073A"/>
    <w:rsid w:val="00000BEF"/>
    <w:rsid w:val="00001077"/>
    <w:rsid w:val="0000134C"/>
    <w:rsid w:val="000015D0"/>
    <w:rsid w:val="00001637"/>
    <w:rsid w:val="000023EF"/>
    <w:rsid w:val="00002439"/>
    <w:rsid w:val="0000298A"/>
    <w:rsid w:val="00002ADE"/>
    <w:rsid w:val="00002F06"/>
    <w:rsid w:val="00002FBF"/>
    <w:rsid w:val="00003243"/>
    <w:rsid w:val="00003BD1"/>
    <w:rsid w:val="00003F8F"/>
    <w:rsid w:val="000042D7"/>
    <w:rsid w:val="00004414"/>
    <w:rsid w:val="00004846"/>
    <w:rsid w:val="0000541E"/>
    <w:rsid w:val="00005B22"/>
    <w:rsid w:val="00006C6C"/>
    <w:rsid w:val="0001088D"/>
    <w:rsid w:val="00010A2B"/>
    <w:rsid w:val="00010BDC"/>
    <w:rsid w:val="000112F3"/>
    <w:rsid w:val="00011FFD"/>
    <w:rsid w:val="000120ED"/>
    <w:rsid w:val="00012493"/>
    <w:rsid w:val="00012E8C"/>
    <w:rsid w:val="0001317E"/>
    <w:rsid w:val="00014414"/>
    <w:rsid w:val="00014983"/>
    <w:rsid w:val="00014B2E"/>
    <w:rsid w:val="00014CA4"/>
    <w:rsid w:val="00014E5A"/>
    <w:rsid w:val="000152C6"/>
    <w:rsid w:val="0001556E"/>
    <w:rsid w:val="00015631"/>
    <w:rsid w:val="00015675"/>
    <w:rsid w:val="00015680"/>
    <w:rsid w:val="00015A0B"/>
    <w:rsid w:val="000162ED"/>
    <w:rsid w:val="000170CB"/>
    <w:rsid w:val="00017984"/>
    <w:rsid w:val="00021188"/>
    <w:rsid w:val="00021475"/>
    <w:rsid w:val="0002153A"/>
    <w:rsid w:val="00022766"/>
    <w:rsid w:val="00022B07"/>
    <w:rsid w:val="00022D86"/>
    <w:rsid w:val="00022DBB"/>
    <w:rsid w:val="000231D4"/>
    <w:rsid w:val="00023BEF"/>
    <w:rsid w:val="0002435F"/>
    <w:rsid w:val="000249AB"/>
    <w:rsid w:val="00024BC4"/>
    <w:rsid w:val="00025A50"/>
    <w:rsid w:val="00025BE2"/>
    <w:rsid w:val="00025C24"/>
    <w:rsid w:val="00025D7D"/>
    <w:rsid w:val="00025DBE"/>
    <w:rsid w:val="00025E08"/>
    <w:rsid w:val="00025E19"/>
    <w:rsid w:val="000262E6"/>
    <w:rsid w:val="00026D69"/>
    <w:rsid w:val="000276A0"/>
    <w:rsid w:val="00027943"/>
    <w:rsid w:val="000300F6"/>
    <w:rsid w:val="000303DF"/>
    <w:rsid w:val="0003058E"/>
    <w:rsid w:val="0003074D"/>
    <w:rsid w:val="0003144F"/>
    <w:rsid w:val="00031641"/>
    <w:rsid w:val="00031C96"/>
    <w:rsid w:val="00032404"/>
    <w:rsid w:val="00032638"/>
    <w:rsid w:val="00032678"/>
    <w:rsid w:val="00033293"/>
    <w:rsid w:val="00033A18"/>
    <w:rsid w:val="00033AC1"/>
    <w:rsid w:val="00033AE0"/>
    <w:rsid w:val="00033D4E"/>
    <w:rsid w:val="00033D5F"/>
    <w:rsid w:val="000341E3"/>
    <w:rsid w:val="000345C7"/>
    <w:rsid w:val="00034A4E"/>
    <w:rsid w:val="00034B2E"/>
    <w:rsid w:val="0003526A"/>
    <w:rsid w:val="00035AB1"/>
    <w:rsid w:val="00035FC6"/>
    <w:rsid w:val="0003631F"/>
    <w:rsid w:val="00036617"/>
    <w:rsid w:val="00036D01"/>
    <w:rsid w:val="0003750D"/>
    <w:rsid w:val="00037AEE"/>
    <w:rsid w:val="00037F52"/>
    <w:rsid w:val="00040242"/>
    <w:rsid w:val="0004060B"/>
    <w:rsid w:val="00040B24"/>
    <w:rsid w:val="000410D4"/>
    <w:rsid w:val="00041E11"/>
    <w:rsid w:val="00041EFB"/>
    <w:rsid w:val="00041FF0"/>
    <w:rsid w:val="00042342"/>
    <w:rsid w:val="000427ED"/>
    <w:rsid w:val="00042D04"/>
    <w:rsid w:val="00042FA6"/>
    <w:rsid w:val="0004342F"/>
    <w:rsid w:val="0004411A"/>
    <w:rsid w:val="00044314"/>
    <w:rsid w:val="00044495"/>
    <w:rsid w:val="0004451D"/>
    <w:rsid w:val="00044E23"/>
    <w:rsid w:val="000454F1"/>
    <w:rsid w:val="00045AB8"/>
    <w:rsid w:val="00045CF6"/>
    <w:rsid w:val="00046351"/>
    <w:rsid w:val="000463A4"/>
    <w:rsid w:val="00046543"/>
    <w:rsid w:val="00047232"/>
    <w:rsid w:val="000479A7"/>
    <w:rsid w:val="000479E5"/>
    <w:rsid w:val="00047B15"/>
    <w:rsid w:val="00047DC8"/>
    <w:rsid w:val="00047FE1"/>
    <w:rsid w:val="000500C9"/>
    <w:rsid w:val="000502E0"/>
    <w:rsid w:val="00050907"/>
    <w:rsid w:val="00050B3B"/>
    <w:rsid w:val="00050C27"/>
    <w:rsid w:val="0005109C"/>
    <w:rsid w:val="000519A7"/>
    <w:rsid w:val="00051F0C"/>
    <w:rsid w:val="0005258E"/>
    <w:rsid w:val="00052CBE"/>
    <w:rsid w:val="00052FA5"/>
    <w:rsid w:val="00053222"/>
    <w:rsid w:val="00053275"/>
    <w:rsid w:val="00053E25"/>
    <w:rsid w:val="000540E6"/>
    <w:rsid w:val="00054DD5"/>
    <w:rsid w:val="0005591F"/>
    <w:rsid w:val="00056160"/>
    <w:rsid w:val="00056840"/>
    <w:rsid w:val="00056B22"/>
    <w:rsid w:val="00056B9B"/>
    <w:rsid w:val="00056F9D"/>
    <w:rsid w:val="00057BE2"/>
    <w:rsid w:val="00057E65"/>
    <w:rsid w:val="0006013F"/>
    <w:rsid w:val="00060360"/>
    <w:rsid w:val="00060793"/>
    <w:rsid w:val="00061017"/>
    <w:rsid w:val="000627E3"/>
    <w:rsid w:val="00062F17"/>
    <w:rsid w:val="000633B1"/>
    <w:rsid w:val="000633DC"/>
    <w:rsid w:val="00063B4E"/>
    <w:rsid w:val="00063C82"/>
    <w:rsid w:val="00063E70"/>
    <w:rsid w:val="00064554"/>
    <w:rsid w:val="00064684"/>
    <w:rsid w:val="00064756"/>
    <w:rsid w:val="00064A4B"/>
    <w:rsid w:val="00065908"/>
    <w:rsid w:val="00065DBB"/>
    <w:rsid w:val="0006612C"/>
    <w:rsid w:val="000661E6"/>
    <w:rsid w:val="000663C4"/>
    <w:rsid w:val="000665DB"/>
    <w:rsid w:val="00066AA1"/>
    <w:rsid w:val="00066F13"/>
    <w:rsid w:val="00066F6A"/>
    <w:rsid w:val="00067032"/>
    <w:rsid w:val="00067766"/>
    <w:rsid w:val="000678D6"/>
    <w:rsid w:val="00067F9E"/>
    <w:rsid w:val="0007044A"/>
    <w:rsid w:val="000704C9"/>
    <w:rsid w:val="0007093B"/>
    <w:rsid w:val="00071C15"/>
    <w:rsid w:val="000721F7"/>
    <w:rsid w:val="00072692"/>
    <w:rsid w:val="00072695"/>
    <w:rsid w:val="00072828"/>
    <w:rsid w:val="00072E3D"/>
    <w:rsid w:val="00072FE4"/>
    <w:rsid w:val="0007342B"/>
    <w:rsid w:val="00073973"/>
    <w:rsid w:val="00073AA9"/>
    <w:rsid w:val="00073C11"/>
    <w:rsid w:val="00073CB5"/>
    <w:rsid w:val="00073D70"/>
    <w:rsid w:val="0007469C"/>
    <w:rsid w:val="00074B8E"/>
    <w:rsid w:val="00075404"/>
    <w:rsid w:val="00075407"/>
    <w:rsid w:val="000756D2"/>
    <w:rsid w:val="00075B92"/>
    <w:rsid w:val="00075E17"/>
    <w:rsid w:val="00076C8E"/>
    <w:rsid w:val="00076D52"/>
    <w:rsid w:val="00077F08"/>
    <w:rsid w:val="000807A5"/>
    <w:rsid w:val="00080EB8"/>
    <w:rsid w:val="00081A06"/>
    <w:rsid w:val="000829ED"/>
    <w:rsid w:val="00082B0E"/>
    <w:rsid w:val="00082C89"/>
    <w:rsid w:val="00082CAE"/>
    <w:rsid w:val="00082E32"/>
    <w:rsid w:val="00083B67"/>
    <w:rsid w:val="00083BE0"/>
    <w:rsid w:val="00083BE7"/>
    <w:rsid w:val="0008412C"/>
    <w:rsid w:val="00084AA5"/>
    <w:rsid w:val="000851C3"/>
    <w:rsid w:val="00085262"/>
    <w:rsid w:val="000854F6"/>
    <w:rsid w:val="00085813"/>
    <w:rsid w:val="000858C1"/>
    <w:rsid w:val="00085C15"/>
    <w:rsid w:val="0008798C"/>
    <w:rsid w:val="000901AE"/>
    <w:rsid w:val="00090580"/>
    <w:rsid w:val="00090919"/>
    <w:rsid w:val="0009144B"/>
    <w:rsid w:val="0009180A"/>
    <w:rsid w:val="00091C6E"/>
    <w:rsid w:val="000928A4"/>
    <w:rsid w:val="00092DC8"/>
    <w:rsid w:val="00092E1D"/>
    <w:rsid w:val="00094355"/>
    <w:rsid w:val="000944A5"/>
    <w:rsid w:val="000946A1"/>
    <w:rsid w:val="000952B8"/>
    <w:rsid w:val="00095C41"/>
    <w:rsid w:val="0009628D"/>
    <w:rsid w:val="00096385"/>
    <w:rsid w:val="000965F6"/>
    <w:rsid w:val="000966D8"/>
    <w:rsid w:val="00096955"/>
    <w:rsid w:val="0009699C"/>
    <w:rsid w:val="00096AD1"/>
    <w:rsid w:val="00096C91"/>
    <w:rsid w:val="00096D3A"/>
    <w:rsid w:val="00096D4D"/>
    <w:rsid w:val="00096FBD"/>
    <w:rsid w:val="00097BED"/>
    <w:rsid w:val="000A0137"/>
    <w:rsid w:val="000A07DD"/>
    <w:rsid w:val="000A0E77"/>
    <w:rsid w:val="000A0EE6"/>
    <w:rsid w:val="000A18ED"/>
    <w:rsid w:val="000A19A1"/>
    <w:rsid w:val="000A1EDD"/>
    <w:rsid w:val="000A1F30"/>
    <w:rsid w:val="000A263D"/>
    <w:rsid w:val="000A2A40"/>
    <w:rsid w:val="000A2FD6"/>
    <w:rsid w:val="000A3530"/>
    <w:rsid w:val="000A3877"/>
    <w:rsid w:val="000A39FD"/>
    <w:rsid w:val="000A41DA"/>
    <w:rsid w:val="000A45FD"/>
    <w:rsid w:val="000A4653"/>
    <w:rsid w:val="000A4AC4"/>
    <w:rsid w:val="000A5101"/>
    <w:rsid w:val="000A5190"/>
    <w:rsid w:val="000A5CDB"/>
    <w:rsid w:val="000A694C"/>
    <w:rsid w:val="000A6E87"/>
    <w:rsid w:val="000A6EBA"/>
    <w:rsid w:val="000A7785"/>
    <w:rsid w:val="000B02DB"/>
    <w:rsid w:val="000B079B"/>
    <w:rsid w:val="000B0A5F"/>
    <w:rsid w:val="000B0E0C"/>
    <w:rsid w:val="000B10BE"/>
    <w:rsid w:val="000B133D"/>
    <w:rsid w:val="000B1626"/>
    <w:rsid w:val="000B1F04"/>
    <w:rsid w:val="000B22CD"/>
    <w:rsid w:val="000B2854"/>
    <w:rsid w:val="000B36C8"/>
    <w:rsid w:val="000B3F0E"/>
    <w:rsid w:val="000B44E7"/>
    <w:rsid w:val="000B470C"/>
    <w:rsid w:val="000B47A8"/>
    <w:rsid w:val="000B4829"/>
    <w:rsid w:val="000B53B2"/>
    <w:rsid w:val="000B5879"/>
    <w:rsid w:val="000B5F32"/>
    <w:rsid w:val="000B66F4"/>
    <w:rsid w:val="000B6795"/>
    <w:rsid w:val="000B6F6C"/>
    <w:rsid w:val="000B7674"/>
    <w:rsid w:val="000B7784"/>
    <w:rsid w:val="000B7FA3"/>
    <w:rsid w:val="000C102C"/>
    <w:rsid w:val="000C1161"/>
    <w:rsid w:val="000C1283"/>
    <w:rsid w:val="000C1451"/>
    <w:rsid w:val="000C28C4"/>
    <w:rsid w:val="000C28CA"/>
    <w:rsid w:val="000C33E8"/>
    <w:rsid w:val="000C33F9"/>
    <w:rsid w:val="000C3A3D"/>
    <w:rsid w:val="000C3C85"/>
    <w:rsid w:val="000C3CFC"/>
    <w:rsid w:val="000C3E9E"/>
    <w:rsid w:val="000C4605"/>
    <w:rsid w:val="000C4692"/>
    <w:rsid w:val="000C46EC"/>
    <w:rsid w:val="000C49BE"/>
    <w:rsid w:val="000C4CC8"/>
    <w:rsid w:val="000C628C"/>
    <w:rsid w:val="000C64FA"/>
    <w:rsid w:val="000C658F"/>
    <w:rsid w:val="000C7CF0"/>
    <w:rsid w:val="000C7DD9"/>
    <w:rsid w:val="000C7E59"/>
    <w:rsid w:val="000D029E"/>
    <w:rsid w:val="000D0EB3"/>
    <w:rsid w:val="000D12B4"/>
    <w:rsid w:val="000D158B"/>
    <w:rsid w:val="000D165E"/>
    <w:rsid w:val="000D2BCF"/>
    <w:rsid w:val="000D34A1"/>
    <w:rsid w:val="000D34FC"/>
    <w:rsid w:val="000D3557"/>
    <w:rsid w:val="000D3654"/>
    <w:rsid w:val="000D3B16"/>
    <w:rsid w:val="000D3B45"/>
    <w:rsid w:val="000D3E89"/>
    <w:rsid w:val="000D3E98"/>
    <w:rsid w:val="000D47BE"/>
    <w:rsid w:val="000D4889"/>
    <w:rsid w:val="000D4BCF"/>
    <w:rsid w:val="000D5025"/>
    <w:rsid w:val="000D5101"/>
    <w:rsid w:val="000D5590"/>
    <w:rsid w:val="000D59B4"/>
    <w:rsid w:val="000D5D55"/>
    <w:rsid w:val="000D60D6"/>
    <w:rsid w:val="000D653B"/>
    <w:rsid w:val="000D6770"/>
    <w:rsid w:val="000D7404"/>
    <w:rsid w:val="000D7FF7"/>
    <w:rsid w:val="000E0212"/>
    <w:rsid w:val="000E2457"/>
    <w:rsid w:val="000E274B"/>
    <w:rsid w:val="000E2A01"/>
    <w:rsid w:val="000E2AD1"/>
    <w:rsid w:val="000E2C15"/>
    <w:rsid w:val="000E2ECD"/>
    <w:rsid w:val="000E32B2"/>
    <w:rsid w:val="000E3558"/>
    <w:rsid w:val="000E3D70"/>
    <w:rsid w:val="000E449E"/>
    <w:rsid w:val="000E466D"/>
    <w:rsid w:val="000E47DB"/>
    <w:rsid w:val="000E4D2A"/>
    <w:rsid w:val="000E5545"/>
    <w:rsid w:val="000E5EB8"/>
    <w:rsid w:val="000E6614"/>
    <w:rsid w:val="000E6853"/>
    <w:rsid w:val="000E6B95"/>
    <w:rsid w:val="000E6BD2"/>
    <w:rsid w:val="000E6C22"/>
    <w:rsid w:val="000E755C"/>
    <w:rsid w:val="000E780F"/>
    <w:rsid w:val="000E7966"/>
    <w:rsid w:val="000F0035"/>
    <w:rsid w:val="000F0466"/>
    <w:rsid w:val="000F0584"/>
    <w:rsid w:val="000F0761"/>
    <w:rsid w:val="000F0BF0"/>
    <w:rsid w:val="000F159E"/>
    <w:rsid w:val="000F172C"/>
    <w:rsid w:val="000F1A58"/>
    <w:rsid w:val="000F1D2F"/>
    <w:rsid w:val="000F2090"/>
    <w:rsid w:val="000F21BF"/>
    <w:rsid w:val="000F247C"/>
    <w:rsid w:val="000F2B53"/>
    <w:rsid w:val="000F2B60"/>
    <w:rsid w:val="000F2D1E"/>
    <w:rsid w:val="000F361B"/>
    <w:rsid w:val="000F383E"/>
    <w:rsid w:val="000F3B41"/>
    <w:rsid w:val="000F4289"/>
    <w:rsid w:val="000F443F"/>
    <w:rsid w:val="000F4996"/>
    <w:rsid w:val="000F4FAA"/>
    <w:rsid w:val="000F50A6"/>
    <w:rsid w:val="000F58D2"/>
    <w:rsid w:val="000F5BB3"/>
    <w:rsid w:val="000F5C91"/>
    <w:rsid w:val="000F7750"/>
    <w:rsid w:val="000F77B6"/>
    <w:rsid w:val="000F7A8B"/>
    <w:rsid w:val="00100301"/>
    <w:rsid w:val="00100568"/>
    <w:rsid w:val="001013D0"/>
    <w:rsid w:val="001019EC"/>
    <w:rsid w:val="00101A84"/>
    <w:rsid w:val="0010220E"/>
    <w:rsid w:val="00103230"/>
    <w:rsid w:val="00103560"/>
    <w:rsid w:val="001036E6"/>
    <w:rsid w:val="00103AC1"/>
    <w:rsid w:val="00103BFE"/>
    <w:rsid w:val="0010489A"/>
    <w:rsid w:val="00105460"/>
    <w:rsid w:val="00106045"/>
    <w:rsid w:val="001060B8"/>
    <w:rsid w:val="00106F14"/>
    <w:rsid w:val="001072AC"/>
    <w:rsid w:val="001076D8"/>
    <w:rsid w:val="00107824"/>
    <w:rsid w:val="00110138"/>
    <w:rsid w:val="001111F5"/>
    <w:rsid w:val="00111575"/>
    <w:rsid w:val="0011188F"/>
    <w:rsid w:val="00111B87"/>
    <w:rsid w:val="00111C13"/>
    <w:rsid w:val="00112057"/>
    <w:rsid w:val="0011213A"/>
    <w:rsid w:val="001127AB"/>
    <w:rsid w:val="001134D4"/>
    <w:rsid w:val="0011387E"/>
    <w:rsid w:val="00113D8F"/>
    <w:rsid w:val="00113E23"/>
    <w:rsid w:val="00114341"/>
    <w:rsid w:val="001145AF"/>
    <w:rsid w:val="00114875"/>
    <w:rsid w:val="00114A5D"/>
    <w:rsid w:val="00114BA7"/>
    <w:rsid w:val="00114C93"/>
    <w:rsid w:val="00114E5C"/>
    <w:rsid w:val="001150D7"/>
    <w:rsid w:val="0011599B"/>
    <w:rsid w:val="00115D32"/>
    <w:rsid w:val="0011601D"/>
    <w:rsid w:val="00117283"/>
    <w:rsid w:val="00117497"/>
    <w:rsid w:val="001177F5"/>
    <w:rsid w:val="00117855"/>
    <w:rsid w:val="00117D9B"/>
    <w:rsid w:val="00120376"/>
    <w:rsid w:val="0012050A"/>
    <w:rsid w:val="00120A16"/>
    <w:rsid w:val="00121016"/>
    <w:rsid w:val="00121434"/>
    <w:rsid w:val="0012173F"/>
    <w:rsid w:val="001218E4"/>
    <w:rsid w:val="00121A6F"/>
    <w:rsid w:val="00121D3A"/>
    <w:rsid w:val="00121D9F"/>
    <w:rsid w:val="001222FF"/>
    <w:rsid w:val="00122602"/>
    <w:rsid w:val="00122ACC"/>
    <w:rsid w:val="00123C7A"/>
    <w:rsid w:val="001241F2"/>
    <w:rsid w:val="00124B09"/>
    <w:rsid w:val="001254AD"/>
    <w:rsid w:val="001261D4"/>
    <w:rsid w:val="001263F0"/>
    <w:rsid w:val="00126B57"/>
    <w:rsid w:val="00126C36"/>
    <w:rsid w:val="00126C8A"/>
    <w:rsid w:val="00127129"/>
    <w:rsid w:val="00127485"/>
    <w:rsid w:val="0012751D"/>
    <w:rsid w:val="00127649"/>
    <w:rsid w:val="00127700"/>
    <w:rsid w:val="001278A8"/>
    <w:rsid w:val="00127D95"/>
    <w:rsid w:val="00127DE9"/>
    <w:rsid w:val="00127E0C"/>
    <w:rsid w:val="001303EB"/>
    <w:rsid w:val="00130808"/>
    <w:rsid w:val="00130E90"/>
    <w:rsid w:val="0013174E"/>
    <w:rsid w:val="00131E6E"/>
    <w:rsid w:val="00131E75"/>
    <w:rsid w:val="00132493"/>
    <w:rsid w:val="00133802"/>
    <w:rsid w:val="00134A02"/>
    <w:rsid w:val="00134D88"/>
    <w:rsid w:val="00135362"/>
    <w:rsid w:val="00135432"/>
    <w:rsid w:val="00135B6D"/>
    <w:rsid w:val="00136A3D"/>
    <w:rsid w:val="00136BDD"/>
    <w:rsid w:val="00136D77"/>
    <w:rsid w:val="0013756D"/>
    <w:rsid w:val="00137AC4"/>
    <w:rsid w:val="00137C62"/>
    <w:rsid w:val="0014045F"/>
    <w:rsid w:val="0014106B"/>
    <w:rsid w:val="00141228"/>
    <w:rsid w:val="0014137B"/>
    <w:rsid w:val="00141616"/>
    <w:rsid w:val="001424C0"/>
    <w:rsid w:val="00142F41"/>
    <w:rsid w:val="00143439"/>
    <w:rsid w:val="0014343B"/>
    <w:rsid w:val="0014379C"/>
    <w:rsid w:val="00144AD9"/>
    <w:rsid w:val="00145444"/>
    <w:rsid w:val="00145B27"/>
    <w:rsid w:val="00145F17"/>
    <w:rsid w:val="001463FF"/>
    <w:rsid w:val="00146B75"/>
    <w:rsid w:val="00146CFC"/>
    <w:rsid w:val="00147170"/>
    <w:rsid w:val="001472AC"/>
    <w:rsid w:val="0014766D"/>
    <w:rsid w:val="00147C2E"/>
    <w:rsid w:val="00151303"/>
    <w:rsid w:val="00151E2A"/>
    <w:rsid w:val="00152397"/>
    <w:rsid w:val="001524B5"/>
    <w:rsid w:val="001527EB"/>
    <w:rsid w:val="00152E78"/>
    <w:rsid w:val="00153313"/>
    <w:rsid w:val="00153453"/>
    <w:rsid w:val="00153A97"/>
    <w:rsid w:val="00153C65"/>
    <w:rsid w:val="001550A2"/>
    <w:rsid w:val="0015513B"/>
    <w:rsid w:val="00155248"/>
    <w:rsid w:val="001561A0"/>
    <w:rsid w:val="001569EF"/>
    <w:rsid w:val="00156DE8"/>
    <w:rsid w:val="00157C65"/>
    <w:rsid w:val="00157E2B"/>
    <w:rsid w:val="001609BD"/>
    <w:rsid w:val="00161065"/>
    <w:rsid w:val="0016109D"/>
    <w:rsid w:val="001610A2"/>
    <w:rsid w:val="001612EA"/>
    <w:rsid w:val="00161359"/>
    <w:rsid w:val="00161780"/>
    <w:rsid w:val="00161DA9"/>
    <w:rsid w:val="00161FAD"/>
    <w:rsid w:val="001623FA"/>
    <w:rsid w:val="001636A6"/>
    <w:rsid w:val="00163B0C"/>
    <w:rsid w:val="00163BF5"/>
    <w:rsid w:val="00163F50"/>
    <w:rsid w:val="001648A9"/>
    <w:rsid w:val="00164994"/>
    <w:rsid w:val="00164DD0"/>
    <w:rsid w:val="001652AD"/>
    <w:rsid w:val="00165734"/>
    <w:rsid w:val="001663B1"/>
    <w:rsid w:val="0016646C"/>
    <w:rsid w:val="00166708"/>
    <w:rsid w:val="00166A87"/>
    <w:rsid w:val="00166FFB"/>
    <w:rsid w:val="001670A3"/>
    <w:rsid w:val="00167335"/>
    <w:rsid w:val="001673C2"/>
    <w:rsid w:val="00167C05"/>
    <w:rsid w:val="001700A6"/>
    <w:rsid w:val="0017036A"/>
    <w:rsid w:val="00170403"/>
    <w:rsid w:val="00170B22"/>
    <w:rsid w:val="001710CF"/>
    <w:rsid w:val="0017181F"/>
    <w:rsid w:val="001719DD"/>
    <w:rsid w:val="00171C35"/>
    <w:rsid w:val="00171F34"/>
    <w:rsid w:val="001720BD"/>
    <w:rsid w:val="0017358B"/>
    <w:rsid w:val="0017433B"/>
    <w:rsid w:val="001748C1"/>
    <w:rsid w:val="001749B4"/>
    <w:rsid w:val="00174F09"/>
    <w:rsid w:val="001756AE"/>
    <w:rsid w:val="00175E6D"/>
    <w:rsid w:val="0017647F"/>
    <w:rsid w:val="00176871"/>
    <w:rsid w:val="00177618"/>
    <w:rsid w:val="0017766E"/>
    <w:rsid w:val="00177852"/>
    <w:rsid w:val="00177BEF"/>
    <w:rsid w:val="00177D58"/>
    <w:rsid w:val="00177DDC"/>
    <w:rsid w:val="00180523"/>
    <w:rsid w:val="001805A3"/>
    <w:rsid w:val="00180AB0"/>
    <w:rsid w:val="00180C23"/>
    <w:rsid w:val="00180D13"/>
    <w:rsid w:val="00180E00"/>
    <w:rsid w:val="00181AE0"/>
    <w:rsid w:val="00181F3E"/>
    <w:rsid w:val="00182185"/>
    <w:rsid w:val="0018255A"/>
    <w:rsid w:val="00182D5F"/>
    <w:rsid w:val="001838AC"/>
    <w:rsid w:val="0018395B"/>
    <w:rsid w:val="00183C69"/>
    <w:rsid w:val="00184518"/>
    <w:rsid w:val="001847AB"/>
    <w:rsid w:val="001847EB"/>
    <w:rsid w:val="00184C47"/>
    <w:rsid w:val="00184C48"/>
    <w:rsid w:val="0018512A"/>
    <w:rsid w:val="00185401"/>
    <w:rsid w:val="001854E2"/>
    <w:rsid w:val="001855E7"/>
    <w:rsid w:val="00185BE7"/>
    <w:rsid w:val="00185F4D"/>
    <w:rsid w:val="00186B70"/>
    <w:rsid w:val="00186D12"/>
    <w:rsid w:val="0018702C"/>
    <w:rsid w:val="001872FF"/>
    <w:rsid w:val="001874B2"/>
    <w:rsid w:val="00187557"/>
    <w:rsid w:val="001878A1"/>
    <w:rsid w:val="00187A2D"/>
    <w:rsid w:val="00187C86"/>
    <w:rsid w:val="00187F67"/>
    <w:rsid w:val="001916A7"/>
    <w:rsid w:val="0019204C"/>
    <w:rsid w:val="00192177"/>
    <w:rsid w:val="0019253E"/>
    <w:rsid w:val="00192E16"/>
    <w:rsid w:val="00192EEB"/>
    <w:rsid w:val="0019302F"/>
    <w:rsid w:val="001936FA"/>
    <w:rsid w:val="001937E4"/>
    <w:rsid w:val="00193824"/>
    <w:rsid w:val="00193EB8"/>
    <w:rsid w:val="001945B7"/>
    <w:rsid w:val="00194FC3"/>
    <w:rsid w:val="001951DE"/>
    <w:rsid w:val="001953FA"/>
    <w:rsid w:val="00195747"/>
    <w:rsid w:val="001958B4"/>
    <w:rsid w:val="00195D8C"/>
    <w:rsid w:val="00195DDB"/>
    <w:rsid w:val="00195FAA"/>
    <w:rsid w:val="0019680C"/>
    <w:rsid w:val="00196A27"/>
    <w:rsid w:val="00196EAF"/>
    <w:rsid w:val="0019720B"/>
    <w:rsid w:val="00197415"/>
    <w:rsid w:val="0019763B"/>
    <w:rsid w:val="00197AB6"/>
    <w:rsid w:val="001A00D3"/>
    <w:rsid w:val="001A01A9"/>
    <w:rsid w:val="001A0217"/>
    <w:rsid w:val="001A06DF"/>
    <w:rsid w:val="001A09E0"/>
    <w:rsid w:val="001A0E12"/>
    <w:rsid w:val="001A0E9C"/>
    <w:rsid w:val="001A1050"/>
    <w:rsid w:val="001A269D"/>
    <w:rsid w:val="001A276E"/>
    <w:rsid w:val="001A2849"/>
    <w:rsid w:val="001A3205"/>
    <w:rsid w:val="001A420B"/>
    <w:rsid w:val="001A430F"/>
    <w:rsid w:val="001A485B"/>
    <w:rsid w:val="001A4D91"/>
    <w:rsid w:val="001A4F89"/>
    <w:rsid w:val="001A5976"/>
    <w:rsid w:val="001A79CC"/>
    <w:rsid w:val="001A7B72"/>
    <w:rsid w:val="001A7C88"/>
    <w:rsid w:val="001A7E81"/>
    <w:rsid w:val="001B01DE"/>
    <w:rsid w:val="001B0368"/>
    <w:rsid w:val="001B072E"/>
    <w:rsid w:val="001B12D0"/>
    <w:rsid w:val="001B181F"/>
    <w:rsid w:val="001B1D02"/>
    <w:rsid w:val="001B29C6"/>
    <w:rsid w:val="001B2B71"/>
    <w:rsid w:val="001B2F8E"/>
    <w:rsid w:val="001B3983"/>
    <w:rsid w:val="001B3EB5"/>
    <w:rsid w:val="001B472F"/>
    <w:rsid w:val="001B47B4"/>
    <w:rsid w:val="001B4805"/>
    <w:rsid w:val="001B48C8"/>
    <w:rsid w:val="001B4994"/>
    <w:rsid w:val="001B5083"/>
    <w:rsid w:val="001B57E6"/>
    <w:rsid w:val="001B5877"/>
    <w:rsid w:val="001B58A8"/>
    <w:rsid w:val="001B5D91"/>
    <w:rsid w:val="001B692C"/>
    <w:rsid w:val="001B6C66"/>
    <w:rsid w:val="001B6DE8"/>
    <w:rsid w:val="001B71C8"/>
    <w:rsid w:val="001B7308"/>
    <w:rsid w:val="001B74D5"/>
    <w:rsid w:val="001B7777"/>
    <w:rsid w:val="001B782F"/>
    <w:rsid w:val="001B7E7E"/>
    <w:rsid w:val="001C03C2"/>
    <w:rsid w:val="001C0A6C"/>
    <w:rsid w:val="001C11B6"/>
    <w:rsid w:val="001C11BD"/>
    <w:rsid w:val="001C11DD"/>
    <w:rsid w:val="001C1809"/>
    <w:rsid w:val="001C1912"/>
    <w:rsid w:val="001C1AC5"/>
    <w:rsid w:val="001C1B75"/>
    <w:rsid w:val="001C21F3"/>
    <w:rsid w:val="001C2257"/>
    <w:rsid w:val="001C22B9"/>
    <w:rsid w:val="001C27C9"/>
    <w:rsid w:val="001C2C39"/>
    <w:rsid w:val="001C2EB1"/>
    <w:rsid w:val="001C3A4C"/>
    <w:rsid w:val="001C4210"/>
    <w:rsid w:val="001C45DD"/>
    <w:rsid w:val="001C47E3"/>
    <w:rsid w:val="001C550E"/>
    <w:rsid w:val="001C5B4C"/>
    <w:rsid w:val="001C62E4"/>
    <w:rsid w:val="001C64A5"/>
    <w:rsid w:val="001C6A30"/>
    <w:rsid w:val="001C71C6"/>
    <w:rsid w:val="001C7B1C"/>
    <w:rsid w:val="001C7E74"/>
    <w:rsid w:val="001D0D40"/>
    <w:rsid w:val="001D2999"/>
    <w:rsid w:val="001D2C85"/>
    <w:rsid w:val="001D3846"/>
    <w:rsid w:val="001D389A"/>
    <w:rsid w:val="001D3AE7"/>
    <w:rsid w:val="001D5CA8"/>
    <w:rsid w:val="001D5DBE"/>
    <w:rsid w:val="001D5E18"/>
    <w:rsid w:val="001D6D05"/>
    <w:rsid w:val="001D6DBA"/>
    <w:rsid w:val="001D7467"/>
    <w:rsid w:val="001D754F"/>
    <w:rsid w:val="001D77B8"/>
    <w:rsid w:val="001D794A"/>
    <w:rsid w:val="001D7952"/>
    <w:rsid w:val="001D7D2B"/>
    <w:rsid w:val="001E0641"/>
    <w:rsid w:val="001E17A8"/>
    <w:rsid w:val="001E1888"/>
    <w:rsid w:val="001E1C41"/>
    <w:rsid w:val="001E1DE9"/>
    <w:rsid w:val="001E25EC"/>
    <w:rsid w:val="001E2817"/>
    <w:rsid w:val="001E35B6"/>
    <w:rsid w:val="001E37F9"/>
    <w:rsid w:val="001E3ADD"/>
    <w:rsid w:val="001E3DDA"/>
    <w:rsid w:val="001E46D3"/>
    <w:rsid w:val="001E4CBD"/>
    <w:rsid w:val="001E4FE9"/>
    <w:rsid w:val="001E5041"/>
    <w:rsid w:val="001E5102"/>
    <w:rsid w:val="001E557D"/>
    <w:rsid w:val="001E5C50"/>
    <w:rsid w:val="001E609B"/>
    <w:rsid w:val="001E6406"/>
    <w:rsid w:val="001E6497"/>
    <w:rsid w:val="001E7429"/>
    <w:rsid w:val="001E77E1"/>
    <w:rsid w:val="001E7AD4"/>
    <w:rsid w:val="001E7D38"/>
    <w:rsid w:val="001F01F3"/>
    <w:rsid w:val="001F08BB"/>
    <w:rsid w:val="001F095F"/>
    <w:rsid w:val="001F0A2F"/>
    <w:rsid w:val="001F0AD8"/>
    <w:rsid w:val="001F0C29"/>
    <w:rsid w:val="001F12EC"/>
    <w:rsid w:val="001F15E6"/>
    <w:rsid w:val="001F2112"/>
    <w:rsid w:val="001F2D4C"/>
    <w:rsid w:val="001F2E1D"/>
    <w:rsid w:val="001F2F61"/>
    <w:rsid w:val="001F31FA"/>
    <w:rsid w:val="001F342C"/>
    <w:rsid w:val="001F34CF"/>
    <w:rsid w:val="001F39EB"/>
    <w:rsid w:val="001F3D20"/>
    <w:rsid w:val="001F3D6B"/>
    <w:rsid w:val="001F4028"/>
    <w:rsid w:val="001F49E2"/>
    <w:rsid w:val="001F4C1C"/>
    <w:rsid w:val="001F4C67"/>
    <w:rsid w:val="001F55C9"/>
    <w:rsid w:val="001F56D5"/>
    <w:rsid w:val="001F5707"/>
    <w:rsid w:val="001F5844"/>
    <w:rsid w:val="001F59C0"/>
    <w:rsid w:val="001F61B0"/>
    <w:rsid w:val="001F64C4"/>
    <w:rsid w:val="001F6A2A"/>
    <w:rsid w:val="001F6AB5"/>
    <w:rsid w:val="001F703B"/>
    <w:rsid w:val="001F7808"/>
    <w:rsid w:val="001F7978"/>
    <w:rsid w:val="001F7A66"/>
    <w:rsid w:val="001F7B2D"/>
    <w:rsid w:val="00200F5D"/>
    <w:rsid w:val="002018ED"/>
    <w:rsid w:val="00201C9F"/>
    <w:rsid w:val="00201F04"/>
    <w:rsid w:val="00201F7F"/>
    <w:rsid w:val="00202509"/>
    <w:rsid w:val="00203063"/>
    <w:rsid w:val="00203209"/>
    <w:rsid w:val="002034B1"/>
    <w:rsid w:val="00203922"/>
    <w:rsid w:val="00203B07"/>
    <w:rsid w:val="0020458B"/>
    <w:rsid w:val="0020490C"/>
    <w:rsid w:val="002052AD"/>
    <w:rsid w:val="002053EA"/>
    <w:rsid w:val="0020540C"/>
    <w:rsid w:val="002062F3"/>
    <w:rsid w:val="00206757"/>
    <w:rsid w:val="00206C78"/>
    <w:rsid w:val="00207E85"/>
    <w:rsid w:val="0021091B"/>
    <w:rsid w:val="00210C81"/>
    <w:rsid w:val="00210CB8"/>
    <w:rsid w:val="002110D3"/>
    <w:rsid w:val="00211130"/>
    <w:rsid w:val="0021146B"/>
    <w:rsid w:val="00212A97"/>
    <w:rsid w:val="00212B0F"/>
    <w:rsid w:val="00212B6C"/>
    <w:rsid w:val="00212CFC"/>
    <w:rsid w:val="00213078"/>
    <w:rsid w:val="00213665"/>
    <w:rsid w:val="00213814"/>
    <w:rsid w:val="002139F6"/>
    <w:rsid w:val="00214347"/>
    <w:rsid w:val="00214662"/>
    <w:rsid w:val="0021494B"/>
    <w:rsid w:val="00214FCA"/>
    <w:rsid w:val="002151EC"/>
    <w:rsid w:val="002157EE"/>
    <w:rsid w:val="00215A25"/>
    <w:rsid w:val="00215BF3"/>
    <w:rsid w:val="00215C33"/>
    <w:rsid w:val="00215FA0"/>
    <w:rsid w:val="00216268"/>
    <w:rsid w:val="002162AE"/>
    <w:rsid w:val="00216B48"/>
    <w:rsid w:val="00216D97"/>
    <w:rsid w:val="00216F19"/>
    <w:rsid w:val="00217017"/>
    <w:rsid w:val="002172B3"/>
    <w:rsid w:val="00217353"/>
    <w:rsid w:val="00217BA7"/>
    <w:rsid w:val="0022017E"/>
    <w:rsid w:val="0022113B"/>
    <w:rsid w:val="00221941"/>
    <w:rsid w:val="00221BE7"/>
    <w:rsid w:val="00222238"/>
    <w:rsid w:val="00222AEF"/>
    <w:rsid w:val="0022317E"/>
    <w:rsid w:val="0022337D"/>
    <w:rsid w:val="00223715"/>
    <w:rsid w:val="00223834"/>
    <w:rsid w:val="00223971"/>
    <w:rsid w:val="002243C5"/>
    <w:rsid w:val="00224836"/>
    <w:rsid w:val="00225229"/>
    <w:rsid w:val="002253B1"/>
    <w:rsid w:val="002258F6"/>
    <w:rsid w:val="00225F63"/>
    <w:rsid w:val="00226658"/>
    <w:rsid w:val="00227080"/>
    <w:rsid w:val="0022770A"/>
    <w:rsid w:val="00227717"/>
    <w:rsid w:val="002278FF"/>
    <w:rsid w:val="00227A13"/>
    <w:rsid w:val="00230682"/>
    <w:rsid w:val="00230A30"/>
    <w:rsid w:val="00230C1F"/>
    <w:rsid w:val="00231326"/>
    <w:rsid w:val="0023205E"/>
    <w:rsid w:val="002330E0"/>
    <w:rsid w:val="00233424"/>
    <w:rsid w:val="002339D6"/>
    <w:rsid w:val="00233A62"/>
    <w:rsid w:val="0023409C"/>
    <w:rsid w:val="00234F76"/>
    <w:rsid w:val="00235443"/>
    <w:rsid w:val="002358E1"/>
    <w:rsid w:val="002358E9"/>
    <w:rsid w:val="00235B36"/>
    <w:rsid w:val="00235D81"/>
    <w:rsid w:val="002362C8"/>
    <w:rsid w:val="00236836"/>
    <w:rsid w:val="002371AD"/>
    <w:rsid w:val="002372B1"/>
    <w:rsid w:val="002376DC"/>
    <w:rsid w:val="00237E64"/>
    <w:rsid w:val="002402F2"/>
    <w:rsid w:val="0024049F"/>
    <w:rsid w:val="00240DB8"/>
    <w:rsid w:val="002411FB"/>
    <w:rsid w:val="00241742"/>
    <w:rsid w:val="00241A1F"/>
    <w:rsid w:val="00242125"/>
    <w:rsid w:val="002424F3"/>
    <w:rsid w:val="002426A5"/>
    <w:rsid w:val="002426F1"/>
    <w:rsid w:val="00242EE0"/>
    <w:rsid w:val="002435DF"/>
    <w:rsid w:val="00243830"/>
    <w:rsid w:val="00243FBE"/>
    <w:rsid w:val="00245065"/>
    <w:rsid w:val="0024519D"/>
    <w:rsid w:val="00245698"/>
    <w:rsid w:val="00245E36"/>
    <w:rsid w:val="002461B3"/>
    <w:rsid w:val="002464B4"/>
    <w:rsid w:val="002468F0"/>
    <w:rsid w:val="0024713F"/>
    <w:rsid w:val="00247ED7"/>
    <w:rsid w:val="002504C3"/>
    <w:rsid w:val="002508CF"/>
    <w:rsid w:val="002508FB"/>
    <w:rsid w:val="00250D61"/>
    <w:rsid w:val="0025148D"/>
    <w:rsid w:val="00251A5C"/>
    <w:rsid w:val="00252296"/>
    <w:rsid w:val="00252EA6"/>
    <w:rsid w:val="0025325E"/>
    <w:rsid w:val="00253BAA"/>
    <w:rsid w:val="00253FDC"/>
    <w:rsid w:val="00254E2E"/>
    <w:rsid w:val="00255426"/>
    <w:rsid w:val="002554DC"/>
    <w:rsid w:val="00255E32"/>
    <w:rsid w:val="00256E8B"/>
    <w:rsid w:val="00256E9A"/>
    <w:rsid w:val="0025709B"/>
    <w:rsid w:val="002573A2"/>
    <w:rsid w:val="002574A6"/>
    <w:rsid w:val="00257887"/>
    <w:rsid w:val="00257CD8"/>
    <w:rsid w:val="00257D49"/>
    <w:rsid w:val="002606A3"/>
    <w:rsid w:val="00260E11"/>
    <w:rsid w:val="002610D4"/>
    <w:rsid w:val="00262FFD"/>
    <w:rsid w:val="00263621"/>
    <w:rsid w:val="00263D20"/>
    <w:rsid w:val="00263D34"/>
    <w:rsid w:val="00263D69"/>
    <w:rsid w:val="0026445A"/>
    <w:rsid w:val="002644EC"/>
    <w:rsid w:val="002650E4"/>
    <w:rsid w:val="0026537A"/>
    <w:rsid w:val="00265477"/>
    <w:rsid w:val="00265DEB"/>
    <w:rsid w:val="0026600C"/>
    <w:rsid w:val="00266429"/>
    <w:rsid w:val="0026651E"/>
    <w:rsid w:val="00267A17"/>
    <w:rsid w:val="00267DD8"/>
    <w:rsid w:val="0027001D"/>
    <w:rsid w:val="00270354"/>
    <w:rsid w:val="00270393"/>
    <w:rsid w:val="00270C0E"/>
    <w:rsid w:val="00271E3B"/>
    <w:rsid w:val="00272053"/>
    <w:rsid w:val="00272709"/>
    <w:rsid w:val="002728FA"/>
    <w:rsid w:val="00272FCA"/>
    <w:rsid w:val="0027300D"/>
    <w:rsid w:val="002733F2"/>
    <w:rsid w:val="00273DD3"/>
    <w:rsid w:val="00273F02"/>
    <w:rsid w:val="002742B8"/>
    <w:rsid w:val="002743D2"/>
    <w:rsid w:val="0027458C"/>
    <w:rsid w:val="002746B9"/>
    <w:rsid w:val="00275323"/>
    <w:rsid w:val="00275763"/>
    <w:rsid w:val="00275A73"/>
    <w:rsid w:val="00276032"/>
    <w:rsid w:val="002768DE"/>
    <w:rsid w:val="002769B8"/>
    <w:rsid w:val="00276AE3"/>
    <w:rsid w:val="00277211"/>
    <w:rsid w:val="002772DA"/>
    <w:rsid w:val="00277C14"/>
    <w:rsid w:val="002801CB"/>
    <w:rsid w:val="0028075A"/>
    <w:rsid w:val="00280805"/>
    <w:rsid w:val="00280996"/>
    <w:rsid w:val="00280ACB"/>
    <w:rsid w:val="002814EF"/>
    <w:rsid w:val="00281D1B"/>
    <w:rsid w:val="00281F42"/>
    <w:rsid w:val="002828D0"/>
    <w:rsid w:val="00282EC9"/>
    <w:rsid w:val="00282F93"/>
    <w:rsid w:val="00283129"/>
    <w:rsid w:val="0028324C"/>
    <w:rsid w:val="00283455"/>
    <w:rsid w:val="00284D54"/>
    <w:rsid w:val="002851FD"/>
    <w:rsid w:val="00285B69"/>
    <w:rsid w:val="0028604D"/>
    <w:rsid w:val="0028665D"/>
    <w:rsid w:val="00286998"/>
    <w:rsid w:val="00286A68"/>
    <w:rsid w:val="00286D0D"/>
    <w:rsid w:val="002871B1"/>
    <w:rsid w:val="002903C8"/>
    <w:rsid w:val="00290622"/>
    <w:rsid w:val="00290954"/>
    <w:rsid w:val="002927E5"/>
    <w:rsid w:val="00292AB2"/>
    <w:rsid w:val="0029357F"/>
    <w:rsid w:val="00293AAC"/>
    <w:rsid w:val="00293E3C"/>
    <w:rsid w:val="00294145"/>
    <w:rsid w:val="002950E1"/>
    <w:rsid w:val="00295408"/>
    <w:rsid w:val="00295FD6"/>
    <w:rsid w:val="00295FF7"/>
    <w:rsid w:val="002962AF"/>
    <w:rsid w:val="00297134"/>
    <w:rsid w:val="00297424"/>
    <w:rsid w:val="0029765B"/>
    <w:rsid w:val="00297A12"/>
    <w:rsid w:val="00297CEC"/>
    <w:rsid w:val="002A0350"/>
    <w:rsid w:val="002A0884"/>
    <w:rsid w:val="002A10AA"/>
    <w:rsid w:val="002A1233"/>
    <w:rsid w:val="002A194A"/>
    <w:rsid w:val="002A1A36"/>
    <w:rsid w:val="002A1C0F"/>
    <w:rsid w:val="002A1F71"/>
    <w:rsid w:val="002A250D"/>
    <w:rsid w:val="002A328B"/>
    <w:rsid w:val="002A33CE"/>
    <w:rsid w:val="002A34DB"/>
    <w:rsid w:val="002A38D9"/>
    <w:rsid w:val="002A3ACA"/>
    <w:rsid w:val="002A40A9"/>
    <w:rsid w:val="002A45F6"/>
    <w:rsid w:val="002A4700"/>
    <w:rsid w:val="002A474C"/>
    <w:rsid w:val="002A4B04"/>
    <w:rsid w:val="002A4E5B"/>
    <w:rsid w:val="002A5104"/>
    <w:rsid w:val="002A550C"/>
    <w:rsid w:val="002A57A9"/>
    <w:rsid w:val="002A57D1"/>
    <w:rsid w:val="002A5B83"/>
    <w:rsid w:val="002A5C8D"/>
    <w:rsid w:val="002A5E90"/>
    <w:rsid w:val="002A60EE"/>
    <w:rsid w:val="002A6A0F"/>
    <w:rsid w:val="002A7076"/>
    <w:rsid w:val="002B057A"/>
    <w:rsid w:val="002B08D8"/>
    <w:rsid w:val="002B1101"/>
    <w:rsid w:val="002B1320"/>
    <w:rsid w:val="002B17AC"/>
    <w:rsid w:val="002B234D"/>
    <w:rsid w:val="002B234E"/>
    <w:rsid w:val="002B24C2"/>
    <w:rsid w:val="002B24E2"/>
    <w:rsid w:val="002B2B06"/>
    <w:rsid w:val="002B3127"/>
    <w:rsid w:val="002B3A8F"/>
    <w:rsid w:val="002B4555"/>
    <w:rsid w:val="002B49D7"/>
    <w:rsid w:val="002B4B2F"/>
    <w:rsid w:val="002B4DA2"/>
    <w:rsid w:val="002B6A05"/>
    <w:rsid w:val="002B6AB2"/>
    <w:rsid w:val="002B6AED"/>
    <w:rsid w:val="002B6CBE"/>
    <w:rsid w:val="002B7631"/>
    <w:rsid w:val="002B768F"/>
    <w:rsid w:val="002B7928"/>
    <w:rsid w:val="002B794B"/>
    <w:rsid w:val="002B7FD0"/>
    <w:rsid w:val="002C00F8"/>
    <w:rsid w:val="002C07D8"/>
    <w:rsid w:val="002C1856"/>
    <w:rsid w:val="002C1961"/>
    <w:rsid w:val="002C2F98"/>
    <w:rsid w:val="002C2FA0"/>
    <w:rsid w:val="002C3BE0"/>
    <w:rsid w:val="002C403C"/>
    <w:rsid w:val="002C49C0"/>
    <w:rsid w:val="002C4B2A"/>
    <w:rsid w:val="002C4ED2"/>
    <w:rsid w:val="002C5DC6"/>
    <w:rsid w:val="002C5DDB"/>
    <w:rsid w:val="002C6035"/>
    <w:rsid w:val="002C60DF"/>
    <w:rsid w:val="002C650F"/>
    <w:rsid w:val="002C663E"/>
    <w:rsid w:val="002C6A45"/>
    <w:rsid w:val="002C70F9"/>
    <w:rsid w:val="002C7312"/>
    <w:rsid w:val="002D0824"/>
    <w:rsid w:val="002D09BA"/>
    <w:rsid w:val="002D0AB4"/>
    <w:rsid w:val="002D0C13"/>
    <w:rsid w:val="002D0E92"/>
    <w:rsid w:val="002D1177"/>
    <w:rsid w:val="002D1920"/>
    <w:rsid w:val="002D24B8"/>
    <w:rsid w:val="002D2556"/>
    <w:rsid w:val="002D264D"/>
    <w:rsid w:val="002D2C1D"/>
    <w:rsid w:val="002D2D7A"/>
    <w:rsid w:val="002D3214"/>
    <w:rsid w:val="002D3ED3"/>
    <w:rsid w:val="002D441C"/>
    <w:rsid w:val="002D4750"/>
    <w:rsid w:val="002D59A1"/>
    <w:rsid w:val="002D625B"/>
    <w:rsid w:val="002D652C"/>
    <w:rsid w:val="002D65EA"/>
    <w:rsid w:val="002D675F"/>
    <w:rsid w:val="002D67C2"/>
    <w:rsid w:val="002D69A9"/>
    <w:rsid w:val="002D6F6B"/>
    <w:rsid w:val="002D77A4"/>
    <w:rsid w:val="002D77AD"/>
    <w:rsid w:val="002D7AD9"/>
    <w:rsid w:val="002E0717"/>
    <w:rsid w:val="002E0BBD"/>
    <w:rsid w:val="002E11E4"/>
    <w:rsid w:val="002E12F6"/>
    <w:rsid w:val="002E2756"/>
    <w:rsid w:val="002E349A"/>
    <w:rsid w:val="002E3617"/>
    <w:rsid w:val="002E39E1"/>
    <w:rsid w:val="002E3B42"/>
    <w:rsid w:val="002E40A9"/>
    <w:rsid w:val="002E434E"/>
    <w:rsid w:val="002E46C1"/>
    <w:rsid w:val="002E4F45"/>
    <w:rsid w:val="002E5CC3"/>
    <w:rsid w:val="002E60FB"/>
    <w:rsid w:val="002E6342"/>
    <w:rsid w:val="002E6847"/>
    <w:rsid w:val="002E6A77"/>
    <w:rsid w:val="002E6F62"/>
    <w:rsid w:val="002E73B8"/>
    <w:rsid w:val="002E783F"/>
    <w:rsid w:val="002E7D04"/>
    <w:rsid w:val="002F0207"/>
    <w:rsid w:val="002F09E0"/>
    <w:rsid w:val="002F165E"/>
    <w:rsid w:val="002F16B7"/>
    <w:rsid w:val="002F1B45"/>
    <w:rsid w:val="002F1DA1"/>
    <w:rsid w:val="002F2D27"/>
    <w:rsid w:val="002F333C"/>
    <w:rsid w:val="002F374F"/>
    <w:rsid w:val="002F3867"/>
    <w:rsid w:val="002F3D6C"/>
    <w:rsid w:val="002F428B"/>
    <w:rsid w:val="002F42A6"/>
    <w:rsid w:val="002F4BF6"/>
    <w:rsid w:val="002F4E71"/>
    <w:rsid w:val="002F4F52"/>
    <w:rsid w:val="002F4F89"/>
    <w:rsid w:val="002F5338"/>
    <w:rsid w:val="002F65FB"/>
    <w:rsid w:val="002F6B05"/>
    <w:rsid w:val="002F6CCB"/>
    <w:rsid w:val="002F7D4E"/>
    <w:rsid w:val="00300159"/>
    <w:rsid w:val="00300AEE"/>
    <w:rsid w:val="00300CBD"/>
    <w:rsid w:val="003014BF"/>
    <w:rsid w:val="00301544"/>
    <w:rsid w:val="0030160E"/>
    <w:rsid w:val="00301B79"/>
    <w:rsid w:val="00301F87"/>
    <w:rsid w:val="003022F0"/>
    <w:rsid w:val="00302917"/>
    <w:rsid w:val="00302C90"/>
    <w:rsid w:val="00302FDF"/>
    <w:rsid w:val="003034E3"/>
    <w:rsid w:val="00303760"/>
    <w:rsid w:val="003038C2"/>
    <w:rsid w:val="00303907"/>
    <w:rsid w:val="00303A54"/>
    <w:rsid w:val="00303B2A"/>
    <w:rsid w:val="00304F92"/>
    <w:rsid w:val="00306120"/>
    <w:rsid w:val="003064B9"/>
    <w:rsid w:val="00306720"/>
    <w:rsid w:val="003068B1"/>
    <w:rsid w:val="00306E2B"/>
    <w:rsid w:val="00306E5A"/>
    <w:rsid w:val="00306FAB"/>
    <w:rsid w:val="0030705D"/>
    <w:rsid w:val="003079C5"/>
    <w:rsid w:val="00307E93"/>
    <w:rsid w:val="00310C3F"/>
    <w:rsid w:val="00311059"/>
    <w:rsid w:val="00311B29"/>
    <w:rsid w:val="003120F1"/>
    <w:rsid w:val="0031248F"/>
    <w:rsid w:val="003124C6"/>
    <w:rsid w:val="0031258B"/>
    <w:rsid w:val="00312EAF"/>
    <w:rsid w:val="00312F3C"/>
    <w:rsid w:val="003134E7"/>
    <w:rsid w:val="00313920"/>
    <w:rsid w:val="00313D5B"/>
    <w:rsid w:val="00313DBB"/>
    <w:rsid w:val="0031458B"/>
    <w:rsid w:val="00315176"/>
    <w:rsid w:val="00315EF5"/>
    <w:rsid w:val="003162C7"/>
    <w:rsid w:val="0031696B"/>
    <w:rsid w:val="00316C70"/>
    <w:rsid w:val="00316CCD"/>
    <w:rsid w:val="00316F05"/>
    <w:rsid w:val="003171D7"/>
    <w:rsid w:val="0031732C"/>
    <w:rsid w:val="00317366"/>
    <w:rsid w:val="00317828"/>
    <w:rsid w:val="00317D28"/>
    <w:rsid w:val="00320298"/>
    <w:rsid w:val="003204D9"/>
    <w:rsid w:val="003205AB"/>
    <w:rsid w:val="00320AC1"/>
    <w:rsid w:val="00321279"/>
    <w:rsid w:val="00322AFE"/>
    <w:rsid w:val="00322F4A"/>
    <w:rsid w:val="00323615"/>
    <w:rsid w:val="00324482"/>
    <w:rsid w:val="00325765"/>
    <w:rsid w:val="00325B28"/>
    <w:rsid w:val="00325D5A"/>
    <w:rsid w:val="00325F0A"/>
    <w:rsid w:val="00326296"/>
    <w:rsid w:val="003262CB"/>
    <w:rsid w:val="00326599"/>
    <w:rsid w:val="003265DA"/>
    <w:rsid w:val="00326B6B"/>
    <w:rsid w:val="00326E6C"/>
    <w:rsid w:val="00326FBA"/>
    <w:rsid w:val="00327AC9"/>
    <w:rsid w:val="00327E89"/>
    <w:rsid w:val="00330506"/>
    <w:rsid w:val="00330DBF"/>
    <w:rsid w:val="00330EF8"/>
    <w:rsid w:val="003312BD"/>
    <w:rsid w:val="00331842"/>
    <w:rsid w:val="00331F94"/>
    <w:rsid w:val="00332EFA"/>
    <w:rsid w:val="00332F86"/>
    <w:rsid w:val="003331D9"/>
    <w:rsid w:val="0033338A"/>
    <w:rsid w:val="0033386B"/>
    <w:rsid w:val="003342F6"/>
    <w:rsid w:val="00334C00"/>
    <w:rsid w:val="00334D5A"/>
    <w:rsid w:val="003355B0"/>
    <w:rsid w:val="00335C1E"/>
    <w:rsid w:val="00335EBE"/>
    <w:rsid w:val="00335EFC"/>
    <w:rsid w:val="003361C4"/>
    <w:rsid w:val="0033637A"/>
    <w:rsid w:val="00337005"/>
    <w:rsid w:val="003402F1"/>
    <w:rsid w:val="003409BC"/>
    <w:rsid w:val="00340B42"/>
    <w:rsid w:val="003416E5"/>
    <w:rsid w:val="003418CD"/>
    <w:rsid w:val="00341E05"/>
    <w:rsid w:val="00342134"/>
    <w:rsid w:val="00343A43"/>
    <w:rsid w:val="00343A67"/>
    <w:rsid w:val="00343F47"/>
    <w:rsid w:val="00344DB2"/>
    <w:rsid w:val="00344F2F"/>
    <w:rsid w:val="00344FDC"/>
    <w:rsid w:val="003451EE"/>
    <w:rsid w:val="00345A1E"/>
    <w:rsid w:val="003462A8"/>
    <w:rsid w:val="003463B2"/>
    <w:rsid w:val="00346463"/>
    <w:rsid w:val="00346B2B"/>
    <w:rsid w:val="00346DD4"/>
    <w:rsid w:val="00346E8E"/>
    <w:rsid w:val="00346F02"/>
    <w:rsid w:val="00347031"/>
    <w:rsid w:val="0034704D"/>
    <w:rsid w:val="0034706E"/>
    <w:rsid w:val="00347C1C"/>
    <w:rsid w:val="00347F52"/>
    <w:rsid w:val="0035028C"/>
    <w:rsid w:val="0035037B"/>
    <w:rsid w:val="0035050B"/>
    <w:rsid w:val="00350615"/>
    <w:rsid w:val="00350654"/>
    <w:rsid w:val="003508A4"/>
    <w:rsid w:val="003508D6"/>
    <w:rsid w:val="00350DF0"/>
    <w:rsid w:val="00350ECB"/>
    <w:rsid w:val="003510E1"/>
    <w:rsid w:val="0035163E"/>
    <w:rsid w:val="00351C99"/>
    <w:rsid w:val="00351E7D"/>
    <w:rsid w:val="00351EB1"/>
    <w:rsid w:val="00352389"/>
    <w:rsid w:val="003523E1"/>
    <w:rsid w:val="003527CF"/>
    <w:rsid w:val="00352AF4"/>
    <w:rsid w:val="00352F32"/>
    <w:rsid w:val="003530CE"/>
    <w:rsid w:val="003532B5"/>
    <w:rsid w:val="00353378"/>
    <w:rsid w:val="003533C0"/>
    <w:rsid w:val="00353593"/>
    <w:rsid w:val="00353DCF"/>
    <w:rsid w:val="00353F01"/>
    <w:rsid w:val="00354153"/>
    <w:rsid w:val="00354469"/>
    <w:rsid w:val="00354CE6"/>
    <w:rsid w:val="00354D6F"/>
    <w:rsid w:val="003556D6"/>
    <w:rsid w:val="003558A4"/>
    <w:rsid w:val="00355A42"/>
    <w:rsid w:val="00355B14"/>
    <w:rsid w:val="003578A4"/>
    <w:rsid w:val="00357E94"/>
    <w:rsid w:val="00360A0F"/>
    <w:rsid w:val="00360D01"/>
    <w:rsid w:val="00360D9D"/>
    <w:rsid w:val="00360DBB"/>
    <w:rsid w:val="00361B97"/>
    <w:rsid w:val="00361DFF"/>
    <w:rsid w:val="00361F76"/>
    <w:rsid w:val="00362046"/>
    <w:rsid w:val="00362B44"/>
    <w:rsid w:val="00362DDE"/>
    <w:rsid w:val="00362FCC"/>
    <w:rsid w:val="003635E1"/>
    <w:rsid w:val="003638B8"/>
    <w:rsid w:val="0036416D"/>
    <w:rsid w:val="00364285"/>
    <w:rsid w:val="0036477E"/>
    <w:rsid w:val="003652CE"/>
    <w:rsid w:val="003653E8"/>
    <w:rsid w:val="00365A2F"/>
    <w:rsid w:val="00365F0F"/>
    <w:rsid w:val="0036717E"/>
    <w:rsid w:val="00367336"/>
    <w:rsid w:val="00367BB9"/>
    <w:rsid w:val="00370019"/>
    <w:rsid w:val="003700BF"/>
    <w:rsid w:val="00370D8A"/>
    <w:rsid w:val="00370DAA"/>
    <w:rsid w:val="003710AF"/>
    <w:rsid w:val="003715C5"/>
    <w:rsid w:val="00371AE4"/>
    <w:rsid w:val="003721B0"/>
    <w:rsid w:val="0037293F"/>
    <w:rsid w:val="003736F7"/>
    <w:rsid w:val="0037498C"/>
    <w:rsid w:val="00374F90"/>
    <w:rsid w:val="00375684"/>
    <w:rsid w:val="003758C9"/>
    <w:rsid w:val="003763E2"/>
    <w:rsid w:val="00376D80"/>
    <w:rsid w:val="003772BA"/>
    <w:rsid w:val="003772BD"/>
    <w:rsid w:val="00380047"/>
    <w:rsid w:val="0038087D"/>
    <w:rsid w:val="00380B1B"/>
    <w:rsid w:val="00380E92"/>
    <w:rsid w:val="0038146D"/>
    <w:rsid w:val="00381A6E"/>
    <w:rsid w:val="00382CB6"/>
    <w:rsid w:val="00382DA2"/>
    <w:rsid w:val="00383584"/>
    <w:rsid w:val="003835AB"/>
    <w:rsid w:val="00383E7D"/>
    <w:rsid w:val="003841CD"/>
    <w:rsid w:val="00384411"/>
    <w:rsid w:val="0038462A"/>
    <w:rsid w:val="00384B80"/>
    <w:rsid w:val="00384D48"/>
    <w:rsid w:val="00385142"/>
    <w:rsid w:val="0038534C"/>
    <w:rsid w:val="0038604E"/>
    <w:rsid w:val="00386117"/>
    <w:rsid w:val="0038671D"/>
    <w:rsid w:val="00386E40"/>
    <w:rsid w:val="003871DE"/>
    <w:rsid w:val="00387242"/>
    <w:rsid w:val="00387576"/>
    <w:rsid w:val="003903AE"/>
    <w:rsid w:val="00390875"/>
    <w:rsid w:val="00391D9E"/>
    <w:rsid w:val="003921D5"/>
    <w:rsid w:val="0039231F"/>
    <w:rsid w:val="003925FF"/>
    <w:rsid w:val="00392803"/>
    <w:rsid w:val="00392D20"/>
    <w:rsid w:val="00393403"/>
    <w:rsid w:val="00393416"/>
    <w:rsid w:val="00393B67"/>
    <w:rsid w:val="00393F88"/>
    <w:rsid w:val="00394204"/>
    <w:rsid w:val="00394612"/>
    <w:rsid w:val="00394D44"/>
    <w:rsid w:val="00394F2B"/>
    <w:rsid w:val="0039510C"/>
    <w:rsid w:val="0039616A"/>
    <w:rsid w:val="00396245"/>
    <w:rsid w:val="003965DD"/>
    <w:rsid w:val="00396B0B"/>
    <w:rsid w:val="00396D4B"/>
    <w:rsid w:val="00396FBE"/>
    <w:rsid w:val="0039728C"/>
    <w:rsid w:val="003976AD"/>
    <w:rsid w:val="0039775D"/>
    <w:rsid w:val="00397798"/>
    <w:rsid w:val="00397EBC"/>
    <w:rsid w:val="00397F50"/>
    <w:rsid w:val="00397F80"/>
    <w:rsid w:val="003A006E"/>
    <w:rsid w:val="003A1306"/>
    <w:rsid w:val="003A13B1"/>
    <w:rsid w:val="003A2D7E"/>
    <w:rsid w:val="003A2EA2"/>
    <w:rsid w:val="003A310E"/>
    <w:rsid w:val="003A3208"/>
    <w:rsid w:val="003A396B"/>
    <w:rsid w:val="003A4051"/>
    <w:rsid w:val="003A4163"/>
    <w:rsid w:val="003A4210"/>
    <w:rsid w:val="003A4D7E"/>
    <w:rsid w:val="003A560B"/>
    <w:rsid w:val="003A56FA"/>
    <w:rsid w:val="003A65DD"/>
    <w:rsid w:val="003A66F2"/>
    <w:rsid w:val="003A71AF"/>
    <w:rsid w:val="003A7302"/>
    <w:rsid w:val="003B05D9"/>
    <w:rsid w:val="003B076A"/>
    <w:rsid w:val="003B0CFD"/>
    <w:rsid w:val="003B129B"/>
    <w:rsid w:val="003B2233"/>
    <w:rsid w:val="003B2344"/>
    <w:rsid w:val="003B2608"/>
    <w:rsid w:val="003B2C7B"/>
    <w:rsid w:val="003B390E"/>
    <w:rsid w:val="003B3987"/>
    <w:rsid w:val="003B3A44"/>
    <w:rsid w:val="003B3C12"/>
    <w:rsid w:val="003B3C7F"/>
    <w:rsid w:val="003B443D"/>
    <w:rsid w:val="003B4C3D"/>
    <w:rsid w:val="003B4EAE"/>
    <w:rsid w:val="003B557D"/>
    <w:rsid w:val="003B6149"/>
    <w:rsid w:val="003B62F0"/>
    <w:rsid w:val="003B6EE2"/>
    <w:rsid w:val="003B708E"/>
    <w:rsid w:val="003B71FE"/>
    <w:rsid w:val="003B776D"/>
    <w:rsid w:val="003C00D8"/>
    <w:rsid w:val="003C0520"/>
    <w:rsid w:val="003C0857"/>
    <w:rsid w:val="003C0A68"/>
    <w:rsid w:val="003C0D76"/>
    <w:rsid w:val="003C1247"/>
    <w:rsid w:val="003C34D7"/>
    <w:rsid w:val="003C39B8"/>
    <w:rsid w:val="003C39C9"/>
    <w:rsid w:val="003C4840"/>
    <w:rsid w:val="003C4D8A"/>
    <w:rsid w:val="003C4E4D"/>
    <w:rsid w:val="003C592E"/>
    <w:rsid w:val="003C5E33"/>
    <w:rsid w:val="003C66AF"/>
    <w:rsid w:val="003C68A2"/>
    <w:rsid w:val="003C6A5B"/>
    <w:rsid w:val="003C6EAE"/>
    <w:rsid w:val="003C6ED1"/>
    <w:rsid w:val="003C71DE"/>
    <w:rsid w:val="003C7FDE"/>
    <w:rsid w:val="003D02EF"/>
    <w:rsid w:val="003D0417"/>
    <w:rsid w:val="003D05E3"/>
    <w:rsid w:val="003D0C78"/>
    <w:rsid w:val="003D0D77"/>
    <w:rsid w:val="003D1479"/>
    <w:rsid w:val="003D172C"/>
    <w:rsid w:val="003D28A4"/>
    <w:rsid w:val="003D4001"/>
    <w:rsid w:val="003D429E"/>
    <w:rsid w:val="003D4346"/>
    <w:rsid w:val="003D48B1"/>
    <w:rsid w:val="003D518F"/>
    <w:rsid w:val="003D561E"/>
    <w:rsid w:val="003D5ED3"/>
    <w:rsid w:val="003D6FD2"/>
    <w:rsid w:val="003D799E"/>
    <w:rsid w:val="003D7B43"/>
    <w:rsid w:val="003E0C5B"/>
    <w:rsid w:val="003E151A"/>
    <w:rsid w:val="003E2337"/>
    <w:rsid w:val="003E24C9"/>
    <w:rsid w:val="003E24D7"/>
    <w:rsid w:val="003E25B6"/>
    <w:rsid w:val="003E2E28"/>
    <w:rsid w:val="003E2F86"/>
    <w:rsid w:val="003E3756"/>
    <w:rsid w:val="003E3F09"/>
    <w:rsid w:val="003E3F3B"/>
    <w:rsid w:val="003E3FFF"/>
    <w:rsid w:val="003E45ED"/>
    <w:rsid w:val="003E4CDB"/>
    <w:rsid w:val="003E5052"/>
    <w:rsid w:val="003E5F45"/>
    <w:rsid w:val="003E63AE"/>
    <w:rsid w:val="003E66D9"/>
    <w:rsid w:val="003E6AF2"/>
    <w:rsid w:val="003E766A"/>
    <w:rsid w:val="003E7B50"/>
    <w:rsid w:val="003F056D"/>
    <w:rsid w:val="003F0BDD"/>
    <w:rsid w:val="003F1539"/>
    <w:rsid w:val="003F1A86"/>
    <w:rsid w:val="003F1BA3"/>
    <w:rsid w:val="003F2510"/>
    <w:rsid w:val="003F2635"/>
    <w:rsid w:val="003F37A7"/>
    <w:rsid w:val="003F408E"/>
    <w:rsid w:val="003F4483"/>
    <w:rsid w:val="003F44C0"/>
    <w:rsid w:val="003F49BA"/>
    <w:rsid w:val="003F4B08"/>
    <w:rsid w:val="003F53DA"/>
    <w:rsid w:val="003F56F8"/>
    <w:rsid w:val="003F5B35"/>
    <w:rsid w:val="003F5C04"/>
    <w:rsid w:val="003F5C62"/>
    <w:rsid w:val="003F5D2B"/>
    <w:rsid w:val="003F6AB7"/>
    <w:rsid w:val="004005C9"/>
    <w:rsid w:val="00400701"/>
    <w:rsid w:val="00400902"/>
    <w:rsid w:val="00401039"/>
    <w:rsid w:val="004011EB"/>
    <w:rsid w:val="004014DE"/>
    <w:rsid w:val="004014E4"/>
    <w:rsid w:val="00401781"/>
    <w:rsid w:val="0040194E"/>
    <w:rsid w:val="00401A0F"/>
    <w:rsid w:val="00402250"/>
    <w:rsid w:val="00402C63"/>
    <w:rsid w:val="00402DDC"/>
    <w:rsid w:val="00402F6D"/>
    <w:rsid w:val="00403475"/>
    <w:rsid w:val="00403516"/>
    <w:rsid w:val="004039C7"/>
    <w:rsid w:val="00403C09"/>
    <w:rsid w:val="0040445B"/>
    <w:rsid w:val="0040463A"/>
    <w:rsid w:val="0040539C"/>
    <w:rsid w:val="004059A0"/>
    <w:rsid w:val="004061EE"/>
    <w:rsid w:val="0040631D"/>
    <w:rsid w:val="00406681"/>
    <w:rsid w:val="00406695"/>
    <w:rsid w:val="00406864"/>
    <w:rsid w:val="0040711F"/>
    <w:rsid w:val="00407140"/>
    <w:rsid w:val="00407D98"/>
    <w:rsid w:val="00407E35"/>
    <w:rsid w:val="0041038F"/>
    <w:rsid w:val="00410D35"/>
    <w:rsid w:val="00411096"/>
    <w:rsid w:val="00411BB2"/>
    <w:rsid w:val="00411EFE"/>
    <w:rsid w:val="0041203C"/>
    <w:rsid w:val="0041221B"/>
    <w:rsid w:val="0041235F"/>
    <w:rsid w:val="004127E1"/>
    <w:rsid w:val="00414451"/>
    <w:rsid w:val="0041449C"/>
    <w:rsid w:val="00415372"/>
    <w:rsid w:val="00416965"/>
    <w:rsid w:val="00416A4B"/>
    <w:rsid w:val="0042098D"/>
    <w:rsid w:val="0042125D"/>
    <w:rsid w:val="00421E45"/>
    <w:rsid w:val="00422247"/>
    <w:rsid w:val="0042224B"/>
    <w:rsid w:val="00422522"/>
    <w:rsid w:val="00422782"/>
    <w:rsid w:val="00422F8D"/>
    <w:rsid w:val="004231C3"/>
    <w:rsid w:val="0042356F"/>
    <w:rsid w:val="00423E14"/>
    <w:rsid w:val="004246DA"/>
    <w:rsid w:val="00424FFF"/>
    <w:rsid w:val="0042539E"/>
    <w:rsid w:val="00425B2B"/>
    <w:rsid w:val="00425B62"/>
    <w:rsid w:val="00425F61"/>
    <w:rsid w:val="00426303"/>
    <w:rsid w:val="004266A5"/>
    <w:rsid w:val="00426B60"/>
    <w:rsid w:val="004273B0"/>
    <w:rsid w:val="004276A4"/>
    <w:rsid w:val="00427CE2"/>
    <w:rsid w:val="00427D40"/>
    <w:rsid w:val="00430604"/>
    <w:rsid w:val="004306FE"/>
    <w:rsid w:val="0043107C"/>
    <w:rsid w:val="00431181"/>
    <w:rsid w:val="00431F6D"/>
    <w:rsid w:val="0043204A"/>
    <w:rsid w:val="0043282E"/>
    <w:rsid w:val="004329B5"/>
    <w:rsid w:val="0043353B"/>
    <w:rsid w:val="004336CA"/>
    <w:rsid w:val="0043370B"/>
    <w:rsid w:val="00434392"/>
    <w:rsid w:val="00434B21"/>
    <w:rsid w:val="00435096"/>
    <w:rsid w:val="00435308"/>
    <w:rsid w:val="004354F5"/>
    <w:rsid w:val="00435D5E"/>
    <w:rsid w:val="00435D6E"/>
    <w:rsid w:val="00435FC1"/>
    <w:rsid w:val="0043604B"/>
    <w:rsid w:val="00436091"/>
    <w:rsid w:val="00436193"/>
    <w:rsid w:val="0043631F"/>
    <w:rsid w:val="00436893"/>
    <w:rsid w:val="00436AB1"/>
    <w:rsid w:val="00436D86"/>
    <w:rsid w:val="00436E65"/>
    <w:rsid w:val="00436F76"/>
    <w:rsid w:val="004370EB"/>
    <w:rsid w:val="004372B5"/>
    <w:rsid w:val="004372BA"/>
    <w:rsid w:val="004377C8"/>
    <w:rsid w:val="0043790F"/>
    <w:rsid w:val="00437BD5"/>
    <w:rsid w:val="00437CCC"/>
    <w:rsid w:val="00437DE2"/>
    <w:rsid w:val="00437F4C"/>
    <w:rsid w:val="0044012A"/>
    <w:rsid w:val="00440595"/>
    <w:rsid w:val="00440625"/>
    <w:rsid w:val="00440856"/>
    <w:rsid w:val="00440981"/>
    <w:rsid w:val="0044116D"/>
    <w:rsid w:val="0044131D"/>
    <w:rsid w:val="004416DD"/>
    <w:rsid w:val="00441EED"/>
    <w:rsid w:val="00441F0A"/>
    <w:rsid w:val="00442623"/>
    <w:rsid w:val="00442657"/>
    <w:rsid w:val="004431CB"/>
    <w:rsid w:val="0044326F"/>
    <w:rsid w:val="00443302"/>
    <w:rsid w:val="00443332"/>
    <w:rsid w:val="0044367B"/>
    <w:rsid w:val="004436EE"/>
    <w:rsid w:val="00444060"/>
    <w:rsid w:val="00444413"/>
    <w:rsid w:val="004444A2"/>
    <w:rsid w:val="00444816"/>
    <w:rsid w:val="00444871"/>
    <w:rsid w:val="004453E2"/>
    <w:rsid w:val="0044638F"/>
    <w:rsid w:val="0044689A"/>
    <w:rsid w:val="00446C9E"/>
    <w:rsid w:val="00446F57"/>
    <w:rsid w:val="004470DD"/>
    <w:rsid w:val="004475DC"/>
    <w:rsid w:val="004476E9"/>
    <w:rsid w:val="00447F17"/>
    <w:rsid w:val="00450004"/>
    <w:rsid w:val="004501A7"/>
    <w:rsid w:val="004514D3"/>
    <w:rsid w:val="0045159B"/>
    <w:rsid w:val="00452E8A"/>
    <w:rsid w:val="004531FF"/>
    <w:rsid w:val="004537EB"/>
    <w:rsid w:val="00454162"/>
    <w:rsid w:val="004556FF"/>
    <w:rsid w:val="00455769"/>
    <w:rsid w:val="0045591E"/>
    <w:rsid w:val="00455C69"/>
    <w:rsid w:val="00455D2E"/>
    <w:rsid w:val="00455E1F"/>
    <w:rsid w:val="00455E25"/>
    <w:rsid w:val="00456C62"/>
    <w:rsid w:val="00456F68"/>
    <w:rsid w:val="004606A4"/>
    <w:rsid w:val="00460C43"/>
    <w:rsid w:val="00460E97"/>
    <w:rsid w:val="00461159"/>
    <w:rsid w:val="00461269"/>
    <w:rsid w:val="00461B96"/>
    <w:rsid w:val="00462352"/>
    <w:rsid w:val="00462558"/>
    <w:rsid w:val="0046297E"/>
    <w:rsid w:val="00462A3C"/>
    <w:rsid w:val="00462E22"/>
    <w:rsid w:val="00463315"/>
    <w:rsid w:val="004639A4"/>
    <w:rsid w:val="00463AC9"/>
    <w:rsid w:val="00463BE1"/>
    <w:rsid w:val="00463FCB"/>
    <w:rsid w:val="0046489C"/>
    <w:rsid w:val="00464FD3"/>
    <w:rsid w:val="00465021"/>
    <w:rsid w:val="0046540E"/>
    <w:rsid w:val="00465A27"/>
    <w:rsid w:val="00466538"/>
    <w:rsid w:val="00467519"/>
    <w:rsid w:val="0046786D"/>
    <w:rsid w:val="0046797E"/>
    <w:rsid w:val="00467AEC"/>
    <w:rsid w:val="00467E5F"/>
    <w:rsid w:val="004708B9"/>
    <w:rsid w:val="00470CD2"/>
    <w:rsid w:val="00471271"/>
    <w:rsid w:val="00471363"/>
    <w:rsid w:val="004716AA"/>
    <w:rsid w:val="004716D4"/>
    <w:rsid w:val="00471B33"/>
    <w:rsid w:val="00472234"/>
    <w:rsid w:val="00472A00"/>
    <w:rsid w:val="004734A4"/>
    <w:rsid w:val="00473503"/>
    <w:rsid w:val="00473554"/>
    <w:rsid w:val="00473778"/>
    <w:rsid w:val="004746F7"/>
    <w:rsid w:val="00474A7F"/>
    <w:rsid w:val="00474CEB"/>
    <w:rsid w:val="00474EA4"/>
    <w:rsid w:val="0047530B"/>
    <w:rsid w:val="00475523"/>
    <w:rsid w:val="00475577"/>
    <w:rsid w:val="00475F20"/>
    <w:rsid w:val="0047639D"/>
    <w:rsid w:val="004765F6"/>
    <w:rsid w:val="004766E3"/>
    <w:rsid w:val="004769B6"/>
    <w:rsid w:val="00476B0E"/>
    <w:rsid w:val="004776A9"/>
    <w:rsid w:val="00477F3F"/>
    <w:rsid w:val="00480A25"/>
    <w:rsid w:val="00480EE5"/>
    <w:rsid w:val="00481424"/>
    <w:rsid w:val="00481775"/>
    <w:rsid w:val="00481EAC"/>
    <w:rsid w:val="00482AA3"/>
    <w:rsid w:val="00482E45"/>
    <w:rsid w:val="00482F12"/>
    <w:rsid w:val="00482F8F"/>
    <w:rsid w:val="00483364"/>
    <w:rsid w:val="00483765"/>
    <w:rsid w:val="004838B4"/>
    <w:rsid w:val="00483CA2"/>
    <w:rsid w:val="00484330"/>
    <w:rsid w:val="004847CF"/>
    <w:rsid w:val="00484C1B"/>
    <w:rsid w:val="00484CCB"/>
    <w:rsid w:val="00484F62"/>
    <w:rsid w:val="004850D0"/>
    <w:rsid w:val="00485145"/>
    <w:rsid w:val="004853DE"/>
    <w:rsid w:val="00485AAD"/>
    <w:rsid w:val="004860E6"/>
    <w:rsid w:val="004860FB"/>
    <w:rsid w:val="004861B3"/>
    <w:rsid w:val="0048629F"/>
    <w:rsid w:val="00486EF7"/>
    <w:rsid w:val="004871D3"/>
    <w:rsid w:val="00487236"/>
    <w:rsid w:val="00487687"/>
    <w:rsid w:val="004878E1"/>
    <w:rsid w:val="00487E97"/>
    <w:rsid w:val="00487EBA"/>
    <w:rsid w:val="00491AF2"/>
    <w:rsid w:val="00491BB7"/>
    <w:rsid w:val="00492A71"/>
    <w:rsid w:val="00492D39"/>
    <w:rsid w:val="00492D77"/>
    <w:rsid w:val="00492F6B"/>
    <w:rsid w:val="004934A1"/>
    <w:rsid w:val="004942C3"/>
    <w:rsid w:val="004949C7"/>
    <w:rsid w:val="00494ADD"/>
    <w:rsid w:val="00494EE9"/>
    <w:rsid w:val="00494F10"/>
    <w:rsid w:val="004950DB"/>
    <w:rsid w:val="00495512"/>
    <w:rsid w:val="00495A41"/>
    <w:rsid w:val="00495C8C"/>
    <w:rsid w:val="00495F14"/>
    <w:rsid w:val="00496547"/>
    <w:rsid w:val="004967C8"/>
    <w:rsid w:val="00496846"/>
    <w:rsid w:val="00496873"/>
    <w:rsid w:val="00496A4B"/>
    <w:rsid w:val="00496A8E"/>
    <w:rsid w:val="004970F5"/>
    <w:rsid w:val="00497423"/>
    <w:rsid w:val="00497565"/>
    <w:rsid w:val="00497871"/>
    <w:rsid w:val="004A06DE"/>
    <w:rsid w:val="004A0756"/>
    <w:rsid w:val="004A1863"/>
    <w:rsid w:val="004A18F7"/>
    <w:rsid w:val="004A27C3"/>
    <w:rsid w:val="004A31FA"/>
    <w:rsid w:val="004A320D"/>
    <w:rsid w:val="004A3343"/>
    <w:rsid w:val="004A3B6D"/>
    <w:rsid w:val="004A3F33"/>
    <w:rsid w:val="004A3FCB"/>
    <w:rsid w:val="004A43E0"/>
    <w:rsid w:val="004A486F"/>
    <w:rsid w:val="004A4D5C"/>
    <w:rsid w:val="004A4F69"/>
    <w:rsid w:val="004A51AA"/>
    <w:rsid w:val="004A5E0D"/>
    <w:rsid w:val="004A6766"/>
    <w:rsid w:val="004B0696"/>
    <w:rsid w:val="004B0727"/>
    <w:rsid w:val="004B0800"/>
    <w:rsid w:val="004B0A6B"/>
    <w:rsid w:val="004B0C07"/>
    <w:rsid w:val="004B0E0C"/>
    <w:rsid w:val="004B102B"/>
    <w:rsid w:val="004B1D4F"/>
    <w:rsid w:val="004B1FEA"/>
    <w:rsid w:val="004B21CD"/>
    <w:rsid w:val="004B2593"/>
    <w:rsid w:val="004B2E48"/>
    <w:rsid w:val="004B3047"/>
    <w:rsid w:val="004B380F"/>
    <w:rsid w:val="004B3FAE"/>
    <w:rsid w:val="004B401C"/>
    <w:rsid w:val="004B43FF"/>
    <w:rsid w:val="004B5127"/>
    <w:rsid w:val="004B5801"/>
    <w:rsid w:val="004B5A48"/>
    <w:rsid w:val="004B5C57"/>
    <w:rsid w:val="004B6D71"/>
    <w:rsid w:val="004B71E6"/>
    <w:rsid w:val="004B7517"/>
    <w:rsid w:val="004B75CB"/>
    <w:rsid w:val="004B7663"/>
    <w:rsid w:val="004B791E"/>
    <w:rsid w:val="004B7A47"/>
    <w:rsid w:val="004C0049"/>
    <w:rsid w:val="004C00AD"/>
    <w:rsid w:val="004C044E"/>
    <w:rsid w:val="004C1794"/>
    <w:rsid w:val="004C1A03"/>
    <w:rsid w:val="004C1FD1"/>
    <w:rsid w:val="004C23F0"/>
    <w:rsid w:val="004C240E"/>
    <w:rsid w:val="004C266E"/>
    <w:rsid w:val="004C2B62"/>
    <w:rsid w:val="004C2C5E"/>
    <w:rsid w:val="004C31FD"/>
    <w:rsid w:val="004C41AF"/>
    <w:rsid w:val="004C4B7A"/>
    <w:rsid w:val="004C5230"/>
    <w:rsid w:val="004C5373"/>
    <w:rsid w:val="004C5B2C"/>
    <w:rsid w:val="004C5EAF"/>
    <w:rsid w:val="004C600A"/>
    <w:rsid w:val="004C6EF8"/>
    <w:rsid w:val="004C7134"/>
    <w:rsid w:val="004C736B"/>
    <w:rsid w:val="004C7385"/>
    <w:rsid w:val="004D0144"/>
    <w:rsid w:val="004D014C"/>
    <w:rsid w:val="004D090E"/>
    <w:rsid w:val="004D09E7"/>
    <w:rsid w:val="004D0BD1"/>
    <w:rsid w:val="004D0EBF"/>
    <w:rsid w:val="004D1AF5"/>
    <w:rsid w:val="004D31A3"/>
    <w:rsid w:val="004D456D"/>
    <w:rsid w:val="004D45F0"/>
    <w:rsid w:val="004D4923"/>
    <w:rsid w:val="004D4E3B"/>
    <w:rsid w:val="004D53F4"/>
    <w:rsid w:val="004D545D"/>
    <w:rsid w:val="004D573A"/>
    <w:rsid w:val="004D5B8F"/>
    <w:rsid w:val="004D5F44"/>
    <w:rsid w:val="004D616C"/>
    <w:rsid w:val="004D61F7"/>
    <w:rsid w:val="004D621D"/>
    <w:rsid w:val="004D6264"/>
    <w:rsid w:val="004D667C"/>
    <w:rsid w:val="004D678F"/>
    <w:rsid w:val="004D68D5"/>
    <w:rsid w:val="004D69C9"/>
    <w:rsid w:val="004D6C85"/>
    <w:rsid w:val="004D721B"/>
    <w:rsid w:val="004D73D9"/>
    <w:rsid w:val="004D75BF"/>
    <w:rsid w:val="004D7E4F"/>
    <w:rsid w:val="004E0359"/>
    <w:rsid w:val="004E05BE"/>
    <w:rsid w:val="004E05CF"/>
    <w:rsid w:val="004E11B4"/>
    <w:rsid w:val="004E1638"/>
    <w:rsid w:val="004E1B7A"/>
    <w:rsid w:val="004E1BC4"/>
    <w:rsid w:val="004E1DAF"/>
    <w:rsid w:val="004E1FB4"/>
    <w:rsid w:val="004E22F5"/>
    <w:rsid w:val="004E25FF"/>
    <w:rsid w:val="004E28F2"/>
    <w:rsid w:val="004E3258"/>
    <w:rsid w:val="004E3BDC"/>
    <w:rsid w:val="004E3FA5"/>
    <w:rsid w:val="004E405C"/>
    <w:rsid w:val="004E406B"/>
    <w:rsid w:val="004E5785"/>
    <w:rsid w:val="004E5AD8"/>
    <w:rsid w:val="004E68EB"/>
    <w:rsid w:val="004E6F9E"/>
    <w:rsid w:val="004E702C"/>
    <w:rsid w:val="004E73F2"/>
    <w:rsid w:val="004E7C66"/>
    <w:rsid w:val="004E7CEA"/>
    <w:rsid w:val="004F0550"/>
    <w:rsid w:val="004F0AC7"/>
    <w:rsid w:val="004F0D03"/>
    <w:rsid w:val="004F0F6C"/>
    <w:rsid w:val="004F1884"/>
    <w:rsid w:val="004F1DAE"/>
    <w:rsid w:val="004F2801"/>
    <w:rsid w:val="004F2B52"/>
    <w:rsid w:val="004F3566"/>
    <w:rsid w:val="004F3715"/>
    <w:rsid w:val="004F3865"/>
    <w:rsid w:val="004F4AD5"/>
    <w:rsid w:val="004F4D08"/>
    <w:rsid w:val="004F50DD"/>
    <w:rsid w:val="004F55E6"/>
    <w:rsid w:val="004F5A21"/>
    <w:rsid w:val="004F648A"/>
    <w:rsid w:val="004F68F1"/>
    <w:rsid w:val="004F6915"/>
    <w:rsid w:val="004F6981"/>
    <w:rsid w:val="004F6FB7"/>
    <w:rsid w:val="004F7E0C"/>
    <w:rsid w:val="00500D7C"/>
    <w:rsid w:val="00500D86"/>
    <w:rsid w:val="005015C5"/>
    <w:rsid w:val="00501724"/>
    <w:rsid w:val="00501E7C"/>
    <w:rsid w:val="00502593"/>
    <w:rsid w:val="00502E00"/>
    <w:rsid w:val="00504328"/>
    <w:rsid w:val="00505170"/>
    <w:rsid w:val="00505709"/>
    <w:rsid w:val="005058D3"/>
    <w:rsid w:val="00505BC7"/>
    <w:rsid w:val="00505CD4"/>
    <w:rsid w:val="00506646"/>
    <w:rsid w:val="005067B2"/>
    <w:rsid w:val="00506DC5"/>
    <w:rsid w:val="005071A7"/>
    <w:rsid w:val="00507961"/>
    <w:rsid w:val="00507D17"/>
    <w:rsid w:val="00507EA6"/>
    <w:rsid w:val="00507FED"/>
    <w:rsid w:val="005107D0"/>
    <w:rsid w:val="00510A37"/>
    <w:rsid w:val="00511223"/>
    <w:rsid w:val="0051176D"/>
    <w:rsid w:val="0051195B"/>
    <w:rsid w:val="00511AF7"/>
    <w:rsid w:val="00512165"/>
    <w:rsid w:val="005127E6"/>
    <w:rsid w:val="0051362C"/>
    <w:rsid w:val="00513638"/>
    <w:rsid w:val="00513674"/>
    <w:rsid w:val="005136A0"/>
    <w:rsid w:val="005136F4"/>
    <w:rsid w:val="005137AE"/>
    <w:rsid w:val="005141E6"/>
    <w:rsid w:val="005142C1"/>
    <w:rsid w:val="005143A3"/>
    <w:rsid w:val="00514A26"/>
    <w:rsid w:val="00514DF6"/>
    <w:rsid w:val="00515854"/>
    <w:rsid w:val="00515B9E"/>
    <w:rsid w:val="005162C4"/>
    <w:rsid w:val="005165FA"/>
    <w:rsid w:val="005169DB"/>
    <w:rsid w:val="0051707F"/>
    <w:rsid w:val="0051741C"/>
    <w:rsid w:val="00517786"/>
    <w:rsid w:val="00517E3D"/>
    <w:rsid w:val="0052079F"/>
    <w:rsid w:val="005214DD"/>
    <w:rsid w:val="00521DF8"/>
    <w:rsid w:val="005223DF"/>
    <w:rsid w:val="005227A3"/>
    <w:rsid w:val="005232A6"/>
    <w:rsid w:val="00523309"/>
    <w:rsid w:val="00523D34"/>
    <w:rsid w:val="00524051"/>
    <w:rsid w:val="00525096"/>
    <w:rsid w:val="005251C1"/>
    <w:rsid w:val="00525295"/>
    <w:rsid w:val="00525865"/>
    <w:rsid w:val="00525CC8"/>
    <w:rsid w:val="00525E28"/>
    <w:rsid w:val="00526021"/>
    <w:rsid w:val="00526577"/>
    <w:rsid w:val="0052665A"/>
    <w:rsid w:val="0052698D"/>
    <w:rsid w:val="00526A12"/>
    <w:rsid w:val="00526F1A"/>
    <w:rsid w:val="0052718C"/>
    <w:rsid w:val="00527B27"/>
    <w:rsid w:val="005307E8"/>
    <w:rsid w:val="00530804"/>
    <w:rsid w:val="00530EE5"/>
    <w:rsid w:val="005318FF"/>
    <w:rsid w:val="00532057"/>
    <w:rsid w:val="00532919"/>
    <w:rsid w:val="00532A95"/>
    <w:rsid w:val="00532D57"/>
    <w:rsid w:val="00532E67"/>
    <w:rsid w:val="005334F2"/>
    <w:rsid w:val="00533984"/>
    <w:rsid w:val="00533C7C"/>
    <w:rsid w:val="005343ED"/>
    <w:rsid w:val="00534831"/>
    <w:rsid w:val="005355BF"/>
    <w:rsid w:val="00535D6A"/>
    <w:rsid w:val="005365BB"/>
    <w:rsid w:val="00536D52"/>
    <w:rsid w:val="005375B3"/>
    <w:rsid w:val="00540227"/>
    <w:rsid w:val="0054046D"/>
    <w:rsid w:val="005404EF"/>
    <w:rsid w:val="005409B0"/>
    <w:rsid w:val="00540D21"/>
    <w:rsid w:val="00540F32"/>
    <w:rsid w:val="00541D34"/>
    <w:rsid w:val="0054211C"/>
    <w:rsid w:val="005435CC"/>
    <w:rsid w:val="00543602"/>
    <w:rsid w:val="00543EE7"/>
    <w:rsid w:val="005442AC"/>
    <w:rsid w:val="0054447B"/>
    <w:rsid w:val="00544A45"/>
    <w:rsid w:val="00544DB7"/>
    <w:rsid w:val="00545291"/>
    <w:rsid w:val="00545784"/>
    <w:rsid w:val="00545982"/>
    <w:rsid w:val="00545E33"/>
    <w:rsid w:val="00546E52"/>
    <w:rsid w:val="00546EA7"/>
    <w:rsid w:val="00546EC6"/>
    <w:rsid w:val="00546F4D"/>
    <w:rsid w:val="00546F8D"/>
    <w:rsid w:val="00547305"/>
    <w:rsid w:val="0054746E"/>
    <w:rsid w:val="0054791A"/>
    <w:rsid w:val="00547939"/>
    <w:rsid w:val="00547D40"/>
    <w:rsid w:val="0055009A"/>
    <w:rsid w:val="00550137"/>
    <w:rsid w:val="005502D1"/>
    <w:rsid w:val="0055061A"/>
    <w:rsid w:val="005507FA"/>
    <w:rsid w:val="00550BE2"/>
    <w:rsid w:val="0055136B"/>
    <w:rsid w:val="005515C2"/>
    <w:rsid w:val="005515E6"/>
    <w:rsid w:val="00551675"/>
    <w:rsid w:val="00551811"/>
    <w:rsid w:val="00551CB5"/>
    <w:rsid w:val="005523A8"/>
    <w:rsid w:val="005524E9"/>
    <w:rsid w:val="00553312"/>
    <w:rsid w:val="005538F1"/>
    <w:rsid w:val="00553976"/>
    <w:rsid w:val="00553CE0"/>
    <w:rsid w:val="00553ED8"/>
    <w:rsid w:val="00553F0E"/>
    <w:rsid w:val="00553FEF"/>
    <w:rsid w:val="00554597"/>
    <w:rsid w:val="005548F3"/>
    <w:rsid w:val="0055558F"/>
    <w:rsid w:val="005557AD"/>
    <w:rsid w:val="00555AF2"/>
    <w:rsid w:val="00555B12"/>
    <w:rsid w:val="0055689A"/>
    <w:rsid w:val="0055701A"/>
    <w:rsid w:val="00557D3E"/>
    <w:rsid w:val="00560249"/>
    <w:rsid w:val="005602F8"/>
    <w:rsid w:val="0056095F"/>
    <w:rsid w:val="00560E0C"/>
    <w:rsid w:val="005613BB"/>
    <w:rsid w:val="00561473"/>
    <w:rsid w:val="005631AB"/>
    <w:rsid w:val="00563551"/>
    <w:rsid w:val="0056360D"/>
    <w:rsid w:val="00563940"/>
    <w:rsid w:val="00563BFB"/>
    <w:rsid w:val="0056400E"/>
    <w:rsid w:val="0056404F"/>
    <w:rsid w:val="005647E7"/>
    <w:rsid w:val="00564927"/>
    <w:rsid w:val="00564C9E"/>
    <w:rsid w:val="00565465"/>
    <w:rsid w:val="0056669D"/>
    <w:rsid w:val="00567032"/>
    <w:rsid w:val="00567503"/>
    <w:rsid w:val="00567667"/>
    <w:rsid w:val="00567C84"/>
    <w:rsid w:val="00570C7C"/>
    <w:rsid w:val="00570FB0"/>
    <w:rsid w:val="00571002"/>
    <w:rsid w:val="005711DC"/>
    <w:rsid w:val="00571E81"/>
    <w:rsid w:val="00572088"/>
    <w:rsid w:val="005720DE"/>
    <w:rsid w:val="00573138"/>
    <w:rsid w:val="00573166"/>
    <w:rsid w:val="005734E3"/>
    <w:rsid w:val="0057353A"/>
    <w:rsid w:val="005735E0"/>
    <w:rsid w:val="00573B90"/>
    <w:rsid w:val="00574825"/>
    <w:rsid w:val="00574869"/>
    <w:rsid w:val="005748D0"/>
    <w:rsid w:val="005757B8"/>
    <w:rsid w:val="00575849"/>
    <w:rsid w:val="00575AC9"/>
    <w:rsid w:val="00576A20"/>
    <w:rsid w:val="005771ED"/>
    <w:rsid w:val="00577C0F"/>
    <w:rsid w:val="005808ED"/>
    <w:rsid w:val="005809DD"/>
    <w:rsid w:val="00580E9C"/>
    <w:rsid w:val="00580F0C"/>
    <w:rsid w:val="00580FD9"/>
    <w:rsid w:val="00581B90"/>
    <w:rsid w:val="00581C0F"/>
    <w:rsid w:val="005820B0"/>
    <w:rsid w:val="00582203"/>
    <w:rsid w:val="0058246E"/>
    <w:rsid w:val="00583F8B"/>
    <w:rsid w:val="00584B85"/>
    <w:rsid w:val="00587F4F"/>
    <w:rsid w:val="00590152"/>
    <w:rsid w:val="00590584"/>
    <w:rsid w:val="00590A98"/>
    <w:rsid w:val="00590AD3"/>
    <w:rsid w:val="00590AD4"/>
    <w:rsid w:val="00590EDC"/>
    <w:rsid w:val="00590FF8"/>
    <w:rsid w:val="00591419"/>
    <w:rsid w:val="005915B6"/>
    <w:rsid w:val="00592484"/>
    <w:rsid w:val="00592540"/>
    <w:rsid w:val="00592C1E"/>
    <w:rsid w:val="00592D5A"/>
    <w:rsid w:val="00593594"/>
    <w:rsid w:val="0059387B"/>
    <w:rsid w:val="005942B3"/>
    <w:rsid w:val="00594462"/>
    <w:rsid w:val="005951B1"/>
    <w:rsid w:val="0059548D"/>
    <w:rsid w:val="00595B27"/>
    <w:rsid w:val="0059610B"/>
    <w:rsid w:val="00596701"/>
    <w:rsid w:val="005967E0"/>
    <w:rsid w:val="005969AB"/>
    <w:rsid w:val="00596DE9"/>
    <w:rsid w:val="00597202"/>
    <w:rsid w:val="005972B5"/>
    <w:rsid w:val="0059743C"/>
    <w:rsid w:val="0059768B"/>
    <w:rsid w:val="005A002A"/>
    <w:rsid w:val="005A026D"/>
    <w:rsid w:val="005A02C6"/>
    <w:rsid w:val="005A0CB7"/>
    <w:rsid w:val="005A113B"/>
    <w:rsid w:val="005A15DB"/>
    <w:rsid w:val="005A1B55"/>
    <w:rsid w:val="005A2954"/>
    <w:rsid w:val="005A2AE7"/>
    <w:rsid w:val="005A30EC"/>
    <w:rsid w:val="005A312D"/>
    <w:rsid w:val="005A32A2"/>
    <w:rsid w:val="005A3475"/>
    <w:rsid w:val="005A3638"/>
    <w:rsid w:val="005A39CF"/>
    <w:rsid w:val="005A4FBB"/>
    <w:rsid w:val="005A5166"/>
    <w:rsid w:val="005A5568"/>
    <w:rsid w:val="005A597D"/>
    <w:rsid w:val="005A67C5"/>
    <w:rsid w:val="005A6CAE"/>
    <w:rsid w:val="005A7016"/>
    <w:rsid w:val="005A7A10"/>
    <w:rsid w:val="005A7E09"/>
    <w:rsid w:val="005B04E8"/>
    <w:rsid w:val="005B0CB6"/>
    <w:rsid w:val="005B101A"/>
    <w:rsid w:val="005B1546"/>
    <w:rsid w:val="005B1A26"/>
    <w:rsid w:val="005B1C9A"/>
    <w:rsid w:val="005B25A8"/>
    <w:rsid w:val="005B29EC"/>
    <w:rsid w:val="005B35BE"/>
    <w:rsid w:val="005B376C"/>
    <w:rsid w:val="005B39E2"/>
    <w:rsid w:val="005B3EF9"/>
    <w:rsid w:val="005B44BC"/>
    <w:rsid w:val="005B495E"/>
    <w:rsid w:val="005B4D56"/>
    <w:rsid w:val="005B4F50"/>
    <w:rsid w:val="005B5099"/>
    <w:rsid w:val="005B5980"/>
    <w:rsid w:val="005B600F"/>
    <w:rsid w:val="005B6192"/>
    <w:rsid w:val="005B658B"/>
    <w:rsid w:val="005B660E"/>
    <w:rsid w:val="005B6810"/>
    <w:rsid w:val="005B7000"/>
    <w:rsid w:val="005B734F"/>
    <w:rsid w:val="005C024E"/>
    <w:rsid w:val="005C04C3"/>
    <w:rsid w:val="005C0D10"/>
    <w:rsid w:val="005C1738"/>
    <w:rsid w:val="005C1F65"/>
    <w:rsid w:val="005C22D7"/>
    <w:rsid w:val="005C2DCB"/>
    <w:rsid w:val="005C3201"/>
    <w:rsid w:val="005C38E5"/>
    <w:rsid w:val="005C39F6"/>
    <w:rsid w:val="005C3DB7"/>
    <w:rsid w:val="005C3F4D"/>
    <w:rsid w:val="005C458C"/>
    <w:rsid w:val="005C45E2"/>
    <w:rsid w:val="005C474E"/>
    <w:rsid w:val="005C4F80"/>
    <w:rsid w:val="005C4FBD"/>
    <w:rsid w:val="005C52D5"/>
    <w:rsid w:val="005C5759"/>
    <w:rsid w:val="005C5CDF"/>
    <w:rsid w:val="005C5FC1"/>
    <w:rsid w:val="005C62BB"/>
    <w:rsid w:val="005C64F3"/>
    <w:rsid w:val="005C6588"/>
    <w:rsid w:val="005C6DBC"/>
    <w:rsid w:val="005C6FF2"/>
    <w:rsid w:val="005C7032"/>
    <w:rsid w:val="005C7A96"/>
    <w:rsid w:val="005D0005"/>
    <w:rsid w:val="005D032C"/>
    <w:rsid w:val="005D0756"/>
    <w:rsid w:val="005D120C"/>
    <w:rsid w:val="005D139E"/>
    <w:rsid w:val="005D13A0"/>
    <w:rsid w:val="005D19EA"/>
    <w:rsid w:val="005D1AC6"/>
    <w:rsid w:val="005D1EF1"/>
    <w:rsid w:val="005D2143"/>
    <w:rsid w:val="005D2732"/>
    <w:rsid w:val="005D2948"/>
    <w:rsid w:val="005D29C8"/>
    <w:rsid w:val="005D2AEE"/>
    <w:rsid w:val="005D2B17"/>
    <w:rsid w:val="005D3053"/>
    <w:rsid w:val="005D346D"/>
    <w:rsid w:val="005D4193"/>
    <w:rsid w:val="005D45F0"/>
    <w:rsid w:val="005D4CFF"/>
    <w:rsid w:val="005D52DD"/>
    <w:rsid w:val="005D5616"/>
    <w:rsid w:val="005D5DF3"/>
    <w:rsid w:val="005D5EE2"/>
    <w:rsid w:val="005D6479"/>
    <w:rsid w:val="005D69FC"/>
    <w:rsid w:val="005D7391"/>
    <w:rsid w:val="005D75CD"/>
    <w:rsid w:val="005D7EE5"/>
    <w:rsid w:val="005D7FC7"/>
    <w:rsid w:val="005E1265"/>
    <w:rsid w:val="005E1782"/>
    <w:rsid w:val="005E185D"/>
    <w:rsid w:val="005E1BFD"/>
    <w:rsid w:val="005E1D81"/>
    <w:rsid w:val="005E1DDB"/>
    <w:rsid w:val="005E2079"/>
    <w:rsid w:val="005E2507"/>
    <w:rsid w:val="005E3454"/>
    <w:rsid w:val="005E3CB1"/>
    <w:rsid w:val="005E3F10"/>
    <w:rsid w:val="005E3FFD"/>
    <w:rsid w:val="005E4378"/>
    <w:rsid w:val="005E4927"/>
    <w:rsid w:val="005E49A7"/>
    <w:rsid w:val="005E49C0"/>
    <w:rsid w:val="005E4C15"/>
    <w:rsid w:val="005E4E28"/>
    <w:rsid w:val="005E4E90"/>
    <w:rsid w:val="005E55EA"/>
    <w:rsid w:val="005E58A3"/>
    <w:rsid w:val="005E63E3"/>
    <w:rsid w:val="005E7126"/>
    <w:rsid w:val="005E743B"/>
    <w:rsid w:val="005E785C"/>
    <w:rsid w:val="005F0030"/>
    <w:rsid w:val="005F00D5"/>
    <w:rsid w:val="005F0358"/>
    <w:rsid w:val="005F0431"/>
    <w:rsid w:val="005F048A"/>
    <w:rsid w:val="005F0F0E"/>
    <w:rsid w:val="005F1802"/>
    <w:rsid w:val="005F1DF2"/>
    <w:rsid w:val="005F227B"/>
    <w:rsid w:val="005F2C9B"/>
    <w:rsid w:val="005F371C"/>
    <w:rsid w:val="005F39AA"/>
    <w:rsid w:val="005F39D1"/>
    <w:rsid w:val="005F3D92"/>
    <w:rsid w:val="005F464A"/>
    <w:rsid w:val="005F46D4"/>
    <w:rsid w:val="005F4CB7"/>
    <w:rsid w:val="005F4D77"/>
    <w:rsid w:val="005F4DD5"/>
    <w:rsid w:val="005F5095"/>
    <w:rsid w:val="005F5166"/>
    <w:rsid w:val="005F5509"/>
    <w:rsid w:val="005F60DA"/>
    <w:rsid w:val="005F6AB2"/>
    <w:rsid w:val="005F71EE"/>
    <w:rsid w:val="005F74DC"/>
    <w:rsid w:val="006001C0"/>
    <w:rsid w:val="00600341"/>
    <w:rsid w:val="0060109F"/>
    <w:rsid w:val="006015C4"/>
    <w:rsid w:val="00602109"/>
    <w:rsid w:val="0060237C"/>
    <w:rsid w:val="00602840"/>
    <w:rsid w:val="00602F35"/>
    <w:rsid w:val="006037DD"/>
    <w:rsid w:val="00603C6F"/>
    <w:rsid w:val="00603D68"/>
    <w:rsid w:val="00604564"/>
    <w:rsid w:val="006048FE"/>
    <w:rsid w:val="00604D29"/>
    <w:rsid w:val="00604D9D"/>
    <w:rsid w:val="00604E62"/>
    <w:rsid w:val="00604E6E"/>
    <w:rsid w:val="006052F0"/>
    <w:rsid w:val="006053CC"/>
    <w:rsid w:val="00605497"/>
    <w:rsid w:val="0060574D"/>
    <w:rsid w:val="00606128"/>
    <w:rsid w:val="0060669B"/>
    <w:rsid w:val="00606B78"/>
    <w:rsid w:val="00606C3C"/>
    <w:rsid w:val="00606E90"/>
    <w:rsid w:val="006076A8"/>
    <w:rsid w:val="0060781B"/>
    <w:rsid w:val="006109F5"/>
    <w:rsid w:val="006115AC"/>
    <w:rsid w:val="006117FD"/>
    <w:rsid w:val="00611E6D"/>
    <w:rsid w:val="00612193"/>
    <w:rsid w:val="0061252D"/>
    <w:rsid w:val="006127DD"/>
    <w:rsid w:val="00612C06"/>
    <w:rsid w:val="00612E5C"/>
    <w:rsid w:val="00613000"/>
    <w:rsid w:val="006131B6"/>
    <w:rsid w:val="0061331D"/>
    <w:rsid w:val="00613920"/>
    <w:rsid w:val="00613D69"/>
    <w:rsid w:val="00614236"/>
    <w:rsid w:val="006143BB"/>
    <w:rsid w:val="0061449A"/>
    <w:rsid w:val="00614545"/>
    <w:rsid w:val="006147FA"/>
    <w:rsid w:val="00614C60"/>
    <w:rsid w:val="00614D77"/>
    <w:rsid w:val="00615880"/>
    <w:rsid w:val="006159DD"/>
    <w:rsid w:val="00615CAF"/>
    <w:rsid w:val="00615D6A"/>
    <w:rsid w:val="00615E0F"/>
    <w:rsid w:val="00616C35"/>
    <w:rsid w:val="006175D1"/>
    <w:rsid w:val="006175E9"/>
    <w:rsid w:val="006179F4"/>
    <w:rsid w:val="00617B2B"/>
    <w:rsid w:val="006200DA"/>
    <w:rsid w:val="006205A0"/>
    <w:rsid w:val="006218E7"/>
    <w:rsid w:val="00621C9F"/>
    <w:rsid w:val="00622F41"/>
    <w:rsid w:val="006231FD"/>
    <w:rsid w:val="00623512"/>
    <w:rsid w:val="006239EF"/>
    <w:rsid w:val="00623D2C"/>
    <w:rsid w:val="00624400"/>
    <w:rsid w:val="00624611"/>
    <w:rsid w:val="00624AD6"/>
    <w:rsid w:val="00624C50"/>
    <w:rsid w:val="00624D5D"/>
    <w:rsid w:val="00625BC2"/>
    <w:rsid w:val="00626488"/>
    <w:rsid w:val="0062658E"/>
    <w:rsid w:val="00626A7D"/>
    <w:rsid w:val="00626B3D"/>
    <w:rsid w:val="00626E47"/>
    <w:rsid w:val="00627E76"/>
    <w:rsid w:val="00627FCD"/>
    <w:rsid w:val="00630130"/>
    <w:rsid w:val="00630184"/>
    <w:rsid w:val="0063020D"/>
    <w:rsid w:val="006302C8"/>
    <w:rsid w:val="00630408"/>
    <w:rsid w:val="006304CF"/>
    <w:rsid w:val="006313C5"/>
    <w:rsid w:val="0063160F"/>
    <w:rsid w:val="00631C83"/>
    <w:rsid w:val="00631E0A"/>
    <w:rsid w:val="0063224B"/>
    <w:rsid w:val="00632334"/>
    <w:rsid w:val="006325BB"/>
    <w:rsid w:val="00632A7C"/>
    <w:rsid w:val="00632DC1"/>
    <w:rsid w:val="00632DE0"/>
    <w:rsid w:val="00633517"/>
    <w:rsid w:val="0063364F"/>
    <w:rsid w:val="0063365C"/>
    <w:rsid w:val="00633808"/>
    <w:rsid w:val="00633AF3"/>
    <w:rsid w:val="00634362"/>
    <w:rsid w:val="00634DF9"/>
    <w:rsid w:val="00634EBF"/>
    <w:rsid w:val="00635029"/>
    <w:rsid w:val="0063540A"/>
    <w:rsid w:val="0063567B"/>
    <w:rsid w:val="00635744"/>
    <w:rsid w:val="00635CB3"/>
    <w:rsid w:val="00635E4A"/>
    <w:rsid w:val="00635F54"/>
    <w:rsid w:val="006360FA"/>
    <w:rsid w:val="00637BED"/>
    <w:rsid w:val="00640BB7"/>
    <w:rsid w:val="00640D42"/>
    <w:rsid w:val="00641968"/>
    <w:rsid w:val="00641B7C"/>
    <w:rsid w:val="00641CD8"/>
    <w:rsid w:val="006426B4"/>
    <w:rsid w:val="00642C10"/>
    <w:rsid w:val="00642DA2"/>
    <w:rsid w:val="00642EB7"/>
    <w:rsid w:val="00642F81"/>
    <w:rsid w:val="006430C1"/>
    <w:rsid w:val="00643EEF"/>
    <w:rsid w:val="006441CD"/>
    <w:rsid w:val="00644448"/>
    <w:rsid w:val="00645B37"/>
    <w:rsid w:val="006461AF"/>
    <w:rsid w:val="0064688D"/>
    <w:rsid w:val="00647942"/>
    <w:rsid w:val="00647CB2"/>
    <w:rsid w:val="00650255"/>
    <w:rsid w:val="006509E2"/>
    <w:rsid w:val="00650B22"/>
    <w:rsid w:val="00650C2E"/>
    <w:rsid w:val="00650CBD"/>
    <w:rsid w:val="00651853"/>
    <w:rsid w:val="00651B17"/>
    <w:rsid w:val="00651C68"/>
    <w:rsid w:val="00652135"/>
    <w:rsid w:val="00652392"/>
    <w:rsid w:val="00652B9B"/>
    <w:rsid w:val="00652DF9"/>
    <w:rsid w:val="00653730"/>
    <w:rsid w:val="0065525A"/>
    <w:rsid w:val="00655F75"/>
    <w:rsid w:val="00656136"/>
    <w:rsid w:val="006562E4"/>
    <w:rsid w:val="00656BEA"/>
    <w:rsid w:val="006571CF"/>
    <w:rsid w:val="00657837"/>
    <w:rsid w:val="00657B71"/>
    <w:rsid w:val="006602C9"/>
    <w:rsid w:val="006606C5"/>
    <w:rsid w:val="006608DB"/>
    <w:rsid w:val="00660F41"/>
    <w:rsid w:val="00661330"/>
    <w:rsid w:val="0066150B"/>
    <w:rsid w:val="0066185B"/>
    <w:rsid w:val="00661BAE"/>
    <w:rsid w:val="006623B9"/>
    <w:rsid w:val="0066271A"/>
    <w:rsid w:val="00662C9B"/>
    <w:rsid w:val="00662DB9"/>
    <w:rsid w:val="00662DF7"/>
    <w:rsid w:val="00662FEC"/>
    <w:rsid w:val="006631C9"/>
    <w:rsid w:val="006637EA"/>
    <w:rsid w:val="0066391A"/>
    <w:rsid w:val="00663B7D"/>
    <w:rsid w:val="00663FD3"/>
    <w:rsid w:val="006647A2"/>
    <w:rsid w:val="0066482E"/>
    <w:rsid w:val="00664C6B"/>
    <w:rsid w:val="006654A4"/>
    <w:rsid w:val="0066559A"/>
    <w:rsid w:val="00665E83"/>
    <w:rsid w:val="00665F09"/>
    <w:rsid w:val="00666012"/>
    <w:rsid w:val="00666233"/>
    <w:rsid w:val="00666470"/>
    <w:rsid w:val="00666FA3"/>
    <w:rsid w:val="006674F8"/>
    <w:rsid w:val="0066758D"/>
    <w:rsid w:val="00667777"/>
    <w:rsid w:val="00667829"/>
    <w:rsid w:val="00667941"/>
    <w:rsid w:val="00667D24"/>
    <w:rsid w:val="00667F98"/>
    <w:rsid w:val="00670429"/>
    <w:rsid w:val="006713F1"/>
    <w:rsid w:val="006715A5"/>
    <w:rsid w:val="00671613"/>
    <w:rsid w:val="00671D68"/>
    <w:rsid w:val="00671FF7"/>
    <w:rsid w:val="00672062"/>
    <w:rsid w:val="006721C0"/>
    <w:rsid w:val="00672C3F"/>
    <w:rsid w:val="00673481"/>
    <w:rsid w:val="006734DC"/>
    <w:rsid w:val="00673A20"/>
    <w:rsid w:val="00673C92"/>
    <w:rsid w:val="00673D8A"/>
    <w:rsid w:val="00674441"/>
    <w:rsid w:val="0067447B"/>
    <w:rsid w:val="0067514F"/>
    <w:rsid w:val="006757C8"/>
    <w:rsid w:val="00675980"/>
    <w:rsid w:val="00675A61"/>
    <w:rsid w:val="00675D82"/>
    <w:rsid w:val="00675E39"/>
    <w:rsid w:val="00675F73"/>
    <w:rsid w:val="006766AD"/>
    <w:rsid w:val="00676DAE"/>
    <w:rsid w:val="0068042D"/>
    <w:rsid w:val="0068046D"/>
    <w:rsid w:val="006805EB"/>
    <w:rsid w:val="006807D4"/>
    <w:rsid w:val="00680DF0"/>
    <w:rsid w:val="00681226"/>
    <w:rsid w:val="006814C5"/>
    <w:rsid w:val="006816E1"/>
    <w:rsid w:val="006817A2"/>
    <w:rsid w:val="00681B44"/>
    <w:rsid w:val="00682462"/>
    <w:rsid w:val="00682468"/>
    <w:rsid w:val="00682A1A"/>
    <w:rsid w:val="00683007"/>
    <w:rsid w:val="0068315E"/>
    <w:rsid w:val="00683662"/>
    <w:rsid w:val="00683A75"/>
    <w:rsid w:val="00684741"/>
    <w:rsid w:val="0068556B"/>
    <w:rsid w:val="006856F2"/>
    <w:rsid w:val="00685AD3"/>
    <w:rsid w:val="00685AF3"/>
    <w:rsid w:val="00685AFB"/>
    <w:rsid w:val="00685F3E"/>
    <w:rsid w:val="0068687E"/>
    <w:rsid w:val="00686B8F"/>
    <w:rsid w:val="00686F22"/>
    <w:rsid w:val="00686F3B"/>
    <w:rsid w:val="006878F5"/>
    <w:rsid w:val="00687E8F"/>
    <w:rsid w:val="00690C59"/>
    <w:rsid w:val="00691B82"/>
    <w:rsid w:val="00691CF5"/>
    <w:rsid w:val="00691DAC"/>
    <w:rsid w:val="0069249A"/>
    <w:rsid w:val="0069296F"/>
    <w:rsid w:val="00692AF1"/>
    <w:rsid w:val="00692E45"/>
    <w:rsid w:val="0069306B"/>
    <w:rsid w:val="00693B1C"/>
    <w:rsid w:val="006942A9"/>
    <w:rsid w:val="00694C0D"/>
    <w:rsid w:val="00694ED8"/>
    <w:rsid w:val="006954CC"/>
    <w:rsid w:val="00695CA6"/>
    <w:rsid w:val="00696259"/>
    <w:rsid w:val="00696353"/>
    <w:rsid w:val="00696639"/>
    <w:rsid w:val="006969A0"/>
    <w:rsid w:val="00696BC5"/>
    <w:rsid w:val="00696C31"/>
    <w:rsid w:val="00696DB9"/>
    <w:rsid w:val="00697887"/>
    <w:rsid w:val="006A0060"/>
    <w:rsid w:val="006A027D"/>
    <w:rsid w:val="006A03D5"/>
    <w:rsid w:val="006A04B6"/>
    <w:rsid w:val="006A0B24"/>
    <w:rsid w:val="006A14A6"/>
    <w:rsid w:val="006A1A2C"/>
    <w:rsid w:val="006A1DFE"/>
    <w:rsid w:val="006A2737"/>
    <w:rsid w:val="006A2937"/>
    <w:rsid w:val="006A2BA0"/>
    <w:rsid w:val="006A3B51"/>
    <w:rsid w:val="006A4E2B"/>
    <w:rsid w:val="006A4E80"/>
    <w:rsid w:val="006A5009"/>
    <w:rsid w:val="006A6167"/>
    <w:rsid w:val="006A65F7"/>
    <w:rsid w:val="006A6803"/>
    <w:rsid w:val="006A6B72"/>
    <w:rsid w:val="006B0670"/>
    <w:rsid w:val="006B0731"/>
    <w:rsid w:val="006B079F"/>
    <w:rsid w:val="006B097F"/>
    <w:rsid w:val="006B0AD2"/>
    <w:rsid w:val="006B0F8A"/>
    <w:rsid w:val="006B1A95"/>
    <w:rsid w:val="006B1C0C"/>
    <w:rsid w:val="006B2EF7"/>
    <w:rsid w:val="006B30C6"/>
    <w:rsid w:val="006B30EC"/>
    <w:rsid w:val="006B329A"/>
    <w:rsid w:val="006B3A73"/>
    <w:rsid w:val="006B444D"/>
    <w:rsid w:val="006B5117"/>
    <w:rsid w:val="006B54FF"/>
    <w:rsid w:val="006B5E26"/>
    <w:rsid w:val="006B644D"/>
    <w:rsid w:val="006B66BB"/>
    <w:rsid w:val="006B6A90"/>
    <w:rsid w:val="006B6BB7"/>
    <w:rsid w:val="006B6FAA"/>
    <w:rsid w:val="006B70CE"/>
    <w:rsid w:val="006B7235"/>
    <w:rsid w:val="006B74A8"/>
    <w:rsid w:val="006B75C1"/>
    <w:rsid w:val="006B781A"/>
    <w:rsid w:val="006B7C9D"/>
    <w:rsid w:val="006C01E4"/>
    <w:rsid w:val="006C07C3"/>
    <w:rsid w:val="006C0CB5"/>
    <w:rsid w:val="006C121C"/>
    <w:rsid w:val="006C1800"/>
    <w:rsid w:val="006C187A"/>
    <w:rsid w:val="006C2502"/>
    <w:rsid w:val="006C2F44"/>
    <w:rsid w:val="006C3267"/>
    <w:rsid w:val="006C33DA"/>
    <w:rsid w:val="006C49D5"/>
    <w:rsid w:val="006C557E"/>
    <w:rsid w:val="006C58B4"/>
    <w:rsid w:val="006C58E4"/>
    <w:rsid w:val="006C5FD1"/>
    <w:rsid w:val="006C6D10"/>
    <w:rsid w:val="006C6F44"/>
    <w:rsid w:val="006C70BD"/>
    <w:rsid w:val="006C795D"/>
    <w:rsid w:val="006C7C49"/>
    <w:rsid w:val="006D04E5"/>
    <w:rsid w:val="006D0DE5"/>
    <w:rsid w:val="006D0E15"/>
    <w:rsid w:val="006D10BF"/>
    <w:rsid w:val="006D1311"/>
    <w:rsid w:val="006D152E"/>
    <w:rsid w:val="006D1BD1"/>
    <w:rsid w:val="006D280E"/>
    <w:rsid w:val="006D2E2C"/>
    <w:rsid w:val="006D374A"/>
    <w:rsid w:val="006D3B0F"/>
    <w:rsid w:val="006D3D72"/>
    <w:rsid w:val="006D402D"/>
    <w:rsid w:val="006D4505"/>
    <w:rsid w:val="006D4DB5"/>
    <w:rsid w:val="006D5142"/>
    <w:rsid w:val="006D566C"/>
    <w:rsid w:val="006D5721"/>
    <w:rsid w:val="006D5B5C"/>
    <w:rsid w:val="006D6056"/>
    <w:rsid w:val="006D6576"/>
    <w:rsid w:val="006D6973"/>
    <w:rsid w:val="006D7103"/>
    <w:rsid w:val="006D7ACF"/>
    <w:rsid w:val="006D7BA7"/>
    <w:rsid w:val="006D7C64"/>
    <w:rsid w:val="006D7F14"/>
    <w:rsid w:val="006D7F85"/>
    <w:rsid w:val="006E00C1"/>
    <w:rsid w:val="006E0151"/>
    <w:rsid w:val="006E0699"/>
    <w:rsid w:val="006E0C9D"/>
    <w:rsid w:val="006E0DD9"/>
    <w:rsid w:val="006E136B"/>
    <w:rsid w:val="006E17CD"/>
    <w:rsid w:val="006E1C65"/>
    <w:rsid w:val="006E288B"/>
    <w:rsid w:val="006E29AA"/>
    <w:rsid w:val="006E3032"/>
    <w:rsid w:val="006E390A"/>
    <w:rsid w:val="006E4493"/>
    <w:rsid w:val="006E4872"/>
    <w:rsid w:val="006E4D26"/>
    <w:rsid w:val="006E56F2"/>
    <w:rsid w:val="006E57E1"/>
    <w:rsid w:val="006E5820"/>
    <w:rsid w:val="006E5882"/>
    <w:rsid w:val="006E5D0B"/>
    <w:rsid w:val="006E60E4"/>
    <w:rsid w:val="006E643E"/>
    <w:rsid w:val="006E6972"/>
    <w:rsid w:val="006E6DC0"/>
    <w:rsid w:val="006E7088"/>
    <w:rsid w:val="006E765F"/>
    <w:rsid w:val="006E7BB3"/>
    <w:rsid w:val="006F0349"/>
    <w:rsid w:val="006F15EE"/>
    <w:rsid w:val="006F19B4"/>
    <w:rsid w:val="006F1B6A"/>
    <w:rsid w:val="006F1CCA"/>
    <w:rsid w:val="006F1FBD"/>
    <w:rsid w:val="006F2823"/>
    <w:rsid w:val="006F2BB4"/>
    <w:rsid w:val="006F2EE0"/>
    <w:rsid w:val="006F3D36"/>
    <w:rsid w:val="006F3EEC"/>
    <w:rsid w:val="006F453A"/>
    <w:rsid w:val="006F4C0B"/>
    <w:rsid w:val="006F5295"/>
    <w:rsid w:val="006F56EE"/>
    <w:rsid w:val="006F593A"/>
    <w:rsid w:val="006F5D29"/>
    <w:rsid w:val="006F5FC0"/>
    <w:rsid w:val="006F61E3"/>
    <w:rsid w:val="006F653A"/>
    <w:rsid w:val="006F7335"/>
    <w:rsid w:val="006F760B"/>
    <w:rsid w:val="006F7DBB"/>
    <w:rsid w:val="006F7E3F"/>
    <w:rsid w:val="006F7E52"/>
    <w:rsid w:val="007005B8"/>
    <w:rsid w:val="007005CE"/>
    <w:rsid w:val="007009C9"/>
    <w:rsid w:val="00700E2D"/>
    <w:rsid w:val="00700E3C"/>
    <w:rsid w:val="00701191"/>
    <w:rsid w:val="00702230"/>
    <w:rsid w:val="00702248"/>
    <w:rsid w:val="0070228E"/>
    <w:rsid w:val="00702D17"/>
    <w:rsid w:val="00702DDF"/>
    <w:rsid w:val="00702EFE"/>
    <w:rsid w:val="0070329E"/>
    <w:rsid w:val="00703D18"/>
    <w:rsid w:val="00703F72"/>
    <w:rsid w:val="0070445D"/>
    <w:rsid w:val="007044F3"/>
    <w:rsid w:val="00704D81"/>
    <w:rsid w:val="0070549A"/>
    <w:rsid w:val="007064AB"/>
    <w:rsid w:val="007068EC"/>
    <w:rsid w:val="00706F21"/>
    <w:rsid w:val="00707168"/>
    <w:rsid w:val="0070763B"/>
    <w:rsid w:val="007105F6"/>
    <w:rsid w:val="007108EC"/>
    <w:rsid w:val="00710CC6"/>
    <w:rsid w:val="00711588"/>
    <w:rsid w:val="0071190F"/>
    <w:rsid w:val="007119F7"/>
    <w:rsid w:val="00711ECD"/>
    <w:rsid w:val="0071223F"/>
    <w:rsid w:val="00712591"/>
    <w:rsid w:val="0071279E"/>
    <w:rsid w:val="007129E4"/>
    <w:rsid w:val="00712F11"/>
    <w:rsid w:val="007130BD"/>
    <w:rsid w:val="00713389"/>
    <w:rsid w:val="0071370B"/>
    <w:rsid w:val="0071388A"/>
    <w:rsid w:val="0071390F"/>
    <w:rsid w:val="007147BA"/>
    <w:rsid w:val="00714A21"/>
    <w:rsid w:val="00714D65"/>
    <w:rsid w:val="00715171"/>
    <w:rsid w:val="00716079"/>
    <w:rsid w:val="00716091"/>
    <w:rsid w:val="007161AB"/>
    <w:rsid w:val="007164BD"/>
    <w:rsid w:val="007167D7"/>
    <w:rsid w:val="00717765"/>
    <w:rsid w:val="00717ADB"/>
    <w:rsid w:val="00717CFE"/>
    <w:rsid w:val="00717F22"/>
    <w:rsid w:val="00720070"/>
    <w:rsid w:val="007208A3"/>
    <w:rsid w:val="00720B4A"/>
    <w:rsid w:val="00720ED4"/>
    <w:rsid w:val="00721061"/>
    <w:rsid w:val="00721DA4"/>
    <w:rsid w:val="00721EC7"/>
    <w:rsid w:val="00722596"/>
    <w:rsid w:val="00722BB6"/>
    <w:rsid w:val="00723134"/>
    <w:rsid w:val="00723627"/>
    <w:rsid w:val="00723746"/>
    <w:rsid w:val="00723801"/>
    <w:rsid w:val="0072395C"/>
    <w:rsid w:val="00723A89"/>
    <w:rsid w:val="00724393"/>
    <w:rsid w:val="007243EF"/>
    <w:rsid w:val="00724523"/>
    <w:rsid w:val="007248FE"/>
    <w:rsid w:val="00724F71"/>
    <w:rsid w:val="007257BA"/>
    <w:rsid w:val="00725A71"/>
    <w:rsid w:val="0072689A"/>
    <w:rsid w:val="00726D4F"/>
    <w:rsid w:val="0072736C"/>
    <w:rsid w:val="00727939"/>
    <w:rsid w:val="007279FC"/>
    <w:rsid w:val="00727D54"/>
    <w:rsid w:val="00730C01"/>
    <w:rsid w:val="00730C9E"/>
    <w:rsid w:val="00731590"/>
    <w:rsid w:val="0073180B"/>
    <w:rsid w:val="00731D64"/>
    <w:rsid w:val="0073323B"/>
    <w:rsid w:val="00733595"/>
    <w:rsid w:val="00733851"/>
    <w:rsid w:val="007339ED"/>
    <w:rsid w:val="007349D8"/>
    <w:rsid w:val="00734C22"/>
    <w:rsid w:val="0073511A"/>
    <w:rsid w:val="007356F4"/>
    <w:rsid w:val="00735C61"/>
    <w:rsid w:val="007361AA"/>
    <w:rsid w:val="007368C9"/>
    <w:rsid w:val="00737CD2"/>
    <w:rsid w:val="00740263"/>
    <w:rsid w:val="007406CC"/>
    <w:rsid w:val="00741E85"/>
    <w:rsid w:val="00741F16"/>
    <w:rsid w:val="00742157"/>
    <w:rsid w:val="0074236A"/>
    <w:rsid w:val="0074255B"/>
    <w:rsid w:val="007429D6"/>
    <w:rsid w:val="00743149"/>
    <w:rsid w:val="00743274"/>
    <w:rsid w:val="00743E59"/>
    <w:rsid w:val="007447CB"/>
    <w:rsid w:val="00744A93"/>
    <w:rsid w:val="007463D5"/>
    <w:rsid w:val="007466B6"/>
    <w:rsid w:val="0074692C"/>
    <w:rsid w:val="00746AB1"/>
    <w:rsid w:val="007471FB"/>
    <w:rsid w:val="0074742E"/>
    <w:rsid w:val="00747707"/>
    <w:rsid w:val="0075031D"/>
    <w:rsid w:val="007505D0"/>
    <w:rsid w:val="00750DD8"/>
    <w:rsid w:val="00751AC7"/>
    <w:rsid w:val="00751B93"/>
    <w:rsid w:val="007520BE"/>
    <w:rsid w:val="00753215"/>
    <w:rsid w:val="007532E2"/>
    <w:rsid w:val="007536B2"/>
    <w:rsid w:val="0075420A"/>
    <w:rsid w:val="00754F4E"/>
    <w:rsid w:val="007556CE"/>
    <w:rsid w:val="007557C1"/>
    <w:rsid w:val="0075588B"/>
    <w:rsid w:val="007559AB"/>
    <w:rsid w:val="00755F43"/>
    <w:rsid w:val="007564AA"/>
    <w:rsid w:val="00756903"/>
    <w:rsid w:val="00756942"/>
    <w:rsid w:val="00756A93"/>
    <w:rsid w:val="00757433"/>
    <w:rsid w:val="00757622"/>
    <w:rsid w:val="00757BAD"/>
    <w:rsid w:val="00757BE3"/>
    <w:rsid w:val="007605CD"/>
    <w:rsid w:val="00760781"/>
    <w:rsid w:val="00760922"/>
    <w:rsid w:val="007609E0"/>
    <w:rsid w:val="00760B25"/>
    <w:rsid w:val="00761AD1"/>
    <w:rsid w:val="00761CDE"/>
    <w:rsid w:val="0076221C"/>
    <w:rsid w:val="0076242C"/>
    <w:rsid w:val="00762916"/>
    <w:rsid w:val="007636DC"/>
    <w:rsid w:val="00763BCC"/>
    <w:rsid w:val="0076435D"/>
    <w:rsid w:val="00764A2A"/>
    <w:rsid w:val="00765316"/>
    <w:rsid w:val="00765512"/>
    <w:rsid w:val="0076552C"/>
    <w:rsid w:val="007659BA"/>
    <w:rsid w:val="00765FB9"/>
    <w:rsid w:val="007661F3"/>
    <w:rsid w:val="00766216"/>
    <w:rsid w:val="00766F4E"/>
    <w:rsid w:val="00766FB1"/>
    <w:rsid w:val="007700BA"/>
    <w:rsid w:val="0077078A"/>
    <w:rsid w:val="007708FB"/>
    <w:rsid w:val="00770A92"/>
    <w:rsid w:val="00770FC3"/>
    <w:rsid w:val="00771670"/>
    <w:rsid w:val="0077257F"/>
    <w:rsid w:val="007730AD"/>
    <w:rsid w:val="0077329C"/>
    <w:rsid w:val="0077429F"/>
    <w:rsid w:val="00774675"/>
    <w:rsid w:val="00774B06"/>
    <w:rsid w:val="00774CBF"/>
    <w:rsid w:val="00774DB0"/>
    <w:rsid w:val="00774E8C"/>
    <w:rsid w:val="007756C7"/>
    <w:rsid w:val="00776809"/>
    <w:rsid w:val="00776B39"/>
    <w:rsid w:val="00776D2D"/>
    <w:rsid w:val="00780DE3"/>
    <w:rsid w:val="0078180A"/>
    <w:rsid w:val="0078199F"/>
    <w:rsid w:val="00781DCF"/>
    <w:rsid w:val="00782078"/>
    <w:rsid w:val="00782083"/>
    <w:rsid w:val="00782C6E"/>
    <w:rsid w:val="007832AA"/>
    <w:rsid w:val="0078353F"/>
    <w:rsid w:val="00783901"/>
    <w:rsid w:val="00783FF8"/>
    <w:rsid w:val="007840B1"/>
    <w:rsid w:val="007846B2"/>
    <w:rsid w:val="00784A69"/>
    <w:rsid w:val="007851E0"/>
    <w:rsid w:val="0078548A"/>
    <w:rsid w:val="00785D2D"/>
    <w:rsid w:val="00786AAF"/>
    <w:rsid w:val="007879CE"/>
    <w:rsid w:val="00790239"/>
    <w:rsid w:val="007902B0"/>
    <w:rsid w:val="0079100F"/>
    <w:rsid w:val="007918A0"/>
    <w:rsid w:val="007919FA"/>
    <w:rsid w:val="00791EA2"/>
    <w:rsid w:val="00793186"/>
    <w:rsid w:val="0079333F"/>
    <w:rsid w:val="00793399"/>
    <w:rsid w:val="00793502"/>
    <w:rsid w:val="00794438"/>
    <w:rsid w:val="00794520"/>
    <w:rsid w:val="007947A4"/>
    <w:rsid w:val="00794B6F"/>
    <w:rsid w:val="00794DC5"/>
    <w:rsid w:val="00794EE4"/>
    <w:rsid w:val="007954EF"/>
    <w:rsid w:val="00796F07"/>
    <w:rsid w:val="0079724F"/>
    <w:rsid w:val="0079769D"/>
    <w:rsid w:val="007A0483"/>
    <w:rsid w:val="007A09DC"/>
    <w:rsid w:val="007A0B2E"/>
    <w:rsid w:val="007A0B5D"/>
    <w:rsid w:val="007A11A0"/>
    <w:rsid w:val="007A134F"/>
    <w:rsid w:val="007A1EBA"/>
    <w:rsid w:val="007A2061"/>
    <w:rsid w:val="007A3451"/>
    <w:rsid w:val="007A3D4C"/>
    <w:rsid w:val="007A4712"/>
    <w:rsid w:val="007A566D"/>
    <w:rsid w:val="007A6162"/>
    <w:rsid w:val="007A66E8"/>
    <w:rsid w:val="007A67F2"/>
    <w:rsid w:val="007A6BA2"/>
    <w:rsid w:val="007A7A31"/>
    <w:rsid w:val="007A7D65"/>
    <w:rsid w:val="007A7E7D"/>
    <w:rsid w:val="007B0430"/>
    <w:rsid w:val="007B0524"/>
    <w:rsid w:val="007B0BF6"/>
    <w:rsid w:val="007B14C4"/>
    <w:rsid w:val="007B160F"/>
    <w:rsid w:val="007B18B4"/>
    <w:rsid w:val="007B1C56"/>
    <w:rsid w:val="007B1ED0"/>
    <w:rsid w:val="007B1F86"/>
    <w:rsid w:val="007B323C"/>
    <w:rsid w:val="007B3C3B"/>
    <w:rsid w:val="007B3FB2"/>
    <w:rsid w:val="007B3FDB"/>
    <w:rsid w:val="007B4265"/>
    <w:rsid w:val="007B437A"/>
    <w:rsid w:val="007B45EB"/>
    <w:rsid w:val="007B47D4"/>
    <w:rsid w:val="007B54A6"/>
    <w:rsid w:val="007B56CD"/>
    <w:rsid w:val="007B587D"/>
    <w:rsid w:val="007B5ADD"/>
    <w:rsid w:val="007B5BB7"/>
    <w:rsid w:val="007B5BCA"/>
    <w:rsid w:val="007B5FA0"/>
    <w:rsid w:val="007B6869"/>
    <w:rsid w:val="007B686F"/>
    <w:rsid w:val="007B6ABC"/>
    <w:rsid w:val="007B7264"/>
    <w:rsid w:val="007B74EB"/>
    <w:rsid w:val="007B7D07"/>
    <w:rsid w:val="007C001A"/>
    <w:rsid w:val="007C11CA"/>
    <w:rsid w:val="007C159E"/>
    <w:rsid w:val="007C1B1B"/>
    <w:rsid w:val="007C1DF9"/>
    <w:rsid w:val="007C2BC2"/>
    <w:rsid w:val="007C2F8F"/>
    <w:rsid w:val="007C306C"/>
    <w:rsid w:val="007C30A7"/>
    <w:rsid w:val="007C332B"/>
    <w:rsid w:val="007C3C95"/>
    <w:rsid w:val="007C44B8"/>
    <w:rsid w:val="007C4F9C"/>
    <w:rsid w:val="007C51CC"/>
    <w:rsid w:val="007C548E"/>
    <w:rsid w:val="007C568A"/>
    <w:rsid w:val="007C6148"/>
    <w:rsid w:val="007C622C"/>
    <w:rsid w:val="007C6A16"/>
    <w:rsid w:val="007C6A22"/>
    <w:rsid w:val="007C6B42"/>
    <w:rsid w:val="007C785B"/>
    <w:rsid w:val="007C7EE4"/>
    <w:rsid w:val="007D02E6"/>
    <w:rsid w:val="007D03AB"/>
    <w:rsid w:val="007D063A"/>
    <w:rsid w:val="007D06D4"/>
    <w:rsid w:val="007D1112"/>
    <w:rsid w:val="007D1AEB"/>
    <w:rsid w:val="007D1EE0"/>
    <w:rsid w:val="007D2A76"/>
    <w:rsid w:val="007D3209"/>
    <w:rsid w:val="007D3725"/>
    <w:rsid w:val="007D4081"/>
    <w:rsid w:val="007D4BCF"/>
    <w:rsid w:val="007D4D28"/>
    <w:rsid w:val="007D6B4E"/>
    <w:rsid w:val="007D7817"/>
    <w:rsid w:val="007E0CE3"/>
    <w:rsid w:val="007E0D4D"/>
    <w:rsid w:val="007E21B9"/>
    <w:rsid w:val="007E23BA"/>
    <w:rsid w:val="007E2491"/>
    <w:rsid w:val="007E287D"/>
    <w:rsid w:val="007E311A"/>
    <w:rsid w:val="007E372F"/>
    <w:rsid w:val="007E3EBE"/>
    <w:rsid w:val="007E466B"/>
    <w:rsid w:val="007E53F5"/>
    <w:rsid w:val="007E545B"/>
    <w:rsid w:val="007E576A"/>
    <w:rsid w:val="007E57A0"/>
    <w:rsid w:val="007E6236"/>
    <w:rsid w:val="007E6AB4"/>
    <w:rsid w:val="007E6D7B"/>
    <w:rsid w:val="007E72F5"/>
    <w:rsid w:val="007E76FE"/>
    <w:rsid w:val="007E7FB3"/>
    <w:rsid w:val="007F08EB"/>
    <w:rsid w:val="007F09D1"/>
    <w:rsid w:val="007F1BAA"/>
    <w:rsid w:val="007F24AA"/>
    <w:rsid w:val="007F25A5"/>
    <w:rsid w:val="007F2D8F"/>
    <w:rsid w:val="007F2E5B"/>
    <w:rsid w:val="007F3158"/>
    <w:rsid w:val="007F3473"/>
    <w:rsid w:val="007F4950"/>
    <w:rsid w:val="007F4FBF"/>
    <w:rsid w:val="007F517E"/>
    <w:rsid w:val="007F5304"/>
    <w:rsid w:val="007F5789"/>
    <w:rsid w:val="007F5C33"/>
    <w:rsid w:val="007F5CAC"/>
    <w:rsid w:val="007F644F"/>
    <w:rsid w:val="007F669C"/>
    <w:rsid w:val="007F6B25"/>
    <w:rsid w:val="0080018D"/>
    <w:rsid w:val="00800B96"/>
    <w:rsid w:val="00800C48"/>
    <w:rsid w:val="00800D66"/>
    <w:rsid w:val="00800FC3"/>
    <w:rsid w:val="00801365"/>
    <w:rsid w:val="008013FC"/>
    <w:rsid w:val="008018FF"/>
    <w:rsid w:val="00801D17"/>
    <w:rsid w:val="00801D2F"/>
    <w:rsid w:val="00802077"/>
    <w:rsid w:val="008020FF"/>
    <w:rsid w:val="00802C03"/>
    <w:rsid w:val="008033D1"/>
    <w:rsid w:val="00803492"/>
    <w:rsid w:val="008034C7"/>
    <w:rsid w:val="00803657"/>
    <w:rsid w:val="008036BA"/>
    <w:rsid w:val="008039B9"/>
    <w:rsid w:val="00803F2D"/>
    <w:rsid w:val="008044FD"/>
    <w:rsid w:val="00804520"/>
    <w:rsid w:val="00805D2B"/>
    <w:rsid w:val="0080620E"/>
    <w:rsid w:val="00806C32"/>
    <w:rsid w:val="00807011"/>
    <w:rsid w:val="008075CE"/>
    <w:rsid w:val="00807D27"/>
    <w:rsid w:val="00810258"/>
    <w:rsid w:val="0081035D"/>
    <w:rsid w:val="00810360"/>
    <w:rsid w:val="00810512"/>
    <w:rsid w:val="00810905"/>
    <w:rsid w:val="00810AB6"/>
    <w:rsid w:val="00810B53"/>
    <w:rsid w:val="00811F1C"/>
    <w:rsid w:val="00812DF9"/>
    <w:rsid w:val="0081325D"/>
    <w:rsid w:val="00814622"/>
    <w:rsid w:val="0081491E"/>
    <w:rsid w:val="00815101"/>
    <w:rsid w:val="008152C2"/>
    <w:rsid w:val="008159F0"/>
    <w:rsid w:val="00815BD1"/>
    <w:rsid w:val="00815D84"/>
    <w:rsid w:val="00815FE9"/>
    <w:rsid w:val="00816A3A"/>
    <w:rsid w:val="00816C2F"/>
    <w:rsid w:val="00816F6D"/>
    <w:rsid w:val="008170D6"/>
    <w:rsid w:val="008173D7"/>
    <w:rsid w:val="00817AEB"/>
    <w:rsid w:val="00817C08"/>
    <w:rsid w:val="00820030"/>
    <w:rsid w:val="00820A11"/>
    <w:rsid w:val="00821517"/>
    <w:rsid w:val="008219FF"/>
    <w:rsid w:val="00821A25"/>
    <w:rsid w:val="00821C1A"/>
    <w:rsid w:val="0082314A"/>
    <w:rsid w:val="00823482"/>
    <w:rsid w:val="008238CD"/>
    <w:rsid w:val="00823E28"/>
    <w:rsid w:val="00824339"/>
    <w:rsid w:val="00824594"/>
    <w:rsid w:val="00824DBE"/>
    <w:rsid w:val="00825253"/>
    <w:rsid w:val="0082646D"/>
    <w:rsid w:val="0082669C"/>
    <w:rsid w:val="00826922"/>
    <w:rsid w:val="00826BF9"/>
    <w:rsid w:val="00826D6B"/>
    <w:rsid w:val="008271EC"/>
    <w:rsid w:val="00827D7D"/>
    <w:rsid w:val="00830D0D"/>
    <w:rsid w:val="0083100A"/>
    <w:rsid w:val="0083119D"/>
    <w:rsid w:val="0083255C"/>
    <w:rsid w:val="00832918"/>
    <w:rsid w:val="00832BA9"/>
    <w:rsid w:val="00832E64"/>
    <w:rsid w:val="00832EA8"/>
    <w:rsid w:val="008331E8"/>
    <w:rsid w:val="0083378A"/>
    <w:rsid w:val="008338C6"/>
    <w:rsid w:val="00833BB4"/>
    <w:rsid w:val="0083401A"/>
    <w:rsid w:val="008349EB"/>
    <w:rsid w:val="00834BAB"/>
    <w:rsid w:val="00834E3C"/>
    <w:rsid w:val="00834FB4"/>
    <w:rsid w:val="008350D2"/>
    <w:rsid w:val="00835210"/>
    <w:rsid w:val="008358FD"/>
    <w:rsid w:val="00835A85"/>
    <w:rsid w:val="00835AB1"/>
    <w:rsid w:val="00835FE8"/>
    <w:rsid w:val="008361C4"/>
    <w:rsid w:val="0083649E"/>
    <w:rsid w:val="0083691E"/>
    <w:rsid w:val="00837444"/>
    <w:rsid w:val="008375FC"/>
    <w:rsid w:val="00837C79"/>
    <w:rsid w:val="0084060B"/>
    <w:rsid w:val="00841470"/>
    <w:rsid w:val="00842006"/>
    <w:rsid w:val="00842375"/>
    <w:rsid w:val="00842632"/>
    <w:rsid w:val="0084264F"/>
    <w:rsid w:val="00842876"/>
    <w:rsid w:val="00843301"/>
    <w:rsid w:val="00843980"/>
    <w:rsid w:val="00843BA4"/>
    <w:rsid w:val="00843DD1"/>
    <w:rsid w:val="00843ECC"/>
    <w:rsid w:val="00844887"/>
    <w:rsid w:val="00844CA1"/>
    <w:rsid w:val="0084588A"/>
    <w:rsid w:val="0084599D"/>
    <w:rsid w:val="00845C0E"/>
    <w:rsid w:val="00845CF0"/>
    <w:rsid w:val="00845D42"/>
    <w:rsid w:val="00845FEA"/>
    <w:rsid w:val="00846120"/>
    <w:rsid w:val="00846F01"/>
    <w:rsid w:val="00847735"/>
    <w:rsid w:val="00850370"/>
    <w:rsid w:val="00850D08"/>
    <w:rsid w:val="00850F49"/>
    <w:rsid w:val="00850FFA"/>
    <w:rsid w:val="00851176"/>
    <w:rsid w:val="008513F2"/>
    <w:rsid w:val="008515AD"/>
    <w:rsid w:val="00851894"/>
    <w:rsid w:val="00851B0F"/>
    <w:rsid w:val="00852438"/>
    <w:rsid w:val="00853923"/>
    <w:rsid w:val="0085498A"/>
    <w:rsid w:val="00855215"/>
    <w:rsid w:val="00855711"/>
    <w:rsid w:val="008559AB"/>
    <w:rsid w:val="00855CEB"/>
    <w:rsid w:val="008562D1"/>
    <w:rsid w:val="0085704B"/>
    <w:rsid w:val="00857071"/>
    <w:rsid w:val="0085711E"/>
    <w:rsid w:val="0085726B"/>
    <w:rsid w:val="008572C8"/>
    <w:rsid w:val="00857918"/>
    <w:rsid w:val="00857968"/>
    <w:rsid w:val="00857B7B"/>
    <w:rsid w:val="00860354"/>
    <w:rsid w:val="00860E39"/>
    <w:rsid w:val="008612F9"/>
    <w:rsid w:val="00861FB8"/>
    <w:rsid w:val="008631A6"/>
    <w:rsid w:val="0086337E"/>
    <w:rsid w:val="0086354B"/>
    <w:rsid w:val="0086385C"/>
    <w:rsid w:val="00864092"/>
    <w:rsid w:val="008642A0"/>
    <w:rsid w:val="008642C0"/>
    <w:rsid w:val="00864660"/>
    <w:rsid w:val="008647D5"/>
    <w:rsid w:val="0086498E"/>
    <w:rsid w:val="008649BD"/>
    <w:rsid w:val="00864DCF"/>
    <w:rsid w:val="0086520C"/>
    <w:rsid w:val="00865408"/>
    <w:rsid w:val="00865897"/>
    <w:rsid w:val="008658FC"/>
    <w:rsid w:val="00866038"/>
    <w:rsid w:val="008669F3"/>
    <w:rsid w:val="008675D8"/>
    <w:rsid w:val="00867BC2"/>
    <w:rsid w:val="00870121"/>
    <w:rsid w:val="00870800"/>
    <w:rsid w:val="00870BA8"/>
    <w:rsid w:val="00870CD8"/>
    <w:rsid w:val="0087109A"/>
    <w:rsid w:val="0087139D"/>
    <w:rsid w:val="00871E8F"/>
    <w:rsid w:val="00871FC1"/>
    <w:rsid w:val="008722CC"/>
    <w:rsid w:val="008737EB"/>
    <w:rsid w:val="00873B9E"/>
    <w:rsid w:val="00873E60"/>
    <w:rsid w:val="00873FFD"/>
    <w:rsid w:val="00874880"/>
    <w:rsid w:val="00874AB5"/>
    <w:rsid w:val="00874FCD"/>
    <w:rsid w:val="00875175"/>
    <w:rsid w:val="00875619"/>
    <w:rsid w:val="00875F40"/>
    <w:rsid w:val="008761D6"/>
    <w:rsid w:val="00876306"/>
    <w:rsid w:val="0087660B"/>
    <w:rsid w:val="00877259"/>
    <w:rsid w:val="008774BE"/>
    <w:rsid w:val="008778B8"/>
    <w:rsid w:val="00877D10"/>
    <w:rsid w:val="00880243"/>
    <w:rsid w:val="00880771"/>
    <w:rsid w:val="00880812"/>
    <w:rsid w:val="008808CC"/>
    <w:rsid w:val="00880ABC"/>
    <w:rsid w:val="00880BC8"/>
    <w:rsid w:val="00880E54"/>
    <w:rsid w:val="008812C5"/>
    <w:rsid w:val="0088154B"/>
    <w:rsid w:val="00881AD2"/>
    <w:rsid w:val="00882345"/>
    <w:rsid w:val="0088257C"/>
    <w:rsid w:val="00883524"/>
    <w:rsid w:val="008835A2"/>
    <w:rsid w:val="008835DB"/>
    <w:rsid w:val="00884B2C"/>
    <w:rsid w:val="00885537"/>
    <w:rsid w:val="00885637"/>
    <w:rsid w:val="008857C7"/>
    <w:rsid w:val="00885B56"/>
    <w:rsid w:val="00885BA1"/>
    <w:rsid w:val="00885D17"/>
    <w:rsid w:val="0088647A"/>
    <w:rsid w:val="00886B29"/>
    <w:rsid w:val="00886C4D"/>
    <w:rsid w:val="008900F7"/>
    <w:rsid w:val="0089087B"/>
    <w:rsid w:val="00890D3E"/>
    <w:rsid w:val="00891078"/>
    <w:rsid w:val="00891A19"/>
    <w:rsid w:val="00891BE6"/>
    <w:rsid w:val="00891DAF"/>
    <w:rsid w:val="00892239"/>
    <w:rsid w:val="00892D9A"/>
    <w:rsid w:val="00892EC1"/>
    <w:rsid w:val="008937F4"/>
    <w:rsid w:val="00893A33"/>
    <w:rsid w:val="008941B0"/>
    <w:rsid w:val="008943BE"/>
    <w:rsid w:val="00894CA2"/>
    <w:rsid w:val="0089591C"/>
    <w:rsid w:val="00895A94"/>
    <w:rsid w:val="00895CB7"/>
    <w:rsid w:val="00895FC9"/>
    <w:rsid w:val="008968C6"/>
    <w:rsid w:val="00897686"/>
    <w:rsid w:val="00897FD9"/>
    <w:rsid w:val="008A020B"/>
    <w:rsid w:val="008A0AF3"/>
    <w:rsid w:val="008A0D02"/>
    <w:rsid w:val="008A0F48"/>
    <w:rsid w:val="008A102C"/>
    <w:rsid w:val="008A16F6"/>
    <w:rsid w:val="008A19AD"/>
    <w:rsid w:val="008A1A4E"/>
    <w:rsid w:val="008A1B20"/>
    <w:rsid w:val="008A1C38"/>
    <w:rsid w:val="008A301C"/>
    <w:rsid w:val="008A3169"/>
    <w:rsid w:val="008A3A2B"/>
    <w:rsid w:val="008A4643"/>
    <w:rsid w:val="008A4C88"/>
    <w:rsid w:val="008A50FE"/>
    <w:rsid w:val="008A5468"/>
    <w:rsid w:val="008A560B"/>
    <w:rsid w:val="008A57F8"/>
    <w:rsid w:val="008A5B0C"/>
    <w:rsid w:val="008A6218"/>
    <w:rsid w:val="008A65D9"/>
    <w:rsid w:val="008A67F4"/>
    <w:rsid w:val="008A6D58"/>
    <w:rsid w:val="008A6F48"/>
    <w:rsid w:val="008A7109"/>
    <w:rsid w:val="008A743C"/>
    <w:rsid w:val="008A74BE"/>
    <w:rsid w:val="008A795A"/>
    <w:rsid w:val="008A7A70"/>
    <w:rsid w:val="008A7B33"/>
    <w:rsid w:val="008B0329"/>
    <w:rsid w:val="008B0361"/>
    <w:rsid w:val="008B1DF2"/>
    <w:rsid w:val="008B2C25"/>
    <w:rsid w:val="008B31C9"/>
    <w:rsid w:val="008B373E"/>
    <w:rsid w:val="008B37DF"/>
    <w:rsid w:val="008B3C22"/>
    <w:rsid w:val="008B4662"/>
    <w:rsid w:val="008B4F0E"/>
    <w:rsid w:val="008B50D8"/>
    <w:rsid w:val="008B52C3"/>
    <w:rsid w:val="008B5735"/>
    <w:rsid w:val="008B6BB8"/>
    <w:rsid w:val="008B6F63"/>
    <w:rsid w:val="008B780C"/>
    <w:rsid w:val="008B7BD3"/>
    <w:rsid w:val="008B7E38"/>
    <w:rsid w:val="008C03A6"/>
    <w:rsid w:val="008C05E9"/>
    <w:rsid w:val="008C10A6"/>
    <w:rsid w:val="008C11C3"/>
    <w:rsid w:val="008C15FC"/>
    <w:rsid w:val="008C1BED"/>
    <w:rsid w:val="008C1E2D"/>
    <w:rsid w:val="008C21CD"/>
    <w:rsid w:val="008C253F"/>
    <w:rsid w:val="008C2E53"/>
    <w:rsid w:val="008C3783"/>
    <w:rsid w:val="008C39F9"/>
    <w:rsid w:val="008C3AA6"/>
    <w:rsid w:val="008C3D33"/>
    <w:rsid w:val="008C3E79"/>
    <w:rsid w:val="008C4C5C"/>
    <w:rsid w:val="008C5FB3"/>
    <w:rsid w:val="008C697A"/>
    <w:rsid w:val="008C70B3"/>
    <w:rsid w:val="008C7860"/>
    <w:rsid w:val="008C798E"/>
    <w:rsid w:val="008C7E60"/>
    <w:rsid w:val="008D0DD4"/>
    <w:rsid w:val="008D133E"/>
    <w:rsid w:val="008D1B8D"/>
    <w:rsid w:val="008D21E3"/>
    <w:rsid w:val="008D37EB"/>
    <w:rsid w:val="008D3DD9"/>
    <w:rsid w:val="008D46AD"/>
    <w:rsid w:val="008D4F2D"/>
    <w:rsid w:val="008D5032"/>
    <w:rsid w:val="008D51A1"/>
    <w:rsid w:val="008D5314"/>
    <w:rsid w:val="008D5656"/>
    <w:rsid w:val="008D5C4D"/>
    <w:rsid w:val="008D6136"/>
    <w:rsid w:val="008D647E"/>
    <w:rsid w:val="008D684C"/>
    <w:rsid w:val="008D6B58"/>
    <w:rsid w:val="008D73FE"/>
    <w:rsid w:val="008D7613"/>
    <w:rsid w:val="008E0039"/>
    <w:rsid w:val="008E0431"/>
    <w:rsid w:val="008E05EA"/>
    <w:rsid w:val="008E063B"/>
    <w:rsid w:val="008E1154"/>
    <w:rsid w:val="008E14B6"/>
    <w:rsid w:val="008E22BA"/>
    <w:rsid w:val="008E2A93"/>
    <w:rsid w:val="008E2BEC"/>
    <w:rsid w:val="008E32FC"/>
    <w:rsid w:val="008E4020"/>
    <w:rsid w:val="008E4618"/>
    <w:rsid w:val="008E4889"/>
    <w:rsid w:val="008E4906"/>
    <w:rsid w:val="008E4A9B"/>
    <w:rsid w:val="008E4E8F"/>
    <w:rsid w:val="008E5105"/>
    <w:rsid w:val="008E511D"/>
    <w:rsid w:val="008E51B2"/>
    <w:rsid w:val="008E53DF"/>
    <w:rsid w:val="008E54BE"/>
    <w:rsid w:val="008E5CE3"/>
    <w:rsid w:val="008E6450"/>
    <w:rsid w:val="008E6C8D"/>
    <w:rsid w:val="008E6CE5"/>
    <w:rsid w:val="008E737E"/>
    <w:rsid w:val="008E744D"/>
    <w:rsid w:val="008E7B3E"/>
    <w:rsid w:val="008E7CF7"/>
    <w:rsid w:val="008E7E73"/>
    <w:rsid w:val="008F0164"/>
    <w:rsid w:val="008F0893"/>
    <w:rsid w:val="008F12D9"/>
    <w:rsid w:val="008F248C"/>
    <w:rsid w:val="008F277C"/>
    <w:rsid w:val="008F2921"/>
    <w:rsid w:val="008F2B15"/>
    <w:rsid w:val="008F2CF4"/>
    <w:rsid w:val="008F2D09"/>
    <w:rsid w:val="008F3C72"/>
    <w:rsid w:val="008F4342"/>
    <w:rsid w:val="008F454E"/>
    <w:rsid w:val="008F4917"/>
    <w:rsid w:val="008F4C49"/>
    <w:rsid w:val="008F529D"/>
    <w:rsid w:val="008F557D"/>
    <w:rsid w:val="008F5609"/>
    <w:rsid w:val="008F5878"/>
    <w:rsid w:val="008F5915"/>
    <w:rsid w:val="008F5AE0"/>
    <w:rsid w:val="008F5D80"/>
    <w:rsid w:val="008F5DDE"/>
    <w:rsid w:val="008F5E25"/>
    <w:rsid w:val="008F61A0"/>
    <w:rsid w:val="008F6462"/>
    <w:rsid w:val="008F6747"/>
    <w:rsid w:val="008F716A"/>
    <w:rsid w:val="008F75F7"/>
    <w:rsid w:val="008F78D5"/>
    <w:rsid w:val="009003C5"/>
    <w:rsid w:val="0090047E"/>
    <w:rsid w:val="00900DF7"/>
    <w:rsid w:val="009016D4"/>
    <w:rsid w:val="00901882"/>
    <w:rsid w:val="00901E5B"/>
    <w:rsid w:val="00902478"/>
    <w:rsid w:val="00902962"/>
    <w:rsid w:val="009029B5"/>
    <w:rsid w:val="00902A03"/>
    <w:rsid w:val="00902CAD"/>
    <w:rsid w:val="009035A9"/>
    <w:rsid w:val="00903D73"/>
    <w:rsid w:val="00904F69"/>
    <w:rsid w:val="00904FBC"/>
    <w:rsid w:val="00905538"/>
    <w:rsid w:val="00905689"/>
    <w:rsid w:val="00905C04"/>
    <w:rsid w:val="00907AEB"/>
    <w:rsid w:val="009100B2"/>
    <w:rsid w:val="00910E69"/>
    <w:rsid w:val="009112F1"/>
    <w:rsid w:val="0091163B"/>
    <w:rsid w:val="009119A9"/>
    <w:rsid w:val="00911B80"/>
    <w:rsid w:val="00911F25"/>
    <w:rsid w:val="00911FBC"/>
    <w:rsid w:val="0091282D"/>
    <w:rsid w:val="009128F1"/>
    <w:rsid w:val="0091318D"/>
    <w:rsid w:val="00913801"/>
    <w:rsid w:val="00913870"/>
    <w:rsid w:val="00913DAD"/>
    <w:rsid w:val="00913E08"/>
    <w:rsid w:val="009144C7"/>
    <w:rsid w:val="00914841"/>
    <w:rsid w:val="00914964"/>
    <w:rsid w:val="00915123"/>
    <w:rsid w:val="009155B4"/>
    <w:rsid w:val="00915C9C"/>
    <w:rsid w:val="00916201"/>
    <w:rsid w:val="009168AD"/>
    <w:rsid w:val="009168AF"/>
    <w:rsid w:val="00916AAC"/>
    <w:rsid w:val="00916BDA"/>
    <w:rsid w:val="00916C9D"/>
    <w:rsid w:val="0091757A"/>
    <w:rsid w:val="00917682"/>
    <w:rsid w:val="009179A7"/>
    <w:rsid w:val="00920157"/>
    <w:rsid w:val="00920195"/>
    <w:rsid w:val="0092044A"/>
    <w:rsid w:val="0092047A"/>
    <w:rsid w:val="0092049D"/>
    <w:rsid w:val="0092054B"/>
    <w:rsid w:val="00920ABC"/>
    <w:rsid w:val="00921FE6"/>
    <w:rsid w:val="0092229E"/>
    <w:rsid w:val="009223A7"/>
    <w:rsid w:val="00922628"/>
    <w:rsid w:val="00923617"/>
    <w:rsid w:val="00923762"/>
    <w:rsid w:val="00924661"/>
    <w:rsid w:val="00924AF0"/>
    <w:rsid w:val="00924C5B"/>
    <w:rsid w:val="00925EF8"/>
    <w:rsid w:val="00925EFE"/>
    <w:rsid w:val="00926620"/>
    <w:rsid w:val="00927044"/>
    <w:rsid w:val="009279A0"/>
    <w:rsid w:val="00927D25"/>
    <w:rsid w:val="00927F05"/>
    <w:rsid w:val="0093028A"/>
    <w:rsid w:val="0093076E"/>
    <w:rsid w:val="00930828"/>
    <w:rsid w:val="00931370"/>
    <w:rsid w:val="00931B2D"/>
    <w:rsid w:val="00931B6B"/>
    <w:rsid w:val="00931BC8"/>
    <w:rsid w:val="00931D13"/>
    <w:rsid w:val="00932859"/>
    <w:rsid w:val="00932B83"/>
    <w:rsid w:val="00932EC3"/>
    <w:rsid w:val="009335ED"/>
    <w:rsid w:val="00933601"/>
    <w:rsid w:val="009336EC"/>
    <w:rsid w:val="0093383D"/>
    <w:rsid w:val="00933C59"/>
    <w:rsid w:val="00934A83"/>
    <w:rsid w:val="009352C6"/>
    <w:rsid w:val="0093548A"/>
    <w:rsid w:val="0093569C"/>
    <w:rsid w:val="0093590A"/>
    <w:rsid w:val="00935DD9"/>
    <w:rsid w:val="00935E3D"/>
    <w:rsid w:val="00935F62"/>
    <w:rsid w:val="00935FCC"/>
    <w:rsid w:val="00936113"/>
    <w:rsid w:val="009364AD"/>
    <w:rsid w:val="00936662"/>
    <w:rsid w:val="00936D2E"/>
    <w:rsid w:val="00937A9B"/>
    <w:rsid w:val="00940A81"/>
    <w:rsid w:val="00940CDE"/>
    <w:rsid w:val="00941096"/>
    <w:rsid w:val="0094197E"/>
    <w:rsid w:val="00941A25"/>
    <w:rsid w:val="00941A79"/>
    <w:rsid w:val="00941D64"/>
    <w:rsid w:val="009426B7"/>
    <w:rsid w:val="00942B4B"/>
    <w:rsid w:val="00942DA4"/>
    <w:rsid w:val="00942FBF"/>
    <w:rsid w:val="009432AB"/>
    <w:rsid w:val="009432D2"/>
    <w:rsid w:val="009434DB"/>
    <w:rsid w:val="00943B43"/>
    <w:rsid w:val="00944251"/>
    <w:rsid w:val="009444AD"/>
    <w:rsid w:val="0094450A"/>
    <w:rsid w:val="00944A3E"/>
    <w:rsid w:val="00944D05"/>
    <w:rsid w:val="00944E68"/>
    <w:rsid w:val="0094549E"/>
    <w:rsid w:val="00945A29"/>
    <w:rsid w:val="00945D9C"/>
    <w:rsid w:val="00947022"/>
    <w:rsid w:val="00947178"/>
    <w:rsid w:val="009471F1"/>
    <w:rsid w:val="0094737B"/>
    <w:rsid w:val="00947BC1"/>
    <w:rsid w:val="00950569"/>
    <w:rsid w:val="00950830"/>
    <w:rsid w:val="00950F82"/>
    <w:rsid w:val="00951089"/>
    <w:rsid w:val="0095115A"/>
    <w:rsid w:val="00951F9E"/>
    <w:rsid w:val="009521F6"/>
    <w:rsid w:val="009524D9"/>
    <w:rsid w:val="009525C8"/>
    <w:rsid w:val="00952C35"/>
    <w:rsid w:val="00952EAD"/>
    <w:rsid w:val="00953157"/>
    <w:rsid w:val="009531B9"/>
    <w:rsid w:val="0095339E"/>
    <w:rsid w:val="009536D8"/>
    <w:rsid w:val="00953CD0"/>
    <w:rsid w:val="00954A84"/>
    <w:rsid w:val="00954D5B"/>
    <w:rsid w:val="009550CB"/>
    <w:rsid w:val="009554C9"/>
    <w:rsid w:val="00955556"/>
    <w:rsid w:val="00955CCB"/>
    <w:rsid w:val="0095608E"/>
    <w:rsid w:val="0095697B"/>
    <w:rsid w:val="00957359"/>
    <w:rsid w:val="00957E52"/>
    <w:rsid w:val="0096039E"/>
    <w:rsid w:val="00960767"/>
    <w:rsid w:val="009611DF"/>
    <w:rsid w:val="00961487"/>
    <w:rsid w:val="00961982"/>
    <w:rsid w:val="009619F2"/>
    <w:rsid w:val="00962378"/>
    <w:rsid w:val="009626A9"/>
    <w:rsid w:val="00962DF5"/>
    <w:rsid w:val="00963425"/>
    <w:rsid w:val="00964ADF"/>
    <w:rsid w:val="00964D7E"/>
    <w:rsid w:val="00964E8D"/>
    <w:rsid w:val="009656BE"/>
    <w:rsid w:val="0096577F"/>
    <w:rsid w:val="009665EC"/>
    <w:rsid w:val="009672B4"/>
    <w:rsid w:val="009672DA"/>
    <w:rsid w:val="00967572"/>
    <w:rsid w:val="00967A67"/>
    <w:rsid w:val="00967A9A"/>
    <w:rsid w:val="0097034A"/>
    <w:rsid w:val="00970CB9"/>
    <w:rsid w:val="00971552"/>
    <w:rsid w:val="0097235B"/>
    <w:rsid w:val="00972A53"/>
    <w:rsid w:val="00972BB4"/>
    <w:rsid w:val="00972C0B"/>
    <w:rsid w:val="00972E2C"/>
    <w:rsid w:val="0097302D"/>
    <w:rsid w:val="00973257"/>
    <w:rsid w:val="00973871"/>
    <w:rsid w:val="00973A01"/>
    <w:rsid w:val="00973BB0"/>
    <w:rsid w:val="00973E64"/>
    <w:rsid w:val="00974494"/>
    <w:rsid w:val="00974554"/>
    <w:rsid w:val="00974633"/>
    <w:rsid w:val="009753E9"/>
    <w:rsid w:val="00975743"/>
    <w:rsid w:val="00975995"/>
    <w:rsid w:val="00976C8C"/>
    <w:rsid w:val="00976FAD"/>
    <w:rsid w:val="00980218"/>
    <w:rsid w:val="00980222"/>
    <w:rsid w:val="0098032D"/>
    <w:rsid w:val="00980D9F"/>
    <w:rsid w:val="009821E0"/>
    <w:rsid w:val="00982521"/>
    <w:rsid w:val="009827F3"/>
    <w:rsid w:val="00982DFA"/>
    <w:rsid w:val="009834DE"/>
    <w:rsid w:val="00983716"/>
    <w:rsid w:val="00983E46"/>
    <w:rsid w:val="00983E81"/>
    <w:rsid w:val="009848D6"/>
    <w:rsid w:val="009852CA"/>
    <w:rsid w:val="00985449"/>
    <w:rsid w:val="00985A67"/>
    <w:rsid w:val="00985ABD"/>
    <w:rsid w:val="00985E89"/>
    <w:rsid w:val="009869C2"/>
    <w:rsid w:val="0098757A"/>
    <w:rsid w:val="00987A1B"/>
    <w:rsid w:val="009901A2"/>
    <w:rsid w:val="0099032A"/>
    <w:rsid w:val="00990728"/>
    <w:rsid w:val="00991083"/>
    <w:rsid w:val="00991B2C"/>
    <w:rsid w:val="009921EE"/>
    <w:rsid w:val="0099223A"/>
    <w:rsid w:val="009924CC"/>
    <w:rsid w:val="00993024"/>
    <w:rsid w:val="0099364A"/>
    <w:rsid w:val="00993747"/>
    <w:rsid w:val="00993FE4"/>
    <w:rsid w:val="009947E4"/>
    <w:rsid w:val="00995171"/>
    <w:rsid w:val="0099526E"/>
    <w:rsid w:val="0099542D"/>
    <w:rsid w:val="0099569A"/>
    <w:rsid w:val="00995CBE"/>
    <w:rsid w:val="00995CDE"/>
    <w:rsid w:val="009962BB"/>
    <w:rsid w:val="0099677E"/>
    <w:rsid w:val="00996FB3"/>
    <w:rsid w:val="0099725A"/>
    <w:rsid w:val="0099790B"/>
    <w:rsid w:val="00997A07"/>
    <w:rsid w:val="009A007F"/>
    <w:rsid w:val="009A00BB"/>
    <w:rsid w:val="009A0161"/>
    <w:rsid w:val="009A0289"/>
    <w:rsid w:val="009A02AC"/>
    <w:rsid w:val="009A048B"/>
    <w:rsid w:val="009A0713"/>
    <w:rsid w:val="009A0FD5"/>
    <w:rsid w:val="009A18AD"/>
    <w:rsid w:val="009A1F85"/>
    <w:rsid w:val="009A2B71"/>
    <w:rsid w:val="009A2F70"/>
    <w:rsid w:val="009A3F4B"/>
    <w:rsid w:val="009A47C6"/>
    <w:rsid w:val="009A4A84"/>
    <w:rsid w:val="009A4ECA"/>
    <w:rsid w:val="009A5B9E"/>
    <w:rsid w:val="009A5FC1"/>
    <w:rsid w:val="009A6248"/>
    <w:rsid w:val="009A6658"/>
    <w:rsid w:val="009A7252"/>
    <w:rsid w:val="009A7805"/>
    <w:rsid w:val="009A7C64"/>
    <w:rsid w:val="009A7D52"/>
    <w:rsid w:val="009B07EB"/>
    <w:rsid w:val="009B0C79"/>
    <w:rsid w:val="009B1380"/>
    <w:rsid w:val="009B1626"/>
    <w:rsid w:val="009B17CE"/>
    <w:rsid w:val="009B1A0C"/>
    <w:rsid w:val="009B2C50"/>
    <w:rsid w:val="009B354C"/>
    <w:rsid w:val="009B3657"/>
    <w:rsid w:val="009B3C7E"/>
    <w:rsid w:val="009B4195"/>
    <w:rsid w:val="009B47A6"/>
    <w:rsid w:val="009B5E5A"/>
    <w:rsid w:val="009B6467"/>
    <w:rsid w:val="009B6683"/>
    <w:rsid w:val="009B6859"/>
    <w:rsid w:val="009B691C"/>
    <w:rsid w:val="009B7790"/>
    <w:rsid w:val="009B78D0"/>
    <w:rsid w:val="009B79A0"/>
    <w:rsid w:val="009C026E"/>
    <w:rsid w:val="009C04B0"/>
    <w:rsid w:val="009C0A96"/>
    <w:rsid w:val="009C0C23"/>
    <w:rsid w:val="009C0CE4"/>
    <w:rsid w:val="009C0F4F"/>
    <w:rsid w:val="009C0F8E"/>
    <w:rsid w:val="009C1827"/>
    <w:rsid w:val="009C1DBE"/>
    <w:rsid w:val="009C1EA6"/>
    <w:rsid w:val="009C24E6"/>
    <w:rsid w:val="009C3125"/>
    <w:rsid w:val="009C31AC"/>
    <w:rsid w:val="009C3BCF"/>
    <w:rsid w:val="009C4432"/>
    <w:rsid w:val="009C4575"/>
    <w:rsid w:val="009C494B"/>
    <w:rsid w:val="009C4960"/>
    <w:rsid w:val="009C4FBD"/>
    <w:rsid w:val="009C5A21"/>
    <w:rsid w:val="009C6085"/>
    <w:rsid w:val="009C62F5"/>
    <w:rsid w:val="009C68C3"/>
    <w:rsid w:val="009C6CFC"/>
    <w:rsid w:val="009C7977"/>
    <w:rsid w:val="009C7C0E"/>
    <w:rsid w:val="009D0024"/>
    <w:rsid w:val="009D02DF"/>
    <w:rsid w:val="009D06FE"/>
    <w:rsid w:val="009D0BC6"/>
    <w:rsid w:val="009D0BCA"/>
    <w:rsid w:val="009D1641"/>
    <w:rsid w:val="009D1D2A"/>
    <w:rsid w:val="009D20AE"/>
    <w:rsid w:val="009D219D"/>
    <w:rsid w:val="009D35E3"/>
    <w:rsid w:val="009D36F0"/>
    <w:rsid w:val="009D383F"/>
    <w:rsid w:val="009D3A80"/>
    <w:rsid w:val="009D439E"/>
    <w:rsid w:val="009D4676"/>
    <w:rsid w:val="009D4E4F"/>
    <w:rsid w:val="009D5303"/>
    <w:rsid w:val="009D5369"/>
    <w:rsid w:val="009D6013"/>
    <w:rsid w:val="009D6150"/>
    <w:rsid w:val="009D69FA"/>
    <w:rsid w:val="009D6E91"/>
    <w:rsid w:val="009D70B1"/>
    <w:rsid w:val="009D73BD"/>
    <w:rsid w:val="009D78D0"/>
    <w:rsid w:val="009D795E"/>
    <w:rsid w:val="009E07ED"/>
    <w:rsid w:val="009E0A25"/>
    <w:rsid w:val="009E15F2"/>
    <w:rsid w:val="009E1BA7"/>
    <w:rsid w:val="009E21ED"/>
    <w:rsid w:val="009E236A"/>
    <w:rsid w:val="009E23E0"/>
    <w:rsid w:val="009E2DE8"/>
    <w:rsid w:val="009E3005"/>
    <w:rsid w:val="009E321F"/>
    <w:rsid w:val="009E35BC"/>
    <w:rsid w:val="009E35FA"/>
    <w:rsid w:val="009E3BC9"/>
    <w:rsid w:val="009E42D7"/>
    <w:rsid w:val="009E4F30"/>
    <w:rsid w:val="009E5467"/>
    <w:rsid w:val="009E5727"/>
    <w:rsid w:val="009E58DD"/>
    <w:rsid w:val="009E6161"/>
    <w:rsid w:val="009E617A"/>
    <w:rsid w:val="009E732D"/>
    <w:rsid w:val="009F01DD"/>
    <w:rsid w:val="009F04AB"/>
    <w:rsid w:val="009F0644"/>
    <w:rsid w:val="009F112C"/>
    <w:rsid w:val="009F17C6"/>
    <w:rsid w:val="009F188A"/>
    <w:rsid w:val="009F2177"/>
    <w:rsid w:val="009F2341"/>
    <w:rsid w:val="009F2909"/>
    <w:rsid w:val="009F2B08"/>
    <w:rsid w:val="009F31D2"/>
    <w:rsid w:val="009F3782"/>
    <w:rsid w:val="009F3B1E"/>
    <w:rsid w:val="009F4306"/>
    <w:rsid w:val="009F4B09"/>
    <w:rsid w:val="009F4C4C"/>
    <w:rsid w:val="009F4F85"/>
    <w:rsid w:val="009F55B5"/>
    <w:rsid w:val="009F5CE6"/>
    <w:rsid w:val="009F62DE"/>
    <w:rsid w:val="009F67DC"/>
    <w:rsid w:val="009F6A01"/>
    <w:rsid w:val="009F6B39"/>
    <w:rsid w:val="009F7170"/>
    <w:rsid w:val="009F72B2"/>
    <w:rsid w:val="009F76C2"/>
    <w:rsid w:val="009F7A24"/>
    <w:rsid w:val="009F7AEC"/>
    <w:rsid w:val="009F7B56"/>
    <w:rsid w:val="00A00319"/>
    <w:rsid w:val="00A01366"/>
    <w:rsid w:val="00A01F38"/>
    <w:rsid w:val="00A020DB"/>
    <w:rsid w:val="00A022DC"/>
    <w:rsid w:val="00A02343"/>
    <w:rsid w:val="00A02C6F"/>
    <w:rsid w:val="00A02DD3"/>
    <w:rsid w:val="00A03AE4"/>
    <w:rsid w:val="00A03E7D"/>
    <w:rsid w:val="00A03F6F"/>
    <w:rsid w:val="00A04915"/>
    <w:rsid w:val="00A049FF"/>
    <w:rsid w:val="00A04C41"/>
    <w:rsid w:val="00A0582D"/>
    <w:rsid w:val="00A05B5C"/>
    <w:rsid w:val="00A05CE5"/>
    <w:rsid w:val="00A05E38"/>
    <w:rsid w:val="00A0640C"/>
    <w:rsid w:val="00A0660B"/>
    <w:rsid w:val="00A06EB9"/>
    <w:rsid w:val="00A07038"/>
    <w:rsid w:val="00A07331"/>
    <w:rsid w:val="00A0744F"/>
    <w:rsid w:val="00A0789F"/>
    <w:rsid w:val="00A079A1"/>
    <w:rsid w:val="00A07BC6"/>
    <w:rsid w:val="00A07F90"/>
    <w:rsid w:val="00A10741"/>
    <w:rsid w:val="00A1151A"/>
    <w:rsid w:val="00A1153C"/>
    <w:rsid w:val="00A11C72"/>
    <w:rsid w:val="00A121A4"/>
    <w:rsid w:val="00A122D6"/>
    <w:rsid w:val="00A125D0"/>
    <w:rsid w:val="00A125ED"/>
    <w:rsid w:val="00A12A03"/>
    <w:rsid w:val="00A12A69"/>
    <w:rsid w:val="00A13233"/>
    <w:rsid w:val="00A13662"/>
    <w:rsid w:val="00A14659"/>
    <w:rsid w:val="00A14718"/>
    <w:rsid w:val="00A1476C"/>
    <w:rsid w:val="00A148E3"/>
    <w:rsid w:val="00A14F46"/>
    <w:rsid w:val="00A163BF"/>
    <w:rsid w:val="00A1655D"/>
    <w:rsid w:val="00A16719"/>
    <w:rsid w:val="00A168C0"/>
    <w:rsid w:val="00A178D6"/>
    <w:rsid w:val="00A179C3"/>
    <w:rsid w:val="00A17E77"/>
    <w:rsid w:val="00A2039F"/>
    <w:rsid w:val="00A20504"/>
    <w:rsid w:val="00A2097B"/>
    <w:rsid w:val="00A20A5C"/>
    <w:rsid w:val="00A20B15"/>
    <w:rsid w:val="00A20DFB"/>
    <w:rsid w:val="00A21CA2"/>
    <w:rsid w:val="00A226E5"/>
    <w:rsid w:val="00A22864"/>
    <w:rsid w:val="00A23224"/>
    <w:rsid w:val="00A232BB"/>
    <w:rsid w:val="00A2336E"/>
    <w:rsid w:val="00A2343E"/>
    <w:rsid w:val="00A23873"/>
    <w:rsid w:val="00A23E39"/>
    <w:rsid w:val="00A23F34"/>
    <w:rsid w:val="00A24578"/>
    <w:rsid w:val="00A24A94"/>
    <w:rsid w:val="00A24C64"/>
    <w:rsid w:val="00A25229"/>
    <w:rsid w:val="00A2545F"/>
    <w:rsid w:val="00A25918"/>
    <w:rsid w:val="00A259DB"/>
    <w:rsid w:val="00A25AFC"/>
    <w:rsid w:val="00A25E0A"/>
    <w:rsid w:val="00A25F63"/>
    <w:rsid w:val="00A26058"/>
    <w:rsid w:val="00A2613C"/>
    <w:rsid w:val="00A266A0"/>
    <w:rsid w:val="00A26A11"/>
    <w:rsid w:val="00A26BEE"/>
    <w:rsid w:val="00A273D4"/>
    <w:rsid w:val="00A275F7"/>
    <w:rsid w:val="00A279ED"/>
    <w:rsid w:val="00A27EEF"/>
    <w:rsid w:val="00A30622"/>
    <w:rsid w:val="00A30B1F"/>
    <w:rsid w:val="00A310DF"/>
    <w:rsid w:val="00A31CD7"/>
    <w:rsid w:val="00A31D4A"/>
    <w:rsid w:val="00A31EF3"/>
    <w:rsid w:val="00A31FF8"/>
    <w:rsid w:val="00A3200A"/>
    <w:rsid w:val="00A3202D"/>
    <w:rsid w:val="00A32F42"/>
    <w:rsid w:val="00A33F9C"/>
    <w:rsid w:val="00A34772"/>
    <w:rsid w:val="00A350CF"/>
    <w:rsid w:val="00A35B6C"/>
    <w:rsid w:val="00A36938"/>
    <w:rsid w:val="00A36DB0"/>
    <w:rsid w:val="00A36E7F"/>
    <w:rsid w:val="00A3703A"/>
    <w:rsid w:val="00A371D6"/>
    <w:rsid w:val="00A372E6"/>
    <w:rsid w:val="00A37C60"/>
    <w:rsid w:val="00A40791"/>
    <w:rsid w:val="00A410A2"/>
    <w:rsid w:val="00A41B74"/>
    <w:rsid w:val="00A41D5C"/>
    <w:rsid w:val="00A41F2E"/>
    <w:rsid w:val="00A41FD7"/>
    <w:rsid w:val="00A421EF"/>
    <w:rsid w:val="00A42260"/>
    <w:rsid w:val="00A42A8A"/>
    <w:rsid w:val="00A43085"/>
    <w:rsid w:val="00A431E5"/>
    <w:rsid w:val="00A43638"/>
    <w:rsid w:val="00A4454F"/>
    <w:rsid w:val="00A449F9"/>
    <w:rsid w:val="00A44A31"/>
    <w:rsid w:val="00A44A8C"/>
    <w:rsid w:val="00A44B05"/>
    <w:rsid w:val="00A44DB6"/>
    <w:rsid w:val="00A44F4B"/>
    <w:rsid w:val="00A45128"/>
    <w:rsid w:val="00A45541"/>
    <w:rsid w:val="00A45A09"/>
    <w:rsid w:val="00A45C5A"/>
    <w:rsid w:val="00A46B40"/>
    <w:rsid w:val="00A47063"/>
    <w:rsid w:val="00A500CF"/>
    <w:rsid w:val="00A50504"/>
    <w:rsid w:val="00A50727"/>
    <w:rsid w:val="00A50C02"/>
    <w:rsid w:val="00A50CA8"/>
    <w:rsid w:val="00A5111B"/>
    <w:rsid w:val="00A5193C"/>
    <w:rsid w:val="00A51CA6"/>
    <w:rsid w:val="00A52496"/>
    <w:rsid w:val="00A52CEC"/>
    <w:rsid w:val="00A532EB"/>
    <w:rsid w:val="00A538DB"/>
    <w:rsid w:val="00A5471D"/>
    <w:rsid w:val="00A54861"/>
    <w:rsid w:val="00A54A10"/>
    <w:rsid w:val="00A54B24"/>
    <w:rsid w:val="00A55813"/>
    <w:rsid w:val="00A5675A"/>
    <w:rsid w:val="00A57136"/>
    <w:rsid w:val="00A57E17"/>
    <w:rsid w:val="00A60DB8"/>
    <w:rsid w:val="00A6104A"/>
    <w:rsid w:val="00A610F8"/>
    <w:rsid w:val="00A61D46"/>
    <w:rsid w:val="00A6203C"/>
    <w:rsid w:val="00A62335"/>
    <w:rsid w:val="00A624BA"/>
    <w:rsid w:val="00A627B5"/>
    <w:rsid w:val="00A6332D"/>
    <w:rsid w:val="00A64614"/>
    <w:rsid w:val="00A648FC"/>
    <w:rsid w:val="00A64A06"/>
    <w:rsid w:val="00A64B6B"/>
    <w:rsid w:val="00A64CF1"/>
    <w:rsid w:val="00A64FFF"/>
    <w:rsid w:val="00A65593"/>
    <w:rsid w:val="00A65C29"/>
    <w:rsid w:val="00A6629E"/>
    <w:rsid w:val="00A664D1"/>
    <w:rsid w:val="00A67698"/>
    <w:rsid w:val="00A67883"/>
    <w:rsid w:val="00A67BC9"/>
    <w:rsid w:val="00A67BF3"/>
    <w:rsid w:val="00A67BFF"/>
    <w:rsid w:val="00A7047B"/>
    <w:rsid w:val="00A70580"/>
    <w:rsid w:val="00A70DC2"/>
    <w:rsid w:val="00A71728"/>
    <w:rsid w:val="00A72885"/>
    <w:rsid w:val="00A72E19"/>
    <w:rsid w:val="00A73346"/>
    <w:rsid w:val="00A737AC"/>
    <w:rsid w:val="00A73C47"/>
    <w:rsid w:val="00A74028"/>
    <w:rsid w:val="00A742BA"/>
    <w:rsid w:val="00A7439A"/>
    <w:rsid w:val="00A74467"/>
    <w:rsid w:val="00A749B8"/>
    <w:rsid w:val="00A74A2B"/>
    <w:rsid w:val="00A75053"/>
    <w:rsid w:val="00A754D8"/>
    <w:rsid w:val="00A7583C"/>
    <w:rsid w:val="00A7596E"/>
    <w:rsid w:val="00A760CE"/>
    <w:rsid w:val="00A77377"/>
    <w:rsid w:val="00A7739A"/>
    <w:rsid w:val="00A7739F"/>
    <w:rsid w:val="00A77CDE"/>
    <w:rsid w:val="00A80715"/>
    <w:rsid w:val="00A80AD5"/>
    <w:rsid w:val="00A80D38"/>
    <w:rsid w:val="00A80D8A"/>
    <w:rsid w:val="00A80F09"/>
    <w:rsid w:val="00A811F6"/>
    <w:rsid w:val="00A812D3"/>
    <w:rsid w:val="00A81CB3"/>
    <w:rsid w:val="00A81F6B"/>
    <w:rsid w:val="00A81F81"/>
    <w:rsid w:val="00A82A6C"/>
    <w:rsid w:val="00A82D9F"/>
    <w:rsid w:val="00A83581"/>
    <w:rsid w:val="00A836D0"/>
    <w:rsid w:val="00A8371D"/>
    <w:rsid w:val="00A83F0A"/>
    <w:rsid w:val="00A840C0"/>
    <w:rsid w:val="00A845B1"/>
    <w:rsid w:val="00A84D41"/>
    <w:rsid w:val="00A84F91"/>
    <w:rsid w:val="00A850DA"/>
    <w:rsid w:val="00A85305"/>
    <w:rsid w:val="00A853E6"/>
    <w:rsid w:val="00A85593"/>
    <w:rsid w:val="00A8594B"/>
    <w:rsid w:val="00A85BD1"/>
    <w:rsid w:val="00A861D3"/>
    <w:rsid w:val="00A8639E"/>
    <w:rsid w:val="00A86483"/>
    <w:rsid w:val="00A8648E"/>
    <w:rsid w:val="00A87110"/>
    <w:rsid w:val="00A87234"/>
    <w:rsid w:val="00A87761"/>
    <w:rsid w:val="00A87E36"/>
    <w:rsid w:val="00A90332"/>
    <w:rsid w:val="00A905F4"/>
    <w:rsid w:val="00A90620"/>
    <w:rsid w:val="00A90E24"/>
    <w:rsid w:val="00A925F2"/>
    <w:rsid w:val="00A9268E"/>
    <w:rsid w:val="00A927CF"/>
    <w:rsid w:val="00A93A23"/>
    <w:rsid w:val="00A93AA2"/>
    <w:rsid w:val="00A93CB3"/>
    <w:rsid w:val="00A93E7F"/>
    <w:rsid w:val="00A940B2"/>
    <w:rsid w:val="00A9417F"/>
    <w:rsid w:val="00A94246"/>
    <w:rsid w:val="00A946AD"/>
    <w:rsid w:val="00A94758"/>
    <w:rsid w:val="00A94772"/>
    <w:rsid w:val="00A94CA6"/>
    <w:rsid w:val="00A9501E"/>
    <w:rsid w:val="00A95565"/>
    <w:rsid w:val="00A95E96"/>
    <w:rsid w:val="00A9619E"/>
    <w:rsid w:val="00A963AB"/>
    <w:rsid w:val="00A9664D"/>
    <w:rsid w:val="00A96759"/>
    <w:rsid w:val="00A969F5"/>
    <w:rsid w:val="00A96C6A"/>
    <w:rsid w:val="00A96EFD"/>
    <w:rsid w:val="00A9712B"/>
    <w:rsid w:val="00A971FE"/>
    <w:rsid w:val="00A97D16"/>
    <w:rsid w:val="00AA02BA"/>
    <w:rsid w:val="00AA068B"/>
    <w:rsid w:val="00AA06F0"/>
    <w:rsid w:val="00AA0B5B"/>
    <w:rsid w:val="00AA102F"/>
    <w:rsid w:val="00AA13A5"/>
    <w:rsid w:val="00AA149D"/>
    <w:rsid w:val="00AA16A5"/>
    <w:rsid w:val="00AA1BE4"/>
    <w:rsid w:val="00AA1C9F"/>
    <w:rsid w:val="00AA2416"/>
    <w:rsid w:val="00AA26F7"/>
    <w:rsid w:val="00AA27EF"/>
    <w:rsid w:val="00AA3341"/>
    <w:rsid w:val="00AA3547"/>
    <w:rsid w:val="00AA3607"/>
    <w:rsid w:val="00AA36E9"/>
    <w:rsid w:val="00AA3847"/>
    <w:rsid w:val="00AA3AEA"/>
    <w:rsid w:val="00AA3C3C"/>
    <w:rsid w:val="00AA3C58"/>
    <w:rsid w:val="00AA4181"/>
    <w:rsid w:val="00AA4592"/>
    <w:rsid w:val="00AA4746"/>
    <w:rsid w:val="00AA4790"/>
    <w:rsid w:val="00AA4DD1"/>
    <w:rsid w:val="00AA5409"/>
    <w:rsid w:val="00AA5B02"/>
    <w:rsid w:val="00AA5C1B"/>
    <w:rsid w:val="00AA703D"/>
    <w:rsid w:val="00AA7473"/>
    <w:rsid w:val="00AA75CF"/>
    <w:rsid w:val="00AB0750"/>
    <w:rsid w:val="00AB087D"/>
    <w:rsid w:val="00AB0CEA"/>
    <w:rsid w:val="00AB10AC"/>
    <w:rsid w:val="00AB1482"/>
    <w:rsid w:val="00AB1E4B"/>
    <w:rsid w:val="00AB1F61"/>
    <w:rsid w:val="00AB2164"/>
    <w:rsid w:val="00AB2245"/>
    <w:rsid w:val="00AB27CB"/>
    <w:rsid w:val="00AB2AC0"/>
    <w:rsid w:val="00AB2B15"/>
    <w:rsid w:val="00AB2F1D"/>
    <w:rsid w:val="00AB3D52"/>
    <w:rsid w:val="00AB3D65"/>
    <w:rsid w:val="00AB3F6F"/>
    <w:rsid w:val="00AB4521"/>
    <w:rsid w:val="00AB52E2"/>
    <w:rsid w:val="00AB5B15"/>
    <w:rsid w:val="00AB5F81"/>
    <w:rsid w:val="00AB6C3C"/>
    <w:rsid w:val="00AB74A1"/>
    <w:rsid w:val="00AB781E"/>
    <w:rsid w:val="00AC1339"/>
    <w:rsid w:val="00AC1559"/>
    <w:rsid w:val="00AC1912"/>
    <w:rsid w:val="00AC1A81"/>
    <w:rsid w:val="00AC21BC"/>
    <w:rsid w:val="00AC33BF"/>
    <w:rsid w:val="00AC3CA3"/>
    <w:rsid w:val="00AC421B"/>
    <w:rsid w:val="00AC4BBD"/>
    <w:rsid w:val="00AC4E7D"/>
    <w:rsid w:val="00AC5099"/>
    <w:rsid w:val="00AC5C27"/>
    <w:rsid w:val="00AC5D3A"/>
    <w:rsid w:val="00AC5F14"/>
    <w:rsid w:val="00AC623F"/>
    <w:rsid w:val="00AC633B"/>
    <w:rsid w:val="00AC7586"/>
    <w:rsid w:val="00AC77A3"/>
    <w:rsid w:val="00AC77AA"/>
    <w:rsid w:val="00AC7912"/>
    <w:rsid w:val="00AC79B3"/>
    <w:rsid w:val="00AD03EB"/>
    <w:rsid w:val="00AD0C54"/>
    <w:rsid w:val="00AD27A4"/>
    <w:rsid w:val="00AD28D2"/>
    <w:rsid w:val="00AD2D3E"/>
    <w:rsid w:val="00AD349E"/>
    <w:rsid w:val="00AD3670"/>
    <w:rsid w:val="00AD3C07"/>
    <w:rsid w:val="00AD3C18"/>
    <w:rsid w:val="00AD3F85"/>
    <w:rsid w:val="00AD4116"/>
    <w:rsid w:val="00AD4320"/>
    <w:rsid w:val="00AD46F9"/>
    <w:rsid w:val="00AD5406"/>
    <w:rsid w:val="00AD570A"/>
    <w:rsid w:val="00AD5A03"/>
    <w:rsid w:val="00AD6757"/>
    <w:rsid w:val="00AD6ACE"/>
    <w:rsid w:val="00AD6CFF"/>
    <w:rsid w:val="00AE015E"/>
    <w:rsid w:val="00AE01A7"/>
    <w:rsid w:val="00AE0797"/>
    <w:rsid w:val="00AE0E3F"/>
    <w:rsid w:val="00AE161C"/>
    <w:rsid w:val="00AE1C70"/>
    <w:rsid w:val="00AE24CD"/>
    <w:rsid w:val="00AE2970"/>
    <w:rsid w:val="00AE2EC7"/>
    <w:rsid w:val="00AE314B"/>
    <w:rsid w:val="00AE3E82"/>
    <w:rsid w:val="00AE4039"/>
    <w:rsid w:val="00AE4914"/>
    <w:rsid w:val="00AE4B05"/>
    <w:rsid w:val="00AE53F1"/>
    <w:rsid w:val="00AE5910"/>
    <w:rsid w:val="00AE593F"/>
    <w:rsid w:val="00AE6A0E"/>
    <w:rsid w:val="00AE6FB3"/>
    <w:rsid w:val="00AE70B1"/>
    <w:rsid w:val="00AE71FA"/>
    <w:rsid w:val="00AE7338"/>
    <w:rsid w:val="00AE7830"/>
    <w:rsid w:val="00AE7C25"/>
    <w:rsid w:val="00AF0CCF"/>
    <w:rsid w:val="00AF16DC"/>
    <w:rsid w:val="00AF1C62"/>
    <w:rsid w:val="00AF202B"/>
    <w:rsid w:val="00AF23AE"/>
    <w:rsid w:val="00AF2AEE"/>
    <w:rsid w:val="00AF2E61"/>
    <w:rsid w:val="00AF3126"/>
    <w:rsid w:val="00AF31C9"/>
    <w:rsid w:val="00AF36E8"/>
    <w:rsid w:val="00AF3779"/>
    <w:rsid w:val="00AF38CC"/>
    <w:rsid w:val="00AF38D7"/>
    <w:rsid w:val="00AF3E60"/>
    <w:rsid w:val="00AF3F4E"/>
    <w:rsid w:val="00AF4491"/>
    <w:rsid w:val="00AF46E8"/>
    <w:rsid w:val="00AF49BF"/>
    <w:rsid w:val="00AF52B0"/>
    <w:rsid w:val="00AF5EC7"/>
    <w:rsid w:val="00AF651C"/>
    <w:rsid w:val="00AF6A66"/>
    <w:rsid w:val="00AF6F4D"/>
    <w:rsid w:val="00AF778E"/>
    <w:rsid w:val="00AF79FC"/>
    <w:rsid w:val="00AF7C58"/>
    <w:rsid w:val="00AF7FBB"/>
    <w:rsid w:val="00B00D2A"/>
    <w:rsid w:val="00B0164B"/>
    <w:rsid w:val="00B0167E"/>
    <w:rsid w:val="00B01836"/>
    <w:rsid w:val="00B01AF2"/>
    <w:rsid w:val="00B01B42"/>
    <w:rsid w:val="00B01E1B"/>
    <w:rsid w:val="00B02841"/>
    <w:rsid w:val="00B03182"/>
    <w:rsid w:val="00B03228"/>
    <w:rsid w:val="00B03DA1"/>
    <w:rsid w:val="00B03F40"/>
    <w:rsid w:val="00B04194"/>
    <w:rsid w:val="00B04215"/>
    <w:rsid w:val="00B04A8E"/>
    <w:rsid w:val="00B05864"/>
    <w:rsid w:val="00B05BC8"/>
    <w:rsid w:val="00B05C45"/>
    <w:rsid w:val="00B06998"/>
    <w:rsid w:val="00B07003"/>
    <w:rsid w:val="00B075FE"/>
    <w:rsid w:val="00B07751"/>
    <w:rsid w:val="00B07CFD"/>
    <w:rsid w:val="00B07E9E"/>
    <w:rsid w:val="00B1043F"/>
    <w:rsid w:val="00B1058C"/>
    <w:rsid w:val="00B106A9"/>
    <w:rsid w:val="00B124C6"/>
    <w:rsid w:val="00B13325"/>
    <w:rsid w:val="00B1371D"/>
    <w:rsid w:val="00B13AE1"/>
    <w:rsid w:val="00B14D18"/>
    <w:rsid w:val="00B14E0D"/>
    <w:rsid w:val="00B1540E"/>
    <w:rsid w:val="00B1577F"/>
    <w:rsid w:val="00B1585A"/>
    <w:rsid w:val="00B15DD9"/>
    <w:rsid w:val="00B160D7"/>
    <w:rsid w:val="00B161A3"/>
    <w:rsid w:val="00B16A62"/>
    <w:rsid w:val="00B16F4B"/>
    <w:rsid w:val="00B1709D"/>
    <w:rsid w:val="00B175A7"/>
    <w:rsid w:val="00B17900"/>
    <w:rsid w:val="00B20007"/>
    <w:rsid w:val="00B2065F"/>
    <w:rsid w:val="00B20E03"/>
    <w:rsid w:val="00B20ED6"/>
    <w:rsid w:val="00B21019"/>
    <w:rsid w:val="00B21B08"/>
    <w:rsid w:val="00B221AF"/>
    <w:rsid w:val="00B2221C"/>
    <w:rsid w:val="00B2234B"/>
    <w:rsid w:val="00B22767"/>
    <w:rsid w:val="00B2283F"/>
    <w:rsid w:val="00B22CEC"/>
    <w:rsid w:val="00B23361"/>
    <w:rsid w:val="00B238E3"/>
    <w:rsid w:val="00B242EA"/>
    <w:rsid w:val="00B24336"/>
    <w:rsid w:val="00B252E5"/>
    <w:rsid w:val="00B258F9"/>
    <w:rsid w:val="00B25F5C"/>
    <w:rsid w:val="00B25FAD"/>
    <w:rsid w:val="00B2635D"/>
    <w:rsid w:val="00B272F0"/>
    <w:rsid w:val="00B2745F"/>
    <w:rsid w:val="00B278FB"/>
    <w:rsid w:val="00B2799A"/>
    <w:rsid w:val="00B3061A"/>
    <w:rsid w:val="00B30FD6"/>
    <w:rsid w:val="00B31A6D"/>
    <w:rsid w:val="00B32835"/>
    <w:rsid w:val="00B3295F"/>
    <w:rsid w:val="00B32A26"/>
    <w:rsid w:val="00B32C9E"/>
    <w:rsid w:val="00B32EB9"/>
    <w:rsid w:val="00B3314F"/>
    <w:rsid w:val="00B33689"/>
    <w:rsid w:val="00B33DAD"/>
    <w:rsid w:val="00B3487A"/>
    <w:rsid w:val="00B34AC2"/>
    <w:rsid w:val="00B35101"/>
    <w:rsid w:val="00B359A1"/>
    <w:rsid w:val="00B36D35"/>
    <w:rsid w:val="00B37EE4"/>
    <w:rsid w:val="00B4010C"/>
    <w:rsid w:val="00B4053B"/>
    <w:rsid w:val="00B41EE5"/>
    <w:rsid w:val="00B42545"/>
    <w:rsid w:val="00B42808"/>
    <w:rsid w:val="00B429E0"/>
    <w:rsid w:val="00B43FEA"/>
    <w:rsid w:val="00B44693"/>
    <w:rsid w:val="00B44806"/>
    <w:rsid w:val="00B44CED"/>
    <w:rsid w:val="00B44FBE"/>
    <w:rsid w:val="00B45440"/>
    <w:rsid w:val="00B456A4"/>
    <w:rsid w:val="00B45A5A"/>
    <w:rsid w:val="00B46499"/>
    <w:rsid w:val="00B4672E"/>
    <w:rsid w:val="00B46A55"/>
    <w:rsid w:val="00B4700F"/>
    <w:rsid w:val="00B50312"/>
    <w:rsid w:val="00B50543"/>
    <w:rsid w:val="00B5057F"/>
    <w:rsid w:val="00B51666"/>
    <w:rsid w:val="00B51D71"/>
    <w:rsid w:val="00B52BE0"/>
    <w:rsid w:val="00B53290"/>
    <w:rsid w:val="00B53B19"/>
    <w:rsid w:val="00B53CED"/>
    <w:rsid w:val="00B53DB7"/>
    <w:rsid w:val="00B547D1"/>
    <w:rsid w:val="00B5588C"/>
    <w:rsid w:val="00B574B0"/>
    <w:rsid w:val="00B57833"/>
    <w:rsid w:val="00B57DB5"/>
    <w:rsid w:val="00B57E13"/>
    <w:rsid w:val="00B60D0C"/>
    <w:rsid w:val="00B6103C"/>
    <w:rsid w:val="00B6175D"/>
    <w:rsid w:val="00B61766"/>
    <w:rsid w:val="00B62106"/>
    <w:rsid w:val="00B62623"/>
    <w:rsid w:val="00B626F5"/>
    <w:rsid w:val="00B62E76"/>
    <w:rsid w:val="00B634B7"/>
    <w:rsid w:val="00B635E5"/>
    <w:rsid w:val="00B63B4F"/>
    <w:rsid w:val="00B63B70"/>
    <w:rsid w:val="00B640F5"/>
    <w:rsid w:val="00B64A15"/>
    <w:rsid w:val="00B65020"/>
    <w:rsid w:val="00B659FF"/>
    <w:rsid w:val="00B65BF3"/>
    <w:rsid w:val="00B65D54"/>
    <w:rsid w:val="00B65D63"/>
    <w:rsid w:val="00B65F93"/>
    <w:rsid w:val="00B663A2"/>
    <w:rsid w:val="00B66498"/>
    <w:rsid w:val="00B66962"/>
    <w:rsid w:val="00B674CC"/>
    <w:rsid w:val="00B67B6E"/>
    <w:rsid w:val="00B67CD0"/>
    <w:rsid w:val="00B67EB5"/>
    <w:rsid w:val="00B706CD"/>
    <w:rsid w:val="00B70A81"/>
    <w:rsid w:val="00B71578"/>
    <w:rsid w:val="00B715AA"/>
    <w:rsid w:val="00B71994"/>
    <w:rsid w:val="00B727DF"/>
    <w:rsid w:val="00B72A94"/>
    <w:rsid w:val="00B72BC6"/>
    <w:rsid w:val="00B73517"/>
    <w:rsid w:val="00B73626"/>
    <w:rsid w:val="00B737BB"/>
    <w:rsid w:val="00B744AC"/>
    <w:rsid w:val="00B748B8"/>
    <w:rsid w:val="00B74922"/>
    <w:rsid w:val="00B74EEE"/>
    <w:rsid w:val="00B75600"/>
    <w:rsid w:val="00B75908"/>
    <w:rsid w:val="00B75BF9"/>
    <w:rsid w:val="00B76162"/>
    <w:rsid w:val="00B761F9"/>
    <w:rsid w:val="00B7652B"/>
    <w:rsid w:val="00B76C37"/>
    <w:rsid w:val="00B77C11"/>
    <w:rsid w:val="00B804CB"/>
    <w:rsid w:val="00B80CA6"/>
    <w:rsid w:val="00B812B7"/>
    <w:rsid w:val="00B81524"/>
    <w:rsid w:val="00B81B87"/>
    <w:rsid w:val="00B82014"/>
    <w:rsid w:val="00B826A6"/>
    <w:rsid w:val="00B82962"/>
    <w:rsid w:val="00B82980"/>
    <w:rsid w:val="00B83228"/>
    <w:rsid w:val="00B84088"/>
    <w:rsid w:val="00B843F5"/>
    <w:rsid w:val="00B84463"/>
    <w:rsid w:val="00B8473F"/>
    <w:rsid w:val="00B849B3"/>
    <w:rsid w:val="00B84CB5"/>
    <w:rsid w:val="00B84EF5"/>
    <w:rsid w:val="00B8660F"/>
    <w:rsid w:val="00B8685F"/>
    <w:rsid w:val="00B869AF"/>
    <w:rsid w:val="00B874EB"/>
    <w:rsid w:val="00B87A87"/>
    <w:rsid w:val="00B907A6"/>
    <w:rsid w:val="00B90E20"/>
    <w:rsid w:val="00B91379"/>
    <w:rsid w:val="00B918BE"/>
    <w:rsid w:val="00B91EDD"/>
    <w:rsid w:val="00B92889"/>
    <w:rsid w:val="00B92D1F"/>
    <w:rsid w:val="00B930AF"/>
    <w:rsid w:val="00B9336C"/>
    <w:rsid w:val="00B9346B"/>
    <w:rsid w:val="00B93C57"/>
    <w:rsid w:val="00B94A45"/>
    <w:rsid w:val="00B94B6F"/>
    <w:rsid w:val="00B94E31"/>
    <w:rsid w:val="00B95B90"/>
    <w:rsid w:val="00B95C9B"/>
    <w:rsid w:val="00B963DF"/>
    <w:rsid w:val="00B9698E"/>
    <w:rsid w:val="00B969D9"/>
    <w:rsid w:val="00B96B62"/>
    <w:rsid w:val="00B97DBF"/>
    <w:rsid w:val="00BA0533"/>
    <w:rsid w:val="00BA056C"/>
    <w:rsid w:val="00BA0715"/>
    <w:rsid w:val="00BA0720"/>
    <w:rsid w:val="00BA0C31"/>
    <w:rsid w:val="00BA0E27"/>
    <w:rsid w:val="00BA15B3"/>
    <w:rsid w:val="00BA26D8"/>
    <w:rsid w:val="00BA28D6"/>
    <w:rsid w:val="00BA2C01"/>
    <w:rsid w:val="00BA3203"/>
    <w:rsid w:val="00BA4306"/>
    <w:rsid w:val="00BA4730"/>
    <w:rsid w:val="00BA489B"/>
    <w:rsid w:val="00BA496E"/>
    <w:rsid w:val="00BA54F8"/>
    <w:rsid w:val="00BA565B"/>
    <w:rsid w:val="00BA5E33"/>
    <w:rsid w:val="00BA7050"/>
    <w:rsid w:val="00BA714A"/>
    <w:rsid w:val="00BA77DB"/>
    <w:rsid w:val="00BA77DF"/>
    <w:rsid w:val="00BA79A6"/>
    <w:rsid w:val="00BA7C0E"/>
    <w:rsid w:val="00BA7E52"/>
    <w:rsid w:val="00BB01FE"/>
    <w:rsid w:val="00BB0347"/>
    <w:rsid w:val="00BB0B5D"/>
    <w:rsid w:val="00BB0EFD"/>
    <w:rsid w:val="00BB14F8"/>
    <w:rsid w:val="00BB248B"/>
    <w:rsid w:val="00BB3D7D"/>
    <w:rsid w:val="00BB4154"/>
    <w:rsid w:val="00BB43F0"/>
    <w:rsid w:val="00BB4B4E"/>
    <w:rsid w:val="00BB4EE9"/>
    <w:rsid w:val="00BB4F2F"/>
    <w:rsid w:val="00BB5731"/>
    <w:rsid w:val="00BB5735"/>
    <w:rsid w:val="00BB60B7"/>
    <w:rsid w:val="00BB695A"/>
    <w:rsid w:val="00BB6C3F"/>
    <w:rsid w:val="00BB6E62"/>
    <w:rsid w:val="00BB75A3"/>
    <w:rsid w:val="00BB77DC"/>
    <w:rsid w:val="00BB7808"/>
    <w:rsid w:val="00BB7BCC"/>
    <w:rsid w:val="00BB7C9F"/>
    <w:rsid w:val="00BC046D"/>
    <w:rsid w:val="00BC0D10"/>
    <w:rsid w:val="00BC0D3F"/>
    <w:rsid w:val="00BC0E2D"/>
    <w:rsid w:val="00BC146B"/>
    <w:rsid w:val="00BC1935"/>
    <w:rsid w:val="00BC1AA7"/>
    <w:rsid w:val="00BC1EC7"/>
    <w:rsid w:val="00BC1F7A"/>
    <w:rsid w:val="00BC2EFF"/>
    <w:rsid w:val="00BC30F4"/>
    <w:rsid w:val="00BC36FD"/>
    <w:rsid w:val="00BC3BF3"/>
    <w:rsid w:val="00BC3C92"/>
    <w:rsid w:val="00BC4064"/>
    <w:rsid w:val="00BC417B"/>
    <w:rsid w:val="00BC4C08"/>
    <w:rsid w:val="00BC530D"/>
    <w:rsid w:val="00BC5482"/>
    <w:rsid w:val="00BC5748"/>
    <w:rsid w:val="00BC5DE4"/>
    <w:rsid w:val="00BC6536"/>
    <w:rsid w:val="00BC6812"/>
    <w:rsid w:val="00BC7554"/>
    <w:rsid w:val="00BC762C"/>
    <w:rsid w:val="00BC77D0"/>
    <w:rsid w:val="00BC7884"/>
    <w:rsid w:val="00BD007A"/>
    <w:rsid w:val="00BD008F"/>
    <w:rsid w:val="00BD03DE"/>
    <w:rsid w:val="00BD03F9"/>
    <w:rsid w:val="00BD0EB3"/>
    <w:rsid w:val="00BD0EDC"/>
    <w:rsid w:val="00BD0EDF"/>
    <w:rsid w:val="00BD16AE"/>
    <w:rsid w:val="00BD16EA"/>
    <w:rsid w:val="00BD2279"/>
    <w:rsid w:val="00BD2BED"/>
    <w:rsid w:val="00BD2C91"/>
    <w:rsid w:val="00BD3037"/>
    <w:rsid w:val="00BD30AD"/>
    <w:rsid w:val="00BD3278"/>
    <w:rsid w:val="00BD36ED"/>
    <w:rsid w:val="00BD3985"/>
    <w:rsid w:val="00BD3C46"/>
    <w:rsid w:val="00BD3FEF"/>
    <w:rsid w:val="00BD493D"/>
    <w:rsid w:val="00BD49A9"/>
    <w:rsid w:val="00BD4B11"/>
    <w:rsid w:val="00BD5130"/>
    <w:rsid w:val="00BD5E52"/>
    <w:rsid w:val="00BD5E9E"/>
    <w:rsid w:val="00BD65D0"/>
    <w:rsid w:val="00BD65FB"/>
    <w:rsid w:val="00BD692B"/>
    <w:rsid w:val="00BD703A"/>
    <w:rsid w:val="00BD7D78"/>
    <w:rsid w:val="00BD7F10"/>
    <w:rsid w:val="00BD7F73"/>
    <w:rsid w:val="00BE1222"/>
    <w:rsid w:val="00BE1870"/>
    <w:rsid w:val="00BE1C09"/>
    <w:rsid w:val="00BE26B2"/>
    <w:rsid w:val="00BE350C"/>
    <w:rsid w:val="00BE3B94"/>
    <w:rsid w:val="00BE3C7B"/>
    <w:rsid w:val="00BE4540"/>
    <w:rsid w:val="00BE463E"/>
    <w:rsid w:val="00BE57B5"/>
    <w:rsid w:val="00BE5CD2"/>
    <w:rsid w:val="00BE5D31"/>
    <w:rsid w:val="00BE6907"/>
    <w:rsid w:val="00BE6FE5"/>
    <w:rsid w:val="00BE75CE"/>
    <w:rsid w:val="00BE7664"/>
    <w:rsid w:val="00BE7BDB"/>
    <w:rsid w:val="00BE7BF9"/>
    <w:rsid w:val="00BF0B8E"/>
    <w:rsid w:val="00BF10D2"/>
    <w:rsid w:val="00BF182C"/>
    <w:rsid w:val="00BF1B50"/>
    <w:rsid w:val="00BF2AF4"/>
    <w:rsid w:val="00BF35B9"/>
    <w:rsid w:val="00BF3988"/>
    <w:rsid w:val="00BF3A29"/>
    <w:rsid w:val="00BF3C3F"/>
    <w:rsid w:val="00BF3C78"/>
    <w:rsid w:val="00BF4331"/>
    <w:rsid w:val="00BF482A"/>
    <w:rsid w:val="00BF48CA"/>
    <w:rsid w:val="00BF4E8D"/>
    <w:rsid w:val="00BF5AC6"/>
    <w:rsid w:val="00BF6605"/>
    <w:rsid w:val="00BF6761"/>
    <w:rsid w:val="00BF6AAF"/>
    <w:rsid w:val="00BF6B3A"/>
    <w:rsid w:val="00BF79BE"/>
    <w:rsid w:val="00BF7E07"/>
    <w:rsid w:val="00BF7F08"/>
    <w:rsid w:val="00C001A8"/>
    <w:rsid w:val="00C002BF"/>
    <w:rsid w:val="00C01470"/>
    <w:rsid w:val="00C01690"/>
    <w:rsid w:val="00C02A47"/>
    <w:rsid w:val="00C02CE6"/>
    <w:rsid w:val="00C02CEC"/>
    <w:rsid w:val="00C02D80"/>
    <w:rsid w:val="00C034C5"/>
    <w:rsid w:val="00C0373E"/>
    <w:rsid w:val="00C037EA"/>
    <w:rsid w:val="00C03824"/>
    <w:rsid w:val="00C03981"/>
    <w:rsid w:val="00C0401F"/>
    <w:rsid w:val="00C04440"/>
    <w:rsid w:val="00C04B08"/>
    <w:rsid w:val="00C04DB5"/>
    <w:rsid w:val="00C04F09"/>
    <w:rsid w:val="00C05535"/>
    <w:rsid w:val="00C06201"/>
    <w:rsid w:val="00C06598"/>
    <w:rsid w:val="00C069EE"/>
    <w:rsid w:val="00C069FE"/>
    <w:rsid w:val="00C06D8E"/>
    <w:rsid w:val="00C0797E"/>
    <w:rsid w:val="00C07A07"/>
    <w:rsid w:val="00C10166"/>
    <w:rsid w:val="00C10F8F"/>
    <w:rsid w:val="00C118B2"/>
    <w:rsid w:val="00C11C98"/>
    <w:rsid w:val="00C1223B"/>
    <w:rsid w:val="00C12388"/>
    <w:rsid w:val="00C124CF"/>
    <w:rsid w:val="00C1288C"/>
    <w:rsid w:val="00C129D9"/>
    <w:rsid w:val="00C12FEB"/>
    <w:rsid w:val="00C1361D"/>
    <w:rsid w:val="00C13E5D"/>
    <w:rsid w:val="00C13E63"/>
    <w:rsid w:val="00C140C0"/>
    <w:rsid w:val="00C15497"/>
    <w:rsid w:val="00C1569E"/>
    <w:rsid w:val="00C16395"/>
    <w:rsid w:val="00C16799"/>
    <w:rsid w:val="00C173BD"/>
    <w:rsid w:val="00C175D2"/>
    <w:rsid w:val="00C17825"/>
    <w:rsid w:val="00C20099"/>
    <w:rsid w:val="00C201DF"/>
    <w:rsid w:val="00C20478"/>
    <w:rsid w:val="00C2067C"/>
    <w:rsid w:val="00C206E4"/>
    <w:rsid w:val="00C20F43"/>
    <w:rsid w:val="00C21748"/>
    <w:rsid w:val="00C22C98"/>
    <w:rsid w:val="00C22CD3"/>
    <w:rsid w:val="00C22E7E"/>
    <w:rsid w:val="00C23541"/>
    <w:rsid w:val="00C23776"/>
    <w:rsid w:val="00C23928"/>
    <w:rsid w:val="00C23AC5"/>
    <w:rsid w:val="00C23D17"/>
    <w:rsid w:val="00C243EC"/>
    <w:rsid w:val="00C2453B"/>
    <w:rsid w:val="00C25316"/>
    <w:rsid w:val="00C2608F"/>
    <w:rsid w:val="00C26FAD"/>
    <w:rsid w:val="00C270F5"/>
    <w:rsid w:val="00C27C62"/>
    <w:rsid w:val="00C27E9A"/>
    <w:rsid w:val="00C27F1F"/>
    <w:rsid w:val="00C27F21"/>
    <w:rsid w:val="00C3011A"/>
    <w:rsid w:val="00C301E4"/>
    <w:rsid w:val="00C3184D"/>
    <w:rsid w:val="00C319A2"/>
    <w:rsid w:val="00C3225B"/>
    <w:rsid w:val="00C3246E"/>
    <w:rsid w:val="00C32E37"/>
    <w:rsid w:val="00C32EEE"/>
    <w:rsid w:val="00C3350E"/>
    <w:rsid w:val="00C33D2D"/>
    <w:rsid w:val="00C33DB6"/>
    <w:rsid w:val="00C33F90"/>
    <w:rsid w:val="00C34019"/>
    <w:rsid w:val="00C346AD"/>
    <w:rsid w:val="00C3508E"/>
    <w:rsid w:val="00C351A0"/>
    <w:rsid w:val="00C35629"/>
    <w:rsid w:val="00C35EE6"/>
    <w:rsid w:val="00C360DA"/>
    <w:rsid w:val="00C36251"/>
    <w:rsid w:val="00C364D7"/>
    <w:rsid w:val="00C36873"/>
    <w:rsid w:val="00C36B8C"/>
    <w:rsid w:val="00C36E26"/>
    <w:rsid w:val="00C375AE"/>
    <w:rsid w:val="00C37FD8"/>
    <w:rsid w:val="00C400E3"/>
    <w:rsid w:val="00C406C6"/>
    <w:rsid w:val="00C409ED"/>
    <w:rsid w:val="00C40ABC"/>
    <w:rsid w:val="00C40DC8"/>
    <w:rsid w:val="00C415F9"/>
    <w:rsid w:val="00C41844"/>
    <w:rsid w:val="00C425EF"/>
    <w:rsid w:val="00C4284E"/>
    <w:rsid w:val="00C42E0E"/>
    <w:rsid w:val="00C4334A"/>
    <w:rsid w:val="00C43612"/>
    <w:rsid w:val="00C44113"/>
    <w:rsid w:val="00C4418F"/>
    <w:rsid w:val="00C44C01"/>
    <w:rsid w:val="00C44E77"/>
    <w:rsid w:val="00C451B8"/>
    <w:rsid w:val="00C4526F"/>
    <w:rsid w:val="00C452F8"/>
    <w:rsid w:val="00C4576A"/>
    <w:rsid w:val="00C45D7B"/>
    <w:rsid w:val="00C45FC8"/>
    <w:rsid w:val="00C4613C"/>
    <w:rsid w:val="00C46DBE"/>
    <w:rsid w:val="00C4795E"/>
    <w:rsid w:val="00C47E4D"/>
    <w:rsid w:val="00C504DC"/>
    <w:rsid w:val="00C50C04"/>
    <w:rsid w:val="00C50E18"/>
    <w:rsid w:val="00C515EE"/>
    <w:rsid w:val="00C517B0"/>
    <w:rsid w:val="00C51C49"/>
    <w:rsid w:val="00C51D93"/>
    <w:rsid w:val="00C51F1D"/>
    <w:rsid w:val="00C5255F"/>
    <w:rsid w:val="00C52762"/>
    <w:rsid w:val="00C52EAD"/>
    <w:rsid w:val="00C52ED2"/>
    <w:rsid w:val="00C53157"/>
    <w:rsid w:val="00C53722"/>
    <w:rsid w:val="00C54FDB"/>
    <w:rsid w:val="00C553AB"/>
    <w:rsid w:val="00C556D6"/>
    <w:rsid w:val="00C56789"/>
    <w:rsid w:val="00C5685E"/>
    <w:rsid w:val="00C5716D"/>
    <w:rsid w:val="00C573D4"/>
    <w:rsid w:val="00C57417"/>
    <w:rsid w:val="00C57FB6"/>
    <w:rsid w:val="00C60924"/>
    <w:rsid w:val="00C60941"/>
    <w:rsid w:val="00C609DC"/>
    <w:rsid w:val="00C61AA1"/>
    <w:rsid w:val="00C61E07"/>
    <w:rsid w:val="00C6269F"/>
    <w:rsid w:val="00C6302F"/>
    <w:rsid w:val="00C63111"/>
    <w:rsid w:val="00C6346B"/>
    <w:rsid w:val="00C63903"/>
    <w:rsid w:val="00C644E6"/>
    <w:rsid w:val="00C64F0A"/>
    <w:rsid w:val="00C65298"/>
    <w:rsid w:val="00C65524"/>
    <w:rsid w:val="00C65772"/>
    <w:rsid w:val="00C65AC4"/>
    <w:rsid w:val="00C65AE6"/>
    <w:rsid w:val="00C65F46"/>
    <w:rsid w:val="00C666E2"/>
    <w:rsid w:val="00C66E2F"/>
    <w:rsid w:val="00C67237"/>
    <w:rsid w:val="00C67337"/>
    <w:rsid w:val="00C674ED"/>
    <w:rsid w:val="00C67997"/>
    <w:rsid w:val="00C67C1C"/>
    <w:rsid w:val="00C701BC"/>
    <w:rsid w:val="00C70BCD"/>
    <w:rsid w:val="00C70F01"/>
    <w:rsid w:val="00C7130B"/>
    <w:rsid w:val="00C72116"/>
    <w:rsid w:val="00C7211C"/>
    <w:rsid w:val="00C7256A"/>
    <w:rsid w:val="00C725E1"/>
    <w:rsid w:val="00C7374A"/>
    <w:rsid w:val="00C74473"/>
    <w:rsid w:val="00C74D30"/>
    <w:rsid w:val="00C74DCC"/>
    <w:rsid w:val="00C757E9"/>
    <w:rsid w:val="00C7596C"/>
    <w:rsid w:val="00C75A3C"/>
    <w:rsid w:val="00C75DCE"/>
    <w:rsid w:val="00C76085"/>
    <w:rsid w:val="00C7617A"/>
    <w:rsid w:val="00C7646C"/>
    <w:rsid w:val="00C76E28"/>
    <w:rsid w:val="00C77146"/>
    <w:rsid w:val="00C772F3"/>
    <w:rsid w:val="00C7785D"/>
    <w:rsid w:val="00C778E3"/>
    <w:rsid w:val="00C77A03"/>
    <w:rsid w:val="00C77E82"/>
    <w:rsid w:val="00C77EE6"/>
    <w:rsid w:val="00C77F9E"/>
    <w:rsid w:val="00C803DA"/>
    <w:rsid w:val="00C8067A"/>
    <w:rsid w:val="00C8097B"/>
    <w:rsid w:val="00C80C88"/>
    <w:rsid w:val="00C80CAB"/>
    <w:rsid w:val="00C813AA"/>
    <w:rsid w:val="00C819B8"/>
    <w:rsid w:val="00C828B4"/>
    <w:rsid w:val="00C82ADC"/>
    <w:rsid w:val="00C82B6C"/>
    <w:rsid w:val="00C82D49"/>
    <w:rsid w:val="00C832B7"/>
    <w:rsid w:val="00C832BF"/>
    <w:rsid w:val="00C8360A"/>
    <w:rsid w:val="00C83D9C"/>
    <w:rsid w:val="00C83DC4"/>
    <w:rsid w:val="00C83EA2"/>
    <w:rsid w:val="00C83F12"/>
    <w:rsid w:val="00C841D1"/>
    <w:rsid w:val="00C84394"/>
    <w:rsid w:val="00C843A3"/>
    <w:rsid w:val="00C84456"/>
    <w:rsid w:val="00C84B67"/>
    <w:rsid w:val="00C85AD3"/>
    <w:rsid w:val="00C864ED"/>
    <w:rsid w:val="00C8657E"/>
    <w:rsid w:val="00C867C8"/>
    <w:rsid w:val="00C87114"/>
    <w:rsid w:val="00C87648"/>
    <w:rsid w:val="00C87A24"/>
    <w:rsid w:val="00C90093"/>
    <w:rsid w:val="00C904A7"/>
    <w:rsid w:val="00C914AC"/>
    <w:rsid w:val="00C91860"/>
    <w:rsid w:val="00C92040"/>
    <w:rsid w:val="00C927B8"/>
    <w:rsid w:val="00C9383A"/>
    <w:rsid w:val="00C94620"/>
    <w:rsid w:val="00C9469A"/>
    <w:rsid w:val="00C94D99"/>
    <w:rsid w:val="00C95074"/>
    <w:rsid w:val="00C9523F"/>
    <w:rsid w:val="00C960B3"/>
    <w:rsid w:val="00C96A38"/>
    <w:rsid w:val="00C971F9"/>
    <w:rsid w:val="00C97542"/>
    <w:rsid w:val="00C978B8"/>
    <w:rsid w:val="00CA0ADE"/>
    <w:rsid w:val="00CA0E4E"/>
    <w:rsid w:val="00CA1412"/>
    <w:rsid w:val="00CA1565"/>
    <w:rsid w:val="00CA15A9"/>
    <w:rsid w:val="00CA1F8F"/>
    <w:rsid w:val="00CA2670"/>
    <w:rsid w:val="00CA27F8"/>
    <w:rsid w:val="00CA3739"/>
    <w:rsid w:val="00CA3A02"/>
    <w:rsid w:val="00CA3AAB"/>
    <w:rsid w:val="00CA3CD9"/>
    <w:rsid w:val="00CA5039"/>
    <w:rsid w:val="00CA58CC"/>
    <w:rsid w:val="00CA5EC0"/>
    <w:rsid w:val="00CA5FFF"/>
    <w:rsid w:val="00CA62C6"/>
    <w:rsid w:val="00CA636E"/>
    <w:rsid w:val="00CA6943"/>
    <w:rsid w:val="00CA75D1"/>
    <w:rsid w:val="00CA7B77"/>
    <w:rsid w:val="00CA7E4D"/>
    <w:rsid w:val="00CB0277"/>
    <w:rsid w:val="00CB08EF"/>
    <w:rsid w:val="00CB0A80"/>
    <w:rsid w:val="00CB0D8A"/>
    <w:rsid w:val="00CB0DF4"/>
    <w:rsid w:val="00CB1540"/>
    <w:rsid w:val="00CB1B54"/>
    <w:rsid w:val="00CB1DF6"/>
    <w:rsid w:val="00CB20E7"/>
    <w:rsid w:val="00CB20F7"/>
    <w:rsid w:val="00CB226E"/>
    <w:rsid w:val="00CB250B"/>
    <w:rsid w:val="00CB323D"/>
    <w:rsid w:val="00CB33F1"/>
    <w:rsid w:val="00CB3458"/>
    <w:rsid w:val="00CB3E57"/>
    <w:rsid w:val="00CB4F12"/>
    <w:rsid w:val="00CB5C06"/>
    <w:rsid w:val="00CB60E0"/>
    <w:rsid w:val="00CB6169"/>
    <w:rsid w:val="00CB6176"/>
    <w:rsid w:val="00CB6918"/>
    <w:rsid w:val="00CB6DC6"/>
    <w:rsid w:val="00CB74B7"/>
    <w:rsid w:val="00CB77A0"/>
    <w:rsid w:val="00CB77A9"/>
    <w:rsid w:val="00CB7D39"/>
    <w:rsid w:val="00CB7E97"/>
    <w:rsid w:val="00CB7EBD"/>
    <w:rsid w:val="00CC00A3"/>
    <w:rsid w:val="00CC00F9"/>
    <w:rsid w:val="00CC01F3"/>
    <w:rsid w:val="00CC05D5"/>
    <w:rsid w:val="00CC0A00"/>
    <w:rsid w:val="00CC101B"/>
    <w:rsid w:val="00CC1392"/>
    <w:rsid w:val="00CC1BF8"/>
    <w:rsid w:val="00CC2014"/>
    <w:rsid w:val="00CC2C25"/>
    <w:rsid w:val="00CC2DB4"/>
    <w:rsid w:val="00CC2E2E"/>
    <w:rsid w:val="00CC3503"/>
    <w:rsid w:val="00CC36E6"/>
    <w:rsid w:val="00CC377A"/>
    <w:rsid w:val="00CC39E8"/>
    <w:rsid w:val="00CC44DF"/>
    <w:rsid w:val="00CC44E9"/>
    <w:rsid w:val="00CC47E8"/>
    <w:rsid w:val="00CC5504"/>
    <w:rsid w:val="00CC5BF3"/>
    <w:rsid w:val="00CC6176"/>
    <w:rsid w:val="00CC64A3"/>
    <w:rsid w:val="00CC7433"/>
    <w:rsid w:val="00CD062F"/>
    <w:rsid w:val="00CD07BE"/>
    <w:rsid w:val="00CD11DD"/>
    <w:rsid w:val="00CD15B2"/>
    <w:rsid w:val="00CD18D8"/>
    <w:rsid w:val="00CD1968"/>
    <w:rsid w:val="00CD25CB"/>
    <w:rsid w:val="00CD29ED"/>
    <w:rsid w:val="00CD2D58"/>
    <w:rsid w:val="00CD3089"/>
    <w:rsid w:val="00CD3FD2"/>
    <w:rsid w:val="00CD46E1"/>
    <w:rsid w:val="00CD49F5"/>
    <w:rsid w:val="00CD4FCB"/>
    <w:rsid w:val="00CD55AF"/>
    <w:rsid w:val="00CD586F"/>
    <w:rsid w:val="00CD58AB"/>
    <w:rsid w:val="00CD5A10"/>
    <w:rsid w:val="00CD63C0"/>
    <w:rsid w:val="00CD6D0B"/>
    <w:rsid w:val="00CD7175"/>
    <w:rsid w:val="00CD748E"/>
    <w:rsid w:val="00CD7620"/>
    <w:rsid w:val="00CD7CA9"/>
    <w:rsid w:val="00CD7F27"/>
    <w:rsid w:val="00CE0032"/>
    <w:rsid w:val="00CE025F"/>
    <w:rsid w:val="00CE0EAE"/>
    <w:rsid w:val="00CE102D"/>
    <w:rsid w:val="00CE1D21"/>
    <w:rsid w:val="00CE1F4F"/>
    <w:rsid w:val="00CE1F5A"/>
    <w:rsid w:val="00CE209A"/>
    <w:rsid w:val="00CE2174"/>
    <w:rsid w:val="00CE21D9"/>
    <w:rsid w:val="00CE2A09"/>
    <w:rsid w:val="00CE31A7"/>
    <w:rsid w:val="00CE42E1"/>
    <w:rsid w:val="00CE443B"/>
    <w:rsid w:val="00CE494C"/>
    <w:rsid w:val="00CE52B1"/>
    <w:rsid w:val="00CE5BB8"/>
    <w:rsid w:val="00CE5E7C"/>
    <w:rsid w:val="00CE5ED5"/>
    <w:rsid w:val="00CE60DF"/>
    <w:rsid w:val="00CE6E03"/>
    <w:rsid w:val="00CE6E6E"/>
    <w:rsid w:val="00CE72A0"/>
    <w:rsid w:val="00CE7791"/>
    <w:rsid w:val="00CE7B95"/>
    <w:rsid w:val="00CF09FC"/>
    <w:rsid w:val="00CF0A54"/>
    <w:rsid w:val="00CF0CFE"/>
    <w:rsid w:val="00CF0D79"/>
    <w:rsid w:val="00CF0E4B"/>
    <w:rsid w:val="00CF107B"/>
    <w:rsid w:val="00CF112E"/>
    <w:rsid w:val="00CF125D"/>
    <w:rsid w:val="00CF14C8"/>
    <w:rsid w:val="00CF1523"/>
    <w:rsid w:val="00CF1E90"/>
    <w:rsid w:val="00CF1FC7"/>
    <w:rsid w:val="00CF2002"/>
    <w:rsid w:val="00CF2370"/>
    <w:rsid w:val="00CF2E62"/>
    <w:rsid w:val="00CF3914"/>
    <w:rsid w:val="00CF3DB7"/>
    <w:rsid w:val="00CF47F2"/>
    <w:rsid w:val="00CF4BAA"/>
    <w:rsid w:val="00CF4C29"/>
    <w:rsid w:val="00CF5601"/>
    <w:rsid w:val="00CF599D"/>
    <w:rsid w:val="00CF5E04"/>
    <w:rsid w:val="00CF64CE"/>
    <w:rsid w:val="00CF661A"/>
    <w:rsid w:val="00CF6D59"/>
    <w:rsid w:val="00CF745A"/>
    <w:rsid w:val="00CF74D9"/>
    <w:rsid w:val="00CF7643"/>
    <w:rsid w:val="00CF778F"/>
    <w:rsid w:val="00CF7AC6"/>
    <w:rsid w:val="00D00178"/>
    <w:rsid w:val="00D004EA"/>
    <w:rsid w:val="00D013CB"/>
    <w:rsid w:val="00D017AB"/>
    <w:rsid w:val="00D02EA9"/>
    <w:rsid w:val="00D038FF"/>
    <w:rsid w:val="00D03BCD"/>
    <w:rsid w:val="00D04BA1"/>
    <w:rsid w:val="00D05E48"/>
    <w:rsid w:val="00D06017"/>
    <w:rsid w:val="00D0681F"/>
    <w:rsid w:val="00D06E6B"/>
    <w:rsid w:val="00D076C6"/>
    <w:rsid w:val="00D102D7"/>
    <w:rsid w:val="00D10C5F"/>
    <w:rsid w:val="00D10F11"/>
    <w:rsid w:val="00D11275"/>
    <w:rsid w:val="00D1143B"/>
    <w:rsid w:val="00D12036"/>
    <w:rsid w:val="00D1257A"/>
    <w:rsid w:val="00D1259C"/>
    <w:rsid w:val="00D12866"/>
    <w:rsid w:val="00D130B1"/>
    <w:rsid w:val="00D1319F"/>
    <w:rsid w:val="00D135B0"/>
    <w:rsid w:val="00D13788"/>
    <w:rsid w:val="00D137C3"/>
    <w:rsid w:val="00D1386D"/>
    <w:rsid w:val="00D140BD"/>
    <w:rsid w:val="00D1433A"/>
    <w:rsid w:val="00D14536"/>
    <w:rsid w:val="00D1508B"/>
    <w:rsid w:val="00D156E9"/>
    <w:rsid w:val="00D1593E"/>
    <w:rsid w:val="00D15D93"/>
    <w:rsid w:val="00D15EB2"/>
    <w:rsid w:val="00D15FAF"/>
    <w:rsid w:val="00D163C0"/>
    <w:rsid w:val="00D16B3D"/>
    <w:rsid w:val="00D174A1"/>
    <w:rsid w:val="00D17C19"/>
    <w:rsid w:val="00D17D15"/>
    <w:rsid w:val="00D17D47"/>
    <w:rsid w:val="00D17F02"/>
    <w:rsid w:val="00D20A2C"/>
    <w:rsid w:val="00D210DA"/>
    <w:rsid w:val="00D21744"/>
    <w:rsid w:val="00D21EE4"/>
    <w:rsid w:val="00D2291C"/>
    <w:rsid w:val="00D22C5F"/>
    <w:rsid w:val="00D22F9B"/>
    <w:rsid w:val="00D234DC"/>
    <w:rsid w:val="00D234FF"/>
    <w:rsid w:val="00D23BB0"/>
    <w:rsid w:val="00D24054"/>
    <w:rsid w:val="00D24127"/>
    <w:rsid w:val="00D246D1"/>
    <w:rsid w:val="00D24BA0"/>
    <w:rsid w:val="00D251FB"/>
    <w:rsid w:val="00D2542D"/>
    <w:rsid w:val="00D2592F"/>
    <w:rsid w:val="00D26D5B"/>
    <w:rsid w:val="00D26DEB"/>
    <w:rsid w:val="00D26F9E"/>
    <w:rsid w:val="00D272F7"/>
    <w:rsid w:val="00D27319"/>
    <w:rsid w:val="00D278C2"/>
    <w:rsid w:val="00D27AC5"/>
    <w:rsid w:val="00D27E1E"/>
    <w:rsid w:val="00D27EAB"/>
    <w:rsid w:val="00D30D0F"/>
    <w:rsid w:val="00D30F89"/>
    <w:rsid w:val="00D31D55"/>
    <w:rsid w:val="00D31ECE"/>
    <w:rsid w:val="00D31F00"/>
    <w:rsid w:val="00D320B0"/>
    <w:rsid w:val="00D32223"/>
    <w:rsid w:val="00D328B2"/>
    <w:rsid w:val="00D32D4E"/>
    <w:rsid w:val="00D32DE0"/>
    <w:rsid w:val="00D32F38"/>
    <w:rsid w:val="00D330B8"/>
    <w:rsid w:val="00D33117"/>
    <w:rsid w:val="00D33532"/>
    <w:rsid w:val="00D3413F"/>
    <w:rsid w:val="00D342C9"/>
    <w:rsid w:val="00D342FB"/>
    <w:rsid w:val="00D3463E"/>
    <w:rsid w:val="00D34FBC"/>
    <w:rsid w:val="00D35246"/>
    <w:rsid w:val="00D35B27"/>
    <w:rsid w:val="00D36050"/>
    <w:rsid w:val="00D36855"/>
    <w:rsid w:val="00D36A61"/>
    <w:rsid w:val="00D36DA6"/>
    <w:rsid w:val="00D37182"/>
    <w:rsid w:val="00D37C65"/>
    <w:rsid w:val="00D40127"/>
    <w:rsid w:val="00D40653"/>
    <w:rsid w:val="00D40BB3"/>
    <w:rsid w:val="00D40BD2"/>
    <w:rsid w:val="00D4114C"/>
    <w:rsid w:val="00D41523"/>
    <w:rsid w:val="00D41571"/>
    <w:rsid w:val="00D41776"/>
    <w:rsid w:val="00D41799"/>
    <w:rsid w:val="00D41816"/>
    <w:rsid w:val="00D41879"/>
    <w:rsid w:val="00D41EE9"/>
    <w:rsid w:val="00D41FB4"/>
    <w:rsid w:val="00D42070"/>
    <w:rsid w:val="00D420A6"/>
    <w:rsid w:val="00D420D4"/>
    <w:rsid w:val="00D420D9"/>
    <w:rsid w:val="00D42827"/>
    <w:rsid w:val="00D428D2"/>
    <w:rsid w:val="00D42A1D"/>
    <w:rsid w:val="00D43133"/>
    <w:rsid w:val="00D43617"/>
    <w:rsid w:val="00D436AF"/>
    <w:rsid w:val="00D43D34"/>
    <w:rsid w:val="00D43F1A"/>
    <w:rsid w:val="00D43F23"/>
    <w:rsid w:val="00D44434"/>
    <w:rsid w:val="00D448BA"/>
    <w:rsid w:val="00D44B26"/>
    <w:rsid w:val="00D45FAE"/>
    <w:rsid w:val="00D4600B"/>
    <w:rsid w:val="00D464E4"/>
    <w:rsid w:val="00D46B4E"/>
    <w:rsid w:val="00D46B58"/>
    <w:rsid w:val="00D46C05"/>
    <w:rsid w:val="00D46DA7"/>
    <w:rsid w:val="00D47214"/>
    <w:rsid w:val="00D515C2"/>
    <w:rsid w:val="00D51764"/>
    <w:rsid w:val="00D51983"/>
    <w:rsid w:val="00D51F78"/>
    <w:rsid w:val="00D52056"/>
    <w:rsid w:val="00D522A2"/>
    <w:rsid w:val="00D529A1"/>
    <w:rsid w:val="00D529DD"/>
    <w:rsid w:val="00D52AB7"/>
    <w:rsid w:val="00D53209"/>
    <w:rsid w:val="00D53212"/>
    <w:rsid w:val="00D53939"/>
    <w:rsid w:val="00D53981"/>
    <w:rsid w:val="00D541BF"/>
    <w:rsid w:val="00D54335"/>
    <w:rsid w:val="00D545AA"/>
    <w:rsid w:val="00D546BD"/>
    <w:rsid w:val="00D547A3"/>
    <w:rsid w:val="00D549A7"/>
    <w:rsid w:val="00D552A1"/>
    <w:rsid w:val="00D55824"/>
    <w:rsid w:val="00D55C30"/>
    <w:rsid w:val="00D5635A"/>
    <w:rsid w:val="00D5687A"/>
    <w:rsid w:val="00D573C9"/>
    <w:rsid w:val="00D575D2"/>
    <w:rsid w:val="00D57DA2"/>
    <w:rsid w:val="00D57DDD"/>
    <w:rsid w:val="00D6051E"/>
    <w:rsid w:val="00D6186D"/>
    <w:rsid w:val="00D618CF"/>
    <w:rsid w:val="00D61D41"/>
    <w:rsid w:val="00D62B1E"/>
    <w:rsid w:val="00D62DEE"/>
    <w:rsid w:val="00D62ED6"/>
    <w:rsid w:val="00D63089"/>
    <w:rsid w:val="00D63485"/>
    <w:rsid w:val="00D64132"/>
    <w:rsid w:val="00D64229"/>
    <w:rsid w:val="00D643B0"/>
    <w:rsid w:val="00D646F0"/>
    <w:rsid w:val="00D65EB9"/>
    <w:rsid w:val="00D6606B"/>
    <w:rsid w:val="00D661F0"/>
    <w:rsid w:val="00D66478"/>
    <w:rsid w:val="00D66C2B"/>
    <w:rsid w:val="00D67172"/>
    <w:rsid w:val="00D67A32"/>
    <w:rsid w:val="00D67CBB"/>
    <w:rsid w:val="00D702EE"/>
    <w:rsid w:val="00D70597"/>
    <w:rsid w:val="00D708FA"/>
    <w:rsid w:val="00D709CF"/>
    <w:rsid w:val="00D709D2"/>
    <w:rsid w:val="00D70D04"/>
    <w:rsid w:val="00D70FA0"/>
    <w:rsid w:val="00D716D1"/>
    <w:rsid w:val="00D7236A"/>
    <w:rsid w:val="00D727B0"/>
    <w:rsid w:val="00D72B23"/>
    <w:rsid w:val="00D72BDF"/>
    <w:rsid w:val="00D72D45"/>
    <w:rsid w:val="00D742FD"/>
    <w:rsid w:val="00D74415"/>
    <w:rsid w:val="00D74697"/>
    <w:rsid w:val="00D7481E"/>
    <w:rsid w:val="00D74FB3"/>
    <w:rsid w:val="00D75041"/>
    <w:rsid w:val="00D7521C"/>
    <w:rsid w:val="00D758A2"/>
    <w:rsid w:val="00D75A1D"/>
    <w:rsid w:val="00D75BFD"/>
    <w:rsid w:val="00D7646B"/>
    <w:rsid w:val="00D76E22"/>
    <w:rsid w:val="00D77020"/>
    <w:rsid w:val="00D77495"/>
    <w:rsid w:val="00D77623"/>
    <w:rsid w:val="00D77F65"/>
    <w:rsid w:val="00D77FAE"/>
    <w:rsid w:val="00D8024C"/>
    <w:rsid w:val="00D80831"/>
    <w:rsid w:val="00D80EF4"/>
    <w:rsid w:val="00D81828"/>
    <w:rsid w:val="00D818AC"/>
    <w:rsid w:val="00D821F6"/>
    <w:rsid w:val="00D82309"/>
    <w:rsid w:val="00D8348C"/>
    <w:rsid w:val="00D834E4"/>
    <w:rsid w:val="00D848F0"/>
    <w:rsid w:val="00D8559D"/>
    <w:rsid w:val="00D85999"/>
    <w:rsid w:val="00D85A5B"/>
    <w:rsid w:val="00D85F59"/>
    <w:rsid w:val="00D86248"/>
    <w:rsid w:val="00D863E2"/>
    <w:rsid w:val="00D86AFB"/>
    <w:rsid w:val="00D86FB8"/>
    <w:rsid w:val="00D8746C"/>
    <w:rsid w:val="00D87AC3"/>
    <w:rsid w:val="00D902A9"/>
    <w:rsid w:val="00D90350"/>
    <w:rsid w:val="00D904C4"/>
    <w:rsid w:val="00D9086F"/>
    <w:rsid w:val="00D909B0"/>
    <w:rsid w:val="00D90C7B"/>
    <w:rsid w:val="00D912F2"/>
    <w:rsid w:val="00D91518"/>
    <w:rsid w:val="00D91A88"/>
    <w:rsid w:val="00D9217E"/>
    <w:rsid w:val="00D92E5A"/>
    <w:rsid w:val="00D932EB"/>
    <w:rsid w:val="00D9365B"/>
    <w:rsid w:val="00D93913"/>
    <w:rsid w:val="00D93D08"/>
    <w:rsid w:val="00D93D65"/>
    <w:rsid w:val="00D94576"/>
    <w:rsid w:val="00D94702"/>
    <w:rsid w:val="00D9472C"/>
    <w:rsid w:val="00D94D57"/>
    <w:rsid w:val="00D94ECD"/>
    <w:rsid w:val="00D95611"/>
    <w:rsid w:val="00D95719"/>
    <w:rsid w:val="00D95DE2"/>
    <w:rsid w:val="00D9643F"/>
    <w:rsid w:val="00D96E69"/>
    <w:rsid w:val="00D975B3"/>
    <w:rsid w:val="00D976EE"/>
    <w:rsid w:val="00D97C0B"/>
    <w:rsid w:val="00DA021B"/>
    <w:rsid w:val="00DA0E28"/>
    <w:rsid w:val="00DA0E44"/>
    <w:rsid w:val="00DA11D2"/>
    <w:rsid w:val="00DA1D24"/>
    <w:rsid w:val="00DA1D59"/>
    <w:rsid w:val="00DA1DC7"/>
    <w:rsid w:val="00DA1FC1"/>
    <w:rsid w:val="00DA27FD"/>
    <w:rsid w:val="00DA287D"/>
    <w:rsid w:val="00DA2E28"/>
    <w:rsid w:val="00DA36B9"/>
    <w:rsid w:val="00DA3A5E"/>
    <w:rsid w:val="00DA47BF"/>
    <w:rsid w:val="00DA48A9"/>
    <w:rsid w:val="00DA541F"/>
    <w:rsid w:val="00DA56A5"/>
    <w:rsid w:val="00DA58C7"/>
    <w:rsid w:val="00DA5D81"/>
    <w:rsid w:val="00DA5DC8"/>
    <w:rsid w:val="00DA5E7E"/>
    <w:rsid w:val="00DA6098"/>
    <w:rsid w:val="00DA6429"/>
    <w:rsid w:val="00DA6BD3"/>
    <w:rsid w:val="00DA70C0"/>
    <w:rsid w:val="00DA7178"/>
    <w:rsid w:val="00DA7319"/>
    <w:rsid w:val="00DA735B"/>
    <w:rsid w:val="00DA77A3"/>
    <w:rsid w:val="00DA7B28"/>
    <w:rsid w:val="00DA7C54"/>
    <w:rsid w:val="00DB0679"/>
    <w:rsid w:val="00DB0B91"/>
    <w:rsid w:val="00DB1355"/>
    <w:rsid w:val="00DB17A6"/>
    <w:rsid w:val="00DB236B"/>
    <w:rsid w:val="00DB2DB4"/>
    <w:rsid w:val="00DB2F94"/>
    <w:rsid w:val="00DB3118"/>
    <w:rsid w:val="00DB37DB"/>
    <w:rsid w:val="00DB484E"/>
    <w:rsid w:val="00DB4CA2"/>
    <w:rsid w:val="00DB5C60"/>
    <w:rsid w:val="00DB6B05"/>
    <w:rsid w:val="00DB6EE6"/>
    <w:rsid w:val="00DB702E"/>
    <w:rsid w:val="00DB70B9"/>
    <w:rsid w:val="00DB70DD"/>
    <w:rsid w:val="00DB739D"/>
    <w:rsid w:val="00DB74E9"/>
    <w:rsid w:val="00DB7AC7"/>
    <w:rsid w:val="00DC0BFE"/>
    <w:rsid w:val="00DC0E9D"/>
    <w:rsid w:val="00DC164C"/>
    <w:rsid w:val="00DC1845"/>
    <w:rsid w:val="00DC1A2B"/>
    <w:rsid w:val="00DC1B68"/>
    <w:rsid w:val="00DC29A1"/>
    <w:rsid w:val="00DC2BAD"/>
    <w:rsid w:val="00DC2C0D"/>
    <w:rsid w:val="00DC30D5"/>
    <w:rsid w:val="00DC3947"/>
    <w:rsid w:val="00DC3A69"/>
    <w:rsid w:val="00DC3EC8"/>
    <w:rsid w:val="00DC3EEC"/>
    <w:rsid w:val="00DC4271"/>
    <w:rsid w:val="00DC45F5"/>
    <w:rsid w:val="00DC53A5"/>
    <w:rsid w:val="00DC5BE2"/>
    <w:rsid w:val="00DC5EE7"/>
    <w:rsid w:val="00DC6701"/>
    <w:rsid w:val="00DC6845"/>
    <w:rsid w:val="00DC785C"/>
    <w:rsid w:val="00DD02C5"/>
    <w:rsid w:val="00DD041A"/>
    <w:rsid w:val="00DD159E"/>
    <w:rsid w:val="00DD1CA4"/>
    <w:rsid w:val="00DD2341"/>
    <w:rsid w:val="00DD2570"/>
    <w:rsid w:val="00DD2B0B"/>
    <w:rsid w:val="00DD317E"/>
    <w:rsid w:val="00DD31D9"/>
    <w:rsid w:val="00DD3AA9"/>
    <w:rsid w:val="00DD4DA9"/>
    <w:rsid w:val="00DD5402"/>
    <w:rsid w:val="00DD566C"/>
    <w:rsid w:val="00DD5A7C"/>
    <w:rsid w:val="00DD5EBA"/>
    <w:rsid w:val="00DD6081"/>
    <w:rsid w:val="00DD66CE"/>
    <w:rsid w:val="00DD6981"/>
    <w:rsid w:val="00DD7299"/>
    <w:rsid w:val="00DD781D"/>
    <w:rsid w:val="00DD7873"/>
    <w:rsid w:val="00DD79A1"/>
    <w:rsid w:val="00DE046B"/>
    <w:rsid w:val="00DE101D"/>
    <w:rsid w:val="00DE17C5"/>
    <w:rsid w:val="00DE1AD5"/>
    <w:rsid w:val="00DE2204"/>
    <w:rsid w:val="00DE2AA4"/>
    <w:rsid w:val="00DE2C34"/>
    <w:rsid w:val="00DE2D53"/>
    <w:rsid w:val="00DE2F80"/>
    <w:rsid w:val="00DE33A1"/>
    <w:rsid w:val="00DE33B7"/>
    <w:rsid w:val="00DE372D"/>
    <w:rsid w:val="00DE3962"/>
    <w:rsid w:val="00DE39A5"/>
    <w:rsid w:val="00DE4386"/>
    <w:rsid w:val="00DE454D"/>
    <w:rsid w:val="00DE47A4"/>
    <w:rsid w:val="00DE5446"/>
    <w:rsid w:val="00DE5A32"/>
    <w:rsid w:val="00DE68C1"/>
    <w:rsid w:val="00DE6E9C"/>
    <w:rsid w:val="00DE6FFD"/>
    <w:rsid w:val="00DE7336"/>
    <w:rsid w:val="00DE7842"/>
    <w:rsid w:val="00DE7D50"/>
    <w:rsid w:val="00DF0074"/>
    <w:rsid w:val="00DF0D1D"/>
    <w:rsid w:val="00DF0F84"/>
    <w:rsid w:val="00DF1A03"/>
    <w:rsid w:val="00DF1BB8"/>
    <w:rsid w:val="00DF21D4"/>
    <w:rsid w:val="00DF25E4"/>
    <w:rsid w:val="00DF2BDD"/>
    <w:rsid w:val="00DF30D0"/>
    <w:rsid w:val="00DF340A"/>
    <w:rsid w:val="00DF3450"/>
    <w:rsid w:val="00DF393D"/>
    <w:rsid w:val="00DF3A83"/>
    <w:rsid w:val="00DF3CDF"/>
    <w:rsid w:val="00DF3CF0"/>
    <w:rsid w:val="00DF4AA1"/>
    <w:rsid w:val="00DF5076"/>
    <w:rsid w:val="00DF529A"/>
    <w:rsid w:val="00DF5470"/>
    <w:rsid w:val="00DF5B3B"/>
    <w:rsid w:val="00DF5C80"/>
    <w:rsid w:val="00DF5EFB"/>
    <w:rsid w:val="00DF6285"/>
    <w:rsid w:val="00DF6538"/>
    <w:rsid w:val="00DF6772"/>
    <w:rsid w:val="00DF6AA4"/>
    <w:rsid w:val="00DF6AE7"/>
    <w:rsid w:val="00DF7072"/>
    <w:rsid w:val="00DF70A7"/>
    <w:rsid w:val="00DF777F"/>
    <w:rsid w:val="00DF77A5"/>
    <w:rsid w:val="00E00924"/>
    <w:rsid w:val="00E0098B"/>
    <w:rsid w:val="00E00AFF"/>
    <w:rsid w:val="00E012A5"/>
    <w:rsid w:val="00E0196C"/>
    <w:rsid w:val="00E01DE5"/>
    <w:rsid w:val="00E02066"/>
    <w:rsid w:val="00E0255D"/>
    <w:rsid w:val="00E02BF6"/>
    <w:rsid w:val="00E03820"/>
    <w:rsid w:val="00E03AD8"/>
    <w:rsid w:val="00E03E18"/>
    <w:rsid w:val="00E03F95"/>
    <w:rsid w:val="00E04594"/>
    <w:rsid w:val="00E05E67"/>
    <w:rsid w:val="00E062FD"/>
    <w:rsid w:val="00E06EEF"/>
    <w:rsid w:val="00E07D91"/>
    <w:rsid w:val="00E105A5"/>
    <w:rsid w:val="00E10799"/>
    <w:rsid w:val="00E10CE2"/>
    <w:rsid w:val="00E113B2"/>
    <w:rsid w:val="00E1152D"/>
    <w:rsid w:val="00E12914"/>
    <w:rsid w:val="00E12B46"/>
    <w:rsid w:val="00E12B65"/>
    <w:rsid w:val="00E12B87"/>
    <w:rsid w:val="00E13130"/>
    <w:rsid w:val="00E13C7E"/>
    <w:rsid w:val="00E13CDC"/>
    <w:rsid w:val="00E13DD9"/>
    <w:rsid w:val="00E14046"/>
    <w:rsid w:val="00E14A09"/>
    <w:rsid w:val="00E14F57"/>
    <w:rsid w:val="00E15077"/>
    <w:rsid w:val="00E153C4"/>
    <w:rsid w:val="00E15A99"/>
    <w:rsid w:val="00E1607C"/>
    <w:rsid w:val="00E1654C"/>
    <w:rsid w:val="00E16D5D"/>
    <w:rsid w:val="00E1715D"/>
    <w:rsid w:val="00E2086E"/>
    <w:rsid w:val="00E2095C"/>
    <w:rsid w:val="00E20B07"/>
    <w:rsid w:val="00E20E79"/>
    <w:rsid w:val="00E210E2"/>
    <w:rsid w:val="00E21E55"/>
    <w:rsid w:val="00E2254C"/>
    <w:rsid w:val="00E22CC9"/>
    <w:rsid w:val="00E22DAC"/>
    <w:rsid w:val="00E23883"/>
    <w:rsid w:val="00E23955"/>
    <w:rsid w:val="00E23DC3"/>
    <w:rsid w:val="00E241F3"/>
    <w:rsid w:val="00E2421E"/>
    <w:rsid w:val="00E24927"/>
    <w:rsid w:val="00E24CAB"/>
    <w:rsid w:val="00E25C04"/>
    <w:rsid w:val="00E2604D"/>
    <w:rsid w:val="00E26133"/>
    <w:rsid w:val="00E26AD3"/>
    <w:rsid w:val="00E26D60"/>
    <w:rsid w:val="00E315F5"/>
    <w:rsid w:val="00E31679"/>
    <w:rsid w:val="00E32514"/>
    <w:rsid w:val="00E326AD"/>
    <w:rsid w:val="00E32847"/>
    <w:rsid w:val="00E328CC"/>
    <w:rsid w:val="00E331CE"/>
    <w:rsid w:val="00E332AA"/>
    <w:rsid w:val="00E3392D"/>
    <w:rsid w:val="00E3395E"/>
    <w:rsid w:val="00E34598"/>
    <w:rsid w:val="00E34B4F"/>
    <w:rsid w:val="00E34E25"/>
    <w:rsid w:val="00E357F9"/>
    <w:rsid w:val="00E359C0"/>
    <w:rsid w:val="00E35ABE"/>
    <w:rsid w:val="00E35D12"/>
    <w:rsid w:val="00E35F96"/>
    <w:rsid w:val="00E37345"/>
    <w:rsid w:val="00E37799"/>
    <w:rsid w:val="00E402E1"/>
    <w:rsid w:val="00E408AB"/>
    <w:rsid w:val="00E40A38"/>
    <w:rsid w:val="00E41111"/>
    <w:rsid w:val="00E413DA"/>
    <w:rsid w:val="00E42C4A"/>
    <w:rsid w:val="00E4370B"/>
    <w:rsid w:val="00E43A5C"/>
    <w:rsid w:val="00E43EA2"/>
    <w:rsid w:val="00E44164"/>
    <w:rsid w:val="00E4489D"/>
    <w:rsid w:val="00E44D21"/>
    <w:rsid w:val="00E44F8B"/>
    <w:rsid w:val="00E454AD"/>
    <w:rsid w:val="00E455C9"/>
    <w:rsid w:val="00E45926"/>
    <w:rsid w:val="00E45F9A"/>
    <w:rsid w:val="00E4656C"/>
    <w:rsid w:val="00E4692A"/>
    <w:rsid w:val="00E46AFE"/>
    <w:rsid w:val="00E46C15"/>
    <w:rsid w:val="00E46CC2"/>
    <w:rsid w:val="00E46F80"/>
    <w:rsid w:val="00E470EB"/>
    <w:rsid w:val="00E472F8"/>
    <w:rsid w:val="00E475D8"/>
    <w:rsid w:val="00E47858"/>
    <w:rsid w:val="00E4796C"/>
    <w:rsid w:val="00E506AF"/>
    <w:rsid w:val="00E50F59"/>
    <w:rsid w:val="00E5147A"/>
    <w:rsid w:val="00E515AA"/>
    <w:rsid w:val="00E516A8"/>
    <w:rsid w:val="00E51A54"/>
    <w:rsid w:val="00E51E8C"/>
    <w:rsid w:val="00E52A4E"/>
    <w:rsid w:val="00E52AAC"/>
    <w:rsid w:val="00E52BA8"/>
    <w:rsid w:val="00E53617"/>
    <w:rsid w:val="00E539D2"/>
    <w:rsid w:val="00E53B5D"/>
    <w:rsid w:val="00E542D5"/>
    <w:rsid w:val="00E54567"/>
    <w:rsid w:val="00E5493E"/>
    <w:rsid w:val="00E5499E"/>
    <w:rsid w:val="00E54A30"/>
    <w:rsid w:val="00E54BA2"/>
    <w:rsid w:val="00E54FD1"/>
    <w:rsid w:val="00E5511B"/>
    <w:rsid w:val="00E554EC"/>
    <w:rsid w:val="00E559D4"/>
    <w:rsid w:val="00E561E0"/>
    <w:rsid w:val="00E56741"/>
    <w:rsid w:val="00E5689D"/>
    <w:rsid w:val="00E57084"/>
    <w:rsid w:val="00E5723C"/>
    <w:rsid w:val="00E5772B"/>
    <w:rsid w:val="00E60ACE"/>
    <w:rsid w:val="00E60D31"/>
    <w:rsid w:val="00E60ED7"/>
    <w:rsid w:val="00E6133C"/>
    <w:rsid w:val="00E616CF"/>
    <w:rsid w:val="00E62AE2"/>
    <w:rsid w:val="00E62F19"/>
    <w:rsid w:val="00E62F5F"/>
    <w:rsid w:val="00E63033"/>
    <w:rsid w:val="00E632C1"/>
    <w:rsid w:val="00E63471"/>
    <w:rsid w:val="00E63477"/>
    <w:rsid w:val="00E63AED"/>
    <w:rsid w:val="00E63FEA"/>
    <w:rsid w:val="00E6448A"/>
    <w:rsid w:val="00E645A7"/>
    <w:rsid w:val="00E650AE"/>
    <w:rsid w:val="00E65715"/>
    <w:rsid w:val="00E65987"/>
    <w:rsid w:val="00E65EF1"/>
    <w:rsid w:val="00E66173"/>
    <w:rsid w:val="00E662A1"/>
    <w:rsid w:val="00E66902"/>
    <w:rsid w:val="00E675BE"/>
    <w:rsid w:val="00E67979"/>
    <w:rsid w:val="00E67F3E"/>
    <w:rsid w:val="00E71393"/>
    <w:rsid w:val="00E715AC"/>
    <w:rsid w:val="00E71C64"/>
    <w:rsid w:val="00E7205F"/>
    <w:rsid w:val="00E73A5F"/>
    <w:rsid w:val="00E741CD"/>
    <w:rsid w:val="00E7474C"/>
    <w:rsid w:val="00E749E1"/>
    <w:rsid w:val="00E74F01"/>
    <w:rsid w:val="00E75534"/>
    <w:rsid w:val="00E75CF1"/>
    <w:rsid w:val="00E76009"/>
    <w:rsid w:val="00E760BE"/>
    <w:rsid w:val="00E76155"/>
    <w:rsid w:val="00E763A3"/>
    <w:rsid w:val="00E766E8"/>
    <w:rsid w:val="00E76796"/>
    <w:rsid w:val="00E7758E"/>
    <w:rsid w:val="00E77957"/>
    <w:rsid w:val="00E77D63"/>
    <w:rsid w:val="00E802C5"/>
    <w:rsid w:val="00E80453"/>
    <w:rsid w:val="00E80E30"/>
    <w:rsid w:val="00E8146B"/>
    <w:rsid w:val="00E81B4E"/>
    <w:rsid w:val="00E81C2F"/>
    <w:rsid w:val="00E82459"/>
    <w:rsid w:val="00E824AC"/>
    <w:rsid w:val="00E828AD"/>
    <w:rsid w:val="00E82DE8"/>
    <w:rsid w:val="00E83324"/>
    <w:rsid w:val="00E8349C"/>
    <w:rsid w:val="00E8356D"/>
    <w:rsid w:val="00E83EDA"/>
    <w:rsid w:val="00E8408B"/>
    <w:rsid w:val="00E843B9"/>
    <w:rsid w:val="00E84517"/>
    <w:rsid w:val="00E84AE1"/>
    <w:rsid w:val="00E84BE3"/>
    <w:rsid w:val="00E85007"/>
    <w:rsid w:val="00E850A9"/>
    <w:rsid w:val="00E852FB"/>
    <w:rsid w:val="00E85977"/>
    <w:rsid w:val="00E85B67"/>
    <w:rsid w:val="00E86122"/>
    <w:rsid w:val="00E865B5"/>
    <w:rsid w:val="00E86CE5"/>
    <w:rsid w:val="00E86F20"/>
    <w:rsid w:val="00E86FE1"/>
    <w:rsid w:val="00E873BB"/>
    <w:rsid w:val="00E87409"/>
    <w:rsid w:val="00E877F8"/>
    <w:rsid w:val="00E87A03"/>
    <w:rsid w:val="00E90760"/>
    <w:rsid w:val="00E91450"/>
    <w:rsid w:val="00E91471"/>
    <w:rsid w:val="00E9180E"/>
    <w:rsid w:val="00E91B95"/>
    <w:rsid w:val="00E91FFA"/>
    <w:rsid w:val="00E92048"/>
    <w:rsid w:val="00E92708"/>
    <w:rsid w:val="00E9278A"/>
    <w:rsid w:val="00E92830"/>
    <w:rsid w:val="00E92D11"/>
    <w:rsid w:val="00E92FCC"/>
    <w:rsid w:val="00E935BE"/>
    <w:rsid w:val="00E941C0"/>
    <w:rsid w:val="00E944E5"/>
    <w:rsid w:val="00E95085"/>
    <w:rsid w:val="00E951F3"/>
    <w:rsid w:val="00E95222"/>
    <w:rsid w:val="00E95AC3"/>
    <w:rsid w:val="00E9603B"/>
    <w:rsid w:val="00E9661D"/>
    <w:rsid w:val="00E9714C"/>
    <w:rsid w:val="00E976AC"/>
    <w:rsid w:val="00EA03D7"/>
    <w:rsid w:val="00EA09A4"/>
    <w:rsid w:val="00EA103D"/>
    <w:rsid w:val="00EA14C5"/>
    <w:rsid w:val="00EA162A"/>
    <w:rsid w:val="00EA1CA5"/>
    <w:rsid w:val="00EA1CE3"/>
    <w:rsid w:val="00EA21D0"/>
    <w:rsid w:val="00EA2727"/>
    <w:rsid w:val="00EA2E43"/>
    <w:rsid w:val="00EA2F63"/>
    <w:rsid w:val="00EA3D0B"/>
    <w:rsid w:val="00EA45D6"/>
    <w:rsid w:val="00EA5233"/>
    <w:rsid w:val="00EA53F1"/>
    <w:rsid w:val="00EA5625"/>
    <w:rsid w:val="00EA683D"/>
    <w:rsid w:val="00EA7070"/>
    <w:rsid w:val="00EA7086"/>
    <w:rsid w:val="00EA738B"/>
    <w:rsid w:val="00EB1C04"/>
    <w:rsid w:val="00EB23C4"/>
    <w:rsid w:val="00EB2E60"/>
    <w:rsid w:val="00EB34BE"/>
    <w:rsid w:val="00EB3B20"/>
    <w:rsid w:val="00EB3B65"/>
    <w:rsid w:val="00EB3C9C"/>
    <w:rsid w:val="00EB42FA"/>
    <w:rsid w:val="00EB4DD2"/>
    <w:rsid w:val="00EB5F92"/>
    <w:rsid w:val="00EB621A"/>
    <w:rsid w:val="00EB6852"/>
    <w:rsid w:val="00EB6BAE"/>
    <w:rsid w:val="00EB6F4E"/>
    <w:rsid w:val="00EB71A5"/>
    <w:rsid w:val="00EB72F6"/>
    <w:rsid w:val="00EB753C"/>
    <w:rsid w:val="00EB77E0"/>
    <w:rsid w:val="00EC0002"/>
    <w:rsid w:val="00EC00DC"/>
    <w:rsid w:val="00EC0548"/>
    <w:rsid w:val="00EC153D"/>
    <w:rsid w:val="00EC1A34"/>
    <w:rsid w:val="00EC2A91"/>
    <w:rsid w:val="00EC2ADD"/>
    <w:rsid w:val="00EC2F30"/>
    <w:rsid w:val="00EC33B8"/>
    <w:rsid w:val="00EC33DA"/>
    <w:rsid w:val="00EC34C4"/>
    <w:rsid w:val="00EC3965"/>
    <w:rsid w:val="00EC3B62"/>
    <w:rsid w:val="00EC4169"/>
    <w:rsid w:val="00EC4175"/>
    <w:rsid w:val="00EC44CB"/>
    <w:rsid w:val="00EC4D96"/>
    <w:rsid w:val="00EC56FF"/>
    <w:rsid w:val="00EC62ED"/>
    <w:rsid w:val="00EC6481"/>
    <w:rsid w:val="00EC6540"/>
    <w:rsid w:val="00EC6A00"/>
    <w:rsid w:val="00EC6BC6"/>
    <w:rsid w:val="00EC6DAE"/>
    <w:rsid w:val="00ED0494"/>
    <w:rsid w:val="00ED0E68"/>
    <w:rsid w:val="00ED147B"/>
    <w:rsid w:val="00ED187E"/>
    <w:rsid w:val="00ED1A38"/>
    <w:rsid w:val="00ED1AEF"/>
    <w:rsid w:val="00ED213F"/>
    <w:rsid w:val="00ED2154"/>
    <w:rsid w:val="00ED2DFE"/>
    <w:rsid w:val="00ED34FC"/>
    <w:rsid w:val="00ED367B"/>
    <w:rsid w:val="00ED3710"/>
    <w:rsid w:val="00ED43C5"/>
    <w:rsid w:val="00ED43DB"/>
    <w:rsid w:val="00ED444C"/>
    <w:rsid w:val="00ED4741"/>
    <w:rsid w:val="00ED4A30"/>
    <w:rsid w:val="00ED4AA4"/>
    <w:rsid w:val="00ED4B13"/>
    <w:rsid w:val="00ED4FC7"/>
    <w:rsid w:val="00ED50B2"/>
    <w:rsid w:val="00ED5106"/>
    <w:rsid w:val="00ED535B"/>
    <w:rsid w:val="00ED586A"/>
    <w:rsid w:val="00ED63B2"/>
    <w:rsid w:val="00ED6809"/>
    <w:rsid w:val="00ED6EEE"/>
    <w:rsid w:val="00ED7E42"/>
    <w:rsid w:val="00ED7F6F"/>
    <w:rsid w:val="00ED7FFD"/>
    <w:rsid w:val="00EE0584"/>
    <w:rsid w:val="00EE0889"/>
    <w:rsid w:val="00EE0CBB"/>
    <w:rsid w:val="00EE14AD"/>
    <w:rsid w:val="00EE1626"/>
    <w:rsid w:val="00EE1913"/>
    <w:rsid w:val="00EE1959"/>
    <w:rsid w:val="00EE19A3"/>
    <w:rsid w:val="00EE1FA8"/>
    <w:rsid w:val="00EE2084"/>
    <w:rsid w:val="00EE28C9"/>
    <w:rsid w:val="00EE2FCE"/>
    <w:rsid w:val="00EE3F1D"/>
    <w:rsid w:val="00EE42DF"/>
    <w:rsid w:val="00EE4732"/>
    <w:rsid w:val="00EE4899"/>
    <w:rsid w:val="00EE49A8"/>
    <w:rsid w:val="00EE5192"/>
    <w:rsid w:val="00EE59A9"/>
    <w:rsid w:val="00EE59DA"/>
    <w:rsid w:val="00EE61E1"/>
    <w:rsid w:val="00EE6A93"/>
    <w:rsid w:val="00EE7A63"/>
    <w:rsid w:val="00EE7AFC"/>
    <w:rsid w:val="00EE7E9F"/>
    <w:rsid w:val="00EF04E3"/>
    <w:rsid w:val="00EF067C"/>
    <w:rsid w:val="00EF0811"/>
    <w:rsid w:val="00EF0969"/>
    <w:rsid w:val="00EF1829"/>
    <w:rsid w:val="00EF192C"/>
    <w:rsid w:val="00EF1C7A"/>
    <w:rsid w:val="00EF1DC6"/>
    <w:rsid w:val="00EF24AF"/>
    <w:rsid w:val="00EF24FB"/>
    <w:rsid w:val="00EF27B7"/>
    <w:rsid w:val="00EF29E2"/>
    <w:rsid w:val="00EF2F25"/>
    <w:rsid w:val="00EF3A1C"/>
    <w:rsid w:val="00EF3C97"/>
    <w:rsid w:val="00EF3FD9"/>
    <w:rsid w:val="00EF44A3"/>
    <w:rsid w:val="00EF4E33"/>
    <w:rsid w:val="00EF4F2C"/>
    <w:rsid w:val="00EF5326"/>
    <w:rsid w:val="00EF537C"/>
    <w:rsid w:val="00EF55E3"/>
    <w:rsid w:val="00EF5641"/>
    <w:rsid w:val="00EF5D84"/>
    <w:rsid w:val="00EF6D8C"/>
    <w:rsid w:val="00EF7007"/>
    <w:rsid w:val="00EF729C"/>
    <w:rsid w:val="00EF75E3"/>
    <w:rsid w:val="00EF762E"/>
    <w:rsid w:val="00EF7C0C"/>
    <w:rsid w:val="00F000CD"/>
    <w:rsid w:val="00F00185"/>
    <w:rsid w:val="00F0031B"/>
    <w:rsid w:val="00F003B2"/>
    <w:rsid w:val="00F00561"/>
    <w:rsid w:val="00F0065C"/>
    <w:rsid w:val="00F0068D"/>
    <w:rsid w:val="00F008EC"/>
    <w:rsid w:val="00F009CE"/>
    <w:rsid w:val="00F0113B"/>
    <w:rsid w:val="00F01F20"/>
    <w:rsid w:val="00F02090"/>
    <w:rsid w:val="00F029BD"/>
    <w:rsid w:val="00F02B55"/>
    <w:rsid w:val="00F02BB4"/>
    <w:rsid w:val="00F0420B"/>
    <w:rsid w:val="00F04825"/>
    <w:rsid w:val="00F04B3D"/>
    <w:rsid w:val="00F04E74"/>
    <w:rsid w:val="00F0580A"/>
    <w:rsid w:val="00F05B41"/>
    <w:rsid w:val="00F05C31"/>
    <w:rsid w:val="00F05E0C"/>
    <w:rsid w:val="00F060D1"/>
    <w:rsid w:val="00F062F9"/>
    <w:rsid w:val="00F06478"/>
    <w:rsid w:val="00F07BF2"/>
    <w:rsid w:val="00F07C9C"/>
    <w:rsid w:val="00F10249"/>
    <w:rsid w:val="00F105E5"/>
    <w:rsid w:val="00F1067B"/>
    <w:rsid w:val="00F109C5"/>
    <w:rsid w:val="00F11713"/>
    <w:rsid w:val="00F120BC"/>
    <w:rsid w:val="00F1298C"/>
    <w:rsid w:val="00F12AEC"/>
    <w:rsid w:val="00F12CB1"/>
    <w:rsid w:val="00F12D9F"/>
    <w:rsid w:val="00F131ED"/>
    <w:rsid w:val="00F134F9"/>
    <w:rsid w:val="00F1353E"/>
    <w:rsid w:val="00F137DF"/>
    <w:rsid w:val="00F13933"/>
    <w:rsid w:val="00F14033"/>
    <w:rsid w:val="00F1437A"/>
    <w:rsid w:val="00F15052"/>
    <w:rsid w:val="00F158FE"/>
    <w:rsid w:val="00F15F6F"/>
    <w:rsid w:val="00F16630"/>
    <w:rsid w:val="00F16B3B"/>
    <w:rsid w:val="00F16D19"/>
    <w:rsid w:val="00F173EF"/>
    <w:rsid w:val="00F175FD"/>
    <w:rsid w:val="00F17E8A"/>
    <w:rsid w:val="00F17ED9"/>
    <w:rsid w:val="00F20143"/>
    <w:rsid w:val="00F20215"/>
    <w:rsid w:val="00F2031B"/>
    <w:rsid w:val="00F20535"/>
    <w:rsid w:val="00F20B52"/>
    <w:rsid w:val="00F20FEF"/>
    <w:rsid w:val="00F210F3"/>
    <w:rsid w:val="00F212BA"/>
    <w:rsid w:val="00F2134E"/>
    <w:rsid w:val="00F21F1F"/>
    <w:rsid w:val="00F224E0"/>
    <w:rsid w:val="00F22BDF"/>
    <w:rsid w:val="00F2349B"/>
    <w:rsid w:val="00F23573"/>
    <w:rsid w:val="00F23575"/>
    <w:rsid w:val="00F2386D"/>
    <w:rsid w:val="00F23D89"/>
    <w:rsid w:val="00F24287"/>
    <w:rsid w:val="00F246A4"/>
    <w:rsid w:val="00F24B66"/>
    <w:rsid w:val="00F24B8A"/>
    <w:rsid w:val="00F255BE"/>
    <w:rsid w:val="00F25631"/>
    <w:rsid w:val="00F25CA9"/>
    <w:rsid w:val="00F264D4"/>
    <w:rsid w:val="00F267B9"/>
    <w:rsid w:val="00F267D1"/>
    <w:rsid w:val="00F26ADC"/>
    <w:rsid w:val="00F26B34"/>
    <w:rsid w:val="00F26F49"/>
    <w:rsid w:val="00F2725E"/>
    <w:rsid w:val="00F2747C"/>
    <w:rsid w:val="00F274E2"/>
    <w:rsid w:val="00F301F0"/>
    <w:rsid w:val="00F30654"/>
    <w:rsid w:val="00F3130F"/>
    <w:rsid w:val="00F316FB"/>
    <w:rsid w:val="00F318FB"/>
    <w:rsid w:val="00F31B59"/>
    <w:rsid w:val="00F3239A"/>
    <w:rsid w:val="00F323C9"/>
    <w:rsid w:val="00F339CD"/>
    <w:rsid w:val="00F33DE1"/>
    <w:rsid w:val="00F347DB"/>
    <w:rsid w:val="00F347F3"/>
    <w:rsid w:val="00F348F8"/>
    <w:rsid w:val="00F34A35"/>
    <w:rsid w:val="00F34A36"/>
    <w:rsid w:val="00F35283"/>
    <w:rsid w:val="00F3560E"/>
    <w:rsid w:val="00F35B6A"/>
    <w:rsid w:val="00F36236"/>
    <w:rsid w:val="00F368D3"/>
    <w:rsid w:val="00F36918"/>
    <w:rsid w:val="00F36B28"/>
    <w:rsid w:val="00F36C11"/>
    <w:rsid w:val="00F3739B"/>
    <w:rsid w:val="00F37804"/>
    <w:rsid w:val="00F37D69"/>
    <w:rsid w:val="00F40340"/>
    <w:rsid w:val="00F407D5"/>
    <w:rsid w:val="00F41094"/>
    <w:rsid w:val="00F4116E"/>
    <w:rsid w:val="00F4134D"/>
    <w:rsid w:val="00F414BD"/>
    <w:rsid w:val="00F41572"/>
    <w:rsid w:val="00F4159E"/>
    <w:rsid w:val="00F41C74"/>
    <w:rsid w:val="00F42DC6"/>
    <w:rsid w:val="00F42E1E"/>
    <w:rsid w:val="00F4320A"/>
    <w:rsid w:val="00F438AB"/>
    <w:rsid w:val="00F43D73"/>
    <w:rsid w:val="00F44947"/>
    <w:rsid w:val="00F452E1"/>
    <w:rsid w:val="00F45385"/>
    <w:rsid w:val="00F45710"/>
    <w:rsid w:val="00F46DF2"/>
    <w:rsid w:val="00F474C2"/>
    <w:rsid w:val="00F501CA"/>
    <w:rsid w:val="00F505D7"/>
    <w:rsid w:val="00F50A00"/>
    <w:rsid w:val="00F50A46"/>
    <w:rsid w:val="00F50ADE"/>
    <w:rsid w:val="00F50B3B"/>
    <w:rsid w:val="00F50C61"/>
    <w:rsid w:val="00F50D15"/>
    <w:rsid w:val="00F50E1D"/>
    <w:rsid w:val="00F50F20"/>
    <w:rsid w:val="00F513A9"/>
    <w:rsid w:val="00F51690"/>
    <w:rsid w:val="00F52332"/>
    <w:rsid w:val="00F52530"/>
    <w:rsid w:val="00F529C1"/>
    <w:rsid w:val="00F52D9F"/>
    <w:rsid w:val="00F5310F"/>
    <w:rsid w:val="00F5313C"/>
    <w:rsid w:val="00F53184"/>
    <w:rsid w:val="00F53298"/>
    <w:rsid w:val="00F53392"/>
    <w:rsid w:val="00F533A8"/>
    <w:rsid w:val="00F535E0"/>
    <w:rsid w:val="00F53CF4"/>
    <w:rsid w:val="00F53D9D"/>
    <w:rsid w:val="00F53F7D"/>
    <w:rsid w:val="00F542BD"/>
    <w:rsid w:val="00F54335"/>
    <w:rsid w:val="00F54EAB"/>
    <w:rsid w:val="00F54F16"/>
    <w:rsid w:val="00F54F25"/>
    <w:rsid w:val="00F56343"/>
    <w:rsid w:val="00F566FB"/>
    <w:rsid w:val="00F56E29"/>
    <w:rsid w:val="00F56E90"/>
    <w:rsid w:val="00F577CB"/>
    <w:rsid w:val="00F57B66"/>
    <w:rsid w:val="00F60535"/>
    <w:rsid w:val="00F606DA"/>
    <w:rsid w:val="00F60A63"/>
    <w:rsid w:val="00F60DEC"/>
    <w:rsid w:val="00F610B5"/>
    <w:rsid w:val="00F613F4"/>
    <w:rsid w:val="00F61652"/>
    <w:rsid w:val="00F61825"/>
    <w:rsid w:val="00F61CF3"/>
    <w:rsid w:val="00F62150"/>
    <w:rsid w:val="00F62339"/>
    <w:rsid w:val="00F62422"/>
    <w:rsid w:val="00F62B38"/>
    <w:rsid w:val="00F63B18"/>
    <w:rsid w:val="00F63B2A"/>
    <w:rsid w:val="00F64527"/>
    <w:rsid w:val="00F6472F"/>
    <w:rsid w:val="00F64B75"/>
    <w:rsid w:val="00F65507"/>
    <w:rsid w:val="00F65EE0"/>
    <w:rsid w:val="00F663EA"/>
    <w:rsid w:val="00F66B9D"/>
    <w:rsid w:val="00F672D8"/>
    <w:rsid w:val="00F67388"/>
    <w:rsid w:val="00F67DA7"/>
    <w:rsid w:val="00F67FF1"/>
    <w:rsid w:val="00F70352"/>
    <w:rsid w:val="00F70563"/>
    <w:rsid w:val="00F7073A"/>
    <w:rsid w:val="00F72EFD"/>
    <w:rsid w:val="00F7322D"/>
    <w:rsid w:val="00F73352"/>
    <w:rsid w:val="00F73EE4"/>
    <w:rsid w:val="00F73FDB"/>
    <w:rsid w:val="00F74165"/>
    <w:rsid w:val="00F741F2"/>
    <w:rsid w:val="00F743AE"/>
    <w:rsid w:val="00F74B7A"/>
    <w:rsid w:val="00F7585F"/>
    <w:rsid w:val="00F75D68"/>
    <w:rsid w:val="00F75F69"/>
    <w:rsid w:val="00F75F6C"/>
    <w:rsid w:val="00F76ADD"/>
    <w:rsid w:val="00F76C91"/>
    <w:rsid w:val="00F811DD"/>
    <w:rsid w:val="00F813FA"/>
    <w:rsid w:val="00F814F5"/>
    <w:rsid w:val="00F819CB"/>
    <w:rsid w:val="00F82251"/>
    <w:rsid w:val="00F8231C"/>
    <w:rsid w:val="00F82461"/>
    <w:rsid w:val="00F8268C"/>
    <w:rsid w:val="00F83321"/>
    <w:rsid w:val="00F83478"/>
    <w:rsid w:val="00F834B3"/>
    <w:rsid w:val="00F836A9"/>
    <w:rsid w:val="00F83BF5"/>
    <w:rsid w:val="00F83C6F"/>
    <w:rsid w:val="00F83DA8"/>
    <w:rsid w:val="00F83DE6"/>
    <w:rsid w:val="00F842FB"/>
    <w:rsid w:val="00F84D5C"/>
    <w:rsid w:val="00F84E18"/>
    <w:rsid w:val="00F84EC7"/>
    <w:rsid w:val="00F857E1"/>
    <w:rsid w:val="00F85DBF"/>
    <w:rsid w:val="00F85F67"/>
    <w:rsid w:val="00F877A1"/>
    <w:rsid w:val="00F878FA"/>
    <w:rsid w:val="00F87AF7"/>
    <w:rsid w:val="00F87EEB"/>
    <w:rsid w:val="00F904BC"/>
    <w:rsid w:val="00F9053A"/>
    <w:rsid w:val="00F905C8"/>
    <w:rsid w:val="00F90FA7"/>
    <w:rsid w:val="00F912F4"/>
    <w:rsid w:val="00F91C9F"/>
    <w:rsid w:val="00F91DED"/>
    <w:rsid w:val="00F91E1E"/>
    <w:rsid w:val="00F9293B"/>
    <w:rsid w:val="00F9294B"/>
    <w:rsid w:val="00F92AAD"/>
    <w:rsid w:val="00F92B91"/>
    <w:rsid w:val="00F935A7"/>
    <w:rsid w:val="00F93626"/>
    <w:rsid w:val="00F93AA1"/>
    <w:rsid w:val="00F93B49"/>
    <w:rsid w:val="00F93E7C"/>
    <w:rsid w:val="00F93FAE"/>
    <w:rsid w:val="00F943F0"/>
    <w:rsid w:val="00F9488E"/>
    <w:rsid w:val="00F951AB"/>
    <w:rsid w:val="00F955E6"/>
    <w:rsid w:val="00F96236"/>
    <w:rsid w:val="00F96BFC"/>
    <w:rsid w:val="00F96C55"/>
    <w:rsid w:val="00F96E5A"/>
    <w:rsid w:val="00F96EC0"/>
    <w:rsid w:val="00F96F19"/>
    <w:rsid w:val="00F970DC"/>
    <w:rsid w:val="00F975B5"/>
    <w:rsid w:val="00F976E9"/>
    <w:rsid w:val="00F97F19"/>
    <w:rsid w:val="00FA0CE9"/>
    <w:rsid w:val="00FA117C"/>
    <w:rsid w:val="00FA125F"/>
    <w:rsid w:val="00FA1522"/>
    <w:rsid w:val="00FA1795"/>
    <w:rsid w:val="00FA18A4"/>
    <w:rsid w:val="00FA1F44"/>
    <w:rsid w:val="00FA20DA"/>
    <w:rsid w:val="00FA2D38"/>
    <w:rsid w:val="00FA2EBB"/>
    <w:rsid w:val="00FA367C"/>
    <w:rsid w:val="00FA439D"/>
    <w:rsid w:val="00FA4B18"/>
    <w:rsid w:val="00FA4DD6"/>
    <w:rsid w:val="00FA4F90"/>
    <w:rsid w:val="00FA4F9D"/>
    <w:rsid w:val="00FA5EFF"/>
    <w:rsid w:val="00FA665F"/>
    <w:rsid w:val="00FA7794"/>
    <w:rsid w:val="00FA7D23"/>
    <w:rsid w:val="00FB037E"/>
    <w:rsid w:val="00FB0E0C"/>
    <w:rsid w:val="00FB1091"/>
    <w:rsid w:val="00FB1724"/>
    <w:rsid w:val="00FB211E"/>
    <w:rsid w:val="00FB2364"/>
    <w:rsid w:val="00FB2CA7"/>
    <w:rsid w:val="00FB3030"/>
    <w:rsid w:val="00FB3037"/>
    <w:rsid w:val="00FB331C"/>
    <w:rsid w:val="00FB3595"/>
    <w:rsid w:val="00FB3B6B"/>
    <w:rsid w:val="00FB4F03"/>
    <w:rsid w:val="00FB5287"/>
    <w:rsid w:val="00FB55D3"/>
    <w:rsid w:val="00FB589A"/>
    <w:rsid w:val="00FB5E86"/>
    <w:rsid w:val="00FB63DD"/>
    <w:rsid w:val="00FB6F13"/>
    <w:rsid w:val="00FB71DF"/>
    <w:rsid w:val="00FB752D"/>
    <w:rsid w:val="00FB784F"/>
    <w:rsid w:val="00FB7D28"/>
    <w:rsid w:val="00FB7F05"/>
    <w:rsid w:val="00FC011C"/>
    <w:rsid w:val="00FC015E"/>
    <w:rsid w:val="00FC1C14"/>
    <w:rsid w:val="00FC20C2"/>
    <w:rsid w:val="00FC27AC"/>
    <w:rsid w:val="00FC2913"/>
    <w:rsid w:val="00FC2BBC"/>
    <w:rsid w:val="00FC33A8"/>
    <w:rsid w:val="00FC3878"/>
    <w:rsid w:val="00FC3D82"/>
    <w:rsid w:val="00FC4143"/>
    <w:rsid w:val="00FC428D"/>
    <w:rsid w:val="00FC43C4"/>
    <w:rsid w:val="00FC44A3"/>
    <w:rsid w:val="00FC49DF"/>
    <w:rsid w:val="00FC4B38"/>
    <w:rsid w:val="00FC555B"/>
    <w:rsid w:val="00FC562C"/>
    <w:rsid w:val="00FC5FE6"/>
    <w:rsid w:val="00FC6361"/>
    <w:rsid w:val="00FC6A8E"/>
    <w:rsid w:val="00FC6FF5"/>
    <w:rsid w:val="00FC7115"/>
    <w:rsid w:val="00FC7287"/>
    <w:rsid w:val="00FD0920"/>
    <w:rsid w:val="00FD1269"/>
    <w:rsid w:val="00FD1495"/>
    <w:rsid w:val="00FD1589"/>
    <w:rsid w:val="00FD1F92"/>
    <w:rsid w:val="00FD232E"/>
    <w:rsid w:val="00FD2643"/>
    <w:rsid w:val="00FD2894"/>
    <w:rsid w:val="00FD297B"/>
    <w:rsid w:val="00FD2ED4"/>
    <w:rsid w:val="00FD2FA3"/>
    <w:rsid w:val="00FD3085"/>
    <w:rsid w:val="00FD3A2C"/>
    <w:rsid w:val="00FD3F53"/>
    <w:rsid w:val="00FD4604"/>
    <w:rsid w:val="00FD493D"/>
    <w:rsid w:val="00FD4AF5"/>
    <w:rsid w:val="00FD4FB3"/>
    <w:rsid w:val="00FD6548"/>
    <w:rsid w:val="00FD75B0"/>
    <w:rsid w:val="00FE04E0"/>
    <w:rsid w:val="00FE06C4"/>
    <w:rsid w:val="00FE09CE"/>
    <w:rsid w:val="00FE0EE4"/>
    <w:rsid w:val="00FE13DA"/>
    <w:rsid w:val="00FE15F7"/>
    <w:rsid w:val="00FE2022"/>
    <w:rsid w:val="00FE2029"/>
    <w:rsid w:val="00FE2522"/>
    <w:rsid w:val="00FE2687"/>
    <w:rsid w:val="00FE278D"/>
    <w:rsid w:val="00FE2E43"/>
    <w:rsid w:val="00FE3609"/>
    <w:rsid w:val="00FE3B31"/>
    <w:rsid w:val="00FE3F73"/>
    <w:rsid w:val="00FE4042"/>
    <w:rsid w:val="00FE4936"/>
    <w:rsid w:val="00FE4B29"/>
    <w:rsid w:val="00FE4C5D"/>
    <w:rsid w:val="00FE507F"/>
    <w:rsid w:val="00FE5262"/>
    <w:rsid w:val="00FE5624"/>
    <w:rsid w:val="00FE6364"/>
    <w:rsid w:val="00FE6912"/>
    <w:rsid w:val="00FE694D"/>
    <w:rsid w:val="00FE69CD"/>
    <w:rsid w:val="00FE7009"/>
    <w:rsid w:val="00FF03EA"/>
    <w:rsid w:val="00FF05D7"/>
    <w:rsid w:val="00FF15C4"/>
    <w:rsid w:val="00FF18CE"/>
    <w:rsid w:val="00FF1BBA"/>
    <w:rsid w:val="00FF1F55"/>
    <w:rsid w:val="00FF2D42"/>
    <w:rsid w:val="00FF3939"/>
    <w:rsid w:val="00FF3943"/>
    <w:rsid w:val="00FF3B89"/>
    <w:rsid w:val="00FF3E33"/>
    <w:rsid w:val="00FF4737"/>
    <w:rsid w:val="00FF4D20"/>
    <w:rsid w:val="00FF4D97"/>
    <w:rsid w:val="00FF51AD"/>
    <w:rsid w:val="00FF5B84"/>
    <w:rsid w:val="00FF5F58"/>
    <w:rsid w:val="00FF604E"/>
    <w:rsid w:val="00FF6902"/>
    <w:rsid w:val="00FF717F"/>
    <w:rsid w:val="00FF740D"/>
    <w:rsid w:val="00FF7A36"/>
    <w:rsid w:val="00FF7AEC"/>
    <w:rsid w:val="00FF7E55"/>
    <w:rsid w:val="012E1152"/>
    <w:rsid w:val="019C4925"/>
    <w:rsid w:val="01CF62C6"/>
    <w:rsid w:val="02E844F1"/>
    <w:rsid w:val="03242230"/>
    <w:rsid w:val="03665C61"/>
    <w:rsid w:val="042802D1"/>
    <w:rsid w:val="0445110D"/>
    <w:rsid w:val="04FB6932"/>
    <w:rsid w:val="053F1424"/>
    <w:rsid w:val="05603153"/>
    <w:rsid w:val="06406E25"/>
    <w:rsid w:val="06751B58"/>
    <w:rsid w:val="06B043AE"/>
    <w:rsid w:val="07244737"/>
    <w:rsid w:val="074833CE"/>
    <w:rsid w:val="07980A4A"/>
    <w:rsid w:val="07DE1E85"/>
    <w:rsid w:val="08E315D1"/>
    <w:rsid w:val="093D2D44"/>
    <w:rsid w:val="0A8C2DB6"/>
    <w:rsid w:val="0A914B76"/>
    <w:rsid w:val="0ABE0C39"/>
    <w:rsid w:val="0AE651DB"/>
    <w:rsid w:val="0B3C6FCF"/>
    <w:rsid w:val="0C580A85"/>
    <w:rsid w:val="0CA03F75"/>
    <w:rsid w:val="0CEE6BB5"/>
    <w:rsid w:val="0D1825D7"/>
    <w:rsid w:val="0DF67AA2"/>
    <w:rsid w:val="0E131B86"/>
    <w:rsid w:val="0E5B4641"/>
    <w:rsid w:val="0EC9231D"/>
    <w:rsid w:val="0EE77C21"/>
    <w:rsid w:val="0F7A71CC"/>
    <w:rsid w:val="0FB762FF"/>
    <w:rsid w:val="100B6D70"/>
    <w:rsid w:val="1106262D"/>
    <w:rsid w:val="11734F6A"/>
    <w:rsid w:val="12312A6C"/>
    <w:rsid w:val="12683B20"/>
    <w:rsid w:val="12982A85"/>
    <w:rsid w:val="130C6F7E"/>
    <w:rsid w:val="136453E6"/>
    <w:rsid w:val="142B1EE0"/>
    <w:rsid w:val="15307601"/>
    <w:rsid w:val="153672F4"/>
    <w:rsid w:val="15513A15"/>
    <w:rsid w:val="157516DB"/>
    <w:rsid w:val="160A4EC2"/>
    <w:rsid w:val="16684C65"/>
    <w:rsid w:val="1711267C"/>
    <w:rsid w:val="171D012C"/>
    <w:rsid w:val="19757BC9"/>
    <w:rsid w:val="19E37146"/>
    <w:rsid w:val="1A74056A"/>
    <w:rsid w:val="1A814138"/>
    <w:rsid w:val="1AF54BF4"/>
    <w:rsid w:val="1B307AC9"/>
    <w:rsid w:val="1B554688"/>
    <w:rsid w:val="1C7E0285"/>
    <w:rsid w:val="1C9306A1"/>
    <w:rsid w:val="1C9B6DBA"/>
    <w:rsid w:val="1D15796B"/>
    <w:rsid w:val="1D1E6354"/>
    <w:rsid w:val="1DC64DB1"/>
    <w:rsid w:val="1DEC6059"/>
    <w:rsid w:val="1E17240A"/>
    <w:rsid w:val="1EFE71D5"/>
    <w:rsid w:val="1F23393A"/>
    <w:rsid w:val="1F88553E"/>
    <w:rsid w:val="20233D54"/>
    <w:rsid w:val="210221FB"/>
    <w:rsid w:val="21D96933"/>
    <w:rsid w:val="21E05413"/>
    <w:rsid w:val="22A9727C"/>
    <w:rsid w:val="22D618ED"/>
    <w:rsid w:val="231935E9"/>
    <w:rsid w:val="23855D3E"/>
    <w:rsid w:val="24445D91"/>
    <w:rsid w:val="24581127"/>
    <w:rsid w:val="245C5FE8"/>
    <w:rsid w:val="24D10633"/>
    <w:rsid w:val="257B08BB"/>
    <w:rsid w:val="25FC1F6A"/>
    <w:rsid w:val="262268B4"/>
    <w:rsid w:val="26E82B3C"/>
    <w:rsid w:val="27134D2B"/>
    <w:rsid w:val="27462431"/>
    <w:rsid w:val="27862152"/>
    <w:rsid w:val="281F2789"/>
    <w:rsid w:val="284F644F"/>
    <w:rsid w:val="28B22E09"/>
    <w:rsid w:val="29542715"/>
    <w:rsid w:val="29614F29"/>
    <w:rsid w:val="29E60E97"/>
    <w:rsid w:val="2AA048F1"/>
    <w:rsid w:val="2AB907AE"/>
    <w:rsid w:val="2BA11C95"/>
    <w:rsid w:val="2BC74A1F"/>
    <w:rsid w:val="2BD549E1"/>
    <w:rsid w:val="2BDD2C3E"/>
    <w:rsid w:val="2BDD3977"/>
    <w:rsid w:val="2C00300F"/>
    <w:rsid w:val="2C0E3E59"/>
    <w:rsid w:val="2C763713"/>
    <w:rsid w:val="2CBF4EFA"/>
    <w:rsid w:val="2D224A97"/>
    <w:rsid w:val="2D366263"/>
    <w:rsid w:val="2D90164A"/>
    <w:rsid w:val="2DE85240"/>
    <w:rsid w:val="2E40533D"/>
    <w:rsid w:val="2E4252B2"/>
    <w:rsid w:val="2EDD131D"/>
    <w:rsid w:val="30373064"/>
    <w:rsid w:val="307042BC"/>
    <w:rsid w:val="30C76D38"/>
    <w:rsid w:val="30E3186A"/>
    <w:rsid w:val="312E4BF3"/>
    <w:rsid w:val="313C01F1"/>
    <w:rsid w:val="31574FC5"/>
    <w:rsid w:val="31BE50E7"/>
    <w:rsid w:val="31FB53A0"/>
    <w:rsid w:val="32466711"/>
    <w:rsid w:val="334B4B3A"/>
    <w:rsid w:val="337E479C"/>
    <w:rsid w:val="342005A6"/>
    <w:rsid w:val="34DE220C"/>
    <w:rsid w:val="34FD54BC"/>
    <w:rsid w:val="3546426B"/>
    <w:rsid w:val="36F96EE8"/>
    <w:rsid w:val="3717158C"/>
    <w:rsid w:val="37D065F7"/>
    <w:rsid w:val="37FA104F"/>
    <w:rsid w:val="38710F3B"/>
    <w:rsid w:val="3882562A"/>
    <w:rsid w:val="38F33EFB"/>
    <w:rsid w:val="39613732"/>
    <w:rsid w:val="3A1A494F"/>
    <w:rsid w:val="3A505BEA"/>
    <w:rsid w:val="3A777BB8"/>
    <w:rsid w:val="3AEE029B"/>
    <w:rsid w:val="3C3118D5"/>
    <w:rsid w:val="3CB91057"/>
    <w:rsid w:val="3D037D43"/>
    <w:rsid w:val="3D504ECC"/>
    <w:rsid w:val="3D5C3370"/>
    <w:rsid w:val="3E567526"/>
    <w:rsid w:val="3E700EFF"/>
    <w:rsid w:val="3E8F4E69"/>
    <w:rsid w:val="3EBB7CEA"/>
    <w:rsid w:val="3FF952D9"/>
    <w:rsid w:val="4059021F"/>
    <w:rsid w:val="405D3541"/>
    <w:rsid w:val="40686A1A"/>
    <w:rsid w:val="40E12095"/>
    <w:rsid w:val="4104162F"/>
    <w:rsid w:val="410B27D1"/>
    <w:rsid w:val="414C25ED"/>
    <w:rsid w:val="41AC1751"/>
    <w:rsid w:val="421333C8"/>
    <w:rsid w:val="425C623D"/>
    <w:rsid w:val="42682B01"/>
    <w:rsid w:val="42B33694"/>
    <w:rsid w:val="42C9785F"/>
    <w:rsid w:val="42E71EA3"/>
    <w:rsid w:val="433707BE"/>
    <w:rsid w:val="4367028F"/>
    <w:rsid w:val="43B66EEE"/>
    <w:rsid w:val="43F95922"/>
    <w:rsid w:val="464D38DE"/>
    <w:rsid w:val="46BC6B44"/>
    <w:rsid w:val="479043B0"/>
    <w:rsid w:val="48AA5170"/>
    <w:rsid w:val="49F3225C"/>
    <w:rsid w:val="4ADE7E52"/>
    <w:rsid w:val="4B1C6BBA"/>
    <w:rsid w:val="4B7127E4"/>
    <w:rsid w:val="4B7D6F18"/>
    <w:rsid w:val="4C122217"/>
    <w:rsid w:val="4C3C7FD1"/>
    <w:rsid w:val="4CC562F8"/>
    <w:rsid w:val="4E0017CC"/>
    <w:rsid w:val="4E0D19E8"/>
    <w:rsid w:val="4E7152A7"/>
    <w:rsid w:val="4F1B75E7"/>
    <w:rsid w:val="4F8C5D21"/>
    <w:rsid w:val="4F9464D9"/>
    <w:rsid w:val="4FCE03EC"/>
    <w:rsid w:val="50E57E8F"/>
    <w:rsid w:val="51247153"/>
    <w:rsid w:val="51326C27"/>
    <w:rsid w:val="51703893"/>
    <w:rsid w:val="51857A9E"/>
    <w:rsid w:val="518C16AD"/>
    <w:rsid w:val="51C82CF3"/>
    <w:rsid w:val="51E431ED"/>
    <w:rsid w:val="52AC10AB"/>
    <w:rsid w:val="52B518B6"/>
    <w:rsid w:val="52F5648D"/>
    <w:rsid w:val="53715D18"/>
    <w:rsid w:val="539320DA"/>
    <w:rsid w:val="5458487B"/>
    <w:rsid w:val="54D07E05"/>
    <w:rsid w:val="55354F42"/>
    <w:rsid w:val="56DB61B8"/>
    <w:rsid w:val="56EF3D5E"/>
    <w:rsid w:val="5768498C"/>
    <w:rsid w:val="57905C6F"/>
    <w:rsid w:val="57990A35"/>
    <w:rsid w:val="57A30832"/>
    <w:rsid w:val="592B561E"/>
    <w:rsid w:val="594612D3"/>
    <w:rsid w:val="5ACC5A43"/>
    <w:rsid w:val="5AD54F88"/>
    <w:rsid w:val="5B000415"/>
    <w:rsid w:val="5B2A673A"/>
    <w:rsid w:val="5BA20EC8"/>
    <w:rsid w:val="5BC44781"/>
    <w:rsid w:val="5C1C041F"/>
    <w:rsid w:val="5CE93289"/>
    <w:rsid w:val="5D85483D"/>
    <w:rsid w:val="5F041103"/>
    <w:rsid w:val="5F391555"/>
    <w:rsid w:val="5F461461"/>
    <w:rsid w:val="5F481FA0"/>
    <w:rsid w:val="5FA67722"/>
    <w:rsid w:val="606322BF"/>
    <w:rsid w:val="61F92CAE"/>
    <w:rsid w:val="629043AA"/>
    <w:rsid w:val="63287260"/>
    <w:rsid w:val="636C4FAE"/>
    <w:rsid w:val="63C81264"/>
    <w:rsid w:val="65667FCD"/>
    <w:rsid w:val="659930A3"/>
    <w:rsid w:val="65D5728D"/>
    <w:rsid w:val="660E71D5"/>
    <w:rsid w:val="66AC26D6"/>
    <w:rsid w:val="66AF26B9"/>
    <w:rsid w:val="66BA6C3E"/>
    <w:rsid w:val="6791093C"/>
    <w:rsid w:val="68487ED7"/>
    <w:rsid w:val="68E32BF6"/>
    <w:rsid w:val="69485538"/>
    <w:rsid w:val="6965454E"/>
    <w:rsid w:val="698B7AAE"/>
    <w:rsid w:val="69BD79BE"/>
    <w:rsid w:val="6A2230DF"/>
    <w:rsid w:val="6A4D208A"/>
    <w:rsid w:val="6A836410"/>
    <w:rsid w:val="6B3836BA"/>
    <w:rsid w:val="6BD562CB"/>
    <w:rsid w:val="6BD760FB"/>
    <w:rsid w:val="6C0A7E10"/>
    <w:rsid w:val="6C730708"/>
    <w:rsid w:val="6CE04246"/>
    <w:rsid w:val="6D513B3D"/>
    <w:rsid w:val="6DDB258C"/>
    <w:rsid w:val="6E260E89"/>
    <w:rsid w:val="6E3A0174"/>
    <w:rsid w:val="6F405E7F"/>
    <w:rsid w:val="6F8B0CB3"/>
    <w:rsid w:val="6FBF0257"/>
    <w:rsid w:val="701073F2"/>
    <w:rsid w:val="701247D0"/>
    <w:rsid w:val="70B82FB9"/>
    <w:rsid w:val="712534EB"/>
    <w:rsid w:val="714E69CF"/>
    <w:rsid w:val="71D927DB"/>
    <w:rsid w:val="71F24BC0"/>
    <w:rsid w:val="72356D4C"/>
    <w:rsid w:val="728F6E0E"/>
    <w:rsid w:val="72A238AA"/>
    <w:rsid w:val="72A5692D"/>
    <w:rsid w:val="72C602BA"/>
    <w:rsid w:val="72F125F8"/>
    <w:rsid w:val="732019DE"/>
    <w:rsid w:val="73751E99"/>
    <w:rsid w:val="73C60A8E"/>
    <w:rsid w:val="740F06CD"/>
    <w:rsid w:val="74AC169D"/>
    <w:rsid w:val="759336B3"/>
    <w:rsid w:val="78BB154B"/>
    <w:rsid w:val="78E0235F"/>
    <w:rsid w:val="798D65EB"/>
    <w:rsid w:val="79C659F5"/>
    <w:rsid w:val="7AAB5F67"/>
    <w:rsid w:val="7B0C28AB"/>
    <w:rsid w:val="7C254E76"/>
    <w:rsid w:val="7C7E1A3F"/>
    <w:rsid w:val="7C9077AB"/>
    <w:rsid w:val="7D5634E9"/>
    <w:rsid w:val="7D792980"/>
    <w:rsid w:val="7D8232EC"/>
    <w:rsid w:val="7DE81CDA"/>
    <w:rsid w:val="7E0721C6"/>
    <w:rsid w:val="7E1F0DC1"/>
    <w:rsid w:val="7EC518FD"/>
    <w:rsid w:val="7EC93E6A"/>
    <w:rsid w:val="7F474042"/>
    <w:rsid w:val="7F8908F3"/>
    <w:rsid w:val="7FEB54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47"/>
    <w:qFormat/>
    <w:uiPriority w:val="0"/>
    <w:pPr>
      <w:keepNext/>
      <w:jc w:val="center"/>
      <w:outlineLvl w:val="0"/>
    </w:pPr>
    <w:rPr>
      <w:sz w:val="28"/>
    </w:rPr>
  </w:style>
  <w:style w:type="paragraph" w:styleId="6">
    <w:name w:val="heading 2"/>
    <w:basedOn w:val="1"/>
    <w:next w:val="1"/>
    <w:link w:val="13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8"/>
    <w:link w:val="139"/>
    <w:qFormat/>
    <w:uiPriority w:val="0"/>
    <w:pPr>
      <w:keepNext/>
      <w:keepLines/>
      <w:spacing w:before="260" w:after="260" w:line="416" w:lineRule="auto"/>
      <w:outlineLvl w:val="2"/>
    </w:pPr>
    <w:rPr>
      <w:b/>
      <w:bCs/>
      <w:sz w:val="32"/>
      <w:szCs w:val="32"/>
    </w:rPr>
  </w:style>
  <w:style w:type="paragraph" w:styleId="9">
    <w:name w:val="heading 4"/>
    <w:basedOn w:val="1"/>
    <w:next w:val="1"/>
    <w:link w:val="169"/>
    <w:qFormat/>
    <w:uiPriority w:val="0"/>
    <w:pPr>
      <w:keepNext/>
      <w:keepLines/>
      <w:spacing w:before="280" w:after="290" w:line="376" w:lineRule="auto"/>
      <w:outlineLvl w:val="3"/>
    </w:pPr>
    <w:rPr>
      <w:rFonts w:ascii="Arial" w:hAnsi="Arial" w:eastAsia="黑体"/>
      <w:b/>
      <w:bCs/>
      <w:sz w:val="28"/>
      <w:szCs w:val="28"/>
    </w:rPr>
  </w:style>
  <w:style w:type="paragraph" w:styleId="10">
    <w:name w:val="heading 6"/>
    <w:basedOn w:val="1"/>
    <w:next w:val="8"/>
    <w:link w:val="121"/>
    <w:qFormat/>
    <w:uiPriority w:val="0"/>
    <w:pPr>
      <w:keepNext/>
      <w:keepLines/>
      <w:numPr>
        <w:ilvl w:val="5"/>
        <w:numId w:val="1"/>
      </w:numPr>
      <w:tabs>
        <w:tab w:val="left" w:pos="1152"/>
      </w:tabs>
      <w:spacing w:before="240" w:after="64" w:line="320" w:lineRule="auto"/>
      <w:jc w:val="left"/>
      <w:outlineLvl w:val="5"/>
    </w:pPr>
    <w:rPr>
      <w:rFonts w:ascii="Arial" w:hAnsi="Arial" w:eastAsia="黑体"/>
      <w:b/>
      <w:bCs/>
      <w:spacing w:val="6"/>
      <w:sz w:val="24"/>
    </w:rPr>
  </w:style>
  <w:style w:type="paragraph" w:styleId="11">
    <w:name w:val="heading 7"/>
    <w:basedOn w:val="1"/>
    <w:next w:val="8"/>
    <w:link w:val="127"/>
    <w:qFormat/>
    <w:uiPriority w:val="0"/>
    <w:pPr>
      <w:keepNext/>
      <w:keepLines/>
      <w:numPr>
        <w:ilvl w:val="6"/>
        <w:numId w:val="1"/>
      </w:numPr>
      <w:tabs>
        <w:tab w:val="left" w:pos="1296"/>
      </w:tabs>
      <w:spacing w:before="240" w:after="64" w:line="320" w:lineRule="auto"/>
      <w:jc w:val="left"/>
      <w:outlineLvl w:val="6"/>
    </w:pPr>
    <w:rPr>
      <w:b/>
      <w:bCs/>
      <w:spacing w:val="6"/>
      <w:sz w:val="24"/>
    </w:rPr>
  </w:style>
  <w:style w:type="paragraph" w:styleId="12">
    <w:name w:val="heading 8"/>
    <w:basedOn w:val="1"/>
    <w:next w:val="8"/>
    <w:link w:val="145"/>
    <w:qFormat/>
    <w:uiPriority w:val="0"/>
    <w:pPr>
      <w:keepNext/>
      <w:keepLines/>
      <w:numPr>
        <w:ilvl w:val="7"/>
        <w:numId w:val="1"/>
      </w:numPr>
      <w:tabs>
        <w:tab w:val="left" w:pos="1440"/>
      </w:tabs>
      <w:spacing w:before="240" w:after="64" w:line="320" w:lineRule="auto"/>
      <w:jc w:val="left"/>
      <w:outlineLvl w:val="7"/>
    </w:pPr>
    <w:rPr>
      <w:rFonts w:ascii="Arial" w:hAnsi="Arial" w:eastAsia="黑体"/>
      <w:spacing w:val="6"/>
      <w:sz w:val="24"/>
    </w:rPr>
  </w:style>
  <w:style w:type="paragraph" w:styleId="13">
    <w:name w:val="heading 9"/>
    <w:basedOn w:val="1"/>
    <w:next w:val="8"/>
    <w:link w:val="124"/>
    <w:qFormat/>
    <w:uiPriority w:val="0"/>
    <w:pPr>
      <w:keepNext/>
      <w:keepLines/>
      <w:numPr>
        <w:ilvl w:val="8"/>
        <w:numId w:val="1"/>
      </w:numPr>
      <w:tabs>
        <w:tab w:val="left" w:pos="1584"/>
      </w:tabs>
      <w:spacing w:before="240" w:after="64" w:line="320" w:lineRule="auto"/>
      <w:jc w:val="left"/>
      <w:outlineLvl w:val="8"/>
    </w:pPr>
    <w:rPr>
      <w:rFonts w:ascii="Arial" w:hAnsi="Arial" w:eastAsia="黑体"/>
      <w:spacing w:val="6"/>
      <w:sz w:val="24"/>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99"/>
    <w:pPr>
      <w:autoSpaceDE w:val="0"/>
      <w:autoSpaceDN w:val="0"/>
      <w:adjustRightInd w:val="0"/>
      <w:ind w:firstLine="420" w:firstLineChars="100"/>
      <w:jc w:val="left"/>
    </w:pPr>
    <w:rPr>
      <w:kern w:val="0"/>
      <w:sz w:val="20"/>
      <w:szCs w:val="20"/>
    </w:rPr>
  </w:style>
  <w:style w:type="paragraph" w:styleId="3">
    <w:name w:val="Body Text"/>
    <w:basedOn w:val="1"/>
    <w:next w:val="2"/>
    <w:link w:val="170"/>
    <w:qFormat/>
    <w:uiPriority w:val="99"/>
  </w:style>
  <w:style w:type="paragraph" w:styleId="4">
    <w:name w:val="toc 6"/>
    <w:basedOn w:val="1"/>
    <w:next w:val="1"/>
    <w:qFormat/>
    <w:uiPriority w:val="39"/>
    <w:pPr>
      <w:ind w:left="1050"/>
      <w:jc w:val="left"/>
    </w:pPr>
    <w:rPr>
      <w:sz w:val="18"/>
      <w:szCs w:val="18"/>
    </w:rPr>
  </w:style>
  <w:style w:type="paragraph" w:styleId="8">
    <w:name w:val="Normal Indent"/>
    <w:basedOn w:val="1"/>
    <w:link w:val="163"/>
    <w:qFormat/>
    <w:uiPriority w:val="0"/>
    <w:pPr>
      <w:ind w:firstLine="420" w:firstLineChars="200"/>
    </w:pPr>
  </w:style>
  <w:style w:type="paragraph" w:styleId="14">
    <w:name w:val="table of authorities"/>
    <w:basedOn w:val="1"/>
    <w:next w:val="1"/>
    <w:qFormat/>
    <w:uiPriority w:val="0"/>
    <w:pPr>
      <w:spacing w:line="440" w:lineRule="exact"/>
      <w:ind w:left="420" w:leftChars="200" w:firstLine="883" w:firstLineChars="200"/>
    </w:pPr>
    <w:rPr>
      <w:sz w:val="28"/>
    </w:rPr>
  </w:style>
  <w:style w:type="paragraph" w:styleId="15">
    <w:name w:val="Document Map"/>
    <w:basedOn w:val="1"/>
    <w:link w:val="140"/>
    <w:qFormat/>
    <w:uiPriority w:val="0"/>
    <w:pPr>
      <w:shd w:val="clear" w:color="auto" w:fill="000080"/>
    </w:pPr>
  </w:style>
  <w:style w:type="paragraph" w:styleId="16">
    <w:name w:val="toa heading"/>
    <w:basedOn w:val="1"/>
    <w:next w:val="1"/>
    <w:qFormat/>
    <w:uiPriority w:val="0"/>
    <w:pPr>
      <w:spacing w:before="120"/>
    </w:pPr>
    <w:rPr>
      <w:rFonts w:ascii="Arial" w:hAnsi="Arial" w:cs="Arial"/>
      <w:sz w:val="24"/>
    </w:rPr>
  </w:style>
  <w:style w:type="paragraph" w:styleId="17">
    <w:name w:val="annotation text"/>
    <w:basedOn w:val="1"/>
    <w:link w:val="144"/>
    <w:qFormat/>
    <w:uiPriority w:val="0"/>
    <w:pPr>
      <w:jc w:val="left"/>
    </w:pPr>
  </w:style>
  <w:style w:type="paragraph" w:styleId="18">
    <w:name w:val="Body Text Indent"/>
    <w:basedOn w:val="1"/>
    <w:next w:val="1"/>
    <w:link w:val="150"/>
    <w:qFormat/>
    <w:uiPriority w:val="0"/>
    <w:pPr>
      <w:spacing w:after="120"/>
      <w:ind w:left="420" w:leftChars="200"/>
    </w:pPr>
  </w:style>
  <w:style w:type="paragraph" w:styleId="19">
    <w:name w:val="Block Text"/>
    <w:basedOn w:val="1"/>
    <w:unhideWhenUsed/>
    <w:qFormat/>
    <w:uiPriority w:val="99"/>
    <w:pPr>
      <w:spacing w:beforeLines="50" w:afterLines="50"/>
      <w:ind w:left="426" w:right="-11" w:hanging="426" w:hangingChars="203"/>
    </w:pPr>
    <w:rPr>
      <w:rFonts w:eastAsia="楷体_GB2312"/>
    </w:rPr>
  </w:style>
  <w:style w:type="paragraph" w:styleId="20">
    <w:name w:val="toc 5"/>
    <w:basedOn w:val="1"/>
    <w:next w:val="1"/>
    <w:semiHidden/>
    <w:qFormat/>
    <w:uiPriority w:val="0"/>
    <w:pPr>
      <w:spacing w:line="280" w:lineRule="exact"/>
      <w:jc w:val="right"/>
    </w:pPr>
  </w:style>
  <w:style w:type="paragraph" w:styleId="21">
    <w:name w:val="toc 3"/>
    <w:basedOn w:val="1"/>
    <w:next w:val="1"/>
    <w:qFormat/>
    <w:uiPriority w:val="0"/>
    <w:pPr>
      <w:tabs>
        <w:tab w:val="right" w:leader="dot" w:pos="8987"/>
      </w:tabs>
      <w:adjustRightInd w:val="0"/>
      <w:snapToGrid w:val="0"/>
      <w:spacing w:before="156" w:beforeLines="50" w:after="156" w:afterLines="50" w:line="400" w:lineRule="atLeast"/>
      <w:textAlignment w:val="baseline"/>
    </w:pPr>
    <w:rPr>
      <w:rFonts w:eastAsia="仿宋_GB2312"/>
      <w:b/>
      <w:color w:val="000000"/>
      <w:kern w:val="0"/>
      <w:sz w:val="28"/>
      <w:szCs w:val="20"/>
    </w:rPr>
  </w:style>
  <w:style w:type="paragraph" w:styleId="22">
    <w:name w:val="Plain Text"/>
    <w:basedOn w:val="1"/>
    <w:next w:val="1"/>
    <w:link w:val="141"/>
    <w:qFormat/>
    <w:uiPriority w:val="0"/>
    <w:rPr>
      <w:rFonts w:ascii="宋体" w:hAnsi="Courier New"/>
      <w:szCs w:val="21"/>
    </w:rPr>
  </w:style>
  <w:style w:type="paragraph" w:styleId="23">
    <w:name w:val="Date"/>
    <w:basedOn w:val="1"/>
    <w:next w:val="1"/>
    <w:link w:val="118"/>
    <w:qFormat/>
    <w:uiPriority w:val="0"/>
    <w:pPr>
      <w:ind w:left="100" w:leftChars="2500"/>
    </w:pPr>
    <w:rPr>
      <w:color w:val="000000"/>
      <w:sz w:val="24"/>
    </w:rPr>
  </w:style>
  <w:style w:type="paragraph" w:styleId="24">
    <w:name w:val="Body Text Indent 2"/>
    <w:basedOn w:val="1"/>
    <w:link w:val="137"/>
    <w:qFormat/>
    <w:uiPriority w:val="99"/>
    <w:pPr>
      <w:widowControl/>
      <w:spacing w:line="480" w:lineRule="atLeast"/>
      <w:ind w:firstLine="480"/>
    </w:pPr>
  </w:style>
  <w:style w:type="paragraph" w:styleId="25">
    <w:name w:val="Balloon Text"/>
    <w:basedOn w:val="1"/>
    <w:link w:val="119"/>
    <w:qFormat/>
    <w:uiPriority w:val="0"/>
    <w:rPr>
      <w:sz w:val="18"/>
      <w:szCs w:val="18"/>
    </w:rPr>
  </w:style>
  <w:style w:type="paragraph" w:styleId="26">
    <w:name w:val="footer"/>
    <w:basedOn w:val="1"/>
    <w:link w:val="143"/>
    <w:unhideWhenUsed/>
    <w:qFormat/>
    <w:uiPriority w:val="99"/>
    <w:pPr>
      <w:tabs>
        <w:tab w:val="center" w:pos="4153"/>
        <w:tab w:val="right" w:pos="8306"/>
      </w:tabs>
      <w:snapToGrid w:val="0"/>
      <w:jc w:val="left"/>
    </w:pPr>
    <w:rPr>
      <w:sz w:val="18"/>
      <w:szCs w:val="18"/>
    </w:rPr>
  </w:style>
  <w:style w:type="paragraph" w:styleId="27">
    <w:name w:val="envelope return"/>
    <w:basedOn w:val="1"/>
    <w:qFormat/>
    <w:uiPriority w:val="0"/>
    <w:pPr>
      <w:snapToGrid w:val="0"/>
    </w:pPr>
    <w:rPr>
      <w:rFonts w:ascii="Arial" w:hAnsi="Arial"/>
    </w:rPr>
  </w:style>
  <w:style w:type="paragraph" w:styleId="28">
    <w:name w:val="header"/>
    <w:basedOn w:val="1"/>
    <w:link w:val="136"/>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List"/>
    <w:basedOn w:val="1"/>
    <w:qFormat/>
    <w:uiPriority w:val="0"/>
    <w:pPr>
      <w:ind w:left="200" w:hanging="200" w:hangingChars="200"/>
    </w:pPr>
    <w:rPr>
      <w:sz w:val="28"/>
    </w:rPr>
  </w:style>
  <w:style w:type="paragraph" w:styleId="30">
    <w:name w:val="Body Text Indent 3"/>
    <w:basedOn w:val="1"/>
    <w:link w:val="152"/>
    <w:qFormat/>
    <w:uiPriority w:val="99"/>
    <w:pPr>
      <w:autoSpaceDE w:val="0"/>
      <w:autoSpaceDN w:val="0"/>
      <w:spacing w:line="400" w:lineRule="atLeast"/>
      <w:ind w:firstLine="443" w:firstLineChars="200"/>
      <w:textAlignment w:val="bottom"/>
    </w:pPr>
    <w:rPr>
      <w:sz w:val="16"/>
      <w:szCs w:val="16"/>
    </w:rPr>
  </w:style>
  <w:style w:type="paragraph" w:styleId="31">
    <w:name w:val="toc 2"/>
    <w:basedOn w:val="1"/>
    <w:next w:val="1"/>
    <w:qFormat/>
    <w:uiPriority w:val="0"/>
    <w:pPr>
      <w:ind w:left="210"/>
      <w:jc w:val="left"/>
    </w:pPr>
    <w:rPr>
      <w:rFonts w:ascii="Calibri" w:hAnsi="Calibri" w:cs="Calibri"/>
      <w:smallCaps/>
      <w:sz w:val="20"/>
    </w:rPr>
  </w:style>
  <w:style w:type="paragraph" w:styleId="32">
    <w:name w:val="Body Text 2"/>
    <w:basedOn w:val="1"/>
    <w:link w:val="156"/>
    <w:qFormat/>
    <w:uiPriority w:val="0"/>
    <w:pPr>
      <w:spacing w:after="120" w:line="480" w:lineRule="auto"/>
    </w:pPr>
  </w:style>
  <w:style w:type="paragraph" w:styleId="33">
    <w:name w:val="HTML Preformatted"/>
    <w:basedOn w:val="1"/>
    <w:link w:val="12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4">
    <w:name w:val="Normal (Web)"/>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styleId="35">
    <w:name w:val="Title"/>
    <w:basedOn w:val="1"/>
    <w:next w:val="1"/>
    <w:link w:val="135"/>
    <w:qFormat/>
    <w:uiPriority w:val="0"/>
    <w:pPr>
      <w:spacing w:before="240" w:after="60"/>
      <w:jc w:val="center"/>
      <w:outlineLvl w:val="0"/>
    </w:pPr>
    <w:rPr>
      <w:rFonts w:ascii="Arial" w:hAnsi="Arial"/>
      <w:sz w:val="32"/>
      <w:szCs w:val="32"/>
    </w:rPr>
  </w:style>
  <w:style w:type="paragraph" w:styleId="36">
    <w:name w:val="annotation subject"/>
    <w:basedOn w:val="17"/>
    <w:next w:val="17"/>
    <w:link w:val="157"/>
    <w:qFormat/>
    <w:uiPriority w:val="0"/>
    <w:rPr>
      <w:b/>
      <w:bCs/>
    </w:rPr>
  </w:style>
  <w:style w:type="paragraph" w:styleId="37">
    <w:name w:val="Body Text First Indent 2"/>
    <w:basedOn w:val="18"/>
    <w:link w:val="176"/>
    <w:qFormat/>
    <w:uiPriority w:val="0"/>
    <w:pPr>
      <w:ind w:firstLine="420" w:firstLineChars="200"/>
    </w:p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2"/>
    <w:rPr>
      <w:b/>
      <w:bCs/>
    </w:rPr>
  </w:style>
  <w:style w:type="character" w:styleId="42">
    <w:name w:val="page number"/>
    <w:basedOn w:val="40"/>
    <w:qFormat/>
    <w:uiPriority w:val="0"/>
  </w:style>
  <w:style w:type="character" w:styleId="43">
    <w:name w:val="FollowedHyperlink"/>
    <w:basedOn w:val="40"/>
    <w:qFormat/>
    <w:uiPriority w:val="0"/>
    <w:rPr>
      <w:color w:val="333333"/>
      <w:u w:val="none"/>
    </w:rPr>
  </w:style>
  <w:style w:type="character" w:styleId="44">
    <w:name w:val="Emphasis"/>
    <w:qFormat/>
    <w:uiPriority w:val="0"/>
    <w:rPr>
      <w:i/>
      <w:iCs/>
    </w:rPr>
  </w:style>
  <w:style w:type="character" w:styleId="45">
    <w:name w:val="Hyperlink"/>
    <w:basedOn w:val="40"/>
    <w:qFormat/>
    <w:uiPriority w:val="0"/>
    <w:rPr>
      <w:color w:val="333333"/>
      <w:u w:val="none"/>
    </w:rPr>
  </w:style>
  <w:style w:type="character" w:styleId="46">
    <w:name w:val="annotation reference"/>
    <w:qFormat/>
    <w:uiPriority w:val="0"/>
    <w:rPr>
      <w:sz w:val="21"/>
      <w:szCs w:val="21"/>
    </w:rPr>
  </w:style>
  <w:style w:type="paragraph" w:customStyle="1" w:styleId="47">
    <w:name w:val="表格文字"/>
    <w:basedOn w:val="22"/>
    <w:next w:val="3"/>
    <w:qFormat/>
    <w:uiPriority w:val="0"/>
    <w:pPr>
      <w:jc w:val="left"/>
      <w:textAlignment w:val="top"/>
    </w:pPr>
    <w:rPr>
      <w:sz w:val="18"/>
    </w:rPr>
  </w:style>
  <w:style w:type="paragraph" w:customStyle="1" w:styleId="48">
    <w:name w:val="Char Char1"/>
    <w:basedOn w:val="1"/>
    <w:qFormat/>
    <w:uiPriority w:val="0"/>
  </w:style>
  <w:style w:type="paragraph" w:customStyle="1" w:styleId="49">
    <w:name w:val="Char Char Char Char Char Char Char Char Char Char Char Char Char"/>
    <w:basedOn w:val="1"/>
    <w:qFormat/>
    <w:uiPriority w:val="0"/>
    <w:rPr>
      <w:rFonts w:ascii="Tahoma" w:hAnsi="Tahoma"/>
      <w:sz w:val="24"/>
      <w:szCs w:val="20"/>
    </w:rPr>
  </w:style>
  <w:style w:type="paragraph" w:customStyle="1" w:styleId="50">
    <w:name w:val="xl141"/>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5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53">
    <w:name w:val="_Style 9"/>
    <w:basedOn w:val="1"/>
    <w:qFormat/>
    <w:uiPriority w:val="0"/>
  </w:style>
  <w:style w:type="paragraph" w:customStyle="1" w:styleId="5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5">
    <w:name w:val="正文－恩普"/>
    <w:basedOn w:val="8"/>
    <w:qFormat/>
    <w:uiPriority w:val="0"/>
    <w:pPr>
      <w:spacing w:line="360" w:lineRule="auto"/>
      <w:ind w:firstLine="200"/>
    </w:pPr>
  </w:style>
  <w:style w:type="paragraph" w:customStyle="1" w:styleId="56">
    <w:name w:val="xl125"/>
    <w:basedOn w:val="1"/>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57">
    <w:name w:val="样式 正文首行缩进 + 首行缩进:  1 字符"/>
    <w:basedOn w:val="1"/>
    <w:next w:val="58"/>
    <w:qFormat/>
    <w:uiPriority w:val="0"/>
    <w:pPr>
      <w:spacing w:line="360" w:lineRule="auto"/>
      <w:ind w:firstLine="200" w:firstLineChars="200"/>
    </w:pPr>
    <w:rPr>
      <w:rFonts w:cs="宋体"/>
      <w:sz w:val="24"/>
      <w:szCs w:val="20"/>
    </w:rPr>
  </w:style>
  <w:style w:type="paragraph" w:customStyle="1" w:styleId="58">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9">
    <w:name w:val="金保首页2"/>
    <w:basedOn w:val="1"/>
    <w:next w:val="1"/>
    <w:qFormat/>
    <w:uiPriority w:val="0"/>
    <w:pPr>
      <w:jc w:val="center"/>
    </w:pPr>
    <w:rPr>
      <w:rFonts w:ascii="Tahoma" w:hAnsi="Tahoma" w:eastAsia="黑体"/>
      <w:b/>
      <w:bCs/>
      <w:sz w:val="72"/>
      <w:szCs w:val="72"/>
    </w:rPr>
  </w:style>
  <w:style w:type="paragraph" w:customStyle="1" w:styleId="60">
    <w:name w:val="Body Text(ch)"/>
    <w:basedOn w:val="1"/>
    <w:next w:val="3"/>
    <w:qFormat/>
    <w:uiPriority w:val="0"/>
    <w:pPr>
      <w:spacing w:line="500" w:lineRule="exact"/>
      <w:jc w:val="center"/>
    </w:pPr>
  </w:style>
  <w:style w:type="paragraph" w:customStyle="1" w:styleId="61">
    <w:name w:val="Char1 Char Char Char"/>
    <w:basedOn w:val="1"/>
    <w:qFormat/>
    <w:uiPriority w:val="0"/>
    <w:rPr>
      <w:rFonts w:ascii="Tahoma" w:hAnsi="Tahoma"/>
      <w:sz w:val="24"/>
      <w:szCs w:val="20"/>
    </w:rPr>
  </w:style>
  <w:style w:type="paragraph" w:customStyle="1" w:styleId="6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3">
    <w:name w:val="Char Char Char Char Char Char Char Char Char1 Char"/>
    <w:basedOn w:val="1"/>
    <w:qFormat/>
    <w:uiPriority w:val="0"/>
    <w:rPr>
      <w:rFonts w:ascii="仿宋_GB2312" w:eastAsia="仿宋_GB2312"/>
      <w:b/>
      <w:sz w:val="32"/>
      <w:szCs w:val="32"/>
    </w:rPr>
  </w:style>
  <w:style w:type="paragraph" w:customStyle="1" w:styleId="64">
    <w:name w:val="表格标题"/>
    <w:basedOn w:val="1"/>
    <w:qFormat/>
    <w:uiPriority w:val="0"/>
    <w:pPr>
      <w:jc w:val="center"/>
    </w:pPr>
    <w:rPr>
      <w:b/>
    </w:rPr>
  </w:style>
  <w:style w:type="paragraph" w:customStyle="1" w:styleId="6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6">
    <w:name w:val="p0"/>
    <w:basedOn w:val="1"/>
    <w:qFormat/>
    <w:uiPriority w:val="0"/>
    <w:pPr>
      <w:widowControl/>
    </w:pPr>
    <w:rPr>
      <w:kern w:val="0"/>
      <w:szCs w:val="21"/>
    </w:rPr>
  </w:style>
  <w:style w:type="paragraph" w:customStyle="1" w:styleId="67">
    <w:name w:val="金保标题1"/>
    <w:basedOn w:val="5"/>
    <w:next w:val="1"/>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6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6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0">
    <w:name w:val="px12l140"/>
    <w:basedOn w:val="1"/>
    <w:qFormat/>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71">
    <w:name w:val="Char1 Char Char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2">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3">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4">
    <w:name w:val="xl143"/>
    <w:basedOn w:val="1"/>
    <w:qFormat/>
    <w:uiPriority w:val="0"/>
    <w:pPr>
      <w:widowControl/>
      <w:spacing w:before="100" w:beforeAutospacing="1" w:after="100" w:afterAutospacing="1"/>
      <w:jc w:val="center"/>
    </w:pPr>
    <w:rPr>
      <w:rFonts w:ascii="宋体" w:hAnsi="宋体" w:cs="宋体"/>
      <w:kern w:val="0"/>
      <w:sz w:val="32"/>
      <w:szCs w:val="32"/>
    </w:rPr>
  </w:style>
  <w:style w:type="paragraph" w:styleId="75">
    <w:name w:val="List Paragraph"/>
    <w:basedOn w:val="1"/>
    <w:qFormat/>
    <w:uiPriority w:val="0"/>
    <w:pPr>
      <w:ind w:firstLine="420" w:firstLineChars="200"/>
    </w:pPr>
    <w:rPr>
      <w:rFonts w:ascii="Calibri" w:hAnsi="Calibri"/>
      <w:szCs w:val="22"/>
    </w:rPr>
  </w:style>
  <w:style w:type="paragraph" w:customStyle="1" w:styleId="76">
    <w:name w:val="xl124"/>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77">
    <w:name w:val="xl123"/>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78">
    <w:name w:val="Char1 Char Char Char Char Char Char"/>
    <w:basedOn w:val="1"/>
    <w:qFormat/>
    <w:uiPriority w:val="0"/>
    <w:rPr>
      <w:rFonts w:ascii="Tahoma" w:hAnsi="Tahoma"/>
      <w:sz w:val="24"/>
      <w:szCs w:val="20"/>
    </w:rPr>
  </w:style>
  <w:style w:type="paragraph" w:customStyle="1" w:styleId="79">
    <w:name w:val="Char Char Char"/>
    <w:basedOn w:val="1"/>
    <w:qFormat/>
    <w:uiPriority w:val="0"/>
  </w:style>
  <w:style w:type="paragraph" w:customStyle="1" w:styleId="8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81">
    <w:name w:val="小点说明"/>
    <w:basedOn w:val="1"/>
    <w:qFormat/>
    <w:uiPriority w:val="0"/>
    <w:pPr>
      <w:adjustRightInd w:val="0"/>
      <w:snapToGrid w:val="0"/>
    </w:pPr>
    <w:rPr>
      <w:rFonts w:ascii="仿宋_GB2312" w:eastAsia="仿宋_GB2312"/>
      <w:color w:val="000000"/>
      <w:szCs w:val="18"/>
    </w:rPr>
  </w:style>
  <w:style w:type="paragraph" w:customStyle="1" w:styleId="82">
    <w:name w:val="xl132"/>
    <w:basedOn w:val="1"/>
    <w:qFormat/>
    <w:uiPriority w:val="0"/>
    <w:pPr>
      <w:widowControl/>
      <w:spacing w:before="100" w:beforeAutospacing="1" w:after="100" w:afterAutospacing="1"/>
      <w:jc w:val="left"/>
    </w:pPr>
    <w:rPr>
      <w:rFonts w:ascii="宋体" w:hAnsi="宋体" w:cs="宋体"/>
      <w:kern w:val="0"/>
      <w:sz w:val="24"/>
    </w:rPr>
  </w:style>
  <w:style w:type="paragraph" w:customStyle="1" w:styleId="83">
    <w:name w:val="说正文文字"/>
    <w:basedOn w:val="3"/>
    <w:qFormat/>
    <w:uiPriority w:val="0"/>
    <w:pPr>
      <w:widowControl/>
      <w:spacing w:line="360" w:lineRule="auto"/>
      <w:ind w:left="320" w:leftChars="200" w:firstLine="460" w:firstLineChars="200"/>
    </w:pPr>
    <w:rPr>
      <w:rFonts w:ascii="宋体" w:hAnsi="宋体"/>
      <w:bCs/>
      <w:spacing w:val="-5"/>
      <w:kern w:val="0"/>
    </w:rPr>
  </w:style>
  <w:style w:type="paragraph" w:customStyle="1" w:styleId="84">
    <w:name w:val="金保标题2"/>
    <w:basedOn w:val="6"/>
    <w:next w:val="1"/>
    <w:link w:val="153"/>
    <w:qFormat/>
    <w:uiPriority w:val="0"/>
    <w:pPr>
      <w:tabs>
        <w:tab w:val="left" w:pos="576"/>
      </w:tabs>
      <w:spacing w:line="360" w:lineRule="auto"/>
      <w:ind w:left="576" w:hanging="576"/>
    </w:pPr>
    <w:rPr>
      <w:rFonts w:ascii="Times New Roman" w:hAnsi="Times New Roman"/>
      <w:sz w:val="28"/>
      <w:szCs w:val="28"/>
    </w:rPr>
  </w:style>
  <w:style w:type="paragraph" w:customStyle="1" w:styleId="85">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86">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7">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SANGFOR_6_正文"/>
    <w:basedOn w:val="1"/>
    <w:qFormat/>
    <w:uiPriority w:val="0"/>
    <w:pPr>
      <w:spacing w:line="360" w:lineRule="auto"/>
      <w:ind w:firstLine="200" w:firstLineChars="200"/>
    </w:pPr>
  </w:style>
  <w:style w:type="paragraph" w:customStyle="1" w:styleId="89">
    <w:name w:val="Char Char Char Char1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xl137"/>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91">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2">
    <w:name w:val="Char Char1 Char Char Char Char Char Char"/>
    <w:basedOn w:val="1"/>
    <w:qFormat/>
    <w:uiPriority w:val="0"/>
    <w:pPr>
      <w:widowControl/>
      <w:jc w:val="left"/>
    </w:pPr>
    <w:rPr>
      <w:rFonts w:ascii="Verdana" w:hAnsi="Verdana" w:eastAsia="仿宋_GB2312"/>
      <w:kern w:val="0"/>
      <w:sz w:val="28"/>
      <w:szCs w:val="20"/>
      <w:lang w:eastAsia="en-US"/>
    </w:rPr>
  </w:style>
  <w:style w:type="paragraph" w:customStyle="1" w:styleId="93">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94">
    <w:name w:val="Char Char5 Char"/>
    <w:basedOn w:val="15"/>
    <w:qFormat/>
    <w:uiPriority w:val="0"/>
    <w:rPr>
      <w:rFonts w:ascii="Tahoma" w:hAnsi="Tahoma"/>
      <w:sz w:val="24"/>
    </w:rPr>
  </w:style>
  <w:style w:type="paragraph" w:customStyle="1" w:styleId="95">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6">
    <w:name w:val="xl136"/>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97">
    <w:name w:val="_Style 23"/>
    <w:basedOn w:val="1"/>
    <w:qFormat/>
    <w:uiPriority w:val="0"/>
  </w:style>
  <w:style w:type="paragraph" w:customStyle="1" w:styleId="98">
    <w:name w:val="xl142"/>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99">
    <w:name w:val="Char Char Char Char Char Char Char"/>
    <w:basedOn w:val="1"/>
    <w:qFormat/>
    <w:uiPriority w:val="0"/>
    <w:rPr>
      <w:rFonts w:ascii="仿宋_GB2312" w:eastAsia="仿宋_GB2312"/>
      <w:b/>
      <w:sz w:val="32"/>
      <w:szCs w:val="32"/>
    </w:rPr>
  </w:style>
  <w:style w:type="paragraph" w:customStyle="1" w:styleId="100">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01">
    <w:name w:val="Char Char"/>
    <w:basedOn w:val="1"/>
    <w:qFormat/>
    <w:uiPriority w:val="0"/>
    <w:rPr>
      <w:rFonts w:ascii="仿宋_GB2312" w:eastAsia="仿宋_GB2312"/>
      <w:b/>
      <w:sz w:val="32"/>
      <w:szCs w:val="32"/>
    </w:rPr>
  </w:style>
  <w:style w:type="paragraph" w:customStyle="1" w:styleId="102">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3">
    <w:name w:val="mod_selection1"/>
    <w:basedOn w:val="1"/>
    <w:qFormat/>
    <w:uiPriority w:val="0"/>
    <w:pPr>
      <w:widowControl/>
      <w:ind w:left="75"/>
      <w:jc w:val="left"/>
    </w:pPr>
    <w:rPr>
      <w:rFonts w:ascii="Arial" w:hAnsi="Arial" w:cs="Arial"/>
      <w:b/>
      <w:bCs/>
      <w:kern w:val="0"/>
      <w:sz w:val="20"/>
      <w:szCs w:val="20"/>
    </w:rPr>
  </w:style>
  <w:style w:type="paragraph" w:customStyle="1" w:styleId="104">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05">
    <w:name w:val="Table Text"/>
    <w:basedOn w:val="1"/>
    <w:qFormat/>
    <w:uiPriority w:val="0"/>
    <w:rPr>
      <w:sz w:val="18"/>
    </w:rPr>
  </w:style>
  <w:style w:type="paragraph" w:customStyle="1" w:styleId="106">
    <w:name w:val="Char11"/>
    <w:basedOn w:val="1"/>
    <w:qFormat/>
    <w:uiPriority w:val="0"/>
    <w:rPr>
      <w:rFonts w:ascii="仿宋_GB2312" w:eastAsia="仿宋_GB2312"/>
      <w:b/>
      <w:sz w:val="32"/>
      <w:szCs w:val="32"/>
    </w:rPr>
  </w:style>
  <w:style w:type="paragraph" w:customStyle="1" w:styleId="107">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8">
    <w:name w:val="Table Text Char"/>
    <w:qFormat/>
    <w:uiPriority w:val="0"/>
    <w:pPr>
      <w:snapToGrid w:val="0"/>
      <w:spacing w:before="80" w:after="80"/>
    </w:pPr>
    <w:rPr>
      <w:rFonts w:ascii="Arial" w:hAnsi="Arial" w:eastAsia="宋体" w:cs="Arial"/>
      <w:sz w:val="18"/>
      <w:szCs w:val="18"/>
      <w:lang w:val="en-US" w:eastAsia="zh-CN" w:bidi="ar-SA"/>
    </w:rPr>
  </w:style>
  <w:style w:type="paragraph" w:customStyle="1" w:styleId="10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10">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11">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
    <w:name w:val="Char Char9"/>
    <w:basedOn w:val="1"/>
    <w:qFormat/>
    <w:uiPriority w:val="0"/>
    <w:rPr>
      <w:rFonts w:ascii="宋体" w:hAnsi="宋体" w:cs="宋体"/>
      <w:b/>
      <w:bCs/>
      <w:color w:val="000000"/>
      <w:sz w:val="22"/>
      <w:szCs w:val="22"/>
    </w:rPr>
  </w:style>
  <w:style w:type="paragraph" w:customStyle="1" w:styleId="113">
    <w:name w:val="Char1"/>
    <w:basedOn w:val="1"/>
    <w:qFormat/>
    <w:uiPriority w:val="0"/>
    <w:pPr>
      <w:widowControl/>
      <w:spacing w:after="160" w:line="240" w:lineRule="exact"/>
      <w:jc w:val="left"/>
    </w:pPr>
    <w:rPr>
      <w:rFonts w:ascii="Verdana" w:hAnsi="Verdana"/>
      <w:kern w:val="0"/>
      <w:szCs w:val="20"/>
      <w:lang w:eastAsia="en-US"/>
    </w:rPr>
  </w:style>
  <w:style w:type="paragraph" w:customStyle="1" w:styleId="114">
    <w:name w:val="表内文字"/>
    <w:basedOn w:val="1"/>
    <w:qFormat/>
    <w:uiPriority w:val="0"/>
    <w:pPr>
      <w:spacing w:line="500" w:lineRule="atLeast"/>
      <w:jc w:val="center"/>
    </w:pPr>
    <w:rPr>
      <w:rFonts w:ascii="Arial" w:hAnsi="Arial" w:eastAsia="楷体_GB2312" w:cs="Arial"/>
      <w:sz w:val="28"/>
    </w:rPr>
  </w:style>
  <w:style w:type="paragraph" w:customStyle="1" w:styleId="115">
    <w:name w:val="Char2"/>
    <w:basedOn w:val="1"/>
    <w:qFormat/>
    <w:uiPriority w:val="0"/>
    <w:rPr>
      <w:rFonts w:ascii="仿宋_GB2312" w:eastAsia="仿宋_GB2312"/>
      <w:b/>
      <w:sz w:val="32"/>
      <w:szCs w:val="32"/>
    </w:rPr>
  </w:style>
  <w:style w:type="paragraph" w:customStyle="1" w:styleId="11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17">
    <w:name w:val="mark11"/>
    <w:basedOn w:val="40"/>
    <w:qFormat/>
    <w:uiPriority w:val="0"/>
  </w:style>
  <w:style w:type="character" w:customStyle="1" w:styleId="118">
    <w:name w:val="日期 字符"/>
    <w:link w:val="23"/>
    <w:qFormat/>
    <w:uiPriority w:val="0"/>
    <w:rPr>
      <w:rFonts w:ascii="Times New Roman" w:hAnsi="Times New Roman"/>
      <w:color w:val="000000"/>
      <w:kern w:val="2"/>
      <w:sz w:val="24"/>
      <w:szCs w:val="24"/>
    </w:rPr>
  </w:style>
  <w:style w:type="character" w:customStyle="1" w:styleId="119">
    <w:name w:val="批注框文本 字符"/>
    <w:link w:val="25"/>
    <w:qFormat/>
    <w:uiPriority w:val="0"/>
    <w:rPr>
      <w:rFonts w:ascii="Times New Roman" w:hAnsi="Times New Roman"/>
      <w:kern w:val="2"/>
      <w:sz w:val="18"/>
      <w:szCs w:val="18"/>
    </w:rPr>
  </w:style>
  <w:style w:type="character" w:customStyle="1" w:styleId="120">
    <w:name w:val="正文文本缩进 2 Char1"/>
    <w:semiHidden/>
    <w:qFormat/>
    <w:uiPriority w:val="99"/>
    <w:rPr>
      <w:rFonts w:ascii="Times New Roman" w:hAnsi="Times New Roman"/>
      <w:kern w:val="2"/>
      <w:sz w:val="21"/>
      <w:szCs w:val="24"/>
    </w:rPr>
  </w:style>
  <w:style w:type="character" w:customStyle="1" w:styleId="121">
    <w:name w:val="标题 6 字符"/>
    <w:link w:val="10"/>
    <w:qFormat/>
    <w:uiPriority w:val="0"/>
    <w:rPr>
      <w:rFonts w:ascii="Arial" w:hAnsi="Arial" w:eastAsia="黑体"/>
      <w:b/>
      <w:bCs/>
      <w:spacing w:val="6"/>
      <w:kern w:val="2"/>
      <w:sz w:val="24"/>
      <w:szCs w:val="24"/>
    </w:rPr>
  </w:style>
  <w:style w:type="character" w:customStyle="1" w:styleId="122">
    <w:name w:val="Footer1 Char"/>
    <w:qFormat/>
    <w:uiPriority w:val="0"/>
    <w:rPr>
      <w:rFonts w:eastAsia="宋体"/>
      <w:kern w:val="2"/>
      <w:sz w:val="18"/>
      <w:szCs w:val="18"/>
      <w:lang w:val="en-US" w:eastAsia="zh-CN" w:bidi="ar-SA"/>
    </w:rPr>
  </w:style>
  <w:style w:type="character" w:customStyle="1" w:styleId="123">
    <w:name w:val="b titlename wangputoptitle"/>
    <w:basedOn w:val="40"/>
    <w:qFormat/>
    <w:uiPriority w:val="0"/>
  </w:style>
  <w:style w:type="character" w:customStyle="1" w:styleId="124">
    <w:name w:val="标题 9 字符"/>
    <w:link w:val="13"/>
    <w:qFormat/>
    <w:uiPriority w:val="0"/>
    <w:rPr>
      <w:rFonts w:ascii="Arial" w:hAnsi="Arial" w:eastAsia="黑体"/>
      <w:spacing w:val="6"/>
      <w:kern w:val="2"/>
      <w:sz w:val="24"/>
      <w:szCs w:val="24"/>
    </w:rPr>
  </w:style>
  <w:style w:type="character" w:customStyle="1" w:styleId="125">
    <w:name w:val="font21"/>
    <w:qFormat/>
    <w:uiPriority w:val="0"/>
    <w:rPr>
      <w:rFonts w:hint="eastAsia" w:ascii="宋体" w:hAnsi="宋体" w:eastAsia="宋体" w:cs="宋体"/>
      <w:color w:val="000000"/>
      <w:sz w:val="24"/>
      <w:szCs w:val="24"/>
      <w:u w:val="none"/>
    </w:rPr>
  </w:style>
  <w:style w:type="character" w:customStyle="1" w:styleId="126">
    <w:name w:val="HTML 预设格式 字符"/>
    <w:link w:val="33"/>
    <w:qFormat/>
    <w:uiPriority w:val="0"/>
    <w:rPr>
      <w:rFonts w:ascii="宋体" w:hAnsi="宋体" w:cs="宋体"/>
      <w:sz w:val="24"/>
      <w:szCs w:val="24"/>
    </w:rPr>
  </w:style>
  <w:style w:type="character" w:customStyle="1" w:styleId="127">
    <w:name w:val="标题 7 字符"/>
    <w:link w:val="11"/>
    <w:qFormat/>
    <w:uiPriority w:val="0"/>
    <w:rPr>
      <w:rFonts w:ascii="Times New Roman" w:hAnsi="Times New Roman"/>
      <w:b/>
      <w:bCs/>
      <w:spacing w:val="6"/>
      <w:kern w:val="2"/>
      <w:sz w:val="24"/>
      <w:szCs w:val="24"/>
    </w:rPr>
  </w:style>
  <w:style w:type="character" w:customStyle="1" w:styleId="128">
    <w:name w:val="第一层条 Char Char"/>
    <w:qFormat/>
    <w:uiPriority w:val="0"/>
    <w:rPr>
      <w:rFonts w:ascii="Arial" w:hAnsi="Arial" w:eastAsia="黑体"/>
      <w:b/>
      <w:bCs/>
      <w:kern w:val="2"/>
      <w:sz w:val="32"/>
      <w:szCs w:val="32"/>
    </w:rPr>
  </w:style>
  <w:style w:type="character" w:customStyle="1" w:styleId="129">
    <w:name w:val="apple-style-span"/>
    <w:basedOn w:val="40"/>
    <w:qFormat/>
    <w:uiPriority w:val="0"/>
  </w:style>
  <w:style w:type="character" w:customStyle="1" w:styleId="130">
    <w:name w:val="标题 2 Char"/>
    <w:qFormat/>
    <w:uiPriority w:val="0"/>
    <w:rPr>
      <w:rFonts w:ascii="Cambria" w:hAnsi="Cambria" w:eastAsia="宋体" w:cs="Times New Roman"/>
      <w:b/>
      <w:bCs/>
      <w:kern w:val="2"/>
      <w:sz w:val="32"/>
      <w:szCs w:val="32"/>
    </w:rPr>
  </w:style>
  <w:style w:type="character" w:customStyle="1" w:styleId="131">
    <w:name w:val="标题 2 字符"/>
    <w:link w:val="6"/>
    <w:qFormat/>
    <w:uiPriority w:val="0"/>
    <w:rPr>
      <w:rFonts w:ascii="Arial" w:hAnsi="Arial" w:eastAsia="黑体"/>
      <w:b/>
      <w:bCs/>
      <w:kern w:val="2"/>
      <w:sz w:val="32"/>
      <w:szCs w:val="32"/>
    </w:rPr>
  </w:style>
  <w:style w:type="character" w:customStyle="1" w:styleId="132">
    <w:name w:val="批注文字 Char"/>
    <w:qFormat/>
    <w:uiPriority w:val="0"/>
    <w:rPr>
      <w:rFonts w:eastAsia="宋体"/>
      <w:kern w:val="2"/>
      <w:sz w:val="21"/>
      <w:szCs w:val="24"/>
      <w:lang w:val="en-US" w:eastAsia="zh-CN" w:bidi="ar-SA"/>
    </w:rPr>
  </w:style>
  <w:style w:type="character" w:customStyle="1" w:styleId="133">
    <w:name w:val="unnamed51"/>
    <w:qFormat/>
    <w:uiPriority w:val="0"/>
    <w:rPr>
      <w:sz w:val="22"/>
      <w:szCs w:val="22"/>
    </w:rPr>
  </w:style>
  <w:style w:type="character" w:customStyle="1" w:styleId="134">
    <w:name w:val="style551"/>
    <w:qFormat/>
    <w:uiPriority w:val="0"/>
    <w:rPr>
      <w:rFonts w:hint="default" w:ascii="Arial" w:hAnsi="Arial" w:cs="Arial"/>
      <w:color w:val="333333"/>
      <w:sz w:val="24"/>
      <w:szCs w:val="24"/>
    </w:rPr>
  </w:style>
  <w:style w:type="character" w:customStyle="1" w:styleId="135">
    <w:name w:val="标题 字符"/>
    <w:link w:val="35"/>
    <w:qFormat/>
    <w:uiPriority w:val="0"/>
    <w:rPr>
      <w:rFonts w:ascii="Arial" w:hAnsi="Arial" w:cs="Arial"/>
      <w:kern w:val="2"/>
      <w:sz w:val="32"/>
      <w:szCs w:val="32"/>
    </w:rPr>
  </w:style>
  <w:style w:type="character" w:customStyle="1" w:styleId="136">
    <w:name w:val="页眉 字符"/>
    <w:link w:val="28"/>
    <w:qFormat/>
    <w:uiPriority w:val="0"/>
    <w:rPr>
      <w:rFonts w:ascii="Times New Roman" w:hAnsi="Times New Roman"/>
      <w:kern w:val="2"/>
      <w:sz w:val="18"/>
      <w:szCs w:val="18"/>
    </w:rPr>
  </w:style>
  <w:style w:type="character" w:customStyle="1" w:styleId="137">
    <w:name w:val="正文文本缩进 2 字符"/>
    <w:link w:val="24"/>
    <w:qFormat/>
    <w:uiPriority w:val="0"/>
    <w:rPr>
      <w:rFonts w:ascii="宋体"/>
      <w:sz w:val="24"/>
    </w:rPr>
  </w:style>
  <w:style w:type="character" w:customStyle="1" w:styleId="138">
    <w:name w:val="font31"/>
    <w:qFormat/>
    <w:uiPriority w:val="0"/>
    <w:rPr>
      <w:rFonts w:hint="default" w:ascii="Arial" w:hAnsi="Arial" w:cs="Arial"/>
      <w:color w:val="000000"/>
      <w:sz w:val="16"/>
      <w:szCs w:val="16"/>
      <w:u w:val="none"/>
    </w:rPr>
  </w:style>
  <w:style w:type="character" w:customStyle="1" w:styleId="139">
    <w:name w:val="标题 3 字符"/>
    <w:link w:val="7"/>
    <w:qFormat/>
    <w:uiPriority w:val="0"/>
    <w:rPr>
      <w:rFonts w:ascii="Times New Roman" w:hAnsi="Times New Roman"/>
      <w:b/>
      <w:bCs/>
      <w:kern w:val="2"/>
      <w:sz w:val="32"/>
      <w:szCs w:val="32"/>
    </w:rPr>
  </w:style>
  <w:style w:type="character" w:customStyle="1" w:styleId="140">
    <w:name w:val="文档结构图 字符"/>
    <w:link w:val="15"/>
    <w:qFormat/>
    <w:uiPriority w:val="0"/>
    <w:rPr>
      <w:rFonts w:ascii="Times New Roman" w:hAnsi="Times New Roman"/>
      <w:kern w:val="2"/>
      <w:sz w:val="21"/>
      <w:szCs w:val="24"/>
      <w:shd w:val="clear" w:color="auto" w:fill="000080"/>
    </w:rPr>
  </w:style>
  <w:style w:type="character" w:customStyle="1" w:styleId="141">
    <w:name w:val="纯文本 字符"/>
    <w:link w:val="22"/>
    <w:qFormat/>
    <w:uiPriority w:val="0"/>
    <w:rPr>
      <w:rFonts w:ascii="宋体" w:hAnsi="Courier New"/>
      <w:kern w:val="2"/>
      <w:sz w:val="21"/>
    </w:rPr>
  </w:style>
  <w:style w:type="character" w:customStyle="1" w:styleId="142">
    <w:name w:val="12blk1"/>
    <w:qFormat/>
    <w:uiPriority w:val="0"/>
    <w:rPr>
      <w:rFonts w:hint="default" w:ascii="_x000B__x000C_" w:hAnsi="_x000B__x000C_"/>
      <w:color w:val="000000"/>
      <w:sz w:val="24"/>
      <w:szCs w:val="24"/>
      <w:u w:val="none"/>
    </w:rPr>
  </w:style>
  <w:style w:type="character" w:customStyle="1" w:styleId="143">
    <w:name w:val="页脚 字符"/>
    <w:link w:val="26"/>
    <w:qFormat/>
    <w:uiPriority w:val="0"/>
    <w:rPr>
      <w:rFonts w:ascii="Times New Roman" w:hAnsi="Times New Roman"/>
      <w:kern w:val="2"/>
      <w:sz w:val="18"/>
      <w:szCs w:val="18"/>
    </w:rPr>
  </w:style>
  <w:style w:type="character" w:customStyle="1" w:styleId="144">
    <w:name w:val="批注文字 字符"/>
    <w:link w:val="17"/>
    <w:qFormat/>
    <w:uiPriority w:val="0"/>
    <w:rPr>
      <w:rFonts w:ascii="Times New Roman" w:hAnsi="Times New Roman"/>
      <w:kern w:val="2"/>
      <w:sz w:val="21"/>
      <w:szCs w:val="24"/>
    </w:rPr>
  </w:style>
  <w:style w:type="character" w:customStyle="1" w:styleId="145">
    <w:name w:val="标题 8 字符"/>
    <w:link w:val="12"/>
    <w:qFormat/>
    <w:uiPriority w:val="0"/>
    <w:rPr>
      <w:rFonts w:ascii="Arial" w:hAnsi="Arial" w:eastAsia="黑体"/>
      <w:spacing w:val="6"/>
      <w:kern w:val="2"/>
      <w:sz w:val="24"/>
      <w:szCs w:val="24"/>
    </w:rPr>
  </w:style>
  <w:style w:type="character" w:customStyle="1" w:styleId="146">
    <w:name w:val="纯文本 Char1"/>
    <w:qFormat/>
    <w:uiPriority w:val="0"/>
    <w:rPr>
      <w:rFonts w:ascii="宋体" w:hAnsi="Courier New" w:cs="Courier New"/>
      <w:kern w:val="2"/>
      <w:sz w:val="21"/>
      <w:szCs w:val="21"/>
    </w:rPr>
  </w:style>
  <w:style w:type="character" w:customStyle="1" w:styleId="147">
    <w:name w:val="标题 1 字符"/>
    <w:link w:val="5"/>
    <w:qFormat/>
    <w:uiPriority w:val="0"/>
    <w:rPr>
      <w:rFonts w:ascii="Times New Roman" w:hAnsi="Times New Roman"/>
      <w:kern w:val="2"/>
      <w:sz w:val="28"/>
      <w:szCs w:val="24"/>
    </w:rPr>
  </w:style>
  <w:style w:type="character" w:customStyle="1" w:styleId="148">
    <w:name w:val="标题 Char"/>
    <w:qFormat/>
    <w:uiPriority w:val="0"/>
    <w:rPr>
      <w:rFonts w:ascii="Cambria" w:hAnsi="Cambria" w:cs="Times New Roman"/>
      <w:b/>
      <w:bCs/>
      <w:kern w:val="2"/>
      <w:sz w:val="32"/>
      <w:szCs w:val="32"/>
    </w:rPr>
  </w:style>
  <w:style w:type="character" w:customStyle="1" w:styleId="149">
    <w:name w:val="普通文字 Char Char2"/>
    <w:qFormat/>
    <w:uiPriority w:val="0"/>
    <w:rPr>
      <w:rFonts w:ascii="宋体" w:hAnsi="Courier New" w:eastAsia="宋体"/>
      <w:kern w:val="2"/>
      <w:sz w:val="21"/>
      <w:lang w:val="en-US" w:eastAsia="zh-CN" w:bidi="ar-SA"/>
    </w:rPr>
  </w:style>
  <w:style w:type="character" w:customStyle="1" w:styleId="150">
    <w:name w:val="正文文本缩进 字符"/>
    <w:link w:val="18"/>
    <w:qFormat/>
    <w:uiPriority w:val="0"/>
    <w:rPr>
      <w:rFonts w:ascii="Times New Roman" w:hAnsi="Times New Roman"/>
      <w:kern w:val="2"/>
      <w:sz w:val="21"/>
      <w:szCs w:val="24"/>
    </w:rPr>
  </w:style>
  <w:style w:type="character" w:customStyle="1" w:styleId="151">
    <w:name w:val="Char Char6"/>
    <w:qFormat/>
    <w:uiPriority w:val="0"/>
    <w:rPr>
      <w:rFonts w:eastAsia="宋体"/>
      <w:kern w:val="2"/>
      <w:sz w:val="18"/>
      <w:szCs w:val="18"/>
      <w:lang w:val="en-US" w:eastAsia="zh-CN" w:bidi="ar-SA"/>
    </w:rPr>
  </w:style>
  <w:style w:type="character" w:customStyle="1" w:styleId="152">
    <w:name w:val="正文文本缩进 3 字符"/>
    <w:link w:val="30"/>
    <w:qFormat/>
    <w:uiPriority w:val="0"/>
    <w:rPr>
      <w:rFonts w:eastAsia="黑体"/>
      <w:color w:val="000000"/>
      <w:kern w:val="2"/>
      <w:sz w:val="24"/>
      <w:szCs w:val="24"/>
    </w:rPr>
  </w:style>
  <w:style w:type="character" w:customStyle="1" w:styleId="153">
    <w:name w:val="金保标题2 Char"/>
    <w:link w:val="84"/>
    <w:qFormat/>
    <w:uiPriority w:val="0"/>
    <w:rPr>
      <w:rFonts w:eastAsia="黑体"/>
      <w:b/>
      <w:bCs/>
      <w:kern w:val="2"/>
      <w:sz w:val="28"/>
      <w:szCs w:val="28"/>
    </w:rPr>
  </w:style>
  <w:style w:type="character" w:customStyle="1" w:styleId="154">
    <w:name w:val="font3"/>
    <w:basedOn w:val="40"/>
    <w:qFormat/>
    <w:uiPriority w:val="0"/>
  </w:style>
  <w:style w:type="character" w:customStyle="1" w:styleId="155">
    <w:name w:val="apple-converted-space"/>
    <w:basedOn w:val="40"/>
    <w:qFormat/>
    <w:uiPriority w:val="0"/>
  </w:style>
  <w:style w:type="character" w:customStyle="1" w:styleId="156">
    <w:name w:val="正文文本 2 字符"/>
    <w:link w:val="32"/>
    <w:qFormat/>
    <w:uiPriority w:val="0"/>
    <w:rPr>
      <w:rFonts w:ascii="Times New Roman" w:hAnsi="Times New Roman"/>
      <w:kern w:val="2"/>
      <w:sz w:val="21"/>
      <w:szCs w:val="24"/>
    </w:rPr>
  </w:style>
  <w:style w:type="character" w:customStyle="1" w:styleId="157">
    <w:name w:val="批注主题 字符"/>
    <w:link w:val="36"/>
    <w:qFormat/>
    <w:uiPriority w:val="0"/>
    <w:rPr>
      <w:rFonts w:ascii="Times New Roman" w:hAnsi="Times New Roman"/>
      <w:b/>
      <w:bCs/>
      <w:kern w:val="2"/>
      <w:sz w:val="21"/>
      <w:szCs w:val="24"/>
    </w:rPr>
  </w:style>
  <w:style w:type="character" w:customStyle="1" w:styleId="158">
    <w:name w:val="hang1"/>
    <w:basedOn w:val="40"/>
    <w:qFormat/>
    <w:uiPriority w:val="0"/>
  </w:style>
  <w:style w:type="character" w:customStyle="1" w:styleId="159">
    <w:name w:val="正文文本 Char1"/>
    <w:semiHidden/>
    <w:qFormat/>
    <w:uiPriority w:val="99"/>
    <w:rPr>
      <w:rFonts w:ascii="Times New Roman" w:hAnsi="Times New Roman"/>
      <w:kern w:val="2"/>
      <w:sz w:val="21"/>
      <w:szCs w:val="24"/>
    </w:rPr>
  </w:style>
  <w:style w:type="character" w:customStyle="1" w:styleId="160">
    <w:name w:val="普通文字 Char Char1"/>
    <w:qFormat/>
    <w:uiPriority w:val="0"/>
    <w:rPr>
      <w:rFonts w:ascii="宋体" w:hAnsi="Courier New" w:eastAsia="宋体"/>
      <w:kern w:val="2"/>
      <w:sz w:val="21"/>
      <w:lang w:val="en-US" w:eastAsia="zh-CN" w:bidi="ar-SA"/>
    </w:rPr>
  </w:style>
  <w:style w:type="character" w:customStyle="1" w:styleId="161">
    <w:name w:val="样式 宋体 小四"/>
    <w:qFormat/>
    <w:uiPriority w:val="0"/>
    <w:rPr>
      <w:rFonts w:ascii="宋体" w:hAnsi="宋体"/>
      <w:spacing w:val="6"/>
      <w:sz w:val="24"/>
      <w:szCs w:val="24"/>
    </w:rPr>
  </w:style>
  <w:style w:type="character" w:customStyle="1" w:styleId="162">
    <w:name w:val="content1"/>
    <w:qFormat/>
    <w:uiPriority w:val="0"/>
    <w:rPr>
      <w:rFonts w:hint="default" w:ascii="ˎ̥" w:hAnsi="ˎ̥"/>
      <w:color w:val="000000"/>
      <w:sz w:val="22"/>
      <w:szCs w:val="22"/>
      <w:u w:val="none"/>
    </w:rPr>
  </w:style>
  <w:style w:type="character" w:customStyle="1" w:styleId="163">
    <w:name w:val="正文缩进 字符"/>
    <w:link w:val="8"/>
    <w:qFormat/>
    <w:uiPriority w:val="0"/>
    <w:rPr>
      <w:kern w:val="2"/>
      <w:sz w:val="21"/>
      <w:szCs w:val="24"/>
    </w:rPr>
  </w:style>
  <w:style w:type="character" w:customStyle="1" w:styleId="164">
    <w:name w:val="font11"/>
    <w:qFormat/>
    <w:uiPriority w:val="0"/>
    <w:rPr>
      <w:rFonts w:hint="default" w:ascii="Times New Roman" w:hAnsi="Times New Roman" w:cs="Times New Roman"/>
      <w:color w:val="000000"/>
      <w:sz w:val="24"/>
      <w:szCs w:val="24"/>
      <w:u w:val="none"/>
    </w:rPr>
  </w:style>
  <w:style w:type="character" w:customStyle="1" w:styleId="165">
    <w:name w:val="style661"/>
    <w:qFormat/>
    <w:uiPriority w:val="0"/>
    <w:rPr>
      <w:color w:val="000000"/>
      <w:sz w:val="18"/>
      <w:szCs w:val="18"/>
    </w:rPr>
  </w:style>
  <w:style w:type="character" w:customStyle="1" w:styleId="166">
    <w:name w:val="正文文本缩进 3 Char1"/>
    <w:semiHidden/>
    <w:qFormat/>
    <w:uiPriority w:val="99"/>
    <w:rPr>
      <w:rFonts w:ascii="Times New Roman" w:hAnsi="Times New Roman"/>
      <w:kern w:val="2"/>
      <w:sz w:val="16"/>
      <w:szCs w:val="16"/>
    </w:rPr>
  </w:style>
  <w:style w:type="character" w:customStyle="1" w:styleId="167">
    <w:name w:val="普通文字 Char Char"/>
    <w:qFormat/>
    <w:uiPriority w:val="0"/>
    <w:rPr>
      <w:rFonts w:ascii="宋体" w:hAnsi="Courier New" w:eastAsia="宋体"/>
      <w:kern w:val="2"/>
      <w:sz w:val="21"/>
      <w:lang w:val="en-US" w:eastAsia="zh-CN" w:bidi="ar-SA"/>
    </w:rPr>
  </w:style>
  <w:style w:type="character" w:customStyle="1" w:styleId="168">
    <w:name w:val="wj1"/>
    <w:qFormat/>
    <w:uiPriority w:val="0"/>
    <w:rPr>
      <w:color w:val="000000"/>
      <w:sz w:val="18"/>
      <w:szCs w:val="18"/>
      <w:u w:val="none"/>
    </w:rPr>
  </w:style>
  <w:style w:type="character" w:customStyle="1" w:styleId="169">
    <w:name w:val="标题 4 字符"/>
    <w:link w:val="9"/>
    <w:qFormat/>
    <w:uiPriority w:val="0"/>
    <w:rPr>
      <w:rFonts w:ascii="Arial" w:hAnsi="Arial" w:eastAsia="黑体"/>
      <w:b/>
      <w:bCs/>
      <w:kern w:val="2"/>
      <w:sz w:val="28"/>
      <w:szCs w:val="28"/>
    </w:rPr>
  </w:style>
  <w:style w:type="character" w:customStyle="1" w:styleId="170">
    <w:name w:val="正文文本 字符"/>
    <w:link w:val="3"/>
    <w:qFormat/>
    <w:uiPriority w:val="0"/>
    <w:rPr>
      <w:rFonts w:ascii="Arial" w:hAnsi="Arial"/>
      <w:bCs/>
      <w:kern w:val="2"/>
      <w:sz w:val="24"/>
      <w:szCs w:val="24"/>
    </w:rPr>
  </w:style>
  <w:style w:type="character" w:customStyle="1" w:styleId="171">
    <w:name w:val="Char Char5"/>
    <w:qFormat/>
    <w:uiPriority w:val="0"/>
    <w:rPr>
      <w:rFonts w:ascii="Arial" w:hAnsi="Arial" w:eastAsia="宋体" w:cs="Arial"/>
      <w:kern w:val="2"/>
      <w:sz w:val="32"/>
      <w:szCs w:val="32"/>
      <w:lang w:val="en-US" w:eastAsia="zh-CN" w:bidi="ar-SA"/>
    </w:rPr>
  </w:style>
  <w:style w:type="character" w:customStyle="1" w:styleId="172">
    <w:name w:val="Char Char Char1"/>
    <w:qFormat/>
    <w:uiPriority w:val="0"/>
    <w:rPr>
      <w:rFonts w:ascii="宋体" w:hAnsi="Courier New" w:eastAsia="宋体"/>
      <w:kern w:val="2"/>
      <w:sz w:val="21"/>
      <w:lang w:val="en-US" w:eastAsia="zh-CN" w:bidi="ar-SA"/>
    </w:rPr>
  </w:style>
  <w:style w:type="paragraph" w:customStyle="1" w:styleId="173">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4">
    <w:name w:val="p16"/>
    <w:basedOn w:val="1"/>
    <w:qFormat/>
    <w:uiPriority w:val="0"/>
    <w:pPr>
      <w:widowControl/>
    </w:pPr>
  </w:style>
  <w:style w:type="paragraph" w:customStyle="1" w:styleId="175">
    <w:name w:val="p15"/>
    <w:basedOn w:val="1"/>
    <w:qFormat/>
    <w:uiPriority w:val="0"/>
    <w:pPr>
      <w:widowControl/>
    </w:pPr>
  </w:style>
  <w:style w:type="character" w:customStyle="1" w:styleId="176">
    <w:name w:val="正文文本首行缩进 2 字符"/>
    <w:basedOn w:val="150"/>
    <w:link w:val="37"/>
    <w:qFormat/>
    <w:uiPriority w:val="0"/>
    <w:rPr>
      <w:rFonts w:ascii="Times New Roman" w:hAnsi="Times New Roman"/>
      <w:kern w:val="2"/>
      <w:sz w:val="21"/>
      <w:szCs w:val="24"/>
    </w:rPr>
  </w:style>
  <w:style w:type="character" w:customStyle="1" w:styleId="177">
    <w:name w:val="页脚 Char1"/>
    <w:qFormat/>
    <w:uiPriority w:val="0"/>
    <w:rPr>
      <w:kern w:val="2"/>
      <w:sz w:val="18"/>
      <w:szCs w:val="18"/>
    </w:rPr>
  </w:style>
  <w:style w:type="paragraph" w:customStyle="1" w:styleId="178">
    <w:name w:val="Heading #2|1"/>
    <w:basedOn w:val="1"/>
    <w:qFormat/>
    <w:uiPriority w:val="0"/>
    <w:pPr>
      <w:spacing w:after="720" w:line="648" w:lineRule="exact"/>
      <w:ind w:firstLine="310"/>
      <w:jc w:val="center"/>
      <w:outlineLvl w:val="1"/>
    </w:pPr>
    <w:rPr>
      <w:rFonts w:ascii="宋体" w:hAnsi="宋体" w:cs="宋体"/>
      <w:sz w:val="42"/>
      <w:szCs w:val="42"/>
      <w:lang w:val="zh-TW" w:eastAsia="zh-TW" w:bidi="zh-TW"/>
    </w:rPr>
  </w:style>
  <w:style w:type="paragraph" w:customStyle="1" w:styleId="179">
    <w:name w:val="Body text|1"/>
    <w:basedOn w:val="1"/>
    <w:qFormat/>
    <w:uiPriority w:val="0"/>
    <w:pPr>
      <w:spacing w:line="434" w:lineRule="auto"/>
      <w:ind w:firstLine="400"/>
    </w:pPr>
    <w:rPr>
      <w:rFonts w:ascii="宋体" w:hAnsi="宋体" w:cs="宋体"/>
      <w:sz w:val="30"/>
      <w:szCs w:val="30"/>
      <w:lang w:val="zh-TW" w:eastAsia="zh-TW" w:bidi="zh-TW"/>
    </w:rPr>
  </w:style>
  <w:style w:type="paragraph" w:customStyle="1" w:styleId="180">
    <w:name w:val="Body text|3"/>
    <w:basedOn w:val="1"/>
    <w:qFormat/>
    <w:uiPriority w:val="0"/>
    <w:pPr>
      <w:spacing w:after="60"/>
      <w:ind w:left="1510"/>
    </w:pPr>
    <w:rPr>
      <w:rFonts w:ascii="宋体" w:hAnsi="宋体" w:cs="宋体"/>
      <w:sz w:val="26"/>
      <w:szCs w:val="26"/>
      <w:lang w:val="zh-TW" w:eastAsia="zh-TW" w:bidi="zh-TW"/>
    </w:rPr>
  </w:style>
  <w:style w:type="paragraph" w:customStyle="1" w:styleId="181">
    <w:name w:val="Body text|5"/>
    <w:basedOn w:val="1"/>
    <w:qFormat/>
    <w:uiPriority w:val="0"/>
    <w:pPr>
      <w:ind w:hanging="1640"/>
    </w:pPr>
    <w:rPr>
      <w:rFonts w:ascii="宋体" w:hAnsi="宋体" w:cs="宋体"/>
      <w:sz w:val="22"/>
      <w:szCs w:val="22"/>
      <w:u w:val="single"/>
      <w:lang w:val="zh-CN"/>
    </w:rPr>
  </w:style>
  <w:style w:type="character" w:customStyle="1" w:styleId="182">
    <w:name w:val="NormalCharacter"/>
    <w:qFormat/>
    <w:uiPriority w:val="0"/>
    <w:rPr>
      <w:kern w:val="2"/>
      <w:sz w:val="21"/>
      <w:szCs w:val="24"/>
      <w:lang w:val="en-US" w:eastAsia="zh-CN" w:bidi="ar-SA"/>
    </w:rPr>
  </w:style>
  <w:style w:type="paragraph" w:customStyle="1" w:styleId="183">
    <w:name w:val="样式 标题 2 + Times New Roman 四号 非加粗 段前: 5 磅 段后: 0 磅 行距: 固定值 20..."/>
    <w:qFormat/>
    <w:uiPriority w:val="0"/>
    <w:pPr>
      <w:keepNext/>
      <w:keepLines/>
      <w:widowControl w:val="0"/>
      <w:spacing w:before="100" w:line="400" w:lineRule="exact"/>
      <w:jc w:val="both"/>
      <w:outlineLvl w:val="1"/>
    </w:pPr>
    <w:rPr>
      <w:rFonts w:ascii="Times New Roman" w:hAnsi="Times New Roman" w:eastAsia="宋体" w:cs="宋体"/>
      <w:kern w:val="2"/>
      <w:sz w:val="28"/>
      <w:lang w:val="en-US" w:eastAsia="zh-CN" w:bidi="ar-SA"/>
    </w:rPr>
  </w:style>
  <w:style w:type="paragraph" w:customStyle="1" w:styleId="184">
    <w:name w:val="l正文"/>
    <w:basedOn w:val="1"/>
    <w:qFormat/>
    <w:uiPriority w:val="0"/>
    <w:pPr>
      <w:spacing w:line="300" w:lineRule="auto"/>
      <w:ind w:firstLine="200" w:firstLineChars="200"/>
      <w:jc w:val="left"/>
    </w:pPr>
    <w:rPr>
      <w:rFonts w:ascii="楷体_GB2312" w:hAnsi="Times" w:eastAsia="楷体_GB2312" w:cs="等线"/>
      <w:sz w:val="24"/>
    </w:rPr>
  </w:style>
  <w:style w:type="character" w:customStyle="1" w:styleId="185">
    <w:name w:val="font51"/>
    <w:basedOn w:val="40"/>
    <w:qFormat/>
    <w:uiPriority w:val="0"/>
    <w:rPr>
      <w:rFonts w:ascii="DFKai-SB" w:hAnsi="DFKai-SB" w:eastAsia="DFKai-SB" w:cs="DFKai-SB"/>
      <w:color w:val="000000"/>
      <w:sz w:val="24"/>
      <w:szCs w:val="24"/>
      <w:u w:val="none"/>
    </w:rPr>
  </w:style>
  <w:style w:type="character" w:customStyle="1" w:styleId="186">
    <w:name w:val="font112"/>
    <w:basedOn w:val="40"/>
    <w:qFormat/>
    <w:uiPriority w:val="0"/>
    <w:rPr>
      <w:rFonts w:ascii="PMingLiU" w:hAnsi="PMingLiU" w:eastAsia="PMingLiU" w:cs="PMingLiU"/>
      <w:color w:val="000000"/>
      <w:sz w:val="24"/>
      <w:szCs w:val="24"/>
      <w:u w:val="none"/>
    </w:rPr>
  </w:style>
  <w:style w:type="character" w:customStyle="1" w:styleId="187">
    <w:name w:val="font71"/>
    <w:basedOn w:val="40"/>
    <w:qFormat/>
    <w:uiPriority w:val="0"/>
    <w:rPr>
      <w:rFonts w:hint="eastAsia" w:ascii="宋体" w:hAnsi="宋体" w:eastAsia="宋体" w:cs="宋体"/>
      <w:color w:val="000000"/>
      <w:sz w:val="24"/>
      <w:szCs w:val="24"/>
      <w:u w:val="none"/>
    </w:rPr>
  </w:style>
  <w:style w:type="character" w:customStyle="1" w:styleId="188">
    <w:name w:val="font91"/>
    <w:basedOn w:val="40"/>
    <w:qFormat/>
    <w:uiPriority w:val="0"/>
    <w:rPr>
      <w:rFonts w:hint="default" w:ascii="Times New Roman" w:hAnsi="Times New Roman" w:cs="Times New Roman"/>
      <w:color w:val="000000"/>
      <w:sz w:val="24"/>
      <w:szCs w:val="24"/>
      <w:u w:val="none"/>
    </w:rPr>
  </w:style>
  <w:style w:type="character" w:customStyle="1" w:styleId="189">
    <w:name w:val="font81"/>
    <w:basedOn w:val="40"/>
    <w:qFormat/>
    <w:uiPriority w:val="0"/>
    <w:rPr>
      <w:rFonts w:hint="default" w:ascii="Times New Roman" w:hAnsi="Times New Roman" w:cs="Times New Roman"/>
      <w:color w:val="000000"/>
      <w:sz w:val="24"/>
      <w:szCs w:val="24"/>
      <w:u w:val="none"/>
    </w:rPr>
  </w:style>
  <w:style w:type="character" w:customStyle="1" w:styleId="190">
    <w:name w:val="font41"/>
    <w:basedOn w:val="40"/>
    <w:qFormat/>
    <w:uiPriority w:val="0"/>
    <w:rPr>
      <w:rFonts w:ascii="DFKai-SB" w:hAnsi="DFKai-SB" w:eastAsia="DFKai-SB" w:cs="DFKai-SB"/>
      <w:color w:val="000000"/>
      <w:sz w:val="24"/>
      <w:szCs w:val="24"/>
      <w:u w:val="none"/>
    </w:rPr>
  </w:style>
  <w:style w:type="character" w:customStyle="1" w:styleId="191">
    <w:name w:val="font01"/>
    <w:basedOn w:val="40"/>
    <w:qFormat/>
    <w:uiPriority w:val="0"/>
    <w:rPr>
      <w:rFonts w:hint="default" w:ascii="PMingLiU" w:hAnsi="PMingLiU" w:eastAsia="PMingLiU" w:cs="PMingLiU"/>
      <w:color w:val="000000"/>
      <w:sz w:val="24"/>
      <w:szCs w:val="24"/>
      <w:u w:val="none"/>
    </w:rPr>
  </w:style>
  <w:style w:type="character" w:customStyle="1" w:styleId="192">
    <w:name w:val="font141"/>
    <w:basedOn w:val="40"/>
    <w:qFormat/>
    <w:uiPriority w:val="0"/>
    <w:rPr>
      <w:rFonts w:hint="default" w:ascii="Times New Roman" w:hAnsi="Times New Roman" w:cs="Times New Roman"/>
      <w:color w:val="000000"/>
      <w:sz w:val="24"/>
      <w:szCs w:val="24"/>
      <w:u w:val="none"/>
    </w:rPr>
  </w:style>
  <w:style w:type="character" w:customStyle="1" w:styleId="193">
    <w:name w:val="font12"/>
    <w:basedOn w:val="40"/>
    <w:qFormat/>
    <w:uiPriority w:val="0"/>
    <w:rPr>
      <w:rFonts w:hint="default" w:ascii="PMingLiU" w:hAnsi="PMingLiU" w:eastAsia="PMingLiU" w:cs="PMingLiU"/>
      <w:color w:val="000000"/>
      <w:sz w:val="24"/>
      <w:szCs w:val="24"/>
      <w:u w:val="none"/>
    </w:rPr>
  </w:style>
  <w:style w:type="paragraph" w:customStyle="1" w:styleId="194">
    <w:name w:val="首行缩进"/>
    <w:basedOn w:val="1"/>
    <w:qFormat/>
    <w:uiPriority w:val="0"/>
    <w:pPr>
      <w:spacing w:line="360" w:lineRule="auto"/>
      <w:ind w:firstLine="480" w:firstLineChars="200"/>
    </w:pPr>
    <w:rPr>
      <w:sz w:val="24"/>
      <w:lang w:val="zh-CN"/>
    </w:rPr>
  </w:style>
  <w:style w:type="paragraph" w:customStyle="1" w:styleId="195">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196">
    <w:name w:val="Table Paragraph"/>
    <w:basedOn w:val="1"/>
    <w:qFormat/>
    <w:uiPriority w:val="1"/>
  </w:style>
  <w:style w:type="character" w:styleId="197">
    <w:name w:val="Placeholder Text"/>
    <w:basedOn w:val="40"/>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4.png"/><Relationship Id="rId33" Type="http://schemas.openxmlformats.org/officeDocument/2006/relationships/image" Target="media/image3.png"/><Relationship Id="rId32" Type="http://schemas.openxmlformats.org/officeDocument/2006/relationships/image" Target="media/image2.png"/><Relationship Id="rId31" Type="http://schemas.openxmlformats.org/officeDocument/2006/relationships/image" Target="media/image1.png"/><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header" Target="header13.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esktop\&#33485;&#21335;&#21439;&#30334;&#37324;&#24179;&#27700;&#20844;&#22253;&#32511;&#21270;&#20859;&#25252;&#20445;&#27905;&#39033;&#30446;12.14&#65288;&#20462;&#2591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苍南县百里平水公园绿化养护保洁项目12.14（修改）</Template>
  <Company>Sky123.Org</Company>
  <Pages>85</Pages>
  <Words>9064</Words>
  <Characters>51667</Characters>
  <Lines>430</Lines>
  <Paragraphs>121</Paragraphs>
  <TotalTime>3</TotalTime>
  <ScaleCrop>false</ScaleCrop>
  <LinksUpToDate>false</LinksUpToDate>
  <CharactersWithSpaces>60610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2017-12-14T06:57:00Z</dcterms:created>
  <dc:creator>ThinkPad</dc:creator>
  <cp:lastModifiedBy>NTKO</cp:lastModifiedBy>
  <cp:lastPrinted>2021-05-13T07:43:00Z</cp:lastPrinted>
  <dcterms:modified xsi:type="dcterms:W3CDTF">2021-08-26T10:45:09Z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1AE202D1B8BA4C799E1E9B0E2444821A</vt:lpwstr>
  </property>
</Properties>
</file>