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hint="eastAsia" w:ascii="宋体" w:hAnsi="宋体" w:eastAsia="微软雅黑"/>
          <w:b/>
          <w:snapToGrid w:val="0"/>
          <w:color w:val="0000FF"/>
          <w:sz w:val="56"/>
          <w:szCs w:val="56"/>
          <w:lang w:eastAsia="zh-CN"/>
        </w:rPr>
      </w:pPr>
      <w:bookmarkStart w:id="0" w:name="_Toc144974478"/>
      <w:bookmarkStart w:id="1" w:name="_Toc152042286"/>
      <w:r>
        <w:rPr>
          <w:rFonts w:hint="eastAsia" w:ascii="宋体" w:hAnsi="宋体" w:eastAsia="微软雅黑"/>
          <w:b/>
          <w:snapToGrid w:val="0"/>
          <w:color w:val="0000FF"/>
          <w:sz w:val="56"/>
          <w:szCs w:val="56"/>
          <w:lang w:eastAsia="zh-CN"/>
        </w:rPr>
        <w:t>县城新区南扩区渡龙安置小区建设工程</w:t>
      </w:r>
    </w:p>
    <w:p>
      <w:pPr>
        <w:widowControl/>
        <w:wordWrap w:val="0"/>
        <w:jc w:val="center"/>
        <w:rPr>
          <w:rFonts w:hint="eastAsia" w:ascii="微软雅黑" w:hAnsi="微软雅黑" w:eastAsia="微软雅黑" w:cs="微软雅黑"/>
          <w:color w:val="0000FF"/>
          <w:sz w:val="20"/>
          <w:szCs w:val="20"/>
          <w:lang w:eastAsia="zh-CN"/>
        </w:rPr>
      </w:pPr>
      <w:r>
        <w:rPr>
          <w:rFonts w:hint="eastAsia" w:ascii="宋体" w:hAnsi="宋体" w:eastAsia="微软雅黑"/>
          <w:b/>
          <w:snapToGrid w:val="0"/>
          <w:color w:val="0000FF"/>
          <w:sz w:val="56"/>
          <w:szCs w:val="56"/>
          <w:lang w:eastAsia="zh-CN"/>
        </w:rPr>
        <w:t>项目监理</w:t>
      </w:r>
    </w:p>
    <w:p>
      <w:pPr>
        <w:widowControl/>
        <w:wordWrap w:val="0"/>
        <w:jc w:val="center"/>
        <w:rPr>
          <w:rFonts w:hint="eastAsia" w:ascii="微软雅黑" w:hAnsi="微软雅黑" w:eastAsia="微软雅黑" w:cs="微软雅黑"/>
          <w:color w:val="0000FF"/>
          <w:szCs w:val="21"/>
          <w:lang w:val="en-US" w:eastAsia="zh-CN"/>
        </w:rPr>
      </w:pPr>
      <w:r>
        <w:rPr>
          <w:rFonts w:hint="eastAsia" w:ascii="微软雅黑" w:hAnsi="微软雅黑" w:eastAsia="微软雅黑" w:cs="微软雅黑"/>
          <w:color w:val="0000FF"/>
          <w:szCs w:val="21"/>
          <w:lang w:val="en-US" w:eastAsia="zh-CN"/>
        </w:rPr>
        <w:t xml:space="preserve">       </w:t>
      </w:r>
    </w:p>
    <w:p>
      <w:pPr>
        <w:widowControl/>
        <w:wordWrap w:val="0"/>
        <w:jc w:val="center"/>
        <w:rPr>
          <w:rFonts w:hint="eastAsia" w:ascii="微软雅黑" w:hAnsi="微软雅黑" w:eastAsia="微软雅黑" w:cs="微软雅黑"/>
          <w:color w:val="0000FF"/>
          <w:sz w:val="28"/>
          <w:szCs w:val="28"/>
          <w:lang w:val="en-US" w:eastAsia="zh-CN"/>
        </w:rPr>
      </w:pPr>
    </w:p>
    <w:p>
      <w:pPr>
        <w:widowControl/>
        <w:wordWrap w:val="0"/>
        <w:jc w:val="center"/>
        <w:rPr>
          <w:rFonts w:hint="eastAsia" w:ascii="微软雅黑" w:hAnsi="微软雅黑" w:eastAsia="微软雅黑" w:cs="微软雅黑"/>
          <w:color w:val="0000FF"/>
          <w:szCs w:val="21"/>
          <w:lang w:val="en-US" w:eastAsia="zh-CN"/>
        </w:rPr>
      </w:pPr>
      <w:r>
        <w:rPr>
          <w:rFonts w:hint="eastAsia" w:ascii="微软雅黑" w:hAnsi="微软雅黑" w:eastAsia="微软雅黑" w:cs="微软雅黑"/>
          <w:color w:val="0000FF"/>
          <w:szCs w:val="21"/>
          <w:lang w:val="en-US" w:eastAsia="zh-CN"/>
        </w:rPr>
        <w:t xml:space="preserve">  </w:t>
      </w:r>
    </w:p>
    <w:p>
      <w:pPr>
        <w:widowControl/>
        <w:wordWrap w:val="0"/>
        <w:jc w:val="center"/>
        <w:rPr>
          <w:rFonts w:hint="eastAsia" w:ascii="宋体" w:hAnsi="宋体"/>
        </w:rPr>
      </w:pPr>
      <w:r>
        <w:rPr>
          <w:rFonts w:hint="eastAsia" w:ascii="微软雅黑" w:hAnsi="微软雅黑" w:eastAsia="微软雅黑" w:cs="微软雅黑"/>
          <w:color w:val="0000FF"/>
          <w:szCs w:val="21"/>
          <w:lang w:val="en-US" w:eastAsia="zh-CN"/>
        </w:rPr>
        <w:t xml:space="preserve">           </w:t>
      </w:r>
    </w:p>
    <w:p>
      <w:pPr>
        <w:spacing w:line="360" w:lineRule="auto"/>
        <w:jc w:val="center"/>
        <w:rPr>
          <w:rFonts w:hint="eastAsia" w:ascii="宋体" w:hAnsi="宋体"/>
          <w:b/>
          <w:sz w:val="96"/>
          <w:szCs w:val="96"/>
        </w:rPr>
      </w:pPr>
      <w:r>
        <w:rPr>
          <w:rFonts w:hint="eastAsia" w:ascii="宋体" w:hAnsi="宋体"/>
          <w:b/>
          <w:sz w:val="96"/>
          <w:szCs w:val="96"/>
        </w:rPr>
        <w:t>招</w:t>
      </w:r>
    </w:p>
    <w:p>
      <w:pPr>
        <w:spacing w:line="360" w:lineRule="auto"/>
        <w:jc w:val="center"/>
        <w:rPr>
          <w:rFonts w:hint="eastAsia" w:ascii="宋体" w:hAnsi="宋体"/>
          <w:b/>
          <w:sz w:val="96"/>
          <w:szCs w:val="96"/>
        </w:rPr>
      </w:pPr>
      <w:r>
        <w:rPr>
          <w:rFonts w:hint="eastAsia" w:ascii="宋体" w:hAnsi="宋体"/>
          <w:b/>
          <w:sz w:val="96"/>
          <w:szCs w:val="96"/>
        </w:rPr>
        <w:t xml:space="preserve">标 </w:t>
      </w:r>
    </w:p>
    <w:p>
      <w:pPr>
        <w:spacing w:line="360" w:lineRule="auto"/>
        <w:jc w:val="center"/>
        <w:rPr>
          <w:rFonts w:hint="eastAsia" w:ascii="宋体" w:hAnsi="宋体"/>
          <w:b/>
          <w:sz w:val="96"/>
          <w:szCs w:val="96"/>
        </w:rPr>
      </w:pPr>
      <w:r>
        <w:rPr>
          <w:rFonts w:hint="eastAsia" w:ascii="宋体" w:hAnsi="宋体"/>
          <w:b/>
          <w:sz w:val="96"/>
          <w:szCs w:val="96"/>
        </w:rPr>
        <w:t>文</w:t>
      </w:r>
    </w:p>
    <w:p>
      <w:pPr>
        <w:spacing w:line="360" w:lineRule="auto"/>
        <w:jc w:val="center"/>
        <w:rPr>
          <w:rFonts w:hint="eastAsia" w:ascii="宋体" w:hAnsi="宋体"/>
        </w:rPr>
      </w:pPr>
      <w:r>
        <w:rPr>
          <w:rFonts w:hint="eastAsia" w:ascii="宋体" w:hAnsi="宋体"/>
          <w:b/>
          <w:sz w:val="96"/>
          <w:szCs w:val="96"/>
        </w:rPr>
        <w:t>件</w:t>
      </w:r>
    </w:p>
    <w:p>
      <w:pPr>
        <w:spacing w:line="560" w:lineRule="exact"/>
        <w:ind w:firstLine="956" w:firstLineChars="299"/>
        <w:rPr>
          <w:rFonts w:hint="eastAsia"/>
          <w:sz w:val="32"/>
        </w:rPr>
      </w:pPr>
    </w:p>
    <w:p>
      <w:pPr>
        <w:spacing w:line="560" w:lineRule="exact"/>
        <w:ind w:firstLine="956" w:firstLineChars="299"/>
        <w:rPr>
          <w:rFonts w:hint="eastAsia" w:eastAsia="宋体"/>
          <w:spacing w:val="26"/>
          <w:sz w:val="32"/>
          <w:szCs w:val="32"/>
          <w:u w:val="single"/>
          <w:lang w:eastAsia="zh-CN"/>
        </w:rPr>
      </w:pPr>
      <w:r>
        <w:rPr>
          <w:rFonts w:hint="eastAsia"/>
          <w:sz w:val="32"/>
        </w:rPr>
        <w:t>招</w:t>
      </w:r>
      <w:r>
        <w:rPr>
          <w:rFonts w:hint="eastAsia"/>
          <w:spacing w:val="16"/>
          <w:sz w:val="32"/>
        </w:rPr>
        <w:t xml:space="preserve"> 标 单 </w:t>
      </w:r>
      <w:r>
        <w:rPr>
          <w:rFonts w:hint="eastAsia"/>
          <w:sz w:val="32"/>
        </w:rPr>
        <w:t>位</w:t>
      </w:r>
      <w:r>
        <w:rPr>
          <w:rFonts w:hint="eastAsia"/>
          <w:spacing w:val="6"/>
          <w:sz w:val="32"/>
        </w:rPr>
        <w:t>：</w:t>
      </w:r>
      <w:bookmarkStart w:id="239" w:name="_GoBack"/>
      <w:r>
        <w:rPr>
          <w:rFonts w:hint="eastAsia" w:ascii="宋体" w:hAnsi="宋体"/>
          <w:spacing w:val="-11"/>
          <w:sz w:val="32"/>
          <w:szCs w:val="32"/>
          <w:lang w:eastAsia="zh-CN"/>
        </w:rPr>
        <w:t>苍南县城市建设投资有限公司</w:t>
      </w:r>
      <w:bookmarkEnd w:id="239"/>
    </w:p>
    <w:p>
      <w:pPr>
        <w:spacing w:line="560" w:lineRule="exact"/>
        <w:ind w:firstLine="956" w:firstLineChars="299"/>
        <w:rPr>
          <w:rFonts w:hint="eastAsia" w:ascii="宋体" w:hAnsi="宋体"/>
          <w:sz w:val="32"/>
          <w:szCs w:val="32"/>
        </w:rPr>
      </w:pPr>
      <w:r>
        <w:rPr>
          <w:rFonts w:hint="eastAsia"/>
          <w:sz w:val="32"/>
        </w:rPr>
        <w:t>招标监督单位：</w:t>
      </w:r>
      <w:r>
        <w:rPr>
          <w:rFonts w:hint="eastAsia" w:ascii="宋体" w:hAnsi="宋体"/>
          <w:spacing w:val="45"/>
          <w:sz w:val="32"/>
          <w:szCs w:val="32"/>
        </w:rPr>
        <w:t>苍南县住房和城乡建设局</w:t>
      </w:r>
    </w:p>
    <w:p>
      <w:pPr>
        <w:spacing w:line="560" w:lineRule="exact"/>
        <w:ind w:firstLine="956" w:firstLineChars="299"/>
        <w:rPr>
          <w:rFonts w:hint="eastAsia" w:ascii="宋体" w:hAnsi="宋体" w:eastAsia="宋体"/>
          <w:sz w:val="32"/>
          <w:szCs w:val="32"/>
          <w:lang w:eastAsia="zh-CN"/>
        </w:rPr>
      </w:pPr>
      <w:r>
        <w:rPr>
          <w:rFonts w:hint="eastAsia"/>
          <w:sz w:val="32"/>
        </w:rPr>
        <w:t>招标代理单位：</w:t>
      </w:r>
      <w:r>
        <w:rPr>
          <w:rFonts w:hint="eastAsia" w:ascii="宋体" w:hAnsi="宋体"/>
          <w:sz w:val="32"/>
          <w:szCs w:val="32"/>
          <w:lang w:eastAsia="zh-CN"/>
        </w:rPr>
        <w:t xml:space="preserve">欧邦工程管理集团有限公司 </w:t>
      </w:r>
    </w:p>
    <w:p>
      <w:pPr>
        <w:snapToGrid w:val="0"/>
        <w:spacing w:line="240" w:lineRule="exact"/>
        <w:rPr>
          <w:rFonts w:hint="eastAsia" w:ascii="宋体" w:hAnsi="宋体"/>
          <w:sz w:val="30"/>
        </w:rPr>
      </w:pPr>
    </w:p>
    <w:p>
      <w:pPr>
        <w:tabs>
          <w:tab w:val="left" w:pos="120"/>
        </w:tabs>
        <w:spacing w:line="420" w:lineRule="exact"/>
        <w:jc w:val="center"/>
        <w:rPr>
          <w:rFonts w:hint="eastAsia" w:ascii="宋体" w:hAnsi="宋体"/>
          <w:sz w:val="32"/>
          <w:szCs w:val="32"/>
        </w:rPr>
      </w:pPr>
    </w:p>
    <w:p>
      <w:pPr>
        <w:tabs>
          <w:tab w:val="left" w:pos="120"/>
        </w:tabs>
        <w:spacing w:line="420" w:lineRule="exact"/>
        <w:jc w:val="center"/>
        <w:rPr>
          <w:rFonts w:hint="eastAsia" w:ascii="宋体" w:hAnsi="宋体"/>
          <w:sz w:val="32"/>
          <w:szCs w:val="32"/>
        </w:rPr>
      </w:pPr>
      <w:r>
        <w:rPr>
          <w:rFonts w:hint="eastAsia" w:ascii="宋体" w:hAnsi="宋体"/>
          <w:sz w:val="32"/>
          <w:szCs w:val="32"/>
        </w:rPr>
        <w:t>二○二一年</w:t>
      </w:r>
      <w:r>
        <w:rPr>
          <w:rFonts w:hint="eastAsia" w:ascii="宋体" w:hAnsi="宋体"/>
          <w:sz w:val="32"/>
          <w:szCs w:val="32"/>
          <w:lang w:eastAsia="zh-CN"/>
        </w:rPr>
        <w:t>十</w:t>
      </w:r>
      <w:r>
        <w:rPr>
          <w:rFonts w:hint="eastAsia" w:ascii="宋体" w:hAnsi="宋体"/>
          <w:sz w:val="32"/>
          <w:szCs w:val="32"/>
        </w:rPr>
        <w:t>月</w:t>
      </w:r>
    </w:p>
    <w:p>
      <w:pPr>
        <w:pStyle w:val="2"/>
        <w:ind w:left="0" w:leftChars="0" w:firstLine="0" w:firstLineChars="0"/>
        <w:rPr>
          <w:rFonts w:hint="eastAsia"/>
        </w:rPr>
        <w:sectPr>
          <w:pgSz w:w="11910" w:h="16840"/>
          <w:pgMar w:top="1320" w:right="602" w:bottom="1160" w:left="1040" w:header="857" w:footer="977" w:gutter="0"/>
          <w:cols w:space="720" w:num="1"/>
        </w:sectPr>
      </w:pPr>
    </w:p>
    <w:p>
      <w:pPr>
        <w:pStyle w:val="4"/>
        <w:rPr>
          <w:rFonts w:hint="eastAsia"/>
        </w:rPr>
      </w:pPr>
    </w:p>
    <w:p>
      <w:pPr>
        <w:tabs>
          <w:tab w:val="left" w:pos="120"/>
        </w:tabs>
        <w:spacing w:line="420" w:lineRule="exact"/>
        <w:jc w:val="center"/>
        <w:rPr>
          <w:rFonts w:hint="eastAsia" w:ascii="宋体" w:hAnsi="宋体"/>
          <w:sz w:val="32"/>
          <w:szCs w:val="32"/>
        </w:rPr>
      </w:pPr>
    </w:p>
    <w:p>
      <w:pPr>
        <w:jc w:val="center"/>
        <w:rPr>
          <w:rFonts w:hint="eastAsia" w:ascii="宋体" w:hAnsi="宋体" w:cs="宋体"/>
          <w:b/>
          <w:bCs/>
          <w:sz w:val="32"/>
          <w:szCs w:val="32"/>
        </w:rPr>
      </w:pPr>
      <w:r>
        <w:rPr>
          <w:rFonts w:hint="eastAsia" w:ascii="宋体" w:hAnsi="宋体" w:cs="宋体"/>
          <w:b/>
          <w:bCs/>
          <w:sz w:val="32"/>
          <w:szCs w:val="32"/>
          <w:u w:val="single"/>
          <w:lang w:eastAsia="zh-CN"/>
        </w:rPr>
        <w:t xml:space="preserve"> 县城新区南扩区渡龙安置小区建设工程项目监理</w:t>
      </w:r>
      <w:r>
        <w:rPr>
          <w:rFonts w:hint="eastAsia" w:ascii="宋体" w:hAnsi="宋体" w:cs="宋体"/>
          <w:b/>
          <w:bCs/>
          <w:sz w:val="32"/>
          <w:szCs w:val="32"/>
        </w:rPr>
        <w:t>（项目名称）</w:t>
      </w:r>
    </w:p>
    <w:p>
      <w:pPr>
        <w:jc w:val="center"/>
        <w:rPr>
          <w:rFonts w:hint="eastAsia" w:ascii="宋体" w:hAnsi="宋体" w:cs="宋体"/>
          <w:b/>
          <w:bCs/>
          <w:sz w:val="32"/>
          <w:szCs w:val="32"/>
        </w:rPr>
      </w:pPr>
      <w:r>
        <w:rPr>
          <w:rFonts w:hint="eastAsia" w:ascii="宋体" w:hAnsi="宋体" w:cs="宋体"/>
          <w:b/>
          <w:bCs/>
          <w:sz w:val="32"/>
          <w:szCs w:val="32"/>
        </w:rPr>
        <w:t>招标时间安排表</w:t>
      </w:r>
    </w:p>
    <w:p>
      <w:pPr>
        <w:jc w:val="right"/>
        <w:rPr>
          <w:rFonts w:hint="eastAsia"/>
        </w:rPr>
      </w:pPr>
    </w:p>
    <w:tbl>
      <w:tblPr>
        <w:tblStyle w:val="15"/>
        <w:tblW w:w="0" w:type="auto"/>
        <w:jc w:val="center"/>
        <w:tblLayout w:type="fixed"/>
        <w:tblCellMar>
          <w:top w:w="0" w:type="dxa"/>
          <w:left w:w="0" w:type="dxa"/>
          <w:bottom w:w="0" w:type="dxa"/>
          <w:right w:w="0" w:type="dxa"/>
        </w:tblCellMar>
      </w:tblPr>
      <w:tblGrid>
        <w:gridCol w:w="4546"/>
        <w:gridCol w:w="4548"/>
      </w:tblGrid>
      <w:tr>
        <w:tblPrEx>
          <w:tblCellMar>
            <w:top w:w="0" w:type="dxa"/>
            <w:left w:w="0" w:type="dxa"/>
            <w:bottom w:w="0" w:type="dxa"/>
            <w:right w:w="0" w:type="dxa"/>
          </w:tblCellMar>
        </w:tblPrEx>
        <w:trPr>
          <w:trHeight w:val="994" w:hRule="exact"/>
          <w:jc w:val="center"/>
        </w:trPr>
        <w:tc>
          <w:tcPr>
            <w:tcW w:w="4546" w:type="dxa"/>
            <w:tcBorders>
              <w:top w:val="single" w:color="000000" w:sz="12" w:space="0"/>
              <w:left w:val="single" w:color="000000" w:sz="12" w:space="0"/>
              <w:bottom w:val="single" w:color="000000" w:sz="6" w:space="0"/>
              <w:right w:val="single" w:color="000000" w:sz="6" w:space="0"/>
            </w:tcBorders>
            <w:noWrap w:val="0"/>
            <w:vAlign w:val="center"/>
          </w:tcPr>
          <w:p>
            <w:pPr>
              <w:pStyle w:val="19"/>
              <w:jc w:val="center"/>
              <w:rPr>
                <w:rFonts w:ascii="Arial" w:hAnsi="Arial" w:cs="Arial"/>
                <w:sz w:val="22"/>
                <w:szCs w:val="22"/>
              </w:rPr>
            </w:pPr>
            <w:r>
              <w:rPr>
                <w:rFonts w:hint="eastAsia" w:ascii="Arial" w:hAnsi="Arial" w:cs="Arial"/>
                <w:sz w:val="22"/>
                <w:szCs w:val="22"/>
              </w:rPr>
              <w:t>招标文件获取开始时间</w:t>
            </w:r>
          </w:p>
        </w:tc>
        <w:tc>
          <w:tcPr>
            <w:tcW w:w="4548" w:type="dxa"/>
            <w:tcBorders>
              <w:top w:val="single" w:color="000000" w:sz="12" w:space="0"/>
              <w:left w:val="single" w:color="000000" w:sz="6" w:space="0"/>
              <w:bottom w:val="single" w:color="000000" w:sz="6" w:space="0"/>
              <w:right w:val="single" w:color="000000" w:sz="12" w:space="0"/>
            </w:tcBorders>
            <w:noWrap w:val="0"/>
            <w:vAlign w:val="center"/>
          </w:tcPr>
          <w:p>
            <w:pPr>
              <w:pStyle w:val="19"/>
              <w:ind w:firstLine="660"/>
              <w:rPr>
                <w:rFonts w:ascii="Arial" w:hAnsi="Arial" w:cs="Arial"/>
                <w:sz w:val="22"/>
                <w:szCs w:val="22"/>
              </w:rPr>
            </w:pPr>
            <w:r>
              <w:rPr>
                <w:rFonts w:hint="eastAsia" w:ascii="Arial" w:hAnsi="Arial" w:cs="Arial"/>
                <w:sz w:val="22"/>
                <w:szCs w:val="22"/>
                <w:lang w:eastAsia="zh-CN"/>
              </w:rPr>
              <w:t>2021年</w:t>
            </w:r>
            <w:r>
              <w:rPr>
                <w:rFonts w:hint="eastAsia" w:ascii="Arial" w:hAnsi="Arial" w:cs="Arial"/>
                <w:sz w:val="22"/>
                <w:szCs w:val="22"/>
                <w:lang w:val="en-US" w:eastAsia="zh-CN"/>
              </w:rPr>
              <w:t xml:space="preserve">  </w:t>
            </w:r>
            <w:r>
              <w:rPr>
                <w:rFonts w:hint="eastAsia" w:ascii="Arial" w:hAnsi="Arial" w:cs="Arial"/>
                <w:sz w:val="22"/>
                <w:szCs w:val="22"/>
                <w:lang w:eastAsia="zh-CN"/>
              </w:rPr>
              <w:t>月</w:t>
            </w:r>
            <w:r>
              <w:rPr>
                <w:rFonts w:hint="eastAsia" w:ascii="Arial" w:hAnsi="Arial" w:cs="Arial"/>
                <w:sz w:val="22"/>
                <w:szCs w:val="22"/>
                <w:lang w:val="en-US" w:eastAsia="zh-CN"/>
              </w:rPr>
              <w:t xml:space="preserve">  </w:t>
            </w:r>
            <w:r>
              <w:rPr>
                <w:rFonts w:hint="eastAsia" w:ascii="Arial" w:hAnsi="Arial" w:cs="Arial"/>
                <w:sz w:val="22"/>
                <w:szCs w:val="22"/>
                <w:lang w:eastAsia="zh-CN"/>
              </w:rPr>
              <w:t>日</w:t>
            </w:r>
            <w:r>
              <w:rPr>
                <w:rFonts w:hint="eastAsia" w:ascii="Arial" w:hAnsi="Arial" w:cs="Arial"/>
                <w:sz w:val="22"/>
                <w:szCs w:val="22"/>
              </w:rPr>
              <w:t>08时30分</w:t>
            </w:r>
          </w:p>
        </w:tc>
      </w:tr>
      <w:tr>
        <w:tblPrEx>
          <w:tblCellMar>
            <w:top w:w="0" w:type="dxa"/>
            <w:left w:w="0" w:type="dxa"/>
            <w:bottom w:w="0" w:type="dxa"/>
            <w:right w:w="0" w:type="dxa"/>
          </w:tblCellMar>
        </w:tblPrEx>
        <w:trPr>
          <w:trHeight w:val="994" w:hRule="exact"/>
          <w:jc w:val="center"/>
        </w:trPr>
        <w:tc>
          <w:tcPr>
            <w:tcW w:w="4546" w:type="dxa"/>
            <w:tcBorders>
              <w:top w:val="single" w:color="000000" w:sz="6" w:space="0"/>
              <w:left w:val="single" w:color="000000" w:sz="12" w:space="0"/>
              <w:bottom w:val="single" w:color="000000" w:sz="6" w:space="0"/>
              <w:right w:val="single" w:color="000000" w:sz="6" w:space="0"/>
            </w:tcBorders>
            <w:noWrap w:val="0"/>
            <w:vAlign w:val="center"/>
          </w:tcPr>
          <w:p>
            <w:pPr>
              <w:pStyle w:val="19"/>
              <w:jc w:val="center"/>
              <w:rPr>
                <w:rFonts w:ascii="Arial" w:hAnsi="Arial" w:cs="Arial"/>
                <w:sz w:val="22"/>
                <w:szCs w:val="22"/>
              </w:rPr>
            </w:pPr>
            <w:r>
              <w:rPr>
                <w:rFonts w:hint="eastAsia" w:ascii="Arial" w:hAnsi="Arial" w:cs="Arial"/>
                <w:sz w:val="22"/>
                <w:szCs w:val="22"/>
              </w:rPr>
              <w:t>招标文件获取截止时间</w:t>
            </w:r>
          </w:p>
        </w:tc>
        <w:tc>
          <w:tcPr>
            <w:tcW w:w="4548" w:type="dxa"/>
            <w:tcBorders>
              <w:top w:val="single" w:color="000000" w:sz="6" w:space="0"/>
              <w:left w:val="single" w:color="000000" w:sz="6" w:space="0"/>
              <w:bottom w:val="single" w:color="000000" w:sz="6" w:space="0"/>
              <w:right w:val="single" w:color="000000" w:sz="12" w:space="0"/>
            </w:tcBorders>
            <w:noWrap w:val="0"/>
            <w:vAlign w:val="center"/>
          </w:tcPr>
          <w:p>
            <w:pPr>
              <w:pStyle w:val="19"/>
              <w:ind w:firstLine="220"/>
              <w:rPr>
                <w:rFonts w:ascii="Arial" w:hAnsi="Arial" w:cs="Arial"/>
                <w:sz w:val="22"/>
                <w:szCs w:val="22"/>
              </w:rPr>
            </w:pPr>
            <w:r>
              <w:rPr>
                <w:rFonts w:hint="eastAsia" w:ascii="Arial" w:hAnsi="Arial" w:cs="Arial"/>
                <w:sz w:val="22"/>
                <w:szCs w:val="22"/>
              </w:rPr>
              <w:t>同投标文件递交截止时间（投标截止时间）</w:t>
            </w:r>
          </w:p>
        </w:tc>
      </w:tr>
      <w:tr>
        <w:tblPrEx>
          <w:tblCellMar>
            <w:top w:w="0" w:type="dxa"/>
            <w:left w:w="0" w:type="dxa"/>
            <w:bottom w:w="0" w:type="dxa"/>
            <w:right w:w="0" w:type="dxa"/>
          </w:tblCellMar>
        </w:tblPrEx>
        <w:trPr>
          <w:trHeight w:val="911" w:hRule="exact"/>
          <w:jc w:val="center"/>
        </w:trPr>
        <w:tc>
          <w:tcPr>
            <w:tcW w:w="4546" w:type="dxa"/>
            <w:tcBorders>
              <w:top w:val="single" w:color="000000" w:sz="6" w:space="0"/>
              <w:left w:val="single" w:color="000000" w:sz="12" w:space="0"/>
              <w:bottom w:val="single" w:color="000000" w:sz="6" w:space="0"/>
              <w:right w:val="single" w:color="000000" w:sz="6" w:space="0"/>
            </w:tcBorders>
            <w:noWrap w:val="0"/>
            <w:vAlign w:val="center"/>
          </w:tcPr>
          <w:p>
            <w:pPr>
              <w:pStyle w:val="19"/>
              <w:jc w:val="center"/>
              <w:rPr>
                <w:rFonts w:ascii="Arial" w:hAnsi="Arial" w:cs="Arial"/>
                <w:sz w:val="22"/>
                <w:szCs w:val="22"/>
              </w:rPr>
            </w:pPr>
            <w:r>
              <w:rPr>
                <w:rFonts w:hint="eastAsia" w:ascii="Arial" w:hAnsi="Arial" w:cs="Arial"/>
                <w:sz w:val="22"/>
                <w:szCs w:val="22"/>
              </w:rPr>
              <w:t>投标人提出澄清招标文件截止时间</w:t>
            </w:r>
          </w:p>
        </w:tc>
        <w:tc>
          <w:tcPr>
            <w:tcW w:w="4548" w:type="dxa"/>
            <w:tcBorders>
              <w:top w:val="single" w:color="000000" w:sz="6" w:space="0"/>
              <w:left w:val="single" w:color="000000" w:sz="6" w:space="0"/>
              <w:bottom w:val="single" w:color="000000" w:sz="6" w:space="0"/>
              <w:right w:val="single" w:color="000000" w:sz="12" w:space="0"/>
            </w:tcBorders>
            <w:noWrap w:val="0"/>
            <w:vAlign w:val="center"/>
          </w:tcPr>
          <w:p>
            <w:pPr>
              <w:pStyle w:val="19"/>
              <w:ind w:firstLine="660"/>
              <w:rPr>
                <w:rFonts w:ascii="Arial" w:hAnsi="Arial" w:cs="Arial"/>
                <w:sz w:val="22"/>
                <w:szCs w:val="22"/>
              </w:rPr>
            </w:pPr>
            <w:r>
              <w:rPr>
                <w:rFonts w:hint="eastAsia" w:ascii="Arial" w:hAnsi="Arial" w:cs="Arial"/>
                <w:sz w:val="22"/>
                <w:szCs w:val="22"/>
                <w:lang w:eastAsia="zh-CN"/>
              </w:rPr>
              <w:t>2021年</w:t>
            </w:r>
            <w:r>
              <w:rPr>
                <w:rFonts w:hint="eastAsia" w:ascii="Arial" w:hAnsi="Arial" w:cs="Arial"/>
                <w:sz w:val="22"/>
                <w:szCs w:val="22"/>
                <w:lang w:val="en-US" w:eastAsia="zh-CN"/>
              </w:rPr>
              <w:t xml:space="preserve">  </w:t>
            </w:r>
            <w:r>
              <w:rPr>
                <w:rFonts w:hint="eastAsia" w:ascii="Arial" w:hAnsi="Arial" w:cs="Arial"/>
                <w:sz w:val="22"/>
                <w:szCs w:val="22"/>
                <w:lang w:eastAsia="zh-CN"/>
              </w:rPr>
              <w:t>月</w:t>
            </w:r>
            <w:r>
              <w:rPr>
                <w:rFonts w:hint="eastAsia" w:ascii="Arial" w:hAnsi="Arial" w:cs="Arial"/>
                <w:sz w:val="22"/>
                <w:szCs w:val="22"/>
                <w:lang w:val="en-US" w:eastAsia="zh-CN"/>
              </w:rPr>
              <w:t xml:space="preserve">  </w:t>
            </w:r>
            <w:r>
              <w:rPr>
                <w:rFonts w:hint="eastAsia" w:ascii="Arial" w:hAnsi="Arial" w:cs="Arial"/>
                <w:sz w:val="22"/>
                <w:szCs w:val="22"/>
                <w:lang w:eastAsia="zh-CN"/>
              </w:rPr>
              <w:t>日</w:t>
            </w:r>
            <w:r>
              <w:rPr>
                <w:rFonts w:hint="eastAsia" w:ascii="Arial" w:hAnsi="Arial" w:cs="Arial"/>
                <w:sz w:val="22"/>
                <w:szCs w:val="22"/>
              </w:rPr>
              <w:t>1</w:t>
            </w:r>
            <w:r>
              <w:rPr>
                <w:rFonts w:hint="eastAsia" w:ascii="Arial" w:hAnsi="Arial" w:cs="Arial"/>
                <w:sz w:val="22"/>
                <w:szCs w:val="22"/>
                <w:lang w:val="en-US" w:eastAsia="zh-CN"/>
              </w:rPr>
              <w:t>7</w:t>
            </w:r>
            <w:r>
              <w:rPr>
                <w:rFonts w:hint="eastAsia" w:ascii="Arial" w:hAnsi="Arial" w:cs="Arial"/>
                <w:sz w:val="22"/>
                <w:szCs w:val="22"/>
              </w:rPr>
              <w:t>时00分</w:t>
            </w:r>
          </w:p>
        </w:tc>
      </w:tr>
      <w:tr>
        <w:tblPrEx>
          <w:tblCellMar>
            <w:top w:w="0" w:type="dxa"/>
            <w:left w:w="0" w:type="dxa"/>
            <w:bottom w:w="0" w:type="dxa"/>
            <w:right w:w="0" w:type="dxa"/>
          </w:tblCellMar>
        </w:tblPrEx>
        <w:trPr>
          <w:trHeight w:val="903" w:hRule="exact"/>
          <w:jc w:val="center"/>
        </w:trPr>
        <w:tc>
          <w:tcPr>
            <w:tcW w:w="4546" w:type="dxa"/>
            <w:tcBorders>
              <w:top w:val="single" w:color="000000" w:sz="6" w:space="0"/>
              <w:left w:val="single" w:color="000000" w:sz="12" w:space="0"/>
              <w:bottom w:val="single" w:color="000000" w:sz="6" w:space="0"/>
              <w:right w:val="single" w:color="000000" w:sz="6" w:space="0"/>
            </w:tcBorders>
            <w:noWrap w:val="0"/>
            <w:vAlign w:val="center"/>
          </w:tcPr>
          <w:p>
            <w:pPr>
              <w:pStyle w:val="19"/>
              <w:jc w:val="center"/>
              <w:rPr>
                <w:rFonts w:ascii="Arial" w:hAnsi="Arial" w:cs="Arial"/>
                <w:sz w:val="22"/>
                <w:szCs w:val="22"/>
              </w:rPr>
            </w:pPr>
            <w:r>
              <w:rPr>
                <w:rFonts w:hint="eastAsia" w:ascii="Arial" w:hAnsi="Arial" w:cs="Arial"/>
                <w:sz w:val="22"/>
                <w:szCs w:val="22"/>
              </w:rPr>
              <w:t>招标人发出招标文件澄清时间</w:t>
            </w:r>
          </w:p>
        </w:tc>
        <w:tc>
          <w:tcPr>
            <w:tcW w:w="4548" w:type="dxa"/>
            <w:tcBorders>
              <w:top w:val="single" w:color="000000" w:sz="6" w:space="0"/>
              <w:left w:val="single" w:color="000000" w:sz="6" w:space="0"/>
              <w:bottom w:val="single" w:color="000000" w:sz="6" w:space="0"/>
              <w:right w:val="single" w:color="000000" w:sz="12" w:space="0"/>
            </w:tcBorders>
            <w:noWrap w:val="0"/>
            <w:vAlign w:val="center"/>
          </w:tcPr>
          <w:p>
            <w:pPr>
              <w:pStyle w:val="19"/>
              <w:ind w:firstLine="660"/>
              <w:rPr>
                <w:rFonts w:ascii="Arial" w:hAnsi="Arial" w:cs="Arial"/>
                <w:sz w:val="22"/>
                <w:szCs w:val="22"/>
              </w:rPr>
            </w:pPr>
            <w:r>
              <w:rPr>
                <w:rFonts w:hint="eastAsia" w:ascii="Arial" w:hAnsi="Arial" w:cs="Arial"/>
                <w:sz w:val="22"/>
                <w:szCs w:val="22"/>
                <w:lang w:eastAsia="zh-CN"/>
              </w:rPr>
              <w:t>2021年</w:t>
            </w:r>
            <w:r>
              <w:rPr>
                <w:rFonts w:hint="eastAsia" w:ascii="Arial" w:hAnsi="Arial" w:cs="Arial"/>
                <w:sz w:val="22"/>
                <w:szCs w:val="22"/>
                <w:lang w:val="en-US" w:eastAsia="zh-CN"/>
              </w:rPr>
              <w:t xml:space="preserve">  </w:t>
            </w:r>
            <w:r>
              <w:rPr>
                <w:rFonts w:hint="eastAsia" w:ascii="Arial" w:hAnsi="Arial" w:cs="Arial"/>
                <w:sz w:val="22"/>
                <w:szCs w:val="22"/>
                <w:lang w:eastAsia="zh-CN"/>
              </w:rPr>
              <w:t>月</w:t>
            </w:r>
            <w:r>
              <w:rPr>
                <w:rFonts w:hint="eastAsia" w:ascii="Arial" w:hAnsi="Arial" w:cs="Arial"/>
                <w:sz w:val="22"/>
                <w:szCs w:val="22"/>
                <w:lang w:val="en-US" w:eastAsia="zh-CN"/>
              </w:rPr>
              <w:t xml:space="preserve">  </w:t>
            </w:r>
            <w:r>
              <w:rPr>
                <w:rFonts w:hint="eastAsia" w:ascii="Arial" w:hAnsi="Arial" w:cs="Arial"/>
                <w:sz w:val="22"/>
                <w:szCs w:val="22"/>
                <w:lang w:eastAsia="zh-CN"/>
              </w:rPr>
              <w:t>日</w:t>
            </w:r>
            <w:r>
              <w:rPr>
                <w:rFonts w:hint="eastAsia" w:ascii="Arial" w:hAnsi="Arial" w:cs="Arial"/>
                <w:sz w:val="22"/>
                <w:szCs w:val="22"/>
              </w:rPr>
              <w:t>17时00分</w:t>
            </w:r>
          </w:p>
        </w:tc>
      </w:tr>
      <w:tr>
        <w:tblPrEx>
          <w:tblCellMar>
            <w:top w:w="0" w:type="dxa"/>
            <w:left w:w="0" w:type="dxa"/>
            <w:bottom w:w="0" w:type="dxa"/>
            <w:right w:w="0" w:type="dxa"/>
          </w:tblCellMar>
        </w:tblPrEx>
        <w:trPr>
          <w:trHeight w:val="950" w:hRule="exact"/>
          <w:jc w:val="center"/>
        </w:trPr>
        <w:tc>
          <w:tcPr>
            <w:tcW w:w="4546" w:type="dxa"/>
            <w:tcBorders>
              <w:top w:val="single" w:color="000000" w:sz="6" w:space="0"/>
              <w:left w:val="single" w:color="000000" w:sz="12" w:space="0"/>
              <w:bottom w:val="single" w:color="000000" w:sz="6" w:space="0"/>
              <w:right w:val="single" w:color="000000" w:sz="6" w:space="0"/>
            </w:tcBorders>
            <w:noWrap w:val="0"/>
            <w:vAlign w:val="center"/>
          </w:tcPr>
          <w:p>
            <w:pPr>
              <w:pStyle w:val="19"/>
              <w:jc w:val="center"/>
              <w:rPr>
                <w:rFonts w:ascii="Arial" w:hAnsi="Arial" w:cs="Arial"/>
                <w:sz w:val="22"/>
                <w:szCs w:val="22"/>
              </w:rPr>
            </w:pPr>
            <w:r>
              <w:rPr>
                <w:rFonts w:hint="eastAsia" w:ascii="Arial" w:hAnsi="Arial" w:cs="Arial"/>
                <w:sz w:val="22"/>
                <w:szCs w:val="22"/>
              </w:rPr>
              <w:t>投标截止时间</w:t>
            </w:r>
          </w:p>
        </w:tc>
        <w:tc>
          <w:tcPr>
            <w:tcW w:w="4548" w:type="dxa"/>
            <w:tcBorders>
              <w:top w:val="single" w:color="000000" w:sz="6" w:space="0"/>
              <w:left w:val="single" w:color="000000" w:sz="6" w:space="0"/>
              <w:bottom w:val="single" w:color="000000" w:sz="6" w:space="0"/>
              <w:right w:val="single" w:color="000000" w:sz="12" w:space="0"/>
            </w:tcBorders>
            <w:noWrap w:val="0"/>
            <w:vAlign w:val="center"/>
          </w:tcPr>
          <w:p>
            <w:pPr>
              <w:pStyle w:val="19"/>
              <w:ind w:firstLine="660"/>
              <w:rPr>
                <w:rFonts w:ascii="Arial" w:hAnsi="Arial" w:cs="Arial"/>
                <w:sz w:val="22"/>
                <w:szCs w:val="22"/>
              </w:rPr>
            </w:pPr>
            <w:r>
              <w:rPr>
                <w:rFonts w:hint="eastAsia" w:ascii="Arial" w:hAnsi="Arial" w:cs="Arial"/>
                <w:sz w:val="22"/>
                <w:szCs w:val="22"/>
              </w:rPr>
              <w:t>2021年</w:t>
            </w:r>
            <w:r>
              <w:rPr>
                <w:rFonts w:hint="eastAsia" w:ascii="Arial" w:hAnsi="Arial" w:cs="Arial"/>
                <w:sz w:val="22"/>
                <w:szCs w:val="22"/>
                <w:lang w:val="en-US" w:eastAsia="zh-CN"/>
              </w:rPr>
              <w:t xml:space="preserve">  </w:t>
            </w:r>
            <w:r>
              <w:rPr>
                <w:rFonts w:hint="eastAsia" w:ascii="Arial" w:hAnsi="Arial" w:cs="Arial"/>
                <w:sz w:val="22"/>
                <w:szCs w:val="22"/>
              </w:rPr>
              <w:t>月</w:t>
            </w:r>
            <w:r>
              <w:rPr>
                <w:rFonts w:hint="eastAsia" w:ascii="Arial" w:hAnsi="Arial" w:cs="Arial"/>
                <w:sz w:val="22"/>
                <w:szCs w:val="22"/>
                <w:lang w:val="en-US" w:eastAsia="zh-CN"/>
              </w:rPr>
              <w:t xml:space="preserve">  </w:t>
            </w:r>
            <w:r>
              <w:rPr>
                <w:rFonts w:hint="eastAsia" w:ascii="Arial" w:hAnsi="Arial" w:cs="Arial"/>
                <w:sz w:val="22"/>
                <w:szCs w:val="22"/>
              </w:rPr>
              <w:t>日09时30分</w:t>
            </w:r>
          </w:p>
        </w:tc>
      </w:tr>
      <w:tr>
        <w:tblPrEx>
          <w:tblCellMar>
            <w:top w:w="0" w:type="dxa"/>
            <w:left w:w="0" w:type="dxa"/>
            <w:bottom w:w="0" w:type="dxa"/>
            <w:right w:w="0" w:type="dxa"/>
          </w:tblCellMar>
        </w:tblPrEx>
        <w:trPr>
          <w:trHeight w:val="950" w:hRule="exact"/>
          <w:jc w:val="center"/>
        </w:trPr>
        <w:tc>
          <w:tcPr>
            <w:tcW w:w="4546" w:type="dxa"/>
            <w:tcBorders>
              <w:top w:val="single" w:color="000000" w:sz="6" w:space="0"/>
              <w:left w:val="single" w:color="000000" w:sz="12" w:space="0"/>
              <w:bottom w:val="single" w:color="000000" w:sz="12" w:space="0"/>
              <w:right w:val="single" w:color="000000" w:sz="6" w:space="0"/>
            </w:tcBorders>
            <w:noWrap w:val="0"/>
            <w:vAlign w:val="center"/>
          </w:tcPr>
          <w:p>
            <w:pPr>
              <w:pStyle w:val="19"/>
              <w:jc w:val="center"/>
              <w:rPr>
                <w:rFonts w:ascii="Arial" w:hAnsi="Arial" w:cs="Arial"/>
                <w:sz w:val="22"/>
                <w:szCs w:val="22"/>
              </w:rPr>
            </w:pPr>
            <w:r>
              <w:rPr>
                <w:rFonts w:ascii="Arial" w:hAnsi="Arial" w:cs="Arial"/>
                <w:sz w:val="22"/>
                <w:szCs w:val="22"/>
              </w:rPr>
              <w:t>保证金银行保函办理截止时间</w:t>
            </w:r>
          </w:p>
        </w:tc>
        <w:tc>
          <w:tcPr>
            <w:tcW w:w="4548" w:type="dxa"/>
            <w:tcBorders>
              <w:top w:val="single" w:color="000000" w:sz="6" w:space="0"/>
              <w:left w:val="single" w:color="000000" w:sz="6" w:space="0"/>
              <w:bottom w:val="single" w:color="000000" w:sz="12" w:space="0"/>
              <w:right w:val="single" w:color="000000" w:sz="12" w:space="0"/>
            </w:tcBorders>
            <w:noWrap w:val="0"/>
            <w:vAlign w:val="center"/>
          </w:tcPr>
          <w:p>
            <w:pPr>
              <w:pStyle w:val="19"/>
              <w:ind w:firstLine="660"/>
              <w:rPr>
                <w:rFonts w:ascii="Arial" w:hAnsi="Arial" w:cs="Arial"/>
                <w:sz w:val="22"/>
                <w:szCs w:val="22"/>
              </w:rPr>
            </w:pPr>
            <w:r>
              <w:rPr>
                <w:rFonts w:hint="eastAsia" w:ascii="Arial" w:hAnsi="Arial" w:cs="Arial"/>
                <w:sz w:val="22"/>
                <w:szCs w:val="22"/>
              </w:rPr>
              <w:t>2021年</w:t>
            </w:r>
            <w:r>
              <w:rPr>
                <w:rFonts w:hint="eastAsia" w:ascii="Arial" w:hAnsi="Arial" w:cs="Arial"/>
                <w:sz w:val="22"/>
                <w:szCs w:val="22"/>
                <w:lang w:val="en-US" w:eastAsia="zh-CN"/>
              </w:rPr>
              <w:t xml:space="preserve">  </w:t>
            </w:r>
            <w:r>
              <w:rPr>
                <w:rFonts w:hint="eastAsia" w:ascii="Arial" w:hAnsi="Arial" w:cs="Arial"/>
                <w:sz w:val="22"/>
                <w:szCs w:val="22"/>
              </w:rPr>
              <w:t>月</w:t>
            </w:r>
            <w:r>
              <w:rPr>
                <w:rFonts w:hint="eastAsia" w:ascii="Arial" w:hAnsi="Arial" w:cs="Arial"/>
                <w:sz w:val="22"/>
                <w:szCs w:val="22"/>
                <w:lang w:val="en-US" w:eastAsia="zh-CN"/>
              </w:rPr>
              <w:t xml:space="preserve">  </w:t>
            </w:r>
            <w:r>
              <w:rPr>
                <w:rFonts w:hint="eastAsia" w:ascii="Arial" w:hAnsi="Arial" w:cs="Arial"/>
                <w:sz w:val="22"/>
                <w:szCs w:val="22"/>
              </w:rPr>
              <w:t>日17时00分</w:t>
            </w:r>
          </w:p>
        </w:tc>
      </w:tr>
    </w:tbl>
    <w:p>
      <w:pPr>
        <w:spacing w:line="500" w:lineRule="exact"/>
        <w:jc w:val="center"/>
        <w:rPr>
          <w:rFonts w:hint="eastAsia" w:ascii="黑体" w:eastAsia="黑体"/>
          <w:color w:val="000000"/>
          <w:sz w:val="36"/>
          <w:szCs w:val="36"/>
        </w:rPr>
      </w:pPr>
      <w:r>
        <w:rPr>
          <w:rFonts w:hint="eastAsia" w:ascii="黑体" w:eastAsia="黑体"/>
          <w:color w:val="000000"/>
          <w:sz w:val="36"/>
          <w:szCs w:val="36"/>
        </w:rPr>
        <w:br w:type="page"/>
      </w:r>
      <w:r>
        <w:rPr>
          <w:rFonts w:hint="eastAsia" w:ascii="黑体" w:eastAsia="黑体"/>
          <w:color w:val="000000"/>
          <w:sz w:val="36"/>
          <w:szCs w:val="36"/>
        </w:rPr>
        <w:t>目     录</w:t>
      </w:r>
      <w:bookmarkEnd w:id="0"/>
      <w:bookmarkEnd w:id="1"/>
    </w:p>
    <w:p>
      <w:pPr>
        <w:ind w:firstLine="526" w:firstLineChars="188"/>
        <w:rPr>
          <w:rFonts w:hint="eastAsia" w:ascii="宋体" w:hAnsi="宋体"/>
          <w:sz w:val="28"/>
          <w:szCs w:val="28"/>
        </w:rPr>
      </w:pPr>
    </w:p>
    <w:p>
      <w:pPr>
        <w:ind w:firstLine="526" w:firstLineChars="188"/>
        <w:rPr>
          <w:rFonts w:hint="eastAsia" w:ascii="宋体" w:hAnsi="宋体"/>
          <w:sz w:val="28"/>
          <w:szCs w:val="28"/>
        </w:rPr>
      </w:pPr>
    </w:p>
    <w:p>
      <w:pPr>
        <w:ind w:firstLine="526" w:firstLineChars="188"/>
        <w:rPr>
          <w:rFonts w:hint="eastAsia" w:ascii="宋体" w:hAnsi="宋体"/>
          <w:sz w:val="28"/>
          <w:szCs w:val="28"/>
        </w:rPr>
      </w:pPr>
      <w:r>
        <w:rPr>
          <w:rFonts w:hint="eastAsia" w:ascii="宋体" w:hAnsi="宋体"/>
          <w:sz w:val="28"/>
          <w:szCs w:val="28"/>
        </w:rPr>
        <w:t>第一章 招标公告</w:t>
      </w:r>
    </w:p>
    <w:p>
      <w:pPr>
        <w:ind w:firstLine="526" w:firstLineChars="188"/>
        <w:rPr>
          <w:rFonts w:hint="eastAsia" w:ascii="宋体" w:hAnsi="宋体" w:cs="MingLiU"/>
          <w:kern w:val="0"/>
          <w:sz w:val="28"/>
          <w:szCs w:val="28"/>
        </w:rPr>
      </w:pPr>
      <w:r>
        <w:rPr>
          <w:rFonts w:hint="eastAsia" w:ascii="宋体" w:hAnsi="宋体" w:cs="MingLiU"/>
          <w:kern w:val="0"/>
          <w:sz w:val="28"/>
          <w:szCs w:val="28"/>
        </w:rPr>
        <w:t>第二章 投标人须知</w:t>
      </w:r>
    </w:p>
    <w:p>
      <w:pPr>
        <w:ind w:firstLine="526" w:firstLineChars="188"/>
        <w:rPr>
          <w:rFonts w:hint="eastAsia" w:ascii="宋体" w:hAnsi="宋体" w:cs="MingLiU"/>
          <w:kern w:val="0"/>
          <w:sz w:val="28"/>
          <w:szCs w:val="28"/>
        </w:rPr>
      </w:pPr>
      <w:r>
        <w:rPr>
          <w:rFonts w:hint="eastAsia" w:ascii="宋体" w:hAnsi="宋体" w:cs="MingLiU"/>
          <w:kern w:val="0"/>
          <w:sz w:val="28"/>
          <w:szCs w:val="28"/>
        </w:rPr>
        <w:t>第三章 评标办法</w:t>
      </w:r>
    </w:p>
    <w:p>
      <w:pPr>
        <w:ind w:firstLine="526" w:firstLineChars="188"/>
        <w:rPr>
          <w:rFonts w:hint="eastAsia" w:ascii="宋体" w:hAnsi="宋体" w:cs="MingLiU"/>
          <w:kern w:val="0"/>
          <w:sz w:val="28"/>
          <w:szCs w:val="28"/>
        </w:rPr>
      </w:pPr>
      <w:r>
        <w:rPr>
          <w:rFonts w:hint="eastAsia" w:ascii="宋体" w:hAnsi="宋体" w:cs="MingLiU"/>
          <w:kern w:val="0"/>
          <w:sz w:val="28"/>
          <w:szCs w:val="28"/>
        </w:rPr>
        <w:t>第四章 合同条件及格式</w:t>
      </w:r>
    </w:p>
    <w:p>
      <w:pPr>
        <w:ind w:firstLine="526" w:firstLineChars="188"/>
        <w:rPr>
          <w:rFonts w:hint="eastAsia" w:ascii="宋体" w:hAnsi="宋体" w:cs="MingLiU"/>
          <w:kern w:val="0"/>
          <w:sz w:val="28"/>
          <w:szCs w:val="28"/>
        </w:rPr>
      </w:pPr>
      <w:r>
        <w:rPr>
          <w:rFonts w:hint="eastAsia" w:ascii="宋体" w:hAnsi="宋体" w:cs="MingLiU"/>
          <w:kern w:val="0"/>
          <w:sz w:val="28"/>
          <w:szCs w:val="28"/>
        </w:rPr>
        <w:t>第五章 工程监理与相关服务规范和设计文件</w:t>
      </w:r>
    </w:p>
    <w:p>
      <w:pPr>
        <w:ind w:firstLine="526" w:firstLineChars="188"/>
        <w:rPr>
          <w:rStyle w:val="18"/>
          <w:rFonts w:hint="eastAsia" w:ascii="宋体" w:hAnsi="宋体"/>
          <w:color w:val="auto"/>
          <w:sz w:val="28"/>
          <w:szCs w:val="28"/>
          <w:u w:val="none"/>
        </w:rPr>
      </w:pPr>
      <w:r>
        <w:rPr>
          <w:rFonts w:hint="eastAsia" w:ascii="宋体" w:hAnsi="宋体" w:cs="MingLiU"/>
          <w:kern w:val="0"/>
          <w:sz w:val="28"/>
          <w:szCs w:val="28"/>
        </w:rPr>
        <w:t>第六章 投标文件格式</w:t>
      </w: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TOC \o "1-3" \h \z \u</w:instrText>
      </w:r>
      <w:r>
        <w:rPr>
          <w:rFonts w:ascii="宋体" w:hAnsi="宋体"/>
          <w:sz w:val="28"/>
          <w:szCs w:val="28"/>
        </w:rPr>
        <w:instrText xml:space="preserve"> </w:instrText>
      </w:r>
      <w:r>
        <w:rPr>
          <w:rFonts w:ascii="宋体" w:hAnsi="宋体"/>
          <w:sz w:val="28"/>
          <w:szCs w:val="28"/>
        </w:rPr>
        <w:fldChar w:fldCharType="separate"/>
      </w:r>
    </w:p>
    <w:p>
      <w:pPr>
        <w:spacing w:line="480" w:lineRule="auto"/>
        <w:jc w:val="center"/>
        <w:rPr>
          <w:sz w:val="36"/>
          <w:szCs w:val="36"/>
          <w:highlight w:val="yellow"/>
        </w:rPr>
      </w:pPr>
      <w:r>
        <w:rPr>
          <w:rFonts w:ascii="宋体" w:hAnsi="宋体"/>
          <w:sz w:val="28"/>
          <w:szCs w:val="28"/>
        </w:rPr>
        <w:fldChar w:fldCharType="end"/>
      </w:r>
      <w:bookmarkStart w:id="2" w:name="_Toc152042302"/>
      <w:bookmarkStart w:id="3" w:name="_Toc361338233"/>
      <w:bookmarkStart w:id="4" w:name="_Toc184635068"/>
      <w:bookmarkStart w:id="5" w:name="_Toc179632543"/>
      <w:bookmarkStart w:id="6" w:name="_Toc144974494"/>
      <w:bookmarkStart w:id="7" w:name="_Toc152045526"/>
      <w:r>
        <w:rPr>
          <w:rFonts w:ascii="宋体" w:hAnsi="宋体"/>
        </w:rPr>
        <w:br w:type="page"/>
      </w:r>
      <w:bookmarkStart w:id="8" w:name="_Toc343091191"/>
      <w:bookmarkStart w:id="9" w:name="_Toc305781302"/>
      <w:bookmarkStart w:id="10" w:name="_Toc276608388"/>
      <w:r>
        <w:rPr>
          <w:rFonts w:hint="eastAsia"/>
          <w:sz w:val="36"/>
          <w:szCs w:val="36"/>
          <w:highlight w:val="white"/>
        </w:rPr>
        <w:t xml:space="preserve">第一章 </w:t>
      </w:r>
      <w:r>
        <w:rPr>
          <w:sz w:val="36"/>
          <w:szCs w:val="36"/>
          <w:highlight w:val="white"/>
        </w:rPr>
        <w:t>招标公告</w:t>
      </w:r>
    </w:p>
    <w:bookmarkEnd w:id="2"/>
    <w:bookmarkEnd w:id="3"/>
    <w:bookmarkEnd w:id="4"/>
    <w:bookmarkEnd w:id="5"/>
    <w:bookmarkEnd w:id="6"/>
    <w:bookmarkEnd w:id="7"/>
    <w:bookmarkEnd w:id="8"/>
    <w:bookmarkEnd w:id="9"/>
    <w:bookmarkEnd w:id="10"/>
    <w:p>
      <w:pPr>
        <w:spacing w:line="440" w:lineRule="exact"/>
        <w:ind w:firstLine="2640" w:firstLineChars="1200"/>
        <w:jc w:val="both"/>
        <w:rPr>
          <w:rFonts w:hint="default" w:eastAsia="宋体"/>
          <w:color w:val="000000"/>
          <w:sz w:val="22"/>
          <w:szCs w:val="28"/>
          <w:lang w:val="en-US" w:eastAsia="zh-CN"/>
        </w:rPr>
      </w:pPr>
      <w:bookmarkStart w:id="11" w:name="_Toc361338234"/>
      <w:bookmarkStart w:id="12" w:name="_Toc152045527"/>
      <w:bookmarkStart w:id="13" w:name="_Toc152042303"/>
      <w:bookmarkStart w:id="14" w:name="_Toc144974495"/>
      <w:r>
        <w:rPr>
          <w:rFonts w:hint="eastAsia"/>
          <w:color w:val="000000"/>
          <w:sz w:val="22"/>
          <w:szCs w:val="28"/>
        </w:rPr>
        <w:t>招标编号：</w:t>
      </w:r>
      <w:r>
        <w:rPr>
          <w:rFonts w:hint="eastAsia"/>
          <w:color w:val="000000"/>
          <w:sz w:val="22"/>
          <w:szCs w:val="28"/>
          <w:lang w:val="en-US" w:eastAsia="zh-CN"/>
        </w:rPr>
        <w:t xml:space="preserve">             </w:t>
      </w:r>
    </w:p>
    <w:p>
      <w:pPr>
        <w:pStyle w:val="20"/>
        <w:keepNext w:val="0"/>
        <w:keepLines w:val="0"/>
        <w:pageBreakBefore w:val="0"/>
        <w:widowControl w:val="0"/>
        <w:kinsoku/>
        <w:wordWrap/>
        <w:overflowPunct/>
        <w:topLinePunct w:val="0"/>
        <w:autoSpaceDE/>
        <w:autoSpaceDN/>
        <w:bidi w:val="0"/>
        <w:adjustRightInd/>
        <w:snapToGrid/>
        <w:spacing w:before="0" w:line="360" w:lineRule="auto"/>
        <w:ind w:firstLine="318"/>
        <w:textAlignment w:val="auto"/>
        <w:rPr>
          <w:color w:val="000000"/>
          <w:highlight w:val="white"/>
        </w:rPr>
      </w:pPr>
      <w:r>
        <w:rPr>
          <w:color w:val="000000"/>
          <w:highlight w:val="white"/>
        </w:rPr>
        <w:t>1. 招标条件</w:t>
      </w:r>
    </w:p>
    <w:p>
      <w:pPr>
        <w:keepNext w:val="0"/>
        <w:keepLines w:val="0"/>
        <w:pageBreakBefore w:val="0"/>
        <w:widowControl w:val="0"/>
        <w:kinsoku/>
        <w:wordWrap/>
        <w:overflowPunct/>
        <w:topLinePunct w:val="0"/>
        <w:autoSpaceDE/>
        <w:autoSpaceDN/>
        <w:bidi w:val="0"/>
        <w:adjustRightInd/>
        <w:snapToGrid/>
        <w:spacing w:line="360" w:lineRule="auto"/>
        <w:ind w:firstLine="420"/>
        <w:jc w:val="left"/>
        <w:textAlignment w:val="auto"/>
        <w:rPr>
          <w:rFonts w:hAnsi="宋体" w:cs="宋体"/>
          <w:color w:val="auto"/>
          <w:spacing w:val="-2"/>
          <w:szCs w:val="21"/>
        </w:rPr>
      </w:pPr>
      <w:r>
        <w:rPr>
          <w:rFonts w:hint="eastAsia" w:ascii="宋体" w:hAnsi="宋体"/>
          <w:color w:val="auto"/>
          <w:spacing w:val="10"/>
          <w:szCs w:val="21"/>
          <w:lang w:eastAsia="zh-CN"/>
        </w:rPr>
        <w:t xml:space="preserve"> </w:t>
      </w:r>
      <w:r>
        <w:rPr>
          <w:rFonts w:ascii="微软简标宋" w:hAnsi="微软简标宋" w:cs="宋体"/>
          <w:kern w:val="1"/>
          <w:szCs w:val="21"/>
        </w:rPr>
        <w:t>本招标项目</w:t>
      </w:r>
      <w:r>
        <w:rPr>
          <w:rFonts w:hint="eastAsia" w:ascii="微软简标宋" w:hAnsi="微软简标宋" w:cs="宋体"/>
          <w:kern w:val="1"/>
          <w:szCs w:val="21"/>
          <w:lang w:eastAsia="zh-CN"/>
        </w:rPr>
        <w:t>县城新区南扩区渡龙安置小区建设工程项目监理</w:t>
      </w:r>
      <w:r>
        <w:rPr>
          <w:rFonts w:ascii="微软简标宋" w:hAnsi="微软简标宋" w:cs="宋体"/>
          <w:kern w:val="1"/>
          <w:szCs w:val="21"/>
        </w:rPr>
        <w:t>已由</w:t>
      </w:r>
      <w:r>
        <w:rPr>
          <w:rFonts w:hint="eastAsia" w:ascii="微软简标宋" w:hAnsi="微软简标宋" w:cs="宋体"/>
          <w:kern w:val="1"/>
          <w:u w:val="single"/>
        </w:rPr>
        <w:t>苍南县发展和改革局</w:t>
      </w:r>
      <w:r>
        <w:rPr>
          <w:rFonts w:ascii="微软简标宋" w:hAnsi="微软简标宋" w:cs="宋体"/>
          <w:kern w:val="1"/>
          <w:szCs w:val="21"/>
        </w:rPr>
        <w:t>以</w:t>
      </w:r>
      <w:r>
        <w:rPr>
          <w:rFonts w:hint="eastAsia" w:ascii="微软简标宋" w:hAnsi="微软简标宋" w:cs="宋体"/>
          <w:kern w:val="1"/>
          <w:u w:val="single"/>
        </w:rPr>
        <w:t>苍发改投〔</w:t>
      </w:r>
      <w:r>
        <w:rPr>
          <w:rFonts w:ascii="微软简标宋" w:hAnsi="微软简标宋" w:cs="宋体"/>
          <w:kern w:val="1"/>
          <w:u w:val="single"/>
        </w:rPr>
        <w:t>20</w:t>
      </w:r>
      <w:r>
        <w:rPr>
          <w:rFonts w:hint="eastAsia" w:ascii="微软简标宋" w:hAnsi="微软简标宋" w:cs="宋体"/>
          <w:kern w:val="1"/>
          <w:u w:val="single"/>
        </w:rPr>
        <w:t>20〕</w:t>
      </w:r>
      <w:r>
        <w:rPr>
          <w:rFonts w:hint="eastAsia" w:ascii="微软简标宋" w:hAnsi="微软简标宋" w:cs="宋体"/>
          <w:kern w:val="1"/>
          <w:u w:val="single"/>
          <w:lang w:val="en-US" w:eastAsia="zh-CN"/>
        </w:rPr>
        <w:t>84</w:t>
      </w:r>
      <w:r>
        <w:rPr>
          <w:rFonts w:hint="eastAsia" w:ascii="微软简标宋" w:hAnsi="微软简标宋" w:cs="宋体"/>
          <w:kern w:val="1"/>
          <w:u w:val="single"/>
        </w:rPr>
        <w:t>号</w:t>
      </w:r>
      <w:r>
        <w:rPr>
          <w:rFonts w:ascii="微软简标宋" w:hAnsi="微软简标宋" w:cs="宋体"/>
          <w:kern w:val="1"/>
          <w:szCs w:val="21"/>
        </w:rPr>
        <w:t>批准建设，项目业主为</w:t>
      </w:r>
      <w:r>
        <w:rPr>
          <w:rFonts w:hint="eastAsia" w:ascii="微软简标宋" w:hAnsi="微软简标宋" w:cs="宋体"/>
          <w:kern w:val="1"/>
          <w:u w:val="single"/>
          <w:lang w:eastAsia="zh-CN"/>
        </w:rPr>
        <w:t>苍南县城市建设投资有限公司</w:t>
      </w:r>
      <w:r>
        <w:rPr>
          <w:rFonts w:ascii="微软简标宋" w:hAnsi="微软简标宋" w:cs="宋体"/>
          <w:kern w:val="1"/>
          <w:szCs w:val="21"/>
        </w:rPr>
        <w:t>，建设资金来自</w:t>
      </w:r>
      <w:r>
        <w:rPr>
          <w:rFonts w:hint="eastAsia" w:ascii="微软简标宋" w:hAnsi="微软简标宋" w:cs="宋体"/>
          <w:kern w:val="1"/>
          <w:u w:val="single"/>
        </w:rPr>
        <w:t>自筹</w:t>
      </w:r>
      <w:r>
        <w:rPr>
          <w:rFonts w:ascii="微软简标宋" w:hAnsi="微软简标宋" w:cs="宋体"/>
          <w:kern w:val="1"/>
          <w:szCs w:val="21"/>
        </w:rPr>
        <w:t>，项目出资比例为</w:t>
      </w:r>
      <w:r>
        <w:rPr>
          <w:rFonts w:hint="eastAsia" w:ascii="微软简标宋" w:hAnsi="微软简标宋" w:cs="宋体"/>
          <w:kern w:val="1"/>
          <w:u w:val="single"/>
        </w:rPr>
        <w:t>国有投资100%</w:t>
      </w:r>
      <w:r>
        <w:rPr>
          <w:rFonts w:ascii="微软简标宋" w:hAnsi="微软简标宋" w:cs="宋体"/>
          <w:kern w:val="1"/>
          <w:szCs w:val="21"/>
        </w:rPr>
        <w:t>，招标人为</w:t>
      </w:r>
      <w:r>
        <w:rPr>
          <w:rFonts w:hint="eastAsia" w:ascii="微软简标宋" w:hAnsi="微软简标宋" w:cs="宋体"/>
          <w:kern w:val="1"/>
          <w:u w:val="single"/>
          <w:lang w:eastAsia="zh-CN"/>
        </w:rPr>
        <w:t>苍南县城市建设投资有限公司</w:t>
      </w:r>
      <w:r>
        <w:rPr>
          <w:rFonts w:ascii="微软简标宋" w:hAnsi="微软简标宋" w:cs="宋体"/>
          <w:kern w:val="1"/>
          <w:szCs w:val="21"/>
        </w:rPr>
        <w:t>。</w:t>
      </w:r>
      <w:r>
        <w:rPr>
          <w:rFonts w:ascii="Arial" w:hAnsi="Arial" w:cs="Arial"/>
          <w:kern w:val="1"/>
          <w:szCs w:val="21"/>
        </w:rPr>
        <w:t>项目已具备招标条件，现对该项目的</w:t>
      </w:r>
      <w:r>
        <w:rPr>
          <w:rFonts w:hint="eastAsia" w:ascii="Arial Unicode MS" w:hAnsi="Arial Unicode MS" w:cs="Arial"/>
          <w:kern w:val="1"/>
          <w:szCs w:val="21"/>
          <w:u w:val="single"/>
        </w:rPr>
        <w:t>监理</w:t>
      </w:r>
      <w:r>
        <w:rPr>
          <w:rFonts w:ascii="Arial" w:hAnsi="Arial" w:cs="Arial"/>
          <w:kern w:val="1"/>
          <w:szCs w:val="21"/>
        </w:rPr>
        <w:t>进行</w:t>
      </w:r>
      <w:r>
        <w:rPr>
          <w:rFonts w:ascii="Arial" w:hAnsi="Arial" w:cs="Arial"/>
          <w:b/>
          <w:bCs/>
          <w:kern w:val="1"/>
          <w:szCs w:val="21"/>
        </w:rPr>
        <w:t>公开招标</w:t>
      </w:r>
      <w:r>
        <w:rPr>
          <w:rFonts w:ascii="Arial" w:hAnsi="Arial" w:cs="Arial"/>
          <w:kern w:val="1"/>
          <w:szCs w:val="21"/>
        </w:rPr>
        <w:t>。</w:t>
      </w:r>
    </w:p>
    <w:p>
      <w:pPr>
        <w:pStyle w:val="20"/>
        <w:keepNext w:val="0"/>
        <w:keepLines w:val="0"/>
        <w:pageBreakBefore w:val="0"/>
        <w:widowControl w:val="0"/>
        <w:kinsoku/>
        <w:wordWrap/>
        <w:overflowPunct/>
        <w:topLinePunct w:val="0"/>
        <w:autoSpaceDE/>
        <w:autoSpaceDN/>
        <w:bidi w:val="0"/>
        <w:adjustRightInd/>
        <w:snapToGrid/>
        <w:spacing w:before="0" w:line="360" w:lineRule="auto"/>
        <w:ind w:firstLine="318"/>
        <w:textAlignment w:val="auto"/>
        <w:rPr>
          <w:color w:val="auto"/>
          <w:highlight w:val="white"/>
        </w:rPr>
      </w:pPr>
      <w:r>
        <w:rPr>
          <w:color w:val="auto"/>
          <w:highlight w:val="white"/>
        </w:rPr>
        <w:t>2. 项目概况与招标范围</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2.1工程概况</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default"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本次招标项目总用地面积 33535 平方米，建设拆迁安置户住宅及物业、社区、居家养老、供配电、弱电机房、门卫用房等总建筑面积 112945 平方米（含地下室等不计容面积 29110 平方米）。建设地址位于苍南县新区龙渡路以东、望江路以南、站前大道以西、 规划道路以北。项目估算总投资约 6.8 亿元，本次投资约3.9亿元，其中建安造价约3.6亿元。</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2.2招标范围：本工程施工总承包建设内容及管理的监理工作,具体包括施工及缺陷责任期内的保修等全过程监理。</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监理服务期限：本次监理服务期为本工程的施工工期至所有工程综合验收合格并资料移交备案且办理竣工结算审核完毕至质量缺陷责任期结束为止。</w:t>
      </w:r>
    </w:p>
    <w:p>
      <w:pPr>
        <w:pStyle w:val="20"/>
        <w:keepNext w:val="0"/>
        <w:keepLines w:val="0"/>
        <w:spacing w:before="0" w:line="570" w:lineRule="exact"/>
        <w:ind w:firstLine="318"/>
        <w:rPr>
          <w:color w:val="auto"/>
          <w:highlight w:val="white"/>
        </w:rPr>
      </w:pPr>
      <w:r>
        <w:rPr>
          <w:color w:val="auto"/>
          <w:highlight w:val="white"/>
        </w:rPr>
        <w:t>3. 投标人资格要求</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3.1 具有监理综合资质或同时具有房屋建筑工程监理专业资质乙级资质和人防工程建设监理资质丙级及以上资质，且具有独立法人资格的监理企业。</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3.2 拟派项目总监必须具备建设部（中华人民共和国城乡和住房部）颁发的中华人民共和国注册监理工程师注册执业证书，且其注册专业为房屋建筑工程专业，</w:t>
      </w:r>
      <w:r>
        <w:rPr>
          <w:rFonts w:hint="eastAsia" w:ascii="Arial" w:hAnsi="Arial" w:cs="Arial"/>
          <w:color w:val="auto"/>
          <w:kern w:val="1"/>
          <w:sz w:val="21"/>
          <w:szCs w:val="18"/>
          <w:lang w:val="en-US" w:eastAsia="zh-CN"/>
        </w:rPr>
        <w:t>注册执业单位必须为投标人本单位，且无在建工程</w:t>
      </w:r>
      <w:r>
        <w:rPr>
          <w:rFonts w:hint="eastAsia" w:ascii="Arial" w:hAnsi="Arial" w:eastAsia="宋体" w:cs="Arial"/>
          <w:color w:val="auto"/>
          <w:kern w:val="1"/>
          <w:sz w:val="21"/>
          <w:szCs w:val="18"/>
          <w:lang w:val="en-US" w:eastAsia="zh-CN"/>
        </w:rPr>
        <w:t>(包括施工、咨询、监理等工程）。</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default"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3.3  本次招标 不接受 联合体投标。</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3.4 其他要求：①在投标截止时间前，投标人未被人民法院列入限制失信被执行人投标资格名单；投标人须已录入浙江省建筑市场监管与诚信信息平台。②在投标截止时间前，省外监理企业须具备有效期内的《省外企业进浙承接业务备案证书》。</w:t>
      </w:r>
    </w:p>
    <w:p>
      <w:pPr>
        <w:pStyle w:val="20"/>
        <w:keepNext w:val="0"/>
        <w:keepLines w:val="0"/>
        <w:spacing w:before="0" w:line="570" w:lineRule="exact"/>
        <w:ind w:firstLine="318"/>
        <w:rPr>
          <w:color w:val="auto"/>
          <w:highlight w:val="white"/>
        </w:rPr>
      </w:pPr>
      <w:r>
        <w:rPr>
          <w:color w:val="auto"/>
          <w:highlight w:val="white"/>
        </w:rPr>
        <w:t>4. 招标文件的获取</w:t>
      </w:r>
    </w:p>
    <w:p>
      <w:pPr>
        <w:snapToGrid w:val="0"/>
        <w:spacing w:line="340" w:lineRule="exact"/>
        <w:ind w:firstLine="359" w:firstLineChars="171"/>
        <w:rPr>
          <w:rFonts w:ascii="宋体" w:hAnsi="宋体" w:cs="Arial"/>
          <w:color w:val="auto"/>
          <w:szCs w:val="21"/>
        </w:rPr>
      </w:pPr>
      <w:r>
        <w:rPr>
          <w:rFonts w:hint="eastAsia" w:ascii="宋体" w:hAnsi="宋体" w:cs="Arial"/>
          <w:color w:val="auto"/>
          <w:szCs w:val="21"/>
        </w:rPr>
        <w:t>4.1 凡有意参加本项目投标者，请予本公告发布之日起至本项目投标截止时间前直接在苍南县公共资源交易网下载招标文件（包括图纸资料等）；招标答疑在网站招标提问区匿名咨询。</w:t>
      </w:r>
    </w:p>
    <w:p>
      <w:pPr>
        <w:pStyle w:val="20"/>
        <w:keepNext w:val="0"/>
        <w:keepLines w:val="0"/>
        <w:spacing w:before="0" w:line="570" w:lineRule="exact"/>
        <w:ind w:firstLine="318"/>
        <w:rPr>
          <w:color w:val="auto"/>
          <w:highlight w:val="white"/>
        </w:rPr>
      </w:pPr>
      <w:r>
        <w:rPr>
          <w:color w:val="auto"/>
          <w:highlight w:val="white"/>
        </w:rPr>
        <w:t>5. 投标文件的递交</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5.1投标文件递交的截止时间（投标截止时间，下同）为2021年</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月</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日9：30，地点为苍南县灵溪镇春晖路公投大厦--苍南县公共资源交易中心一楼开标室1。</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5.2逾期送达的或者未送达指定地点的投标文件，招标人不予受理。</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 xml:space="preserve">5.3 提问时间：2021年 </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月</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日至2021年</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月</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日。</w:t>
      </w:r>
    </w:p>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eastAsia"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 xml:space="preserve">5.4 答疑时间：2021年 </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月</w:t>
      </w:r>
      <w:r>
        <w:rPr>
          <w:rFonts w:hint="eastAsia" w:ascii="Arial" w:hAnsi="Arial" w:cs="Arial"/>
          <w:color w:val="auto"/>
          <w:kern w:val="1"/>
          <w:sz w:val="21"/>
          <w:szCs w:val="18"/>
          <w:lang w:val="en-US" w:eastAsia="zh-CN"/>
        </w:rPr>
        <w:t xml:space="preserve">  </w:t>
      </w:r>
      <w:r>
        <w:rPr>
          <w:rFonts w:hint="eastAsia" w:ascii="Arial" w:hAnsi="Arial" w:eastAsia="宋体" w:cs="Arial"/>
          <w:color w:val="auto"/>
          <w:kern w:val="1"/>
          <w:sz w:val="21"/>
          <w:szCs w:val="18"/>
          <w:lang w:val="en-US" w:eastAsia="zh-CN"/>
        </w:rPr>
        <w:t xml:space="preserve"> 日。</w:t>
      </w:r>
    </w:p>
    <w:p>
      <w:pPr>
        <w:pStyle w:val="20"/>
        <w:keepNext w:val="0"/>
        <w:keepLines w:val="0"/>
        <w:spacing w:before="0" w:line="570" w:lineRule="exact"/>
        <w:ind w:firstLine="318"/>
        <w:rPr>
          <w:b w:val="0"/>
          <w:bCs w:val="0"/>
          <w:color w:val="auto"/>
          <w:highlight w:val="white"/>
        </w:rPr>
      </w:pPr>
      <w:r>
        <w:rPr>
          <w:rFonts w:hint="eastAsia"/>
          <w:b w:val="0"/>
          <w:bCs w:val="0"/>
          <w:color w:val="auto"/>
          <w:highlight w:val="white"/>
        </w:rPr>
        <w:t>6. 发布公告的媒介</w:t>
      </w:r>
    </w:p>
    <w:p>
      <w:pPr>
        <w:spacing w:line="340" w:lineRule="exact"/>
        <w:ind w:firstLine="627" w:firstLineChars="299"/>
        <w:rPr>
          <w:rFonts w:ascii="宋体" w:hAnsi="宋体" w:cs="Arial"/>
          <w:color w:val="auto"/>
          <w:szCs w:val="21"/>
          <w:highlight w:val="white"/>
        </w:rPr>
      </w:pPr>
      <w:r>
        <w:rPr>
          <w:rFonts w:hint="eastAsia" w:ascii="宋体" w:hAnsi="宋体" w:cs="Arial"/>
          <w:color w:val="auto"/>
          <w:szCs w:val="21"/>
          <w:highlight w:val="white"/>
        </w:rPr>
        <w:t>本次招标公告在苍南县公共资源交易网上发布。</w:t>
      </w:r>
    </w:p>
    <w:p>
      <w:pPr>
        <w:pStyle w:val="20"/>
        <w:keepNext w:val="0"/>
        <w:keepLines w:val="0"/>
        <w:spacing w:before="0" w:line="570" w:lineRule="exact"/>
        <w:ind w:firstLine="318"/>
        <w:rPr>
          <w:color w:val="auto"/>
          <w:highlight w:val="white"/>
        </w:rPr>
      </w:pPr>
      <w:r>
        <w:rPr>
          <w:rFonts w:hint="eastAsia"/>
          <w:color w:val="auto"/>
          <w:highlight w:val="white"/>
        </w:rPr>
        <w:t xml:space="preserve">7. 其他说明   </w:t>
      </w:r>
    </w:p>
    <w:p>
      <w:pPr>
        <w:pStyle w:val="21"/>
        <w:tabs>
          <w:tab w:val="left" w:pos="946"/>
        </w:tabs>
        <w:autoSpaceDE w:val="0"/>
        <w:autoSpaceDN w:val="0"/>
        <w:spacing w:line="440" w:lineRule="exact"/>
        <w:ind w:right="368" w:rightChars="175"/>
        <w:jc w:val="left"/>
        <w:rPr>
          <w:rFonts w:ascii="宋体" w:hAnsi="宋体" w:eastAsia="宋体"/>
          <w:color w:val="auto"/>
          <w:szCs w:val="21"/>
        </w:rPr>
      </w:pPr>
      <w:r>
        <w:rPr>
          <w:rFonts w:ascii="宋体" w:hAnsi="宋体" w:eastAsia="宋体"/>
          <w:color w:val="auto"/>
          <w:szCs w:val="21"/>
        </w:rPr>
        <w:t>7.1</w:t>
      </w:r>
      <w:r>
        <w:rPr>
          <w:rFonts w:hint="eastAsia" w:ascii="宋体" w:hAnsi="宋体" w:eastAsia="宋体"/>
          <w:color w:val="auto"/>
          <w:szCs w:val="21"/>
        </w:rPr>
        <w:t>此项目采用电子招标投标，请登录苍南县公共资源网上交易系统填写投标信息并确认投标状态。</w:t>
      </w:r>
    </w:p>
    <w:p>
      <w:pPr>
        <w:pStyle w:val="20"/>
        <w:keepNext w:val="0"/>
        <w:keepLines w:val="0"/>
        <w:spacing w:before="0" w:line="570" w:lineRule="exact"/>
        <w:ind w:firstLine="318"/>
        <w:rPr>
          <w:rFonts w:hint="eastAsia"/>
          <w:b w:val="0"/>
          <w:bCs w:val="0"/>
          <w:color w:val="auto"/>
          <w:highlight w:val="white"/>
        </w:rPr>
      </w:pPr>
      <w:r>
        <w:rPr>
          <w:rFonts w:hint="eastAsia"/>
          <w:b w:val="0"/>
          <w:bCs w:val="0"/>
          <w:color w:val="auto"/>
          <w:highlight w:val="white"/>
        </w:rPr>
        <w:t>8. 联系方式</w:t>
      </w:r>
    </w:p>
    <w:p>
      <w:pPr>
        <w:pStyle w:val="21"/>
        <w:tabs>
          <w:tab w:val="left" w:pos="946"/>
        </w:tabs>
        <w:autoSpaceDE w:val="0"/>
        <w:autoSpaceDN w:val="0"/>
        <w:spacing w:line="440" w:lineRule="exact"/>
        <w:ind w:right="368" w:rightChars="175"/>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招标人：</w:t>
      </w:r>
      <w:r>
        <w:rPr>
          <w:rFonts w:hint="eastAsia" w:ascii="宋体" w:hAnsi="宋体" w:eastAsia="宋体" w:cs="Times New Roman"/>
          <w:color w:val="auto"/>
          <w:szCs w:val="21"/>
          <w:lang w:eastAsia="zh-CN"/>
        </w:rPr>
        <w:t>苍南县城市建设投资有限公司</w:t>
      </w:r>
      <w:r>
        <w:rPr>
          <w:rFonts w:hint="eastAsia" w:ascii="宋体" w:hAnsi="宋体" w:eastAsia="宋体" w:cs="Times New Roman"/>
          <w:color w:val="auto"/>
          <w:szCs w:val="21"/>
        </w:rPr>
        <w:t xml:space="preserve">     招标代理机</w:t>
      </w:r>
      <w:r>
        <w:rPr>
          <w:rFonts w:hint="eastAsia" w:ascii="宋体" w:hAnsi="宋体" w:eastAsia="宋体" w:cs="Times New Roman"/>
          <w:color w:val="auto"/>
          <w:szCs w:val="21"/>
          <w:lang w:eastAsia="zh-CN"/>
        </w:rPr>
        <w:t>构：欧邦工程管理集团有限公司</w:t>
      </w:r>
    </w:p>
    <w:p>
      <w:pPr>
        <w:pStyle w:val="21"/>
        <w:tabs>
          <w:tab w:val="left" w:pos="946"/>
        </w:tabs>
        <w:autoSpaceDE w:val="0"/>
        <w:autoSpaceDN w:val="0"/>
        <w:spacing w:line="440" w:lineRule="exact"/>
        <w:ind w:right="368" w:rightChars="175"/>
        <w:jc w:val="left"/>
        <w:rPr>
          <w:rFonts w:hint="eastAsia" w:ascii="宋体" w:hAnsi="宋体" w:eastAsia="宋体" w:cs="Times New Roman"/>
          <w:color w:val="auto"/>
          <w:szCs w:val="21"/>
          <w:lang w:eastAsia="zh-CN"/>
        </w:rPr>
      </w:pPr>
      <w:r>
        <w:rPr>
          <w:rFonts w:hint="eastAsia" w:ascii="宋体" w:hAnsi="宋体" w:eastAsia="宋体" w:cs="Times New Roman"/>
          <w:color w:val="auto"/>
          <w:szCs w:val="21"/>
        </w:rPr>
        <w:t>联系人：</w:t>
      </w:r>
      <w:r>
        <w:rPr>
          <w:rFonts w:hint="eastAsia" w:ascii="宋体" w:hAnsi="宋体" w:eastAsia="宋体" w:cs="Times New Roman"/>
          <w:color w:val="auto"/>
          <w:szCs w:val="21"/>
          <w:lang w:eastAsia="zh-CN"/>
        </w:rPr>
        <w:t>许先生</w:t>
      </w:r>
      <w:r>
        <w:rPr>
          <w:rFonts w:hint="eastAsia"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hint="eastAsia" w:ascii="宋体" w:hAnsi="宋体" w:eastAsia="宋体" w:cs="Times New Roman"/>
          <w:color w:val="auto"/>
          <w:szCs w:val="21"/>
        </w:rPr>
        <w:t>联系人：</w:t>
      </w:r>
      <w:r>
        <w:rPr>
          <w:rFonts w:hint="eastAsia" w:ascii="宋体" w:hAnsi="宋体" w:eastAsia="宋体" w:cs="Times New Roman"/>
          <w:color w:val="auto"/>
          <w:szCs w:val="21"/>
          <w:lang w:eastAsia="zh-CN"/>
        </w:rPr>
        <w:t>颜女士</w:t>
      </w:r>
    </w:p>
    <w:p>
      <w:pPr>
        <w:pStyle w:val="21"/>
        <w:tabs>
          <w:tab w:val="left" w:pos="946"/>
        </w:tabs>
        <w:autoSpaceDE w:val="0"/>
        <w:autoSpaceDN w:val="0"/>
        <w:spacing w:line="440" w:lineRule="exact"/>
        <w:ind w:right="368" w:rightChars="175"/>
        <w:jc w:val="left"/>
        <w:rPr>
          <w:rFonts w:hint="eastAsia" w:ascii="宋体" w:hAnsi="宋体" w:eastAsia="宋体" w:cs="Times New Roman"/>
          <w:color w:val="auto"/>
          <w:szCs w:val="21"/>
          <w:lang w:eastAsia="zh-CN"/>
        </w:rPr>
      </w:pPr>
      <w:r>
        <w:rPr>
          <w:rFonts w:ascii="宋体" w:hAnsi="宋体" w:eastAsia="宋体" w:cs="Times New Roman"/>
          <w:color w:val="auto"/>
          <w:szCs w:val="21"/>
        </w:rPr>
        <w:t>电话：</w:t>
      </w:r>
      <w:r>
        <w:rPr>
          <w:rFonts w:hint="eastAsia" w:ascii="宋体" w:hAnsi="宋体" w:eastAsia="宋体" w:cs="Times New Roman"/>
          <w:color w:val="auto"/>
          <w:szCs w:val="21"/>
          <w:lang w:eastAsia="zh-CN"/>
        </w:rPr>
        <w:t>0577-59909057</w:t>
      </w:r>
      <w:r>
        <w:rPr>
          <w:rFonts w:ascii="宋体" w:hAnsi="宋体" w:eastAsia="宋体" w:cs="Times New Roman"/>
          <w:color w:val="auto"/>
          <w:szCs w:val="21"/>
        </w:rPr>
        <w:t xml:space="preserve">                   </w:t>
      </w:r>
      <w:r>
        <w:rPr>
          <w:rFonts w:hint="eastAsia" w:ascii="宋体" w:hAnsi="宋体" w:eastAsia="宋体" w:cs="Times New Roman"/>
          <w:color w:val="auto"/>
          <w:szCs w:val="21"/>
          <w:lang w:val="en-US" w:eastAsia="zh-CN"/>
        </w:rPr>
        <w:t xml:space="preserve"> </w:t>
      </w:r>
      <w:r>
        <w:rPr>
          <w:rFonts w:ascii="宋体" w:hAnsi="宋体" w:eastAsia="宋体" w:cs="Times New Roman"/>
          <w:color w:val="auto"/>
          <w:szCs w:val="21"/>
        </w:rPr>
        <w:t>电话：</w:t>
      </w:r>
      <w:r>
        <w:rPr>
          <w:rFonts w:hint="eastAsia" w:ascii="宋体" w:hAnsi="宋体" w:eastAsia="宋体" w:cs="Times New Roman"/>
          <w:color w:val="auto"/>
          <w:szCs w:val="21"/>
          <w:lang w:eastAsia="zh-CN"/>
        </w:rPr>
        <w:t>13646772028</w:t>
      </w:r>
    </w:p>
    <w:p>
      <w:pPr>
        <w:spacing w:line="400" w:lineRule="exact"/>
        <w:jc w:val="right"/>
        <w:rPr>
          <w:rFonts w:ascii="宋体" w:hAnsi="宋体" w:cs="宋体"/>
          <w:kern w:val="1"/>
          <w:szCs w:val="21"/>
        </w:rPr>
      </w:pPr>
    </w:p>
    <w:p>
      <w:pPr>
        <w:spacing w:line="400" w:lineRule="exact"/>
        <w:jc w:val="right"/>
        <w:rPr>
          <w:rFonts w:hint="eastAsia" w:ascii="宋体" w:hAnsi="宋体" w:eastAsia="宋体" w:cs="宋体"/>
          <w:kern w:val="1"/>
          <w:szCs w:val="21"/>
          <w:lang w:eastAsia="zh-CN"/>
        </w:rPr>
      </w:pPr>
      <w:r>
        <w:rPr>
          <w:rFonts w:hint="eastAsia" w:ascii="宋体" w:hAnsi="宋体" w:cs="宋体"/>
          <w:kern w:val="1"/>
          <w:szCs w:val="21"/>
          <w:lang w:eastAsia="zh-CN"/>
        </w:rPr>
        <w:t>苍南县城市建设投资有限公司</w:t>
      </w:r>
    </w:p>
    <w:p>
      <w:pPr>
        <w:spacing w:line="400" w:lineRule="exact"/>
        <w:jc w:val="right"/>
        <w:rPr>
          <w:rFonts w:hint="eastAsia" w:ascii="宋体" w:hAnsi="宋体" w:eastAsia="宋体" w:cs="宋体"/>
          <w:kern w:val="1"/>
          <w:szCs w:val="21"/>
          <w:lang w:eastAsia="zh-CN"/>
        </w:rPr>
      </w:pPr>
      <w:r>
        <w:rPr>
          <w:rFonts w:hint="eastAsia" w:ascii="宋体" w:hAnsi="宋体" w:cs="宋体"/>
          <w:kern w:val="1"/>
          <w:szCs w:val="21"/>
          <w:lang w:eastAsia="zh-CN"/>
        </w:rPr>
        <w:t>欧邦工程管理集团有限公司</w:t>
      </w:r>
    </w:p>
    <w:p>
      <w:pPr>
        <w:topLinePunct/>
        <w:spacing w:line="400" w:lineRule="exact"/>
        <w:ind w:firstLine="420" w:firstLineChars="200"/>
        <w:jc w:val="right"/>
        <w:rPr>
          <w:color w:val="auto"/>
        </w:rPr>
      </w:pPr>
      <w:r>
        <w:rPr>
          <w:rFonts w:hint="eastAsia" w:ascii="宋体" w:hAnsi="宋体" w:cs="宋体"/>
          <w:bCs/>
          <w:kern w:val="1"/>
          <w:szCs w:val="21"/>
        </w:rPr>
        <w:t>2021</w:t>
      </w:r>
      <w:r>
        <w:rPr>
          <w:rFonts w:hint="eastAsia" w:ascii="宋体" w:hAnsi="宋体" w:cs="宋体"/>
          <w:bCs/>
          <w:kern w:val="1"/>
          <w:szCs w:val="21"/>
          <w:lang w:val="en-US" w:eastAsia="zh-CN"/>
        </w:rPr>
        <w:t xml:space="preserve"> </w:t>
      </w:r>
      <w:r>
        <w:rPr>
          <w:rFonts w:hint="eastAsia" w:ascii="宋体" w:hAnsi="宋体" w:cs="宋体"/>
          <w:bCs/>
          <w:kern w:val="1"/>
          <w:szCs w:val="21"/>
        </w:rPr>
        <w:t>年</w:t>
      </w:r>
      <w:r>
        <w:rPr>
          <w:rFonts w:hint="eastAsia" w:ascii="宋体" w:hAnsi="宋体" w:cs="宋体"/>
          <w:bCs/>
          <w:kern w:val="1"/>
          <w:szCs w:val="21"/>
          <w:lang w:val="en-US" w:eastAsia="zh-CN"/>
        </w:rPr>
        <w:t xml:space="preserve">   </w:t>
      </w:r>
      <w:r>
        <w:rPr>
          <w:rFonts w:hint="eastAsia" w:ascii="宋体" w:hAnsi="宋体" w:cs="宋体"/>
          <w:bCs/>
          <w:kern w:val="1"/>
          <w:szCs w:val="21"/>
        </w:rPr>
        <w:t>月</w:t>
      </w:r>
      <w:r>
        <w:rPr>
          <w:rFonts w:hint="eastAsia" w:ascii="宋体" w:hAnsi="宋体" w:cs="宋体"/>
          <w:bCs/>
          <w:kern w:val="1"/>
          <w:szCs w:val="21"/>
          <w:lang w:val="en-US" w:eastAsia="zh-CN"/>
        </w:rPr>
        <w:t xml:space="preserve">   日</w:t>
      </w:r>
    </w:p>
    <w:p>
      <w:pPr>
        <w:topLinePunct/>
        <w:spacing w:line="400" w:lineRule="exact"/>
        <w:ind w:firstLine="420" w:firstLineChars="200"/>
        <w:rPr>
          <w:color w:val="auto"/>
        </w:rPr>
      </w:pPr>
    </w:p>
    <w:p>
      <w:pPr>
        <w:topLinePunct/>
        <w:spacing w:line="400" w:lineRule="exact"/>
        <w:ind w:firstLine="420" w:firstLineChars="200"/>
        <w:rPr>
          <w:color w:val="auto"/>
        </w:rPr>
      </w:pPr>
    </w:p>
    <w:p>
      <w:pPr>
        <w:spacing w:line="440" w:lineRule="exact"/>
        <w:jc w:val="center"/>
        <w:rPr>
          <w:rFonts w:hint="eastAsia" w:ascii="黑体" w:eastAsia="黑体"/>
          <w:color w:val="000000"/>
          <w:sz w:val="32"/>
          <w:szCs w:val="32"/>
        </w:rPr>
      </w:pPr>
      <w:r>
        <w:rPr>
          <w:rFonts w:hint="eastAsia" w:ascii="黑体" w:eastAsia="黑体"/>
          <w:color w:val="000000"/>
          <w:sz w:val="32"/>
          <w:szCs w:val="32"/>
        </w:rPr>
        <w:br w:type="page"/>
      </w:r>
      <w:r>
        <w:rPr>
          <w:rFonts w:hint="eastAsia" w:ascii="黑体" w:eastAsia="黑体"/>
          <w:color w:val="000000"/>
          <w:sz w:val="32"/>
          <w:szCs w:val="32"/>
        </w:rPr>
        <w:t>第二章 投标人须知</w:t>
      </w:r>
      <w:bookmarkEnd w:id="11"/>
      <w:bookmarkEnd w:id="12"/>
      <w:bookmarkEnd w:id="13"/>
      <w:bookmarkEnd w:id="14"/>
    </w:p>
    <w:p>
      <w:pPr>
        <w:spacing w:line="440" w:lineRule="exact"/>
        <w:jc w:val="center"/>
        <w:rPr>
          <w:rFonts w:hint="eastAsia" w:ascii="黑体" w:eastAsia="黑体"/>
          <w:color w:val="000000"/>
          <w:sz w:val="24"/>
        </w:rPr>
      </w:pPr>
      <w:bookmarkStart w:id="15" w:name="_Toc144974496"/>
      <w:bookmarkStart w:id="16" w:name="_Toc361338235"/>
      <w:bookmarkStart w:id="17" w:name="_Toc152042304"/>
      <w:bookmarkStart w:id="18" w:name="_Toc152045528"/>
      <w:r>
        <w:rPr>
          <w:rFonts w:hint="eastAsia" w:ascii="黑体" w:eastAsia="黑体"/>
          <w:color w:val="000000"/>
          <w:sz w:val="24"/>
        </w:rPr>
        <w:t>投标人须知前附表</w:t>
      </w:r>
      <w:bookmarkEnd w:id="15"/>
      <w:bookmarkEnd w:id="16"/>
      <w:bookmarkEnd w:id="17"/>
      <w:bookmarkEnd w:id="18"/>
    </w:p>
    <w:tbl>
      <w:tblPr>
        <w:tblStyle w:val="15"/>
        <w:tblW w:w="9124" w:type="dxa"/>
        <w:jc w:val="center"/>
        <w:tblLayout w:type="fixed"/>
        <w:tblCellMar>
          <w:top w:w="0" w:type="dxa"/>
          <w:left w:w="108" w:type="dxa"/>
          <w:bottom w:w="0" w:type="dxa"/>
          <w:right w:w="108" w:type="dxa"/>
        </w:tblCellMar>
      </w:tblPr>
      <w:tblGrid>
        <w:gridCol w:w="863"/>
        <w:gridCol w:w="2304"/>
        <w:gridCol w:w="5957"/>
      </w:tblGrid>
      <w:tr>
        <w:tblPrEx>
          <w:tblCellMar>
            <w:top w:w="0" w:type="dxa"/>
            <w:left w:w="108" w:type="dxa"/>
            <w:bottom w:w="0" w:type="dxa"/>
            <w:right w:w="108" w:type="dxa"/>
          </w:tblCellMar>
        </w:tblPrEx>
        <w:trPr>
          <w:cantSplit/>
          <w:trHeight w:val="397" w:hRule="atLeast"/>
          <w:tblHeader/>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b/>
                <w:szCs w:val="21"/>
              </w:rPr>
            </w:pPr>
            <w:r>
              <w:rPr>
                <w:rFonts w:ascii="宋体" w:hAnsi="宋体"/>
                <w:b/>
                <w:szCs w:val="21"/>
              </w:rPr>
              <w:t>条款号</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b/>
                <w:szCs w:val="21"/>
              </w:rPr>
            </w:pPr>
            <w:r>
              <w:rPr>
                <w:rFonts w:ascii="宋体" w:hAnsi="宋体"/>
                <w:b/>
                <w:szCs w:val="21"/>
              </w:rPr>
              <w:t>条 款 名 称</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b/>
                <w:szCs w:val="21"/>
              </w:rPr>
            </w:pPr>
            <w:r>
              <w:rPr>
                <w:rFonts w:ascii="宋体" w:hAnsi="宋体"/>
                <w:b/>
                <w:szCs w:val="21"/>
              </w:rPr>
              <w:t>编  列  内  容</w:t>
            </w:r>
          </w:p>
        </w:tc>
      </w:tr>
      <w:tr>
        <w:tblPrEx>
          <w:tblCellMar>
            <w:top w:w="0" w:type="dxa"/>
            <w:left w:w="108" w:type="dxa"/>
            <w:bottom w:w="0" w:type="dxa"/>
            <w:right w:w="108" w:type="dxa"/>
          </w:tblCellMar>
        </w:tblPrEx>
        <w:trPr>
          <w:trHeight w:val="65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项目名称</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b/>
                <w:szCs w:val="21"/>
                <w:lang w:eastAsia="zh-CN"/>
              </w:rPr>
            </w:pPr>
            <w:r>
              <w:rPr>
                <w:rFonts w:hint="eastAsia" w:ascii="Arial" w:hAnsi="Arial" w:eastAsia="宋体" w:cs="Arial"/>
                <w:color w:val="auto"/>
                <w:kern w:val="1"/>
                <w:sz w:val="21"/>
                <w:szCs w:val="18"/>
                <w:lang w:val="en-US" w:eastAsia="zh-CN" w:bidi="ar-SA"/>
              </w:rPr>
              <w:t xml:space="preserve"> 县城新区南扩区渡龙安置小区建设工程项目监理</w:t>
            </w:r>
          </w:p>
        </w:tc>
      </w:tr>
      <w:tr>
        <w:tblPrEx>
          <w:tblCellMar>
            <w:top w:w="0" w:type="dxa"/>
            <w:left w:w="108" w:type="dxa"/>
            <w:bottom w:w="0" w:type="dxa"/>
            <w:right w:w="108" w:type="dxa"/>
          </w:tblCellMar>
        </w:tblPrEx>
        <w:trPr>
          <w:trHeight w:val="1575"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1.1.</w:t>
            </w:r>
            <w:r>
              <w:rPr>
                <w:rFonts w:hint="eastAsia" w:ascii="宋体" w:hAnsi="宋体"/>
                <w:szCs w:val="21"/>
              </w:rPr>
              <w:t>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招标人</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名称：苍南县城市建设投资有限公司</w:t>
            </w:r>
          </w:p>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地址：苍南县灵溪镇车站大道1号</w:t>
            </w:r>
          </w:p>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联系人：许先生</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 xml:space="preserve">电话：0577-59909057 </w:t>
            </w:r>
          </w:p>
        </w:tc>
      </w:tr>
      <w:tr>
        <w:tblPrEx>
          <w:tblCellMar>
            <w:top w:w="0" w:type="dxa"/>
            <w:left w:w="108" w:type="dxa"/>
            <w:bottom w:w="0" w:type="dxa"/>
            <w:right w:w="108" w:type="dxa"/>
          </w:tblCellMar>
        </w:tblPrEx>
        <w:trPr>
          <w:trHeight w:val="1306"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1.1.</w:t>
            </w:r>
            <w:r>
              <w:rPr>
                <w:rFonts w:hint="eastAsia" w:ascii="宋体" w:hAnsi="宋体"/>
                <w:szCs w:val="21"/>
              </w:rPr>
              <w:t>4</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招标代理机构</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名称：欧邦工程管理集团有限公司</w:t>
            </w:r>
          </w:p>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地址：苍南县春晖路海西清创园公投大厦905室</w:t>
            </w:r>
          </w:p>
          <w:p>
            <w:pPr>
              <w:spacing w:line="36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联系人：颜女士</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电话：13646772028</w:t>
            </w:r>
          </w:p>
        </w:tc>
      </w:tr>
      <w:tr>
        <w:tblPrEx>
          <w:tblCellMar>
            <w:top w:w="0" w:type="dxa"/>
            <w:left w:w="108" w:type="dxa"/>
            <w:bottom w:w="0" w:type="dxa"/>
            <w:right w:w="108" w:type="dxa"/>
          </w:tblCellMar>
        </w:tblPrEx>
        <w:trPr>
          <w:trHeight w:val="90"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1.1.5</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项目概况</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tabs>
                <w:tab w:val="left" w:pos="482"/>
                <w:tab w:val="left" w:pos="2183"/>
                <w:tab w:val="left" w:pos="3884"/>
                <w:tab w:val="left" w:pos="5585"/>
              </w:tabs>
              <w:kinsoku/>
              <w:wordWrap/>
              <w:overflowPunct/>
              <w:topLinePunct w:val="0"/>
              <w:autoSpaceDE/>
              <w:autoSpaceDN/>
              <w:bidi w:val="0"/>
              <w:adjustRightInd/>
              <w:snapToGrid/>
              <w:spacing w:after="0" w:line="360" w:lineRule="auto"/>
              <w:ind w:firstLine="420" w:firstLineChars="200"/>
              <w:textAlignment w:val="auto"/>
              <w:rPr>
                <w:rFonts w:hint="default" w:ascii="Arial" w:hAnsi="Arial" w:eastAsia="宋体" w:cs="Arial"/>
                <w:color w:val="auto"/>
                <w:kern w:val="1"/>
                <w:sz w:val="21"/>
                <w:szCs w:val="18"/>
                <w:lang w:val="en-US" w:eastAsia="zh-CN"/>
              </w:rPr>
            </w:pPr>
            <w:r>
              <w:rPr>
                <w:rFonts w:hint="eastAsia" w:ascii="Arial" w:hAnsi="Arial" w:eastAsia="宋体" w:cs="Arial"/>
                <w:color w:val="auto"/>
                <w:kern w:val="1"/>
                <w:sz w:val="21"/>
                <w:szCs w:val="18"/>
                <w:lang w:val="en-US" w:eastAsia="zh-CN"/>
              </w:rPr>
              <w:t>本次招标项目总用地面积 33535 平方米，建设拆迁安置户住宅及物业、社区、居家养老、供配电、弱电机房、门卫用房等总建筑面积 112945 平方米（含地下室等不计容面积 29110 平方米）。建设地址位于苍南县新区龙渡路以东、望江路以南、站前大道以西、 规划道路以北。项目估算总投资约 6.8 亿元，本次投资约3.9亿元，其中建安造价约3.6亿元。</w:t>
            </w:r>
          </w:p>
          <w:p>
            <w:pPr>
              <w:rPr>
                <w:rFonts w:ascii="宋体" w:hAnsi="宋体"/>
                <w:color w:val="auto"/>
                <w:szCs w:val="21"/>
              </w:rPr>
            </w:pPr>
          </w:p>
        </w:tc>
      </w:tr>
      <w:tr>
        <w:tblPrEx>
          <w:tblCellMar>
            <w:top w:w="0" w:type="dxa"/>
            <w:left w:w="108" w:type="dxa"/>
            <w:bottom w:w="0" w:type="dxa"/>
            <w:right w:w="108" w:type="dxa"/>
          </w:tblCellMar>
        </w:tblPrEx>
        <w:trPr>
          <w:trHeight w:val="13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szCs w:val="21"/>
              </w:rPr>
            </w:pPr>
            <w:r>
              <w:rPr>
                <w:rFonts w:ascii="宋体" w:hAnsi="宋体" w:cs="宋体"/>
                <w:color w:val="auto"/>
                <w:kern w:val="1"/>
                <w:szCs w:val="21"/>
              </w:rPr>
              <w:t>1.1.7</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ascii="宋体" w:hAnsi="宋体" w:cs="宋体"/>
                <w:color w:val="auto"/>
                <w:kern w:val="1"/>
                <w:szCs w:val="21"/>
              </w:rPr>
              <w:t>工程项目施工预计开工日期和建设周期</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kern w:val="1"/>
                <w:szCs w:val="21"/>
              </w:rPr>
            </w:pPr>
            <w:r>
              <w:rPr>
                <w:rFonts w:hint="eastAsia" w:ascii="宋体" w:hAnsi="宋体" w:cs="宋体"/>
                <w:color w:val="auto"/>
                <w:kern w:val="1"/>
                <w:szCs w:val="21"/>
              </w:rPr>
              <w:t>施工预计开工日期:2021年</w:t>
            </w:r>
            <w:r>
              <w:rPr>
                <w:rFonts w:hint="eastAsia" w:ascii="宋体" w:hAnsi="宋体" w:cs="宋体"/>
                <w:color w:val="auto"/>
                <w:kern w:val="1"/>
                <w:szCs w:val="21"/>
                <w:lang w:val="en-US" w:eastAsia="zh-CN"/>
              </w:rPr>
              <w:t>10</w:t>
            </w:r>
            <w:r>
              <w:rPr>
                <w:rFonts w:hint="eastAsia" w:ascii="宋体" w:hAnsi="宋体" w:cs="宋体"/>
                <w:color w:val="auto"/>
                <w:kern w:val="1"/>
                <w:szCs w:val="21"/>
              </w:rPr>
              <w:t>月（以实际开工日期为准）</w:t>
            </w:r>
          </w:p>
          <w:p>
            <w:pPr>
              <w:rPr>
                <w:rFonts w:ascii="宋体" w:hAnsi="宋体"/>
                <w:color w:val="auto"/>
                <w:szCs w:val="21"/>
              </w:rPr>
            </w:pPr>
            <w:r>
              <w:rPr>
                <w:rFonts w:ascii="宋体" w:hAnsi="宋体" w:cs="宋体"/>
                <w:color w:val="auto"/>
                <w:kern w:val="1"/>
                <w:szCs w:val="21"/>
              </w:rPr>
              <w:t>施工工期：</w:t>
            </w:r>
            <w:r>
              <w:rPr>
                <w:rFonts w:hint="eastAsia" w:ascii="宋体" w:hAnsi="宋体" w:cs="宋体"/>
                <w:color w:val="auto"/>
                <w:kern w:val="1"/>
                <w:szCs w:val="21"/>
                <w:lang w:val="en-US" w:eastAsia="zh-CN"/>
              </w:rPr>
              <w:t>1000</w:t>
            </w:r>
            <w:r>
              <w:rPr>
                <w:rFonts w:ascii="宋体" w:hAnsi="宋体" w:cs="宋体"/>
                <w:color w:val="auto"/>
                <w:kern w:val="1"/>
                <w:szCs w:val="21"/>
              </w:rPr>
              <w:t>日历天（具体以中标施工工期为准）。</w:t>
            </w:r>
          </w:p>
        </w:tc>
      </w:tr>
      <w:tr>
        <w:tblPrEx>
          <w:tblCellMar>
            <w:top w:w="0" w:type="dxa"/>
            <w:left w:w="108" w:type="dxa"/>
            <w:bottom w:w="0" w:type="dxa"/>
            <w:right w:w="108" w:type="dxa"/>
          </w:tblCellMar>
        </w:tblPrEx>
        <w:trPr>
          <w:trHeight w:val="540"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1.2.1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资金来源</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自筹</w:t>
            </w:r>
          </w:p>
        </w:tc>
      </w:tr>
      <w:tr>
        <w:tblPrEx>
          <w:tblCellMar>
            <w:top w:w="0" w:type="dxa"/>
            <w:left w:w="108" w:type="dxa"/>
            <w:bottom w:w="0" w:type="dxa"/>
            <w:right w:w="108" w:type="dxa"/>
          </w:tblCellMar>
        </w:tblPrEx>
        <w:trPr>
          <w:trHeight w:val="630"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1.2.2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ascii="宋体" w:hAnsi="宋体"/>
                <w:szCs w:val="21"/>
              </w:rPr>
              <w:t>出资比例</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100%</w:t>
            </w:r>
          </w:p>
        </w:tc>
      </w:tr>
      <w:tr>
        <w:tblPrEx>
          <w:tblCellMar>
            <w:top w:w="0" w:type="dxa"/>
            <w:left w:w="108" w:type="dxa"/>
            <w:bottom w:w="0" w:type="dxa"/>
            <w:right w:w="108" w:type="dxa"/>
          </w:tblCellMar>
        </w:tblPrEx>
        <w:trPr>
          <w:trHeight w:val="62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1.2.3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资金</w:t>
            </w:r>
            <w:r>
              <w:rPr>
                <w:rFonts w:ascii="宋体" w:hAnsi="宋体"/>
                <w:szCs w:val="21"/>
              </w:rPr>
              <w:t>落实情况</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已落实</w:t>
            </w:r>
          </w:p>
        </w:tc>
      </w:tr>
      <w:tr>
        <w:tblPrEx>
          <w:tblCellMar>
            <w:top w:w="0" w:type="dxa"/>
            <w:left w:w="108" w:type="dxa"/>
            <w:bottom w:w="0" w:type="dxa"/>
            <w:right w:w="108" w:type="dxa"/>
          </w:tblCellMar>
        </w:tblPrEx>
        <w:trPr>
          <w:trHeight w:val="583"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1.</w:t>
            </w:r>
            <w:r>
              <w:rPr>
                <w:rFonts w:hint="eastAsia" w:ascii="宋体" w:hAnsi="宋体"/>
                <w:szCs w:val="21"/>
              </w:rPr>
              <w:t>3</w:t>
            </w:r>
            <w:r>
              <w:rPr>
                <w:rFonts w:ascii="宋体" w:hAnsi="宋体"/>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本工程施工监理服务内容和范围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工程监理服务内容：全过程负责对建设工程质量、进度、投资进行控制，对合同、信息进行管理，对工程建设相关方的关系进行协调，并履行建设工程安全生产管理法定职责的服务活动；</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工程监理服务范围：前期阶段、施工准备阶段、施工阶段、竣工结算阶段、质量保修阶段等全过程监理服务。</w:t>
            </w:r>
          </w:p>
          <w:p>
            <w:pPr>
              <w:snapToGrid w:val="0"/>
              <w:spacing w:line="400" w:lineRule="exact"/>
              <w:rPr>
                <w:rFonts w:hint="eastAsia" w:ascii="宋体" w:hAnsi="宋体"/>
                <w:szCs w:val="21"/>
              </w:rPr>
            </w:pPr>
            <w:r>
              <w:rPr>
                <w:rFonts w:hint="eastAsia" w:ascii="Arial" w:hAnsi="Arial" w:eastAsia="宋体" w:cs="Arial"/>
                <w:color w:val="auto"/>
                <w:kern w:val="1"/>
                <w:sz w:val="21"/>
                <w:szCs w:val="18"/>
                <w:lang w:val="en-US" w:eastAsia="zh-CN" w:bidi="ar-SA"/>
              </w:rPr>
              <w:t>其中投资控制工作内容：根据工程总承包合同、进度计划,编制用款计划书；参与造价控制有关的工程会议；负责对承包人报送的每月(期)完成进度款月报表进行审核，并提出当月(期)付款建议书；承发包方提出索赔时，凭据合同和有关法律、法规，提供咨询意见。</w:t>
            </w:r>
          </w:p>
        </w:tc>
      </w:tr>
      <w:tr>
        <w:tblPrEx>
          <w:tblCellMar>
            <w:top w:w="0" w:type="dxa"/>
            <w:left w:w="108" w:type="dxa"/>
            <w:bottom w:w="0" w:type="dxa"/>
            <w:right w:w="108" w:type="dxa"/>
          </w:tblCellMar>
        </w:tblPrEx>
        <w:trPr>
          <w:trHeight w:val="25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1.3.2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工程监理服务期</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前期阶段、工程施工阶段、工程保修阶段的监理服务期：</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（1）前期阶段监理服务期：签订合同至项目开工为止</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（2）施工阶段监理服务期：从施工准备、施工图审查至全部工程完工并办理竣工验收、备案、保修期满为止；</w:t>
            </w:r>
          </w:p>
          <w:p>
            <w:pPr>
              <w:snapToGrid w:val="0"/>
              <w:spacing w:line="400" w:lineRule="exact"/>
              <w:rPr>
                <w:rFonts w:hint="eastAsia" w:ascii="宋体" w:hAnsi="宋体"/>
                <w:szCs w:val="21"/>
              </w:rPr>
            </w:pPr>
            <w:r>
              <w:rPr>
                <w:rFonts w:hint="eastAsia" w:ascii="Arial" w:hAnsi="Arial" w:eastAsia="宋体" w:cs="Arial"/>
                <w:color w:val="auto"/>
                <w:kern w:val="1"/>
                <w:sz w:val="21"/>
                <w:szCs w:val="18"/>
                <w:lang w:val="en-US" w:eastAsia="zh-CN" w:bidi="ar-SA"/>
              </w:rPr>
              <w:t>（3）保修阶段监理服务期：从工程竣工验收合格、备案完成之日起 2 年。</w:t>
            </w:r>
          </w:p>
        </w:tc>
      </w:tr>
      <w:tr>
        <w:tblPrEx>
          <w:tblCellMar>
            <w:top w:w="0" w:type="dxa"/>
            <w:left w:w="108" w:type="dxa"/>
            <w:bottom w:w="0" w:type="dxa"/>
            <w:right w:w="108" w:type="dxa"/>
          </w:tblCellMar>
        </w:tblPrEx>
        <w:trPr>
          <w:trHeight w:val="45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1.4.1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投标人资格要求</w:t>
            </w:r>
          </w:p>
        </w:tc>
        <w:tc>
          <w:tcPr>
            <w:tcW w:w="595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1）企业资格条件：具有监理综合资质或同时具有房屋建筑工程监理专业资质乙级资质和人防工程建设监理资质丙级及以上资质，且具有独立法人资格的监理企业。（2）其他要求：在投标截止时间前，投标人未被人民法院列入限制失信被执行人投标资格名单的；企业投标人须已录入浙江省建筑市场监管与诚信信息平台；在投标截止时间前，省外企业须已办理进浙承接业务备案，且在有限期内。</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总监理工程师资格：必须具备建设部（中华人民共和国城乡和住房部）颁发的中华人民共和国注册监理工程师注册执业证书，且其注册专业为房屋建筑工程专业，注册执业单位必须为投标人本单位，无在建监理工程，同时符合相关文件要求的规定。总监理工程师年龄须≤ 60 周岁。</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（4）其他主要人员要求：</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专监：房屋建筑工程专业2人、市政工程专业1人、机电安装工程专业1名（专业监理工程师不可兼任）、人防工程1人（可由专业监理工程师兼任），注册执业单位必须为本公司。</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监理员：3人 ；监理员必须持有《中华人民共和国注册监理工程师注册执业证书》或《浙江省监理工程师证书》或《浙江省监理员岗位证书》，注册执业单位必须为本公司。</w:t>
            </w:r>
          </w:p>
          <w:p>
            <w:pPr>
              <w:snapToGrid w:val="0"/>
              <w:spacing w:line="400" w:lineRule="exact"/>
              <w:rPr>
                <w:rFonts w:hint="default"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其他人员：中标后押证时项目班组必须配备见证员 1人必须取得《温州市见证员证书》，投标时不需要提供。</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所有人员必须提供在本公司缴纳3个月及以上的有效社保证明（社保部门出具的），时间为投标截止日之前的6个月内。</w:t>
            </w:r>
          </w:p>
          <w:p>
            <w:pPr>
              <w:snapToGrid w:val="0"/>
              <w:spacing w:line="400" w:lineRule="exact"/>
              <w:rPr>
                <w:rFonts w:hint="eastAsia" w:ascii="Arial" w:hAnsi="Arial" w:eastAsia="宋体" w:cs="Arial"/>
                <w:color w:val="auto"/>
                <w:kern w:val="1"/>
                <w:sz w:val="21"/>
                <w:szCs w:val="18"/>
                <w:lang w:val="en-US" w:eastAsia="zh-CN" w:bidi="ar-SA"/>
              </w:rPr>
            </w:pPr>
            <w:r>
              <w:rPr>
                <w:rFonts w:hint="eastAsia" w:ascii="Arial" w:hAnsi="Arial" w:eastAsia="宋体" w:cs="Arial"/>
                <w:color w:val="auto"/>
                <w:kern w:val="1"/>
                <w:sz w:val="21"/>
                <w:szCs w:val="18"/>
                <w:lang w:val="en-US" w:eastAsia="zh-CN" w:bidi="ar-SA"/>
              </w:rPr>
              <w:t>注：若拟派人员缴纳社保年限或年龄达到国家相关规定的，须出具有效的公司聘用劳动合同。</w:t>
            </w:r>
          </w:p>
          <w:p>
            <w:pPr>
              <w:snapToGrid w:val="0"/>
              <w:spacing w:line="400" w:lineRule="exact"/>
              <w:rPr>
                <w:rFonts w:hint="eastAsia" w:ascii="宋体" w:hAnsi="宋体"/>
                <w:b/>
                <w:szCs w:val="21"/>
                <w:u w:val="single"/>
              </w:rPr>
            </w:pPr>
            <w:r>
              <w:rPr>
                <w:rFonts w:hint="eastAsia" w:ascii="Arial" w:hAnsi="Arial" w:eastAsia="宋体" w:cs="Arial"/>
                <w:color w:val="auto"/>
                <w:kern w:val="1"/>
                <w:sz w:val="21"/>
                <w:szCs w:val="18"/>
                <w:lang w:val="en-US" w:eastAsia="zh-CN" w:bidi="ar-SA"/>
              </w:rPr>
              <w:t>中标人须办理好以上专业岗位的人员备案手续，并且人员及其他配置须满足当地施工监理备案要求。</w:t>
            </w:r>
          </w:p>
        </w:tc>
      </w:tr>
      <w:tr>
        <w:tblPrEx>
          <w:tblCellMar>
            <w:top w:w="0" w:type="dxa"/>
            <w:left w:w="108" w:type="dxa"/>
            <w:bottom w:w="0" w:type="dxa"/>
            <w:right w:w="108" w:type="dxa"/>
          </w:tblCellMar>
        </w:tblPrEx>
        <w:trPr>
          <w:trHeight w:val="59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1.4.2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是否接受联合体投标</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rPr>
                <w:rFonts w:hint="eastAsia" w:ascii="宋体" w:hAnsi="宋体"/>
                <w:szCs w:val="21"/>
              </w:rPr>
            </w:pPr>
            <w:r>
              <w:rPr>
                <w:rFonts w:hint="eastAsia" w:ascii="宋体" w:hAnsi="宋体"/>
                <w:szCs w:val="21"/>
              </w:rPr>
              <w:t>不接受</w:t>
            </w:r>
          </w:p>
        </w:tc>
      </w:tr>
      <w:tr>
        <w:tblPrEx>
          <w:tblCellMar>
            <w:top w:w="0" w:type="dxa"/>
            <w:left w:w="108" w:type="dxa"/>
            <w:bottom w:w="0" w:type="dxa"/>
            <w:right w:w="108" w:type="dxa"/>
          </w:tblCellMar>
        </w:tblPrEx>
        <w:trPr>
          <w:trHeight w:val="41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1.10.1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踏勘现场</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不组织</w:t>
            </w:r>
          </w:p>
        </w:tc>
      </w:tr>
      <w:tr>
        <w:tblPrEx>
          <w:tblCellMar>
            <w:top w:w="0" w:type="dxa"/>
            <w:left w:w="108" w:type="dxa"/>
            <w:bottom w:w="0" w:type="dxa"/>
            <w:right w:w="108" w:type="dxa"/>
          </w:tblCellMar>
        </w:tblPrEx>
        <w:trPr>
          <w:trHeight w:val="44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1.11.1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投标预备会</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不召开</w:t>
            </w:r>
          </w:p>
        </w:tc>
      </w:tr>
      <w:tr>
        <w:tblPrEx>
          <w:tblCellMar>
            <w:top w:w="0" w:type="dxa"/>
            <w:left w:w="108" w:type="dxa"/>
            <w:bottom w:w="0" w:type="dxa"/>
            <w:right w:w="108" w:type="dxa"/>
          </w:tblCellMar>
        </w:tblPrEx>
        <w:trPr>
          <w:trHeight w:val="1045"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1.11.2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000000"/>
                <w:szCs w:val="21"/>
              </w:rPr>
            </w:pPr>
            <w:r>
              <w:rPr>
                <w:rFonts w:ascii="宋体" w:hAnsi="宋体"/>
                <w:color w:val="000000"/>
                <w:szCs w:val="21"/>
              </w:rPr>
              <w:t>投标人提出问题的截止时间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szCs w:val="21"/>
              </w:rPr>
            </w:pPr>
            <w:r>
              <w:rPr>
                <w:rFonts w:hint="eastAsia" w:ascii="宋体" w:hAnsi="宋体" w:eastAsia="宋体" w:cs="Times New Roman"/>
                <w:szCs w:val="21"/>
                <w:lang w:eastAsia="zh-CN"/>
              </w:rPr>
              <w:t>2021年</w:t>
            </w:r>
            <w:r>
              <w:rPr>
                <w:rFonts w:hint="eastAsia" w:ascii="宋体" w:hAnsi="宋体" w:cs="Times New Roman"/>
                <w:szCs w:val="21"/>
                <w:lang w:val="en-US" w:eastAsia="zh-CN"/>
              </w:rPr>
              <w:t xml:space="preserve">   </w:t>
            </w:r>
            <w:r>
              <w:rPr>
                <w:rFonts w:hint="eastAsia" w:ascii="宋体" w:hAnsi="宋体" w:eastAsia="宋体" w:cs="Times New Roman"/>
                <w:szCs w:val="21"/>
                <w:lang w:eastAsia="zh-CN"/>
              </w:rPr>
              <w:t>月</w:t>
            </w:r>
            <w:r>
              <w:rPr>
                <w:rFonts w:hint="eastAsia" w:ascii="宋体" w:hAnsi="宋体" w:cs="Times New Roman"/>
                <w:szCs w:val="21"/>
                <w:lang w:val="en-US" w:eastAsia="zh-CN"/>
              </w:rPr>
              <w:t xml:space="preserve">   </w:t>
            </w:r>
            <w:r>
              <w:rPr>
                <w:rFonts w:hint="eastAsia" w:ascii="宋体" w:hAnsi="宋体" w:eastAsia="宋体" w:cs="Times New Roman"/>
                <w:szCs w:val="21"/>
                <w:lang w:eastAsia="zh-CN"/>
              </w:rPr>
              <w:t>日</w:t>
            </w:r>
            <w:r>
              <w:rPr>
                <w:rFonts w:hint="eastAsia" w:ascii="宋体" w:hAnsi="宋体" w:eastAsia="宋体" w:cs="Times New Roman"/>
                <w:szCs w:val="21"/>
              </w:rPr>
              <w:t>1</w:t>
            </w:r>
            <w:r>
              <w:rPr>
                <w:rFonts w:hint="eastAsia" w:ascii="宋体" w:hAnsi="宋体" w:eastAsia="宋体" w:cs="Times New Roman"/>
                <w:szCs w:val="21"/>
                <w:lang w:val="en-US" w:eastAsia="zh-CN"/>
              </w:rPr>
              <w:t>7</w:t>
            </w:r>
            <w:r>
              <w:rPr>
                <w:rFonts w:hint="eastAsia" w:ascii="宋体" w:hAnsi="宋体" w:eastAsia="宋体" w:cs="Times New Roman"/>
                <w:szCs w:val="21"/>
              </w:rPr>
              <w:t>时00分</w:t>
            </w:r>
          </w:p>
          <w:p>
            <w:pPr>
              <w:spacing w:line="300" w:lineRule="exact"/>
              <w:rPr>
                <w:rFonts w:hint="eastAsia" w:ascii="宋体" w:hAnsi="宋体"/>
                <w:color w:val="000000"/>
                <w:szCs w:val="21"/>
              </w:rPr>
            </w:pPr>
            <w:r>
              <w:rPr>
                <w:rFonts w:hint="eastAsia" w:ascii="宋体" w:hAnsi="宋体" w:eastAsia="宋体" w:cs="Times New Roman"/>
                <w:szCs w:val="21"/>
              </w:rPr>
              <w:t>在http://www.cncn.gov.cn/col/col1532683/index.html上提交，并必须在此之前提交，逾期不予受理。</w:t>
            </w:r>
          </w:p>
        </w:tc>
      </w:tr>
      <w:tr>
        <w:tblPrEx>
          <w:tblCellMar>
            <w:top w:w="0" w:type="dxa"/>
            <w:left w:w="108" w:type="dxa"/>
            <w:bottom w:w="0" w:type="dxa"/>
            <w:right w:w="108" w:type="dxa"/>
          </w:tblCellMar>
        </w:tblPrEx>
        <w:trPr>
          <w:trHeight w:val="13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1.11.3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ascii="宋体" w:hAnsi="宋体"/>
                <w:color w:val="000000"/>
                <w:szCs w:val="21"/>
              </w:rPr>
              <w:t>招标人澄清的时间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Times New Roman"/>
                <w:szCs w:val="21"/>
                <w:lang w:eastAsia="zh-CN"/>
              </w:rPr>
            </w:pPr>
            <w:r>
              <w:rPr>
                <w:rFonts w:hint="eastAsia" w:ascii="宋体" w:hAnsi="宋体" w:eastAsia="宋体" w:cs="Times New Roman"/>
                <w:szCs w:val="21"/>
                <w:lang w:eastAsia="zh-CN"/>
              </w:rPr>
              <w:t>如有，2021年</w:t>
            </w:r>
            <w:r>
              <w:rPr>
                <w:rFonts w:hint="eastAsia" w:ascii="宋体" w:hAnsi="宋体" w:cs="Times New Roman"/>
                <w:szCs w:val="21"/>
                <w:lang w:val="en-US" w:eastAsia="zh-CN"/>
              </w:rPr>
              <w:t xml:space="preserve">   </w:t>
            </w:r>
            <w:r>
              <w:rPr>
                <w:rFonts w:hint="eastAsia" w:ascii="宋体" w:hAnsi="宋体" w:eastAsia="宋体" w:cs="Times New Roman"/>
                <w:szCs w:val="21"/>
                <w:lang w:eastAsia="zh-CN"/>
              </w:rPr>
              <w:t>月</w:t>
            </w:r>
            <w:r>
              <w:rPr>
                <w:rFonts w:hint="eastAsia" w:ascii="宋体" w:hAnsi="宋体" w:cs="Times New Roman"/>
                <w:szCs w:val="21"/>
                <w:lang w:val="en-US" w:eastAsia="zh-CN"/>
              </w:rPr>
              <w:t xml:space="preserve">   </w:t>
            </w:r>
            <w:r>
              <w:rPr>
                <w:rFonts w:hint="eastAsia" w:ascii="宋体" w:hAnsi="宋体" w:eastAsia="宋体" w:cs="Times New Roman"/>
                <w:szCs w:val="21"/>
                <w:lang w:eastAsia="zh-CN"/>
              </w:rPr>
              <w:t>日17时00分</w:t>
            </w:r>
          </w:p>
          <w:p>
            <w:pPr>
              <w:spacing w:line="300" w:lineRule="exact"/>
              <w:rPr>
                <w:rFonts w:hint="eastAsia"/>
                <w:lang w:eastAsia="zh-CN"/>
              </w:rPr>
            </w:pPr>
            <w:r>
              <w:rPr>
                <w:rFonts w:hint="eastAsia" w:ascii="宋体" w:hAnsi="宋体" w:eastAsia="宋体" w:cs="Times New Roman"/>
                <w:szCs w:val="21"/>
                <w:lang w:eastAsia="zh-CN"/>
              </w:rPr>
              <w:t>在苍南县公共资源交易中心网-建设工程-答疑与补充栏发布</w:t>
            </w:r>
          </w:p>
          <w:p>
            <w:pPr>
              <w:spacing w:line="300" w:lineRule="exact"/>
              <w:rPr>
                <w:rFonts w:hint="eastAsia" w:ascii="宋体" w:hAnsi="宋体" w:eastAsia="宋体" w:cs="Times New Roman"/>
                <w:szCs w:val="21"/>
                <w:lang w:eastAsia="zh-CN"/>
              </w:rPr>
            </w:pPr>
            <w:r>
              <w:rPr>
                <w:rFonts w:hint="eastAsia" w:ascii="宋体" w:hAnsi="宋体" w:eastAsia="宋体" w:cs="Times New Roman"/>
                <w:szCs w:val="21"/>
                <w:lang w:eastAsia="zh-CN"/>
              </w:rPr>
              <w:t>（网址：</w:t>
            </w:r>
          </w:p>
          <w:p>
            <w:pPr>
              <w:spacing w:line="300" w:lineRule="exact"/>
              <w:rPr>
                <w:rFonts w:hint="eastAsia" w:ascii="宋体" w:hAnsi="宋体"/>
                <w:color w:val="000000"/>
                <w:szCs w:val="21"/>
              </w:rPr>
            </w:pPr>
            <w:r>
              <w:rPr>
                <w:rFonts w:hint="eastAsia" w:ascii="宋体" w:hAnsi="宋体" w:eastAsia="宋体" w:cs="Times New Roman"/>
                <w:szCs w:val="21"/>
                <w:lang w:eastAsia="zh-CN"/>
              </w:rPr>
              <w:t>http://www.cncn.gov.cn/col/col1532683/index.html）</w:t>
            </w:r>
          </w:p>
        </w:tc>
      </w:tr>
      <w:tr>
        <w:tblPrEx>
          <w:tblCellMar>
            <w:top w:w="0" w:type="dxa"/>
            <w:left w:w="108" w:type="dxa"/>
            <w:bottom w:w="0" w:type="dxa"/>
            <w:right w:w="108" w:type="dxa"/>
          </w:tblCellMar>
        </w:tblPrEx>
        <w:trPr>
          <w:trHeight w:val="13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2.1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ascii="宋体" w:hAnsi="宋体"/>
                <w:color w:val="000000"/>
                <w:szCs w:val="21"/>
              </w:rPr>
              <w:t>构成招标文件的其他材料</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图纸</w:t>
            </w:r>
          </w:p>
        </w:tc>
      </w:tr>
      <w:tr>
        <w:tblPrEx>
          <w:tblCellMar>
            <w:top w:w="0" w:type="dxa"/>
            <w:left w:w="108" w:type="dxa"/>
            <w:bottom w:w="0" w:type="dxa"/>
            <w:right w:w="108" w:type="dxa"/>
          </w:tblCellMar>
        </w:tblPrEx>
        <w:trPr>
          <w:trHeight w:val="395" w:hRule="atLeast"/>
          <w:jc w:val="center"/>
        </w:trPr>
        <w:tc>
          <w:tcPr>
            <w:tcW w:w="863"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2.2.1</w:t>
            </w:r>
          </w:p>
        </w:tc>
        <w:tc>
          <w:tcPr>
            <w:tcW w:w="2304"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olor w:val="000000"/>
                <w:szCs w:val="21"/>
              </w:rPr>
            </w:pPr>
            <w:r>
              <w:rPr>
                <w:rFonts w:ascii="宋体" w:hAnsi="宋体"/>
                <w:color w:val="000000"/>
                <w:szCs w:val="21"/>
              </w:rPr>
              <w:t>投标人要求澄清招标文件的截止时间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zCs w:val="21"/>
              </w:rPr>
            </w:pPr>
            <w:r>
              <w:rPr>
                <w:rFonts w:ascii="宋体" w:hAnsi="宋体" w:cs="宋体"/>
                <w:kern w:val="1"/>
                <w:szCs w:val="21"/>
              </w:rPr>
              <w:t>时间：见时间安排表</w:t>
            </w:r>
          </w:p>
        </w:tc>
      </w:tr>
      <w:tr>
        <w:tblPrEx>
          <w:tblCellMar>
            <w:top w:w="0" w:type="dxa"/>
            <w:left w:w="108" w:type="dxa"/>
            <w:bottom w:w="0" w:type="dxa"/>
            <w:right w:w="108" w:type="dxa"/>
          </w:tblCellMar>
        </w:tblPrEx>
        <w:trPr>
          <w:trHeight w:val="395" w:hRule="atLeast"/>
          <w:jc w:val="center"/>
        </w:trPr>
        <w:tc>
          <w:tcPr>
            <w:tcW w:w="863" w:type="dxa"/>
            <w:vMerge w:val="continue"/>
            <w:tcBorders>
              <w:left w:val="single" w:color="auto" w:sz="4" w:space="0"/>
              <w:bottom w:val="single" w:color="auto" w:sz="4" w:space="0"/>
              <w:right w:val="single" w:color="auto" w:sz="4" w:space="0"/>
            </w:tcBorders>
            <w:noWrap w:val="0"/>
            <w:vAlign w:val="center"/>
          </w:tcPr>
          <w:p>
            <w:pPr>
              <w:spacing w:line="400" w:lineRule="exact"/>
            </w:pPr>
          </w:p>
        </w:tc>
        <w:tc>
          <w:tcPr>
            <w:tcW w:w="2304" w:type="dxa"/>
            <w:vMerge w:val="continue"/>
            <w:tcBorders>
              <w:left w:val="single" w:color="auto" w:sz="4" w:space="0"/>
              <w:bottom w:val="single" w:color="auto" w:sz="4" w:space="0"/>
              <w:right w:val="single" w:color="auto" w:sz="4" w:space="0"/>
            </w:tcBorders>
            <w:noWrap w:val="0"/>
            <w:vAlign w:val="center"/>
          </w:tcPr>
          <w:p>
            <w:pPr>
              <w:spacing w:line="400" w:lineRule="exact"/>
            </w:pPr>
          </w:p>
        </w:tc>
        <w:tc>
          <w:tcPr>
            <w:tcW w:w="595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r>
              <w:rPr>
                <w:rFonts w:ascii="宋体" w:hAnsi="宋体" w:cs="宋体"/>
                <w:kern w:val="1"/>
                <w:szCs w:val="21"/>
              </w:rPr>
              <w:t>形式：在</w:t>
            </w:r>
            <w:r>
              <w:rPr>
                <w:rFonts w:hint="eastAsia" w:ascii="宋体" w:hAnsi="宋体" w:cs="宋体"/>
                <w:kern w:val="1"/>
                <w:szCs w:val="21"/>
                <w:lang w:val="en-US" w:eastAsia="zh-CN"/>
              </w:rPr>
              <w:t>温州市公共资源交易网-苍南县分网</w:t>
            </w:r>
          </w:p>
          <w:p>
            <w:pPr>
              <w:jc w:val="left"/>
              <w:rPr>
                <w:rFonts w:ascii="宋体" w:hAnsi="宋体" w:cs="宋体"/>
                <w:kern w:val="1"/>
                <w:szCs w:val="21"/>
              </w:rPr>
            </w:pPr>
            <w:r>
              <w:rPr>
                <w:rFonts w:hint="eastAsia" w:ascii="宋体" w:hAnsi="宋体" w:cs="宋体"/>
                <w:kern w:val="1"/>
                <w:szCs w:val="21"/>
                <w:lang w:val="en-US" w:eastAsia="zh-CN"/>
              </w:rPr>
              <w:t>http://ggzy.cncn.gov.cn/TPFrontNew/</w:t>
            </w:r>
          </w:p>
          <w:p>
            <w:pPr>
              <w:jc w:val="left"/>
              <w:rPr>
                <w:rFonts w:hint="eastAsia" w:ascii="宋体" w:hAnsi="宋体"/>
                <w:color w:val="000000"/>
                <w:szCs w:val="21"/>
              </w:rPr>
            </w:pPr>
            <w:r>
              <w:rPr>
                <w:rFonts w:ascii="宋体" w:hAnsi="宋体" w:cs="宋体"/>
                <w:kern w:val="1"/>
                <w:szCs w:val="21"/>
              </w:rPr>
              <w:t>进入“招标提问区”提出疑问，</w:t>
            </w:r>
            <w:r>
              <w:rPr>
                <w:rFonts w:ascii="宋体" w:hAnsi="宋体" w:cs="宋体"/>
                <w:b/>
                <w:kern w:val="1"/>
                <w:szCs w:val="21"/>
              </w:rPr>
              <w:t>必须在此之前提交，逾期不予受理。</w:t>
            </w:r>
          </w:p>
        </w:tc>
      </w:tr>
      <w:tr>
        <w:tblPrEx>
          <w:tblCellMar>
            <w:top w:w="0" w:type="dxa"/>
            <w:left w:w="108" w:type="dxa"/>
            <w:bottom w:w="0" w:type="dxa"/>
            <w:right w:w="108" w:type="dxa"/>
          </w:tblCellMar>
        </w:tblPrEx>
        <w:trPr>
          <w:trHeight w:val="395" w:hRule="atLeast"/>
          <w:jc w:val="center"/>
        </w:trPr>
        <w:tc>
          <w:tcPr>
            <w:tcW w:w="863" w:type="dxa"/>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2.2.3</w:t>
            </w:r>
          </w:p>
        </w:tc>
        <w:tc>
          <w:tcPr>
            <w:tcW w:w="2304" w:type="dxa"/>
            <w:vMerge w:val="restart"/>
            <w:tcBorders>
              <w:top w:val="single" w:color="auto" w:sz="4" w:space="0"/>
              <w:left w:val="single" w:color="auto" w:sz="4" w:space="0"/>
              <w:right w:val="single" w:color="auto" w:sz="4" w:space="0"/>
            </w:tcBorders>
            <w:noWrap w:val="0"/>
            <w:vAlign w:val="center"/>
          </w:tcPr>
          <w:p>
            <w:pPr>
              <w:snapToGrid w:val="0"/>
              <w:spacing w:line="400" w:lineRule="exact"/>
              <w:rPr>
                <w:rFonts w:ascii="宋体" w:hAnsi="宋体"/>
                <w:szCs w:val="21"/>
              </w:rPr>
            </w:pPr>
            <w:r>
              <w:rPr>
                <w:rFonts w:ascii="宋体" w:hAnsi="宋体"/>
                <w:szCs w:val="21"/>
              </w:rPr>
              <w:t>投标人确认收到招标文件澄清的时间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olor w:val="000000"/>
                <w:spacing w:val="-6"/>
                <w:szCs w:val="21"/>
              </w:rPr>
            </w:pPr>
            <w:r>
              <w:rPr>
                <w:rFonts w:ascii="宋体" w:hAnsi="宋体" w:cs="宋体"/>
                <w:kern w:val="1"/>
                <w:szCs w:val="21"/>
              </w:rPr>
              <w:t>时间：见招标公告</w:t>
            </w:r>
          </w:p>
        </w:tc>
      </w:tr>
      <w:tr>
        <w:tblPrEx>
          <w:tblCellMar>
            <w:top w:w="0" w:type="dxa"/>
            <w:left w:w="108" w:type="dxa"/>
            <w:bottom w:w="0" w:type="dxa"/>
            <w:right w:w="108" w:type="dxa"/>
          </w:tblCellMar>
        </w:tblPrEx>
        <w:trPr>
          <w:trHeight w:val="395" w:hRule="atLeast"/>
          <w:jc w:val="center"/>
        </w:trPr>
        <w:tc>
          <w:tcPr>
            <w:tcW w:w="863" w:type="dxa"/>
            <w:vMerge w:val="continue"/>
            <w:tcBorders>
              <w:left w:val="single" w:color="auto" w:sz="4" w:space="0"/>
              <w:bottom w:val="single" w:color="auto" w:sz="4" w:space="0"/>
              <w:right w:val="single" w:color="auto" w:sz="4" w:space="0"/>
            </w:tcBorders>
            <w:noWrap w:val="0"/>
            <w:vAlign w:val="center"/>
          </w:tcPr>
          <w:p>
            <w:pPr>
              <w:spacing w:line="400" w:lineRule="exact"/>
            </w:pPr>
          </w:p>
        </w:tc>
        <w:tc>
          <w:tcPr>
            <w:tcW w:w="2304" w:type="dxa"/>
            <w:vMerge w:val="continue"/>
            <w:tcBorders>
              <w:left w:val="single" w:color="auto" w:sz="4" w:space="0"/>
              <w:bottom w:val="single" w:color="auto" w:sz="4" w:space="0"/>
              <w:right w:val="single" w:color="auto" w:sz="4" w:space="0"/>
            </w:tcBorders>
            <w:noWrap w:val="0"/>
            <w:vAlign w:val="center"/>
          </w:tcPr>
          <w:p>
            <w:pPr>
              <w:spacing w:line="400" w:lineRule="exact"/>
            </w:pPr>
          </w:p>
        </w:tc>
        <w:tc>
          <w:tcPr>
            <w:tcW w:w="5957"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kern w:val="1"/>
                <w:szCs w:val="21"/>
              </w:rPr>
            </w:pPr>
            <w:r>
              <w:rPr>
                <w:rFonts w:ascii="宋体" w:hAnsi="宋体" w:cs="宋体"/>
                <w:kern w:val="1"/>
                <w:szCs w:val="21"/>
              </w:rPr>
              <w:t>形式：</w:t>
            </w:r>
            <w:r>
              <w:rPr>
                <w:rFonts w:ascii="宋体" w:hAnsi="宋体" w:cs="宋体"/>
                <w:spacing w:val="-6"/>
                <w:kern w:val="1"/>
                <w:szCs w:val="21"/>
              </w:rPr>
              <w:t>本工程招标文件的澄清、修改、补充等内容经苍南县住房和城乡建设局备案后，在</w:t>
            </w:r>
            <w:r>
              <w:rPr>
                <w:rFonts w:hint="eastAsia" w:ascii="宋体" w:hAnsi="宋体" w:cs="宋体"/>
                <w:kern w:val="1"/>
                <w:szCs w:val="21"/>
                <w:lang w:val="en-US" w:eastAsia="zh-CN"/>
              </w:rPr>
              <w:t>温州市公共资源交易网-苍南县分网</w:t>
            </w:r>
          </w:p>
          <w:p>
            <w:pPr>
              <w:jc w:val="left"/>
              <w:rPr>
                <w:rFonts w:ascii="宋体" w:hAnsi="宋体" w:cs="宋体"/>
                <w:kern w:val="1"/>
                <w:szCs w:val="21"/>
              </w:rPr>
            </w:pPr>
            <w:r>
              <w:rPr>
                <w:rFonts w:hint="eastAsia" w:ascii="宋体" w:hAnsi="宋体" w:cs="宋体"/>
                <w:kern w:val="1"/>
                <w:szCs w:val="21"/>
                <w:lang w:val="en-US" w:eastAsia="zh-CN"/>
              </w:rPr>
              <w:t>http://ggzy.cncn.gov.cn/TPFrontNew/</w:t>
            </w:r>
          </w:p>
          <w:p>
            <w:pPr>
              <w:jc w:val="left"/>
              <w:rPr>
                <w:rFonts w:ascii="宋体" w:hAnsi="宋体" w:cs="宋体"/>
                <w:spacing w:val="-6"/>
                <w:kern w:val="1"/>
                <w:szCs w:val="21"/>
              </w:rPr>
            </w:pPr>
            <w:r>
              <w:rPr>
                <w:rFonts w:ascii="宋体" w:hAnsi="宋体" w:cs="宋体"/>
                <w:spacing w:val="-6"/>
                <w:kern w:val="1"/>
                <w:szCs w:val="21"/>
              </w:rPr>
              <w:t>上发布信息向所有投标人公告，投标人应自行察看并下载上述内容，不须作收到确认。</w:t>
            </w:r>
          </w:p>
          <w:p>
            <w:pPr>
              <w:jc w:val="left"/>
              <w:rPr>
                <w:rFonts w:hint="eastAsia" w:ascii="宋体" w:hAnsi="宋体"/>
                <w:color w:val="000000"/>
                <w:spacing w:val="-6"/>
                <w:szCs w:val="21"/>
              </w:rPr>
            </w:pPr>
            <w:r>
              <w:rPr>
                <w:rFonts w:ascii="宋体" w:hAnsi="宋体" w:cs="宋体"/>
                <w:spacing w:val="-6"/>
                <w:kern w:val="1"/>
                <w:szCs w:val="21"/>
              </w:rPr>
              <w:t>请各投标人关注网站上的补充答疑，已公布的补充答疑投标人未查看的，投标人自行承担其后果。</w:t>
            </w:r>
          </w:p>
        </w:tc>
      </w:tr>
      <w:tr>
        <w:tblPrEx>
          <w:tblCellMar>
            <w:top w:w="0" w:type="dxa"/>
            <w:left w:w="108" w:type="dxa"/>
            <w:bottom w:w="0" w:type="dxa"/>
            <w:right w:w="108" w:type="dxa"/>
          </w:tblCellMar>
        </w:tblPrEx>
        <w:trPr>
          <w:trHeight w:val="55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2.3.</w:t>
            </w:r>
            <w:r>
              <w:rPr>
                <w:rFonts w:hint="eastAsia" w:ascii="宋体" w:hAnsi="宋体"/>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rPr>
                <w:rFonts w:hint="eastAsia" w:ascii="宋体" w:hAnsi="宋体" w:cs="Arial"/>
                <w:szCs w:val="21"/>
              </w:rPr>
            </w:pPr>
            <w:r>
              <w:rPr>
                <w:rFonts w:hint="eastAsia" w:ascii="宋体" w:hAnsi="宋体"/>
                <w:szCs w:val="21"/>
              </w:rPr>
              <w:t>招标文件的修改时间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rPr>
                <w:rFonts w:hint="eastAsia" w:ascii="宋体" w:hAnsi="宋体" w:cs="Arial"/>
                <w:szCs w:val="21"/>
              </w:rPr>
            </w:pPr>
            <w:r>
              <w:rPr>
                <w:rFonts w:ascii="宋体" w:hAnsi="宋体" w:cs="宋体"/>
                <w:kern w:val="1"/>
                <w:szCs w:val="21"/>
              </w:rPr>
              <w:t>见时间安排表</w:t>
            </w:r>
          </w:p>
        </w:tc>
      </w:tr>
      <w:tr>
        <w:tblPrEx>
          <w:tblCellMar>
            <w:top w:w="0" w:type="dxa"/>
            <w:left w:w="108" w:type="dxa"/>
            <w:bottom w:w="0" w:type="dxa"/>
            <w:right w:w="108" w:type="dxa"/>
          </w:tblCellMar>
        </w:tblPrEx>
        <w:trPr>
          <w:trHeight w:val="38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2.3.2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pacing w:val="-8"/>
                <w:szCs w:val="21"/>
              </w:rPr>
            </w:pPr>
            <w:r>
              <w:rPr>
                <w:rFonts w:ascii="宋体" w:hAnsi="宋体"/>
                <w:szCs w:val="21"/>
              </w:rPr>
              <w:t>投标人确认收到招标文件修改的时间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cs="Arial"/>
                <w:color w:val="000000"/>
                <w:szCs w:val="21"/>
              </w:rPr>
              <w:t>同本章前附表2.2.3</w:t>
            </w:r>
          </w:p>
        </w:tc>
      </w:tr>
      <w:tr>
        <w:tblPrEx>
          <w:tblCellMar>
            <w:top w:w="0" w:type="dxa"/>
            <w:left w:w="108" w:type="dxa"/>
            <w:bottom w:w="0" w:type="dxa"/>
            <w:right w:w="108" w:type="dxa"/>
          </w:tblCellMar>
        </w:tblPrEx>
        <w:trPr>
          <w:trHeight w:val="59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3.1</w:t>
            </w:r>
            <w:r>
              <w:rPr>
                <w:rFonts w:hint="eastAsia" w:ascii="宋体" w:hAnsi="宋体"/>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ascii="宋体" w:hAnsi="宋体"/>
                <w:szCs w:val="21"/>
              </w:rPr>
              <w:t>投标文件</w:t>
            </w:r>
            <w:r>
              <w:rPr>
                <w:rFonts w:hint="eastAsia" w:ascii="宋体" w:hAnsi="宋体"/>
                <w:szCs w:val="21"/>
              </w:rPr>
              <w:t>包括的内容</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技术标、商务标、资信标、</w:t>
            </w:r>
            <w:r>
              <w:rPr>
                <w:rFonts w:hint="eastAsia" w:ascii="宋体" w:hAnsi="宋体"/>
                <w:b/>
                <w:szCs w:val="21"/>
                <w:u w:val="single"/>
              </w:rPr>
              <w:t>资格审查文件</w:t>
            </w:r>
          </w:p>
        </w:tc>
      </w:tr>
      <w:tr>
        <w:tblPrEx>
          <w:tblCellMar>
            <w:top w:w="0" w:type="dxa"/>
            <w:left w:w="108" w:type="dxa"/>
            <w:bottom w:w="0" w:type="dxa"/>
            <w:right w:w="108" w:type="dxa"/>
          </w:tblCellMar>
        </w:tblPrEx>
        <w:trPr>
          <w:trHeight w:val="34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3.1</w:t>
            </w:r>
            <w:r>
              <w:rPr>
                <w:rFonts w:hint="eastAsia" w:ascii="宋体" w:hAnsi="宋体"/>
                <w:szCs w:val="21"/>
              </w:rPr>
              <w:t>.3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hint="eastAsia" w:ascii="宋体" w:hAnsi="宋体"/>
                <w:szCs w:val="21"/>
              </w:rPr>
              <w:t>技术标内容及编制要求</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宋体" w:hAnsi="宋体"/>
                <w:szCs w:val="21"/>
              </w:rPr>
            </w:pPr>
            <w:r>
              <w:rPr>
                <w:rFonts w:hint="eastAsia" w:ascii="宋体" w:hAnsi="宋体"/>
                <w:szCs w:val="21"/>
              </w:rPr>
              <w:t>1、技术标内容</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①</w:t>
            </w:r>
            <w:r>
              <w:rPr>
                <w:rFonts w:hint="eastAsia" w:ascii="宋体" w:hAnsi="宋体"/>
                <w:szCs w:val="21"/>
              </w:rPr>
              <w:t>针对本项目质量目标控制及手段</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②</w:t>
            </w:r>
            <w:r>
              <w:rPr>
                <w:rFonts w:hint="eastAsia" w:ascii="宋体" w:hAnsi="宋体"/>
                <w:szCs w:val="21"/>
              </w:rPr>
              <w:t>针对本项目进度目标控制及手段</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③</w:t>
            </w:r>
            <w:r>
              <w:rPr>
                <w:rFonts w:hint="eastAsia" w:ascii="宋体" w:hAnsi="宋体"/>
                <w:szCs w:val="21"/>
              </w:rPr>
              <w:t>针对本项目投资目标控制及手段</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④</w:t>
            </w:r>
            <w:r>
              <w:rPr>
                <w:rFonts w:hint="eastAsia" w:ascii="宋体" w:hAnsi="宋体"/>
                <w:szCs w:val="21"/>
              </w:rPr>
              <w:t>针对本项目现场安全、文明施工管理的措施及手段</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⑤</w:t>
            </w:r>
            <w:r>
              <w:rPr>
                <w:rFonts w:hint="eastAsia" w:ascii="宋体" w:hAnsi="宋体"/>
                <w:szCs w:val="21"/>
              </w:rPr>
              <w:t>其他如合同管理、工程信息资料管理等措施</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⑥</w:t>
            </w:r>
            <w:r>
              <w:rPr>
                <w:rFonts w:hint="eastAsia" w:ascii="宋体" w:hAnsi="宋体"/>
                <w:szCs w:val="21"/>
              </w:rPr>
              <w:t>针对本项目各专业工程配合，协调管理的措施</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⑦</w:t>
            </w:r>
            <w:r>
              <w:rPr>
                <w:rFonts w:hint="eastAsia" w:ascii="宋体" w:hAnsi="宋体"/>
                <w:szCs w:val="21"/>
              </w:rPr>
              <w:t>针对本工程合理化建议</w:t>
            </w:r>
            <w:r>
              <w:rPr>
                <w:rFonts w:hint="eastAsia" w:ascii="宋体" w:hAnsi="宋体"/>
                <w:szCs w:val="21"/>
                <w:lang w:eastAsia="zh-CN"/>
              </w:rPr>
              <w:t>；</w:t>
            </w:r>
          </w:p>
          <w:p>
            <w:pPr>
              <w:snapToGrid w:val="0"/>
              <w:spacing w:line="340" w:lineRule="exact"/>
              <w:rPr>
                <w:rFonts w:hint="eastAsia" w:ascii="宋体" w:hAnsi="宋体" w:eastAsia="宋体"/>
                <w:szCs w:val="21"/>
                <w:lang w:eastAsia="zh-CN"/>
              </w:rPr>
            </w:pPr>
            <w:r>
              <w:rPr>
                <w:rFonts w:hint="eastAsia" w:ascii="宋体" w:hAnsi="宋体"/>
                <w:szCs w:val="21"/>
                <w:lang w:val="en-US" w:eastAsia="zh-CN"/>
              </w:rPr>
              <w:t>⑧</w:t>
            </w:r>
            <w:r>
              <w:rPr>
                <w:rFonts w:hint="eastAsia" w:ascii="宋体" w:hAnsi="宋体"/>
                <w:szCs w:val="21"/>
              </w:rPr>
              <w:t>针对本项目监理工作重点与难点及监理措施</w:t>
            </w:r>
            <w:r>
              <w:rPr>
                <w:rFonts w:hint="eastAsia" w:ascii="宋体" w:hAnsi="宋体"/>
                <w:szCs w:val="21"/>
                <w:lang w:eastAsia="zh-CN"/>
              </w:rPr>
              <w:t>。</w:t>
            </w:r>
          </w:p>
          <w:p>
            <w:pPr>
              <w:snapToGrid w:val="0"/>
              <w:spacing w:line="340" w:lineRule="exact"/>
              <w:rPr>
                <w:rFonts w:hint="eastAsia" w:ascii="宋体" w:hAnsi="宋体"/>
                <w:szCs w:val="21"/>
              </w:rPr>
            </w:pPr>
            <w:r>
              <w:rPr>
                <w:rFonts w:hint="eastAsia" w:ascii="宋体" w:hAnsi="宋体"/>
                <w:szCs w:val="21"/>
              </w:rPr>
              <w:t>2、</w:t>
            </w:r>
            <w:r>
              <w:rPr>
                <w:rFonts w:hint="eastAsia" w:ascii="宋体" w:hAnsi="宋体"/>
                <w:b/>
                <w:szCs w:val="21"/>
              </w:rPr>
              <w:t>技术标采用暗标编制要求</w:t>
            </w:r>
          </w:p>
          <w:p>
            <w:pPr>
              <w:snapToGrid w:val="0"/>
              <w:spacing w:line="280" w:lineRule="exact"/>
              <w:ind w:firstLine="420" w:firstLineChars="200"/>
              <w:rPr>
                <w:rFonts w:hint="eastAsia" w:ascii="宋体" w:hAnsi="宋体" w:cs="宋体"/>
                <w:b/>
                <w:color w:val="auto"/>
                <w:szCs w:val="21"/>
                <w:highlight w:val="none"/>
                <w:u w:val="single"/>
              </w:rPr>
            </w:pPr>
            <w:r>
              <w:rPr>
                <w:rFonts w:hint="eastAsia" w:ascii="宋体" w:hAnsi="宋体"/>
                <w:szCs w:val="21"/>
                <w:u w:val="single"/>
              </w:rPr>
              <w:t>技术标应采用A4规格白色复印纸，文字采用中文电脑打印、小四号宋体（附图、表除外），正文字体行距为1.5倍行距，采用左侧粘胶制作成册（即卡胶制作）；</w:t>
            </w:r>
            <w:r>
              <w:rPr>
                <w:rFonts w:hint="eastAsia" w:ascii="宋体" w:hAnsi="宋体"/>
                <w:color w:val="0000FF"/>
                <w:szCs w:val="21"/>
                <w:u w:val="single"/>
              </w:rPr>
              <w:t>封面及封底为白底白面（正反面白底白面），不得有任何标记，页数不超过60页（不包括封面、目录、附图、表），正文印上页码（页码编制：底部居中，小五号宋体）</w:t>
            </w:r>
            <w:r>
              <w:rPr>
                <w:rFonts w:hint="eastAsia" w:ascii="宋体" w:hAnsi="宋体"/>
                <w:szCs w:val="21"/>
                <w:u w:val="single"/>
              </w:rPr>
              <w:t>；附图、表可以采用A3复印白纸折成A4样式装订，但不允许采用彩色图表，不得出现黑体字（包括字体加粗）。</w:t>
            </w:r>
          </w:p>
          <w:p>
            <w:pPr>
              <w:snapToGrid w:val="0"/>
              <w:spacing w:line="340" w:lineRule="exact"/>
              <w:rPr>
                <w:rFonts w:hint="eastAsia" w:ascii="宋体" w:hAnsi="宋体"/>
                <w:szCs w:val="21"/>
              </w:rPr>
            </w:pPr>
            <w:r>
              <w:rPr>
                <w:rFonts w:hint="eastAsia" w:ascii="宋体" w:hAnsi="宋体"/>
                <w:szCs w:val="21"/>
              </w:rPr>
              <w:t>3、</w:t>
            </w:r>
            <w:r>
              <w:rPr>
                <w:rFonts w:hint="eastAsia" w:ascii="宋体" w:hAnsi="宋体"/>
                <w:b/>
                <w:szCs w:val="21"/>
              </w:rPr>
              <w:t>技术标采用暗标标记要求</w:t>
            </w:r>
          </w:p>
          <w:p>
            <w:pPr>
              <w:snapToGrid w:val="0"/>
              <w:spacing w:line="280" w:lineRule="exact"/>
              <w:ind w:firstLine="420" w:firstLineChars="200"/>
              <w:rPr>
                <w:rFonts w:hint="eastAsia" w:ascii="宋体" w:hAnsi="宋体" w:eastAsia="宋体" w:cs="Times New Roman"/>
                <w:szCs w:val="21"/>
                <w:u w:val="single"/>
              </w:rPr>
            </w:pPr>
            <w:r>
              <w:rPr>
                <w:rFonts w:hint="eastAsia" w:ascii="宋体" w:hAnsi="宋体" w:eastAsia="宋体" w:cs="Times New Roman"/>
                <w:szCs w:val="21"/>
                <w:u w:val="single"/>
              </w:rPr>
              <w:t>技术标（不分正副本，一式七份）内容采用暗标形式编写，</w:t>
            </w:r>
            <w:r>
              <w:rPr>
                <w:rFonts w:hint="eastAsia" w:ascii="宋体" w:hAnsi="宋体" w:eastAsia="宋体" w:cs="Times New Roman"/>
                <w:szCs w:val="21"/>
                <w:u w:val="single"/>
                <w:lang w:eastAsia="zh-CN"/>
              </w:rPr>
              <w:t>（</w:t>
            </w:r>
            <w:r>
              <w:rPr>
                <w:rFonts w:hint="eastAsia" w:ascii="宋体" w:hAnsi="宋体" w:eastAsia="宋体" w:cs="Times New Roman"/>
                <w:szCs w:val="21"/>
                <w:u w:val="single"/>
              </w:rPr>
              <w:t>技术标不得盖有投标单位任何印章</w:t>
            </w:r>
            <w:r>
              <w:rPr>
                <w:rFonts w:hint="eastAsia" w:ascii="宋体" w:hAnsi="宋体" w:eastAsia="宋体" w:cs="Times New Roman"/>
                <w:szCs w:val="21"/>
                <w:u w:val="single"/>
                <w:lang w:eastAsia="zh-CN"/>
              </w:rPr>
              <w:t>）</w:t>
            </w:r>
            <w:r>
              <w:rPr>
                <w:rFonts w:hint="eastAsia" w:ascii="宋体" w:hAnsi="宋体" w:eastAsia="宋体" w:cs="Times New Roman"/>
                <w:szCs w:val="21"/>
                <w:u w:val="single"/>
              </w:rPr>
              <w:t>，标书内容不得出现投标单位名字或其他可能泄露投标单位情况的文字、符号或标记。</w:t>
            </w:r>
          </w:p>
          <w:p>
            <w:pPr>
              <w:snapToGrid w:val="0"/>
              <w:spacing w:line="340" w:lineRule="exact"/>
              <w:rPr>
                <w:rFonts w:hint="eastAsia" w:ascii="宋体" w:hAnsi="宋体"/>
                <w:b/>
                <w:szCs w:val="21"/>
              </w:rPr>
            </w:pPr>
            <w:r>
              <w:rPr>
                <w:rFonts w:hint="eastAsia" w:ascii="宋体" w:hAnsi="宋体"/>
                <w:b/>
                <w:szCs w:val="21"/>
              </w:rPr>
              <w:t>4、技术标作否决其投标处理的情况：</w:t>
            </w:r>
          </w:p>
          <w:p>
            <w:pPr>
              <w:snapToGrid w:val="0"/>
              <w:spacing w:line="340" w:lineRule="exact"/>
              <w:ind w:firstLine="420" w:firstLineChars="200"/>
              <w:rPr>
                <w:rFonts w:hint="eastAsia" w:ascii="宋体" w:hAnsi="宋体"/>
                <w:szCs w:val="21"/>
                <w:u w:val="single"/>
              </w:rPr>
            </w:pPr>
            <w:r>
              <w:rPr>
                <w:rFonts w:hint="eastAsia" w:ascii="宋体" w:hAnsi="宋体"/>
                <w:szCs w:val="21"/>
                <w:u w:val="single"/>
              </w:rPr>
              <w:t>（1）投标人没有按照上述2、3规定要求执行或存在其他异常编写情况的，经评标委员会评审认定投标人的技术标存在做标记的嫌疑的，评标委员会有权作否决其投标处理。</w:t>
            </w:r>
          </w:p>
          <w:p>
            <w:pPr>
              <w:snapToGrid w:val="0"/>
              <w:spacing w:line="340" w:lineRule="exact"/>
              <w:ind w:firstLine="420" w:firstLineChars="200"/>
              <w:rPr>
                <w:rFonts w:hint="eastAsia" w:ascii="宋体" w:hAnsi="宋体"/>
                <w:szCs w:val="21"/>
                <w:u w:val="single"/>
              </w:rPr>
            </w:pPr>
            <w:r>
              <w:rPr>
                <w:rFonts w:hint="eastAsia" w:ascii="宋体" w:hAnsi="宋体"/>
                <w:szCs w:val="21"/>
                <w:u w:val="single"/>
              </w:rPr>
              <w:t>（2）投标人技术标出现特定的工程名称、特定的地域性奖项或业绩、特定的人员名称，或其他特定性的信息和内容；经评标委员会评审认定投标人的技术标存在透漏投标单位或相关人员身份信息的嫌疑的，评标委员会有权作否决其投标处理。</w:t>
            </w:r>
          </w:p>
          <w:p>
            <w:pPr>
              <w:snapToGrid w:val="0"/>
              <w:spacing w:line="340" w:lineRule="exact"/>
              <w:ind w:firstLine="420" w:firstLineChars="200"/>
              <w:rPr>
                <w:rFonts w:hint="eastAsia" w:ascii="宋体" w:hAnsi="宋体"/>
                <w:szCs w:val="21"/>
                <w:u w:val="single"/>
              </w:rPr>
            </w:pPr>
            <w:r>
              <w:rPr>
                <w:rFonts w:hint="eastAsia" w:ascii="宋体" w:hAnsi="宋体"/>
                <w:szCs w:val="21"/>
                <w:u w:val="single"/>
              </w:rPr>
              <w:t>（3）投标人技术标如盖有投标人任何印章的，或出现泄露投标单位情况的文字、符号或标记的；经评标委员会评审认定，评标委员会作否决其投标处理。</w:t>
            </w:r>
          </w:p>
        </w:tc>
      </w:tr>
      <w:tr>
        <w:tblPrEx>
          <w:tblCellMar>
            <w:top w:w="0" w:type="dxa"/>
            <w:left w:w="108" w:type="dxa"/>
            <w:bottom w:w="0" w:type="dxa"/>
            <w:right w:w="108" w:type="dxa"/>
          </w:tblCellMar>
        </w:tblPrEx>
        <w:trPr>
          <w:trHeight w:val="88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3.1</w:t>
            </w:r>
            <w:r>
              <w:rPr>
                <w:rFonts w:hint="eastAsia" w:ascii="宋体" w:hAnsi="宋体"/>
                <w:szCs w:val="21"/>
              </w:rPr>
              <w:t>.4</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b/>
                <w:szCs w:val="21"/>
              </w:rPr>
            </w:pPr>
            <w:r>
              <w:rPr>
                <w:rFonts w:hint="eastAsia" w:ascii="宋体" w:hAnsi="宋体"/>
                <w:b/>
                <w:szCs w:val="21"/>
              </w:rPr>
              <w:t>资信标内容及</w:t>
            </w:r>
          </w:p>
          <w:p>
            <w:pPr>
              <w:snapToGrid w:val="0"/>
              <w:spacing w:line="300" w:lineRule="exact"/>
              <w:jc w:val="center"/>
              <w:rPr>
                <w:rFonts w:ascii="宋体" w:hAnsi="宋体"/>
                <w:szCs w:val="21"/>
              </w:rPr>
            </w:pPr>
            <w:r>
              <w:rPr>
                <w:rFonts w:hint="eastAsia" w:ascii="宋体" w:hAnsi="宋体"/>
                <w:b/>
                <w:szCs w:val="21"/>
              </w:rPr>
              <w:t>编制要求</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宋体" w:hAnsi="宋体"/>
                <w:szCs w:val="21"/>
              </w:rPr>
            </w:pPr>
            <w:r>
              <w:rPr>
                <w:rFonts w:hint="eastAsia" w:ascii="宋体" w:hAnsi="宋体"/>
                <w:szCs w:val="21"/>
              </w:rPr>
              <w:t>资信标内容：</w:t>
            </w:r>
            <w:r>
              <w:rPr>
                <w:rFonts w:hint="eastAsia" w:ascii="宋体" w:hAnsi="宋体"/>
                <w:b/>
              </w:rPr>
              <w:t>具体以资信标评分表内容及要求为准。</w:t>
            </w:r>
          </w:p>
        </w:tc>
      </w:tr>
      <w:tr>
        <w:tblPrEx>
          <w:tblCellMar>
            <w:top w:w="0" w:type="dxa"/>
            <w:left w:w="108" w:type="dxa"/>
            <w:bottom w:w="0" w:type="dxa"/>
            <w:right w:w="108" w:type="dxa"/>
          </w:tblCellMar>
        </w:tblPrEx>
        <w:trPr>
          <w:trHeight w:val="61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3.</w:t>
            </w:r>
            <w:r>
              <w:rPr>
                <w:rFonts w:hint="eastAsia" w:ascii="宋体" w:hAnsi="宋体"/>
                <w:szCs w:val="21"/>
              </w:rPr>
              <w:t>2.2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是否设置最高限价</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是，详见评标办法</w:t>
            </w:r>
          </w:p>
        </w:tc>
      </w:tr>
      <w:tr>
        <w:tblPrEx>
          <w:tblCellMar>
            <w:top w:w="0" w:type="dxa"/>
            <w:left w:w="108" w:type="dxa"/>
            <w:bottom w:w="0" w:type="dxa"/>
            <w:right w:w="108" w:type="dxa"/>
          </w:tblCellMar>
        </w:tblPrEx>
        <w:trPr>
          <w:trHeight w:val="135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3.2.4</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rPr>
            </w:pPr>
            <w:r>
              <w:rPr>
                <w:rFonts w:hint="eastAsia" w:ascii="宋体" w:hAnsi="宋体"/>
              </w:rPr>
              <w:t>投标报价其他情况</w:t>
            </w:r>
          </w:p>
          <w:p>
            <w:pPr>
              <w:snapToGrid w:val="0"/>
              <w:spacing w:line="300" w:lineRule="exact"/>
              <w:jc w:val="center"/>
              <w:rPr>
                <w:rFonts w:hint="eastAsia" w:ascii="宋体" w:hAnsi="宋体"/>
                <w:szCs w:val="21"/>
              </w:rPr>
            </w:pPr>
            <w:r>
              <w:rPr>
                <w:rFonts w:hint="eastAsia" w:ascii="宋体" w:hAnsi="宋体"/>
              </w:rPr>
              <w:t>说明</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Arial Unicode MS" w:hAnsi="Arial Unicode MS" w:cs="宋体"/>
                <w:kern w:val="1"/>
                <w:szCs w:val="21"/>
              </w:rPr>
            </w:pPr>
            <w:r>
              <w:rPr>
                <w:rFonts w:hint="eastAsia" w:ascii="宋体" w:hAnsi="宋体" w:cs="宋体"/>
                <w:color w:val="auto"/>
                <w:szCs w:val="21"/>
                <w:highlight w:val="none"/>
              </w:rPr>
              <w:t>投标人的监理费应当是在监理服务期内，监理单位按照合同规定的范围所提供全部服务所需要的费用。</w:t>
            </w:r>
            <w:r>
              <w:rPr>
                <w:rFonts w:hint="eastAsia" w:ascii="宋体" w:hAnsi="宋体"/>
                <w:color w:val="0000FF"/>
                <w:szCs w:val="21"/>
              </w:rPr>
              <w:t>监理费</w:t>
            </w:r>
            <w:r>
              <w:rPr>
                <w:rFonts w:hint="eastAsia" w:ascii="宋体"/>
                <w:color w:val="0000FF"/>
                <w:szCs w:val="21"/>
              </w:rPr>
              <w:t>包括监理服务期内的额外工作时间、附加工作时间、夜班施工、节假日加班费用等</w:t>
            </w:r>
            <w:r>
              <w:rPr>
                <w:rFonts w:hint="eastAsia" w:ascii="宋体" w:hAnsi="宋体"/>
                <w:color w:val="0000FF"/>
                <w:szCs w:val="21"/>
              </w:rPr>
              <w:t>。</w:t>
            </w:r>
            <w:r>
              <w:rPr>
                <w:rFonts w:hint="eastAsia" w:ascii="Arial Unicode MS" w:hAnsi="Arial Unicode MS" w:cs="宋体"/>
                <w:kern w:val="1"/>
                <w:szCs w:val="21"/>
              </w:rPr>
              <w:t>除包括招标文件约定的有关风险费用外，另包括：</w:t>
            </w:r>
          </w:p>
          <w:p>
            <w:pPr>
              <w:spacing w:line="320" w:lineRule="exact"/>
              <w:rPr>
                <w:rFonts w:ascii="Arial Unicode MS" w:hAnsi="Arial Unicode MS" w:cs="宋体"/>
                <w:kern w:val="1"/>
                <w:szCs w:val="21"/>
              </w:rPr>
            </w:pPr>
            <w:r>
              <w:rPr>
                <w:rFonts w:ascii="Arial Unicode MS" w:hAnsi="Arial Unicode MS" w:cs="宋体"/>
                <w:kern w:val="1"/>
                <w:szCs w:val="21"/>
              </w:rPr>
              <w:t>（1）生活、办公必需的设施、交通工具、办公用房（除发包人提供监理用房外）、住宿用房、通讯工具以及各种测量仪器、均由监理人自备，其费用计入监理服务费报价；以及造价、文秘、驾驶、后勤等监理工作所需的辅助人员，均由监理人按需要自行聘用，其费用计入监理服务费报价中。</w:t>
            </w:r>
          </w:p>
          <w:p>
            <w:pPr>
              <w:snapToGrid w:val="0"/>
              <w:spacing w:line="400" w:lineRule="exact"/>
              <w:rPr>
                <w:rFonts w:ascii="宋体" w:hAnsi="宋体"/>
                <w:szCs w:val="21"/>
              </w:rPr>
            </w:pPr>
            <w:r>
              <w:rPr>
                <w:rFonts w:ascii="Arial Unicode MS" w:hAnsi="Arial Unicode MS" w:cs="宋体"/>
                <w:kern w:val="1"/>
                <w:szCs w:val="21"/>
              </w:rPr>
              <w:t>（2）监理费不包括监理额外工作报酬、附加工作报酬、其他技术咨询服务报酬和招标人给付的奖金。</w:t>
            </w:r>
          </w:p>
        </w:tc>
      </w:tr>
      <w:tr>
        <w:tblPrEx>
          <w:tblCellMar>
            <w:top w:w="0" w:type="dxa"/>
            <w:left w:w="108" w:type="dxa"/>
            <w:bottom w:w="0" w:type="dxa"/>
            <w:right w:w="108" w:type="dxa"/>
          </w:tblCellMar>
        </w:tblPrEx>
        <w:trPr>
          <w:trHeight w:val="510"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3.3.1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投标有效期</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60日历天</w:t>
            </w:r>
          </w:p>
        </w:tc>
      </w:tr>
      <w:tr>
        <w:tblPrEx>
          <w:tblCellMar>
            <w:top w:w="0" w:type="dxa"/>
            <w:left w:w="108" w:type="dxa"/>
            <w:bottom w:w="0" w:type="dxa"/>
            <w:right w:w="108" w:type="dxa"/>
          </w:tblCellMar>
        </w:tblPrEx>
        <w:trPr>
          <w:trHeight w:val="144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3.4.1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kern w:val="0"/>
                <w:szCs w:val="21"/>
              </w:rPr>
              <w:t>投标保证金</w:t>
            </w:r>
          </w:p>
        </w:tc>
        <w:tc>
          <w:tcPr>
            <w:tcW w:w="5957" w:type="dxa"/>
            <w:tcBorders>
              <w:top w:val="single" w:color="auto" w:sz="4" w:space="0"/>
              <w:left w:val="single" w:color="auto" w:sz="4" w:space="0"/>
              <w:bottom w:val="single" w:color="auto" w:sz="4" w:space="0"/>
              <w:right w:val="single" w:color="auto" w:sz="4" w:space="0"/>
            </w:tcBorders>
            <w:noWrap w:val="0"/>
            <w:vAlign w:val="bottom"/>
          </w:tcPr>
          <w:p>
            <w:pPr>
              <w:widowControl/>
              <w:shd w:val="clear" w:color="auto" w:fill="FFFFFF"/>
              <w:spacing w:line="360" w:lineRule="exact"/>
              <w:rPr>
                <w:rFonts w:ascii="宋体" w:hAnsi="宋体" w:cs="宋体"/>
                <w:color w:val="000000"/>
                <w:kern w:val="0"/>
                <w:szCs w:val="21"/>
              </w:rPr>
            </w:pPr>
            <w:r>
              <w:rPr>
                <w:rFonts w:hint="eastAsia" w:ascii="宋体" w:hAnsi="宋体" w:cs="宋体"/>
                <w:color w:val="000000"/>
                <w:kern w:val="0"/>
                <w:szCs w:val="21"/>
                <w:highlight w:val="white"/>
              </w:rPr>
              <w:t>1、提交方式：银行转账或银行保函或</w:t>
            </w:r>
            <w:r>
              <w:rPr>
                <w:rFonts w:hint="eastAsia" w:ascii="宋体" w:hAnsi="宋体" w:cs="宋体"/>
                <w:color w:val="000000"/>
              </w:rPr>
              <w:t>电子保险保函</w:t>
            </w:r>
            <w:r>
              <w:rPr>
                <w:rFonts w:hint="eastAsia" w:ascii="宋体" w:hAnsi="宋体" w:cs="宋体"/>
                <w:color w:val="000000"/>
                <w:kern w:val="0"/>
                <w:szCs w:val="21"/>
                <w:highlight w:val="white"/>
              </w:rPr>
              <w:t>；</w:t>
            </w:r>
            <w:r>
              <w:rPr>
                <w:rFonts w:ascii="宋体" w:hAnsi="宋体" w:cs="宋体"/>
                <w:color w:val="000000"/>
                <w:kern w:val="0"/>
                <w:szCs w:val="21"/>
              </w:rPr>
              <w:t xml:space="preserve"> </w:t>
            </w:r>
          </w:p>
          <w:p>
            <w:pPr>
              <w:widowControl/>
              <w:shd w:val="clear" w:color="auto" w:fill="FFFFFF"/>
              <w:spacing w:line="360" w:lineRule="exact"/>
              <w:rPr>
                <w:rFonts w:hint="eastAsia" w:ascii="宋体" w:hAnsi="宋体" w:cs="宋体"/>
                <w:b/>
                <w:color w:val="000000"/>
                <w:kern w:val="0"/>
                <w:szCs w:val="21"/>
              </w:rPr>
            </w:pPr>
            <w:r>
              <w:rPr>
                <w:rFonts w:hint="eastAsia" w:ascii="宋体" w:hAnsi="宋体" w:cs="宋体"/>
                <w:b/>
                <w:color w:val="000000"/>
                <w:kern w:val="0"/>
                <w:szCs w:val="21"/>
                <w:highlight w:val="white"/>
              </w:rPr>
              <w:t>金额：</w:t>
            </w:r>
            <w:r>
              <w:rPr>
                <w:rFonts w:hint="eastAsia" w:ascii="宋体" w:hAnsi="宋体" w:cs="宋体"/>
                <w:b/>
                <w:color w:val="000000"/>
                <w:kern w:val="0"/>
                <w:szCs w:val="21"/>
                <w:highlight w:val="white"/>
                <w:lang w:val="en-US" w:eastAsia="zh-CN"/>
              </w:rPr>
              <w:t xml:space="preserve">金额：人民币90000 元（大写玖万元整）； </w:t>
            </w:r>
          </w:p>
          <w:p>
            <w:pPr>
              <w:widowControl/>
              <w:numPr>
                <w:ilvl w:val="0"/>
                <w:numId w:val="1"/>
              </w:numPr>
              <w:shd w:val="clear" w:color="auto" w:fill="FFFFFF"/>
              <w:spacing w:line="360" w:lineRule="exact"/>
              <w:rPr>
                <w:rFonts w:hint="eastAsia" w:ascii="宋体" w:hAnsi="宋体" w:cs="宋体"/>
                <w:color w:val="000000"/>
              </w:rPr>
            </w:pPr>
            <w:r>
              <w:rPr>
                <w:rFonts w:hint="eastAsia" w:ascii="宋体" w:hAnsi="宋体" w:cs="宋体"/>
                <w:color w:val="000000"/>
              </w:rPr>
              <w:t>（一）</w:t>
            </w:r>
            <w:r>
              <w:rPr>
                <w:rFonts w:ascii="宋体" w:hAnsi="宋体" w:cs="宋体"/>
                <w:color w:val="000000"/>
              </w:rPr>
              <w:t>投标人应按招标文件要求提交投标担保，投标担保采用直接向苍南县公共资源交易中心提交投标保证金的方式的</w:t>
            </w:r>
            <w:r>
              <w:rPr>
                <w:rFonts w:hint="eastAsia" w:ascii="宋体" w:hAnsi="宋体" w:cs="宋体"/>
                <w:color w:val="000000"/>
              </w:rPr>
              <w:t>，</w:t>
            </w:r>
            <w:r>
              <w:rPr>
                <w:rFonts w:hint="eastAsia" w:ascii="宋体" w:hAnsi="宋体" w:cs="宋体"/>
                <w:b/>
                <w:bCs/>
                <w:color w:val="000000"/>
              </w:rPr>
              <w:t>下述三个保证金账户成功汇入任意一个账户均可。</w:t>
            </w:r>
            <w:r>
              <w:rPr>
                <w:rFonts w:ascii="宋体" w:hAnsi="宋体" w:cs="宋体"/>
                <w:color w:val="000000"/>
              </w:rPr>
              <w:t>投标保证金数额必须在本工程开标前到达规定账户，且投标保证金必须从投标单位银行基本帐户汇出，不得现金解入，不得通过投标单位分支机构或第三者帐户转入，且投标保证金的金额须符合投标须知前附表的规定，否则应当否决其投标</w:t>
            </w:r>
            <w:r>
              <w:rPr>
                <w:rFonts w:hint="eastAsia" w:ascii="宋体" w:hAnsi="宋体" w:cs="宋体"/>
                <w:color w:val="000000"/>
              </w:rPr>
              <w:t>。</w:t>
            </w:r>
          </w:p>
          <w:p>
            <w:pPr>
              <w:widowControl/>
              <w:shd w:val="clear" w:color="auto" w:fill="FFFFFF"/>
              <w:spacing w:line="360" w:lineRule="exact"/>
              <w:rPr>
                <w:rFonts w:hint="eastAsia" w:ascii="宋体" w:hAnsi="宋体" w:eastAsia="宋体" w:cs="宋体"/>
                <w:color w:val="0000FF"/>
              </w:rPr>
            </w:pPr>
            <w:r>
              <w:rPr>
                <w:rFonts w:hint="eastAsia" w:ascii="宋体" w:hAnsi="宋体" w:eastAsia="宋体" w:cs="宋体"/>
                <w:color w:val="0000FF"/>
              </w:rPr>
              <w:t>①投标保证金汇入的户名：苍南县招标投标工作指导中心保证金专户</w:t>
            </w:r>
          </w:p>
          <w:p>
            <w:pPr>
              <w:widowControl/>
              <w:shd w:val="clear" w:color="auto" w:fill="FFFFFF"/>
              <w:spacing w:line="360" w:lineRule="exact"/>
              <w:rPr>
                <w:rFonts w:hint="eastAsia" w:ascii="宋体" w:hAnsi="宋体" w:eastAsia="宋体" w:cs="宋体"/>
                <w:color w:val="0000FF"/>
              </w:rPr>
            </w:pPr>
            <w:r>
              <w:rPr>
                <w:rFonts w:hint="eastAsia" w:ascii="宋体" w:hAnsi="宋体" w:eastAsia="宋体" w:cs="宋体"/>
                <w:color w:val="0000FF"/>
              </w:rPr>
              <w:t xml:space="preserve">开户银行：中国工商银行股份有限公司苍南支行 </w:t>
            </w:r>
          </w:p>
          <w:p>
            <w:pPr>
              <w:widowControl/>
              <w:shd w:val="clear" w:color="auto" w:fill="FFFFFF"/>
              <w:spacing w:line="360" w:lineRule="exact"/>
              <w:rPr>
                <w:rFonts w:hint="eastAsia" w:ascii="宋体" w:hAnsi="宋体" w:eastAsia="宋体" w:cs="宋体"/>
                <w:color w:val="0000FF"/>
              </w:rPr>
            </w:pPr>
            <w:r>
              <w:rPr>
                <w:rFonts w:hint="eastAsia" w:ascii="宋体" w:hAnsi="宋体" w:eastAsia="宋体" w:cs="宋体"/>
                <w:color w:val="0000FF"/>
              </w:rPr>
              <w:t>银行账户：</w:t>
            </w:r>
          </w:p>
          <w:p>
            <w:pPr>
              <w:widowControl/>
              <w:shd w:val="clear" w:color="auto" w:fill="FFFFFF"/>
              <w:spacing w:line="360" w:lineRule="exact"/>
              <w:rPr>
                <w:rFonts w:hint="eastAsia" w:ascii="宋体" w:hAnsi="宋体" w:cs="宋体"/>
                <w:color w:val="0000FF"/>
              </w:rPr>
            </w:pPr>
            <w:r>
              <w:rPr>
                <w:rFonts w:hint="eastAsia" w:ascii="宋体" w:hAnsi="宋体" w:cs="宋体"/>
                <w:color w:val="0000FF"/>
              </w:rPr>
              <w:t>②投标保证金汇入的户名：苍南县招标投标工作指导中心保证金专户</w:t>
            </w:r>
          </w:p>
          <w:p>
            <w:pPr>
              <w:widowControl/>
              <w:shd w:val="clear" w:color="auto" w:fill="FFFFFF"/>
              <w:spacing w:line="360" w:lineRule="exact"/>
              <w:ind w:left="357" w:hanging="360"/>
              <w:rPr>
                <w:rFonts w:hint="eastAsia" w:ascii="宋体" w:hAnsi="宋体" w:cs="宋体"/>
                <w:color w:val="0000FF"/>
              </w:rPr>
            </w:pPr>
            <w:r>
              <w:rPr>
                <w:rFonts w:hint="eastAsia" w:ascii="宋体" w:hAnsi="宋体" w:cs="宋体"/>
                <w:color w:val="0000FF"/>
              </w:rPr>
              <w:t>开户银行：中国银行股份有限公司温州苍南灵溪支行</w:t>
            </w:r>
          </w:p>
          <w:p>
            <w:pPr>
              <w:widowControl/>
              <w:shd w:val="clear" w:color="auto" w:fill="FFFFFF"/>
              <w:spacing w:line="360" w:lineRule="exact"/>
              <w:ind w:left="357" w:hanging="360"/>
              <w:rPr>
                <w:rFonts w:hint="eastAsia" w:ascii="宋体" w:hAnsi="宋体" w:cs="宋体"/>
                <w:color w:val="0000FF"/>
              </w:rPr>
            </w:pPr>
            <w:r>
              <w:rPr>
                <w:rFonts w:hint="eastAsia" w:ascii="宋体" w:hAnsi="宋体" w:cs="宋体"/>
                <w:color w:val="0000FF"/>
              </w:rPr>
              <w:t>银行账户：</w:t>
            </w:r>
          </w:p>
          <w:p>
            <w:pPr>
              <w:widowControl/>
              <w:shd w:val="clear" w:color="auto" w:fill="FFFFFF"/>
              <w:spacing w:line="360" w:lineRule="exact"/>
              <w:rPr>
                <w:rFonts w:hint="eastAsia" w:ascii="宋体" w:hAnsi="宋体" w:cs="宋体"/>
                <w:color w:val="0000FF"/>
              </w:rPr>
            </w:pPr>
            <w:r>
              <w:rPr>
                <w:rFonts w:hint="eastAsia" w:ascii="宋体" w:hAnsi="宋体" w:cs="宋体"/>
                <w:color w:val="0000FF"/>
              </w:rPr>
              <w:t>③投标保证金汇入的户名：苍南县招标投标工作指导中心保证金专户</w:t>
            </w:r>
          </w:p>
          <w:p>
            <w:pPr>
              <w:widowControl/>
              <w:shd w:val="clear" w:color="auto" w:fill="FFFFFF"/>
              <w:spacing w:line="360" w:lineRule="exact"/>
              <w:ind w:left="357" w:hanging="360"/>
              <w:rPr>
                <w:rFonts w:hint="eastAsia" w:ascii="宋体" w:hAnsi="宋体" w:cs="宋体"/>
                <w:color w:val="0000FF"/>
              </w:rPr>
            </w:pPr>
            <w:r>
              <w:rPr>
                <w:rFonts w:hint="eastAsia" w:ascii="宋体" w:hAnsi="宋体" w:cs="宋体"/>
                <w:color w:val="0000FF"/>
              </w:rPr>
              <w:t>开户银行：浙江苍南农村商业银行股份有限公司</w:t>
            </w:r>
          </w:p>
          <w:p>
            <w:pPr>
              <w:widowControl/>
              <w:shd w:val="clear" w:color="auto" w:fill="FFFFFF"/>
              <w:spacing w:line="360" w:lineRule="exact"/>
              <w:ind w:left="357" w:hanging="360"/>
              <w:rPr>
                <w:rFonts w:hint="eastAsia" w:ascii="宋体" w:hAnsi="宋体" w:cs="宋体"/>
                <w:color w:val="0000FF"/>
              </w:rPr>
            </w:pPr>
            <w:r>
              <w:rPr>
                <w:rFonts w:hint="eastAsia" w:ascii="宋体" w:hAnsi="宋体" w:cs="宋体"/>
                <w:color w:val="0000FF"/>
              </w:rPr>
              <w:t xml:space="preserve">行号: 402333611014  </w:t>
            </w:r>
          </w:p>
          <w:p>
            <w:pPr>
              <w:widowControl/>
              <w:shd w:val="clear" w:color="auto" w:fill="FFFFFF"/>
              <w:spacing w:line="360" w:lineRule="exact"/>
              <w:ind w:left="357" w:hanging="360"/>
              <w:rPr>
                <w:rFonts w:hint="eastAsia" w:ascii="宋体" w:hAnsi="宋体" w:cs="宋体"/>
                <w:color w:val="0000FF"/>
              </w:rPr>
            </w:pPr>
            <w:r>
              <w:rPr>
                <w:rFonts w:hint="eastAsia" w:ascii="宋体" w:hAnsi="宋体" w:cs="宋体"/>
                <w:color w:val="0000FF"/>
              </w:rPr>
              <w:t>银行账户：</w:t>
            </w:r>
          </w:p>
          <w:p>
            <w:pPr>
              <w:widowControl/>
              <w:shd w:val="clear" w:color="auto" w:fill="FFFFFF"/>
              <w:spacing w:line="360" w:lineRule="exact"/>
              <w:rPr>
                <w:rFonts w:hint="eastAsia" w:ascii="宋体" w:hAnsi="宋体" w:cs="宋体"/>
                <w:color w:val="000000"/>
              </w:rPr>
            </w:pPr>
            <w:r>
              <w:rPr>
                <w:rFonts w:hint="eastAsia" w:ascii="宋体" w:hAnsi="宋体" w:cs="宋体"/>
                <w:color w:val="000000"/>
              </w:rPr>
              <w:t>（二）</w:t>
            </w:r>
            <w:r>
              <w:rPr>
                <w:rFonts w:hint="eastAsia" w:ascii="宋体" w:hAnsi="宋体" w:cs="宋体"/>
                <w:color w:val="000000"/>
                <w:lang w:val="en-US" w:eastAsia="zh-CN"/>
              </w:rPr>
              <w:t>采用银行保函方式的，则</w:t>
            </w:r>
            <w:r>
              <w:rPr>
                <w:rFonts w:hint="eastAsia" w:ascii="宋体" w:hAnsi="宋体" w:eastAsia="宋体" w:cs="宋体"/>
                <w:color w:val="0000FF"/>
                <w:lang w:val="en-US" w:eastAsia="zh-CN"/>
              </w:rPr>
              <w:t>投标人的投标保证金应为投标人基本账户开户行出具的银行保函，银行保函的有效期应在投标有效期满后 28 日内继续有效，否则应当否决其投标。投标人在 2021 年</w:t>
            </w:r>
            <w:r>
              <w:rPr>
                <w:rFonts w:hint="eastAsia" w:ascii="宋体" w:hAnsi="宋体" w:cs="宋体"/>
                <w:color w:val="0000FF"/>
                <w:lang w:val="en-US" w:eastAsia="zh-CN"/>
              </w:rPr>
              <w:t xml:space="preserve">   </w:t>
            </w:r>
            <w:r>
              <w:rPr>
                <w:rFonts w:hint="eastAsia" w:ascii="宋体" w:hAnsi="宋体" w:eastAsia="宋体" w:cs="宋体"/>
                <w:color w:val="0000FF"/>
                <w:lang w:val="en-US" w:eastAsia="zh-CN"/>
              </w:rPr>
              <w:t>月</w:t>
            </w:r>
            <w:r>
              <w:rPr>
                <w:rFonts w:hint="eastAsia" w:ascii="宋体" w:hAnsi="宋体" w:cs="宋体"/>
                <w:color w:val="0000FF"/>
                <w:lang w:val="en-US" w:eastAsia="zh-CN"/>
              </w:rPr>
              <w:t xml:space="preserve">   </w:t>
            </w:r>
            <w:r>
              <w:rPr>
                <w:rFonts w:hint="eastAsia" w:ascii="宋体" w:hAnsi="宋体" w:eastAsia="宋体" w:cs="宋体"/>
                <w:color w:val="0000FF"/>
                <w:lang w:val="en-US" w:eastAsia="zh-CN"/>
              </w:rPr>
              <w:t>日 17 时前，将银行保函原件送至苍南县公共资源交易中心计划财务科，</w:t>
            </w:r>
            <w:r>
              <w:rPr>
                <w:rFonts w:hint="eastAsia" w:ascii="宋体" w:hAnsi="宋体" w:cs="宋体"/>
                <w:color w:val="auto"/>
              </w:rPr>
              <w:t>送达人应带银行保函原件、居民身份证原件、基本户开户许可证原件及这</w:t>
            </w:r>
            <w:r>
              <w:rPr>
                <w:rFonts w:hint="eastAsia" w:ascii="宋体" w:hAnsi="宋体" w:cs="宋体"/>
                <w:color w:val="000000"/>
              </w:rPr>
              <w:t>三份原件的加盖投标人公章的复印件，至计划财务科核对，计划财务科经办人员按招标文件要求核对银行保函格式后在银行保函复印件上加盖保证金专用章，并留存银行保函原件；</w:t>
            </w:r>
          </w:p>
          <w:p>
            <w:pPr>
              <w:widowControl/>
              <w:shd w:val="clear" w:color="auto" w:fill="FFFFFF"/>
              <w:spacing w:line="360" w:lineRule="exact"/>
              <w:rPr>
                <w:rFonts w:hint="eastAsia" w:ascii="宋体" w:hAnsi="宋体" w:cs="宋体"/>
                <w:color w:val="000000"/>
              </w:rPr>
            </w:pPr>
            <w:r>
              <w:rPr>
                <w:rFonts w:hint="eastAsia" w:ascii="宋体" w:hAnsi="宋体" w:cs="宋体"/>
                <w:color w:val="000000"/>
              </w:rPr>
              <w:t>（三）投标保证金采用电子保险保函的方式，操作流程详见苍南县公共资源电子保函平台</w:t>
            </w:r>
          </w:p>
          <w:p>
            <w:pPr>
              <w:widowControl/>
              <w:shd w:val="clear" w:color="auto" w:fill="FFFFFF"/>
              <w:spacing w:line="360" w:lineRule="exact"/>
              <w:rPr>
                <w:rFonts w:ascii="宋体" w:hAnsi="宋体" w:cs="宋体"/>
                <w:color w:val="000000"/>
              </w:rPr>
            </w:pPr>
            <w:r>
              <w:rPr>
                <w:rFonts w:ascii="宋体" w:hAnsi="宋体" w:cs="宋体"/>
                <w:color w:val="000000"/>
              </w:rPr>
              <w:fldChar w:fldCharType="begin"/>
            </w:r>
            <w:r>
              <w:rPr>
                <w:rFonts w:ascii="宋体" w:hAnsi="宋体" w:cs="宋体"/>
                <w:color w:val="000000"/>
              </w:rPr>
              <w:instrText xml:space="preserve"> HYPERLINK "</w:instrText>
            </w:r>
            <w:r>
              <w:rPr>
                <w:rFonts w:hint="eastAsia" w:ascii="宋体" w:hAnsi="宋体" w:cs="宋体"/>
                <w:color w:val="000000"/>
              </w:rPr>
              <w:instrText xml:space="preserve">http://119.3.37.28:81/cangnan/</w:instrText>
            </w:r>
            <w:r>
              <w:rPr>
                <w:rFonts w:ascii="宋体" w:hAnsi="宋体" w:cs="宋体"/>
                <w:color w:val="000000"/>
              </w:rPr>
              <w:instrText xml:space="preserve">" </w:instrText>
            </w:r>
            <w:r>
              <w:rPr>
                <w:rFonts w:ascii="宋体" w:hAnsi="宋体" w:cs="宋体"/>
                <w:color w:val="000000"/>
              </w:rPr>
              <w:fldChar w:fldCharType="separate"/>
            </w:r>
            <w:r>
              <w:rPr>
                <w:rStyle w:val="18"/>
                <w:rFonts w:hint="eastAsia" w:ascii="宋体" w:hAnsi="宋体" w:cs="宋体"/>
                <w:sz w:val="21"/>
                <w:szCs w:val="22"/>
              </w:rPr>
              <w:t>http://119.3.37.28:81/cangnan/</w:t>
            </w:r>
            <w:r>
              <w:rPr>
                <w:rFonts w:ascii="宋体" w:hAnsi="宋体" w:cs="宋体"/>
                <w:color w:val="000000"/>
              </w:rPr>
              <w:fldChar w:fldCharType="end"/>
            </w:r>
            <w:r>
              <w:rPr>
                <w:rFonts w:hint="eastAsia" w:ascii="宋体" w:hAnsi="宋体" w:cs="宋体"/>
                <w:color w:val="000000"/>
              </w:rPr>
              <w:t>）</w:t>
            </w:r>
          </w:p>
          <w:p>
            <w:pPr>
              <w:widowControl/>
              <w:shd w:val="clear" w:color="auto" w:fill="FFFFFF"/>
              <w:spacing w:line="360" w:lineRule="exact"/>
              <w:rPr>
                <w:rFonts w:ascii="宋体" w:hAnsi="宋体" w:cs="宋体"/>
                <w:color w:val="000000"/>
              </w:rPr>
            </w:pPr>
            <w:r>
              <w:rPr>
                <w:rFonts w:hint="eastAsia" w:ascii="宋体" w:hAnsi="宋体" w:cs="宋体"/>
                <w:b/>
                <w:bCs/>
                <w:color w:val="000000"/>
              </w:rPr>
              <w:t>（四）各投标单位应当在提交投标文件截止时间前提交投标保证金，对于未能按招标文件要求提交投标保证金的投标人，其投标文件予以退还。</w:t>
            </w:r>
          </w:p>
          <w:p>
            <w:pPr>
              <w:widowControl/>
              <w:shd w:val="clear" w:color="auto" w:fill="FFFFFF"/>
              <w:spacing w:line="360" w:lineRule="exact"/>
              <w:rPr>
                <w:rFonts w:ascii="宋体" w:hAnsi="宋体" w:cs="宋体"/>
                <w:color w:val="000000"/>
              </w:rPr>
            </w:pPr>
            <w:r>
              <w:rPr>
                <w:rFonts w:hint="eastAsia" w:ascii="宋体" w:hAnsi="宋体" w:cs="宋体"/>
                <w:color w:val="000000"/>
              </w:rPr>
              <w:t>3、注</w:t>
            </w:r>
            <w:r>
              <w:rPr>
                <w:rFonts w:hint="eastAsia" w:ascii="宋体" w:hAnsi="宋体" w:cs="宋体"/>
                <w:b/>
                <w:bCs/>
              </w:rPr>
              <w:t>意事项</w:t>
            </w:r>
            <w:r>
              <w:rPr>
                <w:rFonts w:hint="eastAsia" w:ascii="宋体" w:hAnsi="宋体" w:cs="宋体"/>
                <w:color w:val="000000"/>
              </w:rPr>
              <w:t>：①各投标人在转（汇）款时充分考虑银行转（汇）的时间差风险。</w:t>
            </w:r>
          </w:p>
          <w:p>
            <w:pPr>
              <w:widowControl/>
              <w:shd w:val="clear" w:color="auto" w:fill="FFFFFF"/>
              <w:spacing w:line="360" w:lineRule="exact"/>
              <w:rPr>
                <w:rFonts w:ascii="宋体" w:hAnsi="宋体" w:cs="宋体"/>
                <w:color w:val="000000"/>
              </w:rPr>
            </w:pPr>
            <w:r>
              <w:rPr>
                <w:rFonts w:hint="eastAsia" w:ascii="宋体" w:hAnsi="宋体" w:cs="宋体"/>
                <w:color w:val="000000"/>
              </w:rPr>
              <w:t>②保证金按招标文件规定独立汇入，不允许几个项目或标的保证金捆绑汇入，否则中心财务室将作为错汇款予以退回，一切后果由投标单位自负。</w:t>
            </w:r>
          </w:p>
          <w:p>
            <w:pPr>
              <w:widowControl/>
              <w:shd w:val="clear" w:color="auto" w:fill="FFFFFF"/>
              <w:spacing w:line="360" w:lineRule="exact"/>
              <w:rPr>
                <w:rFonts w:hint="eastAsia" w:ascii="宋体" w:hAnsi="宋体" w:cs="宋体"/>
                <w:color w:val="000000"/>
              </w:rPr>
            </w:pPr>
            <w:r>
              <w:rPr>
                <w:rFonts w:hint="eastAsia" w:ascii="宋体" w:hAnsi="宋体" w:cs="宋体"/>
                <w:color w:val="000000"/>
              </w:rPr>
              <w:t>③电子投标保证金系统暂不支持同城跨行资金汇划结算（如：同城票据交换）</w:t>
            </w:r>
          </w:p>
          <w:p>
            <w:pPr>
              <w:widowControl/>
              <w:shd w:val="clear" w:color="auto" w:fill="FFFFFF"/>
              <w:spacing w:line="360" w:lineRule="exact"/>
              <w:rPr>
                <w:rFonts w:ascii="宋体" w:hAnsi="宋体" w:cs="宋体"/>
                <w:color w:val="000000"/>
              </w:rPr>
            </w:pPr>
            <w:r>
              <w:rPr>
                <w:rFonts w:hint="eastAsia" w:ascii="宋体" w:hAnsi="宋体" w:cs="宋体"/>
                <w:color w:val="000000"/>
              </w:rPr>
              <w:t>④采用</w:t>
            </w:r>
            <w:r>
              <w:rPr>
                <w:rFonts w:hint="eastAsia" w:ascii="宋体" w:hAnsi="宋体" w:cs="宋体"/>
                <w:b/>
                <w:bCs/>
                <w:color w:val="000000"/>
              </w:rPr>
              <w:t>银行转账方式</w:t>
            </w:r>
            <w:r>
              <w:rPr>
                <w:rFonts w:hint="eastAsia" w:ascii="宋体" w:hAnsi="宋体" w:cs="宋体"/>
                <w:color w:val="000000"/>
              </w:rPr>
              <w:t>提交投标保证金的投标人将由苍南县公共资源交易中心计划财务科在提交投标文件截止时间后出具本工程投标保证金进账清单进行核对；</w:t>
            </w:r>
          </w:p>
          <w:p>
            <w:pPr>
              <w:widowControl/>
              <w:shd w:val="clear" w:color="auto" w:fill="FFFFFF"/>
              <w:spacing w:line="360" w:lineRule="exact"/>
              <w:rPr>
                <w:rFonts w:ascii="宋体" w:hAnsi="宋体" w:cs="宋体"/>
                <w:color w:val="000000"/>
              </w:rPr>
            </w:pPr>
            <w:r>
              <w:rPr>
                <w:rFonts w:hint="eastAsia" w:ascii="宋体" w:hAnsi="宋体" w:cs="宋体"/>
                <w:color w:val="000000"/>
              </w:rPr>
              <w:t>⑤若采用</w:t>
            </w:r>
            <w:r>
              <w:rPr>
                <w:rFonts w:hint="eastAsia" w:ascii="宋体" w:hAnsi="宋体" w:cs="宋体"/>
                <w:b/>
                <w:bCs/>
                <w:color w:val="000000"/>
              </w:rPr>
              <w:t>银行保函方式</w:t>
            </w:r>
            <w:r>
              <w:rPr>
                <w:rFonts w:hint="eastAsia" w:ascii="宋体" w:hAnsi="宋体" w:cs="宋体"/>
                <w:color w:val="000000"/>
              </w:rPr>
              <w:t>提交投标保证金的投标人，则需提供由苍南县公共资源交易中心核对并加盖专用章的银行保函复印件；</w:t>
            </w:r>
          </w:p>
          <w:p>
            <w:pPr>
              <w:widowControl/>
              <w:shd w:val="clear" w:color="auto" w:fill="FFFFFF"/>
              <w:spacing w:line="360" w:lineRule="exact"/>
              <w:rPr>
                <w:rFonts w:hint="eastAsia" w:ascii="宋体" w:hAnsi="宋体" w:cs="宋体"/>
                <w:color w:val="000000"/>
              </w:rPr>
            </w:pPr>
            <w:r>
              <w:rPr>
                <w:rFonts w:hint="eastAsia" w:ascii="宋体" w:hAnsi="宋体" w:cs="宋体"/>
                <w:color w:val="000000"/>
              </w:rPr>
              <w:t>⑥若采用</w:t>
            </w:r>
            <w:r>
              <w:rPr>
                <w:rFonts w:hint="eastAsia" w:ascii="宋体" w:hAnsi="宋体" w:cs="宋体"/>
                <w:b/>
                <w:bCs/>
                <w:color w:val="000000"/>
              </w:rPr>
              <w:t>电子保险保函</w:t>
            </w:r>
            <w:r>
              <w:rPr>
                <w:rFonts w:hint="eastAsia" w:ascii="宋体" w:hAnsi="宋体" w:cs="宋体"/>
                <w:color w:val="000000"/>
              </w:rPr>
              <w:t>方式提交投标保证金的投标人将由苍南县公共资源交易中心计划财务科在提交投标文件截止时间后出具本工程投标保证金电子保险凭证清单进行核对；</w:t>
            </w:r>
          </w:p>
        </w:tc>
      </w:tr>
      <w:tr>
        <w:tblPrEx>
          <w:tblCellMar>
            <w:top w:w="0" w:type="dxa"/>
            <w:left w:w="108" w:type="dxa"/>
            <w:bottom w:w="0" w:type="dxa"/>
            <w:right w:w="108" w:type="dxa"/>
          </w:tblCellMar>
        </w:tblPrEx>
        <w:trPr>
          <w:trHeight w:val="60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3.6.1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近年财务状况</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不要求提供</w:t>
            </w:r>
          </w:p>
        </w:tc>
      </w:tr>
      <w:tr>
        <w:tblPrEx>
          <w:tblCellMar>
            <w:top w:w="0" w:type="dxa"/>
            <w:left w:w="108" w:type="dxa"/>
            <w:bottom w:w="0" w:type="dxa"/>
            <w:right w:w="108" w:type="dxa"/>
          </w:tblCellMar>
        </w:tblPrEx>
        <w:trPr>
          <w:trHeight w:val="92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3.6.2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pacing w:val="-4"/>
                <w:szCs w:val="21"/>
              </w:rPr>
            </w:pPr>
            <w:r>
              <w:rPr>
                <w:rFonts w:hint="eastAsia" w:ascii="宋体" w:hAnsi="宋体"/>
                <w:spacing w:val="-4"/>
                <w:szCs w:val="21"/>
              </w:rPr>
              <w:t>近年发生的诉讼及仲裁及不良行为记录情况</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不要求提供</w:t>
            </w:r>
          </w:p>
        </w:tc>
      </w:tr>
      <w:tr>
        <w:tblPrEx>
          <w:tblCellMar>
            <w:top w:w="0" w:type="dxa"/>
            <w:left w:w="108" w:type="dxa"/>
            <w:bottom w:w="0" w:type="dxa"/>
            <w:right w:w="108" w:type="dxa"/>
          </w:tblCellMar>
        </w:tblPrEx>
        <w:trPr>
          <w:trHeight w:val="975"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3.7.3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签字和盖章要求</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hint="eastAsia" w:ascii="宋体" w:hAnsi="宋体" w:cs="Arial"/>
                <w:color w:val="000000"/>
                <w:szCs w:val="21"/>
              </w:rPr>
            </w:pPr>
            <w:r>
              <w:rPr>
                <w:rFonts w:hint="eastAsia" w:ascii="宋体" w:hAnsi="宋体" w:cs="Arial"/>
                <w:color w:val="000000"/>
                <w:szCs w:val="21"/>
              </w:rPr>
              <w:t>投标文件相应地方应加盖单位公章（不得以投标专用章、分公司章等其他形式印章代替,下同）并经单位法定代表人或其委托代理人签字或盖章。</w:t>
            </w:r>
          </w:p>
        </w:tc>
      </w:tr>
      <w:tr>
        <w:tblPrEx>
          <w:tblCellMar>
            <w:top w:w="0" w:type="dxa"/>
            <w:left w:w="108" w:type="dxa"/>
            <w:bottom w:w="0" w:type="dxa"/>
            <w:right w:w="108" w:type="dxa"/>
          </w:tblCellMar>
        </w:tblPrEx>
        <w:trPr>
          <w:trHeight w:val="172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3.7.4</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投标文件份数</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rPr>
            </w:pPr>
            <w:r>
              <w:rPr>
                <w:rFonts w:hint="eastAsia"/>
              </w:rPr>
              <w:t>技术标一式七份：不分正副本（另附保密信封一份）；</w:t>
            </w:r>
          </w:p>
          <w:p>
            <w:pPr>
              <w:snapToGrid w:val="0"/>
              <w:spacing w:line="400" w:lineRule="exact"/>
              <w:rPr>
                <w:rFonts w:hint="eastAsia" w:ascii="Times New Roman" w:hAnsi="Times New Roman" w:eastAsia="宋体" w:cs="Times New Roman"/>
              </w:rPr>
            </w:pPr>
            <w:r>
              <w:rPr>
                <w:rFonts w:hint="eastAsia" w:ascii="Times New Roman" w:hAnsi="Times New Roman" w:eastAsia="宋体" w:cs="Times New Roman"/>
              </w:rPr>
              <w:t>资信标一式七份：一份正本，六份副本；</w:t>
            </w:r>
          </w:p>
          <w:p>
            <w:pPr>
              <w:snapToGrid w:val="0"/>
              <w:spacing w:line="400" w:lineRule="exact"/>
              <w:rPr>
                <w:rFonts w:hint="eastAsia" w:ascii="Times New Roman" w:hAnsi="Times New Roman" w:eastAsia="宋体" w:cs="Times New Roman"/>
              </w:rPr>
            </w:pPr>
            <w:r>
              <w:rPr>
                <w:rFonts w:hint="eastAsia" w:ascii="Times New Roman" w:hAnsi="Times New Roman" w:eastAsia="宋体" w:cs="Times New Roman"/>
              </w:rPr>
              <w:t>商务标一式七份：一份正本，六份副本；</w:t>
            </w:r>
          </w:p>
          <w:p>
            <w:pPr>
              <w:snapToGrid w:val="0"/>
              <w:spacing w:line="400" w:lineRule="exact"/>
              <w:rPr>
                <w:rFonts w:hint="eastAsia"/>
              </w:rPr>
            </w:pPr>
            <w:r>
              <w:rPr>
                <w:rFonts w:hint="eastAsia" w:ascii="Times New Roman" w:hAnsi="Times New Roman" w:eastAsia="宋体" w:cs="Times New Roman"/>
              </w:rPr>
              <w:t>资格审查文件一式七份：一份正本，六份副本</w:t>
            </w:r>
            <w:r>
              <w:rPr>
                <w:rFonts w:hint="eastAsia" w:ascii="Times New Roman" w:hAnsi="Times New Roman" w:eastAsia="宋体" w:cs="Times New Roman"/>
                <w:lang w:eastAsia="zh-CN"/>
              </w:rPr>
              <w:t>；</w:t>
            </w:r>
          </w:p>
        </w:tc>
      </w:tr>
      <w:tr>
        <w:tblPrEx>
          <w:tblCellMar>
            <w:top w:w="0" w:type="dxa"/>
            <w:left w:w="108" w:type="dxa"/>
            <w:bottom w:w="0" w:type="dxa"/>
            <w:right w:w="108" w:type="dxa"/>
          </w:tblCellMar>
        </w:tblPrEx>
        <w:trPr>
          <w:trHeight w:val="100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3.7.5</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装订要求</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分册装订，分别为：</w:t>
            </w:r>
          </w:p>
          <w:p>
            <w:pPr>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（1）商务标</w:t>
            </w:r>
            <w:r>
              <w:rPr>
                <w:rFonts w:hint="eastAsia" w:ascii="宋体" w:hAnsi="宋体" w:cs="宋体"/>
                <w:bCs/>
                <w:color w:val="auto"/>
                <w:szCs w:val="21"/>
                <w:highlight w:val="none"/>
              </w:rPr>
              <w:t>（不包括授权委托书）</w:t>
            </w:r>
            <w:r>
              <w:rPr>
                <w:rFonts w:hint="eastAsia" w:ascii="宋体" w:hAnsi="宋体" w:cs="宋体"/>
                <w:color w:val="auto"/>
                <w:szCs w:val="21"/>
                <w:highlight w:val="none"/>
              </w:rPr>
              <w:t>；</w:t>
            </w:r>
          </w:p>
          <w:p>
            <w:pPr>
              <w:snapToGrid w:val="0"/>
              <w:spacing w:line="400" w:lineRule="exact"/>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1"/>
                <w:highlight w:val="none"/>
                <w:u w:val="single"/>
              </w:rPr>
              <w:t>资格审查文件</w:t>
            </w:r>
            <w:r>
              <w:rPr>
                <w:rFonts w:hint="eastAsia" w:ascii="宋体" w:hAnsi="宋体" w:cs="宋体"/>
                <w:color w:val="auto"/>
                <w:highlight w:val="none"/>
              </w:rPr>
              <w:t>；</w:t>
            </w:r>
          </w:p>
          <w:p>
            <w:pPr>
              <w:snapToGrid w:val="0"/>
              <w:spacing w:line="400" w:lineRule="exact"/>
              <w:rPr>
                <w:rFonts w:hint="eastAsia" w:ascii="宋体" w:hAnsi="宋体" w:cs="宋体"/>
                <w:color w:val="auto"/>
                <w:highlight w:val="none"/>
              </w:rPr>
            </w:pPr>
            <w:r>
              <w:rPr>
                <w:rFonts w:hint="eastAsia" w:ascii="宋体" w:hAnsi="宋体" w:cs="宋体"/>
                <w:color w:val="auto"/>
                <w:highlight w:val="none"/>
              </w:rPr>
              <w:t>（3）</w:t>
            </w:r>
            <w:r>
              <w:rPr>
                <w:rFonts w:hint="eastAsia" w:ascii="宋体" w:hAnsi="宋体" w:cs="宋体"/>
                <w:color w:val="auto"/>
                <w:szCs w:val="21"/>
                <w:highlight w:val="none"/>
              </w:rPr>
              <w:t>技术标；</w:t>
            </w:r>
          </w:p>
          <w:p>
            <w:pPr>
              <w:snapToGrid w:val="0"/>
              <w:spacing w:line="400" w:lineRule="exact"/>
              <w:rPr>
                <w:rFonts w:hint="eastAsia" w:ascii="宋体" w:hAnsi="宋体"/>
                <w:szCs w:val="21"/>
              </w:rPr>
            </w:pPr>
            <w:r>
              <w:rPr>
                <w:rFonts w:hint="eastAsia" w:ascii="宋体" w:hAnsi="宋体" w:cs="宋体"/>
                <w:color w:val="auto"/>
                <w:highlight w:val="none"/>
              </w:rPr>
              <w:t>（4）</w:t>
            </w:r>
            <w:r>
              <w:rPr>
                <w:rFonts w:hint="eastAsia" w:ascii="宋体" w:hAnsi="宋体" w:cs="宋体"/>
                <w:color w:val="auto"/>
                <w:szCs w:val="21"/>
                <w:highlight w:val="none"/>
              </w:rPr>
              <w:t>资信标；</w:t>
            </w:r>
          </w:p>
        </w:tc>
      </w:tr>
      <w:tr>
        <w:tblPrEx>
          <w:tblCellMar>
            <w:top w:w="0" w:type="dxa"/>
            <w:left w:w="108" w:type="dxa"/>
            <w:bottom w:w="0" w:type="dxa"/>
            <w:right w:w="108" w:type="dxa"/>
          </w:tblCellMar>
        </w:tblPrEx>
        <w:trPr>
          <w:trHeight w:val="5365"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4.1.1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投标文件密封要求</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pStyle w:val="19"/>
              <w:spacing w:line="295" w:lineRule="auto"/>
              <w:ind w:left="105" w:right="93"/>
              <w:jc w:val="both"/>
              <w:rPr>
                <w:rFonts w:hint="eastAsia" w:ascii="宋体" w:hAnsi="宋体" w:eastAsia="宋体" w:cs="宋体"/>
                <w:b/>
                <w:color w:val="auto"/>
                <w:kern w:val="2"/>
                <w:sz w:val="21"/>
                <w:szCs w:val="21"/>
                <w:highlight w:val="none"/>
                <w:u w:val="single"/>
                <w:lang w:val="en-US" w:eastAsia="zh-CN" w:bidi="ar-SA"/>
              </w:rPr>
            </w:pPr>
            <w:r>
              <w:rPr>
                <w:rFonts w:hint="eastAsia" w:ascii="宋体" w:hAnsi="宋体" w:eastAsia="宋体" w:cs="宋体"/>
                <w:b/>
                <w:color w:val="auto"/>
                <w:kern w:val="2"/>
                <w:sz w:val="21"/>
                <w:szCs w:val="21"/>
                <w:highlight w:val="none"/>
                <w:u w:val="single"/>
                <w:lang w:val="en-US" w:eastAsia="zh-CN" w:bidi="ar-SA"/>
              </w:rPr>
              <w:t>具体要求如下：投标单位须将资格审查文件、资信标、商务标各自 单独密封，并贴上各自标书封条，在其标函封袋上分别注明工程名称、招标人名称、资格审查文件、资信标、商务标字样，并加盖单位公章和单位法定代表人的印章；</w:t>
            </w:r>
          </w:p>
          <w:p>
            <w:pPr>
              <w:pStyle w:val="19"/>
              <w:spacing w:line="295" w:lineRule="auto"/>
              <w:ind w:left="105" w:right="26" w:firstLine="422"/>
              <w:jc w:val="both"/>
              <w:rPr>
                <w:rFonts w:hint="eastAsia" w:ascii="宋体" w:hAnsi="宋体" w:eastAsia="宋体" w:cs="宋体"/>
                <w:b/>
                <w:color w:val="auto"/>
                <w:kern w:val="2"/>
                <w:sz w:val="21"/>
                <w:szCs w:val="21"/>
                <w:highlight w:val="none"/>
                <w:u w:val="single"/>
                <w:lang w:val="en-US" w:eastAsia="zh-CN" w:bidi="ar-SA"/>
              </w:rPr>
            </w:pPr>
            <w:r>
              <w:rPr>
                <w:rFonts w:hint="eastAsia" w:ascii="宋体" w:hAnsi="宋体" w:cs="宋体"/>
                <w:b/>
                <w:color w:val="auto"/>
                <w:szCs w:val="21"/>
                <w:highlight w:val="none"/>
                <w:u w:val="single"/>
              </w:rPr>
              <w:t>技术标（7份）</w:t>
            </w:r>
            <w:r>
              <w:rPr>
                <w:rFonts w:hint="eastAsia" w:ascii="宋体" w:hAnsi="宋体"/>
                <w:b/>
                <w:color w:val="0000FF"/>
                <w:szCs w:val="21"/>
                <w:u w:val="single"/>
              </w:rPr>
              <w:t>技术标为暗标</w:t>
            </w:r>
            <w:r>
              <w:rPr>
                <w:rFonts w:hint="eastAsia" w:ascii="宋体" w:hAnsi="宋体" w:cs="宋体"/>
                <w:b/>
                <w:color w:val="auto"/>
                <w:szCs w:val="21"/>
                <w:highlight w:val="none"/>
                <w:u w:val="single"/>
              </w:rPr>
              <w:t>与保密信封</w:t>
            </w:r>
            <w:r>
              <w:rPr>
                <w:rFonts w:hint="eastAsia" w:ascii="宋体" w:hAnsi="宋体"/>
                <w:b/>
                <w:color w:val="0000FF"/>
                <w:szCs w:val="21"/>
                <w:u w:val="single"/>
              </w:rPr>
              <w:t>（供投标人身份核对使用）</w:t>
            </w:r>
            <w:r>
              <w:rPr>
                <w:rFonts w:hint="eastAsia" w:ascii="宋体" w:hAnsi="宋体" w:cs="宋体"/>
                <w:b/>
                <w:color w:val="auto"/>
                <w:szCs w:val="21"/>
                <w:highlight w:val="none"/>
                <w:u w:val="single"/>
              </w:rPr>
              <w:t>一起单独进行密封装袋，并贴上标书封条，其标函封袋上除了注明“工程名称、招标单位名称、技术标”字样外不得加盖任何印章或做其他任何标记</w:t>
            </w:r>
            <w:r>
              <w:rPr>
                <w:rFonts w:hint="eastAsia" w:ascii="宋体" w:hAnsi="宋体" w:cs="宋体"/>
                <w:b/>
                <w:color w:val="auto"/>
                <w:szCs w:val="21"/>
                <w:highlight w:val="none"/>
                <w:u w:val="single"/>
                <w:lang w:val="en-US" w:eastAsia="zh-CN"/>
              </w:rPr>
              <w:t>；</w:t>
            </w:r>
          </w:p>
          <w:p>
            <w:pPr>
              <w:snapToGrid w:val="0"/>
              <w:spacing w:line="340" w:lineRule="exact"/>
              <w:ind w:firstLine="422" w:firstLineChars="200"/>
              <w:rPr>
                <w:rFonts w:hint="eastAsia" w:ascii="宋体" w:hAnsi="宋体" w:eastAsia="宋体" w:cs="宋体"/>
                <w:b/>
                <w:color w:val="auto"/>
                <w:kern w:val="2"/>
                <w:sz w:val="21"/>
                <w:szCs w:val="21"/>
                <w:highlight w:val="none"/>
                <w:u w:val="single"/>
                <w:lang w:val="en-US" w:eastAsia="zh-CN" w:bidi="ar-SA"/>
              </w:rPr>
            </w:pPr>
            <w:r>
              <w:rPr>
                <w:rFonts w:hint="eastAsia" w:ascii="宋体" w:hAnsi="宋体" w:eastAsia="宋体" w:cs="宋体"/>
                <w:b/>
                <w:color w:val="auto"/>
                <w:kern w:val="2"/>
                <w:sz w:val="21"/>
                <w:szCs w:val="21"/>
                <w:highlight w:val="none"/>
                <w:u w:val="single"/>
                <w:lang w:val="en-US" w:eastAsia="zh-CN" w:bidi="ar-SA"/>
              </w:rPr>
              <w:t>在技术标标函袋里放入没有任何标记的保密信封，保密信封内密封一张投标人营业执照复印件并加盖单位公章，投标人没有按照规定要求盖章的，评标委员会确认后将作否决其投标处理。</w:t>
            </w:r>
          </w:p>
          <w:p>
            <w:pPr>
              <w:snapToGrid w:val="0"/>
              <w:spacing w:line="340" w:lineRule="exact"/>
              <w:ind w:firstLine="420" w:firstLineChars="200"/>
              <w:rPr>
                <w:rFonts w:hint="eastAsia" w:ascii="宋体" w:hAnsi="宋体"/>
                <w:b/>
                <w:szCs w:val="21"/>
                <w:highlight w:val="yellow"/>
                <w:u w:val="single"/>
              </w:rPr>
            </w:pPr>
            <w:r>
              <w:rPr>
                <w:rFonts w:hint="eastAsia" w:ascii="Arial Unicode MS" w:hAnsi="Arial Unicode MS" w:cs="宋体"/>
                <w:kern w:val="1"/>
                <w:sz w:val="21"/>
                <w:szCs w:val="21"/>
                <w:u w:val="single"/>
              </w:rPr>
              <w:t>资格审查文件、资信标、商务标</w:t>
            </w:r>
            <w:r>
              <w:rPr>
                <w:rFonts w:hint="eastAsia" w:ascii="Arial Unicode MS" w:hAnsi="Arial Unicode MS" w:cs="宋体"/>
                <w:kern w:val="1"/>
                <w:sz w:val="21"/>
                <w:szCs w:val="21"/>
                <w:u w:val="single"/>
                <w:lang w:eastAsia="zh-CN"/>
              </w:rPr>
              <w:t>及技术标</w:t>
            </w:r>
            <w:r>
              <w:rPr>
                <w:rFonts w:ascii="Arial Unicode MS" w:hAnsi="Arial Unicode MS" w:cs="宋体"/>
                <w:kern w:val="1"/>
                <w:sz w:val="21"/>
                <w:szCs w:val="21"/>
                <w:u w:val="single"/>
              </w:rPr>
              <w:t>封条</w:t>
            </w:r>
            <w:r>
              <w:rPr>
                <w:rFonts w:hint="eastAsia" w:ascii="Arial Unicode MS" w:hAnsi="Arial Unicode MS" w:cs="宋体"/>
                <w:kern w:val="1"/>
                <w:sz w:val="21"/>
                <w:szCs w:val="21"/>
                <w:u w:val="single"/>
                <w:lang w:eastAsia="zh-CN"/>
              </w:rPr>
              <w:t>样式</w:t>
            </w:r>
            <w:r>
              <w:rPr>
                <w:rFonts w:ascii="Arial Unicode MS" w:hAnsi="Arial Unicode MS" w:cs="宋体"/>
                <w:kern w:val="1"/>
                <w:sz w:val="21"/>
                <w:szCs w:val="21"/>
                <w:u w:val="single"/>
              </w:rPr>
              <w:t>等均由招标代理公司统一提供。</w:t>
            </w:r>
          </w:p>
        </w:tc>
      </w:tr>
      <w:tr>
        <w:tblPrEx>
          <w:tblCellMar>
            <w:top w:w="0" w:type="dxa"/>
            <w:left w:w="108" w:type="dxa"/>
            <w:bottom w:w="0" w:type="dxa"/>
            <w:right w:w="108" w:type="dxa"/>
          </w:tblCellMar>
        </w:tblPrEx>
        <w:trPr>
          <w:trHeight w:val="59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4.2.1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投标截止时间</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40" w:lineRule="exact"/>
              <w:rPr>
                <w:rFonts w:hint="eastAsia" w:ascii="宋体" w:hAnsi="宋体"/>
                <w:b/>
                <w:szCs w:val="21"/>
              </w:rPr>
            </w:pPr>
            <w:r>
              <w:rPr>
                <w:rFonts w:hint="eastAsia" w:ascii="宋体" w:hAnsi="宋体"/>
                <w:b/>
                <w:szCs w:val="21"/>
              </w:rPr>
              <w:t xml:space="preserve"> </w:t>
            </w:r>
            <w:r>
              <w:rPr>
                <w:rFonts w:ascii="宋体" w:hAnsi="宋体" w:cs="宋体"/>
                <w:kern w:val="1"/>
                <w:szCs w:val="21"/>
              </w:rPr>
              <w:t>见时间安排表</w:t>
            </w:r>
          </w:p>
        </w:tc>
      </w:tr>
      <w:tr>
        <w:tblPrEx>
          <w:tblCellMar>
            <w:top w:w="0" w:type="dxa"/>
            <w:left w:w="108" w:type="dxa"/>
            <w:bottom w:w="0" w:type="dxa"/>
            <w:right w:w="108" w:type="dxa"/>
          </w:tblCellMar>
        </w:tblPrEx>
        <w:trPr>
          <w:trHeight w:val="768"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4.2.2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递交投标文件地点</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pStyle w:val="2"/>
              <w:snapToGrid w:val="0"/>
              <w:spacing w:after="0" w:line="340" w:lineRule="exact"/>
              <w:ind w:firstLine="0" w:firstLineChars="0"/>
              <w:rPr>
                <w:rFonts w:ascii="宋体" w:hAnsi="宋体"/>
                <w:color w:val="000000"/>
                <w:szCs w:val="21"/>
              </w:rPr>
            </w:pPr>
            <w:r>
              <w:rPr>
                <w:rFonts w:hint="eastAsia" w:hAnsi="宋体"/>
                <w:b/>
                <w:color w:val="0000FF"/>
                <w:szCs w:val="21"/>
              </w:rPr>
              <w:t>苍南县灵溪镇春晖路公投大厦--苍南县公共资源交易中心开标室</w:t>
            </w:r>
            <w:r>
              <w:rPr>
                <w:rFonts w:hint="eastAsia" w:hAnsi="宋体"/>
                <w:b/>
                <w:color w:val="0000FF"/>
                <w:szCs w:val="21"/>
                <w:u w:val="single"/>
                <w:lang w:val="en-US" w:eastAsia="zh-CN"/>
              </w:rPr>
              <w:t xml:space="preserve"> 1 </w:t>
            </w:r>
            <w:r>
              <w:rPr>
                <w:rFonts w:hint="eastAsia" w:hAnsi="宋体"/>
                <w:b/>
                <w:color w:val="0000FF"/>
                <w:szCs w:val="21"/>
              </w:rPr>
              <w:t>。</w:t>
            </w:r>
          </w:p>
        </w:tc>
      </w:tr>
      <w:tr>
        <w:tblPrEx>
          <w:tblCellMar>
            <w:top w:w="0" w:type="dxa"/>
            <w:left w:w="108" w:type="dxa"/>
            <w:bottom w:w="0" w:type="dxa"/>
            <w:right w:w="108" w:type="dxa"/>
          </w:tblCellMar>
        </w:tblPrEx>
        <w:trPr>
          <w:trHeight w:val="914"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szCs w:val="21"/>
              </w:rPr>
              <w:t>4.2.3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ascii="宋体" w:hAnsi="宋体"/>
                <w:szCs w:val="21"/>
              </w:rPr>
              <w:t>是否退还投标文件</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pStyle w:val="9"/>
              <w:topLinePunct/>
              <w:snapToGrid w:val="0"/>
              <w:spacing w:line="340" w:lineRule="exact"/>
              <w:rPr>
                <w:rFonts w:hAnsi="宋体"/>
                <w:color w:val="000000"/>
                <w:szCs w:val="21"/>
              </w:rPr>
            </w:pPr>
            <w:r>
              <w:rPr>
                <w:rFonts w:hint="eastAsia" w:hAnsi="宋体"/>
                <w:color w:val="000000"/>
                <w:sz w:val="21"/>
                <w:szCs w:val="21"/>
              </w:rPr>
              <w:t>否</w:t>
            </w:r>
          </w:p>
        </w:tc>
      </w:tr>
      <w:tr>
        <w:tblPrEx>
          <w:tblCellMar>
            <w:top w:w="0" w:type="dxa"/>
            <w:left w:w="108" w:type="dxa"/>
            <w:bottom w:w="0" w:type="dxa"/>
            <w:right w:w="108" w:type="dxa"/>
          </w:tblCellMar>
        </w:tblPrEx>
        <w:trPr>
          <w:trHeight w:val="1082"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5.1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hint="eastAsia" w:ascii="宋体" w:hAnsi="宋体"/>
                <w:szCs w:val="21"/>
              </w:rPr>
              <w:t>开标时间和地点</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rPr>
                <w:rFonts w:ascii="微软简标宋" w:hAnsi="微软简标宋" w:cs="宋体"/>
                <w:kern w:val="1"/>
                <w:szCs w:val="21"/>
              </w:rPr>
            </w:pPr>
            <w:r>
              <w:rPr>
                <w:rFonts w:hint="eastAsia" w:ascii="微软简标宋" w:hAnsi="微软简标宋" w:cs="宋体"/>
                <w:kern w:val="1"/>
                <w:szCs w:val="21"/>
              </w:rPr>
              <w:t>开标时间：同投标截止时间</w:t>
            </w:r>
          </w:p>
          <w:p>
            <w:pPr>
              <w:pStyle w:val="2"/>
              <w:snapToGrid w:val="0"/>
              <w:spacing w:after="0" w:line="340" w:lineRule="exact"/>
              <w:ind w:firstLine="0" w:firstLineChars="0"/>
              <w:rPr>
                <w:rFonts w:ascii="宋体" w:hAnsi="宋体"/>
                <w:color w:val="000000"/>
                <w:szCs w:val="21"/>
              </w:rPr>
            </w:pPr>
            <w:r>
              <w:rPr>
                <w:rFonts w:hint="eastAsia" w:ascii="微软简标宋" w:hAnsi="微软简标宋" w:cs="宋体"/>
                <w:kern w:val="1"/>
                <w:szCs w:val="21"/>
              </w:rPr>
              <w:t>开标地点：见招标公告</w:t>
            </w:r>
          </w:p>
        </w:tc>
      </w:tr>
      <w:tr>
        <w:tblPrEx>
          <w:tblCellMar>
            <w:top w:w="0" w:type="dxa"/>
            <w:left w:w="108" w:type="dxa"/>
            <w:bottom w:w="0" w:type="dxa"/>
            <w:right w:w="108" w:type="dxa"/>
          </w:tblCellMar>
        </w:tblPrEx>
        <w:trPr>
          <w:trHeight w:val="52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hint="eastAsia" w:ascii="宋体" w:hAnsi="宋体"/>
                <w:szCs w:val="21"/>
              </w:rPr>
              <w:t>5.2</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开标程序</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pPr>
            <w:bookmarkStart w:id="19" w:name="OLE_LINK2"/>
            <w:r>
              <w:rPr>
                <w:rFonts w:hint="eastAsia"/>
              </w:rPr>
              <w:t>1、邀请所有投标人参加开标会议；</w:t>
            </w:r>
          </w:p>
          <w:p>
            <w:pPr>
              <w:snapToGrid w:val="0"/>
              <w:spacing w:line="360" w:lineRule="auto"/>
            </w:pPr>
            <w:r>
              <w:rPr>
                <w:rFonts w:hint="eastAsia"/>
              </w:rPr>
              <w:t>2、监督人员对技术标及保密信封随机进行编号，评标委员会根据技术标评分标准对技术标进行评审；</w:t>
            </w:r>
          </w:p>
          <w:p>
            <w:pPr>
              <w:snapToGrid w:val="0"/>
              <w:spacing w:line="360" w:lineRule="auto"/>
            </w:pPr>
            <w:r>
              <w:rPr>
                <w:rFonts w:hint="eastAsia"/>
              </w:rPr>
              <w:t>3、开启与技术标相对应的保密信封予以核对各编号所对应的投标人，确定各投标人技术标的得分，并由投标人代表签字确认；</w:t>
            </w:r>
          </w:p>
          <w:p>
            <w:pPr>
              <w:snapToGrid w:val="0"/>
              <w:spacing w:line="360" w:lineRule="auto"/>
            </w:pPr>
            <w:r>
              <w:rPr>
                <w:rFonts w:hint="eastAsia"/>
              </w:rPr>
              <w:t>4、在评委面前开启资信标，对投标人的资信进行审查并评审资信标得分；</w:t>
            </w:r>
          </w:p>
          <w:p>
            <w:pPr>
              <w:snapToGrid w:val="0"/>
              <w:spacing w:line="360" w:lineRule="auto"/>
            </w:pPr>
            <w:r>
              <w:rPr>
                <w:rFonts w:hint="eastAsia"/>
              </w:rPr>
              <w:t>5、资信标的得分在商务标开标前当众公布；</w:t>
            </w:r>
          </w:p>
          <w:p>
            <w:pPr>
              <w:snapToGrid w:val="0"/>
              <w:spacing w:line="360" w:lineRule="auto"/>
              <w:rPr>
                <w:rFonts w:hint="eastAsia"/>
                <w:lang w:val="en-US" w:eastAsia="zh-CN"/>
              </w:rPr>
            </w:pPr>
            <w:r>
              <w:rPr>
                <w:rFonts w:hint="eastAsia"/>
                <w:lang w:val="en-US" w:eastAsia="zh-CN"/>
              </w:rPr>
              <w:t>6</w:t>
            </w:r>
            <w:r>
              <w:rPr>
                <w:rFonts w:hint="eastAsia"/>
              </w:rPr>
              <w:t>、在所有投标人的代表在场的情况下，招标人举行商务标开标会议，参加开标的投标人代表应对商务标的报价予以确认</w:t>
            </w:r>
            <w:r>
              <w:rPr>
                <w:rFonts w:hint="eastAsia"/>
                <w:lang w:eastAsia="zh-CN"/>
              </w:rPr>
              <w:t>；</w:t>
            </w:r>
          </w:p>
          <w:p>
            <w:pPr>
              <w:snapToGrid w:val="0"/>
              <w:spacing w:line="320" w:lineRule="exact"/>
              <w:rPr>
                <w:rFonts w:hint="eastAsia" w:ascii="宋体" w:hAnsi="宋体"/>
                <w:szCs w:val="21"/>
              </w:rPr>
            </w:pPr>
            <w:r>
              <w:rPr>
                <w:rFonts w:hint="eastAsia"/>
                <w:lang w:val="en-US" w:eastAsia="zh-CN"/>
              </w:rPr>
              <w:t>7</w:t>
            </w:r>
            <w:r>
              <w:rPr>
                <w:rFonts w:hint="eastAsia"/>
              </w:rPr>
              <w:t>、宣布评标结果。</w:t>
            </w:r>
            <w:bookmarkEnd w:id="19"/>
            <w:bookmarkStart w:id="20" w:name="OLE_LINK1"/>
          </w:p>
          <w:p>
            <w:pPr>
              <w:snapToGrid w:val="0"/>
              <w:spacing w:line="400" w:lineRule="exact"/>
              <w:rPr>
                <w:rFonts w:hint="eastAsia" w:ascii="宋体" w:hAnsi="宋体"/>
                <w:szCs w:val="21"/>
              </w:rPr>
            </w:pPr>
            <w:r>
              <w:rPr>
                <w:rFonts w:hint="eastAsia" w:ascii="宋体" w:hAnsi="宋体"/>
                <w:szCs w:val="21"/>
              </w:rPr>
              <w:t>（</w:t>
            </w:r>
            <w:r>
              <w:rPr>
                <w:rFonts w:hint="eastAsia" w:ascii="宋体" w:hAnsi="宋体"/>
                <w:b/>
                <w:szCs w:val="21"/>
              </w:rPr>
              <w:t>注：如果投标人的</w:t>
            </w:r>
            <w:bookmarkStart w:id="21" w:name="OLE_LINK4"/>
            <w:r>
              <w:rPr>
                <w:rFonts w:hint="eastAsia" w:ascii="宋体" w:hAnsi="宋体"/>
                <w:b/>
                <w:szCs w:val="21"/>
              </w:rPr>
              <w:t>代表未在现场的</w:t>
            </w:r>
            <w:bookmarkEnd w:id="20"/>
            <w:r>
              <w:rPr>
                <w:rFonts w:hint="eastAsia" w:ascii="宋体" w:hAnsi="宋体"/>
                <w:b/>
                <w:szCs w:val="21"/>
              </w:rPr>
              <w:t>或</w:t>
            </w:r>
            <w:bookmarkEnd w:id="21"/>
            <w:bookmarkStart w:id="22" w:name="OLE_LINK3"/>
            <w:r>
              <w:rPr>
                <w:rFonts w:hint="eastAsia" w:ascii="宋体" w:hAnsi="宋体"/>
                <w:b/>
                <w:szCs w:val="21"/>
              </w:rPr>
              <w:t>未在开标记录上签字的，均视为对开、评标结果予以默认</w:t>
            </w:r>
            <w:bookmarkEnd w:id="22"/>
            <w:r>
              <w:rPr>
                <w:rFonts w:hint="eastAsia" w:ascii="宋体" w:hAnsi="宋体"/>
                <w:b/>
                <w:szCs w:val="21"/>
              </w:rPr>
              <w:t>）</w:t>
            </w:r>
            <w:r>
              <w:rPr>
                <w:rFonts w:hint="eastAsia" w:ascii="宋体" w:hAnsi="宋体"/>
                <w:szCs w:val="21"/>
              </w:rPr>
              <w:t>；</w:t>
            </w:r>
          </w:p>
        </w:tc>
      </w:tr>
      <w:tr>
        <w:tblPrEx>
          <w:tblCellMar>
            <w:top w:w="0" w:type="dxa"/>
            <w:left w:w="108" w:type="dxa"/>
            <w:bottom w:w="0" w:type="dxa"/>
            <w:right w:w="108" w:type="dxa"/>
          </w:tblCellMar>
        </w:tblPrEx>
        <w:trPr>
          <w:trHeight w:val="879"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6.1.1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hint="eastAsia" w:ascii="宋体" w:hAnsi="宋体"/>
                <w:szCs w:val="21"/>
              </w:rPr>
              <w:t>评标委员会的组建</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ascii="宋体" w:hAnsi="宋体"/>
                <w:szCs w:val="21"/>
              </w:rPr>
              <w:t>评标委员会</w:t>
            </w:r>
            <w:r>
              <w:rPr>
                <w:rFonts w:hint="eastAsia" w:ascii="宋体" w:hAnsi="宋体"/>
                <w:szCs w:val="21"/>
              </w:rPr>
              <w:t>构成：</w:t>
            </w:r>
            <w:r>
              <w:rPr>
                <w:rFonts w:hint="eastAsia" w:ascii="宋体" w:hAnsi="宋体"/>
                <w:szCs w:val="21"/>
                <w:u w:val="single"/>
              </w:rPr>
              <w:t>5</w:t>
            </w:r>
            <w:r>
              <w:rPr>
                <w:rFonts w:hint="eastAsia" w:ascii="宋体" w:hAnsi="宋体"/>
                <w:szCs w:val="21"/>
              </w:rPr>
              <w:t>人或以上单数；</w:t>
            </w:r>
          </w:p>
          <w:p>
            <w:pPr>
              <w:snapToGrid w:val="0"/>
              <w:spacing w:line="400" w:lineRule="exact"/>
              <w:rPr>
                <w:rFonts w:ascii="宋体" w:hAnsi="宋体"/>
                <w:szCs w:val="21"/>
              </w:rPr>
            </w:pPr>
            <w:r>
              <w:rPr>
                <w:rFonts w:ascii="宋体" w:hAnsi="宋体"/>
                <w:szCs w:val="21"/>
              </w:rPr>
              <w:t>评标专家确定方式</w:t>
            </w:r>
            <w:r>
              <w:rPr>
                <w:rFonts w:hint="eastAsia" w:ascii="宋体" w:hAnsi="宋体"/>
                <w:szCs w:val="21"/>
              </w:rPr>
              <w:t>：</w:t>
            </w:r>
            <w:r>
              <w:rPr>
                <w:rFonts w:hint="eastAsia" w:ascii="宋体" w:hAnsi="宋体"/>
                <w:color w:val="000000"/>
                <w:szCs w:val="21"/>
              </w:rPr>
              <w:t>按规定组建</w:t>
            </w:r>
            <w:r>
              <w:rPr>
                <w:rFonts w:hint="eastAsia" w:ascii="宋体" w:hAnsi="宋体"/>
                <w:szCs w:val="21"/>
              </w:rPr>
              <w:t>。</w:t>
            </w:r>
          </w:p>
        </w:tc>
      </w:tr>
      <w:tr>
        <w:tblPrEx>
          <w:tblCellMar>
            <w:top w:w="0" w:type="dxa"/>
            <w:left w:w="108" w:type="dxa"/>
            <w:bottom w:w="0" w:type="dxa"/>
            <w:right w:w="108" w:type="dxa"/>
          </w:tblCellMar>
        </w:tblPrEx>
        <w:trPr>
          <w:trHeight w:val="561"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6.3</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评标方法</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综合评估法</w:t>
            </w:r>
          </w:p>
        </w:tc>
      </w:tr>
      <w:tr>
        <w:tblPrEx>
          <w:tblCellMar>
            <w:top w:w="0" w:type="dxa"/>
            <w:left w:w="108" w:type="dxa"/>
            <w:bottom w:w="0" w:type="dxa"/>
            <w:right w:w="108" w:type="dxa"/>
          </w:tblCellMar>
        </w:tblPrEx>
        <w:trPr>
          <w:trHeight w:val="715"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ascii="宋体" w:hAnsi="宋体"/>
                <w:szCs w:val="21"/>
              </w:rPr>
              <w:t>7.1</w:t>
            </w:r>
            <w:r>
              <w:rPr>
                <w:rFonts w:hint="eastAsia" w:ascii="宋体" w:hAnsi="宋体"/>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ascii="宋体" w:hAnsi="宋体"/>
                <w:szCs w:val="21"/>
              </w:rPr>
            </w:pPr>
            <w:r>
              <w:rPr>
                <w:rFonts w:hint="eastAsia" w:ascii="宋体" w:hAnsi="宋体"/>
                <w:szCs w:val="21"/>
              </w:rPr>
              <w:t>是否授权评标委员会确定中标人</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szCs w:val="21"/>
              </w:rPr>
              <w:t>否，</w:t>
            </w:r>
            <w:r>
              <w:rPr>
                <w:rFonts w:ascii="宋体" w:hAnsi="宋体"/>
                <w:szCs w:val="21"/>
              </w:rPr>
              <w:t>推荐的中标候选人数</w:t>
            </w:r>
            <w:r>
              <w:rPr>
                <w:rFonts w:hint="eastAsia" w:ascii="宋体" w:hAnsi="宋体"/>
                <w:szCs w:val="21"/>
              </w:rPr>
              <w:t>：1个</w:t>
            </w:r>
          </w:p>
        </w:tc>
      </w:tr>
      <w:tr>
        <w:tblPrEx>
          <w:tblCellMar>
            <w:top w:w="0" w:type="dxa"/>
            <w:left w:w="108" w:type="dxa"/>
            <w:bottom w:w="0" w:type="dxa"/>
            <w:right w:w="108" w:type="dxa"/>
          </w:tblCellMar>
        </w:tblPrEx>
        <w:trPr>
          <w:trHeight w:val="937"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szCs w:val="21"/>
              </w:rPr>
            </w:pPr>
            <w:r>
              <w:rPr>
                <w:rFonts w:ascii="宋体" w:hAnsi="宋体"/>
                <w:kern w:val="0"/>
                <w:szCs w:val="21"/>
              </w:rPr>
              <w:t>7.</w:t>
            </w:r>
            <w:r>
              <w:rPr>
                <w:rFonts w:hint="eastAsia" w:ascii="宋体" w:hAnsi="宋体"/>
                <w:kern w:val="0"/>
                <w:szCs w:val="21"/>
              </w:rPr>
              <w:t>4</w:t>
            </w:r>
            <w:r>
              <w:rPr>
                <w:rFonts w:ascii="宋体" w:hAnsi="宋体"/>
                <w:kern w:val="0"/>
                <w:szCs w:val="21"/>
              </w:rPr>
              <w:t>.1</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kern w:val="0"/>
                <w:szCs w:val="21"/>
              </w:rPr>
              <w:t>履约担保</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宋体" w:hAnsi="宋体"/>
                <w:szCs w:val="21"/>
              </w:rPr>
            </w:pPr>
            <w:r>
              <w:rPr>
                <w:rFonts w:hint="eastAsia" w:ascii="宋体" w:hAnsi="宋体"/>
                <w:kern w:val="0"/>
                <w:szCs w:val="21"/>
              </w:rPr>
              <w:t>履约担保的形式：现金银行转账或银行保函</w:t>
            </w:r>
          </w:p>
          <w:p>
            <w:pPr>
              <w:snapToGrid w:val="0"/>
              <w:spacing w:line="400" w:lineRule="exact"/>
              <w:rPr>
                <w:rFonts w:ascii="宋体" w:hAnsi="宋体"/>
                <w:szCs w:val="21"/>
              </w:rPr>
            </w:pPr>
            <w:r>
              <w:rPr>
                <w:rFonts w:hint="eastAsia" w:ascii="宋体" w:hAnsi="宋体"/>
                <w:kern w:val="0"/>
                <w:szCs w:val="21"/>
              </w:rPr>
              <w:t>履约担保的金额：</w:t>
            </w:r>
            <w:r>
              <w:rPr>
                <w:rFonts w:hint="eastAsia"/>
                <w:szCs w:val="21"/>
              </w:rPr>
              <w:t>监理合同价的</w:t>
            </w:r>
            <w:r>
              <w:rPr>
                <w:rFonts w:hint="eastAsia"/>
                <w:szCs w:val="21"/>
                <w:u w:val="single"/>
              </w:rPr>
              <w:t>2%</w:t>
            </w:r>
            <w:r>
              <w:rPr>
                <w:rFonts w:hint="eastAsia"/>
                <w:color w:val="0000FF"/>
                <w:szCs w:val="21"/>
              </w:rPr>
              <w:t>（详见监理合同相应条款约定）</w:t>
            </w:r>
          </w:p>
        </w:tc>
      </w:tr>
      <w:tr>
        <w:tblPrEx>
          <w:tblCellMar>
            <w:top w:w="0" w:type="dxa"/>
            <w:left w:w="108" w:type="dxa"/>
            <w:bottom w:w="0" w:type="dxa"/>
            <w:right w:w="108" w:type="dxa"/>
          </w:tblCellMar>
        </w:tblPrEx>
        <w:trPr>
          <w:trHeight w:val="760" w:hRule="atLeast"/>
          <w:jc w:val="center"/>
        </w:trPr>
        <w:tc>
          <w:tcPr>
            <w:tcW w:w="8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9.5</w:t>
            </w:r>
          </w:p>
        </w:tc>
        <w:tc>
          <w:tcPr>
            <w:tcW w:w="23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szCs w:val="21"/>
              </w:rPr>
            </w:pPr>
            <w:r>
              <w:rPr>
                <w:rFonts w:hint="eastAsia" w:ascii="宋体" w:hAnsi="宋体"/>
                <w:szCs w:val="21"/>
              </w:rPr>
              <w:t>行政监督部门</w:t>
            </w:r>
          </w:p>
        </w:tc>
        <w:tc>
          <w:tcPr>
            <w:tcW w:w="5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szCs w:val="21"/>
              </w:rPr>
            </w:pPr>
            <w:r>
              <w:rPr>
                <w:rFonts w:hint="eastAsia" w:ascii="宋体" w:hAnsi="宋体"/>
                <w:szCs w:val="21"/>
              </w:rPr>
              <w:t>监督部门：苍南县住房和城乡建设局</w:t>
            </w:r>
          </w:p>
          <w:p>
            <w:pPr>
              <w:snapToGrid w:val="0"/>
              <w:spacing w:line="400" w:lineRule="exact"/>
              <w:rPr>
                <w:rFonts w:hint="eastAsia" w:ascii="宋体" w:hAnsi="宋体"/>
                <w:szCs w:val="21"/>
              </w:rPr>
            </w:pPr>
            <w:r>
              <w:rPr>
                <w:rFonts w:hint="eastAsia" w:ascii="宋体" w:hAnsi="宋体"/>
                <w:szCs w:val="21"/>
              </w:rPr>
              <w:t>地</w:t>
            </w:r>
            <w:r>
              <w:rPr>
                <w:rFonts w:hint="eastAsia" w:ascii="宋体" w:hAnsi="宋体"/>
                <w:szCs w:val="21"/>
              </w:rPr>
              <w:tab/>
            </w:r>
            <w:r>
              <w:rPr>
                <w:rFonts w:hint="eastAsia" w:ascii="宋体" w:hAnsi="宋体"/>
                <w:szCs w:val="21"/>
              </w:rPr>
              <w:t>址：苍南县人民大道</w:t>
            </w:r>
          </w:p>
        </w:tc>
      </w:tr>
    </w:tbl>
    <w:p>
      <w:pPr>
        <w:snapToGrid w:val="0"/>
        <w:spacing w:line="300" w:lineRule="exact"/>
        <w:rPr>
          <w:rFonts w:hint="eastAsia"/>
        </w:rPr>
      </w:pPr>
    </w:p>
    <w:tbl>
      <w:tblPr>
        <w:tblStyle w:val="15"/>
        <w:tblW w:w="9167" w:type="dxa"/>
        <w:tblInd w:w="108" w:type="dxa"/>
        <w:tblLayout w:type="fixed"/>
        <w:tblCellMar>
          <w:top w:w="0" w:type="dxa"/>
          <w:left w:w="108" w:type="dxa"/>
          <w:bottom w:w="0" w:type="dxa"/>
          <w:right w:w="108" w:type="dxa"/>
        </w:tblCellMar>
      </w:tblPr>
      <w:tblGrid>
        <w:gridCol w:w="1070"/>
        <w:gridCol w:w="1819"/>
        <w:gridCol w:w="6278"/>
      </w:tblGrid>
      <w:tr>
        <w:tblPrEx>
          <w:tblCellMar>
            <w:top w:w="0" w:type="dxa"/>
            <w:left w:w="108" w:type="dxa"/>
            <w:bottom w:w="0" w:type="dxa"/>
            <w:right w:w="108" w:type="dxa"/>
          </w:tblCellMar>
        </w:tblPrEx>
        <w:trPr>
          <w:trHeight w:val="775" w:hRule="atLeast"/>
        </w:trPr>
        <w:tc>
          <w:tcPr>
            <w:tcW w:w="9167"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00" w:lineRule="exact"/>
              <w:jc w:val="center"/>
              <w:rPr>
                <w:rFonts w:hint="eastAsia" w:ascii="宋体" w:hAnsi="宋体"/>
                <w:b/>
                <w:color w:val="000000"/>
                <w:spacing w:val="40"/>
                <w:szCs w:val="21"/>
              </w:rPr>
            </w:pPr>
            <w:r>
              <w:rPr>
                <w:rFonts w:hint="eastAsia" w:ascii="宋体" w:hAnsi="宋体"/>
                <w:b/>
                <w:color w:val="000000"/>
                <w:spacing w:val="40"/>
                <w:szCs w:val="21"/>
              </w:rPr>
              <w:t>其他补充内容</w:t>
            </w:r>
          </w:p>
        </w:tc>
      </w:tr>
      <w:tr>
        <w:tblPrEx>
          <w:tblCellMar>
            <w:top w:w="0" w:type="dxa"/>
            <w:left w:w="108" w:type="dxa"/>
            <w:bottom w:w="0" w:type="dxa"/>
            <w:right w:w="108" w:type="dxa"/>
          </w:tblCellMar>
        </w:tblPrEx>
        <w:trPr>
          <w:trHeight w:val="1508" w:hRule="atLeast"/>
        </w:trPr>
        <w:tc>
          <w:tcPr>
            <w:tcW w:w="10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Arial"/>
                <w:color w:val="000000"/>
                <w:szCs w:val="21"/>
              </w:rPr>
            </w:pPr>
          </w:p>
        </w:tc>
        <w:tc>
          <w:tcPr>
            <w:tcW w:w="6278" w:type="dxa"/>
            <w:tcBorders>
              <w:top w:val="single" w:color="auto" w:sz="4" w:space="0"/>
              <w:left w:val="single" w:color="auto" w:sz="4" w:space="0"/>
              <w:bottom w:val="single" w:color="auto" w:sz="4" w:space="0"/>
              <w:right w:val="single" w:color="auto" w:sz="4" w:space="0"/>
            </w:tcBorders>
            <w:noWrap w:val="0"/>
            <w:vAlign w:val="top"/>
          </w:tcPr>
          <w:p>
            <w:pPr>
              <w:pStyle w:val="19"/>
              <w:spacing w:before="53" w:line="295" w:lineRule="auto"/>
              <w:ind w:left="107" w:right="31" w:firstLine="422"/>
              <w:jc w:val="both"/>
              <w:rPr>
                <w:b/>
                <w:sz w:val="21"/>
              </w:rPr>
            </w:pPr>
            <w:r>
              <w:rPr>
                <w:b/>
                <w:sz w:val="21"/>
              </w:rPr>
              <w:t>1、投标人在递交投标文件时须提供：①投标保证金若采用银行保函方式的，则需提供由苍南县公共资源交易中心核对并加盖专用章的银行保函复印件；②开标现场投标人员健康信息登记表原件； 未按要求提供材料，其投标文件将拒收。</w:t>
            </w:r>
          </w:p>
          <w:p>
            <w:pPr>
              <w:pStyle w:val="19"/>
              <w:spacing w:line="295" w:lineRule="auto"/>
              <w:ind w:left="107" w:right="96" w:firstLine="422"/>
              <w:rPr>
                <w:b/>
                <w:sz w:val="21"/>
              </w:rPr>
            </w:pPr>
            <w:r>
              <w:rPr>
                <w:b/>
                <w:sz w:val="21"/>
              </w:rPr>
              <w:t>2</w:t>
            </w:r>
            <w:r>
              <w:rPr>
                <w:b/>
                <w:spacing w:val="-11"/>
                <w:sz w:val="21"/>
              </w:rPr>
              <w:t>、投标单位未在温州市公共资源交易网-苍南县分网交易系统填写投标信息并确认投标状态或未</w:t>
            </w:r>
            <w:r>
              <w:rPr>
                <w:b/>
                <w:spacing w:val="-3"/>
                <w:sz w:val="21"/>
              </w:rPr>
              <w:t>在收标现场递交纸质投标文件的，招标人有权否决其投标。</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3、浙江省外监理企业在递交投标文件之时须提供有效期内的《省外企业进浙承接业务备案证书》复印件（复印件须加盖企业公章），未能提供其投标文件不予接收。</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4、投标人拟派人员如浙江省外的执业资格证书在中标后须按浙江省及当地建设主管部门相关规定进行备案，无法备案的，招标人将取消其中标资格。</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5、在投标截止时间前，投标人未被人民法院列入限制失信被执行人投标资格名单的企业。</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6、企业投标人须已录入浙江省建筑市场监管与诚信信息平台。</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7、浙江省外监理企业已录入浙江省建筑市场监管与诚信信息平台及备案的，其监理工程师证书予以认可。</w:t>
            </w:r>
          </w:p>
          <w:p>
            <w:pPr>
              <w:pStyle w:val="19"/>
              <w:spacing w:line="267" w:lineRule="exact"/>
              <w:ind w:left="527"/>
              <w:rPr>
                <w:sz w:val="21"/>
              </w:rPr>
            </w:pPr>
            <w:r>
              <w:rPr>
                <w:b/>
                <w:sz w:val="21"/>
              </w:rPr>
              <w:t>8、投标文件递交</w:t>
            </w:r>
            <w:r>
              <w:rPr>
                <w:sz w:val="21"/>
              </w:rPr>
              <w:t>时投标人应出示法定代表人或其委托代理人相应材料：</w:t>
            </w:r>
          </w:p>
          <w:p>
            <w:pPr>
              <w:pStyle w:val="19"/>
              <w:numPr>
                <w:ilvl w:val="0"/>
                <w:numId w:val="2"/>
              </w:numPr>
              <w:tabs>
                <w:tab w:val="left" w:pos="631"/>
              </w:tabs>
              <w:spacing w:before="62" w:after="0" w:line="292" w:lineRule="auto"/>
              <w:ind w:left="107" w:right="-15" w:firstLine="103"/>
              <w:jc w:val="left"/>
              <w:rPr>
                <w:sz w:val="21"/>
              </w:rPr>
            </w:pPr>
            <w:r>
              <w:rPr>
                <w:b/>
                <w:sz w:val="21"/>
                <w:u w:val="single"/>
              </w:rPr>
              <w:t>法定代表人</w:t>
            </w:r>
            <w:r>
              <w:rPr>
                <w:spacing w:val="-6"/>
                <w:sz w:val="21"/>
              </w:rPr>
              <w:t>参加的，必须持有并出示开标现场投标人员健康信息登记表原件、《法人营业执照》</w:t>
            </w:r>
            <w:r>
              <w:rPr>
                <w:spacing w:val="-4"/>
                <w:sz w:val="21"/>
              </w:rPr>
              <w:t>原件或复印件、本人身份证原件和复印件；</w:t>
            </w:r>
          </w:p>
          <w:p>
            <w:pPr>
              <w:pStyle w:val="19"/>
              <w:numPr>
                <w:ilvl w:val="0"/>
                <w:numId w:val="2"/>
              </w:numPr>
              <w:tabs>
                <w:tab w:val="left" w:pos="459"/>
              </w:tabs>
              <w:spacing w:before="3" w:after="0" w:line="295" w:lineRule="auto"/>
              <w:ind w:left="107" w:right="95" w:hanging="1"/>
              <w:jc w:val="both"/>
              <w:rPr>
                <w:rFonts w:ascii="Times New Roman" w:hAnsi="Times New Roman" w:eastAsia="宋体" w:cs="Times New Roman"/>
                <w:spacing w:val="-6"/>
                <w:sz w:val="21"/>
              </w:rPr>
            </w:pPr>
            <w:r>
              <w:rPr>
                <w:rFonts w:ascii="Times New Roman" w:hAnsi="Times New Roman" w:eastAsia="宋体" w:cs="Times New Roman"/>
                <w:b/>
                <w:sz w:val="21"/>
                <w:u w:val="single"/>
              </w:rPr>
              <w:t>如委派委托代理人</w:t>
            </w:r>
            <w:r>
              <w:rPr>
                <w:spacing w:val="-3"/>
                <w:sz w:val="21"/>
              </w:rPr>
              <w:t>参</w:t>
            </w:r>
            <w:r>
              <w:rPr>
                <w:rFonts w:ascii="Times New Roman" w:hAnsi="Times New Roman" w:eastAsia="宋体" w:cs="Times New Roman"/>
                <w:spacing w:val="-6"/>
                <w:sz w:val="21"/>
              </w:rPr>
              <w:t>加的，必须持有并出示开标现场投标人员健康信息登记表原件、法人签署盖章的授权委托书原件、提供委托代理人在投标单位参保的社保证明【社保证明：在投标截止时间前六个月内，连续缴费三个月及以上且已到账方有效（若投标监理企业注册成立时间不足六个月，则须提供该监理企业注册成立至今的有效社保证明）】、本人身份证原件。</w:t>
            </w:r>
          </w:p>
          <w:p>
            <w:pPr>
              <w:pStyle w:val="19"/>
              <w:spacing w:before="53" w:line="295" w:lineRule="auto"/>
              <w:ind w:left="107" w:right="31" w:firstLine="422"/>
              <w:jc w:val="both"/>
              <w:rPr>
                <w:rFonts w:ascii="Times New Roman" w:hAnsi="Times New Roman" w:eastAsia="宋体" w:cs="Times New Roman"/>
                <w:b/>
                <w:sz w:val="21"/>
              </w:rPr>
            </w:pPr>
            <w:r>
              <w:rPr>
                <w:b/>
                <w:spacing w:val="-15"/>
                <w:sz w:val="21"/>
              </w:rPr>
              <w:t>注</w:t>
            </w:r>
            <w:r>
              <w:rPr>
                <w:rFonts w:ascii="Times New Roman" w:hAnsi="Times New Roman" w:eastAsia="宋体" w:cs="Times New Roman"/>
                <w:b/>
                <w:sz w:val="21"/>
              </w:rPr>
              <w:t>：以上所有复印件均须盖有公司印章。法定代表人（或委托代理人）的身份须按上述要求验证，只有通过验证的投标人的投标文件才予以接收，如出现特殊情况，则提交监督人员或评标委员会复核、决定。</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9、1）根据苍南县新型冠状病毒肺炎疫情防控工作领导小组办公室 2021 年 9 月 13 日发布的第 27 号通告第七点“加强人员流动管理：中高风险地区人员暂缓来苍返苍；暂停有福建来苍人员参加的各类活动”要求：</w:t>
            </w:r>
          </w:p>
          <w:p>
            <w:pPr>
              <w:pStyle w:val="19"/>
              <w:spacing w:before="53" w:line="295" w:lineRule="auto"/>
              <w:ind w:left="107" w:right="31" w:firstLine="422"/>
              <w:jc w:val="both"/>
              <w:rPr>
                <w:rFonts w:ascii="Times New Roman" w:hAnsi="Times New Roman" w:eastAsia="宋体" w:cs="Times New Roman"/>
                <w:b/>
                <w:sz w:val="21"/>
              </w:rPr>
            </w:pPr>
            <w:r>
              <w:rPr>
                <w:rFonts w:ascii="Times New Roman" w:hAnsi="Times New Roman" w:eastAsia="宋体" w:cs="Times New Roman"/>
                <w:b/>
                <w:sz w:val="21"/>
              </w:rPr>
              <w:t>①禁止中高风险地区所在省份来苍返苍人员进入苍南县招标投标工作指导中心（苍南县公共资源交易中心）场所；②所有进入苍南县招标投标工作指导中心（苍南县公共资源交易中心）场所的人员须测温、亮码（健康码+行程码）核查，无异常后方可进入。</w:t>
            </w:r>
          </w:p>
          <w:p>
            <w:pPr>
              <w:pStyle w:val="19"/>
              <w:spacing w:before="53" w:line="295" w:lineRule="auto"/>
              <w:ind w:left="107" w:right="31" w:firstLine="422"/>
              <w:jc w:val="both"/>
              <w:rPr>
                <w:rFonts w:hint="eastAsia" w:cs="Times New Roman"/>
                <w:b/>
                <w:bCs/>
                <w:color w:val="FF0000"/>
                <w:kern w:val="2"/>
                <w:sz w:val="21"/>
                <w:szCs w:val="21"/>
              </w:rPr>
            </w:pPr>
            <w:r>
              <w:rPr>
                <w:rFonts w:ascii="Times New Roman" w:hAnsi="Times New Roman" w:eastAsia="宋体" w:cs="Times New Roman"/>
                <w:b/>
                <w:sz w:val="21"/>
              </w:rPr>
              <w:t>2）请各投标人必须仔细阅读及严格执行苍南县新型冠状病毒肺炎疫情防控工作领导小组办公室发布的各类通告并提前做好投标准备工作。</w:t>
            </w:r>
          </w:p>
        </w:tc>
      </w:tr>
      <w:tr>
        <w:tblPrEx>
          <w:tblCellMar>
            <w:top w:w="0" w:type="dxa"/>
            <w:left w:w="108" w:type="dxa"/>
            <w:bottom w:w="0" w:type="dxa"/>
            <w:right w:w="108" w:type="dxa"/>
          </w:tblCellMar>
        </w:tblPrEx>
        <w:trPr>
          <w:trHeight w:val="1702" w:hRule="atLeast"/>
        </w:trPr>
        <w:tc>
          <w:tcPr>
            <w:tcW w:w="288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Arial"/>
                <w:color w:val="000000"/>
                <w:szCs w:val="21"/>
              </w:rPr>
            </w:pPr>
            <w:r>
              <w:rPr>
                <w:rFonts w:hint="eastAsia" w:hAnsi="宋体"/>
                <w:b/>
                <w:color w:val="FF0000"/>
                <w:szCs w:val="21"/>
                <w:highlight w:val="white"/>
              </w:rPr>
              <w:t>疫情防控期间现场防控措施</w:t>
            </w:r>
          </w:p>
        </w:tc>
        <w:tc>
          <w:tcPr>
            <w:tcW w:w="6278" w:type="dxa"/>
            <w:tcBorders>
              <w:top w:val="single" w:color="auto" w:sz="4" w:space="0"/>
              <w:left w:val="single" w:color="auto" w:sz="4" w:space="0"/>
              <w:bottom w:val="single" w:color="auto" w:sz="4" w:space="0"/>
              <w:right w:val="single" w:color="auto" w:sz="4" w:space="0"/>
            </w:tcBorders>
            <w:noWrap w:val="0"/>
            <w:vAlign w:val="top"/>
          </w:tcPr>
          <w:p>
            <w:pPr>
              <w:ind w:firstLine="420" w:firstLineChars="200"/>
              <w:rPr>
                <w:rFonts w:ascii="宋体" w:hAnsi="宋体"/>
                <w:bCs/>
                <w:color w:val="000000"/>
                <w:szCs w:val="21"/>
              </w:rPr>
            </w:pPr>
            <w:r>
              <w:rPr>
                <w:rFonts w:hint="eastAsia" w:ascii="宋体" w:hAnsi="宋体"/>
                <w:bCs/>
                <w:color w:val="000000"/>
                <w:szCs w:val="21"/>
              </w:rPr>
              <w:t>为做好</w:t>
            </w:r>
            <w:r>
              <w:rPr>
                <w:rFonts w:hint="eastAsia" w:ascii="宋体" w:hAnsi="宋体"/>
                <w:color w:val="000000"/>
                <w:szCs w:val="21"/>
                <w:u w:val="single"/>
                <w:lang w:eastAsia="zh-CN"/>
              </w:rPr>
              <w:t xml:space="preserve"> 县城新区南扩区渡龙安置小区建设工程项目监理</w:t>
            </w:r>
            <w:r>
              <w:rPr>
                <w:rFonts w:hint="eastAsia" w:ascii="宋体" w:hAnsi="宋体"/>
                <w:bCs/>
                <w:color w:val="000000"/>
                <w:szCs w:val="21"/>
              </w:rPr>
              <w:t>疫情防控期间项目招投标工作，确保疫情防控严密细致、措施到位，确保招投标活动便捷高效、平稳有序，</w:t>
            </w:r>
            <w:r>
              <w:rPr>
                <w:rFonts w:hint="eastAsia" w:ascii="宋体" w:hAnsi="宋体"/>
                <w:bCs/>
                <w:color w:val="000000"/>
                <w:szCs w:val="21"/>
                <w:shd w:val="clear" w:color="auto" w:fill="FFFFFF"/>
              </w:rPr>
              <w:t>根据</w:t>
            </w:r>
            <w:r>
              <w:rPr>
                <w:rFonts w:hint="eastAsia" w:ascii="宋体" w:hAnsi="宋体"/>
                <w:bCs/>
                <w:color w:val="000000"/>
                <w:szCs w:val="21"/>
              </w:rPr>
              <w:t>“少接触”的原则</w:t>
            </w:r>
            <w:r>
              <w:rPr>
                <w:rFonts w:hint="eastAsia" w:ascii="宋体" w:hAnsi="宋体"/>
                <w:bCs/>
                <w:color w:val="000000"/>
                <w:szCs w:val="21"/>
                <w:shd w:val="clear" w:color="auto" w:fill="FFFFFF"/>
              </w:rPr>
              <w:t>。招标会议疫情防控措施方案如下，所涉及单位及参加会议人员应积极配合：</w:t>
            </w:r>
          </w:p>
          <w:p>
            <w:pPr>
              <w:pStyle w:val="14"/>
              <w:shd w:val="clear" w:color="auto" w:fill="FFFFFF"/>
              <w:spacing w:before="0" w:after="0"/>
              <w:ind w:firstLine="434" w:firstLineChars="206"/>
              <w:rPr>
                <w:b/>
                <w:color w:val="000000"/>
                <w:sz w:val="21"/>
                <w:szCs w:val="21"/>
              </w:rPr>
            </w:pPr>
            <w:r>
              <w:rPr>
                <w:b/>
                <w:color w:val="000000"/>
                <w:sz w:val="21"/>
                <w:szCs w:val="21"/>
              </w:rPr>
              <w:t>一、现场防护措施</w:t>
            </w:r>
          </w:p>
          <w:p>
            <w:pPr>
              <w:pStyle w:val="14"/>
              <w:shd w:val="clear" w:color="auto" w:fill="FFFFFF"/>
              <w:spacing w:before="0" w:after="0" w:line="320" w:lineRule="exact"/>
              <w:ind w:firstLine="432" w:firstLineChars="206"/>
              <w:rPr>
                <w:bCs/>
                <w:color w:val="000000"/>
                <w:sz w:val="21"/>
                <w:szCs w:val="21"/>
              </w:rPr>
            </w:pPr>
            <w:r>
              <w:rPr>
                <w:bCs/>
                <w:color w:val="000000"/>
                <w:sz w:val="21"/>
                <w:szCs w:val="21"/>
              </w:rPr>
              <w:t>1.</w:t>
            </w:r>
            <w:r>
              <w:rPr>
                <w:bCs/>
                <w:sz w:val="21"/>
                <w:szCs w:val="21"/>
              </w:rPr>
              <w:t>每家投标单位</w:t>
            </w:r>
            <w:r>
              <w:rPr>
                <w:b/>
                <w:color w:val="FF0000"/>
                <w:sz w:val="21"/>
                <w:szCs w:val="21"/>
                <w:u w:val="single"/>
              </w:rPr>
              <w:t>只可委派1名本单位人员</w:t>
            </w:r>
            <w:r>
              <w:rPr>
                <w:bCs/>
                <w:sz w:val="21"/>
                <w:szCs w:val="21"/>
              </w:rPr>
              <w:t>（</w:t>
            </w:r>
            <w:r>
              <w:rPr>
                <w:bCs/>
                <w:color w:val="000000"/>
                <w:sz w:val="21"/>
                <w:szCs w:val="21"/>
              </w:rPr>
              <w:t>投标单位法定代表人或法定代表人授权</w:t>
            </w:r>
            <w:r>
              <w:rPr>
                <w:color w:val="000000"/>
                <w:kern w:val="2"/>
                <w:sz w:val="21"/>
                <w:szCs w:val="21"/>
              </w:rPr>
              <w:t>委托代理人</w:t>
            </w:r>
            <w:r>
              <w:rPr>
                <w:bCs/>
                <w:sz w:val="21"/>
                <w:szCs w:val="21"/>
              </w:rPr>
              <w:t>）参加投标，</w:t>
            </w:r>
            <w:r>
              <w:rPr>
                <w:b/>
                <w:bCs/>
                <w:color w:val="000000"/>
                <w:sz w:val="21"/>
                <w:szCs w:val="21"/>
              </w:rPr>
              <w:t>投标时须携带有效证明材料（见前附表）和开标现场投标人员健康信息登记表原件（见附件投-</w:t>
            </w:r>
            <w:r>
              <w:rPr>
                <w:rFonts w:hint="default"/>
                <w:b/>
                <w:bCs/>
                <w:color w:val="000000"/>
                <w:sz w:val="21"/>
                <w:szCs w:val="21"/>
              </w:rPr>
              <w:t>2</w:t>
            </w:r>
            <w:r>
              <w:rPr>
                <w:b/>
                <w:bCs/>
                <w:color w:val="000000"/>
                <w:sz w:val="21"/>
                <w:szCs w:val="21"/>
              </w:rPr>
              <w:t>）。</w:t>
            </w:r>
          </w:p>
          <w:p>
            <w:pPr>
              <w:pStyle w:val="14"/>
              <w:shd w:val="clear" w:color="auto" w:fill="FFFFFF"/>
              <w:spacing w:before="0" w:after="0" w:line="320" w:lineRule="exact"/>
              <w:ind w:firstLine="432" w:firstLineChars="206"/>
              <w:rPr>
                <w:bCs/>
                <w:color w:val="000000"/>
                <w:sz w:val="21"/>
                <w:szCs w:val="21"/>
              </w:rPr>
            </w:pPr>
            <w:r>
              <w:rPr>
                <w:bCs/>
                <w:color w:val="000000"/>
                <w:sz w:val="21"/>
                <w:szCs w:val="21"/>
              </w:rPr>
              <w:t>2.开评标会议现场建立登记问询制度。招标人、代理机构按照疫情防控响应的有关要求，做好开评标活动现场人员信息登记、体温检测、核对健康码、口罩佩戴、手部卫生消毒等各项工作，并询问进入开评标现场人员近 14 天内的旅行史特别是较重疫区及国外的旅行史，了解近一周的个人身体情况和发热病人接触史。</w:t>
            </w:r>
          </w:p>
          <w:p>
            <w:pPr>
              <w:pStyle w:val="14"/>
              <w:shd w:val="clear" w:color="auto" w:fill="FFFFFF"/>
              <w:spacing w:before="0" w:after="0" w:line="320" w:lineRule="exact"/>
              <w:ind w:firstLine="432" w:firstLineChars="206"/>
              <w:rPr>
                <w:bCs/>
                <w:color w:val="000000"/>
                <w:sz w:val="21"/>
                <w:szCs w:val="21"/>
              </w:rPr>
            </w:pPr>
            <w:r>
              <w:rPr>
                <w:bCs/>
                <w:color w:val="000000"/>
                <w:sz w:val="21"/>
                <w:szCs w:val="21"/>
              </w:rPr>
              <w:t>3.开评标现场听从代理机构安排，按照指定位置就坐（每人间隔一个座位就坐），不得聚集喧哗并随意走动。</w:t>
            </w:r>
          </w:p>
          <w:p>
            <w:pPr>
              <w:pStyle w:val="14"/>
              <w:shd w:val="clear" w:color="auto" w:fill="FFFFFF"/>
              <w:spacing w:before="0" w:after="0" w:line="320" w:lineRule="exact"/>
              <w:ind w:firstLine="432" w:firstLineChars="206"/>
              <w:rPr>
                <w:bCs/>
                <w:color w:val="000000"/>
                <w:sz w:val="21"/>
                <w:szCs w:val="21"/>
              </w:rPr>
            </w:pPr>
            <w:r>
              <w:rPr>
                <w:bCs/>
                <w:color w:val="000000"/>
                <w:sz w:val="21"/>
                <w:szCs w:val="21"/>
              </w:rPr>
              <w:t>4.加强个人防护及开评标场所消毒工作。进入开评标现场人员都应当自行戴好口罩，做好手部卫生消毒。严格执行开评标场所消毒制度。开评标场地配备消毒器具，使用前后，进行清理消毒工作。尽可能减少现场人数、加大座位间隔、缩短工作时间。参加招标活动的评审专家、中心监督人员、招标人、代理机构工作人员应当做好个人防护，严格执行疫情报告、人员隔离等要求。</w:t>
            </w:r>
          </w:p>
          <w:p>
            <w:pPr>
              <w:pStyle w:val="14"/>
              <w:shd w:val="clear" w:color="auto" w:fill="FFFFFF"/>
              <w:spacing w:before="0" w:after="0" w:line="320" w:lineRule="exact"/>
              <w:ind w:firstLine="416" w:firstLineChars="206"/>
              <w:rPr>
                <w:bCs/>
                <w:color w:val="000000"/>
                <w:spacing w:val="-4"/>
                <w:sz w:val="21"/>
                <w:szCs w:val="21"/>
              </w:rPr>
            </w:pPr>
            <w:r>
              <w:rPr>
                <w:bCs/>
                <w:color w:val="000000"/>
                <w:spacing w:val="-4"/>
                <w:sz w:val="21"/>
                <w:szCs w:val="21"/>
              </w:rPr>
              <w:t>5.开标结束后，各投标人代表离开开标现场，但应保持通讯畅通。</w:t>
            </w:r>
          </w:p>
          <w:p>
            <w:pPr>
              <w:pStyle w:val="14"/>
              <w:shd w:val="clear" w:color="auto" w:fill="FFFFFF"/>
              <w:spacing w:before="0" w:after="0" w:line="320" w:lineRule="exact"/>
              <w:ind w:firstLine="432" w:firstLineChars="206"/>
              <w:rPr>
                <w:bCs/>
                <w:color w:val="000000"/>
                <w:sz w:val="21"/>
                <w:szCs w:val="21"/>
              </w:rPr>
            </w:pPr>
            <w:r>
              <w:rPr>
                <w:bCs/>
                <w:color w:val="000000"/>
                <w:sz w:val="21"/>
                <w:szCs w:val="21"/>
              </w:rPr>
              <w:t>6.严格落实执行现场开标及评审法律规章制度。</w:t>
            </w:r>
          </w:p>
          <w:p>
            <w:pPr>
              <w:pStyle w:val="14"/>
              <w:shd w:val="clear" w:color="auto" w:fill="FFFFFF"/>
              <w:spacing w:before="0" w:after="0" w:line="320" w:lineRule="exact"/>
              <w:ind w:firstLine="320"/>
              <w:rPr>
                <w:b/>
                <w:color w:val="000000"/>
                <w:sz w:val="21"/>
                <w:szCs w:val="21"/>
              </w:rPr>
            </w:pPr>
            <w:r>
              <w:rPr>
                <w:b/>
                <w:color w:val="000000"/>
                <w:sz w:val="21"/>
                <w:szCs w:val="21"/>
              </w:rPr>
              <w:t>二、响应预案</w:t>
            </w:r>
          </w:p>
          <w:p>
            <w:pPr>
              <w:pStyle w:val="14"/>
              <w:shd w:val="clear" w:color="auto" w:fill="FFFFFF"/>
              <w:spacing w:before="0" w:after="0" w:line="320" w:lineRule="exact"/>
              <w:ind w:firstLine="320"/>
              <w:rPr>
                <w:bCs/>
                <w:color w:val="000000"/>
                <w:sz w:val="21"/>
                <w:szCs w:val="21"/>
              </w:rPr>
            </w:pPr>
            <w:r>
              <w:rPr>
                <w:bCs/>
                <w:color w:val="000000"/>
                <w:sz w:val="21"/>
                <w:szCs w:val="21"/>
              </w:rPr>
              <w:t>1.按照“早发现、早报告、早隔离、早治疗”的原则。</w:t>
            </w:r>
          </w:p>
          <w:p>
            <w:pPr>
              <w:pStyle w:val="14"/>
              <w:shd w:val="clear" w:color="auto" w:fill="FFFFFF"/>
              <w:spacing w:before="0" w:after="0" w:line="320" w:lineRule="exact"/>
              <w:ind w:firstLine="320"/>
              <w:rPr>
                <w:bCs/>
                <w:color w:val="000000"/>
                <w:sz w:val="21"/>
                <w:szCs w:val="21"/>
              </w:rPr>
            </w:pPr>
            <w:r>
              <w:rPr>
                <w:bCs/>
                <w:color w:val="000000"/>
                <w:sz w:val="21"/>
                <w:szCs w:val="21"/>
              </w:rPr>
              <w:t>2.新型冠状病毒性肺炎的主要症状:咳嗽(症状严重，干咳为主，伴有痰音，喘息，影响睡眠) ;发热(高热持续72小时以上) ;全身精神差，食欲差;潜伏期2~14天，平均7天等。遇到有以上相应症状者，应劝(送)其去医院就医。并立即报告上级，根据具体情况，采取隔离、消毒、疏散等措施。</w:t>
            </w:r>
          </w:p>
          <w:p>
            <w:pPr>
              <w:pStyle w:val="14"/>
              <w:shd w:val="clear" w:color="auto" w:fill="FFFFFF"/>
              <w:spacing w:before="0" w:after="0" w:line="320" w:lineRule="exact"/>
              <w:ind w:firstLine="320"/>
              <w:rPr>
                <w:bCs/>
                <w:color w:val="000000"/>
                <w:sz w:val="21"/>
                <w:szCs w:val="21"/>
              </w:rPr>
            </w:pPr>
            <w:r>
              <w:rPr>
                <w:bCs/>
                <w:color w:val="000000"/>
                <w:sz w:val="21"/>
                <w:szCs w:val="21"/>
              </w:rPr>
              <w:t>3.若有发现疑似病症，第一人必须在第一时间应立即向当地疾病预防控制机构和行政管理部门报告，并提供疑似病人及与其密切接触者的相关信息。不得延误。</w:t>
            </w:r>
          </w:p>
          <w:p>
            <w:pPr>
              <w:pStyle w:val="14"/>
              <w:shd w:val="clear" w:color="auto" w:fill="FFFFFF"/>
              <w:spacing w:before="0" w:after="0" w:line="320" w:lineRule="exact"/>
              <w:ind w:firstLine="320"/>
              <w:rPr>
                <w:bCs/>
                <w:color w:val="000000"/>
                <w:sz w:val="21"/>
                <w:szCs w:val="21"/>
              </w:rPr>
            </w:pPr>
            <w:r>
              <w:rPr>
                <w:bCs/>
                <w:color w:val="000000"/>
                <w:sz w:val="21"/>
                <w:szCs w:val="21"/>
              </w:rPr>
              <w:t>4.开标室、开标现场、评标室有人员出现疑似症状，除劝(送)其去医院就医外，尚应采取以下措施:</w:t>
            </w:r>
          </w:p>
          <w:p>
            <w:pPr>
              <w:pStyle w:val="14"/>
              <w:shd w:val="clear" w:color="auto" w:fill="FFFFFF"/>
              <w:spacing w:before="0" w:after="0" w:line="320" w:lineRule="exact"/>
              <w:ind w:firstLine="320"/>
              <w:rPr>
                <w:bCs/>
                <w:color w:val="000000"/>
                <w:sz w:val="21"/>
                <w:szCs w:val="21"/>
              </w:rPr>
            </w:pPr>
            <w:r>
              <w:rPr>
                <w:bCs/>
                <w:color w:val="000000"/>
                <w:sz w:val="21"/>
                <w:szCs w:val="21"/>
              </w:rPr>
              <w:t>（1）同其直接接触的人员，应到医院体检；</w:t>
            </w:r>
          </w:p>
          <w:p>
            <w:pPr>
              <w:pStyle w:val="14"/>
              <w:shd w:val="clear" w:color="auto" w:fill="FFFFFF"/>
              <w:spacing w:before="0" w:after="0" w:line="320" w:lineRule="exact"/>
              <w:ind w:firstLine="320"/>
              <w:rPr>
                <w:bCs/>
                <w:color w:val="000000"/>
                <w:sz w:val="21"/>
                <w:szCs w:val="21"/>
              </w:rPr>
            </w:pPr>
            <w:r>
              <w:rPr>
                <w:bCs/>
                <w:color w:val="000000"/>
                <w:sz w:val="21"/>
                <w:szCs w:val="21"/>
              </w:rPr>
              <w:t>（2）场所进行封闭消毒；</w:t>
            </w:r>
          </w:p>
          <w:p>
            <w:pPr>
              <w:pStyle w:val="14"/>
              <w:shd w:val="clear" w:color="auto" w:fill="FFFFFF"/>
              <w:spacing w:before="0" w:after="0" w:line="320" w:lineRule="exact"/>
              <w:ind w:firstLine="320"/>
              <w:rPr>
                <w:bCs/>
                <w:color w:val="000000"/>
                <w:sz w:val="21"/>
                <w:szCs w:val="21"/>
              </w:rPr>
            </w:pPr>
            <w:r>
              <w:rPr>
                <w:bCs/>
                <w:color w:val="000000"/>
                <w:sz w:val="21"/>
                <w:szCs w:val="21"/>
              </w:rPr>
              <w:t>（3）确诊为新型肺炎病人，则对有关人员采取隔离措施，有关场所实行封闭消毒，现场禁止人员进出，实行隔离。</w:t>
            </w:r>
          </w:p>
          <w:p>
            <w:pPr>
              <w:pStyle w:val="14"/>
              <w:shd w:val="clear" w:color="auto" w:fill="FFFFFF"/>
              <w:spacing w:before="0" w:after="0" w:line="320" w:lineRule="exact"/>
              <w:ind w:firstLine="320"/>
              <w:rPr>
                <w:bCs/>
                <w:color w:val="000000"/>
                <w:sz w:val="21"/>
                <w:szCs w:val="21"/>
              </w:rPr>
            </w:pPr>
            <w:r>
              <w:rPr>
                <w:bCs/>
                <w:color w:val="000000"/>
                <w:sz w:val="21"/>
                <w:szCs w:val="21"/>
              </w:rPr>
              <w:t>（4）配合有关部门做好善后工作。</w:t>
            </w:r>
          </w:p>
          <w:p>
            <w:pPr>
              <w:pStyle w:val="14"/>
              <w:shd w:val="clear" w:color="auto" w:fill="FFFFFF"/>
              <w:spacing w:before="0" w:after="0" w:line="320" w:lineRule="exact"/>
              <w:ind w:firstLine="320"/>
              <w:rPr>
                <w:b/>
                <w:sz w:val="21"/>
                <w:szCs w:val="21"/>
              </w:rPr>
            </w:pPr>
            <w:r>
              <w:rPr>
                <w:b/>
                <w:sz w:val="21"/>
                <w:szCs w:val="21"/>
              </w:rPr>
              <w:t>三、其他事项</w:t>
            </w:r>
          </w:p>
          <w:p>
            <w:pPr>
              <w:pStyle w:val="14"/>
              <w:shd w:val="clear" w:color="auto" w:fill="FFFFFF"/>
              <w:spacing w:before="0" w:after="0" w:line="320" w:lineRule="exact"/>
              <w:ind w:firstLine="320"/>
              <w:rPr>
                <w:bCs/>
                <w:color w:val="000000"/>
                <w:sz w:val="21"/>
                <w:szCs w:val="21"/>
              </w:rPr>
            </w:pPr>
            <w:r>
              <w:rPr>
                <w:bCs/>
                <w:color w:val="000000"/>
                <w:sz w:val="21"/>
                <w:szCs w:val="21"/>
              </w:rPr>
              <w:t>1、疫情防控期间现场防控措施不足之处应严格按省、市、县防疫政策及相关文件执行；</w:t>
            </w:r>
          </w:p>
          <w:p>
            <w:pPr>
              <w:pStyle w:val="14"/>
              <w:shd w:val="clear" w:color="auto" w:fill="FFFFFF"/>
              <w:spacing w:before="0" w:after="0" w:line="320" w:lineRule="exact"/>
              <w:ind w:firstLine="320"/>
              <w:rPr>
                <w:bCs/>
                <w:color w:val="000000"/>
                <w:sz w:val="21"/>
                <w:szCs w:val="21"/>
              </w:rPr>
            </w:pPr>
            <w:r>
              <w:rPr>
                <w:bCs/>
                <w:color w:val="000000"/>
                <w:sz w:val="21"/>
                <w:szCs w:val="21"/>
              </w:rPr>
              <w:t>2、投标现场须进行体温测量，如体温数据不一致的情况下，以交易中心（或招标人、代理机构）的数据为准；</w:t>
            </w:r>
          </w:p>
          <w:p>
            <w:pPr>
              <w:tabs>
                <w:tab w:val="left" w:pos="1965"/>
              </w:tabs>
              <w:autoSpaceDE w:val="0"/>
              <w:autoSpaceDN w:val="0"/>
              <w:adjustRightInd w:val="0"/>
              <w:spacing w:line="320" w:lineRule="exact"/>
              <w:ind w:firstLine="420" w:firstLineChars="200"/>
              <w:rPr>
                <w:rFonts w:hint="eastAsia" w:ascii="宋体"/>
                <w:b/>
                <w:bCs/>
                <w:szCs w:val="21"/>
              </w:rPr>
            </w:pPr>
            <w:r>
              <w:rPr>
                <w:rFonts w:hint="eastAsia" w:ascii="宋体" w:hAnsi="宋体"/>
                <w:bCs/>
                <w:color w:val="000000"/>
                <w:szCs w:val="21"/>
              </w:rPr>
              <w:t>3、投标人在递交标书等阶段健康码出现红码、体温出现异常等情况，可能引起投标文件被拒收或出现隔离情况，所导致的各种后果由投标人自行承担。</w:t>
            </w:r>
          </w:p>
        </w:tc>
      </w:tr>
      <w:tr>
        <w:tblPrEx>
          <w:tblCellMar>
            <w:top w:w="0" w:type="dxa"/>
            <w:left w:w="108" w:type="dxa"/>
            <w:bottom w:w="0" w:type="dxa"/>
            <w:right w:w="108" w:type="dxa"/>
          </w:tblCellMar>
        </w:tblPrEx>
        <w:trPr>
          <w:trHeight w:val="1702" w:hRule="atLeast"/>
        </w:trPr>
        <w:tc>
          <w:tcPr>
            <w:tcW w:w="2889" w:type="dxa"/>
            <w:gridSpan w:val="2"/>
            <w:tcBorders>
              <w:top w:val="single" w:color="auto" w:sz="4" w:space="0"/>
              <w:left w:val="single" w:color="auto" w:sz="4" w:space="0"/>
              <w:bottom w:val="single" w:color="auto" w:sz="4" w:space="0"/>
              <w:right w:val="single" w:color="auto" w:sz="4" w:space="0"/>
            </w:tcBorders>
            <w:noWrap w:val="0"/>
            <w:vAlign w:val="center"/>
          </w:tcPr>
          <w:p>
            <w:pPr>
              <w:pStyle w:val="22"/>
              <w:jc w:val="center"/>
              <w:rPr>
                <w:rFonts w:hint="eastAsia" w:hAnsi="宋体"/>
                <w:b/>
                <w:color w:val="FF0000"/>
                <w:szCs w:val="21"/>
                <w:highlight w:val="white"/>
              </w:rPr>
            </w:pPr>
            <w:r>
              <w:rPr>
                <w:rFonts w:hint="eastAsia" w:ascii="Times New Roman" w:cs="Times New Roman"/>
                <w:b/>
                <w:bCs/>
                <w:color w:val="0000FF"/>
                <w:kern w:val="2"/>
                <w:sz w:val="21"/>
                <w:szCs w:val="21"/>
                <w:lang w:val="en-US" w:eastAsia="zh-CN" w:bidi="ar-SA"/>
              </w:rPr>
              <w:t>温馨提示</w:t>
            </w:r>
          </w:p>
        </w:tc>
        <w:tc>
          <w:tcPr>
            <w:tcW w:w="6278" w:type="dxa"/>
            <w:tcBorders>
              <w:top w:val="single" w:color="auto" w:sz="4" w:space="0"/>
              <w:left w:val="single" w:color="auto" w:sz="4" w:space="0"/>
              <w:bottom w:val="single" w:color="auto" w:sz="4" w:space="0"/>
              <w:right w:val="single" w:color="auto" w:sz="4" w:space="0"/>
            </w:tcBorders>
            <w:noWrap w:val="0"/>
            <w:vAlign w:val="center"/>
          </w:tcPr>
          <w:p>
            <w:pPr>
              <w:pStyle w:val="19"/>
              <w:numPr>
                <w:ilvl w:val="0"/>
                <w:numId w:val="0"/>
              </w:numPr>
              <w:spacing w:line="288" w:lineRule="auto"/>
              <w:ind w:right="-15" w:rightChars="0" w:firstLine="422" w:firstLineChars="200"/>
              <w:rPr>
                <w:rFonts w:hint="eastAsia"/>
                <w:b/>
                <w:bCs/>
                <w:color w:val="0000FF"/>
                <w:kern w:val="2"/>
                <w:sz w:val="21"/>
                <w:szCs w:val="21"/>
                <w:lang w:val="en-US" w:eastAsia="zh-CN" w:bidi="ar-SA"/>
              </w:rPr>
            </w:pPr>
            <w:r>
              <w:rPr>
                <w:rFonts w:hint="eastAsia"/>
                <w:b/>
                <w:bCs/>
                <w:color w:val="0000FF"/>
                <w:kern w:val="2"/>
                <w:sz w:val="21"/>
                <w:szCs w:val="21"/>
                <w:lang w:val="en-US" w:eastAsia="zh-CN" w:bidi="ar-SA"/>
              </w:rPr>
              <w:t>一、根据苍南县新型冠状病毒肺炎疫情防控工作领导小组办公室2021年9月13日发布的第27号通告第七点“加强人员流动管理：中高风险地区人员暂缓来苍返苍；暂停有福建来苍人员参加的各类活动”要求：</w:t>
            </w:r>
          </w:p>
          <w:p>
            <w:pPr>
              <w:pStyle w:val="19"/>
              <w:numPr>
                <w:ilvl w:val="0"/>
                <w:numId w:val="0"/>
              </w:numPr>
              <w:spacing w:line="288" w:lineRule="auto"/>
              <w:ind w:right="-15" w:rightChars="0" w:firstLine="422" w:firstLineChars="200"/>
              <w:rPr>
                <w:rFonts w:hint="default"/>
                <w:b/>
                <w:bCs/>
                <w:color w:val="0000FF"/>
                <w:kern w:val="2"/>
                <w:sz w:val="21"/>
                <w:szCs w:val="21"/>
                <w:lang w:val="en-US" w:eastAsia="zh-CN" w:bidi="ar-SA"/>
              </w:rPr>
            </w:pPr>
            <w:r>
              <w:rPr>
                <w:rFonts w:hint="eastAsia"/>
                <w:b/>
                <w:bCs/>
                <w:color w:val="0000FF"/>
                <w:kern w:val="2"/>
                <w:sz w:val="21"/>
                <w:szCs w:val="21"/>
                <w:lang w:val="en-US" w:eastAsia="zh-CN" w:bidi="ar-SA"/>
              </w:rPr>
              <w:t>1、禁止中高风险地区所在省份来苍返苍人员进入苍南县招标投标工作指导中心（苍南县公共资源交易中心）场所；</w:t>
            </w:r>
          </w:p>
          <w:p>
            <w:pPr>
              <w:pStyle w:val="19"/>
              <w:numPr>
                <w:ilvl w:val="0"/>
                <w:numId w:val="0"/>
              </w:numPr>
              <w:spacing w:line="288" w:lineRule="auto"/>
              <w:ind w:right="-15" w:rightChars="0" w:firstLine="422" w:firstLineChars="200"/>
              <w:rPr>
                <w:rFonts w:hint="default"/>
                <w:b/>
                <w:bCs/>
                <w:color w:val="0000FF"/>
                <w:kern w:val="2"/>
                <w:sz w:val="21"/>
                <w:szCs w:val="21"/>
                <w:lang w:val="en-US" w:eastAsia="zh-CN" w:bidi="ar-SA"/>
              </w:rPr>
            </w:pPr>
            <w:r>
              <w:rPr>
                <w:rFonts w:hint="eastAsia"/>
                <w:b/>
                <w:bCs/>
                <w:color w:val="0000FF"/>
                <w:kern w:val="2"/>
                <w:sz w:val="21"/>
                <w:szCs w:val="21"/>
                <w:lang w:val="en-US" w:eastAsia="zh-CN" w:bidi="ar-SA"/>
              </w:rPr>
              <w:t>2、所有进入苍南县招标投标工作指导中心（苍南县公共资源交易中心）场所的人员须测温、亮码（健康码+行程码）核查，无异常后方可进入。</w:t>
            </w:r>
          </w:p>
          <w:p>
            <w:pPr>
              <w:pStyle w:val="19"/>
              <w:numPr>
                <w:ilvl w:val="0"/>
                <w:numId w:val="0"/>
              </w:numPr>
              <w:spacing w:line="288" w:lineRule="auto"/>
              <w:ind w:left="0" w:leftChars="0" w:right="-15" w:rightChars="0" w:firstLine="422" w:firstLineChars="200"/>
              <w:rPr>
                <w:rFonts w:hint="eastAsia" w:ascii="宋体" w:hAnsi="宋体"/>
                <w:bCs/>
                <w:color w:val="000000"/>
                <w:szCs w:val="21"/>
              </w:rPr>
            </w:pPr>
            <w:r>
              <w:rPr>
                <w:rFonts w:hint="eastAsia"/>
                <w:b/>
                <w:bCs/>
                <w:color w:val="0000FF"/>
                <w:kern w:val="2"/>
                <w:sz w:val="21"/>
                <w:szCs w:val="21"/>
                <w:lang w:val="en-US" w:eastAsia="zh-CN" w:bidi="ar-SA"/>
              </w:rPr>
              <w:t>二、请各投标人必须仔细阅读及严格执行苍南县新型冠状病毒肺炎疫情防控工作领导小组办公室发布的各类通告并提前做好投标准备工作。</w:t>
            </w:r>
          </w:p>
        </w:tc>
      </w:tr>
    </w:tbl>
    <w:p>
      <w:pPr>
        <w:pStyle w:val="20"/>
        <w:snapToGrid w:val="0"/>
        <w:spacing w:before="0" w:line="420" w:lineRule="exact"/>
        <w:rPr>
          <w:rFonts w:hint="eastAsia"/>
        </w:rPr>
      </w:pPr>
      <w:bookmarkStart w:id="23" w:name="_Toc152042305"/>
      <w:bookmarkStart w:id="24" w:name="_Toc144974497"/>
      <w:bookmarkStart w:id="25" w:name="_Toc152045529"/>
      <w:bookmarkStart w:id="26" w:name="_Toc361338236"/>
      <w:r>
        <w:rPr>
          <w:rFonts w:hint="eastAsia"/>
        </w:rPr>
        <w:t>1. 总则</w:t>
      </w:r>
      <w:bookmarkEnd w:id="23"/>
      <w:bookmarkEnd w:id="24"/>
      <w:bookmarkEnd w:id="25"/>
      <w:bookmarkEnd w:id="26"/>
    </w:p>
    <w:p>
      <w:pPr>
        <w:pStyle w:val="23"/>
        <w:snapToGrid w:val="0"/>
        <w:spacing w:line="420" w:lineRule="exact"/>
        <w:rPr>
          <w:rFonts w:hint="eastAsia"/>
        </w:rPr>
      </w:pPr>
      <w:bookmarkStart w:id="27" w:name="_Toc152045530"/>
      <w:bookmarkStart w:id="28" w:name="_Toc144974498"/>
      <w:bookmarkStart w:id="29" w:name="_Toc152042306"/>
      <w:bookmarkStart w:id="30" w:name="_Toc361338237"/>
      <w:r>
        <w:rPr>
          <w:rFonts w:hint="eastAsia"/>
        </w:rPr>
        <w:t xml:space="preserve">1.1 </w:t>
      </w:r>
      <w:bookmarkEnd w:id="27"/>
      <w:bookmarkEnd w:id="28"/>
      <w:bookmarkEnd w:id="29"/>
      <w:r>
        <w:rPr>
          <w:rFonts w:hint="eastAsia"/>
        </w:rPr>
        <w:t>概述</w:t>
      </w:r>
      <w:bookmarkEnd w:id="30"/>
    </w:p>
    <w:p>
      <w:pPr>
        <w:snapToGrid w:val="0"/>
        <w:spacing w:line="420" w:lineRule="exact"/>
        <w:ind w:firstLine="420" w:firstLineChars="200"/>
        <w:rPr>
          <w:rFonts w:hint="eastAsia" w:ascii="宋体" w:hAnsi="宋体"/>
        </w:rPr>
      </w:pPr>
      <w:r>
        <w:rPr>
          <w:rFonts w:hint="eastAsia" w:ascii="宋体" w:hAnsi="宋体"/>
        </w:rPr>
        <w:t>1.1.1根据《中华人民共和国招标投标法》等有关法律、法规和规章的规定，本招标项目已具备招标条件，现对本工程监理进行招标。</w:t>
      </w:r>
    </w:p>
    <w:p>
      <w:pPr>
        <w:snapToGrid w:val="0"/>
        <w:spacing w:line="420" w:lineRule="exact"/>
        <w:ind w:firstLine="420" w:firstLineChars="200"/>
        <w:rPr>
          <w:rFonts w:hint="eastAsia" w:ascii="宋体" w:hAnsi="宋体"/>
        </w:rPr>
      </w:pPr>
      <w:r>
        <w:rPr>
          <w:rFonts w:hint="eastAsia" w:ascii="宋体" w:hAnsi="宋体"/>
        </w:rPr>
        <w:t>1.1.2 本招标项目名称：见投标人须知前附表。</w:t>
      </w:r>
    </w:p>
    <w:p>
      <w:pPr>
        <w:snapToGrid w:val="0"/>
        <w:spacing w:line="420" w:lineRule="exact"/>
        <w:ind w:firstLine="420" w:firstLineChars="200"/>
        <w:rPr>
          <w:rFonts w:hint="eastAsia" w:ascii="宋体" w:hAnsi="宋体"/>
        </w:rPr>
      </w:pPr>
      <w:r>
        <w:rPr>
          <w:rFonts w:hint="eastAsia" w:ascii="宋体" w:hAnsi="宋体"/>
        </w:rPr>
        <w:t>1.1.3 本招标项目招标人：见投标人须知前附表。</w:t>
      </w:r>
    </w:p>
    <w:p>
      <w:pPr>
        <w:snapToGrid w:val="0"/>
        <w:spacing w:line="420" w:lineRule="exact"/>
        <w:ind w:firstLine="420" w:firstLineChars="200"/>
        <w:rPr>
          <w:rFonts w:hint="eastAsia" w:ascii="宋体" w:hAnsi="宋体"/>
        </w:rPr>
      </w:pPr>
      <w:r>
        <w:rPr>
          <w:rFonts w:hint="eastAsia" w:ascii="宋体" w:hAnsi="宋体"/>
        </w:rPr>
        <w:t>1.1.4 本标段招标代理机构：见投标人须知前附表。</w:t>
      </w:r>
    </w:p>
    <w:p>
      <w:pPr>
        <w:snapToGrid w:val="0"/>
        <w:spacing w:line="420" w:lineRule="exact"/>
        <w:ind w:firstLine="420" w:firstLineChars="200"/>
        <w:rPr>
          <w:rFonts w:hint="eastAsia" w:ascii="宋体" w:hAnsi="宋体"/>
        </w:rPr>
      </w:pPr>
      <w:r>
        <w:rPr>
          <w:rFonts w:hint="eastAsia" w:ascii="宋体" w:hAnsi="宋体"/>
        </w:rPr>
        <w:t>1.1.5 项目概况：招标项目的建设地点、建设规模、总投资、概算工程费用、施工标段划分（如有）等见投标人须知前附表。</w:t>
      </w:r>
    </w:p>
    <w:p>
      <w:pPr>
        <w:pStyle w:val="23"/>
        <w:snapToGrid w:val="0"/>
        <w:spacing w:line="420" w:lineRule="exact"/>
        <w:rPr>
          <w:rFonts w:hint="eastAsia"/>
        </w:rPr>
      </w:pPr>
      <w:bookmarkStart w:id="31" w:name="_Toc152045531"/>
      <w:bookmarkStart w:id="32" w:name="_Toc144974499"/>
      <w:bookmarkStart w:id="33" w:name="_Toc361338238"/>
      <w:bookmarkStart w:id="34" w:name="_Toc152042307"/>
      <w:r>
        <w:rPr>
          <w:rFonts w:hint="eastAsia"/>
        </w:rPr>
        <w:t>1.2 资金来源和落实情况</w:t>
      </w:r>
      <w:bookmarkEnd w:id="31"/>
      <w:bookmarkEnd w:id="32"/>
      <w:bookmarkEnd w:id="33"/>
      <w:bookmarkEnd w:id="34"/>
    </w:p>
    <w:p>
      <w:pPr>
        <w:snapToGrid w:val="0"/>
        <w:spacing w:line="420" w:lineRule="exact"/>
        <w:ind w:firstLine="420" w:firstLineChars="200"/>
        <w:rPr>
          <w:rFonts w:hint="eastAsia" w:ascii="宋体" w:hAnsi="宋体"/>
        </w:rPr>
      </w:pPr>
      <w:r>
        <w:rPr>
          <w:rFonts w:hint="eastAsia" w:ascii="宋体" w:hAnsi="宋体"/>
        </w:rPr>
        <w:t>1.2.1 本招标项目的资金来源：见投标人须知前附表。</w:t>
      </w:r>
    </w:p>
    <w:p>
      <w:pPr>
        <w:snapToGrid w:val="0"/>
        <w:spacing w:line="420" w:lineRule="exact"/>
        <w:ind w:firstLine="420" w:firstLineChars="200"/>
        <w:rPr>
          <w:rFonts w:hint="eastAsia" w:ascii="宋体" w:hAnsi="宋体"/>
        </w:rPr>
      </w:pPr>
      <w:r>
        <w:rPr>
          <w:rFonts w:hint="eastAsia" w:ascii="宋体" w:hAnsi="宋体"/>
        </w:rPr>
        <w:t>1.2.2 本招标项目的出资比例：见投标人须知前附表。</w:t>
      </w:r>
    </w:p>
    <w:p>
      <w:pPr>
        <w:snapToGrid w:val="0"/>
        <w:spacing w:line="420" w:lineRule="exact"/>
        <w:ind w:firstLine="420" w:firstLineChars="200"/>
        <w:rPr>
          <w:rFonts w:hint="eastAsia" w:ascii="宋体" w:hAnsi="宋体"/>
        </w:rPr>
      </w:pPr>
      <w:r>
        <w:rPr>
          <w:rFonts w:hint="eastAsia" w:ascii="宋体" w:hAnsi="宋体"/>
        </w:rPr>
        <w:t>1.2.3 本招标项目的资金落实情况：见投标人须知前附表。</w:t>
      </w:r>
    </w:p>
    <w:p>
      <w:pPr>
        <w:pStyle w:val="23"/>
        <w:snapToGrid w:val="0"/>
        <w:spacing w:line="420" w:lineRule="exact"/>
        <w:rPr>
          <w:rFonts w:hint="eastAsia"/>
        </w:rPr>
      </w:pPr>
      <w:bookmarkStart w:id="35" w:name="_Toc152045532"/>
      <w:bookmarkStart w:id="36" w:name="_Toc144974500"/>
      <w:bookmarkStart w:id="37" w:name="_Toc152042308"/>
      <w:bookmarkStart w:id="38" w:name="_Toc361338239"/>
      <w:r>
        <w:rPr>
          <w:rFonts w:hint="eastAsia"/>
        </w:rPr>
        <w:t>1.3 监理服务内容和范围、</w:t>
      </w:r>
      <w:bookmarkEnd w:id="35"/>
      <w:bookmarkEnd w:id="36"/>
      <w:bookmarkEnd w:id="37"/>
      <w:r>
        <w:rPr>
          <w:rFonts w:hint="eastAsia"/>
        </w:rPr>
        <w:t>监理服务期</w:t>
      </w:r>
      <w:bookmarkEnd w:id="38"/>
    </w:p>
    <w:p>
      <w:pPr>
        <w:snapToGrid w:val="0"/>
        <w:spacing w:line="420" w:lineRule="exact"/>
        <w:ind w:firstLine="420" w:firstLineChars="200"/>
        <w:rPr>
          <w:rFonts w:hint="eastAsia" w:ascii="宋体" w:hAnsi="宋体"/>
        </w:rPr>
      </w:pPr>
      <w:r>
        <w:rPr>
          <w:rFonts w:hint="eastAsia" w:ascii="宋体" w:hAnsi="宋体"/>
        </w:rPr>
        <w:t>1.3.1 本标段施工监理服务内容和范围：见投标人须知前附表。</w:t>
      </w:r>
    </w:p>
    <w:p>
      <w:pPr>
        <w:snapToGrid w:val="0"/>
        <w:spacing w:line="420" w:lineRule="exact"/>
        <w:ind w:firstLine="420" w:firstLineChars="200"/>
        <w:rPr>
          <w:rFonts w:hint="eastAsia" w:ascii="宋体" w:hAnsi="宋体"/>
        </w:rPr>
      </w:pPr>
      <w:r>
        <w:rPr>
          <w:rFonts w:hint="eastAsia" w:ascii="宋体" w:hAnsi="宋体"/>
        </w:rPr>
        <w:t>1.3.2本标段工程监理服务期：见投标人须知前附表。</w:t>
      </w:r>
    </w:p>
    <w:p>
      <w:pPr>
        <w:pStyle w:val="23"/>
        <w:snapToGrid w:val="0"/>
        <w:spacing w:line="420" w:lineRule="exact"/>
        <w:rPr>
          <w:rFonts w:hint="eastAsia"/>
        </w:rPr>
      </w:pPr>
      <w:r>
        <w:rPr>
          <w:rFonts w:hint="eastAsia"/>
        </w:rPr>
        <w:t>1.4 投标人资格要求</w:t>
      </w:r>
    </w:p>
    <w:p>
      <w:pPr>
        <w:snapToGrid w:val="0"/>
        <w:spacing w:line="420" w:lineRule="exact"/>
        <w:ind w:firstLine="420" w:firstLineChars="200"/>
        <w:rPr>
          <w:rFonts w:hint="eastAsia" w:ascii="宋体" w:hAnsi="宋体"/>
        </w:rPr>
      </w:pPr>
      <w:r>
        <w:rPr>
          <w:rFonts w:hint="eastAsia" w:ascii="宋体" w:hAnsi="宋体"/>
        </w:rPr>
        <w:t>1.4.1本标段工程监理投标人资质、能力和信誉要求</w:t>
      </w:r>
    </w:p>
    <w:p>
      <w:pPr>
        <w:snapToGrid w:val="0"/>
        <w:spacing w:line="420" w:lineRule="exact"/>
        <w:ind w:firstLine="420" w:firstLineChars="200"/>
        <w:rPr>
          <w:rFonts w:hint="eastAsia" w:ascii="宋体" w:hAnsi="宋体"/>
        </w:rPr>
      </w:pPr>
      <w:r>
        <w:rPr>
          <w:rFonts w:hint="eastAsia" w:ascii="宋体" w:hAnsi="宋体"/>
        </w:rPr>
        <w:t>（1）</w:t>
      </w:r>
      <w:r>
        <w:rPr>
          <w:rFonts w:hint="eastAsia" w:ascii="宋体" w:hAnsi="宋体"/>
          <w:szCs w:val="21"/>
        </w:rPr>
        <w:t>投标人资格要求</w:t>
      </w:r>
      <w:r>
        <w:rPr>
          <w:rFonts w:hint="eastAsia" w:ascii="宋体" w:hAnsi="宋体"/>
        </w:rPr>
        <w:t>：见投标人须知前附表；</w:t>
      </w:r>
    </w:p>
    <w:p>
      <w:pPr>
        <w:snapToGrid w:val="0"/>
        <w:spacing w:line="420" w:lineRule="exact"/>
        <w:ind w:firstLine="420" w:firstLineChars="200"/>
        <w:rPr>
          <w:rFonts w:hint="eastAsia" w:ascii="宋体" w:hAnsi="宋体"/>
          <w:szCs w:val="21"/>
        </w:rPr>
      </w:pPr>
      <w:r>
        <w:rPr>
          <w:rFonts w:hint="eastAsia" w:ascii="宋体" w:hAnsi="宋体"/>
        </w:rPr>
        <w:t>（2）总监理工程师资格：见投标人须知前附表；除投标人须知前附表另有规定外，</w:t>
      </w:r>
      <w:r>
        <w:rPr>
          <w:rFonts w:hint="eastAsia" w:ascii="宋体" w:hAnsi="宋体"/>
          <w:szCs w:val="21"/>
        </w:rPr>
        <w:t>总监理工程师担任项目的总监理工程师职务要求如下：</w:t>
      </w:r>
    </w:p>
    <w:p>
      <w:pPr>
        <w:snapToGrid w:val="0"/>
        <w:spacing w:line="420" w:lineRule="exact"/>
        <w:ind w:firstLine="420" w:firstLineChars="200"/>
        <w:rPr>
          <w:rFonts w:ascii="宋体" w:hAnsi="宋体"/>
        </w:rPr>
      </w:pPr>
      <w:r>
        <w:rPr>
          <w:rFonts w:hint="eastAsia" w:ascii="宋体" w:hAnsi="宋体"/>
        </w:rPr>
        <w:t>①拟派的总监理工程师在投标截止日不得在其他任何在建合同工程中任总监理工程师。在建合同工程的开始时间为合同工程中标通知书发出之日（不通过招标方式的，开始时间为合同签订之日），结束时间为该合同工程通过验收或合同解除之日。</w:t>
      </w:r>
      <w:r>
        <w:rPr>
          <w:rFonts w:ascii="宋体" w:hAnsi="宋体"/>
        </w:rPr>
        <w:t xml:space="preserve">    </w:t>
      </w:r>
    </w:p>
    <w:p>
      <w:pPr>
        <w:snapToGrid w:val="0"/>
        <w:spacing w:line="420" w:lineRule="exact"/>
        <w:ind w:firstLine="420" w:firstLineChars="200"/>
        <w:rPr>
          <w:rFonts w:ascii="宋体" w:hAnsi="宋体"/>
        </w:rPr>
      </w:pPr>
      <w:r>
        <w:rPr>
          <w:rFonts w:hint="eastAsia" w:ascii="宋体" w:hAnsi="宋体"/>
        </w:rPr>
        <w:t>②在本单位曾担任过其他工程项目总监理工程师职务被更换的，在原承担的项目未通过验收的，必须在投标文件里提供在投标截止时间前经原行政主管部门同意更换该总监理工程师的书面证明</w:t>
      </w:r>
      <w:r>
        <w:rPr>
          <w:rFonts w:hint="eastAsia" w:ascii="宋体" w:hAnsi="宋体"/>
          <w:lang w:eastAsia="zh-CN"/>
        </w:rPr>
        <w:t>复印件并加盖公章</w:t>
      </w:r>
      <w:r>
        <w:rPr>
          <w:rFonts w:hint="eastAsia" w:ascii="宋体" w:hAnsi="宋体"/>
        </w:rPr>
        <w:t>；</w:t>
      </w:r>
      <w:r>
        <w:rPr>
          <w:rFonts w:hint="eastAsia" w:ascii="宋体" w:hAnsi="宋体"/>
          <w:color w:val="FF0000"/>
          <w:lang w:eastAsia="zh-CN"/>
        </w:rPr>
        <w:t>同时</w:t>
      </w:r>
      <w:r>
        <w:rPr>
          <w:rFonts w:hint="eastAsia" w:ascii="宋体" w:hAnsi="宋体" w:eastAsia="宋体" w:cs="宋体"/>
          <w:color w:val="FF0000"/>
          <w:lang w:eastAsia="zh-CN"/>
        </w:rPr>
        <w:t>在全国建筑市场监管公共服务平台（</w:t>
      </w:r>
      <w:r>
        <w:rPr>
          <w:rFonts w:ascii="宋体" w:hAnsi="宋体" w:eastAsia="宋体" w:cs="宋体"/>
          <w:color w:val="FF0000"/>
          <w:lang w:eastAsia="zh-CN"/>
        </w:rPr>
        <w:t>http://jzsc.mohurd.gov.cn/asite/jsbpp/index</w:t>
      </w:r>
      <w:r>
        <w:rPr>
          <w:rFonts w:hint="eastAsia" w:ascii="宋体" w:hAnsi="宋体" w:eastAsia="宋体" w:cs="宋体"/>
          <w:color w:val="FF0000"/>
          <w:lang w:eastAsia="zh-CN"/>
        </w:rPr>
        <w:t>）、浙江省建筑市场监管与诚信信息发布平台（</w:t>
      </w:r>
      <w:r>
        <w:rPr>
          <w:rFonts w:ascii="宋体" w:hAnsi="宋体" w:eastAsia="宋体" w:cs="宋体"/>
          <w:color w:val="FF0000"/>
          <w:lang w:eastAsia="zh-CN"/>
        </w:rPr>
        <w:t>http://223.4.65.131:8080</w:t>
      </w:r>
      <w:r>
        <w:rPr>
          <w:rFonts w:hint="eastAsia" w:ascii="宋体" w:hAnsi="宋体" w:eastAsia="宋体" w:cs="宋体"/>
          <w:color w:val="FF0000"/>
          <w:lang w:eastAsia="zh-CN"/>
        </w:rPr>
        <w:t>）查询显示无在建监理项目。</w:t>
      </w:r>
    </w:p>
    <w:p>
      <w:pPr>
        <w:snapToGrid w:val="0"/>
        <w:spacing w:line="420" w:lineRule="exact"/>
        <w:ind w:firstLine="422" w:firstLineChars="200"/>
        <w:rPr>
          <w:rFonts w:ascii="宋体" w:hAnsi="宋体"/>
          <w:b/>
        </w:rPr>
      </w:pPr>
      <w:r>
        <w:rPr>
          <w:rFonts w:hint="eastAsia" w:ascii="宋体" w:hAnsi="宋体"/>
          <w:b/>
        </w:rPr>
        <w:t>③在其他工程项目上担任总监理工程师职务的不得参加本项目的投标（以通过验收为准）；</w:t>
      </w:r>
    </w:p>
    <w:p>
      <w:pPr>
        <w:snapToGrid w:val="0"/>
        <w:spacing w:line="420" w:lineRule="exact"/>
        <w:ind w:firstLine="420" w:firstLineChars="200"/>
        <w:rPr>
          <w:rFonts w:hint="eastAsia" w:ascii="宋体" w:hAnsi="宋体"/>
          <w:szCs w:val="21"/>
        </w:rPr>
      </w:pPr>
      <w:r>
        <w:rPr>
          <w:rFonts w:hint="eastAsia" w:ascii="宋体" w:hAnsi="宋体"/>
        </w:rPr>
        <w:t>（3）其他人员要求：见投标人须知前附表；除投标人须知前附表另有规定外，其他人员还须具备</w:t>
      </w:r>
      <w:r>
        <w:rPr>
          <w:rFonts w:hint="eastAsia" w:ascii="宋体" w:hAnsi="宋体"/>
          <w:szCs w:val="21"/>
        </w:rPr>
        <w:t>如下条件：</w:t>
      </w:r>
    </w:p>
    <w:p>
      <w:pPr>
        <w:snapToGrid w:val="0"/>
        <w:spacing w:line="420" w:lineRule="exact"/>
        <w:ind w:firstLine="420" w:firstLineChars="200"/>
        <w:rPr>
          <w:rFonts w:hint="eastAsia" w:ascii="宋体" w:hAnsi="宋体"/>
        </w:rPr>
      </w:pPr>
      <w:r>
        <w:rPr>
          <w:rFonts w:hint="eastAsia" w:ascii="宋体" w:hAnsi="宋体"/>
        </w:rPr>
        <w:t>①人员配备数量要求见投标人须知前附表；</w:t>
      </w:r>
    </w:p>
    <w:p>
      <w:pPr>
        <w:snapToGrid w:val="0"/>
        <w:spacing w:line="420" w:lineRule="exact"/>
        <w:ind w:firstLine="420" w:firstLineChars="200"/>
        <w:rPr>
          <w:rFonts w:hint="eastAsia" w:ascii="宋体" w:hAnsi="宋体"/>
          <w:lang w:val="en-US" w:eastAsia="zh-CN"/>
        </w:rPr>
      </w:pPr>
      <w:r>
        <w:rPr>
          <w:rFonts w:hint="eastAsia" w:ascii="宋体" w:hAnsi="宋体"/>
          <w:lang w:val="en-US" w:eastAsia="zh-CN"/>
        </w:rPr>
        <w:t>②专监：房屋建筑工程专业2人、市政工程专业1人、机电安装工程专业1名（专业监理工程师不可兼任）、人防工程1人（可由专业监理工程师兼任），注册执业单位必须为本公司。</w:t>
      </w:r>
    </w:p>
    <w:p>
      <w:pPr>
        <w:snapToGrid w:val="0"/>
        <w:spacing w:line="420" w:lineRule="exact"/>
        <w:ind w:firstLine="420" w:firstLineChars="200"/>
        <w:rPr>
          <w:rFonts w:hint="eastAsia" w:ascii="宋体" w:hAnsi="宋体"/>
          <w:lang w:val="en-US" w:eastAsia="zh-CN"/>
        </w:rPr>
      </w:pPr>
      <w:r>
        <w:rPr>
          <w:rFonts w:hint="eastAsia" w:ascii="宋体" w:hAnsi="宋体"/>
          <w:lang w:val="en-US" w:eastAsia="zh-CN"/>
        </w:rPr>
        <w:t>③监理员：3人 ；监理员必须持有《中华人民共和国注册监理工程师注册执业证书》或《浙江省监理工程师证书》或《浙江省监理员岗位证书》，注册执业单位必须为本公司。</w:t>
      </w:r>
    </w:p>
    <w:p>
      <w:pPr>
        <w:snapToGrid w:val="0"/>
        <w:spacing w:line="420" w:lineRule="exact"/>
        <w:ind w:firstLine="420" w:firstLineChars="200"/>
        <w:rPr>
          <w:rFonts w:hint="eastAsia" w:ascii="宋体" w:hAnsi="宋体"/>
          <w:lang w:val="en-US" w:eastAsia="zh-CN"/>
        </w:rPr>
      </w:pPr>
      <w:r>
        <w:rPr>
          <w:rFonts w:hint="eastAsia" w:ascii="宋体" w:hAnsi="宋体"/>
          <w:lang w:val="en-US" w:eastAsia="zh-CN"/>
        </w:rPr>
        <w:t>④其他人员：中标后押证时项目班组必须配备见证员 1人必须取得《温州市见证员证书》，投标时不需要提供。</w:t>
      </w:r>
    </w:p>
    <w:p>
      <w:pPr>
        <w:snapToGrid w:val="0"/>
        <w:spacing w:line="420" w:lineRule="exact"/>
        <w:ind w:firstLine="420" w:firstLineChars="200"/>
        <w:rPr>
          <w:rFonts w:hint="eastAsia" w:ascii="宋体" w:hAnsi="宋体"/>
        </w:rPr>
      </w:pPr>
      <w:r>
        <w:rPr>
          <w:rFonts w:hint="eastAsia" w:ascii="宋体" w:hAnsi="宋体"/>
          <w:lang w:val="en-US" w:eastAsia="zh-CN"/>
        </w:rPr>
        <w:t>⑤</w:t>
      </w:r>
      <w:r>
        <w:rPr>
          <w:rFonts w:hint="eastAsia" w:ascii="宋体" w:hAnsi="宋体"/>
        </w:rPr>
        <w:t>上述</w:t>
      </w:r>
      <w:r>
        <w:rPr>
          <w:rFonts w:ascii="宋体" w:hAnsi="宋体"/>
        </w:rPr>
        <w:t>证书上</w:t>
      </w:r>
      <w:r>
        <w:rPr>
          <w:rFonts w:hint="eastAsia" w:ascii="宋体" w:hAnsi="宋体"/>
        </w:rPr>
        <w:t>如有</w:t>
      </w:r>
      <w:r>
        <w:rPr>
          <w:rFonts w:ascii="宋体" w:hAnsi="宋体"/>
        </w:rPr>
        <w:t>注册执业单位名称</w:t>
      </w:r>
      <w:r>
        <w:rPr>
          <w:rFonts w:hint="eastAsia" w:ascii="宋体" w:hAnsi="宋体"/>
        </w:rPr>
        <w:t>或聘任单位的，则应</w:t>
      </w:r>
      <w:r>
        <w:rPr>
          <w:rFonts w:ascii="宋体" w:hAnsi="宋体"/>
        </w:rPr>
        <w:t>与投标申请人一致</w:t>
      </w:r>
      <w:r>
        <w:rPr>
          <w:rFonts w:hint="eastAsia" w:ascii="宋体" w:hAnsi="宋体"/>
        </w:rPr>
        <w:t>。</w:t>
      </w:r>
    </w:p>
    <w:p>
      <w:pPr>
        <w:snapToGrid w:val="0"/>
        <w:spacing w:line="420" w:lineRule="exact"/>
        <w:ind w:firstLine="420" w:firstLineChars="200"/>
        <w:rPr>
          <w:rFonts w:hint="eastAsia" w:ascii="宋体" w:hAnsi="宋体"/>
        </w:rPr>
      </w:pPr>
      <w:r>
        <w:rPr>
          <w:rFonts w:hint="eastAsia" w:ascii="宋体" w:hAnsi="宋体"/>
        </w:rPr>
        <w:t>（4）其他要求：见投标人须知前附表。</w:t>
      </w:r>
    </w:p>
    <w:p>
      <w:pPr>
        <w:snapToGrid w:val="0"/>
        <w:spacing w:line="420" w:lineRule="exact"/>
        <w:ind w:firstLine="422" w:firstLineChars="200"/>
        <w:rPr>
          <w:rFonts w:ascii="宋体" w:hAnsi="宋体"/>
          <w:b/>
        </w:rPr>
      </w:pPr>
      <w:bookmarkStart w:id="39" w:name="_Toc144974503"/>
      <w:bookmarkStart w:id="40" w:name="_Toc152042311"/>
      <w:bookmarkStart w:id="41" w:name="_Toc152045535"/>
      <w:bookmarkStart w:id="42" w:name="_Toc361338241"/>
      <w:r>
        <w:rPr>
          <w:rFonts w:ascii="宋体" w:hAnsi="宋体"/>
          <w:b/>
        </w:rPr>
        <w:t>1.4.</w:t>
      </w:r>
      <w:r>
        <w:rPr>
          <w:rFonts w:hint="eastAsia" w:ascii="宋体" w:hAnsi="宋体"/>
          <w:b/>
        </w:rPr>
        <w:t xml:space="preserve">2 </w:t>
      </w:r>
      <w:r>
        <w:rPr>
          <w:rFonts w:ascii="宋体" w:hAnsi="宋体"/>
          <w:b/>
        </w:rPr>
        <w:t>投标人不得存在下列情形之一：</w:t>
      </w:r>
    </w:p>
    <w:p>
      <w:pPr>
        <w:snapToGrid w:val="0"/>
        <w:spacing w:line="420" w:lineRule="exact"/>
        <w:ind w:firstLine="420" w:firstLineChars="200"/>
        <w:rPr>
          <w:rFonts w:ascii="宋体" w:hAnsi="宋体"/>
        </w:rPr>
      </w:pPr>
      <w:r>
        <w:rPr>
          <w:rFonts w:ascii="宋体" w:hAnsi="宋体"/>
        </w:rPr>
        <w:t>（1）为招标人不具有独立法人资格的附属机构（单位）；</w:t>
      </w:r>
    </w:p>
    <w:p>
      <w:pPr>
        <w:snapToGrid w:val="0"/>
        <w:spacing w:line="420" w:lineRule="exact"/>
        <w:ind w:firstLine="420" w:firstLineChars="200"/>
        <w:rPr>
          <w:rFonts w:ascii="宋体" w:hAnsi="宋体"/>
        </w:rPr>
      </w:pPr>
      <w:r>
        <w:rPr>
          <w:rFonts w:ascii="宋体" w:hAnsi="宋体"/>
        </w:rPr>
        <w:t>（2）为</w:t>
      </w:r>
      <w:r>
        <w:rPr>
          <w:rFonts w:hint="eastAsia" w:ascii="宋体" w:hAnsi="宋体"/>
        </w:rPr>
        <w:t>本项目的代建单位</w:t>
      </w:r>
      <w:r>
        <w:rPr>
          <w:rFonts w:ascii="宋体" w:hAnsi="宋体"/>
        </w:rPr>
        <w:t>；</w:t>
      </w:r>
    </w:p>
    <w:p>
      <w:pPr>
        <w:snapToGrid w:val="0"/>
        <w:spacing w:line="420" w:lineRule="exact"/>
        <w:ind w:firstLine="420" w:firstLineChars="200"/>
        <w:rPr>
          <w:rFonts w:ascii="宋体" w:hAnsi="宋体"/>
        </w:rPr>
      </w:pPr>
      <w:r>
        <w:rPr>
          <w:rFonts w:ascii="宋体" w:hAnsi="宋体"/>
        </w:rPr>
        <w:t>（3）为本</w:t>
      </w:r>
      <w:r>
        <w:rPr>
          <w:rFonts w:hint="eastAsia" w:ascii="宋体" w:hAnsi="宋体"/>
        </w:rPr>
        <w:t>项目</w:t>
      </w:r>
      <w:r>
        <w:rPr>
          <w:rFonts w:ascii="宋体" w:hAnsi="宋体"/>
        </w:rPr>
        <w:t>的</w:t>
      </w:r>
      <w:r>
        <w:rPr>
          <w:rFonts w:hint="eastAsia" w:ascii="宋体" w:hAnsi="宋体"/>
        </w:rPr>
        <w:t>施工承包单位或</w:t>
      </w:r>
      <w:r>
        <w:rPr>
          <w:rFonts w:hint="eastAsia"/>
        </w:rPr>
        <w:t>建筑材料、建筑构配件和设备供应单位</w:t>
      </w:r>
      <w:r>
        <w:rPr>
          <w:rFonts w:ascii="宋体" w:hAnsi="宋体"/>
        </w:rPr>
        <w:t>；</w:t>
      </w:r>
    </w:p>
    <w:p>
      <w:pPr>
        <w:snapToGrid w:val="0"/>
        <w:spacing w:line="420" w:lineRule="exact"/>
        <w:ind w:firstLine="420" w:firstLineChars="200"/>
        <w:rPr>
          <w:rFonts w:hint="eastAsia" w:ascii="宋体" w:hAnsi="宋体"/>
        </w:rPr>
      </w:pPr>
      <w:r>
        <w:rPr>
          <w:rFonts w:ascii="宋体" w:hAnsi="宋体"/>
        </w:rPr>
        <w:t>（4）为本</w:t>
      </w:r>
      <w:r>
        <w:rPr>
          <w:rFonts w:hint="eastAsia" w:ascii="宋体" w:hAnsi="宋体"/>
        </w:rPr>
        <w:t>项目监理</w:t>
      </w:r>
      <w:r>
        <w:rPr>
          <w:rFonts w:ascii="宋体" w:hAnsi="宋体"/>
        </w:rPr>
        <w:t>提供招标代理服务的；</w:t>
      </w:r>
    </w:p>
    <w:p>
      <w:pPr>
        <w:snapToGrid w:val="0"/>
        <w:spacing w:line="420" w:lineRule="exact"/>
        <w:ind w:firstLine="420" w:firstLineChars="200"/>
        <w:rPr>
          <w:rFonts w:ascii="宋体" w:hAnsi="宋体"/>
        </w:rPr>
      </w:pPr>
      <w:r>
        <w:rPr>
          <w:rFonts w:ascii="宋体" w:hAnsi="宋体"/>
        </w:rPr>
        <w:t>（5）与本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）或代建人或招标代理机构同为一个法定代表人的；</w:t>
      </w:r>
    </w:p>
    <w:p>
      <w:pPr>
        <w:snapToGrid w:val="0"/>
        <w:spacing w:line="420" w:lineRule="exact"/>
        <w:ind w:firstLine="420" w:firstLineChars="200"/>
        <w:rPr>
          <w:rFonts w:ascii="宋体" w:hAnsi="宋体"/>
        </w:rPr>
      </w:pPr>
      <w:r>
        <w:rPr>
          <w:rFonts w:ascii="宋体" w:hAnsi="宋体"/>
        </w:rPr>
        <w:t>（6）与本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）或招标代理机构相互控股或参股的；</w:t>
      </w:r>
    </w:p>
    <w:p>
      <w:pPr>
        <w:snapToGrid w:val="0"/>
        <w:spacing w:line="420" w:lineRule="exact"/>
        <w:ind w:firstLine="420" w:firstLineChars="200"/>
        <w:rPr>
          <w:rFonts w:hint="eastAsia" w:ascii="宋体" w:hAnsi="宋体"/>
        </w:rPr>
      </w:pPr>
      <w:r>
        <w:rPr>
          <w:rFonts w:ascii="宋体" w:hAnsi="宋体"/>
        </w:rPr>
        <w:t>（7）与本</w:t>
      </w:r>
      <w:r>
        <w:rPr>
          <w:rFonts w:hint="eastAsia" w:ascii="宋体" w:hAnsi="宋体"/>
        </w:rPr>
        <w:t>项目</w:t>
      </w:r>
      <w:r>
        <w:rPr>
          <w:rFonts w:ascii="宋体" w:hAnsi="宋体"/>
        </w:rPr>
        <w:t>的</w:t>
      </w:r>
      <w:r>
        <w:rPr>
          <w:rFonts w:hint="eastAsia" w:ascii="宋体" w:hAnsi="宋体"/>
        </w:rPr>
        <w:t>施工</w:t>
      </w:r>
      <w:r>
        <w:rPr>
          <w:rFonts w:ascii="宋体" w:hAnsi="宋体"/>
        </w:rPr>
        <w:t>承包</w:t>
      </w:r>
      <w:r>
        <w:rPr>
          <w:rFonts w:hint="eastAsia" w:ascii="宋体" w:hAnsi="宋体"/>
        </w:rPr>
        <w:t>单位</w:t>
      </w:r>
      <w:r>
        <w:rPr>
          <w:rFonts w:ascii="宋体" w:hAnsi="宋体"/>
        </w:rPr>
        <w:t>（</w:t>
      </w:r>
      <w:r>
        <w:rPr>
          <w:rFonts w:hint="eastAsia" w:ascii="宋体" w:hAnsi="宋体"/>
        </w:rPr>
        <w:t>建筑材料、建筑构配件和设备供应单位</w:t>
      </w:r>
      <w:r>
        <w:rPr>
          <w:rFonts w:ascii="宋体" w:hAnsi="宋体"/>
        </w:rPr>
        <w:t>）或招标代理机构相互任职或工作的；</w:t>
      </w:r>
    </w:p>
    <w:p>
      <w:pPr>
        <w:snapToGrid w:val="0"/>
        <w:spacing w:line="420" w:lineRule="exact"/>
        <w:ind w:firstLine="420" w:firstLineChars="200"/>
        <w:rPr>
          <w:rFonts w:hint="eastAsia" w:ascii="宋体" w:hAnsi="宋体"/>
        </w:rPr>
      </w:pPr>
      <w:r>
        <w:rPr>
          <w:rFonts w:hint="eastAsia" w:ascii="宋体" w:hAnsi="宋体"/>
        </w:rPr>
        <w:t>（8）</w:t>
      </w:r>
      <w:r>
        <w:rPr>
          <w:rFonts w:ascii="宋体" w:hAnsi="宋体"/>
        </w:rPr>
        <w:t>与招标人存在利害关系</w:t>
      </w:r>
      <w:r>
        <w:rPr>
          <w:rFonts w:hint="eastAsia" w:ascii="宋体" w:hAnsi="宋体"/>
        </w:rPr>
        <w:t>可能</w:t>
      </w:r>
      <w:r>
        <w:rPr>
          <w:rFonts w:ascii="宋体" w:hAnsi="宋体"/>
        </w:rPr>
        <w:t>影响招标公正性的</w:t>
      </w:r>
      <w:r>
        <w:rPr>
          <w:rFonts w:hint="eastAsia" w:ascii="宋体" w:hAnsi="宋体"/>
        </w:rPr>
        <w:t>；</w:t>
      </w:r>
    </w:p>
    <w:p>
      <w:pPr>
        <w:snapToGrid w:val="0"/>
        <w:spacing w:line="420" w:lineRule="exact"/>
        <w:ind w:firstLine="420" w:firstLineChars="200"/>
        <w:rPr>
          <w:rFonts w:hint="eastAsia" w:ascii="宋体" w:hAnsi="宋体"/>
        </w:rPr>
      </w:pPr>
      <w:r>
        <w:rPr>
          <w:rFonts w:hint="eastAsia" w:ascii="宋体" w:hAnsi="宋体"/>
        </w:rPr>
        <w:t>（9）与本项目其他投标人的单位负责人为同一人或者存在控股、管理关系；</w:t>
      </w:r>
    </w:p>
    <w:p>
      <w:pPr>
        <w:snapToGrid w:val="0"/>
        <w:spacing w:line="420" w:lineRule="exact"/>
        <w:ind w:firstLine="420" w:firstLineChars="200"/>
        <w:rPr>
          <w:rFonts w:ascii="宋体" w:hAnsi="宋体"/>
        </w:rPr>
      </w:pPr>
      <w:r>
        <w:rPr>
          <w:rFonts w:ascii="宋体" w:hAnsi="宋体"/>
        </w:rPr>
        <w:t>（</w:t>
      </w:r>
      <w:r>
        <w:rPr>
          <w:rFonts w:hint="eastAsia" w:ascii="宋体" w:hAnsi="宋体"/>
        </w:rPr>
        <w:t>10</w:t>
      </w:r>
      <w:r>
        <w:rPr>
          <w:rFonts w:ascii="宋体" w:hAnsi="宋体"/>
        </w:rPr>
        <w:t>）被责令停业的；</w:t>
      </w:r>
    </w:p>
    <w:p>
      <w:pPr>
        <w:snapToGrid w:val="0"/>
        <w:spacing w:line="420" w:lineRule="exact"/>
        <w:ind w:firstLine="420" w:firstLineChars="200"/>
        <w:rPr>
          <w:rFonts w:ascii="宋体" w:hAnsi="宋体"/>
        </w:rPr>
      </w:pPr>
      <w:r>
        <w:rPr>
          <w:rFonts w:ascii="宋体" w:hAnsi="宋体"/>
        </w:rPr>
        <w:t>（</w:t>
      </w:r>
      <w:r>
        <w:rPr>
          <w:rFonts w:hint="eastAsia" w:ascii="宋体" w:hAnsi="宋体"/>
        </w:rPr>
        <w:t>11</w:t>
      </w:r>
      <w:r>
        <w:rPr>
          <w:rFonts w:ascii="宋体" w:hAnsi="宋体"/>
        </w:rPr>
        <w:t>）被暂停或取消投标资格的；</w:t>
      </w:r>
    </w:p>
    <w:p>
      <w:pPr>
        <w:snapToGrid w:val="0"/>
        <w:spacing w:line="420" w:lineRule="exact"/>
        <w:ind w:firstLine="420" w:firstLineChars="200"/>
        <w:rPr>
          <w:rFonts w:hint="eastAsia" w:ascii="宋体" w:hAnsi="宋体"/>
        </w:rPr>
      </w:pPr>
      <w:r>
        <w:rPr>
          <w:rFonts w:ascii="宋体" w:hAnsi="宋体"/>
        </w:rPr>
        <w:t>（1</w:t>
      </w:r>
      <w:r>
        <w:rPr>
          <w:rFonts w:hint="eastAsia" w:ascii="宋体" w:hAnsi="宋体"/>
        </w:rPr>
        <w:t>2</w:t>
      </w:r>
      <w:r>
        <w:rPr>
          <w:rFonts w:ascii="宋体" w:hAnsi="宋体"/>
        </w:rPr>
        <w:t>）财产被接管或冻结的</w:t>
      </w:r>
      <w:r>
        <w:rPr>
          <w:rFonts w:hint="eastAsia" w:hAnsi="宋体"/>
          <w:szCs w:val="21"/>
        </w:rPr>
        <w:t>。</w:t>
      </w:r>
    </w:p>
    <w:p>
      <w:pPr>
        <w:pStyle w:val="23"/>
        <w:snapToGrid w:val="0"/>
        <w:spacing w:line="420" w:lineRule="exact"/>
        <w:rPr>
          <w:rFonts w:hint="eastAsia"/>
        </w:rPr>
      </w:pPr>
      <w:r>
        <w:rPr>
          <w:rFonts w:hint="eastAsia"/>
        </w:rPr>
        <w:t>1.5 费用承担</w:t>
      </w:r>
      <w:bookmarkEnd w:id="39"/>
      <w:bookmarkEnd w:id="40"/>
      <w:bookmarkEnd w:id="41"/>
      <w:bookmarkEnd w:id="42"/>
    </w:p>
    <w:p>
      <w:pPr>
        <w:snapToGrid w:val="0"/>
        <w:spacing w:line="420" w:lineRule="exact"/>
        <w:ind w:firstLine="420" w:firstLineChars="200"/>
        <w:rPr>
          <w:rFonts w:hint="eastAsia"/>
        </w:rPr>
      </w:pPr>
      <w:r>
        <w:rPr>
          <w:rFonts w:hint="eastAsia"/>
        </w:rPr>
        <w:t>1.5.1投标人准备和参加投标活动发生的费用自理。</w:t>
      </w:r>
    </w:p>
    <w:p>
      <w:pPr>
        <w:pStyle w:val="23"/>
        <w:snapToGrid w:val="0"/>
        <w:spacing w:line="420" w:lineRule="exact"/>
        <w:rPr>
          <w:rFonts w:hint="eastAsia"/>
        </w:rPr>
      </w:pPr>
      <w:bookmarkStart w:id="43" w:name="_Toc152045536"/>
      <w:bookmarkStart w:id="44" w:name="_Toc144974504"/>
      <w:bookmarkStart w:id="45" w:name="_Toc152042312"/>
      <w:bookmarkStart w:id="46" w:name="_Toc361338242"/>
      <w:r>
        <w:rPr>
          <w:rFonts w:hint="eastAsia"/>
        </w:rPr>
        <w:t>1.6 保密</w:t>
      </w:r>
      <w:bookmarkEnd w:id="43"/>
      <w:bookmarkEnd w:id="44"/>
      <w:bookmarkEnd w:id="45"/>
      <w:bookmarkEnd w:id="46"/>
    </w:p>
    <w:p>
      <w:pPr>
        <w:snapToGrid w:val="0"/>
        <w:spacing w:line="420" w:lineRule="exact"/>
        <w:ind w:firstLine="420" w:firstLineChars="200"/>
        <w:rPr>
          <w:rFonts w:hint="eastAsia"/>
        </w:rPr>
      </w:pPr>
      <w:r>
        <w:rPr>
          <w:rFonts w:hint="eastAsia"/>
        </w:rPr>
        <w:t xml:space="preserve">参与招标投标活动的各方应对招标文件和投标文件中的商业和技术等秘密保密，违者应对由此造成的后果承担法律责任。 </w:t>
      </w:r>
    </w:p>
    <w:p>
      <w:pPr>
        <w:pStyle w:val="23"/>
        <w:snapToGrid w:val="0"/>
        <w:spacing w:line="420" w:lineRule="exact"/>
        <w:rPr>
          <w:rFonts w:hint="eastAsia"/>
        </w:rPr>
      </w:pPr>
      <w:bookmarkStart w:id="47" w:name="_Toc144974505"/>
      <w:bookmarkStart w:id="48" w:name="_Toc152045537"/>
      <w:bookmarkStart w:id="49" w:name="_Toc361338243"/>
      <w:bookmarkStart w:id="50" w:name="_Toc152042313"/>
      <w:r>
        <w:rPr>
          <w:rFonts w:hint="eastAsia"/>
        </w:rPr>
        <w:t>1.7 语言</w:t>
      </w:r>
      <w:bookmarkEnd w:id="47"/>
      <w:r>
        <w:rPr>
          <w:rFonts w:hint="eastAsia"/>
        </w:rPr>
        <w:t>文字</w:t>
      </w:r>
      <w:bookmarkEnd w:id="48"/>
      <w:bookmarkEnd w:id="49"/>
      <w:bookmarkEnd w:id="50"/>
    </w:p>
    <w:p>
      <w:pPr>
        <w:snapToGrid w:val="0"/>
        <w:spacing w:line="420" w:lineRule="exact"/>
        <w:ind w:firstLine="420" w:firstLineChars="200"/>
        <w:rPr>
          <w:rFonts w:hint="eastAsia"/>
        </w:rPr>
      </w:pPr>
      <w:r>
        <w:rPr>
          <w:rFonts w:hint="eastAsia"/>
        </w:rPr>
        <w:t>除专用术语外，与招标投标有关的语言均使用中文。必要时专用术语应附有中文注释。</w:t>
      </w:r>
    </w:p>
    <w:p>
      <w:pPr>
        <w:pStyle w:val="23"/>
        <w:snapToGrid w:val="0"/>
        <w:spacing w:line="420" w:lineRule="exact"/>
        <w:rPr>
          <w:rFonts w:hint="eastAsia"/>
        </w:rPr>
      </w:pPr>
      <w:bookmarkStart w:id="51" w:name="_Toc152045538"/>
      <w:bookmarkStart w:id="52" w:name="_Toc361338244"/>
      <w:bookmarkStart w:id="53" w:name="_Toc152042314"/>
      <w:bookmarkStart w:id="54" w:name="_Toc144974506"/>
      <w:r>
        <w:rPr>
          <w:rFonts w:hint="eastAsia"/>
        </w:rPr>
        <w:t>1.8 计量单位</w:t>
      </w:r>
      <w:bookmarkEnd w:id="51"/>
      <w:bookmarkEnd w:id="52"/>
      <w:bookmarkEnd w:id="53"/>
      <w:bookmarkEnd w:id="54"/>
    </w:p>
    <w:p>
      <w:pPr>
        <w:snapToGrid w:val="0"/>
        <w:spacing w:line="420" w:lineRule="exact"/>
        <w:ind w:firstLine="420" w:firstLineChars="200"/>
        <w:rPr>
          <w:rFonts w:hint="eastAsia"/>
        </w:rPr>
      </w:pPr>
      <w:r>
        <w:rPr>
          <w:rFonts w:hint="eastAsia"/>
        </w:rPr>
        <w:t>所有计量均采用中华人民共和国法定计量单位。</w:t>
      </w:r>
    </w:p>
    <w:p>
      <w:pPr>
        <w:pStyle w:val="23"/>
        <w:snapToGrid w:val="0"/>
        <w:spacing w:line="420" w:lineRule="exact"/>
        <w:rPr>
          <w:rFonts w:hint="eastAsia"/>
        </w:rPr>
      </w:pPr>
      <w:bookmarkStart w:id="55" w:name="_Toc361338245"/>
      <w:r>
        <w:rPr>
          <w:rFonts w:hint="eastAsia"/>
        </w:rPr>
        <w:t>1.9 计价货币</w:t>
      </w:r>
      <w:bookmarkEnd w:id="55"/>
    </w:p>
    <w:p>
      <w:pPr>
        <w:snapToGrid w:val="0"/>
        <w:spacing w:line="420" w:lineRule="exact"/>
        <w:ind w:firstLine="480"/>
        <w:rPr>
          <w:rFonts w:hint="eastAsia"/>
        </w:rPr>
      </w:pPr>
      <w:bookmarkStart w:id="56" w:name="_Toc361281490"/>
      <w:r>
        <w:rPr>
          <w:rFonts w:hint="eastAsia"/>
        </w:rPr>
        <w:t>本标段招标投标涉及计价货币的，均为人民币。</w:t>
      </w:r>
      <w:bookmarkEnd w:id="56"/>
    </w:p>
    <w:p>
      <w:pPr>
        <w:pStyle w:val="23"/>
        <w:snapToGrid w:val="0"/>
        <w:spacing w:line="420" w:lineRule="exact"/>
        <w:rPr>
          <w:rFonts w:hint="eastAsia"/>
        </w:rPr>
      </w:pPr>
      <w:bookmarkStart w:id="57" w:name="_Toc361338246"/>
      <w:bookmarkStart w:id="58" w:name="_Toc144974507"/>
      <w:bookmarkStart w:id="59" w:name="_Toc152045539"/>
      <w:bookmarkStart w:id="60" w:name="_Toc152042315"/>
      <w:r>
        <w:rPr>
          <w:rFonts w:hint="eastAsia"/>
        </w:rPr>
        <w:t>1.10 踏勘现场</w:t>
      </w:r>
      <w:bookmarkEnd w:id="57"/>
      <w:bookmarkEnd w:id="58"/>
      <w:bookmarkEnd w:id="59"/>
      <w:bookmarkEnd w:id="60"/>
    </w:p>
    <w:p>
      <w:pPr>
        <w:snapToGrid w:val="0"/>
        <w:spacing w:line="400" w:lineRule="exact"/>
        <w:ind w:firstLine="420" w:firstLineChars="200"/>
        <w:rPr>
          <w:rFonts w:hint="eastAsia" w:ascii="宋体" w:hAnsi="宋体"/>
        </w:rPr>
      </w:pPr>
      <w:r>
        <w:rPr>
          <w:rFonts w:hint="eastAsia" w:ascii="宋体" w:hAnsi="宋体"/>
        </w:rPr>
        <w:t xml:space="preserve">1.10.1 投标人自行踏勘项目现场。 </w:t>
      </w:r>
    </w:p>
    <w:p>
      <w:pPr>
        <w:snapToGrid w:val="0"/>
        <w:spacing w:line="400" w:lineRule="exact"/>
        <w:ind w:firstLine="420" w:firstLineChars="200"/>
        <w:rPr>
          <w:rFonts w:hint="eastAsia" w:ascii="宋体" w:hAnsi="宋体"/>
        </w:rPr>
      </w:pPr>
      <w:r>
        <w:rPr>
          <w:rFonts w:hint="eastAsia" w:ascii="宋体" w:hAnsi="宋体"/>
        </w:rPr>
        <w:t>1.10.2 投标人踏勘现场发生的费用自理。</w:t>
      </w:r>
    </w:p>
    <w:p>
      <w:pPr>
        <w:snapToGrid w:val="0"/>
        <w:spacing w:line="400" w:lineRule="exact"/>
        <w:ind w:firstLine="420" w:firstLineChars="200"/>
        <w:rPr>
          <w:rFonts w:hint="eastAsia" w:ascii="宋体" w:hAnsi="宋体"/>
        </w:rPr>
      </w:pPr>
      <w:r>
        <w:rPr>
          <w:rFonts w:hint="eastAsia" w:ascii="宋体" w:hAnsi="宋体"/>
        </w:rPr>
        <w:t>1.10.3 除招标人的原因外，投标人自行负责在踏勘现场中所发生的人员伤亡和财产损失。</w:t>
      </w:r>
    </w:p>
    <w:p>
      <w:pPr>
        <w:pStyle w:val="23"/>
        <w:snapToGrid w:val="0"/>
        <w:rPr>
          <w:rFonts w:hint="eastAsia"/>
        </w:rPr>
      </w:pPr>
      <w:bookmarkStart w:id="61" w:name="_Toc144974508"/>
      <w:bookmarkStart w:id="62" w:name="_Toc361338247"/>
      <w:bookmarkStart w:id="63" w:name="_Toc152042316"/>
      <w:bookmarkStart w:id="64" w:name="_Toc152045540"/>
      <w:r>
        <w:rPr>
          <w:rFonts w:hint="eastAsia"/>
        </w:rPr>
        <w:t>1.11投标预备会</w:t>
      </w:r>
      <w:bookmarkEnd w:id="61"/>
      <w:bookmarkEnd w:id="62"/>
      <w:bookmarkEnd w:id="63"/>
      <w:bookmarkEnd w:id="64"/>
    </w:p>
    <w:p>
      <w:pPr>
        <w:snapToGrid w:val="0"/>
        <w:spacing w:line="400" w:lineRule="exact"/>
        <w:ind w:firstLine="420" w:firstLineChars="200"/>
        <w:rPr>
          <w:rFonts w:hint="eastAsia" w:ascii="宋体" w:hAnsi="宋体"/>
        </w:rPr>
      </w:pPr>
      <w:r>
        <w:rPr>
          <w:rFonts w:hint="eastAsia" w:ascii="宋体" w:hAnsi="宋体"/>
        </w:rPr>
        <w:t>1.11.1 投标人须知前附表规定召开投标预备会的，招标人按投标人须知前附表规定的时间和地点召开投标预备会，澄清投标人提出的问题。</w:t>
      </w:r>
    </w:p>
    <w:p>
      <w:pPr>
        <w:pStyle w:val="20"/>
        <w:snapToGrid w:val="0"/>
        <w:spacing w:before="0"/>
        <w:rPr>
          <w:rFonts w:hint="eastAsia"/>
        </w:rPr>
      </w:pPr>
      <w:bookmarkStart w:id="65" w:name="_Toc152045542"/>
      <w:bookmarkStart w:id="66" w:name="_Toc361338249"/>
      <w:bookmarkStart w:id="67" w:name="_Toc144974510"/>
      <w:bookmarkStart w:id="68" w:name="_Toc152042318"/>
      <w:r>
        <w:rPr>
          <w:rFonts w:hint="eastAsia"/>
        </w:rPr>
        <w:t>2. 招标文件</w:t>
      </w:r>
      <w:bookmarkEnd w:id="65"/>
      <w:bookmarkEnd w:id="66"/>
      <w:bookmarkEnd w:id="67"/>
      <w:bookmarkEnd w:id="68"/>
    </w:p>
    <w:p>
      <w:pPr>
        <w:pStyle w:val="23"/>
        <w:snapToGrid w:val="0"/>
        <w:rPr>
          <w:rFonts w:hint="eastAsia"/>
        </w:rPr>
      </w:pPr>
      <w:bookmarkStart w:id="69" w:name="_Toc152045543"/>
      <w:bookmarkStart w:id="70" w:name="_Toc152042319"/>
      <w:bookmarkStart w:id="71" w:name="_Toc144974511"/>
      <w:bookmarkStart w:id="72" w:name="_Toc361338250"/>
      <w:r>
        <w:rPr>
          <w:rFonts w:hint="eastAsia"/>
        </w:rPr>
        <w:t>2.1 招标文件的组成</w:t>
      </w:r>
      <w:bookmarkEnd w:id="69"/>
      <w:bookmarkEnd w:id="70"/>
      <w:bookmarkEnd w:id="71"/>
      <w:bookmarkEnd w:id="72"/>
    </w:p>
    <w:p>
      <w:pPr>
        <w:snapToGrid w:val="0"/>
        <w:spacing w:line="400" w:lineRule="exact"/>
        <w:rPr>
          <w:rFonts w:hint="eastAsia"/>
        </w:rPr>
      </w:pPr>
      <w:r>
        <w:rPr>
          <w:rFonts w:hint="eastAsia"/>
        </w:rPr>
        <w:t>　　本招标文件包括：</w:t>
      </w:r>
    </w:p>
    <w:p>
      <w:pPr>
        <w:snapToGrid w:val="0"/>
        <w:spacing w:line="400" w:lineRule="exact"/>
        <w:ind w:firstLine="359" w:firstLineChars="171"/>
        <w:rPr>
          <w:rFonts w:hint="eastAsia"/>
        </w:rPr>
      </w:pPr>
      <w:r>
        <w:rPr>
          <w:rFonts w:hint="eastAsia"/>
        </w:rPr>
        <w:t>第一章  招标公告；</w:t>
      </w:r>
    </w:p>
    <w:p>
      <w:pPr>
        <w:snapToGrid w:val="0"/>
        <w:spacing w:line="400" w:lineRule="exact"/>
        <w:ind w:firstLine="359" w:firstLineChars="171"/>
        <w:rPr>
          <w:rFonts w:hint="eastAsia"/>
        </w:rPr>
      </w:pPr>
      <w:r>
        <w:rPr>
          <w:rFonts w:hint="eastAsia"/>
        </w:rPr>
        <w:t>第二章  投标人须知；</w:t>
      </w:r>
    </w:p>
    <w:p>
      <w:pPr>
        <w:snapToGrid w:val="0"/>
        <w:spacing w:line="400" w:lineRule="exact"/>
        <w:ind w:firstLine="359" w:firstLineChars="171"/>
        <w:rPr>
          <w:rFonts w:hint="eastAsia"/>
        </w:rPr>
      </w:pPr>
      <w:r>
        <w:rPr>
          <w:rFonts w:hint="eastAsia"/>
        </w:rPr>
        <w:t>第三章  评标办法；</w:t>
      </w:r>
    </w:p>
    <w:p>
      <w:pPr>
        <w:snapToGrid w:val="0"/>
        <w:spacing w:line="400" w:lineRule="exact"/>
        <w:ind w:firstLine="359" w:firstLineChars="171"/>
        <w:rPr>
          <w:rFonts w:hint="eastAsia"/>
        </w:rPr>
      </w:pPr>
      <w:r>
        <w:rPr>
          <w:rFonts w:hint="eastAsia"/>
        </w:rPr>
        <w:t>第四章  合同条款及格式；</w:t>
      </w:r>
    </w:p>
    <w:p>
      <w:pPr>
        <w:snapToGrid w:val="0"/>
        <w:spacing w:line="400" w:lineRule="exact"/>
        <w:ind w:firstLine="359" w:firstLineChars="171"/>
        <w:rPr>
          <w:rFonts w:hint="eastAsia"/>
        </w:rPr>
      </w:pPr>
      <w:r>
        <w:rPr>
          <w:rFonts w:hint="eastAsia"/>
        </w:rPr>
        <w:t>第五章  工程监理服务规范和设计文件；</w:t>
      </w:r>
    </w:p>
    <w:p>
      <w:pPr>
        <w:snapToGrid w:val="0"/>
        <w:spacing w:line="400" w:lineRule="exact"/>
        <w:ind w:firstLine="359" w:firstLineChars="171"/>
        <w:rPr>
          <w:rFonts w:hint="eastAsia"/>
        </w:rPr>
      </w:pPr>
      <w:r>
        <w:rPr>
          <w:rFonts w:hint="eastAsia"/>
        </w:rPr>
        <w:t>第六章  投标文件格式。</w:t>
      </w:r>
    </w:p>
    <w:p>
      <w:pPr>
        <w:snapToGrid w:val="0"/>
        <w:spacing w:line="400" w:lineRule="exact"/>
        <w:ind w:firstLine="420" w:firstLineChars="200"/>
        <w:rPr>
          <w:rFonts w:hint="eastAsia" w:ascii="宋体" w:hAnsi="宋体"/>
        </w:rPr>
      </w:pPr>
      <w:r>
        <w:rPr>
          <w:rFonts w:hint="eastAsia" w:ascii="宋体" w:hAnsi="宋体"/>
        </w:rPr>
        <w:t>根据本章第1.11款、第2.2款和第2.3款对招标文件所作的澄清、修改，构成招标文件的组成部分。当招标文件及其澄清、修改或补充文件对同一内容表述不一致时，以最后发出的书面文件为准。</w:t>
      </w:r>
    </w:p>
    <w:p>
      <w:pPr>
        <w:pStyle w:val="23"/>
        <w:snapToGrid w:val="0"/>
        <w:jc w:val="left"/>
        <w:rPr>
          <w:rFonts w:hint="eastAsia"/>
        </w:rPr>
      </w:pPr>
      <w:r>
        <w:rPr>
          <w:rFonts w:hint="eastAsia"/>
        </w:rPr>
        <w:tab/>
      </w:r>
      <w:bookmarkStart w:id="73" w:name="_Toc152045544"/>
      <w:bookmarkStart w:id="74" w:name="_Toc144974512"/>
      <w:bookmarkStart w:id="75" w:name="_Toc152042320"/>
      <w:bookmarkStart w:id="76" w:name="_Toc179632562"/>
      <w:r>
        <w:rPr>
          <w:rFonts w:hint="eastAsia"/>
        </w:rPr>
        <w:t>2.2 招标文件的澄清</w:t>
      </w:r>
      <w:bookmarkEnd w:id="73"/>
      <w:bookmarkEnd w:id="74"/>
      <w:bookmarkEnd w:id="75"/>
      <w:bookmarkEnd w:id="76"/>
    </w:p>
    <w:p>
      <w:pPr>
        <w:tabs>
          <w:tab w:val="left" w:pos="937"/>
        </w:tabs>
        <w:spacing w:line="400" w:lineRule="exact"/>
        <w:jc w:val="left"/>
        <w:rPr>
          <w:rFonts w:hint="eastAsia" w:ascii="宋体" w:hAnsi="宋体"/>
          <w:color w:val="000000"/>
        </w:rPr>
      </w:pPr>
      <w:r>
        <w:rPr>
          <w:rFonts w:hint="eastAsia"/>
        </w:rPr>
        <w:tab/>
      </w:r>
      <w:r>
        <w:rPr>
          <w:rFonts w:hint="eastAsia" w:ascii="宋体" w:hAnsi="宋体"/>
          <w:color w:val="000000"/>
        </w:rPr>
        <w:t>2.2.1 投标人若对招标文件有任何疑问，应按本投标须知前附表的要求向招标人提出澄清要求。无论是招标人根据需要主动对招标文件进行必要的澄清，或是根据投标人的要求对招标文件做出澄清，招标人都将按投标须知前附表的规定予以澄清。</w:t>
      </w:r>
    </w:p>
    <w:p>
      <w:pPr>
        <w:tabs>
          <w:tab w:val="left" w:pos="647"/>
        </w:tabs>
        <w:spacing w:line="400" w:lineRule="exact"/>
        <w:jc w:val="left"/>
        <w:rPr>
          <w:rFonts w:hint="eastAsia" w:ascii="宋体" w:hAnsi="宋体"/>
          <w:color w:val="000000"/>
        </w:rPr>
      </w:pPr>
      <w:r>
        <w:rPr>
          <w:rFonts w:hint="eastAsia"/>
        </w:rPr>
        <w:tab/>
      </w:r>
      <w:r>
        <w:rPr>
          <w:rFonts w:hint="eastAsia" w:ascii="宋体" w:hAnsi="宋体"/>
          <w:color w:val="000000"/>
        </w:rPr>
        <w:t>2.2.2 招标文件的澄清将在投标人须知前附表规定的投标截止时间15天前在苍南县公共资源交易信息网（网址：http://www.cncn.gov.cn/col/col1532683/index.html）发布。如果澄清发出的时间距投标截止时间不足15天，相应延长投标截止时间。</w:t>
      </w:r>
    </w:p>
    <w:p>
      <w:pPr>
        <w:tabs>
          <w:tab w:val="left" w:pos="1367"/>
        </w:tabs>
        <w:spacing w:line="400" w:lineRule="exact"/>
        <w:ind w:firstLine="630" w:firstLineChars="300"/>
        <w:jc w:val="left"/>
        <w:rPr>
          <w:rFonts w:ascii="宋体" w:hAnsi="宋体"/>
          <w:color w:val="000000"/>
        </w:rPr>
      </w:pPr>
      <w:r>
        <w:rPr>
          <w:rFonts w:hint="eastAsia" w:ascii="宋体" w:hAnsi="宋体"/>
          <w:color w:val="000000"/>
        </w:rPr>
        <w:t>2.2.3 投标人对招标人提供的招标文件所做出的推论、理解和结论，招标人概不负责。对招标文件中存在由于文字表达不清或有多种解释而未明确规定，投标人又没有在按本投标须知前附表的规定时间内提出澄清要求，招标人拥有最终解释权，由此而导致投标人不中标或中标后产生不利因素，责任由投标人自负。</w:t>
      </w:r>
    </w:p>
    <w:p>
      <w:pPr>
        <w:pStyle w:val="23"/>
        <w:spacing w:line="420" w:lineRule="exact"/>
        <w:rPr>
          <w:rFonts w:hint="eastAsia"/>
          <w:color w:val="000000"/>
        </w:rPr>
      </w:pPr>
      <w:bookmarkStart w:id="77" w:name="_Toc144974513"/>
      <w:bookmarkStart w:id="78" w:name="_Toc152045545"/>
      <w:bookmarkStart w:id="79" w:name="_Toc179632563"/>
      <w:bookmarkStart w:id="80" w:name="_Toc152042321"/>
      <w:r>
        <w:rPr>
          <w:rFonts w:hint="eastAsia"/>
          <w:color w:val="000000"/>
        </w:rPr>
        <w:t>2.3 招标文件的</w:t>
      </w:r>
      <w:bookmarkEnd w:id="77"/>
      <w:bookmarkEnd w:id="78"/>
      <w:bookmarkEnd w:id="79"/>
      <w:bookmarkEnd w:id="80"/>
      <w:r>
        <w:rPr>
          <w:rFonts w:hint="eastAsia"/>
          <w:color w:val="000000"/>
        </w:rPr>
        <w:t>澄清或修改</w:t>
      </w:r>
    </w:p>
    <w:p>
      <w:pPr>
        <w:snapToGrid w:val="0"/>
        <w:spacing w:line="400" w:lineRule="exact"/>
        <w:rPr>
          <w:rFonts w:hint="eastAsia" w:ascii="宋体" w:hAnsi="宋体"/>
        </w:rPr>
      </w:pPr>
      <w:r>
        <w:rPr>
          <w:rFonts w:hint="eastAsia" w:ascii="宋体" w:hAnsi="宋体"/>
          <w:color w:val="000000"/>
        </w:rPr>
        <w:t>2.3.1 在投标截止时间前，招标人有权以补充说明的形式澄清或修改招标文件，该补充说明将在苍南县公共资源交易中心网-建设工程-答疑与补充栏公布。（网址：http://www.cncn.gov.cn/col/col1532683/index.html）据此发出的补充说明将构成招标文件的一部分。补充说明如对招标文件发生实质性的变化，不</w:t>
      </w:r>
    </w:p>
    <w:p>
      <w:pPr>
        <w:pStyle w:val="20"/>
        <w:snapToGrid w:val="0"/>
        <w:spacing w:line="420" w:lineRule="exact"/>
        <w:rPr>
          <w:rFonts w:hint="eastAsia" w:ascii="宋体" w:hAnsi="宋体" w:eastAsia="宋体" w:cs="Times New Roman"/>
          <w:color w:val="000000"/>
          <w:sz w:val="21"/>
          <w:szCs w:val="24"/>
        </w:rPr>
      </w:pPr>
      <w:bookmarkStart w:id="81" w:name="_Toc144974514"/>
      <w:bookmarkStart w:id="82" w:name="_Toc152045546"/>
      <w:bookmarkStart w:id="83" w:name="_Toc361338253"/>
      <w:bookmarkStart w:id="84" w:name="_Toc152042322"/>
      <w:r>
        <w:rPr>
          <w:rFonts w:hint="eastAsia" w:ascii="宋体" w:hAnsi="宋体" w:eastAsia="宋体" w:cs="Times New Roman"/>
          <w:color w:val="000000"/>
          <w:sz w:val="21"/>
          <w:szCs w:val="24"/>
        </w:rPr>
        <w:t>做修改的可能影响评标结果的公正性，则应在投标截止时间15天前发出，如果补充说明文件发出的时间距投标截止时间不足15天，相应延长投标截止时间；</w:t>
      </w:r>
    </w:p>
    <w:p>
      <w:pPr>
        <w:pStyle w:val="20"/>
        <w:snapToGrid w:val="0"/>
        <w:spacing w:line="420" w:lineRule="exact"/>
        <w:ind w:firstLine="420" w:firstLineChars="200"/>
        <w:rPr>
          <w:rFonts w:hint="eastAsia" w:ascii="宋体" w:hAnsi="宋体" w:eastAsia="宋体" w:cs="Times New Roman"/>
          <w:color w:val="000000"/>
          <w:sz w:val="21"/>
          <w:szCs w:val="24"/>
        </w:rPr>
      </w:pPr>
      <w:r>
        <w:rPr>
          <w:rFonts w:hint="eastAsia" w:ascii="宋体" w:hAnsi="宋体" w:eastAsia="宋体" w:cs="Times New Roman"/>
          <w:color w:val="000000"/>
          <w:sz w:val="21"/>
          <w:szCs w:val="24"/>
        </w:rPr>
        <w:t>2.3.2 招标文件的澄清、修改、补遗等内容将在苍南县住房和城乡建设局备案，并在苍南县公共资源交易中心网-建设工程-答疑与补充栏公布上发布信息向所有投标人公告（网址：http://www.cncn.gov.cn/col/col1532683/index.html）。招标文件的澄清、修改、补遗等内容作为招标文件的组成部分，具有约束作用。</w:t>
      </w:r>
    </w:p>
    <w:p>
      <w:pPr>
        <w:pStyle w:val="20"/>
        <w:snapToGrid w:val="0"/>
        <w:spacing w:before="0" w:line="420" w:lineRule="exact"/>
        <w:ind w:firstLine="420" w:firstLineChars="200"/>
        <w:rPr>
          <w:rFonts w:ascii="宋体" w:hAnsi="宋体" w:eastAsia="宋体" w:cs="Times New Roman"/>
          <w:color w:val="000000"/>
          <w:sz w:val="21"/>
          <w:szCs w:val="24"/>
        </w:rPr>
      </w:pPr>
      <w:r>
        <w:rPr>
          <w:rFonts w:hint="eastAsia" w:ascii="宋体" w:hAnsi="宋体" w:eastAsia="宋体" w:cs="Times New Roman"/>
          <w:color w:val="000000"/>
          <w:sz w:val="21"/>
          <w:szCs w:val="24"/>
        </w:rPr>
        <w:t>2.3.3 招标文件的澄清、修改、补遗等内容均以在苍南县住房和城乡建设局备案的书面形式明确的内容为准。当招标文件、招标文件的澄清、修改、补遗等在同一内容的表述上不一致时，以最后发出的文件（或公告）为准。</w:t>
      </w:r>
    </w:p>
    <w:p>
      <w:pPr>
        <w:pStyle w:val="20"/>
        <w:snapToGrid w:val="0"/>
        <w:spacing w:before="0" w:line="420" w:lineRule="exact"/>
        <w:rPr>
          <w:rFonts w:hint="eastAsia"/>
        </w:rPr>
      </w:pPr>
      <w:r>
        <w:rPr>
          <w:rFonts w:hint="eastAsia"/>
        </w:rPr>
        <w:t>3. 投标文件</w:t>
      </w:r>
      <w:bookmarkEnd w:id="81"/>
      <w:bookmarkEnd w:id="82"/>
      <w:bookmarkEnd w:id="83"/>
      <w:bookmarkEnd w:id="84"/>
    </w:p>
    <w:p>
      <w:pPr>
        <w:pStyle w:val="23"/>
        <w:snapToGrid w:val="0"/>
        <w:spacing w:line="420" w:lineRule="exact"/>
        <w:ind w:firstLine="240" w:firstLineChars="100"/>
        <w:rPr>
          <w:rFonts w:hint="eastAsia"/>
        </w:rPr>
      </w:pPr>
      <w:bookmarkStart w:id="85" w:name="_Toc152042323"/>
      <w:bookmarkStart w:id="86" w:name="_Toc361338254"/>
      <w:bookmarkStart w:id="87" w:name="_Toc144974515"/>
      <w:bookmarkStart w:id="88" w:name="_Toc152045547"/>
      <w:r>
        <w:rPr>
          <w:rFonts w:hint="eastAsia"/>
        </w:rPr>
        <w:t>3.1 投标文件的组成</w:t>
      </w:r>
      <w:bookmarkEnd w:id="85"/>
      <w:bookmarkEnd w:id="86"/>
      <w:bookmarkEnd w:id="87"/>
      <w:bookmarkEnd w:id="88"/>
    </w:p>
    <w:p>
      <w:pPr>
        <w:snapToGrid w:val="0"/>
        <w:spacing w:line="420" w:lineRule="exact"/>
        <w:ind w:firstLine="420"/>
        <w:rPr>
          <w:rFonts w:hint="eastAsia" w:ascii="宋体" w:hAnsi="宋体"/>
        </w:rPr>
      </w:pPr>
      <w:r>
        <w:rPr>
          <w:rFonts w:hint="eastAsia" w:ascii="宋体" w:hAnsi="宋体"/>
        </w:rPr>
        <w:t>3.1.1投标文件包括的内容：见投标人须知前附表。</w:t>
      </w:r>
    </w:p>
    <w:p>
      <w:pPr>
        <w:snapToGrid w:val="0"/>
        <w:spacing w:line="420" w:lineRule="exact"/>
        <w:ind w:firstLine="420"/>
        <w:rPr>
          <w:rFonts w:hint="eastAsia" w:ascii="宋体" w:hAnsi="宋体"/>
        </w:rPr>
      </w:pPr>
      <w:r>
        <w:rPr>
          <w:rFonts w:hint="eastAsia" w:ascii="宋体" w:hAnsi="宋体"/>
        </w:rPr>
        <w:t>3.1.2技术标：包括内容及编制要求见投标人须知前附表。</w:t>
      </w:r>
    </w:p>
    <w:p>
      <w:pPr>
        <w:snapToGrid w:val="0"/>
        <w:spacing w:line="420" w:lineRule="exact"/>
        <w:ind w:firstLine="420"/>
        <w:rPr>
          <w:rFonts w:hint="eastAsia" w:ascii="宋体" w:hAnsi="宋体"/>
          <w:b/>
        </w:rPr>
      </w:pPr>
      <w:r>
        <w:rPr>
          <w:rFonts w:hint="eastAsia" w:ascii="宋体" w:hAnsi="宋体"/>
          <w:b/>
        </w:rPr>
        <w:t>3.1.3资格审查文件包括以下内容：</w:t>
      </w:r>
    </w:p>
    <w:p>
      <w:pPr>
        <w:snapToGrid w:val="0"/>
        <w:spacing w:line="420" w:lineRule="exact"/>
        <w:ind w:left="1369" w:leftChars="196" w:hanging="957" w:hangingChars="456"/>
        <w:rPr>
          <w:rFonts w:hint="eastAsia" w:ascii="宋体" w:hAnsi="宋体"/>
        </w:rPr>
      </w:pPr>
      <w:r>
        <w:rPr>
          <w:rFonts w:hint="eastAsia" w:ascii="宋体" w:hAnsi="宋体"/>
        </w:rPr>
        <w:t>（1）资格审查文件封面；</w:t>
      </w:r>
    </w:p>
    <w:p>
      <w:pPr>
        <w:snapToGrid w:val="0"/>
        <w:spacing w:line="420" w:lineRule="exact"/>
        <w:ind w:left="1369" w:leftChars="196" w:hanging="957" w:hangingChars="456"/>
        <w:rPr>
          <w:rFonts w:hint="eastAsia" w:ascii="宋体" w:hAnsi="宋体"/>
        </w:rPr>
      </w:pPr>
      <w:r>
        <w:rPr>
          <w:rFonts w:hint="eastAsia" w:ascii="宋体" w:hAnsi="宋体"/>
        </w:rPr>
        <w:t>（2）投标企业情况一览表；</w:t>
      </w:r>
    </w:p>
    <w:p>
      <w:pPr>
        <w:snapToGrid w:val="0"/>
        <w:spacing w:line="420" w:lineRule="exact"/>
        <w:ind w:left="1369" w:leftChars="196" w:hanging="957" w:hangingChars="456"/>
        <w:rPr>
          <w:rFonts w:hint="eastAsia" w:ascii="宋体" w:hAnsi="宋体"/>
        </w:rPr>
      </w:pPr>
      <w:r>
        <w:rPr>
          <w:rFonts w:hint="eastAsia" w:ascii="宋体" w:hAnsi="宋体"/>
        </w:rPr>
        <w:t>（3）拟派本项目现场监理机构及主要人员一览表；</w:t>
      </w:r>
    </w:p>
    <w:p>
      <w:pPr>
        <w:snapToGrid w:val="0"/>
        <w:spacing w:line="420" w:lineRule="exact"/>
        <w:ind w:left="1369" w:leftChars="196" w:hanging="957" w:hangingChars="456"/>
        <w:rPr>
          <w:rFonts w:hint="eastAsia" w:ascii="宋体" w:hAnsi="宋体"/>
        </w:rPr>
      </w:pPr>
      <w:r>
        <w:rPr>
          <w:rFonts w:hint="eastAsia" w:ascii="宋体" w:hAnsi="宋体"/>
          <w:szCs w:val="21"/>
        </w:rPr>
        <w:t>（4）</w:t>
      </w:r>
      <w:r>
        <w:rPr>
          <w:rFonts w:hint="eastAsia" w:ascii="宋体" w:hAnsi="宋体"/>
        </w:rPr>
        <w:t>派驻本项目总监、专监、监理人员简历表，执业资格证书及社保证明等材料；</w:t>
      </w:r>
    </w:p>
    <w:p>
      <w:pPr>
        <w:snapToGrid w:val="0"/>
        <w:spacing w:line="420" w:lineRule="exact"/>
        <w:ind w:left="1369" w:leftChars="196" w:hanging="957" w:hangingChars="456"/>
        <w:rPr>
          <w:rFonts w:hint="eastAsia" w:ascii="宋体" w:hAnsi="宋体"/>
        </w:rPr>
      </w:pPr>
      <w:r>
        <w:rPr>
          <w:rFonts w:hint="eastAsia" w:ascii="宋体" w:hAnsi="宋体"/>
        </w:rPr>
        <w:t>（5）承诺书、人员到位的承诺书、未被禁止投标、财产被接管或冻结的承诺书；</w:t>
      </w:r>
    </w:p>
    <w:p>
      <w:pPr>
        <w:snapToGrid w:val="0"/>
        <w:spacing w:line="420" w:lineRule="exact"/>
        <w:ind w:left="1369" w:leftChars="196" w:hanging="957" w:hangingChars="456"/>
        <w:rPr>
          <w:rFonts w:hint="eastAsia" w:ascii="宋体" w:hAnsi="宋体"/>
        </w:rPr>
      </w:pPr>
      <w:r>
        <w:rPr>
          <w:rFonts w:hint="eastAsia" w:ascii="宋体" w:hAnsi="宋体"/>
        </w:rPr>
        <w:t>（6）省外监理企业须提供有效期内的《省外企业进浙承接业务备案证书》；</w:t>
      </w:r>
    </w:p>
    <w:p>
      <w:pPr>
        <w:snapToGrid w:val="0"/>
        <w:spacing w:line="340" w:lineRule="exact"/>
        <w:ind w:left="1369" w:leftChars="196" w:hanging="957" w:hangingChars="456"/>
        <w:rPr>
          <w:rFonts w:hint="eastAsia" w:ascii="宋体" w:hAnsi="宋体"/>
        </w:rPr>
      </w:pPr>
      <w:r>
        <w:rPr>
          <w:rFonts w:hint="eastAsia" w:ascii="宋体" w:hAnsi="宋体"/>
          <w:szCs w:val="21"/>
        </w:rPr>
        <w:t>（7）</w:t>
      </w:r>
      <w:r>
        <w:rPr>
          <w:rFonts w:hint="eastAsia" w:ascii="宋体" w:hAnsi="宋体"/>
        </w:rPr>
        <w:t>投标人认为需要提交的其他材料；</w:t>
      </w:r>
    </w:p>
    <w:p>
      <w:pPr>
        <w:snapToGrid w:val="0"/>
        <w:spacing w:line="420" w:lineRule="exact"/>
        <w:ind w:firstLine="422" w:firstLineChars="200"/>
        <w:rPr>
          <w:rFonts w:hint="eastAsia" w:ascii="宋体" w:hAnsi="宋体"/>
          <w:b/>
          <w:color w:val="FF0000"/>
        </w:rPr>
      </w:pPr>
      <w:r>
        <w:rPr>
          <w:rFonts w:hint="eastAsia" w:ascii="宋体" w:hAnsi="宋体"/>
          <w:b/>
          <w:color w:val="FF0000"/>
        </w:rPr>
        <w:t>3.1.4资信标包括以下内容：（以下要求供参考，具体以资信标评分表内容及要求为准）</w:t>
      </w:r>
    </w:p>
    <w:p>
      <w:pPr>
        <w:snapToGrid w:val="0"/>
        <w:spacing w:line="400" w:lineRule="exact"/>
        <w:ind w:firstLine="840" w:firstLineChars="400"/>
        <w:rPr>
          <w:rFonts w:hint="eastAsia" w:ascii="宋体" w:hAnsi="宋体" w:cs="宋体"/>
          <w:color w:val="auto"/>
          <w:highlight w:val="none"/>
        </w:rPr>
      </w:pPr>
      <w:r>
        <w:rPr>
          <w:rFonts w:hint="eastAsia" w:ascii="宋体" w:hAnsi="宋体" w:cs="宋体"/>
          <w:color w:val="auto"/>
          <w:highlight w:val="none"/>
        </w:rPr>
        <w:t>（1）资信标封面（附件</w:t>
      </w:r>
      <w:r>
        <w:rPr>
          <w:rFonts w:hint="eastAsia" w:ascii="宋体" w:hAnsi="宋体" w:cs="宋体"/>
          <w:color w:val="auto"/>
          <w:highlight w:val="none"/>
          <w:lang w:eastAsia="zh-CN"/>
        </w:rPr>
        <w:t>十一</w:t>
      </w:r>
      <w:r>
        <w:rPr>
          <w:rFonts w:hint="eastAsia" w:ascii="宋体" w:hAnsi="宋体" w:cs="宋体"/>
          <w:color w:val="auto"/>
          <w:highlight w:val="none"/>
        </w:rPr>
        <w:t>）</w:t>
      </w:r>
    </w:p>
    <w:p>
      <w:pPr>
        <w:snapToGrid w:val="0"/>
        <w:spacing w:line="340" w:lineRule="exact"/>
        <w:ind w:firstLine="829" w:firstLineChars="395"/>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szCs w:val="21"/>
        </w:rPr>
        <w:t>企业资质及荣誉；</w:t>
      </w:r>
    </w:p>
    <w:p>
      <w:pPr>
        <w:snapToGrid w:val="0"/>
        <w:spacing w:line="340" w:lineRule="exact"/>
        <w:ind w:firstLine="829" w:firstLineChars="395"/>
        <w:rPr>
          <w:rFonts w:hint="eastAsia" w:ascii="宋体" w:hAnsi="宋体" w:cs="宋体"/>
          <w:color w:val="auto"/>
          <w:highlight w:val="none"/>
        </w:rPr>
      </w:pPr>
      <w:r>
        <w:rPr>
          <w:rFonts w:hint="eastAsia" w:ascii="宋体" w:hAnsi="宋体" w:cs="宋体"/>
          <w:color w:val="auto"/>
          <w:highlight w:val="none"/>
        </w:rPr>
        <w:t>（3）投标人获奖情况</w:t>
      </w:r>
      <w:r>
        <w:rPr>
          <w:rFonts w:hint="eastAsia" w:ascii="宋体" w:hAnsi="宋体"/>
          <w:color w:val="auto"/>
          <w:szCs w:val="21"/>
        </w:rPr>
        <w:t>；</w:t>
      </w:r>
    </w:p>
    <w:p>
      <w:pPr>
        <w:snapToGrid w:val="0"/>
        <w:spacing w:line="340" w:lineRule="exact"/>
        <w:ind w:firstLine="829" w:firstLineChars="395"/>
        <w:rPr>
          <w:rFonts w:hint="eastAsia" w:ascii="宋体" w:hAnsi="宋体" w:cs="宋体"/>
          <w:color w:val="auto"/>
          <w:highlight w:val="none"/>
        </w:rPr>
      </w:pPr>
      <w:r>
        <w:rPr>
          <w:rFonts w:hint="eastAsia" w:ascii="宋体" w:hAnsi="宋体" w:cs="宋体"/>
          <w:color w:val="auto"/>
          <w:highlight w:val="none"/>
        </w:rPr>
        <w:t>（4）企业业绩情况；</w:t>
      </w:r>
    </w:p>
    <w:p>
      <w:pPr>
        <w:snapToGrid w:val="0"/>
        <w:spacing w:line="340" w:lineRule="exact"/>
        <w:ind w:firstLine="829" w:firstLineChars="395"/>
        <w:rPr>
          <w:rFonts w:hint="eastAsia" w:ascii="宋体" w:hAnsi="宋体" w:cs="宋体"/>
          <w:color w:val="auto"/>
          <w:highlight w:val="none"/>
        </w:rPr>
      </w:pPr>
      <w:r>
        <w:rPr>
          <w:rFonts w:hint="eastAsia" w:ascii="宋体" w:hAnsi="宋体" w:cs="宋体"/>
          <w:color w:val="auto"/>
          <w:highlight w:val="none"/>
        </w:rPr>
        <w:t>（5）拟派班组成员情况</w:t>
      </w:r>
    </w:p>
    <w:p>
      <w:pPr>
        <w:snapToGrid w:val="0"/>
        <w:spacing w:line="400" w:lineRule="exact"/>
        <w:ind w:firstLine="840" w:firstLineChars="400"/>
        <w:rPr>
          <w:rFonts w:hint="eastAsia" w:ascii="宋体" w:hAns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6</w:t>
      </w:r>
      <w:r>
        <w:rPr>
          <w:rFonts w:hint="eastAsia" w:ascii="宋体" w:hAnsi="宋体" w:cs="宋体"/>
          <w:color w:val="auto"/>
          <w:highlight w:val="none"/>
        </w:rPr>
        <w:t>）资信标得分情况自评表（附件</w:t>
      </w:r>
      <w:r>
        <w:rPr>
          <w:rFonts w:hint="eastAsia" w:ascii="宋体" w:hAnsi="宋体" w:cs="宋体"/>
          <w:color w:val="auto"/>
          <w:highlight w:val="none"/>
          <w:lang w:eastAsia="zh-CN"/>
        </w:rPr>
        <w:t>十二</w:t>
      </w:r>
      <w:r>
        <w:rPr>
          <w:rFonts w:hint="eastAsia" w:ascii="宋体" w:hAnsi="宋体" w:cs="宋体"/>
          <w:color w:val="auto"/>
          <w:highlight w:val="none"/>
        </w:rPr>
        <w:t>）（格式仅供参考）</w:t>
      </w:r>
    </w:p>
    <w:p>
      <w:pPr>
        <w:snapToGrid w:val="0"/>
        <w:spacing w:line="340" w:lineRule="exact"/>
        <w:ind w:firstLine="829" w:firstLineChars="395"/>
        <w:rPr>
          <w:rFonts w:hint="eastAsia"/>
          <w:color w:val="auto"/>
        </w:rPr>
      </w:pPr>
      <w:r>
        <w:rPr>
          <w:rFonts w:hint="eastAsia" w:ascii="宋体" w:hAnsi="宋体" w:cs="宋体"/>
          <w:color w:val="auto"/>
          <w:highlight w:val="none"/>
        </w:rPr>
        <w:t>（</w:t>
      </w:r>
      <w:r>
        <w:rPr>
          <w:rFonts w:hint="eastAsia" w:ascii="宋体" w:hAnsi="宋体" w:cs="宋体"/>
          <w:color w:val="auto"/>
          <w:highlight w:val="none"/>
          <w:lang w:val="en-US" w:eastAsia="zh-CN"/>
        </w:rPr>
        <w:t>7</w:t>
      </w:r>
      <w:r>
        <w:rPr>
          <w:rFonts w:hint="eastAsia" w:ascii="宋体" w:hAnsi="宋体" w:cs="宋体"/>
          <w:color w:val="auto"/>
          <w:highlight w:val="none"/>
        </w:rPr>
        <w:t>）投标人认为需要提供的其他材料</w:t>
      </w:r>
    </w:p>
    <w:p>
      <w:pPr>
        <w:snapToGrid w:val="0"/>
        <w:spacing w:line="420" w:lineRule="exact"/>
        <w:ind w:firstLine="420"/>
        <w:rPr>
          <w:rFonts w:hint="eastAsia" w:ascii="宋体" w:hAnsi="宋体"/>
          <w:b/>
        </w:rPr>
      </w:pPr>
      <w:r>
        <w:rPr>
          <w:rFonts w:hint="eastAsia" w:ascii="宋体" w:hAnsi="宋体"/>
          <w:b/>
        </w:rPr>
        <w:t>3.1.3商务标包括以下内容：</w:t>
      </w:r>
    </w:p>
    <w:p>
      <w:pPr>
        <w:snapToGrid w:val="0"/>
        <w:spacing w:line="420" w:lineRule="exact"/>
        <w:ind w:firstLine="411" w:firstLineChars="196"/>
        <w:rPr>
          <w:rFonts w:hint="eastAsia" w:ascii="宋体" w:hAnsi="宋体"/>
        </w:rPr>
      </w:pPr>
      <w:r>
        <w:rPr>
          <w:rFonts w:hint="eastAsia" w:ascii="宋体" w:hAnsi="宋体"/>
        </w:rPr>
        <w:t>（1）商务标封面；</w:t>
      </w:r>
    </w:p>
    <w:p>
      <w:pPr>
        <w:snapToGrid w:val="0"/>
        <w:spacing w:line="420" w:lineRule="exact"/>
        <w:ind w:firstLine="411" w:firstLineChars="196"/>
        <w:rPr>
          <w:rFonts w:hint="eastAsia" w:ascii="宋体" w:hAnsi="宋体"/>
        </w:rPr>
      </w:pPr>
      <w:r>
        <w:rPr>
          <w:rFonts w:hint="eastAsia" w:ascii="宋体" w:hAnsi="宋体"/>
        </w:rPr>
        <w:t>（2）投标函；</w:t>
      </w:r>
    </w:p>
    <w:p>
      <w:pPr>
        <w:snapToGrid w:val="0"/>
        <w:spacing w:line="420" w:lineRule="exact"/>
        <w:ind w:firstLine="411" w:firstLineChars="196"/>
        <w:rPr>
          <w:rFonts w:hint="eastAsia" w:ascii="宋体" w:hAnsi="宋体"/>
        </w:rPr>
      </w:pPr>
      <w:r>
        <w:rPr>
          <w:rFonts w:hint="eastAsia" w:ascii="宋体" w:hAnsi="宋体"/>
        </w:rPr>
        <w:t>（3）监理费报价表。</w:t>
      </w:r>
    </w:p>
    <w:p>
      <w:pPr>
        <w:pStyle w:val="23"/>
        <w:snapToGrid w:val="0"/>
        <w:spacing w:line="420" w:lineRule="exact"/>
        <w:rPr>
          <w:rFonts w:hint="eastAsia" w:ascii="宋体" w:hAnsi="宋体" w:eastAsia="宋体"/>
          <w:b/>
          <w:sz w:val="21"/>
          <w:szCs w:val="21"/>
        </w:rPr>
      </w:pPr>
      <w:bookmarkStart w:id="89" w:name="_Toc152042324"/>
      <w:bookmarkStart w:id="90" w:name="_Toc361338255"/>
      <w:bookmarkStart w:id="91" w:name="_Toc152045548"/>
      <w:bookmarkStart w:id="92" w:name="_Toc144974516"/>
      <w:r>
        <w:rPr>
          <w:rFonts w:hint="eastAsia" w:ascii="宋体" w:hAnsi="宋体" w:eastAsia="宋体"/>
          <w:b/>
          <w:sz w:val="21"/>
          <w:szCs w:val="21"/>
        </w:rPr>
        <w:t>3.2 投标报价</w:t>
      </w:r>
      <w:bookmarkEnd w:id="89"/>
      <w:bookmarkEnd w:id="90"/>
      <w:bookmarkEnd w:id="91"/>
      <w:bookmarkEnd w:id="92"/>
    </w:p>
    <w:p>
      <w:pPr>
        <w:snapToGrid w:val="0"/>
        <w:spacing w:line="420" w:lineRule="exact"/>
        <w:ind w:firstLine="420" w:firstLineChars="200"/>
        <w:rPr>
          <w:rFonts w:hint="eastAsia" w:ascii="宋体" w:hAnsi="宋体"/>
          <w:szCs w:val="21"/>
        </w:rPr>
      </w:pPr>
      <w:r>
        <w:rPr>
          <w:rFonts w:hint="eastAsia" w:ascii="宋体" w:hAnsi="宋体"/>
          <w:szCs w:val="21"/>
        </w:rPr>
        <w:t>3.2.1 投标报价是投标人在工程监理服务期内完成招标文件规定的工程监理服务工作所需的费用。</w:t>
      </w:r>
    </w:p>
    <w:p>
      <w:pPr>
        <w:snapToGrid w:val="0"/>
        <w:spacing w:line="420" w:lineRule="exact"/>
        <w:ind w:firstLine="420" w:firstLineChars="200"/>
        <w:rPr>
          <w:rFonts w:hint="eastAsia" w:ascii="宋体" w:hAnsi="宋体"/>
          <w:b/>
          <w:szCs w:val="21"/>
        </w:rPr>
      </w:pPr>
      <w:r>
        <w:rPr>
          <w:rFonts w:hint="eastAsia" w:ascii="宋体" w:hAnsi="宋体"/>
          <w:szCs w:val="21"/>
        </w:rPr>
        <w:t>3.2.2 投标报价按照《国家发展改革委关于进一步放开建设项目专业服务价格的通知》（发改价格〔2015〕299号）规定，投标人应结合自身因素，进行竞争性报价</w:t>
      </w:r>
      <w:r>
        <w:rPr>
          <w:rFonts w:hint="eastAsia" w:ascii="宋体" w:hAnsi="宋体"/>
          <w:bCs/>
          <w:szCs w:val="21"/>
        </w:rPr>
        <w:t>，投标报价不得超出最高投标限价，否则将否决其投标。</w:t>
      </w:r>
    </w:p>
    <w:p>
      <w:pPr>
        <w:snapToGrid w:val="0"/>
        <w:spacing w:line="420" w:lineRule="exact"/>
        <w:ind w:firstLine="422" w:firstLineChars="200"/>
        <w:rPr>
          <w:rFonts w:hint="eastAsia" w:ascii="宋体" w:hAnsi="宋体" w:cs="宋体"/>
          <w:color w:val="0000FF"/>
          <w:szCs w:val="21"/>
        </w:rPr>
      </w:pPr>
      <w:r>
        <w:rPr>
          <w:rFonts w:hint="eastAsia" w:ascii="宋体" w:hAnsi="宋体" w:cs="宋体"/>
          <w:b/>
          <w:color w:val="auto"/>
          <w:kern w:val="0"/>
          <w:szCs w:val="21"/>
        </w:rPr>
        <w:t>①</w:t>
      </w:r>
      <w:r>
        <w:rPr>
          <w:rFonts w:hint="eastAsia" w:ascii="宋体" w:hAnsi="宋体" w:cs="宋体"/>
          <w:b/>
          <w:bCs/>
          <w:color w:val="auto"/>
          <w:szCs w:val="21"/>
          <w:lang w:val="zh-CN"/>
        </w:rPr>
        <w:t>投标人监理投标报价</w:t>
      </w:r>
      <w:r>
        <w:rPr>
          <w:rFonts w:hint="eastAsia" w:ascii="宋体" w:hAnsi="宋体" w:cs="宋体"/>
          <w:b/>
          <w:bCs/>
          <w:color w:val="auto"/>
          <w:szCs w:val="21"/>
        </w:rPr>
        <w:t>=监理费取费基数</w:t>
      </w:r>
      <w:r>
        <w:rPr>
          <w:rFonts w:hint="eastAsia" w:ascii="宋体" w:hAnsi="宋体" w:cs="宋体"/>
          <w:b/>
          <w:bCs/>
          <w:color w:val="auto"/>
          <w:szCs w:val="21"/>
          <w:lang w:val="zh-CN"/>
        </w:rPr>
        <w:t>（</w:t>
      </w:r>
      <w:r>
        <w:rPr>
          <w:rFonts w:hint="eastAsia" w:ascii="宋体" w:hAnsi="宋体" w:eastAsia="宋体" w:cs="Times New Roman"/>
          <w:b/>
          <w:color w:val="0000FF"/>
          <w:lang w:val="en-US" w:eastAsia="zh-CN"/>
        </w:rPr>
        <w:t>36052.0440万元</w:t>
      </w:r>
      <w:r>
        <w:rPr>
          <w:rFonts w:hint="eastAsia" w:ascii="宋体" w:hAnsi="宋体" w:cs="宋体"/>
          <w:b/>
          <w:bCs/>
          <w:color w:val="auto"/>
          <w:szCs w:val="21"/>
          <w:lang w:val="zh-CN"/>
        </w:rPr>
        <w:t>）×投标费率。</w:t>
      </w:r>
    </w:p>
    <w:p>
      <w:pPr>
        <w:spacing w:line="420" w:lineRule="exact"/>
        <w:ind w:firstLine="422" w:firstLineChars="200"/>
        <w:rPr>
          <w:rFonts w:hint="eastAsia" w:ascii="宋体" w:hAnsi="宋体"/>
          <w:bCs/>
          <w:color w:val="auto"/>
          <w:spacing w:val="6"/>
          <w:szCs w:val="21"/>
          <w:shd w:val="clear" w:color="auto" w:fill="FFFFFF"/>
        </w:rPr>
      </w:pPr>
      <w:r>
        <w:rPr>
          <w:rFonts w:hint="eastAsia" w:ascii="宋体" w:hAnsi="宋体"/>
          <w:b/>
          <w:bCs/>
          <w:color w:val="auto"/>
          <w:szCs w:val="21"/>
          <w:shd w:val="clear" w:color="auto" w:fill="FFFFFF"/>
        </w:rPr>
        <w:t>此次监理招标的施工监理服务收费最高投标限价为</w:t>
      </w:r>
      <w:r>
        <w:rPr>
          <w:rFonts w:hint="eastAsia" w:ascii="宋体" w:hAnsi="宋体" w:eastAsia="宋体" w:cs="Times New Roman"/>
          <w:b/>
          <w:color w:val="0000FF"/>
          <w:lang w:val="en-US" w:eastAsia="zh-CN"/>
        </w:rPr>
        <w:t>452.0000万元</w:t>
      </w:r>
      <w:r>
        <w:rPr>
          <w:rFonts w:hint="eastAsia" w:ascii="宋体" w:hAnsi="宋体"/>
          <w:b/>
          <w:bCs/>
          <w:color w:val="auto"/>
          <w:szCs w:val="21"/>
          <w:shd w:val="clear" w:color="auto" w:fill="FFFFFF"/>
        </w:rPr>
        <w:t>，即投标费率</w:t>
      </w:r>
      <w:r>
        <w:rPr>
          <w:rFonts w:hint="eastAsia" w:ascii="宋体" w:hAnsi="宋体" w:eastAsia="宋体" w:cs="Times New Roman"/>
          <w:b/>
          <w:color w:val="0000FF"/>
          <w:lang w:val="en-US" w:eastAsia="zh-CN"/>
        </w:rPr>
        <w:t>1.254%</w:t>
      </w:r>
      <w:r>
        <w:rPr>
          <w:rFonts w:hint="eastAsia" w:ascii="宋体" w:hAnsi="宋体"/>
          <w:b/>
          <w:bCs/>
          <w:color w:val="auto"/>
          <w:szCs w:val="21"/>
          <w:shd w:val="clear" w:color="auto" w:fill="FFFFFF"/>
        </w:rPr>
        <w:t>。</w:t>
      </w:r>
      <w:r>
        <w:rPr>
          <w:rFonts w:hint="eastAsia" w:ascii="宋体" w:hAnsi="宋体"/>
          <w:bCs/>
          <w:color w:val="auto"/>
          <w:szCs w:val="21"/>
          <w:shd w:val="clear" w:color="auto" w:fill="FFFFFF"/>
        </w:rPr>
        <w:t>投标人的投标报价超出施工监理服务收费最高投标限价的，</w:t>
      </w:r>
      <w:r>
        <w:rPr>
          <w:rFonts w:hint="eastAsia" w:ascii="宋体" w:hAnsi="宋体"/>
          <w:bCs/>
          <w:color w:val="auto"/>
          <w:spacing w:val="6"/>
          <w:szCs w:val="21"/>
          <w:shd w:val="clear" w:color="auto" w:fill="FFFFFF"/>
        </w:rPr>
        <w:t>按否决其投标处理。</w:t>
      </w:r>
    </w:p>
    <w:p>
      <w:pPr>
        <w:spacing w:line="400" w:lineRule="exact"/>
        <w:ind w:firstLine="422" w:firstLineChars="200"/>
        <w:rPr>
          <w:rFonts w:hint="eastAsia" w:ascii="宋体" w:hAnsi="宋体" w:cs="宋体"/>
          <w:bCs/>
          <w:color w:val="auto"/>
          <w:szCs w:val="21"/>
          <w:highlight w:val="none"/>
          <w:shd w:val="clear" w:color="auto" w:fill="FFFFFF"/>
        </w:rPr>
      </w:pPr>
      <w:r>
        <w:rPr>
          <w:rFonts w:hint="eastAsia" w:ascii="宋体" w:hAnsi="宋体" w:cs="宋体"/>
          <w:b/>
          <w:bCs/>
          <w:color w:val="auto"/>
          <w:szCs w:val="21"/>
          <w:highlight w:val="none"/>
          <w:u w:val="single"/>
          <w:shd w:val="clear" w:color="auto" w:fill="FFFFFF"/>
        </w:rPr>
        <w:t>此次监理招标的施工监理服务收费设风险控制价（成本警戒值），投标人的有效投标报价低于风险控制价的不进入评标基准价计算。</w:t>
      </w:r>
    </w:p>
    <w:p>
      <w:pPr>
        <w:spacing w:line="400" w:lineRule="exact"/>
        <w:ind w:firstLine="420" w:firstLineChars="200"/>
        <w:rPr>
          <w:rFonts w:hint="eastAsia" w:ascii="宋体" w:hAnsi="宋体" w:cs="宋体"/>
          <w:bCs/>
          <w:color w:val="auto"/>
          <w:szCs w:val="21"/>
          <w:highlight w:val="none"/>
          <w:shd w:val="clear" w:color="auto" w:fill="FFFFFF"/>
        </w:rPr>
      </w:pPr>
      <w:r>
        <w:rPr>
          <w:rFonts w:hint="eastAsia" w:ascii="宋体" w:hAnsi="宋体" w:cs="宋体"/>
          <w:bCs/>
          <w:color w:val="auto"/>
          <w:szCs w:val="21"/>
          <w:highlight w:val="none"/>
          <w:shd w:val="clear" w:color="auto" w:fill="FFFFFF"/>
        </w:rPr>
        <w:t>风险控制价的取定方法：商务标开启后，取所有效投标报价（出现以下情况时为无效投标报价，该投标报价不进入风险控制价的计算范围：①投标人的投标报价高于投标最高投标限价的；②开商务标前已经被否决其投标的；③未提供投标函或投标函中无报价或投标函中出现两个及以上不同报价且未声明哪一个有效的）</w:t>
      </w:r>
      <w:r>
        <w:rPr>
          <w:rFonts w:hint="eastAsia" w:ascii="宋体" w:hAnsi="宋体" w:cs="宋体"/>
          <w:b/>
          <w:bCs w:val="0"/>
          <w:color w:val="FF0000"/>
          <w:szCs w:val="21"/>
          <w:highlight w:val="none"/>
          <w:shd w:val="clear" w:color="auto" w:fill="FFFFFF"/>
        </w:rPr>
        <w:t>的算术平均值再下浮10个百分点</w:t>
      </w:r>
      <w:r>
        <w:rPr>
          <w:rFonts w:hint="eastAsia" w:ascii="宋体" w:hAnsi="宋体" w:cs="宋体"/>
          <w:bCs/>
          <w:color w:val="auto"/>
          <w:szCs w:val="21"/>
          <w:highlight w:val="none"/>
          <w:shd w:val="clear" w:color="auto" w:fill="FFFFFF"/>
        </w:rPr>
        <w:t>（平均值取“元”单位整数，小数点后第一位数采用四舍五入）作为投标报价风险控制价。</w:t>
      </w:r>
      <w:r>
        <w:rPr>
          <w:rFonts w:hint="eastAsia" w:ascii="宋体" w:hAnsi="宋体"/>
          <w:b/>
          <w:bCs/>
          <w:color w:val="333333"/>
          <w:szCs w:val="21"/>
          <w:u w:val="single"/>
          <w:shd w:val="clear" w:color="auto" w:fill="FFFFFF"/>
        </w:rPr>
        <w:t>注：投标报价以投标人投标函中的报价为准（下同）。</w:t>
      </w:r>
    </w:p>
    <w:p>
      <w:pPr>
        <w:snapToGrid w:val="0"/>
        <w:spacing w:line="400" w:lineRule="exact"/>
        <w:ind w:firstLine="422" w:firstLineChars="200"/>
        <w:rPr>
          <w:rFonts w:hint="eastAsia" w:ascii="宋体" w:hAnsi="宋体"/>
          <w:b/>
          <w:bCs/>
          <w:color w:val="333333"/>
          <w:szCs w:val="21"/>
          <w:u w:val="single"/>
          <w:shd w:val="clear" w:color="auto" w:fill="FFFFFF"/>
        </w:rPr>
      </w:pPr>
      <w:r>
        <w:rPr>
          <w:rFonts w:hint="eastAsia" w:ascii="宋体" w:hAnsi="宋体"/>
          <w:b/>
          <w:bCs/>
          <w:color w:val="333333"/>
          <w:szCs w:val="21"/>
          <w:u w:val="single"/>
          <w:shd w:val="clear" w:color="auto" w:fill="FFFFFF"/>
        </w:rPr>
        <w:t>报价低于成本警戒值的不参与评标基准价的计算，可以参加商务标得分的计算。</w:t>
      </w:r>
    </w:p>
    <w:p>
      <w:pPr>
        <w:snapToGrid w:val="0"/>
        <w:spacing w:line="348" w:lineRule="auto"/>
        <w:ind w:firstLine="422" w:firstLineChars="200"/>
        <w:rPr>
          <w:rFonts w:hint="eastAsia" w:ascii="宋体" w:hAnsi="宋体" w:cs="宋体"/>
          <w:b/>
          <w:bCs/>
          <w:color w:val="auto"/>
          <w:szCs w:val="21"/>
          <w:highlight w:val="none"/>
        </w:rPr>
      </w:pPr>
      <w:r>
        <w:rPr>
          <w:rFonts w:hint="eastAsia" w:ascii="宋体" w:hAnsi="宋体" w:cs="宋体"/>
          <w:b/>
          <w:bCs/>
          <w:color w:val="FF0000"/>
          <w:szCs w:val="21"/>
        </w:rPr>
        <w:t>②监理费以监理范围内经财政部门或国家审计机关或其他相关部门等审定的工程结算建安总造价为计算基数，费率按相应的中标费率；如造价变化，则相应增减监理费。</w:t>
      </w:r>
    </w:p>
    <w:p>
      <w:pPr>
        <w:widowControl/>
        <w:tabs>
          <w:tab w:val="left" w:pos="482"/>
          <w:tab w:val="left" w:pos="2183"/>
          <w:tab w:val="left" w:pos="3884"/>
          <w:tab w:val="left" w:pos="5585"/>
        </w:tabs>
        <w:spacing w:line="348" w:lineRule="auto"/>
        <w:ind w:left="210" w:leftChars="100" w:firstLine="211" w:firstLineChars="100"/>
        <w:rPr>
          <w:rFonts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hint="eastAsia" w:ascii="宋体" w:hAnsi="宋体"/>
          <w:b/>
          <w:color w:val="0000FF"/>
        </w:rPr>
        <w:instrText xml:space="preserve">= 3 \* GB3</w:instrText>
      </w:r>
      <w:r>
        <w:rPr>
          <w:rFonts w:ascii="宋体" w:hAnsi="宋体"/>
          <w:b/>
          <w:color w:val="0000FF"/>
        </w:rPr>
        <w:instrText xml:space="preserve"> </w:instrText>
      </w:r>
      <w:r>
        <w:rPr>
          <w:rFonts w:ascii="宋体" w:hAnsi="宋体"/>
          <w:b/>
          <w:color w:val="0000FF"/>
        </w:rPr>
        <w:fldChar w:fldCharType="separate"/>
      </w:r>
      <w:r>
        <w:rPr>
          <w:rFonts w:hint="eastAsia" w:ascii="宋体" w:hAnsi="宋体"/>
          <w:b/>
          <w:color w:val="0000FF"/>
        </w:rPr>
        <w:t>③</w:t>
      </w:r>
      <w:r>
        <w:rPr>
          <w:rFonts w:ascii="宋体" w:hAnsi="宋体"/>
          <w:b/>
          <w:color w:val="0000FF"/>
        </w:rPr>
        <w:fldChar w:fldCharType="end"/>
      </w:r>
      <w:r>
        <w:rPr>
          <w:rFonts w:ascii="宋体" w:hAnsi="宋体"/>
          <w:b/>
          <w:color w:val="0000FF"/>
        </w:rPr>
        <w:t>监理工作实施过程中的额外工作时间、附加工作时间、夜班施工、节假日休息时间加班等相关费用己包括在报价内，不再另外计取。</w:t>
      </w:r>
    </w:p>
    <w:p>
      <w:pPr>
        <w:widowControl/>
        <w:tabs>
          <w:tab w:val="left" w:pos="482"/>
          <w:tab w:val="left" w:pos="2183"/>
          <w:tab w:val="left" w:pos="3884"/>
          <w:tab w:val="left" w:pos="5585"/>
        </w:tabs>
        <w:spacing w:line="348" w:lineRule="auto"/>
        <w:ind w:left="210" w:leftChars="100" w:firstLine="211" w:firstLineChars="100"/>
        <w:rPr>
          <w:rFonts w:ascii="宋体" w:hAnsi="宋体"/>
          <w:b/>
          <w:color w:val="0000FF"/>
        </w:rPr>
      </w:pPr>
      <w:r>
        <w:rPr>
          <w:rFonts w:hint="eastAsia" w:ascii="宋体" w:hAnsi="宋体"/>
          <w:b/>
          <w:color w:val="0000FF"/>
        </w:rPr>
        <w:t>④本监理工程项目为工程施工全过程监理，工程项目可能因多种原因造成工程的暂停及延期（含政策处理、图纸修改、施工非正常停工等），监理单位无条件在重新开始施工之日继续监理，且不追加任何费用（风险自负，在报价时自行考虑）。</w:t>
      </w:r>
    </w:p>
    <w:p>
      <w:pPr>
        <w:snapToGrid w:val="0"/>
        <w:spacing w:line="348" w:lineRule="auto"/>
        <w:ind w:firstLine="422" w:firstLineChars="200"/>
        <w:rPr>
          <w:rFonts w:ascii="宋体" w:hAnsi="宋体"/>
          <w:b/>
          <w:color w:val="0000FF"/>
        </w:rPr>
      </w:pPr>
      <w:r>
        <w:rPr>
          <w:rFonts w:hint="eastAsia" w:ascii="宋体" w:hAnsi="宋体"/>
          <w:b/>
          <w:color w:val="0000FF"/>
        </w:rPr>
        <w:t>⑤</w:t>
      </w:r>
      <w:r>
        <w:rPr>
          <w:rFonts w:hint="eastAsia"/>
          <w:b/>
          <w:bCs/>
          <w:color w:val="0000FF"/>
          <w:spacing w:val="6"/>
          <w:kern w:val="16"/>
          <w:szCs w:val="21"/>
        </w:rPr>
        <w:t>如发生</w:t>
      </w:r>
      <w:r>
        <w:rPr>
          <w:rFonts w:hint="eastAsia" w:ascii="宋体" w:hAnsi="宋体"/>
          <w:b/>
          <w:color w:val="0000FF"/>
        </w:rPr>
        <w:t>工期延误等一切因素监理费用不予增加。</w:t>
      </w:r>
    </w:p>
    <w:p>
      <w:pPr>
        <w:snapToGrid w:val="0"/>
        <w:spacing w:line="400" w:lineRule="exact"/>
        <w:ind w:firstLine="422" w:firstLineChars="200"/>
        <w:rPr>
          <w:rFonts w:hint="eastAsia" w:ascii="宋体" w:hAnsi="宋体"/>
          <w:b/>
          <w:color w:val="0000FF"/>
        </w:rPr>
      </w:pPr>
      <w:r>
        <w:rPr>
          <w:rFonts w:hint="eastAsia" w:ascii="宋体" w:hAnsi="宋体"/>
          <w:b/>
          <w:color w:val="0000FF"/>
        </w:rPr>
        <w:t>⑥监理服务期包括前期阶段、施工阶段监理服务期、保修阶段监理服务期：从施工准备至全部工程完工并办理竣工验收、备案及工程结算，从工程竣工验收合格后至保修期满为止。</w:t>
      </w:r>
    </w:p>
    <w:p>
      <w:pPr>
        <w:snapToGrid w:val="0"/>
        <w:spacing w:line="420" w:lineRule="exact"/>
        <w:ind w:firstLine="420" w:firstLineChars="200"/>
        <w:rPr>
          <w:rFonts w:hint="eastAsia" w:ascii="宋体" w:hAnsi="宋体"/>
          <w:szCs w:val="21"/>
        </w:rPr>
      </w:pPr>
      <w:r>
        <w:rPr>
          <w:rFonts w:hint="eastAsia" w:ascii="宋体" w:hAnsi="宋体"/>
          <w:szCs w:val="21"/>
        </w:rPr>
        <w:t>3.2.3投标人必须按照招标文件规定的格式和内容，计算投标报价。投标人未填报的费用视为已包含在其他报价中。</w:t>
      </w:r>
    </w:p>
    <w:p>
      <w:pPr>
        <w:snapToGrid w:val="0"/>
        <w:spacing w:line="420" w:lineRule="exact"/>
        <w:ind w:firstLine="420" w:firstLineChars="200"/>
        <w:rPr>
          <w:rFonts w:hint="eastAsia" w:ascii="宋体" w:hAnsi="宋体"/>
          <w:szCs w:val="21"/>
        </w:rPr>
      </w:pPr>
      <w:r>
        <w:rPr>
          <w:rFonts w:hint="eastAsia" w:ascii="宋体" w:hAnsi="宋体"/>
          <w:szCs w:val="21"/>
        </w:rPr>
        <w:t>3.2.4投标报价其他情况说明：见投标人须知前附表。</w:t>
      </w:r>
    </w:p>
    <w:p>
      <w:pPr>
        <w:pStyle w:val="23"/>
        <w:snapToGrid w:val="0"/>
        <w:spacing w:line="420" w:lineRule="exact"/>
        <w:rPr>
          <w:rFonts w:hint="eastAsia"/>
        </w:rPr>
      </w:pPr>
      <w:bookmarkStart w:id="93" w:name="_Toc361338256"/>
      <w:bookmarkStart w:id="94" w:name="_Toc144974517"/>
      <w:bookmarkStart w:id="95" w:name="_Toc152042325"/>
      <w:bookmarkStart w:id="96" w:name="_Toc152045549"/>
      <w:r>
        <w:rPr>
          <w:rFonts w:hint="eastAsia"/>
        </w:rPr>
        <w:t>3.3 投标有效期</w:t>
      </w:r>
      <w:bookmarkEnd w:id="93"/>
      <w:bookmarkEnd w:id="94"/>
      <w:bookmarkEnd w:id="95"/>
      <w:bookmarkEnd w:id="96"/>
    </w:p>
    <w:p>
      <w:pPr>
        <w:snapToGrid w:val="0"/>
        <w:spacing w:line="420" w:lineRule="exact"/>
        <w:ind w:firstLine="420" w:firstLineChars="200"/>
        <w:rPr>
          <w:rFonts w:hint="eastAsia" w:ascii="宋体" w:hAnsi="宋体"/>
          <w:spacing w:val="-8"/>
        </w:rPr>
      </w:pPr>
      <w:r>
        <w:rPr>
          <w:rFonts w:hint="eastAsia" w:ascii="宋体" w:hAnsi="宋体"/>
        </w:rPr>
        <w:t xml:space="preserve">3.3.1 </w:t>
      </w:r>
      <w:r>
        <w:rPr>
          <w:rFonts w:hint="eastAsia" w:ascii="宋体" w:hAnsi="宋体"/>
          <w:spacing w:val="-8"/>
        </w:rPr>
        <w:t>在投标人须知前附表规定的投标有效期内，投标人不得要求撤销或修改其投标文件。</w:t>
      </w:r>
    </w:p>
    <w:p>
      <w:pPr>
        <w:snapToGrid w:val="0"/>
        <w:spacing w:line="420" w:lineRule="exact"/>
        <w:ind w:firstLine="420" w:firstLineChars="200"/>
        <w:rPr>
          <w:rFonts w:hint="eastAsia" w:ascii="宋体" w:hAnsi="宋体"/>
        </w:rPr>
      </w:pPr>
      <w:r>
        <w:rPr>
          <w:rFonts w:hint="eastAsia" w:ascii="宋体" w:hAnsi="宋体"/>
        </w:rPr>
        <w:t>3.3.2出现特殊情况需要延长投标有效期的，招标人以书面形式通知所有投标人延长投标有效期。投标人同意延长的，应相应延长其投标保证金、银行保函或电子保险保函的有效期，但不得要求或被允许修改或撤销其投标文件；投标人拒绝延长的，其投标失效，但投标人有权收回其投标保证金、银行保函或电子保险保函。</w:t>
      </w:r>
    </w:p>
    <w:p>
      <w:pPr>
        <w:pStyle w:val="23"/>
        <w:snapToGrid w:val="0"/>
        <w:spacing w:line="420" w:lineRule="exact"/>
        <w:rPr>
          <w:rFonts w:hint="eastAsia"/>
        </w:rPr>
      </w:pPr>
      <w:bookmarkStart w:id="97" w:name="_Toc361338257"/>
      <w:bookmarkStart w:id="98" w:name="_Toc152042326"/>
      <w:bookmarkStart w:id="99" w:name="_Toc144974518"/>
      <w:bookmarkStart w:id="100" w:name="_Toc152045550"/>
      <w:r>
        <w:rPr>
          <w:rFonts w:hint="eastAsia"/>
        </w:rPr>
        <w:t>3.4 投标保证金</w:t>
      </w:r>
      <w:bookmarkEnd w:id="97"/>
      <w:bookmarkEnd w:id="98"/>
      <w:bookmarkEnd w:id="99"/>
      <w:bookmarkEnd w:id="100"/>
    </w:p>
    <w:p>
      <w:pPr>
        <w:spacing w:line="440" w:lineRule="exact"/>
        <w:ind w:firstLine="420" w:firstLineChars="200"/>
        <w:rPr>
          <w:rFonts w:ascii="宋体" w:hAnsi="宋体"/>
          <w:color w:val="000000"/>
        </w:rPr>
      </w:pPr>
      <w:r>
        <w:rPr>
          <w:rFonts w:hint="eastAsia" w:ascii="宋体" w:hAnsi="宋体"/>
          <w:color w:val="000000"/>
        </w:rPr>
        <w:t xml:space="preserve">3.4.1 各投标单位须按照投标人须知前附表中3.4.1项的规定递交投标保证金，采用银行转账方式递交投标保证金的，投标保证金必须从投标单位银行基本帐户汇出，不得现金解入，不得通过投标单位分支机构或第三者帐户转入，并在规定时间内将投标保证金汇至到达中心保证金专户且投标保证金的金额须符合投标须知前附表的规定，否则应当否决其投标。采用银行保函方式的，则投标人的投标保证金应为投标人基本账户开户行出具的银行保函，银行保函的有效期应在投标有效期满后28日内继续有效，否则应当否决其投标。若采用电子保险保函方式提交投标保证金的投标人将由苍南县公共资源交易中心计划财务科在提交投标文件截止时间后出具本工程投标保证金电子保险凭证清单进行核对；对于未能按招标文件要求提交投标保证金的投标人，招标人将退还其递交的投标文件。 </w:t>
      </w:r>
    </w:p>
    <w:p>
      <w:pPr>
        <w:snapToGrid w:val="0"/>
        <w:spacing w:line="420" w:lineRule="exact"/>
        <w:ind w:firstLine="420" w:firstLineChars="200"/>
        <w:rPr>
          <w:rFonts w:hint="eastAsia" w:ascii="宋体" w:hAnsi="宋体"/>
          <w:color w:val="000000"/>
        </w:rPr>
      </w:pPr>
      <w:r>
        <w:rPr>
          <w:rFonts w:ascii="宋体" w:hAnsi="宋体"/>
          <w:color w:val="000000"/>
        </w:rPr>
        <w:t>3.4.</w:t>
      </w:r>
      <w:r>
        <w:rPr>
          <w:rFonts w:hint="eastAsia" w:ascii="宋体" w:hAnsi="宋体"/>
          <w:color w:val="000000"/>
        </w:rPr>
        <w:t>2未中标单位的投标保证金在中标通知书签发后五个工作日内予以退还（无息）。中标人的投标保证金在与招标人签订合同并提交履约保证金后予以退还（无息）。</w:t>
      </w:r>
    </w:p>
    <w:p>
      <w:pPr>
        <w:snapToGrid w:val="0"/>
        <w:spacing w:line="420" w:lineRule="exact"/>
        <w:ind w:firstLine="420" w:firstLineChars="200"/>
        <w:rPr>
          <w:rFonts w:hint="eastAsia" w:ascii="宋体" w:hAnsi="宋体"/>
          <w:color w:val="000000"/>
        </w:rPr>
      </w:pPr>
      <w:r>
        <w:rPr>
          <w:rFonts w:ascii="宋体" w:hAnsi="宋体"/>
          <w:color w:val="000000"/>
        </w:rPr>
        <w:t>3.4.</w:t>
      </w:r>
      <w:r>
        <w:rPr>
          <w:rFonts w:hint="eastAsia" w:ascii="宋体" w:hAnsi="宋体"/>
          <w:color w:val="000000"/>
        </w:rPr>
        <w:t>3如投标人发生下列情况之一时，投标保证金将不予退还：</w:t>
      </w:r>
    </w:p>
    <w:p>
      <w:pPr>
        <w:tabs>
          <w:tab w:val="left" w:pos="1260"/>
        </w:tabs>
        <w:spacing w:line="440" w:lineRule="exact"/>
        <w:ind w:firstLine="420" w:firstLineChars="200"/>
        <w:rPr>
          <w:rFonts w:hint="eastAsia" w:ascii="宋体" w:hAnsi="宋体" w:cs="宋体"/>
          <w:color w:val="auto"/>
          <w:highlight w:val="none"/>
        </w:rPr>
      </w:pPr>
      <w:bookmarkStart w:id="101" w:name="_Toc152045554"/>
      <w:bookmarkStart w:id="102" w:name="_Toc361338260"/>
      <w:bookmarkStart w:id="103" w:name="_Toc144974522"/>
      <w:bookmarkStart w:id="104" w:name="_Toc152042330"/>
      <w:r>
        <w:rPr>
          <w:rFonts w:hint="eastAsia" w:ascii="宋体" w:hAnsi="宋体" w:cs="宋体"/>
          <w:color w:val="auto"/>
          <w:highlight w:val="none"/>
        </w:rPr>
        <w:t>（1）</w:t>
      </w:r>
      <w:r>
        <w:rPr>
          <w:rFonts w:hint="eastAsia" w:ascii="宋体" w:hAnsi="宋体"/>
          <w:color w:val="000000"/>
        </w:rPr>
        <w:t>投标人在规定的投标有效期内撤销其投标文件；</w:t>
      </w:r>
    </w:p>
    <w:p>
      <w:pPr>
        <w:tabs>
          <w:tab w:val="left" w:pos="1260"/>
        </w:tabs>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（2）投标人无故放弃中标资格的；</w:t>
      </w:r>
    </w:p>
    <w:p>
      <w:pPr>
        <w:tabs>
          <w:tab w:val="left" w:pos="1260"/>
        </w:tabs>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（3）拒绝接受投标书中已确认的承诺或条款；</w:t>
      </w:r>
    </w:p>
    <w:p>
      <w:pPr>
        <w:tabs>
          <w:tab w:val="left" w:pos="1260"/>
        </w:tabs>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（4）中标人在收到中标通知书后，无正当理由拒签合同协议书或未按招标文件规定提交履约担保；</w:t>
      </w:r>
    </w:p>
    <w:p>
      <w:pPr>
        <w:tabs>
          <w:tab w:val="left" w:pos="1260"/>
        </w:tabs>
        <w:spacing w:line="440" w:lineRule="exact"/>
        <w:ind w:firstLine="420" w:firstLineChars="200"/>
        <w:rPr>
          <w:rFonts w:hint="eastAsia" w:ascii="宋体" w:hAnsi="宋体" w:cs="宋体"/>
          <w:color w:val="auto"/>
          <w:highlight w:val="none"/>
        </w:rPr>
      </w:pPr>
      <w:r>
        <w:rPr>
          <w:rFonts w:hint="eastAsia" w:ascii="宋体" w:hAnsi="宋体" w:cs="宋体"/>
          <w:color w:val="auto"/>
          <w:highlight w:val="none"/>
        </w:rPr>
        <w:t>（5）投标人在投标过程中串通投标或弄虚作假的。</w:t>
      </w:r>
    </w:p>
    <w:p>
      <w:pPr>
        <w:pStyle w:val="23"/>
        <w:snapToGrid w:val="0"/>
        <w:spacing w:line="420" w:lineRule="exact"/>
        <w:rPr>
          <w:rFonts w:hint="eastAsia"/>
        </w:rPr>
      </w:pPr>
      <w:r>
        <w:rPr>
          <w:rFonts w:hint="eastAsia"/>
        </w:rPr>
        <w:t>3.5 投标文件的编制</w:t>
      </w:r>
      <w:bookmarkEnd w:id="101"/>
      <w:bookmarkEnd w:id="102"/>
      <w:bookmarkEnd w:id="103"/>
      <w:bookmarkEnd w:id="104"/>
    </w:p>
    <w:p>
      <w:pPr>
        <w:snapToGrid w:val="0"/>
        <w:spacing w:line="420" w:lineRule="exact"/>
        <w:ind w:firstLine="420" w:firstLineChars="200"/>
        <w:rPr>
          <w:rFonts w:hint="eastAsia" w:ascii="宋体" w:hAnsi="宋体"/>
        </w:rPr>
      </w:pPr>
      <w:r>
        <w:rPr>
          <w:rFonts w:hint="eastAsia" w:ascii="宋体" w:hAnsi="宋体"/>
        </w:rPr>
        <w:t>3.5.1投标文件应按第六章“投标文件格式”进行编写，如有必要，可以增加附页，作为投标文件的组成部分。</w:t>
      </w:r>
    </w:p>
    <w:p>
      <w:pPr>
        <w:snapToGrid w:val="0"/>
        <w:spacing w:line="420" w:lineRule="exact"/>
        <w:ind w:firstLine="404" w:firstLineChars="200"/>
        <w:rPr>
          <w:rFonts w:hint="eastAsia" w:ascii="宋体" w:hAnsi="宋体"/>
          <w:spacing w:val="-4"/>
          <w:szCs w:val="21"/>
        </w:rPr>
      </w:pPr>
      <w:r>
        <w:rPr>
          <w:rFonts w:hint="eastAsia" w:ascii="宋体" w:hAnsi="宋体"/>
          <w:spacing w:val="-4"/>
        </w:rPr>
        <w:t>3.5.2 投标文件应当对招标文件有关工程监理与相关服务期</w:t>
      </w:r>
      <w:r>
        <w:rPr>
          <w:rFonts w:hint="eastAsia" w:ascii="宋体" w:hAnsi="宋体"/>
          <w:spacing w:val="-4"/>
          <w:szCs w:val="21"/>
        </w:rPr>
        <w:t>、招标范围、投标报价等实质性内容作出响应。</w:t>
      </w:r>
    </w:p>
    <w:p>
      <w:pPr>
        <w:snapToGrid w:val="0"/>
        <w:spacing w:line="420" w:lineRule="exact"/>
        <w:ind w:firstLine="404" w:firstLineChars="200"/>
        <w:rPr>
          <w:rFonts w:hint="eastAsia" w:ascii="宋体" w:hAnsi="宋体"/>
          <w:spacing w:val="-4"/>
        </w:rPr>
      </w:pPr>
      <w:r>
        <w:rPr>
          <w:rFonts w:hint="eastAsia" w:ascii="宋体" w:hAnsi="宋体"/>
          <w:spacing w:val="-4"/>
        </w:rPr>
        <w:t xml:space="preserve">3.5.3签字或盖章的具体要求见投标人须知前附表。 </w:t>
      </w:r>
    </w:p>
    <w:p>
      <w:pPr>
        <w:snapToGrid w:val="0"/>
        <w:spacing w:line="420" w:lineRule="exact"/>
        <w:ind w:firstLine="420" w:firstLineChars="200"/>
        <w:rPr>
          <w:rFonts w:hint="eastAsia" w:ascii="宋体" w:hAnsi="宋体"/>
        </w:rPr>
      </w:pPr>
      <w:r>
        <w:rPr>
          <w:rFonts w:hint="eastAsia" w:ascii="宋体" w:hAnsi="宋体"/>
        </w:rPr>
        <w:t>3.5.4 投标文件份数见投标人须知前附表。如设正副本，正本和副本的封面上应清楚地标记“正本”或“副本”的字样。当副本和正本不一致时，以正本为准。</w:t>
      </w:r>
    </w:p>
    <w:p>
      <w:pPr>
        <w:snapToGrid w:val="0"/>
        <w:spacing w:line="420" w:lineRule="exact"/>
        <w:ind w:firstLine="420" w:firstLineChars="200"/>
        <w:rPr>
          <w:rFonts w:hint="eastAsia" w:ascii="宋体" w:hAnsi="宋体"/>
        </w:rPr>
      </w:pPr>
      <w:r>
        <w:rPr>
          <w:rFonts w:hint="eastAsia" w:ascii="宋体" w:hAnsi="宋体"/>
        </w:rPr>
        <w:t>3.5.5 投标文件应装订成册，并编制目录，具体装订要求见投标人须知前附表规定。</w:t>
      </w:r>
    </w:p>
    <w:p>
      <w:pPr>
        <w:snapToGrid w:val="0"/>
        <w:spacing w:line="420" w:lineRule="exact"/>
        <w:rPr>
          <w:rFonts w:hint="eastAsia" w:eastAsia="黑体" w:cs="宋体"/>
          <w:sz w:val="24"/>
          <w:szCs w:val="20"/>
        </w:rPr>
      </w:pPr>
      <w:bookmarkStart w:id="105" w:name="_Toc144974523"/>
      <w:bookmarkStart w:id="106" w:name="_Toc152045555"/>
      <w:bookmarkStart w:id="107" w:name="_Toc152042331"/>
      <w:r>
        <w:rPr>
          <w:rFonts w:hint="eastAsia" w:eastAsia="黑体" w:cs="宋体"/>
          <w:sz w:val="24"/>
          <w:szCs w:val="20"/>
        </w:rPr>
        <w:t>4. 投标</w:t>
      </w:r>
      <w:bookmarkEnd w:id="105"/>
      <w:bookmarkEnd w:id="106"/>
      <w:bookmarkEnd w:id="107"/>
    </w:p>
    <w:p>
      <w:pPr>
        <w:pStyle w:val="23"/>
        <w:snapToGrid w:val="0"/>
        <w:spacing w:line="420" w:lineRule="exact"/>
        <w:rPr>
          <w:rFonts w:hint="eastAsia"/>
        </w:rPr>
      </w:pPr>
      <w:bookmarkStart w:id="108" w:name="_Toc152045556"/>
      <w:bookmarkStart w:id="109" w:name="_Toc144974524"/>
      <w:bookmarkStart w:id="110" w:name="_Toc361338261"/>
      <w:bookmarkStart w:id="111" w:name="_Toc152042332"/>
      <w:r>
        <w:rPr>
          <w:rFonts w:hint="eastAsia"/>
        </w:rPr>
        <w:t>4.1 投标文件的密封和标记</w:t>
      </w:r>
      <w:bookmarkEnd w:id="108"/>
      <w:bookmarkEnd w:id="109"/>
      <w:bookmarkEnd w:id="110"/>
      <w:bookmarkEnd w:id="111"/>
    </w:p>
    <w:p>
      <w:pPr>
        <w:snapToGrid w:val="0"/>
        <w:spacing w:line="420" w:lineRule="exact"/>
        <w:ind w:firstLine="420" w:firstLineChars="200"/>
        <w:rPr>
          <w:rFonts w:hint="eastAsia" w:ascii="宋体" w:hAnsi="宋体"/>
        </w:rPr>
      </w:pPr>
      <w:r>
        <w:rPr>
          <w:rFonts w:hint="eastAsia" w:ascii="宋体" w:hAnsi="宋体"/>
        </w:rPr>
        <w:t>4.1.1投标文件应密封要求：见投标人须知前附表的规定。</w:t>
      </w:r>
    </w:p>
    <w:p>
      <w:pPr>
        <w:snapToGrid w:val="0"/>
        <w:spacing w:line="420" w:lineRule="exact"/>
        <w:ind w:firstLine="420" w:firstLineChars="200"/>
        <w:rPr>
          <w:rFonts w:hint="eastAsia" w:ascii="宋体" w:hAnsi="宋体"/>
        </w:rPr>
      </w:pPr>
      <w:r>
        <w:rPr>
          <w:rFonts w:hint="eastAsia" w:ascii="宋体" w:hAnsi="宋体"/>
        </w:rPr>
        <w:t xml:space="preserve">4.1.2 </w:t>
      </w:r>
      <w:r>
        <w:rPr>
          <w:rFonts w:hint="eastAsia" w:ascii="宋体" w:hAnsi="宋体"/>
          <w:b/>
        </w:rPr>
        <w:t>未按本章第4.1.1项要求密封和加写标记的投标文件，招标人不予受理或评标委员会否决其投标。</w:t>
      </w:r>
    </w:p>
    <w:p>
      <w:pPr>
        <w:pStyle w:val="23"/>
        <w:snapToGrid w:val="0"/>
        <w:spacing w:line="420" w:lineRule="exact"/>
        <w:rPr>
          <w:rFonts w:hint="eastAsia"/>
        </w:rPr>
      </w:pPr>
      <w:bookmarkStart w:id="112" w:name="_Toc152045557"/>
      <w:bookmarkStart w:id="113" w:name="_Toc144974525"/>
      <w:bookmarkStart w:id="114" w:name="_Toc361338262"/>
      <w:bookmarkStart w:id="115" w:name="_Toc152042333"/>
      <w:r>
        <w:rPr>
          <w:rFonts w:hint="eastAsia"/>
        </w:rPr>
        <w:t>4.2 投标文件的递交</w:t>
      </w:r>
      <w:bookmarkEnd w:id="112"/>
      <w:bookmarkEnd w:id="113"/>
      <w:bookmarkEnd w:id="114"/>
      <w:bookmarkEnd w:id="115"/>
    </w:p>
    <w:p>
      <w:pPr>
        <w:snapToGrid w:val="0"/>
        <w:spacing w:line="420" w:lineRule="exact"/>
        <w:ind w:firstLine="420" w:firstLineChars="200"/>
        <w:rPr>
          <w:rFonts w:hint="eastAsia"/>
        </w:rPr>
      </w:pPr>
      <w:r>
        <w:rPr>
          <w:rFonts w:hint="eastAsia"/>
        </w:rPr>
        <w:t>4.2.1 投标人应在投标人须知前附表规定的投标截止时间前递交投标文件。</w:t>
      </w:r>
    </w:p>
    <w:p>
      <w:pPr>
        <w:snapToGrid w:val="0"/>
        <w:spacing w:line="420" w:lineRule="exact"/>
        <w:ind w:firstLine="420" w:firstLineChars="200"/>
        <w:rPr>
          <w:rFonts w:hint="eastAsia"/>
        </w:rPr>
      </w:pPr>
      <w:r>
        <w:rPr>
          <w:rFonts w:hint="eastAsia"/>
        </w:rPr>
        <w:t>4.2.2 投标人递交投标文件的地点：见投标人须知前附表。</w:t>
      </w:r>
    </w:p>
    <w:p>
      <w:pPr>
        <w:spacing w:line="420" w:lineRule="exact"/>
        <w:ind w:firstLine="420" w:firstLineChars="200"/>
        <w:rPr>
          <w:rFonts w:hint="eastAsia"/>
          <w:color w:val="000000"/>
        </w:rPr>
      </w:pPr>
      <w:r>
        <w:rPr>
          <w:rFonts w:hint="eastAsia"/>
          <w:color w:val="000000"/>
        </w:rPr>
        <w:t>4.2.3 招标人收到投标文件后，接收人和递交人均需在收标记录表上签字确认。</w:t>
      </w:r>
    </w:p>
    <w:p>
      <w:pPr>
        <w:snapToGrid w:val="0"/>
        <w:spacing w:line="420" w:lineRule="exact"/>
        <w:ind w:firstLine="422" w:firstLineChars="200"/>
        <w:rPr>
          <w:rFonts w:hint="eastAsia"/>
          <w:b/>
          <w:bCs/>
        </w:rPr>
      </w:pPr>
      <w:r>
        <w:rPr>
          <w:rFonts w:hint="eastAsia"/>
          <w:b/>
          <w:bCs/>
          <w:color w:val="000000"/>
        </w:rPr>
        <w:t xml:space="preserve">4.2.4 </w:t>
      </w:r>
      <w:r>
        <w:rPr>
          <w:rFonts w:hint="eastAsia" w:ascii="宋体" w:hAnsi="宋体"/>
          <w:b/>
          <w:bCs/>
        </w:rPr>
        <w:t>投标文件有下列</w:t>
      </w:r>
      <w:r>
        <w:rPr>
          <w:rFonts w:hint="eastAsia"/>
          <w:b/>
          <w:bCs/>
        </w:rPr>
        <w:t>情形之一的，招标人不予受理：</w:t>
      </w:r>
    </w:p>
    <w:p>
      <w:pPr>
        <w:numPr>
          <w:ilvl w:val="0"/>
          <w:numId w:val="3"/>
        </w:numPr>
        <w:snapToGrid w:val="0"/>
        <w:spacing w:line="420" w:lineRule="exact"/>
        <w:ind w:firstLine="420" w:firstLineChars="200"/>
        <w:rPr>
          <w:rFonts w:hint="eastAsia"/>
          <w:b w:val="0"/>
          <w:bCs w:val="0"/>
        </w:rPr>
      </w:pPr>
      <w:r>
        <w:rPr>
          <w:rFonts w:hint="eastAsia"/>
          <w:b w:val="0"/>
          <w:bCs w:val="0"/>
        </w:rPr>
        <w:t>逾期送达的或者未送达指定地点的投标文件；</w:t>
      </w:r>
    </w:p>
    <w:p>
      <w:pPr>
        <w:numPr>
          <w:ilvl w:val="0"/>
          <w:numId w:val="3"/>
        </w:numPr>
        <w:snapToGrid w:val="0"/>
        <w:spacing w:line="420" w:lineRule="exact"/>
        <w:ind w:firstLine="420" w:firstLineChars="200"/>
        <w:rPr>
          <w:rFonts w:hint="eastAsia"/>
        </w:rPr>
      </w:pPr>
      <w:r>
        <w:rPr>
          <w:rFonts w:hint="eastAsia"/>
        </w:rPr>
        <w:t>投标文件未按招标文件规定密封（或作标记）的；</w:t>
      </w:r>
    </w:p>
    <w:p>
      <w:pPr>
        <w:numPr>
          <w:ilvl w:val="0"/>
          <w:numId w:val="3"/>
        </w:numPr>
        <w:snapToGrid w:val="0"/>
        <w:spacing w:line="420" w:lineRule="exact"/>
        <w:ind w:firstLine="420" w:firstLineChars="200"/>
        <w:rPr>
          <w:rFonts w:hint="eastAsia"/>
        </w:rPr>
      </w:pPr>
      <w:r>
        <w:rPr>
          <w:rFonts w:hint="eastAsia"/>
        </w:rPr>
        <w:t>投标文件未按本招标文件要求加盖投标单位公章和单位法定代表人签字（或盖章）的，或规定不得盖章（或作标记的）却加盖印章（或作标记）的；</w:t>
      </w:r>
    </w:p>
    <w:p>
      <w:pPr>
        <w:numPr>
          <w:ilvl w:val="0"/>
          <w:numId w:val="3"/>
        </w:numPr>
        <w:snapToGrid w:val="0"/>
        <w:spacing w:line="420" w:lineRule="exact"/>
        <w:ind w:firstLine="420" w:firstLineChars="200"/>
        <w:rPr>
          <w:rFonts w:hint="eastAsia"/>
        </w:rPr>
      </w:pPr>
      <w:r>
        <w:rPr>
          <w:rFonts w:hint="eastAsia"/>
        </w:rPr>
        <w:t>未按规定递交投标保证金的；</w:t>
      </w:r>
    </w:p>
    <w:p>
      <w:pPr>
        <w:numPr>
          <w:ilvl w:val="0"/>
          <w:numId w:val="3"/>
        </w:numPr>
        <w:snapToGrid w:val="0"/>
        <w:spacing w:line="420" w:lineRule="exact"/>
        <w:ind w:firstLine="420" w:firstLineChars="200"/>
        <w:rPr>
          <w:rFonts w:hint="eastAsia"/>
        </w:rPr>
      </w:pPr>
      <w:r>
        <w:rPr>
          <w:rFonts w:hint="eastAsia"/>
        </w:rPr>
        <w:t>技术标违反暗标编制规定的或出现暗示或明示投标人信息的文字内容、标记或符号的。</w:t>
      </w:r>
    </w:p>
    <w:p>
      <w:pPr>
        <w:pStyle w:val="23"/>
        <w:snapToGrid w:val="0"/>
        <w:spacing w:line="420" w:lineRule="exact"/>
        <w:rPr>
          <w:rFonts w:hint="eastAsia"/>
        </w:rPr>
      </w:pPr>
      <w:bookmarkStart w:id="116" w:name="_Toc152042334"/>
      <w:bookmarkStart w:id="117" w:name="_Toc152045558"/>
      <w:bookmarkStart w:id="118" w:name="_Toc361338263"/>
      <w:bookmarkStart w:id="119" w:name="_Toc144974526"/>
      <w:r>
        <w:rPr>
          <w:rFonts w:hint="eastAsia"/>
        </w:rPr>
        <w:t>4.3 投标文件的修改与撤回</w:t>
      </w:r>
      <w:bookmarkEnd w:id="116"/>
      <w:bookmarkEnd w:id="117"/>
      <w:bookmarkEnd w:id="118"/>
      <w:bookmarkEnd w:id="119"/>
    </w:p>
    <w:p>
      <w:pPr>
        <w:snapToGrid w:val="0"/>
        <w:spacing w:line="420" w:lineRule="exact"/>
        <w:ind w:firstLine="420" w:firstLineChars="200"/>
        <w:rPr>
          <w:rFonts w:hint="eastAsia" w:ascii="宋体" w:hAnsi="宋体"/>
        </w:rPr>
      </w:pPr>
      <w:r>
        <w:rPr>
          <w:rFonts w:hint="eastAsia" w:ascii="宋体" w:hAnsi="宋体"/>
        </w:rPr>
        <w:t>4.3.1 在本章第4.2.1项规定的投标截止时间前，投标人可以修改或撤回已递交的投标文件，但应以书面形式通知招标人。</w:t>
      </w:r>
    </w:p>
    <w:p>
      <w:pPr>
        <w:snapToGrid w:val="0"/>
        <w:spacing w:line="420" w:lineRule="exact"/>
        <w:ind w:firstLine="420" w:firstLineChars="200"/>
        <w:rPr>
          <w:rFonts w:hint="eastAsia" w:ascii="宋体" w:hAnsi="宋体"/>
        </w:rPr>
      </w:pPr>
      <w:r>
        <w:rPr>
          <w:rFonts w:hint="eastAsia" w:ascii="宋体" w:hAnsi="宋体"/>
        </w:rPr>
        <w:t>4.3.2 投标人修改或撤回已递交投标文件的书面通知应按照本章第3.7.3项的要求签字和盖章。招标人收到书面通知后，向投标人出具签收凭证。</w:t>
      </w:r>
    </w:p>
    <w:p>
      <w:pPr>
        <w:snapToGrid w:val="0"/>
        <w:spacing w:line="420" w:lineRule="exact"/>
        <w:ind w:firstLine="420" w:firstLineChars="200"/>
        <w:rPr>
          <w:rFonts w:hint="eastAsia" w:ascii="宋体" w:hAnsi="宋体"/>
        </w:rPr>
      </w:pPr>
      <w:r>
        <w:rPr>
          <w:rFonts w:hint="eastAsia" w:ascii="宋体" w:hAnsi="宋体"/>
        </w:rPr>
        <w:t>4.3.3 修改的内容为投标文件的组成部分。修改的投标文件应按照本章第3条、第4条规定进行编制、密封、标记和递交，并标明“修改”字样。</w:t>
      </w:r>
    </w:p>
    <w:p>
      <w:pPr>
        <w:pStyle w:val="20"/>
        <w:snapToGrid w:val="0"/>
        <w:spacing w:before="0" w:line="420" w:lineRule="exact"/>
        <w:rPr>
          <w:rFonts w:hint="eastAsia"/>
        </w:rPr>
      </w:pPr>
      <w:bookmarkStart w:id="120" w:name="_Toc144974527"/>
      <w:bookmarkStart w:id="121" w:name="_Toc152042335"/>
      <w:bookmarkStart w:id="122" w:name="_Toc361338264"/>
      <w:bookmarkStart w:id="123" w:name="_Toc152045559"/>
      <w:r>
        <w:rPr>
          <w:rFonts w:hint="eastAsia"/>
        </w:rPr>
        <w:t>5. 开标</w:t>
      </w:r>
      <w:bookmarkEnd w:id="120"/>
      <w:bookmarkEnd w:id="121"/>
      <w:bookmarkEnd w:id="122"/>
      <w:bookmarkEnd w:id="123"/>
    </w:p>
    <w:p>
      <w:pPr>
        <w:pStyle w:val="23"/>
        <w:snapToGrid w:val="0"/>
        <w:spacing w:line="420" w:lineRule="exact"/>
        <w:rPr>
          <w:rFonts w:hint="eastAsia"/>
        </w:rPr>
      </w:pPr>
      <w:bookmarkStart w:id="124" w:name="_Toc144974528"/>
      <w:bookmarkStart w:id="125" w:name="_Toc152042336"/>
      <w:bookmarkStart w:id="126" w:name="_Toc361338265"/>
      <w:bookmarkStart w:id="127" w:name="_Toc152045560"/>
      <w:r>
        <w:rPr>
          <w:rFonts w:hint="eastAsia"/>
        </w:rPr>
        <w:t>5.1 开标时间和地点</w:t>
      </w:r>
      <w:bookmarkEnd w:id="124"/>
      <w:bookmarkEnd w:id="125"/>
      <w:bookmarkEnd w:id="126"/>
      <w:bookmarkEnd w:id="127"/>
    </w:p>
    <w:p>
      <w:pPr>
        <w:snapToGrid w:val="0"/>
        <w:spacing w:line="420" w:lineRule="exact"/>
        <w:ind w:firstLine="420" w:firstLineChars="200"/>
        <w:rPr>
          <w:rFonts w:hint="eastAsia" w:ascii="宋体" w:hAnsi="宋体"/>
        </w:rPr>
      </w:pPr>
      <w:bookmarkStart w:id="128" w:name="_Toc361338266"/>
      <w:bookmarkStart w:id="129" w:name="_Toc144974529"/>
      <w:bookmarkStart w:id="130" w:name="_Toc152042337"/>
      <w:bookmarkStart w:id="131" w:name="_Toc152045561"/>
      <w:r>
        <w:rPr>
          <w:rFonts w:hint="eastAsia" w:ascii="宋体" w:hAnsi="宋体"/>
        </w:rPr>
        <w:t>5.1.1 招标人在</w:t>
      </w:r>
      <w:r>
        <w:rPr>
          <w:rFonts w:hint="eastAsia"/>
          <w:color w:val="000000"/>
        </w:rPr>
        <w:t>投标人须知前附表5.1</w:t>
      </w:r>
      <w:r>
        <w:rPr>
          <w:rFonts w:hint="eastAsia" w:ascii="宋体" w:hAnsi="宋体"/>
        </w:rPr>
        <w:t>项规定的投标截止时间（开标时间）和地点，并按照</w:t>
      </w:r>
      <w:r>
        <w:rPr>
          <w:rFonts w:hint="eastAsia"/>
          <w:color w:val="000000"/>
        </w:rPr>
        <w:t>投标人须知前附表</w:t>
      </w:r>
      <w:r>
        <w:rPr>
          <w:rFonts w:hint="eastAsia" w:ascii="宋体" w:hAnsi="宋体"/>
        </w:rPr>
        <w:t xml:space="preserve">规定进行开标会议。 </w:t>
      </w:r>
    </w:p>
    <w:p>
      <w:pPr>
        <w:snapToGrid w:val="0"/>
        <w:spacing w:line="420" w:lineRule="exact"/>
        <w:ind w:firstLine="420" w:firstLineChars="200"/>
        <w:rPr>
          <w:rFonts w:hint="eastAsia"/>
          <w:b/>
          <w:szCs w:val="21"/>
        </w:rPr>
      </w:pPr>
      <w:r>
        <w:rPr>
          <w:rFonts w:hint="eastAsia" w:ascii="宋体" w:hAnsi="宋体"/>
          <w:szCs w:val="21"/>
        </w:rPr>
        <w:t>5.1.2</w:t>
      </w:r>
      <w:r>
        <w:rPr>
          <w:rFonts w:hint="eastAsia"/>
          <w:b/>
          <w:bCs/>
          <w:color w:val="000000"/>
          <w:szCs w:val="21"/>
        </w:rPr>
        <w:t>公开开标会议邀请所有投标人的代表人准时参加。开标会由招标人或其委托的招标代理机构主持</w:t>
      </w:r>
      <w:r>
        <w:rPr>
          <w:b/>
          <w:szCs w:val="21"/>
        </w:rPr>
        <w:t>。</w:t>
      </w:r>
    </w:p>
    <w:p>
      <w:pPr>
        <w:snapToGrid w:val="0"/>
        <w:spacing w:line="420" w:lineRule="exact"/>
        <w:ind w:firstLine="420" w:firstLineChars="200"/>
        <w:rPr>
          <w:rFonts w:hint="eastAsia"/>
          <w:b/>
          <w:color w:val="000000"/>
          <w:szCs w:val="21"/>
        </w:rPr>
      </w:pPr>
      <w:r>
        <w:rPr>
          <w:rFonts w:hint="eastAsia" w:ascii="宋体" w:hAnsi="宋体"/>
          <w:bCs/>
          <w:szCs w:val="21"/>
        </w:rPr>
        <w:t>5.1.3法定代表人（或委托代理人）须对相关数据进行签字确认，</w:t>
      </w:r>
      <w:r>
        <w:rPr>
          <w:rFonts w:hint="eastAsia" w:ascii="宋体" w:hAnsi="宋体"/>
          <w:b/>
          <w:bCs/>
          <w:szCs w:val="21"/>
        </w:rPr>
        <w:t xml:space="preserve">且确保按评标期间规定的时间（接通知后20分钟内到）、地点接受询标，否则评委会有权作不利于投标人的评审。 </w:t>
      </w:r>
    </w:p>
    <w:p>
      <w:pPr>
        <w:pStyle w:val="23"/>
        <w:snapToGrid w:val="0"/>
        <w:spacing w:line="420" w:lineRule="exact"/>
        <w:rPr>
          <w:rFonts w:hint="eastAsia"/>
        </w:rPr>
      </w:pPr>
      <w:r>
        <w:rPr>
          <w:rFonts w:hint="eastAsia"/>
        </w:rPr>
        <w:t>5.2 开标程序</w:t>
      </w:r>
      <w:bookmarkEnd w:id="128"/>
      <w:bookmarkEnd w:id="129"/>
      <w:bookmarkEnd w:id="130"/>
      <w:bookmarkEnd w:id="131"/>
    </w:p>
    <w:p>
      <w:pPr>
        <w:snapToGrid w:val="0"/>
        <w:spacing w:line="420" w:lineRule="exact"/>
        <w:ind w:firstLine="359" w:firstLineChars="171"/>
        <w:rPr>
          <w:rFonts w:hint="eastAsia" w:ascii="宋体" w:hAnsi="宋体"/>
        </w:rPr>
      </w:pPr>
      <w:r>
        <w:rPr>
          <w:rFonts w:hint="eastAsia" w:ascii="宋体" w:hAnsi="宋体"/>
        </w:rPr>
        <w:t>5.2.1开标程序：见投标人须知前附表。</w:t>
      </w:r>
    </w:p>
    <w:p>
      <w:pPr>
        <w:snapToGrid w:val="0"/>
        <w:spacing w:line="420" w:lineRule="exact"/>
        <w:ind w:firstLine="359" w:firstLineChars="171"/>
        <w:rPr>
          <w:rFonts w:ascii="宋体" w:hAnsi="宋体"/>
          <w:b/>
        </w:rPr>
      </w:pPr>
      <w:r>
        <w:rPr>
          <w:rFonts w:hint="eastAsia" w:ascii="宋体" w:hAnsi="宋体"/>
        </w:rPr>
        <w:t xml:space="preserve">5.2.2 </w:t>
      </w:r>
      <w:r>
        <w:rPr>
          <w:rFonts w:hint="eastAsia" w:ascii="宋体" w:hAnsi="宋体"/>
          <w:b/>
        </w:rPr>
        <w:t>下列情形应当记录在案，经评标委员会评审后，将否决其投标：</w:t>
      </w:r>
    </w:p>
    <w:p>
      <w:pPr>
        <w:snapToGrid w:val="0"/>
        <w:spacing w:line="420" w:lineRule="exact"/>
        <w:ind w:firstLine="359" w:firstLineChars="171"/>
        <w:rPr>
          <w:rFonts w:ascii="宋体" w:hAnsi="宋体"/>
        </w:rPr>
      </w:pPr>
      <w:r>
        <w:rPr>
          <w:rFonts w:hint="eastAsia" w:ascii="宋体" w:hAnsi="宋体"/>
        </w:rPr>
        <w:t>（1）投标人未派代表参加公开开标会议的；</w:t>
      </w:r>
    </w:p>
    <w:p>
      <w:pPr>
        <w:snapToGrid w:val="0"/>
        <w:spacing w:line="420" w:lineRule="exact"/>
        <w:ind w:firstLine="359" w:firstLineChars="171"/>
        <w:rPr>
          <w:rFonts w:ascii="宋体" w:hAnsi="宋体"/>
        </w:rPr>
      </w:pPr>
      <w:r>
        <w:rPr>
          <w:rFonts w:hint="eastAsia" w:ascii="宋体" w:hAnsi="宋体"/>
        </w:rPr>
        <w:t>（2）投标文件标明的项目及标段名称与招标文件不一致；</w:t>
      </w:r>
    </w:p>
    <w:p>
      <w:pPr>
        <w:snapToGrid w:val="0"/>
        <w:spacing w:line="420" w:lineRule="exact"/>
        <w:ind w:firstLine="359" w:firstLineChars="171"/>
        <w:rPr>
          <w:rFonts w:hint="eastAsia" w:ascii="宋体" w:hAnsi="宋体"/>
        </w:rPr>
      </w:pPr>
      <w:r>
        <w:rPr>
          <w:rFonts w:hint="eastAsia" w:ascii="宋体" w:hAnsi="宋体"/>
        </w:rPr>
        <w:t>（3）投标人代表未能提供身份证明材料的。</w:t>
      </w:r>
    </w:p>
    <w:p>
      <w:pPr>
        <w:pStyle w:val="23"/>
        <w:snapToGrid w:val="0"/>
        <w:spacing w:line="420" w:lineRule="exact"/>
        <w:rPr>
          <w:rFonts w:hint="eastAsia"/>
        </w:rPr>
      </w:pPr>
      <w:bookmarkStart w:id="132" w:name="_Toc361338267"/>
      <w:r>
        <w:rPr>
          <w:rFonts w:hint="eastAsia"/>
        </w:rPr>
        <w:t>5.3  开标异议</w:t>
      </w:r>
      <w:bookmarkEnd w:id="132"/>
    </w:p>
    <w:p>
      <w:pPr>
        <w:snapToGrid w:val="0"/>
        <w:spacing w:line="420" w:lineRule="exact"/>
        <w:ind w:firstLine="359" w:firstLineChars="171"/>
        <w:rPr>
          <w:rFonts w:hint="eastAsia" w:ascii="宋体" w:hAnsi="宋体" w:cs="宋体"/>
          <w:szCs w:val="21"/>
        </w:rPr>
      </w:pPr>
      <w:r>
        <w:rPr>
          <w:rFonts w:hint="eastAsia" w:ascii="宋体" w:hAnsi="宋体" w:cs="宋体"/>
          <w:szCs w:val="21"/>
        </w:rPr>
        <w:t>投标人对开标有异议的，应当在开标现场提出，招标人当场作出答复，并制作记录。</w:t>
      </w:r>
    </w:p>
    <w:p>
      <w:pPr>
        <w:pStyle w:val="20"/>
        <w:snapToGrid w:val="0"/>
        <w:spacing w:before="0" w:line="420" w:lineRule="exact"/>
        <w:rPr>
          <w:rFonts w:hint="eastAsia"/>
        </w:rPr>
      </w:pPr>
      <w:bookmarkStart w:id="133" w:name="_Toc144974530"/>
      <w:bookmarkStart w:id="134" w:name="_Toc152042338"/>
      <w:bookmarkStart w:id="135" w:name="_Toc152045562"/>
      <w:bookmarkStart w:id="136" w:name="_Toc361338268"/>
      <w:r>
        <w:rPr>
          <w:rFonts w:hint="eastAsia"/>
        </w:rPr>
        <w:t>6. 评标</w:t>
      </w:r>
      <w:bookmarkEnd w:id="133"/>
      <w:bookmarkEnd w:id="134"/>
      <w:bookmarkEnd w:id="135"/>
      <w:bookmarkEnd w:id="136"/>
    </w:p>
    <w:p>
      <w:pPr>
        <w:pStyle w:val="23"/>
        <w:snapToGrid w:val="0"/>
        <w:spacing w:line="420" w:lineRule="exact"/>
        <w:rPr>
          <w:rFonts w:hint="eastAsia"/>
        </w:rPr>
      </w:pPr>
      <w:bookmarkStart w:id="137" w:name="_Toc152042339"/>
      <w:bookmarkStart w:id="138" w:name="_Toc144974531"/>
      <w:bookmarkStart w:id="139" w:name="_Toc152045563"/>
      <w:bookmarkStart w:id="140" w:name="_Toc361338269"/>
      <w:r>
        <w:rPr>
          <w:rFonts w:hint="eastAsia"/>
        </w:rPr>
        <w:t>6.1 评标委员会</w:t>
      </w:r>
      <w:bookmarkEnd w:id="137"/>
      <w:bookmarkEnd w:id="138"/>
      <w:bookmarkEnd w:id="139"/>
      <w:bookmarkEnd w:id="140"/>
    </w:p>
    <w:p>
      <w:pPr>
        <w:snapToGrid w:val="0"/>
        <w:spacing w:line="420" w:lineRule="exact"/>
        <w:ind w:firstLine="420" w:firstLineChars="200"/>
        <w:rPr>
          <w:rFonts w:hint="eastAsia" w:ascii="宋体" w:hAnsi="宋体"/>
        </w:rPr>
      </w:pPr>
      <w:r>
        <w:rPr>
          <w:rFonts w:hint="eastAsia" w:ascii="宋体" w:hAnsi="宋体"/>
        </w:rPr>
        <w:t>6.1.1评标由招标人依法组建的评标委员会负责。评标委员会由有关技术、经济等方面的专家组成。评标委员会成员人数以及技术、经济等方面专家的确定方式见投标人须知前附表。</w:t>
      </w:r>
    </w:p>
    <w:p>
      <w:pPr>
        <w:snapToGrid w:val="0"/>
        <w:spacing w:line="420" w:lineRule="exact"/>
        <w:ind w:firstLine="422" w:firstLineChars="200"/>
        <w:rPr>
          <w:rFonts w:hint="eastAsia" w:ascii="宋体" w:hAnsi="宋体"/>
          <w:b/>
        </w:rPr>
      </w:pPr>
      <w:r>
        <w:rPr>
          <w:rFonts w:hint="eastAsia" w:ascii="宋体" w:hAnsi="宋体"/>
          <w:b/>
        </w:rPr>
        <w:t>6.1.2 评标委员会成员有下列情形之一的，应当回避：</w:t>
      </w:r>
    </w:p>
    <w:p>
      <w:pPr>
        <w:snapToGrid w:val="0"/>
        <w:spacing w:line="420" w:lineRule="exact"/>
        <w:ind w:firstLine="718" w:firstLineChars="342"/>
        <w:rPr>
          <w:rFonts w:hint="eastAsia" w:ascii="宋体" w:hAnsi="宋体"/>
        </w:rPr>
      </w:pPr>
      <w:r>
        <w:rPr>
          <w:rFonts w:hint="eastAsia" w:ascii="宋体" w:hAnsi="宋体"/>
        </w:rPr>
        <w:t>（1）招标人或投标人的主要负责人的近亲属；</w:t>
      </w:r>
    </w:p>
    <w:p>
      <w:pPr>
        <w:snapToGrid w:val="0"/>
        <w:spacing w:line="420" w:lineRule="exact"/>
        <w:ind w:firstLine="718" w:firstLineChars="342"/>
        <w:rPr>
          <w:rFonts w:hint="eastAsia" w:ascii="宋体" w:hAnsi="宋体"/>
        </w:rPr>
      </w:pPr>
      <w:r>
        <w:rPr>
          <w:rFonts w:hint="eastAsia" w:ascii="宋体" w:hAnsi="宋体"/>
        </w:rPr>
        <w:t>（2）项目主管部门或者行政监督部门的人员；</w:t>
      </w:r>
    </w:p>
    <w:p>
      <w:pPr>
        <w:snapToGrid w:val="0"/>
        <w:spacing w:line="420" w:lineRule="exact"/>
        <w:ind w:firstLine="718" w:firstLineChars="342"/>
        <w:rPr>
          <w:rFonts w:hint="eastAsia" w:ascii="宋体" w:hAnsi="宋体"/>
        </w:rPr>
      </w:pPr>
      <w:r>
        <w:rPr>
          <w:rFonts w:hint="eastAsia" w:ascii="宋体" w:hAnsi="宋体"/>
        </w:rPr>
        <w:t>（3）与投标人有经济利益关系，可能影响对投标公正评审的；</w:t>
      </w:r>
    </w:p>
    <w:p>
      <w:pPr>
        <w:snapToGrid w:val="0"/>
        <w:spacing w:line="420" w:lineRule="exact"/>
        <w:ind w:firstLine="718" w:firstLineChars="342"/>
        <w:rPr>
          <w:rFonts w:hint="eastAsia" w:ascii="宋体" w:hAnsi="宋体"/>
        </w:rPr>
      </w:pPr>
      <w:r>
        <w:rPr>
          <w:rFonts w:hint="eastAsia" w:ascii="宋体" w:hAnsi="宋体"/>
        </w:rPr>
        <w:t>（4）曾因在招标、评标以及其他与招标投标有关活动中从事违法行为而受过行政处罚或刑事处罚的。</w:t>
      </w:r>
    </w:p>
    <w:p>
      <w:pPr>
        <w:pStyle w:val="23"/>
        <w:tabs>
          <w:tab w:val="left" w:pos="2620"/>
        </w:tabs>
        <w:snapToGrid w:val="0"/>
        <w:spacing w:line="420" w:lineRule="exact"/>
        <w:rPr>
          <w:rFonts w:hint="eastAsia"/>
        </w:rPr>
      </w:pPr>
      <w:bookmarkStart w:id="141" w:name="_Toc152045564"/>
      <w:bookmarkStart w:id="142" w:name="_Toc152042340"/>
      <w:bookmarkStart w:id="143" w:name="_Toc144974532"/>
      <w:bookmarkStart w:id="144" w:name="_Toc361338270"/>
      <w:r>
        <w:rPr>
          <w:rFonts w:hint="eastAsia"/>
        </w:rPr>
        <w:t>6.2 评标原则</w:t>
      </w:r>
      <w:bookmarkEnd w:id="141"/>
      <w:bookmarkEnd w:id="142"/>
      <w:bookmarkEnd w:id="143"/>
      <w:bookmarkEnd w:id="144"/>
      <w:r>
        <w:tab/>
      </w:r>
    </w:p>
    <w:p>
      <w:pPr>
        <w:snapToGrid w:val="0"/>
        <w:spacing w:line="420" w:lineRule="exact"/>
        <w:ind w:firstLine="420" w:firstLineChars="200"/>
        <w:rPr>
          <w:rFonts w:hint="eastAsia"/>
        </w:rPr>
      </w:pPr>
      <w:r>
        <w:rPr>
          <w:rFonts w:hint="eastAsia"/>
        </w:rPr>
        <w:t>评标活动遵循公平、公正、科学和择优的原则。</w:t>
      </w:r>
    </w:p>
    <w:p>
      <w:pPr>
        <w:pStyle w:val="23"/>
        <w:snapToGrid w:val="0"/>
        <w:spacing w:line="420" w:lineRule="exact"/>
        <w:rPr>
          <w:rFonts w:hint="eastAsia"/>
        </w:rPr>
      </w:pPr>
      <w:bookmarkStart w:id="145" w:name="_Toc361338271"/>
      <w:bookmarkStart w:id="146" w:name="_Toc144974533"/>
      <w:bookmarkStart w:id="147" w:name="_Toc152042341"/>
      <w:bookmarkStart w:id="148" w:name="_Toc152045565"/>
      <w:r>
        <w:rPr>
          <w:rFonts w:hint="eastAsia"/>
        </w:rPr>
        <w:t>6.3 评标</w:t>
      </w:r>
      <w:bookmarkEnd w:id="145"/>
      <w:bookmarkEnd w:id="146"/>
      <w:bookmarkEnd w:id="147"/>
      <w:bookmarkEnd w:id="148"/>
    </w:p>
    <w:p>
      <w:pPr>
        <w:spacing w:line="420" w:lineRule="exact"/>
        <w:ind w:firstLine="359" w:firstLineChars="171"/>
        <w:rPr>
          <w:rFonts w:hint="eastAsia"/>
        </w:rPr>
      </w:pPr>
      <w:r>
        <w:rPr>
          <w:rFonts w:hint="eastAsia" w:ascii="宋体" w:hAnsi="宋体"/>
          <w:color w:val="000000"/>
        </w:rPr>
        <w:t>评标委员会按照第三章“评标办法”规定的方法、评审因素、标准和程序对投标文件进行评审。第三章“评标办法”没有规定的方法、评审因素和标准，不作为评标依据。</w:t>
      </w:r>
    </w:p>
    <w:p>
      <w:pPr>
        <w:pStyle w:val="20"/>
        <w:snapToGrid w:val="0"/>
        <w:spacing w:before="0" w:line="420" w:lineRule="exact"/>
        <w:rPr>
          <w:rFonts w:hint="eastAsia"/>
        </w:rPr>
      </w:pPr>
      <w:bookmarkStart w:id="149" w:name="_Toc144974534"/>
      <w:bookmarkStart w:id="150" w:name="_Toc152045566"/>
      <w:bookmarkStart w:id="151" w:name="_Toc152042342"/>
      <w:bookmarkStart w:id="152" w:name="_Toc361338272"/>
      <w:r>
        <w:rPr>
          <w:rFonts w:hint="eastAsia"/>
        </w:rPr>
        <w:t>7. 合同授予</w:t>
      </w:r>
      <w:bookmarkEnd w:id="149"/>
      <w:bookmarkEnd w:id="150"/>
      <w:bookmarkEnd w:id="151"/>
      <w:bookmarkEnd w:id="152"/>
    </w:p>
    <w:p>
      <w:pPr>
        <w:pStyle w:val="23"/>
        <w:snapToGrid w:val="0"/>
        <w:spacing w:line="420" w:lineRule="exact"/>
        <w:rPr>
          <w:rFonts w:hint="eastAsia"/>
        </w:rPr>
      </w:pPr>
      <w:bookmarkStart w:id="153" w:name="_Toc152042343"/>
      <w:bookmarkStart w:id="154" w:name="_Toc144974535"/>
      <w:bookmarkStart w:id="155" w:name="_Toc152045567"/>
      <w:bookmarkStart w:id="156" w:name="_Toc361338273"/>
      <w:r>
        <w:rPr>
          <w:rFonts w:hint="eastAsia"/>
        </w:rPr>
        <w:t>7.1 定标方式</w:t>
      </w:r>
      <w:bookmarkEnd w:id="153"/>
      <w:bookmarkEnd w:id="154"/>
      <w:bookmarkEnd w:id="155"/>
      <w:bookmarkEnd w:id="156"/>
    </w:p>
    <w:p>
      <w:pPr>
        <w:snapToGrid w:val="0"/>
        <w:spacing w:line="420" w:lineRule="exact"/>
        <w:ind w:firstLine="432" w:firstLineChars="206"/>
        <w:rPr>
          <w:rFonts w:hint="eastAsia"/>
        </w:rPr>
      </w:pPr>
      <w:r>
        <w:rPr>
          <w:rFonts w:hint="eastAsia"/>
        </w:rPr>
        <w:t>除投标人须知前附表规定评标委员会直接确定中标人外，据评标委员会推荐中标候选人确定中标人，评标委员会推荐中标候选人的人数见投标人须知前附表。</w:t>
      </w:r>
    </w:p>
    <w:p>
      <w:pPr>
        <w:pStyle w:val="23"/>
        <w:snapToGrid w:val="0"/>
        <w:spacing w:line="420" w:lineRule="exact"/>
        <w:rPr>
          <w:rFonts w:hint="eastAsia"/>
        </w:rPr>
      </w:pPr>
      <w:bookmarkStart w:id="157" w:name="_Toc361338274"/>
      <w:r>
        <w:rPr>
          <w:rFonts w:hint="eastAsia"/>
        </w:rPr>
        <w:t>7.2  中标公示</w:t>
      </w:r>
      <w:bookmarkEnd w:id="157"/>
    </w:p>
    <w:p>
      <w:pPr>
        <w:snapToGrid w:val="0"/>
        <w:spacing w:line="420" w:lineRule="exact"/>
        <w:ind w:firstLine="525" w:firstLineChars="250"/>
        <w:rPr>
          <w:rFonts w:hint="eastAsia" w:ascii="宋体" w:hAnsi="宋体" w:cs="宋体"/>
          <w:szCs w:val="21"/>
        </w:rPr>
      </w:pPr>
      <w:r>
        <w:rPr>
          <w:rFonts w:hint="eastAsia" w:ascii="宋体" w:hAnsi="宋体" w:cs="宋体"/>
          <w:szCs w:val="21"/>
        </w:rPr>
        <w:t>在中标通知书发出前，招标人将中标候选人的情况予以公示，公示期不得少于3个工作日。</w:t>
      </w:r>
    </w:p>
    <w:p>
      <w:pPr>
        <w:snapToGrid w:val="0"/>
        <w:spacing w:line="420" w:lineRule="exact"/>
        <w:ind w:firstLine="315" w:firstLineChars="150"/>
        <w:rPr>
          <w:rFonts w:hint="eastAsia" w:ascii="宋体" w:hAnsi="宋体" w:cs="宋体"/>
          <w:szCs w:val="21"/>
        </w:rPr>
      </w:pPr>
      <w:r>
        <w:rPr>
          <w:rFonts w:hint="eastAsia" w:ascii="宋体" w:hAnsi="宋体" w:cs="宋体"/>
          <w:szCs w:val="21"/>
        </w:rPr>
        <w:t xml:space="preserve">  投标人或者其他利害关系人对评标结果有异议的，应当在中标公示期间提出。招标人将在收到异议之日起3日内给予答复并制作记录。</w:t>
      </w:r>
    </w:p>
    <w:p>
      <w:pPr>
        <w:pStyle w:val="23"/>
        <w:snapToGrid w:val="0"/>
        <w:spacing w:line="420" w:lineRule="exact"/>
        <w:rPr>
          <w:rFonts w:hint="eastAsia"/>
        </w:rPr>
      </w:pPr>
      <w:bookmarkStart w:id="158" w:name="_Toc144974536"/>
      <w:bookmarkStart w:id="159" w:name="_Toc152042344"/>
      <w:bookmarkStart w:id="160" w:name="_Toc361338275"/>
      <w:bookmarkStart w:id="161" w:name="_Toc152045568"/>
      <w:r>
        <w:rPr>
          <w:rFonts w:hint="eastAsia"/>
        </w:rPr>
        <w:t>7.3 中标通知</w:t>
      </w:r>
      <w:bookmarkEnd w:id="158"/>
      <w:bookmarkEnd w:id="159"/>
      <w:bookmarkEnd w:id="160"/>
      <w:bookmarkEnd w:id="161"/>
    </w:p>
    <w:p>
      <w:pPr>
        <w:snapToGrid w:val="0"/>
        <w:spacing w:line="400" w:lineRule="exact"/>
        <w:ind w:firstLine="420" w:firstLineChars="200"/>
        <w:rPr>
          <w:rFonts w:hint="eastAsia" w:ascii="宋体" w:hAnsi="宋体" w:cs="宋体"/>
          <w:color w:val="auto"/>
          <w:highlight w:val="none"/>
        </w:rPr>
      </w:pPr>
      <w:bookmarkStart w:id="162" w:name="_Toc152042346"/>
      <w:bookmarkStart w:id="163" w:name="_Toc144974538"/>
      <w:bookmarkStart w:id="164" w:name="_Toc152045570"/>
      <w:r>
        <w:rPr>
          <w:rFonts w:hint="eastAsia" w:ascii="宋体" w:hAnsi="宋体" w:cs="宋体"/>
          <w:color w:val="auto"/>
          <w:highlight w:val="none"/>
        </w:rPr>
        <w:t>在本章第3.3款规定的投标有效期内，招标人以书面形式向中标人发出中标通知书，同时将中标结果通知未中标的投标人。</w:t>
      </w:r>
    </w:p>
    <w:p>
      <w:pPr>
        <w:snapToGrid w:val="0"/>
        <w:spacing w:line="400" w:lineRule="exact"/>
        <w:ind w:firstLine="422" w:firstLineChars="200"/>
        <w:rPr>
          <w:rFonts w:hint="eastAsia" w:ascii="宋体" w:hAnsi="宋体" w:cs="宋体"/>
          <w:b/>
          <w:color w:val="auto"/>
          <w:highlight w:val="none"/>
        </w:rPr>
      </w:pPr>
      <w:r>
        <w:rPr>
          <w:rFonts w:hint="eastAsia" w:ascii="宋体" w:hAnsi="宋体" w:cs="宋体"/>
          <w:b/>
          <w:color w:val="auto"/>
          <w:highlight w:val="none"/>
        </w:rPr>
        <w:t>在领取中标通知书之前，由业主自行组织对中标候选人进行资质、业绩以及拟任总监等进行考察，如发现存在舞弊、作假等情况，业主有权取消其中标候选人资格并没收投标保证金。</w:t>
      </w:r>
    </w:p>
    <w:p>
      <w:pPr>
        <w:pStyle w:val="8"/>
        <w:snapToGrid w:val="0"/>
        <w:spacing w:before="0" w:after="0" w:line="420" w:lineRule="exact"/>
        <w:rPr>
          <w:rFonts w:hint="eastAsia" w:ascii="Times New Roman" w:hAnsi="Times New Roman" w:cs="宋体"/>
          <w:b w:val="0"/>
          <w:bCs w:val="0"/>
          <w:sz w:val="24"/>
          <w:szCs w:val="20"/>
        </w:rPr>
      </w:pPr>
      <w:r>
        <w:rPr>
          <w:rFonts w:hint="eastAsia" w:ascii="Times New Roman" w:hAnsi="Times New Roman" w:cs="宋体"/>
          <w:b w:val="0"/>
          <w:bCs w:val="0"/>
          <w:sz w:val="24"/>
          <w:szCs w:val="20"/>
        </w:rPr>
        <w:t>7.4 履约担保</w:t>
      </w:r>
    </w:p>
    <w:p>
      <w:pPr>
        <w:snapToGrid w:val="0"/>
        <w:spacing w:line="420" w:lineRule="exact"/>
        <w:ind w:firstLine="420" w:firstLineChars="200"/>
        <w:rPr>
          <w:rFonts w:hint="eastAsia" w:ascii="宋体" w:hAnsi="宋体"/>
          <w:szCs w:val="21"/>
        </w:rPr>
      </w:pPr>
      <w:r>
        <w:rPr>
          <w:rFonts w:hint="eastAsia" w:ascii="宋体" w:hAnsi="宋体"/>
        </w:rPr>
        <w:t xml:space="preserve">7.4.1 </w:t>
      </w:r>
      <w:r>
        <w:rPr>
          <w:rFonts w:hint="eastAsia" w:ascii="宋体" w:hAnsi="宋体"/>
          <w:szCs w:val="21"/>
        </w:rPr>
        <w:t>在签订合同前，中标人应按投标人须知前附表规定的金额、担保形式和招标文件第四章“合同条款及格式”规定的履约担保格式向招标人提交履约担保。</w:t>
      </w:r>
    </w:p>
    <w:p>
      <w:pPr>
        <w:snapToGrid w:val="0"/>
        <w:spacing w:line="420" w:lineRule="exact"/>
        <w:ind w:firstLine="420" w:firstLineChars="200"/>
        <w:rPr>
          <w:rFonts w:hint="eastAsia" w:ascii="宋体" w:hAnsi="宋体"/>
          <w:szCs w:val="21"/>
        </w:rPr>
      </w:pPr>
      <w:r>
        <w:rPr>
          <w:rFonts w:hint="eastAsia" w:ascii="宋体" w:hAnsi="宋体"/>
        </w:rPr>
        <w:t>7.</w:t>
      </w:r>
      <w:r>
        <w:rPr>
          <w:rFonts w:ascii="宋体" w:hAnsi="宋体"/>
        </w:rPr>
        <w:t>5</w:t>
      </w:r>
      <w:r>
        <w:rPr>
          <w:rFonts w:hint="eastAsia" w:ascii="宋体" w:hAnsi="宋体"/>
        </w:rPr>
        <w:t>.2 中标人不能按本章第7.</w:t>
      </w:r>
      <w:r>
        <w:rPr>
          <w:rFonts w:ascii="宋体" w:hAnsi="宋体"/>
        </w:rPr>
        <w:t>5</w:t>
      </w:r>
      <w:r>
        <w:rPr>
          <w:rFonts w:hint="eastAsia" w:ascii="宋体" w:hAnsi="宋体"/>
        </w:rPr>
        <w:t>.1 项要求提交履约担保的，视为放弃中标，其投标保证金不予退还，给招标人造成的损失超过投标保证金数额的，中标人还应当对超过部分予以赔偿。</w:t>
      </w:r>
    </w:p>
    <w:p>
      <w:pPr>
        <w:pStyle w:val="23"/>
        <w:snapToGrid w:val="0"/>
        <w:spacing w:line="420" w:lineRule="exact"/>
        <w:rPr>
          <w:rFonts w:hint="eastAsia"/>
        </w:rPr>
      </w:pPr>
      <w:bookmarkStart w:id="165" w:name="_Toc361338276"/>
      <w:r>
        <w:rPr>
          <w:rFonts w:hint="eastAsia"/>
        </w:rPr>
        <w:t>7.5 签订合同</w:t>
      </w:r>
      <w:bookmarkEnd w:id="162"/>
      <w:bookmarkEnd w:id="163"/>
      <w:bookmarkEnd w:id="164"/>
      <w:bookmarkEnd w:id="165"/>
    </w:p>
    <w:p>
      <w:pPr>
        <w:snapToGrid w:val="0"/>
        <w:spacing w:line="420" w:lineRule="exact"/>
        <w:ind w:firstLine="420" w:firstLineChars="200"/>
        <w:rPr>
          <w:rFonts w:hint="eastAsia" w:ascii="宋体" w:hAnsi="宋体"/>
        </w:rPr>
      </w:pPr>
      <w:r>
        <w:rPr>
          <w:rFonts w:hint="eastAsia" w:ascii="宋体" w:hAnsi="宋体"/>
        </w:rPr>
        <w:t xml:space="preserve">7.5.1招标人和中标人应当自中标通知书发出之日起30天内，根据招标文件和中标人的投标文件订立书面合同。中标人无正当理由拒签合同的，招标人取消其中标资格，其投标保证金不予退还或按银行保函规定向出具银行保函的单位进行索赔；给招标人造成的损失超过投标保证金数额的，中标人还应当对超过部分予以赔偿。 </w:t>
      </w:r>
    </w:p>
    <w:p>
      <w:pPr>
        <w:snapToGrid w:val="0"/>
        <w:spacing w:line="420" w:lineRule="exact"/>
        <w:ind w:firstLine="420" w:firstLineChars="200"/>
        <w:rPr>
          <w:rFonts w:hint="eastAsia" w:ascii="宋体" w:hAnsi="宋体"/>
        </w:rPr>
      </w:pPr>
      <w:r>
        <w:rPr>
          <w:rFonts w:hint="eastAsia" w:ascii="宋体" w:hAnsi="宋体"/>
        </w:rPr>
        <w:t>7.5.2 发出中标通知书后，招标人无正当理由拒签合同的，招标人向中标人退还投标保证金；给中标人造成损失的，还应当赔偿损失。</w:t>
      </w:r>
    </w:p>
    <w:p>
      <w:pPr>
        <w:pStyle w:val="20"/>
        <w:snapToGrid w:val="0"/>
        <w:spacing w:before="0" w:line="420" w:lineRule="exact"/>
        <w:rPr>
          <w:rFonts w:hint="eastAsia"/>
        </w:rPr>
      </w:pPr>
      <w:bookmarkStart w:id="166" w:name="_Toc144974539"/>
      <w:bookmarkStart w:id="167" w:name="_Toc361338277"/>
      <w:bookmarkStart w:id="168" w:name="_Toc152042347"/>
      <w:bookmarkStart w:id="169" w:name="_Toc152045571"/>
      <w:r>
        <w:rPr>
          <w:rFonts w:hint="eastAsia"/>
        </w:rPr>
        <w:t>8. 重新招标和不再招标</w:t>
      </w:r>
      <w:bookmarkEnd w:id="166"/>
      <w:bookmarkEnd w:id="167"/>
      <w:bookmarkEnd w:id="168"/>
      <w:bookmarkEnd w:id="169"/>
    </w:p>
    <w:p>
      <w:pPr>
        <w:pStyle w:val="23"/>
        <w:snapToGrid w:val="0"/>
        <w:spacing w:line="420" w:lineRule="exact"/>
        <w:rPr>
          <w:rFonts w:hint="eastAsia"/>
        </w:rPr>
      </w:pPr>
      <w:bookmarkStart w:id="170" w:name="_Toc144974540"/>
      <w:bookmarkStart w:id="171" w:name="_Toc152045572"/>
      <w:bookmarkStart w:id="172" w:name="_Toc361338278"/>
      <w:bookmarkStart w:id="173" w:name="_Toc152042348"/>
      <w:r>
        <w:rPr>
          <w:rFonts w:hint="eastAsia"/>
        </w:rPr>
        <w:t>8.1 重新招标</w:t>
      </w:r>
      <w:bookmarkEnd w:id="170"/>
      <w:bookmarkEnd w:id="171"/>
      <w:bookmarkEnd w:id="172"/>
      <w:bookmarkEnd w:id="173"/>
    </w:p>
    <w:p>
      <w:pPr>
        <w:snapToGrid w:val="0"/>
        <w:spacing w:line="420" w:lineRule="exact"/>
        <w:ind w:firstLine="422" w:firstLineChars="200"/>
        <w:rPr>
          <w:rFonts w:hint="eastAsia"/>
          <w:b/>
        </w:rPr>
      </w:pPr>
      <w:r>
        <w:rPr>
          <w:rFonts w:hint="eastAsia"/>
          <w:b/>
        </w:rPr>
        <w:t>有下列情形之一的，招标人将重新招标：</w:t>
      </w:r>
    </w:p>
    <w:p>
      <w:pPr>
        <w:snapToGrid w:val="0"/>
        <w:spacing w:line="420" w:lineRule="exact"/>
        <w:ind w:firstLine="359" w:firstLineChars="171"/>
        <w:rPr>
          <w:rFonts w:hint="eastAsia"/>
        </w:rPr>
      </w:pPr>
      <w:r>
        <w:rPr>
          <w:rFonts w:hint="eastAsia"/>
        </w:rPr>
        <w:t>（1）投标截止时间止，投标人少于3个的；</w:t>
      </w:r>
    </w:p>
    <w:p>
      <w:pPr>
        <w:snapToGrid w:val="0"/>
        <w:spacing w:line="420" w:lineRule="exact"/>
        <w:ind w:firstLine="359" w:firstLineChars="171"/>
        <w:rPr>
          <w:rFonts w:hint="eastAsia"/>
        </w:rPr>
      </w:pPr>
      <w:r>
        <w:rPr>
          <w:rFonts w:hint="eastAsia"/>
        </w:rPr>
        <w:t>（2）经评标委员会评审后否决所有投标的；</w:t>
      </w:r>
    </w:p>
    <w:p>
      <w:pPr>
        <w:snapToGrid w:val="0"/>
        <w:spacing w:line="420" w:lineRule="exact"/>
        <w:ind w:firstLine="359" w:firstLineChars="171"/>
        <w:rPr>
          <w:rFonts w:hint="eastAsia"/>
        </w:rPr>
      </w:pPr>
      <w:r>
        <w:rPr>
          <w:rFonts w:hint="eastAsia"/>
        </w:rPr>
        <w:t>（3）评标委员会将认定为否决投标的排除后，有效投标少于三个，使得投标明显缺乏竞争的，可以否决全部投标。所有投标被否决的，招标人应当依法重新招标。</w:t>
      </w:r>
    </w:p>
    <w:p>
      <w:pPr>
        <w:snapToGrid w:val="0"/>
        <w:spacing w:line="420" w:lineRule="exact"/>
        <w:ind w:firstLine="359" w:firstLineChars="171"/>
        <w:rPr>
          <w:rFonts w:hint="eastAsia"/>
        </w:rPr>
      </w:pPr>
      <w:r>
        <w:rPr>
          <w:rFonts w:hint="eastAsia"/>
        </w:rPr>
        <w:t>（4）其他有关法律规定应当重新招标的情形的。</w:t>
      </w:r>
    </w:p>
    <w:p>
      <w:pPr>
        <w:pStyle w:val="23"/>
        <w:snapToGrid w:val="0"/>
        <w:spacing w:line="420" w:lineRule="exact"/>
        <w:rPr>
          <w:rFonts w:hint="eastAsia"/>
        </w:rPr>
      </w:pPr>
      <w:bookmarkStart w:id="174" w:name="_Toc152042349"/>
      <w:bookmarkStart w:id="175" w:name="_Toc144974541"/>
      <w:bookmarkStart w:id="176" w:name="_Toc152045573"/>
      <w:bookmarkStart w:id="177" w:name="_Toc361338279"/>
      <w:r>
        <w:rPr>
          <w:rFonts w:hint="eastAsia"/>
        </w:rPr>
        <w:t>8.2 不再招标</w:t>
      </w:r>
      <w:bookmarkEnd w:id="174"/>
      <w:bookmarkEnd w:id="175"/>
      <w:bookmarkEnd w:id="176"/>
      <w:bookmarkEnd w:id="177"/>
    </w:p>
    <w:p>
      <w:pPr>
        <w:snapToGrid w:val="0"/>
        <w:spacing w:line="420" w:lineRule="exact"/>
        <w:ind w:firstLine="420" w:firstLineChars="200"/>
        <w:rPr>
          <w:rFonts w:hint="eastAsia"/>
        </w:rPr>
      </w:pPr>
      <w:r>
        <w:rPr>
          <w:rFonts w:hint="eastAsia"/>
        </w:rPr>
        <w:t>重新招标后投标人仍少于3个或者所有投标被否决的，属于必须审批或核准的工程建设项目，经原审批或核准部门批准后不再进行招标。</w:t>
      </w:r>
    </w:p>
    <w:p>
      <w:pPr>
        <w:pStyle w:val="20"/>
        <w:snapToGrid w:val="0"/>
        <w:spacing w:before="0" w:line="420" w:lineRule="exact"/>
        <w:rPr>
          <w:rFonts w:hint="eastAsia"/>
        </w:rPr>
      </w:pPr>
      <w:bookmarkStart w:id="178" w:name="_Toc361338280"/>
      <w:bookmarkStart w:id="179" w:name="_Toc144974542"/>
      <w:bookmarkStart w:id="180" w:name="_Toc152042350"/>
      <w:bookmarkStart w:id="181" w:name="_Toc152045574"/>
      <w:r>
        <w:rPr>
          <w:rFonts w:hint="eastAsia"/>
        </w:rPr>
        <w:t>9. 纪律和监督</w:t>
      </w:r>
      <w:bookmarkEnd w:id="178"/>
      <w:bookmarkEnd w:id="179"/>
      <w:bookmarkEnd w:id="180"/>
      <w:bookmarkEnd w:id="181"/>
    </w:p>
    <w:p>
      <w:pPr>
        <w:pStyle w:val="23"/>
        <w:snapToGrid w:val="0"/>
        <w:spacing w:line="420" w:lineRule="exact"/>
        <w:rPr>
          <w:rFonts w:hint="eastAsia"/>
        </w:rPr>
      </w:pPr>
      <w:bookmarkStart w:id="182" w:name="_Toc152042351"/>
      <w:bookmarkStart w:id="183" w:name="_Toc152045575"/>
      <w:bookmarkStart w:id="184" w:name="_Toc361338281"/>
      <w:bookmarkStart w:id="185" w:name="_Toc144974543"/>
      <w:r>
        <w:rPr>
          <w:rFonts w:hint="eastAsia"/>
        </w:rPr>
        <w:t>9.1 对招标人的纪律要求</w:t>
      </w:r>
      <w:bookmarkEnd w:id="182"/>
      <w:bookmarkEnd w:id="183"/>
      <w:bookmarkEnd w:id="184"/>
      <w:bookmarkEnd w:id="185"/>
    </w:p>
    <w:p>
      <w:pPr>
        <w:snapToGrid w:val="0"/>
        <w:spacing w:line="420" w:lineRule="exact"/>
        <w:ind w:firstLine="420" w:firstLineChars="200"/>
        <w:rPr>
          <w:rFonts w:hint="eastAsia"/>
        </w:rPr>
      </w:pPr>
      <w:r>
        <w:rPr>
          <w:rFonts w:hint="eastAsia"/>
        </w:rPr>
        <w:t>招标人不得泄漏招标投标活动中应当保密的情况和资料，不得与投标人串通损害国家利益、社会公共利益或者他人合法权益。</w:t>
      </w:r>
    </w:p>
    <w:p>
      <w:pPr>
        <w:pStyle w:val="23"/>
        <w:snapToGrid w:val="0"/>
        <w:spacing w:line="420" w:lineRule="exact"/>
        <w:rPr>
          <w:rFonts w:hint="eastAsia"/>
        </w:rPr>
      </w:pPr>
      <w:bookmarkStart w:id="186" w:name="_Toc361338282"/>
      <w:bookmarkStart w:id="187" w:name="_Toc152042352"/>
      <w:bookmarkStart w:id="188" w:name="_Toc152045576"/>
      <w:bookmarkStart w:id="189" w:name="_Toc144974544"/>
      <w:r>
        <w:rPr>
          <w:rFonts w:hint="eastAsia"/>
        </w:rPr>
        <w:t>9.2 对投标人的纪律要求</w:t>
      </w:r>
      <w:bookmarkEnd w:id="186"/>
      <w:bookmarkEnd w:id="187"/>
      <w:bookmarkEnd w:id="188"/>
      <w:bookmarkEnd w:id="189"/>
    </w:p>
    <w:p>
      <w:pPr>
        <w:snapToGrid w:val="0"/>
        <w:spacing w:line="420" w:lineRule="exact"/>
        <w:ind w:firstLine="420" w:firstLineChars="200"/>
        <w:rPr>
          <w:rFonts w:hint="eastAsia"/>
        </w:rPr>
      </w:pPr>
      <w:r>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3"/>
        <w:snapToGrid w:val="0"/>
        <w:spacing w:line="420" w:lineRule="exact"/>
        <w:rPr>
          <w:rFonts w:hint="eastAsia"/>
        </w:rPr>
      </w:pPr>
      <w:bookmarkStart w:id="190" w:name="_Toc152045577"/>
      <w:bookmarkStart w:id="191" w:name="_Toc152042353"/>
      <w:bookmarkStart w:id="192" w:name="_Toc361338283"/>
      <w:bookmarkStart w:id="193" w:name="_Toc144974545"/>
      <w:r>
        <w:rPr>
          <w:rFonts w:hint="eastAsia"/>
        </w:rPr>
        <w:t>9.3 对评标委员会成员的纪律要求</w:t>
      </w:r>
      <w:bookmarkEnd w:id="190"/>
      <w:bookmarkEnd w:id="191"/>
      <w:bookmarkEnd w:id="192"/>
      <w:bookmarkEnd w:id="193"/>
    </w:p>
    <w:p>
      <w:pPr>
        <w:spacing w:line="420" w:lineRule="exact"/>
        <w:ind w:firstLine="420" w:firstLineChars="200"/>
        <w:rPr>
          <w:rFonts w:hint="eastAsia"/>
          <w:color w:val="000000"/>
        </w:rPr>
      </w:pPr>
      <w:r>
        <w:rPr>
          <w:rFonts w:hint="eastAsia"/>
          <w:color w:val="000000"/>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3"/>
        <w:snapToGrid w:val="0"/>
        <w:spacing w:line="420" w:lineRule="exact"/>
        <w:rPr>
          <w:rFonts w:hint="eastAsia"/>
        </w:rPr>
      </w:pPr>
      <w:bookmarkStart w:id="194" w:name="_Toc361338284"/>
      <w:bookmarkStart w:id="195" w:name="_Toc152045578"/>
      <w:bookmarkStart w:id="196" w:name="_Toc152042354"/>
      <w:bookmarkStart w:id="197" w:name="_Toc144974546"/>
      <w:r>
        <w:rPr>
          <w:rFonts w:hint="eastAsia"/>
        </w:rPr>
        <w:t>9.4 对与评标活动有关的工作人员的纪律要求</w:t>
      </w:r>
      <w:bookmarkEnd w:id="194"/>
      <w:bookmarkEnd w:id="195"/>
      <w:bookmarkEnd w:id="196"/>
    </w:p>
    <w:p>
      <w:pPr>
        <w:snapToGrid w:val="0"/>
        <w:spacing w:line="420" w:lineRule="exact"/>
        <w:ind w:firstLine="420" w:firstLineChars="200"/>
        <w:rPr>
          <w:rFonts w:hint="eastAsia"/>
        </w:rPr>
      </w:pPr>
      <w:bookmarkStart w:id="198" w:name="_Toc152042355"/>
      <w:r>
        <w:rPr>
          <w:rFonts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98"/>
    </w:p>
    <w:p>
      <w:pPr>
        <w:pStyle w:val="23"/>
        <w:snapToGrid w:val="0"/>
        <w:spacing w:line="420" w:lineRule="exact"/>
        <w:rPr>
          <w:rFonts w:hint="eastAsia"/>
        </w:rPr>
      </w:pPr>
      <w:bookmarkStart w:id="199" w:name="_Toc361338285"/>
      <w:bookmarkStart w:id="200" w:name="_Toc152045579"/>
      <w:bookmarkStart w:id="201" w:name="_Toc152042356"/>
      <w:r>
        <w:rPr>
          <w:rFonts w:hint="eastAsia"/>
        </w:rPr>
        <w:t>9.5 投诉</w:t>
      </w:r>
      <w:bookmarkEnd w:id="197"/>
      <w:bookmarkEnd w:id="199"/>
      <w:bookmarkEnd w:id="200"/>
      <w:bookmarkEnd w:id="201"/>
    </w:p>
    <w:p>
      <w:pPr>
        <w:snapToGrid w:val="0"/>
        <w:spacing w:line="420" w:lineRule="exact"/>
        <w:ind w:firstLine="420" w:firstLineChars="200"/>
        <w:rPr>
          <w:rFonts w:hint="eastAsia"/>
        </w:rPr>
      </w:pPr>
      <w:r>
        <w:rPr>
          <w:rFonts w:hint="eastAsia"/>
        </w:rPr>
        <w:t>投标人和其他利害关系人认为本次招标活动违反法律、法规和规章规定的，应当在规定的时间内向招标人提出异议，有权向投标人须知前附表规定的行政监督部门投诉。</w:t>
      </w:r>
    </w:p>
    <w:p>
      <w:pPr>
        <w:pStyle w:val="20"/>
        <w:snapToGrid w:val="0"/>
        <w:spacing w:before="0" w:line="420" w:lineRule="exact"/>
        <w:rPr>
          <w:rFonts w:hint="eastAsia" w:ascii="黑体"/>
          <w:sz w:val="24"/>
          <w:szCs w:val="24"/>
        </w:rPr>
      </w:pPr>
      <w:bookmarkStart w:id="202" w:name="_Toc152042357"/>
      <w:bookmarkStart w:id="203" w:name="_Toc144974547"/>
      <w:bookmarkStart w:id="204" w:name="_Toc152045580"/>
      <w:bookmarkStart w:id="205" w:name="_Toc361338286"/>
      <w:r>
        <w:rPr>
          <w:rFonts w:hint="eastAsia" w:ascii="黑体"/>
          <w:sz w:val="24"/>
          <w:szCs w:val="24"/>
        </w:rPr>
        <w:t>10.需要补充的其他内容</w:t>
      </w:r>
      <w:bookmarkEnd w:id="202"/>
      <w:bookmarkEnd w:id="203"/>
      <w:bookmarkEnd w:id="204"/>
      <w:bookmarkEnd w:id="205"/>
    </w:p>
    <w:p>
      <w:pPr>
        <w:pStyle w:val="23"/>
        <w:spacing w:line="420" w:lineRule="exact"/>
        <w:rPr>
          <w:rFonts w:hint="eastAsia" w:ascii="宋体" w:hAnsi="宋体" w:cs="Arial"/>
          <w:color w:val="000000"/>
          <w:szCs w:val="21"/>
        </w:rPr>
      </w:pPr>
      <w:r>
        <w:rPr>
          <w:rFonts w:hint="eastAsia" w:ascii="宋体" w:hAnsi="宋体" w:cs="Arial"/>
          <w:color w:val="000000"/>
          <w:szCs w:val="21"/>
        </w:rPr>
        <w:t>10.1业绩证明材料提供的要求</w:t>
      </w:r>
    </w:p>
    <w:p>
      <w:pPr>
        <w:spacing w:line="420" w:lineRule="exact"/>
        <w:ind w:firstLine="420" w:firstLineChars="200"/>
        <w:rPr>
          <w:rFonts w:hint="eastAsia" w:ascii="宋体" w:hAnsi="宋体"/>
          <w:color w:val="000000"/>
        </w:rPr>
      </w:pPr>
      <w:r>
        <w:rPr>
          <w:rFonts w:hint="eastAsia" w:ascii="宋体" w:hAnsi="宋体"/>
          <w:color w:val="000000"/>
        </w:rPr>
        <w:t>（1）企业业绩证明材料应提供中标通知书、监理合同；</w:t>
      </w:r>
    </w:p>
    <w:p>
      <w:pPr>
        <w:spacing w:line="420" w:lineRule="exact"/>
        <w:ind w:firstLine="420" w:firstLineChars="200"/>
        <w:rPr>
          <w:rFonts w:hint="eastAsia" w:ascii="宋体" w:hAnsi="宋体"/>
          <w:color w:val="000000"/>
        </w:rPr>
      </w:pPr>
      <w:r>
        <w:rPr>
          <w:rFonts w:hint="eastAsia" w:ascii="宋体" w:hAnsi="宋体"/>
          <w:color w:val="000000"/>
        </w:rPr>
        <w:t>（2）业绩证明时间以合同签订时间为准。</w:t>
      </w:r>
    </w:p>
    <w:p>
      <w:pPr>
        <w:pStyle w:val="23"/>
        <w:spacing w:line="420" w:lineRule="exact"/>
        <w:rPr>
          <w:rFonts w:hint="eastAsia" w:ascii="宋体" w:hAnsi="宋体" w:cs="Arial"/>
          <w:color w:val="000000"/>
          <w:szCs w:val="21"/>
        </w:rPr>
      </w:pPr>
      <w:r>
        <w:rPr>
          <w:rFonts w:hint="eastAsia" w:ascii="宋体" w:hAnsi="宋体" w:cs="Arial"/>
          <w:color w:val="000000"/>
          <w:szCs w:val="21"/>
        </w:rPr>
        <w:t>10.2投标人信誉要求</w:t>
      </w:r>
    </w:p>
    <w:p>
      <w:pPr>
        <w:spacing w:line="420" w:lineRule="exact"/>
        <w:ind w:firstLine="420" w:firstLineChars="200"/>
        <w:rPr>
          <w:rFonts w:hint="eastAsia" w:ascii="宋体" w:hAnsi="宋体"/>
          <w:color w:val="000000"/>
        </w:rPr>
      </w:pPr>
      <w:r>
        <w:rPr>
          <w:rFonts w:hint="eastAsia" w:ascii="宋体" w:hAnsi="宋体"/>
          <w:color w:val="000000"/>
        </w:rPr>
        <w:t>（1）在投标截止时间当日</w:t>
      </w:r>
      <w:r>
        <w:rPr>
          <w:rFonts w:ascii="宋体" w:hAnsi="宋体"/>
          <w:color w:val="000000"/>
        </w:rPr>
        <w:t>投标人没有被温州市住建委或浙江省住建委（含浙江省建筑业管理局）或住建部限制参加投标。</w:t>
      </w:r>
      <w:r>
        <w:rPr>
          <w:rFonts w:hint="eastAsia" w:ascii="宋体" w:hAnsi="宋体"/>
          <w:color w:val="000000"/>
        </w:rPr>
        <w:t>在投标截止时间当日</w:t>
      </w:r>
      <w:r>
        <w:rPr>
          <w:rFonts w:ascii="宋体" w:hAnsi="宋体"/>
          <w:color w:val="000000"/>
        </w:rPr>
        <w:t>投标人没有被温州市住建委或浙江省住建委（含浙江省建筑业管理局）或住建部已经确认并公示（或发布）的正处于公示（或发布）期间的不良行为记录。</w:t>
      </w:r>
    </w:p>
    <w:p>
      <w:pPr>
        <w:spacing w:line="420" w:lineRule="exact"/>
        <w:ind w:firstLine="420" w:firstLineChars="200"/>
        <w:rPr>
          <w:color w:val="000000"/>
        </w:rPr>
      </w:pPr>
      <w:r>
        <w:rPr>
          <w:rFonts w:hint="eastAsia" w:ascii="宋体" w:hAnsi="宋体"/>
          <w:color w:val="000000"/>
        </w:rPr>
        <w:t>（2）</w:t>
      </w:r>
      <w:r>
        <w:rPr>
          <w:color w:val="000000"/>
        </w:rPr>
        <w:t>投标人发生合并、分立、破产等重大变化的，应当及时书面告知招标人。投标人不再具备招标文件规定的资格条件或者其投标影响招标公正性的，其投标无效。</w:t>
      </w:r>
    </w:p>
    <w:p>
      <w:pPr>
        <w:spacing w:line="420" w:lineRule="exact"/>
        <w:ind w:firstLine="420" w:firstLineChars="200"/>
        <w:rPr>
          <w:rFonts w:hint="eastAsia" w:ascii="宋体" w:hAnsi="宋体"/>
          <w:color w:val="000000"/>
        </w:rPr>
      </w:pPr>
      <w:r>
        <w:rPr>
          <w:rFonts w:hint="eastAsia" w:ascii="宋体" w:hAnsi="宋体"/>
          <w:color w:val="000000"/>
        </w:rPr>
        <w:t>（3）在投标截止时间前，投标人未被人民法院列入限制失信被执行人投标资格名单。</w:t>
      </w:r>
    </w:p>
    <w:p>
      <w:pPr>
        <w:pStyle w:val="23"/>
        <w:spacing w:line="420" w:lineRule="exact"/>
        <w:rPr>
          <w:rFonts w:hint="eastAsia"/>
          <w:color w:val="000000"/>
        </w:rPr>
      </w:pPr>
      <w:r>
        <w:rPr>
          <w:rFonts w:hint="eastAsia"/>
          <w:color w:val="000000"/>
        </w:rPr>
        <w:t>10.</w:t>
      </w:r>
      <w:r>
        <w:rPr>
          <w:color w:val="000000"/>
        </w:rPr>
        <w:t>3串通投标行为的认定</w:t>
      </w:r>
    </w:p>
    <w:p>
      <w:pPr>
        <w:snapToGrid w:val="0"/>
        <w:spacing w:line="420" w:lineRule="exact"/>
        <w:ind w:firstLine="430" w:firstLineChars="205"/>
        <w:jc w:val="left"/>
        <w:rPr>
          <w:rFonts w:hint="eastAsia"/>
        </w:rPr>
      </w:pPr>
      <w:r>
        <w:rPr>
          <w:rFonts w:hint="eastAsia"/>
        </w:rPr>
        <w:t>1、</w:t>
      </w:r>
      <w:r>
        <w:t>根据《中华人民共和国招标投标法实施条例》</w:t>
      </w:r>
      <w:r>
        <w:rPr>
          <w:rFonts w:hint="eastAsia"/>
        </w:rPr>
        <w:t>有下列情形之一的，属于串通投标行为：</w:t>
      </w:r>
    </w:p>
    <w:p>
      <w:pPr>
        <w:numPr>
          <w:ilvl w:val="0"/>
          <w:numId w:val="4"/>
        </w:numPr>
        <w:snapToGrid w:val="0"/>
        <w:spacing w:line="400" w:lineRule="exact"/>
        <w:jc w:val="left"/>
        <w:rPr>
          <w:rFonts w:hint="eastAsia"/>
        </w:rPr>
      </w:pPr>
      <w:r>
        <w:t>投标人之间协商投标报价等投标文件的实质性内容；</w:t>
      </w:r>
    </w:p>
    <w:p>
      <w:pPr>
        <w:numPr>
          <w:ilvl w:val="0"/>
          <w:numId w:val="4"/>
        </w:numPr>
        <w:adjustRightInd w:val="0"/>
        <w:snapToGrid w:val="0"/>
        <w:spacing w:line="400" w:lineRule="exact"/>
        <w:jc w:val="left"/>
      </w:pPr>
      <w:r>
        <w:t>投标人之间约定中标人；</w:t>
      </w:r>
    </w:p>
    <w:p>
      <w:pPr>
        <w:numPr>
          <w:ilvl w:val="0"/>
          <w:numId w:val="4"/>
        </w:numPr>
        <w:adjustRightInd w:val="0"/>
        <w:snapToGrid w:val="0"/>
        <w:spacing w:line="400" w:lineRule="exact"/>
        <w:jc w:val="left"/>
      </w:pPr>
      <w:r>
        <w:t>投标人之间约定部分投标人放弃投标或者中标；</w:t>
      </w:r>
    </w:p>
    <w:p>
      <w:pPr>
        <w:numPr>
          <w:ilvl w:val="0"/>
          <w:numId w:val="4"/>
        </w:numPr>
        <w:adjustRightInd w:val="0"/>
        <w:snapToGrid w:val="0"/>
        <w:spacing w:line="400" w:lineRule="exact"/>
        <w:jc w:val="left"/>
      </w:pPr>
      <w:r>
        <w:t>属于同一集团、协会、商会等组织成员的投标人按照该组织要求协同投标；</w:t>
      </w:r>
    </w:p>
    <w:p>
      <w:pPr>
        <w:numPr>
          <w:ilvl w:val="0"/>
          <w:numId w:val="4"/>
        </w:numPr>
        <w:adjustRightInd w:val="0"/>
        <w:snapToGrid w:val="0"/>
        <w:spacing w:line="400" w:lineRule="exact"/>
        <w:jc w:val="left"/>
      </w:pPr>
      <w:r>
        <w:t>投标人之间为谋取中标或者排斥特定投标人而采取的其他联合行动。</w:t>
      </w:r>
    </w:p>
    <w:p>
      <w:pPr>
        <w:numPr>
          <w:ilvl w:val="0"/>
          <w:numId w:val="4"/>
        </w:numPr>
        <w:adjustRightInd w:val="0"/>
        <w:snapToGrid w:val="0"/>
        <w:spacing w:line="400" w:lineRule="exact"/>
        <w:jc w:val="left"/>
      </w:pPr>
      <w:r>
        <w:t>不同投标人</w:t>
      </w:r>
      <w:r>
        <w:rPr>
          <w:rFonts w:hint="eastAsia"/>
        </w:rPr>
        <w:t>的投标文件由同一单位或者个人</w:t>
      </w:r>
      <w:r>
        <w:t>；</w:t>
      </w:r>
    </w:p>
    <w:p>
      <w:pPr>
        <w:numPr>
          <w:ilvl w:val="0"/>
          <w:numId w:val="4"/>
        </w:numPr>
        <w:adjustRightInd w:val="0"/>
        <w:snapToGrid w:val="0"/>
        <w:spacing w:line="400" w:lineRule="exact"/>
        <w:jc w:val="left"/>
        <w:rPr>
          <w:rFonts w:hint="eastAsia"/>
        </w:rPr>
      </w:pPr>
      <w:r>
        <w:t>不同投标人委</w:t>
      </w:r>
      <w:r>
        <w:rPr>
          <w:rFonts w:hint="eastAsia"/>
        </w:rPr>
        <w:t>托同一单位或者个人办理投标事宜；</w:t>
      </w:r>
    </w:p>
    <w:p>
      <w:pPr>
        <w:numPr>
          <w:ilvl w:val="0"/>
          <w:numId w:val="4"/>
        </w:numPr>
        <w:adjustRightInd w:val="0"/>
        <w:snapToGrid w:val="0"/>
        <w:spacing w:line="400" w:lineRule="exact"/>
        <w:jc w:val="left"/>
      </w:pPr>
      <w:r>
        <w:t>不同投标人</w:t>
      </w:r>
      <w:r>
        <w:rPr>
          <w:rFonts w:hint="eastAsia"/>
        </w:rPr>
        <w:t>的投标文件载明的项目管理成员为同一人</w:t>
      </w:r>
      <w:r>
        <w:t>；</w:t>
      </w:r>
    </w:p>
    <w:p>
      <w:pPr>
        <w:numPr>
          <w:ilvl w:val="0"/>
          <w:numId w:val="4"/>
        </w:numPr>
        <w:adjustRightInd w:val="0"/>
        <w:snapToGrid w:val="0"/>
        <w:spacing w:line="400" w:lineRule="exact"/>
        <w:jc w:val="left"/>
        <w:rPr>
          <w:rFonts w:hint="eastAsia"/>
        </w:rPr>
      </w:pPr>
      <w:r>
        <w:t>不同投标人的投标文件</w:t>
      </w:r>
      <w:r>
        <w:rPr>
          <w:rFonts w:hint="eastAsia"/>
        </w:rPr>
        <w:t>异常一致或者投标报价呈规律性差异；</w:t>
      </w:r>
    </w:p>
    <w:p>
      <w:pPr>
        <w:adjustRightInd w:val="0"/>
        <w:snapToGrid w:val="0"/>
        <w:spacing w:line="400" w:lineRule="exact"/>
        <w:ind w:firstLine="315" w:firstLineChars="150"/>
        <w:jc w:val="left"/>
      </w:pPr>
      <w:r>
        <w:rPr>
          <w:rFonts w:hint="eastAsia"/>
        </w:rPr>
        <w:t>（10）</w:t>
      </w:r>
      <w:r>
        <w:t>不同投标人的</w:t>
      </w:r>
      <w:r>
        <w:rPr>
          <w:rFonts w:hint="eastAsia"/>
        </w:rPr>
        <w:t>投标文件相互混装</w:t>
      </w:r>
      <w:r>
        <w:t>；</w:t>
      </w:r>
    </w:p>
    <w:p>
      <w:pPr>
        <w:tabs>
          <w:tab w:val="left" w:pos="900"/>
        </w:tabs>
        <w:adjustRightInd w:val="0"/>
        <w:snapToGrid w:val="0"/>
        <w:spacing w:line="400" w:lineRule="exact"/>
        <w:ind w:firstLine="315" w:firstLineChars="150"/>
        <w:jc w:val="left"/>
      </w:pPr>
      <w:r>
        <w:rPr>
          <w:rFonts w:hint="eastAsia"/>
        </w:rPr>
        <w:t>（11）</w:t>
      </w:r>
      <w:r>
        <w:t>不同投标人的投标</w:t>
      </w:r>
      <w:r>
        <w:rPr>
          <w:rFonts w:hint="eastAsia"/>
        </w:rPr>
        <w:t>金从同一单位或者个人的账户转出</w:t>
      </w:r>
      <w:r>
        <w:t>；</w:t>
      </w:r>
    </w:p>
    <w:p>
      <w:pPr>
        <w:tabs>
          <w:tab w:val="left" w:pos="900"/>
        </w:tabs>
        <w:adjustRightInd w:val="0"/>
        <w:snapToGrid w:val="0"/>
        <w:spacing w:line="400" w:lineRule="exact"/>
        <w:ind w:firstLine="315" w:firstLineChars="150"/>
        <w:jc w:val="left"/>
      </w:pPr>
      <w:r>
        <w:rPr>
          <w:rFonts w:hint="eastAsia"/>
        </w:rPr>
        <w:t>（12）</w:t>
      </w:r>
      <w:r>
        <w:t>招标人在开标前开启投标文件并将有关信息泄露给其他投标人；</w:t>
      </w:r>
    </w:p>
    <w:p>
      <w:pPr>
        <w:tabs>
          <w:tab w:val="left" w:pos="900"/>
        </w:tabs>
        <w:adjustRightInd w:val="0"/>
        <w:snapToGrid w:val="0"/>
        <w:spacing w:line="400" w:lineRule="exact"/>
        <w:ind w:firstLine="315" w:firstLineChars="150"/>
        <w:jc w:val="left"/>
      </w:pPr>
      <w:r>
        <w:rPr>
          <w:rFonts w:hint="eastAsia"/>
        </w:rPr>
        <w:t>（13）</w:t>
      </w:r>
      <w:r>
        <w:t>招标人直接或者间接向投标人泄露标底、评标委员会成员等信息；</w:t>
      </w:r>
    </w:p>
    <w:p>
      <w:pPr>
        <w:tabs>
          <w:tab w:val="left" w:pos="900"/>
        </w:tabs>
        <w:adjustRightInd w:val="0"/>
        <w:snapToGrid w:val="0"/>
        <w:spacing w:line="400" w:lineRule="exact"/>
        <w:ind w:firstLine="315" w:firstLineChars="150"/>
        <w:jc w:val="left"/>
      </w:pPr>
      <w:r>
        <w:rPr>
          <w:rFonts w:hint="eastAsia"/>
        </w:rPr>
        <w:t>（14）</w:t>
      </w:r>
      <w:r>
        <w:t>招标人明示或者暗示投标人压低或者抬高投标报价；</w:t>
      </w:r>
    </w:p>
    <w:p>
      <w:pPr>
        <w:tabs>
          <w:tab w:val="left" w:pos="900"/>
        </w:tabs>
        <w:adjustRightInd w:val="0"/>
        <w:snapToGrid w:val="0"/>
        <w:spacing w:line="400" w:lineRule="exact"/>
        <w:ind w:firstLine="315" w:firstLineChars="150"/>
        <w:jc w:val="left"/>
      </w:pPr>
      <w:r>
        <w:rPr>
          <w:rFonts w:hint="eastAsia"/>
        </w:rPr>
        <w:t>（15）</w:t>
      </w:r>
      <w:r>
        <w:t>招标人授意投标人撤换、修改投标文件；</w:t>
      </w:r>
    </w:p>
    <w:p>
      <w:pPr>
        <w:tabs>
          <w:tab w:val="left" w:pos="900"/>
        </w:tabs>
        <w:adjustRightInd w:val="0"/>
        <w:snapToGrid w:val="0"/>
        <w:spacing w:line="400" w:lineRule="exact"/>
        <w:ind w:firstLine="315" w:firstLineChars="150"/>
        <w:jc w:val="left"/>
      </w:pPr>
      <w:r>
        <w:rPr>
          <w:rFonts w:hint="eastAsia"/>
        </w:rPr>
        <w:t>（16）</w:t>
      </w:r>
      <w:r>
        <w:t>招标人明示或者暗示投标人为特定投标人中标提供方便；</w:t>
      </w:r>
    </w:p>
    <w:p>
      <w:pPr>
        <w:tabs>
          <w:tab w:val="left" w:pos="900"/>
        </w:tabs>
        <w:adjustRightInd w:val="0"/>
        <w:snapToGrid w:val="0"/>
        <w:spacing w:line="400" w:lineRule="exact"/>
        <w:ind w:firstLine="315" w:firstLineChars="150"/>
        <w:jc w:val="left"/>
        <w:rPr>
          <w:rFonts w:hint="eastAsia"/>
        </w:rPr>
      </w:pPr>
      <w:r>
        <w:rPr>
          <w:rFonts w:hint="eastAsia"/>
        </w:rPr>
        <w:t>（17）</w:t>
      </w:r>
      <w:r>
        <w:t>招标人与投标人为谋求特定投标人中标而采取的其他串通行为；</w:t>
      </w:r>
    </w:p>
    <w:p>
      <w:pPr>
        <w:snapToGrid w:val="0"/>
        <w:spacing w:line="400" w:lineRule="exact"/>
        <w:ind w:firstLine="430" w:firstLineChars="205"/>
        <w:jc w:val="left"/>
        <w:rPr>
          <w:rFonts w:hint="eastAsia"/>
        </w:rPr>
      </w:pPr>
      <w:r>
        <w:rPr>
          <w:rFonts w:hint="eastAsia"/>
        </w:rPr>
        <w:t>2、根据</w:t>
      </w:r>
      <w:r>
        <w:t>温委发[2011]89号《关于进一步整顿规范建设工程招投标市场的若干规定（试行）》，有下列情形之一的，属于串通投标行为：</w:t>
      </w:r>
    </w:p>
    <w:p>
      <w:pPr>
        <w:snapToGrid w:val="0"/>
        <w:spacing w:line="400" w:lineRule="exact"/>
        <w:ind w:firstLine="430" w:firstLineChars="205"/>
        <w:jc w:val="left"/>
        <w:rPr>
          <w:rFonts w:hint="eastAsia"/>
        </w:rPr>
      </w:pPr>
      <w:r>
        <w:rPr>
          <w:rFonts w:hint="eastAsia"/>
        </w:rPr>
        <w:t>（1）招标人（或招标代理机构）在规定的提交投标文件截止时间后，协助投标撤换投标文件夹、更改报价的；</w:t>
      </w:r>
    </w:p>
    <w:p>
      <w:pPr>
        <w:snapToGrid w:val="0"/>
        <w:spacing w:line="400" w:lineRule="exact"/>
        <w:ind w:firstLine="430" w:firstLineChars="205"/>
        <w:jc w:val="left"/>
        <w:rPr>
          <w:rFonts w:hint="eastAsia"/>
        </w:rPr>
      </w:pPr>
      <w:r>
        <w:rPr>
          <w:rFonts w:hint="eastAsia"/>
        </w:rPr>
        <w:t>（2）招标人（或招标代理机构）向利害关系人泄露投标人名称、数量或联系方式等应当保密事项的；</w:t>
      </w:r>
    </w:p>
    <w:p>
      <w:pPr>
        <w:snapToGrid w:val="0"/>
        <w:spacing w:line="420" w:lineRule="exact"/>
        <w:ind w:firstLine="430" w:firstLineChars="205"/>
        <w:jc w:val="left"/>
        <w:rPr>
          <w:rFonts w:hint="eastAsia"/>
        </w:rPr>
      </w:pPr>
      <w:r>
        <w:rPr>
          <w:rFonts w:hint="eastAsia"/>
        </w:rPr>
        <w:t>（3）不同投标人使用同一人或者同一单位的资金交纳投标保证金的；</w:t>
      </w:r>
    </w:p>
    <w:p>
      <w:pPr>
        <w:snapToGrid w:val="0"/>
        <w:spacing w:line="420" w:lineRule="exact"/>
        <w:ind w:firstLine="430" w:firstLineChars="205"/>
        <w:jc w:val="left"/>
        <w:rPr>
          <w:rFonts w:hint="eastAsia"/>
        </w:rPr>
      </w:pPr>
      <w:r>
        <w:rPr>
          <w:rFonts w:hint="eastAsia"/>
        </w:rPr>
        <w:t>（4）不同投标人委托同一人或者同一单位办理投标事宜、编制投标文件或提供投标咨询服务的（或担任不同单位的中心交易员）；</w:t>
      </w:r>
    </w:p>
    <w:p>
      <w:pPr>
        <w:snapToGrid w:val="0"/>
        <w:spacing w:line="420" w:lineRule="exact"/>
        <w:ind w:firstLine="430" w:firstLineChars="205"/>
        <w:jc w:val="left"/>
        <w:rPr>
          <w:rFonts w:hint="eastAsia"/>
        </w:rPr>
      </w:pPr>
      <w:r>
        <w:rPr>
          <w:rFonts w:hint="eastAsia"/>
        </w:rPr>
        <w:t>（5）不同投标人与同一投标人联合投标的；</w:t>
      </w:r>
    </w:p>
    <w:p>
      <w:pPr>
        <w:snapToGrid w:val="0"/>
        <w:spacing w:line="420" w:lineRule="exact"/>
        <w:ind w:firstLine="430" w:firstLineChars="205"/>
        <w:jc w:val="left"/>
        <w:rPr>
          <w:rFonts w:hint="eastAsia"/>
        </w:rPr>
      </w:pPr>
      <w:r>
        <w:rPr>
          <w:rFonts w:hint="eastAsia"/>
        </w:rPr>
        <w:t>（6）不同投标人的投标文件存在一处以上（含一处）错误一致的；</w:t>
      </w:r>
    </w:p>
    <w:p>
      <w:pPr>
        <w:snapToGrid w:val="0"/>
        <w:spacing w:line="420" w:lineRule="exact"/>
        <w:ind w:firstLine="430" w:firstLineChars="205"/>
        <w:jc w:val="left"/>
        <w:rPr>
          <w:rFonts w:hint="eastAsia"/>
        </w:rPr>
      </w:pPr>
      <w:r>
        <w:rPr>
          <w:rFonts w:hint="eastAsia"/>
        </w:rPr>
        <w:t>（7）不同投标人的投标总报价相近和各分项报价、综合单位分析表内容存在异常一致或呈规律性变化，且不能合理解释的；</w:t>
      </w:r>
    </w:p>
    <w:p>
      <w:pPr>
        <w:snapToGrid w:val="0"/>
        <w:spacing w:line="420" w:lineRule="exact"/>
        <w:ind w:firstLine="430" w:firstLineChars="205"/>
        <w:jc w:val="left"/>
        <w:rPr>
          <w:rFonts w:hint="eastAsia"/>
        </w:rPr>
      </w:pPr>
      <w:r>
        <w:rPr>
          <w:rFonts w:hint="eastAsia"/>
        </w:rPr>
        <w:t>（8）不同投标人的投标文件载明的项目管理人员出现同一人的；</w:t>
      </w:r>
    </w:p>
    <w:p>
      <w:pPr>
        <w:snapToGrid w:val="0"/>
        <w:spacing w:line="420" w:lineRule="exact"/>
        <w:ind w:firstLine="430" w:firstLineChars="205"/>
        <w:jc w:val="left"/>
        <w:rPr>
          <w:rFonts w:hint="eastAsia"/>
        </w:rPr>
      </w:pPr>
      <w:r>
        <w:rPr>
          <w:rFonts w:hint="eastAsia"/>
        </w:rPr>
        <w:t>（9）不同投标人的投标文件相互混装的；</w:t>
      </w:r>
    </w:p>
    <w:p>
      <w:pPr>
        <w:snapToGrid w:val="0"/>
        <w:spacing w:line="420" w:lineRule="exact"/>
        <w:ind w:firstLine="430" w:firstLineChars="205"/>
        <w:jc w:val="left"/>
        <w:rPr>
          <w:rFonts w:hint="eastAsia"/>
        </w:rPr>
      </w:pPr>
      <w:r>
        <w:rPr>
          <w:rFonts w:hint="eastAsia"/>
        </w:rPr>
        <w:t>（10）不同投标人的法定代表人、委托代理人、项目关键管理人员等有在同一个单位缴纳社会保险的；</w:t>
      </w:r>
    </w:p>
    <w:p>
      <w:pPr>
        <w:snapToGrid w:val="0"/>
        <w:spacing w:line="400" w:lineRule="exact"/>
        <w:ind w:firstLine="430" w:firstLineChars="205"/>
        <w:jc w:val="left"/>
        <w:rPr>
          <w:rFonts w:hint="eastAsia"/>
        </w:rPr>
      </w:pPr>
      <w:r>
        <w:rPr>
          <w:rFonts w:hint="eastAsia"/>
        </w:rPr>
        <w:t>（11）投标人之间相互约定给予未中标的投标人费用补偿的；</w:t>
      </w:r>
    </w:p>
    <w:p>
      <w:pPr>
        <w:snapToGrid w:val="0"/>
        <w:spacing w:line="400" w:lineRule="exact"/>
        <w:ind w:firstLine="430" w:firstLineChars="205"/>
        <w:jc w:val="left"/>
        <w:rPr>
          <w:rFonts w:hint="eastAsia"/>
        </w:rPr>
      </w:pPr>
      <w:r>
        <w:rPr>
          <w:rFonts w:hint="eastAsia"/>
        </w:rPr>
        <w:t>（12）不同投标人的投标文件由同一电脑编制或同一台附属设备打印，或投标报价同一个预算编制软件密码锁制作，或出自同一电子文档的；</w:t>
      </w:r>
    </w:p>
    <w:p>
      <w:pPr>
        <w:snapToGrid w:val="0"/>
        <w:spacing w:line="400" w:lineRule="exact"/>
        <w:ind w:firstLine="430" w:firstLineChars="205"/>
        <w:jc w:val="left"/>
        <w:rPr>
          <w:rFonts w:hint="eastAsia"/>
        </w:rPr>
      </w:pPr>
      <w:r>
        <w:rPr>
          <w:rFonts w:hint="eastAsia"/>
        </w:rPr>
        <w:t>（13）法律、法规或者规章规定的其他串通投标行为。</w:t>
      </w:r>
    </w:p>
    <w:p>
      <w:pPr>
        <w:pStyle w:val="23"/>
        <w:spacing w:line="420" w:lineRule="exact"/>
        <w:rPr>
          <w:rFonts w:hint="eastAsia"/>
          <w:color w:val="000000"/>
        </w:rPr>
      </w:pPr>
      <w:r>
        <w:rPr>
          <w:rFonts w:hint="eastAsia"/>
          <w:color w:val="000000"/>
        </w:rPr>
        <w:t>10.</w:t>
      </w:r>
      <w:r>
        <w:rPr>
          <w:color w:val="000000"/>
        </w:rPr>
        <w:t>4</w:t>
      </w:r>
      <w:r>
        <w:rPr>
          <w:rFonts w:hint="eastAsia"/>
          <w:color w:val="000000"/>
        </w:rPr>
        <w:t>中标候选人行贿犯罪档案查询</w:t>
      </w:r>
    </w:p>
    <w:p>
      <w:pPr>
        <w:snapToGrid w:val="0"/>
        <w:spacing w:line="400" w:lineRule="exact"/>
        <w:ind w:firstLine="430" w:firstLineChars="205"/>
        <w:jc w:val="left"/>
        <w:rPr>
          <w:rFonts w:hint="eastAsia"/>
          <w:b/>
        </w:rPr>
      </w:pPr>
      <w:r>
        <w:rPr>
          <w:rFonts w:hint="eastAsia"/>
        </w:rPr>
        <w:t>有行贿犯罪不良行为记录且处罚日期在投标截止时间前2年内的单位或具有其它不良行为记录且在投标截止时间处于公示期（无公示期的按发文之日起3个月计）的监理单位不得参加投标。隐瞒上述不良行为记录参加投标的监理单位，取消中标候选人资格，建设行政主管部门按有关规定予以严肃处理。</w:t>
      </w:r>
    </w:p>
    <w:p>
      <w:pPr>
        <w:spacing w:line="400" w:lineRule="exact"/>
        <w:rPr>
          <w:rFonts w:hint="eastAsia" w:ascii="宋体" w:hAnsi="宋体" w:cs="宋体"/>
          <w:b/>
          <w:kern w:val="0"/>
          <w:szCs w:val="21"/>
        </w:rPr>
      </w:pPr>
      <w:r>
        <w:rPr>
          <w:rFonts w:hint="eastAsia" w:ascii="宋体" w:hAnsi="宋体" w:cs="宋体"/>
          <w:b/>
          <w:kern w:val="0"/>
          <w:szCs w:val="21"/>
          <w:highlight w:val="white"/>
        </w:rPr>
        <w:t>注：①行贿犯罪不良行为记录以中国裁判文书网（http://wenshu.court.gov.cn/）网站页面显示内容为准。</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highlight w:val="white"/>
        </w:rPr>
        <w:t xml:space="preserve"> ②不良行为范围包括住房和城乡建设部或其网站上公示的对不良行为处理的发文、浙江省住房和城乡建设厅或其网站上公示的对不良行为处理的发文、温州市住房和城乡建设委员会或其网站上公示的对不良行为处理的发文、苍南县住房和城乡建设局或其网站上公示的对不良行为处理的发文；</w:t>
      </w:r>
    </w:p>
    <w:p>
      <w:pPr>
        <w:spacing w:line="400" w:lineRule="exact"/>
        <w:ind w:firstLine="422" w:firstLineChars="200"/>
        <w:rPr>
          <w:rFonts w:hint="eastAsia" w:ascii="宋体" w:hAnsi="宋体" w:cs="宋体"/>
          <w:b/>
          <w:kern w:val="0"/>
          <w:szCs w:val="21"/>
        </w:rPr>
      </w:pPr>
      <w:r>
        <w:rPr>
          <w:rFonts w:hint="eastAsia" w:ascii="宋体" w:hAnsi="宋体" w:cs="宋体"/>
          <w:b/>
          <w:kern w:val="0"/>
          <w:szCs w:val="21"/>
          <w:highlight w:val="white"/>
        </w:rPr>
        <w:t>③行贿犯罪不良行为记录查询范围包括投标单位及其法人代表、拟派项目总监等。</w:t>
      </w:r>
    </w:p>
    <w:p>
      <w:pPr>
        <w:pStyle w:val="23"/>
        <w:spacing w:line="420" w:lineRule="exact"/>
        <w:rPr>
          <w:rFonts w:hint="eastAsia"/>
          <w:color w:val="000000"/>
        </w:rPr>
      </w:pPr>
      <w:r>
        <w:rPr>
          <w:rFonts w:hint="eastAsia"/>
          <w:color w:val="000000"/>
        </w:rPr>
        <w:t>10.</w:t>
      </w:r>
      <w:r>
        <w:rPr>
          <w:color w:val="000000"/>
        </w:rPr>
        <w:t>5中标候选人放弃中标及经营、财务状况发生变化的约定</w:t>
      </w:r>
    </w:p>
    <w:p>
      <w:pPr>
        <w:spacing w:line="400" w:lineRule="exact"/>
        <w:ind w:firstLine="420" w:firstLineChars="200"/>
        <w:rPr>
          <w:rFonts w:hint="eastAsia" w:ascii="宋体" w:hAnsi="宋体"/>
          <w:color w:val="000000"/>
        </w:rPr>
      </w:pPr>
      <w:r>
        <w:rPr>
          <w:rFonts w:hint="eastAsia" w:ascii="宋体" w:hAnsi="宋体"/>
          <w:color w:val="000000"/>
        </w:rPr>
        <w:t>（1）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经考察投标文件与实际不符的情形，不符合中标条件的，招标人应依法重新招标。</w:t>
      </w:r>
    </w:p>
    <w:p>
      <w:pPr>
        <w:spacing w:line="400" w:lineRule="exact"/>
        <w:ind w:firstLine="420" w:firstLineChars="200"/>
        <w:rPr>
          <w:rFonts w:hint="eastAsia" w:ascii="宋体" w:hAnsi="宋体"/>
          <w:color w:val="000000"/>
        </w:rPr>
      </w:pPr>
      <w:r>
        <w:rPr>
          <w:rFonts w:hint="eastAsia" w:ascii="宋体" w:hAnsi="宋体"/>
          <w:color w:val="000000"/>
        </w:rPr>
        <w:t>（2）中标候选人的经营、财务状况发生较大变化或者存在违法行为，招标人认为可能影响其履约能力的，应当在发出中标通知书前由原评标委员会按照招标文件规定的标准和方法审查确认。</w:t>
      </w:r>
    </w:p>
    <w:p>
      <w:pPr>
        <w:pStyle w:val="23"/>
        <w:spacing w:line="420" w:lineRule="exact"/>
        <w:rPr>
          <w:rFonts w:hint="eastAsia"/>
          <w:color w:val="000000"/>
        </w:rPr>
      </w:pPr>
      <w:r>
        <w:rPr>
          <w:rFonts w:hint="eastAsia"/>
          <w:color w:val="000000"/>
        </w:rPr>
        <w:t>10.</w:t>
      </w:r>
      <w:r>
        <w:rPr>
          <w:color w:val="000000"/>
        </w:rPr>
        <w:t>6</w:t>
      </w:r>
      <w:r>
        <w:rPr>
          <w:rFonts w:hint="eastAsia"/>
          <w:color w:val="000000"/>
        </w:rPr>
        <w:t>弄虚作假投标行为的认定</w:t>
      </w:r>
    </w:p>
    <w:p>
      <w:pPr>
        <w:snapToGrid w:val="0"/>
        <w:spacing w:line="400" w:lineRule="exact"/>
        <w:ind w:firstLine="420" w:firstLineChars="200"/>
        <w:rPr>
          <w:rFonts w:hint="eastAsia" w:ascii="宋体" w:hAnsi="宋体" w:cs="Arial"/>
          <w:color w:val="000000"/>
        </w:rPr>
      </w:pPr>
      <w:r>
        <w:rPr>
          <w:rFonts w:ascii="宋体" w:hAnsi="宋体" w:cs="Arial"/>
          <w:color w:val="000000"/>
        </w:rPr>
        <w:t>（1）使用通过受让或者租借等方式获取的资格、资质证书投标的，属于招标投标法第三十三条规定的以他人名义投标。</w:t>
      </w:r>
    </w:p>
    <w:p>
      <w:pPr>
        <w:snapToGrid w:val="0"/>
        <w:spacing w:line="400" w:lineRule="exact"/>
        <w:ind w:firstLine="420" w:firstLineChars="200"/>
        <w:rPr>
          <w:rFonts w:hint="eastAsia" w:ascii="宋体" w:hAnsi="宋体" w:cs="Arial"/>
          <w:color w:val="000000"/>
        </w:rPr>
      </w:pPr>
      <w:r>
        <w:rPr>
          <w:rFonts w:ascii="宋体" w:hAnsi="宋体" w:cs="Arial"/>
          <w:color w:val="000000"/>
        </w:rPr>
        <w:t>（2）投标人有下列情形之一的，属于招标投标法第三十三条规定的以其他方式弄虚作假的行为：</w:t>
      </w:r>
    </w:p>
    <w:p>
      <w:pPr>
        <w:snapToGrid w:val="0"/>
        <w:spacing w:line="400" w:lineRule="exact"/>
        <w:ind w:firstLine="420" w:firstLineChars="200"/>
        <w:rPr>
          <w:rFonts w:hint="eastAsia" w:ascii="宋体" w:hAnsi="宋体" w:cs="Arial"/>
          <w:color w:val="000000"/>
        </w:rPr>
      </w:pPr>
      <w:r>
        <w:rPr>
          <w:rFonts w:ascii="宋体" w:hAnsi="宋体" w:cs="Arial"/>
          <w:color w:val="000000"/>
        </w:rPr>
        <w:t>①使用伪造、变造的许可证件；</w:t>
      </w:r>
    </w:p>
    <w:p>
      <w:pPr>
        <w:snapToGrid w:val="0"/>
        <w:spacing w:line="400" w:lineRule="exact"/>
        <w:ind w:firstLine="420" w:firstLineChars="200"/>
        <w:rPr>
          <w:rFonts w:hint="eastAsia" w:ascii="宋体" w:hAnsi="宋体" w:cs="Arial"/>
          <w:color w:val="000000"/>
        </w:rPr>
      </w:pPr>
      <w:r>
        <w:rPr>
          <w:rFonts w:ascii="宋体" w:hAnsi="宋体" w:cs="Arial"/>
          <w:color w:val="000000"/>
        </w:rPr>
        <w:t>②提供虚假的财务状况或者业绩；</w:t>
      </w:r>
    </w:p>
    <w:p>
      <w:pPr>
        <w:snapToGrid w:val="0"/>
        <w:spacing w:line="400" w:lineRule="exact"/>
        <w:ind w:firstLine="420" w:firstLineChars="200"/>
        <w:rPr>
          <w:rFonts w:hint="eastAsia" w:ascii="宋体" w:hAnsi="宋体" w:cs="Arial"/>
          <w:color w:val="000000"/>
        </w:rPr>
      </w:pPr>
      <w:r>
        <w:rPr>
          <w:rFonts w:ascii="宋体" w:hAnsi="宋体" w:cs="Arial"/>
          <w:color w:val="000000"/>
        </w:rPr>
        <w:t>③提供虚假的项目经理或者主要</w:t>
      </w:r>
      <w:r>
        <w:rPr>
          <w:rFonts w:hint="eastAsia" w:ascii="宋体" w:hAnsi="宋体" w:cs="Arial"/>
          <w:color w:val="000000"/>
        </w:rPr>
        <w:t>监理</w:t>
      </w:r>
      <w:r>
        <w:rPr>
          <w:rFonts w:ascii="宋体" w:hAnsi="宋体" w:cs="Arial"/>
          <w:color w:val="000000"/>
        </w:rPr>
        <w:t>人员简历、劳动关系证明；</w:t>
      </w:r>
    </w:p>
    <w:p>
      <w:pPr>
        <w:snapToGrid w:val="0"/>
        <w:spacing w:line="400" w:lineRule="exact"/>
        <w:ind w:firstLine="420" w:firstLineChars="200"/>
        <w:rPr>
          <w:rFonts w:hint="eastAsia" w:ascii="宋体" w:hAnsi="宋体" w:cs="Arial"/>
          <w:color w:val="000000"/>
        </w:rPr>
      </w:pPr>
      <w:r>
        <w:rPr>
          <w:rFonts w:ascii="宋体" w:hAnsi="宋体" w:cs="Arial"/>
          <w:color w:val="000000"/>
        </w:rPr>
        <w:t>④提供虚假的信用状况；</w:t>
      </w:r>
    </w:p>
    <w:p>
      <w:pPr>
        <w:snapToGrid w:val="0"/>
        <w:spacing w:line="400" w:lineRule="exact"/>
        <w:ind w:firstLine="420" w:firstLineChars="200"/>
        <w:rPr>
          <w:rFonts w:hint="eastAsia" w:ascii="宋体" w:hAnsi="宋体" w:cs="Arial"/>
          <w:color w:val="000000"/>
        </w:rPr>
      </w:pPr>
      <w:r>
        <w:rPr>
          <w:rFonts w:ascii="宋体" w:hAnsi="宋体" w:cs="Arial"/>
          <w:color w:val="000000"/>
        </w:rPr>
        <w:t>⑤其他弄虚作假的行为。</w:t>
      </w:r>
    </w:p>
    <w:p>
      <w:pPr>
        <w:pStyle w:val="23"/>
        <w:spacing w:line="420" w:lineRule="exact"/>
        <w:rPr>
          <w:rFonts w:hint="eastAsia"/>
          <w:color w:val="000000"/>
        </w:rPr>
      </w:pPr>
      <w:r>
        <w:rPr>
          <w:rFonts w:hint="eastAsia"/>
          <w:color w:val="000000"/>
        </w:rPr>
        <w:t>10.</w:t>
      </w:r>
      <w:r>
        <w:rPr>
          <w:color w:val="000000"/>
        </w:rPr>
        <w:t>7</w:t>
      </w:r>
      <w:r>
        <w:rPr>
          <w:rFonts w:hint="eastAsia"/>
          <w:color w:val="000000"/>
        </w:rPr>
        <w:t>招标、评标、中标无效</w:t>
      </w:r>
    </w:p>
    <w:p>
      <w:pPr>
        <w:snapToGrid w:val="0"/>
        <w:spacing w:line="400" w:lineRule="exact"/>
        <w:ind w:firstLine="420" w:firstLineChars="200"/>
        <w:rPr>
          <w:rFonts w:hint="eastAsia"/>
          <w:color w:val="000000"/>
        </w:rPr>
      </w:pPr>
      <w:r>
        <w:rPr>
          <w:color w:val="000000"/>
        </w:rPr>
        <w:t>依法必须进行招标的项目的招标投标活动违反招标投标法和招标投标法实施条例的规定，对中标结果造成实质性影响，且不能采取补救措施予以纠正的，招标、投标、中标无效，应当依法重新招标或者评标。</w:t>
      </w:r>
    </w:p>
    <w:p>
      <w:pPr>
        <w:jc w:val="center"/>
        <w:rPr>
          <w:rFonts w:hint="eastAsia" w:ascii="黑体" w:hAnsi="黑体"/>
          <w:b/>
          <w:bCs/>
          <w:sz w:val="30"/>
          <w:szCs w:val="30"/>
        </w:rPr>
      </w:pPr>
      <w:bookmarkStart w:id="206" w:name="_Toc152045598"/>
      <w:bookmarkStart w:id="207" w:name="_Toc144974565"/>
      <w:bookmarkStart w:id="208" w:name="_Toc361338287"/>
      <w:bookmarkStart w:id="209" w:name="_Toc152042375"/>
      <w:r>
        <w:rPr>
          <w:rFonts w:hint="eastAsia"/>
          <w:sz w:val="30"/>
          <w:szCs w:val="30"/>
        </w:rPr>
        <w:br w:type="page"/>
      </w:r>
      <w:r>
        <w:rPr>
          <w:rFonts w:hint="eastAsia"/>
          <w:sz w:val="30"/>
          <w:szCs w:val="30"/>
        </w:rPr>
        <w:t>第三章 评标办法（综合评估法）</w:t>
      </w:r>
      <w:bookmarkEnd w:id="206"/>
      <w:bookmarkEnd w:id="207"/>
      <w:bookmarkEnd w:id="208"/>
      <w:bookmarkEnd w:id="209"/>
    </w:p>
    <w:p>
      <w:pPr>
        <w:pStyle w:val="20"/>
        <w:jc w:val="center"/>
        <w:rPr>
          <w:rFonts w:hint="eastAsia"/>
        </w:rPr>
      </w:pPr>
      <w:bookmarkStart w:id="210" w:name="_Toc144974566"/>
      <w:bookmarkStart w:id="211" w:name="_Toc152045599"/>
      <w:bookmarkStart w:id="212" w:name="_Toc152042376"/>
      <w:bookmarkStart w:id="213" w:name="_Toc361338288"/>
      <w:r>
        <w:rPr>
          <w:rFonts w:hint="eastAsia"/>
        </w:rPr>
        <w:t>评标办法前附表</w:t>
      </w:r>
      <w:bookmarkEnd w:id="210"/>
      <w:bookmarkEnd w:id="211"/>
      <w:bookmarkEnd w:id="212"/>
      <w:bookmarkEnd w:id="213"/>
    </w:p>
    <w:tbl>
      <w:tblPr>
        <w:tblStyle w:val="15"/>
        <w:tblW w:w="9911" w:type="dxa"/>
        <w:tblInd w:w="-3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1"/>
        <w:gridCol w:w="450"/>
        <w:gridCol w:w="175"/>
        <w:gridCol w:w="1232"/>
        <w:gridCol w:w="1196"/>
        <w:gridCol w:w="768"/>
        <w:gridCol w:w="1059"/>
        <w:gridCol w:w="518"/>
        <w:gridCol w:w="1009"/>
        <w:gridCol w:w="1173"/>
        <w:gridCol w:w="1050"/>
        <w:gridCol w:w="3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911" w:type="dxa"/>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ascii="宋体" w:hAnsi="宋体"/>
                <w:b/>
                <w:szCs w:val="21"/>
              </w:rPr>
              <w:t>条款号</w:t>
            </w:r>
          </w:p>
        </w:tc>
        <w:tc>
          <w:tcPr>
            <w:tcW w:w="185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ascii="宋体" w:hAnsi="宋体"/>
                <w:b/>
                <w:szCs w:val="21"/>
              </w:rPr>
              <w:t>条款内容</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48" w:lineRule="auto"/>
              <w:ind w:firstLine="422" w:firstLineChars="200"/>
              <w:jc w:val="center"/>
              <w:rPr>
                <w:rFonts w:hint="eastAsia" w:ascii="宋体" w:hAnsi="宋体" w:cs="宋体"/>
                <w:b/>
                <w:bCs/>
                <w:color w:val="auto"/>
                <w:szCs w:val="21"/>
                <w:highlight w:val="none"/>
                <w:u w:val="single"/>
                <w:shd w:val="clear" w:color="auto" w:fill="FFFFFF"/>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911" w:type="dxa"/>
            <w:vMerge w:val="restart"/>
            <w:tcBorders>
              <w:top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1</w:t>
            </w:r>
          </w:p>
        </w:tc>
        <w:tc>
          <w:tcPr>
            <w:tcW w:w="625" w:type="dxa"/>
            <w:gridSpan w:val="2"/>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color w:val="auto"/>
                <w:szCs w:val="21"/>
                <w:highlight w:val="none"/>
                <w:lang w:val="en-US" w:eastAsia="zh-CN"/>
              </w:rPr>
            </w:pPr>
            <w:r>
              <w:rPr>
                <w:rFonts w:hint="eastAsia" w:ascii="宋体" w:hAnsi="宋体"/>
                <w:b/>
                <w:bCs/>
                <w:color w:val="000000"/>
                <w:szCs w:val="21"/>
              </w:rPr>
              <w:t>商务标评分标准</w:t>
            </w:r>
            <w:r>
              <w:rPr>
                <w:rFonts w:hint="eastAsia" w:ascii="宋体" w:hAnsi="宋体"/>
                <w:b/>
                <w:bCs/>
                <w:color w:val="000000"/>
                <w:szCs w:val="21"/>
                <w:lang w:eastAsia="zh-CN"/>
              </w:rPr>
              <w:t>（</w:t>
            </w:r>
            <w:r>
              <w:rPr>
                <w:rFonts w:hint="eastAsia" w:ascii="宋体" w:hAnsi="宋体" w:cs="宋体"/>
                <w:b/>
                <w:bCs/>
                <w:color w:val="auto"/>
                <w:szCs w:val="21"/>
                <w:highlight w:val="none"/>
              </w:rPr>
              <w:t>分值</w:t>
            </w:r>
            <w:r>
              <w:rPr>
                <w:rFonts w:hint="eastAsia" w:ascii="宋体" w:hAnsi="宋体"/>
                <w:b/>
                <w:bCs/>
                <w:color w:val="000000"/>
                <w:szCs w:val="21"/>
                <w:lang w:val="en-US" w:eastAsia="zh-CN"/>
              </w:rPr>
              <w:t>70分）</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48" w:lineRule="auto"/>
              <w:jc w:val="both"/>
              <w:rPr>
                <w:rFonts w:hint="eastAsia" w:ascii="宋体" w:hAnsi="宋体"/>
                <w:b/>
                <w:bCs/>
                <w:szCs w:val="21"/>
              </w:rPr>
            </w:pPr>
            <w:r>
              <w:rPr>
                <w:rFonts w:hint="eastAsia" w:ascii="宋体" w:hAnsi="宋体"/>
                <w:b w:val="0"/>
                <w:bCs w:val="0"/>
                <w:szCs w:val="21"/>
              </w:rPr>
              <w:t>监理费报价范围</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422" w:firstLineChars="200"/>
              <w:textAlignment w:val="auto"/>
              <w:rPr>
                <w:rFonts w:hint="eastAsia" w:ascii="宋体" w:hAnsi="宋体" w:cs="宋体"/>
                <w:b/>
                <w:bCs/>
                <w:color w:val="auto"/>
                <w:szCs w:val="21"/>
                <w:highlight w:val="none"/>
                <w:shd w:val="clear" w:color="auto" w:fill="FFFFFF"/>
              </w:rPr>
            </w:pPr>
            <w:r>
              <w:rPr>
                <w:rFonts w:hint="eastAsia" w:ascii="宋体" w:hAnsi="宋体" w:cs="宋体"/>
                <w:b/>
                <w:bCs/>
                <w:color w:val="auto"/>
                <w:szCs w:val="21"/>
                <w:highlight w:val="none"/>
                <w:shd w:val="clear" w:color="auto" w:fill="FFFFFF"/>
              </w:rPr>
              <w:t>此次监理招标的施工监理服务收费最高限价为</w:t>
            </w:r>
            <w:r>
              <w:rPr>
                <w:rFonts w:hint="eastAsia" w:ascii="宋体" w:hAnsi="宋体" w:cs="宋体"/>
                <w:b/>
                <w:bCs w:val="0"/>
                <w:color w:val="FF0000"/>
                <w:szCs w:val="21"/>
                <w:highlight w:val="none"/>
                <w:shd w:val="clear" w:color="auto" w:fill="FFFFFF"/>
                <w:lang w:val="en-US" w:eastAsia="zh-CN"/>
              </w:rPr>
              <w:t>452.0000万元</w:t>
            </w:r>
            <w:r>
              <w:rPr>
                <w:rFonts w:hint="eastAsia" w:ascii="宋体" w:hAnsi="宋体" w:cs="宋体"/>
                <w:b/>
                <w:bCs w:val="0"/>
                <w:color w:val="FF0000"/>
                <w:szCs w:val="21"/>
                <w:highlight w:val="none"/>
                <w:shd w:val="clear" w:color="auto" w:fill="FFFFFF"/>
              </w:rPr>
              <w:t>，即最高投标费率</w:t>
            </w:r>
            <w:r>
              <w:rPr>
                <w:rFonts w:hint="eastAsia" w:ascii="宋体" w:hAnsi="宋体" w:cs="宋体"/>
                <w:b/>
                <w:bCs w:val="0"/>
                <w:color w:val="FF0000"/>
                <w:szCs w:val="21"/>
                <w:highlight w:val="none"/>
                <w:shd w:val="clear" w:color="auto" w:fill="FFFFFF"/>
                <w:lang w:val="en-US" w:eastAsia="zh-CN"/>
              </w:rPr>
              <w:t>1.254%</w:t>
            </w:r>
            <w:r>
              <w:rPr>
                <w:rFonts w:hint="eastAsia" w:ascii="宋体" w:hAnsi="宋体"/>
                <w:b/>
                <w:bCs/>
                <w:color w:val="FF0000"/>
                <w:sz w:val="20"/>
                <w:szCs w:val="20"/>
                <w:shd w:val="clear" w:color="auto" w:fill="FFFFFF"/>
              </w:rPr>
              <w:t>。</w:t>
            </w:r>
            <w:r>
              <w:rPr>
                <w:rFonts w:hint="eastAsia" w:ascii="宋体" w:hAnsi="宋体" w:cs="宋体"/>
                <w:b/>
                <w:bCs/>
                <w:color w:val="auto"/>
                <w:szCs w:val="21"/>
                <w:highlight w:val="none"/>
                <w:shd w:val="clear" w:color="auto" w:fill="FFFFFF"/>
              </w:rPr>
              <w:t>投标人的投标报价超出施工监理服务收费最高限价的，按否决其投标处理。</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本次监理招标的施工监理服务费设</w:t>
            </w:r>
            <w:r>
              <w:rPr>
                <w:rFonts w:hint="eastAsia" w:ascii="宋体" w:hAnsi="宋体" w:cs="宋体"/>
                <w:b/>
                <w:color w:val="auto"/>
                <w:szCs w:val="21"/>
                <w:highlight w:val="none"/>
              </w:rPr>
              <w:t>风险控制价</w:t>
            </w:r>
            <w:r>
              <w:rPr>
                <w:rFonts w:hint="eastAsia" w:ascii="宋体" w:hAnsi="宋体" w:cs="宋体"/>
                <w:color w:val="auto"/>
                <w:szCs w:val="21"/>
                <w:highlight w:val="none"/>
              </w:rPr>
              <w:t>（成本警戒值），投标人的投标报价低于风险控制价的不进入评标基准价计算。取定办法：商务标开启后，取所有效投标报价</w:t>
            </w:r>
            <w:r>
              <w:rPr>
                <w:rFonts w:hint="eastAsia" w:ascii="宋体" w:hAnsi="宋体" w:cs="宋体"/>
                <w:color w:val="FF0000"/>
                <w:szCs w:val="21"/>
                <w:highlight w:val="none"/>
              </w:rPr>
              <w:t>（</w:t>
            </w:r>
            <w:r>
              <w:rPr>
                <w:rFonts w:hint="eastAsia" w:ascii="宋体" w:hAnsi="宋体" w:cs="宋体"/>
                <w:b/>
                <w:bCs/>
                <w:color w:val="FF0000"/>
                <w:szCs w:val="21"/>
                <w:highlight w:val="none"/>
              </w:rPr>
              <w:t>出现以下情况时为无效投标报价，该投标报价不进入风险控制价的计算范围</w:t>
            </w:r>
            <w:r>
              <w:rPr>
                <w:rFonts w:hint="eastAsia" w:ascii="宋体" w:hAnsi="宋体" w:cs="宋体"/>
                <w:color w:val="FF0000"/>
                <w:szCs w:val="21"/>
                <w:highlight w:val="none"/>
              </w:rPr>
              <w:t>：</w:t>
            </w:r>
            <w:r>
              <w:rPr>
                <w:rFonts w:hint="eastAsia" w:ascii="宋体" w:hAnsi="宋体" w:cs="宋体"/>
                <w:color w:val="auto"/>
                <w:szCs w:val="21"/>
                <w:highlight w:val="none"/>
              </w:rPr>
              <w:t>①投标人的投标报价高于投标最高投标限价的；②开商务标前已经被否决其投标的；③未提供投标函或投标函中无报价或投标函中出现两个及以上不同报价且未声明哪一个有效的）的算术平均值再下浮</w:t>
            </w:r>
            <w:r>
              <w:rPr>
                <w:rFonts w:hint="eastAsia" w:ascii="宋体" w:hAnsi="宋体" w:cs="宋体"/>
                <w:b/>
                <w:color w:val="auto"/>
                <w:szCs w:val="21"/>
                <w:highlight w:val="none"/>
              </w:rPr>
              <w:t>10个百分点</w:t>
            </w:r>
            <w:r>
              <w:rPr>
                <w:rFonts w:hint="eastAsia" w:ascii="宋体" w:hAnsi="宋体" w:cs="宋体"/>
                <w:color w:val="auto"/>
                <w:szCs w:val="21"/>
                <w:highlight w:val="none"/>
              </w:rPr>
              <w:t>（平均值取“元”单位整数，小数点后第一位数采用四舍五入）作为投标报价风险控制价。</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cs="宋体"/>
                <w:b/>
                <w:bCs/>
                <w:color w:val="auto"/>
                <w:szCs w:val="21"/>
                <w:highlight w:val="none"/>
                <w:u w:val="single"/>
                <w:shd w:val="clear" w:color="auto" w:fill="FFFFFF"/>
              </w:rPr>
            </w:pPr>
            <w:r>
              <w:rPr>
                <w:rFonts w:hint="eastAsia" w:ascii="宋体" w:hAnsi="宋体" w:cs="宋体"/>
                <w:color w:val="auto"/>
                <w:szCs w:val="21"/>
                <w:highlight w:val="none"/>
              </w:rPr>
              <w:t>报价低于成本警戒值的不参与评标基准价的计算，可以参加商务标得分的计算。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66" w:hRule="atLeast"/>
        </w:trPr>
        <w:tc>
          <w:tcPr>
            <w:tcW w:w="911" w:type="dxa"/>
            <w:vMerge w:val="continue"/>
            <w:tcBorders>
              <w:right w:val="single" w:color="auto" w:sz="4" w:space="0"/>
            </w:tcBorders>
            <w:noWrap w:val="0"/>
            <w:vAlign w:val="center"/>
          </w:tcPr>
          <w:p>
            <w:pPr>
              <w:snapToGrid w:val="0"/>
              <w:spacing w:line="348" w:lineRule="auto"/>
              <w:ind w:firstLine="420" w:firstLineChars="200"/>
            </w:pPr>
          </w:p>
        </w:tc>
        <w:tc>
          <w:tcPr>
            <w:tcW w:w="625" w:type="dxa"/>
            <w:gridSpan w:val="2"/>
            <w:vMerge w:val="continue"/>
            <w:tcBorders>
              <w:left w:val="single" w:color="auto" w:sz="4" w:space="0"/>
              <w:right w:val="single" w:color="auto" w:sz="4" w:space="0"/>
            </w:tcBorders>
            <w:noWrap w:val="0"/>
            <w:vAlign w:val="center"/>
          </w:tcPr>
          <w:p>
            <w:pPr>
              <w:snapToGrid w:val="0"/>
              <w:spacing w:line="348" w:lineRule="auto"/>
              <w:ind w:firstLine="420" w:firstLineChars="200"/>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48" w:lineRule="auto"/>
            </w:pPr>
            <w:r>
              <w:rPr>
                <w:rFonts w:hint="eastAsia" w:ascii="宋体" w:hAnsi="宋体"/>
                <w:color w:val="000000"/>
                <w:szCs w:val="21"/>
              </w:rPr>
              <w:t>评标监理费基准价的确定</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cs="宋体"/>
                <w:b w:val="0"/>
                <w:bCs w:val="0"/>
                <w:color w:val="auto"/>
                <w:szCs w:val="21"/>
                <w:highlight w:val="none"/>
                <w:shd w:val="clear" w:color="auto" w:fill="FFFFFF"/>
              </w:rPr>
            </w:pPr>
            <w:r>
              <w:rPr>
                <w:rFonts w:hint="eastAsia" w:ascii="宋体" w:hAnsi="宋体"/>
                <w:b w:val="0"/>
                <w:bCs w:val="0"/>
                <w:kern w:val="0"/>
              </w:rPr>
              <w:t>评标基准价（M）的确定。</w:t>
            </w:r>
            <w:r>
              <w:rPr>
                <w:rFonts w:hint="eastAsia" w:ascii="宋体" w:hAnsi="宋体" w:cs="宋体"/>
                <w:b w:val="0"/>
                <w:bCs w:val="0"/>
                <w:color w:val="auto"/>
                <w:szCs w:val="21"/>
                <w:highlight w:val="none"/>
                <w:shd w:val="clear" w:color="auto" w:fill="FFFFFF"/>
              </w:rPr>
              <w:t>若有效报价（最高限价≥有效报价≥风险控制价）＞7家，则由招标人在有效报价中通过业主打球的方式随机抽取7家，这7家投标报价的算术平均值作为评标基准价的计算参数。如所有有效投标报价≤7家时，则取所有有效投标报价的算术平均值作为评标基准价的计算参数。（注：出现以下情况时，该投标报价不进入评标基准价的计算范围：①投标人的投标报价高于投标最高限价的；②开商务标前已经被否决其投标的；③未提供投标函或投标函中无报价或投标函中出现两个及以上不同报价且未声明哪一个有效的；④投标人的投标报价低于风险控制价的。）</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cs="宋体"/>
                <w:b w:val="0"/>
                <w:bCs w:val="0"/>
                <w:color w:val="auto"/>
                <w:szCs w:val="21"/>
                <w:highlight w:val="none"/>
                <w:shd w:val="clear" w:color="auto" w:fill="FFFFFF"/>
              </w:rPr>
            </w:pPr>
            <w:r>
              <w:rPr>
                <w:rFonts w:hint="eastAsia" w:ascii="宋体" w:hAnsi="宋体" w:cs="宋体"/>
                <w:b w:val="0"/>
                <w:bCs w:val="0"/>
                <w:color w:val="auto"/>
                <w:szCs w:val="21"/>
                <w:highlight w:val="none"/>
                <w:shd w:val="clear" w:color="auto" w:fill="FFFFFF"/>
              </w:rPr>
              <w:t>具体公式为：</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cs="宋体"/>
                <w:b w:val="0"/>
                <w:bCs w:val="0"/>
                <w:color w:val="auto"/>
                <w:szCs w:val="21"/>
                <w:highlight w:val="none"/>
                <w:shd w:val="clear" w:color="auto" w:fill="FFFFFF"/>
              </w:rPr>
            </w:pPr>
            <w:r>
              <w:rPr>
                <w:rFonts w:hint="eastAsia" w:ascii="宋体" w:hAnsi="宋体" w:cs="宋体"/>
                <w:b w:val="0"/>
                <w:bCs w:val="0"/>
                <w:color w:val="auto"/>
                <w:szCs w:val="21"/>
                <w:highlight w:val="none"/>
                <w:shd w:val="clear" w:color="auto" w:fill="FFFFFF"/>
              </w:rPr>
              <w:t>若有效报价＞7家，（M）＝(1- K)×（随机抽取的7家算术平均值）；</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cs="宋体"/>
                <w:b w:val="0"/>
                <w:bCs w:val="0"/>
                <w:color w:val="auto"/>
                <w:szCs w:val="21"/>
                <w:highlight w:val="none"/>
                <w:shd w:val="clear" w:color="auto" w:fill="FFFFFF"/>
              </w:rPr>
            </w:pPr>
            <w:r>
              <w:rPr>
                <w:rFonts w:hint="eastAsia" w:ascii="宋体" w:hAnsi="宋体" w:cs="宋体"/>
                <w:b w:val="0"/>
                <w:bCs w:val="0"/>
                <w:color w:val="auto"/>
                <w:szCs w:val="21"/>
                <w:highlight w:val="none"/>
                <w:shd w:val="clear" w:color="auto" w:fill="FFFFFF"/>
              </w:rPr>
              <w:t>若有效报价≤7家，（M）＝(1- K)×（所有有效报价的算术平均值）；</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cs="宋体"/>
                <w:b w:val="0"/>
                <w:bCs w:val="0"/>
                <w:color w:val="auto"/>
                <w:szCs w:val="21"/>
                <w:highlight w:val="none"/>
                <w:shd w:val="clear" w:color="auto" w:fill="FFFFFF"/>
              </w:rPr>
            </w:pPr>
            <w:r>
              <w:rPr>
                <w:rFonts w:hint="eastAsia" w:ascii="宋体" w:hAnsi="宋体" w:cs="宋体"/>
                <w:b w:val="0"/>
                <w:bCs w:val="0"/>
                <w:color w:val="auto"/>
                <w:szCs w:val="21"/>
                <w:highlight w:val="none"/>
                <w:shd w:val="clear" w:color="auto" w:fill="FFFFFF"/>
              </w:rPr>
              <w:t>注：确定后的评标基准价在整个评标期间保持不变，不随通过投标人资格审查、符合性评审和详细评审的投标人的数量发生变化。</w:t>
            </w:r>
          </w:p>
          <w:p>
            <w:pPr>
              <w:keepNext w:val="0"/>
              <w:keepLines w:val="0"/>
              <w:pageBreakBefore w:val="0"/>
              <w:widowControl w:val="0"/>
              <w:kinsoku/>
              <w:wordWrap/>
              <w:overflowPunct/>
              <w:topLinePunct w:val="0"/>
              <w:autoSpaceDE/>
              <w:autoSpaceDN/>
              <w:bidi w:val="0"/>
              <w:adjustRightInd/>
              <w:snapToGrid w:val="0"/>
              <w:spacing w:line="312" w:lineRule="auto"/>
              <w:ind w:firstLine="420" w:firstLineChars="200"/>
              <w:textAlignment w:val="auto"/>
              <w:rPr>
                <w:rFonts w:hint="eastAsia" w:ascii="宋体" w:hAnsi="宋体" w:cs="宋体"/>
                <w:color w:val="auto"/>
                <w:szCs w:val="21"/>
                <w:highlight w:val="none"/>
              </w:rPr>
            </w:pPr>
            <w:r>
              <w:rPr>
                <w:rFonts w:hint="eastAsia" w:ascii="宋体" w:hAnsi="宋体" w:cs="宋体"/>
                <w:b w:val="0"/>
                <w:bCs w:val="0"/>
                <w:color w:val="auto"/>
                <w:szCs w:val="21"/>
                <w:highlight w:val="none"/>
                <w:u w:val="single"/>
                <w:shd w:val="clear" w:color="auto" w:fill="FFFFFF"/>
              </w:rPr>
              <w:t>K值为招标人在开启各投标人商务标前，在0</w:t>
            </w:r>
            <w:r>
              <w:rPr>
                <w:rFonts w:hint="eastAsia" w:ascii="宋体" w:hAnsi="宋体" w:cs="宋体"/>
                <w:b w:val="0"/>
                <w:bCs w:val="0"/>
                <w:color w:val="auto"/>
                <w:szCs w:val="21"/>
                <w:highlight w:val="none"/>
                <w:u w:val="single"/>
                <w:shd w:val="clear" w:color="auto" w:fill="FFFFFF"/>
                <w:lang w:val="en-US" w:eastAsia="zh-CN"/>
              </w:rPr>
              <w:t>.5</w:t>
            </w:r>
            <w:r>
              <w:rPr>
                <w:rFonts w:hint="eastAsia" w:ascii="宋体" w:hAnsi="宋体" w:cs="宋体"/>
                <w:b w:val="0"/>
                <w:bCs w:val="0"/>
                <w:color w:val="auto"/>
                <w:szCs w:val="21"/>
                <w:highlight w:val="none"/>
                <w:u w:val="single"/>
                <w:shd w:val="clear" w:color="auto" w:fill="FFFFFF"/>
              </w:rPr>
              <w:t>%、1%、</w:t>
            </w:r>
            <w:r>
              <w:rPr>
                <w:rFonts w:hint="eastAsia" w:ascii="宋体" w:hAnsi="宋体" w:cs="宋体"/>
                <w:b w:val="0"/>
                <w:bCs w:val="0"/>
                <w:color w:val="auto"/>
                <w:szCs w:val="21"/>
                <w:highlight w:val="none"/>
                <w:u w:val="single"/>
                <w:shd w:val="clear" w:color="auto" w:fill="FFFFFF"/>
                <w:lang w:val="en-US" w:eastAsia="zh-CN"/>
              </w:rPr>
              <w:t>1.5%</w:t>
            </w:r>
            <w:r>
              <w:rPr>
                <w:rFonts w:hint="eastAsia" w:ascii="宋体" w:hAnsi="宋体" w:cs="宋体"/>
                <w:b w:val="0"/>
                <w:bCs w:val="0"/>
                <w:color w:val="auto"/>
                <w:szCs w:val="21"/>
                <w:highlight w:val="none"/>
                <w:u w:val="single"/>
                <w:shd w:val="clear" w:color="auto" w:fill="FFFFFF"/>
              </w:rPr>
              <w:t>、2%号码中随机抽取的一个下浮率</w:t>
            </w:r>
            <w:r>
              <w:rPr>
                <w:rFonts w:hint="eastAsia" w:ascii="宋体" w:hAnsi="宋体" w:cs="宋体"/>
                <w:b w:val="0"/>
                <w:bCs w:val="0"/>
                <w:color w:val="auto"/>
                <w:szCs w:val="21"/>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11" w:type="dxa"/>
            <w:vMerge w:val="continue"/>
            <w:tcBorders>
              <w:bottom w:val="single" w:color="auto" w:sz="4" w:space="0"/>
              <w:right w:val="single" w:color="auto" w:sz="4" w:space="0"/>
            </w:tcBorders>
            <w:noWrap w:val="0"/>
            <w:vAlign w:val="center"/>
          </w:tcPr>
          <w:p>
            <w:pPr>
              <w:snapToGrid w:val="0"/>
              <w:spacing w:line="300" w:lineRule="exact"/>
            </w:pPr>
          </w:p>
        </w:tc>
        <w:tc>
          <w:tcPr>
            <w:tcW w:w="625" w:type="dxa"/>
            <w:gridSpan w:val="2"/>
            <w:vMerge w:val="continue"/>
            <w:tcBorders>
              <w:left w:val="single" w:color="auto" w:sz="4" w:space="0"/>
              <w:bottom w:val="single" w:color="auto" w:sz="4" w:space="0"/>
              <w:right w:val="single" w:color="auto" w:sz="4" w:space="0"/>
            </w:tcBorders>
            <w:noWrap w:val="0"/>
            <w:vAlign w:val="center"/>
          </w:tcPr>
          <w:p>
            <w:pPr>
              <w:snapToGrid w:val="0"/>
              <w:spacing w:line="300" w:lineRule="exact"/>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napToGrid w:val="0"/>
              <w:spacing w:line="348" w:lineRule="auto"/>
              <w:jc w:val="both"/>
              <w:rPr>
                <w:rFonts w:hint="eastAsia" w:ascii="宋体" w:hAnsi="宋体" w:cs="宋体"/>
                <w:color w:val="auto"/>
                <w:szCs w:val="21"/>
                <w:highlight w:val="none"/>
              </w:rPr>
            </w:pPr>
            <w:r>
              <w:rPr>
                <w:rFonts w:ascii="宋体" w:hAnsi="宋体"/>
                <w:b w:val="0"/>
                <w:bCs w:val="0"/>
                <w:color w:val="000000"/>
                <w:szCs w:val="21"/>
              </w:rPr>
              <w:t>商务标评分值</w:t>
            </w:r>
            <w:r>
              <w:rPr>
                <w:rFonts w:hint="eastAsia" w:ascii="宋体" w:hAnsi="宋体"/>
                <w:b w:val="0"/>
                <w:bCs w:val="0"/>
                <w:color w:val="000000"/>
                <w:szCs w:val="21"/>
              </w:rPr>
              <w:t>计算</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12" w:lineRule="auto"/>
              <w:textAlignment w:val="auto"/>
              <w:rPr>
                <w:rFonts w:hint="eastAsia" w:ascii="宋体" w:hAnsi="宋体"/>
                <w:szCs w:val="21"/>
              </w:rPr>
            </w:pPr>
            <w:r>
              <w:rPr>
                <w:rFonts w:hint="eastAsia" w:ascii="宋体" w:hAnsi="宋体"/>
                <w:szCs w:val="21"/>
              </w:rPr>
              <w:t>以各有效商务报价与评标基准价（M）相比，计算商务标报价评分值：</w:t>
            </w:r>
          </w:p>
          <w:p>
            <w:pPr>
              <w:keepNext w:val="0"/>
              <w:keepLines w:val="0"/>
              <w:pageBreakBefore w:val="0"/>
              <w:widowControl w:val="0"/>
              <w:kinsoku/>
              <w:wordWrap/>
              <w:overflowPunct/>
              <w:topLinePunct w:val="0"/>
              <w:autoSpaceDE/>
              <w:autoSpaceDN/>
              <w:bidi w:val="0"/>
              <w:adjustRightInd/>
              <w:spacing w:line="312" w:lineRule="auto"/>
              <w:ind w:firstLine="420" w:firstLineChars="200"/>
              <w:textAlignment w:val="auto"/>
              <w:rPr>
                <w:rFonts w:hint="eastAsia" w:ascii="宋体" w:hAnsi="宋体"/>
                <w:szCs w:val="21"/>
              </w:rPr>
            </w:pPr>
            <w:r>
              <w:rPr>
                <w:rFonts w:hint="eastAsia" w:ascii="宋体" w:hAnsi="宋体"/>
                <w:szCs w:val="21"/>
              </w:rPr>
              <w:t>等于评标基准价（M）的商务标得满分</w:t>
            </w:r>
            <w:r>
              <w:rPr>
                <w:rFonts w:hint="eastAsia" w:ascii="宋体" w:hAnsi="宋体"/>
                <w:szCs w:val="21"/>
                <w:lang w:val="en-US" w:eastAsia="zh-CN"/>
              </w:rPr>
              <w:t>70</w:t>
            </w:r>
            <w:r>
              <w:rPr>
                <w:rFonts w:hint="eastAsia" w:ascii="宋体" w:hAnsi="宋体"/>
                <w:szCs w:val="21"/>
              </w:rPr>
              <w:t>分；</w:t>
            </w:r>
          </w:p>
          <w:p>
            <w:pPr>
              <w:keepNext w:val="0"/>
              <w:keepLines w:val="0"/>
              <w:pageBreakBefore w:val="0"/>
              <w:widowControl w:val="0"/>
              <w:kinsoku/>
              <w:wordWrap/>
              <w:overflowPunct/>
              <w:topLinePunct w:val="0"/>
              <w:autoSpaceDE/>
              <w:autoSpaceDN/>
              <w:bidi w:val="0"/>
              <w:adjustRightInd/>
              <w:spacing w:line="312" w:lineRule="auto"/>
              <w:ind w:firstLine="420" w:firstLineChars="200"/>
              <w:textAlignment w:val="auto"/>
              <w:rPr>
                <w:rFonts w:hint="eastAsia" w:ascii="宋体" w:hAnsi="宋体"/>
                <w:szCs w:val="21"/>
              </w:rPr>
            </w:pPr>
            <w:r>
              <w:rPr>
                <w:rFonts w:hint="eastAsia" w:ascii="宋体" w:hAnsi="宋体"/>
                <w:szCs w:val="21"/>
              </w:rPr>
              <w:t>低于评标基准价（M）的商务标，每下降1%扣0.</w:t>
            </w:r>
            <w:r>
              <w:rPr>
                <w:rFonts w:hint="eastAsia" w:ascii="宋体" w:hAnsi="宋体"/>
                <w:szCs w:val="21"/>
                <w:lang w:val="en-US" w:eastAsia="zh-CN"/>
              </w:rPr>
              <w:t>5</w:t>
            </w:r>
            <w:r>
              <w:rPr>
                <w:rFonts w:hint="eastAsia" w:ascii="宋体" w:hAnsi="宋体"/>
                <w:szCs w:val="21"/>
              </w:rPr>
              <w:t>分；</w:t>
            </w:r>
          </w:p>
          <w:p>
            <w:pPr>
              <w:keepNext w:val="0"/>
              <w:keepLines w:val="0"/>
              <w:pageBreakBefore w:val="0"/>
              <w:widowControl w:val="0"/>
              <w:kinsoku/>
              <w:wordWrap/>
              <w:overflowPunct/>
              <w:topLinePunct w:val="0"/>
              <w:autoSpaceDE/>
              <w:autoSpaceDN/>
              <w:bidi w:val="0"/>
              <w:adjustRightInd/>
              <w:spacing w:line="312" w:lineRule="auto"/>
              <w:ind w:firstLine="420" w:firstLineChars="200"/>
              <w:textAlignment w:val="auto"/>
              <w:rPr>
                <w:rFonts w:hint="eastAsia" w:ascii="宋体" w:hAnsi="宋体"/>
                <w:szCs w:val="21"/>
              </w:rPr>
            </w:pPr>
            <w:r>
              <w:rPr>
                <w:rFonts w:hint="eastAsia" w:ascii="宋体" w:hAnsi="宋体"/>
                <w:szCs w:val="21"/>
              </w:rPr>
              <w:t>高于评标基准价（M）的商务标，每上升1%扣</w:t>
            </w:r>
            <w:r>
              <w:rPr>
                <w:rFonts w:hint="eastAsia" w:ascii="宋体" w:hAnsi="宋体"/>
                <w:szCs w:val="21"/>
                <w:lang w:val="en-US" w:eastAsia="zh-CN"/>
              </w:rPr>
              <w:t>1</w:t>
            </w:r>
            <w:r>
              <w:rPr>
                <w:rFonts w:hint="eastAsia" w:ascii="宋体" w:hAnsi="宋体"/>
                <w:szCs w:val="21"/>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cs="宋体"/>
                <w:color w:val="auto"/>
                <w:szCs w:val="21"/>
                <w:highlight w:val="none"/>
              </w:rPr>
            </w:pPr>
            <w:r>
              <w:rPr>
                <w:rFonts w:hint="eastAsia" w:ascii="宋体" w:hAnsi="宋体"/>
                <w:szCs w:val="21"/>
              </w:rPr>
              <w:t>计算商务标报价评分不足一个百分点时，使用直线插入法计算（得分保留二位小数, 第三位小数四舍五入）。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911" w:type="dxa"/>
            <w:vMerge w:val="restart"/>
            <w:tcBorders>
              <w:right w:val="single" w:color="auto" w:sz="4" w:space="0"/>
            </w:tcBorders>
            <w:noWrap w:val="0"/>
            <w:vAlign w:val="center"/>
          </w:tcPr>
          <w:p>
            <w:pPr>
              <w:snapToGrid w:val="0"/>
              <w:spacing w:line="300" w:lineRule="exact"/>
              <w:jc w:val="center"/>
              <w:rPr>
                <w:rFonts w:hint="eastAsia" w:ascii="宋体" w:hAnsi="宋体" w:eastAsia="宋体" w:cs="宋体"/>
                <w:color w:val="auto"/>
                <w:szCs w:val="21"/>
                <w:highlight w:val="none"/>
                <w:lang w:eastAsia="zh-CN"/>
              </w:rPr>
            </w:pPr>
            <w:bookmarkStart w:id="214" w:name="_Hlk48131054"/>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2</w:t>
            </w:r>
          </w:p>
        </w:tc>
        <w:tc>
          <w:tcPr>
            <w:tcW w:w="1857" w:type="dxa"/>
            <w:gridSpan w:val="3"/>
            <w:vMerge w:val="restart"/>
            <w:tcBorders>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C00000"/>
                <w:szCs w:val="21"/>
                <w:highlight w:val="none"/>
              </w:rPr>
            </w:pPr>
          </w:p>
          <w:p>
            <w:pPr>
              <w:snapToGrid w:val="0"/>
              <w:spacing w:line="300" w:lineRule="exact"/>
              <w:jc w:val="center"/>
              <w:rPr>
                <w:rFonts w:hint="eastAsia" w:ascii="宋体" w:hAnsi="宋体" w:cs="宋体"/>
                <w:color w:val="C00000"/>
                <w:szCs w:val="21"/>
                <w:highlight w:val="none"/>
              </w:rPr>
            </w:pPr>
          </w:p>
          <w:p>
            <w:pPr>
              <w:snapToGrid w:val="0"/>
              <w:spacing w:line="300" w:lineRule="exact"/>
              <w:jc w:val="center"/>
              <w:rPr>
                <w:rFonts w:hint="eastAsia" w:ascii="宋体" w:hAnsi="宋体" w:cs="宋体"/>
                <w:color w:val="C00000"/>
                <w:szCs w:val="21"/>
                <w:highlight w:val="none"/>
              </w:rPr>
            </w:pPr>
          </w:p>
          <w:p>
            <w:pPr>
              <w:snapToGrid w:val="0"/>
              <w:spacing w:line="300" w:lineRule="exact"/>
              <w:jc w:val="center"/>
              <w:rPr>
                <w:rFonts w:hint="eastAsia" w:ascii="宋体" w:hAnsi="宋体" w:cs="宋体"/>
                <w:color w:val="C00000"/>
                <w:szCs w:val="21"/>
                <w:highlight w:val="none"/>
              </w:rPr>
            </w:pPr>
          </w:p>
          <w:p>
            <w:pPr>
              <w:snapToGrid w:val="0"/>
              <w:spacing w:line="300" w:lineRule="exact"/>
              <w:jc w:val="center"/>
              <w:rPr>
                <w:rFonts w:hint="eastAsia" w:ascii="宋体" w:hAnsi="宋体" w:cs="宋体"/>
                <w:color w:val="C00000"/>
                <w:szCs w:val="21"/>
                <w:highlight w:val="none"/>
              </w:rPr>
            </w:pPr>
          </w:p>
          <w:p>
            <w:pPr>
              <w:snapToGrid w:val="0"/>
              <w:spacing w:line="300" w:lineRule="exact"/>
              <w:jc w:val="center"/>
              <w:rPr>
                <w:rFonts w:hint="eastAsia" w:ascii="宋体" w:hAnsi="宋体" w:cs="宋体"/>
                <w:color w:val="C00000"/>
                <w:szCs w:val="21"/>
                <w:highlight w:val="none"/>
              </w:rPr>
            </w:pPr>
            <w:r>
              <w:rPr>
                <w:rFonts w:hint="eastAsia" w:ascii="宋体" w:hAnsi="宋体" w:cs="宋体"/>
                <w:color w:val="C00000"/>
                <w:szCs w:val="21"/>
                <w:highlight w:val="none"/>
              </w:rPr>
              <w:t>技术标评分标准（分值</w:t>
            </w:r>
            <w:r>
              <w:rPr>
                <w:rFonts w:hint="eastAsia" w:ascii="宋体" w:hAnsi="宋体" w:cs="宋体"/>
                <w:color w:val="C00000"/>
                <w:szCs w:val="21"/>
                <w:highlight w:val="none"/>
                <w:lang w:val="en-US" w:eastAsia="zh-CN"/>
              </w:rPr>
              <w:t>25</w:t>
            </w:r>
            <w:r>
              <w:rPr>
                <w:rFonts w:hint="eastAsia" w:ascii="宋体" w:hAnsi="宋体" w:cs="宋体"/>
                <w:color w:val="C00000"/>
                <w:szCs w:val="21"/>
                <w:highlight w:val="none"/>
              </w:rPr>
              <w:t>分）</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eastAsia" w:ascii="宋体" w:hAnsi="宋体" w:cs="宋体"/>
                <w:b/>
                <w:color w:val="auto"/>
                <w:szCs w:val="21"/>
                <w:highlight w:val="none"/>
              </w:rPr>
            </w:pPr>
            <w:r>
              <w:rPr>
                <w:rFonts w:hint="eastAsia" w:ascii="宋体" w:hAnsi="宋体" w:cs="宋体"/>
                <w:color w:val="auto"/>
                <w:szCs w:val="21"/>
                <w:highlight w:val="none"/>
              </w:rPr>
              <w:t>技术标得分由评标委员会全体成员在认真审阅、分析技术标主要内容的基础上，采用记名方式各自评分，如发现某个单项的评分超过了评分细则所规定的范围的，则该张评分表无效。</w:t>
            </w:r>
            <w:r>
              <w:rPr>
                <w:rFonts w:hint="eastAsia" w:ascii="宋体" w:hAnsi="宋体" w:cs="宋体"/>
                <w:b/>
                <w:color w:val="FF0000"/>
                <w:szCs w:val="21"/>
                <w:highlight w:val="none"/>
              </w:rPr>
              <w:t>此项评分为：所有评标专家的有效评分的算术平均值。</w:t>
            </w:r>
            <w:r>
              <w:rPr>
                <w:rFonts w:hint="eastAsia" w:ascii="宋体" w:hAnsi="宋体" w:cs="宋体"/>
                <w:b/>
                <w:color w:val="auto"/>
                <w:szCs w:val="21"/>
                <w:highlight w:val="none"/>
              </w:rPr>
              <w:t>（小数点保留两位，第三位小数四舍五入）。（技术标为暗标）</w:t>
            </w:r>
          </w:p>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eastAsia" w:ascii="宋体" w:hAnsi="宋体" w:cs="宋体"/>
                <w:b/>
                <w:color w:val="auto"/>
                <w:szCs w:val="21"/>
                <w:highlight w:val="none"/>
              </w:rPr>
            </w:pPr>
            <w:r>
              <w:rPr>
                <w:rFonts w:hint="eastAsia" w:ascii="宋体" w:hAnsi="宋体" w:cs="宋体"/>
                <w:b/>
                <w:color w:val="auto"/>
                <w:szCs w:val="21"/>
                <w:highlight w:val="none"/>
              </w:rPr>
              <w:t>技术标评分标准如下：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28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cs="宋体"/>
                <w:color w:val="auto"/>
                <w:kern w:val="0"/>
                <w:szCs w:val="21"/>
                <w:highlight w:val="none"/>
              </w:rPr>
              <w:t>评分内容</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bCs/>
                <w:color w:val="auto"/>
                <w:szCs w:val="21"/>
                <w:highlight w:val="none"/>
                <w:shd w:val="clear" w:color="auto" w:fill="FFFFFF"/>
              </w:rPr>
            </w:pPr>
            <w:r>
              <w:rPr>
                <w:rFonts w:hint="eastAsia" w:ascii="宋体" w:hAnsi="宋体"/>
                <w:b/>
                <w:color w:val="000000"/>
                <w:szCs w:val="21"/>
              </w:rPr>
              <w:t>分值</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
                <w:color w:val="000000"/>
                <w:szCs w:val="21"/>
              </w:rPr>
              <w:t>优良</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
                <w:color w:val="000000"/>
                <w:szCs w:val="21"/>
              </w:rPr>
              <w:t>一般</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
                <w:color w:val="000000"/>
                <w:szCs w:val="21"/>
              </w:rPr>
              <w:t>差</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
                <w:color w:val="000000"/>
                <w:szCs w:val="21"/>
                <w:lang w:val="en-US" w:eastAsia="zh-CN"/>
              </w:rPr>
            </w:pPr>
            <w:r>
              <w:rPr>
                <w:rFonts w:hint="eastAsia" w:ascii="宋体" w:hAnsi="宋体"/>
                <w:b/>
                <w:color w:val="000000"/>
                <w:szCs w:val="21"/>
                <w:lang w:val="en-US" w:eastAsia="zh-CN"/>
              </w:rPr>
              <w:t>缺失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bCs/>
                <w:color w:val="auto"/>
                <w:szCs w:val="21"/>
                <w:highlight w:val="none"/>
                <w:shd w:val="clear" w:color="auto" w:fill="FFFFFF"/>
              </w:rPr>
            </w:pPr>
            <w:r>
              <w:rPr>
                <w:rFonts w:hint="eastAsia" w:ascii="宋体" w:hAnsi="宋体" w:cs="宋体"/>
                <w:color w:val="auto"/>
                <w:kern w:val="0"/>
                <w:szCs w:val="21"/>
                <w:highlight w:val="none"/>
              </w:rPr>
              <w:t>质量目标控制及手段</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bCs/>
                <w:color w:val="auto"/>
                <w:szCs w:val="21"/>
                <w:highlight w:val="none"/>
                <w:shd w:val="clear" w:color="auto" w:fill="FFFFFF"/>
              </w:rPr>
            </w:pPr>
            <w:r>
              <w:rPr>
                <w:rFonts w:hint="eastAsia" w:ascii="宋体" w:hAnsi="宋体"/>
                <w:szCs w:val="21"/>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Cs/>
                <w:color w:val="auto"/>
                <w:szCs w:val="21"/>
                <w:highlight w:val="none"/>
                <w:shd w:val="clear" w:color="auto" w:fill="FFFFFF"/>
                <w:lang w:val="en-US" w:eastAsia="zh-CN"/>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Cs/>
                <w:color w:val="auto"/>
                <w:szCs w:val="21"/>
                <w:highlight w:val="none"/>
                <w:shd w:val="clear" w:color="auto" w:fill="FFFFFF"/>
                <w:lang w:val="en-US" w:eastAsia="zh-CN"/>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cs="宋体"/>
                <w:bCs/>
                <w:color w:val="auto"/>
                <w:szCs w:val="21"/>
                <w:highlight w:val="none"/>
                <w:shd w:val="clear" w:color="auto" w:fill="FFFFFF"/>
                <w:lang w:val="en-US" w:eastAsia="zh-CN"/>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Cs/>
                <w:spacing w:val="5"/>
                <w:szCs w:val="21"/>
                <w:shd w:val="clear" w:color="auto" w:fill="FFFFFF"/>
                <w:lang w:val="en-US" w:eastAsia="zh-CN"/>
              </w:rPr>
            </w:pPr>
            <w:r>
              <w:rPr>
                <w:rFonts w:hint="eastAsia" w:ascii="宋体" w:hAnsi="宋体"/>
                <w:bCs/>
                <w:spacing w:val="5"/>
                <w:szCs w:val="21"/>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bCs/>
                <w:color w:val="auto"/>
                <w:szCs w:val="21"/>
                <w:highlight w:val="none"/>
                <w:shd w:val="clear" w:color="auto" w:fill="FFFFFF"/>
              </w:rPr>
            </w:pPr>
            <w:r>
              <w:rPr>
                <w:rFonts w:hint="eastAsia" w:ascii="宋体" w:hAnsi="宋体" w:cs="宋体"/>
                <w:color w:val="auto"/>
                <w:kern w:val="0"/>
                <w:szCs w:val="21"/>
                <w:highlight w:val="none"/>
              </w:rPr>
              <w:t>进度目标控制及手段</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szCs w:val="21"/>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Cs/>
                <w:spacing w:val="5"/>
                <w:szCs w:val="21"/>
                <w:shd w:val="clear" w:color="auto" w:fill="FFFFFF"/>
                <w:lang w:val="en-US" w:eastAsia="zh-CN"/>
              </w:rPr>
            </w:pPr>
            <w:r>
              <w:rPr>
                <w:rFonts w:hint="eastAsia" w:ascii="宋体" w:hAnsi="宋体"/>
                <w:bCs/>
                <w:spacing w:val="5"/>
                <w:szCs w:val="21"/>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bCs/>
                <w:color w:val="auto"/>
                <w:szCs w:val="21"/>
                <w:highlight w:val="none"/>
                <w:shd w:val="clear" w:color="auto" w:fill="FFFFFF"/>
              </w:rPr>
            </w:pPr>
            <w:r>
              <w:rPr>
                <w:rFonts w:hint="eastAsia" w:ascii="宋体" w:hAnsi="宋体" w:cs="宋体"/>
                <w:color w:val="auto"/>
                <w:kern w:val="0"/>
                <w:szCs w:val="21"/>
                <w:highlight w:val="none"/>
              </w:rPr>
              <w:t>投资目标控制及手段</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szCs w:val="21"/>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Cs/>
                <w:spacing w:val="5"/>
                <w:szCs w:val="21"/>
                <w:shd w:val="clear" w:color="auto" w:fill="FFFFFF"/>
                <w:lang w:val="en-US" w:eastAsia="zh-CN"/>
              </w:rPr>
            </w:pPr>
            <w:r>
              <w:rPr>
                <w:rFonts w:hint="eastAsia" w:ascii="宋体" w:hAnsi="宋体"/>
                <w:bCs/>
                <w:spacing w:val="5"/>
                <w:szCs w:val="21"/>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bCs/>
                <w:color w:val="auto"/>
                <w:szCs w:val="21"/>
                <w:highlight w:val="none"/>
                <w:shd w:val="clear" w:color="auto" w:fill="FFFFFF"/>
              </w:rPr>
            </w:pPr>
            <w:r>
              <w:rPr>
                <w:rFonts w:hint="eastAsia" w:ascii="宋体" w:hAnsi="宋体" w:cs="宋体"/>
                <w:color w:val="auto"/>
                <w:kern w:val="0"/>
                <w:szCs w:val="21"/>
                <w:highlight w:val="none"/>
              </w:rPr>
              <w:t>对现场安全、文明施工管理的措施及手段</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Cs/>
                <w:color w:val="auto"/>
                <w:szCs w:val="21"/>
                <w:highlight w:val="none"/>
                <w:shd w:val="clear" w:color="auto" w:fill="FFFFFF"/>
                <w:lang w:eastAsia="zh-CN"/>
              </w:rPr>
            </w:pPr>
            <w:r>
              <w:rPr>
                <w:rFonts w:hint="eastAsia" w:ascii="宋体" w:hAnsi="宋体"/>
                <w:szCs w:val="21"/>
                <w:lang w:val="en-US" w:eastAsia="zh-CN"/>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Cs/>
                <w:color w:val="auto"/>
                <w:szCs w:val="21"/>
                <w:highlight w:val="none"/>
                <w:shd w:val="clear" w:color="auto" w:fill="FFFFFF"/>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color w:val="auto"/>
                <w:kern w:val="0"/>
                <w:szCs w:val="21"/>
                <w:highlight w:val="none"/>
              </w:rPr>
            </w:pPr>
            <w:r>
              <w:rPr>
                <w:rFonts w:hint="eastAsia" w:ascii="宋体" w:hAnsi="宋体" w:cs="宋体"/>
                <w:kern w:val="0"/>
                <w:szCs w:val="21"/>
              </w:rPr>
              <w:t>其他如合同管理、工程信息资料管理等措施</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color w:val="auto"/>
                <w:szCs w:val="21"/>
                <w:highlight w:val="none"/>
                <w:shd w:val="clear" w:color="auto" w:fill="FFFFFF"/>
                <w:lang w:val="en-US" w:eastAsia="zh-CN"/>
              </w:rPr>
            </w:pPr>
            <w:r>
              <w:rPr>
                <w:rFonts w:hint="eastAsia" w:ascii="宋体" w:hAnsi="宋体"/>
                <w:szCs w:val="21"/>
                <w:lang w:val="en-US" w:eastAsia="zh-CN"/>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Cs/>
                <w:color w:val="auto"/>
                <w:szCs w:val="21"/>
                <w:highlight w:val="none"/>
                <w:shd w:val="clear" w:color="auto" w:fill="FFFFFF"/>
                <w:lang w:eastAsia="zh-CN"/>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Cs/>
                <w:color w:val="auto"/>
                <w:szCs w:val="21"/>
                <w:highlight w:val="none"/>
                <w:shd w:val="clear" w:color="auto" w:fill="FFFFFF"/>
                <w:lang w:eastAsia="zh-CN"/>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Cs/>
                <w:color w:val="auto"/>
                <w:szCs w:val="21"/>
                <w:highlight w:val="none"/>
                <w:shd w:val="clear" w:color="auto" w:fill="FFFFFF"/>
                <w:lang w:eastAsia="zh-CN"/>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宋体" w:hAnsi="宋体" w:cs="宋体"/>
                <w:szCs w:val="21"/>
              </w:rPr>
            </w:pPr>
            <w:r>
              <w:rPr>
                <w:rFonts w:hint="eastAsia" w:ascii="宋体" w:hAnsi="宋体" w:cs="宋体"/>
                <w:color w:val="auto"/>
                <w:kern w:val="0"/>
                <w:szCs w:val="21"/>
                <w:highlight w:val="none"/>
              </w:rPr>
              <w:t>对各专业工程配合，协调管理的措施</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bCs/>
                <w:spacing w:val="5"/>
                <w:szCs w:val="21"/>
                <w:shd w:val="clear" w:color="auto" w:fill="FFFFFF"/>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bCs/>
                <w:spacing w:val="5"/>
                <w:szCs w:val="21"/>
                <w:shd w:val="clear" w:color="auto" w:fill="FFFFFF"/>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ascii="宋体" w:hAnsi="宋体" w:cs="宋体"/>
                <w:szCs w:val="21"/>
              </w:rPr>
            </w:pPr>
            <w:r>
              <w:rPr>
                <w:rFonts w:hint="eastAsia" w:ascii="宋体" w:hAnsi="宋体" w:cs="宋体"/>
                <w:kern w:val="0"/>
                <w:szCs w:val="21"/>
              </w:rPr>
              <w:t>针对本工程合理化建议</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szCs w:val="21"/>
                <w:lang w:val="en-US" w:eastAsia="zh-CN"/>
              </w:rPr>
            </w:pPr>
            <w:r>
              <w:rPr>
                <w:rFonts w:hint="eastAsia" w:ascii="宋体" w:hAnsi="宋体"/>
                <w:bCs/>
                <w:spacing w:val="5"/>
                <w:szCs w:val="21"/>
                <w:shd w:val="clear" w:color="auto" w:fill="FFFFFF"/>
                <w:lang w:val="en-US" w:eastAsia="zh-CN"/>
              </w:rPr>
              <w:t>3</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lang w:val="en-US" w:eastAsia="zh-CN"/>
              </w:rPr>
              <w:t>3-2.5</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bCs/>
                <w:spacing w:val="5"/>
                <w:szCs w:val="21"/>
                <w:shd w:val="clear" w:color="auto" w:fill="FFFFFF"/>
              </w:rPr>
            </w:pPr>
            <w:r>
              <w:rPr>
                <w:rFonts w:hint="eastAsia" w:ascii="宋体" w:hAnsi="宋体"/>
                <w:bCs/>
                <w:spacing w:val="5"/>
                <w:szCs w:val="21"/>
                <w:shd w:val="clear" w:color="auto" w:fill="FFFFFF"/>
                <w:lang w:val="en-US" w:eastAsia="zh-CN"/>
              </w:rPr>
              <w:t>2.5-2.0</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bCs/>
                <w:spacing w:val="5"/>
                <w:szCs w:val="21"/>
                <w:shd w:val="clear" w:color="auto" w:fill="FFFFFF"/>
              </w:rPr>
            </w:pPr>
            <w:r>
              <w:rPr>
                <w:rFonts w:hint="eastAsia" w:ascii="宋体" w:hAnsi="宋体"/>
                <w:bCs/>
                <w:spacing w:val="5"/>
                <w:szCs w:val="21"/>
                <w:shd w:val="clear" w:color="auto" w:fill="FFFFFF"/>
                <w:lang w:val="en-US" w:eastAsia="zh-CN"/>
              </w:rPr>
              <w:t>2.0-1.5</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lang w:val="en-US" w:eastAsia="zh-CN"/>
              </w:rPr>
            </w:pPr>
            <w:r>
              <w:rPr>
                <w:rFonts w:hint="eastAsia" w:ascii="宋体" w:hAnsi="宋体"/>
                <w:szCs w:val="21"/>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302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left"/>
              <w:rPr>
                <w:rFonts w:hint="eastAsia" w:ascii="宋体" w:hAnsi="宋体" w:cs="宋体"/>
                <w:kern w:val="0"/>
                <w:szCs w:val="21"/>
              </w:rPr>
            </w:pPr>
            <w:r>
              <w:rPr>
                <w:rFonts w:hint="eastAsia" w:ascii="宋体" w:hAnsi="宋体" w:cs="宋体"/>
                <w:color w:val="auto"/>
                <w:kern w:val="0"/>
                <w:szCs w:val="21"/>
                <w:highlight w:val="none"/>
              </w:rPr>
              <w:t>监理工作重点与难点及监理措施</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Cs/>
                <w:spacing w:val="5"/>
                <w:szCs w:val="21"/>
                <w:shd w:val="clear" w:color="auto" w:fill="FFFFFF"/>
                <w:lang w:eastAsia="zh-CN"/>
              </w:rPr>
            </w:pPr>
            <w:r>
              <w:rPr>
                <w:rFonts w:hint="eastAsia" w:ascii="宋体" w:hAnsi="宋体"/>
                <w:szCs w:val="21"/>
                <w:lang w:val="en-US" w:eastAsia="zh-CN"/>
              </w:rPr>
              <w:t>4</w:t>
            </w:r>
          </w:p>
        </w:tc>
        <w:tc>
          <w:tcPr>
            <w:tcW w:w="100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bCs/>
                <w:spacing w:val="5"/>
                <w:szCs w:val="21"/>
                <w:shd w:val="clear" w:color="auto" w:fill="FFFFFF"/>
                <w:lang w:val="en-US" w:eastAsia="zh-CN"/>
              </w:rPr>
            </w:pPr>
            <w:r>
              <w:rPr>
                <w:rFonts w:hint="eastAsia" w:ascii="宋体" w:hAnsi="宋体"/>
                <w:szCs w:val="21"/>
                <w:lang w:val="en-US" w:eastAsia="zh-CN"/>
              </w:rPr>
              <w:t>4</w:t>
            </w:r>
            <w:r>
              <w:rPr>
                <w:rFonts w:hint="eastAsia" w:ascii="宋体" w:hAnsi="宋体"/>
                <w:szCs w:val="21"/>
              </w:rPr>
              <w:t>-</w:t>
            </w:r>
            <w:r>
              <w:rPr>
                <w:rFonts w:hint="eastAsia" w:ascii="宋体" w:hAnsi="宋体"/>
                <w:szCs w:val="21"/>
                <w:lang w:val="en-US" w:eastAsia="zh-CN"/>
              </w:rPr>
              <w:t>3.3</w:t>
            </w:r>
          </w:p>
        </w:tc>
        <w:tc>
          <w:tcPr>
            <w:tcW w:w="117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bCs/>
                <w:spacing w:val="5"/>
                <w:szCs w:val="21"/>
                <w:shd w:val="clear" w:color="auto" w:fill="FFFFFF"/>
                <w:lang w:eastAsia="zh-CN"/>
              </w:rPr>
            </w:pPr>
            <w:r>
              <w:rPr>
                <w:rFonts w:hint="eastAsia" w:ascii="宋体" w:hAnsi="宋体"/>
                <w:bCs/>
                <w:spacing w:val="5"/>
                <w:szCs w:val="21"/>
                <w:shd w:val="clear" w:color="auto" w:fill="FFFFFF"/>
                <w:lang w:val="en-US" w:eastAsia="zh-CN"/>
              </w:rPr>
              <w:t>3.3</w:t>
            </w:r>
            <w:r>
              <w:rPr>
                <w:rFonts w:hint="eastAsia" w:ascii="宋体" w:hAnsi="宋体"/>
                <w:bCs/>
                <w:spacing w:val="5"/>
                <w:szCs w:val="21"/>
                <w:shd w:val="clear" w:color="auto" w:fill="FFFFFF"/>
              </w:rPr>
              <w:t>-2.</w:t>
            </w:r>
            <w:r>
              <w:rPr>
                <w:rFonts w:hint="eastAsia" w:ascii="宋体" w:hAnsi="宋体"/>
                <w:bCs/>
                <w:spacing w:val="5"/>
                <w:szCs w:val="21"/>
                <w:shd w:val="clear" w:color="auto" w:fill="FFFFFF"/>
                <w:lang w:val="en-US" w:eastAsia="zh-CN"/>
              </w:rPr>
              <w:t>7</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default" w:ascii="宋体" w:hAnsi="宋体" w:eastAsia="宋体"/>
                <w:szCs w:val="21"/>
                <w:lang w:val="en-US" w:eastAsia="zh-CN"/>
              </w:rPr>
            </w:pPr>
            <w:r>
              <w:rPr>
                <w:rFonts w:hint="eastAsia" w:ascii="宋体" w:hAnsi="宋体"/>
                <w:bCs/>
                <w:spacing w:val="5"/>
                <w:szCs w:val="21"/>
                <w:shd w:val="clear" w:color="auto" w:fill="FFFFFF"/>
                <w:lang w:val="en-US" w:eastAsia="zh-CN"/>
              </w:rPr>
              <w:t>2.7-2.0</w:t>
            </w:r>
          </w:p>
        </w:tc>
        <w:tc>
          <w:tcPr>
            <w:tcW w:w="370"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lang w:val="en-US" w:eastAsia="zh-CN"/>
              </w:rPr>
            </w:pPr>
            <w:r>
              <w:rPr>
                <w:rFonts w:hint="eastAsia" w:ascii="宋体" w:hAnsi="宋体"/>
                <w:bCs/>
                <w:spacing w:val="5"/>
                <w:szCs w:val="21"/>
                <w:shd w:val="clear" w:color="auto" w:fill="FFFFFF"/>
                <w:lang w:val="en-US" w:eastAsia="zh-CN"/>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911" w:type="dxa"/>
            <w:vMerge w:val="restart"/>
            <w:tcBorders>
              <w:top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3</w:t>
            </w:r>
          </w:p>
        </w:tc>
        <w:tc>
          <w:tcPr>
            <w:tcW w:w="1857" w:type="dxa"/>
            <w:gridSpan w:val="3"/>
            <w:vMerge w:val="restart"/>
            <w:tcBorders>
              <w:top w:val="single" w:color="auto" w:sz="4" w:space="0"/>
              <w:left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资信标评分标准</w:t>
            </w:r>
          </w:p>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（分值</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highlight w:val="none"/>
              </w:rPr>
            </w:pPr>
            <w:r>
              <w:rPr>
                <w:rFonts w:hint="eastAsia" w:ascii="宋体" w:hAnsi="宋体" w:cs="宋体"/>
                <w:color w:val="auto"/>
                <w:highlight w:val="none"/>
              </w:rPr>
              <w:t>评审内容</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highlight w:val="none"/>
              </w:rPr>
            </w:pPr>
            <w:r>
              <w:rPr>
                <w:rFonts w:hint="eastAsia" w:ascii="宋体" w:hAnsi="宋体" w:cs="宋体"/>
                <w:color w:val="auto"/>
                <w:highlight w:val="none"/>
              </w:rPr>
              <w:t>最高分值</w:t>
            </w:r>
          </w:p>
        </w:tc>
        <w:tc>
          <w:tcPr>
            <w:tcW w:w="517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highlight w:val="none"/>
              </w:rPr>
            </w:pPr>
            <w:r>
              <w:rPr>
                <w:rFonts w:hint="eastAsia" w:ascii="宋体" w:hAnsi="宋体" w:cs="宋体"/>
                <w:color w:val="auto"/>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911" w:type="dxa"/>
            <w:vMerge w:val="continue"/>
            <w:tcBorders>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857" w:type="dxa"/>
            <w:gridSpan w:val="3"/>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48" w:lineRule="auto"/>
              <w:jc w:val="center"/>
              <w:rPr>
                <w:rFonts w:ascii="宋体" w:hAnsi="宋体"/>
                <w:szCs w:val="21"/>
              </w:rPr>
            </w:pPr>
            <w:r>
              <w:rPr>
                <w:rFonts w:hint="eastAsia" w:ascii="宋体" w:hAnsi="宋体"/>
                <w:szCs w:val="21"/>
              </w:rPr>
              <w:t>企业</w:t>
            </w:r>
          </w:p>
          <w:p>
            <w:pPr>
              <w:snapToGrid w:val="0"/>
              <w:spacing w:line="300" w:lineRule="exact"/>
              <w:jc w:val="center"/>
              <w:rPr>
                <w:rFonts w:hint="eastAsia" w:ascii="宋体" w:hAnsi="宋体" w:cs="宋体"/>
                <w:color w:val="auto"/>
                <w:highlight w:val="none"/>
              </w:rPr>
            </w:pPr>
            <w:r>
              <w:rPr>
                <w:rFonts w:hint="eastAsia" w:ascii="宋体" w:hAnsi="宋体"/>
                <w:szCs w:val="21"/>
              </w:rPr>
              <w:t>业绩情况</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
                <w:color w:val="auto"/>
                <w:highlight w:val="none"/>
              </w:rPr>
            </w:pPr>
            <w:r>
              <w:rPr>
                <w:rFonts w:hint="eastAsia" w:ascii="宋体" w:hAnsi="宋体" w:cs="宋体"/>
                <w:b/>
                <w:bCs/>
                <w:color w:val="auto"/>
                <w:szCs w:val="21"/>
                <w:highlight w:val="none"/>
                <w:lang w:val="en-US" w:eastAsia="zh-CN"/>
              </w:rPr>
              <w:t>1</w:t>
            </w:r>
            <w:r>
              <w:rPr>
                <w:rFonts w:hint="eastAsia" w:ascii="宋体" w:hAnsi="宋体" w:cs="宋体"/>
                <w:b/>
                <w:bCs/>
                <w:color w:val="auto"/>
                <w:szCs w:val="21"/>
                <w:highlight w:val="none"/>
              </w:rPr>
              <w:t>分</w:t>
            </w:r>
          </w:p>
        </w:tc>
        <w:tc>
          <w:tcPr>
            <w:tcW w:w="5179"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ind w:firstLine="420" w:firstLineChars="200"/>
              <w:jc w:val="left"/>
              <w:rPr>
                <w:rFonts w:hint="eastAsia"/>
                <w:b/>
                <w:bCs/>
                <w:lang w:eastAsia="zh-CN"/>
              </w:rPr>
            </w:pPr>
            <w:r>
              <w:rPr>
                <w:rFonts w:hint="eastAsia"/>
              </w:rPr>
              <w:t>投标人自</w:t>
            </w:r>
            <w:r>
              <w:rPr>
                <w:rFonts w:hint="eastAsia"/>
                <w:lang w:eastAsia="zh-CN"/>
              </w:rPr>
              <w:t>2016年</w:t>
            </w:r>
            <w:r>
              <w:rPr>
                <w:rFonts w:hint="eastAsia"/>
                <w:lang w:val="en-US" w:eastAsia="zh-CN"/>
              </w:rPr>
              <w:t>7</w:t>
            </w:r>
            <w:r>
              <w:rPr>
                <w:rFonts w:hint="eastAsia"/>
                <w:lang w:eastAsia="zh-CN"/>
              </w:rPr>
              <w:t>月1日</w:t>
            </w:r>
            <w:r>
              <w:rPr>
                <w:rFonts w:hint="eastAsia"/>
              </w:rPr>
              <w:t>以来，投标人完成过单个合同项目建筑面积</w:t>
            </w:r>
            <w:r>
              <w:rPr>
                <w:rFonts w:hint="eastAsia"/>
                <w:lang w:val="en-US" w:eastAsia="zh-CN"/>
              </w:rPr>
              <w:t>10</w:t>
            </w:r>
            <w:r>
              <w:rPr>
                <w:rFonts w:hint="eastAsia"/>
              </w:rPr>
              <w:t>万平方米及以上的</w:t>
            </w:r>
            <w:r>
              <w:rPr>
                <w:rFonts w:hint="eastAsia"/>
                <w:lang w:eastAsia="zh-CN"/>
              </w:rPr>
              <w:t>住宅类</w:t>
            </w:r>
            <w:r>
              <w:rPr>
                <w:rFonts w:hint="eastAsia"/>
              </w:rPr>
              <w:t>房屋建筑工程项目得1分</w:t>
            </w:r>
            <w:r>
              <w:rPr>
                <w:rFonts w:hint="eastAsia"/>
                <w:lang w:eastAsia="zh-CN"/>
              </w:rPr>
              <w:t>，最高得</w:t>
            </w:r>
            <w:r>
              <w:rPr>
                <w:rFonts w:hint="eastAsia"/>
                <w:lang w:val="en-US" w:eastAsia="zh-CN"/>
              </w:rPr>
              <w:t>1分。</w:t>
            </w:r>
            <w:r>
              <w:rPr>
                <w:rFonts w:hint="eastAsia"/>
                <w:b/>
                <w:bCs/>
              </w:rPr>
              <w:t>需提供中标通知书、合同、工程竣工验收证明材料复印件并加盖公章，未提供复印件（未加盖公章）均不得分；若合同或中标通知书中均不能体现该业绩相应规模信息不得分；时间以工程竣工验收证明材料签发时间为准。</w:t>
            </w:r>
            <w:r>
              <w:rPr>
                <w:rFonts w:hint="eastAsia"/>
                <w:b/>
                <w:bCs/>
                <w:lang w:eastAsia="zh-CN"/>
              </w:rPr>
              <w:t>（竣工验收证明资料指竣工验收备案表或竣工验收意见表或建设行政主管部门出具的竣工验收证明或质量监督部门出具的竣工验收证明。）</w:t>
            </w:r>
          </w:p>
          <w:p>
            <w:pPr>
              <w:pStyle w:val="2"/>
              <w:rPr>
                <w:rFonts w:hint="eastAsia"/>
                <w:lang w:eastAsia="zh-CN"/>
              </w:rPr>
            </w:pPr>
            <w:r>
              <w:rPr>
                <w:rFonts w:hint="eastAsia" w:ascii="宋体" w:hAnsi="宋体" w:cs="宋体"/>
                <w:b/>
                <w:bCs/>
                <w:color w:val="000000"/>
                <w:highlight w:val="none"/>
                <w:lang w:eastAsia="zh-CN"/>
              </w:rPr>
              <w:t>（备注：本次业绩仅计算住宅面积。如商住一体房屋建筑工程，建筑面积需扣除商业部分。）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911" w:type="dxa"/>
            <w:vMerge w:val="continue"/>
            <w:tcBorders>
              <w:bottom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1857" w:type="dxa"/>
            <w:gridSpan w:val="3"/>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lang w:eastAsia="zh-CN"/>
              </w:rPr>
              <w:t>企业业绩获奖情况</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1分</w:t>
            </w:r>
          </w:p>
        </w:tc>
        <w:tc>
          <w:tcPr>
            <w:tcW w:w="5179" w:type="dxa"/>
            <w:gridSpan w:val="6"/>
            <w:tcBorders>
              <w:top w:val="single" w:color="auto" w:sz="4" w:space="0"/>
              <w:left w:val="single" w:color="auto" w:sz="4" w:space="0"/>
              <w:bottom w:val="single" w:color="auto" w:sz="4" w:space="0"/>
              <w:right w:val="single" w:color="auto" w:sz="4" w:space="0"/>
            </w:tcBorders>
            <w:noWrap w:val="0"/>
            <w:vAlign w:val="top"/>
          </w:tcPr>
          <w:p>
            <w:pPr>
              <w:numPr>
                <w:ilvl w:val="0"/>
                <w:numId w:val="0"/>
              </w:numPr>
              <w:snapToGrid w:val="0"/>
              <w:spacing w:line="300" w:lineRule="exact"/>
              <w:ind w:left="0" w:leftChars="0" w:firstLine="0" w:firstLineChars="0"/>
              <w:jc w:val="left"/>
              <w:rPr>
                <w:rFonts w:hint="eastAsia" w:ascii="宋体" w:hAnsi="宋体" w:cs="宋体"/>
                <w:b/>
                <w:bCs/>
                <w:color w:val="auto"/>
                <w:highlight w:val="none"/>
                <w:lang w:val="en-US" w:eastAsia="zh-CN"/>
              </w:rPr>
            </w:pPr>
            <w:r>
              <w:rPr>
                <w:rFonts w:hint="eastAsia" w:ascii="宋体" w:hAnsi="宋体"/>
                <w:szCs w:val="21"/>
              </w:rPr>
              <w:t>投标人自</w:t>
            </w:r>
            <w:r>
              <w:rPr>
                <w:rFonts w:hint="eastAsia" w:ascii="宋体" w:hAnsi="宋体"/>
                <w:szCs w:val="21"/>
                <w:lang w:eastAsia="zh-CN"/>
              </w:rPr>
              <w:t>2016年</w:t>
            </w:r>
            <w:r>
              <w:rPr>
                <w:rFonts w:hint="eastAsia" w:ascii="宋体" w:hAnsi="宋体"/>
                <w:szCs w:val="21"/>
                <w:lang w:val="en-US" w:eastAsia="zh-CN"/>
              </w:rPr>
              <w:t>7</w:t>
            </w:r>
            <w:r>
              <w:rPr>
                <w:rFonts w:hint="eastAsia" w:ascii="宋体" w:hAnsi="宋体"/>
                <w:szCs w:val="21"/>
                <w:lang w:eastAsia="zh-CN"/>
              </w:rPr>
              <w:t>月1日</w:t>
            </w:r>
            <w:r>
              <w:rPr>
                <w:rFonts w:hint="eastAsia" w:ascii="宋体" w:hAnsi="宋体"/>
                <w:szCs w:val="21"/>
              </w:rPr>
              <w:t>以来（以获奖文件或获奖证书颁发时间为准）投标人监理完成过的</w:t>
            </w:r>
            <w:r>
              <w:rPr>
                <w:rFonts w:hint="eastAsia" w:ascii="宋体" w:hAnsi="宋体"/>
                <w:szCs w:val="21"/>
                <w:lang w:eastAsia="zh-CN"/>
              </w:rPr>
              <w:t>房屋建筑工程获</w:t>
            </w:r>
            <w:r>
              <w:rPr>
                <w:rFonts w:hint="eastAsia" w:ascii="宋体" w:hAnsi="宋体"/>
                <w:szCs w:val="21"/>
              </w:rPr>
              <w:t>“鲁班奖”</w:t>
            </w:r>
            <w:r>
              <w:rPr>
                <w:rFonts w:hint="eastAsia" w:ascii="宋体" w:hAnsi="宋体"/>
                <w:szCs w:val="21"/>
                <w:lang w:eastAsia="zh-CN"/>
              </w:rPr>
              <w:t>或“国家优质工程奖”</w:t>
            </w:r>
            <w:r>
              <w:rPr>
                <w:rFonts w:hint="eastAsia" w:ascii="宋体" w:hAnsi="宋体"/>
                <w:szCs w:val="21"/>
              </w:rPr>
              <w:t>的</w:t>
            </w:r>
            <w:r>
              <w:rPr>
                <w:rFonts w:hint="eastAsia" w:ascii="宋体" w:hAnsi="宋体"/>
                <w:szCs w:val="21"/>
                <w:lang w:eastAsia="zh-CN"/>
              </w:rPr>
              <w:t>每个业绩项目</w:t>
            </w:r>
            <w:r>
              <w:rPr>
                <w:rFonts w:hint="eastAsia" w:ascii="宋体" w:hAnsi="宋体"/>
                <w:szCs w:val="21"/>
              </w:rPr>
              <w:t>得</w:t>
            </w:r>
            <w:r>
              <w:rPr>
                <w:rFonts w:hint="eastAsia" w:ascii="宋体" w:hAnsi="宋体"/>
                <w:szCs w:val="21"/>
                <w:lang w:val="en-US" w:eastAsia="zh-CN"/>
              </w:rPr>
              <w:t>1</w:t>
            </w:r>
            <w:r>
              <w:rPr>
                <w:rFonts w:hint="eastAsia" w:ascii="宋体" w:hAnsi="宋体"/>
                <w:szCs w:val="21"/>
              </w:rPr>
              <w:t>分，最高得</w:t>
            </w:r>
            <w:r>
              <w:rPr>
                <w:rFonts w:hint="eastAsia" w:ascii="宋体" w:hAnsi="宋体"/>
                <w:szCs w:val="21"/>
                <w:lang w:val="en-US" w:eastAsia="zh-CN"/>
              </w:rPr>
              <w:t>1</w:t>
            </w:r>
            <w:r>
              <w:rPr>
                <w:rFonts w:hint="eastAsia" w:ascii="宋体" w:hAnsi="宋体"/>
                <w:szCs w:val="21"/>
              </w:rPr>
              <w:t>分。</w:t>
            </w:r>
            <w:r>
              <w:rPr>
                <w:rFonts w:hint="eastAsia" w:ascii="宋体" w:hAnsi="宋体"/>
                <w:b/>
                <w:bCs/>
                <w:szCs w:val="21"/>
              </w:rPr>
              <w:t>（需提供获奖证书或获奖文件</w:t>
            </w:r>
            <w:r>
              <w:rPr>
                <w:rFonts w:hint="eastAsia" w:ascii="宋体" w:hAnsi="宋体"/>
                <w:b/>
                <w:bCs/>
                <w:szCs w:val="21"/>
                <w:lang w:eastAsia="zh-CN"/>
              </w:rPr>
              <w:t>复印件并加盖公章进行</w:t>
            </w:r>
            <w:r>
              <w:rPr>
                <w:rFonts w:hint="eastAsia" w:ascii="宋体" w:hAnsi="宋体"/>
                <w:b w:val="0"/>
                <w:bCs w:val="0"/>
                <w:szCs w:val="21"/>
              </w:rPr>
              <w:t>核对</w:t>
            </w:r>
            <w:r>
              <w:rPr>
                <w:rFonts w:hint="eastAsia" w:ascii="宋体" w:hAnsi="宋体"/>
                <w:b/>
                <w:bCs/>
                <w:szCs w:val="21"/>
              </w:rPr>
              <w:t>，（获奖证书需要体现投标人名称）</w:t>
            </w:r>
            <w:r>
              <w:rPr>
                <w:rFonts w:hint="eastAsia" w:ascii="宋体" w:hAnsi="宋体" w:cs="宋体"/>
                <w:b/>
                <w:bCs/>
                <w:color w:val="auto"/>
                <w:highlight w:val="none"/>
              </w:rPr>
              <w:t>复印件（未加盖公章）均不得分</w:t>
            </w:r>
            <w:r>
              <w:rPr>
                <w:rFonts w:hint="eastAsia" w:ascii="宋体" w:hAnsi="宋体" w:cs="宋体"/>
                <w:b/>
                <w:bCs/>
                <w:color w:val="auto"/>
                <w:highlight w:val="none"/>
                <w:lang w:eastAsia="zh-CN"/>
              </w:rPr>
              <w:t>，</w:t>
            </w:r>
            <w:r>
              <w:rPr>
                <w:rFonts w:hint="eastAsia" w:ascii="宋体" w:hAnsi="宋体"/>
                <w:b/>
                <w:bCs/>
                <w:szCs w:val="21"/>
              </w:rPr>
              <w:t>时间以提供的获奖证书或获奖文件上的时间为准。）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2" w:hRule="atLeast"/>
        </w:trPr>
        <w:tc>
          <w:tcPr>
            <w:tcW w:w="911" w:type="dxa"/>
            <w:vMerge w:val="continue"/>
            <w:tcBorders>
              <w:bottom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1857" w:type="dxa"/>
            <w:gridSpan w:val="3"/>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lang w:eastAsia="zh-CN"/>
              </w:rPr>
            </w:pPr>
            <w:r>
              <w:rPr>
                <w:rFonts w:hint="eastAsia" w:ascii="宋体" w:hAnsi="宋体" w:cs="宋体"/>
                <w:szCs w:val="21"/>
                <w:lang w:eastAsia="zh-CN"/>
              </w:rPr>
              <w:t>拟派项目总监业绩获奖情况</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1分</w:t>
            </w:r>
          </w:p>
        </w:tc>
        <w:tc>
          <w:tcPr>
            <w:tcW w:w="5179" w:type="dxa"/>
            <w:gridSpan w:val="6"/>
            <w:tcBorders>
              <w:top w:val="single" w:color="auto" w:sz="4" w:space="0"/>
              <w:left w:val="single" w:color="auto" w:sz="4" w:space="0"/>
              <w:bottom w:val="single" w:color="auto" w:sz="4" w:space="0"/>
              <w:right w:val="single" w:color="auto" w:sz="4" w:space="0"/>
            </w:tcBorders>
            <w:noWrap w:val="0"/>
            <w:vAlign w:val="top"/>
          </w:tcPr>
          <w:p>
            <w:pPr>
              <w:numPr>
                <w:ilvl w:val="0"/>
                <w:numId w:val="0"/>
              </w:numPr>
              <w:snapToGrid w:val="0"/>
              <w:spacing w:line="300" w:lineRule="exact"/>
              <w:jc w:val="left"/>
              <w:rPr>
                <w:rFonts w:hint="eastAsia" w:ascii="宋体" w:hAnsi="宋体" w:cs="宋体"/>
                <w:b/>
                <w:bCs/>
                <w:color w:val="auto"/>
                <w:highlight w:val="none"/>
              </w:rPr>
            </w:pPr>
            <w:r>
              <w:rPr>
                <w:rFonts w:hint="eastAsia" w:ascii="宋体" w:hAnsi="宋体"/>
                <w:szCs w:val="21"/>
                <w:lang w:eastAsia="zh-CN"/>
              </w:rPr>
              <w:t>拟派项目总监</w:t>
            </w:r>
            <w:r>
              <w:rPr>
                <w:rFonts w:hint="eastAsia" w:ascii="宋体" w:hAnsi="宋体"/>
                <w:szCs w:val="21"/>
              </w:rPr>
              <w:t>自</w:t>
            </w:r>
            <w:r>
              <w:rPr>
                <w:rFonts w:hint="eastAsia" w:ascii="宋体" w:hAnsi="宋体"/>
                <w:szCs w:val="21"/>
                <w:lang w:eastAsia="zh-CN"/>
              </w:rPr>
              <w:t>2016年</w:t>
            </w:r>
            <w:r>
              <w:rPr>
                <w:rFonts w:hint="eastAsia" w:ascii="宋体" w:hAnsi="宋体"/>
                <w:szCs w:val="21"/>
                <w:lang w:val="en-US" w:eastAsia="zh-CN"/>
              </w:rPr>
              <w:t>7</w:t>
            </w:r>
            <w:r>
              <w:rPr>
                <w:rFonts w:hint="eastAsia" w:ascii="宋体" w:hAnsi="宋体"/>
                <w:szCs w:val="21"/>
                <w:lang w:eastAsia="zh-CN"/>
              </w:rPr>
              <w:t>月1日</w:t>
            </w:r>
            <w:r>
              <w:rPr>
                <w:rFonts w:hint="eastAsia" w:ascii="宋体" w:hAnsi="宋体"/>
                <w:szCs w:val="21"/>
              </w:rPr>
              <w:t>以来（以获奖文件或获奖证书颁发时间为准）投标人监理完成过的</w:t>
            </w:r>
            <w:r>
              <w:rPr>
                <w:rFonts w:hint="eastAsia" w:ascii="宋体" w:hAnsi="宋体"/>
                <w:szCs w:val="21"/>
                <w:lang w:eastAsia="zh-CN"/>
              </w:rPr>
              <w:t>房屋建筑工程获</w:t>
            </w:r>
            <w:r>
              <w:rPr>
                <w:rFonts w:hint="eastAsia" w:ascii="宋体" w:hAnsi="宋体"/>
                <w:szCs w:val="21"/>
              </w:rPr>
              <w:t>“鲁班奖”</w:t>
            </w:r>
            <w:r>
              <w:rPr>
                <w:rFonts w:hint="eastAsia" w:ascii="宋体" w:hAnsi="宋体"/>
                <w:szCs w:val="21"/>
                <w:lang w:eastAsia="zh-CN"/>
              </w:rPr>
              <w:t>或“国家优质工程奖”</w:t>
            </w:r>
            <w:r>
              <w:rPr>
                <w:rFonts w:hint="eastAsia" w:ascii="宋体" w:hAnsi="宋体"/>
                <w:szCs w:val="21"/>
              </w:rPr>
              <w:t>的</w:t>
            </w:r>
            <w:r>
              <w:rPr>
                <w:rFonts w:hint="eastAsia" w:ascii="宋体" w:hAnsi="宋体"/>
                <w:szCs w:val="21"/>
                <w:lang w:eastAsia="zh-CN"/>
              </w:rPr>
              <w:t>每个业绩项目</w:t>
            </w:r>
            <w:r>
              <w:rPr>
                <w:rFonts w:hint="eastAsia" w:ascii="宋体" w:hAnsi="宋体"/>
                <w:szCs w:val="21"/>
              </w:rPr>
              <w:t>得</w:t>
            </w:r>
            <w:r>
              <w:rPr>
                <w:rFonts w:hint="eastAsia" w:ascii="宋体" w:hAnsi="宋体"/>
                <w:szCs w:val="21"/>
                <w:lang w:val="en-US" w:eastAsia="zh-CN"/>
              </w:rPr>
              <w:t>1</w:t>
            </w:r>
            <w:r>
              <w:rPr>
                <w:rFonts w:hint="eastAsia" w:ascii="宋体" w:hAnsi="宋体"/>
                <w:szCs w:val="21"/>
              </w:rPr>
              <w:t>分，最高得</w:t>
            </w:r>
            <w:r>
              <w:rPr>
                <w:rFonts w:hint="eastAsia" w:ascii="宋体" w:hAnsi="宋体"/>
                <w:szCs w:val="21"/>
                <w:lang w:val="en-US" w:eastAsia="zh-CN"/>
              </w:rPr>
              <w:t>1</w:t>
            </w:r>
            <w:r>
              <w:rPr>
                <w:rFonts w:hint="eastAsia" w:ascii="宋体" w:hAnsi="宋体"/>
                <w:szCs w:val="21"/>
              </w:rPr>
              <w:t>分。</w:t>
            </w:r>
            <w:r>
              <w:rPr>
                <w:rFonts w:hint="eastAsia" w:ascii="宋体" w:hAnsi="宋体"/>
                <w:b/>
                <w:bCs/>
                <w:szCs w:val="21"/>
              </w:rPr>
              <w:t>（需提供获奖证书或获奖文件</w:t>
            </w:r>
            <w:r>
              <w:rPr>
                <w:rFonts w:hint="eastAsia" w:ascii="宋体" w:hAnsi="宋体"/>
                <w:b/>
                <w:bCs/>
                <w:szCs w:val="21"/>
                <w:lang w:eastAsia="zh-CN"/>
              </w:rPr>
              <w:t>复印件并加盖公章进行</w:t>
            </w:r>
            <w:r>
              <w:rPr>
                <w:rFonts w:hint="eastAsia" w:ascii="宋体" w:hAnsi="宋体"/>
                <w:b w:val="0"/>
                <w:bCs w:val="0"/>
                <w:szCs w:val="21"/>
              </w:rPr>
              <w:t>核对</w:t>
            </w:r>
            <w:r>
              <w:rPr>
                <w:rFonts w:hint="eastAsia" w:ascii="宋体" w:hAnsi="宋体"/>
                <w:b/>
                <w:bCs/>
                <w:szCs w:val="21"/>
              </w:rPr>
              <w:t>，（获奖证书需要体现</w:t>
            </w:r>
            <w:r>
              <w:rPr>
                <w:rFonts w:hint="eastAsia" w:ascii="宋体" w:hAnsi="宋体"/>
                <w:b/>
                <w:bCs/>
                <w:szCs w:val="21"/>
                <w:lang w:eastAsia="zh-CN"/>
              </w:rPr>
              <w:t>拟派项目总监</w:t>
            </w:r>
            <w:r>
              <w:rPr>
                <w:rFonts w:hint="eastAsia" w:ascii="宋体" w:hAnsi="宋体"/>
                <w:b/>
                <w:bCs/>
                <w:szCs w:val="21"/>
              </w:rPr>
              <w:t>名称）</w:t>
            </w:r>
            <w:r>
              <w:rPr>
                <w:rFonts w:hint="eastAsia" w:ascii="宋体" w:hAnsi="宋体" w:cs="宋体"/>
                <w:b/>
                <w:bCs/>
                <w:color w:val="auto"/>
                <w:highlight w:val="none"/>
              </w:rPr>
              <w:t>复印件（未加盖公章）均不得分</w:t>
            </w:r>
            <w:r>
              <w:rPr>
                <w:rFonts w:hint="eastAsia" w:ascii="宋体" w:hAnsi="宋体" w:cs="宋体"/>
                <w:b/>
                <w:bCs/>
                <w:color w:val="auto"/>
                <w:highlight w:val="none"/>
                <w:lang w:eastAsia="zh-CN"/>
              </w:rPr>
              <w:t>，</w:t>
            </w:r>
            <w:r>
              <w:rPr>
                <w:rFonts w:hint="eastAsia" w:ascii="宋体" w:hAnsi="宋体"/>
                <w:b/>
                <w:bCs/>
                <w:szCs w:val="21"/>
              </w:rPr>
              <w:t>时间以提供的获奖证书或获奖文件上的时间为准。）</w:t>
            </w:r>
          </w:p>
          <w:p>
            <w:pPr>
              <w:numPr>
                <w:ilvl w:val="0"/>
                <w:numId w:val="0"/>
              </w:numPr>
              <w:snapToGrid w:val="0"/>
              <w:spacing w:line="300" w:lineRule="exact"/>
              <w:ind w:left="0" w:leftChars="0" w:firstLine="0" w:firstLineChars="0"/>
              <w:jc w:val="lef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6" w:hRule="atLeast"/>
        </w:trPr>
        <w:tc>
          <w:tcPr>
            <w:tcW w:w="911" w:type="dxa"/>
            <w:vMerge w:val="continue"/>
            <w:tcBorders>
              <w:bottom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p>
        </w:tc>
        <w:tc>
          <w:tcPr>
            <w:tcW w:w="1857" w:type="dxa"/>
            <w:gridSpan w:val="3"/>
            <w:vMerge w:val="continue"/>
            <w:tcBorders>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Cs w:val="21"/>
              </w:rPr>
            </w:pPr>
            <w:r>
              <w:rPr>
                <w:rFonts w:hint="eastAsia" w:ascii="宋体" w:hAnsi="宋体" w:cs="宋体"/>
                <w:szCs w:val="21"/>
              </w:rPr>
              <w:t>拟派</w:t>
            </w:r>
            <w:r>
              <w:rPr>
                <w:rFonts w:hint="eastAsia" w:ascii="宋体" w:hAnsi="宋体" w:cs="宋体"/>
                <w:szCs w:val="21"/>
                <w:lang w:eastAsia="zh-CN"/>
              </w:rPr>
              <w:t>班组成员</w:t>
            </w:r>
          </w:p>
        </w:tc>
        <w:tc>
          <w:tcPr>
            <w:tcW w:w="7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
                <w:bCs/>
                <w:color w:val="auto"/>
                <w:szCs w:val="21"/>
                <w:highlight w:val="none"/>
                <w:lang w:val="en-US" w:eastAsia="zh-CN"/>
              </w:rPr>
            </w:pPr>
            <w:r>
              <w:rPr>
                <w:rFonts w:hint="eastAsia" w:ascii="宋体" w:hAnsi="宋体" w:cs="宋体"/>
                <w:b/>
                <w:bCs/>
                <w:color w:val="auto"/>
                <w:szCs w:val="21"/>
                <w:highlight w:val="none"/>
                <w:lang w:val="en-US" w:eastAsia="zh-CN"/>
              </w:rPr>
              <w:t>2</w:t>
            </w:r>
            <w:r>
              <w:rPr>
                <w:rFonts w:hint="eastAsia" w:ascii="宋体" w:hAnsi="宋体" w:cs="宋体"/>
                <w:b/>
                <w:bCs/>
                <w:color w:val="auto"/>
                <w:szCs w:val="21"/>
                <w:highlight w:val="none"/>
              </w:rPr>
              <w:t>分</w:t>
            </w:r>
          </w:p>
        </w:tc>
        <w:tc>
          <w:tcPr>
            <w:tcW w:w="5179" w:type="dxa"/>
            <w:gridSpan w:val="6"/>
            <w:tcBorders>
              <w:top w:val="single" w:color="auto" w:sz="4" w:space="0"/>
              <w:left w:val="single" w:color="auto" w:sz="4" w:space="0"/>
              <w:bottom w:val="single" w:color="auto" w:sz="4" w:space="0"/>
              <w:right w:val="single" w:color="auto" w:sz="4" w:space="0"/>
            </w:tcBorders>
            <w:noWrap w:val="0"/>
            <w:vAlign w:val="top"/>
          </w:tcPr>
          <w:p>
            <w:pPr>
              <w:numPr>
                <w:ilvl w:val="0"/>
                <w:numId w:val="6"/>
              </w:numPr>
              <w:snapToGrid w:val="0"/>
              <w:spacing w:line="300" w:lineRule="exact"/>
              <w:jc w:val="left"/>
              <w:rPr>
                <w:rFonts w:hint="default"/>
                <w:lang w:val="en-US" w:eastAsia="zh-CN"/>
              </w:rPr>
            </w:pPr>
            <w:r>
              <w:rPr>
                <w:rFonts w:hint="eastAsia"/>
                <w:lang w:val="en-US" w:eastAsia="zh-CN"/>
              </w:rPr>
              <w:t>拟派项目总监具备一级注册造价工程师或一级注册建造师的，得0.5分，最高得0.5分；</w:t>
            </w:r>
          </w:p>
          <w:p>
            <w:pPr>
              <w:numPr>
                <w:ilvl w:val="0"/>
                <w:numId w:val="6"/>
              </w:numPr>
              <w:snapToGrid w:val="0"/>
              <w:spacing w:line="300" w:lineRule="exact"/>
              <w:jc w:val="left"/>
              <w:rPr>
                <w:rFonts w:hint="default"/>
                <w:lang w:val="en-US" w:eastAsia="zh-CN"/>
              </w:rPr>
            </w:pPr>
            <w:r>
              <w:rPr>
                <w:rFonts w:hint="eastAsia"/>
                <w:lang w:val="en-US" w:eastAsia="zh-CN"/>
              </w:rPr>
              <w:t>拟派项目总监</w:t>
            </w:r>
            <w:r>
              <w:rPr>
                <w:rFonts w:hint="default"/>
                <w:lang w:val="en-US" w:eastAsia="zh-CN"/>
              </w:rPr>
              <w:t>具有高级工程师职称</w:t>
            </w:r>
            <w:r>
              <w:rPr>
                <w:rFonts w:hint="eastAsia"/>
                <w:lang w:val="en-US" w:eastAsia="zh-CN"/>
              </w:rPr>
              <w:t>的，得0.5分，最高得0.5分；</w:t>
            </w:r>
          </w:p>
          <w:p>
            <w:pPr>
              <w:numPr>
                <w:ilvl w:val="0"/>
                <w:numId w:val="6"/>
              </w:numPr>
              <w:snapToGrid w:val="0"/>
              <w:spacing w:line="300" w:lineRule="exact"/>
              <w:jc w:val="left"/>
              <w:rPr>
                <w:rFonts w:hint="default"/>
                <w:lang w:val="en-US" w:eastAsia="zh-CN"/>
              </w:rPr>
            </w:pPr>
            <w:r>
              <w:rPr>
                <w:rFonts w:hint="eastAsia"/>
                <w:lang w:eastAsia="zh-CN"/>
              </w:rPr>
              <w:t>投标人拟派项目班组人员中（除总监外），具有</w:t>
            </w:r>
            <w:r>
              <w:rPr>
                <w:rFonts w:hint="eastAsia"/>
                <w:lang w:val="en-US" w:eastAsia="zh-CN"/>
              </w:rPr>
              <w:t>房建、市政、机电、人防高级工程师职称</w:t>
            </w:r>
            <w:r>
              <w:rPr>
                <w:rFonts w:hint="eastAsia"/>
                <w:lang w:eastAsia="zh-CN"/>
              </w:rPr>
              <w:t>的，</w:t>
            </w:r>
            <w:r>
              <w:rPr>
                <w:rFonts w:hint="eastAsia"/>
                <w:lang w:val="en-US" w:eastAsia="zh-CN"/>
              </w:rPr>
              <w:t>一个</w:t>
            </w:r>
            <w:r>
              <w:rPr>
                <w:rFonts w:hint="eastAsia"/>
                <w:lang w:eastAsia="zh-CN"/>
              </w:rPr>
              <w:t>得</w:t>
            </w:r>
            <w:r>
              <w:rPr>
                <w:rFonts w:hint="eastAsia"/>
                <w:lang w:val="en-US" w:eastAsia="zh-CN"/>
              </w:rPr>
              <w:t>0.5分，最高得1分。</w:t>
            </w:r>
          </w:p>
          <w:p>
            <w:pPr>
              <w:pStyle w:val="2"/>
              <w:numPr>
                <w:ilvl w:val="0"/>
                <w:numId w:val="0"/>
              </w:numPr>
              <w:tabs>
                <w:tab w:val="left" w:pos="482"/>
                <w:tab w:val="left" w:pos="2183"/>
                <w:tab w:val="left" w:pos="3884"/>
                <w:tab w:val="left" w:pos="5585"/>
              </w:tabs>
              <w:ind w:left="0" w:leftChars="0" w:firstLine="0" w:firstLineChars="0"/>
              <w:rPr>
                <w:rFonts w:hint="eastAsia" w:ascii="宋体" w:hAnsi="宋体" w:cs="宋体"/>
                <w:b/>
                <w:bCs/>
                <w:color w:val="auto"/>
                <w:highlight w:val="none"/>
                <w:lang w:val="en-US" w:eastAsia="zh-CN"/>
              </w:rPr>
            </w:pPr>
            <w:r>
              <w:rPr>
                <w:rFonts w:hint="eastAsia"/>
                <w:b/>
                <w:bCs/>
                <w:sz w:val="21"/>
                <w:szCs w:val="16"/>
                <w:lang w:val="en-US" w:eastAsia="zh-CN"/>
              </w:rPr>
              <w:t>需提供以上人员证书及社保证明（近半年内，连续三个月以上的社保证明）复印件并加盖公章。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1" w:type="dxa"/>
            <w:vMerge w:val="restart"/>
            <w:tcBorders>
              <w:top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2.4</w:t>
            </w:r>
          </w:p>
        </w:tc>
        <w:tc>
          <w:tcPr>
            <w:tcW w:w="45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资格审查标准</w:t>
            </w: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营业执照</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资质等级</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8"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总监理工程师</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1、符合第二章“投标人须知”第1.4.1项规定（必须同时提供总监理工程师国监注册证书</w:t>
            </w:r>
            <w:r>
              <w:rPr>
                <w:rFonts w:hint="eastAsia" w:ascii="宋体" w:hAnsi="宋体" w:cs="宋体"/>
                <w:color w:val="auto"/>
                <w:szCs w:val="21"/>
                <w:highlight w:val="none"/>
                <w:lang w:eastAsia="zh-CN"/>
              </w:rPr>
              <w:t>复印件并加盖公章</w:t>
            </w:r>
            <w:r>
              <w:rPr>
                <w:rFonts w:hint="eastAsia" w:ascii="宋体" w:hAnsi="宋体" w:cs="宋体"/>
                <w:color w:val="auto"/>
                <w:szCs w:val="21"/>
                <w:highlight w:val="none"/>
              </w:rPr>
              <w:t>）</w:t>
            </w:r>
          </w:p>
          <w:p>
            <w:pPr>
              <w:spacing w:line="300" w:lineRule="exact"/>
              <w:rPr>
                <w:rFonts w:hint="eastAsia" w:ascii="宋体" w:hAnsi="宋体" w:cs="宋体"/>
                <w:color w:val="auto"/>
                <w:kern w:val="0"/>
                <w:szCs w:val="21"/>
                <w:highlight w:val="none"/>
              </w:rPr>
            </w:pPr>
            <w:r>
              <w:rPr>
                <w:rFonts w:hint="eastAsia" w:ascii="宋体" w:hAnsi="宋体" w:cs="宋体"/>
                <w:color w:val="auto"/>
                <w:kern w:val="0"/>
                <w:szCs w:val="21"/>
                <w:highlight w:val="none"/>
              </w:rPr>
              <w:t>2、投标函的总监理工程师</w:t>
            </w:r>
            <w:r>
              <w:rPr>
                <w:rFonts w:hint="eastAsia" w:ascii="宋体" w:hAnsi="宋体" w:cs="宋体"/>
                <w:color w:val="auto"/>
                <w:szCs w:val="21"/>
                <w:highlight w:val="none"/>
              </w:rPr>
              <w:t>、</w:t>
            </w:r>
            <w:r>
              <w:rPr>
                <w:rFonts w:hint="eastAsia" w:ascii="宋体" w:hAnsi="宋体" w:cs="宋体"/>
                <w:color w:val="auto"/>
                <w:kern w:val="0"/>
                <w:szCs w:val="21"/>
                <w:highlight w:val="none"/>
              </w:rPr>
              <w:t>资格审查资料中的</w:t>
            </w:r>
            <w:r>
              <w:rPr>
                <w:rFonts w:hint="eastAsia" w:ascii="宋体" w:hAnsi="宋体" w:cs="宋体"/>
                <w:color w:val="auto"/>
                <w:szCs w:val="21"/>
                <w:highlight w:val="none"/>
              </w:rPr>
              <w:t>总监理工程师必须均</w:t>
            </w:r>
            <w:r>
              <w:rPr>
                <w:rFonts w:hint="eastAsia" w:ascii="宋体" w:hAnsi="宋体" w:cs="宋体"/>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投标人情况</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符合第二章“投标人须知”第1.4项规定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串通投标行为</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autoSpaceDE w:val="0"/>
              <w:autoSpaceDN w:val="0"/>
              <w:snapToGrid w:val="0"/>
              <w:spacing w:line="300" w:lineRule="exact"/>
              <w:jc w:val="lef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符合第二章“投标人须知”第10.3款规定的情形的否决其投标。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弄虚作假行为</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autoSpaceDE w:val="0"/>
              <w:autoSpaceDN w:val="0"/>
              <w:snapToGrid w:val="0"/>
              <w:spacing w:line="300" w:lineRule="exact"/>
              <w:jc w:val="lef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符合第二章“投标人须知”第10.6款规定的任何一种情形的否决其投标。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其他要求</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Cs w:val="21"/>
                <w:highlight w:val="none"/>
              </w:rPr>
            </w:pPr>
            <w:r>
              <w:rPr>
                <w:rFonts w:hint="eastAsia" w:ascii="宋体" w:hAnsi="宋体" w:cs="宋体"/>
                <w:color w:val="auto"/>
                <w:szCs w:val="21"/>
                <w:highlight w:val="none"/>
              </w:rPr>
              <w:t>1、符合第二章“投标人须知”第1.4.1项规定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911" w:type="dxa"/>
            <w:vMerge w:val="restart"/>
            <w:tcBorders>
              <w:top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2.5</w:t>
            </w:r>
          </w:p>
        </w:tc>
        <w:tc>
          <w:tcPr>
            <w:tcW w:w="450" w:type="dxa"/>
            <w:vMerge w:val="restart"/>
            <w:tcBorders>
              <w:top w:val="single" w:color="auto" w:sz="4" w:space="0"/>
              <w:left w:val="single" w:color="auto" w:sz="4" w:space="0"/>
              <w:right w:val="single" w:color="auto" w:sz="4" w:space="0"/>
            </w:tcBorders>
            <w:noWrap w:val="0"/>
            <w:vAlign w:val="center"/>
          </w:tcPr>
          <w:p>
            <w:pPr>
              <w:tabs>
                <w:tab w:val="left" w:pos="482"/>
                <w:tab w:val="left" w:pos="2183"/>
                <w:tab w:val="left" w:pos="3884"/>
                <w:tab w:val="left" w:pos="5585"/>
              </w:tabs>
              <w:autoSpaceDE w:val="0"/>
              <w:autoSpaceDN w:val="0"/>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形式评审标准</w:t>
            </w: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投标人名称</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投标文件签字盖章</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kern w:val="0"/>
                <w:szCs w:val="21"/>
                <w:highlight w:val="none"/>
              </w:rPr>
              <w:t>符合第二章“投标人须知前附表”第3.7.3项规定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0" w:hRule="atLeast"/>
        </w:trPr>
        <w:tc>
          <w:tcPr>
            <w:tcW w:w="911" w:type="dxa"/>
            <w:vMerge w:val="continue"/>
            <w:tcBorders>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参加开标会议及到场人员</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符合第二章“投标人须知”第5.1.2款要求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1" w:type="dxa"/>
            <w:vMerge w:val="continue"/>
            <w:tcBorders>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投标文件的密封和标记</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符合第二章“投标人须知”第4.1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款要求。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911" w:type="dxa"/>
            <w:vMerge w:val="restart"/>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2.6</w:t>
            </w:r>
          </w:p>
        </w:tc>
        <w:tc>
          <w:tcPr>
            <w:tcW w:w="45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响应性评审标准</w:t>
            </w: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投标内容</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11" w:type="dxa"/>
            <w:vMerge w:val="continue"/>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监理服务期</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1" w:type="dxa"/>
            <w:vMerge w:val="continue"/>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投标有效期</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1" w:type="dxa"/>
            <w:vMerge w:val="continue"/>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投标保证金</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符合第二章“投标人须知”第3.4款规定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11" w:type="dxa"/>
            <w:vMerge w:val="continue"/>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投标总报价</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投标总报价不得超过招标人设定的最高限价，否则</w:t>
            </w:r>
            <w:r>
              <w:rPr>
                <w:rFonts w:hint="eastAsia" w:ascii="宋体" w:hAnsi="宋体" w:cs="宋体"/>
                <w:bCs/>
                <w:color w:val="auto"/>
                <w:szCs w:val="21"/>
                <w:highlight w:val="none"/>
              </w:rPr>
              <w:t>否决其投标</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11" w:type="dxa"/>
            <w:vMerge w:val="continue"/>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45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p>
        </w:tc>
        <w:tc>
          <w:tcPr>
            <w:tcW w:w="140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投标承诺</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cs="宋体"/>
                <w:color w:val="auto"/>
                <w:szCs w:val="21"/>
                <w:highlight w:val="none"/>
              </w:rPr>
            </w:pPr>
            <w:r>
              <w:rPr>
                <w:rFonts w:hint="eastAsia" w:ascii="宋体" w:hAnsi="宋体" w:cs="宋体"/>
                <w:color w:val="auto"/>
                <w:szCs w:val="21"/>
                <w:highlight w:val="none"/>
              </w:rPr>
              <w:t>未按要求提供承诺书或违反承诺书中约定的,</w:t>
            </w:r>
            <w:r>
              <w:rPr>
                <w:rFonts w:hint="eastAsia" w:ascii="宋体" w:hAnsi="宋体" w:cs="宋体"/>
                <w:bCs/>
                <w:color w:val="auto"/>
                <w:szCs w:val="21"/>
                <w:highlight w:val="none"/>
              </w:rPr>
              <w:t>否决其投标</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9" w:hRule="atLeast"/>
        </w:trPr>
        <w:tc>
          <w:tcPr>
            <w:tcW w:w="911" w:type="dxa"/>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2.6</w:t>
            </w:r>
          </w:p>
        </w:tc>
        <w:tc>
          <w:tcPr>
            <w:tcW w:w="185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分值构成</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b/>
                <w:bCs/>
                <w:color w:val="auto"/>
                <w:szCs w:val="21"/>
                <w:highlight w:val="none"/>
              </w:rPr>
            </w:pPr>
            <w:r>
              <w:rPr>
                <w:rFonts w:hint="eastAsia" w:ascii="宋体" w:hAnsi="宋体" w:cs="宋体"/>
                <w:b/>
                <w:bCs/>
                <w:color w:val="auto"/>
                <w:szCs w:val="21"/>
                <w:highlight w:val="none"/>
              </w:rPr>
              <w:t>技术标：</w:t>
            </w:r>
            <w:r>
              <w:rPr>
                <w:rFonts w:hint="eastAsia" w:ascii="宋体" w:hAnsi="宋体" w:cs="宋体"/>
                <w:b/>
                <w:bCs/>
                <w:color w:val="auto"/>
                <w:szCs w:val="21"/>
                <w:highlight w:val="none"/>
                <w:lang w:val="en-US" w:eastAsia="zh-CN"/>
              </w:rPr>
              <w:t>25</w:t>
            </w:r>
            <w:r>
              <w:rPr>
                <w:rFonts w:hint="eastAsia" w:ascii="宋体" w:hAnsi="宋体" w:cs="宋体"/>
                <w:b/>
                <w:bCs/>
                <w:color w:val="auto"/>
                <w:szCs w:val="21"/>
                <w:highlight w:val="none"/>
              </w:rPr>
              <w:t>分</w:t>
            </w:r>
          </w:p>
          <w:p>
            <w:pPr>
              <w:snapToGrid w:val="0"/>
              <w:spacing w:line="300" w:lineRule="exact"/>
              <w:rPr>
                <w:rFonts w:hint="eastAsia" w:ascii="宋体" w:hAnsi="宋体" w:cs="宋体"/>
                <w:b/>
                <w:bCs/>
                <w:color w:val="auto"/>
                <w:szCs w:val="21"/>
                <w:highlight w:val="none"/>
              </w:rPr>
            </w:pPr>
            <w:r>
              <w:rPr>
                <w:rFonts w:hint="eastAsia" w:ascii="宋体" w:hAnsi="宋体" w:cs="宋体"/>
                <w:b/>
                <w:bCs/>
                <w:color w:val="auto"/>
                <w:szCs w:val="21"/>
                <w:highlight w:val="none"/>
              </w:rPr>
              <w:t>资信标：</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分</w:t>
            </w:r>
          </w:p>
          <w:p>
            <w:pPr>
              <w:snapToGrid w:val="0"/>
              <w:spacing w:line="300" w:lineRule="exact"/>
              <w:rPr>
                <w:rFonts w:hint="eastAsia" w:ascii="宋体" w:hAnsi="宋体" w:cs="宋体"/>
                <w:b/>
                <w:bCs/>
                <w:color w:val="auto"/>
                <w:szCs w:val="21"/>
                <w:highlight w:val="none"/>
              </w:rPr>
            </w:pPr>
            <w:r>
              <w:rPr>
                <w:rFonts w:hint="eastAsia" w:ascii="宋体" w:hAnsi="宋体" w:cs="宋体"/>
                <w:b/>
                <w:bCs/>
                <w:color w:val="auto"/>
                <w:szCs w:val="21"/>
                <w:highlight w:val="none"/>
              </w:rPr>
              <w:t>商务标：</w:t>
            </w:r>
            <w:r>
              <w:rPr>
                <w:rFonts w:hint="eastAsia" w:ascii="宋体" w:hAnsi="宋体" w:cs="宋体"/>
                <w:b/>
                <w:bCs/>
                <w:color w:val="auto"/>
                <w:szCs w:val="21"/>
                <w:highlight w:val="none"/>
                <w:lang w:val="en-US" w:eastAsia="zh-CN"/>
              </w:rPr>
              <w:t>70</w:t>
            </w:r>
            <w:r>
              <w:rPr>
                <w:rFonts w:hint="eastAsia" w:ascii="宋体" w:hAnsi="宋体" w:cs="宋体"/>
                <w:b/>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911" w:type="dxa"/>
            <w:tcBorders>
              <w:top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2.7</w:t>
            </w:r>
          </w:p>
        </w:tc>
        <w:tc>
          <w:tcPr>
            <w:tcW w:w="185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82"/>
                <w:tab w:val="left" w:pos="2183"/>
                <w:tab w:val="left" w:pos="3884"/>
                <w:tab w:val="left" w:pos="5585"/>
              </w:tabs>
              <w:snapToGrid w:val="0"/>
              <w:spacing w:line="300" w:lineRule="exact"/>
              <w:jc w:val="center"/>
              <w:rPr>
                <w:rFonts w:hint="eastAsia" w:ascii="宋体" w:hAnsi="宋体" w:cs="宋体"/>
                <w:color w:val="auto"/>
                <w:szCs w:val="21"/>
                <w:highlight w:val="none"/>
              </w:rPr>
            </w:pPr>
            <w:r>
              <w:rPr>
                <w:rFonts w:hint="eastAsia" w:ascii="宋体" w:hAnsi="宋体" w:cs="宋体"/>
                <w:color w:val="auto"/>
                <w:szCs w:val="21"/>
                <w:highlight w:val="none"/>
              </w:rPr>
              <w:t>投标人得分</w:t>
            </w:r>
          </w:p>
        </w:tc>
        <w:tc>
          <w:tcPr>
            <w:tcW w:w="7143"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color w:val="auto"/>
                <w:szCs w:val="21"/>
                <w:highlight w:val="none"/>
              </w:rPr>
            </w:pPr>
            <w:r>
              <w:rPr>
                <w:rFonts w:hint="eastAsia" w:ascii="宋体" w:hAnsi="宋体" w:cs="宋体"/>
                <w:b/>
                <w:bCs/>
                <w:color w:val="FF0000"/>
                <w:szCs w:val="21"/>
                <w:highlight w:val="none"/>
              </w:rPr>
              <w:t>综合得分=技术标得分+资信标得分+商务标得分</w:t>
            </w:r>
          </w:p>
        </w:tc>
      </w:tr>
      <w:bookmarkEnd w:id="214"/>
    </w:tbl>
    <w:p>
      <w:pPr>
        <w:snapToGrid w:val="0"/>
        <w:spacing w:line="20" w:lineRule="exact"/>
      </w:pPr>
    </w:p>
    <w:p>
      <w:pPr>
        <w:pStyle w:val="20"/>
        <w:rPr>
          <w:rFonts w:hint="eastAsia"/>
        </w:rPr>
      </w:pPr>
      <w:bookmarkStart w:id="215" w:name="_Toc152042377"/>
      <w:bookmarkStart w:id="216" w:name="_Toc144974567"/>
      <w:bookmarkStart w:id="217" w:name="_Toc152045600"/>
      <w:bookmarkStart w:id="218" w:name="_Toc361338289"/>
      <w:r>
        <w:rPr>
          <w:rFonts w:hint="eastAsia"/>
        </w:rPr>
        <w:t>1. 评标方法</w:t>
      </w:r>
      <w:bookmarkEnd w:id="215"/>
      <w:bookmarkEnd w:id="216"/>
      <w:bookmarkEnd w:id="217"/>
      <w:bookmarkEnd w:id="218"/>
    </w:p>
    <w:p>
      <w:pPr>
        <w:snapToGrid w:val="0"/>
        <w:spacing w:line="400" w:lineRule="exact"/>
        <w:ind w:firstLine="422" w:firstLineChars="200"/>
        <w:rPr>
          <w:rFonts w:hint="eastAsia" w:ascii="宋体" w:hAnsi="宋体" w:cs="宋体"/>
          <w:color w:val="auto"/>
          <w:highlight w:val="none"/>
        </w:rPr>
      </w:pPr>
      <w:bookmarkStart w:id="219" w:name="_Toc361338290"/>
      <w:bookmarkStart w:id="220" w:name="_Toc144974568"/>
      <w:bookmarkStart w:id="221" w:name="_Toc152042378"/>
      <w:bookmarkStart w:id="222" w:name="_Toc152045601"/>
      <w:r>
        <w:rPr>
          <w:rFonts w:hint="eastAsia" w:ascii="宋体" w:hAnsi="宋体" w:cs="宋体"/>
          <w:b/>
          <w:bCs/>
          <w:color w:val="auto"/>
          <w:highlight w:val="none"/>
        </w:rPr>
        <w:t>本次评标采用综合评估法。</w:t>
      </w:r>
      <w:r>
        <w:rPr>
          <w:rFonts w:hint="eastAsia" w:ascii="宋体" w:hAnsi="宋体" w:cs="宋体"/>
          <w:color w:val="auto"/>
          <w:highlight w:val="none"/>
        </w:rPr>
        <w:t>评标委员会对满足招标文件实质性要求的投标文件，按照本章第2条规定的评审标准和第3条规定的评标程序进行评审、打分，并按综合得分由高到低顺序推荐中标候选人。</w:t>
      </w:r>
    </w:p>
    <w:p>
      <w:pPr>
        <w:pStyle w:val="20"/>
        <w:rPr>
          <w:rFonts w:hint="eastAsia"/>
        </w:rPr>
      </w:pPr>
      <w:r>
        <w:rPr>
          <w:rFonts w:hint="eastAsia"/>
        </w:rPr>
        <w:t>2. 评审标准</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2.1资信标评分标准：见评标办法前附表；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2.2资格审查标准：见评标办法前附表；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2.3商务标评分标准</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（1）本工程设最高限价：评标办法前附表；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（2）评标基准价的确定：评标办法前附表；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（3）商务标评分值计算：评标办法前附表；</w:t>
      </w:r>
    </w:p>
    <w:p>
      <w:pPr>
        <w:snapToGrid w:val="0"/>
        <w:spacing w:line="400" w:lineRule="exact"/>
        <w:ind w:firstLine="420" w:firstLineChars="200"/>
        <w:rPr>
          <w:spacing w:val="-3"/>
          <w:sz w:val="21"/>
        </w:rPr>
      </w:pPr>
      <w:r>
        <w:rPr>
          <w:rFonts w:hint="eastAsia" w:ascii="宋体" w:hAnsi="宋体" w:cs="宋体"/>
          <w:color w:val="auto"/>
          <w:highlight w:val="none"/>
        </w:rPr>
        <w:t>2.4</w:t>
      </w:r>
      <w:r>
        <w:rPr>
          <w:spacing w:val="-3"/>
          <w:sz w:val="21"/>
        </w:rPr>
        <w:t>技术标评分标准：见评标办法前附表</w:t>
      </w:r>
    </w:p>
    <w:p>
      <w:pPr>
        <w:snapToGrid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2.5</w:t>
      </w:r>
      <w:r>
        <w:rPr>
          <w:rFonts w:hint="eastAsia" w:ascii="宋体" w:hAnsi="宋体" w:eastAsia="宋体" w:cs="宋体"/>
          <w:color w:val="auto"/>
          <w:highlight w:val="none"/>
        </w:rPr>
        <w:t>形式评审标准：见评标办法前附表；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6</w:t>
      </w:r>
      <w:r>
        <w:rPr>
          <w:rFonts w:hint="eastAsia" w:ascii="宋体" w:hAnsi="宋体" w:cs="宋体"/>
          <w:color w:val="auto"/>
          <w:highlight w:val="none"/>
        </w:rPr>
        <w:t>响应性评审标准：见评标办法前附表。</w:t>
      </w:r>
    </w:p>
    <w:p>
      <w:pPr>
        <w:snapToGrid w:val="0"/>
        <w:spacing w:line="400" w:lineRule="exact"/>
        <w:ind w:firstLine="420" w:firstLineChars="200"/>
        <w:rPr>
          <w:rFonts w:hint="eastAsia"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分值构成：见评标办法前附表。</w:t>
      </w:r>
    </w:p>
    <w:p>
      <w:pPr>
        <w:pStyle w:val="20"/>
        <w:rPr>
          <w:rFonts w:hint="eastAsia"/>
        </w:rPr>
      </w:pPr>
      <w:r>
        <w:rPr>
          <w:rFonts w:hint="eastAsia"/>
        </w:rPr>
        <w:t>3. 评标程序</w:t>
      </w:r>
      <w:bookmarkEnd w:id="219"/>
    </w:p>
    <w:p>
      <w:pPr>
        <w:snapToGrid w:val="0"/>
        <w:spacing w:line="400" w:lineRule="exact"/>
        <w:ind w:firstLine="315" w:firstLineChars="150"/>
        <w:rPr>
          <w:rFonts w:hint="eastAsia"/>
        </w:rPr>
      </w:pPr>
      <w:r>
        <w:rPr>
          <w:rFonts w:hint="eastAsia"/>
        </w:rPr>
        <w:t>3.1评标程序：评标办法前附表；</w:t>
      </w:r>
    </w:p>
    <w:p>
      <w:pPr>
        <w:snapToGrid w:val="0"/>
        <w:spacing w:line="400" w:lineRule="exact"/>
        <w:ind w:firstLine="316" w:firstLineChars="150"/>
        <w:rPr>
          <w:rFonts w:hint="eastAsia"/>
          <w:b/>
        </w:rPr>
      </w:pPr>
      <w:r>
        <w:rPr>
          <w:rFonts w:hint="eastAsia"/>
          <w:b/>
        </w:rPr>
        <w:t>3.2</w:t>
      </w:r>
      <w:r>
        <w:rPr>
          <w:rFonts w:hint="eastAsia" w:ascii="宋体" w:hAnsi="宋体"/>
          <w:b/>
          <w:color w:val="000000"/>
        </w:rPr>
        <w:t>评标监理费的确定</w:t>
      </w:r>
      <w:r>
        <w:rPr>
          <w:rFonts w:hint="eastAsia"/>
          <w:b/>
        </w:rPr>
        <w:t>后，除计算错误外不再受其他任何因素（包括评标结束后投标人有异议而否决其投标处理等因素）的影响而改变。</w:t>
      </w:r>
    </w:p>
    <w:p>
      <w:pPr>
        <w:snapToGrid w:val="0"/>
        <w:spacing w:line="400" w:lineRule="exact"/>
        <w:ind w:firstLine="315" w:firstLineChars="150"/>
        <w:rPr>
          <w:rFonts w:hint="eastAsia"/>
        </w:rPr>
      </w:pPr>
      <w:r>
        <w:rPr>
          <w:rFonts w:hint="eastAsia"/>
        </w:rPr>
        <w:t>3.3</w:t>
      </w:r>
      <w:r>
        <w:rPr>
          <w:rFonts w:ascii="宋体" w:hAnsi="宋体"/>
          <w:bCs/>
          <w:color w:val="000000"/>
        </w:rPr>
        <w:t>商务标算术性错误</w:t>
      </w:r>
      <w:r>
        <w:rPr>
          <w:rFonts w:hint="eastAsia" w:ascii="宋体" w:hAnsi="宋体"/>
          <w:bCs/>
          <w:color w:val="000000"/>
        </w:rPr>
        <w:t>：</w:t>
      </w:r>
    </w:p>
    <w:p>
      <w:pPr>
        <w:snapToGrid w:val="0"/>
        <w:spacing w:line="400" w:lineRule="exact"/>
        <w:ind w:firstLine="316" w:firstLineChars="150"/>
        <w:rPr>
          <w:rFonts w:hint="eastAsia"/>
          <w:b/>
        </w:rPr>
      </w:pPr>
      <w:r>
        <w:rPr>
          <w:rFonts w:ascii="宋体" w:hAnsi="宋体"/>
          <w:b/>
          <w:bCs/>
          <w:color w:val="000000"/>
        </w:rPr>
        <w:t>商务标中出现以下情况时，由投标人的法定代表人或其授权委托人予以签字确认。如果投标人拒绝签字，则按投标违约对待。</w:t>
      </w:r>
    </w:p>
    <w:p>
      <w:pPr>
        <w:snapToGrid w:val="0"/>
        <w:spacing w:line="400" w:lineRule="exact"/>
        <w:ind w:firstLine="315" w:firstLineChars="150"/>
        <w:rPr>
          <w:rFonts w:hint="eastAsia"/>
          <w:u w:val="single"/>
        </w:rPr>
      </w:pPr>
      <w:r>
        <w:rPr>
          <w:rFonts w:hint="eastAsia" w:ascii="宋体" w:hAnsi="宋体"/>
          <w:bCs/>
          <w:color w:val="000000"/>
          <w:u w:val="single"/>
        </w:rPr>
        <w:t>（1）</w:t>
      </w:r>
      <w:r>
        <w:rPr>
          <w:rFonts w:ascii="宋体" w:hAnsi="宋体"/>
          <w:bCs/>
          <w:color w:val="000000"/>
          <w:u w:val="single"/>
        </w:rPr>
        <w:t>用数字表示的数额与用文字表示的数额不一致时，以文字数额为准；</w:t>
      </w:r>
    </w:p>
    <w:p>
      <w:pPr>
        <w:snapToGrid w:val="0"/>
        <w:spacing w:line="400" w:lineRule="exact"/>
        <w:ind w:firstLine="315" w:firstLineChars="150"/>
        <w:rPr>
          <w:rFonts w:hint="eastAsia"/>
          <w:u w:val="single"/>
        </w:rPr>
      </w:pPr>
      <w:r>
        <w:rPr>
          <w:rFonts w:hint="eastAsia" w:ascii="宋体" w:hAnsi="宋体"/>
          <w:bCs/>
          <w:color w:val="000000"/>
          <w:u w:val="single"/>
        </w:rPr>
        <w:t>（2）</w:t>
      </w:r>
      <w:r>
        <w:rPr>
          <w:rFonts w:ascii="宋体" w:hAnsi="宋体"/>
          <w:bCs/>
          <w:color w:val="000000"/>
          <w:u w:val="single"/>
        </w:rPr>
        <w:t>当单价与数量的乘积与合价不一致时，以单价为准，除非评标委员会认为单价有明显的小数点错误除外；</w:t>
      </w:r>
    </w:p>
    <w:p>
      <w:pPr>
        <w:snapToGrid w:val="0"/>
        <w:spacing w:line="400" w:lineRule="exact"/>
        <w:ind w:firstLine="315" w:firstLineChars="150"/>
        <w:rPr>
          <w:rFonts w:hint="eastAsia"/>
          <w:u w:val="single"/>
        </w:rPr>
      </w:pPr>
      <w:r>
        <w:rPr>
          <w:rFonts w:hint="eastAsia" w:ascii="宋体" w:hAnsi="宋体"/>
          <w:bCs/>
          <w:color w:val="000000"/>
          <w:u w:val="single"/>
        </w:rPr>
        <w:t>（3）</w:t>
      </w:r>
      <w:r>
        <w:rPr>
          <w:rFonts w:ascii="宋体" w:hAnsi="宋体"/>
          <w:bCs/>
          <w:color w:val="000000"/>
          <w:u w:val="single"/>
        </w:rPr>
        <w:t>合计累计金额与小计(合计)金额不一致的，以合计累计金额为准;</w:t>
      </w:r>
    </w:p>
    <w:p>
      <w:pPr>
        <w:snapToGrid w:val="0"/>
        <w:spacing w:line="400" w:lineRule="exact"/>
        <w:ind w:firstLine="315" w:firstLineChars="150"/>
        <w:rPr>
          <w:rFonts w:hint="eastAsia" w:ascii="宋体" w:hAnsi="宋体"/>
          <w:bCs/>
          <w:color w:val="000000"/>
          <w:u w:val="single"/>
        </w:rPr>
      </w:pPr>
      <w:r>
        <w:rPr>
          <w:rFonts w:hint="eastAsia" w:ascii="宋体" w:hAnsi="宋体"/>
          <w:bCs/>
          <w:color w:val="000000"/>
          <w:u w:val="single"/>
        </w:rPr>
        <w:t>（4）</w:t>
      </w:r>
      <w:r>
        <w:rPr>
          <w:rFonts w:ascii="宋体" w:hAnsi="宋体"/>
          <w:bCs/>
          <w:color w:val="000000"/>
          <w:u w:val="single"/>
        </w:rPr>
        <w:t>正本与副本不一致的以正本为准。</w:t>
      </w:r>
    </w:p>
    <w:p>
      <w:pPr>
        <w:autoSpaceDE w:val="0"/>
        <w:autoSpaceDN w:val="0"/>
        <w:snapToGrid w:val="0"/>
        <w:spacing w:line="400" w:lineRule="exact"/>
        <w:ind w:firstLine="420" w:firstLineChars="200"/>
        <w:jc w:val="left"/>
        <w:rPr>
          <w:rFonts w:hint="eastAsia" w:ascii="宋体" w:hAnsi="宋体"/>
          <w:b/>
          <w:bCs/>
          <w:color w:val="000000"/>
        </w:rPr>
      </w:pPr>
      <w:r>
        <w:rPr>
          <w:rFonts w:hint="eastAsia" w:ascii="宋体" w:hAnsi="宋体"/>
          <w:bCs/>
          <w:color w:val="000000"/>
        </w:rPr>
        <w:t>3.4</w:t>
      </w:r>
      <w:bookmarkEnd w:id="220"/>
      <w:bookmarkEnd w:id="221"/>
      <w:bookmarkEnd w:id="222"/>
      <w:r>
        <w:rPr>
          <w:rFonts w:hint="eastAsia" w:ascii="宋体" w:hAnsi="宋体"/>
          <w:bCs/>
          <w:color w:val="000000"/>
        </w:rPr>
        <w:t>投标人文件评审</w:t>
      </w:r>
    </w:p>
    <w:p>
      <w:pPr>
        <w:autoSpaceDE w:val="0"/>
        <w:autoSpaceDN w:val="0"/>
        <w:snapToGrid w:val="0"/>
        <w:spacing w:line="400" w:lineRule="exact"/>
        <w:ind w:firstLine="422" w:firstLineChars="200"/>
        <w:jc w:val="left"/>
        <w:rPr>
          <w:rFonts w:hint="eastAsia" w:ascii="宋体" w:hAnsi="宋体"/>
          <w:bCs/>
          <w:color w:val="000000"/>
        </w:rPr>
      </w:pPr>
      <w:r>
        <w:rPr>
          <w:rFonts w:hint="eastAsia" w:ascii="宋体" w:hAnsi="宋体"/>
          <w:b/>
          <w:bCs/>
          <w:color w:val="000000"/>
        </w:rPr>
        <w:t>评标委员会根据评标办法前附表中规定的评审因素和评审标准，对投标人的投标文件进行形式评审、响应性评审和资格评审，评标委员会认定投标人的投标不符合评标办法前附表形式评审、响应性评审和资格评审中规定的任何一项评审标准的，评标委员会应当否决其投标。</w:t>
      </w:r>
    </w:p>
    <w:p>
      <w:pPr>
        <w:autoSpaceDE w:val="0"/>
        <w:autoSpaceDN w:val="0"/>
        <w:snapToGrid w:val="0"/>
        <w:spacing w:line="400" w:lineRule="exact"/>
        <w:ind w:firstLine="420" w:firstLineChars="200"/>
        <w:jc w:val="left"/>
        <w:rPr>
          <w:rFonts w:hint="eastAsia" w:ascii="宋体" w:hAnsi="宋体"/>
          <w:bCs/>
          <w:color w:val="000000"/>
        </w:rPr>
      </w:pPr>
      <w:r>
        <w:rPr>
          <w:rFonts w:hint="eastAsia" w:ascii="宋体" w:hAnsi="宋体" w:cs="仿宋_GB2312"/>
          <w:bCs/>
          <w:color w:val="000000"/>
        </w:rPr>
        <w:t>3.5投标文件的澄清和补正</w:t>
      </w:r>
    </w:p>
    <w:p>
      <w:pPr>
        <w:autoSpaceDE w:val="0"/>
        <w:autoSpaceDN w:val="0"/>
        <w:snapToGrid w:val="0"/>
        <w:spacing w:line="400" w:lineRule="exact"/>
        <w:ind w:firstLine="420" w:firstLineChars="200"/>
        <w:jc w:val="left"/>
        <w:rPr>
          <w:rFonts w:hint="eastAsia" w:ascii="宋体" w:hAnsi="宋体"/>
          <w:bCs/>
          <w:color w:val="000000"/>
        </w:rPr>
      </w:pPr>
      <w:r>
        <w:rPr>
          <w:rFonts w:hint="eastAsia" w:ascii="宋体" w:hAnsi="宋体"/>
          <w:color w:val="000000"/>
        </w:rPr>
        <w:t>3.5.1在评标过程中，评标委员会可以书面形式要求投标人对所提交的投标文件中不明确的内容进行书面澄清或说明，或者对细微偏差进行补正。评标委员会不接受投标人主动提出的澄清、说明或补正。</w:t>
      </w:r>
    </w:p>
    <w:p>
      <w:pPr>
        <w:autoSpaceDE w:val="0"/>
        <w:autoSpaceDN w:val="0"/>
        <w:snapToGrid w:val="0"/>
        <w:spacing w:line="400" w:lineRule="exact"/>
        <w:ind w:firstLine="420" w:firstLineChars="200"/>
        <w:jc w:val="left"/>
        <w:rPr>
          <w:rFonts w:hint="eastAsia" w:ascii="宋体" w:hAnsi="宋体"/>
          <w:bCs/>
          <w:color w:val="000000"/>
        </w:rPr>
      </w:pPr>
      <w:r>
        <w:rPr>
          <w:rFonts w:hint="eastAsia" w:ascii="宋体" w:hAnsi="宋体"/>
          <w:color w:val="000000"/>
        </w:rPr>
        <w:t>3.5.2澄清、说明和补正不得改变投标文件的实质性内容（算术性错误修正的除外）。投标人的书面澄清、说明和补正属于投标文件的组成部分。</w:t>
      </w:r>
    </w:p>
    <w:p>
      <w:pPr>
        <w:autoSpaceDE w:val="0"/>
        <w:autoSpaceDN w:val="0"/>
        <w:snapToGrid w:val="0"/>
        <w:spacing w:line="400" w:lineRule="exact"/>
        <w:ind w:firstLine="420" w:firstLineChars="200"/>
        <w:jc w:val="left"/>
        <w:rPr>
          <w:rFonts w:hint="eastAsia" w:ascii="宋体" w:hAnsi="宋体"/>
          <w:color w:val="000000"/>
        </w:rPr>
      </w:pPr>
      <w:r>
        <w:rPr>
          <w:rFonts w:hint="eastAsia" w:ascii="宋体" w:hAnsi="宋体"/>
          <w:color w:val="000000"/>
        </w:rPr>
        <w:t>3.5.3评标委员会对投标人提交的澄清、说明或补正有疑问的，可以要求投标人进一步澄清、说明或补正，直至满足评标委员会的要求。</w:t>
      </w:r>
    </w:p>
    <w:p>
      <w:pPr>
        <w:autoSpaceDE w:val="0"/>
        <w:autoSpaceDN w:val="0"/>
        <w:snapToGrid w:val="0"/>
        <w:spacing w:line="400" w:lineRule="exact"/>
        <w:ind w:firstLine="422" w:firstLineChars="200"/>
        <w:jc w:val="left"/>
        <w:rPr>
          <w:rFonts w:hint="eastAsia"/>
          <w:b/>
          <w:color w:val="000000"/>
          <w:szCs w:val="21"/>
        </w:rPr>
      </w:pPr>
      <w:r>
        <w:rPr>
          <w:rFonts w:hint="eastAsia" w:ascii="宋体" w:hAnsi="宋体"/>
          <w:b/>
          <w:color w:val="000000"/>
          <w:szCs w:val="21"/>
        </w:rPr>
        <w:t>3.5.4投标人</w:t>
      </w:r>
      <w:r>
        <w:rPr>
          <w:rFonts w:hint="eastAsia"/>
          <w:b/>
          <w:color w:val="000000"/>
          <w:szCs w:val="21"/>
        </w:rPr>
        <w:t>不按评标委员会要求澄清、说明或补正的，评标委员会可否决其投标。</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3.6开标后，投标文件出现下列情况之一的，应当作否决投标处理：</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（1）投标人资格条件不满足招标文件要求的；</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（2）技术标未按投标须知前附表要求编制的；</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（3）投标文件未按规定装订和密封的；</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（4）投标文件不满足招标文件规定的签字和盖章要求；</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（5）投标人递交两份或多份内容不同的投标文件；</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（6）未响应招标文件的实质性要求和条件的；</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（7）投标人提交的有关材料及承诺书如有虚假隐瞒或承诺书中约定取消投标资格和中标资格等情况的，均作否决投标处理；</w:t>
      </w:r>
    </w:p>
    <w:p>
      <w:pPr>
        <w:snapToGrid w:val="0"/>
        <w:spacing w:line="400" w:lineRule="exact"/>
        <w:ind w:firstLine="413" w:firstLineChars="196"/>
        <w:rPr>
          <w:rFonts w:hint="eastAsia" w:ascii="宋体" w:hAnsi="宋体" w:cs="Arial"/>
          <w:b/>
          <w:color w:val="0000FF"/>
          <w:szCs w:val="21"/>
        </w:rPr>
      </w:pPr>
      <w:r>
        <w:rPr>
          <w:rFonts w:hint="eastAsia" w:ascii="宋体" w:hAnsi="宋体" w:cs="Arial"/>
          <w:b/>
          <w:color w:val="0000FF"/>
          <w:szCs w:val="21"/>
        </w:rPr>
        <w:t>（8）由建设行政部门公布有不良行为正在公示期间的投标人（建设行政部门公布指浙江省建设信息港、</w:t>
      </w:r>
      <w:r>
        <w:rPr>
          <w:rFonts w:hint="eastAsia" w:ascii="宋体" w:hAnsi="宋体" w:cs="Arial"/>
          <w:b/>
          <w:color w:val="0000FF"/>
          <w:kern w:val="0"/>
          <w:szCs w:val="21"/>
        </w:rPr>
        <w:t>温州市住建委或浙江省住建厅（含浙江省建筑业管理局）或国家住建部、</w:t>
      </w:r>
      <w:r>
        <w:rPr>
          <w:rFonts w:hint="eastAsia" w:ascii="宋体" w:hAnsi="宋体" w:cs="Arial"/>
          <w:b/>
          <w:color w:val="0000FF"/>
          <w:szCs w:val="21"/>
        </w:rPr>
        <w:t>苍南县住房和城乡建设局及温州市公共资源交易中心、苍南县公共资源交易中心等）</w:t>
      </w:r>
      <w:r>
        <w:rPr>
          <w:rFonts w:hint="eastAsia" w:ascii="宋体" w:hAnsi="宋体" w:cs="Arial"/>
          <w:b/>
          <w:color w:val="0000FF"/>
          <w:kern w:val="0"/>
          <w:szCs w:val="21"/>
        </w:rPr>
        <w:t>（如无限制期或公示期，按通报或公示发布之日起6个月计）。</w:t>
      </w:r>
    </w:p>
    <w:p>
      <w:pPr>
        <w:snapToGrid w:val="0"/>
        <w:spacing w:line="400" w:lineRule="exact"/>
        <w:ind w:firstLine="413" w:firstLineChars="196"/>
        <w:rPr>
          <w:rFonts w:hint="eastAsia" w:ascii="宋体" w:hAnsi="宋体"/>
          <w:color w:val="000000"/>
          <w:szCs w:val="21"/>
        </w:rPr>
      </w:pPr>
      <w:r>
        <w:rPr>
          <w:rFonts w:hint="eastAsia" w:ascii="宋体" w:hAnsi="宋体" w:cs="Arial"/>
          <w:b/>
          <w:color w:val="0000FF"/>
          <w:szCs w:val="21"/>
        </w:rPr>
        <w:t>（9）法律、法规及招标文件的其他属于否决投标的情况。</w:t>
      </w:r>
    </w:p>
    <w:p>
      <w:pPr>
        <w:autoSpaceDE w:val="0"/>
        <w:autoSpaceDN w:val="0"/>
        <w:snapToGrid w:val="0"/>
        <w:spacing w:line="400" w:lineRule="exact"/>
        <w:ind w:firstLine="422" w:firstLineChars="200"/>
        <w:jc w:val="left"/>
        <w:rPr>
          <w:rFonts w:hint="eastAsia" w:ascii="宋体" w:hAnsi="宋体"/>
          <w:bCs/>
          <w:color w:val="000000"/>
          <w:szCs w:val="21"/>
        </w:rPr>
      </w:pPr>
      <w:r>
        <w:rPr>
          <w:rFonts w:hint="eastAsia" w:ascii="宋体" w:hAnsi="宋体" w:cs="仿宋_GB2312"/>
          <w:b/>
          <w:color w:val="000000"/>
          <w:szCs w:val="21"/>
        </w:rPr>
        <w:t>3.6评标结果</w:t>
      </w:r>
    </w:p>
    <w:p>
      <w:pPr>
        <w:autoSpaceDE w:val="0"/>
        <w:autoSpaceDN w:val="0"/>
        <w:snapToGrid w:val="0"/>
        <w:spacing w:line="400" w:lineRule="exact"/>
        <w:ind w:firstLine="420" w:firstLineChars="200"/>
        <w:jc w:val="left"/>
        <w:rPr>
          <w:rFonts w:hint="eastAsia" w:ascii="宋体" w:hAnsi="宋体"/>
          <w:bCs/>
          <w:color w:val="000000"/>
          <w:szCs w:val="21"/>
        </w:rPr>
      </w:pPr>
      <w:r>
        <w:rPr>
          <w:rFonts w:hint="eastAsia" w:ascii="宋体" w:hAnsi="宋体"/>
          <w:color w:val="000000"/>
          <w:szCs w:val="21"/>
        </w:rPr>
        <w:t>3.6.1评标委员会按本章第2.2款规定的量化因素和分值进行打分，并计算出综合评估得分。</w:t>
      </w:r>
    </w:p>
    <w:p>
      <w:pPr>
        <w:spacing w:line="400" w:lineRule="exact"/>
        <w:ind w:firstLine="428" w:firstLineChars="204"/>
        <w:rPr>
          <w:rFonts w:hint="eastAsia" w:ascii="宋体" w:hAnsi="宋体"/>
          <w:color w:val="000000"/>
          <w:szCs w:val="21"/>
        </w:rPr>
      </w:pPr>
      <w:r>
        <w:rPr>
          <w:rFonts w:hint="eastAsia" w:ascii="宋体" w:hAnsi="宋体"/>
          <w:color w:val="000000"/>
          <w:szCs w:val="21"/>
        </w:rPr>
        <w:t>（1）按本章第2.1项规定的评审因素和分值对商务标计算出得分；</w:t>
      </w:r>
    </w:p>
    <w:p>
      <w:pPr>
        <w:spacing w:line="400" w:lineRule="exact"/>
        <w:ind w:firstLine="428" w:firstLineChars="204"/>
        <w:rPr>
          <w:rFonts w:hint="eastAsia" w:ascii="宋体" w:hAnsi="宋体"/>
          <w:color w:val="000000"/>
          <w:szCs w:val="21"/>
        </w:rPr>
      </w:pPr>
      <w:r>
        <w:rPr>
          <w:rFonts w:hint="eastAsia" w:ascii="宋体" w:hAnsi="宋体"/>
          <w:color w:val="000000"/>
          <w:szCs w:val="21"/>
        </w:rPr>
        <w:t>（2）按本章第2.2项目规定的评审因素和分值对技术标计算出得分；</w:t>
      </w:r>
    </w:p>
    <w:p>
      <w:pPr>
        <w:snapToGrid w:val="0"/>
        <w:spacing w:line="400" w:lineRule="exact"/>
        <w:ind w:firstLine="428" w:firstLineChars="204"/>
        <w:rPr>
          <w:rFonts w:hint="eastAsia" w:ascii="宋体" w:hAnsi="宋体"/>
          <w:color w:val="000000"/>
          <w:szCs w:val="21"/>
        </w:rPr>
      </w:pPr>
      <w:r>
        <w:rPr>
          <w:rFonts w:hint="eastAsia" w:ascii="宋体" w:hAnsi="宋体"/>
          <w:color w:val="000000"/>
          <w:szCs w:val="21"/>
        </w:rPr>
        <w:t>（3）按本章第2.3项目规定的评审因素和分值对资信标计算出得分；</w:t>
      </w:r>
    </w:p>
    <w:p>
      <w:pPr>
        <w:snapToGrid w:val="0"/>
        <w:spacing w:line="400" w:lineRule="exact"/>
        <w:ind w:firstLine="428" w:firstLineChars="204"/>
        <w:rPr>
          <w:rFonts w:hint="eastAsia" w:ascii="宋体" w:hAnsi="宋体"/>
          <w:color w:val="000000"/>
          <w:szCs w:val="21"/>
        </w:rPr>
      </w:pPr>
      <w:r>
        <w:rPr>
          <w:rFonts w:hint="eastAsia" w:ascii="宋体" w:hAnsi="宋体"/>
          <w:color w:val="000000"/>
          <w:szCs w:val="21"/>
        </w:rPr>
        <w:t>3.6.2投标人得分</w:t>
      </w:r>
      <w:r>
        <w:rPr>
          <w:rFonts w:hint="eastAsia"/>
          <w:color w:val="000000"/>
          <w:szCs w:val="21"/>
        </w:rPr>
        <w:t>见评标办法前附表。</w:t>
      </w:r>
    </w:p>
    <w:p>
      <w:pPr>
        <w:snapToGrid w:val="0"/>
        <w:spacing w:line="400" w:lineRule="exact"/>
        <w:ind w:firstLine="420" w:firstLineChars="200"/>
        <w:rPr>
          <w:rFonts w:hint="eastAsia" w:ascii="宋体" w:hAnsi="宋体"/>
          <w:color w:val="000000"/>
          <w:szCs w:val="21"/>
        </w:rPr>
      </w:pPr>
      <w:r>
        <w:rPr>
          <w:rFonts w:hint="eastAsia" w:ascii="宋体" w:hAnsi="宋体"/>
          <w:color w:val="000000"/>
          <w:szCs w:val="21"/>
        </w:rPr>
        <w:t>3.6.3除第二章“投标人须知”前附表授权直接确定中标人外，评标委员会按照得分由高到低的顺序推荐中标候选人。</w:t>
      </w:r>
    </w:p>
    <w:p>
      <w:pPr>
        <w:spacing w:line="400" w:lineRule="exact"/>
        <w:ind w:firstLine="315" w:firstLineChars="150"/>
        <w:rPr>
          <w:rFonts w:hint="eastAsia" w:ascii="仿宋_GB2312" w:hAnsi="宋体" w:eastAsia="仿宋_GB2312"/>
          <w:b/>
          <w:bCs/>
          <w:spacing w:val="6"/>
          <w:szCs w:val="21"/>
          <w:u w:val="single"/>
        </w:rPr>
      </w:pPr>
      <w:r>
        <w:rPr>
          <w:rFonts w:hint="eastAsia" w:ascii="宋体" w:hAnsi="宋体"/>
          <w:color w:val="000000"/>
          <w:szCs w:val="21"/>
        </w:rPr>
        <w:t xml:space="preserve">3.6.4 </w:t>
      </w:r>
      <w:r>
        <w:rPr>
          <w:rFonts w:hint="eastAsia" w:ascii="宋体" w:hAnsi="宋体"/>
          <w:b/>
          <w:bCs/>
          <w:color w:val="000000"/>
          <w:szCs w:val="21"/>
          <w:u w:val="single"/>
        </w:rPr>
        <w:t>在合格的投标人中，以综合得分最高者为中标候选人，若出现并列分数，则以资信标得分高者为优先单位；若资信标得分相同，则以技术标得分高者为优先单位；再若技术标得分相同，则以商务标得分高者为优先单位，再若商务标得分相同，则由总分一致者在既定数字号码球范围内随机抽取数字号码球，数字号码球大者为优先单位。</w:t>
      </w:r>
    </w:p>
    <w:p>
      <w:pPr>
        <w:snapToGrid w:val="0"/>
        <w:spacing w:line="400" w:lineRule="exact"/>
        <w:ind w:firstLine="420" w:firstLineChars="200"/>
        <w:rPr>
          <w:rFonts w:hint="eastAsia" w:ascii="Tahoma" w:hAnsi="Tahoma"/>
          <w:sz w:val="24"/>
          <w:szCs w:val="20"/>
        </w:rPr>
      </w:pPr>
      <w:r>
        <w:rPr>
          <w:rFonts w:hint="eastAsia" w:ascii="宋体" w:hAnsi="宋体"/>
          <w:color w:val="000000"/>
          <w:szCs w:val="21"/>
        </w:rPr>
        <w:t>3.6.5评标委员会完成评标后，应当向招标人提交书面评标报告。</w:t>
      </w:r>
    </w:p>
    <w:p>
      <w:pPr>
        <w:autoSpaceDE w:val="0"/>
        <w:autoSpaceDN w:val="0"/>
        <w:spacing w:before="165" w:after="0" w:line="240" w:lineRule="auto"/>
        <w:ind w:left="378" w:right="0" w:firstLine="0"/>
        <w:jc w:val="left"/>
        <w:rPr>
          <w:rFonts w:ascii="宋体" w:hAnsi="宋体" w:eastAsia="宋体" w:cs="宋体"/>
          <w:b/>
          <w:kern w:val="0"/>
          <w:sz w:val="24"/>
          <w:szCs w:val="22"/>
          <w:lang w:val="zh-CN" w:bidi="zh-CN"/>
        </w:rPr>
      </w:pPr>
      <w:r>
        <w:rPr>
          <w:rFonts w:hint="eastAsia" w:ascii="黑体" w:hAnsi="黑体" w:eastAsia="黑体"/>
          <w:b/>
          <w:bCs/>
          <w:sz w:val="32"/>
        </w:rPr>
        <w:br w:type="page"/>
      </w:r>
      <w:r>
        <w:rPr>
          <w:rFonts w:ascii="宋体" w:hAnsi="宋体" w:eastAsia="宋体" w:cs="宋体"/>
          <w:b/>
          <w:kern w:val="0"/>
          <w:sz w:val="24"/>
          <w:szCs w:val="22"/>
          <w:lang w:val="zh-CN" w:bidi="zh-CN"/>
        </w:rPr>
        <w:t>附件一 否决投标条款</w:t>
      </w:r>
    </w:p>
    <w:p>
      <w:pPr>
        <w:autoSpaceDE w:val="0"/>
        <w:autoSpaceDN w:val="0"/>
        <w:spacing w:before="214" w:after="0" w:line="240" w:lineRule="auto"/>
        <w:ind w:left="0" w:right="435" w:firstLine="0"/>
        <w:jc w:val="center"/>
        <w:rPr>
          <w:rFonts w:ascii="宋体" w:hAnsi="宋体" w:eastAsia="宋体" w:cs="宋体"/>
          <w:b/>
          <w:kern w:val="0"/>
          <w:sz w:val="28"/>
          <w:szCs w:val="22"/>
          <w:lang w:val="zh-CN" w:bidi="zh-CN"/>
        </w:rPr>
      </w:pPr>
      <w:r>
        <w:rPr>
          <w:rFonts w:ascii="宋体" w:hAnsi="宋体" w:eastAsia="宋体" w:cs="宋体"/>
          <w:b/>
          <w:kern w:val="0"/>
          <w:sz w:val="28"/>
          <w:szCs w:val="22"/>
          <w:lang w:val="zh-CN" w:bidi="zh-CN"/>
        </w:rPr>
        <w:t>否决投标条款</w:t>
      </w:r>
    </w:p>
    <w:p>
      <w:pPr>
        <w:widowControl w:val="0"/>
        <w:autoSpaceDE w:val="0"/>
        <w:autoSpaceDN w:val="0"/>
        <w:spacing w:before="133" w:after="0" w:line="364" w:lineRule="auto"/>
        <w:ind w:left="378" w:right="847" w:firstLine="420"/>
        <w:jc w:val="both"/>
        <w:rPr>
          <w:rFonts w:ascii="宋体" w:hAnsi="宋体" w:eastAsia="宋体" w:cs="宋体"/>
          <w:sz w:val="21"/>
          <w:szCs w:val="21"/>
          <w:lang w:val="zh-CN" w:eastAsia="zh-CN" w:bidi="zh-CN"/>
        </w:rPr>
      </w:pPr>
      <w:r>
        <w:rPr>
          <w:rFonts w:ascii="宋体" w:hAnsi="宋体" w:eastAsia="宋体" w:cs="宋体"/>
          <w:sz w:val="21"/>
          <w:szCs w:val="21"/>
          <w:lang w:val="zh-CN" w:eastAsia="zh-CN" w:bidi="zh-CN"/>
        </w:rPr>
        <w:t>本附件所集中列示的否决投标条款，是本章“评标办法”的组成部分，是对第二章“投标人须知”和本章正文部分所规定的否决投标条款的总结和补充，如果出现与本附件规定不一致的情况， 以本附件的规定为准。</w:t>
      </w:r>
    </w:p>
    <w:p>
      <w:pPr>
        <w:widowControl w:val="0"/>
        <w:numPr>
          <w:ilvl w:val="0"/>
          <w:numId w:val="7"/>
        </w:numPr>
        <w:tabs>
          <w:tab w:val="left" w:pos="696"/>
        </w:tabs>
        <w:autoSpaceDE w:val="0"/>
        <w:autoSpaceDN w:val="0"/>
        <w:spacing w:before="0" w:after="0" w:line="266" w:lineRule="exact"/>
        <w:ind w:left="695" w:right="0" w:hanging="318"/>
        <w:jc w:val="both"/>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投标人或投标文件出现下列情况之一的，其投标文件将被否决：</w:t>
      </w:r>
    </w:p>
    <w:p>
      <w:pPr>
        <w:widowControl w:val="0"/>
        <w:autoSpaceDE w:val="0"/>
        <w:autoSpaceDN w:val="0"/>
        <w:spacing w:before="9" w:after="0" w:line="240" w:lineRule="auto"/>
        <w:ind w:left="0" w:right="0"/>
        <w:jc w:val="left"/>
        <w:rPr>
          <w:rFonts w:ascii="宋体" w:hAnsi="宋体" w:eastAsia="宋体" w:cs="宋体"/>
          <w:b/>
          <w:sz w:val="18"/>
          <w:szCs w:val="21"/>
          <w:lang w:val="zh-CN" w:eastAsia="zh-CN" w:bidi="zh-CN"/>
        </w:rPr>
      </w:pPr>
    </w:p>
    <w:p>
      <w:pPr>
        <w:widowControl w:val="0"/>
        <w:numPr>
          <w:ilvl w:val="1"/>
          <w:numId w:val="7"/>
        </w:numPr>
        <w:tabs>
          <w:tab w:val="left" w:pos="1168"/>
        </w:tabs>
        <w:autoSpaceDE w:val="0"/>
        <w:autoSpaceDN w:val="0"/>
        <w:spacing w:before="1" w:after="0" w:line="240" w:lineRule="auto"/>
        <w:ind w:left="1168"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未在招标文件规定的时间内投标报名的；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221"/>
        </w:tabs>
        <w:autoSpaceDE w:val="0"/>
        <w:autoSpaceDN w:val="0"/>
        <w:spacing w:before="0" w:after="0" w:line="417" w:lineRule="auto"/>
        <w:ind w:left="378" w:right="811" w:firstLine="420"/>
        <w:jc w:val="left"/>
        <w:rPr>
          <w:rFonts w:ascii="宋体" w:hAnsi="宋体" w:eastAsia="宋体" w:cs="宋体"/>
          <w:sz w:val="21"/>
          <w:szCs w:val="22"/>
          <w:lang w:val="zh-CN" w:eastAsia="zh-CN" w:bidi="zh-CN"/>
        </w:rPr>
      </w:pPr>
      <w:r>
        <w:rPr>
          <w:rFonts w:ascii="宋体" w:hAnsi="宋体" w:eastAsia="宋体" w:cs="宋体"/>
          <w:spacing w:val="-4"/>
          <w:sz w:val="21"/>
          <w:szCs w:val="22"/>
          <w:lang w:val="zh-CN" w:eastAsia="zh-CN" w:bidi="zh-CN"/>
        </w:rPr>
        <w:t>投标单位在“温州市公共资源交易网苍南县分网交易系统”上填写的项目总监与提交投标</w:t>
      </w:r>
      <w:r>
        <w:rPr>
          <w:rFonts w:ascii="宋体" w:hAnsi="宋体" w:eastAsia="宋体" w:cs="宋体"/>
          <w:spacing w:val="-3"/>
          <w:sz w:val="21"/>
          <w:szCs w:val="22"/>
          <w:lang w:val="zh-CN" w:eastAsia="zh-CN" w:bidi="zh-CN"/>
        </w:rPr>
        <w:t>文件中拟派项目总监不一致。</w:t>
      </w:r>
    </w:p>
    <w:p>
      <w:pPr>
        <w:widowControl w:val="0"/>
        <w:numPr>
          <w:ilvl w:val="1"/>
          <w:numId w:val="7"/>
        </w:numPr>
        <w:tabs>
          <w:tab w:val="left" w:pos="1168"/>
        </w:tabs>
        <w:autoSpaceDE w:val="0"/>
        <w:autoSpaceDN w:val="0"/>
        <w:spacing w:before="0" w:after="0" w:line="269" w:lineRule="exact"/>
        <w:ind w:left="1168" w:right="0" w:hanging="370"/>
        <w:jc w:val="left"/>
        <w:rPr>
          <w:rFonts w:ascii="宋体" w:hAnsi="宋体" w:eastAsia="宋体" w:cs="宋体"/>
          <w:sz w:val="21"/>
          <w:szCs w:val="22"/>
          <w:lang w:val="zh-CN" w:eastAsia="zh-CN" w:bidi="zh-CN"/>
        </w:rPr>
      </w:pPr>
      <w:r>
        <w:rPr>
          <w:rFonts w:ascii="宋体" w:hAnsi="宋体" w:eastAsia="宋体" w:cs="宋体"/>
          <w:spacing w:val="-7"/>
          <w:sz w:val="21"/>
          <w:szCs w:val="22"/>
          <w:lang w:val="zh-CN" w:eastAsia="zh-CN" w:bidi="zh-CN"/>
        </w:rPr>
        <w:t xml:space="preserve">有第二章“投标人须知”第 </w:t>
      </w:r>
      <w:r>
        <w:rPr>
          <w:rFonts w:ascii="宋体" w:hAnsi="宋体" w:eastAsia="宋体" w:cs="宋体"/>
          <w:sz w:val="21"/>
          <w:szCs w:val="22"/>
          <w:lang w:val="zh-CN" w:eastAsia="zh-CN" w:bidi="zh-CN"/>
        </w:rPr>
        <w:t>1.4.2</w:t>
      </w:r>
      <w:r>
        <w:rPr>
          <w:rFonts w:ascii="宋体" w:hAnsi="宋体" w:eastAsia="宋体" w:cs="宋体"/>
          <w:spacing w:val="-3"/>
          <w:sz w:val="21"/>
          <w:szCs w:val="22"/>
          <w:lang w:val="zh-CN" w:eastAsia="zh-CN" w:bidi="zh-CN"/>
        </w:rPr>
        <w:t xml:space="preserve"> 项规定的任何一种情形的；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0" w:after="0" w:line="240" w:lineRule="auto"/>
        <w:ind w:left="1168" w:right="0" w:hanging="370"/>
        <w:jc w:val="left"/>
        <w:rPr>
          <w:rFonts w:ascii="宋体" w:hAnsi="宋体" w:eastAsia="宋体" w:cs="宋体"/>
          <w:sz w:val="21"/>
          <w:szCs w:val="22"/>
          <w:lang w:val="zh-CN" w:eastAsia="zh-CN" w:bidi="zh-CN"/>
        </w:rPr>
      </w:pPr>
      <w:r>
        <w:rPr>
          <w:rFonts w:ascii="宋体" w:hAnsi="宋体" w:eastAsia="宋体" w:cs="宋体"/>
          <w:spacing w:val="-8"/>
          <w:sz w:val="21"/>
          <w:szCs w:val="22"/>
          <w:lang w:val="zh-CN" w:eastAsia="zh-CN" w:bidi="zh-CN"/>
        </w:rPr>
        <w:t xml:space="preserve">存在第二章投标人须知第 </w:t>
      </w:r>
      <w:r>
        <w:rPr>
          <w:rFonts w:ascii="宋体" w:hAnsi="宋体" w:eastAsia="宋体" w:cs="宋体"/>
          <w:sz w:val="21"/>
          <w:szCs w:val="22"/>
          <w:lang w:val="zh-CN" w:eastAsia="zh-CN" w:bidi="zh-CN"/>
        </w:rPr>
        <w:t>3.4.1</w:t>
      </w:r>
      <w:r>
        <w:rPr>
          <w:rFonts w:ascii="宋体" w:hAnsi="宋体" w:eastAsia="宋体" w:cs="宋体"/>
          <w:spacing w:val="-10"/>
          <w:sz w:val="21"/>
          <w:szCs w:val="22"/>
          <w:lang w:val="zh-CN" w:eastAsia="zh-CN" w:bidi="zh-CN"/>
        </w:rPr>
        <w:t xml:space="preserve"> 项规定的情形；</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9"/>
        </w:tabs>
        <w:autoSpaceDE w:val="0"/>
        <w:autoSpaceDN w:val="0"/>
        <w:spacing w:before="0" w:after="0" w:line="240" w:lineRule="auto"/>
        <w:ind w:left="1168" w:right="0" w:hanging="371"/>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未按招标文件要求盖章或签字的；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9"/>
        </w:tabs>
        <w:autoSpaceDE w:val="0"/>
        <w:autoSpaceDN w:val="0"/>
        <w:spacing w:before="1" w:after="0" w:line="240" w:lineRule="auto"/>
        <w:ind w:left="1168" w:right="0" w:hanging="371"/>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存在串通投标、挂靠、弄虚作假、行贿等违法行为;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9"/>
        </w:tabs>
        <w:autoSpaceDE w:val="0"/>
        <w:autoSpaceDN w:val="0"/>
        <w:spacing w:before="0" w:after="0" w:line="240" w:lineRule="auto"/>
        <w:ind w:left="1168" w:right="0" w:hanging="371"/>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未对招标文件的实质性要求和条件作出响应；</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9"/>
        </w:tabs>
        <w:autoSpaceDE w:val="0"/>
        <w:autoSpaceDN w:val="0"/>
        <w:spacing w:before="0" w:after="0" w:line="240" w:lineRule="auto"/>
        <w:ind w:left="1168" w:right="0" w:hanging="371"/>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本招标文件中另有规定属于否决投标情形的；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9"/>
        </w:tabs>
        <w:autoSpaceDE w:val="0"/>
        <w:autoSpaceDN w:val="0"/>
        <w:spacing w:before="0" w:after="0" w:line="240" w:lineRule="auto"/>
        <w:ind w:left="1168" w:right="0" w:hanging="371"/>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国家、省、市、县有关规定属否决投标情形的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7"/>
        </w:numPr>
        <w:tabs>
          <w:tab w:val="left" w:pos="801"/>
        </w:tabs>
        <w:autoSpaceDE w:val="0"/>
        <w:autoSpaceDN w:val="0"/>
        <w:spacing w:before="1" w:after="0" w:line="240" w:lineRule="auto"/>
        <w:ind w:left="800" w:right="0" w:hanging="317"/>
        <w:jc w:val="both"/>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投标人或投标文件出现下列情况之一的，其投标文件将被否决</w:t>
      </w:r>
      <w:r>
        <w:rPr>
          <w:rFonts w:ascii="宋体" w:hAnsi="宋体" w:eastAsia="宋体" w:cs="宋体"/>
          <w:b/>
          <w:bCs/>
          <w:color w:val="0000FF"/>
          <w:sz w:val="21"/>
          <w:szCs w:val="21"/>
          <w:lang w:val="zh-CN" w:eastAsia="zh-CN" w:bidi="zh-CN"/>
        </w:rPr>
        <w:t>：</w:t>
      </w:r>
    </w:p>
    <w:p>
      <w:pPr>
        <w:widowControl w:val="0"/>
        <w:autoSpaceDE w:val="0"/>
        <w:autoSpaceDN w:val="0"/>
        <w:spacing w:before="6" w:after="0" w:line="240" w:lineRule="auto"/>
        <w:ind w:left="0" w:right="0"/>
        <w:jc w:val="left"/>
        <w:rPr>
          <w:rFonts w:ascii="宋体" w:hAnsi="宋体" w:eastAsia="宋体" w:cs="宋体"/>
          <w:b/>
          <w:sz w:val="15"/>
          <w:szCs w:val="21"/>
          <w:lang w:val="zh-CN" w:eastAsia="zh-CN" w:bidi="zh-CN"/>
        </w:rPr>
      </w:pPr>
    </w:p>
    <w:p>
      <w:pPr>
        <w:widowControl w:val="0"/>
        <w:numPr>
          <w:ilvl w:val="1"/>
          <w:numId w:val="7"/>
        </w:numPr>
        <w:tabs>
          <w:tab w:val="left" w:pos="1168"/>
        </w:tabs>
        <w:autoSpaceDE w:val="0"/>
        <w:autoSpaceDN w:val="0"/>
        <w:spacing w:before="0" w:after="0" w:line="240" w:lineRule="auto"/>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投标人的投标资格不满足国家有关规定的或招标文件、招标公告载明的投标资格条件；</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0" w:after="0" w:line="240" w:lineRule="auto"/>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投标人的资质、人员等条件不满足招标文件载明的强制性要求的；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0" w:after="0" w:line="240" w:lineRule="auto"/>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被有关行政监督管理部门通报限制投标且在限制期内的；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1" w:after="0" w:line="240" w:lineRule="auto"/>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未按招标文件要求盖章或签字的；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0" w:after="0" w:line="240" w:lineRule="auto"/>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投标文件附有招标人不能接受的条件的；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221"/>
        </w:tabs>
        <w:autoSpaceDE w:val="0"/>
        <w:autoSpaceDN w:val="0"/>
        <w:spacing w:before="0" w:after="0" w:line="417" w:lineRule="auto"/>
        <w:ind w:left="378" w:right="811" w:firstLine="420"/>
        <w:jc w:val="left"/>
        <w:rPr>
          <w:rFonts w:ascii="宋体" w:hAnsi="宋体" w:eastAsia="宋体" w:cs="宋体"/>
          <w:sz w:val="21"/>
          <w:szCs w:val="22"/>
          <w:lang w:val="zh-CN" w:eastAsia="zh-CN" w:bidi="zh-CN"/>
        </w:rPr>
      </w:pPr>
      <w:r>
        <w:rPr>
          <w:rFonts w:ascii="宋体" w:hAnsi="宋体" w:eastAsia="宋体" w:cs="宋体"/>
          <w:spacing w:val="-4"/>
          <w:sz w:val="21"/>
          <w:szCs w:val="22"/>
          <w:lang w:val="zh-CN" w:eastAsia="zh-CN" w:bidi="zh-CN"/>
        </w:rPr>
        <w:t>在形式性评审、资格评审、响应性评审中，评标委员会认定投标人的投标文件不符合评标</w:t>
      </w:r>
      <w:r>
        <w:rPr>
          <w:rFonts w:ascii="宋体" w:hAnsi="宋体" w:eastAsia="宋体" w:cs="宋体"/>
          <w:spacing w:val="-3"/>
          <w:sz w:val="21"/>
          <w:szCs w:val="22"/>
          <w:lang w:val="zh-CN" w:eastAsia="zh-CN" w:bidi="zh-CN"/>
        </w:rPr>
        <w:t>办法前附表中规定的任何一项评标标准的；</w:t>
      </w:r>
    </w:p>
    <w:p>
      <w:pPr>
        <w:widowControl w:val="0"/>
        <w:numPr>
          <w:ilvl w:val="1"/>
          <w:numId w:val="7"/>
        </w:numPr>
        <w:tabs>
          <w:tab w:val="left" w:pos="1168"/>
        </w:tabs>
        <w:autoSpaceDE w:val="0"/>
        <w:autoSpaceDN w:val="0"/>
        <w:spacing w:before="0" w:after="0" w:line="269" w:lineRule="exact"/>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资格审查资料拟派的总监理工程师和商务标投标函中注明的总监理工程师不一致的；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221"/>
        </w:tabs>
        <w:autoSpaceDE w:val="0"/>
        <w:autoSpaceDN w:val="0"/>
        <w:spacing w:before="0" w:after="0" w:line="417" w:lineRule="auto"/>
        <w:ind w:left="378" w:right="811" w:firstLine="420"/>
        <w:jc w:val="left"/>
        <w:rPr>
          <w:rFonts w:ascii="宋体" w:hAnsi="宋体" w:eastAsia="宋体" w:cs="宋体"/>
          <w:sz w:val="21"/>
          <w:szCs w:val="22"/>
          <w:lang w:val="zh-CN" w:eastAsia="zh-CN" w:bidi="zh-CN"/>
        </w:rPr>
      </w:pPr>
      <w:r>
        <w:rPr>
          <w:rFonts w:ascii="宋体" w:hAnsi="宋体" w:eastAsia="宋体" w:cs="宋体"/>
          <w:spacing w:val="-4"/>
          <w:sz w:val="21"/>
          <w:szCs w:val="22"/>
          <w:lang w:val="zh-CN" w:eastAsia="zh-CN" w:bidi="zh-CN"/>
        </w:rPr>
        <w:t>资格审查资料中的各类证件如在年检、升级、变更的，不能提供的，且无相应的主管部门</w:t>
      </w:r>
      <w:r>
        <w:rPr>
          <w:rFonts w:ascii="宋体" w:hAnsi="宋体" w:eastAsia="宋体" w:cs="宋体"/>
          <w:spacing w:val="-3"/>
          <w:sz w:val="21"/>
          <w:szCs w:val="22"/>
          <w:lang w:val="zh-CN" w:eastAsia="zh-CN" w:bidi="zh-CN"/>
        </w:rPr>
        <w:t>出具的书面材料原件扫描件的；</w:t>
      </w:r>
    </w:p>
    <w:p>
      <w:pPr>
        <w:widowControl w:val="0"/>
        <w:numPr>
          <w:ilvl w:val="1"/>
          <w:numId w:val="7"/>
        </w:numPr>
        <w:tabs>
          <w:tab w:val="left" w:pos="1168"/>
        </w:tabs>
        <w:autoSpaceDE w:val="0"/>
        <w:autoSpaceDN w:val="0"/>
        <w:spacing w:before="0" w:after="0" w:line="269" w:lineRule="exact"/>
        <w:ind w:left="1167"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不按评标委员会要求澄清、说明或补正的。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7"/>
        </w:numPr>
        <w:tabs>
          <w:tab w:val="left" w:pos="801"/>
        </w:tabs>
        <w:autoSpaceDE w:val="0"/>
        <w:autoSpaceDN w:val="0"/>
        <w:spacing w:before="0" w:after="0" w:line="240" w:lineRule="auto"/>
        <w:ind w:left="800" w:right="0" w:hanging="317"/>
        <w:jc w:val="both"/>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投标人或投标文件出现下列情况之一的，其投标文件将被否决：</w:t>
      </w:r>
    </w:p>
    <w:p>
      <w:pPr>
        <w:widowControl w:val="0"/>
        <w:autoSpaceDE w:val="0"/>
        <w:autoSpaceDN w:val="0"/>
        <w:spacing w:before="7" w:after="0" w:line="240" w:lineRule="auto"/>
        <w:ind w:left="0" w:right="0"/>
        <w:jc w:val="left"/>
        <w:rPr>
          <w:rFonts w:ascii="宋体" w:hAnsi="宋体" w:eastAsia="宋体" w:cs="宋体"/>
          <w:b/>
          <w:sz w:val="15"/>
          <w:szCs w:val="21"/>
          <w:lang w:val="zh-CN" w:eastAsia="zh-CN" w:bidi="zh-CN"/>
        </w:rPr>
      </w:pPr>
    </w:p>
    <w:p>
      <w:pPr>
        <w:widowControl w:val="0"/>
        <w:numPr>
          <w:ilvl w:val="1"/>
          <w:numId w:val="7"/>
        </w:numPr>
        <w:tabs>
          <w:tab w:val="left" w:pos="1168"/>
        </w:tabs>
        <w:autoSpaceDE w:val="0"/>
        <w:autoSpaceDN w:val="0"/>
        <w:spacing w:before="0" w:after="0" w:line="240" w:lineRule="auto"/>
        <w:ind w:left="1168"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投标书未按招标文件规定要求及格式编制、内容不全或关键字迹模糊，无法辨认的；</w:t>
      </w:r>
    </w:p>
    <w:p>
      <w:pPr>
        <w:spacing w:after="0" w:line="240" w:lineRule="auto"/>
        <w:jc w:val="left"/>
        <w:rPr>
          <w:sz w:val="21"/>
        </w:rPr>
        <w:sectPr>
          <w:footerReference r:id="rId3" w:type="default"/>
          <w:pgSz w:w="11910" w:h="16840"/>
          <w:pgMar w:top="1320" w:right="602" w:bottom="1160" w:left="1040" w:header="857" w:footer="977" w:gutter="0"/>
          <w:pgNumType w:fmt="decimal" w:start="2"/>
          <w:cols w:space="720" w:num="1"/>
        </w:sectPr>
      </w:pPr>
    </w:p>
    <w:p>
      <w:pPr>
        <w:widowControl w:val="0"/>
        <w:autoSpaceDE w:val="0"/>
        <w:autoSpaceDN w:val="0"/>
        <w:spacing w:before="11" w:after="0" w:line="240" w:lineRule="auto"/>
        <w:ind w:left="0" w:right="0"/>
        <w:jc w:val="left"/>
        <w:rPr>
          <w:rFonts w:ascii="宋体" w:hAnsi="宋体" w:eastAsia="宋体" w:cs="宋体"/>
          <w:sz w:val="8"/>
          <w:szCs w:val="21"/>
          <w:lang w:val="zh-CN" w:eastAsia="zh-CN" w:bidi="zh-CN"/>
        </w:rPr>
      </w:pPr>
    </w:p>
    <w:p>
      <w:pPr>
        <w:widowControl w:val="0"/>
        <w:numPr>
          <w:ilvl w:val="1"/>
          <w:numId w:val="7"/>
        </w:numPr>
        <w:tabs>
          <w:tab w:val="left" w:pos="1168"/>
        </w:tabs>
        <w:autoSpaceDE w:val="0"/>
        <w:autoSpaceDN w:val="0"/>
        <w:spacing w:before="72" w:after="0" w:line="240" w:lineRule="auto"/>
        <w:ind w:left="1168"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评标委员会认定属投标人自身原因有重大漏项的。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1"/>
          <w:numId w:val="7"/>
        </w:numPr>
        <w:tabs>
          <w:tab w:val="left" w:pos="1168"/>
        </w:tabs>
        <w:autoSpaceDE w:val="0"/>
        <w:autoSpaceDN w:val="0"/>
        <w:spacing w:before="0" w:after="0" w:line="240" w:lineRule="auto"/>
        <w:ind w:left="1168" w:right="0" w:hanging="37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招标文件其他规定或现行法律法规相关规定的。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7"/>
        </w:numPr>
        <w:tabs>
          <w:tab w:val="left" w:pos="801"/>
        </w:tabs>
        <w:autoSpaceDE w:val="0"/>
        <w:autoSpaceDN w:val="0"/>
        <w:spacing w:before="0" w:after="0" w:line="240" w:lineRule="auto"/>
        <w:ind w:left="800" w:right="0" w:hanging="317"/>
        <w:jc w:val="left"/>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根据《中华人民共和国招标投标法实施条例》有下列情形之一的，属于串通投标行为：</w:t>
      </w:r>
    </w:p>
    <w:p>
      <w:pPr>
        <w:widowControl w:val="0"/>
        <w:autoSpaceDE w:val="0"/>
        <w:autoSpaceDN w:val="0"/>
        <w:spacing w:before="7" w:after="0" w:line="240" w:lineRule="auto"/>
        <w:ind w:left="0" w:right="0"/>
        <w:jc w:val="left"/>
        <w:rPr>
          <w:rFonts w:ascii="宋体" w:hAnsi="宋体" w:eastAsia="宋体" w:cs="宋体"/>
          <w:b/>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投标人之间协商投标报价等投标文件的实质性内容；</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1"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投标人之间约定中标人；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投标人之间约定部分投标人放弃投标或者中标；</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属于同一集团、协会、商会等组织成员的投标人按照该组织要求协同投标；</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投标人之间为谋取中标或者排斥特定投标人而采取的其他联合行动。</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不同投标人的投标文件由同一单位或者个人编制；</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1" w:after="0" w:line="417" w:lineRule="auto"/>
        <w:ind w:left="378" w:right="809" w:firstLine="420"/>
        <w:jc w:val="both"/>
        <w:rPr>
          <w:rFonts w:ascii="宋体" w:hAnsi="宋体" w:eastAsia="宋体" w:cs="宋体"/>
          <w:sz w:val="21"/>
          <w:szCs w:val="22"/>
          <w:lang w:val="zh-CN" w:eastAsia="zh-CN" w:bidi="zh-CN"/>
        </w:rPr>
      </w:pPr>
      <w:r>
        <w:rPr>
          <w:rFonts w:ascii="宋体" w:hAnsi="宋体" w:eastAsia="宋体" w:cs="宋体"/>
          <w:spacing w:val="-5"/>
          <w:sz w:val="21"/>
          <w:szCs w:val="22"/>
          <w:lang w:val="zh-CN" w:eastAsia="zh-CN" w:bidi="zh-CN"/>
        </w:rPr>
        <w:t>不同投标人委托同一单位或者个人办理投标事宜</w:t>
      </w:r>
      <w:r>
        <w:rPr>
          <w:rFonts w:ascii="宋体" w:hAnsi="宋体" w:eastAsia="宋体" w:cs="宋体"/>
          <w:sz w:val="21"/>
          <w:szCs w:val="22"/>
          <w:lang w:val="zh-CN" w:eastAsia="zh-CN" w:bidi="zh-CN"/>
        </w:rPr>
        <w:t>（</w:t>
      </w:r>
      <w:r>
        <w:rPr>
          <w:rFonts w:ascii="宋体" w:hAnsi="宋体" w:eastAsia="宋体" w:cs="宋体"/>
          <w:spacing w:val="-3"/>
          <w:sz w:val="21"/>
          <w:szCs w:val="22"/>
          <w:lang w:val="zh-CN" w:eastAsia="zh-CN" w:bidi="zh-CN"/>
        </w:rPr>
        <w:t>同投标人从同一投标单位或同一自然 人的ＩＰ地址下载招标文件、购买电子保函或参加投标活动的人员为同一标段其他投标人的在职人</w:t>
      </w:r>
      <w:r>
        <w:rPr>
          <w:rFonts w:ascii="宋体" w:hAnsi="宋体" w:eastAsia="宋体" w:cs="宋体"/>
          <w:spacing w:val="-5"/>
          <w:sz w:val="21"/>
          <w:szCs w:val="22"/>
          <w:lang w:val="zh-CN" w:eastAsia="zh-CN" w:bidi="zh-CN"/>
        </w:rPr>
        <w:t>员的，结合相关事实证据，认定属于本条的</w:t>
      </w:r>
      <w:r>
        <w:rPr>
          <w:rFonts w:ascii="宋体" w:hAnsi="宋体" w:eastAsia="宋体" w:cs="宋体"/>
          <w:sz w:val="21"/>
          <w:szCs w:val="22"/>
          <w:lang w:val="zh-CN" w:eastAsia="zh-CN" w:bidi="zh-CN"/>
        </w:rPr>
        <w:t>）；</w:t>
      </w:r>
    </w:p>
    <w:p>
      <w:pPr>
        <w:widowControl w:val="0"/>
        <w:numPr>
          <w:ilvl w:val="0"/>
          <w:numId w:val="8"/>
        </w:numPr>
        <w:tabs>
          <w:tab w:val="left" w:pos="1328"/>
        </w:tabs>
        <w:autoSpaceDE w:val="0"/>
        <w:autoSpaceDN w:val="0"/>
        <w:spacing w:before="0" w:after="0" w:line="269" w:lineRule="exact"/>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不同投标人的投标文件载明的项目管理成员为同一人；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不同投标人的投标文件异常一致或者投标报价呈规律性差异；</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0" w:after="0" w:line="240" w:lineRule="auto"/>
        <w:ind w:left="1433"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不同投标人的投标文件相互混装；</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0" w:after="0" w:line="417" w:lineRule="auto"/>
        <w:ind w:left="378" w:right="811" w:firstLine="420"/>
        <w:jc w:val="left"/>
        <w:rPr>
          <w:rFonts w:ascii="宋体" w:hAnsi="宋体" w:eastAsia="宋体" w:cs="宋体"/>
          <w:sz w:val="21"/>
          <w:szCs w:val="22"/>
          <w:lang w:val="zh-CN" w:eastAsia="zh-CN" w:bidi="zh-CN"/>
        </w:rPr>
      </w:pPr>
      <w:r>
        <w:rPr>
          <w:rFonts w:ascii="宋体" w:hAnsi="宋体" w:eastAsia="宋体" w:cs="宋体"/>
          <w:spacing w:val="-2"/>
          <w:sz w:val="21"/>
          <w:szCs w:val="22"/>
          <w:lang w:val="zh-CN" w:eastAsia="zh-CN" w:bidi="zh-CN"/>
        </w:rPr>
        <w:t>不同投标人的投标金从同一单位或者个人的账户转出</w:t>
      </w:r>
      <w:r>
        <w:rPr>
          <w:rFonts w:ascii="宋体" w:hAnsi="宋体" w:eastAsia="宋体" w:cs="宋体"/>
          <w:sz w:val="21"/>
          <w:szCs w:val="22"/>
          <w:lang w:val="zh-CN" w:eastAsia="zh-CN" w:bidi="zh-CN"/>
        </w:rPr>
        <w:t>（</w:t>
      </w:r>
      <w:r>
        <w:rPr>
          <w:rFonts w:ascii="宋体" w:hAnsi="宋体" w:eastAsia="宋体" w:cs="宋体"/>
          <w:spacing w:val="-3"/>
          <w:sz w:val="21"/>
          <w:szCs w:val="22"/>
          <w:lang w:val="zh-CN" w:eastAsia="zh-CN" w:bidi="zh-CN"/>
        </w:rPr>
        <w:t>不同投标人通过同一单位或者个人账户购买电子保函的，结合相关事实证据，认定属于本条的</w:t>
      </w:r>
      <w:r>
        <w:rPr>
          <w:rFonts w:ascii="宋体" w:hAnsi="宋体" w:eastAsia="宋体" w:cs="宋体"/>
          <w:sz w:val="21"/>
          <w:szCs w:val="22"/>
          <w:lang w:val="zh-CN" w:eastAsia="zh-CN" w:bidi="zh-CN"/>
        </w:rPr>
        <w:t>）；</w:t>
      </w:r>
    </w:p>
    <w:p>
      <w:pPr>
        <w:widowControl w:val="0"/>
        <w:numPr>
          <w:ilvl w:val="0"/>
          <w:numId w:val="8"/>
        </w:numPr>
        <w:tabs>
          <w:tab w:val="left" w:pos="1433"/>
        </w:tabs>
        <w:autoSpaceDE w:val="0"/>
        <w:autoSpaceDN w:val="0"/>
        <w:spacing w:before="0" w:after="0" w:line="269" w:lineRule="exact"/>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招标人在开标前开启投标文件并将有关信息泄露给其他投标人；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1" w:after="0" w:line="240" w:lineRule="auto"/>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招标人直接或者间接向投标人泄露评标委员会成员等信息；</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0" w:after="0" w:line="240" w:lineRule="auto"/>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招标人明示或者暗示投标人压低或者抬高投标报价；</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0" w:after="0" w:line="240" w:lineRule="auto"/>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招标人授意投标人撤换、修改投标文件；</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0" w:after="0" w:line="240" w:lineRule="auto"/>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招标人明示或者暗示投标人为特定投标人中标提供方便；</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8"/>
        </w:numPr>
        <w:tabs>
          <w:tab w:val="left" w:pos="1433"/>
        </w:tabs>
        <w:autoSpaceDE w:val="0"/>
        <w:autoSpaceDN w:val="0"/>
        <w:spacing w:before="1" w:after="0" w:line="240" w:lineRule="auto"/>
        <w:ind w:left="1432" w:right="0" w:hanging="635"/>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招标人与投标人为谋求特定投标人中标而采取的其他串通行为。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7"/>
        </w:numPr>
        <w:tabs>
          <w:tab w:val="left" w:pos="801"/>
        </w:tabs>
        <w:autoSpaceDE w:val="0"/>
        <w:autoSpaceDN w:val="0"/>
        <w:spacing w:before="0" w:after="0" w:line="240" w:lineRule="auto"/>
        <w:ind w:left="800" w:right="0" w:hanging="317"/>
        <w:jc w:val="left"/>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投标人有下列情形之一的,属于弄虚作假投标的行为：</w:t>
      </w:r>
    </w:p>
    <w:p>
      <w:pPr>
        <w:widowControl w:val="0"/>
        <w:autoSpaceDE w:val="0"/>
        <w:autoSpaceDN w:val="0"/>
        <w:spacing w:before="7" w:after="0" w:line="240" w:lineRule="auto"/>
        <w:ind w:left="0" w:right="0"/>
        <w:jc w:val="left"/>
        <w:rPr>
          <w:rFonts w:ascii="宋体" w:hAnsi="宋体" w:eastAsia="宋体" w:cs="宋体"/>
          <w:b/>
          <w:sz w:val="15"/>
          <w:szCs w:val="21"/>
          <w:lang w:val="zh-CN" w:eastAsia="zh-CN" w:bidi="zh-CN"/>
        </w:rPr>
      </w:pPr>
    </w:p>
    <w:p>
      <w:pPr>
        <w:widowControl w:val="0"/>
        <w:numPr>
          <w:ilvl w:val="0"/>
          <w:numId w:val="9"/>
        </w:numPr>
        <w:tabs>
          <w:tab w:val="left" w:pos="1328"/>
        </w:tabs>
        <w:autoSpaceDE w:val="0"/>
        <w:autoSpaceDN w:val="0"/>
        <w:spacing w:before="0" w:after="0" w:line="417" w:lineRule="auto"/>
        <w:ind w:left="378" w:right="809" w:firstLine="420"/>
        <w:jc w:val="left"/>
        <w:rPr>
          <w:rFonts w:ascii="宋体" w:hAnsi="宋体" w:eastAsia="宋体" w:cs="宋体"/>
          <w:sz w:val="21"/>
          <w:szCs w:val="22"/>
          <w:lang w:val="zh-CN" w:eastAsia="zh-CN" w:bidi="zh-CN"/>
        </w:rPr>
      </w:pPr>
      <w:r>
        <w:rPr>
          <w:rFonts w:ascii="宋体" w:hAnsi="宋体" w:eastAsia="宋体" w:cs="宋体"/>
          <w:spacing w:val="-5"/>
          <w:sz w:val="21"/>
          <w:szCs w:val="22"/>
          <w:lang w:val="zh-CN" w:eastAsia="zh-CN" w:bidi="zh-CN"/>
        </w:rPr>
        <w:t xml:space="preserve">使用通过受让或者租借等方式获取的资格、资质证书投标的，属于招标投标法第三十三 </w:t>
      </w:r>
      <w:r>
        <w:rPr>
          <w:rFonts w:ascii="宋体" w:hAnsi="宋体" w:eastAsia="宋体" w:cs="宋体"/>
          <w:spacing w:val="-3"/>
          <w:sz w:val="21"/>
          <w:szCs w:val="22"/>
          <w:lang w:val="zh-CN" w:eastAsia="zh-CN" w:bidi="zh-CN"/>
        </w:rPr>
        <w:t>条规定的以他人名义投标。</w:t>
      </w:r>
    </w:p>
    <w:p>
      <w:pPr>
        <w:widowControl w:val="0"/>
        <w:numPr>
          <w:ilvl w:val="0"/>
          <w:numId w:val="9"/>
        </w:numPr>
        <w:tabs>
          <w:tab w:val="left" w:pos="1325"/>
        </w:tabs>
        <w:autoSpaceDE w:val="0"/>
        <w:autoSpaceDN w:val="0"/>
        <w:spacing w:before="0" w:after="0" w:line="269" w:lineRule="exact"/>
        <w:ind w:left="1324" w:right="0" w:hanging="527"/>
        <w:jc w:val="left"/>
        <w:rPr>
          <w:rFonts w:ascii="宋体" w:hAnsi="宋体" w:eastAsia="宋体" w:cs="宋体"/>
          <w:sz w:val="21"/>
          <w:szCs w:val="22"/>
          <w:lang w:val="zh-CN" w:eastAsia="zh-CN" w:bidi="zh-CN"/>
        </w:rPr>
      </w:pPr>
      <w:r>
        <w:rPr>
          <w:rFonts w:ascii="宋体" w:hAnsi="宋体" w:eastAsia="宋体" w:cs="宋体"/>
          <w:spacing w:val="-10"/>
          <w:sz w:val="21"/>
          <w:szCs w:val="22"/>
          <w:lang w:val="zh-CN" w:eastAsia="zh-CN" w:bidi="zh-CN"/>
        </w:rPr>
        <w:t>投标人有下列情形之一的，属于招标投标法第三十三条规定的以其他方式弄虚作假的行为：</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autoSpaceDE w:val="0"/>
        <w:autoSpaceDN w:val="0"/>
        <w:spacing w:before="1" w:after="0" w:line="240" w:lineRule="auto"/>
        <w:ind w:left="798" w:right="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①使用伪造、变造的许可证件；</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autoSpaceDE w:val="0"/>
        <w:autoSpaceDN w:val="0"/>
        <w:spacing w:before="0" w:after="0" w:line="240" w:lineRule="auto"/>
        <w:ind w:left="798" w:right="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②提供虚假的财务状况或者业绩；</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autoSpaceDE w:val="0"/>
        <w:autoSpaceDN w:val="0"/>
        <w:spacing w:before="0" w:after="0" w:line="240" w:lineRule="auto"/>
        <w:ind w:left="798" w:right="0"/>
        <w:jc w:val="left"/>
        <w:rPr>
          <w:rFonts w:ascii="宋体" w:hAnsi="宋体" w:eastAsia="宋体" w:cs="宋体"/>
          <w:sz w:val="21"/>
          <w:szCs w:val="21"/>
          <w:lang w:val="zh-CN" w:eastAsia="zh-CN" w:bidi="zh-CN"/>
        </w:rPr>
      </w:pPr>
      <w:r>
        <w:rPr>
          <w:rFonts w:ascii="宋体" w:hAnsi="宋体" w:eastAsia="宋体" w:cs="宋体"/>
          <w:sz w:val="21"/>
          <w:szCs w:val="21"/>
          <w:lang w:val="zh-CN" w:eastAsia="zh-CN" w:bidi="zh-CN"/>
        </w:rPr>
        <w:t>③提供虚假的总监理工程师或者主要技术人员简历、劳动关系证明；</w:t>
      </w:r>
    </w:p>
    <w:p>
      <w:pPr>
        <w:spacing w:after="0"/>
        <w:sectPr>
          <w:pgSz w:w="11910" w:h="16840"/>
          <w:pgMar w:top="1320" w:right="602" w:bottom="1160" w:left="1040" w:header="857" w:footer="977" w:gutter="0"/>
          <w:pgNumType w:fmt="decimal"/>
          <w:cols w:space="720" w:num="1"/>
        </w:sectPr>
      </w:pPr>
    </w:p>
    <w:p>
      <w:pPr>
        <w:widowControl w:val="0"/>
        <w:autoSpaceDE w:val="0"/>
        <w:autoSpaceDN w:val="0"/>
        <w:spacing w:before="11" w:after="0" w:line="240" w:lineRule="auto"/>
        <w:ind w:left="0" w:right="0"/>
        <w:jc w:val="left"/>
        <w:rPr>
          <w:rFonts w:ascii="宋体" w:hAnsi="宋体" w:eastAsia="宋体" w:cs="宋体"/>
          <w:sz w:val="8"/>
          <w:szCs w:val="21"/>
          <w:lang w:val="zh-CN" w:eastAsia="zh-CN" w:bidi="zh-CN"/>
        </w:rPr>
      </w:pPr>
    </w:p>
    <w:p>
      <w:pPr>
        <w:widowControl w:val="0"/>
        <w:autoSpaceDE w:val="0"/>
        <w:autoSpaceDN w:val="0"/>
        <w:spacing w:before="72" w:after="0" w:line="240" w:lineRule="auto"/>
        <w:ind w:left="798" w:right="0"/>
        <w:jc w:val="left"/>
        <w:rPr>
          <w:rFonts w:ascii="宋体" w:hAnsi="宋体" w:eastAsia="宋体" w:cs="宋体"/>
          <w:sz w:val="21"/>
          <w:szCs w:val="21"/>
          <w:lang w:val="zh-CN" w:eastAsia="zh-CN" w:bidi="zh-CN"/>
        </w:rPr>
      </w:pPr>
      <w:r>
        <w:rPr>
          <w:rFonts w:ascii="宋体" w:hAnsi="宋体" w:eastAsia="宋体" w:cs="宋体"/>
          <w:spacing w:val="-3"/>
          <w:sz w:val="21"/>
          <w:szCs w:val="21"/>
          <w:lang w:val="zh-CN" w:eastAsia="zh-CN" w:bidi="zh-CN"/>
        </w:rPr>
        <w:t>④提供虚假的信用状况；</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autoSpaceDE w:val="0"/>
        <w:autoSpaceDN w:val="0"/>
        <w:spacing w:before="0" w:after="0" w:line="240" w:lineRule="auto"/>
        <w:ind w:left="798" w:right="0"/>
        <w:jc w:val="left"/>
        <w:rPr>
          <w:rFonts w:ascii="宋体" w:hAnsi="宋体" w:eastAsia="宋体" w:cs="宋体"/>
          <w:sz w:val="21"/>
          <w:szCs w:val="21"/>
          <w:lang w:val="zh-CN" w:eastAsia="zh-CN" w:bidi="zh-CN"/>
        </w:rPr>
      </w:pPr>
      <w:r>
        <w:rPr>
          <w:rFonts w:ascii="宋体" w:hAnsi="宋体" w:eastAsia="宋体" w:cs="宋体"/>
          <w:spacing w:val="-3"/>
          <w:sz w:val="21"/>
          <w:szCs w:val="21"/>
          <w:lang w:val="zh-CN" w:eastAsia="zh-CN" w:bidi="zh-CN"/>
        </w:rPr>
        <w:t>⑤其他弄虚作假的行为。</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7"/>
        </w:numPr>
        <w:tabs>
          <w:tab w:val="left" w:pos="802"/>
        </w:tabs>
        <w:autoSpaceDE w:val="0"/>
        <w:autoSpaceDN w:val="0"/>
        <w:spacing w:before="0" w:after="0" w:line="240" w:lineRule="auto"/>
        <w:ind w:left="801" w:right="0" w:hanging="318"/>
        <w:jc w:val="left"/>
        <w:outlineLvl w:val="8"/>
        <w:rPr>
          <w:rFonts w:ascii="宋体" w:hAnsi="宋体" w:eastAsia="宋体" w:cs="宋体"/>
          <w:b/>
          <w:bCs/>
          <w:sz w:val="21"/>
          <w:szCs w:val="21"/>
          <w:lang w:val="zh-CN" w:eastAsia="zh-CN" w:bidi="zh-CN"/>
        </w:rPr>
      </w:pPr>
      <w:r>
        <w:rPr>
          <w:rFonts w:ascii="宋体" w:hAnsi="宋体" w:eastAsia="宋体" w:cs="宋体"/>
          <w:b/>
          <w:bCs/>
          <w:spacing w:val="-3"/>
          <w:sz w:val="21"/>
          <w:szCs w:val="21"/>
          <w:lang w:val="zh-CN" w:eastAsia="zh-CN" w:bidi="zh-CN"/>
        </w:rPr>
        <w:t>投标人有下列情形之一的，属于以他人名义投标的行为，认定为“挂靠”行为：</w:t>
      </w:r>
    </w:p>
    <w:p>
      <w:pPr>
        <w:widowControl w:val="0"/>
        <w:autoSpaceDE w:val="0"/>
        <w:autoSpaceDN w:val="0"/>
        <w:spacing w:before="7" w:after="0" w:line="240" w:lineRule="auto"/>
        <w:ind w:left="0" w:right="0"/>
        <w:jc w:val="left"/>
        <w:rPr>
          <w:rFonts w:ascii="宋体" w:hAnsi="宋体" w:eastAsia="宋体" w:cs="宋体"/>
          <w:b/>
          <w:sz w:val="15"/>
          <w:szCs w:val="21"/>
          <w:lang w:val="zh-CN" w:eastAsia="zh-CN" w:bidi="zh-CN"/>
        </w:rPr>
      </w:pPr>
    </w:p>
    <w:p>
      <w:pPr>
        <w:widowControl w:val="0"/>
        <w:numPr>
          <w:ilvl w:val="0"/>
          <w:numId w:val="10"/>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投标保证金不是从投标人基本账户转出的；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10"/>
        </w:numPr>
        <w:tabs>
          <w:tab w:val="left" w:pos="1328"/>
        </w:tabs>
        <w:autoSpaceDE w:val="0"/>
        <w:autoSpaceDN w:val="0"/>
        <w:spacing w:before="1"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拟派的总监理工程师或者主要技术人员不是本单位人员的；</w:t>
      </w:r>
    </w:p>
    <w:p>
      <w:pPr>
        <w:widowControl w:val="0"/>
        <w:autoSpaceDE w:val="0"/>
        <w:autoSpaceDN w:val="0"/>
        <w:spacing w:before="6" w:after="0" w:line="240" w:lineRule="auto"/>
        <w:ind w:left="0" w:right="0"/>
        <w:jc w:val="left"/>
        <w:rPr>
          <w:rFonts w:ascii="宋体" w:hAnsi="宋体" w:eastAsia="宋体" w:cs="宋体"/>
          <w:sz w:val="15"/>
          <w:szCs w:val="21"/>
          <w:lang w:val="zh-CN" w:eastAsia="zh-CN" w:bidi="zh-CN"/>
        </w:rPr>
      </w:pPr>
    </w:p>
    <w:p>
      <w:pPr>
        <w:widowControl w:val="0"/>
        <w:numPr>
          <w:ilvl w:val="0"/>
          <w:numId w:val="10"/>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通过转让或者租借等方式从其他单位获取资格或者资质证书投标的；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10"/>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由其他单位或者其他单位负责人在自己编制的投标文件上加盖印章或者签字的；</w:t>
      </w:r>
    </w:p>
    <w:p>
      <w:pPr>
        <w:widowControl w:val="0"/>
        <w:autoSpaceDE w:val="0"/>
        <w:autoSpaceDN w:val="0"/>
        <w:spacing w:before="7" w:after="0" w:line="240" w:lineRule="auto"/>
        <w:ind w:left="0" w:right="0"/>
        <w:jc w:val="left"/>
        <w:rPr>
          <w:rFonts w:ascii="宋体" w:hAnsi="宋体" w:eastAsia="宋体" w:cs="宋体"/>
          <w:sz w:val="15"/>
          <w:szCs w:val="21"/>
          <w:lang w:val="zh-CN" w:eastAsia="zh-CN" w:bidi="zh-CN"/>
        </w:rPr>
      </w:pPr>
    </w:p>
    <w:p>
      <w:pPr>
        <w:widowControl w:val="0"/>
        <w:numPr>
          <w:ilvl w:val="0"/>
          <w:numId w:val="10"/>
        </w:numPr>
        <w:tabs>
          <w:tab w:val="left" w:pos="1328"/>
        </w:tabs>
        <w:autoSpaceDE w:val="0"/>
        <w:autoSpaceDN w:val="0"/>
        <w:spacing w:before="0" w:after="0" w:line="240" w:lineRule="auto"/>
        <w:ind w:left="1327" w:right="0" w:hanging="530"/>
        <w:jc w:val="left"/>
        <w:rPr>
          <w:rFonts w:ascii="宋体" w:hAnsi="宋体" w:eastAsia="宋体" w:cs="宋体"/>
          <w:sz w:val="21"/>
          <w:szCs w:val="22"/>
          <w:lang w:val="zh-CN" w:eastAsia="zh-CN" w:bidi="zh-CN"/>
        </w:rPr>
      </w:pPr>
      <w:r>
        <w:rPr>
          <w:rFonts w:ascii="宋体" w:hAnsi="宋体" w:eastAsia="宋体" w:cs="宋体"/>
          <w:spacing w:val="-3"/>
          <w:sz w:val="21"/>
          <w:szCs w:val="22"/>
          <w:lang w:val="zh-CN" w:eastAsia="zh-CN" w:bidi="zh-CN"/>
        </w:rPr>
        <w:t>法律法规规章规定的以他人名义投标的其他行为。</w:t>
      </w:r>
    </w:p>
    <w:p>
      <w:pPr>
        <w:spacing w:after="0" w:line="240" w:lineRule="auto"/>
        <w:jc w:val="left"/>
        <w:rPr>
          <w:sz w:val="21"/>
        </w:rPr>
        <w:sectPr>
          <w:pgSz w:w="11910" w:h="16840"/>
          <w:pgMar w:top="1320" w:right="602" w:bottom="1160" w:left="1040" w:header="857" w:footer="977" w:gutter="0"/>
          <w:pgNumType w:fmt="decimal"/>
          <w:cols w:space="720" w:num="1"/>
        </w:sectPr>
      </w:pPr>
    </w:p>
    <w:p>
      <w:pPr>
        <w:pStyle w:val="5"/>
        <w:spacing w:before="120" w:after="120" w:line="400" w:lineRule="exact"/>
        <w:jc w:val="center"/>
        <w:rPr>
          <w:rFonts w:hint="eastAsia" w:ascii="黑体" w:hAnsi="黑体" w:eastAsia="黑体"/>
          <w:b w:val="0"/>
          <w:bCs w:val="0"/>
          <w:sz w:val="32"/>
        </w:rPr>
      </w:pPr>
      <w:r>
        <w:rPr>
          <w:rFonts w:hint="eastAsia" w:ascii="黑体" w:hAnsi="黑体" w:eastAsia="黑体"/>
          <w:b w:val="0"/>
          <w:bCs w:val="0"/>
          <w:sz w:val="32"/>
        </w:rPr>
        <w:t>第四章 合同条款及格式</w:t>
      </w:r>
    </w:p>
    <w:p>
      <w:pPr>
        <w:spacing w:line="400" w:lineRule="exact"/>
        <w:ind w:firstLine="426" w:firstLineChars="200"/>
        <w:rPr>
          <w:rFonts w:hint="eastAsia"/>
        </w:rPr>
      </w:pPr>
    </w:p>
    <w:p>
      <w:pPr>
        <w:spacing w:line="400" w:lineRule="exact"/>
        <w:ind w:firstLine="426" w:firstLineChars="200"/>
        <w:rPr>
          <w:rFonts w:hint="eastAsia"/>
        </w:rPr>
      </w:pPr>
      <w:r>
        <w:rPr>
          <w:rFonts w:hint="eastAsia"/>
        </w:rPr>
        <w:t>本章内容直接引用中华人民共和国住房和城乡建设部和国家工商行政管理总局制定的《建设工程监理合同》（GF－2012－0202）</w:t>
      </w:r>
    </w:p>
    <w:p>
      <w:pPr>
        <w:spacing w:line="400" w:lineRule="exact"/>
        <w:rPr>
          <w:rFonts w:hint="eastAsia"/>
        </w:rPr>
      </w:pPr>
    </w:p>
    <w:p>
      <w:pPr>
        <w:spacing w:line="400" w:lineRule="exact"/>
        <w:rPr>
          <w:rFonts w:hint="eastAsia"/>
        </w:rPr>
      </w:pPr>
      <w:r>
        <w:rPr>
          <w:rFonts w:hint="eastAsia"/>
        </w:rPr>
        <w:t>第一部分   协议书（略）</w:t>
      </w:r>
    </w:p>
    <w:p>
      <w:pPr>
        <w:spacing w:line="400" w:lineRule="exact"/>
        <w:rPr>
          <w:rFonts w:hint="eastAsia"/>
        </w:rPr>
      </w:pPr>
      <w:r>
        <w:rPr>
          <w:rFonts w:hint="eastAsia"/>
        </w:rPr>
        <w:t>第二部分   通用条件（略）</w:t>
      </w:r>
    </w:p>
    <w:p>
      <w:pPr>
        <w:spacing w:line="400" w:lineRule="exact"/>
        <w:rPr>
          <w:rFonts w:hint="eastAsia"/>
        </w:rPr>
      </w:pPr>
      <w:r>
        <w:rPr>
          <w:rFonts w:hint="eastAsia"/>
        </w:rPr>
        <w:t>第三部分   专用条件</w:t>
      </w:r>
    </w:p>
    <w:p>
      <w:pPr>
        <w:pageBreakBefore/>
        <w:adjustRightInd w:val="0"/>
        <w:snapToGrid w:val="0"/>
        <w:spacing w:line="400" w:lineRule="exact"/>
        <w:jc w:val="center"/>
        <w:rPr>
          <w:rFonts w:hint="eastAsia" w:ascii="微软简标宋" w:hAnsi="微软简标宋" w:eastAsia="微软简标宋" w:cs="微软简标宋"/>
          <w:b/>
          <w:sz w:val="30"/>
          <w:szCs w:val="30"/>
        </w:rPr>
      </w:pPr>
      <w:r>
        <w:rPr>
          <w:rFonts w:hint="eastAsia" w:ascii="微软简标宋" w:hAnsi="微软简标宋" w:eastAsia="微软简标宋" w:cs="微软简标宋"/>
          <w:b/>
          <w:sz w:val="30"/>
          <w:szCs w:val="30"/>
        </w:rPr>
        <w:t>第三部分  专用条件</w:t>
      </w:r>
    </w:p>
    <w:p>
      <w:pPr>
        <w:snapToGrid w:val="0"/>
        <w:spacing w:line="400" w:lineRule="exact"/>
        <w:ind w:firstLine="426" w:firstLineChars="200"/>
        <w:rPr>
          <w:rFonts w:ascii="宋体" w:cs="宋体"/>
          <w:b/>
          <w:kern w:val="0"/>
          <w:szCs w:val="21"/>
        </w:rPr>
      </w:pPr>
      <w:r>
        <w:rPr>
          <w:rFonts w:hint="eastAsia" w:ascii="宋体" w:cs="宋体"/>
          <w:b/>
          <w:kern w:val="0"/>
          <w:szCs w:val="21"/>
        </w:rPr>
        <w:t>1. 定义与解释</w:t>
      </w:r>
    </w:p>
    <w:p>
      <w:pPr>
        <w:snapToGrid w:val="0"/>
        <w:spacing w:line="400" w:lineRule="exact"/>
        <w:ind w:firstLine="426" w:firstLineChars="200"/>
        <w:rPr>
          <w:rFonts w:ascii="宋体" w:cs="宋体"/>
          <w:kern w:val="0"/>
          <w:szCs w:val="21"/>
        </w:rPr>
      </w:pPr>
      <w:r>
        <w:rPr>
          <w:rFonts w:hint="eastAsia" w:ascii="宋体" w:cs="宋体"/>
          <w:kern w:val="0"/>
          <w:szCs w:val="21"/>
        </w:rPr>
        <w:t xml:space="preserve">  1.2  解释</w:t>
      </w:r>
    </w:p>
    <w:p>
      <w:pPr>
        <w:snapToGrid w:val="0"/>
        <w:spacing w:line="400" w:lineRule="exact"/>
        <w:ind w:firstLine="426" w:firstLineChars="200"/>
        <w:rPr>
          <w:rFonts w:ascii="宋体" w:cs="宋体"/>
          <w:kern w:val="0"/>
          <w:szCs w:val="21"/>
        </w:rPr>
      </w:pPr>
      <w:r>
        <w:rPr>
          <w:rFonts w:hint="eastAsia" w:ascii="宋体" w:cs="宋体"/>
          <w:kern w:val="0"/>
          <w:szCs w:val="21"/>
        </w:rPr>
        <w:t>1.2.1 本合同文件除使用中文外，还可用</w:t>
      </w:r>
      <w:r>
        <w:rPr>
          <w:rFonts w:hint="eastAsia" w:ascii="宋体" w:cs="宋体"/>
          <w:kern w:val="0"/>
          <w:szCs w:val="21"/>
          <w:u w:val="single"/>
        </w:rPr>
        <w:t xml:space="preserve">  /  </w:t>
      </w:r>
      <w:r>
        <w:rPr>
          <w:rFonts w:hint="eastAsia" w:ascii="宋体" w:cs="宋体"/>
          <w:kern w:val="0"/>
          <w:szCs w:val="21"/>
        </w:rPr>
        <w:t>。</w:t>
      </w:r>
    </w:p>
    <w:p>
      <w:pPr>
        <w:snapToGrid w:val="0"/>
        <w:spacing w:line="400" w:lineRule="exact"/>
        <w:ind w:firstLine="426" w:firstLineChars="200"/>
        <w:rPr>
          <w:rFonts w:ascii="宋体" w:cs="宋体"/>
          <w:kern w:val="0"/>
          <w:szCs w:val="21"/>
        </w:rPr>
      </w:pPr>
      <w:r>
        <w:rPr>
          <w:rFonts w:hint="eastAsia" w:ascii="宋体" w:cs="宋体"/>
          <w:kern w:val="0"/>
          <w:szCs w:val="21"/>
        </w:rPr>
        <w:t>1.2.2 约定本合同文件的解释顺序为：</w:t>
      </w:r>
      <w:r>
        <w:rPr>
          <w:rFonts w:hint="eastAsia" w:ascii="宋体" w:cs="宋体"/>
          <w:kern w:val="0"/>
          <w:szCs w:val="21"/>
          <w:u w:val="single"/>
        </w:rPr>
        <w:t xml:space="preserve"> 按通用条件规定 </w:t>
      </w:r>
      <w:r>
        <w:rPr>
          <w:rFonts w:hint="eastAsia" w:ascii="宋体" w:cs="宋体"/>
          <w:kern w:val="0"/>
          <w:szCs w:val="21"/>
        </w:rPr>
        <w:t>。</w:t>
      </w:r>
    </w:p>
    <w:p>
      <w:pPr>
        <w:snapToGrid w:val="0"/>
        <w:spacing w:line="400" w:lineRule="exact"/>
        <w:ind w:firstLine="426" w:firstLineChars="200"/>
        <w:rPr>
          <w:rFonts w:ascii="宋体" w:cs="宋体"/>
          <w:b/>
          <w:kern w:val="0"/>
          <w:szCs w:val="21"/>
        </w:rPr>
      </w:pPr>
      <w:r>
        <w:rPr>
          <w:rFonts w:hint="eastAsia" w:ascii="宋体" w:cs="宋体"/>
          <w:b/>
          <w:kern w:val="0"/>
          <w:szCs w:val="21"/>
        </w:rPr>
        <w:t>2. 监理人义务</w:t>
      </w:r>
    </w:p>
    <w:p>
      <w:pPr>
        <w:snapToGrid w:val="0"/>
        <w:spacing w:line="400" w:lineRule="exact"/>
        <w:ind w:firstLine="426" w:firstLineChars="200"/>
        <w:rPr>
          <w:rFonts w:ascii="宋体" w:cs="宋体"/>
          <w:kern w:val="0"/>
          <w:szCs w:val="21"/>
        </w:rPr>
      </w:pPr>
      <w:r>
        <w:rPr>
          <w:rFonts w:hint="eastAsia" w:ascii="宋体" w:cs="宋体"/>
          <w:kern w:val="0"/>
          <w:szCs w:val="21"/>
        </w:rPr>
        <w:t>2.1 监理的范围和</w:t>
      </w:r>
      <w:r>
        <w:rPr>
          <w:rFonts w:hint="eastAsia" w:ascii="宋体" w:cs="宋体"/>
          <w:bCs/>
          <w:kern w:val="0"/>
          <w:szCs w:val="21"/>
        </w:rPr>
        <w:t>内容</w:t>
      </w:r>
    </w:p>
    <w:p>
      <w:pPr>
        <w:tabs>
          <w:tab w:val="left" w:pos="0"/>
          <w:tab w:val="left" w:pos="2835"/>
        </w:tabs>
        <w:spacing w:line="400" w:lineRule="exact"/>
        <w:ind w:firstLine="426" w:firstLineChars="200"/>
        <w:textAlignment w:val="center"/>
        <w:rPr>
          <w:rFonts w:hint="eastAsia" w:ascii="宋体" w:cs="宋体"/>
          <w:kern w:val="0"/>
          <w:szCs w:val="21"/>
        </w:rPr>
      </w:pPr>
      <w:r>
        <w:rPr>
          <w:rFonts w:hint="eastAsia" w:ascii="宋体" w:cs="宋体"/>
          <w:kern w:val="0"/>
          <w:szCs w:val="21"/>
        </w:rPr>
        <w:t>2.1.1 监理范围包括：</w:t>
      </w:r>
      <w:r>
        <w:rPr>
          <w:rFonts w:hint="eastAsia" w:ascii="宋体" w:cs="宋体"/>
          <w:kern w:val="0"/>
          <w:szCs w:val="21"/>
          <w:u w:val="single"/>
        </w:rPr>
        <w:t>本工程包括前期阶段监理服务及施工监理，包括勘察阶段、设计阶段以及施工阶段的全部专业工程及附属工程监理工作。全过程负责施工阶段对建设工程质量、进度、造价进行控制，对合同、信息进行管理，对工程建设相关方的关系进行协调，并履行建设工程安全生产管理法定职责的服务活动。</w:t>
      </w:r>
    </w:p>
    <w:p>
      <w:pPr>
        <w:snapToGrid w:val="0"/>
        <w:spacing w:line="400" w:lineRule="exact"/>
        <w:ind w:firstLine="426" w:firstLineChars="200"/>
        <w:rPr>
          <w:rFonts w:hint="eastAsia" w:ascii="宋体" w:cs="宋体"/>
          <w:kern w:val="0"/>
          <w:szCs w:val="21"/>
          <w:u w:val="single"/>
          <w:lang w:val="zh-CN"/>
        </w:rPr>
      </w:pPr>
      <w:r>
        <w:rPr>
          <w:rFonts w:hint="eastAsia" w:ascii="宋体" w:cs="宋体"/>
          <w:kern w:val="0"/>
          <w:szCs w:val="21"/>
        </w:rPr>
        <w:t>2.1.2 监理工作内容还包括：</w:t>
      </w:r>
      <w:r>
        <w:rPr>
          <w:rFonts w:hint="eastAsia" w:ascii="宋体" w:cs="宋体"/>
          <w:kern w:val="0"/>
          <w:szCs w:val="21"/>
          <w:u w:val="single"/>
        </w:rPr>
        <w:t xml:space="preserve"> 1、合同通用条款内容；2、</w:t>
      </w:r>
      <w:r>
        <w:rPr>
          <w:rFonts w:hint="eastAsia" w:ascii="宋体" w:cs="宋体"/>
          <w:kern w:val="0"/>
          <w:szCs w:val="21"/>
          <w:u w:val="single"/>
          <w:lang w:val="zh-CN"/>
        </w:rPr>
        <w:t>协助委托人签订工程总承包合同；3、完成勘察阶段、设计阶段的监理服务相关工作。4、协助招标人审核施工图的设计和概(预)算,参与主持组织图纸会审,做好记录,写出会审纪要。5、对承建单位执行工程承包合同和国家工程技术规范标准的情况进行督促，检查，对承（发）包双方向对方提出的任何意见和要求（包括索赔要求）进行审核，并拿出处置意见。参与违约事件的处理；6、组织委托人、设计、施工单位处理工程质量事故，监督事故技术处理方案的实施，并对事故处理进行验收和签证；7、根据2004年2月1日起实施的«建设工程安全生产管理条例»督促施工单位做好安全工作。8、审核承建单位提出的施工组织设计，施工技术方案和施工进度计划；9、审查承建单位提出的材料和设备清单，对工程使用的原材料、半成品、构件、设备进行检查，有权拒绝使用不符合合同要求和标准规定的材料，构件，设备；10、检查工程进度和施工质量，验收分部分项工程和各项隐蔽工程，签署每月的工程量单和支付报表以及施工合同终止时支付报表，以作为委托人向承包人支付的依据；11、整理监理文件和技术档案资料；12、按«建设工程文件归档整理规范»要求整理档案资料。提交监理工作总结报告；13、协助委托人进行竣工验收工作； 14、做好施工单位管理人员的考勤；15、未尽事宜见«建设工程监理规范»</w:t>
      </w:r>
      <w:r>
        <w:rPr>
          <w:rFonts w:hint="eastAsia" w:ascii="宋体" w:cs="宋体"/>
          <w:kern w:val="0"/>
          <w:szCs w:val="21"/>
          <w:u w:val="single"/>
        </w:rPr>
        <w:t xml:space="preserve"> </w:t>
      </w:r>
    </w:p>
    <w:p>
      <w:pPr>
        <w:snapToGrid w:val="0"/>
        <w:spacing w:line="400" w:lineRule="exact"/>
        <w:ind w:firstLine="426" w:firstLineChars="200"/>
        <w:rPr>
          <w:rFonts w:ascii="宋体" w:cs="宋体"/>
          <w:kern w:val="0"/>
          <w:szCs w:val="21"/>
        </w:rPr>
      </w:pPr>
      <w:r>
        <w:rPr>
          <w:rFonts w:hint="eastAsia" w:ascii="宋体" w:cs="宋体"/>
          <w:kern w:val="0"/>
          <w:szCs w:val="21"/>
        </w:rPr>
        <w:t>2.2 监理与相关服务依据</w:t>
      </w:r>
    </w:p>
    <w:p>
      <w:pPr>
        <w:snapToGrid w:val="0"/>
        <w:spacing w:line="400" w:lineRule="exact"/>
        <w:ind w:firstLine="426" w:firstLineChars="200"/>
        <w:rPr>
          <w:rFonts w:hint="eastAsia" w:ascii="宋体" w:cs="宋体"/>
          <w:kern w:val="0"/>
          <w:szCs w:val="21"/>
        </w:rPr>
      </w:pPr>
      <w:r>
        <w:rPr>
          <w:rFonts w:hint="eastAsia" w:ascii="宋体" w:cs="宋体"/>
          <w:kern w:val="0"/>
          <w:szCs w:val="21"/>
        </w:rPr>
        <w:t>2.2.1监理依据包括：</w:t>
      </w:r>
    </w:p>
    <w:p>
      <w:pPr>
        <w:snapToGrid w:val="0"/>
        <w:spacing w:line="400" w:lineRule="exact"/>
        <w:ind w:firstLine="426" w:firstLineChars="200"/>
        <w:rPr>
          <w:rFonts w:ascii="宋体" w:cs="宋体"/>
          <w:kern w:val="0"/>
          <w:szCs w:val="21"/>
        </w:rPr>
      </w:pPr>
      <w:r>
        <w:rPr>
          <w:rFonts w:hint="eastAsia" w:ascii="宋体" w:cs="宋体"/>
          <w:kern w:val="0"/>
          <w:szCs w:val="21"/>
          <w:u w:val="single"/>
        </w:rPr>
        <w:t>1.国家、温州市有关工程建设的法律、法规、规章和其他有关规定，建设工程监理规范（GB50319—2013）；2.依法成立的工程建设合同及监理合同；3.经上级主管部门批准的项目报建书及批准文件，施工图纸和其它有关文件4.施工的招投标文件及相关记录；5.现行的工程建设规范和质量检验评定标准；6.建设工程安全生产管理条例（中华人民共和国国务院令第393号）；7. 建设工程质量管理条例（中华人民共和国国务院令第279号）；8.其它有关的文件及要求。</w:t>
      </w:r>
    </w:p>
    <w:p>
      <w:pPr>
        <w:snapToGrid w:val="0"/>
        <w:spacing w:line="400" w:lineRule="exact"/>
        <w:ind w:firstLine="426" w:firstLineChars="200"/>
        <w:rPr>
          <w:rFonts w:ascii="宋体" w:cs="宋体"/>
          <w:kern w:val="0"/>
          <w:szCs w:val="21"/>
        </w:rPr>
      </w:pPr>
      <w:r>
        <w:rPr>
          <w:rFonts w:hint="eastAsia" w:ascii="宋体" w:cs="宋体"/>
          <w:kern w:val="0"/>
          <w:szCs w:val="21"/>
        </w:rPr>
        <w:t>2.2.2 相关服务依据包括：</w:t>
      </w:r>
      <w:r>
        <w:rPr>
          <w:rFonts w:hint="eastAsia" w:ascii="宋体" w:cs="宋体"/>
          <w:kern w:val="0"/>
          <w:szCs w:val="21"/>
          <w:u w:val="single"/>
        </w:rPr>
        <w:t xml:space="preserve">  /  </w:t>
      </w:r>
      <w:r>
        <w:rPr>
          <w:rFonts w:hint="eastAsia" w:ascii="宋体" w:cs="宋体"/>
          <w:kern w:val="0"/>
          <w:szCs w:val="21"/>
        </w:rPr>
        <w:t>。</w:t>
      </w:r>
    </w:p>
    <w:p>
      <w:pPr>
        <w:snapToGrid w:val="0"/>
        <w:spacing w:line="400" w:lineRule="exact"/>
        <w:ind w:firstLine="426" w:firstLineChars="200"/>
        <w:rPr>
          <w:rFonts w:ascii="宋体" w:cs="宋体"/>
          <w:kern w:val="0"/>
          <w:szCs w:val="21"/>
        </w:rPr>
      </w:pPr>
      <w:r>
        <w:rPr>
          <w:rFonts w:hint="eastAsia" w:ascii="宋体" w:cs="宋体"/>
          <w:kern w:val="0"/>
          <w:szCs w:val="21"/>
        </w:rPr>
        <w:t>2.3项目监理机构和人员</w:t>
      </w:r>
    </w:p>
    <w:p>
      <w:pPr>
        <w:snapToGrid w:val="0"/>
        <w:spacing w:line="400" w:lineRule="exact"/>
        <w:ind w:firstLine="426" w:firstLineChars="200"/>
        <w:rPr>
          <w:rFonts w:hint="eastAsia" w:ascii="宋体" w:cs="宋体"/>
          <w:kern w:val="0"/>
          <w:szCs w:val="21"/>
        </w:rPr>
      </w:pPr>
      <w:r>
        <w:rPr>
          <w:rFonts w:hint="eastAsia" w:ascii="宋体" w:cs="宋体"/>
          <w:kern w:val="0"/>
          <w:szCs w:val="21"/>
        </w:rPr>
        <w:t>2.3.4 更换监理人员的其他情形：</w:t>
      </w:r>
      <w:r>
        <w:rPr>
          <w:rFonts w:hint="eastAsia" w:ascii="宋体" w:cs="宋体"/>
          <w:kern w:val="0"/>
          <w:szCs w:val="21"/>
          <w:u w:val="single"/>
        </w:rPr>
        <w:t>1、合同通用条款内容；2、属于本合同补充条款9.1.2调换情形的。</w:t>
      </w:r>
    </w:p>
    <w:p>
      <w:pPr>
        <w:snapToGrid w:val="0"/>
        <w:spacing w:line="400" w:lineRule="exact"/>
        <w:ind w:firstLine="426" w:firstLineChars="200"/>
        <w:rPr>
          <w:rFonts w:ascii="宋体" w:cs="宋体"/>
          <w:kern w:val="0"/>
          <w:szCs w:val="21"/>
        </w:rPr>
      </w:pPr>
      <w:r>
        <w:rPr>
          <w:rFonts w:hint="eastAsia" w:ascii="宋体" w:cs="宋体"/>
          <w:kern w:val="0"/>
          <w:szCs w:val="21"/>
        </w:rPr>
        <w:t>2.4 履行职责</w:t>
      </w:r>
    </w:p>
    <w:p>
      <w:pPr>
        <w:snapToGrid w:val="0"/>
        <w:spacing w:line="400" w:lineRule="exact"/>
        <w:ind w:firstLine="426" w:firstLineChars="200"/>
        <w:rPr>
          <w:rFonts w:ascii="宋体" w:cs="宋体"/>
          <w:kern w:val="0"/>
          <w:szCs w:val="21"/>
        </w:rPr>
      </w:pPr>
      <w:r>
        <w:rPr>
          <w:rFonts w:hint="eastAsia" w:ascii="宋体" w:cs="宋体"/>
          <w:kern w:val="0"/>
          <w:szCs w:val="21"/>
        </w:rPr>
        <w:t>2.4.3 对监理人的授权范围：</w:t>
      </w:r>
      <w:r>
        <w:rPr>
          <w:rFonts w:hint="eastAsia" w:ascii="宋体" w:cs="宋体"/>
          <w:kern w:val="0"/>
          <w:szCs w:val="21"/>
          <w:u w:val="single"/>
        </w:rPr>
        <w:t>工程变更、设计变更、工期及费用索赔、影响工程造价的签证及任何付款凭证等必须取得委托人批准才能行使。</w:t>
      </w:r>
    </w:p>
    <w:p>
      <w:pPr>
        <w:snapToGrid w:val="0"/>
        <w:spacing w:line="400" w:lineRule="exact"/>
        <w:ind w:firstLine="426" w:firstLineChars="200"/>
        <w:rPr>
          <w:rFonts w:ascii="宋体" w:cs="宋体"/>
          <w:kern w:val="0"/>
          <w:szCs w:val="21"/>
        </w:rPr>
      </w:pPr>
      <w:r>
        <w:rPr>
          <w:rFonts w:hint="eastAsia" w:ascii="宋体" w:cs="宋体"/>
          <w:kern w:val="0"/>
          <w:szCs w:val="21"/>
        </w:rPr>
        <w:t>在涉及工程延期</w:t>
      </w:r>
      <w:r>
        <w:rPr>
          <w:rFonts w:hint="eastAsia" w:ascii="宋体" w:cs="宋体"/>
          <w:kern w:val="0"/>
          <w:szCs w:val="21"/>
          <w:u w:val="single"/>
        </w:rPr>
        <w:t xml:space="preserve">  /  </w:t>
      </w:r>
      <w:r>
        <w:rPr>
          <w:rFonts w:hint="eastAsia" w:ascii="宋体" w:cs="宋体"/>
          <w:kern w:val="0"/>
          <w:szCs w:val="21"/>
        </w:rPr>
        <w:t>天内和（或）金额</w:t>
      </w:r>
      <w:r>
        <w:rPr>
          <w:rFonts w:hint="eastAsia" w:ascii="宋体" w:cs="宋体"/>
          <w:kern w:val="0"/>
          <w:szCs w:val="21"/>
          <w:u w:val="single"/>
        </w:rPr>
        <w:t xml:space="preserve">  /  </w:t>
      </w:r>
      <w:r>
        <w:rPr>
          <w:rFonts w:hint="eastAsia" w:ascii="宋体" w:cs="宋体"/>
          <w:kern w:val="0"/>
          <w:szCs w:val="21"/>
        </w:rPr>
        <w:t>万元内的变更，监理人不需请示委托人即可向承包人发布变更通知。</w:t>
      </w:r>
    </w:p>
    <w:p>
      <w:pPr>
        <w:snapToGrid w:val="0"/>
        <w:spacing w:line="400" w:lineRule="exact"/>
        <w:ind w:firstLine="426" w:firstLineChars="200"/>
        <w:rPr>
          <w:rFonts w:hint="eastAsia" w:ascii="宋体" w:cs="宋体"/>
          <w:kern w:val="0"/>
          <w:szCs w:val="21"/>
        </w:rPr>
      </w:pPr>
      <w:r>
        <w:rPr>
          <w:rFonts w:hint="eastAsia" w:ascii="宋体" w:cs="宋体"/>
          <w:kern w:val="0"/>
          <w:szCs w:val="21"/>
        </w:rPr>
        <w:t>2.4.4 监理人有权要求承包人调换其人员的限制条件：</w:t>
      </w:r>
      <w:r>
        <w:rPr>
          <w:rFonts w:hint="eastAsia" w:ascii="宋体" w:cs="宋体"/>
          <w:kern w:val="0"/>
          <w:szCs w:val="21"/>
          <w:u w:val="single"/>
          <w:lang w:val="zh-CN"/>
        </w:rPr>
        <w:t>需经委托人同意后方可下达指令</w:t>
      </w:r>
      <w:r>
        <w:rPr>
          <w:rFonts w:hint="eastAsia" w:ascii="宋体" w:cs="宋体"/>
          <w:kern w:val="0"/>
          <w:szCs w:val="21"/>
        </w:rPr>
        <w:t>。</w:t>
      </w:r>
    </w:p>
    <w:p>
      <w:pPr>
        <w:snapToGrid w:val="0"/>
        <w:spacing w:line="400" w:lineRule="exact"/>
        <w:ind w:firstLine="426" w:firstLineChars="200"/>
        <w:rPr>
          <w:rFonts w:ascii="宋体" w:cs="宋体"/>
          <w:kern w:val="0"/>
          <w:szCs w:val="21"/>
        </w:rPr>
      </w:pPr>
      <w:r>
        <w:rPr>
          <w:rFonts w:hint="eastAsia" w:ascii="宋体" w:cs="宋体"/>
          <w:kern w:val="0"/>
          <w:szCs w:val="21"/>
        </w:rPr>
        <w:t>2.5 提交报告</w:t>
      </w:r>
    </w:p>
    <w:p>
      <w:pPr>
        <w:snapToGrid w:val="0"/>
        <w:spacing w:line="400" w:lineRule="exact"/>
        <w:ind w:firstLine="426" w:firstLineChars="200"/>
        <w:rPr>
          <w:rFonts w:hint="eastAsia" w:ascii="宋体" w:cs="宋体"/>
          <w:kern w:val="0"/>
          <w:szCs w:val="21"/>
          <w:u w:val="single"/>
        </w:rPr>
      </w:pPr>
      <w:r>
        <w:rPr>
          <w:rFonts w:hint="eastAsia" w:ascii="宋体" w:cs="宋体"/>
          <w:kern w:val="0"/>
          <w:szCs w:val="21"/>
        </w:rPr>
        <w:t>监理人应提交报告的种类(包括监理规划、监理月报及约定的专项报告)、时间和份数：</w:t>
      </w:r>
      <w:r>
        <w:rPr>
          <w:rFonts w:hint="eastAsia" w:ascii="宋体" w:cs="宋体"/>
          <w:kern w:val="0"/>
          <w:szCs w:val="21"/>
          <w:u w:val="single"/>
          <w:lang w:val="zh-CN"/>
        </w:rPr>
        <w:t>1.监理规划应在签订建设工程监理合同及收到工程设计文件后编制， 在召开第一次工地会议前7天内报送建设单位。2.采用新材料、新工艺、新技术、新设备的工程，以及专业性较强、危险性较大的分部分项工程，应编制监理实施细则。监理实施细则应在相应工程施工开始前由专业监理工程师编制， 并报总监理工程师审批。3.项目监理机构每月30日前向建设单位提交的建设工程监理工作及建设工程实施情况分析总结报告。4.项目监理机构应审查施工单位报审的施工组织设计、专项施工方案，符合要求的，由总监理工程师签认后报建设单位。</w:t>
      </w:r>
    </w:p>
    <w:p>
      <w:pPr>
        <w:snapToGrid w:val="0"/>
        <w:spacing w:line="400" w:lineRule="exact"/>
        <w:ind w:firstLine="426" w:firstLineChars="200"/>
        <w:rPr>
          <w:rFonts w:ascii="宋体" w:cs="宋体"/>
          <w:kern w:val="0"/>
          <w:szCs w:val="21"/>
        </w:rPr>
      </w:pPr>
      <w:r>
        <w:rPr>
          <w:rFonts w:hint="eastAsia" w:ascii="宋体" w:cs="宋体"/>
          <w:kern w:val="0"/>
          <w:szCs w:val="21"/>
        </w:rPr>
        <w:t>2.7 使用委托人的财产</w:t>
      </w:r>
    </w:p>
    <w:p>
      <w:pPr>
        <w:snapToGrid w:val="0"/>
        <w:spacing w:line="400" w:lineRule="exact"/>
        <w:ind w:firstLine="426" w:firstLineChars="200"/>
        <w:rPr>
          <w:rFonts w:ascii="宋体" w:cs="宋体"/>
          <w:kern w:val="0"/>
          <w:szCs w:val="21"/>
        </w:rPr>
      </w:pPr>
      <w:r>
        <w:rPr>
          <w:rFonts w:hint="eastAsia" w:ascii="宋体" w:cs="宋体"/>
          <w:kern w:val="0"/>
          <w:szCs w:val="21"/>
        </w:rPr>
        <w:t>附录B中由委托人无偿提供的房屋、设备的所有权属于：</w:t>
      </w:r>
      <w:r>
        <w:rPr>
          <w:rFonts w:hint="eastAsia" w:ascii="宋体" w:cs="宋体"/>
          <w:kern w:val="0"/>
          <w:szCs w:val="21"/>
          <w:u w:val="single"/>
        </w:rPr>
        <w:t xml:space="preserve">   /    </w:t>
      </w:r>
      <w:r>
        <w:rPr>
          <w:rFonts w:hint="eastAsia" w:ascii="宋体" w:cs="宋体"/>
          <w:kern w:val="0"/>
          <w:szCs w:val="21"/>
        </w:rPr>
        <w:t>。</w:t>
      </w:r>
    </w:p>
    <w:p>
      <w:pPr>
        <w:snapToGrid w:val="0"/>
        <w:spacing w:line="400" w:lineRule="exact"/>
        <w:ind w:firstLine="426" w:firstLineChars="200"/>
        <w:rPr>
          <w:rFonts w:ascii="宋体" w:cs="宋体"/>
          <w:kern w:val="0"/>
          <w:szCs w:val="21"/>
        </w:rPr>
      </w:pPr>
      <w:r>
        <w:rPr>
          <w:rFonts w:hint="eastAsia" w:ascii="宋体" w:cs="宋体"/>
          <w:kern w:val="0"/>
          <w:szCs w:val="21"/>
        </w:rPr>
        <w:t>监理人应在本合同终止后</w:t>
      </w:r>
      <w:r>
        <w:rPr>
          <w:rFonts w:hint="eastAsia" w:ascii="宋体" w:cs="宋体"/>
          <w:kern w:val="0"/>
          <w:szCs w:val="21"/>
          <w:u w:val="single"/>
        </w:rPr>
        <w:t xml:space="preserve"> 14 </w:t>
      </w:r>
      <w:r>
        <w:rPr>
          <w:rFonts w:hint="eastAsia" w:ascii="宋体" w:cs="宋体"/>
          <w:kern w:val="0"/>
          <w:szCs w:val="21"/>
        </w:rPr>
        <w:t>天内移交委托人无偿提供的房屋、设备，移交的时间和方式为：</w:t>
      </w:r>
      <w:r>
        <w:rPr>
          <w:rFonts w:hint="eastAsia" w:ascii="宋体" w:cs="宋体"/>
          <w:kern w:val="0"/>
          <w:szCs w:val="21"/>
          <w:u w:val="single"/>
        </w:rPr>
        <w:t xml:space="preserve">      /    </w:t>
      </w:r>
      <w:r>
        <w:rPr>
          <w:rFonts w:hint="eastAsia" w:ascii="宋体" w:cs="宋体"/>
          <w:kern w:val="0"/>
          <w:szCs w:val="21"/>
        </w:rPr>
        <w:t>。</w:t>
      </w:r>
    </w:p>
    <w:p>
      <w:pPr>
        <w:snapToGrid w:val="0"/>
        <w:spacing w:line="400" w:lineRule="exact"/>
        <w:ind w:firstLine="426" w:firstLineChars="200"/>
        <w:rPr>
          <w:rFonts w:ascii="宋体" w:cs="宋体"/>
          <w:b/>
          <w:kern w:val="0"/>
          <w:szCs w:val="21"/>
        </w:rPr>
      </w:pPr>
      <w:r>
        <w:rPr>
          <w:rFonts w:hint="eastAsia" w:ascii="宋体" w:cs="宋体"/>
          <w:b/>
          <w:kern w:val="0"/>
          <w:szCs w:val="21"/>
        </w:rPr>
        <w:t xml:space="preserve">3. 委托人义务  </w:t>
      </w:r>
    </w:p>
    <w:p>
      <w:pPr>
        <w:snapToGrid w:val="0"/>
        <w:spacing w:line="400" w:lineRule="exact"/>
        <w:ind w:firstLine="426" w:firstLineChars="200"/>
        <w:rPr>
          <w:rFonts w:ascii="宋体" w:cs="宋体"/>
          <w:kern w:val="0"/>
          <w:szCs w:val="21"/>
        </w:rPr>
      </w:pPr>
      <w:r>
        <w:rPr>
          <w:rFonts w:hint="eastAsia" w:ascii="宋体" w:cs="宋体"/>
          <w:kern w:val="0"/>
          <w:szCs w:val="21"/>
        </w:rPr>
        <w:t xml:space="preserve">  3.4 委托人代表</w:t>
      </w:r>
    </w:p>
    <w:p>
      <w:pPr>
        <w:snapToGrid w:val="0"/>
        <w:spacing w:line="400" w:lineRule="exact"/>
        <w:ind w:firstLine="426" w:firstLineChars="200"/>
        <w:rPr>
          <w:rFonts w:ascii="宋体" w:cs="宋体"/>
          <w:kern w:val="0"/>
          <w:szCs w:val="21"/>
          <w:u w:val="single"/>
        </w:rPr>
      </w:pPr>
      <w:r>
        <w:rPr>
          <w:rFonts w:hint="eastAsia" w:ascii="宋体" w:cs="宋体"/>
          <w:kern w:val="0"/>
          <w:szCs w:val="21"/>
        </w:rPr>
        <w:t>委托人代表为：</w:t>
      </w:r>
      <w:r>
        <w:rPr>
          <w:rFonts w:hint="eastAsia" w:ascii="宋体" w:cs="宋体"/>
          <w:kern w:val="0"/>
          <w:szCs w:val="21"/>
          <w:u w:val="single"/>
        </w:rPr>
        <w:t xml:space="preserve">  </w:t>
      </w:r>
      <w:r>
        <w:rPr>
          <w:rFonts w:hint="eastAsia" w:ascii="宋体" w:cs="宋体"/>
          <w:kern w:val="0"/>
          <w:szCs w:val="21"/>
          <w:u w:val="single"/>
          <w:lang w:val="zh-CN"/>
        </w:rPr>
        <w:t xml:space="preserve">合同签订时填写 </w:t>
      </w:r>
      <w:r>
        <w:rPr>
          <w:rFonts w:hint="eastAsia" w:ascii="宋体" w:cs="宋体"/>
          <w:kern w:val="0"/>
          <w:szCs w:val="21"/>
          <w:u w:val="single"/>
        </w:rPr>
        <w:t xml:space="preserve">    </w:t>
      </w:r>
      <w:r>
        <w:rPr>
          <w:rFonts w:hint="eastAsia" w:ascii="宋体" w:cs="宋体"/>
          <w:kern w:val="0"/>
          <w:szCs w:val="21"/>
        </w:rPr>
        <w:t>。</w:t>
      </w:r>
    </w:p>
    <w:p>
      <w:pPr>
        <w:snapToGrid w:val="0"/>
        <w:spacing w:line="400" w:lineRule="exact"/>
        <w:ind w:firstLine="639" w:firstLineChars="300"/>
        <w:rPr>
          <w:rFonts w:ascii="宋体" w:cs="宋体"/>
          <w:kern w:val="0"/>
          <w:szCs w:val="21"/>
        </w:rPr>
      </w:pPr>
      <w:r>
        <w:rPr>
          <w:rFonts w:hint="eastAsia" w:ascii="宋体" w:cs="宋体"/>
          <w:kern w:val="0"/>
          <w:szCs w:val="21"/>
        </w:rPr>
        <w:t>3.6 答复</w:t>
      </w:r>
    </w:p>
    <w:p>
      <w:pPr>
        <w:snapToGrid w:val="0"/>
        <w:spacing w:line="400" w:lineRule="exact"/>
        <w:ind w:firstLine="426" w:firstLineChars="200"/>
        <w:rPr>
          <w:rFonts w:ascii="宋体" w:cs="宋体"/>
          <w:kern w:val="0"/>
          <w:szCs w:val="21"/>
        </w:rPr>
      </w:pPr>
      <w:r>
        <w:rPr>
          <w:rFonts w:hint="eastAsia" w:ascii="宋体" w:cs="宋体"/>
          <w:kern w:val="0"/>
          <w:szCs w:val="21"/>
        </w:rPr>
        <w:t>委托人同意在</w:t>
      </w:r>
      <w:r>
        <w:rPr>
          <w:rFonts w:hint="eastAsia" w:ascii="宋体" w:cs="宋体"/>
          <w:kern w:val="0"/>
          <w:szCs w:val="21"/>
          <w:u w:val="single"/>
        </w:rPr>
        <w:t xml:space="preserve"> 7 </w:t>
      </w:r>
      <w:r>
        <w:rPr>
          <w:rFonts w:hint="eastAsia" w:ascii="宋体" w:cs="宋体"/>
          <w:kern w:val="0"/>
          <w:szCs w:val="21"/>
        </w:rPr>
        <w:t>天内，对监理人书面提交并要求做出决定的事宜给予书面答复。</w:t>
      </w:r>
    </w:p>
    <w:p>
      <w:pPr>
        <w:snapToGrid w:val="0"/>
        <w:spacing w:line="400" w:lineRule="exact"/>
        <w:ind w:firstLine="426" w:firstLineChars="200"/>
        <w:rPr>
          <w:rFonts w:ascii="宋体" w:cs="宋体"/>
          <w:b/>
          <w:bCs/>
          <w:kern w:val="0"/>
          <w:szCs w:val="21"/>
        </w:rPr>
      </w:pPr>
      <w:r>
        <w:rPr>
          <w:rFonts w:hint="eastAsia" w:ascii="宋体" w:cs="宋体"/>
          <w:b/>
          <w:bCs/>
          <w:kern w:val="0"/>
          <w:szCs w:val="21"/>
        </w:rPr>
        <w:t>4. 违约责任</w:t>
      </w:r>
    </w:p>
    <w:p>
      <w:pPr>
        <w:snapToGrid w:val="0"/>
        <w:spacing w:line="400" w:lineRule="exact"/>
        <w:ind w:firstLine="426" w:firstLineChars="200"/>
        <w:rPr>
          <w:rFonts w:ascii="宋体" w:cs="宋体"/>
          <w:kern w:val="0"/>
          <w:szCs w:val="21"/>
        </w:rPr>
      </w:pPr>
      <w:r>
        <w:rPr>
          <w:rFonts w:hint="eastAsia" w:ascii="宋体" w:cs="宋体"/>
          <w:kern w:val="0"/>
          <w:szCs w:val="21"/>
        </w:rPr>
        <w:t>4.1 监理人的违约责任</w:t>
      </w:r>
    </w:p>
    <w:p>
      <w:pPr>
        <w:snapToGrid w:val="0"/>
        <w:spacing w:line="400" w:lineRule="exact"/>
        <w:ind w:firstLine="426" w:firstLineChars="200"/>
        <w:rPr>
          <w:rFonts w:ascii="宋体" w:cs="宋体"/>
          <w:kern w:val="0"/>
          <w:szCs w:val="21"/>
        </w:rPr>
      </w:pPr>
      <w:r>
        <w:rPr>
          <w:rFonts w:hint="eastAsia" w:ascii="宋体" w:cs="宋体"/>
          <w:kern w:val="0"/>
          <w:szCs w:val="21"/>
        </w:rPr>
        <w:t>4.1.1监理人赔偿金额按下列方法确定：</w:t>
      </w:r>
    </w:p>
    <w:p>
      <w:pPr>
        <w:snapToGrid w:val="0"/>
        <w:spacing w:line="400" w:lineRule="exact"/>
        <w:ind w:firstLine="426" w:firstLineChars="200"/>
        <w:rPr>
          <w:rFonts w:ascii="宋体" w:cs="宋体"/>
          <w:kern w:val="0"/>
          <w:szCs w:val="21"/>
        </w:rPr>
      </w:pPr>
      <w:r>
        <w:rPr>
          <w:rFonts w:hint="eastAsia" w:ascii="宋体" w:cs="宋体"/>
          <w:kern w:val="0"/>
          <w:szCs w:val="21"/>
        </w:rPr>
        <w:t>赔偿金＝直接经济损失×正常工作酬金÷工程概算投资额（或工程费）。</w:t>
      </w:r>
    </w:p>
    <w:p>
      <w:pPr>
        <w:snapToGrid w:val="0"/>
        <w:spacing w:line="400" w:lineRule="exact"/>
        <w:ind w:firstLine="426" w:firstLineChars="200"/>
        <w:rPr>
          <w:rFonts w:ascii="宋体" w:cs="宋体"/>
          <w:kern w:val="0"/>
          <w:szCs w:val="21"/>
        </w:rPr>
      </w:pPr>
      <w:r>
        <w:rPr>
          <w:rFonts w:hint="eastAsia" w:ascii="宋体" w:cs="宋体"/>
          <w:kern w:val="0"/>
          <w:szCs w:val="21"/>
        </w:rPr>
        <w:t>4.2 委托人的违约责任</w:t>
      </w:r>
    </w:p>
    <w:p>
      <w:pPr>
        <w:snapToGrid w:val="0"/>
        <w:spacing w:line="400" w:lineRule="exact"/>
        <w:ind w:firstLine="426" w:firstLineChars="200"/>
        <w:rPr>
          <w:rFonts w:ascii="宋体" w:cs="宋体"/>
          <w:kern w:val="0"/>
          <w:szCs w:val="21"/>
        </w:rPr>
      </w:pPr>
      <w:r>
        <w:rPr>
          <w:rFonts w:hint="eastAsia" w:ascii="宋体" w:cs="宋体"/>
          <w:kern w:val="0"/>
          <w:szCs w:val="21"/>
        </w:rPr>
        <w:t>4.2.3 委托人逾期付款利息按下列方法确定：</w:t>
      </w:r>
    </w:p>
    <w:p>
      <w:pPr>
        <w:snapToGrid w:val="0"/>
        <w:spacing w:line="400" w:lineRule="exact"/>
        <w:ind w:firstLine="426" w:firstLineChars="200"/>
        <w:rPr>
          <w:rFonts w:ascii="宋体" w:cs="宋体"/>
          <w:kern w:val="0"/>
          <w:szCs w:val="21"/>
        </w:rPr>
      </w:pPr>
      <w:r>
        <w:rPr>
          <w:rFonts w:hint="eastAsia" w:ascii="宋体" w:cs="宋体"/>
          <w:kern w:val="0"/>
          <w:szCs w:val="21"/>
        </w:rPr>
        <w:t>逾期付款利息＝当期应付款总额×银行同期贷款利率×拖延支付天数。</w:t>
      </w:r>
    </w:p>
    <w:p>
      <w:pPr>
        <w:snapToGrid w:val="0"/>
        <w:spacing w:line="400" w:lineRule="exact"/>
        <w:ind w:firstLine="426" w:firstLineChars="200"/>
        <w:rPr>
          <w:rFonts w:ascii="宋体" w:cs="宋体"/>
          <w:b/>
          <w:kern w:val="0"/>
          <w:szCs w:val="21"/>
        </w:rPr>
      </w:pPr>
      <w:r>
        <w:rPr>
          <w:rFonts w:hint="eastAsia" w:ascii="宋体" w:cs="宋体"/>
          <w:b/>
          <w:bCs/>
          <w:kern w:val="0"/>
          <w:szCs w:val="21"/>
        </w:rPr>
        <w:t>5. 支付</w:t>
      </w:r>
    </w:p>
    <w:p>
      <w:pPr>
        <w:snapToGrid w:val="0"/>
        <w:spacing w:line="400" w:lineRule="exact"/>
        <w:ind w:firstLine="180" w:firstLineChars="85"/>
        <w:rPr>
          <w:rFonts w:ascii="宋体" w:cs="宋体"/>
          <w:bCs/>
          <w:kern w:val="0"/>
          <w:szCs w:val="21"/>
        </w:rPr>
      </w:pPr>
      <w:r>
        <w:rPr>
          <w:rFonts w:hint="eastAsia" w:ascii="宋体" w:cs="宋体"/>
          <w:kern w:val="0"/>
          <w:szCs w:val="21"/>
        </w:rPr>
        <w:t xml:space="preserve">  5.1 </w:t>
      </w:r>
      <w:r>
        <w:rPr>
          <w:rFonts w:hint="eastAsia" w:ascii="宋体" w:cs="宋体"/>
          <w:bCs/>
          <w:kern w:val="0"/>
          <w:szCs w:val="21"/>
        </w:rPr>
        <w:t>支付货币</w:t>
      </w:r>
    </w:p>
    <w:p>
      <w:pPr>
        <w:snapToGrid w:val="0"/>
        <w:spacing w:line="400" w:lineRule="exact"/>
        <w:ind w:firstLine="426" w:firstLineChars="200"/>
        <w:rPr>
          <w:rFonts w:ascii="宋体" w:cs="宋体"/>
          <w:kern w:val="0"/>
          <w:szCs w:val="21"/>
        </w:rPr>
      </w:pPr>
      <w:r>
        <w:rPr>
          <w:rFonts w:hint="eastAsia" w:ascii="宋体" w:cs="宋体"/>
          <w:kern w:val="0"/>
          <w:szCs w:val="21"/>
        </w:rPr>
        <w:t>币种为：</w:t>
      </w:r>
      <w:r>
        <w:rPr>
          <w:rFonts w:hint="eastAsia" w:ascii="宋体" w:cs="宋体"/>
          <w:kern w:val="0"/>
          <w:szCs w:val="21"/>
          <w:u w:val="single"/>
        </w:rPr>
        <w:t xml:space="preserve"> / </w:t>
      </w:r>
      <w:r>
        <w:rPr>
          <w:rFonts w:hint="eastAsia" w:ascii="宋体" w:cs="宋体"/>
          <w:kern w:val="0"/>
          <w:szCs w:val="21"/>
        </w:rPr>
        <w:t>，比例为：</w:t>
      </w:r>
      <w:r>
        <w:rPr>
          <w:rFonts w:hint="eastAsia" w:ascii="宋体" w:cs="宋体"/>
          <w:kern w:val="0"/>
          <w:szCs w:val="21"/>
          <w:u w:val="single"/>
        </w:rPr>
        <w:t xml:space="preserve"> / </w:t>
      </w:r>
      <w:r>
        <w:rPr>
          <w:rFonts w:hint="eastAsia" w:ascii="宋体" w:cs="宋体"/>
          <w:kern w:val="0"/>
          <w:szCs w:val="21"/>
        </w:rPr>
        <w:t>，汇率为：</w:t>
      </w:r>
      <w:r>
        <w:rPr>
          <w:rFonts w:hint="eastAsia" w:ascii="宋体" w:cs="宋体"/>
          <w:kern w:val="0"/>
          <w:szCs w:val="21"/>
          <w:u w:val="single"/>
        </w:rPr>
        <w:t xml:space="preserve"> / </w:t>
      </w:r>
      <w:r>
        <w:rPr>
          <w:rFonts w:hint="eastAsia" w:ascii="宋体" w:cs="宋体"/>
          <w:kern w:val="0"/>
          <w:szCs w:val="21"/>
        </w:rPr>
        <w:t xml:space="preserve">。 </w:t>
      </w:r>
    </w:p>
    <w:p>
      <w:pPr>
        <w:snapToGrid w:val="0"/>
        <w:spacing w:line="400" w:lineRule="exact"/>
        <w:ind w:firstLine="426" w:firstLineChars="200"/>
        <w:rPr>
          <w:rFonts w:ascii="宋体" w:cs="宋体"/>
          <w:kern w:val="0"/>
          <w:szCs w:val="21"/>
        </w:rPr>
      </w:pPr>
      <w:r>
        <w:rPr>
          <w:rFonts w:hint="eastAsia" w:ascii="宋体" w:cs="宋体"/>
          <w:kern w:val="0"/>
          <w:szCs w:val="21"/>
        </w:rPr>
        <w:t>5.3 支付酬金</w:t>
      </w:r>
    </w:p>
    <w:p>
      <w:pPr>
        <w:snapToGrid w:val="0"/>
        <w:spacing w:line="400" w:lineRule="exact"/>
        <w:ind w:firstLine="426" w:firstLineChars="200"/>
        <w:rPr>
          <w:rFonts w:hint="eastAsia" w:ascii="宋体" w:cs="宋体"/>
          <w:kern w:val="0"/>
          <w:szCs w:val="21"/>
        </w:rPr>
      </w:pPr>
      <w:r>
        <w:rPr>
          <w:rFonts w:hint="eastAsia" w:ascii="宋体" w:cs="宋体"/>
          <w:kern w:val="0"/>
          <w:szCs w:val="21"/>
        </w:rPr>
        <w:t>正常工作酬金的支付：</w:t>
      </w:r>
    </w:p>
    <w:p>
      <w:pPr>
        <w:snapToGrid w:val="0"/>
        <w:spacing w:line="420" w:lineRule="exact"/>
        <w:ind w:firstLine="450" w:firstLineChars="200"/>
        <w:rPr>
          <w:rFonts w:hint="eastAsia" w:ascii="宋体" w:hAnsi="宋体" w:cs="宋体"/>
          <w:b/>
          <w:bCs/>
          <w:color w:val="FF0000"/>
          <w:szCs w:val="21"/>
        </w:rPr>
      </w:pPr>
      <w:r>
        <w:rPr>
          <w:rFonts w:hint="eastAsia" w:ascii="宋体" w:hAnsi="宋体"/>
          <w:b/>
          <w:bCs/>
          <w:color w:val="000000"/>
          <w:spacing w:val="6"/>
          <w:kern w:val="16"/>
          <w:szCs w:val="21"/>
        </w:rPr>
        <w:t>⑴.</w:t>
      </w:r>
      <w:r>
        <w:rPr>
          <w:rFonts w:hint="eastAsia"/>
          <w:b/>
          <w:bCs/>
          <w:color w:val="000000"/>
          <w:spacing w:val="6"/>
          <w:kern w:val="16"/>
          <w:szCs w:val="21"/>
        </w:rPr>
        <w:t>监理费费率实行一次性包干，服务期限到项目全部完成为止</w:t>
      </w:r>
      <w:r>
        <w:rPr>
          <w:rFonts w:hint="eastAsia"/>
          <w:b/>
          <w:bCs/>
          <w:spacing w:val="6"/>
          <w:kern w:val="16"/>
          <w:szCs w:val="21"/>
        </w:rPr>
        <w:t>。</w:t>
      </w:r>
      <w:r>
        <w:rPr>
          <w:rFonts w:hint="eastAsia" w:ascii="宋体" w:hAnsi="宋体"/>
          <w:b/>
          <w:szCs w:val="21"/>
        </w:rPr>
        <w:t>监理费以监理范围内工程结算</w:t>
      </w:r>
      <w:r>
        <w:rPr>
          <w:rFonts w:hint="eastAsia" w:ascii="宋体" w:hAnsi="宋体"/>
          <w:b/>
          <w:szCs w:val="21"/>
          <w:lang w:val="en-US" w:eastAsia="zh-CN"/>
        </w:rPr>
        <w:t>工程</w:t>
      </w:r>
      <w:r>
        <w:rPr>
          <w:rFonts w:hint="eastAsia" w:ascii="宋体" w:hAnsi="宋体"/>
          <w:b/>
          <w:szCs w:val="21"/>
        </w:rPr>
        <w:t>总造价为计算基数，费率按相应的中标费率；如工</w:t>
      </w:r>
      <w:r>
        <w:rPr>
          <w:rFonts w:hint="eastAsia" w:ascii="宋体" w:hAnsi="宋体"/>
          <w:b/>
          <w:szCs w:val="21"/>
          <w:highlight w:val="none"/>
        </w:rPr>
        <w:t>程</w:t>
      </w:r>
      <w:r>
        <w:rPr>
          <w:rFonts w:hint="eastAsia" w:ascii="宋体" w:hAnsi="宋体"/>
          <w:b/>
          <w:szCs w:val="21"/>
          <w:highlight w:val="none"/>
          <w:lang w:val="en-US" w:eastAsia="zh-CN"/>
        </w:rPr>
        <w:t>工程</w:t>
      </w:r>
      <w:r>
        <w:rPr>
          <w:rFonts w:hint="eastAsia" w:ascii="宋体" w:hAnsi="宋体"/>
          <w:b/>
          <w:szCs w:val="21"/>
          <w:highlight w:val="none"/>
        </w:rPr>
        <w:t>总造价发生变化，则根据费率相应调整监理费。</w:t>
      </w:r>
      <w:r>
        <w:rPr>
          <w:rFonts w:hint="eastAsia" w:ascii="宋体" w:hAnsi="宋体" w:cs="宋体"/>
          <w:b/>
          <w:bCs/>
          <w:color w:val="auto"/>
          <w:szCs w:val="21"/>
          <w:highlight w:val="none"/>
        </w:rPr>
        <w:t>监理费以监理范围内经财政部门或国家审计机关或其他相关部门等审定的工程结算建安总造价为计算基数，费率按相应的中标费率；如造价变化，则相应增</w:t>
      </w:r>
      <w:r>
        <w:rPr>
          <w:rFonts w:hint="eastAsia" w:ascii="宋体" w:hAnsi="宋体" w:cs="宋体"/>
          <w:b/>
          <w:bCs/>
          <w:color w:val="auto"/>
          <w:szCs w:val="21"/>
        </w:rPr>
        <w:t>减监理费。</w:t>
      </w:r>
    </w:p>
    <w:p>
      <w:pPr>
        <w:widowControl/>
        <w:tabs>
          <w:tab w:val="left" w:pos="482"/>
          <w:tab w:val="left" w:pos="2183"/>
          <w:tab w:val="left" w:pos="3884"/>
          <w:tab w:val="left" w:pos="5585"/>
        </w:tabs>
        <w:spacing w:line="420" w:lineRule="exact"/>
        <w:ind w:left="213" w:leftChars="100" w:firstLine="213" w:firstLineChars="100"/>
        <w:rPr>
          <w:rFonts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hint="eastAsia" w:ascii="宋体" w:hAnsi="宋体"/>
          <w:b/>
          <w:color w:val="0000FF"/>
        </w:rPr>
        <w:instrText xml:space="preserve">= 1 \* GB3</w:instrText>
      </w:r>
      <w:r>
        <w:rPr>
          <w:rFonts w:ascii="宋体" w:hAnsi="宋体"/>
          <w:b/>
          <w:color w:val="0000FF"/>
        </w:rPr>
        <w:instrText xml:space="preserve"> </w:instrText>
      </w:r>
      <w:r>
        <w:rPr>
          <w:rFonts w:ascii="宋体" w:hAnsi="宋体"/>
          <w:b/>
          <w:color w:val="0000FF"/>
        </w:rPr>
        <w:fldChar w:fldCharType="separate"/>
      </w:r>
      <w:r>
        <w:rPr>
          <w:rFonts w:hint="eastAsia" w:ascii="宋体" w:hAnsi="宋体"/>
          <w:b/>
          <w:color w:val="0000FF"/>
        </w:rPr>
        <w:t>①</w:t>
      </w:r>
      <w:r>
        <w:rPr>
          <w:rFonts w:ascii="宋体" w:hAnsi="宋体"/>
          <w:b/>
          <w:color w:val="0000FF"/>
        </w:rPr>
        <w:fldChar w:fldCharType="end"/>
      </w:r>
      <w:r>
        <w:rPr>
          <w:rFonts w:ascii="宋体" w:hAnsi="宋体"/>
          <w:b/>
          <w:color w:val="0000FF"/>
        </w:rPr>
        <w:t>监理工作实施过程中的额外工作时间、附加工作时间、夜班施工、节假日休息时间加班等相关费用己包括在报价内，不再另外计取。</w:t>
      </w:r>
    </w:p>
    <w:p>
      <w:pPr>
        <w:widowControl/>
        <w:tabs>
          <w:tab w:val="left" w:pos="482"/>
          <w:tab w:val="left" w:pos="2183"/>
          <w:tab w:val="left" w:pos="3884"/>
          <w:tab w:val="left" w:pos="5585"/>
        </w:tabs>
        <w:spacing w:line="420" w:lineRule="exact"/>
        <w:ind w:left="213" w:leftChars="100" w:firstLine="213" w:firstLineChars="100"/>
        <w:rPr>
          <w:rFonts w:hint="eastAsia" w:ascii="宋体" w:hAnsi="宋体"/>
          <w:b/>
          <w:color w:val="0000FF"/>
        </w:rPr>
      </w:pPr>
      <w:r>
        <w:rPr>
          <w:rFonts w:ascii="宋体" w:hAnsi="宋体"/>
          <w:b/>
          <w:color w:val="0000FF"/>
        </w:rPr>
        <w:fldChar w:fldCharType="begin"/>
      </w:r>
      <w:r>
        <w:rPr>
          <w:rFonts w:ascii="宋体" w:hAnsi="宋体"/>
          <w:b/>
          <w:color w:val="0000FF"/>
        </w:rPr>
        <w:instrText xml:space="preserve"> </w:instrText>
      </w:r>
      <w:r>
        <w:rPr>
          <w:rFonts w:hint="eastAsia" w:ascii="宋体" w:hAnsi="宋体"/>
          <w:b/>
          <w:color w:val="0000FF"/>
        </w:rPr>
        <w:instrText xml:space="preserve">= 2 \* GB3</w:instrText>
      </w:r>
      <w:r>
        <w:rPr>
          <w:rFonts w:ascii="宋体" w:hAnsi="宋体"/>
          <w:b/>
          <w:color w:val="0000FF"/>
        </w:rPr>
        <w:instrText xml:space="preserve"> </w:instrText>
      </w:r>
      <w:r>
        <w:rPr>
          <w:rFonts w:ascii="宋体" w:hAnsi="宋体"/>
          <w:b/>
          <w:color w:val="0000FF"/>
        </w:rPr>
        <w:fldChar w:fldCharType="separate"/>
      </w:r>
      <w:r>
        <w:rPr>
          <w:rFonts w:hint="eastAsia" w:ascii="宋体" w:hAnsi="宋体"/>
          <w:b/>
          <w:color w:val="0000FF"/>
        </w:rPr>
        <w:t>②</w:t>
      </w:r>
      <w:r>
        <w:rPr>
          <w:rFonts w:ascii="宋体" w:hAnsi="宋体"/>
          <w:b/>
          <w:color w:val="0000FF"/>
        </w:rPr>
        <w:fldChar w:fldCharType="end"/>
      </w:r>
      <w:r>
        <w:rPr>
          <w:rFonts w:hint="eastAsia" w:ascii="宋体" w:hAnsi="宋体"/>
          <w:b/>
          <w:color w:val="0000FF"/>
        </w:rPr>
        <w:t>本监理工程项目为工程施工全过程监理，工程项目可能因多种原因造成工程的暂停及延期（含政策处理、图纸修改、施工非正常停工等），监理单位无条件在重新开始施工之日继续监理，且不追加任何费用（风险自负，在报价时自行考虑）。</w:t>
      </w:r>
    </w:p>
    <w:p>
      <w:pPr>
        <w:snapToGrid w:val="0"/>
        <w:spacing w:line="420" w:lineRule="exact"/>
        <w:ind w:firstLine="426" w:firstLineChars="200"/>
        <w:rPr>
          <w:rFonts w:hint="eastAsia" w:ascii="宋体" w:hAnsi="宋体"/>
          <w:b/>
          <w:color w:val="0000FF"/>
        </w:rPr>
      </w:pPr>
      <w:r>
        <w:rPr>
          <w:rFonts w:ascii="宋体" w:hAnsi="宋体"/>
          <w:b/>
          <w:color w:val="0000FF"/>
        </w:rPr>
        <w:t>③</w:t>
      </w:r>
      <w:r>
        <w:rPr>
          <w:rFonts w:hint="eastAsia"/>
          <w:b/>
          <w:bCs/>
          <w:color w:val="0000FF"/>
          <w:spacing w:val="6"/>
          <w:kern w:val="16"/>
          <w:szCs w:val="21"/>
        </w:rPr>
        <w:t>如发生</w:t>
      </w:r>
      <w:r>
        <w:rPr>
          <w:rFonts w:hint="eastAsia" w:ascii="宋体" w:hAnsi="宋体"/>
          <w:b/>
          <w:color w:val="0000FF"/>
        </w:rPr>
        <w:t>工期延误等一切因素监理费用不予增加。</w:t>
      </w:r>
    </w:p>
    <w:p>
      <w:pPr>
        <w:snapToGrid w:val="0"/>
        <w:spacing w:line="420" w:lineRule="exact"/>
        <w:ind w:firstLine="450" w:firstLineChars="200"/>
        <w:rPr>
          <w:rFonts w:hint="eastAsia" w:ascii="宋体" w:hAnsi="宋体"/>
          <w:b/>
          <w:bCs/>
          <w:kern w:val="16"/>
          <w:szCs w:val="21"/>
        </w:rPr>
      </w:pPr>
      <w:r>
        <w:rPr>
          <w:rFonts w:hint="eastAsia"/>
          <w:b/>
          <w:bCs/>
          <w:color w:val="0000FF"/>
          <w:spacing w:val="6"/>
          <w:kern w:val="16"/>
          <w:szCs w:val="21"/>
        </w:rPr>
        <w:t>④</w:t>
      </w:r>
      <w:r>
        <w:rPr>
          <w:rFonts w:hint="eastAsia" w:ascii="宋体" w:hAnsi="宋体"/>
          <w:b/>
          <w:color w:val="0000FF"/>
        </w:rPr>
        <w:t>监理服务期包括前期阶段、施工阶段监理服务期、保修阶段监理服务期：从施工准备至全部工程完工并办理竣工验收、备案及工程结算，从工程竣工验收合格后至保修期满为止。</w:t>
      </w:r>
    </w:p>
    <w:p>
      <w:pPr>
        <w:tabs>
          <w:tab w:val="left" w:pos="482"/>
          <w:tab w:val="left" w:pos="600"/>
          <w:tab w:val="left" w:pos="902"/>
          <w:tab w:val="left" w:pos="1200"/>
          <w:tab w:val="left" w:pos="3884"/>
          <w:tab w:val="left" w:pos="5585"/>
        </w:tabs>
        <w:adjustRightInd w:val="0"/>
        <w:spacing w:line="400" w:lineRule="exact"/>
        <w:ind w:left="480"/>
        <w:rPr>
          <w:rFonts w:hint="eastAsia" w:ascii="宋体" w:hAnsi="宋体"/>
          <w:b/>
          <w:szCs w:val="21"/>
        </w:rPr>
      </w:pPr>
      <w:r>
        <w:rPr>
          <w:rFonts w:hint="eastAsia" w:ascii="宋体" w:hAnsi="宋体"/>
          <w:b/>
          <w:szCs w:val="21"/>
        </w:rPr>
        <w:t>⑵.本项目监理付费按进度分期付款。</w:t>
      </w:r>
    </w:p>
    <w:p>
      <w:pPr>
        <w:snapToGrid w:val="0"/>
        <w:spacing w:line="400" w:lineRule="exact"/>
        <w:ind w:firstLine="426" w:firstLineChars="200"/>
        <w:rPr>
          <w:rFonts w:hint="eastAsia" w:ascii="宋体" w:hAnsi="宋体" w:eastAsia="宋体" w:cs="宋体"/>
          <w:b/>
          <w:color w:val="0000FF"/>
          <w:sz w:val="21"/>
          <w:szCs w:val="21"/>
        </w:rPr>
      </w:pPr>
      <w:r>
        <w:rPr>
          <w:rFonts w:hint="eastAsia" w:ascii="宋体" w:hAnsi="宋体" w:eastAsia="宋体" w:cs="宋体"/>
          <w:b/>
          <w:sz w:val="21"/>
          <w:szCs w:val="21"/>
        </w:rPr>
        <w:t>在签订合同、监理单位提交履约保证金后，当监理单位完成住建局备案及全部人员进场到位后支付合同价的10%作为预付款；以后按每季度施工单位完成的实际工程量进度款的金额比例的</w:t>
      </w:r>
      <w:r>
        <w:rPr>
          <w:rFonts w:hint="eastAsia" w:ascii="宋体" w:hAnsi="宋体" w:eastAsia="宋体" w:cs="宋体"/>
          <w:b/>
          <w:sz w:val="21"/>
          <w:szCs w:val="21"/>
          <w:lang w:val="en-US" w:eastAsia="zh-CN"/>
        </w:rPr>
        <w:t>8</w:t>
      </w:r>
      <w:r>
        <w:rPr>
          <w:rFonts w:hint="eastAsia" w:ascii="宋体" w:hAnsi="宋体" w:eastAsia="宋体" w:cs="宋体"/>
          <w:b/>
          <w:sz w:val="21"/>
          <w:szCs w:val="21"/>
        </w:rPr>
        <w:t>0%支付监理费（即在次季的10个工作日内支付上一季度监理费，当季监理费计算式：当季施工完成工程金额乘以中标费率乘以</w:t>
      </w:r>
      <w:r>
        <w:rPr>
          <w:rFonts w:hint="eastAsia" w:ascii="宋体" w:hAnsi="宋体" w:eastAsia="宋体" w:cs="宋体"/>
          <w:b/>
          <w:sz w:val="21"/>
          <w:szCs w:val="21"/>
          <w:lang w:val="en-US" w:eastAsia="zh-CN"/>
        </w:rPr>
        <w:t>8</w:t>
      </w:r>
      <w:r>
        <w:rPr>
          <w:rFonts w:hint="eastAsia" w:ascii="宋体" w:hAnsi="宋体" w:eastAsia="宋体" w:cs="宋体"/>
          <w:b/>
          <w:sz w:val="21"/>
          <w:szCs w:val="21"/>
        </w:rPr>
        <w:t>0%）；预付款</w:t>
      </w:r>
      <w:r>
        <w:rPr>
          <w:rFonts w:hint="eastAsia" w:ascii="宋体" w:hAnsi="宋体" w:eastAsia="宋体" w:cs="宋体"/>
          <w:b/>
          <w:sz w:val="21"/>
          <w:szCs w:val="21"/>
          <w:lang w:val="en-US" w:eastAsia="zh-CN"/>
        </w:rPr>
        <w:t>当期</w:t>
      </w:r>
      <w:r>
        <w:rPr>
          <w:rFonts w:hint="eastAsia" w:ascii="宋体" w:hAnsi="宋体" w:eastAsia="宋体" w:cs="宋体"/>
          <w:b/>
          <w:sz w:val="21"/>
          <w:szCs w:val="21"/>
        </w:rPr>
        <w:t>同比例扣回，但当</w:t>
      </w:r>
      <w:r>
        <w:rPr>
          <w:rFonts w:hint="eastAsia" w:ascii="宋体" w:hAnsi="宋体" w:eastAsia="宋体" w:cs="宋体"/>
          <w:b/>
          <w:sz w:val="21"/>
          <w:szCs w:val="21"/>
          <w:lang w:val="en-US" w:eastAsia="zh-CN"/>
        </w:rPr>
        <w:t>监理费</w:t>
      </w:r>
      <w:r>
        <w:rPr>
          <w:rFonts w:hint="eastAsia" w:ascii="宋体" w:hAnsi="宋体" w:eastAsia="宋体" w:cs="宋体"/>
          <w:b/>
          <w:sz w:val="21"/>
          <w:szCs w:val="21"/>
        </w:rPr>
        <w:t>支付至</w:t>
      </w:r>
      <w:r>
        <w:rPr>
          <w:rFonts w:hint="eastAsia" w:ascii="宋体" w:hAnsi="宋体" w:eastAsia="宋体" w:cs="宋体"/>
          <w:b/>
          <w:sz w:val="21"/>
          <w:szCs w:val="21"/>
          <w:lang w:val="en-US" w:eastAsia="zh-CN"/>
        </w:rPr>
        <w:t>合同价</w:t>
      </w:r>
      <w:r>
        <w:rPr>
          <w:rFonts w:hint="eastAsia" w:ascii="宋体" w:hAnsi="宋体" w:eastAsia="宋体" w:cs="宋体"/>
          <w:b/>
          <w:sz w:val="21"/>
          <w:szCs w:val="21"/>
        </w:rPr>
        <w:t>80%比例时，10%预付款须全部扣回</w:t>
      </w:r>
      <w:r>
        <w:rPr>
          <w:rFonts w:hint="eastAsia" w:ascii="宋体" w:hAnsi="宋体" w:eastAsia="宋体" w:cs="宋体"/>
          <w:b/>
          <w:sz w:val="21"/>
          <w:szCs w:val="21"/>
          <w:lang w:eastAsia="zh-CN"/>
        </w:rPr>
        <w:t>；</w:t>
      </w:r>
      <w:r>
        <w:rPr>
          <w:rFonts w:hint="eastAsia" w:ascii="宋体" w:hAnsi="宋体" w:eastAsia="宋体" w:cs="宋体"/>
          <w:b/>
          <w:sz w:val="21"/>
          <w:szCs w:val="21"/>
        </w:rPr>
        <w:t>当支付至合同监理费总额的80%时，停止支付监理费进度款。当所有工程全部完工竣工并通过验收后，剩余的监理费待监理单位提交监理资料，经</w:t>
      </w:r>
      <w:r>
        <w:rPr>
          <w:rFonts w:hint="eastAsia" w:ascii="宋体" w:hAnsi="宋体" w:eastAsia="宋体" w:cs="宋体"/>
          <w:b/>
          <w:sz w:val="21"/>
          <w:szCs w:val="21"/>
          <w:lang w:val="en-US" w:eastAsia="zh-CN"/>
        </w:rPr>
        <w:t>相关部门</w:t>
      </w:r>
      <w:r>
        <w:rPr>
          <w:rFonts w:hint="eastAsia" w:ascii="宋体" w:hAnsi="宋体" w:eastAsia="宋体" w:cs="宋体"/>
          <w:b/>
          <w:sz w:val="21"/>
          <w:szCs w:val="21"/>
        </w:rPr>
        <w:t>资料验收合格，办理结算后，支付该标段除质保期保证金外的剩余款额。</w:t>
      </w:r>
      <w:r>
        <w:rPr>
          <w:rFonts w:hint="eastAsia" w:ascii="宋体" w:hAnsi="宋体" w:eastAsia="宋体" w:cs="宋体"/>
          <w:b/>
          <w:color w:val="0000FF"/>
          <w:sz w:val="21"/>
          <w:szCs w:val="21"/>
        </w:rPr>
        <w:t>留1.5%作为质保期监理保证金，2年质保期满后一次性付清。</w:t>
      </w:r>
    </w:p>
    <w:p>
      <w:pPr>
        <w:snapToGrid w:val="0"/>
        <w:spacing w:line="400" w:lineRule="exact"/>
        <w:ind w:firstLine="426" w:firstLineChars="200"/>
        <w:rPr>
          <w:rFonts w:ascii="宋体" w:cs="宋体"/>
          <w:b/>
          <w:bCs/>
          <w:kern w:val="0"/>
          <w:szCs w:val="21"/>
        </w:rPr>
      </w:pPr>
      <w:r>
        <w:rPr>
          <w:rFonts w:hint="eastAsia" w:ascii="宋体" w:cs="宋体"/>
          <w:bCs/>
          <w:kern w:val="0"/>
          <w:szCs w:val="21"/>
        </w:rPr>
        <w:t>6</w:t>
      </w:r>
      <w:r>
        <w:rPr>
          <w:rFonts w:hint="eastAsia" w:ascii="宋体" w:cs="宋体"/>
          <w:b/>
          <w:bCs/>
          <w:kern w:val="0"/>
          <w:szCs w:val="21"/>
        </w:rPr>
        <w:t>. 合同生效、变更、暂停、解除与终止</w:t>
      </w:r>
    </w:p>
    <w:p>
      <w:pPr>
        <w:snapToGrid w:val="0"/>
        <w:spacing w:line="400" w:lineRule="exact"/>
        <w:ind w:firstLine="426" w:firstLineChars="200"/>
        <w:rPr>
          <w:rFonts w:ascii="宋体" w:cs="宋体"/>
          <w:kern w:val="0"/>
          <w:szCs w:val="21"/>
        </w:rPr>
      </w:pPr>
      <w:r>
        <w:rPr>
          <w:rFonts w:hint="eastAsia" w:ascii="宋体" w:cs="宋体"/>
          <w:kern w:val="0"/>
          <w:szCs w:val="21"/>
        </w:rPr>
        <w:t>6.1 生效</w:t>
      </w:r>
    </w:p>
    <w:p>
      <w:pPr>
        <w:snapToGrid w:val="0"/>
        <w:spacing w:line="400" w:lineRule="exact"/>
        <w:ind w:firstLine="426" w:firstLineChars="200"/>
        <w:rPr>
          <w:rFonts w:ascii="宋体" w:cs="宋体"/>
          <w:kern w:val="0"/>
          <w:szCs w:val="21"/>
        </w:rPr>
      </w:pPr>
      <w:r>
        <w:rPr>
          <w:rFonts w:hint="eastAsia" w:ascii="宋体" w:cs="宋体"/>
          <w:kern w:val="0"/>
          <w:szCs w:val="21"/>
        </w:rPr>
        <w:t>本合同生效条件：</w:t>
      </w:r>
      <w:r>
        <w:rPr>
          <w:rFonts w:hint="eastAsia" w:ascii="宋体" w:cs="宋体"/>
          <w:kern w:val="0"/>
          <w:szCs w:val="21"/>
          <w:u w:val="single"/>
          <w:lang w:val="zh-CN"/>
        </w:rPr>
        <w:t>合同双方签字盖章且监理人提交履约保证金后生效</w:t>
      </w:r>
      <w:r>
        <w:rPr>
          <w:rFonts w:hint="eastAsia" w:ascii="宋体" w:cs="宋体"/>
          <w:kern w:val="0"/>
          <w:szCs w:val="21"/>
        </w:rPr>
        <w:t>。</w:t>
      </w:r>
    </w:p>
    <w:p>
      <w:pPr>
        <w:snapToGrid w:val="0"/>
        <w:spacing w:line="400" w:lineRule="exact"/>
        <w:ind w:firstLine="426" w:firstLineChars="200"/>
        <w:rPr>
          <w:rFonts w:hint="eastAsia" w:ascii="宋体" w:cs="宋体"/>
          <w:kern w:val="0"/>
          <w:szCs w:val="21"/>
        </w:rPr>
      </w:pPr>
      <w:r>
        <w:rPr>
          <w:rFonts w:hint="eastAsia" w:ascii="宋体" w:cs="宋体"/>
          <w:kern w:val="0"/>
          <w:szCs w:val="21"/>
        </w:rPr>
        <w:t>6.2 变更</w:t>
      </w:r>
    </w:p>
    <w:p>
      <w:pPr>
        <w:snapToGrid w:val="0"/>
        <w:spacing w:line="400" w:lineRule="exact"/>
        <w:ind w:firstLine="426" w:firstLineChars="200"/>
        <w:rPr>
          <w:rFonts w:hint="eastAsia" w:ascii="宋体" w:cs="宋体"/>
          <w:kern w:val="0"/>
          <w:szCs w:val="21"/>
        </w:rPr>
      </w:pPr>
      <w:r>
        <w:rPr>
          <w:rFonts w:hint="eastAsia" w:ascii="宋体" w:cs="宋体"/>
          <w:kern w:val="0"/>
          <w:szCs w:val="21"/>
        </w:rPr>
        <w:t xml:space="preserve">6.2.2 除不可抗力外， 因非监理人原因导致本合同期限延长时，附加工作酬金按下列方法确定： </w:t>
      </w:r>
    </w:p>
    <w:p>
      <w:pPr>
        <w:snapToGrid w:val="0"/>
        <w:spacing w:line="400" w:lineRule="exact"/>
        <w:ind w:firstLine="426" w:firstLineChars="200"/>
        <w:rPr>
          <w:rFonts w:hint="eastAsia" w:ascii="宋体" w:cs="宋体"/>
          <w:kern w:val="0"/>
          <w:szCs w:val="21"/>
        </w:rPr>
      </w:pPr>
      <w:r>
        <w:rPr>
          <w:rFonts w:hint="eastAsia" w:ascii="宋体" w:cs="宋体"/>
          <w:kern w:val="0"/>
          <w:szCs w:val="21"/>
        </w:rPr>
        <w:t>（本条款不适用）</w:t>
      </w:r>
    </w:p>
    <w:p>
      <w:pPr>
        <w:snapToGrid w:val="0"/>
        <w:spacing w:line="400" w:lineRule="exact"/>
        <w:ind w:firstLine="426" w:firstLineChars="200"/>
        <w:rPr>
          <w:rFonts w:hint="eastAsia" w:ascii="宋体" w:cs="宋体"/>
          <w:kern w:val="0"/>
          <w:szCs w:val="21"/>
        </w:rPr>
      </w:pPr>
      <w:r>
        <w:rPr>
          <w:rFonts w:hint="eastAsia" w:ascii="宋体" w:cs="宋体"/>
          <w:kern w:val="0"/>
          <w:szCs w:val="21"/>
        </w:rPr>
        <w:t>附加工作酬金=本合同期限延长时间（天）×正常工作酬金÷协议书约定的监理与相关服务期限（天）</w:t>
      </w:r>
    </w:p>
    <w:p>
      <w:pPr>
        <w:snapToGrid w:val="0"/>
        <w:spacing w:line="400" w:lineRule="exact"/>
        <w:ind w:firstLine="426" w:firstLineChars="200"/>
        <w:rPr>
          <w:rFonts w:hint="eastAsia" w:ascii="宋体" w:cs="宋体"/>
          <w:kern w:val="0"/>
          <w:szCs w:val="21"/>
        </w:rPr>
      </w:pPr>
      <w:r>
        <w:rPr>
          <w:rFonts w:hint="eastAsia" w:ascii="宋体" w:cs="宋体"/>
          <w:kern w:val="0"/>
          <w:szCs w:val="21"/>
        </w:rPr>
        <w:t>6.2.3附加工作酬金按下列方法确定：（本条款不适用）</w:t>
      </w:r>
    </w:p>
    <w:p>
      <w:pPr>
        <w:snapToGrid w:val="0"/>
        <w:spacing w:line="400" w:lineRule="exact"/>
        <w:ind w:firstLine="426" w:firstLineChars="200"/>
        <w:rPr>
          <w:rFonts w:hint="eastAsia" w:ascii="宋体" w:cs="宋体"/>
          <w:kern w:val="0"/>
          <w:szCs w:val="21"/>
        </w:rPr>
      </w:pPr>
      <w:r>
        <w:rPr>
          <w:rFonts w:hint="eastAsia" w:ascii="宋体" w:cs="宋体"/>
          <w:kern w:val="0"/>
          <w:szCs w:val="21"/>
        </w:rPr>
        <w:t>附加工作酬金=善后工作及恢复服务的准备工作时间（天）×正常工作酬金÷协议书约定的监理与相关服务期限（天）</w:t>
      </w:r>
    </w:p>
    <w:p>
      <w:pPr>
        <w:snapToGrid w:val="0"/>
        <w:spacing w:line="400" w:lineRule="exact"/>
        <w:ind w:firstLine="426" w:firstLineChars="200"/>
        <w:rPr>
          <w:rFonts w:hint="eastAsia" w:ascii="宋体" w:cs="宋体"/>
          <w:kern w:val="0"/>
          <w:szCs w:val="21"/>
        </w:rPr>
      </w:pPr>
      <w:r>
        <w:rPr>
          <w:rFonts w:hint="eastAsia" w:ascii="宋体" w:cs="宋体"/>
          <w:kern w:val="0"/>
          <w:szCs w:val="21"/>
        </w:rPr>
        <w:t xml:space="preserve">6.2.5 正常工作酬金增加额按下列方法确定： </w:t>
      </w:r>
    </w:p>
    <w:p>
      <w:pPr>
        <w:snapToGrid w:val="0"/>
        <w:spacing w:line="400" w:lineRule="exact"/>
        <w:ind w:firstLine="426" w:firstLineChars="200"/>
        <w:rPr>
          <w:rFonts w:hint="eastAsia" w:ascii="宋体" w:cs="宋体"/>
          <w:kern w:val="0"/>
          <w:szCs w:val="21"/>
        </w:rPr>
      </w:pPr>
      <w:r>
        <w:rPr>
          <w:rFonts w:hint="eastAsia" w:ascii="宋体" w:cs="宋体"/>
          <w:kern w:val="0"/>
          <w:szCs w:val="21"/>
        </w:rPr>
        <w:t>正常工作酬金增加额=工程投资额或建筑安装工程费增加额×正常工作酬金÷工程概算投资额（或建筑安装工程费）</w:t>
      </w:r>
    </w:p>
    <w:p>
      <w:pPr>
        <w:snapToGrid w:val="0"/>
        <w:spacing w:line="400" w:lineRule="exact"/>
        <w:ind w:firstLine="426" w:firstLineChars="200"/>
        <w:rPr>
          <w:rFonts w:hint="eastAsia" w:ascii="宋体" w:cs="宋体"/>
          <w:kern w:val="0"/>
          <w:szCs w:val="21"/>
        </w:rPr>
      </w:pPr>
      <w:r>
        <w:rPr>
          <w:rFonts w:hint="eastAsia" w:ascii="宋体" w:cs="宋体"/>
          <w:kern w:val="0"/>
          <w:szCs w:val="21"/>
        </w:rPr>
        <w:t>6.2.6 因工程规模、监理范围的变化导致监理人的正常工作量减少时，按减少工作量的比例从协议书约定的正常工作酬金中扣减相同比例的酬金。</w:t>
      </w:r>
    </w:p>
    <w:p>
      <w:pPr>
        <w:snapToGrid w:val="0"/>
        <w:spacing w:line="400" w:lineRule="exact"/>
        <w:ind w:firstLine="426" w:firstLineChars="200"/>
        <w:rPr>
          <w:rFonts w:ascii="宋体" w:cs="宋体"/>
          <w:b/>
          <w:kern w:val="0"/>
          <w:szCs w:val="21"/>
        </w:rPr>
      </w:pPr>
      <w:r>
        <w:rPr>
          <w:rFonts w:hint="eastAsia" w:ascii="宋体" w:cs="宋体"/>
          <w:b/>
          <w:bCs/>
          <w:kern w:val="0"/>
          <w:szCs w:val="21"/>
        </w:rPr>
        <w:t>7. 争议解决</w:t>
      </w:r>
    </w:p>
    <w:p>
      <w:pPr>
        <w:snapToGrid w:val="0"/>
        <w:spacing w:line="400" w:lineRule="exact"/>
        <w:ind w:firstLine="426" w:firstLineChars="200"/>
        <w:rPr>
          <w:rFonts w:ascii="宋体" w:cs="宋体"/>
          <w:kern w:val="0"/>
          <w:szCs w:val="21"/>
        </w:rPr>
      </w:pPr>
      <w:r>
        <w:rPr>
          <w:rFonts w:hint="eastAsia" w:ascii="宋体" w:cs="宋体"/>
          <w:kern w:val="0"/>
          <w:szCs w:val="21"/>
        </w:rPr>
        <w:t xml:space="preserve">7.2 </w:t>
      </w:r>
      <w:r>
        <w:rPr>
          <w:rFonts w:hint="eastAsia" w:ascii="宋体" w:cs="宋体"/>
          <w:bCs/>
          <w:kern w:val="0"/>
          <w:szCs w:val="21"/>
        </w:rPr>
        <w:t>调解</w:t>
      </w:r>
    </w:p>
    <w:p>
      <w:pPr>
        <w:snapToGrid w:val="0"/>
        <w:spacing w:line="400" w:lineRule="exact"/>
        <w:ind w:firstLine="426" w:firstLineChars="200"/>
        <w:rPr>
          <w:rFonts w:ascii="宋体" w:cs="宋体"/>
          <w:kern w:val="0"/>
          <w:szCs w:val="21"/>
        </w:rPr>
      </w:pPr>
      <w:r>
        <w:rPr>
          <w:rFonts w:hint="eastAsia" w:ascii="宋体" w:cs="宋体"/>
          <w:kern w:val="0"/>
          <w:szCs w:val="21"/>
        </w:rPr>
        <w:t>本合同争议进行调解时，可提交</w:t>
      </w:r>
      <w:r>
        <w:rPr>
          <w:rFonts w:hint="eastAsia" w:ascii="宋体" w:cs="宋体"/>
          <w:kern w:val="0"/>
          <w:szCs w:val="21"/>
          <w:u w:val="single"/>
        </w:rPr>
        <w:t xml:space="preserve"> / </w:t>
      </w:r>
      <w:r>
        <w:rPr>
          <w:rFonts w:hint="eastAsia" w:ascii="宋体" w:cs="宋体"/>
          <w:kern w:val="0"/>
          <w:szCs w:val="21"/>
        </w:rPr>
        <w:t>进行调解。</w:t>
      </w:r>
    </w:p>
    <w:p>
      <w:pPr>
        <w:snapToGrid w:val="0"/>
        <w:spacing w:line="400" w:lineRule="exact"/>
        <w:ind w:firstLine="426" w:firstLineChars="200"/>
        <w:rPr>
          <w:rFonts w:ascii="宋体" w:cs="宋体"/>
          <w:kern w:val="0"/>
          <w:szCs w:val="21"/>
        </w:rPr>
      </w:pPr>
      <w:r>
        <w:rPr>
          <w:rFonts w:hint="eastAsia" w:ascii="宋体" w:cs="宋体"/>
          <w:kern w:val="0"/>
          <w:szCs w:val="21"/>
        </w:rPr>
        <w:t xml:space="preserve">7.3 </w:t>
      </w:r>
      <w:r>
        <w:rPr>
          <w:rFonts w:hint="eastAsia" w:ascii="宋体" w:cs="宋体"/>
          <w:bCs/>
          <w:kern w:val="0"/>
          <w:szCs w:val="21"/>
        </w:rPr>
        <w:t>仲裁或诉讼</w:t>
      </w:r>
    </w:p>
    <w:p>
      <w:pPr>
        <w:snapToGrid w:val="0"/>
        <w:spacing w:line="400" w:lineRule="exact"/>
        <w:ind w:firstLine="426" w:firstLineChars="200"/>
        <w:rPr>
          <w:rFonts w:ascii="宋体" w:cs="宋体"/>
          <w:kern w:val="0"/>
          <w:szCs w:val="21"/>
        </w:rPr>
      </w:pPr>
      <w:r>
        <w:rPr>
          <w:rFonts w:hint="eastAsia" w:ascii="宋体" w:cs="宋体"/>
          <w:kern w:val="0"/>
          <w:szCs w:val="21"/>
        </w:rPr>
        <w:t>合同争议的最终解决方式为下列第</w:t>
      </w:r>
      <w:r>
        <w:rPr>
          <w:rFonts w:hint="eastAsia" w:ascii="宋体" w:cs="宋体"/>
          <w:kern w:val="0"/>
          <w:szCs w:val="21"/>
          <w:u w:val="single"/>
        </w:rPr>
        <w:t xml:space="preserve">  1  </w:t>
      </w:r>
      <w:r>
        <w:rPr>
          <w:rFonts w:hint="eastAsia" w:ascii="宋体" w:cs="宋体"/>
          <w:kern w:val="0"/>
          <w:szCs w:val="21"/>
        </w:rPr>
        <w:t>种方式：</w:t>
      </w:r>
    </w:p>
    <w:p>
      <w:pPr>
        <w:snapToGrid w:val="0"/>
        <w:spacing w:line="400" w:lineRule="exact"/>
        <w:ind w:firstLine="426" w:firstLineChars="200"/>
        <w:rPr>
          <w:rFonts w:ascii="宋体" w:cs="宋体"/>
          <w:kern w:val="0"/>
          <w:szCs w:val="21"/>
        </w:rPr>
      </w:pPr>
      <w:r>
        <w:rPr>
          <w:rFonts w:hint="eastAsia" w:ascii="宋体" w:cs="宋体"/>
          <w:kern w:val="0"/>
          <w:szCs w:val="21"/>
        </w:rPr>
        <w:t>（1）提请</w:t>
      </w:r>
      <w:r>
        <w:rPr>
          <w:rFonts w:hint="eastAsia" w:ascii="宋体" w:cs="宋体"/>
          <w:kern w:val="0"/>
          <w:szCs w:val="21"/>
          <w:u w:val="single"/>
        </w:rPr>
        <w:t xml:space="preserve"> 温州 </w:t>
      </w:r>
      <w:r>
        <w:rPr>
          <w:rFonts w:hint="eastAsia" w:ascii="宋体" w:cs="宋体"/>
          <w:kern w:val="0"/>
          <w:szCs w:val="21"/>
        </w:rPr>
        <w:t>仲裁委员会进行仲裁。</w:t>
      </w:r>
    </w:p>
    <w:p>
      <w:pPr>
        <w:snapToGrid w:val="0"/>
        <w:spacing w:line="400" w:lineRule="exact"/>
        <w:ind w:firstLine="426" w:firstLineChars="200"/>
        <w:rPr>
          <w:rFonts w:ascii="宋体" w:cs="宋体"/>
          <w:kern w:val="0"/>
          <w:szCs w:val="21"/>
        </w:rPr>
      </w:pPr>
      <w:r>
        <w:rPr>
          <w:rFonts w:hint="eastAsia" w:ascii="宋体" w:cs="宋体"/>
          <w:kern w:val="0"/>
          <w:szCs w:val="21"/>
        </w:rPr>
        <w:t>（2）向</w:t>
      </w:r>
      <w:r>
        <w:rPr>
          <w:rFonts w:hint="eastAsia" w:ascii="宋体" w:cs="宋体"/>
          <w:kern w:val="0"/>
          <w:szCs w:val="21"/>
          <w:u w:val="single"/>
        </w:rPr>
        <w:t xml:space="preserve"> 温州市苍南县</w:t>
      </w:r>
      <w:r>
        <w:rPr>
          <w:rFonts w:hint="eastAsia" w:ascii="宋体" w:cs="宋体"/>
          <w:kern w:val="0"/>
          <w:szCs w:val="21"/>
        </w:rPr>
        <w:t>人民法院提起诉讼。</w:t>
      </w:r>
    </w:p>
    <w:p>
      <w:pPr>
        <w:snapToGrid w:val="0"/>
        <w:spacing w:line="400" w:lineRule="exact"/>
        <w:ind w:firstLine="426" w:firstLineChars="200"/>
        <w:rPr>
          <w:rFonts w:ascii="宋体" w:cs="宋体"/>
          <w:b/>
          <w:bCs/>
          <w:kern w:val="0"/>
          <w:szCs w:val="21"/>
        </w:rPr>
      </w:pPr>
      <w:r>
        <w:rPr>
          <w:rFonts w:hint="eastAsia" w:ascii="宋体" w:cs="宋体"/>
          <w:b/>
          <w:bCs/>
          <w:kern w:val="0"/>
          <w:szCs w:val="21"/>
        </w:rPr>
        <w:t>8. 其他</w:t>
      </w:r>
    </w:p>
    <w:p>
      <w:pPr>
        <w:adjustRightInd w:val="0"/>
        <w:snapToGrid w:val="0"/>
        <w:spacing w:line="400" w:lineRule="exact"/>
        <w:ind w:firstLine="426" w:firstLineChars="200"/>
        <w:rPr>
          <w:rFonts w:hint="eastAsia" w:ascii="宋体" w:hAnsi="宋体"/>
          <w:bCs/>
          <w:szCs w:val="21"/>
        </w:rPr>
      </w:pPr>
      <w:r>
        <w:rPr>
          <w:rFonts w:hint="eastAsia" w:ascii="宋体" w:hAnsi="宋体"/>
          <w:bCs/>
          <w:szCs w:val="21"/>
        </w:rPr>
        <w:t>8</w:t>
      </w:r>
      <w:r>
        <w:rPr>
          <w:rFonts w:hint="eastAsia" w:ascii="宋体" w:hAnsi="宋体" w:cs="宋体"/>
          <w:kern w:val="0"/>
          <w:szCs w:val="21"/>
          <w:lang w:val="zh-CN"/>
        </w:rPr>
        <w:t>·</w:t>
      </w:r>
      <w:r>
        <w:rPr>
          <w:rFonts w:hint="eastAsia" w:ascii="宋体" w:hAnsi="宋体"/>
          <w:bCs/>
          <w:szCs w:val="21"/>
        </w:rPr>
        <w:t>2 检测费用</w:t>
      </w:r>
    </w:p>
    <w:p>
      <w:pPr>
        <w:adjustRightInd w:val="0"/>
        <w:snapToGrid w:val="0"/>
        <w:spacing w:line="400" w:lineRule="exact"/>
        <w:rPr>
          <w:rFonts w:hint="eastAsia" w:ascii="宋体" w:hAnsi="宋体"/>
          <w:bCs/>
          <w:szCs w:val="21"/>
        </w:rPr>
      </w:pPr>
      <w:r>
        <w:rPr>
          <w:rFonts w:hint="eastAsia" w:ascii="宋体" w:hAnsi="宋体"/>
          <w:bCs/>
          <w:szCs w:val="21"/>
        </w:rPr>
        <w:t xml:space="preserve">    委托人应在检测工作完成后</w:t>
      </w:r>
      <w:r>
        <w:rPr>
          <w:rFonts w:hint="eastAsia" w:ascii="宋体" w:hAnsi="宋体"/>
          <w:szCs w:val="21"/>
          <w:u w:val="single"/>
        </w:rPr>
        <w:t xml:space="preserve">   /  </w:t>
      </w:r>
      <w:r>
        <w:rPr>
          <w:rFonts w:hint="eastAsia" w:ascii="宋体" w:hAnsi="宋体"/>
          <w:bCs/>
          <w:szCs w:val="21"/>
        </w:rPr>
        <w:t>天内支付检测费用。</w:t>
      </w:r>
    </w:p>
    <w:p>
      <w:pPr>
        <w:adjustRightInd w:val="0"/>
        <w:snapToGrid w:val="0"/>
        <w:spacing w:line="400" w:lineRule="exact"/>
        <w:rPr>
          <w:rFonts w:hint="eastAsia" w:ascii="宋体" w:hAnsi="宋体"/>
          <w:bCs/>
          <w:szCs w:val="21"/>
        </w:rPr>
      </w:pPr>
      <w:r>
        <w:rPr>
          <w:rFonts w:hint="eastAsia" w:ascii="宋体" w:hAnsi="宋体"/>
          <w:bCs/>
          <w:szCs w:val="21"/>
        </w:rPr>
        <w:t xml:space="preserve">    8</w:t>
      </w:r>
      <w:r>
        <w:rPr>
          <w:rFonts w:hint="eastAsia" w:ascii="宋体" w:hAnsi="宋体" w:cs="宋体"/>
          <w:kern w:val="0"/>
          <w:szCs w:val="21"/>
          <w:lang w:val="zh-CN"/>
        </w:rPr>
        <w:t>·</w:t>
      </w:r>
      <w:r>
        <w:rPr>
          <w:rFonts w:hint="eastAsia" w:ascii="宋体" w:hAnsi="宋体"/>
          <w:bCs/>
          <w:szCs w:val="21"/>
        </w:rPr>
        <w:t>3 咨询费用</w:t>
      </w:r>
    </w:p>
    <w:p>
      <w:pPr>
        <w:adjustRightInd w:val="0"/>
        <w:snapToGrid w:val="0"/>
        <w:spacing w:line="400" w:lineRule="exact"/>
        <w:rPr>
          <w:rFonts w:hint="eastAsia" w:ascii="宋体" w:hAnsi="宋体"/>
          <w:bCs/>
          <w:szCs w:val="21"/>
        </w:rPr>
      </w:pPr>
      <w:r>
        <w:rPr>
          <w:rFonts w:hint="eastAsia" w:ascii="宋体" w:hAnsi="宋体"/>
          <w:bCs/>
          <w:szCs w:val="21"/>
        </w:rPr>
        <w:t xml:space="preserve">    委托人应在咨询工作完成后</w:t>
      </w:r>
      <w:r>
        <w:rPr>
          <w:rFonts w:hint="eastAsia" w:ascii="宋体" w:hAnsi="宋体"/>
          <w:szCs w:val="21"/>
          <w:u w:val="single"/>
        </w:rPr>
        <w:t xml:space="preserve">   /  </w:t>
      </w:r>
      <w:r>
        <w:rPr>
          <w:rFonts w:hint="eastAsia" w:ascii="宋体" w:hAnsi="宋体"/>
          <w:bCs/>
          <w:szCs w:val="21"/>
        </w:rPr>
        <w:t>天内支付咨询费用。</w:t>
      </w:r>
    </w:p>
    <w:p>
      <w:pPr>
        <w:autoSpaceDE w:val="0"/>
        <w:autoSpaceDN w:val="0"/>
        <w:adjustRightInd w:val="0"/>
        <w:snapToGrid w:val="0"/>
        <w:spacing w:line="400" w:lineRule="exact"/>
        <w:ind w:firstLine="426" w:firstLineChars="200"/>
        <w:jc w:val="left"/>
        <w:rPr>
          <w:rFonts w:hint="eastAsia" w:ascii="宋体" w:cs="宋体"/>
          <w:kern w:val="0"/>
          <w:szCs w:val="21"/>
          <w:lang w:val="zh-CN"/>
        </w:rPr>
      </w:pPr>
      <w:r>
        <w:rPr>
          <w:rFonts w:hint="eastAsia" w:ascii="宋体" w:cs="宋体"/>
          <w:kern w:val="0"/>
          <w:szCs w:val="21"/>
          <w:lang w:val="zh-CN"/>
        </w:rPr>
        <w:t>8·4 奖励</w:t>
      </w:r>
    </w:p>
    <w:p>
      <w:pPr>
        <w:autoSpaceDE w:val="0"/>
        <w:autoSpaceDN w:val="0"/>
        <w:adjustRightInd w:val="0"/>
        <w:snapToGrid w:val="0"/>
        <w:spacing w:line="400" w:lineRule="exact"/>
        <w:ind w:firstLine="426" w:firstLineChars="200"/>
        <w:jc w:val="left"/>
        <w:rPr>
          <w:rFonts w:hint="eastAsia" w:ascii="宋体" w:cs="宋体"/>
          <w:kern w:val="0"/>
          <w:szCs w:val="21"/>
          <w:lang w:val="zh-CN"/>
        </w:rPr>
      </w:pPr>
      <w:r>
        <w:rPr>
          <w:rFonts w:hint="eastAsia" w:ascii="宋体" w:cs="宋体"/>
          <w:kern w:val="0"/>
          <w:szCs w:val="21"/>
          <w:lang w:val="zh-CN"/>
        </w:rPr>
        <w:t>监理人提出合理化建议的奖励金额按下列方法确定:</w:t>
      </w:r>
    </w:p>
    <w:p>
      <w:pPr>
        <w:autoSpaceDE w:val="0"/>
        <w:autoSpaceDN w:val="0"/>
        <w:adjustRightInd w:val="0"/>
        <w:snapToGrid w:val="0"/>
        <w:spacing w:line="400" w:lineRule="exact"/>
        <w:ind w:firstLine="426" w:firstLineChars="200"/>
        <w:jc w:val="left"/>
        <w:rPr>
          <w:rFonts w:hint="eastAsia" w:ascii="宋体" w:cs="宋体"/>
          <w:kern w:val="0"/>
          <w:szCs w:val="21"/>
          <w:lang w:val="zh-CN"/>
        </w:rPr>
      </w:pPr>
      <w:r>
        <w:rPr>
          <w:rFonts w:hint="eastAsia" w:ascii="宋体" w:cs="宋体"/>
          <w:kern w:val="0"/>
          <w:szCs w:val="21"/>
          <w:lang w:val="zh-CN"/>
        </w:rPr>
        <w:t>奖励金额=工程投资节省额X奖励金额的比率;</w:t>
      </w:r>
    </w:p>
    <w:p>
      <w:pPr>
        <w:autoSpaceDE w:val="0"/>
        <w:autoSpaceDN w:val="0"/>
        <w:adjustRightInd w:val="0"/>
        <w:snapToGrid w:val="0"/>
        <w:spacing w:line="400" w:lineRule="exact"/>
        <w:ind w:firstLine="426" w:firstLineChars="200"/>
        <w:jc w:val="left"/>
        <w:rPr>
          <w:rFonts w:hint="eastAsia" w:ascii="宋体" w:cs="宋体"/>
          <w:kern w:val="0"/>
          <w:szCs w:val="21"/>
          <w:lang w:val="zh-CN"/>
        </w:rPr>
      </w:pPr>
      <w:r>
        <w:rPr>
          <w:rFonts w:hint="eastAsia" w:ascii="宋体" w:cs="宋体"/>
          <w:kern w:val="0"/>
          <w:szCs w:val="21"/>
          <w:lang w:val="zh-CN"/>
        </w:rPr>
        <w:t>奖励金额的比率为</w:t>
      </w:r>
      <w:r>
        <w:rPr>
          <w:rFonts w:hint="eastAsia" w:ascii="宋体" w:cs="宋体"/>
          <w:kern w:val="0"/>
          <w:szCs w:val="21"/>
          <w:u w:val="single"/>
          <w:lang w:val="zh-CN"/>
        </w:rPr>
        <w:t xml:space="preserve"> / </w:t>
      </w:r>
      <w:r>
        <w:rPr>
          <w:rFonts w:hint="eastAsia" w:ascii="宋体" w:cs="宋体"/>
          <w:kern w:val="0"/>
          <w:szCs w:val="21"/>
          <w:lang w:val="zh-CN"/>
        </w:rPr>
        <w:t>%。</w:t>
      </w:r>
    </w:p>
    <w:p>
      <w:pPr>
        <w:snapToGrid w:val="0"/>
        <w:spacing w:line="400" w:lineRule="exact"/>
        <w:ind w:firstLine="426" w:firstLineChars="200"/>
        <w:rPr>
          <w:rFonts w:ascii="宋体" w:cs="宋体"/>
          <w:kern w:val="0"/>
          <w:szCs w:val="21"/>
        </w:rPr>
      </w:pPr>
      <w:r>
        <w:rPr>
          <w:rFonts w:hint="eastAsia" w:ascii="宋体" w:cs="宋体"/>
          <w:kern w:val="0"/>
          <w:szCs w:val="21"/>
        </w:rPr>
        <w:t>8.6 保密</w:t>
      </w:r>
    </w:p>
    <w:p>
      <w:pPr>
        <w:snapToGrid w:val="0"/>
        <w:spacing w:line="400" w:lineRule="exact"/>
        <w:ind w:firstLine="426" w:firstLineChars="200"/>
        <w:rPr>
          <w:rFonts w:ascii="宋体" w:cs="宋体"/>
          <w:kern w:val="0"/>
          <w:szCs w:val="21"/>
          <w:u w:val="single"/>
        </w:rPr>
      </w:pPr>
      <w:r>
        <w:rPr>
          <w:rFonts w:hint="eastAsia" w:ascii="宋体" w:cs="宋体"/>
          <w:kern w:val="0"/>
          <w:szCs w:val="21"/>
        </w:rPr>
        <w:t>委托人申明的保密事项和期限：</w:t>
      </w:r>
      <w:r>
        <w:rPr>
          <w:rFonts w:hint="eastAsia" w:ascii="宋体" w:cs="宋体"/>
          <w:kern w:val="0"/>
          <w:szCs w:val="21"/>
          <w:u w:val="single"/>
        </w:rPr>
        <w:t xml:space="preserve"> 按委托人具体要求 </w:t>
      </w:r>
      <w:r>
        <w:rPr>
          <w:rFonts w:hint="eastAsia" w:ascii="宋体" w:cs="宋体"/>
          <w:kern w:val="0"/>
          <w:szCs w:val="21"/>
        </w:rPr>
        <w:t>。</w:t>
      </w:r>
    </w:p>
    <w:p>
      <w:pPr>
        <w:snapToGrid w:val="0"/>
        <w:spacing w:line="400" w:lineRule="exact"/>
        <w:ind w:firstLine="426" w:firstLineChars="200"/>
        <w:rPr>
          <w:rFonts w:ascii="宋体" w:cs="宋体"/>
          <w:kern w:val="0"/>
          <w:szCs w:val="21"/>
          <w:u w:val="single"/>
        </w:rPr>
      </w:pPr>
      <w:r>
        <w:rPr>
          <w:rFonts w:hint="eastAsia" w:ascii="宋体" w:cs="宋体"/>
          <w:kern w:val="0"/>
          <w:szCs w:val="21"/>
        </w:rPr>
        <w:t>监理人申明的保密事项和期限：</w:t>
      </w:r>
      <w:r>
        <w:rPr>
          <w:rFonts w:hint="eastAsia" w:ascii="宋体" w:cs="宋体"/>
          <w:kern w:val="0"/>
          <w:szCs w:val="21"/>
          <w:u w:val="single"/>
        </w:rPr>
        <w:t xml:space="preserve"> 有关监理资料 </w:t>
      </w:r>
      <w:r>
        <w:rPr>
          <w:rFonts w:hint="eastAsia" w:ascii="宋体" w:cs="宋体"/>
          <w:kern w:val="0"/>
          <w:szCs w:val="21"/>
        </w:rPr>
        <w:t>。</w:t>
      </w:r>
    </w:p>
    <w:p>
      <w:pPr>
        <w:snapToGrid w:val="0"/>
        <w:spacing w:line="400" w:lineRule="exact"/>
        <w:ind w:firstLine="426" w:firstLineChars="200"/>
        <w:rPr>
          <w:rFonts w:ascii="宋体" w:cs="宋体"/>
          <w:kern w:val="0"/>
          <w:szCs w:val="21"/>
          <w:u w:val="single"/>
        </w:rPr>
      </w:pPr>
      <w:r>
        <w:rPr>
          <w:rFonts w:hint="eastAsia" w:ascii="宋体" w:cs="宋体"/>
          <w:kern w:val="0"/>
          <w:szCs w:val="21"/>
        </w:rPr>
        <w:t>第三方申明的保密事项和期限：</w:t>
      </w:r>
      <w:r>
        <w:rPr>
          <w:rFonts w:hint="eastAsia" w:ascii="宋体" w:cs="宋体"/>
          <w:kern w:val="0"/>
          <w:szCs w:val="21"/>
          <w:u w:val="single"/>
        </w:rPr>
        <w:t xml:space="preserve"> / </w:t>
      </w:r>
      <w:r>
        <w:rPr>
          <w:rFonts w:hint="eastAsia" w:ascii="宋体" w:cs="宋体"/>
          <w:kern w:val="0"/>
          <w:szCs w:val="21"/>
        </w:rPr>
        <w:t>。</w:t>
      </w:r>
    </w:p>
    <w:p>
      <w:pPr>
        <w:snapToGrid w:val="0"/>
        <w:spacing w:line="400" w:lineRule="exact"/>
        <w:ind w:firstLine="426" w:firstLineChars="200"/>
        <w:rPr>
          <w:rFonts w:ascii="宋体" w:cs="宋体"/>
          <w:bCs/>
          <w:kern w:val="0"/>
          <w:szCs w:val="21"/>
        </w:rPr>
      </w:pPr>
      <w:r>
        <w:rPr>
          <w:rFonts w:hint="eastAsia" w:ascii="宋体" w:cs="宋体"/>
          <w:kern w:val="0"/>
          <w:szCs w:val="21"/>
        </w:rPr>
        <w:t>8.8</w:t>
      </w:r>
      <w:r>
        <w:rPr>
          <w:rFonts w:hint="eastAsia" w:ascii="宋体" w:cs="宋体"/>
          <w:bCs/>
          <w:kern w:val="0"/>
          <w:szCs w:val="21"/>
        </w:rPr>
        <w:t>著作权</w:t>
      </w:r>
    </w:p>
    <w:p>
      <w:pPr>
        <w:snapToGrid w:val="0"/>
        <w:spacing w:line="400" w:lineRule="exact"/>
        <w:ind w:firstLine="426" w:firstLineChars="200"/>
        <w:rPr>
          <w:rFonts w:ascii="宋体" w:cs="宋体"/>
          <w:kern w:val="0"/>
          <w:szCs w:val="21"/>
        </w:rPr>
      </w:pPr>
      <w:r>
        <w:rPr>
          <w:rFonts w:hint="eastAsia" w:ascii="宋体" w:cs="宋体"/>
          <w:kern w:val="0"/>
          <w:szCs w:val="21"/>
        </w:rPr>
        <w:t>监理人在本合同履行期间及本合同终止后两年内出版涉及本工程的有关监理与相关服务的资料的限制条件：</w:t>
      </w:r>
      <w:r>
        <w:rPr>
          <w:rFonts w:hint="eastAsia" w:ascii="宋体" w:cs="宋体"/>
          <w:kern w:val="0"/>
          <w:szCs w:val="21"/>
          <w:u w:val="single"/>
          <w:lang w:val="zh-CN"/>
        </w:rPr>
        <w:t>需委托人同意</w:t>
      </w:r>
      <w:r>
        <w:rPr>
          <w:rFonts w:hint="eastAsia" w:ascii="宋体" w:cs="宋体"/>
          <w:kern w:val="0"/>
          <w:szCs w:val="21"/>
        </w:rPr>
        <w:t>。</w:t>
      </w:r>
    </w:p>
    <w:p>
      <w:pPr>
        <w:snapToGrid w:val="0"/>
        <w:spacing w:line="400" w:lineRule="exact"/>
        <w:ind w:firstLine="426" w:firstLineChars="200"/>
        <w:rPr>
          <w:rFonts w:hint="eastAsia" w:ascii="宋体" w:cs="宋体"/>
          <w:b/>
          <w:kern w:val="0"/>
          <w:szCs w:val="21"/>
        </w:rPr>
      </w:pPr>
      <w:r>
        <w:rPr>
          <w:rFonts w:hint="eastAsia" w:ascii="宋体" w:cs="宋体"/>
          <w:b/>
          <w:kern w:val="0"/>
          <w:szCs w:val="21"/>
        </w:rPr>
        <w:t>9. 补充条款</w:t>
      </w:r>
    </w:p>
    <w:p>
      <w:pPr>
        <w:snapToGrid w:val="0"/>
        <w:spacing w:line="400" w:lineRule="exact"/>
        <w:ind w:firstLine="426" w:firstLineChars="200"/>
        <w:rPr>
          <w:rFonts w:hint="eastAsia" w:ascii="宋体" w:cs="宋体"/>
          <w:kern w:val="0"/>
          <w:szCs w:val="21"/>
          <w:lang w:val="zh-CN"/>
        </w:rPr>
      </w:pPr>
      <w:r>
        <w:rPr>
          <w:rFonts w:hint="eastAsia" w:ascii="宋体" w:cs="宋体"/>
          <w:kern w:val="0"/>
          <w:szCs w:val="21"/>
          <w:lang w:val="zh-CN"/>
        </w:rPr>
        <w:t>9.1监理人员的调换及相关要求：</w:t>
      </w:r>
    </w:p>
    <w:p>
      <w:pPr>
        <w:snapToGrid w:val="0"/>
        <w:spacing w:line="400" w:lineRule="exact"/>
        <w:ind w:firstLine="426" w:firstLineChars="200"/>
        <w:rPr>
          <w:rFonts w:hint="eastAsia" w:ascii="宋体" w:cs="宋体"/>
          <w:kern w:val="0"/>
          <w:szCs w:val="21"/>
        </w:rPr>
      </w:pPr>
      <w:r>
        <w:rPr>
          <w:rFonts w:hint="eastAsia" w:ascii="宋体" w:cs="宋体"/>
          <w:kern w:val="0"/>
          <w:szCs w:val="21"/>
          <w:lang w:val="zh-CN"/>
        </w:rPr>
        <w:t>9.1.1监理人应按承诺派遣监理人员进驻现场；除非委托人另有要求或其它特殊原因，监理人不得随意更换总监、专监等主要监理人员。</w:t>
      </w:r>
      <w:r>
        <w:rPr>
          <w:rFonts w:hint="eastAsia" w:ascii="宋体" w:cs="宋体"/>
          <w:kern w:val="0"/>
          <w:szCs w:val="21"/>
        </w:rPr>
        <w:t xml:space="preserve">在合同履行过程中，委托人认为监理人员数量不满足施工要求的，监理人应无条件按业主要求增加现场监理人员，监理费用不予增加。      </w:t>
      </w:r>
    </w:p>
    <w:p>
      <w:pPr>
        <w:numPr>
          <w:ilvl w:val="0"/>
          <w:numId w:val="0"/>
        </w:numPr>
        <w:snapToGrid w:val="0"/>
        <w:spacing w:line="348" w:lineRule="auto"/>
        <w:ind w:firstLine="426" w:firstLineChars="200"/>
        <w:rPr>
          <w:rFonts w:hint="eastAsia" w:ascii="宋体" w:hAnsi="宋体" w:cs="宋体"/>
          <w:b/>
          <w:kern w:val="0"/>
          <w:sz w:val="21"/>
          <w:szCs w:val="21"/>
        </w:rPr>
      </w:pPr>
      <w:r>
        <w:rPr>
          <w:rFonts w:hint="eastAsia" w:ascii="宋体" w:cs="宋体"/>
          <w:kern w:val="0"/>
          <w:szCs w:val="21"/>
        </w:rPr>
        <w:t xml:space="preserve"> </w:t>
      </w:r>
      <w:r>
        <w:rPr>
          <w:rFonts w:hint="eastAsia" w:ascii="宋体" w:cs="宋体"/>
          <w:kern w:val="0"/>
          <w:szCs w:val="21"/>
          <w:lang w:val="zh-CN"/>
        </w:rPr>
        <w:t>9.1.2</w:t>
      </w:r>
      <w:bookmarkStart w:id="223" w:name="_Toc347340514"/>
      <w:r>
        <w:rPr>
          <w:rFonts w:hint="eastAsia" w:ascii="宋体" w:cs="宋体"/>
          <w:kern w:val="0"/>
          <w:sz w:val="21"/>
          <w:szCs w:val="21"/>
          <w:lang w:val="zh-CN"/>
        </w:rPr>
        <w:t>在以后的监理全过程中，</w:t>
      </w:r>
      <w:r>
        <w:rPr>
          <w:rFonts w:hint="eastAsia" w:ascii="宋体" w:hAnsi="宋体" w:cs="宋体"/>
          <w:b/>
          <w:kern w:val="0"/>
          <w:sz w:val="21"/>
          <w:szCs w:val="21"/>
        </w:rPr>
        <w:t>总监以及主要监理人员必须按投标人资格审查</w:t>
      </w:r>
    </w:p>
    <w:p>
      <w:pPr>
        <w:snapToGrid w:val="0"/>
        <w:spacing w:line="348" w:lineRule="auto"/>
        <w:ind w:firstLine="319" w:firstLineChars="150"/>
        <w:rPr>
          <w:rFonts w:hint="eastAsia" w:ascii="宋体" w:hAnsi="宋体" w:eastAsia="宋体"/>
          <w:b/>
          <w:color w:val="FF0000"/>
          <w:kern w:val="0"/>
          <w:sz w:val="21"/>
          <w:szCs w:val="21"/>
          <w:lang w:eastAsia="zh-CN"/>
        </w:rPr>
      </w:pPr>
      <w:r>
        <w:rPr>
          <w:rFonts w:hint="eastAsia" w:ascii="宋体" w:hAnsi="宋体" w:cs="宋体"/>
          <w:b/>
          <w:kern w:val="0"/>
          <w:sz w:val="21"/>
          <w:szCs w:val="21"/>
        </w:rPr>
        <w:t>时提供的拟派本项目现场监理机构主要人员一览表中的人员名单到位，不得随意更换</w:t>
      </w:r>
      <w:r>
        <w:rPr>
          <w:rFonts w:hint="eastAsia" w:ascii="宋体" w:hAnsi="宋体" w:cs="宋体"/>
          <w:b/>
          <w:color w:val="FF0000"/>
          <w:kern w:val="0"/>
          <w:sz w:val="21"/>
          <w:szCs w:val="21"/>
          <w:lang w:eastAsia="zh-CN"/>
        </w:rPr>
        <w:t>（</w:t>
      </w:r>
      <w:r>
        <w:rPr>
          <w:rFonts w:hint="eastAsia" w:ascii="宋体" w:hAnsi="宋体" w:cs="宋体"/>
          <w:b/>
          <w:color w:val="FF0000"/>
          <w:kern w:val="0"/>
          <w:sz w:val="21"/>
          <w:szCs w:val="21"/>
          <w:lang w:val="en-US" w:eastAsia="zh-CN"/>
        </w:rPr>
        <w:t>除不可抗力</w:t>
      </w:r>
      <w:r>
        <w:rPr>
          <w:rFonts w:hint="eastAsia" w:ascii="宋体" w:hAnsi="宋体" w:cs="宋体"/>
          <w:b/>
          <w:color w:val="FF0000"/>
          <w:kern w:val="0"/>
          <w:sz w:val="21"/>
          <w:szCs w:val="21"/>
          <w:lang w:eastAsia="zh-CN"/>
        </w:rPr>
        <w:t>）</w:t>
      </w:r>
      <w:r>
        <w:rPr>
          <w:rFonts w:hint="eastAsia" w:ascii="宋体" w:hAnsi="宋体" w:cs="宋体"/>
          <w:b/>
          <w:color w:val="FF0000"/>
          <w:kern w:val="0"/>
          <w:sz w:val="21"/>
          <w:szCs w:val="21"/>
        </w:rPr>
        <w:t>。</w:t>
      </w:r>
      <w:r>
        <w:rPr>
          <w:rFonts w:hint="eastAsia" w:ascii="宋体" w:hAnsi="宋体" w:cs="宋体"/>
          <w:sz w:val="21"/>
          <w:szCs w:val="21"/>
          <w:u w:val="single"/>
        </w:rPr>
        <w:t>因符合规定确需要更换的，更换人员须应征得招标单位同意和并经有关行业主管部门备案后</w:t>
      </w:r>
      <w:r>
        <w:rPr>
          <w:rFonts w:hint="eastAsia" w:ascii="宋体" w:hAnsi="宋体" w:cs="宋体"/>
          <w:sz w:val="21"/>
          <w:szCs w:val="21"/>
          <w:u w:val="single"/>
          <w:lang w:val="en-US" w:eastAsia="zh-CN"/>
        </w:rPr>
        <w:t>，</w:t>
      </w:r>
      <w:r>
        <w:rPr>
          <w:rFonts w:hint="eastAsia" w:ascii="宋体" w:hAnsi="宋体" w:cs="宋体"/>
          <w:sz w:val="21"/>
          <w:szCs w:val="21"/>
          <w:u w:val="single"/>
        </w:rPr>
        <w:t>投标单位才可更换</w:t>
      </w:r>
      <w:r>
        <w:rPr>
          <w:rFonts w:hint="eastAsia" w:ascii="宋体" w:hAnsi="宋体"/>
          <w:b/>
          <w:color w:val="FF0000"/>
          <w:kern w:val="0"/>
          <w:sz w:val="21"/>
          <w:szCs w:val="21"/>
        </w:rPr>
        <w:t>【</w:t>
      </w:r>
      <w:r>
        <w:rPr>
          <w:rFonts w:hint="eastAsia" w:ascii="宋体" w:hAnsi="宋体"/>
          <w:b/>
          <w:color w:val="FF0000"/>
          <w:kern w:val="0"/>
          <w:sz w:val="21"/>
          <w:szCs w:val="21"/>
          <w:u w:val="single"/>
        </w:rPr>
        <w:t>更换人员须应征得招标单位同意和并经有关行业主管部门备案后投标单位才可更换（项目组人员变更须严格遵守《</w:t>
      </w:r>
      <w:r>
        <w:rPr>
          <w:rFonts w:hint="eastAsia" w:ascii="宋体" w:hAnsi="宋体"/>
          <w:b/>
          <w:color w:val="FF0000"/>
          <w:kern w:val="0"/>
          <w:sz w:val="21"/>
          <w:szCs w:val="21"/>
          <w:u w:val="single"/>
          <w:lang w:val="en-US" w:eastAsia="zh-CN"/>
        </w:rPr>
        <w:t>关于印发进一步加强重点工程建设项目施工进度和关键岗位人员的管理办法（试行）</w:t>
      </w:r>
      <w:r>
        <w:rPr>
          <w:rFonts w:hint="eastAsia" w:ascii="宋体" w:hAnsi="宋体"/>
          <w:b/>
          <w:color w:val="FF0000"/>
          <w:kern w:val="0"/>
          <w:sz w:val="21"/>
          <w:szCs w:val="21"/>
          <w:u w:val="single"/>
        </w:rPr>
        <w:t>》的通知(苍</w:t>
      </w:r>
      <w:r>
        <w:rPr>
          <w:rFonts w:hint="eastAsia" w:ascii="宋体" w:hAnsi="宋体"/>
          <w:b/>
          <w:color w:val="FF0000"/>
          <w:kern w:val="0"/>
          <w:sz w:val="21"/>
          <w:szCs w:val="21"/>
          <w:u w:val="single"/>
          <w:lang w:val="en-US" w:eastAsia="zh-CN"/>
        </w:rPr>
        <w:t>政发〔2021〕10</w:t>
      </w:r>
      <w:r>
        <w:rPr>
          <w:rFonts w:hint="eastAsia" w:ascii="宋体" w:hAnsi="宋体"/>
          <w:b/>
          <w:color w:val="FF0000"/>
          <w:kern w:val="0"/>
          <w:sz w:val="21"/>
          <w:szCs w:val="21"/>
          <w:u w:val="single"/>
        </w:rPr>
        <w:t>号）</w:t>
      </w:r>
      <w:r>
        <w:rPr>
          <w:rFonts w:hint="eastAsia" w:ascii="宋体" w:hAnsi="宋体"/>
          <w:b/>
          <w:color w:val="FF0000"/>
          <w:kern w:val="0"/>
          <w:sz w:val="21"/>
          <w:szCs w:val="21"/>
          <w:u w:val="single"/>
          <w:lang w:val="en-US" w:eastAsia="zh-CN"/>
        </w:rPr>
        <w:t>执行</w:t>
      </w:r>
      <w:r>
        <w:rPr>
          <w:rFonts w:hint="eastAsia" w:ascii="宋体" w:hAnsi="宋体"/>
          <w:b/>
          <w:color w:val="FF0000"/>
          <w:kern w:val="0"/>
          <w:sz w:val="21"/>
          <w:szCs w:val="21"/>
          <w:u w:val="single"/>
        </w:rPr>
        <w:t>。注：经招标人同意更换的人员，其资历</w:t>
      </w:r>
      <w:r>
        <w:rPr>
          <w:rFonts w:hint="eastAsia" w:ascii="宋体" w:hAnsi="宋体"/>
          <w:b/>
          <w:color w:val="FF0000"/>
          <w:kern w:val="0"/>
          <w:sz w:val="21"/>
          <w:szCs w:val="21"/>
          <w:u w:val="single"/>
          <w:lang w:val="en-US" w:eastAsia="zh-CN"/>
        </w:rPr>
        <w:t>及</w:t>
      </w:r>
      <w:r>
        <w:rPr>
          <w:rFonts w:hint="eastAsia" w:ascii="宋体" w:hAnsi="宋体"/>
          <w:b/>
          <w:color w:val="FF0000"/>
          <w:kern w:val="0"/>
          <w:sz w:val="21"/>
          <w:szCs w:val="21"/>
          <w:u w:val="single"/>
        </w:rPr>
        <w:t>职称均不低于原替换掉的人员。</w:t>
      </w:r>
      <w:r>
        <w:rPr>
          <w:rFonts w:hint="eastAsia" w:ascii="宋体" w:hAnsi="宋体"/>
          <w:b/>
          <w:color w:val="FF0000"/>
          <w:kern w:val="0"/>
          <w:sz w:val="21"/>
          <w:szCs w:val="21"/>
          <w:u w:val="single"/>
          <w:lang w:eastAsia="zh-CN"/>
        </w:rPr>
        <w:t>并在支付完违约金之后方可办理。</w:t>
      </w:r>
    </w:p>
    <w:p>
      <w:pPr>
        <w:snapToGrid w:val="0"/>
        <w:spacing w:line="348" w:lineRule="auto"/>
        <w:ind w:firstLine="319" w:firstLineChars="150"/>
        <w:rPr>
          <w:rFonts w:ascii="宋体" w:cs="宋体"/>
          <w:kern w:val="0"/>
          <w:sz w:val="21"/>
          <w:szCs w:val="21"/>
          <w:lang w:val="zh-CN"/>
        </w:rPr>
      </w:pPr>
      <w:r>
        <w:rPr>
          <w:rFonts w:hint="eastAsia" w:ascii="宋体" w:cs="宋体"/>
          <w:kern w:val="0"/>
          <w:sz w:val="21"/>
          <w:szCs w:val="21"/>
          <w:lang w:val="zh-CN"/>
        </w:rPr>
        <w:t>9.2 监理办基本设施</w:t>
      </w:r>
      <w:bookmarkEnd w:id="223"/>
      <w:r>
        <w:rPr>
          <w:rFonts w:hint="eastAsia" w:ascii="宋体" w:cs="宋体"/>
          <w:kern w:val="0"/>
          <w:sz w:val="21"/>
          <w:szCs w:val="21"/>
          <w:lang w:val="zh-CN"/>
        </w:rPr>
        <w:t>要求： 监理人应自行安排监理办的基本设施，且应按有关要求进行监理办标准化建设，其生活、办公必需的生活办公用房、办公生活设施、交通工具、通讯工具以及各种测量仪器、均由监理人自行搭设和自行配备，其费用计入监理服务费报价。</w:t>
      </w:r>
    </w:p>
    <w:p>
      <w:pPr>
        <w:snapToGrid w:val="0"/>
        <w:spacing w:line="348" w:lineRule="auto"/>
        <w:ind w:firstLine="426" w:firstLineChars="200"/>
        <w:rPr>
          <w:rFonts w:ascii="宋体" w:cs="宋体"/>
          <w:kern w:val="0"/>
          <w:sz w:val="21"/>
          <w:szCs w:val="21"/>
          <w:lang w:val="zh-CN"/>
        </w:rPr>
      </w:pPr>
      <w:r>
        <w:rPr>
          <w:rFonts w:hint="eastAsia" w:ascii="宋体" w:cs="宋体"/>
          <w:kern w:val="0"/>
          <w:sz w:val="21"/>
          <w:szCs w:val="21"/>
          <w:lang w:val="zh-CN"/>
        </w:rPr>
        <w:t>9.3监理人员进场及到位率要求</w:t>
      </w:r>
    </w:p>
    <w:p>
      <w:pPr>
        <w:snapToGrid w:val="0"/>
        <w:spacing w:line="348" w:lineRule="auto"/>
        <w:ind w:firstLine="426" w:firstLineChars="200"/>
        <w:rPr>
          <w:rFonts w:hint="default" w:ascii="宋体" w:eastAsia="宋体" w:cs="宋体"/>
          <w:kern w:val="0"/>
          <w:sz w:val="21"/>
          <w:szCs w:val="21"/>
          <w:lang w:val="en-US" w:eastAsia="zh-CN"/>
        </w:rPr>
      </w:pPr>
      <w:r>
        <w:rPr>
          <w:rFonts w:hint="eastAsia" w:ascii="宋体" w:cs="宋体"/>
          <w:kern w:val="0"/>
          <w:sz w:val="21"/>
          <w:szCs w:val="21"/>
          <w:lang w:val="zh-CN"/>
        </w:rPr>
        <w:t>9.3.1到位率要求：到位率要求：</w:t>
      </w:r>
      <w:r>
        <w:rPr>
          <w:rFonts w:hint="eastAsia" w:ascii="宋体" w:hAnsi="宋体" w:cs="宋体"/>
          <w:b/>
          <w:bCs/>
          <w:color w:val="FF0000"/>
          <w:sz w:val="21"/>
          <w:szCs w:val="21"/>
          <w:u w:val="single"/>
        </w:rPr>
        <w:t>总监到位率</w:t>
      </w:r>
      <w:r>
        <w:rPr>
          <w:rFonts w:hint="eastAsia" w:ascii="宋体" w:hAnsi="宋体" w:cs="宋体"/>
          <w:b/>
          <w:color w:val="FF0000"/>
          <w:sz w:val="21"/>
          <w:szCs w:val="21"/>
          <w:u w:val="single"/>
        </w:rPr>
        <w:t>每月少于2</w:t>
      </w:r>
      <w:r>
        <w:rPr>
          <w:rFonts w:hint="eastAsia" w:ascii="宋体" w:hAnsi="宋体" w:cs="宋体"/>
          <w:b/>
          <w:color w:val="FF0000"/>
          <w:sz w:val="21"/>
          <w:szCs w:val="21"/>
          <w:u w:val="single"/>
          <w:lang w:val="en-US" w:eastAsia="zh-CN"/>
        </w:rPr>
        <w:t>2</w:t>
      </w:r>
      <w:r>
        <w:rPr>
          <w:rFonts w:hint="eastAsia" w:ascii="宋体" w:hAnsi="宋体" w:cs="宋体"/>
          <w:b/>
          <w:color w:val="FF0000"/>
          <w:sz w:val="21"/>
          <w:szCs w:val="21"/>
          <w:u w:val="single"/>
        </w:rPr>
        <w:t>日历天，每少一天处违约金</w:t>
      </w:r>
      <w:r>
        <w:rPr>
          <w:rFonts w:hint="eastAsia" w:ascii="宋体" w:hAnsi="宋体" w:cs="宋体"/>
          <w:b/>
          <w:color w:val="FF0000"/>
          <w:sz w:val="21"/>
          <w:szCs w:val="21"/>
          <w:u w:val="single"/>
          <w:lang w:val="en-US" w:eastAsia="zh-CN"/>
        </w:rPr>
        <w:t xml:space="preserve"> 2</w:t>
      </w:r>
      <w:r>
        <w:rPr>
          <w:rFonts w:hint="eastAsia" w:ascii="宋体" w:hAnsi="宋体" w:cs="宋体"/>
          <w:b/>
          <w:color w:val="FF0000"/>
          <w:sz w:val="21"/>
          <w:szCs w:val="21"/>
          <w:u w:val="single"/>
        </w:rPr>
        <w:t>000元；</w:t>
      </w:r>
      <w:r>
        <w:rPr>
          <w:rFonts w:hint="eastAsia" w:ascii="宋体" w:hAnsi="宋体" w:cs="宋体"/>
          <w:b/>
          <w:bCs/>
          <w:color w:val="FF0000"/>
          <w:sz w:val="21"/>
          <w:szCs w:val="21"/>
          <w:u w:val="single"/>
        </w:rPr>
        <w:t>项目专监到位率</w:t>
      </w:r>
      <w:r>
        <w:rPr>
          <w:rFonts w:hint="eastAsia" w:ascii="宋体" w:hAnsi="宋体" w:cs="宋体"/>
          <w:b/>
          <w:color w:val="FF0000"/>
          <w:sz w:val="21"/>
          <w:szCs w:val="21"/>
          <w:u w:val="single"/>
        </w:rPr>
        <w:t>每月少于 2</w:t>
      </w:r>
      <w:r>
        <w:rPr>
          <w:rFonts w:hint="eastAsia" w:ascii="宋体" w:hAnsi="宋体" w:cs="宋体"/>
          <w:b/>
          <w:color w:val="FF0000"/>
          <w:sz w:val="21"/>
          <w:szCs w:val="21"/>
          <w:u w:val="single"/>
          <w:lang w:val="en-US" w:eastAsia="zh-CN"/>
        </w:rPr>
        <w:t>2</w:t>
      </w:r>
      <w:r>
        <w:rPr>
          <w:rFonts w:hint="eastAsia" w:ascii="宋体" w:hAnsi="宋体" w:cs="宋体"/>
          <w:b/>
          <w:color w:val="FF0000"/>
          <w:sz w:val="21"/>
          <w:szCs w:val="21"/>
          <w:u w:val="single"/>
        </w:rPr>
        <w:t xml:space="preserve"> 日历天，每少一天处违约金</w:t>
      </w:r>
      <w:r>
        <w:rPr>
          <w:rFonts w:hint="eastAsia" w:ascii="宋体" w:hAnsi="宋体" w:cs="宋体"/>
          <w:b/>
          <w:color w:val="FF0000"/>
          <w:sz w:val="21"/>
          <w:szCs w:val="21"/>
          <w:u w:val="single"/>
          <w:lang w:val="en-US" w:eastAsia="zh-CN"/>
        </w:rPr>
        <w:t>10</w:t>
      </w:r>
      <w:r>
        <w:rPr>
          <w:rFonts w:hint="eastAsia" w:ascii="宋体" w:hAnsi="宋体" w:cs="宋体"/>
          <w:b/>
          <w:color w:val="FF0000"/>
          <w:sz w:val="21"/>
          <w:szCs w:val="21"/>
          <w:u w:val="single"/>
        </w:rPr>
        <w:t>00元；</w:t>
      </w:r>
      <w:r>
        <w:rPr>
          <w:rFonts w:hint="eastAsia" w:ascii="宋体" w:hAnsi="宋体" w:cs="宋体"/>
          <w:b/>
          <w:bCs/>
          <w:color w:val="FF0000"/>
          <w:sz w:val="21"/>
          <w:szCs w:val="21"/>
          <w:u w:val="single"/>
        </w:rPr>
        <w:t>项目监理员及见证员到位率</w:t>
      </w:r>
      <w:r>
        <w:rPr>
          <w:rFonts w:hint="eastAsia" w:ascii="宋体" w:hAnsi="宋体" w:cs="宋体"/>
          <w:b/>
          <w:color w:val="FF0000"/>
          <w:sz w:val="21"/>
          <w:szCs w:val="21"/>
          <w:u w:val="single"/>
        </w:rPr>
        <w:t>每月少于 2</w:t>
      </w:r>
      <w:r>
        <w:rPr>
          <w:rFonts w:hint="eastAsia" w:ascii="宋体" w:hAnsi="宋体" w:cs="宋体"/>
          <w:b/>
          <w:color w:val="FF0000"/>
          <w:sz w:val="21"/>
          <w:szCs w:val="21"/>
          <w:u w:val="single"/>
          <w:lang w:val="en-US" w:eastAsia="zh-CN"/>
        </w:rPr>
        <w:t>2</w:t>
      </w:r>
      <w:r>
        <w:rPr>
          <w:rFonts w:hint="eastAsia" w:ascii="宋体" w:hAnsi="宋体" w:cs="宋体"/>
          <w:b/>
          <w:color w:val="FF0000"/>
          <w:sz w:val="21"/>
          <w:szCs w:val="21"/>
          <w:u w:val="single"/>
        </w:rPr>
        <w:t xml:space="preserve"> 日历天，每少一天处违约金</w:t>
      </w:r>
      <w:r>
        <w:rPr>
          <w:rFonts w:hint="eastAsia" w:ascii="宋体" w:hAnsi="宋体" w:cs="宋体"/>
          <w:b/>
          <w:color w:val="FF0000"/>
          <w:sz w:val="21"/>
          <w:szCs w:val="21"/>
          <w:u w:val="single"/>
          <w:lang w:val="en-US" w:eastAsia="zh-CN"/>
        </w:rPr>
        <w:t>10</w:t>
      </w:r>
      <w:r>
        <w:rPr>
          <w:rFonts w:hint="eastAsia" w:ascii="宋体" w:hAnsi="宋体" w:cs="宋体"/>
          <w:b/>
          <w:color w:val="FF0000"/>
          <w:sz w:val="21"/>
          <w:szCs w:val="21"/>
          <w:u w:val="single"/>
        </w:rPr>
        <w:t>00元；如遇当月为28日历天，则按28日历天计算。按季度考核人员到位率，违约金在同期进度款中同步扣回，如总监及主要监理人员累计四季度到位率不合格，甲方有权要求更换相应监理人员，其更换后的监理人员必须达到原监理人员同等及以上资质要求。</w:t>
      </w:r>
      <w:r>
        <w:rPr>
          <w:rFonts w:hint="eastAsia" w:ascii="宋体" w:hAnsi="宋体" w:cs="宋体"/>
          <w:b/>
          <w:color w:val="FF0000"/>
          <w:sz w:val="21"/>
          <w:szCs w:val="21"/>
          <w:u w:val="single"/>
          <w:lang w:val="en-US" w:eastAsia="zh-CN"/>
        </w:rPr>
        <w:t>（项目班组人员根据工程进度、甲方业主要求，随时调配项目班组到岗。注：违约金在当月进度款中扣除。</w:t>
      </w:r>
    </w:p>
    <w:p>
      <w:pPr>
        <w:spacing w:line="348" w:lineRule="auto"/>
        <w:rPr>
          <w:rFonts w:ascii="宋体" w:hAnsi="宋体"/>
          <w:sz w:val="21"/>
          <w:szCs w:val="21"/>
        </w:rPr>
      </w:pPr>
      <w:r>
        <w:rPr>
          <w:rFonts w:hint="eastAsia" w:ascii="宋体" w:cs="宋体"/>
          <w:b/>
          <w:kern w:val="0"/>
          <w:sz w:val="21"/>
          <w:szCs w:val="21"/>
          <w:lang w:val="zh-CN"/>
        </w:rPr>
        <w:t>注</w:t>
      </w:r>
      <w:r>
        <w:rPr>
          <w:rFonts w:hint="eastAsia" w:ascii="宋体" w:cs="宋体"/>
          <w:kern w:val="0"/>
          <w:sz w:val="21"/>
          <w:szCs w:val="21"/>
          <w:lang w:val="zh-CN"/>
        </w:rPr>
        <w:t>：</w:t>
      </w:r>
      <w:r>
        <w:rPr>
          <w:rFonts w:hint="eastAsia" w:ascii="宋体" w:hAnsi="宋体"/>
          <w:b/>
          <w:color w:val="FF0000"/>
          <w:sz w:val="21"/>
          <w:szCs w:val="21"/>
        </w:rPr>
        <w:t>合同签订后15天内，中标班组人员应及时完成当监管部门的备案，以及项目总监及建筑专业专监（至少</w:t>
      </w:r>
      <w:r>
        <w:rPr>
          <w:rFonts w:ascii="宋体" w:hAnsi="宋体"/>
          <w:b/>
          <w:color w:val="FF0000"/>
          <w:sz w:val="21"/>
          <w:szCs w:val="21"/>
        </w:rPr>
        <w:t>2</w:t>
      </w:r>
      <w:r>
        <w:rPr>
          <w:rFonts w:hint="eastAsia" w:ascii="宋体" w:hAnsi="宋体"/>
          <w:b/>
          <w:color w:val="FF0000"/>
          <w:sz w:val="21"/>
          <w:szCs w:val="21"/>
        </w:rPr>
        <w:t>人）必须到位，提前介入前期工作服务，其他人员在工程开工后同时到位；到位率要求及处罚按以上规定执行。</w:t>
      </w:r>
    </w:p>
    <w:p>
      <w:pPr>
        <w:snapToGrid w:val="0"/>
        <w:spacing w:line="400" w:lineRule="exact"/>
        <w:ind w:firstLine="426" w:firstLineChars="200"/>
        <w:rPr>
          <w:rFonts w:ascii="宋体" w:cs="宋体"/>
          <w:kern w:val="0"/>
          <w:szCs w:val="21"/>
          <w:lang w:val="zh-CN"/>
        </w:rPr>
      </w:pPr>
      <w:r>
        <w:rPr>
          <w:rFonts w:hint="eastAsia" w:ascii="宋体" w:cs="宋体"/>
          <w:kern w:val="0"/>
          <w:szCs w:val="21"/>
          <w:lang w:val="zh-CN"/>
        </w:rPr>
        <w:t>9.3.2监理人在签定合同前提交履约担保，金额为监理合同签约酬金的</w:t>
      </w:r>
      <w:r>
        <w:rPr>
          <w:rFonts w:hint="eastAsia" w:ascii="宋体" w:cs="宋体"/>
          <w:b/>
          <w:kern w:val="0"/>
          <w:szCs w:val="21"/>
          <w:lang w:val="zh-CN"/>
        </w:rPr>
        <w:t>2%</w:t>
      </w:r>
      <w:r>
        <w:rPr>
          <w:rFonts w:hint="eastAsia" w:ascii="宋体" w:cs="宋体"/>
          <w:kern w:val="0"/>
          <w:szCs w:val="21"/>
          <w:lang w:val="zh-CN"/>
        </w:rPr>
        <w:t>（其中总监理工程师的到位率的保证金占 40%；投资控制、质量控制和建设进度控制以及安全控制的保证金占 40% ，未达到控制目标的没收相应的履约担保；其余项目监理人员到位的保证金占20%）。以后的监理全过程，总监以及主要监理人员必须按投标人资格审查时提供的拟派本项目现场监理机构主要人员一览表中的人员名单到位。</w:t>
      </w:r>
    </w:p>
    <w:p>
      <w:pPr>
        <w:tabs>
          <w:tab w:val="left" w:pos="0"/>
        </w:tabs>
        <w:spacing w:line="348" w:lineRule="auto"/>
        <w:ind w:firstLine="416" w:firstLineChars="196"/>
        <w:rPr>
          <w:rFonts w:ascii="宋体" w:hAnsi="宋体" w:cs="宋体"/>
          <w:b/>
          <w:szCs w:val="21"/>
        </w:rPr>
      </w:pPr>
      <w:r>
        <w:rPr>
          <w:rFonts w:hint="eastAsia" w:ascii="宋体" w:cs="宋体"/>
          <w:kern w:val="0"/>
          <w:szCs w:val="21"/>
          <w:lang w:val="zh-CN"/>
        </w:rPr>
        <w:t>9.4总监以及主要监理人员，出现下列情况，委托人有权没收相应的履约保证金。</w:t>
      </w:r>
      <w:r>
        <w:rPr>
          <w:rFonts w:hint="eastAsia" w:ascii="宋体" w:hAnsi="宋体" w:cs="宋体"/>
          <w:b/>
          <w:kern w:val="0"/>
          <w:szCs w:val="21"/>
        </w:rPr>
        <w:t>处罚的方法：</w:t>
      </w:r>
      <w:r>
        <w:rPr>
          <w:rFonts w:hint="eastAsia" w:ascii="宋体" w:hAnsi="宋体" w:cs="宋体"/>
          <w:b/>
          <w:szCs w:val="21"/>
        </w:rPr>
        <w:t>按发生的累计次数计算，发现第一次罚款3万元，发现第二次罚款8万元，发现第三次招标单位有权强制换人，并按以上规定处罚执行。</w:t>
      </w:r>
    </w:p>
    <w:p>
      <w:pPr>
        <w:tabs>
          <w:tab w:val="left" w:pos="0"/>
        </w:tabs>
        <w:spacing w:line="400" w:lineRule="exact"/>
        <w:ind w:firstLine="416" w:firstLineChars="196"/>
        <w:rPr>
          <w:rFonts w:hint="eastAsia" w:ascii="宋体" w:hAnsi="宋体" w:cs="宋体"/>
          <w:szCs w:val="21"/>
        </w:rPr>
      </w:pPr>
      <w:r>
        <w:rPr>
          <w:rFonts w:hint="eastAsia" w:ascii="宋体" w:hAnsi="宋体" w:cs="宋体"/>
          <w:szCs w:val="21"/>
        </w:rPr>
        <w:t>⑴．与施工单位串通、弄虚作假降低工程质量等级，提高造价；</w:t>
      </w:r>
    </w:p>
    <w:p>
      <w:pPr>
        <w:tabs>
          <w:tab w:val="left" w:pos="0"/>
        </w:tabs>
        <w:spacing w:line="400" w:lineRule="exact"/>
        <w:ind w:firstLine="416" w:firstLineChars="196"/>
        <w:rPr>
          <w:rFonts w:hint="eastAsia" w:ascii="宋体" w:hAnsi="宋体" w:cs="宋体"/>
          <w:szCs w:val="21"/>
        </w:rPr>
      </w:pPr>
      <w:r>
        <w:rPr>
          <w:rFonts w:hint="eastAsia" w:ascii="宋体" w:hAnsi="宋体" w:cs="宋体"/>
          <w:szCs w:val="21"/>
        </w:rPr>
        <w:t>⑵．将不合格的建筑工程、材料、构配件按合格签字；</w:t>
      </w:r>
    </w:p>
    <w:p>
      <w:pPr>
        <w:tabs>
          <w:tab w:val="left" w:pos="0"/>
        </w:tabs>
        <w:spacing w:line="400" w:lineRule="exact"/>
        <w:ind w:firstLine="416" w:firstLineChars="196"/>
        <w:rPr>
          <w:rFonts w:hint="eastAsia" w:ascii="宋体" w:hAnsi="宋体" w:cs="宋体"/>
          <w:szCs w:val="21"/>
        </w:rPr>
      </w:pPr>
      <w:r>
        <w:rPr>
          <w:rFonts w:hint="eastAsia" w:ascii="宋体" w:hAnsi="宋体" w:cs="宋体"/>
          <w:szCs w:val="21"/>
        </w:rPr>
        <w:t>⑶．向施工单位介绍材料、构配件，分包商从中得利的；</w:t>
      </w:r>
    </w:p>
    <w:p>
      <w:pPr>
        <w:tabs>
          <w:tab w:val="left" w:pos="0"/>
        </w:tabs>
        <w:spacing w:line="400" w:lineRule="exact"/>
        <w:ind w:firstLine="416" w:firstLineChars="196"/>
        <w:rPr>
          <w:rFonts w:hint="eastAsia" w:ascii="宋体" w:hAnsi="宋体" w:cs="宋体"/>
          <w:szCs w:val="21"/>
        </w:rPr>
      </w:pPr>
      <w:r>
        <w:rPr>
          <w:rFonts w:hint="eastAsia" w:ascii="宋体" w:hAnsi="宋体" w:cs="宋体"/>
          <w:szCs w:val="21"/>
        </w:rPr>
        <w:t>⑷．施工中存在质量安全隐患或违反了强制性条文未发监理通知或整改不力的；</w:t>
      </w:r>
    </w:p>
    <w:p>
      <w:pPr>
        <w:tabs>
          <w:tab w:val="left" w:pos="0"/>
        </w:tabs>
        <w:spacing w:line="400" w:lineRule="exact"/>
        <w:ind w:firstLine="416" w:firstLineChars="196"/>
        <w:rPr>
          <w:rFonts w:hint="eastAsia" w:ascii="宋体" w:hAnsi="宋体" w:cs="宋体"/>
          <w:szCs w:val="21"/>
        </w:rPr>
      </w:pPr>
      <w:r>
        <w:rPr>
          <w:rFonts w:hint="eastAsia" w:ascii="宋体" w:hAnsi="宋体" w:cs="宋体"/>
          <w:szCs w:val="21"/>
        </w:rPr>
        <w:t>⑸．不按规定见证取样，使不合格材料混入工程实体；</w:t>
      </w:r>
    </w:p>
    <w:p>
      <w:pPr>
        <w:tabs>
          <w:tab w:val="left" w:pos="180"/>
        </w:tabs>
        <w:spacing w:line="400" w:lineRule="exact"/>
        <w:ind w:firstLine="416" w:firstLineChars="196"/>
        <w:rPr>
          <w:rFonts w:hint="eastAsia" w:ascii="宋体" w:hAnsi="宋体" w:cs="宋体"/>
          <w:szCs w:val="21"/>
        </w:rPr>
      </w:pPr>
      <w:r>
        <w:rPr>
          <w:rFonts w:hint="eastAsia" w:ascii="宋体" w:hAnsi="宋体" w:cs="宋体"/>
          <w:szCs w:val="21"/>
        </w:rPr>
        <w:t>⑹．验收不认真虽未造成事故但质量把关不严，使钢筋品种、规格、数量错误，或屋面、墙面、地下室渗水，或砼、砂浆强度不合格；或桩测试不合格；或轴线标高严重偏差；或基坑围护严重开裂等严重质量问题；</w:t>
      </w:r>
    </w:p>
    <w:p>
      <w:pPr>
        <w:spacing w:line="400" w:lineRule="exact"/>
        <w:ind w:firstLine="416" w:firstLineChars="196"/>
        <w:rPr>
          <w:rFonts w:hint="eastAsia" w:ascii="宋体" w:hAnsi="宋体" w:cs="宋体"/>
          <w:szCs w:val="21"/>
        </w:rPr>
      </w:pPr>
      <w:r>
        <w:rPr>
          <w:rFonts w:hint="eastAsia" w:ascii="宋体" w:hAnsi="宋体" w:cs="宋体"/>
          <w:szCs w:val="21"/>
        </w:rPr>
        <w:t>⑺．不按规定旁站，或未及时发现严重质量安全问题的；</w:t>
      </w:r>
    </w:p>
    <w:p>
      <w:pPr>
        <w:spacing w:line="400" w:lineRule="exact"/>
        <w:ind w:firstLine="416" w:firstLineChars="196"/>
        <w:rPr>
          <w:rFonts w:hint="eastAsia" w:ascii="宋体" w:hAnsi="宋体" w:cs="宋体"/>
          <w:szCs w:val="21"/>
        </w:rPr>
      </w:pPr>
      <w:r>
        <w:rPr>
          <w:rFonts w:hint="eastAsia" w:ascii="宋体" w:hAnsi="宋体" w:cs="宋体"/>
          <w:szCs w:val="21"/>
        </w:rPr>
        <w:t>⑻．承包商作假资料，代签字，制止不力并予签认的；</w:t>
      </w:r>
    </w:p>
    <w:p>
      <w:pPr>
        <w:spacing w:line="400" w:lineRule="exact"/>
        <w:ind w:firstLine="416" w:firstLineChars="196"/>
        <w:rPr>
          <w:rFonts w:hint="eastAsia" w:ascii="宋体" w:hAnsi="宋体" w:cs="宋体"/>
          <w:szCs w:val="21"/>
        </w:rPr>
      </w:pPr>
      <w:r>
        <w:rPr>
          <w:rFonts w:hint="eastAsia" w:ascii="宋体" w:hAnsi="宋体" w:cs="宋体"/>
          <w:szCs w:val="21"/>
        </w:rPr>
        <w:t>⑼．承包商未按设计要求施工、偷工减料，监理单位未发现和报告；</w:t>
      </w:r>
    </w:p>
    <w:p>
      <w:pPr>
        <w:spacing w:line="400" w:lineRule="exact"/>
        <w:ind w:firstLine="416" w:firstLineChars="196"/>
        <w:rPr>
          <w:rFonts w:hint="eastAsia" w:ascii="宋体" w:hAnsi="宋体" w:cs="宋体"/>
          <w:szCs w:val="21"/>
        </w:rPr>
      </w:pPr>
      <w:r>
        <w:rPr>
          <w:rFonts w:hint="eastAsia" w:ascii="宋体" w:hAnsi="宋体" w:cs="宋体"/>
          <w:szCs w:val="21"/>
        </w:rPr>
        <w:t>⑽．节假日或夜间施工监理部未配合的，特别是在打桩、浇捣砼和苗木进场时没有及时旁站，总监未巡视和专监未从严把关。</w:t>
      </w:r>
    </w:p>
    <w:p>
      <w:pPr>
        <w:snapToGrid w:val="0"/>
        <w:spacing w:line="400" w:lineRule="exact"/>
        <w:ind w:firstLine="426" w:firstLineChars="200"/>
        <w:rPr>
          <w:rFonts w:hint="eastAsia" w:ascii="宋体" w:cs="宋体"/>
          <w:kern w:val="0"/>
          <w:szCs w:val="21"/>
          <w:lang w:val="zh-CN"/>
        </w:rPr>
      </w:pPr>
      <w:r>
        <w:rPr>
          <w:rFonts w:hint="eastAsia" w:ascii="宋体" w:cs="宋体"/>
          <w:kern w:val="0"/>
          <w:szCs w:val="21"/>
          <w:lang w:val="zh-CN"/>
        </w:rPr>
        <w:t>9.5质量保修期监理人员安排将由委托人根据交工时的工程实际情况确定。不论总监理工程师是否驻留，当因工作需要，委托人要求其返回工地时，监理人必须满足委托人的要求。</w:t>
      </w:r>
    </w:p>
    <w:p>
      <w:pPr>
        <w:snapToGrid w:val="0"/>
        <w:spacing w:line="400" w:lineRule="exact"/>
        <w:ind w:firstLine="426" w:firstLineChars="200"/>
        <w:rPr>
          <w:rFonts w:hint="eastAsia" w:ascii="宋体" w:cs="宋体"/>
          <w:kern w:val="0"/>
          <w:szCs w:val="21"/>
          <w:lang w:val="zh-CN"/>
        </w:rPr>
      </w:pPr>
      <w:r>
        <w:rPr>
          <w:rFonts w:hint="eastAsia" w:ascii="宋体" w:cs="宋体"/>
          <w:kern w:val="0"/>
          <w:szCs w:val="21"/>
          <w:lang w:val="zh-CN"/>
        </w:rPr>
        <w:t>9.6签订合同前，监理方提供合同价</w:t>
      </w:r>
      <w:r>
        <w:rPr>
          <w:rFonts w:hint="eastAsia" w:ascii="宋体" w:cs="宋体"/>
          <w:b/>
          <w:bCs/>
          <w:color w:val="FF0000"/>
          <w:kern w:val="0"/>
          <w:szCs w:val="21"/>
        </w:rPr>
        <w:t>2</w:t>
      </w:r>
      <w:r>
        <w:rPr>
          <w:rFonts w:hint="eastAsia" w:ascii="宋体" w:cs="宋体"/>
          <w:b/>
          <w:bCs/>
          <w:color w:val="FF0000"/>
          <w:kern w:val="0"/>
          <w:szCs w:val="21"/>
          <w:lang w:val="zh-CN"/>
        </w:rPr>
        <w:t>%</w:t>
      </w:r>
      <w:r>
        <w:rPr>
          <w:rFonts w:hint="eastAsia" w:ascii="宋体" w:cs="宋体"/>
          <w:kern w:val="0"/>
          <w:szCs w:val="21"/>
          <w:lang w:val="zh-CN"/>
        </w:rPr>
        <w:t>的履约担保，采用银行转账或银行保函的形式，若监理方在施工监理期间的相应履约保证金不足时，委托人将从当期的工程进度款中扣除填补足履约保证金。委托人在工程综合竣工验收合格后退还履约保证金（不计息）。</w:t>
      </w:r>
    </w:p>
    <w:p>
      <w:pPr>
        <w:snapToGrid w:val="0"/>
        <w:spacing w:line="400" w:lineRule="exact"/>
        <w:ind w:firstLine="426" w:firstLineChars="200"/>
        <w:rPr>
          <w:rFonts w:hint="eastAsia" w:ascii="宋体" w:cs="宋体"/>
          <w:kern w:val="0"/>
          <w:szCs w:val="21"/>
          <w:lang w:val="zh-CN"/>
        </w:rPr>
      </w:pPr>
      <w:r>
        <w:rPr>
          <w:rFonts w:hint="eastAsia" w:ascii="宋体" w:cs="宋体"/>
          <w:kern w:val="0"/>
          <w:szCs w:val="21"/>
          <w:lang w:val="zh-CN"/>
        </w:rPr>
        <w:t>9.7本项目可能发生夜间施工，监理人应无条件给予配合，费用已包含在监理费报价中。</w:t>
      </w:r>
    </w:p>
    <w:p>
      <w:pPr>
        <w:snapToGrid w:val="0"/>
        <w:spacing w:line="400" w:lineRule="exact"/>
        <w:ind w:firstLine="426" w:firstLineChars="200"/>
        <w:rPr>
          <w:rFonts w:hint="eastAsia" w:ascii="宋体" w:cs="宋体"/>
          <w:kern w:val="0"/>
          <w:szCs w:val="21"/>
          <w:lang w:val="zh-CN"/>
        </w:rPr>
      </w:pPr>
      <w:r>
        <w:rPr>
          <w:rFonts w:hint="eastAsia" w:ascii="宋体" w:cs="宋体"/>
          <w:kern w:val="0"/>
          <w:szCs w:val="21"/>
        </w:rPr>
        <w:t>9.8</w:t>
      </w:r>
      <w:r>
        <w:rPr>
          <w:rFonts w:hint="eastAsia" w:ascii="宋体" w:cs="宋体"/>
          <w:b/>
          <w:kern w:val="0"/>
          <w:szCs w:val="21"/>
          <w:lang w:val="zh-CN"/>
        </w:rPr>
        <w:t>监理单位和监理人员对于施工单位上报的工程量、设计变更和工程结算资料必须进行复核，保证资料的真实性和完整性，对于涉及的工程价款必须由监理单位的专业造价人员进行审核确认。</w:t>
      </w:r>
    </w:p>
    <w:p>
      <w:pPr>
        <w:snapToGrid w:val="0"/>
        <w:spacing w:line="400" w:lineRule="exact"/>
        <w:ind w:firstLine="426" w:firstLineChars="200"/>
        <w:rPr>
          <w:rFonts w:hint="eastAsia" w:ascii="宋体" w:cs="宋体"/>
          <w:kern w:val="0"/>
          <w:szCs w:val="21"/>
        </w:rPr>
      </w:pPr>
      <w:r>
        <w:rPr>
          <w:rFonts w:hint="eastAsia" w:ascii="宋体" w:cs="宋体"/>
          <w:kern w:val="0"/>
          <w:szCs w:val="21"/>
        </w:rPr>
        <w:t>9</w:t>
      </w:r>
      <w:r>
        <w:rPr>
          <w:rFonts w:hint="eastAsia" w:ascii="宋体" w:cs="宋体"/>
          <w:kern w:val="0"/>
          <w:szCs w:val="21"/>
          <w:lang w:val="zh-CN"/>
        </w:rPr>
        <w:t>.9</w:t>
      </w:r>
      <w:r>
        <w:rPr>
          <w:rFonts w:hint="eastAsia" w:ascii="宋体" w:cs="宋体"/>
          <w:kern w:val="0"/>
          <w:szCs w:val="21"/>
        </w:rPr>
        <w:t>本工程监理费已包含工程全部施工工期，直至该地块所有工程综合验收合格并移交所有竣工验收资料，且办理竣工结算审核完毕至保修期结束为止的所有监理服务收费。</w:t>
      </w:r>
    </w:p>
    <w:p>
      <w:pPr>
        <w:snapToGrid w:val="0"/>
        <w:spacing w:line="400" w:lineRule="exact"/>
        <w:ind w:firstLine="426" w:firstLineChars="200"/>
        <w:rPr>
          <w:rFonts w:hint="eastAsia"/>
        </w:rPr>
      </w:pPr>
      <w:r>
        <w:rPr>
          <w:rFonts w:hint="eastAsia" w:ascii="宋体" w:cs="宋体"/>
          <w:kern w:val="0"/>
          <w:szCs w:val="21"/>
        </w:rPr>
        <w:t>9.10</w:t>
      </w:r>
      <w:r>
        <w:t>工程质量</w:t>
      </w:r>
      <w:r>
        <w:rPr>
          <w:rFonts w:hint="eastAsia"/>
        </w:rPr>
        <w:t>缺陷责任</w:t>
      </w:r>
      <w:r>
        <w:t>期</w:t>
      </w:r>
      <w:r>
        <w:rPr>
          <w:rFonts w:hint="eastAsia"/>
        </w:rPr>
        <w:t>，</w:t>
      </w:r>
      <w:r>
        <w:t>以施工单位与委托人签订的工程保修协议为准</w:t>
      </w:r>
      <w:r>
        <w:rPr>
          <w:rFonts w:hint="eastAsia"/>
        </w:rPr>
        <w:t>。缺陷责任</w:t>
      </w:r>
      <w:r>
        <w:t>期间</w:t>
      </w:r>
      <w:r>
        <w:rPr>
          <w:rFonts w:hint="eastAsia"/>
        </w:rPr>
        <w:t>，</w:t>
      </w:r>
      <w:r>
        <w:t>监理人应安排监理人员对工程质量缺陷进行检查和记录。并对其原因进行调查分析确定责任归属，对施工单位进行修复的工程质量进行验收，合格后予以确认，对非施工单位原因造成的工程质量缺陷，监理人员应核实修复工程的费用和签署工程款凭证，并报委托人。</w:t>
      </w:r>
    </w:p>
    <w:p>
      <w:pPr>
        <w:tabs>
          <w:tab w:val="left" w:pos="0"/>
        </w:tabs>
        <w:spacing w:line="400" w:lineRule="exact"/>
        <w:ind w:left="-6" w:leftChars="-3" w:firstLine="319" w:firstLineChars="150"/>
        <w:rPr>
          <w:rFonts w:hint="eastAsia"/>
          <w:b/>
          <w:color w:val="FF0000"/>
        </w:rPr>
      </w:pPr>
      <w:r>
        <w:rPr>
          <w:rFonts w:hint="eastAsia"/>
          <w:b/>
        </w:rPr>
        <w:t>9.11</w:t>
      </w:r>
      <w:r>
        <w:rPr>
          <w:rFonts w:hint="eastAsia" w:ascii="宋体"/>
          <w:b/>
          <w:color w:val="0000FF"/>
          <w:szCs w:val="21"/>
        </w:rPr>
        <w:t>监理总服务期是以各个不同专业工程的工期叠加计算（重叠部分工期按一次工期计入</w:t>
      </w:r>
      <w:r>
        <w:rPr>
          <w:rFonts w:hint="eastAsia" w:ascii="宋体" w:hAnsi="宋体"/>
          <w:b/>
          <w:color w:val="0000FF"/>
          <w:szCs w:val="21"/>
        </w:rPr>
        <w:t>监理服务期</w:t>
      </w:r>
      <w:r>
        <w:rPr>
          <w:rFonts w:hint="eastAsia" w:ascii="宋体"/>
          <w:b/>
          <w:color w:val="0000FF"/>
          <w:szCs w:val="21"/>
        </w:rPr>
        <w:t>，不累计计算）。</w:t>
      </w:r>
    </w:p>
    <w:p>
      <w:pPr>
        <w:snapToGrid w:val="0"/>
        <w:spacing w:line="400" w:lineRule="exact"/>
        <w:ind w:firstLine="426" w:firstLineChars="200"/>
        <w:rPr>
          <w:rFonts w:hint="eastAsia"/>
        </w:rPr>
      </w:pPr>
      <w:r>
        <w:rPr>
          <w:rFonts w:hint="eastAsia"/>
        </w:rPr>
        <w:t>9.12以上条款奖罚不影响合同其他条款的履约和有关法律法规的执行。</w:t>
      </w:r>
    </w:p>
    <w:p>
      <w:pPr>
        <w:snapToGrid w:val="0"/>
        <w:spacing w:line="400" w:lineRule="exact"/>
        <w:ind w:firstLine="426" w:firstLineChars="200"/>
        <w:rPr>
          <w:rFonts w:hint="eastAsia"/>
        </w:rPr>
      </w:pPr>
    </w:p>
    <w:p>
      <w:pPr>
        <w:autoSpaceDE w:val="0"/>
        <w:autoSpaceDN w:val="0"/>
        <w:adjustRightInd w:val="0"/>
        <w:snapToGrid w:val="0"/>
        <w:spacing w:line="400" w:lineRule="exact"/>
        <w:jc w:val="center"/>
        <w:rPr>
          <w:rFonts w:hint="eastAsia" w:ascii="宋体" w:cs="宋体"/>
          <w:b/>
          <w:kern w:val="0"/>
          <w:szCs w:val="21"/>
          <w:lang w:val="zh-CN"/>
        </w:rPr>
      </w:pPr>
      <w:r>
        <w:rPr>
          <w:rFonts w:hint="eastAsia" w:ascii="宋体" w:cs="宋体"/>
          <w:b/>
          <w:kern w:val="0"/>
          <w:szCs w:val="21"/>
          <w:lang w:val="zh-CN"/>
        </w:rPr>
        <w:t>附录A   相关服务的范围和内容</w:t>
      </w:r>
    </w:p>
    <w:p>
      <w:pPr>
        <w:autoSpaceDE w:val="0"/>
        <w:autoSpaceDN w:val="0"/>
        <w:adjustRightInd w:val="0"/>
        <w:snapToGrid w:val="0"/>
        <w:spacing w:line="400" w:lineRule="exact"/>
        <w:jc w:val="left"/>
        <w:rPr>
          <w:rFonts w:hint="eastAsia" w:ascii="宋体" w:cs="宋体"/>
          <w:kern w:val="0"/>
          <w:szCs w:val="21"/>
          <w:u w:val="single"/>
          <w:lang w:val="zh-CN"/>
        </w:rPr>
      </w:pPr>
      <w:r>
        <w:rPr>
          <w:rFonts w:hint="eastAsia" w:ascii="宋体" w:cs="宋体"/>
          <w:kern w:val="0"/>
          <w:szCs w:val="21"/>
          <w:lang w:val="zh-CN"/>
        </w:rPr>
        <w:t>A-l勘察阶段:</w:t>
      </w:r>
      <w:r>
        <w:rPr>
          <w:rFonts w:hint="eastAsia" w:ascii="宋体" w:cs="宋体"/>
          <w:kern w:val="0"/>
          <w:szCs w:val="21"/>
          <w:u w:val="single"/>
          <w:lang w:val="zh-CN"/>
        </w:rPr>
        <w:t xml:space="preserve">                                                        </w:t>
      </w:r>
    </w:p>
    <w:p>
      <w:pPr>
        <w:autoSpaceDE w:val="0"/>
        <w:autoSpaceDN w:val="0"/>
        <w:adjustRightInd w:val="0"/>
        <w:snapToGrid w:val="0"/>
        <w:spacing w:line="400" w:lineRule="exact"/>
        <w:jc w:val="left"/>
        <w:rPr>
          <w:rFonts w:hint="eastAsia" w:ascii="宋体" w:cs="宋体"/>
          <w:kern w:val="0"/>
          <w:szCs w:val="21"/>
          <w:u w:val="single"/>
          <w:lang w:val="zh-CN"/>
        </w:rPr>
      </w:pPr>
      <w:r>
        <w:rPr>
          <w:rFonts w:hint="eastAsia" w:ascii="宋体" w:cs="宋体"/>
          <w:kern w:val="0"/>
          <w:szCs w:val="21"/>
          <w:lang w:val="zh-CN"/>
        </w:rPr>
        <w:t>A-2设计阶段:</w:t>
      </w:r>
      <w:r>
        <w:rPr>
          <w:rFonts w:hint="eastAsia" w:ascii="宋体" w:cs="宋体"/>
          <w:kern w:val="0"/>
          <w:szCs w:val="21"/>
          <w:u w:val="single"/>
          <w:lang w:val="zh-CN"/>
        </w:rPr>
        <w:t xml:space="preserve">                                                        </w:t>
      </w:r>
    </w:p>
    <w:p>
      <w:pPr>
        <w:autoSpaceDE w:val="0"/>
        <w:autoSpaceDN w:val="0"/>
        <w:adjustRightInd w:val="0"/>
        <w:snapToGrid w:val="0"/>
        <w:spacing w:line="400" w:lineRule="exact"/>
        <w:jc w:val="left"/>
        <w:rPr>
          <w:rFonts w:hint="eastAsia" w:ascii="宋体" w:cs="宋体"/>
          <w:kern w:val="0"/>
          <w:szCs w:val="21"/>
          <w:u w:val="single"/>
          <w:lang w:val="zh-CN"/>
        </w:rPr>
      </w:pPr>
      <w:r>
        <w:rPr>
          <w:rFonts w:hint="eastAsia" w:ascii="宋体" w:cs="宋体"/>
          <w:kern w:val="0"/>
          <w:szCs w:val="21"/>
          <w:lang w:val="zh-CN"/>
        </w:rPr>
        <w:t>A-3招标阶段:</w:t>
      </w:r>
      <w:r>
        <w:rPr>
          <w:rFonts w:hint="eastAsia" w:ascii="宋体" w:cs="宋体"/>
          <w:kern w:val="0"/>
          <w:szCs w:val="21"/>
          <w:u w:val="single"/>
          <w:lang w:val="zh-CN"/>
        </w:rPr>
        <w:t xml:space="preserve">                                                        </w:t>
      </w:r>
    </w:p>
    <w:p>
      <w:pPr>
        <w:autoSpaceDE w:val="0"/>
        <w:autoSpaceDN w:val="0"/>
        <w:adjustRightInd w:val="0"/>
        <w:snapToGrid w:val="0"/>
        <w:spacing w:line="400" w:lineRule="exact"/>
        <w:jc w:val="left"/>
        <w:rPr>
          <w:rFonts w:hint="eastAsia" w:ascii="宋体" w:cs="宋体"/>
          <w:kern w:val="0"/>
          <w:szCs w:val="21"/>
          <w:u w:val="single"/>
          <w:lang w:val="zh-CN"/>
        </w:rPr>
      </w:pPr>
      <w:r>
        <w:rPr>
          <w:rFonts w:hint="eastAsia" w:ascii="宋体" w:cs="宋体"/>
          <w:kern w:val="0"/>
          <w:szCs w:val="21"/>
          <w:lang w:val="zh-CN"/>
        </w:rPr>
        <w:t>A-4保修阶段:</w:t>
      </w:r>
      <w:r>
        <w:rPr>
          <w:rFonts w:hint="eastAsia" w:ascii="宋体" w:cs="宋体"/>
          <w:kern w:val="0"/>
          <w:szCs w:val="21"/>
          <w:u w:val="single"/>
          <w:lang w:val="zh-CN"/>
        </w:rPr>
        <w:t xml:space="preserve">                                                        </w:t>
      </w:r>
    </w:p>
    <w:p>
      <w:pPr>
        <w:spacing w:line="400" w:lineRule="exact"/>
        <w:rPr>
          <w:rFonts w:hint="eastAsia" w:ascii="宋体" w:cs="宋体"/>
          <w:kern w:val="0"/>
          <w:szCs w:val="21"/>
          <w:u w:val="single"/>
          <w:lang w:val="zh-CN"/>
        </w:rPr>
      </w:pPr>
      <w:r>
        <w:rPr>
          <w:rFonts w:hint="eastAsia" w:ascii="宋体" w:cs="宋体"/>
          <w:kern w:val="0"/>
          <w:szCs w:val="21"/>
          <w:lang w:val="zh-CN"/>
        </w:rPr>
        <w:t>A-5其他(专业技术咨询、外部协调工作等):</w:t>
      </w:r>
      <w:r>
        <w:rPr>
          <w:rFonts w:hint="eastAsia" w:ascii="宋体" w:cs="宋体"/>
          <w:kern w:val="0"/>
          <w:szCs w:val="21"/>
          <w:u w:val="single"/>
          <w:lang w:val="zh-CN"/>
        </w:rPr>
        <w:t xml:space="preserve">                      </w:t>
      </w:r>
    </w:p>
    <w:p>
      <w:pPr>
        <w:pStyle w:val="5"/>
        <w:spacing w:before="120" w:after="120" w:line="400" w:lineRule="exact"/>
        <w:jc w:val="center"/>
        <w:rPr>
          <w:rFonts w:hint="eastAsia" w:ascii="黑体" w:hAnsi="黑体" w:eastAsia="黑体"/>
          <w:b w:val="0"/>
          <w:bCs w:val="0"/>
          <w:sz w:val="32"/>
        </w:rPr>
      </w:pPr>
      <w:bookmarkStart w:id="224" w:name="_Toc152042554"/>
      <w:bookmarkStart w:id="225" w:name="_Toc144974834"/>
      <w:bookmarkStart w:id="226" w:name="_Toc152045772"/>
      <w:bookmarkStart w:id="227" w:name="_Toc361338297"/>
    </w:p>
    <w:p>
      <w:pPr>
        <w:rPr>
          <w:rFonts w:hint="eastAsia" w:ascii="黑体" w:hAnsi="黑体" w:eastAsia="黑体"/>
          <w:b/>
          <w:bCs/>
          <w:sz w:val="32"/>
        </w:rPr>
      </w:pPr>
    </w:p>
    <w:p>
      <w:pPr>
        <w:pStyle w:val="2"/>
        <w:rPr>
          <w:rFonts w:hint="eastAsia" w:ascii="黑体" w:hAnsi="黑体" w:eastAsia="黑体"/>
          <w:b/>
          <w:bCs/>
          <w:sz w:val="32"/>
        </w:rPr>
      </w:pPr>
    </w:p>
    <w:p>
      <w:pPr>
        <w:pStyle w:val="4"/>
        <w:rPr>
          <w:rFonts w:hint="eastAsia" w:ascii="黑体" w:hAnsi="黑体" w:eastAsia="黑体"/>
          <w:b/>
          <w:bCs/>
          <w:sz w:val="32"/>
        </w:rPr>
      </w:pPr>
    </w:p>
    <w:p>
      <w:pPr>
        <w:rPr>
          <w:rFonts w:hint="eastAsia" w:ascii="黑体" w:hAnsi="黑体" w:eastAsia="黑体"/>
          <w:b/>
          <w:bCs/>
          <w:sz w:val="32"/>
        </w:rPr>
      </w:pPr>
    </w:p>
    <w:p>
      <w:pPr>
        <w:pStyle w:val="2"/>
        <w:rPr>
          <w:rFonts w:hint="eastAsia" w:ascii="黑体" w:hAnsi="黑体" w:eastAsia="黑体"/>
          <w:b/>
          <w:bCs/>
          <w:sz w:val="32"/>
        </w:rPr>
      </w:pPr>
    </w:p>
    <w:p>
      <w:pPr>
        <w:pStyle w:val="4"/>
        <w:rPr>
          <w:rFonts w:hint="eastAsia"/>
        </w:rPr>
      </w:pPr>
    </w:p>
    <w:p>
      <w:pPr>
        <w:pStyle w:val="5"/>
        <w:spacing w:before="120" w:after="120" w:line="400" w:lineRule="exact"/>
        <w:jc w:val="center"/>
        <w:rPr>
          <w:rFonts w:hint="eastAsia" w:ascii="黑体" w:hAnsi="黑体" w:eastAsia="黑体"/>
          <w:b w:val="0"/>
          <w:bCs w:val="0"/>
          <w:sz w:val="32"/>
        </w:rPr>
      </w:pPr>
      <w:r>
        <w:rPr>
          <w:rFonts w:hint="eastAsia" w:ascii="黑体" w:hAnsi="黑体" w:eastAsia="黑体"/>
          <w:b w:val="0"/>
          <w:bCs w:val="0"/>
          <w:sz w:val="32"/>
        </w:rPr>
        <w:t xml:space="preserve">第五章  </w:t>
      </w:r>
      <w:bookmarkEnd w:id="224"/>
      <w:bookmarkEnd w:id="225"/>
      <w:bookmarkEnd w:id="226"/>
      <w:r>
        <w:rPr>
          <w:rFonts w:hint="eastAsia" w:ascii="黑体" w:hAnsi="黑体" w:eastAsia="黑体"/>
          <w:b w:val="0"/>
          <w:bCs w:val="0"/>
          <w:sz w:val="32"/>
        </w:rPr>
        <w:t>工程监理服务规范和设计文件</w:t>
      </w:r>
      <w:bookmarkEnd w:id="227"/>
    </w:p>
    <w:p>
      <w:pPr>
        <w:spacing w:line="400" w:lineRule="exact"/>
      </w:pPr>
    </w:p>
    <w:p>
      <w:pPr>
        <w:tabs>
          <w:tab w:val="left" w:pos="5660"/>
        </w:tabs>
        <w:adjustRightInd w:val="0"/>
        <w:snapToGrid w:val="0"/>
        <w:spacing w:line="600" w:lineRule="exact"/>
        <w:rPr>
          <w:rFonts w:hint="eastAsia" w:ascii="宋体" w:hAnsi="宋体" w:cs="宋体"/>
          <w:szCs w:val="21"/>
          <w:lang w:val="is-IS"/>
        </w:rPr>
      </w:pPr>
      <w:bookmarkStart w:id="228" w:name="_Toc144974837"/>
      <w:bookmarkStart w:id="229" w:name="_Toc152045775"/>
      <w:bookmarkStart w:id="230" w:name="_Toc152042557"/>
      <w:bookmarkStart w:id="231" w:name="_Toc361338301"/>
      <w:r>
        <w:rPr>
          <w:rFonts w:hint="eastAsia" w:ascii="宋体" w:hAnsi="宋体" w:cs="宋体"/>
          <w:szCs w:val="21"/>
          <w:lang w:val="is-IS"/>
        </w:rPr>
        <w:t>1、法律、法规和规范</w:t>
      </w:r>
    </w:p>
    <w:p>
      <w:pPr>
        <w:tabs>
          <w:tab w:val="left" w:pos="5660"/>
        </w:tabs>
        <w:adjustRightInd w:val="0"/>
        <w:snapToGrid w:val="0"/>
        <w:spacing w:line="600" w:lineRule="exact"/>
        <w:ind w:firstLine="426" w:firstLineChars="200"/>
        <w:rPr>
          <w:rFonts w:hint="eastAsia" w:ascii="宋体" w:hAnsi="宋体" w:cs="宋体"/>
          <w:szCs w:val="21"/>
          <w:lang w:val="is-IS"/>
        </w:rPr>
      </w:pPr>
      <w:r>
        <w:rPr>
          <w:rFonts w:hint="eastAsia" w:ascii="宋体" w:hAnsi="宋体" w:cs="宋体"/>
          <w:szCs w:val="21"/>
          <w:lang w:val="is-IS"/>
        </w:rPr>
        <w:t>《中华人民共和国建筑法》、《建设工程质理管理条例》、《建设工程安全生产管理条例》以及相关法律、法规。</w:t>
      </w:r>
    </w:p>
    <w:p>
      <w:pPr>
        <w:tabs>
          <w:tab w:val="left" w:pos="5660"/>
        </w:tabs>
        <w:adjustRightInd w:val="0"/>
        <w:snapToGrid w:val="0"/>
        <w:spacing w:line="600" w:lineRule="exact"/>
        <w:rPr>
          <w:rFonts w:hint="eastAsia" w:ascii="宋体" w:hAnsi="宋体" w:cs="宋体"/>
          <w:szCs w:val="21"/>
          <w:lang w:val="is-IS"/>
        </w:rPr>
      </w:pPr>
      <w:r>
        <w:rPr>
          <w:rFonts w:hint="eastAsia" w:ascii="宋体" w:hAnsi="宋体" w:cs="宋体"/>
          <w:szCs w:val="21"/>
          <w:lang w:val="is-IS"/>
        </w:rPr>
        <w:t>2、建设部和交通部颁发的强制性标准。</w:t>
      </w:r>
    </w:p>
    <w:p>
      <w:pPr>
        <w:tabs>
          <w:tab w:val="left" w:pos="5660"/>
        </w:tabs>
        <w:adjustRightInd w:val="0"/>
        <w:snapToGrid w:val="0"/>
        <w:spacing w:line="600" w:lineRule="exact"/>
        <w:rPr>
          <w:rFonts w:hint="eastAsia" w:ascii="宋体" w:hAnsi="宋体" w:cs="宋体"/>
          <w:szCs w:val="21"/>
          <w:lang w:val="is-IS"/>
        </w:rPr>
      </w:pPr>
      <w:r>
        <w:rPr>
          <w:rFonts w:hint="eastAsia" w:ascii="宋体" w:hAnsi="宋体" w:cs="宋体"/>
          <w:szCs w:val="21"/>
          <w:lang w:val="is-IS"/>
        </w:rPr>
        <w:t>3、建设工程监理规范</w:t>
      </w:r>
    </w:p>
    <w:p>
      <w:pPr>
        <w:tabs>
          <w:tab w:val="left" w:pos="5660"/>
        </w:tabs>
        <w:adjustRightInd w:val="0"/>
        <w:snapToGrid w:val="0"/>
        <w:spacing w:line="600" w:lineRule="exact"/>
        <w:rPr>
          <w:rFonts w:hint="eastAsia" w:ascii="宋体" w:hAnsi="宋体" w:cs="宋体"/>
          <w:szCs w:val="21"/>
          <w:lang w:val="is-IS"/>
        </w:rPr>
      </w:pPr>
      <w:r>
        <w:rPr>
          <w:rFonts w:hint="eastAsia" w:ascii="宋体" w:hAnsi="宋体" w:cs="宋体"/>
          <w:szCs w:val="21"/>
          <w:lang w:val="is-IS"/>
        </w:rPr>
        <w:t>4、施工图设计文件所指的技术规范、标准、规程、图集等。</w:t>
      </w:r>
    </w:p>
    <w:p>
      <w:pPr>
        <w:tabs>
          <w:tab w:val="left" w:pos="5660"/>
        </w:tabs>
        <w:adjustRightInd w:val="0"/>
        <w:snapToGrid w:val="0"/>
        <w:spacing w:line="600" w:lineRule="exact"/>
        <w:rPr>
          <w:rFonts w:hint="eastAsia" w:ascii="宋体" w:hAnsi="宋体" w:cs="宋体"/>
          <w:szCs w:val="21"/>
          <w:lang w:val="is-IS"/>
        </w:rPr>
      </w:pPr>
      <w:r>
        <w:rPr>
          <w:rFonts w:hint="eastAsia" w:ascii="宋体" w:hAnsi="宋体" w:cs="宋体"/>
          <w:szCs w:val="21"/>
          <w:lang w:val="is-IS"/>
        </w:rPr>
        <w:t>5、在合同履行期间，如果工程适用的技术标准或规范有修改或重新颁布，应遵照执行。</w:t>
      </w:r>
      <w:bookmarkEnd w:id="228"/>
      <w:bookmarkEnd w:id="229"/>
      <w:bookmarkEnd w:id="230"/>
      <w:bookmarkEnd w:id="231"/>
      <w:bookmarkStart w:id="232" w:name="_Toc144974851"/>
      <w:bookmarkStart w:id="233" w:name="_Toc152045782"/>
      <w:bookmarkStart w:id="234" w:name="_Toc152042571"/>
      <w:bookmarkStart w:id="235" w:name="_Toc361338302"/>
    </w:p>
    <w:p>
      <w:pPr>
        <w:tabs>
          <w:tab w:val="left" w:pos="5660"/>
        </w:tabs>
        <w:adjustRightInd w:val="0"/>
        <w:snapToGrid w:val="0"/>
        <w:spacing w:line="600" w:lineRule="exact"/>
        <w:rPr>
          <w:rFonts w:hint="eastAsia"/>
        </w:rPr>
      </w:pPr>
      <w:r>
        <w:rPr>
          <w:rFonts w:hint="eastAsia" w:ascii="宋体" w:hAnsi="宋体" w:cs="宋体"/>
          <w:szCs w:val="21"/>
          <w:lang w:val="is-IS"/>
        </w:rPr>
        <w:br w:type="page"/>
      </w:r>
    </w:p>
    <w:bookmarkEnd w:id="232"/>
    <w:bookmarkEnd w:id="233"/>
    <w:bookmarkEnd w:id="234"/>
    <w:p>
      <w:pPr>
        <w:numPr>
          <w:ilvl w:val="0"/>
          <w:numId w:val="11"/>
        </w:numPr>
        <w:tabs>
          <w:tab w:val="left" w:pos="5660"/>
        </w:tabs>
        <w:adjustRightInd w:val="0"/>
        <w:snapToGrid w:val="0"/>
        <w:spacing w:line="600" w:lineRule="exact"/>
        <w:jc w:val="center"/>
        <w:rPr>
          <w:rFonts w:hint="eastAsia" w:ascii="黑体" w:hAnsi="黑体" w:eastAsia="黑体"/>
          <w:kern w:val="44"/>
          <w:sz w:val="32"/>
          <w:szCs w:val="44"/>
        </w:rPr>
      </w:pPr>
      <w:bookmarkStart w:id="236" w:name="_Toc152045786"/>
      <w:bookmarkStart w:id="237" w:name="_Toc144974855"/>
      <w:bookmarkStart w:id="238" w:name="_Toc152042575"/>
      <w:r>
        <w:rPr>
          <w:rFonts w:hint="eastAsia" w:ascii="黑体" w:hAnsi="黑体" w:eastAsia="黑体"/>
          <w:kern w:val="44"/>
          <w:sz w:val="32"/>
          <w:szCs w:val="44"/>
        </w:rPr>
        <w:t>投标文件格式</w:t>
      </w:r>
      <w:bookmarkEnd w:id="235"/>
      <w:bookmarkEnd w:id="236"/>
      <w:bookmarkEnd w:id="237"/>
      <w:bookmarkEnd w:id="238"/>
    </w:p>
    <w:p>
      <w:pPr>
        <w:jc w:val="center"/>
        <w:rPr>
          <w:rFonts w:ascii="宋体" w:hAnsi="宋体"/>
          <w:color w:val="000000"/>
          <w:sz w:val="48"/>
          <w:szCs w:val="48"/>
        </w:rPr>
      </w:pPr>
    </w:p>
    <w:p>
      <w:pPr>
        <w:jc w:val="center"/>
        <w:rPr>
          <w:rFonts w:hint="eastAsia" w:ascii="宋体" w:hAnsi="宋体" w:eastAsia="宋体"/>
          <w:b/>
          <w:sz w:val="28"/>
          <w:szCs w:val="28"/>
          <w:lang w:eastAsia="zh-CN"/>
        </w:rPr>
      </w:pPr>
      <w:r>
        <w:rPr>
          <w:rFonts w:hint="eastAsia" w:ascii="宋体" w:hAnsi="宋体"/>
          <w:color w:val="000000"/>
          <w:sz w:val="44"/>
          <w:szCs w:val="44"/>
          <w:lang w:eastAsia="zh-CN"/>
        </w:rPr>
        <w:t xml:space="preserve"> 县城新区南扩区渡龙安置小区建设工程项目监理</w:t>
      </w:r>
    </w:p>
    <w:p>
      <w:pPr>
        <w:spacing w:before="156" w:beforeLines="50" w:after="156" w:afterLines="50" w:line="360" w:lineRule="auto"/>
        <w:jc w:val="center"/>
        <w:rPr>
          <w:rFonts w:hint="eastAsia" w:ascii="宋体" w:hAnsi="宋体"/>
          <w:b/>
          <w:sz w:val="72"/>
          <w:szCs w:val="72"/>
        </w:rPr>
      </w:pPr>
      <w:r>
        <w:rPr>
          <w:rFonts w:hint="eastAsia" w:ascii="宋体" w:hAnsi="宋体"/>
          <w:b/>
          <w:sz w:val="72"/>
          <w:szCs w:val="72"/>
        </w:rPr>
        <w:t>资</w:t>
      </w:r>
    </w:p>
    <w:p>
      <w:pPr>
        <w:spacing w:before="156" w:beforeLines="50" w:after="156" w:afterLines="50" w:line="360" w:lineRule="auto"/>
        <w:jc w:val="center"/>
        <w:rPr>
          <w:rFonts w:hint="eastAsia" w:ascii="宋体" w:hAnsi="宋体"/>
          <w:b/>
          <w:sz w:val="72"/>
          <w:szCs w:val="72"/>
        </w:rPr>
      </w:pPr>
      <w:r>
        <w:rPr>
          <w:rFonts w:hint="eastAsia" w:ascii="宋体" w:hAnsi="宋体"/>
          <w:b/>
          <w:sz w:val="72"/>
          <w:szCs w:val="72"/>
        </w:rPr>
        <w:t>格</w:t>
      </w:r>
    </w:p>
    <w:p>
      <w:pPr>
        <w:spacing w:before="156" w:beforeLines="50" w:after="156" w:afterLines="50" w:line="360" w:lineRule="auto"/>
        <w:jc w:val="center"/>
        <w:rPr>
          <w:rFonts w:hint="eastAsia" w:ascii="宋体" w:hAnsi="宋体"/>
          <w:b/>
          <w:sz w:val="72"/>
          <w:szCs w:val="72"/>
        </w:rPr>
      </w:pPr>
      <w:r>
        <w:rPr>
          <w:rFonts w:hint="eastAsia" w:ascii="宋体" w:hAnsi="宋体"/>
          <w:b/>
          <w:sz w:val="72"/>
          <w:szCs w:val="72"/>
        </w:rPr>
        <w:t>审</w:t>
      </w:r>
    </w:p>
    <w:p>
      <w:pPr>
        <w:spacing w:before="156" w:beforeLines="50" w:after="156" w:afterLines="50" w:line="360" w:lineRule="auto"/>
        <w:jc w:val="center"/>
        <w:rPr>
          <w:rFonts w:hint="eastAsia" w:ascii="宋体" w:hAnsi="宋体"/>
          <w:b/>
          <w:sz w:val="72"/>
          <w:szCs w:val="72"/>
        </w:rPr>
      </w:pPr>
      <w:r>
        <w:rPr>
          <w:rFonts w:hint="eastAsia" w:ascii="宋体" w:hAnsi="宋体"/>
          <w:b/>
          <w:sz w:val="72"/>
          <w:szCs w:val="72"/>
        </w:rPr>
        <w:t>查</w:t>
      </w:r>
    </w:p>
    <w:p>
      <w:pPr>
        <w:spacing w:before="156" w:beforeLines="50" w:after="156" w:afterLines="50" w:line="360" w:lineRule="auto"/>
        <w:jc w:val="center"/>
        <w:rPr>
          <w:rFonts w:hint="eastAsia" w:ascii="宋体" w:hAnsi="宋体"/>
          <w:b/>
          <w:sz w:val="72"/>
          <w:szCs w:val="72"/>
        </w:rPr>
      </w:pPr>
      <w:r>
        <w:rPr>
          <w:rFonts w:hint="eastAsia" w:ascii="宋体" w:hAnsi="宋体"/>
          <w:b/>
          <w:sz w:val="72"/>
          <w:szCs w:val="72"/>
        </w:rPr>
        <w:t>文</w:t>
      </w:r>
    </w:p>
    <w:p>
      <w:pPr>
        <w:spacing w:before="156" w:beforeLines="50" w:after="156" w:afterLines="50" w:line="360" w:lineRule="auto"/>
        <w:jc w:val="center"/>
        <w:rPr>
          <w:rFonts w:ascii="宋体" w:hAnsi="宋体"/>
          <w:b/>
          <w:sz w:val="72"/>
          <w:szCs w:val="72"/>
          <w14:shadow w14:blurRad="50800" w14:dist="38100" w14:dir="2700000" w14:sx="100000" w14:sy="100000" w14:kx="0" w14:ky="0" w14:algn="tl">
            <w14:srgbClr w14:val="000000">
              <w14:alpha w14:val="60000"/>
            </w14:srgbClr>
          </w14:shadow>
        </w:rPr>
      </w:pPr>
      <w:r>
        <w:rPr>
          <w:rFonts w:hint="eastAsia" w:ascii="宋体" w:hAnsi="宋体"/>
          <w:b/>
          <w:sz w:val="72"/>
          <w:szCs w:val="72"/>
        </w:rPr>
        <w:t>件</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spacing w:before="156" w:beforeLines="50" w:after="156" w:afterLines="50" w:line="360" w:lineRule="auto"/>
        <w:ind w:firstLine="1348" w:firstLineChars="445"/>
        <w:rPr>
          <w:rFonts w:ascii="宋体" w:hAnsi="宋体"/>
          <w:sz w:val="30"/>
          <w:szCs w:val="30"/>
          <w:u w:val="single"/>
        </w:rPr>
      </w:pPr>
      <w:r>
        <w:rPr>
          <w:rFonts w:hint="eastAsia" w:ascii="宋体" w:hAnsi="宋体"/>
          <w:sz w:val="30"/>
          <w:szCs w:val="30"/>
        </w:rPr>
        <w:t>投标单位：</w:t>
      </w:r>
      <w:r>
        <w:rPr>
          <w:rFonts w:hint="eastAsia" w:ascii="宋体" w:hAnsi="宋体"/>
          <w:sz w:val="30"/>
          <w:szCs w:val="30"/>
          <w:u w:val="single"/>
        </w:rPr>
        <w:t xml:space="preserve">                          （盖章）</w:t>
      </w:r>
    </w:p>
    <w:p>
      <w:pPr>
        <w:spacing w:before="156" w:beforeLines="50" w:after="156" w:afterLines="50" w:line="360" w:lineRule="auto"/>
        <w:ind w:firstLine="1392" w:firstLineChars="593"/>
        <w:rPr>
          <w:rFonts w:hint="eastAsia" w:ascii="宋体" w:hAnsi="宋体"/>
          <w:sz w:val="30"/>
          <w:szCs w:val="30"/>
        </w:rPr>
      </w:pPr>
      <w:r>
        <w:rPr>
          <w:rFonts w:hint="eastAsia" w:ascii="宋体" w:hAnsi="宋体"/>
          <w:spacing w:val="-34"/>
          <w:sz w:val="30"/>
          <w:szCs w:val="30"/>
        </w:rPr>
        <w:t>法定代表人</w:t>
      </w:r>
      <w:r>
        <w:rPr>
          <w:rFonts w:hint="eastAsia" w:ascii="宋体" w:hAnsi="宋体"/>
          <w:sz w:val="30"/>
          <w:szCs w:val="30"/>
        </w:rPr>
        <w:t>：</w:t>
      </w:r>
      <w:r>
        <w:rPr>
          <w:rFonts w:hint="eastAsia" w:ascii="宋体" w:hAnsi="宋体"/>
          <w:sz w:val="30"/>
          <w:szCs w:val="30"/>
          <w:u w:val="single"/>
        </w:rPr>
        <w:t xml:space="preserve">                          （盖章）</w:t>
      </w:r>
    </w:p>
    <w:p>
      <w:pPr>
        <w:snapToGrid w:val="0"/>
        <w:spacing w:line="420" w:lineRule="exact"/>
        <w:ind w:firstLine="1363" w:firstLineChars="450"/>
        <w:jc w:val="left"/>
        <w:rPr>
          <w:rFonts w:hint="eastAsia" w:ascii="宋体" w:hAnsi="宋体"/>
          <w:sz w:val="30"/>
          <w:szCs w:val="30"/>
          <w:u w:val="single"/>
        </w:rPr>
      </w:pPr>
      <w:r>
        <w:rPr>
          <w:rFonts w:hint="eastAsia" w:ascii="宋体" w:hAnsi="宋体"/>
          <w:sz w:val="30"/>
          <w:szCs w:val="30"/>
        </w:rPr>
        <w:t>日    期：</w:t>
      </w:r>
      <w:r>
        <w:rPr>
          <w:rFonts w:hint="eastAsia" w:ascii="宋体" w:hAnsi="宋体"/>
          <w:sz w:val="30"/>
          <w:szCs w:val="30"/>
          <w:u w:val="single"/>
        </w:rPr>
        <w:t xml:space="preserve">                              </w:t>
      </w:r>
    </w:p>
    <w:p>
      <w:pPr>
        <w:snapToGrid w:val="0"/>
        <w:spacing w:line="420" w:lineRule="exact"/>
        <w:ind w:firstLine="1012" w:firstLineChars="450"/>
        <w:jc w:val="left"/>
        <w:rPr>
          <w:rFonts w:hint="eastAsia"/>
          <w:spacing w:val="6"/>
          <w:szCs w:val="21"/>
        </w:rPr>
      </w:pPr>
    </w:p>
    <w:p>
      <w:pPr>
        <w:rPr>
          <w:rFonts w:hint="eastAsia"/>
          <w:spacing w:val="6"/>
          <w:szCs w:val="21"/>
        </w:rPr>
      </w:pPr>
    </w:p>
    <w:p>
      <w:pPr>
        <w:jc w:val="center"/>
        <w:rPr>
          <w:rFonts w:hint="eastAsia" w:ascii="宋体" w:hAnsi="宋体"/>
          <w:b/>
          <w:bCs/>
          <w:sz w:val="44"/>
          <w:szCs w:val="44"/>
        </w:rPr>
      </w:pPr>
      <w:r>
        <w:rPr>
          <w:rFonts w:hint="eastAsia" w:ascii="宋体" w:hAnsi="宋体"/>
          <w:b/>
          <w:bCs/>
          <w:sz w:val="44"/>
          <w:szCs w:val="44"/>
        </w:rPr>
        <w:t>投标企业情况一览表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3465"/>
        <w:gridCol w:w="1459"/>
        <w:gridCol w:w="2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top w:val="single" w:color="auto" w:sz="12" w:space="0"/>
              <w:left w:val="single" w:color="auto" w:sz="12" w:space="0"/>
            </w:tcBorders>
            <w:noWrap w:val="0"/>
            <w:vAlign w:val="center"/>
          </w:tcPr>
          <w:p>
            <w:pPr>
              <w:jc w:val="center"/>
              <w:rPr>
                <w:rFonts w:hint="eastAsia" w:ascii="宋体" w:hAnsi="宋体"/>
              </w:rPr>
            </w:pPr>
            <w:r>
              <w:rPr>
                <w:rFonts w:hint="eastAsia" w:ascii="宋体" w:hAnsi="宋体"/>
              </w:rPr>
              <w:t>投标单位名称</w:t>
            </w:r>
          </w:p>
        </w:tc>
        <w:tc>
          <w:tcPr>
            <w:tcW w:w="7842" w:type="dxa"/>
            <w:gridSpan w:val="3"/>
            <w:tcBorders>
              <w:top w:val="single" w:color="auto" w:sz="12" w:space="0"/>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单位地址</w:t>
            </w:r>
          </w:p>
        </w:tc>
        <w:tc>
          <w:tcPr>
            <w:tcW w:w="3465" w:type="dxa"/>
            <w:noWrap w:val="0"/>
            <w:vAlign w:val="center"/>
          </w:tcPr>
          <w:p>
            <w:pPr>
              <w:jc w:val="center"/>
              <w:rPr>
                <w:rFonts w:hint="eastAsia" w:ascii="宋体" w:hAnsi="宋体"/>
              </w:rPr>
            </w:pPr>
          </w:p>
        </w:tc>
        <w:tc>
          <w:tcPr>
            <w:tcW w:w="1459" w:type="dxa"/>
            <w:noWrap w:val="0"/>
            <w:vAlign w:val="center"/>
          </w:tcPr>
          <w:p>
            <w:pPr>
              <w:jc w:val="center"/>
              <w:rPr>
                <w:rFonts w:hint="eastAsia" w:ascii="宋体" w:hAnsi="宋体"/>
              </w:rPr>
            </w:pPr>
            <w:r>
              <w:rPr>
                <w:rFonts w:hint="eastAsia" w:ascii="宋体" w:hAnsi="宋体"/>
              </w:rPr>
              <w:t>电话</w:t>
            </w:r>
          </w:p>
        </w:tc>
        <w:tc>
          <w:tcPr>
            <w:tcW w:w="2918" w:type="dxa"/>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企业资质等级</w:t>
            </w:r>
          </w:p>
        </w:tc>
        <w:tc>
          <w:tcPr>
            <w:tcW w:w="3465" w:type="dxa"/>
            <w:noWrap w:val="0"/>
            <w:vAlign w:val="center"/>
          </w:tcPr>
          <w:p>
            <w:pPr>
              <w:jc w:val="center"/>
              <w:rPr>
                <w:rFonts w:hint="eastAsia" w:ascii="宋体" w:hAnsi="宋体"/>
              </w:rPr>
            </w:pPr>
          </w:p>
        </w:tc>
        <w:tc>
          <w:tcPr>
            <w:tcW w:w="1459" w:type="dxa"/>
            <w:noWrap w:val="0"/>
            <w:vAlign w:val="center"/>
          </w:tcPr>
          <w:p>
            <w:pPr>
              <w:jc w:val="center"/>
              <w:rPr>
                <w:rFonts w:hint="eastAsia" w:ascii="宋体" w:hAnsi="宋体"/>
              </w:rPr>
            </w:pPr>
            <w:r>
              <w:rPr>
                <w:rFonts w:hint="eastAsia" w:ascii="宋体" w:hAnsi="宋体"/>
              </w:rPr>
              <w:t>证书号</w:t>
            </w:r>
          </w:p>
        </w:tc>
        <w:tc>
          <w:tcPr>
            <w:tcW w:w="2918" w:type="dxa"/>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641" w:type="dxa"/>
            <w:tcBorders>
              <w:left w:val="single" w:color="auto" w:sz="12" w:space="0"/>
              <w:bottom w:val="single" w:color="auto" w:sz="4" w:space="0"/>
            </w:tcBorders>
            <w:noWrap w:val="0"/>
            <w:vAlign w:val="center"/>
          </w:tcPr>
          <w:p>
            <w:pPr>
              <w:jc w:val="center"/>
              <w:rPr>
                <w:rFonts w:hint="eastAsia" w:ascii="宋体" w:hAnsi="宋体"/>
              </w:rPr>
            </w:pPr>
            <w:r>
              <w:rPr>
                <w:rFonts w:hint="eastAsia" w:ascii="宋体" w:hAnsi="宋体"/>
              </w:rPr>
              <w:t>法定代表人</w:t>
            </w:r>
          </w:p>
        </w:tc>
        <w:tc>
          <w:tcPr>
            <w:tcW w:w="3465" w:type="dxa"/>
            <w:tcBorders>
              <w:bottom w:val="single" w:color="auto" w:sz="4" w:space="0"/>
            </w:tcBorders>
            <w:noWrap w:val="0"/>
            <w:vAlign w:val="center"/>
          </w:tcPr>
          <w:p>
            <w:pPr>
              <w:jc w:val="center"/>
              <w:rPr>
                <w:rFonts w:hint="eastAsia" w:ascii="宋体" w:hAnsi="宋体"/>
              </w:rPr>
            </w:pPr>
          </w:p>
        </w:tc>
        <w:tc>
          <w:tcPr>
            <w:tcW w:w="1459" w:type="dxa"/>
            <w:tcBorders>
              <w:bottom w:val="single" w:color="auto" w:sz="4" w:space="0"/>
            </w:tcBorders>
            <w:noWrap w:val="0"/>
            <w:vAlign w:val="center"/>
          </w:tcPr>
          <w:p>
            <w:pPr>
              <w:jc w:val="center"/>
              <w:rPr>
                <w:rFonts w:hint="eastAsia" w:ascii="宋体" w:hAnsi="宋体"/>
              </w:rPr>
            </w:pPr>
            <w:r>
              <w:rPr>
                <w:rFonts w:hint="eastAsia" w:ascii="宋体" w:hAnsi="宋体"/>
              </w:rPr>
              <w:t>技术负责人</w:t>
            </w:r>
          </w:p>
        </w:tc>
        <w:tc>
          <w:tcPr>
            <w:tcW w:w="2918" w:type="dxa"/>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职工人数</w:t>
            </w:r>
          </w:p>
        </w:tc>
        <w:tc>
          <w:tcPr>
            <w:tcW w:w="7842" w:type="dxa"/>
            <w:gridSpan w:val="3"/>
            <w:tcBorders>
              <w:top w:val="nil"/>
              <w:right w:val="single" w:color="auto" w:sz="12" w:space="0"/>
            </w:tcBorders>
            <w:noWrap w:val="0"/>
            <w:vAlign w:val="center"/>
          </w:tcPr>
          <w:p>
            <w:pPr>
              <w:rPr>
                <w:rFonts w:hint="eastAsia" w:ascii="宋体" w:hAnsi="宋体"/>
              </w:rPr>
            </w:pPr>
            <w:r>
              <w:rPr>
                <w:rFonts w:hint="eastAsia" w:ascii="宋体" w:hAnsi="宋体"/>
              </w:rPr>
              <w:t>总人数：                       总监理工程师人数：</w:t>
            </w:r>
          </w:p>
          <w:p>
            <w:pPr>
              <w:rPr>
                <w:rFonts w:hint="eastAsia" w:ascii="宋体" w:hAnsi="宋体"/>
              </w:rPr>
            </w:pPr>
            <w:r>
              <w:rPr>
                <w:rFonts w:hint="eastAsia" w:ascii="宋体" w:hAnsi="宋体"/>
              </w:rPr>
              <w:t>专业监理工程师人数：           监理员：              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授权委托</w:t>
            </w:r>
          </w:p>
          <w:p>
            <w:pPr>
              <w:jc w:val="center"/>
              <w:rPr>
                <w:rFonts w:hint="eastAsia" w:ascii="宋体" w:hAnsi="宋体"/>
              </w:rPr>
            </w:pPr>
            <w:r>
              <w:rPr>
                <w:rFonts w:hint="eastAsia" w:ascii="宋体" w:hAnsi="宋体"/>
              </w:rPr>
              <w:t>代理人</w:t>
            </w:r>
          </w:p>
        </w:tc>
        <w:tc>
          <w:tcPr>
            <w:tcW w:w="3465" w:type="dxa"/>
            <w:noWrap w:val="0"/>
            <w:vAlign w:val="center"/>
          </w:tcPr>
          <w:p>
            <w:pPr>
              <w:jc w:val="center"/>
              <w:rPr>
                <w:rFonts w:hint="eastAsia" w:ascii="宋体" w:hAnsi="宋体"/>
              </w:rPr>
            </w:pPr>
          </w:p>
        </w:tc>
        <w:tc>
          <w:tcPr>
            <w:tcW w:w="1459" w:type="dxa"/>
            <w:noWrap w:val="0"/>
            <w:vAlign w:val="center"/>
          </w:tcPr>
          <w:p>
            <w:pPr>
              <w:jc w:val="center"/>
              <w:rPr>
                <w:rFonts w:hint="eastAsia" w:ascii="宋体" w:hAnsi="宋体"/>
              </w:rPr>
            </w:pPr>
            <w:r>
              <w:rPr>
                <w:rFonts w:hint="eastAsia" w:ascii="宋体" w:hAnsi="宋体"/>
              </w:rPr>
              <w:t>电话</w:t>
            </w:r>
          </w:p>
        </w:tc>
        <w:tc>
          <w:tcPr>
            <w:tcW w:w="2918" w:type="dxa"/>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驻苍分支机构（如有）</w:t>
            </w:r>
          </w:p>
        </w:tc>
        <w:tc>
          <w:tcPr>
            <w:tcW w:w="7842" w:type="dxa"/>
            <w:gridSpan w:val="3"/>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驻苍负责人</w:t>
            </w:r>
          </w:p>
          <w:p>
            <w:pPr>
              <w:jc w:val="center"/>
              <w:rPr>
                <w:rFonts w:hint="eastAsia" w:ascii="宋体" w:hAnsi="宋体"/>
              </w:rPr>
            </w:pPr>
            <w:r>
              <w:rPr>
                <w:rFonts w:hint="eastAsia" w:ascii="宋体" w:hAnsi="宋体"/>
              </w:rPr>
              <w:t>（如有）</w:t>
            </w:r>
          </w:p>
        </w:tc>
        <w:tc>
          <w:tcPr>
            <w:tcW w:w="3465" w:type="dxa"/>
            <w:noWrap w:val="0"/>
            <w:vAlign w:val="center"/>
          </w:tcPr>
          <w:p>
            <w:pPr>
              <w:jc w:val="center"/>
              <w:rPr>
                <w:rFonts w:hint="eastAsia" w:ascii="宋体" w:hAnsi="宋体"/>
              </w:rPr>
            </w:pPr>
          </w:p>
        </w:tc>
        <w:tc>
          <w:tcPr>
            <w:tcW w:w="1459" w:type="dxa"/>
            <w:noWrap w:val="0"/>
            <w:vAlign w:val="center"/>
          </w:tcPr>
          <w:p>
            <w:pPr>
              <w:jc w:val="center"/>
              <w:rPr>
                <w:rFonts w:hint="eastAsia" w:ascii="宋体" w:hAnsi="宋体"/>
              </w:rPr>
            </w:pPr>
            <w:r>
              <w:rPr>
                <w:rFonts w:hint="eastAsia" w:ascii="宋体" w:hAnsi="宋体"/>
              </w:rPr>
              <w:t>电话</w:t>
            </w:r>
          </w:p>
        </w:tc>
        <w:tc>
          <w:tcPr>
            <w:tcW w:w="2918" w:type="dxa"/>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3" w:hRule="atLeast"/>
        </w:trPr>
        <w:tc>
          <w:tcPr>
            <w:tcW w:w="1641" w:type="dxa"/>
            <w:tcBorders>
              <w:left w:val="single" w:color="auto" w:sz="12" w:space="0"/>
            </w:tcBorders>
            <w:noWrap w:val="0"/>
            <w:vAlign w:val="center"/>
          </w:tcPr>
          <w:p>
            <w:pPr>
              <w:jc w:val="center"/>
              <w:rPr>
                <w:rFonts w:hint="eastAsia" w:ascii="宋体" w:hAnsi="宋体"/>
              </w:rPr>
            </w:pPr>
            <w:r>
              <w:rPr>
                <w:rFonts w:hint="eastAsia" w:ascii="宋体" w:hAnsi="宋体"/>
              </w:rPr>
              <w:t>企业概况</w:t>
            </w:r>
          </w:p>
        </w:tc>
        <w:tc>
          <w:tcPr>
            <w:tcW w:w="7842" w:type="dxa"/>
            <w:gridSpan w:val="3"/>
            <w:tcBorders>
              <w:right w:val="single" w:color="auto" w:sz="12" w:space="0"/>
            </w:tcBorders>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trPr>
        <w:tc>
          <w:tcPr>
            <w:tcW w:w="9483" w:type="dxa"/>
            <w:gridSpan w:val="4"/>
            <w:tcBorders>
              <w:left w:val="single" w:color="auto" w:sz="12" w:space="0"/>
              <w:bottom w:val="single" w:color="auto" w:sz="12" w:space="0"/>
              <w:right w:val="single" w:color="auto" w:sz="12" w:space="0"/>
            </w:tcBorders>
            <w:noWrap w:val="0"/>
            <w:vAlign w:val="top"/>
          </w:tcPr>
          <w:p>
            <w:pPr>
              <w:rPr>
                <w:rFonts w:hint="eastAsia" w:ascii="宋体" w:hAnsi="宋体"/>
              </w:rPr>
            </w:pPr>
            <w:r>
              <w:rPr>
                <w:rFonts w:hint="eastAsia" w:ascii="宋体" w:hAnsi="宋体"/>
              </w:rPr>
              <w:t>上述表格填写均已经过核对，确信没有疏漏或差错。</w:t>
            </w:r>
          </w:p>
          <w:p>
            <w:pPr>
              <w:rPr>
                <w:rFonts w:hint="eastAsia" w:ascii="宋体" w:hAnsi="宋体"/>
              </w:rPr>
            </w:pPr>
          </w:p>
          <w:p>
            <w:pPr>
              <w:ind w:firstLine="6177" w:firstLineChars="2900"/>
              <w:rPr>
                <w:rFonts w:hint="eastAsia" w:ascii="宋体" w:hAnsi="宋体"/>
              </w:rPr>
            </w:pPr>
          </w:p>
          <w:p>
            <w:pPr>
              <w:ind w:firstLine="6177" w:firstLineChars="2900"/>
              <w:rPr>
                <w:rFonts w:hint="eastAsia" w:ascii="宋体" w:hAnsi="宋体"/>
              </w:rPr>
            </w:pPr>
            <w:r>
              <w:rPr>
                <w:rFonts w:hint="eastAsia" w:ascii="宋体" w:hAnsi="宋体"/>
              </w:rPr>
              <w:t>投标单位：        （公章）</w:t>
            </w:r>
          </w:p>
          <w:p>
            <w:pPr>
              <w:ind w:firstLine="6177" w:firstLineChars="2900"/>
              <w:rPr>
                <w:rFonts w:hint="eastAsia" w:ascii="宋体" w:hAnsi="宋体"/>
              </w:rPr>
            </w:pPr>
          </w:p>
          <w:p>
            <w:pPr>
              <w:ind w:firstLine="6177" w:firstLineChars="2900"/>
              <w:rPr>
                <w:rFonts w:hint="eastAsia" w:ascii="宋体" w:hAnsi="宋体"/>
              </w:rPr>
            </w:pPr>
            <w:r>
              <w:rPr>
                <w:rFonts w:hint="eastAsia" w:ascii="宋体" w:hAnsi="宋体"/>
              </w:rPr>
              <w:t>法定代表人：      （签章）</w:t>
            </w:r>
          </w:p>
          <w:p>
            <w:pPr>
              <w:ind w:firstLine="6177" w:firstLineChars="2900"/>
              <w:rPr>
                <w:rFonts w:hint="eastAsia" w:ascii="宋体" w:hAnsi="宋体"/>
              </w:rPr>
            </w:pPr>
          </w:p>
          <w:p>
            <w:pPr>
              <w:rPr>
                <w:rFonts w:hint="eastAsia" w:ascii="宋体" w:hAnsi="宋体"/>
              </w:rPr>
            </w:pPr>
            <w:r>
              <w:rPr>
                <w:rFonts w:hint="eastAsia" w:ascii="宋体" w:hAnsi="宋体"/>
              </w:rPr>
              <w:t xml:space="preserve">                                                                 </w:t>
            </w:r>
          </w:p>
          <w:p>
            <w:pPr>
              <w:ind w:firstLine="6816" w:firstLineChars="3200"/>
              <w:rPr>
                <w:rFonts w:hint="eastAsia" w:ascii="宋体" w:hAnsi="宋体"/>
              </w:rPr>
            </w:pPr>
            <w:r>
              <w:rPr>
                <w:rFonts w:hint="eastAsia" w:ascii="宋体" w:hAnsi="宋体"/>
              </w:rPr>
              <w:t>年    月    日</w:t>
            </w:r>
          </w:p>
        </w:tc>
      </w:tr>
    </w:tbl>
    <w:p>
      <w:pPr>
        <w:rPr>
          <w:rFonts w:hint="eastAsia"/>
        </w:rPr>
      </w:pPr>
      <w:r>
        <w:rPr>
          <w:rFonts w:hint="eastAsia"/>
        </w:rPr>
        <w:t>注：附</w:t>
      </w:r>
      <w:r>
        <w:rPr>
          <w:rFonts w:hint="eastAsia"/>
          <w:szCs w:val="21"/>
        </w:rPr>
        <w:t>企业资质等级证书及营业执照</w:t>
      </w:r>
      <w:r>
        <w:rPr>
          <w:rFonts w:hint="eastAsia"/>
        </w:rPr>
        <w:t>复印件。</w:t>
      </w:r>
    </w:p>
    <w:p>
      <w:pPr>
        <w:jc w:val="center"/>
        <w:rPr>
          <w:rFonts w:hint="eastAsia"/>
        </w:rPr>
      </w:pPr>
      <w:r>
        <w:rPr>
          <w:rFonts w:hint="eastAsia"/>
        </w:rPr>
        <w:br w:type="page"/>
      </w:r>
    </w:p>
    <w:p>
      <w:pPr>
        <w:jc w:val="center"/>
        <w:rPr>
          <w:rFonts w:hint="eastAsia" w:ascii="黑体" w:eastAsia="黑体"/>
          <w:sz w:val="36"/>
          <w:szCs w:val="36"/>
        </w:rPr>
      </w:pPr>
      <w:r>
        <w:rPr>
          <w:rFonts w:hint="eastAsia" w:ascii="黑体" w:eastAsia="黑体"/>
          <w:sz w:val="36"/>
          <w:szCs w:val="36"/>
        </w:rPr>
        <w:t>拟派本项目现场监理机构主要人员一览表</w:t>
      </w:r>
    </w:p>
    <w:p>
      <w:pPr>
        <w:spacing w:line="440" w:lineRule="exact"/>
      </w:pPr>
      <w:r>
        <w:rPr>
          <w:rFonts w:ascii="宋体" w:hAnsi="宋体"/>
          <w:color w:val="000000"/>
          <w:sz w:val="24"/>
        </w:rPr>
        <w:t>投标</w:t>
      </w:r>
      <w:r>
        <w:rPr>
          <w:rFonts w:hint="eastAsia" w:ascii="宋体" w:hAnsi="宋体"/>
          <w:color w:val="000000"/>
          <w:sz w:val="24"/>
        </w:rPr>
        <w:t>单位</w:t>
      </w:r>
      <w:r>
        <w:rPr>
          <w:rFonts w:ascii="宋体" w:hAnsi="宋体"/>
          <w:color w:val="000000"/>
          <w:sz w:val="24"/>
        </w:rPr>
        <w:t>（盖章）：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1783"/>
        <w:gridCol w:w="789"/>
        <w:gridCol w:w="819"/>
        <w:gridCol w:w="987"/>
        <w:gridCol w:w="789"/>
        <w:gridCol w:w="1396"/>
        <w:gridCol w:w="108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top w:val="single" w:color="auto" w:sz="12" w:space="0"/>
              <w:left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姓  名</w:t>
            </w:r>
          </w:p>
        </w:tc>
        <w:tc>
          <w:tcPr>
            <w:tcW w:w="1783"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本工程拟任岗位</w:t>
            </w:r>
          </w:p>
        </w:tc>
        <w:tc>
          <w:tcPr>
            <w:tcW w:w="789"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学历</w:t>
            </w:r>
          </w:p>
        </w:tc>
        <w:tc>
          <w:tcPr>
            <w:tcW w:w="819"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每月到位天数</w:t>
            </w:r>
          </w:p>
        </w:tc>
        <w:tc>
          <w:tcPr>
            <w:tcW w:w="987"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专 业</w:t>
            </w:r>
          </w:p>
        </w:tc>
        <w:tc>
          <w:tcPr>
            <w:tcW w:w="789"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专业年限</w:t>
            </w:r>
          </w:p>
        </w:tc>
        <w:tc>
          <w:tcPr>
            <w:tcW w:w="1396"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职称</w:t>
            </w:r>
          </w:p>
        </w:tc>
        <w:tc>
          <w:tcPr>
            <w:tcW w:w="1080" w:type="dxa"/>
            <w:tcBorders>
              <w:top w:val="single" w:color="auto" w:sz="12" w:space="0"/>
              <w:bottom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安排上岗   起止时间</w:t>
            </w:r>
          </w:p>
        </w:tc>
        <w:tc>
          <w:tcPr>
            <w:tcW w:w="1099" w:type="dxa"/>
            <w:tcBorders>
              <w:top w:val="single" w:color="auto" w:sz="12" w:space="0"/>
              <w:bottom w:val="single" w:color="auto" w:sz="12" w:space="0"/>
              <w:right w:val="single" w:color="auto" w:sz="12" w:space="0"/>
            </w:tcBorders>
            <w:noWrap w:val="0"/>
            <w:vAlign w:val="center"/>
          </w:tcPr>
          <w:p>
            <w:pPr>
              <w:spacing w:line="360" w:lineRule="auto"/>
              <w:jc w:val="center"/>
              <w:rPr>
                <w:rFonts w:hint="eastAsia" w:ascii="宋体" w:hAnsi="宋体"/>
                <w:szCs w:val="21"/>
              </w:rPr>
            </w:pPr>
            <w:r>
              <w:rPr>
                <w:rFonts w:hint="eastAsia" w:ascii="宋体" w:hAnsi="宋体"/>
                <w:szCs w:val="21"/>
              </w:rPr>
              <w:t>现负责及已备案的工程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top w:val="single" w:color="auto" w:sz="12" w:space="0"/>
              <w:left w:val="single" w:color="auto" w:sz="12" w:space="0"/>
            </w:tcBorders>
            <w:noWrap w:val="0"/>
            <w:vAlign w:val="center"/>
          </w:tcPr>
          <w:p>
            <w:pPr>
              <w:spacing w:line="360" w:lineRule="auto"/>
              <w:rPr>
                <w:rFonts w:hint="eastAsia" w:eastAsia="仿宋_GB2312"/>
                <w:szCs w:val="21"/>
              </w:rPr>
            </w:pPr>
          </w:p>
        </w:tc>
        <w:tc>
          <w:tcPr>
            <w:tcW w:w="1783" w:type="dxa"/>
            <w:tcBorders>
              <w:top w:val="single" w:color="auto" w:sz="12" w:space="0"/>
            </w:tcBorders>
            <w:noWrap w:val="0"/>
            <w:vAlign w:val="center"/>
          </w:tcPr>
          <w:p>
            <w:pPr>
              <w:spacing w:line="360" w:lineRule="auto"/>
              <w:rPr>
                <w:rFonts w:hint="eastAsia" w:eastAsia="仿宋_GB2312"/>
                <w:szCs w:val="21"/>
              </w:rPr>
            </w:pPr>
          </w:p>
        </w:tc>
        <w:tc>
          <w:tcPr>
            <w:tcW w:w="789" w:type="dxa"/>
            <w:tcBorders>
              <w:top w:val="single" w:color="auto" w:sz="12" w:space="0"/>
            </w:tcBorders>
            <w:noWrap w:val="0"/>
            <w:vAlign w:val="center"/>
          </w:tcPr>
          <w:p>
            <w:pPr>
              <w:spacing w:line="360" w:lineRule="auto"/>
              <w:rPr>
                <w:rFonts w:hint="eastAsia" w:eastAsia="仿宋_GB2312"/>
                <w:szCs w:val="21"/>
              </w:rPr>
            </w:pPr>
          </w:p>
        </w:tc>
        <w:tc>
          <w:tcPr>
            <w:tcW w:w="819" w:type="dxa"/>
            <w:tcBorders>
              <w:top w:val="single" w:color="auto" w:sz="12" w:space="0"/>
            </w:tcBorders>
            <w:noWrap w:val="0"/>
            <w:vAlign w:val="center"/>
          </w:tcPr>
          <w:p>
            <w:pPr>
              <w:spacing w:line="360" w:lineRule="auto"/>
              <w:rPr>
                <w:rFonts w:hint="eastAsia" w:eastAsia="仿宋_GB2312"/>
                <w:szCs w:val="21"/>
              </w:rPr>
            </w:pPr>
          </w:p>
        </w:tc>
        <w:tc>
          <w:tcPr>
            <w:tcW w:w="987" w:type="dxa"/>
            <w:tcBorders>
              <w:top w:val="single" w:color="auto" w:sz="12" w:space="0"/>
            </w:tcBorders>
            <w:noWrap w:val="0"/>
            <w:vAlign w:val="center"/>
          </w:tcPr>
          <w:p>
            <w:pPr>
              <w:spacing w:line="360" w:lineRule="auto"/>
              <w:rPr>
                <w:rFonts w:hint="eastAsia" w:eastAsia="仿宋_GB2312"/>
                <w:szCs w:val="21"/>
              </w:rPr>
            </w:pPr>
          </w:p>
        </w:tc>
        <w:tc>
          <w:tcPr>
            <w:tcW w:w="789" w:type="dxa"/>
            <w:tcBorders>
              <w:top w:val="single" w:color="auto" w:sz="12" w:space="0"/>
            </w:tcBorders>
            <w:noWrap w:val="0"/>
            <w:vAlign w:val="center"/>
          </w:tcPr>
          <w:p>
            <w:pPr>
              <w:spacing w:line="360" w:lineRule="auto"/>
              <w:rPr>
                <w:rFonts w:hint="eastAsia" w:eastAsia="仿宋_GB2312"/>
                <w:szCs w:val="21"/>
              </w:rPr>
            </w:pPr>
          </w:p>
        </w:tc>
        <w:tc>
          <w:tcPr>
            <w:tcW w:w="1396" w:type="dxa"/>
            <w:tcBorders>
              <w:top w:val="single" w:color="auto" w:sz="12" w:space="0"/>
            </w:tcBorders>
            <w:noWrap w:val="0"/>
            <w:vAlign w:val="center"/>
          </w:tcPr>
          <w:p>
            <w:pPr>
              <w:pStyle w:val="11"/>
              <w:spacing w:line="360" w:lineRule="auto"/>
              <w:ind w:left="5250"/>
              <w:rPr>
                <w:rFonts w:hint="eastAsia"/>
                <w:sz w:val="21"/>
                <w:szCs w:val="21"/>
              </w:rPr>
            </w:pPr>
          </w:p>
        </w:tc>
        <w:tc>
          <w:tcPr>
            <w:tcW w:w="1080" w:type="dxa"/>
            <w:tcBorders>
              <w:top w:val="single" w:color="auto" w:sz="12" w:space="0"/>
            </w:tcBorders>
            <w:noWrap w:val="0"/>
            <w:vAlign w:val="top"/>
          </w:tcPr>
          <w:p>
            <w:pPr>
              <w:spacing w:line="360" w:lineRule="auto"/>
              <w:rPr>
                <w:rFonts w:hint="eastAsia" w:eastAsia="仿宋_GB2312"/>
                <w:szCs w:val="21"/>
              </w:rPr>
            </w:pPr>
          </w:p>
        </w:tc>
        <w:tc>
          <w:tcPr>
            <w:tcW w:w="1099" w:type="dxa"/>
            <w:tcBorders>
              <w:top w:val="single" w:color="auto" w:sz="12" w:space="0"/>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pStyle w:val="11"/>
              <w:spacing w:line="360" w:lineRule="auto"/>
              <w:ind w:left="5250"/>
              <w:rPr>
                <w:rFonts w:hint="eastAsia"/>
                <w:sz w:val="21"/>
                <w:szCs w:val="21"/>
              </w:rPr>
            </w:pPr>
          </w:p>
        </w:tc>
        <w:tc>
          <w:tcPr>
            <w:tcW w:w="1099" w:type="dxa"/>
            <w:tcBorders>
              <w:right w:val="single" w:color="auto" w:sz="12" w:space="0"/>
            </w:tcBorders>
            <w:noWrap w:val="0"/>
            <w:vAlign w:val="center"/>
          </w:tcPr>
          <w:p>
            <w:pPr>
              <w:pStyle w:val="11"/>
              <w:spacing w:line="360" w:lineRule="auto"/>
              <w:ind w:left="5250"/>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tcBorders>
            <w:noWrap w:val="0"/>
            <w:vAlign w:val="center"/>
          </w:tcPr>
          <w:p>
            <w:pPr>
              <w:spacing w:line="360" w:lineRule="auto"/>
              <w:rPr>
                <w:rFonts w:hint="eastAsia" w:eastAsia="仿宋_GB2312"/>
                <w:szCs w:val="21"/>
              </w:rPr>
            </w:pPr>
          </w:p>
        </w:tc>
        <w:tc>
          <w:tcPr>
            <w:tcW w:w="1783"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819" w:type="dxa"/>
            <w:noWrap w:val="0"/>
            <w:vAlign w:val="center"/>
          </w:tcPr>
          <w:p>
            <w:pPr>
              <w:spacing w:line="360" w:lineRule="auto"/>
              <w:rPr>
                <w:rFonts w:hint="eastAsia" w:eastAsia="仿宋_GB2312"/>
                <w:szCs w:val="21"/>
              </w:rPr>
            </w:pPr>
          </w:p>
        </w:tc>
        <w:tc>
          <w:tcPr>
            <w:tcW w:w="987" w:type="dxa"/>
            <w:noWrap w:val="0"/>
            <w:vAlign w:val="center"/>
          </w:tcPr>
          <w:p>
            <w:pPr>
              <w:spacing w:line="360" w:lineRule="auto"/>
              <w:rPr>
                <w:rFonts w:hint="eastAsia" w:eastAsia="仿宋_GB2312"/>
                <w:szCs w:val="21"/>
              </w:rPr>
            </w:pPr>
          </w:p>
        </w:tc>
        <w:tc>
          <w:tcPr>
            <w:tcW w:w="789" w:type="dxa"/>
            <w:noWrap w:val="0"/>
            <w:vAlign w:val="center"/>
          </w:tcPr>
          <w:p>
            <w:pPr>
              <w:spacing w:line="360" w:lineRule="auto"/>
              <w:rPr>
                <w:rFonts w:hint="eastAsia" w:eastAsia="仿宋_GB2312"/>
                <w:szCs w:val="21"/>
              </w:rPr>
            </w:pPr>
          </w:p>
        </w:tc>
        <w:tc>
          <w:tcPr>
            <w:tcW w:w="1396" w:type="dxa"/>
            <w:noWrap w:val="0"/>
            <w:vAlign w:val="center"/>
          </w:tcPr>
          <w:p>
            <w:pPr>
              <w:spacing w:line="360" w:lineRule="auto"/>
              <w:rPr>
                <w:rFonts w:hint="eastAsia" w:eastAsia="仿宋_GB2312"/>
                <w:szCs w:val="21"/>
              </w:rPr>
            </w:pPr>
          </w:p>
        </w:tc>
        <w:tc>
          <w:tcPr>
            <w:tcW w:w="1080" w:type="dxa"/>
            <w:noWrap w:val="0"/>
            <w:vAlign w:val="top"/>
          </w:tcPr>
          <w:p>
            <w:pPr>
              <w:spacing w:line="360" w:lineRule="auto"/>
              <w:rPr>
                <w:rFonts w:hint="eastAsia" w:eastAsia="仿宋_GB2312"/>
                <w:szCs w:val="21"/>
              </w:rPr>
            </w:pPr>
          </w:p>
        </w:tc>
        <w:tc>
          <w:tcPr>
            <w:tcW w:w="1099" w:type="dxa"/>
            <w:tcBorders>
              <w:right w:val="single" w:color="auto" w:sz="12" w:space="0"/>
            </w:tcBorders>
            <w:noWrap w:val="0"/>
            <w:vAlign w:val="center"/>
          </w:tcPr>
          <w:p>
            <w:pPr>
              <w:spacing w:line="360" w:lineRule="auto"/>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105" w:type="dxa"/>
            <w:tcBorders>
              <w:left w:val="single" w:color="auto" w:sz="12" w:space="0"/>
              <w:bottom w:val="single" w:color="auto" w:sz="12" w:space="0"/>
            </w:tcBorders>
            <w:noWrap w:val="0"/>
            <w:vAlign w:val="center"/>
          </w:tcPr>
          <w:p>
            <w:pPr>
              <w:spacing w:line="360" w:lineRule="auto"/>
              <w:rPr>
                <w:rFonts w:hint="eastAsia" w:eastAsia="仿宋_GB2312"/>
                <w:szCs w:val="21"/>
              </w:rPr>
            </w:pPr>
          </w:p>
        </w:tc>
        <w:tc>
          <w:tcPr>
            <w:tcW w:w="1783" w:type="dxa"/>
            <w:tcBorders>
              <w:bottom w:val="single" w:color="auto" w:sz="12" w:space="0"/>
            </w:tcBorders>
            <w:noWrap w:val="0"/>
            <w:vAlign w:val="center"/>
          </w:tcPr>
          <w:p>
            <w:pPr>
              <w:spacing w:line="360" w:lineRule="auto"/>
              <w:rPr>
                <w:rFonts w:hint="eastAsia" w:eastAsia="仿宋_GB2312"/>
                <w:szCs w:val="21"/>
              </w:rPr>
            </w:pPr>
          </w:p>
        </w:tc>
        <w:tc>
          <w:tcPr>
            <w:tcW w:w="789" w:type="dxa"/>
            <w:tcBorders>
              <w:bottom w:val="single" w:color="auto" w:sz="12" w:space="0"/>
            </w:tcBorders>
            <w:noWrap w:val="0"/>
            <w:vAlign w:val="center"/>
          </w:tcPr>
          <w:p>
            <w:pPr>
              <w:spacing w:line="360" w:lineRule="auto"/>
              <w:rPr>
                <w:rFonts w:hint="eastAsia" w:eastAsia="仿宋_GB2312"/>
                <w:szCs w:val="21"/>
              </w:rPr>
            </w:pPr>
          </w:p>
        </w:tc>
        <w:tc>
          <w:tcPr>
            <w:tcW w:w="819" w:type="dxa"/>
            <w:tcBorders>
              <w:bottom w:val="single" w:color="auto" w:sz="12" w:space="0"/>
            </w:tcBorders>
            <w:noWrap w:val="0"/>
            <w:vAlign w:val="center"/>
          </w:tcPr>
          <w:p>
            <w:pPr>
              <w:spacing w:line="360" w:lineRule="auto"/>
              <w:rPr>
                <w:rFonts w:hint="eastAsia" w:eastAsia="仿宋_GB2312"/>
                <w:szCs w:val="21"/>
              </w:rPr>
            </w:pPr>
          </w:p>
        </w:tc>
        <w:tc>
          <w:tcPr>
            <w:tcW w:w="987" w:type="dxa"/>
            <w:tcBorders>
              <w:bottom w:val="single" w:color="auto" w:sz="12" w:space="0"/>
            </w:tcBorders>
            <w:noWrap w:val="0"/>
            <w:vAlign w:val="center"/>
          </w:tcPr>
          <w:p>
            <w:pPr>
              <w:spacing w:line="360" w:lineRule="auto"/>
              <w:rPr>
                <w:rFonts w:hint="eastAsia" w:eastAsia="仿宋_GB2312"/>
                <w:szCs w:val="21"/>
              </w:rPr>
            </w:pPr>
          </w:p>
        </w:tc>
        <w:tc>
          <w:tcPr>
            <w:tcW w:w="789" w:type="dxa"/>
            <w:tcBorders>
              <w:bottom w:val="single" w:color="auto" w:sz="12" w:space="0"/>
            </w:tcBorders>
            <w:noWrap w:val="0"/>
            <w:vAlign w:val="center"/>
          </w:tcPr>
          <w:p>
            <w:pPr>
              <w:spacing w:line="360" w:lineRule="auto"/>
              <w:rPr>
                <w:rFonts w:hint="eastAsia" w:eastAsia="仿宋_GB2312"/>
                <w:szCs w:val="21"/>
              </w:rPr>
            </w:pPr>
          </w:p>
        </w:tc>
        <w:tc>
          <w:tcPr>
            <w:tcW w:w="1396" w:type="dxa"/>
            <w:tcBorders>
              <w:bottom w:val="single" w:color="auto" w:sz="12" w:space="0"/>
            </w:tcBorders>
            <w:noWrap w:val="0"/>
            <w:vAlign w:val="center"/>
          </w:tcPr>
          <w:p>
            <w:pPr>
              <w:spacing w:line="360" w:lineRule="auto"/>
              <w:rPr>
                <w:rFonts w:hint="eastAsia" w:eastAsia="仿宋_GB2312"/>
                <w:szCs w:val="21"/>
              </w:rPr>
            </w:pPr>
          </w:p>
        </w:tc>
        <w:tc>
          <w:tcPr>
            <w:tcW w:w="1080" w:type="dxa"/>
            <w:tcBorders>
              <w:bottom w:val="single" w:color="auto" w:sz="12" w:space="0"/>
            </w:tcBorders>
            <w:noWrap w:val="0"/>
            <w:vAlign w:val="top"/>
          </w:tcPr>
          <w:p>
            <w:pPr>
              <w:spacing w:line="360" w:lineRule="auto"/>
              <w:rPr>
                <w:rFonts w:hint="eastAsia" w:eastAsia="仿宋_GB2312"/>
                <w:szCs w:val="21"/>
              </w:rPr>
            </w:pPr>
          </w:p>
        </w:tc>
        <w:tc>
          <w:tcPr>
            <w:tcW w:w="1099" w:type="dxa"/>
            <w:tcBorders>
              <w:bottom w:val="single" w:color="auto" w:sz="12" w:space="0"/>
              <w:right w:val="single" w:color="auto" w:sz="12" w:space="0"/>
            </w:tcBorders>
            <w:noWrap w:val="0"/>
            <w:vAlign w:val="center"/>
          </w:tcPr>
          <w:p>
            <w:pPr>
              <w:spacing w:line="360" w:lineRule="auto"/>
              <w:rPr>
                <w:rFonts w:hint="eastAsia" w:eastAsia="仿宋_GB2312"/>
                <w:szCs w:val="21"/>
              </w:rPr>
            </w:pPr>
          </w:p>
        </w:tc>
      </w:tr>
    </w:tbl>
    <w:p>
      <w:pPr>
        <w:snapToGrid w:val="0"/>
        <w:spacing w:line="420" w:lineRule="exact"/>
        <w:jc w:val="left"/>
        <w:rPr>
          <w:rFonts w:hint="eastAsia"/>
          <w:spacing w:val="6"/>
          <w:szCs w:val="21"/>
        </w:rPr>
      </w:pPr>
      <w:r>
        <w:rPr>
          <w:rFonts w:hint="eastAsia" w:ascii="宋体" w:hAnsi="宋体"/>
          <w:szCs w:val="21"/>
        </w:rPr>
        <w:t>注：列入本表人员原则上不得更换。擅自更换或不到位属违约行为，详见招标文件规定。</w:t>
      </w: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pStyle w:val="2"/>
        <w:ind w:firstLine="226"/>
        <w:rPr>
          <w:rFonts w:hint="eastAsia"/>
          <w:spacing w:val="6"/>
          <w:szCs w:val="21"/>
        </w:rPr>
      </w:pPr>
    </w:p>
    <w:p>
      <w:pPr>
        <w:pStyle w:val="4"/>
        <w:ind w:left="2136"/>
        <w:rPr>
          <w:rFonts w:hint="eastAsia"/>
        </w:rPr>
      </w:pP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spacing w:line="360" w:lineRule="auto"/>
        <w:jc w:val="center"/>
        <w:rPr>
          <w:rFonts w:hint="eastAsia" w:ascii="黑体" w:eastAsia="黑体"/>
          <w:sz w:val="32"/>
          <w:szCs w:val="32"/>
        </w:rPr>
      </w:pPr>
      <w:r>
        <w:rPr>
          <w:rFonts w:hint="eastAsia" w:ascii="黑体" w:eastAsia="黑体"/>
          <w:sz w:val="32"/>
          <w:szCs w:val="32"/>
        </w:rPr>
        <w:t>拟派本项目总监理工程师简历表</w:t>
      </w:r>
    </w:p>
    <w:p>
      <w:pPr>
        <w:spacing w:line="360" w:lineRule="auto"/>
        <w:rPr>
          <w:rFonts w:hint="eastAsia" w:ascii="黑体" w:eastAsia="黑体"/>
          <w:b/>
          <w:szCs w:val="21"/>
        </w:rPr>
      </w:pPr>
      <w:r>
        <w:rPr>
          <w:rFonts w:ascii="宋体" w:hAnsi="宋体"/>
          <w:color w:val="000000"/>
          <w:sz w:val="24"/>
        </w:rPr>
        <w:t>投标</w:t>
      </w:r>
      <w:r>
        <w:rPr>
          <w:rFonts w:hint="eastAsia" w:ascii="宋体" w:hAnsi="宋体"/>
          <w:color w:val="000000"/>
          <w:sz w:val="24"/>
        </w:rPr>
        <w:t>单位</w:t>
      </w:r>
      <w:r>
        <w:rPr>
          <w:rFonts w:ascii="宋体" w:hAnsi="宋体"/>
          <w:color w:val="000000"/>
          <w:sz w:val="24"/>
        </w:rPr>
        <w:t>（盖章）：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6"/>
        <w:gridCol w:w="2861"/>
        <w:gridCol w:w="2452"/>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6" w:type="dxa"/>
            <w:noWrap w:val="0"/>
            <w:vAlign w:val="center"/>
          </w:tcPr>
          <w:p>
            <w:pPr>
              <w:spacing w:line="360" w:lineRule="auto"/>
              <w:jc w:val="center"/>
              <w:rPr>
                <w:rFonts w:hint="eastAsia" w:ascii="宋体" w:hAnsi="宋体"/>
                <w:szCs w:val="21"/>
              </w:rPr>
            </w:pPr>
            <w:r>
              <w:rPr>
                <w:rFonts w:hint="eastAsia" w:ascii="宋体" w:hAnsi="宋体"/>
                <w:szCs w:val="21"/>
              </w:rPr>
              <w:t>姓       名</w:t>
            </w:r>
          </w:p>
        </w:tc>
        <w:tc>
          <w:tcPr>
            <w:tcW w:w="2861" w:type="dxa"/>
            <w:noWrap w:val="0"/>
            <w:vAlign w:val="center"/>
          </w:tcPr>
          <w:p>
            <w:pPr>
              <w:spacing w:line="360" w:lineRule="auto"/>
              <w:jc w:val="center"/>
              <w:rPr>
                <w:rFonts w:hint="eastAsia" w:ascii="宋体" w:hAnsi="宋体"/>
                <w:szCs w:val="21"/>
              </w:rPr>
            </w:pPr>
          </w:p>
        </w:tc>
        <w:tc>
          <w:tcPr>
            <w:tcW w:w="2452" w:type="dxa"/>
            <w:noWrap w:val="0"/>
            <w:vAlign w:val="center"/>
          </w:tcPr>
          <w:p>
            <w:pPr>
              <w:spacing w:line="360" w:lineRule="auto"/>
              <w:jc w:val="center"/>
              <w:rPr>
                <w:rFonts w:hint="eastAsia" w:ascii="宋体" w:hAnsi="宋体"/>
                <w:szCs w:val="21"/>
              </w:rPr>
            </w:pPr>
            <w:r>
              <w:rPr>
                <w:rFonts w:hint="eastAsia" w:ascii="宋体" w:hAnsi="宋体"/>
                <w:szCs w:val="21"/>
              </w:rPr>
              <w:t>出 生 年 月</w:t>
            </w:r>
          </w:p>
        </w:tc>
        <w:tc>
          <w:tcPr>
            <w:tcW w:w="2193" w:type="dxa"/>
            <w:noWrap w:val="0"/>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6" w:type="dxa"/>
            <w:noWrap w:val="0"/>
            <w:vAlign w:val="center"/>
          </w:tcPr>
          <w:p>
            <w:pPr>
              <w:spacing w:line="360" w:lineRule="auto"/>
              <w:jc w:val="center"/>
              <w:rPr>
                <w:rFonts w:hint="eastAsia" w:ascii="宋体" w:hAnsi="宋体"/>
                <w:szCs w:val="21"/>
              </w:rPr>
            </w:pPr>
            <w:r>
              <w:rPr>
                <w:rFonts w:hint="eastAsia" w:ascii="宋体" w:hAnsi="宋体"/>
                <w:szCs w:val="21"/>
              </w:rPr>
              <w:t>文 化 程 度</w:t>
            </w:r>
          </w:p>
        </w:tc>
        <w:tc>
          <w:tcPr>
            <w:tcW w:w="2861" w:type="dxa"/>
            <w:noWrap w:val="0"/>
            <w:vAlign w:val="center"/>
          </w:tcPr>
          <w:p>
            <w:pPr>
              <w:spacing w:line="360" w:lineRule="auto"/>
              <w:jc w:val="center"/>
              <w:rPr>
                <w:rFonts w:hint="eastAsia" w:ascii="宋体" w:hAnsi="宋体"/>
                <w:szCs w:val="21"/>
              </w:rPr>
            </w:pPr>
          </w:p>
        </w:tc>
        <w:tc>
          <w:tcPr>
            <w:tcW w:w="2452" w:type="dxa"/>
            <w:noWrap w:val="0"/>
            <w:vAlign w:val="center"/>
          </w:tcPr>
          <w:p>
            <w:pPr>
              <w:spacing w:line="360" w:lineRule="auto"/>
              <w:jc w:val="center"/>
              <w:rPr>
                <w:rFonts w:hint="eastAsia" w:ascii="宋体" w:hAnsi="宋体"/>
                <w:szCs w:val="21"/>
              </w:rPr>
            </w:pPr>
            <w:r>
              <w:rPr>
                <w:rFonts w:hint="eastAsia" w:ascii="宋体" w:hAnsi="宋体"/>
                <w:szCs w:val="21"/>
              </w:rPr>
              <w:t>技 术 职 称</w:t>
            </w:r>
          </w:p>
        </w:tc>
        <w:tc>
          <w:tcPr>
            <w:tcW w:w="2193" w:type="dxa"/>
            <w:noWrap w:val="0"/>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6" w:type="dxa"/>
            <w:noWrap w:val="0"/>
            <w:vAlign w:val="center"/>
          </w:tcPr>
          <w:p>
            <w:pPr>
              <w:spacing w:line="360" w:lineRule="auto"/>
              <w:jc w:val="center"/>
              <w:rPr>
                <w:rFonts w:hint="eastAsia" w:ascii="宋体" w:hAnsi="宋体"/>
                <w:szCs w:val="21"/>
              </w:rPr>
            </w:pPr>
            <w:r>
              <w:rPr>
                <w:rFonts w:hint="eastAsia" w:ascii="宋体" w:hAnsi="宋体"/>
                <w:szCs w:val="21"/>
              </w:rPr>
              <w:t>毕业院校、专业</w:t>
            </w:r>
          </w:p>
        </w:tc>
        <w:tc>
          <w:tcPr>
            <w:tcW w:w="2861" w:type="dxa"/>
            <w:noWrap w:val="0"/>
            <w:vAlign w:val="center"/>
          </w:tcPr>
          <w:p>
            <w:pPr>
              <w:spacing w:line="360" w:lineRule="auto"/>
              <w:jc w:val="center"/>
              <w:rPr>
                <w:rFonts w:hint="eastAsia" w:ascii="宋体" w:hAnsi="宋体"/>
                <w:szCs w:val="21"/>
              </w:rPr>
            </w:pPr>
          </w:p>
        </w:tc>
        <w:tc>
          <w:tcPr>
            <w:tcW w:w="2452" w:type="dxa"/>
            <w:noWrap w:val="0"/>
            <w:vAlign w:val="center"/>
          </w:tcPr>
          <w:p>
            <w:pPr>
              <w:spacing w:line="360" w:lineRule="auto"/>
              <w:jc w:val="center"/>
              <w:rPr>
                <w:rFonts w:hint="eastAsia" w:ascii="宋体" w:hAnsi="宋体"/>
                <w:szCs w:val="21"/>
              </w:rPr>
            </w:pPr>
            <w:r>
              <w:rPr>
                <w:rFonts w:hint="eastAsia" w:ascii="宋体" w:hAnsi="宋体"/>
                <w:szCs w:val="21"/>
              </w:rPr>
              <w:t>毕 业 时 间</w:t>
            </w:r>
          </w:p>
        </w:tc>
        <w:tc>
          <w:tcPr>
            <w:tcW w:w="2193" w:type="dxa"/>
            <w:noWrap w:val="0"/>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6" w:type="dxa"/>
            <w:noWrap w:val="0"/>
            <w:vAlign w:val="center"/>
          </w:tcPr>
          <w:p>
            <w:pPr>
              <w:spacing w:line="360" w:lineRule="auto"/>
              <w:jc w:val="center"/>
              <w:rPr>
                <w:rFonts w:hint="eastAsia" w:ascii="宋体" w:hAnsi="宋体"/>
                <w:szCs w:val="21"/>
              </w:rPr>
            </w:pPr>
            <w:r>
              <w:rPr>
                <w:rFonts w:hint="eastAsia" w:ascii="宋体" w:hAnsi="宋体"/>
                <w:szCs w:val="21"/>
              </w:rPr>
              <w:t>现 任 职 务</w:t>
            </w:r>
          </w:p>
        </w:tc>
        <w:tc>
          <w:tcPr>
            <w:tcW w:w="2861" w:type="dxa"/>
            <w:noWrap w:val="0"/>
            <w:vAlign w:val="center"/>
          </w:tcPr>
          <w:p>
            <w:pPr>
              <w:spacing w:line="360" w:lineRule="auto"/>
              <w:jc w:val="center"/>
              <w:rPr>
                <w:rFonts w:hint="eastAsia" w:ascii="宋体" w:hAnsi="宋体"/>
                <w:szCs w:val="21"/>
              </w:rPr>
            </w:pPr>
          </w:p>
        </w:tc>
        <w:tc>
          <w:tcPr>
            <w:tcW w:w="2452" w:type="dxa"/>
            <w:noWrap w:val="0"/>
            <w:vAlign w:val="center"/>
          </w:tcPr>
          <w:p>
            <w:pPr>
              <w:spacing w:line="360" w:lineRule="auto"/>
              <w:jc w:val="center"/>
              <w:rPr>
                <w:rFonts w:hint="eastAsia" w:ascii="宋体" w:hAnsi="宋体"/>
                <w:szCs w:val="21"/>
              </w:rPr>
            </w:pPr>
            <w:r>
              <w:rPr>
                <w:rFonts w:hint="eastAsia" w:ascii="宋体" w:hAnsi="宋体"/>
                <w:szCs w:val="21"/>
              </w:rPr>
              <w:t>从事监理工作时间</w:t>
            </w:r>
          </w:p>
        </w:tc>
        <w:tc>
          <w:tcPr>
            <w:tcW w:w="2193" w:type="dxa"/>
            <w:noWrap w:val="0"/>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166" w:type="dxa"/>
            <w:noWrap w:val="0"/>
            <w:vAlign w:val="center"/>
          </w:tcPr>
          <w:p>
            <w:pPr>
              <w:spacing w:line="360" w:lineRule="auto"/>
              <w:jc w:val="center"/>
              <w:rPr>
                <w:rFonts w:hint="eastAsia" w:ascii="宋体" w:hAnsi="宋体"/>
                <w:szCs w:val="21"/>
              </w:rPr>
            </w:pPr>
            <w:r>
              <w:rPr>
                <w:rFonts w:hint="eastAsia" w:ascii="宋体" w:hAnsi="宋体"/>
                <w:szCs w:val="21"/>
              </w:rPr>
              <w:t>资格证书号</w:t>
            </w:r>
          </w:p>
        </w:tc>
        <w:tc>
          <w:tcPr>
            <w:tcW w:w="2861" w:type="dxa"/>
            <w:noWrap w:val="0"/>
            <w:vAlign w:val="center"/>
          </w:tcPr>
          <w:p>
            <w:pPr>
              <w:spacing w:line="360" w:lineRule="auto"/>
              <w:jc w:val="center"/>
              <w:rPr>
                <w:rFonts w:hint="eastAsia" w:ascii="宋体" w:hAnsi="宋体"/>
                <w:szCs w:val="21"/>
              </w:rPr>
            </w:pPr>
          </w:p>
        </w:tc>
        <w:tc>
          <w:tcPr>
            <w:tcW w:w="2452" w:type="dxa"/>
            <w:noWrap w:val="0"/>
            <w:vAlign w:val="center"/>
          </w:tcPr>
          <w:p>
            <w:pPr>
              <w:spacing w:line="360" w:lineRule="auto"/>
              <w:jc w:val="center"/>
              <w:rPr>
                <w:rFonts w:hint="eastAsia" w:ascii="宋体" w:hAnsi="宋体"/>
                <w:szCs w:val="21"/>
              </w:rPr>
            </w:pPr>
            <w:r>
              <w:rPr>
                <w:rFonts w:hint="eastAsia" w:ascii="宋体" w:hAnsi="宋体"/>
                <w:szCs w:val="21"/>
              </w:rPr>
              <w:t>岗位证书号</w:t>
            </w:r>
          </w:p>
        </w:tc>
        <w:tc>
          <w:tcPr>
            <w:tcW w:w="2193" w:type="dxa"/>
            <w:noWrap w:val="0"/>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1" w:hRule="atLeast"/>
        </w:trPr>
        <w:tc>
          <w:tcPr>
            <w:tcW w:w="9672" w:type="dxa"/>
            <w:gridSpan w:val="4"/>
            <w:noWrap w:val="0"/>
            <w:vAlign w:val="top"/>
          </w:tcPr>
          <w:p>
            <w:pPr>
              <w:spacing w:line="360" w:lineRule="auto"/>
              <w:rPr>
                <w:rFonts w:hint="eastAsia" w:ascii="宋体" w:hAnsi="宋体"/>
                <w:szCs w:val="21"/>
              </w:rPr>
            </w:pPr>
            <w:r>
              <w:rPr>
                <w:rFonts w:hint="eastAsia" w:ascii="宋体" w:hAnsi="宋体"/>
                <w:szCs w:val="21"/>
              </w:rPr>
              <w:t>工作简历：</w:t>
            </w:r>
          </w:p>
        </w:tc>
      </w:tr>
    </w:tbl>
    <w:p>
      <w:pPr>
        <w:spacing w:line="360" w:lineRule="auto"/>
        <w:rPr>
          <w:rFonts w:hint="eastAsia" w:ascii="宋体" w:hAnsi="宋体"/>
          <w:szCs w:val="21"/>
        </w:rPr>
      </w:pPr>
      <w:r>
        <w:rPr>
          <w:rFonts w:hint="eastAsia" w:ascii="宋体" w:hAnsi="宋体"/>
          <w:szCs w:val="21"/>
        </w:rPr>
        <w:t>注：本表后附总监注册执业证书及社保证明等材料复印件。</w:t>
      </w:r>
    </w:p>
    <w:p>
      <w:pPr>
        <w:rPr>
          <w:rFonts w:hint="eastAsia"/>
        </w:rPr>
      </w:pPr>
    </w:p>
    <w:p>
      <w:pPr>
        <w:spacing w:line="240" w:lineRule="exact"/>
        <w:jc w:val="center"/>
        <w:rPr>
          <w:rFonts w:hint="eastAsia"/>
          <w:sz w:val="32"/>
          <w:szCs w:val="32"/>
        </w:rPr>
      </w:pPr>
    </w:p>
    <w:p>
      <w:pPr>
        <w:jc w:val="center"/>
        <w:rPr>
          <w:rFonts w:hint="eastAsia"/>
          <w:sz w:val="32"/>
          <w:szCs w:val="32"/>
        </w:rPr>
      </w:pPr>
      <w:r>
        <w:rPr>
          <w:rFonts w:hint="eastAsia"/>
          <w:sz w:val="32"/>
          <w:szCs w:val="32"/>
        </w:rPr>
        <w:t>监理机构其他人员简历表</w:t>
      </w:r>
    </w:p>
    <w:p>
      <w:pPr>
        <w:spacing w:line="440" w:lineRule="exact"/>
        <w:rPr>
          <w:rFonts w:ascii="宋体" w:hAnsi="宋体"/>
          <w:color w:val="000000"/>
          <w:sz w:val="24"/>
        </w:rPr>
      </w:pPr>
      <w:r>
        <w:rPr>
          <w:rFonts w:ascii="宋体" w:hAnsi="宋体"/>
          <w:color w:val="000000"/>
          <w:sz w:val="24"/>
        </w:rPr>
        <w:t>投标</w:t>
      </w:r>
      <w:r>
        <w:rPr>
          <w:rFonts w:hint="eastAsia" w:ascii="宋体" w:hAnsi="宋体"/>
          <w:color w:val="000000"/>
          <w:sz w:val="24"/>
        </w:rPr>
        <w:t>单位</w:t>
      </w:r>
      <w:r>
        <w:rPr>
          <w:rFonts w:ascii="宋体" w:hAnsi="宋体"/>
          <w:color w:val="000000"/>
          <w:sz w:val="24"/>
        </w:rPr>
        <w:t>（盖章）：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432"/>
        <w:gridCol w:w="409"/>
        <w:gridCol w:w="422"/>
        <w:gridCol w:w="405"/>
        <w:gridCol w:w="140"/>
        <w:gridCol w:w="677"/>
        <w:gridCol w:w="831"/>
        <w:gridCol w:w="598"/>
        <w:gridCol w:w="205"/>
        <w:gridCol w:w="1225"/>
        <w:gridCol w:w="724"/>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140" w:type="dxa"/>
            <w:noWrap w:val="0"/>
            <w:vAlign w:val="center"/>
          </w:tcPr>
          <w:p>
            <w:pPr>
              <w:jc w:val="center"/>
              <w:rPr>
                <w:rFonts w:hint="eastAsia"/>
              </w:rPr>
            </w:pPr>
            <w:r>
              <w:rPr>
                <w:rFonts w:hint="eastAsia"/>
              </w:rPr>
              <w:t>姓名</w:t>
            </w:r>
          </w:p>
        </w:tc>
        <w:tc>
          <w:tcPr>
            <w:tcW w:w="1841" w:type="dxa"/>
            <w:gridSpan w:val="2"/>
            <w:noWrap w:val="0"/>
            <w:vAlign w:val="center"/>
          </w:tcPr>
          <w:p>
            <w:pPr>
              <w:widowControl/>
              <w:jc w:val="center"/>
            </w:pPr>
          </w:p>
          <w:p>
            <w:pPr>
              <w:jc w:val="center"/>
              <w:rPr>
                <w:rFonts w:hint="eastAsia"/>
              </w:rPr>
            </w:pPr>
          </w:p>
        </w:tc>
        <w:tc>
          <w:tcPr>
            <w:tcW w:w="967" w:type="dxa"/>
            <w:gridSpan w:val="3"/>
            <w:noWrap w:val="0"/>
            <w:vAlign w:val="center"/>
          </w:tcPr>
          <w:p>
            <w:pPr>
              <w:widowControl/>
              <w:jc w:val="center"/>
              <w:rPr>
                <w:rFonts w:hint="eastAsia"/>
              </w:rPr>
            </w:pPr>
            <w:r>
              <w:rPr>
                <w:rFonts w:hint="eastAsia"/>
              </w:rPr>
              <w:t>性别</w:t>
            </w:r>
          </w:p>
        </w:tc>
        <w:tc>
          <w:tcPr>
            <w:tcW w:w="2106" w:type="dxa"/>
            <w:gridSpan w:val="3"/>
            <w:noWrap w:val="0"/>
            <w:vAlign w:val="center"/>
          </w:tcPr>
          <w:p>
            <w:pPr>
              <w:jc w:val="center"/>
              <w:rPr>
                <w:rFonts w:hint="eastAsia"/>
              </w:rPr>
            </w:pPr>
          </w:p>
        </w:tc>
        <w:tc>
          <w:tcPr>
            <w:tcW w:w="1430" w:type="dxa"/>
            <w:gridSpan w:val="2"/>
            <w:noWrap w:val="0"/>
            <w:vAlign w:val="center"/>
          </w:tcPr>
          <w:p>
            <w:pPr>
              <w:jc w:val="center"/>
              <w:rPr>
                <w:rFonts w:hint="eastAsia"/>
              </w:rPr>
            </w:pPr>
            <w:r>
              <w:rPr>
                <w:rFonts w:hint="eastAsia"/>
              </w:rPr>
              <w:t>出生年月</w:t>
            </w:r>
          </w:p>
        </w:tc>
        <w:tc>
          <w:tcPr>
            <w:tcW w:w="1993"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140" w:type="dxa"/>
            <w:noWrap w:val="0"/>
            <w:vAlign w:val="center"/>
          </w:tcPr>
          <w:p>
            <w:pPr>
              <w:jc w:val="center"/>
              <w:rPr>
                <w:rFonts w:hint="eastAsia"/>
              </w:rPr>
            </w:pPr>
            <w:r>
              <w:rPr>
                <w:rFonts w:hint="eastAsia"/>
              </w:rPr>
              <w:t>学历</w:t>
            </w:r>
          </w:p>
        </w:tc>
        <w:tc>
          <w:tcPr>
            <w:tcW w:w="1841" w:type="dxa"/>
            <w:gridSpan w:val="2"/>
            <w:noWrap w:val="0"/>
            <w:vAlign w:val="center"/>
          </w:tcPr>
          <w:p>
            <w:pPr>
              <w:jc w:val="center"/>
              <w:rPr>
                <w:rFonts w:hint="eastAsia"/>
              </w:rPr>
            </w:pPr>
          </w:p>
        </w:tc>
        <w:tc>
          <w:tcPr>
            <w:tcW w:w="967" w:type="dxa"/>
            <w:gridSpan w:val="3"/>
            <w:noWrap w:val="0"/>
            <w:vAlign w:val="center"/>
          </w:tcPr>
          <w:p>
            <w:pPr>
              <w:jc w:val="center"/>
              <w:rPr>
                <w:rFonts w:hint="eastAsia"/>
              </w:rPr>
            </w:pPr>
            <w:r>
              <w:rPr>
                <w:rFonts w:hint="eastAsia"/>
              </w:rPr>
              <w:t>专业</w:t>
            </w:r>
          </w:p>
        </w:tc>
        <w:tc>
          <w:tcPr>
            <w:tcW w:w="2106" w:type="dxa"/>
            <w:gridSpan w:val="3"/>
            <w:noWrap w:val="0"/>
            <w:vAlign w:val="center"/>
          </w:tcPr>
          <w:p>
            <w:pPr>
              <w:jc w:val="center"/>
              <w:rPr>
                <w:rFonts w:hint="eastAsia"/>
              </w:rPr>
            </w:pPr>
          </w:p>
        </w:tc>
        <w:tc>
          <w:tcPr>
            <w:tcW w:w="1430" w:type="dxa"/>
            <w:gridSpan w:val="2"/>
            <w:noWrap w:val="0"/>
            <w:vAlign w:val="center"/>
          </w:tcPr>
          <w:p>
            <w:pPr>
              <w:jc w:val="center"/>
              <w:rPr>
                <w:rFonts w:hint="eastAsia"/>
              </w:rPr>
            </w:pPr>
            <w:r>
              <w:rPr>
                <w:rFonts w:hint="eastAsia"/>
              </w:rPr>
              <w:t>专业年限</w:t>
            </w:r>
          </w:p>
        </w:tc>
        <w:tc>
          <w:tcPr>
            <w:tcW w:w="1993"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1140" w:type="dxa"/>
            <w:noWrap w:val="0"/>
            <w:vAlign w:val="center"/>
          </w:tcPr>
          <w:p>
            <w:pPr>
              <w:jc w:val="center"/>
              <w:rPr>
                <w:rFonts w:hint="eastAsia"/>
              </w:rPr>
            </w:pPr>
            <w:r>
              <w:rPr>
                <w:rFonts w:hint="eastAsia"/>
              </w:rPr>
              <w:t>职务</w:t>
            </w:r>
          </w:p>
        </w:tc>
        <w:tc>
          <w:tcPr>
            <w:tcW w:w="1841" w:type="dxa"/>
            <w:gridSpan w:val="2"/>
            <w:noWrap w:val="0"/>
            <w:vAlign w:val="center"/>
          </w:tcPr>
          <w:p>
            <w:pPr>
              <w:jc w:val="center"/>
              <w:rPr>
                <w:rFonts w:hint="eastAsia"/>
              </w:rPr>
            </w:pPr>
          </w:p>
        </w:tc>
        <w:tc>
          <w:tcPr>
            <w:tcW w:w="967" w:type="dxa"/>
            <w:gridSpan w:val="3"/>
            <w:noWrap w:val="0"/>
            <w:vAlign w:val="center"/>
          </w:tcPr>
          <w:p>
            <w:pPr>
              <w:jc w:val="center"/>
              <w:rPr>
                <w:rFonts w:hint="eastAsia"/>
              </w:rPr>
            </w:pPr>
            <w:r>
              <w:rPr>
                <w:rFonts w:hint="eastAsia"/>
              </w:rPr>
              <w:t>职称</w:t>
            </w:r>
          </w:p>
        </w:tc>
        <w:tc>
          <w:tcPr>
            <w:tcW w:w="2106" w:type="dxa"/>
            <w:gridSpan w:val="3"/>
            <w:noWrap w:val="0"/>
            <w:vAlign w:val="center"/>
          </w:tcPr>
          <w:p>
            <w:pPr>
              <w:jc w:val="center"/>
              <w:rPr>
                <w:rFonts w:hint="eastAsia"/>
              </w:rPr>
            </w:pPr>
          </w:p>
        </w:tc>
        <w:tc>
          <w:tcPr>
            <w:tcW w:w="1430" w:type="dxa"/>
            <w:gridSpan w:val="2"/>
            <w:noWrap w:val="0"/>
            <w:vAlign w:val="center"/>
          </w:tcPr>
          <w:p>
            <w:pPr>
              <w:jc w:val="center"/>
              <w:rPr>
                <w:rFonts w:hint="eastAsia"/>
              </w:rPr>
            </w:pPr>
            <w:r>
              <w:rPr>
                <w:rFonts w:hint="eastAsia"/>
              </w:rPr>
              <w:t>岗位资格</w:t>
            </w:r>
          </w:p>
        </w:tc>
        <w:tc>
          <w:tcPr>
            <w:tcW w:w="1993" w:type="dxa"/>
            <w:gridSpan w:val="2"/>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trPr>
        <w:tc>
          <w:tcPr>
            <w:tcW w:w="3403" w:type="dxa"/>
            <w:gridSpan w:val="4"/>
            <w:noWrap w:val="0"/>
            <w:vAlign w:val="center"/>
          </w:tcPr>
          <w:p>
            <w:pPr>
              <w:rPr>
                <w:rFonts w:hint="eastAsia"/>
              </w:rPr>
            </w:pPr>
            <w:r>
              <w:rPr>
                <w:rFonts w:hint="eastAsia"/>
              </w:rPr>
              <w:t>从事监理工作时间</w:t>
            </w:r>
          </w:p>
        </w:tc>
        <w:tc>
          <w:tcPr>
            <w:tcW w:w="2053" w:type="dxa"/>
            <w:gridSpan w:val="4"/>
            <w:noWrap w:val="0"/>
            <w:vAlign w:val="center"/>
          </w:tcPr>
          <w:p>
            <w:pPr>
              <w:rPr>
                <w:rFonts w:hint="eastAsia"/>
              </w:rPr>
            </w:pPr>
          </w:p>
        </w:tc>
        <w:tc>
          <w:tcPr>
            <w:tcW w:w="2028" w:type="dxa"/>
            <w:gridSpan w:val="3"/>
            <w:noWrap w:val="0"/>
            <w:vAlign w:val="center"/>
          </w:tcPr>
          <w:p>
            <w:pPr>
              <w:ind w:firstLine="210"/>
              <w:rPr>
                <w:rFonts w:hint="eastAsia"/>
              </w:rPr>
            </w:pPr>
            <w:r>
              <w:rPr>
                <w:rFonts w:hint="eastAsia"/>
              </w:rPr>
              <w:t>岗位证书号</w:t>
            </w:r>
          </w:p>
        </w:tc>
        <w:tc>
          <w:tcPr>
            <w:tcW w:w="1993" w:type="dxa"/>
            <w:gridSpan w:val="2"/>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exact"/>
        </w:trPr>
        <w:tc>
          <w:tcPr>
            <w:tcW w:w="3403" w:type="dxa"/>
            <w:gridSpan w:val="4"/>
            <w:noWrap w:val="0"/>
            <w:vAlign w:val="center"/>
          </w:tcPr>
          <w:p>
            <w:pPr>
              <w:rPr>
                <w:rFonts w:hint="eastAsia"/>
              </w:rPr>
            </w:pPr>
            <w:r>
              <w:rPr>
                <w:rFonts w:hint="eastAsia"/>
              </w:rPr>
              <w:t>拟在本项目中担任的岗位职务</w:t>
            </w:r>
          </w:p>
        </w:tc>
        <w:tc>
          <w:tcPr>
            <w:tcW w:w="6074" w:type="dxa"/>
            <w:gridSpan w:val="9"/>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9477" w:type="dxa"/>
            <w:gridSpan w:val="13"/>
            <w:noWrap w:val="0"/>
            <w:vAlign w:val="center"/>
          </w:tcPr>
          <w:p>
            <w:pPr>
              <w:rPr>
                <w:rFonts w:hint="eastAsia"/>
              </w:rPr>
            </w:pPr>
            <w:r>
              <w:rPr>
                <w:rFonts w:hint="eastAsia"/>
              </w:rPr>
              <w:t>主要监理工作经历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center"/>
          </w:tcPr>
          <w:p>
            <w:pPr>
              <w:jc w:val="center"/>
              <w:rPr>
                <w:rFonts w:hint="eastAsia"/>
              </w:rPr>
            </w:pPr>
            <w:r>
              <w:rPr>
                <w:rFonts w:hint="eastAsia"/>
              </w:rPr>
              <w:t>项目名称</w:t>
            </w:r>
          </w:p>
        </w:tc>
        <w:tc>
          <w:tcPr>
            <w:tcW w:w="1236" w:type="dxa"/>
            <w:gridSpan w:val="3"/>
            <w:noWrap w:val="0"/>
            <w:vAlign w:val="center"/>
          </w:tcPr>
          <w:p>
            <w:pPr>
              <w:jc w:val="center"/>
              <w:rPr>
                <w:rFonts w:hint="eastAsia"/>
              </w:rPr>
            </w:pPr>
            <w:r>
              <w:rPr>
                <w:rFonts w:hint="eastAsia"/>
              </w:rPr>
              <w:t>工程地点</w:t>
            </w:r>
          </w:p>
        </w:tc>
        <w:tc>
          <w:tcPr>
            <w:tcW w:w="817" w:type="dxa"/>
            <w:gridSpan w:val="2"/>
            <w:noWrap w:val="0"/>
            <w:vAlign w:val="center"/>
          </w:tcPr>
          <w:p>
            <w:pPr>
              <w:jc w:val="center"/>
              <w:rPr>
                <w:rFonts w:hint="eastAsia"/>
              </w:rPr>
            </w:pPr>
            <w:r>
              <w:rPr>
                <w:rFonts w:hint="eastAsia"/>
              </w:rPr>
              <w:t>结构类型</w:t>
            </w:r>
          </w:p>
        </w:tc>
        <w:tc>
          <w:tcPr>
            <w:tcW w:w="831" w:type="dxa"/>
            <w:noWrap w:val="0"/>
            <w:vAlign w:val="center"/>
          </w:tcPr>
          <w:p>
            <w:pPr>
              <w:jc w:val="center"/>
              <w:rPr>
                <w:rFonts w:hint="eastAsia"/>
                <w:sz w:val="18"/>
                <w:szCs w:val="18"/>
              </w:rPr>
            </w:pPr>
            <w:r>
              <w:rPr>
                <w:rFonts w:hint="eastAsia"/>
                <w:sz w:val="18"/>
                <w:szCs w:val="18"/>
              </w:rPr>
              <w:t>工程时 间</w:t>
            </w:r>
          </w:p>
        </w:tc>
        <w:tc>
          <w:tcPr>
            <w:tcW w:w="803" w:type="dxa"/>
            <w:gridSpan w:val="2"/>
            <w:noWrap w:val="0"/>
            <w:vAlign w:val="center"/>
          </w:tcPr>
          <w:p>
            <w:pPr>
              <w:jc w:val="center"/>
              <w:rPr>
                <w:rFonts w:hint="eastAsia"/>
              </w:rPr>
            </w:pPr>
            <w:r>
              <w:rPr>
                <w:rFonts w:hint="eastAsia"/>
              </w:rPr>
              <w:t>工程造价</w:t>
            </w:r>
          </w:p>
        </w:tc>
        <w:tc>
          <w:tcPr>
            <w:tcW w:w="1949" w:type="dxa"/>
            <w:gridSpan w:val="2"/>
            <w:noWrap w:val="0"/>
            <w:vAlign w:val="center"/>
          </w:tcPr>
          <w:p>
            <w:pPr>
              <w:jc w:val="center"/>
              <w:rPr>
                <w:rFonts w:hint="eastAsia"/>
              </w:rPr>
            </w:pPr>
            <w:r>
              <w:rPr>
                <w:rFonts w:hint="eastAsia"/>
              </w:rPr>
              <w:t>在项目中担任职务</w:t>
            </w:r>
          </w:p>
        </w:tc>
        <w:tc>
          <w:tcPr>
            <w:tcW w:w="1269" w:type="dxa"/>
            <w:noWrap w:val="0"/>
            <w:vAlign w:val="center"/>
          </w:tcPr>
          <w:p>
            <w:pPr>
              <w:jc w:val="center"/>
              <w:rPr>
                <w:rFonts w:hint="eastAsia"/>
              </w:rPr>
            </w:pPr>
            <w:r>
              <w:rPr>
                <w:rFonts w:hint="eastAsia"/>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trPr>
        <w:tc>
          <w:tcPr>
            <w:tcW w:w="2572" w:type="dxa"/>
            <w:gridSpan w:val="2"/>
            <w:noWrap w:val="0"/>
            <w:vAlign w:val="top"/>
          </w:tcPr>
          <w:p>
            <w:pPr>
              <w:rPr>
                <w:rFonts w:hint="eastAsia"/>
              </w:rPr>
            </w:pPr>
          </w:p>
        </w:tc>
        <w:tc>
          <w:tcPr>
            <w:tcW w:w="1236" w:type="dxa"/>
            <w:gridSpan w:val="3"/>
            <w:noWrap w:val="0"/>
            <w:vAlign w:val="top"/>
          </w:tcPr>
          <w:p>
            <w:pPr>
              <w:rPr>
                <w:rFonts w:hint="eastAsia"/>
              </w:rPr>
            </w:pPr>
          </w:p>
        </w:tc>
        <w:tc>
          <w:tcPr>
            <w:tcW w:w="817" w:type="dxa"/>
            <w:gridSpan w:val="2"/>
            <w:noWrap w:val="0"/>
            <w:vAlign w:val="top"/>
          </w:tcPr>
          <w:p>
            <w:pPr>
              <w:rPr>
                <w:rFonts w:hint="eastAsia"/>
              </w:rPr>
            </w:pPr>
          </w:p>
        </w:tc>
        <w:tc>
          <w:tcPr>
            <w:tcW w:w="831" w:type="dxa"/>
            <w:noWrap w:val="0"/>
            <w:vAlign w:val="top"/>
          </w:tcPr>
          <w:p>
            <w:pPr>
              <w:rPr>
                <w:rFonts w:hint="eastAsia"/>
              </w:rPr>
            </w:pPr>
          </w:p>
        </w:tc>
        <w:tc>
          <w:tcPr>
            <w:tcW w:w="803" w:type="dxa"/>
            <w:gridSpan w:val="2"/>
            <w:noWrap w:val="0"/>
            <w:vAlign w:val="top"/>
          </w:tcPr>
          <w:p>
            <w:pPr>
              <w:rPr>
                <w:rFonts w:hint="eastAsia"/>
              </w:rPr>
            </w:pPr>
          </w:p>
        </w:tc>
        <w:tc>
          <w:tcPr>
            <w:tcW w:w="1949" w:type="dxa"/>
            <w:gridSpan w:val="2"/>
            <w:noWrap w:val="0"/>
            <w:vAlign w:val="top"/>
          </w:tcPr>
          <w:p>
            <w:pPr>
              <w:rPr>
                <w:rFonts w:hint="eastAsia"/>
              </w:rPr>
            </w:pPr>
          </w:p>
        </w:tc>
        <w:tc>
          <w:tcPr>
            <w:tcW w:w="1269" w:type="dxa"/>
            <w:noWrap w:val="0"/>
            <w:vAlign w:val="top"/>
          </w:tcPr>
          <w:p>
            <w:pPr>
              <w:rPr>
                <w:rFonts w:hint="eastAsia"/>
              </w:rPr>
            </w:pPr>
          </w:p>
        </w:tc>
      </w:tr>
    </w:tbl>
    <w:p>
      <w:pPr>
        <w:spacing w:line="460" w:lineRule="exact"/>
        <w:rPr>
          <w:rFonts w:hint="eastAsia"/>
        </w:rPr>
      </w:pPr>
      <w:r>
        <w:rPr>
          <w:rFonts w:hint="eastAsia"/>
        </w:rPr>
        <w:t>注：1.本表与拟派驻本项目现场监理机构主要人员一览表配套使用。</w:t>
      </w:r>
    </w:p>
    <w:p>
      <w:pPr>
        <w:spacing w:line="460" w:lineRule="exact"/>
        <w:ind w:firstLine="435"/>
        <w:rPr>
          <w:rFonts w:hint="eastAsia"/>
        </w:rPr>
      </w:pPr>
      <w:r>
        <w:rPr>
          <w:rFonts w:hint="eastAsia"/>
        </w:rPr>
        <w:t>2.本表后附人员岗位证书及社保证明等材料复印件。</w:t>
      </w:r>
    </w:p>
    <w:p>
      <w:pPr>
        <w:spacing w:line="460" w:lineRule="exact"/>
        <w:ind w:firstLine="435"/>
        <w:rPr>
          <w:rFonts w:hint="eastAsia"/>
        </w:rPr>
      </w:pPr>
      <w:r>
        <w:rPr>
          <w:rFonts w:hint="eastAsia"/>
        </w:rPr>
        <w:t>3.本表可复印或复制。</w:t>
      </w:r>
    </w:p>
    <w:p>
      <w:pPr>
        <w:spacing w:line="360" w:lineRule="auto"/>
        <w:rPr>
          <w:rFonts w:hint="eastAsia" w:ascii="宋体" w:hAnsi="宋体"/>
          <w:b/>
          <w:bCs/>
          <w:sz w:val="44"/>
          <w:szCs w:val="44"/>
        </w:rPr>
      </w:pPr>
    </w:p>
    <w:p>
      <w:pPr>
        <w:spacing w:line="360" w:lineRule="auto"/>
        <w:jc w:val="center"/>
        <w:rPr>
          <w:rFonts w:hint="eastAsia" w:ascii="宋体" w:hAnsi="宋体"/>
          <w:b/>
          <w:bCs/>
          <w:sz w:val="44"/>
          <w:szCs w:val="44"/>
        </w:rPr>
      </w:pPr>
      <w:r>
        <w:rPr>
          <w:rFonts w:hint="eastAsia" w:ascii="宋体" w:hAnsi="宋体"/>
          <w:b/>
          <w:bCs/>
          <w:sz w:val="44"/>
          <w:szCs w:val="44"/>
        </w:rPr>
        <w:t>承  诺  书</w:t>
      </w:r>
    </w:p>
    <w:p>
      <w:pPr>
        <w:snapToGrid w:val="0"/>
        <w:spacing w:line="500" w:lineRule="exact"/>
        <w:rPr>
          <w:rFonts w:hint="eastAsia" w:ascii="宋体" w:hAnsi="宋体"/>
          <w:szCs w:val="21"/>
        </w:rPr>
      </w:pPr>
      <w:r>
        <w:rPr>
          <w:rFonts w:hint="eastAsia"/>
          <w:szCs w:val="21"/>
          <w:u w:val="single"/>
        </w:rPr>
        <w:t xml:space="preserve">                          </w:t>
      </w:r>
      <w:r>
        <w:rPr>
          <w:rFonts w:hint="eastAsia" w:ascii="宋体" w:hAnsi="宋体"/>
          <w:szCs w:val="21"/>
        </w:rPr>
        <w:t>：</w:t>
      </w:r>
    </w:p>
    <w:p>
      <w:pPr>
        <w:snapToGrid w:val="0"/>
        <w:spacing w:line="500" w:lineRule="exact"/>
        <w:ind w:firstLine="478" w:firstLineChars="225"/>
        <w:rPr>
          <w:rFonts w:hint="eastAsia" w:ascii="宋体" w:hAnsi="宋体"/>
          <w:szCs w:val="21"/>
        </w:rPr>
      </w:pPr>
      <w:r>
        <w:rPr>
          <w:rFonts w:hint="eastAsia" w:ascii="宋体" w:hAnsi="宋体"/>
          <w:szCs w:val="21"/>
        </w:rPr>
        <w:t>1、我公司参加</w:t>
      </w:r>
      <w:r>
        <w:rPr>
          <w:rFonts w:hint="eastAsia" w:ascii="宋体" w:hAnsi="宋体"/>
          <w:szCs w:val="21"/>
          <w:u w:val="single"/>
        </w:rPr>
        <w:t xml:space="preserve">                       </w:t>
      </w:r>
      <w:r>
        <w:rPr>
          <w:rFonts w:hint="eastAsia" w:ascii="宋体" w:hAnsi="宋体"/>
          <w:szCs w:val="21"/>
        </w:rPr>
        <w:t>的投标申请，所提交的资料均为真实有效，保证据实提供企业、总监的各种表格、各类证书、证明、工程业绩和总监在监和已经承接或正在参加投标工程项目清单等所有材料及复印件（复印件和原件完全一致）。</w:t>
      </w:r>
    </w:p>
    <w:p>
      <w:pPr>
        <w:snapToGrid w:val="0"/>
        <w:spacing w:line="500" w:lineRule="exact"/>
        <w:ind w:firstLine="478" w:firstLineChars="225"/>
        <w:rPr>
          <w:rFonts w:hint="eastAsia" w:ascii="宋体" w:hAnsi="宋体"/>
          <w:szCs w:val="21"/>
        </w:rPr>
      </w:pPr>
      <w:r>
        <w:rPr>
          <w:rFonts w:hint="eastAsia" w:ascii="宋体" w:hAnsi="宋体"/>
          <w:szCs w:val="21"/>
        </w:rPr>
        <w:t>2、我公司在本工程的投标申请时提供的证书的原件及复印件均为真实有效的，复印件和原件完全一致。若证书经贵处委托有关部门文印鉴定有假，我公司愿承担所有的文印鉴定费用及其他有关费用。</w:t>
      </w:r>
      <w:r>
        <w:rPr>
          <w:rFonts w:hint="eastAsia"/>
          <w:szCs w:val="21"/>
        </w:rPr>
        <w:t>中标后，有关监理人员证书将被招标单位押证监理。</w:t>
      </w:r>
    </w:p>
    <w:p>
      <w:pPr>
        <w:snapToGrid w:val="0"/>
        <w:spacing w:line="500" w:lineRule="exact"/>
        <w:ind w:firstLine="540"/>
        <w:rPr>
          <w:rFonts w:hint="eastAsia" w:ascii="宋体" w:hAnsi="宋体"/>
          <w:szCs w:val="21"/>
        </w:rPr>
      </w:pPr>
      <w:r>
        <w:rPr>
          <w:rFonts w:hint="eastAsia" w:ascii="宋体" w:hAnsi="宋体"/>
          <w:szCs w:val="21"/>
        </w:rPr>
        <w:t>3、我公司若有串通投标、哄抬标价等行为的，愿意承担一切后果，被取消投标资格或中标资格，并被作为不良行为记入信用档案，接受苍南县建设行政主管部门的处罚。</w:t>
      </w:r>
    </w:p>
    <w:p>
      <w:pPr>
        <w:snapToGrid w:val="0"/>
        <w:spacing w:line="500" w:lineRule="exact"/>
        <w:ind w:firstLine="478" w:firstLineChars="225"/>
        <w:rPr>
          <w:rFonts w:hint="eastAsia" w:ascii="宋体" w:hAnsi="宋体"/>
          <w:szCs w:val="21"/>
        </w:rPr>
      </w:pPr>
      <w:r>
        <w:rPr>
          <w:rFonts w:hint="eastAsia" w:ascii="宋体" w:hAnsi="宋体"/>
          <w:szCs w:val="21"/>
        </w:rPr>
        <w:t>4、我公司对上述内容作出慎重承诺，如在招投标过程中被发现有弄虚作假、隐瞒等不良行为的，愿承担一切后果，被取消投标资格或中标资格，并被作为不良行为记入信用档案，接受苍南县建设行政主管部门的处罚。</w:t>
      </w:r>
    </w:p>
    <w:p>
      <w:pPr>
        <w:tabs>
          <w:tab w:val="left" w:pos="9000"/>
        </w:tabs>
        <w:snapToGrid w:val="0"/>
        <w:spacing w:line="500" w:lineRule="exact"/>
        <w:ind w:firstLine="478" w:firstLineChars="225"/>
        <w:rPr>
          <w:rFonts w:hint="eastAsia" w:ascii="宋体" w:hAnsi="宋体"/>
          <w:szCs w:val="21"/>
        </w:rPr>
      </w:pPr>
      <w:r>
        <w:rPr>
          <w:rFonts w:hint="eastAsia" w:ascii="宋体" w:hAnsi="宋体"/>
          <w:szCs w:val="21"/>
        </w:rPr>
        <w:t>5、中标后我承诺完全按苍南县质监站及其他部门要求办理相关备案手续。</w:t>
      </w:r>
    </w:p>
    <w:p>
      <w:pPr>
        <w:tabs>
          <w:tab w:val="left" w:pos="9000"/>
        </w:tabs>
        <w:snapToGrid w:val="0"/>
        <w:spacing w:line="500" w:lineRule="exact"/>
        <w:ind w:firstLine="478" w:firstLineChars="225"/>
        <w:rPr>
          <w:rFonts w:hint="eastAsia" w:ascii="宋体" w:hAnsi="宋体"/>
          <w:szCs w:val="21"/>
        </w:rPr>
      </w:pPr>
      <w:r>
        <w:rPr>
          <w:rFonts w:hint="eastAsia" w:ascii="宋体" w:hAnsi="宋体"/>
          <w:szCs w:val="21"/>
        </w:rPr>
        <w:t>6、我公司没有被人民法院列入限制失信被执行人投标资格名单，</w:t>
      </w:r>
      <w:r>
        <w:rPr>
          <w:rFonts w:hint="eastAsia" w:ascii="宋体" w:hAnsi="宋体"/>
          <w:color w:val="000000"/>
        </w:rPr>
        <w:t>在投标截止时间当日我公司</w:t>
      </w:r>
      <w:r>
        <w:rPr>
          <w:rFonts w:ascii="宋体" w:hAnsi="宋体"/>
          <w:color w:val="000000"/>
        </w:rPr>
        <w:t>没有被温州市住建委或浙江省住建委（含浙江省建筑业管理局）或住建部限制参加投标。</w:t>
      </w:r>
      <w:r>
        <w:rPr>
          <w:rFonts w:hint="eastAsia" w:ascii="宋体" w:hAnsi="宋体"/>
          <w:color w:val="000000"/>
        </w:rPr>
        <w:t>在投标截止时间当日我公司</w:t>
      </w:r>
      <w:r>
        <w:rPr>
          <w:rFonts w:ascii="宋体" w:hAnsi="宋体"/>
          <w:color w:val="000000"/>
        </w:rPr>
        <w:t>没有被温州市住建委或浙江省住建委（含浙江省建筑业管理局）或住建部已经确认并公示（或发布）的正处于公示（或发布）期间的不良行为记录</w:t>
      </w:r>
      <w:r>
        <w:rPr>
          <w:rFonts w:hint="eastAsia" w:ascii="宋体" w:hAnsi="宋体"/>
          <w:szCs w:val="21"/>
        </w:rPr>
        <w:t>。</w:t>
      </w:r>
    </w:p>
    <w:p>
      <w:pPr>
        <w:spacing w:line="660" w:lineRule="exact"/>
        <w:ind w:firstLine="5303" w:firstLineChars="2490"/>
        <w:rPr>
          <w:rFonts w:hint="eastAsia" w:ascii="宋体" w:hAnsi="宋体"/>
          <w:szCs w:val="21"/>
        </w:rPr>
      </w:pPr>
    </w:p>
    <w:p>
      <w:pPr>
        <w:spacing w:line="660" w:lineRule="exact"/>
        <w:ind w:firstLine="5303" w:firstLineChars="2490"/>
        <w:rPr>
          <w:rFonts w:hint="eastAsia" w:ascii="宋体" w:hAnsi="宋体"/>
          <w:szCs w:val="21"/>
        </w:rPr>
      </w:pPr>
      <w:r>
        <w:rPr>
          <w:rFonts w:hint="eastAsia" w:ascii="宋体" w:hAnsi="宋体"/>
          <w:szCs w:val="21"/>
        </w:rPr>
        <w:t>投标单位（公章）：</w:t>
      </w:r>
    </w:p>
    <w:p>
      <w:pPr>
        <w:spacing w:line="660" w:lineRule="exact"/>
        <w:ind w:firstLine="5303" w:firstLineChars="2490"/>
        <w:rPr>
          <w:rFonts w:hint="eastAsia" w:ascii="宋体" w:hAnsi="宋体"/>
          <w:szCs w:val="21"/>
        </w:rPr>
      </w:pPr>
      <w:r>
        <w:rPr>
          <w:rFonts w:hint="eastAsia" w:ascii="宋体" w:hAnsi="宋体"/>
          <w:szCs w:val="21"/>
        </w:rPr>
        <w:t>法定代表人（签字或盖章）：</w:t>
      </w:r>
    </w:p>
    <w:p>
      <w:pPr>
        <w:spacing w:line="660" w:lineRule="exact"/>
        <w:ind w:firstLine="5303" w:firstLineChars="2490"/>
        <w:rPr>
          <w:rFonts w:hint="eastAsia" w:ascii="宋体" w:hAnsi="宋体"/>
          <w:szCs w:val="21"/>
        </w:rPr>
      </w:pPr>
      <w:r>
        <w:rPr>
          <w:rFonts w:hint="eastAsia" w:ascii="宋体" w:hAnsi="宋体"/>
          <w:szCs w:val="21"/>
        </w:rPr>
        <w:t>拟派总监签字：</w:t>
      </w:r>
    </w:p>
    <w:p>
      <w:pPr>
        <w:snapToGrid w:val="0"/>
        <w:spacing w:line="420" w:lineRule="exact"/>
        <w:ind w:firstLine="5303" w:firstLineChars="2490"/>
        <w:jc w:val="left"/>
        <w:rPr>
          <w:rFonts w:hint="eastAsia"/>
          <w:spacing w:val="6"/>
          <w:szCs w:val="21"/>
        </w:rPr>
      </w:pPr>
      <w:r>
        <w:rPr>
          <w:rFonts w:hint="eastAsia" w:ascii="宋体" w:hAnsi="宋体"/>
          <w:szCs w:val="21"/>
        </w:rPr>
        <w:t>日期：    年    月    日</w:t>
      </w:r>
    </w:p>
    <w:p>
      <w:pPr>
        <w:snapToGrid w:val="0"/>
        <w:spacing w:line="420" w:lineRule="exact"/>
        <w:ind w:firstLine="5601" w:firstLineChars="2490"/>
        <w:jc w:val="left"/>
        <w:rPr>
          <w:rFonts w:hint="eastAsia"/>
          <w:spacing w:val="6"/>
          <w:szCs w:val="21"/>
        </w:rPr>
      </w:pPr>
    </w:p>
    <w:p>
      <w:pPr>
        <w:snapToGrid w:val="0"/>
        <w:spacing w:line="420" w:lineRule="exact"/>
        <w:jc w:val="left"/>
        <w:rPr>
          <w:rFonts w:hint="eastAsia"/>
          <w:spacing w:val="6"/>
          <w:szCs w:val="21"/>
        </w:rPr>
      </w:pPr>
    </w:p>
    <w:p>
      <w:pPr>
        <w:spacing w:line="480" w:lineRule="exact"/>
        <w:rPr>
          <w:rFonts w:hint="eastAsia"/>
          <w:szCs w:val="21"/>
        </w:rPr>
      </w:pPr>
      <w:r>
        <w:rPr>
          <w:rFonts w:hint="eastAsia"/>
          <w:szCs w:val="21"/>
        </w:rPr>
        <w:br w:type="page"/>
      </w:r>
    </w:p>
    <w:p>
      <w:pPr>
        <w:spacing w:line="360" w:lineRule="auto"/>
        <w:jc w:val="center"/>
        <w:rPr>
          <w:rFonts w:hint="eastAsia" w:ascii="宋体" w:hAnsi="宋体"/>
          <w:b/>
          <w:bCs/>
          <w:sz w:val="44"/>
          <w:szCs w:val="44"/>
        </w:rPr>
      </w:pPr>
      <w:r>
        <w:rPr>
          <w:rFonts w:hint="eastAsia" w:ascii="宋体" w:hAnsi="宋体"/>
          <w:b/>
          <w:bCs/>
          <w:sz w:val="44"/>
          <w:szCs w:val="44"/>
        </w:rPr>
        <w:t>人员到位的承诺书</w:t>
      </w:r>
    </w:p>
    <w:p>
      <w:pPr>
        <w:spacing w:line="400" w:lineRule="exact"/>
        <w:jc w:val="center"/>
        <w:rPr>
          <w:rFonts w:hint="eastAsia" w:ascii="宋体" w:hAnsi="宋体" w:cs="宋体"/>
          <w:b/>
          <w:bCs/>
          <w:sz w:val="44"/>
          <w:szCs w:val="44"/>
        </w:rPr>
      </w:pPr>
    </w:p>
    <w:p>
      <w:pPr>
        <w:spacing w:line="400" w:lineRule="exact"/>
        <w:jc w:val="center"/>
        <w:rPr>
          <w:rFonts w:hint="eastAsia" w:ascii="宋体" w:hAnsi="宋体" w:cs="宋体"/>
          <w:bCs/>
          <w:sz w:val="28"/>
          <w:szCs w:val="28"/>
        </w:rPr>
      </w:pPr>
    </w:p>
    <w:p>
      <w:pPr>
        <w:spacing w:line="500" w:lineRule="exact"/>
        <w:rPr>
          <w:rFonts w:hint="eastAsia" w:ascii="宋体" w:hAnsi="宋体" w:cs="宋体"/>
          <w:bCs/>
          <w:szCs w:val="21"/>
        </w:rPr>
      </w:pPr>
      <w:r>
        <w:rPr>
          <w:rFonts w:hint="eastAsia" w:ascii="宋体" w:hAnsi="宋体" w:cs="宋体"/>
          <w:bCs/>
          <w:szCs w:val="21"/>
        </w:rPr>
        <w:t>致：</w:t>
      </w:r>
      <w:r>
        <w:rPr>
          <w:rFonts w:hint="eastAsia" w:ascii="宋体" w:hAnsi="宋体" w:cs="宋体"/>
          <w:szCs w:val="21"/>
          <w:u w:val="single"/>
        </w:rPr>
        <w:t xml:space="preserve">   （招  标  人  名  称）  </w:t>
      </w:r>
    </w:p>
    <w:p>
      <w:pPr>
        <w:spacing w:line="500" w:lineRule="exact"/>
        <w:rPr>
          <w:rFonts w:hint="eastAsia" w:ascii="宋体" w:hAnsi="宋体" w:cs="宋体"/>
          <w:bCs/>
          <w:szCs w:val="21"/>
        </w:rPr>
      </w:pPr>
    </w:p>
    <w:p>
      <w:pPr>
        <w:spacing w:line="500" w:lineRule="exact"/>
        <w:ind w:firstLine="426" w:firstLineChars="200"/>
        <w:rPr>
          <w:rFonts w:hint="eastAsia" w:ascii="宋体" w:hAnsi="宋体" w:cs="宋体"/>
          <w:bCs/>
          <w:szCs w:val="21"/>
        </w:rPr>
      </w:pPr>
      <w:r>
        <w:rPr>
          <w:rFonts w:hint="eastAsia" w:ascii="宋体" w:hAnsi="宋体" w:cs="宋体"/>
          <w:bCs/>
          <w:szCs w:val="21"/>
        </w:rPr>
        <w:t>如中标，我公司将派具有类似监理经验的</w:t>
      </w:r>
      <w:r>
        <w:rPr>
          <w:rFonts w:hint="eastAsia" w:ascii="宋体" w:hAnsi="宋体" w:cs="宋体"/>
          <w:bCs/>
          <w:szCs w:val="21"/>
          <w:u w:val="single"/>
        </w:rPr>
        <w:t xml:space="preserve">       </w:t>
      </w:r>
      <w:r>
        <w:rPr>
          <w:rFonts w:hint="eastAsia" w:ascii="宋体" w:hAnsi="宋体" w:cs="宋体"/>
          <w:bCs/>
          <w:szCs w:val="21"/>
        </w:rPr>
        <w:t>（填写项目总监名字、监理执业注册号）为本工程的项目总监，并保证项目总监到位率在</w:t>
      </w:r>
      <w:r>
        <w:rPr>
          <w:rFonts w:hint="eastAsia" w:ascii="宋体" w:hAnsi="宋体" w:cs="宋体"/>
          <w:bCs/>
          <w:szCs w:val="21"/>
          <w:u w:val="single"/>
        </w:rPr>
        <w:t xml:space="preserve">    </w:t>
      </w:r>
      <w:r>
        <w:rPr>
          <w:rFonts w:hint="eastAsia" w:ascii="宋体" w:hAnsi="宋体" w:cs="宋体"/>
          <w:bCs/>
          <w:szCs w:val="21"/>
        </w:rPr>
        <w:t>%（填百分比）以上即每月不少于</w:t>
      </w:r>
      <w:r>
        <w:rPr>
          <w:rFonts w:hint="eastAsia" w:ascii="宋体" w:hAnsi="宋体" w:cs="宋体"/>
          <w:bCs/>
          <w:szCs w:val="21"/>
          <w:u w:val="single"/>
        </w:rPr>
        <w:t xml:space="preserve">      </w:t>
      </w:r>
      <w:r>
        <w:rPr>
          <w:rFonts w:hint="eastAsia" w:ascii="宋体" w:hAnsi="宋体" w:cs="宋体"/>
          <w:bCs/>
          <w:szCs w:val="21"/>
        </w:rPr>
        <w:t>日历天。如违反此承诺，愿按合同有关规定接受处罚。</w:t>
      </w:r>
    </w:p>
    <w:p>
      <w:pPr>
        <w:spacing w:line="500" w:lineRule="exact"/>
        <w:ind w:firstLine="570"/>
        <w:rPr>
          <w:rFonts w:hint="eastAsia" w:ascii="宋体" w:hAnsi="宋体" w:cs="宋体"/>
          <w:bCs/>
          <w:szCs w:val="21"/>
        </w:rPr>
      </w:pPr>
    </w:p>
    <w:p>
      <w:pPr>
        <w:spacing w:line="500" w:lineRule="exact"/>
        <w:ind w:firstLine="570"/>
        <w:rPr>
          <w:rFonts w:hint="eastAsia" w:ascii="宋体" w:hAnsi="宋体" w:cs="宋体"/>
          <w:bCs/>
          <w:sz w:val="28"/>
          <w:szCs w:val="28"/>
        </w:rPr>
      </w:pPr>
    </w:p>
    <w:p>
      <w:pPr>
        <w:spacing w:line="500" w:lineRule="exact"/>
        <w:ind w:firstLine="570"/>
        <w:rPr>
          <w:rFonts w:hint="eastAsia" w:ascii="宋体" w:hAnsi="宋体" w:cs="宋体"/>
          <w:bCs/>
          <w:sz w:val="28"/>
          <w:szCs w:val="28"/>
        </w:rPr>
      </w:pPr>
    </w:p>
    <w:p>
      <w:pPr>
        <w:spacing w:line="500" w:lineRule="exact"/>
        <w:ind w:firstLine="570"/>
        <w:rPr>
          <w:rFonts w:hint="eastAsia" w:ascii="宋体" w:hAnsi="宋体" w:cs="宋体"/>
          <w:bCs/>
          <w:sz w:val="28"/>
          <w:szCs w:val="28"/>
        </w:rPr>
      </w:pPr>
    </w:p>
    <w:p>
      <w:pPr>
        <w:spacing w:line="500" w:lineRule="exact"/>
        <w:ind w:firstLine="570"/>
        <w:rPr>
          <w:rFonts w:hint="eastAsia" w:ascii="宋体" w:hAnsi="宋体" w:cs="宋体"/>
          <w:bCs/>
          <w:sz w:val="28"/>
          <w:szCs w:val="28"/>
        </w:rPr>
      </w:pPr>
    </w:p>
    <w:p>
      <w:pPr>
        <w:spacing w:line="500" w:lineRule="exact"/>
        <w:ind w:firstLine="570"/>
        <w:rPr>
          <w:rFonts w:hint="eastAsia" w:ascii="宋体" w:hAnsi="宋体" w:cs="宋体"/>
          <w:bCs/>
          <w:sz w:val="28"/>
          <w:szCs w:val="28"/>
        </w:rPr>
      </w:pPr>
    </w:p>
    <w:p>
      <w:pPr>
        <w:spacing w:line="660" w:lineRule="exact"/>
        <w:ind w:firstLine="5280"/>
        <w:rPr>
          <w:rFonts w:hint="eastAsia" w:ascii="宋体" w:hAnsi="宋体"/>
          <w:szCs w:val="21"/>
        </w:rPr>
      </w:pPr>
      <w:r>
        <w:rPr>
          <w:rFonts w:hint="eastAsia" w:ascii="宋体" w:hAnsi="宋体"/>
          <w:szCs w:val="21"/>
        </w:rPr>
        <w:t>投标单位（公章）：</w:t>
      </w:r>
    </w:p>
    <w:p>
      <w:pPr>
        <w:spacing w:line="660" w:lineRule="exact"/>
        <w:ind w:firstLine="5325" w:firstLineChars="2500"/>
        <w:rPr>
          <w:rFonts w:hint="eastAsia" w:ascii="宋体" w:hAnsi="宋体"/>
          <w:szCs w:val="21"/>
        </w:rPr>
      </w:pPr>
      <w:r>
        <w:rPr>
          <w:rFonts w:hint="eastAsia" w:ascii="宋体" w:hAnsi="宋体"/>
          <w:szCs w:val="21"/>
        </w:rPr>
        <w:t>法定代表人（签字或盖章）：</w:t>
      </w:r>
    </w:p>
    <w:p>
      <w:pPr>
        <w:spacing w:line="660" w:lineRule="exact"/>
        <w:ind w:firstLine="5377" w:firstLineChars="2525"/>
        <w:rPr>
          <w:rFonts w:hint="eastAsia" w:ascii="宋体" w:hAnsi="宋体"/>
          <w:szCs w:val="21"/>
        </w:rPr>
      </w:pPr>
    </w:p>
    <w:p>
      <w:pPr>
        <w:snapToGrid w:val="0"/>
        <w:spacing w:line="420" w:lineRule="exact"/>
        <w:ind w:firstLine="5325" w:firstLineChars="2500"/>
        <w:jc w:val="left"/>
        <w:rPr>
          <w:rFonts w:hint="eastAsia"/>
          <w:spacing w:val="6"/>
          <w:szCs w:val="21"/>
        </w:rPr>
      </w:pPr>
      <w:r>
        <w:rPr>
          <w:rFonts w:hint="eastAsia" w:ascii="宋体" w:hAnsi="宋体"/>
          <w:szCs w:val="21"/>
        </w:rPr>
        <w:t>日期：    年    月    日</w:t>
      </w:r>
    </w:p>
    <w:p>
      <w:pPr>
        <w:spacing w:line="500" w:lineRule="exact"/>
        <w:ind w:firstLine="566" w:firstLineChars="200"/>
        <w:rPr>
          <w:rFonts w:hint="eastAsia" w:ascii="宋体" w:hAnsi="宋体" w:cs="宋体"/>
          <w:bCs/>
          <w:sz w:val="28"/>
          <w:szCs w:val="28"/>
        </w:rPr>
      </w:pPr>
    </w:p>
    <w:p>
      <w:pPr>
        <w:ind w:left="2" w:leftChars="1" w:firstLine="243" w:firstLineChars="100"/>
        <w:rPr>
          <w:rFonts w:hint="eastAsia" w:ascii="宋体" w:hAnsi="宋体" w:cs="宋体"/>
          <w:sz w:val="24"/>
        </w:rPr>
      </w:pPr>
    </w:p>
    <w:p>
      <w:pPr>
        <w:snapToGrid w:val="0"/>
        <w:spacing w:line="420" w:lineRule="exact"/>
        <w:rPr>
          <w:rFonts w:hint="eastAsia"/>
          <w:spacing w:val="6"/>
          <w:szCs w:val="21"/>
        </w:rPr>
      </w:pPr>
    </w:p>
    <w:p>
      <w:pPr>
        <w:spacing w:line="480" w:lineRule="exact"/>
        <w:rPr>
          <w:rFonts w:hint="eastAsia"/>
          <w:szCs w:val="21"/>
        </w:rPr>
      </w:pPr>
      <w:r>
        <w:rPr>
          <w:rFonts w:hint="eastAsia"/>
          <w:szCs w:val="21"/>
        </w:rPr>
        <w:br w:type="page"/>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r>
        <w:rPr>
          <w:rFonts w:hint="eastAsia" w:ascii="宋体" w:hAnsi="宋体"/>
          <w:b/>
          <w:bCs/>
          <w:sz w:val="44"/>
          <w:szCs w:val="44"/>
        </w:rPr>
        <w:t>未被禁止投标、财产被接管或冻结的承诺书</w:t>
      </w:r>
    </w:p>
    <w:p>
      <w:pPr>
        <w:rPr>
          <w:rFonts w:hint="eastAsia" w:ascii="宋体" w:hAnsi="宋体" w:cs="宋体"/>
          <w:b/>
          <w:sz w:val="24"/>
        </w:rPr>
      </w:pPr>
    </w:p>
    <w:p>
      <w:pPr>
        <w:rPr>
          <w:rFonts w:hint="eastAsia" w:ascii="宋体" w:hAnsi="宋体" w:cs="宋体"/>
          <w:b/>
          <w:sz w:val="24"/>
        </w:rPr>
      </w:pPr>
    </w:p>
    <w:p>
      <w:pPr>
        <w:rPr>
          <w:rFonts w:hint="eastAsia" w:ascii="宋体" w:hAnsi="宋体" w:cs="宋体"/>
          <w:b/>
          <w:sz w:val="24"/>
        </w:rPr>
      </w:pPr>
    </w:p>
    <w:p>
      <w:pPr>
        <w:spacing w:line="480" w:lineRule="auto"/>
        <w:jc w:val="left"/>
        <w:rPr>
          <w:rFonts w:hint="eastAsia" w:ascii="宋体" w:hAnsi="宋体" w:cs="宋体"/>
          <w:kern w:val="0"/>
          <w:szCs w:val="21"/>
          <w:u w:val="single"/>
        </w:rPr>
      </w:pPr>
      <w:r>
        <w:rPr>
          <w:rFonts w:hint="eastAsia" w:ascii="宋体" w:hAnsi="宋体" w:cs="宋体"/>
          <w:kern w:val="0"/>
          <w:szCs w:val="21"/>
          <w:u w:val="single"/>
        </w:rPr>
        <w:t xml:space="preserve">                 （招标人）：</w:t>
      </w:r>
    </w:p>
    <w:p>
      <w:pPr>
        <w:topLinePunct/>
        <w:spacing w:line="480" w:lineRule="auto"/>
        <w:ind w:firstLine="426" w:firstLineChars="200"/>
        <w:rPr>
          <w:rFonts w:hint="eastAsia" w:ascii="宋体" w:hAnsi="宋体" w:cs="宋体"/>
          <w:szCs w:val="21"/>
          <w:u w:val="single"/>
        </w:rPr>
      </w:pPr>
      <w:r>
        <w:rPr>
          <w:rFonts w:hint="eastAsia" w:ascii="宋体" w:hAnsi="宋体" w:cs="宋体"/>
          <w:szCs w:val="21"/>
        </w:rPr>
        <w:t>我</w:t>
      </w:r>
      <w:r>
        <w:rPr>
          <w:rFonts w:hint="eastAsia" w:ascii="宋体" w:hAnsi="宋体" w:cs="宋体"/>
          <w:szCs w:val="21"/>
          <w:u w:val="single"/>
        </w:rPr>
        <w:t xml:space="preserve">  （法定代表人姓名）  </w:t>
      </w:r>
      <w:r>
        <w:rPr>
          <w:rFonts w:hint="eastAsia" w:ascii="宋体" w:hAnsi="宋体" w:cs="宋体"/>
          <w:szCs w:val="21"/>
        </w:rPr>
        <w:t>系</w:t>
      </w:r>
      <w:r>
        <w:rPr>
          <w:rFonts w:hint="eastAsia" w:ascii="宋体" w:hAnsi="宋体" w:cs="宋体"/>
          <w:szCs w:val="21"/>
          <w:u w:val="single"/>
        </w:rPr>
        <w:t xml:space="preserve">     （投标人）    </w:t>
      </w:r>
      <w:r>
        <w:rPr>
          <w:rFonts w:hint="eastAsia" w:ascii="宋体" w:hAnsi="宋体" w:cs="宋体"/>
          <w:szCs w:val="21"/>
        </w:rPr>
        <w:t>的法定代表人，现承诺</w:t>
      </w:r>
      <w:r>
        <w:rPr>
          <w:rFonts w:hint="eastAsia" w:ascii="宋体" w:hAnsi="宋体" w:cs="宋体"/>
          <w:szCs w:val="21"/>
          <w:u w:val="single"/>
        </w:rPr>
        <w:t xml:space="preserve">    （投标人）    </w:t>
      </w:r>
    </w:p>
    <w:p>
      <w:pPr>
        <w:topLinePunct/>
        <w:spacing w:line="480" w:lineRule="auto"/>
        <w:rPr>
          <w:rFonts w:hint="eastAsia" w:ascii="宋体" w:hAnsi="宋体" w:cs="宋体"/>
          <w:szCs w:val="21"/>
        </w:rPr>
      </w:pPr>
      <w:r>
        <w:rPr>
          <w:rFonts w:hint="eastAsia" w:ascii="宋体" w:hAnsi="宋体" w:cs="宋体"/>
          <w:szCs w:val="21"/>
        </w:rPr>
        <w:t>在本工程招投标期间不存在被依法禁止投标、财产被接管或冻结的情况，如有隐瞒实情，我司愿承担一切责任及后果。</w:t>
      </w:r>
    </w:p>
    <w:p>
      <w:pPr>
        <w:spacing w:line="480" w:lineRule="auto"/>
        <w:ind w:right="480" w:firstLine="426" w:firstLineChars="200"/>
        <w:jc w:val="right"/>
        <w:rPr>
          <w:rFonts w:hint="eastAsia" w:ascii="宋体" w:hAnsi="宋体" w:cs="宋体"/>
          <w:szCs w:val="21"/>
        </w:rPr>
      </w:pPr>
    </w:p>
    <w:p>
      <w:pPr>
        <w:spacing w:line="660" w:lineRule="exact"/>
        <w:ind w:firstLine="5280"/>
        <w:rPr>
          <w:rFonts w:hint="eastAsia" w:ascii="宋体" w:hAnsi="宋体"/>
          <w:szCs w:val="21"/>
        </w:rPr>
      </w:pPr>
      <w:r>
        <w:rPr>
          <w:rFonts w:hint="eastAsia" w:ascii="宋体" w:hAnsi="宋体"/>
          <w:szCs w:val="21"/>
        </w:rPr>
        <w:t>投标单位（公章）：</w:t>
      </w:r>
    </w:p>
    <w:p>
      <w:pPr>
        <w:spacing w:line="660" w:lineRule="exact"/>
        <w:ind w:firstLine="5325" w:firstLineChars="2500"/>
        <w:rPr>
          <w:rFonts w:hint="eastAsia" w:ascii="宋体" w:hAnsi="宋体"/>
          <w:szCs w:val="21"/>
        </w:rPr>
      </w:pPr>
      <w:r>
        <w:rPr>
          <w:rFonts w:hint="eastAsia" w:ascii="宋体" w:hAnsi="宋体"/>
          <w:szCs w:val="21"/>
        </w:rPr>
        <w:t>法定代表人（签字或盖章）：</w:t>
      </w:r>
    </w:p>
    <w:p>
      <w:pPr>
        <w:spacing w:line="660" w:lineRule="exact"/>
        <w:ind w:firstLine="5377" w:firstLineChars="2525"/>
        <w:rPr>
          <w:rFonts w:hint="eastAsia" w:ascii="宋体" w:hAnsi="宋体"/>
          <w:szCs w:val="21"/>
        </w:rPr>
      </w:pPr>
    </w:p>
    <w:p>
      <w:pPr>
        <w:snapToGrid w:val="0"/>
        <w:spacing w:line="420" w:lineRule="exact"/>
        <w:ind w:firstLine="5325" w:firstLineChars="2500"/>
        <w:jc w:val="left"/>
        <w:rPr>
          <w:rFonts w:hint="eastAsia"/>
          <w:spacing w:val="6"/>
          <w:szCs w:val="21"/>
        </w:rPr>
      </w:pPr>
      <w:r>
        <w:rPr>
          <w:rFonts w:hint="eastAsia" w:ascii="宋体" w:hAnsi="宋体"/>
          <w:szCs w:val="21"/>
        </w:rPr>
        <w:t>日期：    年    月    日</w:t>
      </w:r>
    </w:p>
    <w:p>
      <w:pPr>
        <w:snapToGrid w:val="0"/>
        <w:spacing w:line="420" w:lineRule="exact"/>
        <w:rPr>
          <w:rFonts w:hint="eastAsia"/>
          <w:spacing w:val="6"/>
          <w:szCs w:val="21"/>
        </w:rPr>
      </w:pPr>
    </w:p>
    <w:p>
      <w:pPr>
        <w:spacing w:before="240" w:after="240" w:line="610" w:lineRule="exact"/>
        <w:jc w:val="center"/>
        <w:outlineLvl w:val="1"/>
        <w:rPr>
          <w:rFonts w:hint="eastAsia" w:ascii="宋体" w:hAnsi="宋体" w:eastAsia="宋体"/>
          <w:b/>
          <w:sz w:val="30"/>
          <w:szCs w:val="30"/>
          <w:lang w:eastAsia="zh-CN"/>
        </w:rPr>
      </w:pPr>
      <w:r>
        <w:rPr>
          <w:rFonts w:hint="eastAsia" w:ascii="宋体" w:hAnsi="宋体"/>
          <w:szCs w:val="21"/>
        </w:rPr>
        <w:br w:type="page"/>
      </w:r>
      <w:r>
        <w:rPr>
          <w:rFonts w:hint="eastAsia" w:ascii="宋体" w:hAnsi="宋体"/>
          <w:sz w:val="48"/>
          <w:szCs w:val="48"/>
          <w:lang w:eastAsia="zh-CN"/>
        </w:rPr>
        <w:t xml:space="preserve"> 县城新区南扩区渡龙安置小区建设工程项目监理</w:t>
      </w:r>
    </w:p>
    <w:p>
      <w:pPr>
        <w:rPr>
          <w:rFonts w:hint="eastAsia" w:ascii="宋体" w:hAnsi="宋体"/>
          <w:b/>
          <w:sz w:val="30"/>
          <w:szCs w:val="30"/>
        </w:rPr>
      </w:pPr>
    </w:p>
    <w:p>
      <w:pPr>
        <w:rPr>
          <w:rFonts w:hint="eastAsia" w:ascii="宋体" w:hAnsi="宋体"/>
          <w:b/>
          <w:sz w:val="30"/>
          <w:szCs w:val="30"/>
        </w:rPr>
      </w:pPr>
    </w:p>
    <w:p>
      <w:pPr>
        <w:spacing w:before="156" w:beforeLines="50" w:after="156" w:afterLines="50" w:line="480" w:lineRule="auto"/>
        <w:jc w:val="center"/>
        <w:rPr>
          <w:rFonts w:hint="eastAsia"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资</w:t>
      </w:r>
    </w:p>
    <w:p>
      <w:pPr>
        <w:spacing w:before="156" w:beforeLines="50" w:after="156" w:afterLines="50" w:line="480" w:lineRule="auto"/>
        <w:jc w:val="center"/>
        <w:rPr>
          <w:rFonts w:hint="eastAsia"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信</w:t>
      </w:r>
    </w:p>
    <w:p>
      <w:pPr>
        <w:spacing w:before="156" w:beforeLines="50" w:after="156" w:afterLines="50" w:line="480" w:lineRule="auto"/>
        <w:jc w:val="center"/>
        <w:rPr>
          <w:rFonts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标</w:t>
      </w:r>
    </w:p>
    <w:p>
      <w:pPr>
        <w:rPr>
          <w:rFonts w:hint="eastAsia" w:ascii="宋体" w:hAnsi="宋体"/>
          <w:b/>
          <w:sz w:val="48"/>
          <w:szCs w:val="48"/>
          <w14:shadow w14:blurRad="50800" w14:dist="38100" w14:dir="2700000" w14:sx="100000" w14:sy="100000" w14:kx="0" w14:ky="0" w14:algn="tl">
            <w14:srgbClr w14:val="000000">
              <w14:alpha w14:val="60000"/>
            </w14:srgbClr>
          </w14:shadow>
        </w:rPr>
      </w:pPr>
    </w:p>
    <w:p>
      <w:pPr>
        <w:rPr>
          <w:rFonts w:hint="eastAsia" w:ascii="宋体" w:hAnsi="宋体"/>
          <w:b/>
          <w:sz w:val="48"/>
          <w:szCs w:val="48"/>
          <w14:shadow w14:blurRad="50800" w14:dist="38100" w14:dir="2700000" w14:sx="100000" w14:sy="100000" w14:kx="0" w14:ky="0" w14:algn="tl">
            <w14:srgbClr w14:val="000000">
              <w14:alpha w14:val="60000"/>
            </w14:srgbClr>
          </w14:shadow>
        </w:rPr>
      </w:pPr>
    </w:p>
    <w:p>
      <w:pPr>
        <w:rPr>
          <w:rFonts w:hint="eastAsia" w:ascii="宋体" w:hAnsi="宋体"/>
          <w:sz w:val="28"/>
          <w:szCs w:val="28"/>
        </w:rPr>
      </w:pPr>
    </w:p>
    <w:p>
      <w:pPr>
        <w:rPr>
          <w:rFonts w:hint="eastAsia" w:ascii="宋体" w:hAnsi="宋体"/>
          <w:sz w:val="28"/>
          <w:szCs w:val="28"/>
        </w:rPr>
      </w:pPr>
    </w:p>
    <w:p>
      <w:pPr>
        <w:spacing w:before="156" w:beforeLines="50" w:after="156" w:afterLines="50" w:line="360" w:lineRule="auto"/>
        <w:ind w:firstLine="893" w:firstLineChars="295"/>
        <w:rPr>
          <w:rFonts w:ascii="宋体" w:hAnsi="宋体"/>
          <w:sz w:val="30"/>
          <w:szCs w:val="30"/>
          <w:u w:val="single"/>
        </w:rPr>
      </w:pPr>
      <w:r>
        <w:rPr>
          <w:rFonts w:hint="eastAsia" w:ascii="宋体" w:hAnsi="宋体"/>
          <w:sz w:val="30"/>
          <w:szCs w:val="30"/>
        </w:rPr>
        <w:t>投标单位：</w:t>
      </w:r>
      <w:r>
        <w:rPr>
          <w:rFonts w:hint="eastAsia" w:ascii="宋体" w:hAnsi="宋体"/>
          <w:sz w:val="30"/>
          <w:szCs w:val="30"/>
          <w:u w:val="single"/>
        </w:rPr>
        <w:t xml:space="preserve">                          （盖章）</w:t>
      </w:r>
    </w:p>
    <w:p>
      <w:pPr>
        <w:spacing w:before="156" w:beforeLines="50" w:after="156" w:afterLines="50" w:line="360" w:lineRule="auto"/>
        <w:ind w:firstLine="606"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（盖章）</w:t>
      </w:r>
    </w:p>
    <w:p>
      <w:pPr>
        <w:spacing w:before="156" w:beforeLines="50" w:after="156" w:afterLines="50" w:line="360" w:lineRule="auto"/>
        <w:ind w:firstLine="893" w:firstLineChars="295"/>
        <w:rPr>
          <w:rFonts w:hint="eastAsia" w:ascii="宋体" w:hAnsi="宋体"/>
          <w:sz w:val="30"/>
          <w:szCs w:val="30"/>
          <w:u w:val="single"/>
        </w:rPr>
      </w:pPr>
      <w:r>
        <w:rPr>
          <w:rFonts w:hint="eastAsia" w:ascii="宋体" w:hAnsi="宋体"/>
          <w:sz w:val="30"/>
          <w:szCs w:val="30"/>
        </w:rPr>
        <w:t>日    期：</w:t>
      </w:r>
      <w:r>
        <w:rPr>
          <w:rFonts w:hint="eastAsia" w:ascii="宋体" w:hAnsi="宋体"/>
          <w:sz w:val="30"/>
          <w:szCs w:val="30"/>
          <w:u w:val="single"/>
        </w:rPr>
        <w:t xml:space="preserve">__________________________________  </w:t>
      </w: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snapToGrid w:val="0"/>
        <w:spacing w:line="420" w:lineRule="exact"/>
        <w:jc w:val="left"/>
        <w:rPr>
          <w:rFonts w:hint="eastAsia"/>
          <w:spacing w:val="6"/>
          <w:szCs w:val="21"/>
        </w:rPr>
      </w:pPr>
    </w:p>
    <w:p>
      <w:pPr>
        <w:rPr>
          <w:rFonts w:hint="eastAsia" w:ascii="黑体" w:hAnsi="宋体" w:eastAsia="黑体"/>
          <w:bCs/>
          <w:spacing w:val="-20"/>
          <w:sz w:val="24"/>
          <w:u w:val="single"/>
          <w14:shadow w14:blurRad="50800" w14:dist="38100" w14:dir="2700000" w14:sx="100000" w14:sy="100000" w14:kx="0" w14:ky="0" w14:algn="tl">
            <w14:srgbClr w14:val="000000">
              <w14:alpha w14:val="60000"/>
            </w14:srgbClr>
          </w14:shadow>
        </w:rPr>
      </w:pPr>
    </w:p>
    <w:p>
      <w:pPr>
        <w:spacing w:line="400" w:lineRule="exact"/>
        <w:ind w:firstLine="420"/>
        <w:jc w:val="center"/>
        <w:textAlignment w:val="baseline"/>
        <w:rPr>
          <w:rFonts w:hint="eastAsia" w:ascii="宋体" w:hAnsi="宋体" w:cs="Arial"/>
          <w:sz w:val="24"/>
        </w:rPr>
      </w:pPr>
      <w:r>
        <w:rPr>
          <w:rFonts w:hint="eastAsia" w:ascii="宋体" w:hAnsi="宋体" w:cs="Arial"/>
          <w:sz w:val="36"/>
          <w:szCs w:val="36"/>
        </w:rPr>
        <w:t>资信标得分情况自评表</w:t>
      </w:r>
    </w:p>
    <w:p>
      <w:pPr>
        <w:spacing w:line="400" w:lineRule="exact"/>
        <w:textAlignment w:val="baseline"/>
        <w:rPr>
          <w:rFonts w:hint="eastAsia" w:ascii="宋体" w:hAnsi="宋体" w:cs="Arial"/>
          <w:szCs w:val="21"/>
        </w:rPr>
      </w:pPr>
    </w:p>
    <w:p>
      <w:pPr>
        <w:spacing w:line="400" w:lineRule="exact"/>
        <w:textAlignment w:val="baseline"/>
        <w:rPr>
          <w:rFonts w:hint="eastAsia" w:ascii="宋体" w:hAnsi="宋体" w:cs="Arial"/>
          <w:szCs w:val="21"/>
          <w:u w:val="single"/>
        </w:rPr>
      </w:pPr>
      <w:r>
        <w:rPr>
          <w:rFonts w:hint="eastAsia" w:ascii="宋体" w:hAnsi="宋体" w:cs="Arial"/>
          <w:szCs w:val="21"/>
        </w:rPr>
        <w:t>投标单位（盖章）：</w:t>
      </w:r>
      <w:r>
        <w:rPr>
          <w:rFonts w:hint="eastAsia" w:ascii="宋体" w:hAnsi="宋体" w:cs="Arial"/>
          <w:szCs w:val="21"/>
          <w:u w:val="single"/>
        </w:rPr>
        <w:t xml:space="preserve">                    </w:t>
      </w:r>
    </w:p>
    <w:p>
      <w:pPr>
        <w:spacing w:line="400" w:lineRule="exact"/>
        <w:textAlignment w:val="baseline"/>
        <w:rPr>
          <w:rFonts w:hint="eastAsia" w:ascii="宋体" w:hAnsi="宋体" w:cs="Arial"/>
          <w:szCs w:val="21"/>
          <w:u w:val="single"/>
        </w:rPr>
      </w:pPr>
    </w:p>
    <w:tbl>
      <w:tblPr>
        <w:tblStyle w:val="1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3"/>
        <w:gridCol w:w="1134"/>
        <w:gridCol w:w="1134"/>
        <w:gridCol w:w="2693"/>
        <w:gridCol w:w="1276"/>
        <w:gridCol w:w="186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szCs w:val="21"/>
              </w:rPr>
            </w:pPr>
            <w:r>
              <w:rPr>
                <w:rFonts w:hint="eastAsia" w:ascii="宋体" w:hAnsi="宋体"/>
                <w:szCs w:val="21"/>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r>
              <w:rPr>
                <w:rFonts w:hint="eastAsia" w:ascii="宋体" w:hAnsi="宋体" w:cs="宋体"/>
              </w:rPr>
              <w:t>评审内容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r>
              <w:rPr>
                <w:rFonts w:hint="eastAsia" w:ascii="宋体" w:hAnsi="宋体" w:cs="宋体"/>
              </w:rPr>
              <w:t>最高分值</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r>
              <w:rPr>
                <w:rFonts w:hint="eastAsia" w:ascii="宋体" w:hAnsi="宋体" w:cs="宋体"/>
              </w:rPr>
              <w:t>评分标准</w:t>
            </w:r>
          </w:p>
        </w:tc>
        <w:tc>
          <w:tcPr>
            <w:tcW w:w="1276" w:type="dxa"/>
            <w:tcBorders>
              <w:top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rPr>
            </w:pPr>
            <w:r>
              <w:rPr>
                <w:rFonts w:hint="eastAsia" w:ascii="宋体" w:hAnsi="宋体" w:cs="宋体"/>
              </w:rPr>
              <w:t>自评分值</w:t>
            </w:r>
          </w:p>
        </w:tc>
        <w:tc>
          <w:tcPr>
            <w:tcW w:w="1865" w:type="dxa"/>
            <w:tcBorders>
              <w:top w:val="single" w:color="auto" w:sz="4" w:space="0"/>
              <w:left w:val="single" w:color="auto" w:sz="4" w:space="0"/>
              <w:bottom w:val="single" w:color="auto" w:sz="4" w:space="0"/>
            </w:tcBorders>
            <w:noWrap w:val="0"/>
            <w:vAlign w:val="center"/>
          </w:tcPr>
          <w:p>
            <w:pPr>
              <w:snapToGrid w:val="0"/>
              <w:spacing w:line="300" w:lineRule="exact"/>
              <w:jc w:val="center"/>
              <w:rPr>
                <w:rFonts w:hint="eastAsia" w:ascii="宋体" w:hAnsi="宋体" w:cs="宋体"/>
              </w:rPr>
            </w:pPr>
            <w:r>
              <w:rPr>
                <w:rFonts w:hint="eastAsia" w:ascii="宋体" w:hAnsi="宋体" w:cs="宋体"/>
              </w:rPr>
              <w:t>相对应投标页码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center"/>
          </w:tcPr>
          <w:p>
            <w:pPr>
              <w:widowControl/>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9"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rPr>
            </w:pPr>
          </w:p>
        </w:tc>
        <w:tc>
          <w:tcPr>
            <w:tcW w:w="2693"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eastAsia" w:ascii="宋体" w:hAnsi="宋体" w:cs="宋体"/>
              </w:rPr>
            </w:pP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34" w:hRule="atLeast"/>
        </w:trPr>
        <w:tc>
          <w:tcPr>
            <w:tcW w:w="595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hint="eastAsia" w:ascii="宋体" w:hAnsi="宋体" w:cs="宋体"/>
                <w:sz w:val="24"/>
              </w:rPr>
            </w:pPr>
            <w:r>
              <w:rPr>
                <w:rFonts w:hint="eastAsia" w:ascii="宋体" w:hAnsi="宋体" w:cs="宋体"/>
                <w:sz w:val="24"/>
              </w:rPr>
              <w:t>合计</w:t>
            </w:r>
          </w:p>
        </w:tc>
        <w:tc>
          <w:tcPr>
            <w:tcW w:w="1276" w:type="dxa"/>
            <w:tcBorders>
              <w:top w:val="single" w:color="auto" w:sz="4" w:space="0"/>
              <w:bottom w:val="single" w:color="auto" w:sz="4" w:space="0"/>
              <w:right w:val="single" w:color="auto" w:sz="4" w:space="0"/>
            </w:tcBorders>
            <w:noWrap w:val="0"/>
            <w:vAlign w:val="top"/>
          </w:tcPr>
          <w:p>
            <w:pPr>
              <w:widowControl/>
              <w:jc w:val="left"/>
              <w:rPr>
                <w:rFonts w:ascii="宋体" w:hAnsi="宋体" w:cs="宋体"/>
              </w:rPr>
            </w:pPr>
          </w:p>
        </w:tc>
        <w:tc>
          <w:tcPr>
            <w:tcW w:w="1865" w:type="dxa"/>
            <w:tcBorders>
              <w:top w:val="single" w:color="auto" w:sz="4" w:space="0"/>
              <w:left w:val="single" w:color="auto" w:sz="4" w:space="0"/>
              <w:bottom w:val="single" w:color="auto" w:sz="4" w:space="0"/>
            </w:tcBorders>
            <w:noWrap w:val="0"/>
            <w:vAlign w:val="top"/>
          </w:tcPr>
          <w:p>
            <w:pPr>
              <w:widowControl/>
              <w:jc w:val="left"/>
              <w:rPr>
                <w:rFonts w:ascii="宋体" w:hAnsi="宋体" w:cs="宋体"/>
              </w:rPr>
            </w:pPr>
          </w:p>
        </w:tc>
      </w:tr>
    </w:tbl>
    <w:p>
      <w:pPr>
        <w:spacing w:line="500" w:lineRule="exact"/>
        <w:rPr>
          <w:rFonts w:hint="eastAsia" w:ascii="宋体" w:hAnsi="宋体"/>
          <w:sz w:val="24"/>
        </w:rPr>
      </w:pPr>
      <w:r>
        <w:rPr>
          <w:rFonts w:hint="eastAsia" w:ascii="宋体" w:hAnsi="宋体"/>
          <w:sz w:val="24"/>
        </w:rPr>
        <w:t>以上自评表仅供参考对照，不作为最终评分依据。</w:t>
      </w:r>
    </w:p>
    <w:p>
      <w:pPr>
        <w:spacing w:line="760" w:lineRule="exact"/>
        <w:jc w:val="center"/>
        <w:rPr>
          <w:rFonts w:ascii="宋体" w:hAnsi="宋体"/>
          <w:b/>
          <w:snapToGrid w:val="0"/>
          <w:sz w:val="50"/>
          <w:szCs w:val="50"/>
        </w:rPr>
      </w:pPr>
    </w:p>
    <w:p>
      <w:pPr>
        <w:spacing w:line="760" w:lineRule="exact"/>
        <w:jc w:val="center"/>
        <w:rPr>
          <w:rFonts w:ascii="宋体" w:hAnsi="宋体"/>
          <w:b/>
          <w:snapToGrid w:val="0"/>
          <w:sz w:val="50"/>
          <w:szCs w:val="50"/>
        </w:rPr>
      </w:pPr>
    </w:p>
    <w:p>
      <w:pPr>
        <w:spacing w:line="760" w:lineRule="exact"/>
        <w:jc w:val="center"/>
        <w:rPr>
          <w:rFonts w:ascii="宋体" w:hAnsi="宋体"/>
          <w:b/>
          <w:snapToGrid w:val="0"/>
          <w:sz w:val="50"/>
          <w:szCs w:val="50"/>
        </w:rPr>
      </w:pPr>
    </w:p>
    <w:p>
      <w:pPr>
        <w:rPr>
          <w:rFonts w:ascii="宋体" w:hAnsi="宋体"/>
          <w:color w:val="000000"/>
          <w:sz w:val="52"/>
          <w:szCs w:val="52"/>
        </w:rPr>
      </w:pPr>
    </w:p>
    <w:p>
      <w:pPr>
        <w:jc w:val="center"/>
        <w:rPr>
          <w:rFonts w:hint="eastAsia" w:ascii="宋体" w:hAnsi="宋体" w:eastAsia="宋体"/>
          <w:b/>
          <w:sz w:val="30"/>
          <w:szCs w:val="30"/>
          <w:lang w:eastAsia="zh-CN"/>
        </w:rPr>
      </w:pPr>
      <w:r>
        <w:rPr>
          <w:rFonts w:hint="eastAsia" w:ascii="宋体" w:hAnsi="宋体"/>
          <w:color w:val="000000"/>
          <w:sz w:val="44"/>
          <w:szCs w:val="44"/>
          <w:lang w:eastAsia="zh-CN"/>
        </w:rPr>
        <w:t>县城新区南扩区渡龙安置小区建设工程项目监理</w:t>
      </w:r>
    </w:p>
    <w:p>
      <w:pPr>
        <w:spacing w:before="156" w:beforeLines="50" w:after="156" w:afterLines="50" w:line="360" w:lineRule="auto"/>
        <w:jc w:val="center"/>
        <w:rPr>
          <w:rFonts w:ascii="宋体" w:hAnsi="宋体"/>
          <w:b/>
          <w:sz w:val="84"/>
          <w:szCs w:val="84"/>
          <w14:shadow w14:blurRad="50800" w14:dist="38100" w14:dir="2700000" w14:sx="100000" w14:sy="100000" w14:kx="0" w14:ky="0" w14:algn="tl">
            <w14:srgbClr w14:val="000000">
              <w14:alpha w14:val="60000"/>
            </w14:srgbClr>
          </w14:shadow>
        </w:rPr>
      </w:pPr>
    </w:p>
    <w:p>
      <w:pPr>
        <w:spacing w:before="156" w:beforeLines="50" w:after="156" w:afterLines="50" w:line="360" w:lineRule="auto"/>
        <w:jc w:val="center"/>
        <w:rPr>
          <w:rFonts w:hint="eastAsia"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商</w:t>
      </w:r>
    </w:p>
    <w:p>
      <w:pPr>
        <w:spacing w:before="156" w:beforeLines="50" w:after="156" w:afterLines="50" w:line="360" w:lineRule="auto"/>
        <w:jc w:val="center"/>
        <w:rPr>
          <w:rFonts w:hint="eastAsia"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务</w:t>
      </w:r>
    </w:p>
    <w:p>
      <w:pPr>
        <w:spacing w:before="156" w:beforeLines="50" w:after="156" w:afterLines="50" w:line="360" w:lineRule="auto"/>
        <w:jc w:val="center"/>
        <w:rPr>
          <w:rFonts w:ascii="宋体" w:hAnsi="宋体"/>
          <w:b/>
          <w:sz w:val="84"/>
          <w:szCs w:val="84"/>
          <w14:shadow w14:blurRad="50800" w14:dist="38100" w14:dir="2700000" w14:sx="100000" w14:sy="100000" w14:kx="0" w14:ky="0" w14:algn="tl">
            <w14:srgbClr w14:val="000000">
              <w14:alpha w14:val="60000"/>
            </w14:srgbClr>
          </w14:shadow>
        </w:rPr>
      </w:pPr>
      <w:r>
        <w:rPr>
          <w:rFonts w:hint="eastAsia" w:ascii="宋体" w:hAnsi="宋体"/>
          <w:b/>
          <w:sz w:val="84"/>
          <w:szCs w:val="84"/>
          <w14:shadow w14:blurRad="50800" w14:dist="38100" w14:dir="2700000" w14:sx="100000" w14:sy="100000" w14:kx="0" w14:ky="0" w14:algn="tl">
            <w14:srgbClr w14:val="000000">
              <w14:alpha w14:val="60000"/>
            </w14:srgbClr>
          </w14:shadow>
        </w:rPr>
        <w:t>标</w:t>
      </w:r>
    </w:p>
    <w:p>
      <w:pPr>
        <w:rPr>
          <w:rFonts w:hint="eastAsia" w:ascii="宋体" w:hAnsi="宋体"/>
          <w:b/>
          <w:sz w:val="48"/>
          <w:szCs w:val="48"/>
          <w14:shadow w14:blurRad="50800" w14:dist="38100" w14:dir="2700000" w14:sx="100000" w14:sy="100000" w14:kx="0" w14:ky="0" w14:algn="tl">
            <w14:srgbClr w14:val="000000">
              <w14:alpha w14:val="60000"/>
            </w14:srgbClr>
          </w14:shadow>
        </w:rPr>
      </w:pPr>
    </w:p>
    <w:p>
      <w:pPr>
        <w:rPr>
          <w:rFonts w:hint="eastAsia" w:ascii="宋体" w:hAnsi="宋体"/>
          <w:b/>
          <w:sz w:val="48"/>
          <w:szCs w:val="48"/>
          <w14:shadow w14:blurRad="50800" w14:dist="38100" w14:dir="2700000" w14:sx="100000" w14:sy="100000" w14:kx="0" w14:ky="0" w14:algn="tl">
            <w14:srgbClr w14:val="000000">
              <w14:alpha w14:val="60000"/>
            </w14:srgbClr>
          </w14:shadow>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spacing w:before="156" w:beforeLines="50" w:after="156" w:afterLines="50" w:line="360" w:lineRule="auto"/>
        <w:ind w:firstLine="893" w:firstLineChars="295"/>
        <w:rPr>
          <w:rFonts w:ascii="宋体" w:hAnsi="宋体"/>
          <w:sz w:val="30"/>
          <w:szCs w:val="30"/>
          <w:u w:val="single"/>
        </w:rPr>
      </w:pPr>
      <w:r>
        <w:rPr>
          <w:rFonts w:hint="eastAsia" w:ascii="宋体" w:hAnsi="宋体"/>
          <w:sz w:val="30"/>
          <w:szCs w:val="30"/>
        </w:rPr>
        <w:t>投标单位：</w:t>
      </w:r>
      <w:r>
        <w:rPr>
          <w:rFonts w:hint="eastAsia" w:ascii="宋体" w:hAnsi="宋体"/>
          <w:sz w:val="30"/>
          <w:szCs w:val="30"/>
          <w:u w:val="single"/>
        </w:rPr>
        <w:t xml:space="preserve">                          （盖章）</w:t>
      </w:r>
    </w:p>
    <w:p>
      <w:pPr>
        <w:spacing w:before="156" w:beforeLines="50" w:after="156" w:afterLines="50" w:line="360" w:lineRule="auto"/>
        <w:ind w:firstLine="925" w:firstLineChars="394"/>
        <w:rPr>
          <w:rFonts w:hint="eastAsia" w:ascii="宋体" w:hAnsi="宋体"/>
          <w:sz w:val="30"/>
          <w:szCs w:val="30"/>
        </w:rPr>
      </w:pPr>
      <w:r>
        <w:rPr>
          <w:rFonts w:hint="eastAsia" w:ascii="宋体" w:hAnsi="宋体"/>
          <w:spacing w:val="-34"/>
          <w:sz w:val="30"/>
          <w:szCs w:val="30"/>
        </w:rPr>
        <w:t>法定代表人</w:t>
      </w:r>
      <w:r>
        <w:rPr>
          <w:rFonts w:hint="eastAsia" w:ascii="宋体" w:hAnsi="宋体"/>
          <w:sz w:val="30"/>
          <w:szCs w:val="30"/>
        </w:rPr>
        <w:t>：</w:t>
      </w:r>
      <w:r>
        <w:rPr>
          <w:rFonts w:hint="eastAsia" w:ascii="宋体" w:hAnsi="宋体"/>
          <w:sz w:val="30"/>
          <w:szCs w:val="30"/>
          <w:u w:val="single"/>
        </w:rPr>
        <w:t xml:space="preserve">                          （盖章）</w:t>
      </w:r>
    </w:p>
    <w:p>
      <w:pPr>
        <w:spacing w:before="156" w:beforeLines="50" w:after="156" w:afterLines="50" w:line="360" w:lineRule="auto"/>
        <w:ind w:firstLine="893" w:firstLineChars="295"/>
        <w:rPr>
          <w:rFonts w:hint="eastAsia" w:ascii="宋体" w:hAnsi="宋体"/>
          <w:sz w:val="30"/>
          <w:szCs w:val="30"/>
          <w:u w:val="single"/>
        </w:rPr>
      </w:pPr>
      <w:r>
        <w:rPr>
          <w:rFonts w:hint="eastAsia" w:ascii="宋体" w:hAnsi="宋体"/>
          <w:sz w:val="30"/>
          <w:szCs w:val="30"/>
        </w:rPr>
        <w:t>日    期：</w:t>
      </w:r>
      <w:r>
        <w:rPr>
          <w:rFonts w:hint="eastAsia" w:ascii="宋体" w:hAnsi="宋体"/>
          <w:sz w:val="30"/>
          <w:szCs w:val="30"/>
          <w:u w:val="single"/>
        </w:rPr>
        <w:t>________________________________</w:t>
      </w:r>
      <w:r>
        <w:rPr>
          <w:rFonts w:hint="eastAsia" w:ascii="宋体" w:hAnsi="宋体"/>
          <w:sz w:val="30"/>
          <w:szCs w:val="30"/>
        </w:rPr>
        <w:t xml:space="preserve">_            </w:t>
      </w:r>
      <w:r>
        <w:rPr>
          <w:rFonts w:hint="eastAsia" w:ascii="宋体" w:hAnsi="宋体"/>
          <w:sz w:val="30"/>
          <w:szCs w:val="30"/>
          <w:u w:val="single"/>
        </w:rPr>
        <w:t xml:space="preserve"> </w:t>
      </w:r>
    </w:p>
    <w:p>
      <w:pPr>
        <w:spacing w:line="360" w:lineRule="auto"/>
        <w:rPr>
          <w:rFonts w:hint="eastAsia"/>
          <w:spacing w:val="6"/>
          <w:szCs w:val="21"/>
        </w:rPr>
      </w:pPr>
    </w:p>
    <w:p>
      <w:pPr>
        <w:spacing w:line="360" w:lineRule="auto"/>
        <w:rPr>
          <w:rFonts w:hint="eastAsia"/>
          <w:spacing w:val="6"/>
          <w:szCs w:val="21"/>
        </w:rPr>
      </w:pPr>
    </w:p>
    <w:p>
      <w:pPr>
        <w:spacing w:line="360" w:lineRule="auto"/>
        <w:jc w:val="center"/>
        <w:rPr>
          <w:rFonts w:hint="eastAsia" w:ascii="宋体" w:hAnsi="宋体"/>
          <w:sz w:val="44"/>
          <w:szCs w:val="32"/>
        </w:rPr>
      </w:pPr>
      <w:r>
        <w:rPr>
          <w:rFonts w:hint="eastAsia" w:ascii="宋体" w:hAnsi="宋体"/>
          <w:sz w:val="44"/>
          <w:szCs w:val="32"/>
        </w:rPr>
        <w:t>投  标  函</w:t>
      </w:r>
    </w:p>
    <w:p>
      <w:pPr>
        <w:spacing w:before="156" w:beforeLines="50" w:line="500" w:lineRule="exact"/>
        <w:ind w:firstLine="121" w:firstLineChars="50"/>
        <w:rPr>
          <w:rFonts w:hint="eastAsia"/>
          <w:sz w:val="24"/>
        </w:rPr>
      </w:pPr>
      <w:r>
        <w:rPr>
          <w:rFonts w:hint="eastAsia"/>
          <w:sz w:val="24"/>
          <w:u w:val="single"/>
        </w:rPr>
        <w:t xml:space="preserve">（招标单位名称）     </w:t>
      </w:r>
      <w:r>
        <w:rPr>
          <w:rFonts w:hint="eastAsia"/>
          <w:sz w:val="24"/>
        </w:rPr>
        <w:t>：</w:t>
      </w:r>
    </w:p>
    <w:p>
      <w:pPr>
        <w:spacing w:before="50" w:line="500" w:lineRule="exact"/>
        <w:ind w:firstLine="486" w:firstLineChars="200"/>
        <w:jc w:val="left"/>
        <w:rPr>
          <w:rFonts w:hint="eastAsia"/>
          <w:sz w:val="24"/>
        </w:rPr>
      </w:pPr>
      <w:r>
        <w:rPr>
          <w:rFonts w:hint="eastAsia"/>
          <w:sz w:val="24"/>
        </w:rPr>
        <w:t>我方已全面阅读和研究了</w:t>
      </w:r>
      <w:r>
        <w:rPr>
          <w:rFonts w:hint="eastAsia"/>
          <w:sz w:val="24"/>
          <w:u w:val="single"/>
          <w:lang w:eastAsia="zh-CN"/>
        </w:rPr>
        <w:t xml:space="preserve"> 县城新区南扩区渡龙安置小区建设工程项目监理</w:t>
      </w:r>
      <w:r>
        <w:rPr>
          <w:rFonts w:hint="eastAsia" w:ascii="宋体" w:hAnsi="宋体"/>
          <w:spacing w:val="20"/>
          <w:sz w:val="24"/>
        </w:rPr>
        <w:t>招标</w:t>
      </w:r>
      <w:r>
        <w:rPr>
          <w:rFonts w:hint="eastAsia"/>
          <w:sz w:val="24"/>
        </w:rPr>
        <w:t>文件和招标补充文件（如有），并经过对施工现场的踏勘，澄清疑问，已充分理解并掌握了有关本工程招标的全部情况。现经我方认真分析研究，</w:t>
      </w:r>
      <w:r>
        <w:rPr>
          <w:rFonts w:hint="eastAsia"/>
          <w:b/>
          <w:sz w:val="24"/>
          <w:u w:val="single"/>
        </w:rPr>
        <w:t>同意接受招标文件和招标补充文件（如有）中的全部内容和条件</w:t>
      </w:r>
      <w:r>
        <w:rPr>
          <w:rFonts w:hint="eastAsia"/>
          <w:sz w:val="24"/>
        </w:rPr>
        <w:t>，并按此确定本工程监理投标的要约内容，以本投标文件向你方发包的本工程监理</w:t>
      </w:r>
      <w:r>
        <w:rPr>
          <w:rFonts w:hint="eastAsia" w:ascii="宋体" w:hAnsi="宋体"/>
          <w:sz w:val="24"/>
        </w:rPr>
        <w:t>招标</w:t>
      </w:r>
      <w:r>
        <w:rPr>
          <w:rFonts w:hint="eastAsia"/>
          <w:sz w:val="24"/>
        </w:rPr>
        <w:t>全部内容进行投标。</w:t>
      </w:r>
      <w:r>
        <w:rPr>
          <w:rFonts w:hint="eastAsia" w:ascii="宋体" w:hAnsi="宋体"/>
          <w:color w:val="000000"/>
          <w:sz w:val="24"/>
        </w:rPr>
        <w:t>我方愿以人民币(大写)：</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元的报价</w:t>
      </w:r>
      <w:r>
        <w:rPr>
          <w:rFonts w:hint="eastAsia"/>
          <w:sz w:val="24"/>
        </w:rPr>
        <w:t>承接上述工程的施工监理任务，保证履行规定的一切责任和义务。</w:t>
      </w:r>
    </w:p>
    <w:p>
      <w:pPr>
        <w:spacing w:before="50" w:line="500" w:lineRule="exact"/>
        <w:ind w:firstLine="486" w:firstLineChars="200"/>
        <w:rPr>
          <w:rFonts w:hint="eastAsia"/>
          <w:sz w:val="24"/>
        </w:rPr>
      </w:pPr>
      <w:r>
        <w:rPr>
          <w:rFonts w:hint="eastAsia"/>
          <w:sz w:val="24"/>
        </w:rPr>
        <w:t>我方将严格按照有关建设工程招投标法规及招标文件的规定参加投标，并理解贵方对决标结果没有解释义务。如由我方中标，我方将</w:t>
      </w:r>
      <w:r>
        <w:rPr>
          <w:rFonts w:hint="eastAsia"/>
          <w:spacing w:val="6"/>
          <w:sz w:val="24"/>
        </w:rPr>
        <w:t>在领取中标通知书后三</w:t>
      </w:r>
      <w:r>
        <w:rPr>
          <w:rFonts w:hint="eastAsia"/>
          <w:sz w:val="24"/>
        </w:rPr>
        <w:t>十日内，按中标通知书、招标文件和本投标文件的约定与你方签订监理合同；并递交监理费的</w:t>
      </w:r>
      <w:r>
        <w:rPr>
          <w:rFonts w:hint="eastAsia"/>
          <w:b/>
          <w:sz w:val="24"/>
          <w:u w:val="single"/>
        </w:rPr>
        <w:t>2%</w:t>
      </w:r>
      <w:r>
        <w:rPr>
          <w:rFonts w:hint="eastAsia"/>
          <w:b/>
          <w:sz w:val="24"/>
        </w:rPr>
        <w:t>作</w:t>
      </w:r>
      <w:r>
        <w:rPr>
          <w:rFonts w:hint="eastAsia"/>
          <w:sz w:val="24"/>
        </w:rPr>
        <w:t xml:space="preserve">为合同履约保证金，保证履行投标书的承诺。同时我方将派出  </w:t>
      </w:r>
      <w:r>
        <w:rPr>
          <w:rFonts w:hint="eastAsia"/>
          <w:sz w:val="24"/>
          <w:u w:val="single"/>
        </w:rPr>
        <w:t xml:space="preserve">（总监理工程师姓名）    </w:t>
      </w:r>
      <w:r>
        <w:rPr>
          <w:rFonts w:hint="eastAsia"/>
          <w:sz w:val="24"/>
        </w:rPr>
        <w:t>作为</w:t>
      </w:r>
      <w:r>
        <w:rPr>
          <w:rFonts w:hint="eastAsia" w:ascii="宋体" w:hAnsi="宋体"/>
          <w:color w:val="000000"/>
          <w:sz w:val="24"/>
        </w:rPr>
        <w:t>本工程</w:t>
      </w:r>
      <w:r>
        <w:rPr>
          <w:rFonts w:hint="eastAsia"/>
          <w:sz w:val="24"/>
        </w:rPr>
        <w:t>的总监理工程师，</w:t>
      </w:r>
      <w:r>
        <w:rPr>
          <w:rFonts w:hint="eastAsia"/>
          <w:b/>
          <w:sz w:val="24"/>
          <w:u w:val="single"/>
        </w:rPr>
        <w:t>并保证项目总监目前无正在监理担任总监的工程，并认真遵守有关考勤考纪制度</w:t>
      </w:r>
      <w:r>
        <w:rPr>
          <w:rFonts w:hint="eastAsia"/>
          <w:sz w:val="24"/>
        </w:rPr>
        <w:t>。如违反此承诺，愿按合同有关规定接受处罚。</w:t>
      </w:r>
    </w:p>
    <w:p>
      <w:pPr>
        <w:spacing w:before="50" w:line="500" w:lineRule="exact"/>
        <w:ind w:firstLine="486" w:firstLineChars="200"/>
        <w:rPr>
          <w:rFonts w:hint="eastAsia"/>
          <w:sz w:val="24"/>
        </w:rPr>
      </w:pPr>
    </w:p>
    <w:p>
      <w:pPr>
        <w:spacing w:before="50" w:line="500" w:lineRule="exact"/>
        <w:ind w:firstLine="426" w:firstLineChars="200"/>
        <w:rPr>
          <w:rFonts w:hint="eastAsia"/>
          <w:szCs w:val="21"/>
        </w:rPr>
      </w:pPr>
    </w:p>
    <w:p>
      <w:pPr>
        <w:spacing w:before="50" w:line="500" w:lineRule="exact"/>
        <w:ind w:firstLine="426" w:firstLineChars="200"/>
        <w:rPr>
          <w:rFonts w:hint="eastAsia"/>
          <w:szCs w:val="21"/>
        </w:rPr>
      </w:pPr>
    </w:p>
    <w:p>
      <w:pPr>
        <w:spacing w:line="360" w:lineRule="auto"/>
        <w:ind w:firstLine="426" w:firstLineChars="200"/>
        <w:rPr>
          <w:rFonts w:hint="eastAsia"/>
          <w:szCs w:val="21"/>
        </w:rPr>
      </w:pPr>
    </w:p>
    <w:p>
      <w:pPr>
        <w:spacing w:line="360" w:lineRule="auto"/>
        <w:ind w:firstLine="4579" w:firstLineChars="2150"/>
        <w:rPr>
          <w:rFonts w:hint="eastAsia"/>
          <w:szCs w:val="21"/>
        </w:rPr>
      </w:pPr>
      <w:r>
        <w:rPr>
          <w:rFonts w:hint="eastAsia"/>
          <w:szCs w:val="21"/>
        </w:rPr>
        <w:t xml:space="preserve">投标单位（公章）：  </w:t>
      </w:r>
    </w:p>
    <w:p>
      <w:pPr>
        <w:spacing w:line="360" w:lineRule="auto"/>
        <w:ind w:firstLine="4473" w:firstLineChars="2100"/>
        <w:rPr>
          <w:rFonts w:hint="eastAsia"/>
          <w:szCs w:val="21"/>
        </w:rPr>
      </w:pPr>
      <w:r>
        <w:rPr>
          <w:rFonts w:hint="eastAsia"/>
          <w:szCs w:val="21"/>
        </w:rPr>
        <w:t xml:space="preserve">       </w:t>
      </w:r>
    </w:p>
    <w:p>
      <w:pPr>
        <w:spacing w:line="360" w:lineRule="auto"/>
        <w:ind w:firstLine="4579" w:firstLineChars="2150"/>
        <w:rPr>
          <w:rFonts w:hint="eastAsia"/>
          <w:szCs w:val="21"/>
        </w:rPr>
      </w:pPr>
      <w:r>
        <w:rPr>
          <w:rFonts w:hint="eastAsia"/>
          <w:szCs w:val="21"/>
        </w:rPr>
        <w:t>法定代表人（签字或盖章）：</w:t>
      </w:r>
    </w:p>
    <w:p>
      <w:pPr>
        <w:spacing w:line="360" w:lineRule="auto"/>
        <w:ind w:firstLine="4473" w:firstLineChars="2100"/>
        <w:rPr>
          <w:rFonts w:hint="eastAsia"/>
          <w:szCs w:val="21"/>
        </w:rPr>
      </w:pPr>
    </w:p>
    <w:p>
      <w:pPr>
        <w:rPr>
          <w:rFonts w:hint="eastAsia"/>
          <w:szCs w:val="21"/>
        </w:rPr>
      </w:pPr>
      <w:r>
        <w:rPr>
          <w:rFonts w:hint="eastAsia"/>
          <w:szCs w:val="21"/>
        </w:rPr>
        <w:t xml:space="preserve">                                                      年   月   日</w:t>
      </w:r>
    </w:p>
    <w:p>
      <w:pPr>
        <w:spacing w:line="360" w:lineRule="auto"/>
        <w:rPr>
          <w:rFonts w:hint="eastAsia"/>
          <w:szCs w:val="21"/>
        </w:rPr>
      </w:pPr>
      <w:r>
        <w:rPr>
          <w:szCs w:val="21"/>
        </w:rPr>
        <w:br w:type="page"/>
      </w:r>
    </w:p>
    <w:p>
      <w:pPr>
        <w:spacing w:line="360" w:lineRule="auto"/>
        <w:jc w:val="center"/>
        <w:rPr>
          <w:rFonts w:hint="eastAsia" w:ascii="宋体" w:hAnsi="宋体"/>
          <w:b/>
          <w:sz w:val="32"/>
          <w:szCs w:val="32"/>
        </w:rPr>
      </w:pPr>
      <w:r>
        <w:rPr>
          <w:rFonts w:hint="eastAsia" w:ascii="宋体" w:hAnsi="宋体"/>
          <w:b/>
          <w:sz w:val="32"/>
          <w:szCs w:val="32"/>
          <w:lang w:eastAsia="zh-CN"/>
        </w:rPr>
        <w:t xml:space="preserve"> 县城新区南扩区渡龙安置小区建设工程项目监理</w:t>
      </w:r>
      <w:r>
        <w:rPr>
          <w:rFonts w:hint="eastAsia" w:ascii="宋体" w:hAnsi="宋体"/>
          <w:b/>
          <w:sz w:val="32"/>
          <w:szCs w:val="32"/>
        </w:rPr>
        <w:t>投标报价表</w:t>
      </w:r>
    </w:p>
    <w:p>
      <w:pPr>
        <w:spacing w:line="360" w:lineRule="auto"/>
        <w:jc w:val="left"/>
        <w:rPr>
          <w:rFonts w:hint="eastAsia" w:ascii="宋体" w:hAnsi="宋体"/>
          <w:b/>
          <w:sz w:val="24"/>
        </w:rPr>
      </w:pPr>
      <w:r>
        <w:rPr>
          <w:rFonts w:hint="eastAsia" w:ascii="宋体" w:hAnsi="宋体"/>
          <w:sz w:val="24"/>
        </w:rPr>
        <w:t>工程名称：</w:t>
      </w:r>
      <w:r>
        <w:rPr>
          <w:rFonts w:hint="eastAsia" w:ascii="宋体" w:hAnsi="宋体"/>
          <w:b/>
          <w:sz w:val="24"/>
        </w:rPr>
        <w:t xml:space="preserve"> </w:t>
      </w:r>
    </w:p>
    <w:tbl>
      <w:tblPr>
        <w:tblStyle w:val="15"/>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892"/>
        <w:gridCol w:w="3531"/>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1033" w:type="dxa"/>
            <w:tcBorders>
              <w:top w:val="single" w:color="auto" w:sz="12" w:space="0"/>
              <w:left w:val="single" w:color="auto" w:sz="12" w:space="0"/>
            </w:tcBorders>
            <w:noWrap w:val="0"/>
            <w:vAlign w:val="center"/>
          </w:tcPr>
          <w:p>
            <w:pPr>
              <w:spacing w:line="500" w:lineRule="exact"/>
              <w:jc w:val="center"/>
              <w:rPr>
                <w:rFonts w:hint="eastAsia" w:ascii="黑体" w:hAnsi="宋体" w:eastAsia="黑体"/>
                <w:szCs w:val="21"/>
              </w:rPr>
            </w:pPr>
            <w:r>
              <w:rPr>
                <w:rFonts w:hint="eastAsia" w:ascii="黑体" w:hAnsi="宋体" w:eastAsia="黑体"/>
                <w:szCs w:val="21"/>
              </w:rPr>
              <w:t>序号</w:t>
            </w:r>
          </w:p>
        </w:tc>
        <w:tc>
          <w:tcPr>
            <w:tcW w:w="1892" w:type="dxa"/>
            <w:tcBorders>
              <w:top w:val="single" w:color="auto" w:sz="12" w:space="0"/>
            </w:tcBorders>
            <w:noWrap w:val="0"/>
            <w:vAlign w:val="center"/>
          </w:tcPr>
          <w:p>
            <w:pPr>
              <w:spacing w:line="500" w:lineRule="exact"/>
              <w:jc w:val="center"/>
              <w:rPr>
                <w:rFonts w:hint="eastAsia" w:ascii="黑体" w:hAnsi="宋体" w:eastAsia="黑体"/>
                <w:szCs w:val="21"/>
              </w:rPr>
            </w:pPr>
            <w:r>
              <w:rPr>
                <w:rFonts w:hint="eastAsia" w:ascii="黑体" w:hAnsi="宋体" w:eastAsia="黑体"/>
                <w:szCs w:val="21"/>
              </w:rPr>
              <w:t>项目名称</w:t>
            </w:r>
          </w:p>
        </w:tc>
        <w:tc>
          <w:tcPr>
            <w:tcW w:w="3531" w:type="dxa"/>
            <w:tcBorders>
              <w:top w:val="single" w:color="auto" w:sz="12" w:space="0"/>
              <w:right w:val="single" w:color="auto" w:sz="2" w:space="0"/>
            </w:tcBorders>
            <w:noWrap w:val="0"/>
            <w:vAlign w:val="center"/>
          </w:tcPr>
          <w:p>
            <w:pPr>
              <w:spacing w:line="500" w:lineRule="exact"/>
              <w:ind w:right="-108"/>
              <w:jc w:val="center"/>
              <w:rPr>
                <w:rFonts w:hint="eastAsia" w:ascii="黑体" w:hAnsi="宋体" w:eastAsia="黑体"/>
                <w:spacing w:val="20"/>
                <w:szCs w:val="21"/>
              </w:rPr>
            </w:pPr>
            <w:r>
              <w:rPr>
                <w:rFonts w:hint="eastAsia" w:ascii="黑体" w:hAnsi="宋体" w:eastAsia="黑体"/>
                <w:spacing w:val="20"/>
                <w:szCs w:val="21"/>
              </w:rPr>
              <w:t>数  额</w:t>
            </w:r>
          </w:p>
        </w:tc>
        <w:tc>
          <w:tcPr>
            <w:tcW w:w="2609" w:type="dxa"/>
            <w:tcBorders>
              <w:top w:val="single" w:color="auto" w:sz="12" w:space="0"/>
              <w:left w:val="single" w:color="auto" w:sz="2" w:space="0"/>
              <w:right w:val="single" w:color="auto" w:sz="12" w:space="0"/>
            </w:tcBorders>
            <w:noWrap w:val="0"/>
            <w:vAlign w:val="center"/>
          </w:tcPr>
          <w:p>
            <w:pPr>
              <w:spacing w:line="500" w:lineRule="exact"/>
              <w:ind w:right="-3"/>
              <w:jc w:val="center"/>
              <w:rPr>
                <w:rFonts w:hint="eastAsia" w:ascii="黑体" w:hAnsi="宋体" w:eastAsia="黑体"/>
                <w:szCs w:val="21"/>
              </w:rPr>
            </w:pPr>
            <w:r>
              <w:rPr>
                <w:rFonts w:hint="eastAsia" w:ascii="黑体" w:hAnsi="宋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trPr>
        <w:tc>
          <w:tcPr>
            <w:tcW w:w="1033" w:type="dxa"/>
            <w:tcBorders>
              <w:left w:val="single" w:color="auto" w:sz="12" w:space="0"/>
            </w:tcBorders>
            <w:noWrap w:val="0"/>
            <w:vAlign w:val="center"/>
          </w:tcPr>
          <w:p>
            <w:pPr>
              <w:spacing w:line="500" w:lineRule="exact"/>
              <w:jc w:val="center"/>
              <w:rPr>
                <w:rFonts w:hint="eastAsia" w:ascii="宋体" w:hAnsi="宋体"/>
                <w:szCs w:val="21"/>
              </w:rPr>
            </w:pPr>
            <w:r>
              <w:rPr>
                <w:rFonts w:hint="eastAsia" w:ascii="宋体" w:hAnsi="宋体"/>
                <w:szCs w:val="21"/>
              </w:rPr>
              <w:t>1</w:t>
            </w:r>
          </w:p>
        </w:tc>
        <w:tc>
          <w:tcPr>
            <w:tcW w:w="1892" w:type="dxa"/>
            <w:noWrap w:val="0"/>
            <w:vAlign w:val="center"/>
          </w:tcPr>
          <w:p>
            <w:pPr>
              <w:spacing w:line="500" w:lineRule="exact"/>
              <w:jc w:val="center"/>
              <w:rPr>
                <w:rFonts w:hint="eastAsia" w:ascii="宋体" w:hAnsi="宋体"/>
                <w:szCs w:val="21"/>
              </w:rPr>
            </w:pPr>
            <w:r>
              <w:rPr>
                <w:rFonts w:hint="eastAsia" w:ascii="宋体" w:hAnsi="宋体"/>
                <w:szCs w:val="21"/>
              </w:rPr>
              <w:t>监理费取费基数</w:t>
            </w:r>
          </w:p>
        </w:tc>
        <w:tc>
          <w:tcPr>
            <w:tcW w:w="3531" w:type="dxa"/>
            <w:tcBorders>
              <w:right w:val="single" w:color="auto" w:sz="2" w:space="0"/>
            </w:tcBorders>
            <w:noWrap w:val="0"/>
            <w:vAlign w:val="center"/>
          </w:tcPr>
          <w:p>
            <w:pPr>
              <w:spacing w:line="500" w:lineRule="exact"/>
              <w:jc w:val="center"/>
              <w:rPr>
                <w:rFonts w:hint="eastAsia" w:ascii="宋体" w:hAnsi="宋体"/>
                <w:b/>
                <w:color w:val="FF0000"/>
                <w:szCs w:val="21"/>
              </w:rPr>
            </w:pPr>
            <w:r>
              <w:rPr>
                <w:rFonts w:hint="eastAsia" w:ascii="宋体" w:hAnsi="宋体" w:eastAsia="宋体" w:cs="宋体"/>
                <w:b/>
                <w:bCs/>
                <w:color w:val="auto"/>
                <w:sz w:val="24"/>
                <w:szCs w:val="24"/>
                <w:u w:val="single"/>
                <w:lang w:val="en-US" w:eastAsia="zh-CN"/>
              </w:rPr>
              <w:t>36052.0440万元</w:t>
            </w:r>
          </w:p>
        </w:tc>
        <w:tc>
          <w:tcPr>
            <w:tcW w:w="2609" w:type="dxa"/>
            <w:vMerge w:val="restart"/>
            <w:tcBorders>
              <w:left w:val="single" w:color="auto" w:sz="2" w:space="0"/>
              <w:right w:val="single" w:color="auto" w:sz="12" w:space="0"/>
            </w:tcBorders>
            <w:noWrap w:val="0"/>
            <w:vAlign w:val="center"/>
          </w:tcPr>
          <w:p>
            <w:pPr>
              <w:spacing w:line="360" w:lineRule="exact"/>
              <w:ind w:left="366" w:leftChars="1" w:right="-6" w:hanging="364" w:hangingChars="150"/>
              <w:jc w:val="center"/>
              <w:rPr>
                <w:rFonts w:hint="eastAsia" w:ascii="宋体" w:hAnsi="宋体"/>
                <w:bCs/>
                <w:color w:val="333333"/>
                <w:sz w:val="24"/>
                <w:shd w:val="clear" w:color="auto" w:fill="FFFFFF"/>
              </w:rPr>
            </w:pPr>
            <w:r>
              <w:rPr>
                <w:rFonts w:hint="eastAsia" w:ascii="宋体" w:hAnsi="宋体"/>
                <w:bCs/>
                <w:color w:val="333333"/>
                <w:sz w:val="24"/>
                <w:shd w:val="clear" w:color="auto" w:fill="FFFFFF"/>
              </w:rPr>
              <w:t>最高</w:t>
            </w:r>
            <w:r>
              <w:rPr>
                <w:rFonts w:hint="eastAsia" w:ascii="宋体" w:hAnsi="宋体"/>
                <w:sz w:val="24"/>
              </w:rPr>
              <w:t>监理费投标</w:t>
            </w:r>
            <w:r>
              <w:rPr>
                <w:rFonts w:hint="eastAsia" w:ascii="宋体" w:hAnsi="宋体"/>
                <w:bCs/>
                <w:color w:val="333333"/>
                <w:sz w:val="24"/>
                <w:shd w:val="clear" w:color="auto" w:fill="FFFFFF"/>
              </w:rPr>
              <w:t>限价</w:t>
            </w:r>
          </w:p>
          <w:p>
            <w:pPr>
              <w:spacing w:line="360" w:lineRule="exact"/>
              <w:ind w:left="366" w:leftChars="1" w:right="-6" w:hanging="364" w:hangingChars="150"/>
              <w:jc w:val="center"/>
              <w:rPr>
                <w:rFonts w:hint="eastAsia" w:ascii="宋体" w:hAnsi="宋体"/>
                <w:szCs w:val="21"/>
              </w:rPr>
            </w:pPr>
            <w:r>
              <w:rPr>
                <w:rFonts w:hint="eastAsia" w:ascii="宋体" w:hAnsi="宋体"/>
                <w:bCs/>
                <w:color w:val="333333"/>
                <w:sz w:val="24"/>
                <w:shd w:val="clear" w:color="auto" w:fill="FFFFFF"/>
              </w:rPr>
              <w:t>为</w:t>
            </w:r>
            <w:r>
              <w:rPr>
                <w:rFonts w:hint="eastAsia"/>
                <w:b/>
                <w:bCs/>
                <w:color w:val="FF0000"/>
                <w:sz w:val="20"/>
                <w:szCs w:val="20"/>
                <w:u w:val="single"/>
                <w:shd w:val="clear" w:color="auto" w:fill="FFFFFF"/>
                <w:lang w:val="en-US" w:eastAsia="zh-CN"/>
              </w:rPr>
              <w:t>452.0000万元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33" w:type="dxa"/>
            <w:tcBorders>
              <w:left w:val="single" w:color="auto" w:sz="12" w:space="0"/>
            </w:tcBorders>
            <w:noWrap w:val="0"/>
            <w:vAlign w:val="center"/>
          </w:tcPr>
          <w:p>
            <w:pPr>
              <w:spacing w:line="500" w:lineRule="exact"/>
              <w:jc w:val="center"/>
              <w:rPr>
                <w:rFonts w:hint="eastAsia" w:ascii="宋体" w:hAnsi="宋体" w:eastAsia="宋体"/>
                <w:szCs w:val="21"/>
                <w:lang w:val="en-US" w:eastAsia="zh-CN"/>
              </w:rPr>
            </w:pPr>
            <w:r>
              <w:rPr>
                <w:rFonts w:hint="eastAsia" w:ascii="宋体" w:hAnsi="宋体"/>
                <w:szCs w:val="21"/>
              </w:rPr>
              <w:t>2</w:t>
            </w:r>
          </w:p>
        </w:tc>
        <w:tc>
          <w:tcPr>
            <w:tcW w:w="1892" w:type="dxa"/>
            <w:noWrap w:val="0"/>
            <w:vAlign w:val="center"/>
          </w:tcPr>
          <w:p>
            <w:pPr>
              <w:spacing w:line="500" w:lineRule="exact"/>
              <w:jc w:val="center"/>
              <w:rPr>
                <w:rFonts w:hint="eastAsia"/>
                <w:szCs w:val="21"/>
              </w:rPr>
            </w:pPr>
            <w:r>
              <w:rPr>
                <w:rFonts w:hint="eastAsia" w:ascii="宋体" w:hAnsi="宋体"/>
                <w:szCs w:val="21"/>
              </w:rPr>
              <w:t>监理费投标费率</w:t>
            </w:r>
          </w:p>
        </w:tc>
        <w:tc>
          <w:tcPr>
            <w:tcW w:w="3531" w:type="dxa"/>
            <w:tcBorders>
              <w:right w:val="single" w:color="auto" w:sz="2" w:space="0"/>
            </w:tcBorders>
            <w:noWrap w:val="0"/>
            <w:vAlign w:val="center"/>
          </w:tcPr>
          <w:p>
            <w:pPr>
              <w:spacing w:line="500" w:lineRule="exact"/>
              <w:ind w:right="560" w:rightChars="0" w:firstLine="449" w:firstLineChars="211"/>
              <w:jc w:val="center"/>
              <w:rPr>
                <w:rFonts w:hint="eastAsia" w:ascii="宋体" w:hAnsi="宋体"/>
                <w:szCs w:val="21"/>
                <w:u w:val="single"/>
              </w:rPr>
            </w:pPr>
            <w:r>
              <w:rPr>
                <w:rFonts w:hint="eastAsia" w:ascii="宋体" w:hAnsi="宋体"/>
                <w:bCs/>
                <w:szCs w:val="21"/>
                <w:u w:val="single"/>
              </w:rPr>
              <w:t xml:space="preserve">          </w:t>
            </w:r>
            <w:r>
              <w:rPr>
                <w:rFonts w:hint="eastAsia" w:ascii="宋体" w:hAnsi="宋体"/>
                <w:bCs/>
                <w:szCs w:val="21"/>
              </w:rPr>
              <w:t>%</w:t>
            </w:r>
          </w:p>
        </w:tc>
        <w:tc>
          <w:tcPr>
            <w:tcW w:w="2609" w:type="dxa"/>
            <w:vMerge w:val="continue"/>
            <w:tcBorders>
              <w:left w:val="single" w:color="auto" w:sz="2" w:space="0"/>
              <w:right w:val="single" w:color="auto" w:sz="12" w:space="0"/>
            </w:tcBorders>
            <w:noWrap w:val="0"/>
            <w:vAlign w:val="top"/>
          </w:tcPr>
          <w:p>
            <w:pPr>
              <w:wordWrap w:val="0"/>
              <w:spacing w:line="540" w:lineRule="exact"/>
              <w:ind w:right="420"/>
              <w:jc w:val="righ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033" w:type="dxa"/>
            <w:tcBorders>
              <w:left w:val="single" w:color="auto" w:sz="12" w:space="0"/>
            </w:tcBorders>
            <w:noWrap w:val="0"/>
            <w:vAlign w:val="center"/>
          </w:tcPr>
          <w:p>
            <w:pPr>
              <w:jc w:val="center"/>
              <w:rPr>
                <w:rFonts w:hint="eastAsia" w:ascii="宋体" w:hAnsi="宋体"/>
                <w:szCs w:val="21"/>
              </w:rPr>
            </w:pPr>
            <w:r>
              <w:rPr>
                <w:rFonts w:hint="eastAsia" w:ascii="宋体" w:hAnsi="宋体"/>
                <w:szCs w:val="21"/>
              </w:rPr>
              <w:t>3</w:t>
            </w:r>
          </w:p>
        </w:tc>
        <w:tc>
          <w:tcPr>
            <w:tcW w:w="1892" w:type="dxa"/>
            <w:noWrap w:val="0"/>
            <w:vAlign w:val="center"/>
          </w:tcPr>
          <w:p>
            <w:pPr>
              <w:spacing w:line="400" w:lineRule="exact"/>
              <w:jc w:val="center"/>
              <w:rPr>
                <w:rFonts w:hint="eastAsia" w:ascii="宋体" w:hAnsi="宋体"/>
                <w:szCs w:val="21"/>
              </w:rPr>
            </w:pPr>
            <w:r>
              <w:rPr>
                <w:rFonts w:hint="eastAsia"/>
                <w:szCs w:val="21"/>
              </w:rPr>
              <w:t>监理费投标报价</w:t>
            </w:r>
          </w:p>
        </w:tc>
        <w:tc>
          <w:tcPr>
            <w:tcW w:w="3531" w:type="dxa"/>
            <w:tcBorders>
              <w:right w:val="single" w:color="auto" w:sz="2" w:space="0"/>
            </w:tcBorders>
            <w:noWrap w:val="0"/>
            <w:vAlign w:val="center"/>
          </w:tcPr>
          <w:p>
            <w:pPr>
              <w:spacing w:line="400" w:lineRule="exact"/>
              <w:ind w:firstLine="1047" w:firstLineChars="492"/>
              <w:rPr>
                <w:rFonts w:hint="eastAsia" w:ascii="宋体" w:hAnsi="宋体"/>
                <w:szCs w:val="21"/>
              </w:rPr>
            </w:pPr>
            <w:r>
              <w:rPr>
                <w:rFonts w:hint="eastAsia" w:ascii="宋体" w:hAnsi="宋体"/>
                <w:szCs w:val="21"/>
                <w:u w:val="single"/>
              </w:rPr>
              <w:t xml:space="preserve">           </w:t>
            </w:r>
            <w:r>
              <w:rPr>
                <w:rFonts w:hint="eastAsia" w:ascii="宋体" w:hAnsi="宋体"/>
                <w:szCs w:val="21"/>
              </w:rPr>
              <w:t>万元</w:t>
            </w:r>
          </w:p>
        </w:tc>
        <w:tc>
          <w:tcPr>
            <w:tcW w:w="2609" w:type="dxa"/>
            <w:vMerge w:val="continue"/>
            <w:tcBorders>
              <w:left w:val="single" w:color="auto" w:sz="2" w:space="0"/>
              <w:right w:val="single" w:color="auto" w:sz="12" w:space="0"/>
            </w:tcBorders>
            <w:noWrap w:val="0"/>
            <w:vAlign w:val="top"/>
          </w:tcPr>
          <w:p>
            <w:pPr>
              <w:wordWrap w:val="0"/>
              <w:spacing w:line="540" w:lineRule="exact"/>
              <w:ind w:right="420"/>
              <w:jc w:val="righ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2" w:hRule="atLeast"/>
        </w:trPr>
        <w:tc>
          <w:tcPr>
            <w:tcW w:w="2925" w:type="dxa"/>
            <w:gridSpan w:val="2"/>
            <w:tcBorders>
              <w:left w:val="single" w:color="auto" w:sz="12" w:space="0"/>
            </w:tcBorders>
            <w:noWrap w:val="0"/>
            <w:vAlign w:val="center"/>
          </w:tcPr>
          <w:p>
            <w:pPr>
              <w:jc w:val="center"/>
              <w:rPr>
                <w:rFonts w:hint="eastAsia" w:ascii="宋体" w:hAnsi="宋体"/>
                <w:szCs w:val="21"/>
              </w:rPr>
            </w:pPr>
            <w:r>
              <w:rPr>
                <w:rFonts w:hint="eastAsia" w:ascii="宋体" w:hAnsi="宋体"/>
                <w:szCs w:val="21"/>
              </w:rPr>
              <w:t>合计（大写）</w:t>
            </w:r>
          </w:p>
        </w:tc>
        <w:tc>
          <w:tcPr>
            <w:tcW w:w="6140" w:type="dxa"/>
            <w:gridSpan w:val="2"/>
            <w:tcBorders>
              <w:right w:val="single" w:color="auto" w:sz="12" w:space="0"/>
            </w:tcBorders>
            <w:noWrap w:val="0"/>
            <w:vAlign w:val="center"/>
          </w:tcPr>
          <w:p>
            <w:pPr>
              <w:wordWrap w:val="0"/>
              <w:spacing w:line="540" w:lineRule="exact"/>
              <w:ind w:right="840"/>
              <w:rPr>
                <w:rFonts w:hint="eastAsia" w:ascii="宋体" w:hAnsi="宋体"/>
                <w:szCs w:val="21"/>
              </w:rPr>
            </w:pPr>
            <w:r>
              <w:rPr>
                <w:rFonts w:hint="eastAsia" w:ascii="宋体" w:hAnsi="宋体"/>
                <w:szCs w:val="21"/>
              </w:rPr>
              <w:t xml:space="preserve"> 大写：</w:t>
            </w:r>
            <w:r>
              <w:rPr>
                <w:rFonts w:hint="eastAsia" w:ascii="宋体" w:hAnsi="宋体"/>
                <w:szCs w:val="21"/>
                <w:u w:val="single"/>
              </w:rPr>
              <w:t xml:space="preserve">                               </w:t>
            </w:r>
            <w:r>
              <w:rPr>
                <w:rFonts w:hint="eastAsia" w:ascii="宋体" w:hAnsi="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1" w:hRule="atLeast"/>
        </w:trPr>
        <w:tc>
          <w:tcPr>
            <w:tcW w:w="9065" w:type="dxa"/>
            <w:gridSpan w:val="4"/>
            <w:tcBorders>
              <w:left w:val="single" w:color="auto" w:sz="12" w:space="0"/>
              <w:bottom w:val="single" w:color="auto" w:sz="12" w:space="0"/>
              <w:right w:val="single" w:color="auto" w:sz="12" w:space="0"/>
            </w:tcBorders>
            <w:noWrap w:val="0"/>
            <w:vAlign w:val="top"/>
          </w:tcPr>
          <w:p>
            <w:pPr>
              <w:spacing w:line="540" w:lineRule="exact"/>
              <w:rPr>
                <w:rFonts w:hint="eastAsia" w:ascii="宋体" w:hAnsi="宋体"/>
                <w:szCs w:val="21"/>
              </w:rPr>
            </w:pPr>
          </w:p>
          <w:p>
            <w:pPr>
              <w:spacing w:line="540" w:lineRule="exact"/>
              <w:rPr>
                <w:rFonts w:hint="eastAsia" w:ascii="宋体" w:hAnsi="宋体"/>
                <w:szCs w:val="21"/>
              </w:rPr>
            </w:pPr>
          </w:p>
          <w:p>
            <w:pPr>
              <w:spacing w:line="540" w:lineRule="exact"/>
              <w:rPr>
                <w:rFonts w:hint="eastAsia" w:ascii="宋体" w:hAnsi="宋体"/>
                <w:szCs w:val="21"/>
              </w:rPr>
            </w:pPr>
          </w:p>
          <w:p>
            <w:pPr>
              <w:spacing w:line="540" w:lineRule="exact"/>
              <w:rPr>
                <w:rFonts w:hint="eastAsia" w:ascii="宋体" w:hAnsi="宋体"/>
                <w:szCs w:val="21"/>
              </w:rPr>
            </w:pPr>
          </w:p>
          <w:p>
            <w:pPr>
              <w:spacing w:line="540" w:lineRule="exact"/>
              <w:ind w:firstLine="2662" w:firstLineChars="1250"/>
              <w:rPr>
                <w:rFonts w:hint="eastAsia" w:ascii="宋体" w:hAnsi="宋体"/>
                <w:szCs w:val="21"/>
              </w:rPr>
            </w:pPr>
            <w:r>
              <w:rPr>
                <w:rFonts w:hint="eastAsia" w:ascii="宋体" w:hAnsi="宋体"/>
                <w:szCs w:val="21"/>
              </w:rPr>
              <w:t>投标单位（公章）：</w:t>
            </w:r>
          </w:p>
          <w:p>
            <w:pPr>
              <w:spacing w:line="540" w:lineRule="exact"/>
              <w:rPr>
                <w:rFonts w:hint="eastAsia" w:ascii="宋体" w:hAnsi="宋体"/>
                <w:szCs w:val="21"/>
              </w:rPr>
            </w:pPr>
          </w:p>
          <w:p>
            <w:pPr>
              <w:spacing w:line="540" w:lineRule="exact"/>
              <w:ind w:firstLine="2662" w:firstLineChars="1250"/>
              <w:rPr>
                <w:rFonts w:hint="eastAsia" w:ascii="宋体" w:hAnsi="宋体"/>
                <w:szCs w:val="21"/>
              </w:rPr>
            </w:pPr>
            <w:r>
              <w:rPr>
                <w:rFonts w:hint="eastAsia" w:ascii="宋体" w:hAnsi="宋体"/>
                <w:szCs w:val="21"/>
              </w:rPr>
              <w:t>法定代表人（签字或盖章）：</w:t>
            </w:r>
          </w:p>
          <w:p>
            <w:pPr>
              <w:spacing w:line="540" w:lineRule="exact"/>
              <w:ind w:firstLine="2662" w:firstLineChars="1250"/>
              <w:rPr>
                <w:rFonts w:hint="eastAsia" w:ascii="宋体" w:hAnsi="宋体"/>
                <w:szCs w:val="21"/>
              </w:rPr>
            </w:pPr>
          </w:p>
          <w:p>
            <w:pPr>
              <w:wordWrap w:val="0"/>
              <w:spacing w:line="540" w:lineRule="exact"/>
              <w:ind w:right="420"/>
              <w:jc w:val="right"/>
              <w:rPr>
                <w:rFonts w:hint="eastAsia" w:ascii="宋体" w:hAnsi="宋体"/>
                <w:szCs w:val="21"/>
              </w:rPr>
            </w:pPr>
            <w:r>
              <w:rPr>
                <w:rFonts w:hint="eastAsia" w:ascii="宋体" w:hAnsi="宋体"/>
                <w:szCs w:val="21"/>
              </w:rPr>
              <w:t>年     月     日</w:t>
            </w:r>
          </w:p>
        </w:tc>
      </w:tr>
    </w:tbl>
    <w:p>
      <w:pPr>
        <w:spacing w:line="360" w:lineRule="auto"/>
        <w:rPr>
          <w:rFonts w:hint="eastAsia" w:ascii="黑体" w:hAnsi="宋体" w:eastAsia="仿宋_GB2312"/>
          <w:szCs w:val="21"/>
        </w:rPr>
      </w:pPr>
      <w:r>
        <w:rPr>
          <w:rFonts w:hint="eastAsia" w:ascii="宋体" w:hAnsi="宋体"/>
          <w:b/>
          <w:szCs w:val="21"/>
        </w:rPr>
        <w:t>注：（</w:t>
      </w:r>
      <w:r>
        <w:rPr>
          <w:rFonts w:hint="eastAsia" w:ascii="宋体" w:hAnsi="宋体"/>
          <w:b/>
          <w:szCs w:val="21"/>
          <w:lang w:val="en-US" w:eastAsia="zh-CN"/>
        </w:rPr>
        <w:t>①</w:t>
      </w:r>
      <w:r>
        <w:rPr>
          <w:rFonts w:hint="eastAsia"/>
          <w:szCs w:val="21"/>
        </w:rPr>
        <w:t>万元为单位的保留小数点4位；元为单位的不保留小数，为整数</w:t>
      </w:r>
      <w:r>
        <w:rPr>
          <w:rFonts w:hint="eastAsia"/>
          <w:szCs w:val="21"/>
          <w:lang w:eastAsia="zh-CN"/>
        </w:rPr>
        <w:t>；</w:t>
      </w:r>
      <w:r>
        <w:rPr>
          <w:rFonts w:hint="eastAsia"/>
          <w:szCs w:val="21"/>
          <w:lang w:val="en-US" w:eastAsia="zh-CN"/>
        </w:rPr>
        <w:t>②</w:t>
      </w:r>
      <w:r>
        <w:rPr>
          <w:rFonts w:hint="eastAsia" w:ascii="宋体" w:hAnsi="宋体"/>
          <w:szCs w:val="21"/>
        </w:rPr>
        <w:t>监理费投标费率</w:t>
      </w:r>
      <w:r>
        <w:rPr>
          <w:rFonts w:hint="eastAsia" w:ascii="宋体" w:hAnsi="宋体"/>
          <w:szCs w:val="21"/>
          <w:lang w:val="en-US" w:eastAsia="zh-CN"/>
        </w:rPr>
        <w:t>小数点保留三位；</w:t>
      </w:r>
      <w:r>
        <w:rPr>
          <w:rFonts w:hint="eastAsia"/>
          <w:szCs w:val="21"/>
        </w:rPr>
        <w:t>监理费投标报价</w:t>
      </w:r>
      <w:r>
        <w:rPr>
          <w:rFonts w:hint="eastAsia"/>
          <w:szCs w:val="21"/>
          <w:lang w:val="en-US" w:eastAsia="zh-CN"/>
        </w:rPr>
        <w:t>与</w:t>
      </w:r>
      <w:r>
        <w:rPr>
          <w:rFonts w:hint="eastAsia" w:ascii="宋体" w:hAnsi="宋体"/>
          <w:szCs w:val="21"/>
        </w:rPr>
        <w:t>监理费投标费率</w:t>
      </w:r>
      <w:r>
        <w:rPr>
          <w:rFonts w:hint="eastAsia" w:ascii="宋体" w:hAnsi="宋体"/>
          <w:szCs w:val="21"/>
          <w:lang w:val="en-US" w:eastAsia="zh-CN"/>
        </w:rPr>
        <w:t>折算后有出入的以</w:t>
      </w:r>
      <w:r>
        <w:rPr>
          <w:rFonts w:hint="eastAsia" w:ascii="宋体" w:hAnsi="宋体"/>
          <w:szCs w:val="21"/>
        </w:rPr>
        <w:t>监理费投标费率</w:t>
      </w:r>
      <w:r>
        <w:rPr>
          <w:rFonts w:hint="eastAsia" w:ascii="宋体" w:hAnsi="宋体"/>
          <w:szCs w:val="21"/>
          <w:lang w:val="en-US" w:eastAsia="zh-CN"/>
        </w:rPr>
        <w:t>为准。</w:t>
      </w:r>
      <w:r>
        <w:rPr>
          <w:rFonts w:hint="eastAsia"/>
          <w:szCs w:val="21"/>
        </w:rPr>
        <w:t>）</w:t>
      </w:r>
    </w:p>
    <w:p>
      <w:pPr>
        <w:spacing w:line="500" w:lineRule="exact"/>
        <w:jc w:val="left"/>
        <w:rPr>
          <w:rFonts w:ascii="宋体" w:hAnsi="宋体"/>
        </w:rPr>
      </w:pPr>
      <w:r>
        <w:rPr>
          <w:rFonts w:hint="eastAsia" w:ascii="宋体" w:hAnsi="宋体"/>
        </w:rPr>
        <w:br w:type="page"/>
      </w:r>
      <w:r>
        <w:rPr>
          <w:rFonts w:hint="eastAsia" w:ascii="宋体" w:hAnsi="宋体"/>
        </w:rPr>
        <w:t>附件投-</w:t>
      </w:r>
      <w:r>
        <w:rPr>
          <w:rFonts w:ascii="宋体" w:hAnsi="宋体"/>
        </w:rPr>
        <w:t>1</w:t>
      </w:r>
    </w:p>
    <w:p>
      <w:pPr>
        <w:pStyle w:val="24"/>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授权委托书(开标时携带)</w:t>
      </w:r>
    </w:p>
    <w:p>
      <w:pPr>
        <w:pStyle w:val="24"/>
        <w:jc w:val="center"/>
        <w:rPr>
          <w:rFonts w:hint="eastAsia" w:ascii="宋体" w:hAnsi="宋体" w:cs="宋体"/>
          <w:b/>
          <w:color w:val="auto"/>
          <w:sz w:val="32"/>
          <w:szCs w:val="32"/>
          <w:highlight w:val="none"/>
        </w:rPr>
      </w:pPr>
    </w:p>
    <w:p>
      <w:pPr>
        <w:pStyle w:val="24"/>
        <w:spacing w:line="500" w:lineRule="exact"/>
        <w:ind w:firstLine="607" w:firstLineChars="250"/>
        <w:rPr>
          <w:rFonts w:hint="eastAsia" w:ascii="宋体" w:hAnsi="宋体" w:cs="宋体"/>
          <w:color w:val="auto"/>
          <w:highlight w:val="none"/>
        </w:rPr>
      </w:pPr>
      <w:r>
        <w:rPr>
          <w:rFonts w:hint="eastAsia" w:ascii="宋体" w:hAnsi="宋体" w:cs="宋体"/>
          <w:color w:val="auto"/>
          <w:highlight w:val="none"/>
        </w:rPr>
        <w:t>本授权委托书声明：我</w:t>
      </w:r>
      <w:r>
        <w:rPr>
          <w:rFonts w:hint="eastAsia" w:ascii="宋体" w:hAnsi="宋体" w:cs="宋体"/>
          <w:color w:val="auto"/>
          <w:highlight w:val="none"/>
          <w:u w:val="single"/>
        </w:rPr>
        <w:t xml:space="preserve">      （姓名） </w:t>
      </w:r>
      <w:r>
        <w:rPr>
          <w:rFonts w:hint="eastAsia" w:ascii="宋体" w:hAnsi="宋体" w:cs="宋体"/>
          <w:color w:val="auto"/>
          <w:highlight w:val="none"/>
        </w:rPr>
        <w:t>系</w:t>
      </w:r>
      <w:r>
        <w:rPr>
          <w:rFonts w:hint="eastAsia" w:ascii="宋体" w:hAnsi="宋体" w:cs="宋体"/>
          <w:color w:val="auto"/>
          <w:highlight w:val="none"/>
          <w:u w:val="single"/>
        </w:rPr>
        <w:t xml:space="preserve">                 （投标单位名称） </w:t>
      </w:r>
      <w:r>
        <w:rPr>
          <w:rFonts w:hint="eastAsia" w:ascii="宋体" w:hAnsi="宋体" w:cs="宋体"/>
          <w:color w:val="auto"/>
          <w:highlight w:val="none"/>
        </w:rPr>
        <w:t>的法定代表人，现授权委托</w:t>
      </w:r>
      <w:r>
        <w:rPr>
          <w:rFonts w:hint="eastAsia" w:ascii="宋体" w:hAnsi="宋体" w:cs="宋体"/>
          <w:color w:val="auto"/>
          <w:highlight w:val="none"/>
          <w:u w:val="single"/>
        </w:rPr>
        <w:t xml:space="preserve">       （姓名） </w:t>
      </w:r>
      <w:r>
        <w:rPr>
          <w:rFonts w:hint="eastAsia" w:ascii="宋体" w:hAnsi="宋体" w:cs="宋体"/>
          <w:color w:val="auto"/>
          <w:highlight w:val="none"/>
        </w:rPr>
        <w:t>在</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月  </w:t>
      </w:r>
      <w:r>
        <w:rPr>
          <w:rFonts w:hint="eastAsia" w:ascii="宋体" w:hAnsi="宋体" w:cs="宋体"/>
          <w:color w:val="auto"/>
          <w:highlight w:val="none"/>
        </w:rPr>
        <w:t>日至</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rPr>
        <w:t>日（代理时限）为我公司的代理人，以本公司的名义参加</w:t>
      </w:r>
      <w:r>
        <w:rPr>
          <w:rFonts w:hint="eastAsia" w:ascii="宋体" w:hAnsi="宋体" w:cs="宋体"/>
          <w:color w:val="auto"/>
          <w:highlight w:val="none"/>
          <w:u w:val="single"/>
        </w:rPr>
        <w:t xml:space="preserve">  </w:t>
      </w:r>
      <w:r>
        <w:rPr>
          <w:rFonts w:hint="eastAsia" w:ascii="宋体" w:hAnsi="宋体" w:cs="宋体"/>
          <w:color w:val="auto"/>
          <w:szCs w:val="21"/>
          <w:highlight w:val="none"/>
          <w:u w:val="single"/>
          <w:lang w:eastAsia="zh-CN"/>
        </w:rPr>
        <w:t>县城新区南扩区渡龙安置小区建设工程项目监理</w:t>
      </w:r>
      <w:r>
        <w:rPr>
          <w:rFonts w:hint="eastAsia" w:ascii="宋体" w:hAnsi="宋体" w:cs="宋体"/>
          <w:color w:val="auto"/>
          <w:highlight w:val="none"/>
          <w:u w:val="single"/>
        </w:rPr>
        <w:t xml:space="preserve">  </w:t>
      </w:r>
      <w:r>
        <w:rPr>
          <w:rFonts w:hint="eastAsia" w:ascii="宋体" w:hAnsi="宋体" w:cs="宋体"/>
          <w:color w:val="auto"/>
          <w:highlight w:val="none"/>
        </w:rPr>
        <w:t>的投标活动。代理人在代理时间内参加投标、开标、询标过程中所签署的一切文件和处理与之相关的一切事务，本人均予以承认。</w:t>
      </w:r>
    </w:p>
    <w:p>
      <w:pPr>
        <w:pStyle w:val="24"/>
        <w:spacing w:line="500" w:lineRule="exact"/>
        <w:rPr>
          <w:rFonts w:hint="eastAsia" w:ascii="宋体" w:hAnsi="宋体" w:cs="宋体"/>
          <w:color w:val="auto"/>
          <w:highlight w:val="none"/>
        </w:rPr>
      </w:pPr>
      <w:r>
        <w:rPr>
          <w:rFonts w:hint="eastAsia" w:ascii="宋体" w:hAnsi="宋体" w:cs="宋体"/>
          <w:color w:val="auto"/>
          <w:highlight w:val="none"/>
        </w:rPr>
        <w:t>代理人无权转委托。特此委托。</w:t>
      </w:r>
    </w:p>
    <w:p>
      <w:pPr>
        <w:tabs>
          <w:tab w:val="left" w:pos="482"/>
          <w:tab w:val="left" w:pos="2183"/>
          <w:tab w:val="left" w:pos="3884"/>
          <w:tab w:val="left" w:pos="5585"/>
        </w:tabs>
        <w:spacing w:line="500" w:lineRule="exact"/>
        <w:ind w:firstLine="243" w:firstLineChars="100"/>
        <w:rPr>
          <w:rFonts w:hint="eastAsia" w:ascii="宋体" w:hAnsi="宋体" w:cs="宋体"/>
          <w:color w:val="auto"/>
          <w:sz w:val="24"/>
          <w:highlight w:val="none"/>
        </w:rPr>
      </w:pPr>
      <w:r>
        <w:rPr>
          <w:rFonts w:hint="eastAsia" w:ascii="宋体" w:hAnsi="宋体" w:cs="宋体"/>
          <w:color w:val="auto"/>
          <w:sz w:val="24"/>
          <w:highlight w:val="none"/>
        </w:rPr>
        <w:t>附</w:t>
      </w:r>
    </w:p>
    <w:tbl>
      <w:tblPr>
        <w:tblStyle w:val="15"/>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6662" w:type="dxa"/>
            <w:noWrap w:val="0"/>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highlight w:val="white"/>
              </w:rPr>
              <w:t>代理人身份证正面复印件</w:t>
            </w:r>
            <w:r>
              <w:rPr>
                <w:rFonts w:hint="eastAsia" w:ascii="宋体" w:hAnsi="宋体"/>
                <w:color w:val="000000"/>
                <w:sz w:val="24"/>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trPr>
        <w:tc>
          <w:tcPr>
            <w:tcW w:w="6662" w:type="dxa"/>
            <w:noWrap w:val="0"/>
            <w:vAlign w:val="center"/>
          </w:tcPr>
          <w:p>
            <w:pPr>
              <w:tabs>
                <w:tab w:val="left" w:leader="middleDot" w:pos="8400"/>
              </w:tabs>
              <w:spacing w:line="360" w:lineRule="auto"/>
              <w:jc w:val="center"/>
              <w:rPr>
                <w:rFonts w:ascii="宋体" w:hAnsi="宋体"/>
                <w:color w:val="000000"/>
                <w:sz w:val="24"/>
              </w:rPr>
            </w:pPr>
            <w:r>
              <w:rPr>
                <w:rFonts w:hint="eastAsia" w:ascii="宋体" w:hAnsi="宋体"/>
                <w:color w:val="000000"/>
                <w:sz w:val="24"/>
                <w:highlight w:val="white"/>
              </w:rPr>
              <w:t>代理人身份证背面复印件</w:t>
            </w:r>
            <w:r>
              <w:rPr>
                <w:rFonts w:hint="eastAsia" w:ascii="宋体" w:hAnsi="宋体"/>
                <w:color w:val="000000"/>
                <w:sz w:val="24"/>
              </w:rPr>
              <w:t>粘贴处</w:t>
            </w:r>
          </w:p>
        </w:tc>
      </w:tr>
    </w:tbl>
    <w:p>
      <w:pPr>
        <w:tabs>
          <w:tab w:val="left" w:leader="middleDot" w:pos="8400"/>
        </w:tabs>
        <w:spacing w:line="720" w:lineRule="auto"/>
        <w:rPr>
          <w:rFonts w:ascii="宋体" w:hAnsi="宋体"/>
          <w:color w:val="000000"/>
        </w:rPr>
      </w:pPr>
    </w:p>
    <w:p>
      <w:pPr>
        <w:tabs>
          <w:tab w:val="left" w:leader="middleDot" w:pos="8400"/>
        </w:tabs>
        <w:spacing w:line="360" w:lineRule="auto"/>
        <w:ind w:firstLine="4686" w:firstLineChars="2200"/>
        <w:rPr>
          <w:rFonts w:ascii="宋体" w:hAnsi="宋体"/>
          <w:color w:val="000000"/>
          <w:u w:val="single"/>
        </w:rPr>
      </w:pPr>
      <w:r>
        <w:rPr>
          <w:rFonts w:hint="eastAsia" w:ascii="宋体" w:hAnsi="宋体"/>
          <w:color w:val="000000"/>
        </w:rPr>
        <w:t>投标人（盖章）：</w:t>
      </w:r>
      <w:r>
        <w:rPr>
          <w:rFonts w:hint="eastAsia" w:ascii="宋体" w:hAnsi="宋体"/>
          <w:color w:val="000000"/>
          <w:u w:val="single"/>
        </w:rPr>
        <w:t xml:space="preserve">                         </w:t>
      </w:r>
    </w:p>
    <w:p>
      <w:pPr>
        <w:tabs>
          <w:tab w:val="left" w:leader="middleDot" w:pos="8400"/>
        </w:tabs>
        <w:spacing w:line="360" w:lineRule="auto"/>
        <w:ind w:firstLine="4686" w:firstLineChars="2200"/>
        <w:rPr>
          <w:rFonts w:ascii="宋体" w:hAnsi="宋体"/>
          <w:color w:val="000000"/>
          <w:u w:val="single"/>
        </w:rPr>
      </w:pPr>
      <w:r>
        <w:rPr>
          <w:rFonts w:hint="eastAsia" w:ascii="宋体" w:hAnsi="宋体"/>
          <w:color w:val="000000"/>
        </w:rPr>
        <w:t xml:space="preserve">法定代表人（签字或盖章）： </w:t>
      </w:r>
      <w:r>
        <w:rPr>
          <w:rFonts w:hint="eastAsia" w:ascii="宋体" w:hAnsi="宋体"/>
          <w:color w:val="000000"/>
          <w:u w:val="single"/>
        </w:rPr>
        <w:t xml:space="preserve">              </w:t>
      </w:r>
    </w:p>
    <w:p>
      <w:pPr>
        <w:tabs>
          <w:tab w:val="left" w:leader="middleDot" w:pos="8400"/>
        </w:tabs>
        <w:spacing w:line="360" w:lineRule="auto"/>
        <w:ind w:firstLine="4686" w:firstLineChars="2200"/>
        <w:rPr>
          <w:rFonts w:ascii="宋体" w:hAnsi="宋体"/>
          <w:color w:val="000000"/>
        </w:rPr>
      </w:pPr>
      <w:r>
        <w:rPr>
          <w:rFonts w:hint="eastAsia" w:ascii="宋体" w:hAnsi="宋体"/>
          <w:color w:val="000000"/>
        </w:rPr>
        <w:t>日期：</w:t>
      </w:r>
      <w:r>
        <w:rPr>
          <w:rFonts w:hint="eastAsia" w:ascii="宋体" w:hAnsi="宋体"/>
          <w:color w:val="000000"/>
          <w:u w:val="single"/>
        </w:rPr>
        <w:t xml:space="preserve">         </w:t>
      </w:r>
      <w:r>
        <w:rPr>
          <w:rFonts w:hint="eastAsia" w:ascii="宋体" w:hAnsi="宋体"/>
          <w:color w:val="000000"/>
        </w:rPr>
        <w:t xml:space="preserve">年 </w:t>
      </w:r>
      <w:r>
        <w:rPr>
          <w:rFonts w:hint="eastAsia" w:ascii="宋体" w:hAnsi="宋体"/>
          <w:color w:val="000000"/>
          <w:u w:val="single"/>
        </w:rPr>
        <w:t xml:space="preserve">   </w:t>
      </w:r>
      <w:r>
        <w:rPr>
          <w:rFonts w:hint="eastAsia" w:ascii="宋体" w:hAnsi="宋体"/>
          <w:color w:val="000000"/>
        </w:rPr>
        <w:t xml:space="preserve">月 </w:t>
      </w:r>
      <w:r>
        <w:rPr>
          <w:rFonts w:hint="eastAsia" w:ascii="宋体" w:hAnsi="宋体"/>
          <w:color w:val="000000"/>
          <w:u w:val="single"/>
        </w:rPr>
        <w:t xml:space="preserve">   </w:t>
      </w:r>
      <w:r>
        <w:rPr>
          <w:rFonts w:hint="eastAsia" w:ascii="宋体" w:hAnsi="宋体"/>
          <w:color w:val="000000"/>
        </w:rPr>
        <w:t>日</w:t>
      </w:r>
    </w:p>
    <w:p>
      <w:pPr>
        <w:widowControl/>
        <w:shd w:val="clear" w:color="auto" w:fill="FFFFFF"/>
        <w:spacing w:line="390" w:lineRule="atLeast"/>
        <w:jc w:val="both"/>
        <w:rPr>
          <w:rFonts w:hint="eastAsia" w:ascii="宋体" w:hAnsi="宋体"/>
          <w:b/>
          <w:sz w:val="36"/>
        </w:rPr>
      </w:pPr>
    </w:p>
    <w:p>
      <w:pPr>
        <w:ind w:firstLine="639" w:firstLineChars="300"/>
        <w:jc w:val="left"/>
        <w:rPr>
          <w:rFonts w:ascii="宋体" w:hAnsi="宋体" w:cs="宋体"/>
          <w:color w:val="000000"/>
          <w:szCs w:val="21"/>
        </w:rPr>
      </w:pPr>
      <w:r>
        <w:rPr>
          <w:rFonts w:hint="eastAsia" w:ascii="宋体" w:hAnsi="宋体"/>
        </w:rPr>
        <w:t>附件投</w:t>
      </w:r>
      <w:r>
        <w:rPr>
          <w:rFonts w:ascii="宋体" w:hAnsi="宋体"/>
        </w:rPr>
        <w:t xml:space="preserve">-2       </w:t>
      </w:r>
      <w:r>
        <w:rPr>
          <w:rFonts w:hint="eastAsia" w:ascii="黑体" w:hAnsi="黑体" w:eastAsia="黑体"/>
          <w:sz w:val="32"/>
          <w:szCs w:val="32"/>
        </w:rPr>
        <w:t>开标现场投标人员健康信息登记表</w:t>
      </w:r>
      <w:r>
        <w:rPr>
          <w:rFonts w:hint="eastAsia" w:ascii="宋体" w:hAnsi="宋体" w:cs="宋体"/>
          <w:color w:val="000000"/>
          <w:szCs w:val="21"/>
        </w:rPr>
        <w:t>（开标时随身携带）</w:t>
      </w:r>
    </w:p>
    <w:tbl>
      <w:tblPr>
        <w:tblStyle w:val="15"/>
        <w:tblW w:w="906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1101"/>
        <w:gridCol w:w="1278"/>
        <w:gridCol w:w="1402"/>
        <w:gridCol w:w="1187"/>
        <w:gridCol w:w="1209"/>
        <w:gridCol w:w="2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736" w:hRule="exact"/>
        </w:trPr>
        <w:tc>
          <w:tcPr>
            <w:tcW w:w="1101" w:type="dxa"/>
            <w:noWrap/>
            <w:vAlign w:val="center"/>
          </w:tcPr>
          <w:p>
            <w:pPr>
              <w:jc w:val="center"/>
              <w:rPr>
                <w:rFonts w:ascii="宋体" w:hAnsi="宋体"/>
                <w:szCs w:val="21"/>
              </w:rPr>
            </w:pPr>
            <w:r>
              <w:rPr>
                <w:rFonts w:hint="eastAsia" w:ascii="宋体" w:hAnsi="宋体"/>
                <w:szCs w:val="21"/>
              </w:rPr>
              <w:t>姓名</w:t>
            </w:r>
          </w:p>
        </w:tc>
        <w:tc>
          <w:tcPr>
            <w:tcW w:w="1278" w:type="dxa"/>
            <w:noWrap/>
            <w:vAlign w:val="center"/>
          </w:tcPr>
          <w:p>
            <w:pPr>
              <w:jc w:val="center"/>
              <w:rPr>
                <w:rFonts w:ascii="宋体" w:hAnsi="宋体"/>
                <w:szCs w:val="21"/>
              </w:rPr>
            </w:pPr>
          </w:p>
        </w:tc>
        <w:tc>
          <w:tcPr>
            <w:tcW w:w="1402" w:type="dxa"/>
            <w:noWrap/>
            <w:vAlign w:val="center"/>
          </w:tcPr>
          <w:p>
            <w:pPr>
              <w:jc w:val="center"/>
              <w:rPr>
                <w:rFonts w:ascii="宋体" w:hAnsi="宋体"/>
                <w:szCs w:val="21"/>
              </w:rPr>
            </w:pPr>
            <w:r>
              <w:rPr>
                <w:rFonts w:hint="eastAsia" w:ascii="宋体" w:hAnsi="宋体"/>
                <w:szCs w:val="21"/>
              </w:rPr>
              <w:t>户籍所在地</w:t>
            </w:r>
          </w:p>
        </w:tc>
        <w:tc>
          <w:tcPr>
            <w:tcW w:w="1187" w:type="dxa"/>
            <w:noWrap/>
            <w:vAlign w:val="center"/>
          </w:tcPr>
          <w:p>
            <w:pPr>
              <w:jc w:val="center"/>
              <w:rPr>
                <w:rFonts w:ascii="宋体" w:hAnsi="宋体"/>
                <w:szCs w:val="21"/>
              </w:rPr>
            </w:pPr>
          </w:p>
        </w:tc>
        <w:tc>
          <w:tcPr>
            <w:tcW w:w="1209" w:type="dxa"/>
            <w:noWrap/>
            <w:vAlign w:val="center"/>
          </w:tcPr>
          <w:p>
            <w:pPr>
              <w:jc w:val="center"/>
              <w:rPr>
                <w:rFonts w:ascii="宋体" w:hAnsi="宋体"/>
                <w:szCs w:val="21"/>
              </w:rPr>
            </w:pPr>
            <w:r>
              <w:rPr>
                <w:rFonts w:hint="eastAsia" w:ascii="宋体" w:hAnsi="宋体"/>
                <w:szCs w:val="21"/>
              </w:rPr>
              <w:t>身份证</w:t>
            </w:r>
          </w:p>
          <w:p>
            <w:pPr>
              <w:jc w:val="center"/>
              <w:rPr>
                <w:rFonts w:ascii="宋体" w:hAnsi="宋体"/>
                <w:szCs w:val="21"/>
              </w:rPr>
            </w:pPr>
            <w:r>
              <w:rPr>
                <w:rFonts w:hint="eastAsia" w:ascii="宋体" w:hAnsi="宋体"/>
                <w:szCs w:val="21"/>
              </w:rPr>
              <w:t>号码</w:t>
            </w:r>
          </w:p>
        </w:tc>
        <w:tc>
          <w:tcPr>
            <w:tcW w:w="288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718" w:hRule="exact"/>
        </w:trPr>
        <w:tc>
          <w:tcPr>
            <w:tcW w:w="1101" w:type="dxa"/>
            <w:noWrap/>
            <w:vAlign w:val="center"/>
          </w:tcPr>
          <w:p>
            <w:pPr>
              <w:jc w:val="center"/>
              <w:rPr>
                <w:rFonts w:ascii="宋体" w:hAnsi="宋体"/>
                <w:szCs w:val="21"/>
              </w:rPr>
            </w:pPr>
            <w:r>
              <w:rPr>
                <w:rFonts w:hint="eastAsia" w:ascii="宋体" w:hAnsi="宋体"/>
                <w:szCs w:val="21"/>
              </w:rPr>
              <w:t>单位</w:t>
            </w:r>
          </w:p>
          <w:p>
            <w:pPr>
              <w:jc w:val="center"/>
              <w:rPr>
                <w:rFonts w:ascii="宋体" w:hAnsi="宋体"/>
                <w:szCs w:val="21"/>
              </w:rPr>
            </w:pPr>
            <w:r>
              <w:rPr>
                <w:rFonts w:hint="eastAsia" w:ascii="宋体" w:hAnsi="宋体"/>
                <w:szCs w:val="21"/>
              </w:rPr>
              <w:t>名称</w:t>
            </w:r>
          </w:p>
        </w:tc>
        <w:tc>
          <w:tcPr>
            <w:tcW w:w="7965" w:type="dxa"/>
            <w:gridSpan w:val="5"/>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58" w:hRule="exact"/>
        </w:trPr>
        <w:tc>
          <w:tcPr>
            <w:tcW w:w="1101" w:type="dxa"/>
            <w:noWrap/>
            <w:vAlign w:val="center"/>
          </w:tcPr>
          <w:p>
            <w:pPr>
              <w:jc w:val="center"/>
              <w:rPr>
                <w:rFonts w:ascii="宋体" w:hAnsi="宋体"/>
                <w:szCs w:val="21"/>
              </w:rPr>
            </w:pPr>
            <w:r>
              <w:rPr>
                <w:rFonts w:hint="eastAsia" w:ascii="宋体" w:hAnsi="宋体"/>
                <w:szCs w:val="21"/>
              </w:rPr>
              <w:t>项目</w:t>
            </w:r>
          </w:p>
          <w:p>
            <w:pPr>
              <w:jc w:val="center"/>
              <w:rPr>
                <w:rFonts w:ascii="宋体" w:hAnsi="宋体"/>
                <w:szCs w:val="21"/>
              </w:rPr>
            </w:pPr>
            <w:r>
              <w:rPr>
                <w:rFonts w:hint="eastAsia" w:ascii="宋体" w:hAnsi="宋体"/>
                <w:szCs w:val="21"/>
              </w:rPr>
              <w:t>名称</w:t>
            </w:r>
          </w:p>
        </w:tc>
        <w:tc>
          <w:tcPr>
            <w:tcW w:w="2680" w:type="dxa"/>
            <w:gridSpan w:val="2"/>
            <w:noWrap/>
            <w:vAlign w:val="center"/>
          </w:tcPr>
          <w:p>
            <w:pPr>
              <w:tabs>
                <w:tab w:val="left" w:pos="701"/>
              </w:tabs>
              <w:jc w:val="center"/>
              <w:rPr>
                <w:rFonts w:ascii="宋体" w:hAnsi="宋体"/>
                <w:szCs w:val="21"/>
              </w:rPr>
            </w:pPr>
          </w:p>
        </w:tc>
        <w:tc>
          <w:tcPr>
            <w:tcW w:w="2396" w:type="dxa"/>
            <w:gridSpan w:val="2"/>
            <w:noWrap/>
            <w:vAlign w:val="center"/>
          </w:tcPr>
          <w:p>
            <w:pPr>
              <w:tabs>
                <w:tab w:val="left" w:pos="701"/>
              </w:tabs>
              <w:jc w:val="center"/>
              <w:rPr>
                <w:rFonts w:ascii="宋体" w:hAnsi="宋体"/>
                <w:szCs w:val="21"/>
              </w:rPr>
            </w:pPr>
            <w:r>
              <w:rPr>
                <w:rFonts w:hint="eastAsia" w:ascii="宋体" w:hAnsi="宋体"/>
                <w:szCs w:val="21"/>
              </w:rPr>
              <w:t>开标时间</w:t>
            </w:r>
          </w:p>
        </w:tc>
        <w:tc>
          <w:tcPr>
            <w:tcW w:w="2889" w:type="dxa"/>
            <w:noWrap/>
            <w:vAlign w:val="center"/>
          </w:tcPr>
          <w:p>
            <w:pPr>
              <w:tabs>
                <w:tab w:val="left" w:pos="701"/>
              </w:tabs>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162" w:hRule="exact"/>
        </w:trPr>
        <w:tc>
          <w:tcPr>
            <w:tcW w:w="1101" w:type="dxa"/>
            <w:noWrap/>
            <w:vAlign w:val="center"/>
          </w:tcPr>
          <w:p>
            <w:pPr>
              <w:jc w:val="center"/>
              <w:rPr>
                <w:rFonts w:ascii="宋体" w:hAnsi="宋体"/>
                <w:szCs w:val="21"/>
              </w:rPr>
            </w:pPr>
            <w:r>
              <w:rPr>
                <w:rFonts w:hint="eastAsia" w:ascii="宋体" w:hAnsi="宋体"/>
                <w:szCs w:val="21"/>
              </w:rPr>
              <w:t>所在单位联系电话</w:t>
            </w:r>
          </w:p>
        </w:tc>
        <w:tc>
          <w:tcPr>
            <w:tcW w:w="2680" w:type="dxa"/>
            <w:gridSpan w:val="2"/>
            <w:noWrap/>
            <w:vAlign w:val="center"/>
          </w:tcPr>
          <w:p>
            <w:pPr>
              <w:jc w:val="center"/>
              <w:rPr>
                <w:rFonts w:ascii="宋体" w:hAnsi="宋体"/>
                <w:szCs w:val="21"/>
              </w:rPr>
            </w:pPr>
          </w:p>
        </w:tc>
        <w:tc>
          <w:tcPr>
            <w:tcW w:w="2396" w:type="dxa"/>
            <w:gridSpan w:val="2"/>
            <w:noWrap/>
            <w:vAlign w:val="center"/>
          </w:tcPr>
          <w:p>
            <w:pPr>
              <w:jc w:val="center"/>
              <w:rPr>
                <w:rFonts w:ascii="宋体" w:hAnsi="宋体"/>
                <w:szCs w:val="21"/>
              </w:rPr>
            </w:pPr>
            <w:r>
              <w:rPr>
                <w:rFonts w:hint="eastAsia" w:ascii="宋体" w:hAnsi="宋体"/>
                <w:szCs w:val="21"/>
              </w:rPr>
              <w:t>手机号码</w:t>
            </w:r>
          </w:p>
        </w:tc>
        <w:tc>
          <w:tcPr>
            <w:tcW w:w="2889"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9066" w:type="dxa"/>
            <w:gridSpan w:val="6"/>
            <w:noWrap/>
            <w:vAlign w:val="center"/>
          </w:tcPr>
          <w:p>
            <w:pPr>
              <w:jc w:val="center"/>
              <w:rPr>
                <w:rFonts w:ascii="宋体" w:hAnsi="宋体"/>
                <w:b/>
                <w:bCs/>
                <w:szCs w:val="21"/>
              </w:rPr>
            </w:pPr>
            <w:r>
              <w:rPr>
                <w:rFonts w:hint="eastAsia" w:ascii="宋体" w:hAnsi="宋体"/>
                <w:b/>
                <w:bCs/>
                <w:szCs w:val="21"/>
              </w:rPr>
              <w:t>个人健康情况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9066" w:type="dxa"/>
            <w:gridSpan w:val="6"/>
            <w:noWrap/>
            <w:vAlign w:val="center"/>
          </w:tcPr>
          <w:p>
            <w:pPr>
              <w:jc w:val="left"/>
              <w:rPr>
                <w:rFonts w:ascii="宋体" w:hAnsi="宋体"/>
                <w:szCs w:val="21"/>
              </w:rPr>
            </w:pPr>
            <w:r>
              <w:rPr>
                <w:rFonts w:hint="eastAsia" w:ascii="宋体" w:hAnsi="宋体"/>
                <w:szCs w:val="21"/>
              </w:rPr>
              <w:t>体温是否正常？ □正常  □不正常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9066" w:type="dxa"/>
            <w:gridSpan w:val="6"/>
            <w:noWrap/>
            <w:vAlign w:val="center"/>
          </w:tcPr>
          <w:p>
            <w:pPr>
              <w:jc w:val="left"/>
              <w:rPr>
                <w:rFonts w:ascii="宋体" w:hAnsi="宋体"/>
                <w:szCs w:val="21"/>
              </w:rPr>
            </w:pPr>
            <w:r>
              <w:rPr>
                <w:rFonts w:hint="eastAsia" w:ascii="宋体" w:hAnsi="宋体"/>
                <w:szCs w:val="21"/>
              </w:rPr>
              <w:t>当前有无发热、乏力、干咳、气促等健康异常情况？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9066" w:type="dxa"/>
            <w:gridSpan w:val="6"/>
            <w:noWrap/>
            <w:vAlign w:val="center"/>
          </w:tcPr>
          <w:p>
            <w:pPr>
              <w:jc w:val="left"/>
              <w:rPr>
                <w:rFonts w:ascii="宋体" w:hAnsi="宋体"/>
                <w:szCs w:val="21"/>
              </w:rPr>
            </w:pPr>
            <w:r>
              <w:rPr>
                <w:rFonts w:hint="eastAsia" w:ascii="宋体" w:hAnsi="宋体"/>
                <w:szCs w:val="21"/>
              </w:rPr>
              <w:t>有无其他不适？□有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69" w:hRule="exact"/>
        </w:trPr>
        <w:tc>
          <w:tcPr>
            <w:tcW w:w="9066" w:type="dxa"/>
            <w:gridSpan w:val="6"/>
            <w:noWrap/>
            <w:vAlign w:val="center"/>
          </w:tcPr>
          <w:p>
            <w:pPr>
              <w:jc w:val="left"/>
              <w:rPr>
                <w:rFonts w:ascii="宋体" w:hAnsi="宋体"/>
                <w:szCs w:val="21"/>
              </w:rPr>
            </w:pPr>
            <w:r>
              <w:rPr>
                <w:rFonts w:hint="eastAsia" w:ascii="宋体" w:hAnsi="宋体"/>
                <w:szCs w:val="21"/>
              </w:rPr>
              <w:t xml:space="preserve">是否与确诊病例接触？□否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860" w:hRule="exact"/>
        </w:trPr>
        <w:tc>
          <w:tcPr>
            <w:tcW w:w="9066" w:type="dxa"/>
            <w:gridSpan w:val="6"/>
            <w:noWrap/>
            <w:vAlign w:val="center"/>
          </w:tcPr>
          <w:p>
            <w:pPr>
              <w:jc w:val="left"/>
              <w:rPr>
                <w:rFonts w:ascii="宋体" w:hAnsi="宋体"/>
                <w:szCs w:val="21"/>
              </w:rPr>
            </w:pPr>
            <w:r>
              <w:rPr>
                <w:rFonts w:hint="eastAsia" w:ascii="宋体" w:hAnsi="宋体"/>
                <w:szCs w:val="21"/>
              </w:rPr>
              <w:t xml:space="preserve">是否在最近14天来自（或途径）疫情重点地区？□否  □是 </w:t>
            </w:r>
          </w:p>
          <w:p>
            <w:pPr>
              <w:jc w:val="left"/>
              <w:rPr>
                <w:rFonts w:ascii="宋体" w:hAnsi="宋体"/>
                <w:szCs w:val="21"/>
              </w:rPr>
            </w:pPr>
            <w:r>
              <w:rPr>
                <w:rFonts w:hint="eastAsia" w:ascii="宋体" w:hAnsi="宋体"/>
                <w:szCs w:val="21"/>
              </w:rPr>
              <w:t>所在（途径）地：               前往时间：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901" w:hRule="exact"/>
        </w:trPr>
        <w:tc>
          <w:tcPr>
            <w:tcW w:w="9066" w:type="dxa"/>
            <w:gridSpan w:val="6"/>
            <w:noWrap/>
            <w:vAlign w:val="center"/>
          </w:tcPr>
          <w:p>
            <w:pPr>
              <w:jc w:val="left"/>
              <w:rPr>
                <w:rFonts w:ascii="宋体" w:hAnsi="宋体"/>
                <w:szCs w:val="21"/>
              </w:rPr>
            </w:pPr>
            <w:r>
              <w:rPr>
                <w:rFonts w:hint="eastAsia" w:ascii="宋体" w:hAnsi="宋体"/>
                <w:szCs w:val="21"/>
              </w:rPr>
              <w:t xml:space="preserve">最近14天是否存在与来自疫情重点地区、境外人员接触情况？□否   □是 </w:t>
            </w:r>
          </w:p>
          <w:p>
            <w:pPr>
              <w:jc w:val="left"/>
              <w:rPr>
                <w:rFonts w:ascii="宋体" w:hAnsi="宋体"/>
                <w:szCs w:val="21"/>
              </w:rPr>
            </w:pPr>
            <w:r>
              <w:rPr>
                <w:rFonts w:hint="eastAsia" w:ascii="宋体" w:hAnsi="宋体"/>
                <w:szCs w:val="21"/>
              </w:rPr>
              <w:t>接触时间为：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1749" w:hRule="atLeast"/>
        </w:trPr>
        <w:tc>
          <w:tcPr>
            <w:tcW w:w="9066" w:type="dxa"/>
            <w:gridSpan w:val="6"/>
            <w:noWrap/>
            <w:vAlign w:val="center"/>
          </w:tcPr>
          <w:p>
            <w:pPr>
              <w:ind w:firstLine="480"/>
              <w:rPr>
                <w:rFonts w:ascii="宋体" w:hAnsi="宋体"/>
                <w:szCs w:val="21"/>
              </w:rPr>
            </w:pPr>
            <w:r>
              <w:rPr>
                <w:rFonts w:hint="eastAsia" w:ascii="宋体" w:hAnsi="宋体"/>
                <w:szCs w:val="21"/>
              </w:rPr>
              <w:t>本单位拟派上述人员参加</w:t>
            </w:r>
            <w:r>
              <w:rPr>
                <w:rFonts w:hint="eastAsia" w:ascii="宋体" w:hAnsi="宋体"/>
                <w:color w:val="000000"/>
                <w:szCs w:val="21"/>
                <w:u w:val="single"/>
                <w:lang w:eastAsia="zh-CN"/>
              </w:rPr>
              <w:t xml:space="preserve"> 县城新区南扩区渡龙安置小区建设工程项目监理</w:t>
            </w:r>
            <w:r>
              <w:rPr>
                <w:rFonts w:hint="eastAsia" w:ascii="宋体" w:hAnsi="宋体"/>
                <w:szCs w:val="21"/>
              </w:rPr>
              <w:t>开标活动，以上信息真实准确。如有信息有误或缺失，愿承担由此引起的一切后果及法律责任。</w:t>
            </w:r>
          </w:p>
          <w:p>
            <w:pPr>
              <w:rPr>
                <w:rFonts w:ascii="宋体" w:hAnsi="宋体"/>
                <w:szCs w:val="21"/>
              </w:rPr>
            </w:pPr>
          </w:p>
          <w:p>
            <w:pPr>
              <w:wordWrap w:val="0"/>
              <w:rPr>
                <w:szCs w:val="21"/>
              </w:rPr>
            </w:pPr>
            <w:r>
              <w:rPr>
                <w:rFonts w:hint="eastAsia" w:ascii="宋体" w:hAnsi="宋体"/>
                <w:szCs w:val="21"/>
              </w:rPr>
              <w:t>参加人员（签名）：                       单位（公章）：</w:t>
            </w:r>
          </w:p>
        </w:tc>
      </w:tr>
    </w:tbl>
    <w:p>
      <w:pPr>
        <w:spacing w:line="264" w:lineRule="auto"/>
        <w:rPr>
          <w:rFonts w:ascii="宋体" w:hAnsi="宋体"/>
          <w:szCs w:val="21"/>
        </w:rPr>
      </w:pPr>
      <w:r>
        <w:rPr>
          <w:rFonts w:hint="eastAsia" w:ascii="宋体" w:hAnsi="宋体"/>
          <w:szCs w:val="21"/>
        </w:rPr>
        <w:t>注：1、由招标人或中心工作人员“现场测量体温”后进入投标现场。</w:t>
      </w:r>
    </w:p>
    <w:p>
      <w:pPr>
        <w:spacing w:line="264" w:lineRule="auto"/>
        <w:ind w:firstLine="426" w:firstLineChars="200"/>
        <w:rPr>
          <w:rFonts w:ascii="宋体" w:hAnsi="宋体"/>
          <w:szCs w:val="21"/>
        </w:rPr>
      </w:pPr>
      <w:r>
        <w:rPr>
          <w:rFonts w:hint="eastAsia" w:ascii="宋体" w:hAnsi="宋体"/>
          <w:szCs w:val="21"/>
        </w:rPr>
        <w:t>2、投标单位应严格落实参投人员的健康申报和真实性承诺制度，如实填写本表，以下人员应自觉回避：最近14天接触过新冠肺炎疑似或确诊病例的，出现发热（超过37.2度）、咳嗽、胸闷等症状的，来自（途径）重点疫区且隔离未满14天的。</w:t>
      </w:r>
    </w:p>
    <w:p>
      <w:pPr>
        <w:spacing w:line="264" w:lineRule="auto"/>
        <w:ind w:firstLine="426" w:firstLineChars="200"/>
        <w:rPr>
          <w:color w:val="000000"/>
          <w:szCs w:val="21"/>
        </w:rPr>
      </w:pPr>
      <w:r>
        <w:rPr>
          <w:rFonts w:hint="eastAsia" w:ascii="宋体" w:hAnsi="宋体"/>
          <w:szCs w:val="21"/>
        </w:rPr>
        <w:t>3、如现场两次复测体温大于37度的或健康码为红黄色的人员，应及时离场。</w:t>
      </w:r>
    </w:p>
    <w:p>
      <w:pPr>
        <w:widowControl/>
        <w:shd w:val="clear" w:color="auto" w:fill="FFFFFF"/>
        <w:spacing w:line="390" w:lineRule="atLeast"/>
        <w:jc w:val="center"/>
        <w:rPr>
          <w:rFonts w:hint="eastAsia" w:ascii="宋体" w:hAnsi="宋体"/>
          <w:b/>
          <w:sz w:val="36"/>
        </w:rPr>
      </w:pPr>
    </w:p>
    <w:p>
      <w:pPr>
        <w:spacing w:line="400" w:lineRule="exact"/>
        <w:jc w:val="left"/>
        <w:rPr>
          <w:rFonts w:ascii="宋体" w:hAnsi="宋体"/>
        </w:rPr>
      </w:pPr>
      <w:r>
        <w:rPr>
          <w:rFonts w:ascii="宋体" w:hAnsi="宋体"/>
        </w:rPr>
        <w:t xml:space="preserve">  </w:t>
      </w:r>
    </w:p>
    <w:p>
      <w:pPr>
        <w:spacing w:line="400" w:lineRule="exact"/>
        <w:jc w:val="center"/>
        <w:rPr>
          <w:rFonts w:ascii="宋体" w:hAnsi="宋体" w:cs="Arial"/>
          <w:b/>
          <w:bCs/>
          <w:sz w:val="36"/>
          <w:szCs w:val="28"/>
        </w:rPr>
      </w:pPr>
      <w:r>
        <w:rPr>
          <w:rFonts w:hint="eastAsia" w:ascii="宋体" w:hAnsi="宋体" w:cs="Arial"/>
          <w:b/>
          <w:bCs/>
          <w:sz w:val="36"/>
          <w:szCs w:val="28"/>
          <w:highlight w:val="white"/>
        </w:rPr>
        <w:t>投标保证金银行保函</w:t>
      </w:r>
    </w:p>
    <w:p>
      <w:pPr>
        <w:widowControl/>
        <w:shd w:val="clear" w:color="auto" w:fill="FFFFFF"/>
        <w:spacing w:line="500" w:lineRule="atLeast"/>
        <w:rPr>
          <w:rFonts w:hint="eastAsia" w:ascii="宋体" w:hAnsi="宋体" w:cs="宋体"/>
          <w:szCs w:val="21"/>
        </w:rPr>
      </w:pPr>
      <w:r>
        <w:rPr>
          <w:rFonts w:hint="eastAsia" w:ascii="宋体" w:hAnsi="宋体" w:cs="宋体"/>
          <w:color w:val="000000"/>
          <w:szCs w:val="21"/>
          <w:highlight w:val="white"/>
        </w:rPr>
        <w:t>保函编号：</w:t>
      </w:r>
    </w:p>
    <w:p>
      <w:pPr>
        <w:widowControl/>
        <w:shd w:val="clear" w:color="auto" w:fill="FFFFFF"/>
        <w:spacing w:line="500" w:lineRule="atLeast"/>
        <w:rPr>
          <w:rFonts w:hint="eastAsia" w:ascii="宋体" w:hAnsi="宋体" w:cs="宋体"/>
          <w:szCs w:val="21"/>
        </w:rPr>
      </w:pPr>
      <w:r>
        <w:rPr>
          <w:rFonts w:hint="eastAsia" w:ascii="宋体" w:hAnsi="宋体" w:cs="宋体"/>
          <w:color w:val="000000"/>
          <w:szCs w:val="21"/>
          <w:highlight w:val="white"/>
        </w:rPr>
        <w:t>致：</w:t>
      </w:r>
      <w:r>
        <w:rPr>
          <w:rFonts w:hint="eastAsia" w:ascii="宋体" w:hAnsi="宋体" w:cs="宋体"/>
          <w:color w:val="000000"/>
          <w:szCs w:val="21"/>
          <w:highlight w:val="white"/>
          <w:u w:val="single"/>
        </w:rPr>
        <w:t>                        （招标人）</w:t>
      </w:r>
    </w:p>
    <w:p>
      <w:pPr>
        <w:widowControl/>
        <w:shd w:val="clear" w:color="auto" w:fill="FFFFFF"/>
        <w:spacing w:line="500" w:lineRule="atLeast"/>
        <w:ind w:firstLine="480"/>
        <w:rPr>
          <w:rFonts w:hint="eastAsia" w:ascii="宋体" w:hAnsi="宋体" w:cs="宋体"/>
          <w:szCs w:val="21"/>
        </w:rPr>
      </w:pPr>
      <w:r>
        <w:rPr>
          <w:rFonts w:hint="eastAsia" w:ascii="宋体" w:hAnsi="宋体" w:cs="宋体"/>
          <w:color w:val="000000"/>
          <w:szCs w:val="21"/>
          <w:highlight w:val="white"/>
        </w:rPr>
        <w:t>鉴于</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（以下简称“投标人”）于</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年</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月</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日参加</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（以下简称“招标人”）招标编号为</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的工程的投标。</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本</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受该投标人委托，在此无条件、不可撤销地承担向招标人支付总金额为人民币</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万元的责任。</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本责任的条件：</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1、投标人在招标文件规定的投标有效期内撤回其投标；</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2、投标人无故放弃中标资格；</w:t>
      </w:r>
    </w:p>
    <w:p>
      <w:pPr>
        <w:widowControl/>
        <w:shd w:val="clear" w:color="auto" w:fill="FFFFFF"/>
        <w:spacing w:line="500" w:lineRule="atLeast"/>
        <w:ind w:firstLine="645"/>
        <w:rPr>
          <w:rFonts w:hint="eastAsia" w:ascii="宋体" w:hAnsi="宋体" w:cs="宋体"/>
          <w:color w:val="000000"/>
          <w:szCs w:val="21"/>
        </w:rPr>
      </w:pPr>
      <w:r>
        <w:rPr>
          <w:rFonts w:hint="eastAsia" w:ascii="宋体" w:hAnsi="宋体" w:cs="宋体"/>
          <w:color w:val="000000"/>
          <w:szCs w:val="21"/>
          <w:highlight w:val="white"/>
        </w:rPr>
        <w:t>3、投标人在投标有效期内收到招标人的中标通知书后，不能或拒绝按投标须知的要求签署合同协议书，不能或拒绝按投标须知的规定提交履约保证金。</w:t>
      </w:r>
    </w:p>
    <w:p>
      <w:pPr>
        <w:widowControl/>
        <w:shd w:val="clear" w:color="auto" w:fill="FFFFFF"/>
        <w:spacing w:line="500" w:lineRule="atLeast"/>
        <w:ind w:firstLine="645"/>
        <w:rPr>
          <w:rFonts w:hint="eastAsia" w:ascii="宋体" w:hAnsi="宋体" w:cs="宋体"/>
          <w:color w:val="000000"/>
          <w:szCs w:val="21"/>
        </w:rPr>
      </w:pPr>
      <w:r>
        <w:rPr>
          <w:rFonts w:hint="eastAsia" w:ascii="宋体" w:hAnsi="宋体" w:cs="宋体"/>
          <w:color w:val="000000"/>
          <w:szCs w:val="21"/>
          <w:highlight w:val="white"/>
        </w:rPr>
        <w:t>4、招标文件明确约定不予退还或没收其保证金的情况。</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只要招标人指明产生上述任何一种责任的条件，则本银行在接到招标人的第一次书面要求后，即向招标人支付上述款额之内的任何金额，无需招标人提出充分证据证明其要求，只需要招标人在其要求中写明所索的款额。</w:t>
      </w:r>
    </w:p>
    <w:p>
      <w:pPr>
        <w:widowControl/>
        <w:shd w:val="clear" w:color="auto" w:fill="FFFFFF"/>
        <w:spacing w:line="500" w:lineRule="atLeast"/>
        <w:ind w:firstLine="645"/>
        <w:rPr>
          <w:rFonts w:hint="eastAsia" w:ascii="宋体" w:hAnsi="宋体" w:cs="宋体"/>
          <w:szCs w:val="21"/>
        </w:rPr>
      </w:pPr>
      <w:r>
        <w:rPr>
          <w:rFonts w:hint="eastAsia" w:ascii="宋体" w:hAnsi="宋体" w:cs="宋体"/>
          <w:color w:val="000000"/>
          <w:szCs w:val="21"/>
          <w:highlight w:val="white"/>
        </w:rPr>
        <w:t>本保函在投标有效期到期后28日（含）内或招标人延长投标有效期后的到期日后28日（含）内保持有效，延长投标有效期无须通知本银行，但任何索款要求应在投标有效期内送到本银行。</w:t>
      </w:r>
    </w:p>
    <w:p>
      <w:pPr>
        <w:widowControl/>
        <w:shd w:val="clear" w:color="auto" w:fill="FFFFFF"/>
        <w:spacing w:line="500" w:lineRule="atLeast"/>
        <w:jc w:val="left"/>
        <w:rPr>
          <w:rFonts w:hint="eastAsia" w:ascii="宋体" w:hAnsi="宋体" w:cs="宋体"/>
          <w:szCs w:val="21"/>
        </w:rPr>
      </w:pPr>
      <w:r>
        <w:rPr>
          <w:rFonts w:hint="eastAsia" w:ascii="宋体" w:hAnsi="宋体" w:cs="宋体"/>
          <w:color w:val="000000"/>
          <w:szCs w:val="21"/>
          <w:highlight w:val="white"/>
        </w:rPr>
        <w:t>银行名称（盖章）：</w:t>
      </w:r>
      <w:r>
        <w:rPr>
          <w:rFonts w:hint="eastAsia" w:ascii="宋体" w:hAnsi="宋体" w:cs="宋体"/>
          <w:color w:val="000000"/>
          <w:szCs w:val="21"/>
          <w:highlight w:val="white"/>
          <w:u w:val="single"/>
        </w:rPr>
        <w:t xml:space="preserve">                         </w:t>
      </w:r>
    </w:p>
    <w:p>
      <w:pPr>
        <w:widowControl/>
        <w:shd w:val="clear" w:color="auto" w:fill="FFFFFF"/>
        <w:spacing w:line="500" w:lineRule="atLeast"/>
        <w:jc w:val="left"/>
        <w:rPr>
          <w:rFonts w:hint="eastAsia" w:ascii="宋体" w:hAnsi="宋体" w:cs="宋体"/>
          <w:szCs w:val="21"/>
        </w:rPr>
      </w:pPr>
      <w:r>
        <w:rPr>
          <w:rFonts w:hint="eastAsia" w:ascii="宋体" w:hAnsi="宋体" w:cs="宋体"/>
          <w:color w:val="000000"/>
          <w:szCs w:val="21"/>
          <w:highlight w:val="white"/>
        </w:rPr>
        <w:t>银行地址：</w:t>
      </w:r>
      <w:r>
        <w:rPr>
          <w:rFonts w:hint="eastAsia" w:ascii="宋体" w:hAnsi="宋体" w:cs="宋体"/>
          <w:color w:val="000000"/>
          <w:szCs w:val="21"/>
          <w:highlight w:val="white"/>
          <w:u w:val="single"/>
        </w:rPr>
        <w:t xml:space="preserve">                           </w:t>
      </w:r>
    </w:p>
    <w:p>
      <w:pPr>
        <w:widowControl/>
        <w:shd w:val="clear" w:color="auto" w:fill="FFFFFF"/>
        <w:spacing w:line="500" w:lineRule="atLeast"/>
        <w:jc w:val="left"/>
        <w:rPr>
          <w:rFonts w:hint="eastAsia" w:ascii="宋体" w:hAnsi="宋体" w:cs="宋体"/>
          <w:szCs w:val="21"/>
        </w:rPr>
      </w:pPr>
      <w:r>
        <w:rPr>
          <w:rFonts w:hint="eastAsia" w:ascii="宋体" w:hAnsi="宋体" w:cs="宋体"/>
          <w:color w:val="000000"/>
          <w:szCs w:val="21"/>
          <w:highlight w:val="white"/>
        </w:rPr>
        <w:t>法定代表人（负责人）或授权代理人（签字或盖章）：</w:t>
      </w:r>
      <w:r>
        <w:rPr>
          <w:rFonts w:hint="eastAsia" w:ascii="宋体" w:hAnsi="宋体" w:cs="宋体"/>
          <w:color w:val="000000"/>
          <w:szCs w:val="21"/>
          <w:highlight w:val="white"/>
          <w:u w:val="single"/>
        </w:rPr>
        <w:t xml:space="preserve">           </w:t>
      </w:r>
    </w:p>
    <w:p>
      <w:pPr>
        <w:widowControl/>
        <w:shd w:val="clear" w:color="auto" w:fill="FFFFFF"/>
        <w:spacing w:line="500" w:lineRule="atLeast"/>
        <w:jc w:val="left"/>
        <w:rPr>
          <w:rFonts w:hint="eastAsia" w:ascii="宋体" w:hAnsi="宋体" w:cs="宋体"/>
          <w:color w:val="000000"/>
          <w:szCs w:val="21"/>
        </w:rPr>
      </w:pPr>
      <w:r>
        <w:rPr>
          <w:rFonts w:hint="eastAsia" w:ascii="宋体" w:hAnsi="宋体" w:cs="宋体"/>
          <w:color w:val="000000"/>
          <w:szCs w:val="21"/>
          <w:highlight w:val="white"/>
        </w:rPr>
        <w:t>邮政编码：</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w:t>
      </w:r>
    </w:p>
    <w:p>
      <w:pPr>
        <w:widowControl/>
        <w:shd w:val="clear" w:color="auto" w:fill="FFFFFF"/>
        <w:spacing w:line="500" w:lineRule="atLeast"/>
        <w:jc w:val="left"/>
        <w:rPr>
          <w:rFonts w:hint="eastAsia" w:ascii="宋体" w:hAnsi="宋体" w:cs="宋体"/>
          <w:szCs w:val="21"/>
        </w:rPr>
      </w:pPr>
      <w:r>
        <w:rPr>
          <w:rFonts w:hint="eastAsia" w:ascii="宋体" w:hAnsi="宋体" w:cs="宋体"/>
          <w:color w:val="000000"/>
          <w:szCs w:val="21"/>
          <w:highlight w:val="white"/>
        </w:rPr>
        <w:t>电话：</w:t>
      </w:r>
      <w:r>
        <w:rPr>
          <w:rFonts w:hint="eastAsia" w:ascii="宋体" w:hAnsi="宋体" w:cs="宋体"/>
          <w:color w:val="000000"/>
          <w:szCs w:val="21"/>
          <w:highlight w:val="white"/>
          <w:u w:val="single"/>
        </w:rPr>
        <w:t xml:space="preserve">               </w:t>
      </w:r>
    </w:p>
    <w:p>
      <w:pPr>
        <w:widowControl/>
        <w:shd w:val="clear" w:color="auto" w:fill="FFFFFF"/>
        <w:spacing w:line="390" w:lineRule="atLeast"/>
        <w:jc w:val="left"/>
        <w:rPr>
          <w:rFonts w:hint="eastAsia" w:ascii="宋体" w:hAnsi="宋体" w:cs="宋体"/>
          <w:szCs w:val="21"/>
        </w:rPr>
      </w:pPr>
      <w:r>
        <w:rPr>
          <w:rFonts w:hint="eastAsia" w:ascii="宋体" w:hAnsi="宋体" w:cs="宋体"/>
          <w:color w:val="000000"/>
          <w:szCs w:val="21"/>
          <w:highlight w:val="white"/>
        </w:rPr>
        <w:t>日期：</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年</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月</w:t>
      </w:r>
      <w:r>
        <w:rPr>
          <w:rFonts w:hint="eastAsia" w:ascii="宋体" w:hAnsi="宋体" w:cs="宋体"/>
          <w:color w:val="000000"/>
          <w:szCs w:val="21"/>
          <w:highlight w:val="white"/>
          <w:u w:val="single"/>
        </w:rPr>
        <w:t xml:space="preserve">     </w:t>
      </w:r>
      <w:r>
        <w:rPr>
          <w:rFonts w:hint="eastAsia" w:ascii="宋体" w:hAnsi="宋体" w:cs="宋体"/>
          <w:color w:val="000000"/>
          <w:szCs w:val="21"/>
          <w:highlight w:val="white"/>
        </w:rPr>
        <w:t>日</w:t>
      </w:r>
    </w:p>
    <w:p>
      <w:pPr>
        <w:spacing w:line="440" w:lineRule="exact"/>
        <w:rPr>
          <w:rFonts w:ascii="宋体" w:hAnsi="宋体"/>
          <w:szCs w:val="21"/>
        </w:rPr>
      </w:pPr>
    </w:p>
    <w:p>
      <w:pPr>
        <w:spacing w:line="440" w:lineRule="exact"/>
        <w:rPr>
          <w:rFonts w:ascii="宋体" w:hAnsi="宋体"/>
          <w:sz w:val="20"/>
          <w:szCs w:val="20"/>
        </w:rPr>
      </w:pPr>
    </w:p>
    <w:p>
      <w:pPr>
        <w:widowControl/>
        <w:shd w:val="clear" w:color="auto" w:fill="FFFFFF"/>
        <w:spacing w:line="390" w:lineRule="atLeast"/>
        <w:jc w:val="center"/>
        <w:rPr>
          <w:rFonts w:ascii="宋体" w:hAnsi="宋体"/>
          <w:b/>
          <w:sz w:val="36"/>
        </w:rPr>
      </w:pPr>
    </w:p>
    <w:p>
      <w:pPr>
        <w:pStyle w:val="2"/>
        <w:ind w:firstLine="214"/>
      </w:pPr>
    </w:p>
    <w:p>
      <w:pPr>
        <w:widowControl/>
        <w:jc w:val="left"/>
        <w:rPr>
          <w:rFonts w:hint="eastAsia" w:ascii="宋体" w:hAnsi="宋体" w:cs="黑体"/>
          <w:b/>
          <w:color w:val="000000"/>
          <w:kern w:val="0"/>
          <w:sz w:val="24"/>
          <w:lang w:bidi="ar"/>
        </w:rPr>
      </w:pPr>
      <w:r>
        <w:rPr>
          <w:rFonts w:ascii="宋体" w:hAnsi="宋体" w:cs="黑体"/>
          <w:b/>
          <w:color w:val="000000"/>
          <w:kern w:val="0"/>
          <w:sz w:val="24"/>
          <w:lang w:bidi="ar"/>
        </w:rPr>
        <w:t>投标保证金银行保函格式</w:t>
      </w:r>
      <w:r>
        <w:rPr>
          <w:rFonts w:hint="eastAsia" w:ascii="宋体" w:hAnsi="宋体" w:cs="黑体"/>
          <w:b/>
          <w:color w:val="000000"/>
          <w:kern w:val="0"/>
          <w:sz w:val="24"/>
          <w:lang w:bidi="ar"/>
        </w:rPr>
        <w:t>（参考）</w:t>
      </w:r>
    </w:p>
    <w:p>
      <w:pPr>
        <w:jc w:val="center"/>
        <w:rPr>
          <w:rFonts w:ascii="宋体" w:hAnsi="宋体"/>
          <w:sz w:val="36"/>
          <w:szCs w:val="36"/>
        </w:rPr>
      </w:pPr>
    </w:p>
    <w:p>
      <w:pPr>
        <w:jc w:val="center"/>
        <w:rPr>
          <w:rFonts w:hint="eastAsia" w:ascii="宋体" w:hAnsi="宋体"/>
          <w:b/>
          <w:bCs/>
          <w:sz w:val="36"/>
          <w:szCs w:val="36"/>
        </w:rPr>
      </w:pPr>
      <w:r>
        <w:rPr>
          <w:rFonts w:hint="eastAsia" w:ascii="宋体" w:hAnsi="宋体"/>
          <w:b/>
          <w:bCs/>
          <w:sz w:val="36"/>
          <w:szCs w:val="36"/>
        </w:rPr>
        <w:t>投 标 保 函</w:t>
      </w:r>
    </w:p>
    <w:p>
      <w:pPr>
        <w:spacing w:line="480" w:lineRule="exact"/>
        <w:rPr>
          <w:rFonts w:hint="eastAsia"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编号：</w:t>
      </w:r>
    </w:p>
    <w:p>
      <w:pPr>
        <w:spacing w:line="480" w:lineRule="exact"/>
        <w:rPr>
          <w:rFonts w:ascii="宋体" w:hAnsi="宋体"/>
          <w:szCs w:val="21"/>
        </w:rPr>
      </w:pPr>
      <w:r>
        <w:rPr>
          <w:rFonts w:hint="eastAsia" w:ascii="宋体" w:hAnsi="宋体"/>
          <w:szCs w:val="21"/>
        </w:rPr>
        <w:t>致受益人（招标方）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480" w:lineRule="exact"/>
        <w:ind w:firstLine="426" w:firstLineChars="200"/>
        <w:rPr>
          <w:rFonts w:hint="eastAsia" w:ascii="宋体" w:hAnsi="宋体"/>
          <w:szCs w:val="21"/>
        </w:rPr>
      </w:pPr>
      <w:r>
        <w:rPr>
          <w:rFonts w:hint="eastAsia" w:ascii="宋体" w:hAnsi="宋体"/>
          <w:szCs w:val="21"/>
        </w:rPr>
        <w:t>鉴于投标方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(下称“被保证人”)参加以你方为招标方的</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投标，我行愿向你方提供如下保证：</w:t>
      </w:r>
    </w:p>
    <w:p>
      <w:pPr>
        <w:spacing w:line="480" w:lineRule="exact"/>
        <w:ind w:firstLine="426" w:firstLineChars="200"/>
        <w:rPr>
          <w:rFonts w:hint="eastAsia" w:ascii="宋体" w:hAnsi="宋体"/>
          <w:szCs w:val="21"/>
        </w:rPr>
      </w:pPr>
      <w:r>
        <w:rPr>
          <w:rFonts w:hint="eastAsia" w:ascii="宋体" w:hAnsi="宋体"/>
          <w:szCs w:val="21"/>
        </w:rPr>
        <w:t>一、本保函项下我行承担的保证责任最高限额为</w:t>
      </w:r>
      <w:r>
        <w:rPr>
          <w:rFonts w:ascii="宋体" w:hAnsi="宋体"/>
          <w:szCs w:val="21"/>
        </w:rPr>
        <w:t>(</w:t>
      </w:r>
      <w:r>
        <w:rPr>
          <w:rFonts w:hint="eastAsia" w:ascii="宋体" w:hAnsi="宋体"/>
          <w:szCs w:val="21"/>
        </w:rPr>
        <w:t>币种、金额、大写</w:t>
      </w:r>
      <w:r>
        <w:rPr>
          <w:rFonts w:ascii="宋体" w:hAnsi="宋体"/>
          <w:szCs w:val="21"/>
        </w:rPr>
        <w:t>)</w:t>
      </w:r>
      <w:r>
        <w:rPr>
          <w:rFonts w:hint="eastAsia" w:ascii="宋体" w:hAnsi="宋体"/>
          <w:szCs w:val="21"/>
          <w:u w:val="single"/>
        </w:rPr>
        <w:t xml:space="preserve">                        </w:t>
      </w:r>
      <w:r>
        <w:rPr>
          <w:rFonts w:hint="eastAsia" w:ascii="宋体" w:hAnsi="宋体"/>
          <w:szCs w:val="21"/>
        </w:rPr>
        <w:t>。（下称“保证金额”）</w:t>
      </w:r>
    </w:p>
    <w:p>
      <w:pPr>
        <w:adjustRightInd w:val="0"/>
        <w:snapToGrid w:val="0"/>
        <w:spacing w:line="480" w:lineRule="exact"/>
        <w:ind w:firstLine="426" w:firstLineChars="200"/>
        <w:rPr>
          <w:rFonts w:hint="eastAsia" w:ascii="宋体" w:hAnsi="宋体"/>
          <w:snapToGrid w:val="0"/>
          <w:kern w:val="0"/>
          <w:szCs w:val="21"/>
        </w:rPr>
      </w:pPr>
      <w:r>
        <w:rPr>
          <w:rFonts w:hint="eastAsia" w:ascii="宋体" w:hAnsi="宋体"/>
          <w:snapToGrid w:val="0"/>
          <w:kern w:val="0"/>
          <w:szCs w:val="21"/>
        </w:rPr>
        <w:t>二、我行在本保函项下提供的保证为连带责任保证。</w:t>
      </w:r>
    </w:p>
    <w:p>
      <w:pPr>
        <w:spacing w:line="480" w:lineRule="exact"/>
        <w:ind w:firstLine="426" w:firstLineChars="200"/>
        <w:jc w:val="left"/>
        <w:rPr>
          <w:rFonts w:hint="eastAsia" w:ascii="宋体" w:hAnsi="宋体"/>
          <w:snapToGrid w:val="0"/>
          <w:kern w:val="0"/>
          <w:szCs w:val="21"/>
        </w:rPr>
      </w:pPr>
      <w:r>
        <w:rPr>
          <w:rFonts w:hint="eastAsia" w:ascii="宋体" w:hAnsi="宋体"/>
          <w:snapToGrid w:val="0"/>
          <w:kern w:val="0"/>
          <w:szCs w:val="21"/>
        </w:rPr>
        <w:t>三、本保函的有效期为以下第</w:t>
      </w:r>
      <w:r>
        <w:rPr>
          <w:rFonts w:hint="eastAsia" w:ascii="宋体" w:hAnsi="宋体"/>
          <w:snapToGrid w:val="0"/>
          <w:kern w:val="0"/>
          <w:szCs w:val="21"/>
          <w:u w:val="single"/>
        </w:rPr>
        <w:t xml:space="preserve">    </w:t>
      </w:r>
      <w:r>
        <w:rPr>
          <w:rFonts w:hint="eastAsia" w:ascii="宋体" w:hAnsi="宋体"/>
          <w:snapToGrid w:val="0"/>
          <w:kern w:val="0"/>
          <w:szCs w:val="21"/>
        </w:rPr>
        <w:t>种：</w:t>
      </w:r>
    </w:p>
    <w:p>
      <w:pPr>
        <w:spacing w:line="480" w:lineRule="exact"/>
        <w:ind w:firstLine="426" w:firstLineChars="200"/>
        <w:jc w:val="left"/>
        <w:rPr>
          <w:rFonts w:hint="eastAsia" w:ascii="宋体" w:hAnsi="宋体"/>
          <w:snapToGrid w:val="0"/>
          <w:kern w:val="0"/>
          <w:szCs w:val="21"/>
        </w:rPr>
      </w:pPr>
      <w:r>
        <w:rPr>
          <w:rFonts w:hint="eastAsia" w:ascii="宋体" w:hAnsi="宋体"/>
          <w:snapToGrid w:val="0"/>
          <w:kern w:val="0"/>
          <w:szCs w:val="21"/>
        </w:rPr>
        <w:t>1.本保函有效期至</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年</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月</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日止。</w:t>
      </w:r>
    </w:p>
    <w:p>
      <w:pPr>
        <w:adjustRightInd w:val="0"/>
        <w:snapToGrid w:val="0"/>
        <w:spacing w:line="480" w:lineRule="exact"/>
        <w:ind w:firstLine="426" w:firstLineChars="200"/>
        <w:rPr>
          <w:rFonts w:hint="eastAsia" w:ascii="宋体" w:hAnsi="宋体"/>
          <w:snapToGrid w:val="0"/>
          <w:kern w:val="0"/>
          <w:szCs w:val="21"/>
        </w:rPr>
      </w:pPr>
      <w:r>
        <w:rPr>
          <w:rFonts w:hint="eastAsia" w:ascii="宋体" w:hAnsi="宋体"/>
          <w:snapToGrid w:val="0"/>
          <w:kern w:val="0"/>
          <w:szCs w:val="21"/>
        </w:rPr>
        <w:t>2.</w:t>
      </w:r>
      <w:r>
        <w:rPr>
          <w:rFonts w:hint="eastAsia" w:ascii="宋体" w:hAnsi="宋体"/>
          <w:snapToGrid w:val="0"/>
          <w:kern w:val="0"/>
          <w:szCs w:val="21"/>
          <w:u w:val="single"/>
        </w:rPr>
        <w:t xml:space="preserve">           </w:t>
      </w:r>
      <w:r>
        <w:rPr>
          <w:rFonts w:ascii="宋体" w:hAnsi="宋体"/>
          <w:snapToGrid w:val="0"/>
          <w:kern w:val="0"/>
          <w:szCs w:val="21"/>
          <w:u w:val="single"/>
        </w:rPr>
        <w:t xml:space="preserve">                  </w:t>
      </w:r>
      <w:r>
        <w:rPr>
          <w:rFonts w:hint="eastAsia" w:ascii="宋体" w:hAnsi="宋体"/>
          <w:snapToGrid w:val="0"/>
          <w:kern w:val="0"/>
          <w:szCs w:val="21"/>
          <w:u w:val="single"/>
        </w:rPr>
        <w:t xml:space="preserve">                 </w:t>
      </w:r>
      <w:r>
        <w:rPr>
          <w:rFonts w:hint="eastAsia" w:ascii="宋体" w:hAnsi="宋体"/>
          <w:snapToGrid w:val="0"/>
          <w:kern w:val="0"/>
          <w:szCs w:val="21"/>
        </w:rPr>
        <w:t>。</w:t>
      </w:r>
    </w:p>
    <w:p>
      <w:pPr>
        <w:spacing w:line="480" w:lineRule="exact"/>
        <w:ind w:firstLine="426" w:firstLineChars="200"/>
        <w:jc w:val="left"/>
        <w:rPr>
          <w:rFonts w:hint="eastAsia" w:ascii="宋体" w:hAnsi="宋体"/>
          <w:szCs w:val="21"/>
        </w:rPr>
      </w:pPr>
      <w:r>
        <w:rPr>
          <w:rFonts w:hint="eastAsia" w:ascii="宋体" w:hAnsi="宋体"/>
          <w:szCs w:val="21"/>
        </w:rPr>
        <w:t>四、在本保函的有效期内，如被保证人发生以下情形：</w:t>
      </w:r>
    </w:p>
    <w:p>
      <w:pPr>
        <w:spacing w:line="480" w:lineRule="exact"/>
        <w:ind w:firstLine="426" w:firstLineChars="200"/>
        <w:jc w:val="left"/>
        <w:rPr>
          <w:rFonts w:ascii="宋体" w:hAnsi="宋体"/>
          <w:szCs w:val="21"/>
        </w:rPr>
      </w:pPr>
      <w:r>
        <w:rPr>
          <w:rFonts w:hint="eastAsia" w:ascii="宋体" w:hAnsi="宋体"/>
          <w:snapToGrid w:val="0"/>
          <w:kern w:val="0"/>
          <w:szCs w:val="21"/>
        </w:rPr>
        <w:t>（一）</w:t>
      </w:r>
      <w:r>
        <w:rPr>
          <w:rFonts w:hint="eastAsia" w:ascii="宋体" w:hAnsi="宋体"/>
          <w:szCs w:val="21"/>
        </w:rPr>
        <w:t>在投标文件有效期内撤回投标或无故放弃中标资格；</w:t>
      </w:r>
    </w:p>
    <w:p>
      <w:pPr>
        <w:spacing w:line="480" w:lineRule="exact"/>
        <w:ind w:firstLine="426" w:firstLineChars="200"/>
        <w:jc w:val="left"/>
        <w:rPr>
          <w:rFonts w:hint="eastAsia" w:ascii="宋体" w:hAnsi="宋体"/>
          <w:szCs w:val="21"/>
        </w:rPr>
      </w:pPr>
      <w:r>
        <w:rPr>
          <w:rFonts w:hint="eastAsia" w:ascii="宋体" w:hAnsi="宋体"/>
          <w:snapToGrid w:val="0"/>
          <w:kern w:val="0"/>
          <w:szCs w:val="21"/>
        </w:rPr>
        <w:t>（二）</w:t>
      </w:r>
      <w:r>
        <w:rPr>
          <w:rFonts w:hint="eastAsia" w:ascii="宋体" w:hAnsi="宋体"/>
          <w:szCs w:val="21"/>
        </w:rPr>
        <w:t>在接到中标通知书后</w:t>
      </w:r>
      <w:r>
        <w:rPr>
          <w:rFonts w:hint="eastAsia" w:ascii="宋体" w:hAnsi="宋体"/>
          <w:szCs w:val="21"/>
          <w:u w:val="single"/>
        </w:rPr>
        <w:t xml:space="preserve">       </w:t>
      </w:r>
      <w:r>
        <w:rPr>
          <w:rFonts w:hint="eastAsia" w:ascii="宋体" w:hAnsi="宋体"/>
          <w:szCs w:val="21"/>
        </w:rPr>
        <w:t>天内，未按投标须知的要求签署合同协议；</w:t>
      </w:r>
    </w:p>
    <w:p>
      <w:pPr>
        <w:spacing w:line="480" w:lineRule="exact"/>
        <w:ind w:firstLine="426" w:firstLineChars="200"/>
        <w:jc w:val="left"/>
        <w:rPr>
          <w:rFonts w:hint="eastAsia" w:ascii="宋体" w:hAnsi="宋体"/>
          <w:szCs w:val="21"/>
        </w:rPr>
      </w:pPr>
      <w:r>
        <w:rPr>
          <w:rFonts w:hint="eastAsia" w:ascii="宋体" w:hAnsi="宋体"/>
          <w:szCs w:val="21"/>
        </w:rPr>
        <w:t>（三）在接到中标通知书后</w:t>
      </w:r>
      <w:r>
        <w:rPr>
          <w:rFonts w:hint="eastAsia" w:ascii="宋体" w:hAnsi="宋体"/>
          <w:szCs w:val="21"/>
          <w:u w:val="single"/>
        </w:rPr>
        <w:t xml:space="preserve">       </w:t>
      </w:r>
      <w:r>
        <w:rPr>
          <w:rFonts w:hint="eastAsia" w:ascii="宋体" w:hAnsi="宋体"/>
          <w:szCs w:val="21"/>
        </w:rPr>
        <w:t>天内，未在规定期限内提交银行履约保函。</w:t>
      </w:r>
    </w:p>
    <w:p>
      <w:pPr>
        <w:spacing w:line="480" w:lineRule="exact"/>
        <w:ind w:firstLine="426" w:firstLineChars="200"/>
        <w:jc w:val="left"/>
        <w:rPr>
          <w:rFonts w:hint="eastAsia" w:ascii="宋体" w:hAnsi="宋体"/>
          <w:szCs w:val="21"/>
        </w:rPr>
      </w:pPr>
      <w:r>
        <w:rPr>
          <w:rFonts w:hint="eastAsia" w:ascii="宋体" w:hAnsi="宋体"/>
          <w:szCs w:val="21"/>
        </w:rPr>
        <w:t>（四）招标文件明确约定不予退还或没收其保证金的情况；</w:t>
      </w:r>
    </w:p>
    <w:p>
      <w:pPr>
        <w:spacing w:line="480" w:lineRule="exact"/>
        <w:ind w:firstLine="426" w:firstLineChars="200"/>
        <w:jc w:val="left"/>
        <w:rPr>
          <w:rFonts w:hint="eastAsia" w:ascii="宋体" w:hAnsi="宋体"/>
          <w:snapToGrid w:val="0"/>
          <w:kern w:val="0"/>
          <w:szCs w:val="21"/>
        </w:rPr>
      </w:pPr>
      <w:r>
        <w:rPr>
          <w:rFonts w:hint="eastAsia" w:ascii="宋体" w:hAnsi="宋体"/>
          <w:snapToGrid w:val="0"/>
          <w:kern w:val="0"/>
          <w:szCs w:val="21"/>
        </w:rPr>
        <w:t>我行将在收到你方提交的本保函原件及符合下列全部条件的索赔通知后</w:t>
      </w:r>
      <w:r>
        <w:rPr>
          <w:rFonts w:hint="eastAsia" w:ascii="宋体" w:hAnsi="宋体"/>
          <w:snapToGrid w:val="0"/>
          <w:kern w:val="0"/>
          <w:szCs w:val="21"/>
          <w:u w:val="single"/>
        </w:rPr>
        <w:t xml:space="preserve">     </w:t>
      </w:r>
      <w:r>
        <w:rPr>
          <w:rFonts w:hint="eastAsia" w:ascii="宋体" w:hAnsi="宋体"/>
          <w:snapToGrid w:val="0"/>
          <w:kern w:val="0"/>
          <w:szCs w:val="21"/>
        </w:rPr>
        <w:t>个工作日内，以上述保证金额为限支付你方索赔金额：</w:t>
      </w:r>
    </w:p>
    <w:p>
      <w:pPr>
        <w:adjustRightInd w:val="0"/>
        <w:snapToGrid w:val="0"/>
        <w:spacing w:line="480" w:lineRule="exact"/>
        <w:ind w:firstLine="426" w:firstLineChars="200"/>
        <w:rPr>
          <w:rFonts w:hint="eastAsia" w:ascii="宋体" w:hAnsi="宋体"/>
          <w:szCs w:val="21"/>
        </w:rPr>
      </w:pPr>
      <w:r>
        <w:rPr>
          <w:rFonts w:hint="eastAsia" w:ascii="宋体" w:hAnsi="宋体"/>
          <w:snapToGrid w:val="0"/>
          <w:kern w:val="0"/>
          <w:szCs w:val="21"/>
        </w:rPr>
        <w:t>（一）索赔通知必须以书面形式提出，列明索赔金额，并由你方法定代表人（负责人）或授权代理人签字并加盖公章；</w:t>
      </w:r>
    </w:p>
    <w:p>
      <w:pPr>
        <w:adjustRightInd w:val="0"/>
        <w:snapToGrid w:val="0"/>
        <w:spacing w:line="480" w:lineRule="exact"/>
        <w:ind w:firstLine="426" w:firstLineChars="200"/>
        <w:rPr>
          <w:rFonts w:hint="eastAsia" w:ascii="宋体" w:hAnsi="宋体"/>
          <w:snapToGrid w:val="0"/>
          <w:kern w:val="0"/>
          <w:szCs w:val="21"/>
        </w:rPr>
      </w:pPr>
      <w:r>
        <w:rPr>
          <w:rFonts w:hint="eastAsia" w:ascii="宋体" w:hAnsi="宋体"/>
          <w:snapToGrid w:val="0"/>
          <w:kern w:val="0"/>
          <w:szCs w:val="21"/>
        </w:rPr>
        <w:t>（二）索赔通知必须同时附有：</w:t>
      </w:r>
    </w:p>
    <w:p>
      <w:pPr>
        <w:adjustRightInd w:val="0"/>
        <w:snapToGrid w:val="0"/>
        <w:spacing w:line="480" w:lineRule="exact"/>
        <w:ind w:firstLine="426" w:firstLineChars="200"/>
        <w:rPr>
          <w:rFonts w:hint="eastAsia" w:ascii="宋体" w:hAnsi="宋体"/>
          <w:snapToGrid w:val="0"/>
          <w:kern w:val="0"/>
          <w:szCs w:val="21"/>
        </w:rPr>
      </w:pPr>
      <w:r>
        <w:rPr>
          <w:rFonts w:hint="eastAsia" w:ascii="宋体" w:hAnsi="宋体"/>
          <w:snapToGrid w:val="0"/>
          <w:kern w:val="0"/>
          <w:szCs w:val="21"/>
        </w:rPr>
        <w:t>1. 一项书面声明，声明索赔款额并未由</w:t>
      </w:r>
      <w:r>
        <w:rPr>
          <w:rFonts w:hint="eastAsia" w:ascii="宋体" w:hAnsi="宋体"/>
          <w:szCs w:val="21"/>
        </w:rPr>
        <w:t>被保证人</w:t>
      </w:r>
      <w:r>
        <w:rPr>
          <w:rFonts w:hint="eastAsia" w:ascii="宋体" w:hAnsi="宋体"/>
          <w:snapToGrid w:val="0"/>
          <w:kern w:val="0"/>
          <w:szCs w:val="21"/>
        </w:rPr>
        <w:t>或其代理人直接或间接地支付给你方；</w:t>
      </w:r>
    </w:p>
    <w:p>
      <w:pPr>
        <w:adjustRightInd w:val="0"/>
        <w:snapToGrid w:val="0"/>
        <w:spacing w:line="480" w:lineRule="exact"/>
        <w:ind w:firstLine="426" w:firstLineChars="200"/>
        <w:rPr>
          <w:rFonts w:hint="eastAsia" w:ascii="宋体" w:hAnsi="宋体"/>
          <w:snapToGrid w:val="0"/>
          <w:kern w:val="0"/>
          <w:szCs w:val="21"/>
        </w:rPr>
      </w:pPr>
      <w:r>
        <w:rPr>
          <w:rFonts w:ascii="宋体" w:hAnsi="宋体"/>
          <w:snapToGrid w:val="0"/>
          <w:kern w:val="0"/>
          <w:szCs w:val="21"/>
        </w:rPr>
        <w:t>2</w:t>
      </w:r>
      <w:r>
        <w:rPr>
          <w:rFonts w:hint="eastAsia" w:ascii="宋体" w:hAnsi="宋体"/>
          <w:snapToGrid w:val="0"/>
          <w:kern w:val="0"/>
          <w:szCs w:val="21"/>
        </w:rPr>
        <w:t>.证明</w:t>
      </w:r>
      <w:r>
        <w:rPr>
          <w:rFonts w:hint="eastAsia" w:ascii="宋体" w:hAnsi="宋体"/>
          <w:szCs w:val="21"/>
        </w:rPr>
        <w:t>被保证人</w:t>
      </w:r>
      <w:r>
        <w:rPr>
          <w:rFonts w:hint="eastAsia" w:ascii="宋体" w:hAnsi="宋体"/>
          <w:snapToGrid w:val="0"/>
          <w:kern w:val="0"/>
          <w:szCs w:val="21"/>
        </w:rPr>
        <w:t>有责任赔偿其服务对象损失或支付罚款、罚金以及相关损失、罚款或罚金金额的证据。</w:t>
      </w:r>
    </w:p>
    <w:p>
      <w:pPr>
        <w:spacing w:line="480" w:lineRule="exact"/>
        <w:ind w:firstLine="426" w:firstLineChars="200"/>
        <w:rPr>
          <w:rFonts w:hint="eastAsia" w:ascii="宋体" w:hAnsi="宋体"/>
          <w:szCs w:val="21"/>
        </w:rPr>
      </w:pPr>
      <w:r>
        <w:rPr>
          <w:rFonts w:hint="eastAsia" w:ascii="宋体" w:hAnsi="宋体"/>
          <w:szCs w:val="21"/>
        </w:rPr>
        <w:t>（三）索赔通知必须在本保函有效期内到达以下地址：</w:t>
      </w:r>
    </w:p>
    <w:p>
      <w:pPr>
        <w:spacing w:line="480" w:lineRule="exact"/>
        <w:ind w:firstLine="426" w:firstLineChars="200"/>
        <w:rPr>
          <w:rFonts w:hint="eastAsia"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adjustRightInd w:val="0"/>
        <w:snapToGrid w:val="0"/>
        <w:spacing w:line="480" w:lineRule="exact"/>
        <w:ind w:firstLine="426" w:firstLineChars="200"/>
        <w:rPr>
          <w:rFonts w:hint="eastAsia" w:ascii="宋体" w:hAnsi="宋体"/>
          <w:szCs w:val="21"/>
        </w:rPr>
      </w:pPr>
      <w:r>
        <w:rPr>
          <w:rFonts w:hint="eastAsia" w:ascii="宋体" w:hAnsi="宋体"/>
          <w:snapToGrid w:val="0"/>
          <w:kern w:val="0"/>
          <w:szCs w:val="21"/>
        </w:rPr>
        <w:t>五、</w:t>
      </w:r>
      <w:r>
        <w:rPr>
          <w:rFonts w:hint="eastAsia" w:ascii="宋体" w:hAnsi="宋体"/>
          <w:szCs w:val="21"/>
        </w:rPr>
        <w:t>本保函保证金额将随被保证人逐步履行保函项下合同约定或法定的义务以及我行</w:t>
      </w:r>
      <w:r>
        <w:rPr>
          <w:rFonts w:hint="eastAsia" w:ascii="宋体" w:hAnsi="宋体"/>
          <w:snapToGrid w:val="0"/>
          <w:kern w:val="0"/>
          <w:szCs w:val="21"/>
        </w:rPr>
        <w:t>按你方索赔通知要求分次支付</w:t>
      </w:r>
      <w:r>
        <w:rPr>
          <w:rFonts w:hint="eastAsia" w:ascii="宋体" w:hAnsi="宋体"/>
          <w:szCs w:val="21"/>
        </w:rPr>
        <w:t>而相应递减。</w:t>
      </w:r>
    </w:p>
    <w:p>
      <w:pPr>
        <w:pStyle w:val="10"/>
        <w:spacing w:line="480" w:lineRule="exact"/>
        <w:ind w:left="427" w:firstLine="426" w:firstLineChars="200"/>
        <w:rPr>
          <w:rFonts w:hint="eastAsia" w:ascii="宋体" w:hAnsi="宋体"/>
          <w:szCs w:val="21"/>
        </w:rPr>
      </w:pPr>
      <w:r>
        <w:rPr>
          <w:rFonts w:hint="eastAsia" w:ascii="宋体" w:hAnsi="宋体"/>
          <w:szCs w:val="21"/>
        </w:rPr>
        <w:t>六、</w:t>
      </w:r>
      <w:r>
        <w:rPr>
          <w:rFonts w:hint="eastAsia" w:ascii="宋体" w:hAnsi="宋体"/>
          <w:color w:val="000000"/>
          <w:szCs w:val="21"/>
        </w:rPr>
        <w:t>本保函项下的权利不得转让，不得设定担保。受益人未经我行书面同意转让本保函或其项下任何权利，我行在本保函项下的义务与责任全部消灭。</w:t>
      </w:r>
    </w:p>
    <w:p>
      <w:pPr>
        <w:pStyle w:val="10"/>
        <w:spacing w:line="480" w:lineRule="exact"/>
        <w:ind w:left="427" w:firstLine="426" w:firstLineChars="200"/>
        <w:rPr>
          <w:rFonts w:hint="eastAsia" w:ascii="宋体" w:hAnsi="宋体"/>
          <w:color w:val="000000"/>
          <w:szCs w:val="21"/>
        </w:rPr>
      </w:pPr>
      <w:r>
        <w:rPr>
          <w:rFonts w:hint="eastAsia" w:ascii="宋体" w:hAnsi="宋体"/>
          <w:snapToGrid w:val="0"/>
          <w:kern w:val="0"/>
          <w:szCs w:val="21"/>
        </w:rPr>
        <w:t>七、</w:t>
      </w:r>
      <w:r>
        <w:rPr>
          <w:rFonts w:hint="eastAsia" w:ascii="宋体" w:hAnsi="宋体"/>
          <w:szCs w:val="21"/>
        </w:rPr>
        <w:t>因本保函发生争议协商解决不成，</w:t>
      </w:r>
      <w:r>
        <w:rPr>
          <w:rFonts w:hint="eastAsia" w:ascii="宋体" w:hAnsi="宋体"/>
          <w:color w:val="000000"/>
          <w:szCs w:val="21"/>
        </w:rPr>
        <w:t>按以下第</w:t>
      </w:r>
      <w:r>
        <w:rPr>
          <w:rFonts w:hint="eastAsia" w:ascii="宋体" w:hAnsi="宋体"/>
          <w:color w:val="000000"/>
          <w:szCs w:val="21"/>
          <w:u w:val="single"/>
        </w:rPr>
        <w:t xml:space="preserve">    </w:t>
      </w:r>
      <w:r>
        <w:rPr>
          <w:rFonts w:hint="eastAsia" w:ascii="宋体" w:hAnsi="宋体"/>
          <w:color w:val="000000"/>
          <w:szCs w:val="21"/>
        </w:rPr>
        <w:t>种方式解决：</w:t>
      </w:r>
    </w:p>
    <w:p>
      <w:pPr>
        <w:pStyle w:val="10"/>
        <w:spacing w:line="480" w:lineRule="exact"/>
        <w:ind w:left="427" w:firstLine="426" w:firstLineChars="200"/>
        <w:rPr>
          <w:rFonts w:hint="eastAsia" w:ascii="宋体" w:hAnsi="宋体"/>
          <w:color w:val="000000"/>
          <w:szCs w:val="21"/>
        </w:rPr>
      </w:pPr>
      <w:r>
        <w:rPr>
          <w:rFonts w:hint="eastAsia" w:ascii="宋体" w:hAnsi="宋体"/>
          <w:color w:val="000000"/>
          <w:szCs w:val="21"/>
        </w:rPr>
        <w:t>1.向本行所在地的人民法院起诉。</w:t>
      </w:r>
    </w:p>
    <w:p>
      <w:pPr>
        <w:pStyle w:val="10"/>
        <w:spacing w:line="480" w:lineRule="exact"/>
        <w:ind w:left="427" w:firstLine="426" w:firstLineChars="200"/>
        <w:rPr>
          <w:rFonts w:hint="eastAsia" w:ascii="宋体" w:hAnsi="宋体"/>
          <w:szCs w:val="21"/>
        </w:rPr>
      </w:pPr>
      <w:r>
        <w:rPr>
          <w:rFonts w:hint="eastAsia" w:ascii="宋体" w:hAnsi="宋体"/>
          <w:color w:val="000000"/>
          <w:szCs w:val="21"/>
        </w:rPr>
        <w:t>2.提交</w:t>
      </w:r>
      <w:r>
        <w:rPr>
          <w:rFonts w:hint="eastAsia" w:ascii="宋体" w:hAnsi="宋体"/>
          <w:color w:val="000000"/>
          <w:szCs w:val="21"/>
          <w:u w:val="single"/>
        </w:rPr>
        <w:t xml:space="preserve">           </w:t>
      </w:r>
      <w:r>
        <w:rPr>
          <w:rFonts w:hint="eastAsia" w:ascii="宋体" w:hAnsi="宋体"/>
          <w:color w:val="000000"/>
          <w:szCs w:val="21"/>
        </w:rPr>
        <w:t>仲裁委员会（仲裁地点为</w:t>
      </w:r>
      <w:r>
        <w:rPr>
          <w:rFonts w:hint="eastAsia" w:ascii="宋体" w:hAnsi="宋体"/>
          <w:color w:val="000000"/>
          <w:szCs w:val="21"/>
          <w:u w:val="single"/>
        </w:rPr>
        <w:t xml:space="preserve">     </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按照申请仲裁时该会现行有效的仲裁规则进行仲裁。仲裁裁决是终局的，对双方均有约束力。</w:t>
      </w:r>
    </w:p>
    <w:p>
      <w:pPr>
        <w:pStyle w:val="10"/>
        <w:spacing w:line="480" w:lineRule="exact"/>
        <w:ind w:left="427" w:firstLine="426" w:firstLineChars="200"/>
        <w:rPr>
          <w:rFonts w:hint="eastAsia" w:ascii="宋体" w:hAnsi="宋体"/>
          <w:szCs w:val="21"/>
        </w:rPr>
      </w:pPr>
      <w:r>
        <w:rPr>
          <w:rFonts w:hint="eastAsia" w:ascii="宋体" w:hAnsi="宋体"/>
          <w:snapToGrid w:val="0"/>
          <w:kern w:val="0"/>
          <w:szCs w:val="21"/>
        </w:rPr>
        <w:t>八、</w:t>
      </w:r>
      <w:r>
        <w:rPr>
          <w:rFonts w:hint="eastAsia" w:ascii="宋体" w:hAnsi="宋体"/>
          <w:szCs w:val="21"/>
        </w:rPr>
        <w:t>本保函有效期届满或提前终止，受益人应立即将本保函原件退还我行；受益人未履行上述义务，本保函仍在有效期届至或提前终止之日失效。</w:t>
      </w:r>
    </w:p>
    <w:p>
      <w:pPr>
        <w:pStyle w:val="10"/>
        <w:spacing w:line="480" w:lineRule="exact"/>
        <w:ind w:left="427" w:firstLine="426" w:firstLineChars="200"/>
        <w:rPr>
          <w:rFonts w:hint="eastAsia" w:ascii="宋体" w:hAnsi="宋体"/>
          <w:szCs w:val="21"/>
        </w:rPr>
      </w:pPr>
      <w:r>
        <w:rPr>
          <w:rFonts w:hint="eastAsia" w:ascii="宋体" w:hAnsi="宋体"/>
          <w:szCs w:val="21"/>
        </w:rPr>
        <w:t>九、本保函适用中华人民共和国法律。</w:t>
      </w:r>
    </w:p>
    <w:p>
      <w:pPr>
        <w:spacing w:line="480" w:lineRule="exact"/>
        <w:rPr>
          <w:rFonts w:hint="eastAsia" w:ascii="宋体" w:hAnsi="宋体"/>
          <w:szCs w:val="21"/>
        </w:rPr>
      </w:pPr>
      <w:r>
        <w:rPr>
          <w:rFonts w:hint="eastAsia" w:ascii="宋体" w:hAnsi="宋体"/>
          <w:szCs w:val="21"/>
        </w:rPr>
        <w:t xml:space="preserve">    十、其他条款:</w:t>
      </w:r>
    </w:p>
    <w:p>
      <w:pPr>
        <w:spacing w:line="480" w:lineRule="exact"/>
        <w:rPr>
          <w:rFonts w:hint="eastAsia" w:ascii="宋体" w:hAnsi="宋体"/>
          <w:szCs w:val="21"/>
        </w:rPr>
      </w:pPr>
      <w:r>
        <w:rPr>
          <w:rFonts w:hint="eastAsia" w:ascii="宋体" w:hAnsi="宋体"/>
          <w:szCs w:val="21"/>
        </w:rPr>
        <w:t xml:space="preserve">    1.本保函有效期届满或提前终止，本保函自动失效，我行在本保函项下的义务与责任自动全部消灭，此后提出的任何索赔均为无效索赔，我行无义务作出任何赔付。</w:t>
      </w:r>
    </w:p>
    <w:p>
      <w:pPr>
        <w:spacing w:line="480" w:lineRule="exact"/>
        <w:ind w:firstLine="426" w:firstLineChars="200"/>
        <w:rPr>
          <w:rFonts w:hint="eastAsia"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所有索赔通知必须在我行营业时间内到达本保函规定的地址，即每个银行营业日【   】点前，否则视为在下一个银行营业日到达。</w:t>
      </w:r>
    </w:p>
    <w:p>
      <w:pPr>
        <w:spacing w:line="480" w:lineRule="exact"/>
        <w:ind w:firstLine="426" w:firstLineChars="200"/>
        <w:rPr>
          <w:rFonts w:ascii="宋体" w:hAnsi="宋体"/>
          <w:szCs w:val="21"/>
        </w:rPr>
      </w:pPr>
      <w:r>
        <w:rPr>
          <w:rFonts w:hint="eastAsia" w:ascii="宋体" w:hAnsi="宋体"/>
          <w:szCs w:val="21"/>
        </w:rPr>
        <w:t>十一、本保函自本行负责人或授权代理人签字并加盖公章之日起生效。</w:t>
      </w: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hint="eastAsia"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r>
        <w:rPr>
          <w:rFonts w:hint="eastAsia" w:ascii="宋体" w:hAnsi="宋体"/>
          <w:b/>
          <w:sz w:val="36"/>
        </w:rPr>
        <w:t>有关资料复印件</w:t>
      </w: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widowControl/>
        <w:shd w:val="clear" w:color="auto" w:fill="FFFFFF"/>
        <w:spacing w:line="390" w:lineRule="atLeast"/>
        <w:jc w:val="center"/>
        <w:rPr>
          <w:rFonts w:ascii="宋体" w:hAnsi="宋体"/>
          <w:b/>
          <w:sz w:val="36"/>
        </w:rPr>
      </w:pPr>
    </w:p>
    <w:p>
      <w:pPr>
        <w:pStyle w:val="2"/>
        <w:rPr>
          <w:rFonts w:ascii="宋体" w:hAnsi="宋体"/>
          <w:b/>
          <w:sz w:val="36"/>
        </w:rPr>
      </w:pPr>
    </w:p>
    <w:p>
      <w:pPr>
        <w:pStyle w:val="4"/>
        <w:rPr>
          <w:rFonts w:ascii="宋体" w:hAnsi="宋体"/>
          <w:b/>
          <w:sz w:val="36"/>
        </w:rPr>
      </w:pPr>
    </w:p>
    <w:p>
      <w:pPr>
        <w:pStyle w:val="2"/>
        <w:ind w:left="0" w:leftChars="0" w:firstLine="0" w:firstLineChars="0"/>
        <w:sectPr>
          <w:headerReference r:id="rId4" w:type="default"/>
          <w:footerReference r:id="rId5" w:type="default"/>
          <w:footerReference r:id="rId6" w:type="even"/>
          <w:pgSz w:w="11906" w:h="16838"/>
          <w:pgMar w:top="1247" w:right="1361" w:bottom="1134" w:left="1361" w:header="851" w:footer="992" w:gutter="0"/>
          <w:pgBorders w:offsetFrom="page">
            <w:top w:val="none" w:sz="0" w:space="0"/>
            <w:left w:val="none" w:sz="0" w:space="0"/>
            <w:bottom w:val="none" w:sz="0" w:space="0"/>
            <w:right w:val="none" w:sz="0" w:space="0"/>
          </w:pgBorders>
          <w:pgNumType w:fmt="decimal"/>
          <w:cols w:space="720" w:num="1"/>
          <w:titlePg/>
          <w:docGrid w:type="linesAndChars" w:linePitch="312" w:charSpace="733"/>
        </w:sectPr>
      </w:pPr>
    </w:p>
    <w:p>
      <w:pPr>
        <w:spacing w:line="360" w:lineRule="auto"/>
        <w:ind w:firstLine="106" w:firstLineChars="50"/>
        <w:rPr>
          <w:rFonts w:ascii="宋体" w:hAnsi="宋体"/>
        </w:rPr>
      </w:pPr>
      <w:r>
        <w:rPr>
          <w:rFonts w:ascii="宋体" w:hAnsi="宋体"/>
        </w:rPr>
        <w:t>-----------------------------------------------------------------------------------------------------------------------------------</w:t>
      </w:r>
    </w:p>
    <w:p>
      <w:pPr>
        <w:spacing w:line="360" w:lineRule="auto"/>
        <w:jc w:val="center"/>
        <w:rPr>
          <w:rFonts w:ascii="宋体" w:hAnsi="宋体"/>
          <w:b/>
          <w:sz w:val="32"/>
        </w:rPr>
      </w:pPr>
      <w:r>
        <w:rPr>
          <w:rFonts w:hint="eastAsia" w:ascii="宋体" w:hAnsi="宋体"/>
          <w:b/>
          <w:sz w:val="36"/>
          <w:lang w:eastAsia="zh-CN"/>
        </w:rPr>
        <w:t>县城新区南扩区渡龙安置小区建设工程项目监理</w:t>
      </w:r>
      <w:r>
        <w:rPr>
          <w:rFonts w:hint="eastAsia" w:ascii="宋体" w:hAnsi="宋体"/>
          <w:b/>
          <w:sz w:val="36"/>
        </w:rPr>
        <w:t>技术标</w:t>
      </w:r>
      <w:r>
        <w:rPr>
          <w:rFonts w:ascii="宋体" w:hAnsi="宋体"/>
          <w:b/>
          <w:sz w:val="36"/>
        </w:rPr>
        <w:t>封条</w:t>
      </w:r>
    </w:p>
    <w:p>
      <w:pPr>
        <w:spacing w:line="360" w:lineRule="auto"/>
        <w:ind w:left="2590" w:hanging="2590"/>
        <w:jc w:val="center"/>
        <w:rPr>
          <w:rFonts w:ascii="宋体" w:hAnsi="宋体"/>
        </w:rPr>
      </w:pPr>
      <w:r>
        <w:rPr>
          <w:rFonts w:ascii="宋体" w:hAnsi="宋体"/>
        </w:rPr>
        <w:t>（投标单位不得在标函封袋和封条上加注任何文字或符号，否则取消投标资格）</w:t>
      </w:r>
    </w:p>
    <w:p>
      <w:pPr>
        <w:spacing w:line="360" w:lineRule="auto"/>
        <w:jc w:val="center"/>
        <w:rPr>
          <w:rFonts w:ascii="宋体" w:hAnsi="宋体"/>
          <w:b/>
          <w:sz w:val="36"/>
        </w:rPr>
      </w:pPr>
      <w:r>
        <w:rPr>
          <w:rFonts w:ascii="宋体" w:hAnsi="宋体"/>
        </w:rPr>
        <w:t>---------------------------------------------------------------------------------------------------------------------------------</w:t>
      </w:r>
      <w:r>
        <w:rPr>
          <w:rFonts w:hint="eastAsia" w:ascii="宋体" w:hAnsi="宋体"/>
        </w:rPr>
        <w:t xml:space="preserve"> </w:t>
      </w:r>
    </w:p>
    <w:p>
      <w:pPr>
        <w:spacing w:line="700" w:lineRule="exact"/>
        <w:jc w:val="center"/>
        <w:rPr>
          <w:rFonts w:ascii="宋体" w:hAnsi="宋体"/>
          <w:b/>
          <w:sz w:val="36"/>
        </w:rPr>
      </w:pPr>
      <w:r>
        <w:rPr>
          <w:rFonts w:hint="eastAsia" w:ascii="宋体" w:hAnsi="宋体"/>
          <w:b/>
          <w:sz w:val="36"/>
          <w:lang w:eastAsia="zh-CN"/>
        </w:rPr>
        <w:t>县城新区南扩区渡龙安置小区建设工程项目监理</w:t>
      </w:r>
      <w:r>
        <w:rPr>
          <w:rFonts w:hint="eastAsia" w:ascii="宋体" w:hAnsi="宋体"/>
          <w:b/>
          <w:sz w:val="36"/>
        </w:rPr>
        <w:t>资格后审申请书</w:t>
      </w:r>
      <w:r>
        <w:rPr>
          <w:rFonts w:ascii="宋体" w:hAnsi="宋体"/>
          <w:b/>
          <w:sz w:val="36"/>
        </w:rPr>
        <w:t>封条</w:t>
      </w:r>
    </w:p>
    <w:p>
      <w:pPr>
        <w:spacing w:line="700" w:lineRule="exact"/>
        <w:jc w:val="center"/>
        <w:rPr>
          <w:rFonts w:ascii="宋体" w:hAnsi="宋体"/>
        </w:rPr>
      </w:pPr>
      <w:r>
        <w:rPr>
          <w:rFonts w:ascii="宋体" w:hAnsi="宋体"/>
        </w:rPr>
        <w:t>（投标单位在标函封袋和封条上加</w:t>
      </w:r>
      <w:r>
        <w:rPr>
          <w:rFonts w:hint="eastAsia" w:ascii="宋体" w:hAnsi="宋体"/>
        </w:rPr>
        <w:t>盖公章及法定代表人印章</w:t>
      </w:r>
      <w:r>
        <w:rPr>
          <w:rFonts w:ascii="宋体" w:hAnsi="宋体"/>
        </w:rPr>
        <w:t>，否则取消投标资格）</w:t>
      </w:r>
    </w:p>
    <w:p>
      <w:pPr>
        <w:spacing w:line="360" w:lineRule="auto"/>
        <w:ind w:firstLine="106" w:firstLineChars="50"/>
        <w:rPr>
          <w:rFonts w:ascii="宋体" w:hAnsi="宋体"/>
          <w:b/>
          <w:sz w:val="36"/>
        </w:rPr>
      </w:pPr>
      <w:r>
        <w:rPr>
          <w:rFonts w:ascii="宋体" w:hAnsi="宋体"/>
        </w:rPr>
        <w:t>-----------------------------------------------------------------------------------------------------------------------------------</w:t>
      </w:r>
    </w:p>
    <w:p>
      <w:pPr>
        <w:spacing w:line="700" w:lineRule="exact"/>
        <w:jc w:val="center"/>
        <w:rPr>
          <w:rFonts w:ascii="宋体" w:hAnsi="宋体"/>
          <w:b/>
          <w:sz w:val="32"/>
          <w:szCs w:val="32"/>
        </w:rPr>
      </w:pPr>
      <w:r>
        <w:rPr>
          <w:rFonts w:hint="eastAsia" w:ascii="宋体" w:hAnsi="宋体"/>
          <w:b/>
          <w:sz w:val="36"/>
          <w:lang w:eastAsia="zh-CN"/>
        </w:rPr>
        <w:t>县城新区南扩区渡龙安置小区建设工程项目监理</w:t>
      </w:r>
      <w:r>
        <w:rPr>
          <w:rFonts w:hint="eastAsia" w:ascii="宋体" w:hAnsi="宋体"/>
          <w:b/>
          <w:sz w:val="36"/>
        </w:rPr>
        <w:t>商务标封条</w:t>
      </w:r>
    </w:p>
    <w:p>
      <w:pPr>
        <w:spacing w:line="700" w:lineRule="exact"/>
        <w:jc w:val="center"/>
        <w:rPr>
          <w:rFonts w:ascii="宋体" w:hAnsi="宋体"/>
        </w:rPr>
      </w:pPr>
      <w:r>
        <w:rPr>
          <w:rFonts w:ascii="宋体" w:hAnsi="宋体"/>
        </w:rPr>
        <w:t>（投标单位在标函封袋和封条上加</w:t>
      </w:r>
      <w:r>
        <w:rPr>
          <w:rFonts w:hint="eastAsia" w:ascii="宋体" w:hAnsi="宋体"/>
        </w:rPr>
        <w:t>盖公章及法定代表人印章</w:t>
      </w:r>
      <w:r>
        <w:rPr>
          <w:rFonts w:ascii="宋体" w:hAnsi="宋体"/>
        </w:rPr>
        <w:t>，否则取消投标资格）</w:t>
      </w:r>
    </w:p>
    <w:p>
      <w:pPr>
        <w:spacing w:line="700" w:lineRule="exact"/>
        <w:ind w:leftChars="-85" w:hanging="180" w:hangingChars="85"/>
        <w:jc w:val="center"/>
        <w:rPr>
          <w:rFonts w:ascii="宋体" w:hAnsi="宋体"/>
          <w:b/>
          <w:sz w:val="32"/>
          <w:szCs w:val="32"/>
        </w:rPr>
      </w:pPr>
      <w:r>
        <w:rPr>
          <w:rFonts w:ascii="宋体" w:hAnsi="宋体"/>
        </w:rPr>
        <w:t>---------------------------------------------------------------------------------------------------------------------------------</w:t>
      </w:r>
    </w:p>
    <w:p>
      <w:pPr>
        <w:spacing w:line="700" w:lineRule="exact"/>
        <w:jc w:val="center"/>
        <w:rPr>
          <w:rFonts w:ascii="宋体" w:hAnsi="宋体"/>
          <w:b/>
          <w:sz w:val="32"/>
          <w:szCs w:val="32"/>
        </w:rPr>
      </w:pPr>
      <w:r>
        <w:rPr>
          <w:rFonts w:hint="eastAsia" w:ascii="宋体" w:hAnsi="宋体"/>
          <w:b/>
          <w:sz w:val="36"/>
          <w:lang w:eastAsia="zh-CN"/>
        </w:rPr>
        <w:t>县城新区南扩区渡龙安置小区建设工程项目监理</w:t>
      </w:r>
      <w:r>
        <w:rPr>
          <w:rFonts w:hint="eastAsia" w:ascii="宋体" w:hAnsi="宋体"/>
          <w:b/>
          <w:sz w:val="36"/>
        </w:rPr>
        <w:t>资信标封条</w:t>
      </w:r>
    </w:p>
    <w:p>
      <w:pPr>
        <w:pBdr>
          <w:bottom w:val="single" w:color="auto" w:sz="6" w:space="12"/>
        </w:pBdr>
        <w:spacing w:line="700" w:lineRule="exact"/>
        <w:jc w:val="center"/>
        <w:rPr>
          <w:rFonts w:ascii="宋体" w:hAnsi="宋体"/>
        </w:rPr>
      </w:pPr>
      <w:r>
        <w:rPr>
          <w:rFonts w:ascii="宋体" w:hAnsi="宋体"/>
        </w:rPr>
        <w:t>（投标单位在标函封袋和封条上加</w:t>
      </w:r>
      <w:r>
        <w:rPr>
          <w:rFonts w:hint="eastAsia" w:ascii="宋体" w:hAnsi="宋体"/>
        </w:rPr>
        <w:t>盖公章及法定代表人印章</w:t>
      </w:r>
      <w:r>
        <w:rPr>
          <w:rFonts w:ascii="宋体" w:hAnsi="宋体"/>
        </w:rPr>
        <w:t>，否则取消投标资格）</w:t>
      </w:r>
    </w:p>
    <w:p>
      <w:pPr>
        <w:pStyle w:val="5"/>
      </w:pPr>
    </w:p>
    <w:p>
      <w:pPr>
        <w:spacing w:line="700" w:lineRule="exact"/>
        <w:ind w:leftChars="-85" w:hanging="180" w:hangingChars="85"/>
        <w:jc w:val="center"/>
        <w:rPr>
          <w:rFonts w:ascii="宋体" w:hAnsi="宋体"/>
        </w:rPr>
      </w:pPr>
      <w:r>
        <w:rPr>
          <w:rFonts w:ascii="宋体" w:hAnsi="宋体"/>
        </w:rPr>
        <w:t>---------------------------------------------------------------------------------------------------------------------------------</w:t>
      </w:r>
    </w:p>
    <w:p>
      <w:pPr>
        <w:spacing w:line="700" w:lineRule="exact"/>
        <w:jc w:val="center"/>
        <w:rPr>
          <w:rFonts w:ascii="宋体" w:hAnsi="宋体"/>
          <w:b/>
          <w:sz w:val="32"/>
          <w:szCs w:val="32"/>
        </w:rPr>
      </w:pPr>
      <w:r>
        <w:rPr>
          <w:rFonts w:hint="eastAsia" w:ascii="宋体" w:hAnsi="宋体"/>
          <w:b/>
          <w:sz w:val="36"/>
          <w:lang w:eastAsia="zh-CN"/>
        </w:rPr>
        <w:t>县城新区南扩区渡龙安置小区建设工程项目监理</w:t>
      </w:r>
      <w:r>
        <w:rPr>
          <w:rFonts w:hint="eastAsia" w:ascii="宋体" w:hAnsi="宋体"/>
          <w:b/>
          <w:sz w:val="36"/>
        </w:rPr>
        <w:t>保密信封封条</w:t>
      </w:r>
    </w:p>
    <w:p>
      <w:pPr>
        <w:spacing w:line="700" w:lineRule="exact"/>
        <w:jc w:val="center"/>
        <w:rPr>
          <w:rFonts w:ascii="宋体" w:hAnsi="宋体"/>
        </w:rPr>
      </w:pPr>
      <w:r>
        <w:rPr>
          <w:rFonts w:ascii="宋体" w:hAnsi="宋体"/>
        </w:rPr>
        <w:t>（投标单位不得在标函封袋和封条上加注任何文字或符号，否则取消投标资格）</w:t>
      </w:r>
    </w:p>
    <w:p>
      <w:pPr>
        <w:spacing w:line="700" w:lineRule="exact"/>
        <w:ind w:leftChars="-85" w:hanging="180" w:hangingChars="85"/>
        <w:jc w:val="center"/>
        <w:rPr>
          <w:rFonts w:ascii="宋体" w:hAnsi="宋体"/>
          <w:b/>
          <w:sz w:val="32"/>
          <w:szCs w:val="32"/>
        </w:rPr>
      </w:pPr>
      <w:r>
        <w:rPr>
          <w:rFonts w:ascii="宋体" w:hAnsi="宋体"/>
        </w:rPr>
        <w:t>---------------------------------------------------------------------------------------------------------------------------------</w:t>
      </w:r>
    </w:p>
    <w:p/>
    <w:p>
      <w:pPr>
        <w:pStyle w:val="4"/>
      </w:pPr>
    </w:p>
    <w:p>
      <w:pPr>
        <w:pStyle w:val="4"/>
      </w:pPr>
    </w:p>
    <w:p>
      <w:pPr>
        <w:widowControl/>
        <w:shd w:val="clear" w:color="auto" w:fill="FFFFFF"/>
        <w:spacing w:line="390" w:lineRule="atLeast"/>
        <w:jc w:val="center"/>
        <w:rPr>
          <w:rFonts w:hint="eastAsia" w:ascii="宋体" w:hAnsi="宋体"/>
          <w:b/>
          <w:sz w:val="36"/>
        </w:rPr>
      </w:pPr>
    </w:p>
    <w:p/>
    <w:sectPr>
      <w:pgSz w:w="16838" w:h="11906" w:orient="landscape"/>
      <w:pgMar w:top="1361" w:right="1247" w:bottom="1361" w:left="1134" w:header="851" w:footer="992" w:gutter="0"/>
      <w:pgBorders w:offsetFrom="page">
        <w:top w:val="none" w:sz="0" w:space="0"/>
        <w:left w:val="none" w:sz="0" w:space="0"/>
        <w:bottom w:val="none" w:sz="0" w:space="0"/>
        <w:right w:val="none" w:sz="0" w:space="0"/>
      </w:pgBorders>
      <w:pgNumType w:fmt="decimal"/>
      <w:cols w:space="720" w:num="1"/>
      <w:titlePg/>
      <w:rtlGutter w:val="0"/>
      <w:docGrid w:type="linesAndChars" w:linePitch="316" w:charSpace="7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MingLiU">
    <w:panose1 w:val="02020509000000000000"/>
    <w:charset w:val="88"/>
    <w:family w:val="modern"/>
    <w:pitch w:val="default"/>
    <w:sig w:usb0="A00002FF" w:usb1="28CFFCFA" w:usb2="00000016" w:usb3="00000000" w:csb0="00100001" w:csb1="00000000"/>
  </w:font>
  <w:font w:name="微软简标宋">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Style w:val="17"/>
                              <w:sz w:val="21"/>
                              <w:szCs w:val="21"/>
                            </w:rPr>
                          </w:pPr>
                          <w:r>
                            <w:rPr>
                              <w:rFonts w:hint="eastAsia" w:ascii="宋体" w:hAnsi="宋体" w:cs="宋体"/>
                            </w:rPr>
                            <w:fldChar w:fldCharType="begin"/>
                          </w:r>
                          <w:r>
                            <w:rPr>
                              <w:rStyle w:val="17"/>
                              <w:rFonts w:hint="eastAsia" w:ascii="宋体" w:hAnsi="宋体" w:cs="宋体"/>
                            </w:rPr>
                            <w:instrText xml:space="preserve">PAGE  </w:instrText>
                          </w:r>
                          <w:r>
                            <w:rPr>
                              <w:rFonts w:hint="eastAsia" w:ascii="宋体" w:hAnsi="宋体" w:cs="宋体"/>
                            </w:rPr>
                            <w:fldChar w:fldCharType="separate"/>
                          </w:r>
                          <w:r>
                            <w:rPr>
                              <w:rStyle w:val="17"/>
                              <w:rFonts w:ascii="宋体" w:hAnsi="宋体" w:cs="宋体"/>
                            </w:rPr>
                            <w:t>- 1 -</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2"/>
                      <w:rPr>
                        <w:rStyle w:val="17"/>
                        <w:sz w:val="21"/>
                        <w:szCs w:val="21"/>
                      </w:rPr>
                    </w:pPr>
                    <w:r>
                      <w:rPr>
                        <w:rFonts w:hint="eastAsia" w:ascii="宋体" w:hAnsi="宋体" w:cs="宋体"/>
                      </w:rPr>
                      <w:fldChar w:fldCharType="begin"/>
                    </w:r>
                    <w:r>
                      <w:rPr>
                        <w:rStyle w:val="17"/>
                        <w:rFonts w:hint="eastAsia" w:ascii="宋体" w:hAnsi="宋体" w:cs="宋体"/>
                      </w:rPr>
                      <w:instrText xml:space="preserve">PAGE  </w:instrText>
                    </w:r>
                    <w:r>
                      <w:rPr>
                        <w:rFonts w:hint="eastAsia" w:ascii="宋体" w:hAnsi="宋体" w:cs="宋体"/>
                      </w:rPr>
                      <w:fldChar w:fldCharType="separate"/>
                    </w:r>
                    <w:r>
                      <w:rPr>
                        <w:rStyle w:val="17"/>
                        <w:rFonts w:ascii="宋体" w:hAnsi="宋体" w:cs="宋体"/>
                      </w:rPr>
                      <w:t>- 1 -</w:t>
                    </w:r>
                    <w:r>
                      <w:rPr>
                        <w:rFonts w:hint="eastAsia" w:ascii="宋体" w:hAnsi="宋体" w:cs="宋体"/>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3515" cy="1682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3515" cy="168275"/>
                      </a:xfrm>
                      <a:prstGeom prst="rect">
                        <a:avLst/>
                      </a:prstGeom>
                      <a:noFill/>
                      <a:ln>
                        <a:noFill/>
                      </a:ln>
                    </wps:spPr>
                    <wps:txbx>
                      <w:txbxContent>
                        <w:p>
                          <w:pPr>
                            <w:rPr>
                              <w:rStyle w:val="17"/>
                              <w:szCs w:val="21"/>
                            </w:rPr>
                          </w:pPr>
                        </w:p>
                      </w:txbxContent>
                    </wps:txbx>
                    <wps:bodyPr lIns="0" tIns="0" rIns="0" bIns="0" upright="0"/>
                  </wps:wsp>
                </a:graphicData>
              </a:graphic>
            </wp:anchor>
          </w:drawing>
        </mc:Choice>
        <mc:Fallback>
          <w:pict>
            <v:shape id="_x0000_s1026" o:spid="_x0000_s1026" o:spt="202" type="#_x0000_t202" style="position:absolute;left:0pt;margin-top:0pt;height:13.25pt;width:14.45pt;mso-position-horizontal:center;mso-position-horizontal-relative:margin;z-index:251659264;mso-width-relative:page;mso-height-relative:page;" filled="f" stroked="f" coordsize="21600,21600" o:gfxdata="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qdEP0wAAAAMBAAAPAAAAAAAAAAEAIAAAACIAAABkcnMvZG93bnJldi54bWxQSwECFAAUAAAA&#10;CACHTuJAOIGAU7oBAABxAwAADgAAAAAAAAABACAAAAAiAQAAZHJzL2Uyb0RvYy54bWxQSwUGAAAA&#10;AAYABgBZAQAATgUAAAAA&#10;">
              <v:fill on="f" focussize="0,0"/>
              <v:stroke on="f"/>
              <v:imagedata o:title=""/>
              <o:lock v:ext="edit" aspectratio="f"/>
              <v:textbox inset="0mm,0mm,0mm,0mm">
                <w:txbxContent>
                  <w:p>
                    <w:pPr>
                      <w:rPr>
                        <w:rStyle w:val="17"/>
                        <w:szCs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7"/>
      </w:rPr>
    </w:pPr>
    <w:r>
      <w:fldChar w:fldCharType="begin"/>
    </w:r>
    <w:r>
      <w:rPr>
        <w:rStyle w:val="17"/>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right"/>
      <w:rPr>
        <w:rFonts w:hint="eastAsia"/>
        <w:u w:val="single"/>
      </w:rPr>
    </w:pPr>
    <w:r>
      <w:rPr>
        <w:rFonts w:hint="eastAsia" w:ascii="宋体" w:hAnsi="宋体"/>
        <w:color w:val="000000"/>
        <w:szCs w:val="21"/>
        <w:u w:val="single"/>
      </w:rPr>
      <w:t xml:space="preserve">                                                  </w:t>
    </w:r>
    <w:r>
      <w:rPr>
        <w:rFonts w:hint="eastAsia" w:ascii="宋体" w:hAnsi="宋体"/>
        <w:color w:val="000000"/>
        <w:szCs w:val="21"/>
        <w:u w:val="single"/>
        <w:lang w:eastAsia="zh-CN"/>
      </w:rPr>
      <w:t>县城新区南扩区渡龙安置小区建设工程项目监理</w:t>
    </w:r>
    <w:r>
      <w:rPr>
        <w:rFonts w:hint="eastAsia" w:ascii="宋体" w:hAnsi="宋体" w:cs="宋体"/>
        <w:color w:val="000000"/>
        <w:szCs w:val="21"/>
        <w:u w:val="single"/>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32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1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03" w:hanging="529"/>
      </w:pPr>
      <w:rPr>
        <w:rFonts w:hint="default"/>
        <w:lang w:val="zh-CN" w:eastAsia="zh-CN" w:bidi="zh-CN"/>
      </w:rPr>
    </w:lvl>
    <w:lvl w:ilvl="4" w:tentative="0">
      <w:start w:val="0"/>
      <w:numFmt w:val="bullet"/>
      <w:lvlText w:val="•"/>
      <w:lvlJc w:val="left"/>
      <w:pPr>
        <w:ind w:left="4897" w:hanging="529"/>
      </w:pPr>
      <w:rPr>
        <w:rFonts w:hint="default"/>
        <w:lang w:val="zh-CN" w:eastAsia="zh-CN" w:bidi="zh-CN"/>
      </w:rPr>
    </w:lvl>
    <w:lvl w:ilvl="5" w:tentative="0">
      <w:start w:val="0"/>
      <w:numFmt w:val="bullet"/>
      <w:lvlText w:val="•"/>
      <w:lvlJc w:val="left"/>
      <w:pPr>
        <w:ind w:left="5792" w:hanging="529"/>
      </w:pPr>
      <w:rPr>
        <w:rFonts w:hint="default"/>
        <w:lang w:val="zh-CN" w:eastAsia="zh-CN" w:bidi="zh-CN"/>
      </w:rPr>
    </w:lvl>
    <w:lvl w:ilvl="6" w:tentative="0">
      <w:start w:val="0"/>
      <w:numFmt w:val="bullet"/>
      <w:lvlText w:val="•"/>
      <w:lvlJc w:val="left"/>
      <w:pPr>
        <w:ind w:left="6686" w:hanging="529"/>
      </w:pPr>
      <w:rPr>
        <w:rFonts w:hint="default"/>
        <w:lang w:val="zh-CN" w:eastAsia="zh-CN" w:bidi="zh-CN"/>
      </w:rPr>
    </w:lvl>
    <w:lvl w:ilvl="7" w:tentative="0">
      <w:start w:val="0"/>
      <w:numFmt w:val="bullet"/>
      <w:lvlText w:val="•"/>
      <w:lvlJc w:val="left"/>
      <w:pPr>
        <w:ind w:left="7580" w:hanging="529"/>
      </w:pPr>
      <w:rPr>
        <w:rFonts w:hint="default"/>
        <w:lang w:val="zh-CN" w:eastAsia="zh-CN" w:bidi="zh-CN"/>
      </w:rPr>
    </w:lvl>
    <w:lvl w:ilvl="8" w:tentative="0">
      <w:start w:val="0"/>
      <w:numFmt w:val="bullet"/>
      <w:lvlText w:val="•"/>
      <w:lvlJc w:val="left"/>
      <w:pPr>
        <w:ind w:left="8475" w:hanging="529"/>
      </w:pPr>
      <w:rPr>
        <w:rFonts w:hint="default"/>
        <w:lang w:val="zh-CN" w:eastAsia="zh-CN" w:bidi="zh-CN"/>
      </w:rPr>
    </w:lvl>
  </w:abstractNum>
  <w:abstractNum w:abstractNumId="1">
    <w:nsid w:val="FE78A87A"/>
    <w:multiLevelType w:val="singleLevel"/>
    <w:tmpl w:val="FE78A87A"/>
    <w:lvl w:ilvl="0" w:tentative="0">
      <w:start w:val="1"/>
      <w:numFmt w:val="decimal"/>
      <w:suff w:val="nothing"/>
      <w:lvlText w:val="（%1）"/>
      <w:lvlJc w:val="left"/>
    </w:lvl>
  </w:abstractNum>
  <w:abstractNum w:abstractNumId="2">
    <w:nsid w:val="03D62ECE"/>
    <w:multiLevelType w:val="multilevel"/>
    <w:tmpl w:val="03D62ECE"/>
    <w:lvl w:ilvl="0" w:tentative="0">
      <w:start w:val="1"/>
      <w:numFmt w:val="decimal"/>
      <w:lvlText w:val="(%1)"/>
      <w:lvlJc w:val="left"/>
      <w:pPr>
        <w:ind w:left="107" w:hanging="421"/>
        <w:jc w:val="right"/>
      </w:pPr>
      <w:rPr>
        <w:rFonts w:hint="default"/>
        <w:w w:val="100"/>
        <w:lang w:val="zh-CN" w:eastAsia="zh-CN" w:bidi="zh-CN"/>
      </w:rPr>
    </w:lvl>
    <w:lvl w:ilvl="1" w:tentative="0">
      <w:start w:val="0"/>
      <w:numFmt w:val="bullet"/>
      <w:lvlText w:val="•"/>
      <w:lvlJc w:val="left"/>
      <w:pPr>
        <w:ind w:left="1031" w:hanging="421"/>
      </w:pPr>
      <w:rPr>
        <w:rFonts w:hint="default"/>
        <w:lang w:val="zh-CN" w:eastAsia="zh-CN" w:bidi="zh-CN"/>
      </w:rPr>
    </w:lvl>
    <w:lvl w:ilvl="2" w:tentative="0">
      <w:start w:val="0"/>
      <w:numFmt w:val="bullet"/>
      <w:lvlText w:val="•"/>
      <w:lvlJc w:val="left"/>
      <w:pPr>
        <w:ind w:left="1963" w:hanging="421"/>
      </w:pPr>
      <w:rPr>
        <w:rFonts w:hint="default"/>
        <w:lang w:val="zh-CN" w:eastAsia="zh-CN" w:bidi="zh-CN"/>
      </w:rPr>
    </w:lvl>
    <w:lvl w:ilvl="3" w:tentative="0">
      <w:start w:val="0"/>
      <w:numFmt w:val="bullet"/>
      <w:lvlText w:val="•"/>
      <w:lvlJc w:val="left"/>
      <w:pPr>
        <w:ind w:left="2895" w:hanging="421"/>
      </w:pPr>
      <w:rPr>
        <w:rFonts w:hint="default"/>
        <w:lang w:val="zh-CN" w:eastAsia="zh-CN" w:bidi="zh-CN"/>
      </w:rPr>
    </w:lvl>
    <w:lvl w:ilvl="4" w:tentative="0">
      <w:start w:val="0"/>
      <w:numFmt w:val="bullet"/>
      <w:lvlText w:val="•"/>
      <w:lvlJc w:val="left"/>
      <w:pPr>
        <w:ind w:left="3826" w:hanging="421"/>
      </w:pPr>
      <w:rPr>
        <w:rFonts w:hint="default"/>
        <w:lang w:val="zh-CN" w:eastAsia="zh-CN" w:bidi="zh-CN"/>
      </w:rPr>
    </w:lvl>
    <w:lvl w:ilvl="5" w:tentative="0">
      <w:start w:val="0"/>
      <w:numFmt w:val="bullet"/>
      <w:lvlText w:val="•"/>
      <w:lvlJc w:val="left"/>
      <w:pPr>
        <w:ind w:left="4758" w:hanging="421"/>
      </w:pPr>
      <w:rPr>
        <w:rFonts w:hint="default"/>
        <w:lang w:val="zh-CN" w:eastAsia="zh-CN" w:bidi="zh-CN"/>
      </w:rPr>
    </w:lvl>
    <w:lvl w:ilvl="6" w:tentative="0">
      <w:start w:val="0"/>
      <w:numFmt w:val="bullet"/>
      <w:lvlText w:val="•"/>
      <w:lvlJc w:val="left"/>
      <w:pPr>
        <w:ind w:left="5690" w:hanging="421"/>
      </w:pPr>
      <w:rPr>
        <w:rFonts w:hint="default"/>
        <w:lang w:val="zh-CN" w:eastAsia="zh-CN" w:bidi="zh-CN"/>
      </w:rPr>
    </w:lvl>
    <w:lvl w:ilvl="7" w:tentative="0">
      <w:start w:val="0"/>
      <w:numFmt w:val="bullet"/>
      <w:lvlText w:val="•"/>
      <w:lvlJc w:val="left"/>
      <w:pPr>
        <w:ind w:left="6621" w:hanging="421"/>
      </w:pPr>
      <w:rPr>
        <w:rFonts w:hint="default"/>
        <w:lang w:val="zh-CN" w:eastAsia="zh-CN" w:bidi="zh-CN"/>
      </w:rPr>
    </w:lvl>
    <w:lvl w:ilvl="8" w:tentative="0">
      <w:start w:val="0"/>
      <w:numFmt w:val="bullet"/>
      <w:lvlText w:val="•"/>
      <w:lvlJc w:val="left"/>
      <w:pPr>
        <w:ind w:left="7553" w:hanging="421"/>
      </w:pPr>
      <w:rPr>
        <w:rFonts w:hint="default"/>
        <w:lang w:val="zh-CN" w:eastAsia="zh-CN" w:bidi="zh-CN"/>
      </w:rPr>
    </w:lvl>
  </w:abstractNum>
  <w:abstractNum w:abstractNumId="3">
    <w:nsid w:val="243FCF68"/>
    <w:multiLevelType w:val="multilevel"/>
    <w:tmpl w:val="243FCF68"/>
    <w:lvl w:ilvl="0" w:tentative="0">
      <w:start w:val="1"/>
      <w:numFmt w:val="decimal"/>
      <w:lvlText w:val="（%1）"/>
      <w:lvlJc w:val="left"/>
      <w:pPr>
        <w:ind w:left="378" w:hanging="529"/>
        <w:jc w:val="left"/>
      </w:pPr>
      <w:rPr>
        <w:rFonts w:hint="default" w:ascii="宋体" w:hAnsi="宋体" w:eastAsia="宋体" w:cs="宋体"/>
        <w:spacing w:val="-24"/>
        <w:w w:val="100"/>
        <w:sz w:val="19"/>
        <w:szCs w:val="19"/>
        <w:lang w:val="zh-CN" w:eastAsia="zh-CN" w:bidi="zh-CN"/>
      </w:rPr>
    </w:lvl>
    <w:lvl w:ilvl="1" w:tentative="0">
      <w:start w:val="0"/>
      <w:numFmt w:val="bullet"/>
      <w:lvlText w:val="•"/>
      <w:lvlJc w:val="left"/>
      <w:pPr>
        <w:ind w:left="1368" w:hanging="529"/>
      </w:pPr>
      <w:rPr>
        <w:rFonts w:hint="default"/>
        <w:lang w:val="zh-CN" w:eastAsia="zh-CN" w:bidi="zh-CN"/>
      </w:rPr>
    </w:lvl>
    <w:lvl w:ilvl="2" w:tentative="0">
      <w:start w:val="0"/>
      <w:numFmt w:val="bullet"/>
      <w:lvlText w:val="•"/>
      <w:lvlJc w:val="left"/>
      <w:pPr>
        <w:ind w:left="2356" w:hanging="529"/>
      </w:pPr>
      <w:rPr>
        <w:rFonts w:hint="default"/>
        <w:lang w:val="zh-CN" w:eastAsia="zh-CN" w:bidi="zh-CN"/>
      </w:rPr>
    </w:lvl>
    <w:lvl w:ilvl="3" w:tentative="0">
      <w:start w:val="0"/>
      <w:numFmt w:val="bullet"/>
      <w:lvlText w:val="•"/>
      <w:lvlJc w:val="left"/>
      <w:pPr>
        <w:ind w:left="3345" w:hanging="529"/>
      </w:pPr>
      <w:rPr>
        <w:rFonts w:hint="default"/>
        <w:lang w:val="zh-CN" w:eastAsia="zh-CN" w:bidi="zh-CN"/>
      </w:rPr>
    </w:lvl>
    <w:lvl w:ilvl="4" w:tentative="0">
      <w:start w:val="0"/>
      <w:numFmt w:val="bullet"/>
      <w:lvlText w:val="•"/>
      <w:lvlJc w:val="left"/>
      <w:pPr>
        <w:ind w:left="4333" w:hanging="529"/>
      </w:pPr>
      <w:rPr>
        <w:rFonts w:hint="default"/>
        <w:lang w:val="zh-CN" w:eastAsia="zh-CN" w:bidi="zh-CN"/>
      </w:rPr>
    </w:lvl>
    <w:lvl w:ilvl="5" w:tentative="0">
      <w:start w:val="0"/>
      <w:numFmt w:val="bullet"/>
      <w:lvlText w:val="•"/>
      <w:lvlJc w:val="left"/>
      <w:pPr>
        <w:ind w:left="5322" w:hanging="529"/>
      </w:pPr>
      <w:rPr>
        <w:rFonts w:hint="default"/>
        <w:lang w:val="zh-CN" w:eastAsia="zh-CN" w:bidi="zh-CN"/>
      </w:rPr>
    </w:lvl>
    <w:lvl w:ilvl="6" w:tentative="0">
      <w:start w:val="0"/>
      <w:numFmt w:val="bullet"/>
      <w:lvlText w:val="•"/>
      <w:lvlJc w:val="left"/>
      <w:pPr>
        <w:ind w:left="6310" w:hanging="529"/>
      </w:pPr>
      <w:rPr>
        <w:rFonts w:hint="default"/>
        <w:lang w:val="zh-CN" w:eastAsia="zh-CN" w:bidi="zh-CN"/>
      </w:rPr>
    </w:lvl>
    <w:lvl w:ilvl="7" w:tentative="0">
      <w:start w:val="0"/>
      <w:numFmt w:val="bullet"/>
      <w:lvlText w:val="•"/>
      <w:lvlJc w:val="left"/>
      <w:pPr>
        <w:ind w:left="7298" w:hanging="529"/>
      </w:pPr>
      <w:rPr>
        <w:rFonts w:hint="default"/>
        <w:lang w:val="zh-CN" w:eastAsia="zh-CN" w:bidi="zh-CN"/>
      </w:rPr>
    </w:lvl>
    <w:lvl w:ilvl="8" w:tentative="0">
      <w:start w:val="0"/>
      <w:numFmt w:val="bullet"/>
      <w:lvlText w:val="•"/>
      <w:lvlJc w:val="left"/>
      <w:pPr>
        <w:ind w:left="8287" w:hanging="529"/>
      </w:pPr>
      <w:rPr>
        <w:rFonts w:hint="default"/>
        <w:lang w:val="zh-CN" w:eastAsia="zh-CN" w:bidi="zh-CN"/>
      </w:rPr>
    </w:lvl>
  </w:abstractNum>
  <w:abstractNum w:abstractNumId="4">
    <w:nsid w:val="486B01B6"/>
    <w:multiLevelType w:val="multilevel"/>
    <w:tmpl w:val="486B01B6"/>
    <w:lvl w:ilvl="0" w:tentative="0">
      <w:start w:val="6"/>
      <w:numFmt w:val="japaneseCounting"/>
      <w:lvlText w:val="第%1章"/>
      <w:lvlJc w:val="left"/>
      <w:pPr>
        <w:tabs>
          <w:tab w:val="left" w:pos="1620"/>
        </w:tabs>
        <w:ind w:left="1620" w:hanging="16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D94DA66"/>
    <w:multiLevelType w:val="multilevel"/>
    <w:tmpl w:val="4D94DA66"/>
    <w:lvl w:ilvl="0" w:tentative="0">
      <w:start w:val="1"/>
      <w:numFmt w:val="decimal"/>
      <w:lvlText w:val="（%1）"/>
      <w:lvlJc w:val="left"/>
      <w:pPr>
        <w:ind w:left="1327" w:hanging="529"/>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2214" w:hanging="529"/>
      </w:pPr>
      <w:rPr>
        <w:rFonts w:hint="default"/>
        <w:lang w:val="zh-CN" w:eastAsia="zh-CN" w:bidi="zh-CN"/>
      </w:rPr>
    </w:lvl>
    <w:lvl w:ilvl="2" w:tentative="0">
      <w:start w:val="0"/>
      <w:numFmt w:val="bullet"/>
      <w:lvlText w:val="•"/>
      <w:lvlJc w:val="left"/>
      <w:pPr>
        <w:ind w:left="3108" w:hanging="529"/>
      </w:pPr>
      <w:rPr>
        <w:rFonts w:hint="default"/>
        <w:lang w:val="zh-CN" w:eastAsia="zh-CN" w:bidi="zh-CN"/>
      </w:rPr>
    </w:lvl>
    <w:lvl w:ilvl="3" w:tentative="0">
      <w:start w:val="0"/>
      <w:numFmt w:val="bullet"/>
      <w:lvlText w:val="•"/>
      <w:lvlJc w:val="left"/>
      <w:pPr>
        <w:ind w:left="4003" w:hanging="529"/>
      </w:pPr>
      <w:rPr>
        <w:rFonts w:hint="default"/>
        <w:lang w:val="zh-CN" w:eastAsia="zh-CN" w:bidi="zh-CN"/>
      </w:rPr>
    </w:lvl>
    <w:lvl w:ilvl="4" w:tentative="0">
      <w:start w:val="0"/>
      <w:numFmt w:val="bullet"/>
      <w:lvlText w:val="•"/>
      <w:lvlJc w:val="left"/>
      <w:pPr>
        <w:ind w:left="4897" w:hanging="529"/>
      </w:pPr>
      <w:rPr>
        <w:rFonts w:hint="default"/>
        <w:lang w:val="zh-CN" w:eastAsia="zh-CN" w:bidi="zh-CN"/>
      </w:rPr>
    </w:lvl>
    <w:lvl w:ilvl="5" w:tentative="0">
      <w:start w:val="0"/>
      <w:numFmt w:val="bullet"/>
      <w:lvlText w:val="•"/>
      <w:lvlJc w:val="left"/>
      <w:pPr>
        <w:ind w:left="5792" w:hanging="529"/>
      </w:pPr>
      <w:rPr>
        <w:rFonts w:hint="default"/>
        <w:lang w:val="zh-CN" w:eastAsia="zh-CN" w:bidi="zh-CN"/>
      </w:rPr>
    </w:lvl>
    <w:lvl w:ilvl="6" w:tentative="0">
      <w:start w:val="0"/>
      <w:numFmt w:val="bullet"/>
      <w:lvlText w:val="•"/>
      <w:lvlJc w:val="left"/>
      <w:pPr>
        <w:ind w:left="6686" w:hanging="529"/>
      </w:pPr>
      <w:rPr>
        <w:rFonts w:hint="default"/>
        <w:lang w:val="zh-CN" w:eastAsia="zh-CN" w:bidi="zh-CN"/>
      </w:rPr>
    </w:lvl>
    <w:lvl w:ilvl="7" w:tentative="0">
      <w:start w:val="0"/>
      <w:numFmt w:val="bullet"/>
      <w:lvlText w:val="•"/>
      <w:lvlJc w:val="left"/>
      <w:pPr>
        <w:ind w:left="7580" w:hanging="529"/>
      </w:pPr>
      <w:rPr>
        <w:rFonts w:hint="default"/>
        <w:lang w:val="zh-CN" w:eastAsia="zh-CN" w:bidi="zh-CN"/>
      </w:rPr>
    </w:lvl>
    <w:lvl w:ilvl="8" w:tentative="0">
      <w:start w:val="0"/>
      <w:numFmt w:val="bullet"/>
      <w:lvlText w:val="•"/>
      <w:lvlJc w:val="left"/>
      <w:pPr>
        <w:ind w:left="8475" w:hanging="529"/>
      </w:pPr>
      <w:rPr>
        <w:rFonts w:hint="default"/>
        <w:lang w:val="zh-CN" w:eastAsia="zh-CN" w:bidi="zh-CN"/>
      </w:rPr>
    </w:lvl>
  </w:abstractNum>
  <w:abstractNum w:abstractNumId="6">
    <w:nsid w:val="55123298"/>
    <w:multiLevelType w:val="singleLevel"/>
    <w:tmpl w:val="55123298"/>
    <w:lvl w:ilvl="0" w:tentative="0">
      <w:start w:val="1"/>
      <w:numFmt w:val="decimal"/>
      <w:suff w:val="nothing"/>
      <w:lvlText w:val="%1、"/>
      <w:lvlJc w:val="left"/>
    </w:lvl>
  </w:abstractNum>
  <w:abstractNum w:abstractNumId="7">
    <w:nsid w:val="5553F5F4"/>
    <w:multiLevelType w:val="singleLevel"/>
    <w:tmpl w:val="5553F5F4"/>
    <w:lvl w:ilvl="0" w:tentative="0">
      <w:start w:val="1"/>
      <w:numFmt w:val="decimal"/>
      <w:suff w:val="nothing"/>
      <w:lvlText w:val="（%1）"/>
      <w:lvlJc w:val="left"/>
    </w:lvl>
  </w:abstractNum>
  <w:abstractNum w:abstractNumId="8">
    <w:nsid w:val="59A26703"/>
    <w:multiLevelType w:val="multilevel"/>
    <w:tmpl w:val="59A26703"/>
    <w:lvl w:ilvl="0" w:tentative="0">
      <w:start w:val="1"/>
      <w:numFmt w:val="decimal"/>
      <w:lvlText w:val="（%1）"/>
      <w:lvlJc w:val="left"/>
      <w:pPr>
        <w:tabs>
          <w:tab w:val="left" w:pos="170"/>
        </w:tabs>
        <w:ind w:left="0" w:firstLine="284"/>
      </w:pPr>
      <w:rPr>
        <w:rFonts w:hint="eastAsia" w:ascii="宋体" w:hAnsi="宋体" w:eastAsia="宋体"/>
        <w:b w:val="0"/>
        <w:lang w:val="en-US"/>
      </w:rPr>
    </w:lvl>
    <w:lvl w:ilvl="1" w:tentative="0">
      <w:start w:val="1"/>
      <w:numFmt w:val="lowerLetter"/>
      <w:lvlText w:val="%2)"/>
      <w:lvlJc w:val="left"/>
      <w:pPr>
        <w:tabs>
          <w:tab w:val="left" w:pos="1270"/>
        </w:tabs>
        <w:ind w:left="1270" w:hanging="420"/>
      </w:pPr>
    </w:lvl>
    <w:lvl w:ilvl="2" w:tentative="0">
      <w:start w:val="1"/>
      <w:numFmt w:val="lowerRoman"/>
      <w:lvlText w:val="%3."/>
      <w:lvlJc w:val="right"/>
      <w:pPr>
        <w:tabs>
          <w:tab w:val="left" w:pos="1690"/>
        </w:tabs>
        <w:ind w:left="1690" w:hanging="420"/>
      </w:pPr>
    </w:lvl>
    <w:lvl w:ilvl="3" w:tentative="0">
      <w:start w:val="1"/>
      <w:numFmt w:val="decimal"/>
      <w:lvlText w:val="%4."/>
      <w:lvlJc w:val="left"/>
      <w:pPr>
        <w:tabs>
          <w:tab w:val="left" w:pos="2110"/>
        </w:tabs>
        <w:ind w:left="2110" w:hanging="420"/>
      </w:pPr>
    </w:lvl>
    <w:lvl w:ilvl="4" w:tentative="0">
      <w:start w:val="1"/>
      <w:numFmt w:val="lowerLetter"/>
      <w:lvlText w:val="%5)"/>
      <w:lvlJc w:val="left"/>
      <w:pPr>
        <w:tabs>
          <w:tab w:val="left" w:pos="2530"/>
        </w:tabs>
        <w:ind w:left="2530" w:hanging="420"/>
      </w:pPr>
    </w:lvl>
    <w:lvl w:ilvl="5" w:tentative="0">
      <w:start w:val="1"/>
      <w:numFmt w:val="lowerRoman"/>
      <w:lvlText w:val="%6."/>
      <w:lvlJc w:val="right"/>
      <w:pPr>
        <w:tabs>
          <w:tab w:val="left" w:pos="2950"/>
        </w:tabs>
        <w:ind w:left="2950" w:hanging="420"/>
      </w:pPr>
    </w:lvl>
    <w:lvl w:ilvl="6" w:tentative="0">
      <w:start w:val="1"/>
      <w:numFmt w:val="decimal"/>
      <w:lvlText w:val="%7."/>
      <w:lvlJc w:val="left"/>
      <w:pPr>
        <w:tabs>
          <w:tab w:val="left" w:pos="3370"/>
        </w:tabs>
        <w:ind w:left="3370" w:hanging="420"/>
      </w:pPr>
    </w:lvl>
    <w:lvl w:ilvl="7" w:tentative="0">
      <w:start w:val="1"/>
      <w:numFmt w:val="lowerLetter"/>
      <w:lvlText w:val="%8)"/>
      <w:lvlJc w:val="left"/>
      <w:pPr>
        <w:tabs>
          <w:tab w:val="left" w:pos="3790"/>
        </w:tabs>
        <w:ind w:left="3790" w:hanging="420"/>
      </w:pPr>
    </w:lvl>
    <w:lvl w:ilvl="8" w:tentative="0">
      <w:start w:val="1"/>
      <w:numFmt w:val="lowerRoman"/>
      <w:lvlText w:val="%9."/>
      <w:lvlJc w:val="right"/>
      <w:pPr>
        <w:tabs>
          <w:tab w:val="left" w:pos="4210"/>
        </w:tabs>
        <w:ind w:left="4210" w:hanging="420"/>
      </w:pPr>
    </w:lvl>
  </w:abstractNum>
  <w:abstractNum w:abstractNumId="9">
    <w:nsid w:val="775D3DB5"/>
    <w:multiLevelType w:val="singleLevel"/>
    <w:tmpl w:val="775D3DB5"/>
    <w:lvl w:ilvl="0" w:tentative="0">
      <w:start w:val="2"/>
      <w:numFmt w:val="decimal"/>
      <w:suff w:val="nothing"/>
      <w:lvlText w:val="%1、"/>
      <w:lvlJc w:val="left"/>
    </w:lvl>
  </w:abstractNum>
  <w:abstractNum w:abstractNumId="10">
    <w:nsid w:val="7DEC2089"/>
    <w:multiLevelType w:val="multilevel"/>
    <w:tmpl w:val="7DEC2089"/>
    <w:lvl w:ilvl="0" w:tentative="0">
      <w:start w:val="1"/>
      <w:numFmt w:val="decimal"/>
      <w:lvlText w:val="%1."/>
      <w:lvlJc w:val="left"/>
      <w:pPr>
        <w:ind w:left="695" w:hanging="317"/>
        <w:jc w:val="right"/>
      </w:pPr>
      <w:rPr>
        <w:rFonts w:hint="default" w:ascii="宋体" w:hAnsi="宋体" w:eastAsia="宋体" w:cs="宋体"/>
        <w:b/>
        <w:bCs/>
        <w:w w:val="99"/>
        <w:sz w:val="21"/>
        <w:szCs w:val="21"/>
        <w:lang w:val="zh-CN" w:eastAsia="zh-CN" w:bidi="zh-CN"/>
      </w:rPr>
    </w:lvl>
    <w:lvl w:ilvl="1" w:tentative="0">
      <w:start w:val="1"/>
      <w:numFmt w:val="decimal"/>
      <w:lvlText w:val="%1.%2"/>
      <w:lvlJc w:val="left"/>
      <w:pPr>
        <w:ind w:left="1168" w:hanging="370"/>
        <w:jc w:val="left"/>
      </w:pPr>
      <w:rPr>
        <w:rFonts w:hint="default" w:ascii="宋体" w:hAnsi="宋体" w:eastAsia="宋体" w:cs="宋体"/>
        <w:w w:val="100"/>
        <w:sz w:val="21"/>
        <w:szCs w:val="21"/>
        <w:lang w:val="zh-CN" w:eastAsia="zh-CN" w:bidi="zh-CN"/>
      </w:rPr>
    </w:lvl>
    <w:lvl w:ilvl="2" w:tentative="0">
      <w:start w:val="0"/>
      <w:numFmt w:val="bullet"/>
      <w:lvlText w:val="•"/>
      <w:lvlJc w:val="left"/>
      <w:pPr>
        <w:ind w:left="2171" w:hanging="370"/>
      </w:pPr>
      <w:rPr>
        <w:rFonts w:hint="default"/>
        <w:lang w:val="zh-CN" w:eastAsia="zh-CN" w:bidi="zh-CN"/>
      </w:rPr>
    </w:lvl>
    <w:lvl w:ilvl="3" w:tentative="0">
      <w:start w:val="0"/>
      <w:numFmt w:val="bullet"/>
      <w:lvlText w:val="•"/>
      <w:lvlJc w:val="left"/>
      <w:pPr>
        <w:ind w:left="3183" w:hanging="370"/>
      </w:pPr>
      <w:rPr>
        <w:rFonts w:hint="default"/>
        <w:lang w:val="zh-CN" w:eastAsia="zh-CN" w:bidi="zh-CN"/>
      </w:rPr>
    </w:lvl>
    <w:lvl w:ilvl="4" w:tentative="0">
      <w:start w:val="0"/>
      <w:numFmt w:val="bullet"/>
      <w:lvlText w:val="•"/>
      <w:lvlJc w:val="left"/>
      <w:pPr>
        <w:ind w:left="4194" w:hanging="370"/>
      </w:pPr>
      <w:rPr>
        <w:rFonts w:hint="default"/>
        <w:lang w:val="zh-CN" w:eastAsia="zh-CN" w:bidi="zh-CN"/>
      </w:rPr>
    </w:lvl>
    <w:lvl w:ilvl="5" w:tentative="0">
      <w:start w:val="0"/>
      <w:numFmt w:val="bullet"/>
      <w:lvlText w:val="•"/>
      <w:lvlJc w:val="left"/>
      <w:pPr>
        <w:ind w:left="5206" w:hanging="370"/>
      </w:pPr>
      <w:rPr>
        <w:rFonts w:hint="default"/>
        <w:lang w:val="zh-CN" w:eastAsia="zh-CN" w:bidi="zh-CN"/>
      </w:rPr>
    </w:lvl>
    <w:lvl w:ilvl="6" w:tentative="0">
      <w:start w:val="0"/>
      <w:numFmt w:val="bullet"/>
      <w:lvlText w:val="•"/>
      <w:lvlJc w:val="left"/>
      <w:pPr>
        <w:ind w:left="6217" w:hanging="370"/>
      </w:pPr>
      <w:rPr>
        <w:rFonts w:hint="default"/>
        <w:lang w:val="zh-CN" w:eastAsia="zh-CN" w:bidi="zh-CN"/>
      </w:rPr>
    </w:lvl>
    <w:lvl w:ilvl="7" w:tentative="0">
      <w:start w:val="0"/>
      <w:numFmt w:val="bullet"/>
      <w:lvlText w:val="•"/>
      <w:lvlJc w:val="left"/>
      <w:pPr>
        <w:ind w:left="7229" w:hanging="370"/>
      </w:pPr>
      <w:rPr>
        <w:rFonts w:hint="default"/>
        <w:lang w:val="zh-CN" w:eastAsia="zh-CN" w:bidi="zh-CN"/>
      </w:rPr>
    </w:lvl>
    <w:lvl w:ilvl="8" w:tentative="0">
      <w:start w:val="0"/>
      <w:numFmt w:val="bullet"/>
      <w:lvlText w:val="•"/>
      <w:lvlJc w:val="left"/>
      <w:pPr>
        <w:ind w:left="8240" w:hanging="370"/>
      </w:pPr>
      <w:rPr>
        <w:rFonts w:hint="default"/>
        <w:lang w:val="zh-CN" w:eastAsia="zh-CN" w:bidi="zh-CN"/>
      </w:rPr>
    </w:lvl>
  </w:abstractNum>
  <w:num w:numId="1">
    <w:abstractNumId w:val="9"/>
  </w:num>
  <w:num w:numId="2">
    <w:abstractNumId w:val="2"/>
  </w:num>
  <w:num w:numId="3">
    <w:abstractNumId w:val="7"/>
  </w:num>
  <w:num w:numId="4">
    <w:abstractNumId w:val="8"/>
  </w:num>
  <w:num w:numId="5">
    <w:abstractNumId w:val="6"/>
  </w:num>
  <w:num w:numId="6">
    <w:abstractNumId w:val="1"/>
  </w:num>
  <w:num w:numId="7">
    <w:abstractNumId w:val="10"/>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03C18"/>
    <w:rsid w:val="08357362"/>
    <w:rsid w:val="0AFA1C78"/>
    <w:rsid w:val="10015A0D"/>
    <w:rsid w:val="15323B41"/>
    <w:rsid w:val="1BBA4FE3"/>
    <w:rsid w:val="1DF91CAD"/>
    <w:rsid w:val="2229045D"/>
    <w:rsid w:val="289C205C"/>
    <w:rsid w:val="28F104DC"/>
    <w:rsid w:val="2ABE7A73"/>
    <w:rsid w:val="2BA51D47"/>
    <w:rsid w:val="2D340647"/>
    <w:rsid w:val="2E213D99"/>
    <w:rsid w:val="364F59EE"/>
    <w:rsid w:val="37746E2E"/>
    <w:rsid w:val="399A5240"/>
    <w:rsid w:val="421B569D"/>
    <w:rsid w:val="429837C5"/>
    <w:rsid w:val="43BB1D0F"/>
    <w:rsid w:val="45CB6DCF"/>
    <w:rsid w:val="47F91548"/>
    <w:rsid w:val="49C839D6"/>
    <w:rsid w:val="4B3F781A"/>
    <w:rsid w:val="4B992C38"/>
    <w:rsid w:val="4BB76D6F"/>
    <w:rsid w:val="51834207"/>
    <w:rsid w:val="52103C18"/>
    <w:rsid w:val="5221205F"/>
    <w:rsid w:val="53E91E4A"/>
    <w:rsid w:val="56A05E3A"/>
    <w:rsid w:val="58777747"/>
    <w:rsid w:val="5DE36867"/>
    <w:rsid w:val="607F3721"/>
    <w:rsid w:val="654C6116"/>
    <w:rsid w:val="668F3DE9"/>
    <w:rsid w:val="6B0F6AC1"/>
    <w:rsid w:val="6DEE3F9C"/>
    <w:rsid w:val="7D1366EB"/>
    <w:rsid w:val="7DDB4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spacing w:after="120" w:afterLines="0" w:line="240" w:lineRule="auto"/>
      <w:ind w:firstLine="420" w:firstLineChars="100"/>
    </w:pPr>
    <w:rPr>
      <w:sz w:val="21"/>
      <w:szCs w:val="24"/>
    </w:rPr>
  </w:style>
  <w:style w:type="paragraph" w:styleId="3">
    <w:name w:val="Body Text"/>
    <w:basedOn w:val="1"/>
    <w:next w:val="2"/>
    <w:qFormat/>
    <w:uiPriority w:val="0"/>
    <w:pPr>
      <w:spacing w:after="120"/>
    </w:pPr>
  </w:style>
  <w:style w:type="paragraph" w:styleId="4">
    <w:name w:val="toc 6"/>
    <w:basedOn w:val="1"/>
    <w:next w:val="1"/>
    <w:qFormat/>
    <w:uiPriority w:val="0"/>
    <w:pPr>
      <w:ind w:left="2100" w:leftChars="1000"/>
    </w:pPr>
    <w:rPr>
      <w:rFonts w:ascii="Calibri" w:hAnsi="Calibri"/>
      <w:szCs w:val="22"/>
    </w:rPr>
  </w:style>
  <w:style w:type="paragraph" w:styleId="9">
    <w:name w:val="Body Text 3"/>
    <w:basedOn w:val="1"/>
    <w:qFormat/>
    <w:uiPriority w:val="0"/>
    <w:rPr>
      <w:rFonts w:ascii="宋体"/>
      <w:sz w:val="24"/>
      <w:szCs w:val="20"/>
    </w:rPr>
  </w:style>
  <w:style w:type="paragraph" w:styleId="10">
    <w:name w:val="Body Text Indent"/>
    <w:basedOn w:val="1"/>
    <w:qFormat/>
    <w:uiPriority w:val="0"/>
    <w:pPr>
      <w:spacing w:after="120"/>
      <w:ind w:left="420" w:leftChars="200"/>
    </w:pPr>
  </w:style>
  <w:style w:type="paragraph" w:styleId="11">
    <w:name w:val="Date"/>
    <w:basedOn w:val="1"/>
    <w:next w:val="1"/>
    <w:qFormat/>
    <w:uiPriority w:val="0"/>
    <w:rPr>
      <w:sz w:val="24"/>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after="100"/>
      <w:jc w:val="left"/>
    </w:pPr>
    <w:rPr>
      <w:rFonts w:hint="eastAsia" w:ascii="宋体" w:hAnsi="宋体"/>
      <w:kern w:val="0"/>
      <w:sz w:val="24"/>
      <w:szCs w:val="20"/>
    </w:rPr>
  </w:style>
  <w:style w:type="character" w:styleId="17">
    <w:name w:val="page number"/>
    <w:qFormat/>
    <w:uiPriority w:val="0"/>
  </w:style>
  <w:style w:type="character" w:styleId="18">
    <w:name w:val="Hyperlink"/>
    <w:qFormat/>
    <w:uiPriority w:val="99"/>
    <w:rPr>
      <w:rFonts w:ascii="Tahoma" w:hAnsi="Tahoma"/>
      <w:color w:val="0000FF"/>
      <w:sz w:val="24"/>
      <w:szCs w:val="20"/>
      <w:u w:val="single"/>
    </w:rPr>
  </w:style>
  <w:style w:type="paragraph" w:customStyle="1" w:styleId="19">
    <w:name w:val="Table Paragraph"/>
    <w:basedOn w:val="1"/>
    <w:qFormat/>
    <w:uiPriority w:val="1"/>
  </w:style>
  <w:style w:type="paragraph" w:customStyle="1" w:styleId="20">
    <w:name w:val="样式 标题 2 + Times New Roman 四号 非加粗 段前: 5 磅 段后: 0 磅 行距: 固定值 20..."/>
    <w:basedOn w:val="6"/>
    <w:qFormat/>
    <w:uiPriority w:val="0"/>
    <w:pPr>
      <w:spacing w:before="100" w:after="0" w:line="400" w:lineRule="exact"/>
    </w:pPr>
    <w:rPr>
      <w:rFonts w:ascii="Times New Roman" w:hAnsi="Times New Roman" w:cs="宋体"/>
      <w:b w:val="0"/>
      <w:bCs w:val="0"/>
      <w:sz w:val="28"/>
      <w:szCs w:val="20"/>
    </w:rPr>
  </w:style>
  <w:style w:type="paragraph" w:customStyle="1" w:styleId="21">
    <w:name w:val="列表段落1"/>
    <w:basedOn w:val="1"/>
    <w:qFormat/>
    <w:uiPriority w:val="0"/>
    <w:pPr>
      <w:ind w:firstLine="420" w:firstLineChars="200"/>
    </w:pPr>
    <w:rPr>
      <w:rFonts w:ascii="等线" w:hAnsi="等线" w:eastAsia="等线"/>
      <w:szCs w:val="22"/>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3">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paragraph" w:customStyle="1" w:styleId="24">
    <w:name w:val="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2021-10-18T01:06:00Z</dcterms:created>
  <dc:creator>休闲农业规划运营-颜苗苗</dc:creator>
  <cp:lastModifiedBy>休闲农业规划运营-颜苗苗</cp:lastModifiedBy>
  <cp:lastPrinted>2021-10-18T08:42:37Z</cp:lastPrinted>
  <dcterms:modified xsi:type="dcterms:W3CDTF">2021-10-18T09:07:33Z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B96F3378BFC64A0E9B4698C876C2569F</vt:lpwstr>
  </property>
</Properties>
</file>