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524" w:h="13468" w:hRule="exact" w:hSpace="180" w:wrap="around" w:vAnchor="text" w:hAnchor="page" w:x="1319" w:y="1"/>
        <w:jc w:val="center"/>
        <w:rPr>
          <w:rFonts w:hint="eastAsia" w:ascii="宋体" w:hAnsi="宋体"/>
          <w:b/>
          <w:sz w:val="44"/>
          <w:szCs w:val="44"/>
        </w:rPr>
      </w:pPr>
    </w:p>
    <w:p>
      <w:pPr>
        <w:framePr w:w="9524" w:h="13468" w:hRule="exact" w:hSpace="180" w:wrap="around" w:vAnchor="text" w:hAnchor="page" w:x="1319" w:y="1"/>
        <w:rPr>
          <w:rFonts w:ascii="宋体" w:hAnsi="宋体"/>
          <w:b/>
          <w:sz w:val="30"/>
          <w:szCs w:val="30"/>
        </w:rPr>
      </w:pPr>
    </w:p>
    <w:p>
      <w:pPr>
        <w:framePr w:w="9524" w:h="13468" w:hRule="exact" w:hSpace="180" w:wrap="around" w:vAnchor="text" w:hAnchor="page" w:x="1319" w:y="1"/>
        <w:pBdr>
          <w:top w:val="none" w:color="auto" w:sz="0" w:space="0"/>
          <w:left w:val="none" w:color="auto" w:sz="0" w:space="0"/>
          <w:bottom w:val="none" w:color="auto" w:sz="0" w:space="0"/>
          <w:right w:val="none" w:color="auto" w:sz="0" w:space="0"/>
        </w:pBdr>
        <w:jc w:val="center"/>
        <w:rPr>
          <w:rFonts w:hint="eastAsia" w:ascii="宋体" w:hAnsi="宋体"/>
          <w:b/>
          <w:bCs/>
          <w:color w:val="000000"/>
          <w:sz w:val="72"/>
          <w:szCs w:val="72"/>
        </w:rPr>
      </w:pPr>
      <w:r>
        <w:rPr>
          <w:rFonts w:ascii="宋体" w:hAnsi="宋体"/>
          <w:b/>
          <w:bCs/>
          <w:sz w:val="72"/>
          <w:szCs w:val="72"/>
        </w:rPr>
        <w:t>苍</w:t>
      </w:r>
      <w:r>
        <w:rPr>
          <w:rFonts w:hint="eastAsia" w:ascii="宋体" w:hAnsi="宋体" w:eastAsia="宋体"/>
          <w:b/>
          <w:bCs/>
          <w:sz w:val="72"/>
          <w:szCs w:val="72"/>
        </w:rPr>
        <w:t xml:space="preserve"> </w:t>
      </w:r>
      <w:r>
        <w:rPr>
          <w:rFonts w:ascii="宋体" w:hAnsi="宋体"/>
          <w:b/>
          <w:bCs/>
          <w:sz w:val="72"/>
          <w:szCs w:val="72"/>
        </w:rPr>
        <w:t>南</w:t>
      </w:r>
      <w:r>
        <w:rPr>
          <w:rFonts w:hint="eastAsia" w:ascii="宋体" w:hAnsi="宋体" w:eastAsia="宋体"/>
          <w:b/>
          <w:bCs/>
          <w:sz w:val="72"/>
          <w:szCs w:val="72"/>
        </w:rPr>
        <w:t xml:space="preserve"> </w:t>
      </w:r>
      <w:r>
        <w:rPr>
          <w:rFonts w:ascii="宋体" w:hAnsi="宋体"/>
          <w:b/>
          <w:bCs/>
          <w:sz w:val="72"/>
          <w:szCs w:val="72"/>
        </w:rPr>
        <w:t>县</w:t>
      </w:r>
      <w:r>
        <w:rPr>
          <w:rFonts w:hint="eastAsia" w:ascii="宋体" w:hAnsi="宋体" w:eastAsia="宋体"/>
          <w:b/>
          <w:bCs/>
          <w:sz w:val="72"/>
          <w:szCs w:val="72"/>
        </w:rPr>
        <w:t xml:space="preserve"> </w:t>
      </w:r>
      <w:r>
        <w:rPr>
          <w:rFonts w:ascii="宋体" w:hAnsi="宋体" w:eastAsia="宋体"/>
          <w:b/>
          <w:bCs/>
          <w:sz w:val="72"/>
          <w:szCs w:val="72"/>
        </w:rPr>
        <w:t>政</w:t>
      </w:r>
      <w:r>
        <w:rPr>
          <w:rFonts w:hint="eastAsia" w:ascii="宋体" w:hAnsi="宋体" w:eastAsia="宋体"/>
          <w:b/>
          <w:bCs/>
          <w:sz w:val="72"/>
          <w:szCs w:val="72"/>
        </w:rPr>
        <w:t xml:space="preserve"> </w:t>
      </w:r>
      <w:r>
        <w:rPr>
          <w:rFonts w:ascii="宋体" w:hAnsi="宋体" w:eastAsia="宋体"/>
          <w:b/>
          <w:bCs/>
          <w:sz w:val="72"/>
          <w:szCs w:val="72"/>
        </w:rPr>
        <w:t>府</w:t>
      </w:r>
      <w:r>
        <w:rPr>
          <w:rFonts w:hint="eastAsia" w:ascii="宋体" w:hAnsi="宋体" w:eastAsia="宋体"/>
          <w:b/>
          <w:bCs/>
          <w:sz w:val="72"/>
          <w:szCs w:val="72"/>
        </w:rPr>
        <w:t xml:space="preserve"> </w:t>
      </w:r>
      <w:r>
        <w:rPr>
          <w:rFonts w:ascii="宋体" w:hAnsi="宋体" w:eastAsia="宋体"/>
          <w:b/>
          <w:bCs/>
          <w:sz w:val="72"/>
          <w:szCs w:val="72"/>
        </w:rPr>
        <w:t>采</w:t>
      </w:r>
      <w:r>
        <w:rPr>
          <w:rFonts w:hint="eastAsia" w:ascii="宋体" w:hAnsi="宋体" w:eastAsia="宋体"/>
          <w:b/>
          <w:bCs/>
          <w:sz w:val="72"/>
          <w:szCs w:val="72"/>
        </w:rPr>
        <w:t xml:space="preserve"> </w:t>
      </w:r>
      <w:r>
        <w:rPr>
          <w:rFonts w:ascii="宋体" w:hAnsi="宋体" w:eastAsia="宋体"/>
          <w:b/>
          <w:bCs/>
          <w:sz w:val="72"/>
          <w:szCs w:val="72"/>
        </w:rPr>
        <w:t>购</w:t>
      </w:r>
    </w:p>
    <w:p>
      <w:pPr>
        <w:framePr w:w="9524" w:h="13468" w:hRule="exact" w:hSpace="180" w:wrap="around" w:vAnchor="text" w:hAnchor="page" w:x="1319" w:y="1"/>
        <w:jc w:val="center"/>
        <w:rPr>
          <w:rFonts w:ascii="宋体" w:hAnsi="宋体"/>
          <w:b/>
          <w:sz w:val="72"/>
        </w:rPr>
      </w:pPr>
      <w:r>
        <w:rPr>
          <w:rFonts w:hint="eastAsia" w:ascii="宋体" w:hAnsi="宋体" w:eastAsia="宋体" w:cs="Times New Roman"/>
          <w:b/>
          <w:bCs/>
          <w:sz w:val="72"/>
          <w:szCs w:val="72"/>
        </w:rPr>
        <w:t>竞争性磋商文件</w:t>
      </w:r>
    </w:p>
    <w:p>
      <w:pPr>
        <w:framePr w:w="9524" w:h="13468" w:hRule="exact" w:hSpace="180" w:wrap="around" w:vAnchor="text" w:hAnchor="page" w:x="1319" w:y="1"/>
        <w:spacing w:line="440" w:lineRule="exact"/>
        <w:rPr>
          <w:rFonts w:ascii="宋体" w:hAnsi="宋体"/>
          <w:b/>
          <w:sz w:val="30"/>
          <w:szCs w:val="30"/>
        </w:rPr>
      </w:pPr>
    </w:p>
    <w:p>
      <w:pPr>
        <w:pStyle w:val="2"/>
        <w:framePr w:w="9524" w:h="13468" w:hRule="exact" w:hSpace="180" w:wrap="around" w:vAnchor="text" w:hAnchor="page" w:x="1319" w:y="1"/>
      </w:pPr>
    </w:p>
    <w:p>
      <w:pPr>
        <w:framePr w:w="9524" w:h="13468" w:hRule="exact" w:hSpace="180" w:wrap="around" w:vAnchor="text" w:hAnchor="page" w:x="1319" w:y="1"/>
        <w:spacing w:line="440" w:lineRule="exact"/>
        <w:ind w:left="3295" w:leftChars="852" w:hanging="1506" w:hangingChars="500"/>
      </w:pPr>
      <w:r>
        <w:rPr>
          <w:rFonts w:hint="eastAsia" w:ascii="宋体" w:hAnsi="宋体"/>
          <w:b/>
          <w:sz w:val="30"/>
          <w:szCs w:val="30"/>
        </w:rPr>
        <w:t>项目名称：</w:t>
      </w:r>
      <w:r>
        <w:rPr>
          <w:rFonts w:hint="eastAsia" w:ascii="宋体" w:hAnsi="宋体"/>
          <w:b/>
          <w:sz w:val="30"/>
          <w:szCs w:val="30"/>
          <w:lang w:eastAsia="zh-CN"/>
        </w:rPr>
        <w:t>苍南县宜山镇道路照明提升工程设计、采购及安装项目</w:t>
      </w:r>
    </w:p>
    <w:p>
      <w:pPr>
        <w:framePr w:w="9524" w:h="13468" w:hRule="exact" w:hSpace="180" w:wrap="around" w:vAnchor="text" w:hAnchor="page" w:x="1319" w:y="1"/>
        <w:spacing w:line="500" w:lineRule="exact"/>
        <w:ind w:left="-2" w:leftChars="-150" w:hanging="313" w:hangingChars="104"/>
        <w:rPr>
          <w:rFonts w:hint="eastAsia" w:ascii="宋体" w:hAnsi="宋体" w:eastAsia="宋体"/>
          <w:b/>
          <w:color w:val="000000" w:themeColor="text1"/>
          <w:sz w:val="30"/>
          <w:szCs w:val="30"/>
          <w:lang w:eastAsia="zh-CN"/>
        </w:rPr>
      </w:pPr>
      <w:r>
        <w:rPr>
          <w:rFonts w:hint="eastAsia" w:ascii="宋体" w:hAnsi="宋体"/>
          <w:b/>
          <w:sz w:val="30"/>
          <w:szCs w:val="30"/>
        </w:rPr>
        <w:t xml:space="preserve">        </w:t>
      </w:r>
      <w:r>
        <w:rPr>
          <w:rFonts w:hint="eastAsia" w:ascii="宋体" w:hAnsi="宋体"/>
          <w:b/>
          <w:color w:val="000000" w:themeColor="text1"/>
          <w:sz w:val="30"/>
          <w:szCs w:val="30"/>
        </w:rPr>
        <w:t xml:space="preserve">      招标编号：</w:t>
      </w:r>
      <w:r>
        <w:rPr>
          <w:rFonts w:hint="eastAsia" w:ascii="宋体" w:hAnsi="宋体"/>
          <w:b/>
          <w:color w:val="000000" w:themeColor="text1"/>
          <w:sz w:val="30"/>
          <w:szCs w:val="30"/>
          <w:lang w:eastAsia="zh-CN"/>
        </w:rPr>
        <w:t>CNDL2021446</w:t>
      </w:r>
    </w:p>
    <w:p>
      <w:pPr>
        <w:framePr w:w="9524" w:h="13468" w:hRule="exact" w:hSpace="180" w:wrap="around" w:vAnchor="text" w:hAnchor="page" w:x="1319" w:y="1"/>
        <w:spacing w:line="500" w:lineRule="exact"/>
        <w:ind w:left="-2" w:leftChars="-150" w:hanging="313" w:hangingChars="104"/>
        <w:rPr>
          <w:rFonts w:ascii="宋体" w:hAnsi="宋体"/>
          <w:b/>
          <w:color w:val="000000" w:themeColor="text1"/>
          <w:sz w:val="30"/>
          <w:szCs w:val="30"/>
        </w:rPr>
      </w:pPr>
      <w:r>
        <w:rPr>
          <w:rFonts w:hint="eastAsia" w:ascii="宋体" w:hAnsi="宋体"/>
          <w:b/>
          <w:color w:val="000000" w:themeColor="text1"/>
          <w:sz w:val="30"/>
          <w:szCs w:val="30"/>
        </w:rPr>
        <w:t xml:space="preserve">      </w:t>
      </w:r>
      <w:r>
        <w:rPr>
          <w:rFonts w:ascii="宋体" w:hAnsi="宋体"/>
          <w:b/>
          <w:color w:val="000000" w:themeColor="text1"/>
          <w:sz w:val="30"/>
          <w:szCs w:val="30"/>
        </w:rPr>
        <w:t xml:space="preserve"> </w:t>
      </w:r>
      <w:r>
        <w:rPr>
          <w:rFonts w:hint="eastAsia" w:ascii="宋体" w:hAnsi="宋体"/>
          <w:b/>
          <w:color w:val="000000" w:themeColor="text1"/>
          <w:sz w:val="30"/>
          <w:szCs w:val="30"/>
        </w:rPr>
        <w:t xml:space="preserve">       采购方式：</w:t>
      </w:r>
      <w:r>
        <w:rPr>
          <w:rFonts w:hint="eastAsia" w:ascii="宋体" w:hAnsi="宋体"/>
          <w:b/>
          <w:color w:val="000000" w:themeColor="text1"/>
          <w:sz w:val="30"/>
          <w:szCs w:val="30"/>
          <w:lang w:eastAsia="zh-CN"/>
        </w:rPr>
        <w:t>竞争性磋商</w:t>
      </w:r>
      <w:r>
        <w:rPr>
          <w:rFonts w:hint="eastAsia" w:ascii="宋体" w:hAnsi="宋体"/>
          <w:b/>
          <w:color w:val="000000" w:themeColor="text1"/>
          <w:sz w:val="30"/>
          <w:szCs w:val="30"/>
        </w:rPr>
        <w:t>（分散采购委托代理）</w:t>
      </w:r>
    </w:p>
    <w:p>
      <w:pPr>
        <w:framePr w:w="9524" w:h="13468" w:hRule="exact" w:hSpace="180" w:wrap="around" w:vAnchor="text" w:hAnchor="page" w:x="1319" w:y="1"/>
        <w:spacing w:line="440" w:lineRule="exact"/>
        <w:ind w:left="-2" w:leftChars="-150" w:hanging="313" w:hangingChars="104"/>
        <w:rPr>
          <w:rFonts w:ascii="宋体" w:hAnsi="宋体"/>
          <w:b/>
          <w:color w:val="000000" w:themeColor="text1"/>
          <w:sz w:val="30"/>
          <w:szCs w:val="30"/>
        </w:rPr>
      </w:pPr>
      <w:r>
        <w:rPr>
          <w:rFonts w:hint="eastAsia" w:ascii="宋体" w:hAnsi="宋体"/>
          <w:b/>
          <w:color w:val="000000" w:themeColor="text1"/>
          <w:sz w:val="30"/>
          <w:szCs w:val="30"/>
        </w:rPr>
        <w:t xml:space="preserve">      </w:t>
      </w:r>
    </w:p>
    <w:p>
      <w:pPr>
        <w:framePr w:w="9524" w:h="13468" w:hRule="exact" w:hSpace="180" w:wrap="around" w:vAnchor="text" w:hAnchor="page" w:x="1319" w:y="1"/>
        <w:spacing w:line="440" w:lineRule="exact"/>
        <w:ind w:left="-2" w:leftChars="-150" w:hanging="313" w:hangingChars="104"/>
        <w:rPr>
          <w:rFonts w:ascii="宋体" w:hAnsi="宋体"/>
          <w:b/>
          <w:sz w:val="30"/>
          <w:szCs w:val="30"/>
        </w:rPr>
      </w:pPr>
    </w:p>
    <w:p>
      <w:pPr>
        <w:framePr w:w="9524" w:h="13468" w:hRule="exact" w:hSpace="180" w:wrap="around" w:vAnchor="text" w:hAnchor="page" w:x="1319" w:y="1"/>
        <w:spacing w:line="500" w:lineRule="exact"/>
        <w:ind w:left="-2" w:leftChars="-150" w:hanging="313" w:hangingChars="104"/>
        <w:rPr>
          <w:rFonts w:hint="eastAsia" w:ascii="宋体" w:hAnsi="宋体" w:eastAsia="宋体"/>
          <w:b/>
          <w:sz w:val="30"/>
          <w:szCs w:val="30"/>
          <w:lang w:eastAsia="zh-CN"/>
        </w:rPr>
      </w:pPr>
      <w:r>
        <w:rPr>
          <w:rFonts w:hint="eastAsia" w:ascii="宋体" w:hAnsi="宋体"/>
          <w:b/>
          <w:sz w:val="30"/>
          <w:szCs w:val="30"/>
        </w:rPr>
        <w:t xml:space="preserve">              采 购 人：</w:t>
      </w:r>
      <w:r>
        <w:rPr>
          <w:rFonts w:hint="eastAsia" w:ascii="宋体" w:hAnsi="宋体"/>
          <w:b/>
          <w:sz w:val="30"/>
          <w:szCs w:val="30"/>
          <w:lang w:eastAsia="zh-CN"/>
        </w:rPr>
        <w:t>苍南县宜山镇人民政府</w:t>
      </w:r>
    </w:p>
    <w:p>
      <w:pPr>
        <w:framePr w:w="9524" w:h="13468" w:hRule="exact" w:hSpace="180" w:wrap="around" w:vAnchor="text" w:hAnchor="page" w:x="1319" w:y="1"/>
        <w:spacing w:line="500" w:lineRule="exact"/>
        <w:ind w:left="-2" w:leftChars="-150" w:hanging="313" w:hangingChars="104"/>
        <w:rPr>
          <w:rFonts w:hint="eastAsia" w:ascii="宋体" w:hAnsi="宋体" w:eastAsia="宋体"/>
          <w:b/>
          <w:sz w:val="30"/>
          <w:szCs w:val="30"/>
          <w:lang w:eastAsia="zh-CN"/>
        </w:rPr>
      </w:pPr>
      <w:r>
        <w:rPr>
          <w:rFonts w:hint="eastAsia" w:ascii="宋体" w:hAnsi="宋体"/>
          <w:b/>
          <w:sz w:val="30"/>
          <w:szCs w:val="30"/>
        </w:rPr>
        <w:t xml:space="preserve">              联 系 人：</w:t>
      </w:r>
      <w:r>
        <w:rPr>
          <w:rFonts w:hint="eastAsia" w:ascii="宋体" w:hAnsi="宋体"/>
          <w:b/>
          <w:sz w:val="30"/>
          <w:szCs w:val="30"/>
          <w:lang w:eastAsia="zh-CN"/>
        </w:rPr>
        <w:t>李先生</w:t>
      </w:r>
    </w:p>
    <w:p>
      <w:pPr>
        <w:framePr w:w="9524" w:h="13468" w:hRule="exact" w:hSpace="180" w:wrap="around" w:vAnchor="text" w:hAnchor="page" w:x="1319" w:y="1"/>
        <w:spacing w:line="500" w:lineRule="exact"/>
        <w:ind w:left="1260" w:leftChars="600" w:firstLine="524" w:firstLineChars="174"/>
        <w:rPr>
          <w:rFonts w:ascii="宋体" w:hAnsi="宋体"/>
          <w:b/>
          <w:sz w:val="30"/>
          <w:szCs w:val="30"/>
        </w:rPr>
      </w:pPr>
    </w:p>
    <w:p>
      <w:pPr>
        <w:framePr w:w="9524" w:h="13468" w:hRule="exact" w:hSpace="180" w:wrap="around" w:vAnchor="text" w:hAnchor="page" w:x="1319" w:y="1"/>
        <w:spacing w:line="440" w:lineRule="exact"/>
        <w:ind w:left="-2" w:leftChars="-150" w:hanging="313" w:hangingChars="104"/>
        <w:rPr>
          <w:rFonts w:ascii="宋体" w:hAnsi="宋体"/>
          <w:b/>
          <w:sz w:val="30"/>
          <w:szCs w:val="30"/>
        </w:rPr>
      </w:pPr>
    </w:p>
    <w:p>
      <w:pPr>
        <w:framePr w:w="9524" w:h="13468" w:hRule="exact" w:hSpace="180" w:wrap="around" w:vAnchor="text" w:hAnchor="page" w:x="1319" w:y="1"/>
        <w:spacing w:line="500" w:lineRule="exact"/>
        <w:ind w:left="1260" w:leftChars="600" w:firstLine="524" w:firstLineChars="174"/>
        <w:rPr>
          <w:rFonts w:hint="eastAsia" w:ascii="宋体" w:hAnsi="宋体" w:eastAsia="宋体"/>
          <w:b/>
          <w:sz w:val="30"/>
          <w:szCs w:val="30"/>
          <w:lang w:eastAsia="zh-CN"/>
        </w:rPr>
      </w:pPr>
      <w:r>
        <w:rPr>
          <w:rFonts w:hint="eastAsia" w:ascii="宋体" w:hAnsi="宋体"/>
          <w:b/>
          <w:sz w:val="30"/>
          <w:szCs w:val="30"/>
        </w:rPr>
        <w:t>代理机构：</w:t>
      </w:r>
      <w:r>
        <w:rPr>
          <w:rFonts w:hint="eastAsia" w:ascii="宋体" w:hAnsi="宋体"/>
          <w:b/>
          <w:spacing w:val="0"/>
          <w:sz w:val="30"/>
          <w:szCs w:val="30"/>
          <w:lang w:eastAsia="zh-CN"/>
        </w:rPr>
        <w:t>浙江东瓯工程造价咨询有限公司</w:t>
      </w:r>
    </w:p>
    <w:p>
      <w:pPr>
        <w:framePr w:w="9524" w:h="13468" w:hRule="exact" w:hSpace="180" w:wrap="around" w:vAnchor="text" w:hAnchor="page" w:x="1319" w:y="1"/>
        <w:spacing w:line="500" w:lineRule="exact"/>
        <w:ind w:left="1260" w:leftChars="600" w:firstLine="524" w:firstLineChars="174"/>
        <w:rPr>
          <w:rFonts w:hint="eastAsia" w:ascii="宋体" w:hAnsi="宋体" w:eastAsia="宋体"/>
          <w:b/>
          <w:sz w:val="30"/>
          <w:szCs w:val="30"/>
          <w:lang w:eastAsia="zh-CN"/>
        </w:rPr>
      </w:pPr>
      <w:r>
        <w:rPr>
          <w:rFonts w:hint="eastAsia" w:ascii="宋体" w:hAnsi="宋体"/>
          <w:b/>
          <w:sz w:val="30"/>
          <w:szCs w:val="30"/>
        </w:rPr>
        <w:t>联 系 人：</w:t>
      </w:r>
      <w:r>
        <w:rPr>
          <w:rFonts w:hint="eastAsia" w:ascii="宋体" w:hAnsi="宋体"/>
          <w:b/>
          <w:sz w:val="30"/>
          <w:szCs w:val="30"/>
          <w:lang w:eastAsia="zh-CN"/>
        </w:rPr>
        <w:t>黄先生</w:t>
      </w:r>
    </w:p>
    <w:p>
      <w:pPr>
        <w:framePr w:w="9524" w:h="13468" w:hRule="exact" w:hSpace="180" w:wrap="around" w:vAnchor="text" w:hAnchor="page" w:x="1319" w:y="1"/>
        <w:spacing w:line="500" w:lineRule="exact"/>
        <w:ind w:left="1260" w:leftChars="600" w:firstLine="524" w:firstLineChars="174"/>
        <w:rPr>
          <w:rFonts w:hint="eastAsia" w:ascii="宋体" w:hAnsi="宋体" w:eastAsia="宋体"/>
          <w:b/>
          <w:sz w:val="30"/>
          <w:szCs w:val="30"/>
          <w:lang w:eastAsia="zh-CN"/>
        </w:rPr>
      </w:pPr>
      <w:r>
        <w:rPr>
          <w:rFonts w:hint="eastAsia" w:ascii="宋体" w:hAnsi="宋体"/>
          <w:b/>
          <w:sz w:val="30"/>
          <w:szCs w:val="30"/>
        </w:rPr>
        <w:t>联系电话：</w:t>
      </w:r>
      <w:r>
        <w:rPr>
          <w:rFonts w:hint="eastAsia" w:ascii="宋体" w:hAnsi="宋体"/>
          <w:b/>
          <w:color w:val="000000"/>
          <w:sz w:val="28"/>
          <w:szCs w:val="28"/>
        </w:rPr>
        <w:t>0577-</w:t>
      </w:r>
      <w:r>
        <w:rPr>
          <w:rFonts w:hint="eastAsia" w:ascii="宋体" w:hAnsi="宋体"/>
          <w:b/>
          <w:color w:val="000000"/>
          <w:sz w:val="28"/>
          <w:szCs w:val="28"/>
          <w:lang w:eastAsia="zh-CN"/>
        </w:rPr>
        <w:t>68898877</w:t>
      </w:r>
      <w:r>
        <w:rPr>
          <w:rFonts w:hint="eastAsia" w:ascii="宋体" w:hAnsi="宋体"/>
          <w:b/>
          <w:color w:val="000000"/>
          <w:sz w:val="28"/>
          <w:szCs w:val="28"/>
        </w:rPr>
        <w:t>,</w:t>
      </w:r>
      <w:r>
        <w:rPr>
          <w:rFonts w:hint="eastAsia" w:ascii="宋体" w:hAnsi="宋体"/>
          <w:b/>
          <w:color w:val="000000"/>
          <w:sz w:val="28"/>
          <w:szCs w:val="28"/>
          <w:lang w:eastAsia="zh-CN"/>
        </w:rPr>
        <w:t>17826823810</w:t>
      </w:r>
    </w:p>
    <w:p>
      <w:pPr>
        <w:framePr w:w="9524" w:h="13468" w:hRule="exact" w:hSpace="180" w:wrap="around" w:vAnchor="text" w:hAnchor="page" w:x="1319" w:y="1"/>
        <w:spacing w:line="500" w:lineRule="exact"/>
        <w:ind w:left="1260" w:leftChars="600" w:firstLine="524" w:firstLineChars="174"/>
        <w:rPr>
          <w:rFonts w:hint="eastAsia" w:ascii="宋体" w:hAnsi="宋体" w:eastAsia="宋体"/>
          <w:b/>
          <w:bCs/>
          <w:sz w:val="30"/>
          <w:szCs w:val="30"/>
          <w:lang w:eastAsia="zh-CN"/>
        </w:rPr>
      </w:pPr>
      <w:r>
        <w:rPr>
          <w:rFonts w:hint="eastAsia" w:ascii="宋体" w:hAnsi="宋体"/>
          <w:b/>
          <w:sz w:val="30"/>
          <w:szCs w:val="30"/>
        </w:rPr>
        <w:t>联系传真：</w:t>
      </w:r>
      <w:r>
        <w:rPr>
          <w:rFonts w:hint="eastAsia" w:ascii="宋体" w:hAnsi="宋体"/>
          <w:b/>
          <w:color w:val="000000"/>
          <w:sz w:val="28"/>
          <w:szCs w:val="28"/>
        </w:rPr>
        <w:t>0577-68809095</w:t>
      </w:r>
    </w:p>
    <w:p>
      <w:pPr>
        <w:framePr w:w="9524" w:h="13468" w:hRule="exact" w:hSpace="180" w:wrap="around" w:vAnchor="text" w:hAnchor="page" w:x="1319" w:y="1"/>
        <w:spacing w:line="440" w:lineRule="exact"/>
        <w:ind w:left="1260" w:leftChars="600" w:firstLine="904" w:firstLineChars="300"/>
        <w:rPr>
          <w:rFonts w:ascii="宋体" w:hAnsi="宋体"/>
          <w:b/>
          <w:sz w:val="30"/>
          <w:szCs w:val="30"/>
        </w:rPr>
      </w:pPr>
    </w:p>
    <w:p>
      <w:pPr>
        <w:framePr w:w="9524" w:h="13468" w:hRule="exact" w:hSpace="180" w:wrap="around" w:vAnchor="text" w:hAnchor="page" w:x="1319" w:y="1"/>
        <w:spacing w:line="440" w:lineRule="exact"/>
        <w:ind w:left="1260" w:leftChars="600" w:firstLine="904" w:firstLineChars="300"/>
        <w:rPr>
          <w:rFonts w:ascii="宋体" w:hAnsi="宋体"/>
          <w:b/>
          <w:sz w:val="30"/>
          <w:szCs w:val="30"/>
        </w:rPr>
      </w:pPr>
    </w:p>
    <w:p>
      <w:pPr>
        <w:framePr w:w="9524" w:h="13468" w:hRule="exact" w:hSpace="180" w:wrap="around" w:vAnchor="text" w:hAnchor="page" w:x="1319" w:y="1"/>
        <w:spacing w:line="500" w:lineRule="exact"/>
        <w:ind w:left="1260" w:leftChars="600" w:firstLine="524" w:firstLineChars="174"/>
        <w:rPr>
          <w:rFonts w:hint="eastAsia" w:ascii="宋体" w:hAnsi="宋体" w:cs="仿宋_GB2312"/>
          <w:b/>
          <w:bCs/>
          <w:color w:val="auto"/>
          <w:sz w:val="28"/>
          <w:szCs w:val="28"/>
          <w:lang w:eastAsia="zh-CN"/>
        </w:rPr>
      </w:pPr>
      <w:r>
        <w:rPr>
          <w:rFonts w:hint="eastAsia" w:ascii="宋体" w:hAnsi="宋体"/>
          <w:b/>
          <w:sz w:val="30"/>
          <w:szCs w:val="30"/>
          <w:lang w:eastAsia="zh-CN"/>
        </w:rPr>
        <w:t>监督</w:t>
      </w:r>
      <w:r>
        <w:rPr>
          <w:rFonts w:hint="eastAsia" w:ascii="宋体" w:hAnsi="宋体"/>
          <w:b/>
          <w:sz w:val="30"/>
          <w:szCs w:val="30"/>
        </w:rPr>
        <w:t>机构：苍南县政府采购监督管理办公室</w:t>
      </w:r>
    </w:p>
    <w:p>
      <w:pPr>
        <w:pStyle w:val="40"/>
        <w:keepNext w:val="0"/>
        <w:keepLines w:val="0"/>
        <w:pageBreakBefore w:val="0"/>
        <w:framePr w:w="9524" w:h="13468" w:hRule="exact" w:hSpace="180" w:wrap="around" w:vAnchor="text" w:hAnchor="page" w:x="1319" w:y="1"/>
        <w:widowControl w:val="0"/>
        <w:kinsoku/>
        <w:wordWrap/>
        <w:overflowPunct/>
        <w:topLinePunct w:val="0"/>
        <w:autoSpaceDE/>
        <w:autoSpaceDN/>
        <w:bidi w:val="0"/>
        <w:adjustRightInd/>
        <w:snapToGrid/>
        <w:spacing w:before="120"/>
        <w:textAlignment w:val="auto"/>
        <w:rPr>
          <w:rFonts w:hint="eastAsia" w:ascii="宋体" w:hAnsi="宋体" w:cs="仿宋_GB2312"/>
          <w:b/>
          <w:bCs/>
          <w:color w:val="auto"/>
          <w:sz w:val="16"/>
          <w:szCs w:val="16"/>
          <w:lang w:eastAsia="zh-CN"/>
        </w:rPr>
      </w:pPr>
    </w:p>
    <w:p>
      <w:pPr>
        <w:pStyle w:val="40"/>
        <w:keepNext w:val="0"/>
        <w:keepLines w:val="0"/>
        <w:pageBreakBefore w:val="0"/>
        <w:framePr w:w="9524" w:h="13468" w:hRule="exact" w:hSpace="180" w:wrap="around" w:vAnchor="text" w:hAnchor="page" w:x="1319" w:y="1"/>
        <w:widowControl w:val="0"/>
        <w:kinsoku/>
        <w:wordWrap/>
        <w:overflowPunct/>
        <w:topLinePunct w:val="0"/>
        <w:autoSpaceDE/>
        <w:autoSpaceDN/>
        <w:bidi w:val="0"/>
        <w:adjustRightInd/>
        <w:snapToGrid/>
        <w:spacing w:before="120"/>
        <w:textAlignment w:val="auto"/>
        <w:rPr>
          <w:rFonts w:hint="eastAsia"/>
        </w:rPr>
      </w:pPr>
      <w:r>
        <w:rPr>
          <w:rFonts w:hint="eastAsia" w:ascii="宋体" w:hAnsi="宋体" w:cs="仿宋_GB2312"/>
          <w:b/>
          <w:bCs/>
          <w:color w:val="auto"/>
          <w:sz w:val="30"/>
          <w:szCs w:val="30"/>
          <w:lang w:eastAsia="zh-CN"/>
        </w:rPr>
        <w:t>二〇二一年十月</w:t>
      </w:r>
    </w:p>
    <w:p>
      <w:pPr>
        <w:framePr w:w="9524" w:h="13468" w:hRule="exact" w:hSpace="180" w:wrap="around" w:vAnchor="text" w:hAnchor="page" w:x="1319" w:y="1"/>
        <w:spacing w:line="440" w:lineRule="exact"/>
        <w:rPr>
          <w:rFonts w:ascii="宋体" w:hAnsi="宋体"/>
          <w:b/>
          <w:sz w:val="30"/>
          <w:szCs w:val="30"/>
        </w:rPr>
      </w:pPr>
    </w:p>
    <w:p>
      <w:pPr>
        <w:spacing w:line="360" w:lineRule="auto"/>
        <w:ind w:right="-355" w:rightChars="-169"/>
        <w:jc w:val="center"/>
        <w:rPr>
          <w:rFonts w:hint="eastAsia" w:ascii="宋体" w:hAnsi="宋体" w:cs="宋体"/>
          <w:b/>
          <w:bCs/>
          <w:kern w:val="0"/>
          <w:sz w:val="28"/>
          <w:szCs w:val="28"/>
        </w:rPr>
        <w:sectPr>
          <w:headerReference r:id="rId3" w:type="default"/>
          <w:footerReference r:id="rId4" w:type="even"/>
          <w:pgSz w:w="11906" w:h="16838"/>
          <w:pgMar w:top="1440" w:right="1418" w:bottom="1440" w:left="1418" w:header="851" w:footer="992" w:gutter="0"/>
          <w:cols w:space="720" w:num="1"/>
          <w:docGrid w:type="lines" w:linePitch="312" w:charSpace="0"/>
        </w:sectPr>
      </w:pPr>
      <w:bookmarkStart w:id="0" w:name="OLE_LINK6"/>
      <w:bookmarkStart w:id="1" w:name="OLE_LINK2"/>
    </w:p>
    <w:p>
      <w:pPr>
        <w:spacing w:line="360" w:lineRule="auto"/>
        <w:ind w:right="-355" w:rightChars="-169"/>
        <w:jc w:val="center"/>
        <w:rPr>
          <w:rFonts w:ascii="宋体"/>
          <w:b/>
          <w:bCs/>
          <w:sz w:val="28"/>
          <w:szCs w:val="28"/>
        </w:rPr>
      </w:pPr>
      <w:r>
        <w:rPr>
          <w:rFonts w:hint="eastAsia" w:ascii="宋体" w:hAnsi="宋体"/>
          <w:b/>
          <w:spacing w:val="-12"/>
          <w:sz w:val="30"/>
          <w:szCs w:val="30"/>
          <w:lang w:eastAsia="zh-CN"/>
        </w:rPr>
        <w:t>浙江东瓯工程造价咨询有限公司</w:t>
      </w:r>
      <w:r>
        <w:rPr>
          <w:rFonts w:hint="eastAsia" w:ascii="宋体" w:hAnsi="宋体" w:cs="宋体"/>
          <w:b/>
          <w:bCs/>
          <w:kern w:val="0"/>
          <w:sz w:val="28"/>
          <w:szCs w:val="28"/>
        </w:rPr>
        <w:t>关</w:t>
      </w:r>
      <w:r>
        <w:rPr>
          <w:rFonts w:hint="eastAsia" w:ascii="宋体"/>
          <w:b/>
          <w:bCs/>
          <w:sz w:val="28"/>
          <w:szCs w:val="28"/>
        </w:rPr>
        <w:t>于</w:t>
      </w:r>
      <w:r>
        <w:rPr>
          <w:rFonts w:hint="eastAsia" w:ascii="宋体"/>
          <w:b/>
          <w:bCs/>
          <w:sz w:val="28"/>
          <w:szCs w:val="28"/>
          <w:lang w:eastAsia="zh-CN"/>
        </w:rPr>
        <w:t>苍南县宜山镇道路照明提升工程设计、采购及安装项目</w:t>
      </w:r>
      <w:r>
        <w:rPr>
          <w:rFonts w:hint="eastAsia" w:ascii="宋体"/>
          <w:b/>
          <w:bCs/>
          <w:sz w:val="28"/>
          <w:szCs w:val="28"/>
        </w:rPr>
        <w:t>的</w:t>
      </w:r>
      <w:r>
        <w:rPr>
          <w:rFonts w:hint="eastAsia" w:ascii="宋体"/>
          <w:b/>
          <w:bCs/>
          <w:sz w:val="28"/>
          <w:szCs w:val="28"/>
          <w:lang w:eastAsia="zh-CN"/>
        </w:rPr>
        <w:t>竞争性磋商</w:t>
      </w:r>
      <w:r>
        <w:rPr>
          <w:rFonts w:hint="eastAsia" w:ascii="宋体"/>
          <w:b/>
          <w:bCs/>
          <w:sz w:val="28"/>
          <w:szCs w:val="28"/>
        </w:rPr>
        <w:t>公告</w:t>
      </w:r>
    </w:p>
    <w:bookmarkEnd w:id="0"/>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rPr>
      </w:pPr>
      <w:r>
        <w:rPr>
          <w:sz w:val="24"/>
          <w:szCs w:val="24"/>
        </w:rPr>
        <w:t>      项目概况</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rPr>
      </w:pPr>
      <w:r>
        <w:rPr>
          <w:sz w:val="24"/>
          <w:szCs w:val="24"/>
        </w:rPr>
        <w:t>      </w:t>
      </w:r>
      <w:r>
        <w:rPr>
          <w:rFonts w:hint="eastAsia"/>
          <w:sz w:val="24"/>
          <w:szCs w:val="24"/>
          <w:u w:val="none"/>
          <w:lang w:eastAsia="zh-CN"/>
        </w:rPr>
        <w:t>苍南县宜山镇道路照明提升工程设计、采购及安装项目的潜在投标人应在政采</w:t>
      </w:r>
      <w:r>
        <w:rPr>
          <w:rFonts w:hint="eastAsia" w:ascii="宋体" w:hAnsi="宋体" w:cs="宋体"/>
          <w:sz w:val="24"/>
          <w:szCs w:val="24"/>
          <w:lang w:eastAsia="zh-CN"/>
        </w:rPr>
        <w:t>云平台（http://zfcg.czt.zj.gov.cn）获取（下载）采购文件，并于 202</w:t>
      </w:r>
      <w:r>
        <w:rPr>
          <w:rFonts w:hint="eastAsia" w:ascii="宋体" w:hAnsi="宋体" w:cs="宋体"/>
          <w:sz w:val="24"/>
          <w:szCs w:val="24"/>
          <w:lang w:val="en-US" w:eastAsia="zh-CN"/>
        </w:rPr>
        <w:t>1</w:t>
      </w:r>
      <w:r>
        <w:rPr>
          <w:rFonts w:hint="eastAsia" w:ascii="宋体" w:hAnsi="宋体" w:cs="宋体"/>
          <w:sz w:val="24"/>
          <w:szCs w:val="24"/>
          <w:lang w:eastAsia="zh-CN"/>
        </w:rPr>
        <w:t>年</w:t>
      </w:r>
      <w:r>
        <w:rPr>
          <w:rFonts w:hint="eastAsia" w:ascii="宋体" w:hAnsi="宋体" w:cs="宋体"/>
          <w:sz w:val="24"/>
          <w:szCs w:val="24"/>
          <w:lang w:val="en-US" w:eastAsia="zh-CN"/>
        </w:rPr>
        <w:t>11</w:t>
      </w:r>
      <w:r>
        <w:rPr>
          <w:rFonts w:hint="eastAsia" w:ascii="宋体" w:hAnsi="宋体" w:cs="宋体"/>
          <w:sz w:val="24"/>
          <w:szCs w:val="24"/>
          <w:lang w:eastAsia="zh-CN"/>
        </w:rPr>
        <w:t>月</w:t>
      </w:r>
      <w:r>
        <w:rPr>
          <w:rFonts w:hint="eastAsia" w:ascii="宋体" w:hAnsi="宋体" w:cs="宋体"/>
          <w:sz w:val="24"/>
          <w:szCs w:val="24"/>
          <w:lang w:val="en-US" w:eastAsia="zh-CN"/>
        </w:rPr>
        <w:t>12</w:t>
      </w:r>
      <w:r>
        <w:rPr>
          <w:rFonts w:hint="eastAsia" w:ascii="宋体" w:hAnsi="宋体" w:cs="宋体"/>
          <w:sz w:val="24"/>
          <w:szCs w:val="24"/>
          <w:lang w:eastAsia="zh-CN"/>
        </w:rPr>
        <w:t>日</w:t>
      </w:r>
      <w:r>
        <w:rPr>
          <w:rFonts w:hint="eastAsia" w:ascii="宋体" w:hAnsi="宋体" w:cs="宋体"/>
          <w:sz w:val="24"/>
          <w:szCs w:val="24"/>
          <w:lang w:val="en-US" w:eastAsia="zh-CN"/>
        </w:rPr>
        <w:t>9:30</w:t>
      </w:r>
      <w:r>
        <w:rPr>
          <w:rFonts w:hint="eastAsia" w:ascii="宋体" w:hAnsi="宋体" w:cs="宋体"/>
          <w:sz w:val="24"/>
          <w:szCs w:val="24"/>
          <w:lang w:eastAsia="zh-CN"/>
        </w:rPr>
        <w:t>（</w:t>
      </w:r>
      <w:r>
        <w:rPr>
          <w:rFonts w:hint="eastAsia"/>
          <w:sz w:val="24"/>
          <w:szCs w:val="24"/>
          <w:u w:val="none"/>
          <w:lang w:eastAsia="zh-CN"/>
        </w:rPr>
        <w:t>北京时间）前递交（上传）响应文件。</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both"/>
        <w:textAlignment w:val="auto"/>
        <w:rPr>
          <w:rFonts w:ascii="Arial" w:hAnsi="Arial" w:cs="Arial"/>
          <w:sz w:val="24"/>
          <w:szCs w:val="24"/>
        </w:rPr>
      </w:pPr>
      <w:r>
        <w:rPr>
          <w:rStyle w:val="46"/>
          <w:rFonts w:hint="default" w:ascii="Arial" w:hAnsi="Arial" w:cs="Arial"/>
          <w:sz w:val="24"/>
          <w:szCs w:val="24"/>
        </w:rPr>
        <w:t>一、项目基本情况</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ascii="宋体" w:hAnsi="宋体" w:eastAsia="宋体" w:cs="宋体"/>
          <w:sz w:val="24"/>
          <w:szCs w:val="24"/>
          <w:lang w:eastAsia="zh-CN"/>
        </w:rPr>
      </w:pPr>
      <w:r>
        <w:rPr>
          <w:sz w:val="24"/>
          <w:szCs w:val="24"/>
        </w:rPr>
        <w:t>    项目编号： </w:t>
      </w:r>
      <w:r>
        <w:rPr>
          <w:rFonts w:hint="eastAsia" w:ascii="宋体" w:hAnsi="宋体" w:cs="宋体"/>
          <w:sz w:val="24"/>
          <w:szCs w:val="24"/>
          <w:lang w:eastAsia="zh-CN"/>
        </w:rPr>
        <w:t>CNDL2021446</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项目名称：</w:t>
      </w:r>
      <w:r>
        <w:rPr>
          <w:rFonts w:hint="eastAsia" w:ascii="宋体" w:hAnsi="宋体" w:cs="宋体"/>
          <w:sz w:val="24"/>
          <w:szCs w:val="24"/>
          <w:lang w:eastAsia="zh-CN"/>
        </w:rPr>
        <w:t>苍南县宜山镇道路照明提升工程设计、采购及安装项目</w:t>
      </w:r>
      <w:r>
        <w:rPr>
          <w:rFonts w:hint="eastAsia" w:ascii="宋体" w:hAnsi="宋体" w:eastAsia="宋体" w:cs="宋体"/>
          <w:sz w:val="24"/>
          <w:szCs w:val="24"/>
        </w:rPr>
        <w:t>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预算金额（元）：</w:t>
      </w:r>
      <w:r>
        <w:rPr>
          <w:rFonts w:hint="eastAsia" w:ascii="宋体" w:hAnsi="宋体" w:cs="宋体"/>
          <w:sz w:val="24"/>
          <w:szCs w:val="24"/>
          <w:lang w:eastAsia="zh-CN"/>
        </w:rPr>
        <w:t>3</w:t>
      </w:r>
      <w:r>
        <w:rPr>
          <w:rFonts w:hint="eastAsia" w:ascii="宋体" w:hAnsi="宋体" w:cs="宋体"/>
          <w:sz w:val="24"/>
          <w:szCs w:val="24"/>
          <w:lang w:val="en-US" w:eastAsia="zh-CN"/>
        </w:rPr>
        <w:t>95</w:t>
      </w:r>
      <w:r>
        <w:rPr>
          <w:rFonts w:hint="eastAsia" w:ascii="宋体" w:hAnsi="宋体" w:cs="宋体"/>
          <w:sz w:val="24"/>
          <w:szCs w:val="24"/>
          <w:lang w:eastAsia="zh-CN"/>
        </w:rPr>
        <w:t>0000</w:t>
      </w:r>
      <w:r>
        <w:rPr>
          <w:rFonts w:hint="eastAsia" w:ascii="宋体" w:hAnsi="宋体" w:eastAsia="宋体" w:cs="宋体"/>
          <w:sz w:val="24"/>
          <w:szCs w:val="24"/>
        </w:rPr>
        <w:t>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最高限价（元）：</w:t>
      </w:r>
      <w:r>
        <w:rPr>
          <w:rFonts w:hint="eastAsia" w:ascii="宋体" w:hAnsi="宋体" w:cs="宋体"/>
          <w:sz w:val="24"/>
          <w:szCs w:val="24"/>
          <w:lang w:eastAsia="zh-CN"/>
        </w:rPr>
        <w:t>3360000</w:t>
      </w:r>
      <w:r>
        <w:rPr>
          <w:rFonts w:hint="eastAsia" w:ascii="宋体" w:hAnsi="宋体" w:eastAsia="宋体" w:cs="宋体"/>
          <w:sz w:val="24"/>
          <w:szCs w:val="24"/>
        </w:rPr>
        <w:t>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0" w:firstLine="360" w:firstLineChars="150"/>
        <w:textAlignment w:val="auto"/>
        <w:rPr>
          <w:rFonts w:hint="eastAsia" w:ascii="宋体" w:hAnsi="宋体" w:cs="宋体"/>
          <w:sz w:val="24"/>
          <w:szCs w:val="24"/>
          <w:lang w:eastAsia="zh-CN"/>
        </w:rPr>
      </w:pPr>
      <w:r>
        <w:rPr>
          <w:rFonts w:hint="eastAsia" w:ascii="宋体" w:hAnsi="宋体" w:cs="宋体"/>
          <w:sz w:val="24"/>
          <w:szCs w:val="24"/>
          <w:lang w:eastAsia="zh-CN"/>
        </w:rPr>
        <w:t>采购需求</w:t>
      </w:r>
      <w:r>
        <w:rPr>
          <w:rFonts w:hint="eastAsia" w:ascii="宋体" w:hAnsi="宋体" w:eastAsia="宋体" w:cs="宋体"/>
          <w:sz w:val="24"/>
          <w:szCs w:val="24"/>
        </w:rPr>
        <w:br w:type="textWrapping"/>
      </w:r>
      <w:r>
        <w:rPr>
          <w:rFonts w:hint="eastAsia" w:ascii="宋体" w:hAnsi="宋体" w:eastAsia="宋体" w:cs="宋体"/>
          <w:sz w:val="24"/>
          <w:szCs w:val="24"/>
        </w:rPr>
        <w:t>  标项名称:</w:t>
      </w:r>
      <w:r>
        <w:rPr>
          <w:rFonts w:hint="eastAsia" w:ascii="宋体" w:hAnsi="宋体" w:cs="宋体"/>
          <w:sz w:val="24"/>
          <w:szCs w:val="24"/>
          <w:lang w:eastAsia="zh-CN"/>
        </w:rPr>
        <w:t>苍南县宜山镇道路照明提升工程设计、采购及安装项目</w:t>
      </w:r>
      <w:r>
        <w:rPr>
          <w:rFonts w:hint="eastAsia" w:ascii="宋体" w:hAnsi="宋体" w:eastAsia="宋体" w:cs="宋体"/>
          <w:sz w:val="24"/>
          <w:szCs w:val="24"/>
        </w:rPr>
        <w:br w:type="textWrapping"/>
      </w:r>
      <w:r>
        <w:rPr>
          <w:rFonts w:hint="eastAsia" w:ascii="宋体" w:hAnsi="宋体" w:eastAsia="宋体" w:cs="宋体"/>
          <w:sz w:val="24"/>
          <w:szCs w:val="24"/>
        </w:rPr>
        <w:t>  数量: </w:t>
      </w:r>
      <w:r>
        <w:rPr>
          <w:rFonts w:hint="eastAsia" w:ascii="宋体" w:hAnsi="宋体" w:cs="宋体"/>
          <w:sz w:val="24"/>
          <w:szCs w:val="24"/>
          <w:lang w:val="en-US" w:eastAsia="zh-CN"/>
        </w:rPr>
        <w:t>1</w:t>
      </w:r>
      <w:r>
        <w:rPr>
          <w:rFonts w:hint="eastAsia" w:ascii="宋体" w:hAnsi="宋体" w:eastAsia="宋体" w:cs="宋体"/>
          <w:sz w:val="24"/>
          <w:szCs w:val="24"/>
        </w:rPr>
        <w:t>  </w:t>
      </w:r>
      <w:r>
        <w:rPr>
          <w:rFonts w:hint="eastAsia" w:ascii="宋体" w:hAnsi="宋体" w:eastAsia="宋体" w:cs="宋体"/>
          <w:sz w:val="24"/>
          <w:szCs w:val="24"/>
        </w:rPr>
        <w:br w:type="textWrapping"/>
      </w:r>
      <w:r>
        <w:rPr>
          <w:rFonts w:hint="eastAsia" w:ascii="宋体" w:hAnsi="宋体" w:eastAsia="宋体" w:cs="宋体"/>
          <w:sz w:val="24"/>
          <w:szCs w:val="24"/>
        </w:rPr>
        <w:t>  预算金额（元）:</w:t>
      </w:r>
      <w:r>
        <w:rPr>
          <w:rFonts w:hint="eastAsia" w:ascii="宋体" w:hAnsi="宋体" w:cs="宋体"/>
          <w:sz w:val="24"/>
          <w:szCs w:val="24"/>
          <w:lang w:eastAsia="zh-CN"/>
        </w:rPr>
        <w:t>3</w:t>
      </w:r>
      <w:r>
        <w:rPr>
          <w:rFonts w:hint="eastAsia" w:ascii="宋体" w:hAnsi="宋体" w:cs="宋体"/>
          <w:sz w:val="24"/>
          <w:szCs w:val="24"/>
          <w:lang w:val="en-US" w:eastAsia="zh-CN"/>
        </w:rPr>
        <w:t>95</w:t>
      </w:r>
      <w:r>
        <w:rPr>
          <w:rFonts w:hint="eastAsia" w:ascii="宋体" w:hAnsi="宋体" w:cs="宋体"/>
          <w:sz w:val="24"/>
          <w:szCs w:val="24"/>
          <w:lang w:eastAsia="zh-CN"/>
        </w:rPr>
        <w:t>0000</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简要规格描述或项目基本概况介绍、用途：见招标文件要求。 </w:t>
      </w:r>
      <w:r>
        <w:rPr>
          <w:rFonts w:hint="eastAsia" w:ascii="宋体" w:hAnsi="宋体" w:eastAsia="宋体" w:cs="宋体"/>
          <w:sz w:val="24"/>
          <w:szCs w:val="24"/>
        </w:rPr>
        <w:br w:type="textWrapping"/>
      </w:r>
      <w:r>
        <w:rPr>
          <w:rFonts w:hint="eastAsia" w:ascii="宋体" w:hAnsi="宋体" w:eastAsia="宋体" w:cs="宋体"/>
          <w:sz w:val="24"/>
          <w:szCs w:val="24"/>
        </w:rPr>
        <w:t>  备注：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default" w:ascii="宋体" w:hAnsi="宋体" w:eastAsia="宋体" w:cs="宋体"/>
          <w:color w:val="FF0000"/>
          <w:sz w:val="24"/>
          <w:szCs w:val="24"/>
          <w:lang w:val="en-US"/>
        </w:rPr>
      </w:pPr>
      <w:r>
        <w:rPr>
          <w:rFonts w:hint="eastAsia" w:ascii="宋体" w:hAnsi="宋体" w:eastAsia="宋体" w:cs="宋体"/>
          <w:sz w:val="24"/>
          <w:szCs w:val="24"/>
        </w:rPr>
        <w:t>  合同履约期限：</w:t>
      </w:r>
      <w:r>
        <w:rPr>
          <w:rFonts w:hint="eastAsia"/>
          <w:color w:val="000000" w:themeColor="text1"/>
          <w:sz w:val="24"/>
          <w:szCs w:val="24"/>
          <w:lang w:eastAsia="zh-CN"/>
        </w:rPr>
        <w:t>总周期</w:t>
      </w:r>
      <w:r>
        <w:rPr>
          <w:color w:val="000000" w:themeColor="text1"/>
          <w:sz w:val="24"/>
          <w:szCs w:val="24"/>
        </w:rPr>
        <w:t>：</w:t>
      </w:r>
      <w:r>
        <w:rPr>
          <w:rFonts w:hint="eastAsia" w:ascii="宋体" w:hAnsi="宋体" w:cs="宋体"/>
          <w:color w:val="000000" w:themeColor="text1"/>
          <w:sz w:val="24"/>
          <w:szCs w:val="24"/>
          <w:lang w:val="en-US" w:eastAsia="zh-CN"/>
        </w:rPr>
        <w:t>90日历天</w:t>
      </w:r>
      <w:r>
        <w:rPr>
          <w:rFonts w:hint="eastAsia" w:ascii="宋体" w:hAnsi="宋体" w:cs="宋体"/>
          <w:color w:val="000000" w:themeColor="text1"/>
          <w:sz w:val="24"/>
          <w:szCs w:val="24"/>
          <w:lang w:eastAsia="zh-CN"/>
        </w:rPr>
        <w:t>。其中</w:t>
      </w:r>
      <w:r>
        <w:rPr>
          <w:rFonts w:hint="eastAsia" w:ascii="宋体" w:hAnsi="宋体" w:eastAsia="宋体" w:cs="宋体"/>
          <w:color w:val="000000" w:themeColor="text1"/>
          <w:sz w:val="24"/>
          <w:szCs w:val="24"/>
        </w:rPr>
        <w:t>：中标通知书发放后15</w:t>
      </w:r>
      <w:r>
        <w:rPr>
          <w:rFonts w:hint="eastAsia" w:ascii="宋体" w:hAnsi="宋体" w:cs="宋体"/>
          <w:color w:val="000000" w:themeColor="text1"/>
          <w:sz w:val="24"/>
          <w:szCs w:val="24"/>
          <w:lang w:eastAsia="zh-CN"/>
        </w:rPr>
        <w:t>日历</w:t>
      </w:r>
      <w:r>
        <w:rPr>
          <w:rFonts w:hint="eastAsia" w:ascii="宋体" w:hAnsi="宋体" w:eastAsia="宋体" w:cs="宋体"/>
          <w:color w:val="000000" w:themeColor="text1"/>
          <w:sz w:val="24"/>
          <w:szCs w:val="24"/>
        </w:rPr>
        <w:t>天内完成</w:t>
      </w:r>
      <w:r>
        <w:rPr>
          <w:color w:val="000000" w:themeColor="text1"/>
          <w:sz w:val="24"/>
          <w:szCs w:val="24"/>
        </w:rPr>
        <w:t>施工图设计并报发包人审查</w:t>
      </w:r>
      <w:r>
        <w:rPr>
          <w:rFonts w:hint="eastAsia"/>
          <w:color w:val="000000" w:themeColor="text1"/>
          <w:sz w:val="24"/>
          <w:szCs w:val="24"/>
          <w:lang w:eastAsia="zh-CN"/>
        </w:rPr>
        <w:t>，施工工期</w:t>
      </w:r>
      <w:r>
        <w:rPr>
          <w:rFonts w:hint="eastAsia" w:ascii="宋体" w:hAnsi="宋体" w:cs="宋体"/>
          <w:color w:val="000000" w:themeColor="text1"/>
          <w:sz w:val="24"/>
          <w:szCs w:val="24"/>
          <w:lang w:val="en-US" w:eastAsia="zh-CN"/>
        </w:rPr>
        <w:t>75日历天</w:t>
      </w:r>
      <w:r>
        <w:rPr>
          <w:rFonts w:hint="eastAsia"/>
          <w:color w:val="000000" w:themeColor="text1"/>
          <w:sz w:val="24"/>
          <w:szCs w:val="24"/>
          <w:lang w:val="en-US" w:eastAsia="zh-CN"/>
        </w:rPr>
        <w:t>。</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rPr>
      </w:pPr>
      <w:r>
        <w:rPr>
          <w:rFonts w:hint="eastAsia" w:ascii="宋体" w:hAnsi="宋体" w:eastAsia="宋体" w:cs="宋体"/>
          <w:sz w:val="24"/>
          <w:szCs w:val="24"/>
        </w:rPr>
        <w:t>  本项目</w:t>
      </w:r>
      <w:r>
        <w:rPr>
          <w:rFonts w:hint="eastAsia" w:ascii="宋体" w:hAnsi="宋体" w:cs="宋体"/>
          <w:sz w:val="24"/>
          <w:szCs w:val="24"/>
          <w:lang w:eastAsia="zh-CN"/>
        </w:rPr>
        <w:t>（否）</w:t>
      </w:r>
      <w:r>
        <w:rPr>
          <w:rFonts w:hint="eastAsia" w:ascii="宋体" w:hAnsi="宋体" w:eastAsia="宋体" w:cs="宋体"/>
          <w:sz w:val="24"/>
          <w:szCs w:val="24"/>
        </w:rPr>
        <w:t>接受联合体投标。</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both"/>
        <w:textAlignment w:val="auto"/>
        <w:rPr>
          <w:rFonts w:hint="default" w:ascii="Arial" w:hAnsi="Arial" w:cs="Arial"/>
          <w:sz w:val="24"/>
          <w:szCs w:val="24"/>
        </w:rPr>
      </w:pPr>
      <w:r>
        <w:rPr>
          <w:rStyle w:val="46"/>
          <w:rFonts w:hint="default" w:ascii="Arial" w:hAnsi="Arial" w:cs="Arial"/>
          <w:sz w:val="24"/>
          <w:szCs w:val="24"/>
        </w:rPr>
        <w:t>二、申请人的资格要求：</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rPr>
        <w:t>1、</w:t>
      </w:r>
      <w:bookmarkStart w:id="2" w:name="OLE_LINK1"/>
      <w:r>
        <w:rPr>
          <w:rFonts w:hint="eastAsia" w:ascii="宋体" w:hAnsi="宋体" w:eastAsia="宋体" w:cs="宋体"/>
          <w:sz w:val="24"/>
          <w:szCs w:val="24"/>
        </w:rPr>
        <w:t>.满足《中华人民共和国政府采购法》第二十二条规定；未被“信用中国”（www.creditchina.gov.cn)、中国政府采购网（www.ccgp.gov.cn）列入失信被执行人、重大税收违法案件当事人名单、政府采购严重违法失信行为记录名单</w:t>
      </w:r>
      <w:r>
        <w:rPr>
          <w:rFonts w:hint="eastAsia" w:ascii="宋体" w:hAnsi="宋体" w:cs="宋体"/>
          <w:sz w:val="24"/>
          <w:szCs w:val="24"/>
          <w:lang w:eastAsia="zh-CN"/>
        </w:rPr>
        <w:t>。</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39" w:leftChars="114" w:righ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2、落实政府采购政策需满足的资格要求：无</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3、本项目的特定资格要求：</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ascii="宋体" w:hAnsi="宋体" w:eastAsia="宋体" w:cs="宋体"/>
          <w:sz w:val="24"/>
          <w:szCs w:val="24"/>
        </w:rPr>
      </w:pPr>
      <w:bookmarkStart w:id="3" w:name="OLE_LINK5"/>
      <w:r>
        <w:rPr>
          <w:rFonts w:hint="eastAsia" w:ascii="宋体" w:hAnsi="宋体" w:eastAsia="宋体" w:cs="宋体"/>
          <w:sz w:val="24"/>
          <w:szCs w:val="24"/>
        </w:rPr>
        <w:t>（1）供应商应</w:t>
      </w:r>
      <w:r>
        <w:rPr>
          <w:rFonts w:hint="eastAsia" w:ascii="宋体" w:hAnsi="宋体" w:cs="宋体"/>
          <w:sz w:val="24"/>
          <w:szCs w:val="24"/>
          <w:lang w:eastAsia="zh-CN"/>
        </w:rPr>
        <w:t>同时</w:t>
      </w:r>
      <w:r>
        <w:rPr>
          <w:rFonts w:hint="eastAsia" w:ascii="宋体" w:hAnsi="宋体" w:eastAsia="宋体" w:cs="宋体"/>
          <w:sz w:val="24"/>
          <w:szCs w:val="24"/>
        </w:rPr>
        <w:t>具有：①设计资质要求：建设主管部门颁发的设计综合甲级或照明工程设计专项乙级及以上资质；②施工资质要求：建设主管部门颁发的城市及道路照明工程专业承包三级及以上资质和有效的安全生产许可证；</w:t>
      </w:r>
    </w:p>
    <w:bookmarkEnd w:id="2"/>
    <w:bookmarkEnd w:id="3"/>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both"/>
        <w:textAlignment w:val="auto"/>
        <w:rPr>
          <w:rFonts w:hint="default" w:ascii="Arial" w:hAnsi="Arial" w:cs="Arial"/>
          <w:sz w:val="24"/>
          <w:szCs w:val="24"/>
        </w:rPr>
      </w:pPr>
      <w:r>
        <w:rPr>
          <w:rStyle w:val="46"/>
          <w:rFonts w:hint="default" w:ascii="Arial" w:hAnsi="Arial" w:cs="Arial"/>
          <w:sz w:val="24"/>
          <w:szCs w:val="24"/>
        </w:rPr>
        <w:t>三、获取</w:t>
      </w:r>
      <w:r>
        <w:rPr>
          <w:rStyle w:val="46"/>
          <w:rFonts w:hint="eastAsia" w:cs="Arial"/>
          <w:sz w:val="24"/>
          <w:szCs w:val="24"/>
          <w:lang w:val="en-US" w:eastAsia="zh-CN"/>
        </w:rPr>
        <w:t>（下载）采购</w:t>
      </w:r>
      <w:r>
        <w:rPr>
          <w:rStyle w:val="46"/>
          <w:rFonts w:hint="default" w:ascii="Arial" w:hAnsi="Arial" w:cs="Arial"/>
          <w:sz w:val="24"/>
          <w:szCs w:val="24"/>
        </w:rPr>
        <w:t>文件</w:t>
      </w:r>
    </w:p>
    <w:p>
      <w:pPr>
        <w:pStyle w:val="39"/>
        <w:keepNext w:val="0"/>
        <w:keepLines w:val="0"/>
        <w:pageBreakBefore w:val="0"/>
        <w:widowControl/>
        <w:kinsoku/>
        <w:wordWrap/>
        <w:overflowPunct/>
        <w:topLinePunct w:val="0"/>
        <w:autoSpaceDE/>
        <w:autoSpaceDN/>
        <w:bidi w:val="0"/>
        <w:adjustRightInd/>
        <w:snapToGrid/>
        <w:spacing w:before="0" w:beforeAutospacing="0" w:after="0" w:afterAutospacing="0" w:line="312" w:lineRule="auto"/>
        <w:ind w:left="0" w:leftChars="0" w:firstLine="420" w:firstLineChars="175"/>
        <w:textAlignment w:val="auto"/>
        <w:rPr>
          <w:rFonts w:hint="eastAsia" w:ascii="宋体" w:hAnsi="宋体" w:eastAsia="宋体" w:cs="宋体"/>
          <w:sz w:val="24"/>
          <w:szCs w:val="24"/>
        </w:rPr>
      </w:pPr>
      <w:r>
        <w:rPr>
          <w:rFonts w:hint="eastAsia" w:ascii="宋体" w:hAnsi="宋体" w:eastAsia="宋体" w:cs="宋体"/>
          <w:sz w:val="24"/>
          <w:szCs w:val="24"/>
          <w:highlight w:val="none"/>
        </w:rPr>
        <w:t>时间：/至</w:t>
      </w:r>
      <w:r>
        <w:rPr>
          <w:rFonts w:hint="eastAsia" w:ascii="宋体" w:hAnsi="宋体" w:eastAsia="宋体" w:cs="宋体"/>
          <w:sz w:val="24"/>
          <w:szCs w:val="24"/>
          <w:highlight w:val="none"/>
          <w:lang w:eastAsia="zh-CN"/>
        </w:rPr>
        <w:t>2021年</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eastAsia="zh-CN"/>
        </w:rPr>
        <w:t>月</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lang w:eastAsia="zh-CN"/>
        </w:rPr>
        <w:t>日</w:t>
      </w:r>
      <w:r>
        <w:rPr>
          <w:rFonts w:hint="eastAsia" w:ascii="宋体" w:hAnsi="宋体" w:eastAsia="宋体" w:cs="宋体"/>
          <w:sz w:val="24"/>
          <w:szCs w:val="24"/>
          <w:highlight w:val="none"/>
        </w:rPr>
        <w:t>，每天</w:t>
      </w:r>
      <w:r>
        <w:rPr>
          <w:rFonts w:hint="eastAsia" w:ascii="宋体" w:hAnsi="宋体" w:eastAsia="宋体" w:cs="宋体"/>
          <w:sz w:val="24"/>
          <w:szCs w:val="24"/>
        </w:rPr>
        <w:t>上午00:00至12:00，下午12:00至23:59（北京时间，线上获取法定节假日均可，线下获取文件法定节假日除外）</w:t>
      </w:r>
    </w:p>
    <w:p>
      <w:pPr>
        <w:pStyle w:val="39"/>
        <w:keepNext w:val="0"/>
        <w:keepLines w:val="0"/>
        <w:pageBreakBefore w:val="0"/>
        <w:widowControl/>
        <w:kinsoku/>
        <w:wordWrap/>
        <w:overflowPunct/>
        <w:topLinePunct w:val="0"/>
        <w:autoSpaceDE/>
        <w:autoSpaceDN/>
        <w:bidi w:val="0"/>
        <w:adjustRightInd/>
        <w:snapToGrid/>
        <w:spacing w:before="0" w:beforeAutospacing="0" w:after="0" w:afterAutospacing="0" w:line="312" w:lineRule="auto"/>
        <w:textAlignment w:val="auto"/>
        <w:rPr>
          <w:rFonts w:hint="eastAsia" w:ascii="宋体" w:hAnsi="宋体" w:eastAsia="宋体" w:cs="宋体"/>
          <w:sz w:val="24"/>
          <w:szCs w:val="24"/>
        </w:rPr>
      </w:pPr>
      <w:r>
        <w:rPr>
          <w:rFonts w:hint="eastAsia" w:ascii="宋体" w:hAnsi="宋体" w:eastAsia="宋体" w:cs="宋体"/>
          <w:sz w:val="24"/>
          <w:szCs w:val="24"/>
        </w:rPr>
        <w:t>  地点（网址）：浙江政府采购网（http://zfcg.czt.zj.gov.cn）</w:t>
      </w:r>
    </w:p>
    <w:p>
      <w:pPr>
        <w:pStyle w:val="39"/>
        <w:keepNext w:val="0"/>
        <w:keepLines w:val="0"/>
        <w:pageBreakBefore w:val="0"/>
        <w:widowControl/>
        <w:kinsoku/>
        <w:wordWrap/>
        <w:overflowPunct/>
        <w:topLinePunct w:val="0"/>
        <w:autoSpaceDE/>
        <w:autoSpaceDN/>
        <w:bidi w:val="0"/>
        <w:adjustRightInd/>
        <w:snapToGrid/>
        <w:spacing w:before="0" w:beforeAutospacing="0" w:after="0" w:afterAutospacing="0" w:line="312" w:lineRule="auto"/>
        <w:textAlignment w:val="auto"/>
        <w:rPr>
          <w:rFonts w:hint="eastAsia" w:ascii="宋体" w:hAnsi="宋体" w:eastAsia="宋体" w:cs="宋体"/>
          <w:sz w:val="24"/>
          <w:szCs w:val="24"/>
        </w:rPr>
      </w:pPr>
      <w:r>
        <w:rPr>
          <w:rFonts w:hint="eastAsia" w:ascii="宋体" w:hAnsi="宋体" w:eastAsia="宋体" w:cs="宋体"/>
          <w:sz w:val="24"/>
          <w:szCs w:val="24"/>
        </w:rPr>
        <w:t>  方式：潜在供应商登陆政采云平台，在线申请获取招标文件（进入“项目采购”应用，在获取招标文件菜单中选择项目，申请获取招标文件，本项目招标文件不收取工本费；仅需浏览招标文件的供应商可点击“游客，浏览招标文件”或直接下载招标文件浏览）。 </w:t>
      </w:r>
    </w:p>
    <w:p>
      <w:pPr>
        <w:pStyle w:val="39"/>
        <w:keepNext w:val="0"/>
        <w:keepLines w:val="0"/>
        <w:pageBreakBefore w:val="0"/>
        <w:widowControl/>
        <w:kinsoku/>
        <w:wordWrap/>
        <w:overflowPunct/>
        <w:topLinePunct w:val="0"/>
        <w:autoSpaceDE/>
        <w:autoSpaceDN/>
        <w:bidi w:val="0"/>
        <w:adjustRightInd/>
        <w:snapToGrid/>
        <w:spacing w:before="0" w:beforeAutospacing="0" w:after="0" w:afterAutospacing="0" w:line="312"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售价（元）：0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both"/>
        <w:textAlignment w:val="auto"/>
        <w:rPr>
          <w:rFonts w:hint="default" w:ascii="Arial" w:hAnsi="Arial" w:cs="Arial"/>
          <w:sz w:val="24"/>
          <w:szCs w:val="24"/>
        </w:rPr>
      </w:pPr>
      <w:r>
        <w:rPr>
          <w:rStyle w:val="46"/>
          <w:rFonts w:hint="default" w:ascii="Arial" w:hAnsi="Arial" w:cs="Arial"/>
          <w:sz w:val="24"/>
          <w:szCs w:val="24"/>
        </w:rPr>
        <w:t>四、响应文件提交（上传）</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ascii="宋体" w:hAnsi="宋体" w:eastAsia="宋体" w:cs="宋体"/>
          <w:sz w:val="24"/>
          <w:szCs w:val="24"/>
        </w:rPr>
      </w:pPr>
      <w:r>
        <w:rPr>
          <w:sz w:val="24"/>
          <w:szCs w:val="24"/>
        </w:rPr>
        <w:t xml:space="preserve">    </w:t>
      </w:r>
      <w:r>
        <w:rPr>
          <w:rFonts w:hint="eastAsia" w:ascii="宋体" w:hAnsi="宋体" w:eastAsia="宋体" w:cs="宋体"/>
          <w:sz w:val="24"/>
          <w:szCs w:val="24"/>
        </w:rPr>
        <w:t>截止时间：</w:t>
      </w:r>
      <w:r>
        <w:rPr>
          <w:rFonts w:hint="eastAsia" w:ascii="宋体" w:hAnsi="宋体" w:eastAsia="宋体" w:cs="宋体"/>
          <w:sz w:val="24"/>
          <w:szCs w:val="24"/>
          <w:u w:val="single"/>
        </w:rPr>
        <w:t>202</w:t>
      </w:r>
      <w:r>
        <w:rPr>
          <w:rFonts w:hint="eastAsia" w:ascii="宋体" w:hAnsi="宋体" w:cs="宋体"/>
          <w:sz w:val="24"/>
          <w:szCs w:val="24"/>
          <w:u w:val="single"/>
          <w:lang w:val="en-US" w:eastAsia="zh-CN"/>
        </w:rPr>
        <w:t>1</w:t>
      </w:r>
      <w:r>
        <w:rPr>
          <w:rFonts w:hint="eastAsia" w:ascii="宋体" w:hAnsi="宋体" w:eastAsia="宋体" w:cs="宋体"/>
          <w:sz w:val="24"/>
          <w:szCs w:val="24"/>
          <w:u w:val="single"/>
        </w:rPr>
        <w:t>年</w:t>
      </w:r>
      <w:r>
        <w:rPr>
          <w:rFonts w:hint="eastAsia" w:ascii="宋体" w:hAnsi="宋体" w:cs="宋体"/>
          <w:sz w:val="24"/>
          <w:szCs w:val="24"/>
          <w:u w:val="single"/>
          <w:lang w:val="en-US" w:eastAsia="zh-CN"/>
        </w:rPr>
        <w:t>11</w:t>
      </w:r>
      <w:r>
        <w:rPr>
          <w:rFonts w:hint="eastAsia" w:ascii="宋体" w:hAnsi="宋体" w:eastAsia="宋体" w:cs="宋体"/>
          <w:sz w:val="24"/>
          <w:szCs w:val="24"/>
          <w:u w:val="single"/>
        </w:rPr>
        <w:t>月</w:t>
      </w:r>
      <w:r>
        <w:rPr>
          <w:rFonts w:hint="eastAsia" w:ascii="宋体" w:hAnsi="宋体" w:cs="宋体"/>
          <w:sz w:val="24"/>
          <w:szCs w:val="24"/>
          <w:u w:val="single"/>
          <w:lang w:val="en-US" w:eastAsia="zh-CN"/>
        </w:rPr>
        <w:t>12</w:t>
      </w:r>
      <w:r>
        <w:rPr>
          <w:rFonts w:hint="eastAsia" w:ascii="宋体" w:hAnsi="宋体" w:eastAsia="宋体" w:cs="宋体"/>
          <w:sz w:val="24"/>
          <w:szCs w:val="24"/>
          <w:u w:val="single"/>
        </w:rPr>
        <w:t>日</w:t>
      </w:r>
      <w:r>
        <w:rPr>
          <w:rFonts w:hint="eastAsia" w:ascii="宋体" w:hAnsi="宋体" w:cs="宋体"/>
          <w:sz w:val="24"/>
          <w:szCs w:val="24"/>
          <w:u w:val="single"/>
          <w:lang w:val="en-US" w:eastAsia="zh-CN"/>
        </w:rPr>
        <w:t>9</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0</w:t>
      </w:r>
      <w:r>
        <w:rPr>
          <w:rFonts w:hint="eastAsia" w:ascii="宋体" w:hAnsi="宋体" w:eastAsia="宋体" w:cs="宋体"/>
          <w:sz w:val="24"/>
          <w:szCs w:val="24"/>
        </w:rPr>
        <w:t>（北京时间）</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地点（网址）：</w:t>
      </w:r>
      <w:r>
        <w:rPr>
          <w:rFonts w:hint="eastAsia" w:ascii="宋体" w:hAnsi="宋体" w:eastAsia="宋体" w:cs="宋体"/>
          <w:sz w:val="24"/>
          <w:szCs w:val="24"/>
          <w:u w:val="single"/>
        </w:rPr>
        <w:t>投标人通过“政府采购云平台（www.zcygov.cn）”实行在线投标响应（在投标截止时间止，供应商须准时登录“政府采购云平台（www.zcygov.cn）”在线响应投标）</w:t>
      </w:r>
    </w:p>
    <w:p>
      <w:pPr>
        <w:pStyle w:val="39"/>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12" w:lineRule="auto"/>
        <w:ind w:left="0" w:right="0"/>
        <w:jc w:val="both"/>
        <w:textAlignment w:val="auto"/>
        <w:rPr>
          <w:rStyle w:val="46"/>
          <w:rFonts w:hint="default" w:ascii="Arial" w:hAnsi="Arial" w:cs="Arial"/>
          <w:sz w:val="24"/>
          <w:szCs w:val="24"/>
        </w:rPr>
      </w:pPr>
      <w:r>
        <w:rPr>
          <w:rStyle w:val="46"/>
          <w:rFonts w:hint="default" w:ascii="Arial" w:hAnsi="Arial" w:cs="Arial"/>
          <w:sz w:val="24"/>
          <w:szCs w:val="24"/>
        </w:rPr>
        <w:t>响应文件开启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开</w:t>
      </w:r>
      <w:r>
        <w:rPr>
          <w:rFonts w:hint="eastAsia" w:ascii="宋体" w:hAnsi="宋体" w:cs="宋体"/>
          <w:sz w:val="24"/>
          <w:szCs w:val="24"/>
          <w:lang w:eastAsia="zh-CN"/>
        </w:rPr>
        <w:t>启</w:t>
      </w:r>
      <w:r>
        <w:rPr>
          <w:rFonts w:hint="eastAsia" w:ascii="宋体" w:hAnsi="宋体" w:eastAsia="宋体" w:cs="宋体"/>
          <w:sz w:val="24"/>
          <w:szCs w:val="24"/>
        </w:rPr>
        <w:t>时间：</w:t>
      </w:r>
      <w:r>
        <w:rPr>
          <w:rFonts w:hint="eastAsia" w:ascii="宋体" w:hAnsi="宋体" w:eastAsia="宋体" w:cs="宋体"/>
          <w:sz w:val="24"/>
          <w:szCs w:val="24"/>
          <w:u w:val="single"/>
        </w:rPr>
        <w:t>202</w:t>
      </w:r>
      <w:r>
        <w:rPr>
          <w:rFonts w:hint="eastAsia" w:ascii="宋体" w:hAnsi="宋体" w:cs="宋体"/>
          <w:sz w:val="24"/>
          <w:szCs w:val="24"/>
          <w:u w:val="single"/>
          <w:lang w:val="en-US" w:eastAsia="zh-CN"/>
        </w:rPr>
        <w:t>1</w:t>
      </w:r>
      <w:r>
        <w:rPr>
          <w:rFonts w:hint="eastAsia" w:ascii="宋体" w:hAnsi="宋体" w:eastAsia="宋体" w:cs="宋体"/>
          <w:sz w:val="24"/>
          <w:szCs w:val="24"/>
          <w:u w:val="single"/>
        </w:rPr>
        <w:t>年</w:t>
      </w:r>
      <w:r>
        <w:rPr>
          <w:rFonts w:hint="eastAsia" w:ascii="宋体" w:hAnsi="宋体" w:cs="宋体"/>
          <w:sz w:val="24"/>
          <w:szCs w:val="24"/>
          <w:u w:val="single"/>
          <w:lang w:val="en-US" w:eastAsia="zh-CN"/>
        </w:rPr>
        <w:t>11</w:t>
      </w:r>
      <w:r>
        <w:rPr>
          <w:rFonts w:hint="eastAsia" w:ascii="宋体" w:hAnsi="宋体" w:eastAsia="宋体" w:cs="宋体"/>
          <w:sz w:val="24"/>
          <w:szCs w:val="24"/>
          <w:u w:val="single"/>
        </w:rPr>
        <w:t>月</w:t>
      </w:r>
      <w:r>
        <w:rPr>
          <w:rFonts w:hint="eastAsia" w:ascii="宋体" w:hAnsi="宋体" w:cs="宋体"/>
          <w:sz w:val="24"/>
          <w:szCs w:val="24"/>
          <w:u w:val="single"/>
          <w:lang w:val="en-US" w:eastAsia="zh-CN"/>
        </w:rPr>
        <w:t>12</w:t>
      </w:r>
      <w:r>
        <w:rPr>
          <w:rFonts w:hint="eastAsia" w:ascii="宋体" w:hAnsi="宋体" w:eastAsia="宋体" w:cs="宋体"/>
          <w:sz w:val="24"/>
          <w:szCs w:val="24"/>
          <w:u w:val="single"/>
        </w:rPr>
        <w:t xml:space="preserve">日 </w:t>
      </w:r>
      <w:r>
        <w:rPr>
          <w:rFonts w:hint="eastAsia" w:ascii="宋体" w:hAnsi="宋体" w:cs="宋体"/>
          <w:sz w:val="24"/>
          <w:szCs w:val="24"/>
          <w:u w:val="single"/>
          <w:lang w:val="en-US" w:eastAsia="zh-CN"/>
        </w:rPr>
        <w:t>9</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0</w:t>
      </w:r>
      <w:r>
        <w:rPr>
          <w:rFonts w:hint="eastAsia" w:ascii="宋体" w:hAnsi="宋体" w:eastAsia="宋体" w:cs="宋体"/>
          <w:sz w:val="24"/>
          <w:szCs w:val="24"/>
        </w:rPr>
        <w:t>（北京时间）</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firstLine="240" w:firstLineChars="100"/>
        <w:jc w:val="both"/>
        <w:textAlignment w:val="auto"/>
        <w:rPr>
          <w:rFonts w:hint="eastAsia" w:ascii="宋体" w:hAnsi="宋体" w:eastAsia="宋体" w:cs="宋体"/>
          <w:sz w:val="24"/>
          <w:szCs w:val="24"/>
        </w:rPr>
      </w:pPr>
      <w:r>
        <w:rPr>
          <w:rFonts w:hint="eastAsia" w:ascii="宋体" w:hAnsi="宋体" w:eastAsia="宋体" w:cs="宋体"/>
          <w:sz w:val="24"/>
          <w:szCs w:val="24"/>
        </w:rPr>
        <w:t>地点（网址）：1、浙江政府采购网（http://zfcg.czt.zj.gov.cn）2、开评标活动实施地点：苍南县灵溪镇春晖路公投大厦裙楼苍南县公共资源交易中心。</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both"/>
        <w:textAlignment w:val="auto"/>
        <w:rPr>
          <w:rFonts w:hint="default" w:ascii="Arial" w:hAnsi="Arial" w:cs="Arial"/>
          <w:sz w:val="24"/>
          <w:szCs w:val="24"/>
        </w:rPr>
      </w:pPr>
      <w:r>
        <w:rPr>
          <w:rStyle w:val="46"/>
          <w:rFonts w:hint="eastAsia" w:cs="Arial"/>
          <w:sz w:val="24"/>
          <w:szCs w:val="24"/>
          <w:lang w:eastAsia="zh-CN"/>
        </w:rPr>
        <w:t>六</w:t>
      </w:r>
      <w:r>
        <w:rPr>
          <w:rStyle w:val="46"/>
          <w:rFonts w:hint="default" w:ascii="Arial" w:hAnsi="Arial" w:cs="Arial"/>
          <w:sz w:val="24"/>
          <w:szCs w:val="24"/>
        </w:rPr>
        <w:t>、公告期限</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rPr>
      </w:pPr>
      <w:r>
        <w:rPr>
          <w:sz w:val="24"/>
          <w:szCs w:val="24"/>
        </w:rPr>
        <w:t>    自本公告发布之日起</w:t>
      </w:r>
      <w:r>
        <w:rPr>
          <w:rFonts w:hint="eastAsia" w:ascii="宋体" w:hAnsi="宋体" w:cs="宋体"/>
          <w:sz w:val="24"/>
          <w:szCs w:val="24"/>
          <w:lang w:val="en-US" w:eastAsia="zh-CN"/>
        </w:rPr>
        <w:t>3</w:t>
      </w:r>
      <w:r>
        <w:rPr>
          <w:sz w:val="24"/>
          <w:szCs w:val="24"/>
        </w:rPr>
        <w:t>个工作日。</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both"/>
        <w:textAlignment w:val="auto"/>
        <w:rPr>
          <w:rFonts w:hint="default" w:ascii="Arial" w:hAnsi="Arial" w:cs="Arial"/>
          <w:sz w:val="24"/>
          <w:szCs w:val="24"/>
        </w:rPr>
      </w:pPr>
      <w:r>
        <w:rPr>
          <w:rStyle w:val="46"/>
          <w:rFonts w:hint="eastAsia" w:cs="Arial"/>
          <w:sz w:val="24"/>
          <w:szCs w:val="24"/>
          <w:lang w:eastAsia="zh-CN"/>
        </w:rPr>
        <w:t>七</w:t>
      </w:r>
      <w:r>
        <w:rPr>
          <w:rStyle w:val="46"/>
          <w:rFonts w:hint="default" w:ascii="Arial" w:hAnsi="Arial" w:cs="Arial"/>
          <w:sz w:val="24"/>
          <w:szCs w:val="24"/>
        </w:rPr>
        <w:t>、其他补充事宜</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both"/>
        <w:textAlignment w:val="auto"/>
        <w:rPr>
          <w:rFonts w:hint="eastAsia" w:ascii="宋体" w:hAnsi="宋体" w:eastAsia="宋体" w:cs="宋体"/>
          <w:sz w:val="24"/>
          <w:szCs w:val="24"/>
        </w:rPr>
      </w:pPr>
      <w:r>
        <w:rPr>
          <w:sz w:val="24"/>
          <w:szCs w:val="24"/>
        </w:rPr>
        <w:t xml:space="preserve">  </w:t>
      </w:r>
      <w:r>
        <w:rPr>
          <w:rFonts w:hint="eastAsia"/>
          <w:sz w:val="24"/>
          <w:szCs w:val="24"/>
          <w:lang w:val="en-US" w:eastAsia="zh-CN"/>
        </w:rPr>
        <w:t xml:space="preserve">  </w:t>
      </w:r>
      <w:r>
        <w:rPr>
          <w:rFonts w:hint="eastAsia" w:ascii="宋体" w:hAnsi="宋体" w:eastAsia="宋体" w:cs="宋体"/>
          <w:sz w:val="24"/>
          <w:szCs w:val="24"/>
        </w:rPr>
        <w:t>1.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w:t>
      </w:r>
      <w:r>
        <w:rPr>
          <w:rFonts w:hint="eastAsia"/>
          <w:sz w:val="24"/>
          <w:szCs w:val="24"/>
          <w:lang w:eastAsia="zh-CN"/>
        </w:rPr>
        <w:t>，供应商应在法定质疑期内一次性提出针对同一采购程序环节的质疑</w:t>
      </w:r>
      <w:r>
        <w:rPr>
          <w:rFonts w:hint="eastAsia" w:ascii="宋体" w:hAnsi="宋体" w:eastAsia="宋体" w:cs="宋体"/>
          <w:sz w:val="24"/>
          <w:szCs w:val="24"/>
        </w:rPr>
        <w:t>。质疑供应商对采购人、采购代理机构的答复不满意或者采购人、采购代理机构未在规定的时间内作出答复的，可以在答复期满后十五个工作日内向同级政府采购监督管理部门投诉。</w:t>
      </w:r>
      <w:r>
        <w:rPr>
          <w:rFonts w:hint="eastAsia" w:ascii="宋体" w:hAnsi="宋体" w:eastAsia="宋体" w:cs="宋体"/>
          <w:sz w:val="24"/>
          <w:szCs w:val="24"/>
        </w:rPr>
        <w:br w:type="textWrapping"/>
      </w:r>
      <w:r>
        <w:rPr>
          <w:rFonts w:hint="eastAsia" w:ascii="宋体" w:hAnsi="宋体" w:eastAsia="宋体" w:cs="宋体"/>
          <w:sz w:val="24"/>
          <w:szCs w:val="24"/>
        </w:rPr>
        <w:t>  2.提交方式：质疑函范本、投诉书范本请到浙江政府采购网下载专区下载。供应商可在政采云系统--项目采购--询问质疑投诉中在线提交质疑，如对质疑回复不满，可通过浙江政务服务网--政府采购投诉处理--在线办理向财政部门提起投诉（注意：需在线质疑后才可在线投诉），并电话告知相关采购人、代理机构、财政部门。</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both"/>
        <w:textAlignment w:val="auto"/>
        <w:rPr>
          <w:rFonts w:hint="eastAsia" w:ascii="宋体" w:hAnsi="宋体" w:eastAsia="宋体" w:cs="宋体"/>
          <w:sz w:val="24"/>
          <w:szCs w:val="24"/>
        </w:rPr>
      </w:pPr>
      <w:r>
        <w:rPr>
          <w:rFonts w:hint="eastAsia" w:ascii="宋体" w:hAnsi="宋体" w:eastAsia="宋体" w:cs="宋体"/>
          <w:sz w:val="24"/>
          <w:szCs w:val="24"/>
        </w:rPr>
        <w:t>  3.其他事项：无</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jc w:val="both"/>
        <w:textAlignment w:val="auto"/>
        <w:rPr>
          <w:rFonts w:hint="default" w:ascii="Arial" w:hAnsi="Arial" w:cs="Arial"/>
          <w:sz w:val="24"/>
          <w:szCs w:val="24"/>
        </w:rPr>
      </w:pPr>
      <w:r>
        <w:rPr>
          <w:rStyle w:val="46"/>
          <w:rFonts w:hint="eastAsia" w:cs="Arial"/>
          <w:sz w:val="24"/>
          <w:szCs w:val="24"/>
          <w:lang w:eastAsia="zh-CN"/>
        </w:rPr>
        <w:t>八</w:t>
      </w:r>
      <w:r>
        <w:rPr>
          <w:rStyle w:val="46"/>
          <w:rFonts w:hint="default" w:ascii="Arial" w:hAnsi="Arial" w:cs="Arial"/>
          <w:sz w:val="24"/>
          <w:szCs w:val="24"/>
        </w:rPr>
        <w:t>、对本次招标提出询问、质疑、投诉，请按以下方式联系</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rPr>
      </w:pPr>
      <w:r>
        <w:rPr>
          <w:sz w:val="24"/>
          <w:szCs w:val="24"/>
        </w:rPr>
        <w:t>    1.采购人信息</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rPr>
      </w:pPr>
      <w:r>
        <w:rPr>
          <w:sz w:val="24"/>
          <w:szCs w:val="24"/>
        </w:rPr>
        <w:t>    名    称：</w:t>
      </w:r>
      <w:r>
        <w:rPr>
          <w:sz w:val="24"/>
          <w:szCs w:val="24"/>
          <w:u w:val="none"/>
        </w:rPr>
        <w:t> </w:t>
      </w:r>
      <w:r>
        <w:rPr>
          <w:rFonts w:hint="eastAsia"/>
          <w:sz w:val="24"/>
          <w:szCs w:val="24"/>
          <w:u w:val="none"/>
          <w:lang w:eastAsia="zh-CN"/>
        </w:rPr>
        <w:t>苍南县宜山镇人民政府</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rPr>
      </w:pPr>
      <w:r>
        <w:rPr>
          <w:sz w:val="24"/>
          <w:szCs w:val="24"/>
        </w:rPr>
        <w:t>    地    址：</w:t>
      </w:r>
      <w:r>
        <w:rPr>
          <w:rFonts w:hint="eastAsia"/>
          <w:sz w:val="24"/>
          <w:szCs w:val="24"/>
          <w:u w:val="none"/>
          <w:lang w:eastAsia="zh-CN"/>
        </w:rPr>
        <w:t>宜山镇宝山路</w:t>
      </w:r>
      <w:r>
        <w:rPr>
          <w:rFonts w:hint="eastAsia" w:ascii="宋体" w:hAnsi="宋体" w:eastAsia="宋体" w:cs="宋体"/>
          <w:sz w:val="24"/>
          <w:szCs w:val="24"/>
          <w:u w:val="none"/>
          <w:lang w:eastAsia="zh-CN"/>
        </w:rPr>
        <w:t>115</w:t>
      </w:r>
      <w:r>
        <w:rPr>
          <w:rFonts w:hint="eastAsia"/>
          <w:b w:val="0"/>
          <w:bCs w:val="0"/>
          <w:sz w:val="24"/>
          <w:szCs w:val="24"/>
          <w:u w:val="none"/>
          <w:lang w:eastAsia="zh-CN"/>
        </w:rPr>
        <w:t>号</w:t>
      </w:r>
      <w:r>
        <w:rPr>
          <w:rFonts w:hint="eastAsia"/>
          <w:sz w:val="24"/>
          <w:szCs w:val="24"/>
          <w:u w:val="none"/>
          <w:lang w:eastAsia="zh-CN"/>
        </w:rPr>
        <w:t xml:space="preserve">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rPr>
      </w:pPr>
      <w:r>
        <w:rPr>
          <w:sz w:val="24"/>
          <w:szCs w:val="24"/>
        </w:rPr>
        <w:t>    传    真：</w:t>
      </w:r>
      <w:r>
        <w:rPr>
          <w:sz w:val="24"/>
          <w:szCs w:val="24"/>
          <w:u w:val="none"/>
        </w:rPr>
        <w:t> /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rPr>
      </w:pPr>
      <w:r>
        <w:rPr>
          <w:sz w:val="24"/>
          <w:szCs w:val="24"/>
        </w:rPr>
        <w:t>    项目联系人（询问）：</w:t>
      </w:r>
      <w:r>
        <w:rPr>
          <w:rFonts w:hint="eastAsia"/>
          <w:sz w:val="24"/>
          <w:szCs w:val="24"/>
          <w:u w:val="none"/>
          <w:lang w:eastAsia="zh-CN"/>
        </w:rPr>
        <w:t>李先生</w:t>
      </w:r>
      <w:r>
        <w:rPr>
          <w:sz w:val="24"/>
          <w:szCs w:val="24"/>
          <w:u w:val="none"/>
        </w:rPr>
        <w:t>　</w:t>
      </w:r>
      <w:r>
        <w:rPr>
          <w:sz w:val="24"/>
          <w:szCs w:val="24"/>
        </w:rPr>
        <w:t>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default" w:eastAsia="宋体"/>
          <w:sz w:val="24"/>
          <w:szCs w:val="24"/>
          <w:u w:val="none"/>
          <w:lang w:val="en-US" w:eastAsia="zh-CN"/>
        </w:rPr>
      </w:pPr>
      <w:r>
        <w:rPr>
          <w:sz w:val="24"/>
          <w:szCs w:val="24"/>
        </w:rPr>
        <w:t> </w:t>
      </w:r>
      <w:r>
        <w:rPr>
          <w:sz w:val="24"/>
          <w:szCs w:val="24"/>
          <w:u w:val="none"/>
        </w:rPr>
        <w:t xml:space="preserve">   项目联系方式（询问）：</w:t>
      </w:r>
      <w:r>
        <w:rPr>
          <w:rFonts w:hint="eastAsia" w:ascii="宋体" w:hAnsi="宋体" w:eastAsia="宋体" w:cs="宋体"/>
          <w:sz w:val="24"/>
          <w:szCs w:val="24"/>
          <w:u w:val="none"/>
          <w:lang w:val="en-US" w:eastAsia="zh-CN"/>
        </w:rPr>
        <w:t>0577-64381185</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eastAsia="宋体"/>
          <w:sz w:val="24"/>
          <w:szCs w:val="24"/>
          <w:u w:val="none"/>
          <w:lang w:val="en-US" w:eastAsia="zh-CN"/>
        </w:rPr>
      </w:pPr>
      <w:r>
        <w:rPr>
          <w:sz w:val="24"/>
          <w:szCs w:val="24"/>
          <w:u w:val="none"/>
        </w:rPr>
        <w:t>    质疑联系人：</w:t>
      </w:r>
      <w:r>
        <w:rPr>
          <w:rFonts w:hint="eastAsia"/>
          <w:sz w:val="24"/>
          <w:szCs w:val="24"/>
          <w:u w:val="none"/>
          <w:lang w:eastAsia="zh-CN"/>
        </w:rPr>
        <w:t>李先生</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u w:val="none"/>
        </w:rPr>
      </w:pPr>
      <w:r>
        <w:rPr>
          <w:sz w:val="24"/>
          <w:szCs w:val="24"/>
          <w:u w:val="none"/>
        </w:rPr>
        <w:t>    质疑联系方式：</w:t>
      </w:r>
      <w:r>
        <w:rPr>
          <w:rFonts w:hint="eastAsia" w:ascii="宋体" w:hAnsi="宋体" w:eastAsia="宋体" w:cs="宋体"/>
          <w:sz w:val="24"/>
          <w:szCs w:val="24"/>
          <w:u w:val="none"/>
          <w:lang w:val="en-US" w:eastAsia="zh-CN"/>
        </w:rPr>
        <w:t>0577-64381185</w:t>
      </w:r>
      <w:r>
        <w:rPr>
          <w:sz w:val="24"/>
          <w:szCs w:val="24"/>
          <w:u w:val="none"/>
        </w:rPr>
        <w:t>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u w:val="none"/>
        </w:rPr>
      </w:pPr>
      <w:r>
        <w:rPr>
          <w:sz w:val="24"/>
          <w:szCs w:val="24"/>
          <w:u w:val="none"/>
        </w:rPr>
        <w:t> </w:t>
      </w:r>
      <w:r>
        <w:rPr>
          <w:rFonts w:hint="eastAsia"/>
          <w:sz w:val="24"/>
          <w:szCs w:val="24"/>
          <w:u w:val="none"/>
          <w:lang w:val="en-US" w:eastAsia="zh-CN"/>
        </w:rPr>
        <w:t xml:space="preserve">  </w:t>
      </w:r>
      <w:r>
        <w:rPr>
          <w:rFonts w:hint="default" w:ascii="Arial" w:hAnsi="Arial" w:cs="Arial"/>
          <w:sz w:val="24"/>
          <w:szCs w:val="24"/>
          <w:u w:val="none"/>
        </w:rPr>
        <w:t> 2.采购代理机构信息</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u w:val="none"/>
        </w:rPr>
      </w:pPr>
      <w:r>
        <w:rPr>
          <w:sz w:val="24"/>
          <w:szCs w:val="24"/>
          <w:u w:val="none"/>
        </w:rPr>
        <w:t>    名    称： </w:t>
      </w:r>
      <w:r>
        <w:rPr>
          <w:rFonts w:hint="eastAsia"/>
          <w:sz w:val="24"/>
          <w:szCs w:val="24"/>
          <w:u w:val="none"/>
          <w:lang w:eastAsia="zh-CN"/>
        </w:rPr>
        <w:t>浙江东瓯工程造价咨询有限公司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u w:val="none"/>
        </w:rPr>
      </w:pPr>
      <w:r>
        <w:rPr>
          <w:sz w:val="24"/>
          <w:szCs w:val="24"/>
          <w:u w:val="none"/>
        </w:rPr>
        <w:t>    地    址： </w:t>
      </w:r>
      <w:r>
        <w:rPr>
          <w:rFonts w:hint="eastAsia"/>
          <w:sz w:val="24"/>
          <w:szCs w:val="24"/>
          <w:u w:val="none"/>
          <w:lang w:eastAsia="zh-CN"/>
        </w:rPr>
        <w:t>苍南县灵溪镇上江小区</w:t>
      </w:r>
      <w:r>
        <w:rPr>
          <w:rFonts w:hint="eastAsia" w:ascii="宋体" w:hAnsi="宋体" w:eastAsia="宋体" w:cs="宋体"/>
          <w:sz w:val="24"/>
          <w:szCs w:val="24"/>
          <w:u w:val="none"/>
          <w:lang w:eastAsia="zh-CN"/>
        </w:rPr>
        <w:t>13幢一单元301室</w:t>
      </w:r>
      <w:r>
        <w:rPr>
          <w:rFonts w:hint="eastAsia" w:ascii="宋体" w:hAnsi="宋体" w:eastAsia="宋体" w:cs="宋体"/>
          <w:sz w:val="24"/>
          <w:szCs w:val="24"/>
          <w:u w:val="none"/>
        </w:rPr>
        <w:t>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u w:val="none"/>
        </w:rPr>
      </w:pPr>
      <w:r>
        <w:rPr>
          <w:sz w:val="24"/>
          <w:szCs w:val="24"/>
          <w:u w:val="none"/>
        </w:rPr>
        <w:t>    传    真：</w:t>
      </w:r>
      <w:r>
        <w:rPr>
          <w:rFonts w:hint="eastAsia" w:ascii="宋体" w:hAnsi="宋体" w:eastAsia="宋体" w:cs="宋体"/>
          <w:sz w:val="24"/>
          <w:szCs w:val="24"/>
          <w:u w:val="none"/>
          <w:lang w:eastAsia="zh-CN"/>
        </w:rPr>
        <w:t>0577-68809095</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u w:val="none"/>
        </w:rPr>
      </w:pPr>
      <w:r>
        <w:rPr>
          <w:sz w:val="24"/>
          <w:szCs w:val="24"/>
          <w:u w:val="none"/>
        </w:rPr>
        <w:t>    项目联系人（询问）：</w:t>
      </w:r>
      <w:r>
        <w:rPr>
          <w:rFonts w:hint="eastAsia" w:ascii="宋体" w:hAnsi="宋体" w:eastAsia="宋体" w:cs="宋体"/>
          <w:sz w:val="24"/>
          <w:szCs w:val="24"/>
          <w:u w:val="none"/>
          <w:lang w:eastAsia="zh-CN"/>
        </w:rPr>
        <w:t>黄先生</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u w:val="none"/>
        </w:rPr>
      </w:pPr>
      <w:r>
        <w:rPr>
          <w:sz w:val="24"/>
          <w:szCs w:val="24"/>
          <w:u w:val="none"/>
        </w:rPr>
        <w:t>    项目联系方式（询问）：</w:t>
      </w:r>
      <w:r>
        <w:rPr>
          <w:rFonts w:hint="eastAsia" w:ascii="宋体" w:hAnsi="宋体" w:eastAsia="宋体" w:cs="宋体"/>
          <w:sz w:val="24"/>
          <w:szCs w:val="24"/>
          <w:u w:val="none"/>
          <w:lang w:eastAsia="zh-CN"/>
        </w:rPr>
        <w:t>0577-68898877、17826823810</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u w:val="none"/>
        </w:rPr>
      </w:pPr>
      <w:r>
        <w:rPr>
          <w:sz w:val="24"/>
          <w:szCs w:val="24"/>
          <w:u w:val="none"/>
        </w:rPr>
        <w:t>    质疑联系人：</w:t>
      </w:r>
      <w:r>
        <w:rPr>
          <w:rFonts w:hint="eastAsia"/>
          <w:sz w:val="24"/>
          <w:szCs w:val="24"/>
          <w:u w:val="none"/>
          <w:lang w:eastAsia="zh-CN"/>
        </w:rPr>
        <w:t>欧</w:t>
      </w:r>
      <w:r>
        <w:rPr>
          <w:sz w:val="24"/>
          <w:szCs w:val="24"/>
          <w:u w:val="none"/>
        </w:rPr>
        <w:t>先生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hint="eastAsia" w:eastAsia="宋体"/>
          <w:sz w:val="24"/>
          <w:szCs w:val="24"/>
          <w:u w:val="none"/>
          <w:lang w:eastAsia="zh-CN"/>
        </w:rPr>
      </w:pPr>
      <w:r>
        <w:rPr>
          <w:sz w:val="24"/>
          <w:szCs w:val="24"/>
          <w:u w:val="none"/>
        </w:rPr>
        <w:t>    质疑联系方式：  </w:t>
      </w:r>
      <w:r>
        <w:rPr>
          <w:rFonts w:hint="eastAsia" w:ascii="宋体" w:hAnsi="宋体" w:eastAsia="宋体" w:cs="宋体"/>
          <w:sz w:val="24"/>
          <w:szCs w:val="24"/>
          <w:u w:val="none"/>
        </w:rPr>
        <w:t>0577-</w:t>
      </w:r>
      <w:r>
        <w:rPr>
          <w:rFonts w:hint="eastAsia" w:ascii="宋体" w:hAnsi="宋体" w:eastAsia="宋体" w:cs="宋体"/>
          <w:sz w:val="24"/>
          <w:szCs w:val="24"/>
          <w:u w:val="none"/>
          <w:lang w:eastAsia="zh-CN"/>
        </w:rPr>
        <w:t>68898877</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u w:val="none"/>
        </w:rPr>
      </w:pPr>
      <w:r>
        <w:rPr>
          <w:sz w:val="24"/>
          <w:szCs w:val="24"/>
          <w:u w:val="none"/>
        </w:rPr>
        <w:t> </w:t>
      </w:r>
      <w:r>
        <w:rPr>
          <w:rFonts w:hint="eastAsia"/>
          <w:sz w:val="24"/>
          <w:szCs w:val="24"/>
          <w:u w:val="none"/>
          <w:lang w:val="en-US" w:eastAsia="zh-CN"/>
        </w:rPr>
        <w:t xml:space="preserve">   </w:t>
      </w:r>
      <w:r>
        <w:rPr>
          <w:rFonts w:hint="default" w:ascii="Arial" w:hAnsi="Arial" w:cs="Arial"/>
          <w:sz w:val="24"/>
          <w:szCs w:val="24"/>
          <w:u w:val="none"/>
        </w:rPr>
        <w:t>3.同级政府采购监督管理部门</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u w:val="none"/>
        </w:rPr>
      </w:pPr>
      <w:r>
        <w:rPr>
          <w:sz w:val="24"/>
          <w:szCs w:val="24"/>
          <w:u w:val="none"/>
        </w:rPr>
        <w:t>    名    称： 苍南县政府采购监督管理办公室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u w:val="none"/>
        </w:rPr>
      </w:pPr>
      <w:r>
        <w:rPr>
          <w:sz w:val="24"/>
          <w:szCs w:val="24"/>
          <w:u w:val="none"/>
        </w:rPr>
        <w:t>    地    址： 苍南县灵溪镇春晖路</w:t>
      </w:r>
      <w:r>
        <w:rPr>
          <w:rFonts w:hint="eastAsia" w:ascii="宋体" w:hAnsi="宋体" w:eastAsia="宋体" w:cs="宋体"/>
          <w:sz w:val="24"/>
          <w:szCs w:val="24"/>
          <w:u w:val="none"/>
        </w:rPr>
        <w:t>555</w:t>
      </w:r>
      <w:r>
        <w:rPr>
          <w:sz w:val="24"/>
          <w:szCs w:val="24"/>
          <w:u w:val="none"/>
        </w:rPr>
        <w:t>号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u w:val="none"/>
        </w:rPr>
      </w:pPr>
      <w:r>
        <w:rPr>
          <w:sz w:val="24"/>
          <w:szCs w:val="24"/>
          <w:u w:val="none"/>
        </w:rPr>
        <w:t>    传    真：</w:t>
      </w:r>
      <w:r>
        <w:rPr>
          <w:rFonts w:hint="eastAsia" w:ascii="宋体" w:hAnsi="宋体" w:eastAsia="宋体" w:cs="宋体"/>
          <w:sz w:val="24"/>
          <w:szCs w:val="24"/>
          <w:u w:val="none"/>
        </w:rPr>
        <w:t> 0577-59867927</w:t>
      </w:r>
      <w:r>
        <w:rPr>
          <w:sz w:val="24"/>
          <w:szCs w:val="24"/>
          <w:u w:val="none"/>
        </w:rPr>
        <w:t>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u w:val="none"/>
        </w:rPr>
      </w:pPr>
      <w:r>
        <w:rPr>
          <w:sz w:val="24"/>
          <w:szCs w:val="24"/>
          <w:u w:val="none"/>
        </w:rPr>
        <w:t>    联系人 ： 陈先生 </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sz w:val="24"/>
          <w:szCs w:val="24"/>
          <w:u w:val="none"/>
        </w:rPr>
      </w:pPr>
      <w:r>
        <w:rPr>
          <w:sz w:val="24"/>
          <w:szCs w:val="24"/>
          <w:u w:val="none"/>
        </w:rPr>
        <w:t>    监督投诉电话：</w:t>
      </w:r>
      <w:r>
        <w:rPr>
          <w:rFonts w:hint="eastAsia" w:ascii="宋体" w:hAnsi="宋体" w:eastAsia="宋体" w:cs="宋体"/>
          <w:sz w:val="24"/>
          <w:szCs w:val="24"/>
          <w:u w:val="none"/>
        </w:rPr>
        <w:t>0577-59867927</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CA问题联系电话（人工）：汇信CA 400-888-4636；天谷CA 400-087-8198。</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ascii="宋体" w:hAnsi="宋体" w:eastAsia="宋体" w:cs="宋体"/>
          <w:kern w:val="0"/>
          <w:sz w:val="24"/>
          <w:szCs w:val="24"/>
          <w:lang w:val="en-US" w:eastAsia="zh-CN" w:bidi="ar"/>
        </w:rPr>
      </w:pP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ascii="宋体" w:hAnsi="宋体" w:eastAsia="宋体" w:cs="宋体"/>
          <w:kern w:val="0"/>
          <w:sz w:val="24"/>
          <w:szCs w:val="24"/>
          <w:lang w:val="en-US" w:eastAsia="zh-CN" w:bidi="ar"/>
        </w:rPr>
      </w:pP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ascii="宋体" w:hAnsi="宋体" w:eastAsia="宋体" w:cs="宋体"/>
          <w:kern w:val="0"/>
          <w:sz w:val="24"/>
          <w:szCs w:val="24"/>
          <w:lang w:val="en-US" w:eastAsia="zh-CN" w:bidi="ar"/>
        </w:rPr>
      </w:pP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ascii="宋体" w:hAnsi="宋体" w:eastAsia="宋体" w:cs="宋体"/>
          <w:kern w:val="0"/>
          <w:sz w:val="24"/>
          <w:szCs w:val="24"/>
          <w:lang w:val="en-US" w:eastAsia="zh-CN" w:bidi="ar"/>
        </w:rPr>
      </w:pP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ascii="宋体" w:hAnsi="宋体" w:eastAsia="宋体" w:cs="宋体"/>
          <w:kern w:val="0"/>
          <w:sz w:val="24"/>
          <w:szCs w:val="24"/>
          <w:lang w:val="en-US" w:eastAsia="zh-CN" w:bidi="ar"/>
        </w:rPr>
      </w:pP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ascii="宋体" w:hAnsi="宋体" w:eastAsia="宋体" w:cs="宋体"/>
          <w:kern w:val="0"/>
          <w:sz w:val="24"/>
          <w:szCs w:val="24"/>
          <w:lang w:val="en-US" w:eastAsia="zh-CN" w:bidi="ar"/>
        </w:rPr>
      </w:pP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ascii="宋体" w:hAnsi="宋体" w:eastAsia="宋体" w:cs="宋体"/>
          <w:kern w:val="0"/>
          <w:sz w:val="24"/>
          <w:szCs w:val="24"/>
          <w:lang w:val="en-US" w:eastAsia="zh-CN" w:bidi="ar"/>
        </w:rPr>
      </w:pP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ascii="宋体" w:hAnsi="宋体" w:eastAsia="宋体" w:cs="宋体"/>
          <w:kern w:val="0"/>
          <w:sz w:val="24"/>
          <w:szCs w:val="24"/>
          <w:lang w:val="en-US" w:eastAsia="zh-CN" w:bidi="ar"/>
        </w:rPr>
      </w:pP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ascii="宋体" w:hAnsi="宋体" w:eastAsia="宋体" w:cs="宋体"/>
          <w:kern w:val="0"/>
          <w:sz w:val="24"/>
          <w:szCs w:val="24"/>
          <w:lang w:val="en-US" w:eastAsia="zh-CN" w:bidi="ar"/>
        </w:rPr>
      </w:pP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ascii="宋体" w:hAnsi="宋体" w:eastAsia="宋体" w:cs="宋体"/>
          <w:kern w:val="0"/>
          <w:sz w:val="24"/>
          <w:szCs w:val="24"/>
          <w:lang w:val="en-US" w:eastAsia="zh-CN" w:bidi="ar"/>
        </w:rPr>
      </w:pP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ascii="宋体" w:hAnsi="宋体" w:eastAsia="宋体" w:cs="宋体"/>
          <w:kern w:val="0"/>
          <w:sz w:val="24"/>
          <w:szCs w:val="24"/>
          <w:lang w:val="en-US" w:eastAsia="zh-CN" w:bidi="ar"/>
        </w:rPr>
      </w:pP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0" w:right="0"/>
        <w:textAlignment w:val="auto"/>
        <w:rPr>
          <w:rFonts w:ascii="宋体" w:hAnsi="宋体" w:eastAsia="宋体" w:cs="宋体"/>
          <w:kern w:val="0"/>
          <w:sz w:val="24"/>
          <w:szCs w:val="24"/>
          <w:lang w:val="en-US" w:eastAsia="zh-CN" w:bidi="ar"/>
        </w:rPr>
      </w:pPr>
    </w:p>
    <w:bookmarkEnd w:id="1"/>
    <w:p>
      <w:pPr>
        <w:rPr>
          <w:rFonts w:ascii="宋体" w:hAnsi="宋体"/>
          <w:bCs/>
          <w:sz w:val="22"/>
          <w:szCs w:val="22"/>
        </w:rPr>
      </w:pPr>
      <w:r>
        <w:rPr>
          <w:rFonts w:hint="eastAsia" w:ascii="宋体" w:hAnsi="宋体"/>
          <w:bCs/>
          <w:sz w:val="22"/>
          <w:szCs w:val="22"/>
        </w:rPr>
        <w:t xml:space="preserve">                            </w:t>
      </w:r>
    </w:p>
    <w:p>
      <w:pPr>
        <w:autoSpaceDE w:val="0"/>
        <w:autoSpaceDN w:val="0"/>
        <w:spacing w:line="440" w:lineRule="atLeast"/>
        <w:jc w:val="center"/>
        <w:textAlignment w:val="bottom"/>
        <w:rPr>
          <w:rFonts w:ascii="宋体" w:hAnsi="宋体"/>
          <w:sz w:val="36"/>
        </w:rPr>
      </w:pPr>
      <w:r>
        <w:rPr>
          <w:rFonts w:hint="eastAsia" w:ascii="宋体" w:hAnsi="宋体"/>
          <w:sz w:val="36"/>
        </w:rPr>
        <w:t>采购文件目录</w:t>
      </w:r>
    </w:p>
    <w:p>
      <w:pPr>
        <w:autoSpaceDE w:val="0"/>
        <w:autoSpaceDN w:val="0"/>
        <w:snapToGrid w:val="0"/>
        <w:spacing w:line="440" w:lineRule="atLeast"/>
        <w:textAlignment w:val="bottom"/>
        <w:rPr>
          <w:rFonts w:ascii="宋体" w:hAnsi="宋体"/>
          <w:sz w:val="28"/>
        </w:rPr>
      </w:pPr>
    </w:p>
    <w:p>
      <w:pPr>
        <w:autoSpaceDE w:val="0"/>
        <w:autoSpaceDN w:val="0"/>
        <w:snapToGrid w:val="0"/>
        <w:spacing w:line="440" w:lineRule="atLeast"/>
        <w:textAlignment w:val="bottom"/>
        <w:rPr>
          <w:rFonts w:ascii="宋体" w:hAnsi="宋体"/>
          <w:sz w:val="28"/>
        </w:rPr>
      </w:pPr>
    </w:p>
    <w:p>
      <w:pPr>
        <w:keepNext w:val="0"/>
        <w:keepLines w:val="0"/>
        <w:pageBreakBefore w:val="0"/>
        <w:widowControl w:val="0"/>
        <w:kinsoku/>
        <w:wordWrap/>
        <w:overflowPunct/>
        <w:topLinePunct w:val="0"/>
        <w:autoSpaceDE w:val="0"/>
        <w:autoSpaceDN w:val="0"/>
        <w:bidi w:val="0"/>
        <w:adjustRightInd/>
        <w:snapToGrid w:val="0"/>
        <w:spacing w:line="720" w:lineRule="auto"/>
        <w:ind w:firstLine="325" w:firstLineChars="148"/>
        <w:textAlignment w:val="bottom"/>
        <w:rPr>
          <w:rFonts w:ascii="宋体" w:hAnsi="宋体"/>
          <w:sz w:val="22"/>
          <w:szCs w:val="22"/>
        </w:rPr>
      </w:pPr>
      <w:r>
        <w:rPr>
          <w:rFonts w:hint="eastAsia" w:ascii="宋体" w:hAnsi="宋体"/>
          <w:sz w:val="22"/>
          <w:szCs w:val="22"/>
        </w:rPr>
        <w:t>第一部分、投标须知及前附表</w:t>
      </w:r>
    </w:p>
    <w:p>
      <w:pPr>
        <w:keepNext w:val="0"/>
        <w:keepLines w:val="0"/>
        <w:pageBreakBefore w:val="0"/>
        <w:widowControl w:val="0"/>
        <w:kinsoku/>
        <w:wordWrap/>
        <w:overflowPunct/>
        <w:topLinePunct w:val="0"/>
        <w:autoSpaceDE w:val="0"/>
        <w:autoSpaceDN w:val="0"/>
        <w:bidi w:val="0"/>
        <w:adjustRightInd/>
        <w:snapToGrid w:val="0"/>
        <w:spacing w:line="720" w:lineRule="auto"/>
        <w:textAlignment w:val="bottom"/>
        <w:rPr>
          <w:rFonts w:ascii="宋体" w:hAnsi="宋体"/>
          <w:sz w:val="22"/>
          <w:szCs w:val="22"/>
        </w:rPr>
      </w:pPr>
      <w:r>
        <w:rPr>
          <w:rFonts w:hint="eastAsia" w:ascii="宋体" w:hAnsi="宋体"/>
          <w:sz w:val="22"/>
          <w:szCs w:val="22"/>
        </w:rPr>
        <w:t xml:space="preserve">   第二部分、招标内容及技术要求</w:t>
      </w:r>
    </w:p>
    <w:p>
      <w:pPr>
        <w:keepNext w:val="0"/>
        <w:keepLines w:val="0"/>
        <w:pageBreakBefore w:val="0"/>
        <w:widowControl w:val="0"/>
        <w:kinsoku/>
        <w:wordWrap/>
        <w:overflowPunct/>
        <w:topLinePunct w:val="0"/>
        <w:autoSpaceDE w:val="0"/>
        <w:autoSpaceDN w:val="0"/>
        <w:bidi w:val="0"/>
        <w:adjustRightInd/>
        <w:snapToGrid w:val="0"/>
        <w:spacing w:line="720" w:lineRule="auto"/>
        <w:textAlignment w:val="bottom"/>
        <w:rPr>
          <w:rFonts w:ascii="宋体" w:hAnsi="宋体"/>
          <w:sz w:val="22"/>
          <w:szCs w:val="22"/>
        </w:rPr>
      </w:pPr>
      <w:r>
        <w:rPr>
          <w:rFonts w:hint="eastAsia" w:ascii="宋体" w:hAnsi="宋体"/>
          <w:sz w:val="22"/>
          <w:szCs w:val="22"/>
        </w:rPr>
        <w:t xml:space="preserve">   第三部分、</w:t>
      </w:r>
      <w:r>
        <w:rPr>
          <w:rFonts w:ascii="宋体" w:hAnsi="宋体"/>
          <w:b/>
          <w:sz w:val="22"/>
          <w:szCs w:val="22"/>
        </w:rPr>
        <w:t>评审办法及评分标准</w:t>
      </w:r>
    </w:p>
    <w:p>
      <w:pPr>
        <w:keepNext w:val="0"/>
        <w:keepLines w:val="0"/>
        <w:pageBreakBefore w:val="0"/>
        <w:widowControl w:val="0"/>
        <w:tabs>
          <w:tab w:val="left" w:pos="560"/>
        </w:tabs>
        <w:kinsoku/>
        <w:wordWrap/>
        <w:overflowPunct/>
        <w:topLinePunct w:val="0"/>
        <w:autoSpaceDE w:val="0"/>
        <w:autoSpaceDN w:val="0"/>
        <w:bidi w:val="0"/>
        <w:adjustRightInd/>
        <w:snapToGrid w:val="0"/>
        <w:spacing w:line="720" w:lineRule="auto"/>
        <w:ind w:firstLine="330" w:firstLineChars="150"/>
        <w:textAlignment w:val="bottom"/>
        <w:rPr>
          <w:rFonts w:ascii="宋体" w:hAnsi="宋体"/>
          <w:sz w:val="22"/>
          <w:szCs w:val="22"/>
        </w:rPr>
      </w:pPr>
      <w:r>
        <w:rPr>
          <w:rFonts w:hint="eastAsia" w:ascii="宋体" w:hAnsi="宋体"/>
          <w:sz w:val="22"/>
          <w:szCs w:val="22"/>
        </w:rPr>
        <w:t>第四部分、合同格式（参考）</w:t>
      </w:r>
    </w:p>
    <w:p>
      <w:pPr>
        <w:keepNext w:val="0"/>
        <w:keepLines w:val="0"/>
        <w:pageBreakBefore w:val="0"/>
        <w:widowControl w:val="0"/>
        <w:tabs>
          <w:tab w:val="left" w:pos="560"/>
        </w:tabs>
        <w:kinsoku/>
        <w:wordWrap/>
        <w:overflowPunct/>
        <w:topLinePunct w:val="0"/>
        <w:autoSpaceDE w:val="0"/>
        <w:autoSpaceDN w:val="0"/>
        <w:bidi w:val="0"/>
        <w:adjustRightInd/>
        <w:snapToGrid w:val="0"/>
        <w:spacing w:line="720" w:lineRule="auto"/>
        <w:ind w:firstLine="330" w:firstLineChars="150"/>
        <w:textAlignment w:val="bottom"/>
        <w:rPr>
          <w:rFonts w:ascii="宋体" w:hAnsi="宋体"/>
          <w:sz w:val="22"/>
          <w:szCs w:val="22"/>
        </w:rPr>
      </w:pPr>
      <w:r>
        <w:rPr>
          <w:rFonts w:hint="eastAsia" w:ascii="宋体" w:hAnsi="宋体"/>
          <w:sz w:val="22"/>
          <w:szCs w:val="22"/>
        </w:rPr>
        <w:t>第五部分、</w:t>
      </w:r>
      <w:r>
        <w:rPr>
          <w:rFonts w:hint="eastAsia" w:ascii="宋体" w:hAnsi="宋体"/>
          <w:sz w:val="22"/>
          <w:szCs w:val="22"/>
          <w:lang w:eastAsia="zh-CN"/>
        </w:rPr>
        <w:t>磋商响应文件</w:t>
      </w:r>
      <w:r>
        <w:rPr>
          <w:rFonts w:hint="eastAsia" w:ascii="宋体" w:hAnsi="宋体"/>
          <w:sz w:val="22"/>
          <w:szCs w:val="22"/>
        </w:rPr>
        <w:t>格式</w:t>
      </w:r>
    </w:p>
    <w:p>
      <w:pPr>
        <w:autoSpaceDE w:val="0"/>
        <w:autoSpaceDN w:val="0"/>
        <w:snapToGrid w:val="0"/>
        <w:spacing w:line="440" w:lineRule="atLeast"/>
        <w:textAlignment w:val="bottom"/>
        <w:rPr>
          <w:rFonts w:ascii="宋体" w:hAnsi="宋体"/>
          <w:sz w:val="22"/>
          <w:szCs w:val="22"/>
        </w:rPr>
      </w:pPr>
    </w:p>
    <w:p>
      <w:pPr>
        <w:autoSpaceDE w:val="0"/>
        <w:autoSpaceDN w:val="0"/>
        <w:snapToGrid w:val="0"/>
        <w:spacing w:line="440" w:lineRule="atLeast"/>
        <w:textAlignment w:val="bottom"/>
        <w:rPr>
          <w:rFonts w:ascii="宋体" w:hAnsi="宋体"/>
          <w:sz w:val="22"/>
          <w:szCs w:val="22"/>
        </w:rPr>
      </w:pPr>
    </w:p>
    <w:p>
      <w:pPr>
        <w:autoSpaceDE w:val="0"/>
        <w:autoSpaceDN w:val="0"/>
        <w:snapToGrid w:val="0"/>
        <w:spacing w:line="440" w:lineRule="atLeast"/>
        <w:textAlignment w:val="bottom"/>
        <w:rPr>
          <w:rFonts w:ascii="宋体" w:hAnsi="宋体"/>
          <w:sz w:val="22"/>
          <w:szCs w:val="22"/>
        </w:rPr>
      </w:pPr>
    </w:p>
    <w:p>
      <w:pPr>
        <w:autoSpaceDE w:val="0"/>
        <w:autoSpaceDN w:val="0"/>
        <w:snapToGrid w:val="0"/>
        <w:spacing w:line="440" w:lineRule="atLeast"/>
        <w:ind w:firstLine="442" w:firstLineChars="200"/>
        <w:textAlignment w:val="bottom"/>
        <w:rPr>
          <w:rFonts w:ascii="宋体" w:hAnsi="宋体"/>
          <w:b/>
          <w:sz w:val="22"/>
          <w:szCs w:val="22"/>
          <w:u w:val="single"/>
        </w:rPr>
      </w:pPr>
      <w:r>
        <w:rPr>
          <w:rFonts w:hint="eastAsia" w:ascii="宋体" w:hAnsi="宋体"/>
          <w:b/>
          <w:sz w:val="22"/>
          <w:szCs w:val="22"/>
          <w:u w:val="single"/>
        </w:rPr>
        <w:t>注：采购文件中有的条款及要求以加粗、加下划线或符号★、▲的形式强调，这些特别强调的条款及内容有些是重要条款，供应商对重要条款的响应程度将作为评审工作的主要依据之一。</w:t>
      </w:r>
    </w:p>
    <w:p>
      <w:pPr>
        <w:autoSpaceDE w:val="0"/>
        <w:autoSpaceDN w:val="0"/>
        <w:snapToGrid w:val="0"/>
        <w:spacing w:line="440" w:lineRule="atLeast"/>
        <w:ind w:firstLine="1665"/>
        <w:textAlignment w:val="bottom"/>
        <w:rPr>
          <w:rFonts w:ascii="宋体" w:hAnsi="宋体"/>
          <w:sz w:val="22"/>
          <w:szCs w:val="22"/>
        </w:rPr>
      </w:pPr>
    </w:p>
    <w:p>
      <w:pPr>
        <w:pStyle w:val="3"/>
        <w:tabs>
          <w:tab w:val="left" w:pos="432"/>
        </w:tabs>
        <w:spacing w:before="0" w:after="0"/>
        <w:jc w:val="center"/>
        <w:rPr>
          <w:rFonts w:hint="eastAsia"/>
        </w:rPr>
      </w:pPr>
      <w:r>
        <w:rPr>
          <w:rFonts w:ascii="宋体" w:hAnsi="宋体"/>
          <w:b/>
          <w:sz w:val="36"/>
        </w:rPr>
        <w:br w:type="page"/>
      </w:r>
      <w:bookmarkStart w:id="4" w:name="_Toc7239"/>
      <w:r>
        <w:rPr>
          <w:rFonts w:hint="eastAsia" w:ascii="宋体" w:hAnsi="宋体" w:eastAsia="宋体" w:cs="宋体"/>
          <w:b/>
          <w:bCs/>
          <w:spacing w:val="0"/>
          <w:szCs w:val="22"/>
        </w:rPr>
        <w:t>投 标 通 知 (邀 请) 书</w:t>
      </w:r>
      <w:bookmarkEnd w:id="4"/>
    </w:p>
    <w:p>
      <w:pPr>
        <w:spacing w:line="440" w:lineRule="exact"/>
        <w:ind w:firstLine="440" w:firstLineChars="200"/>
        <w:rPr>
          <w:rFonts w:hint="eastAsia" w:ascii="宋体" w:hAnsi="宋体" w:cs="宋体"/>
          <w:kern w:val="0"/>
          <w:sz w:val="22"/>
          <w:szCs w:val="22"/>
        </w:rPr>
      </w:pPr>
      <w:r>
        <w:rPr>
          <w:rFonts w:hint="eastAsia" w:ascii="宋体" w:hAnsi="宋体" w:cs="宋体"/>
          <w:kern w:val="0"/>
          <w:sz w:val="22"/>
          <w:lang w:eastAsia="zh-CN"/>
        </w:rPr>
        <w:t>浙江东瓯工程造价咨询有限公司</w:t>
      </w:r>
      <w:r>
        <w:rPr>
          <w:rFonts w:hint="eastAsia" w:ascii="宋体" w:hAnsi="宋体" w:cs="宋体"/>
          <w:kern w:val="0"/>
          <w:sz w:val="22"/>
          <w:szCs w:val="22"/>
        </w:rPr>
        <w:t>对</w:t>
      </w:r>
      <w:r>
        <w:rPr>
          <w:rFonts w:hint="eastAsia" w:ascii="宋体" w:hAnsi="宋体" w:cs="宋体"/>
          <w:kern w:val="0"/>
          <w:sz w:val="22"/>
          <w:lang w:eastAsia="zh-CN"/>
        </w:rPr>
        <w:t>苍南县宜山镇道路照明提升工程设计、采购及安装项目采购</w:t>
      </w:r>
      <w:r>
        <w:rPr>
          <w:rFonts w:hint="eastAsia" w:ascii="宋体" w:hAnsi="宋体" w:cs="宋体"/>
          <w:kern w:val="0"/>
          <w:sz w:val="22"/>
          <w:szCs w:val="22"/>
        </w:rPr>
        <w:t>进行竞争性磋商，特通知贵公司（企业）前来投标。并请按招标文件的要求认真准备好磋商响应文件，按时在线磋商。</w:t>
      </w:r>
    </w:p>
    <w:tbl>
      <w:tblPr>
        <w:tblStyle w:val="43"/>
        <w:tblW w:w="953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6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34" w:type="dxa"/>
            <w:tcBorders>
              <w:top w:val="double" w:color="auto" w:sz="4" w:space="0"/>
              <w:left w:val="double" w:color="auto" w:sz="4" w:space="0"/>
            </w:tcBorders>
            <w:noWrap w:val="0"/>
            <w:vAlign w:val="center"/>
          </w:tcPr>
          <w:p>
            <w:pPr>
              <w:spacing w:line="360" w:lineRule="auto"/>
              <w:jc w:val="center"/>
              <w:rPr>
                <w:rFonts w:hint="eastAsia" w:ascii="宋体" w:hAnsi="宋体" w:cs="宋体"/>
                <w:b/>
                <w:bCs/>
                <w:sz w:val="22"/>
                <w:szCs w:val="22"/>
              </w:rPr>
            </w:pPr>
            <w:r>
              <w:rPr>
                <w:rFonts w:hint="eastAsia" w:ascii="宋体" w:hAnsi="宋体" w:cs="宋体"/>
                <w:b/>
                <w:bCs/>
                <w:sz w:val="22"/>
                <w:szCs w:val="22"/>
              </w:rPr>
              <w:t>采购编号</w:t>
            </w:r>
          </w:p>
        </w:tc>
        <w:tc>
          <w:tcPr>
            <w:tcW w:w="6901" w:type="dxa"/>
            <w:tcBorders>
              <w:top w:val="double" w:color="auto" w:sz="4" w:space="0"/>
              <w:right w:val="double" w:color="auto" w:sz="4" w:space="0"/>
            </w:tcBorders>
            <w:noWrap w:val="0"/>
            <w:vAlign w:val="center"/>
          </w:tcPr>
          <w:p>
            <w:pPr>
              <w:spacing w:line="360" w:lineRule="auto"/>
              <w:rPr>
                <w:rFonts w:hint="eastAsia" w:ascii="宋体" w:hAnsi="宋体" w:eastAsia="宋体" w:cs="宋体"/>
                <w:sz w:val="22"/>
                <w:szCs w:val="22"/>
                <w:lang w:eastAsia="zh-CN"/>
              </w:rPr>
            </w:pPr>
            <w:r>
              <w:rPr>
                <w:rFonts w:hint="eastAsia" w:ascii="宋体" w:hAnsi="宋体" w:cs="宋体"/>
                <w:b/>
                <w:bCs/>
                <w:kern w:val="0"/>
                <w:sz w:val="22"/>
                <w:szCs w:val="22"/>
                <w:lang w:eastAsia="zh-CN"/>
              </w:rPr>
              <w:t>CNDL2021446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34" w:type="dxa"/>
            <w:tcBorders>
              <w:left w:val="double" w:color="auto" w:sz="4" w:space="0"/>
            </w:tcBorders>
            <w:noWrap w:val="0"/>
            <w:vAlign w:val="center"/>
          </w:tcPr>
          <w:p>
            <w:pPr>
              <w:spacing w:line="360" w:lineRule="auto"/>
              <w:jc w:val="center"/>
              <w:rPr>
                <w:rFonts w:hint="eastAsia" w:ascii="宋体" w:hAnsi="宋体" w:cs="宋体"/>
                <w:b/>
                <w:bCs/>
                <w:sz w:val="22"/>
                <w:szCs w:val="22"/>
                <w:u w:val="none" w:color="800080"/>
              </w:rPr>
            </w:pPr>
            <w:r>
              <w:rPr>
                <w:rFonts w:hint="eastAsia" w:ascii="宋体" w:hAnsi="宋体" w:cs="宋体"/>
                <w:b/>
                <w:bCs/>
                <w:sz w:val="22"/>
                <w:szCs w:val="22"/>
                <w:u w:val="none" w:color="800080"/>
              </w:rPr>
              <w:t>采购内容</w:t>
            </w:r>
          </w:p>
        </w:tc>
        <w:tc>
          <w:tcPr>
            <w:tcW w:w="6901" w:type="dxa"/>
            <w:tcBorders>
              <w:right w:val="double" w:color="auto" w:sz="4" w:space="0"/>
            </w:tcBorders>
            <w:noWrap w:val="0"/>
            <w:vAlign w:val="center"/>
          </w:tcPr>
          <w:p>
            <w:pPr>
              <w:tabs>
                <w:tab w:val="center" w:pos="3342"/>
              </w:tabs>
              <w:spacing w:line="360" w:lineRule="auto"/>
              <w:rPr>
                <w:rFonts w:hint="eastAsia" w:ascii="宋体" w:hAnsi="宋体" w:eastAsia="宋体" w:cs="宋体"/>
                <w:sz w:val="22"/>
                <w:szCs w:val="22"/>
                <w:u w:val="none" w:color="800080"/>
                <w:lang w:eastAsia="zh-CN"/>
              </w:rPr>
            </w:pPr>
            <w:r>
              <w:rPr>
                <w:rFonts w:hint="eastAsia" w:ascii="宋体" w:hAnsi="宋体" w:cs="宋体"/>
                <w:bCs/>
                <w:sz w:val="22"/>
                <w:szCs w:val="22"/>
                <w:lang w:eastAsia="zh-CN"/>
              </w:rPr>
              <w:t>苍南县宜山镇道路照明提升工程设计、采购及安装项目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34" w:type="dxa"/>
            <w:tcBorders>
              <w:left w:val="double" w:color="auto" w:sz="4" w:space="0"/>
            </w:tcBorders>
            <w:noWrap w:val="0"/>
            <w:vAlign w:val="center"/>
          </w:tcPr>
          <w:p>
            <w:pPr>
              <w:spacing w:line="360" w:lineRule="auto"/>
              <w:jc w:val="center"/>
              <w:rPr>
                <w:rFonts w:hint="eastAsia" w:ascii="宋体" w:hAnsi="宋体" w:cs="宋体"/>
                <w:b/>
                <w:bCs/>
                <w:sz w:val="22"/>
                <w:szCs w:val="22"/>
              </w:rPr>
            </w:pPr>
            <w:r>
              <w:rPr>
                <w:rFonts w:hint="eastAsia" w:ascii="宋体" w:hAnsi="宋体" w:cs="宋体"/>
                <w:b/>
                <w:bCs/>
                <w:sz w:val="22"/>
                <w:szCs w:val="22"/>
              </w:rPr>
              <w:t>资金来源</w:t>
            </w:r>
          </w:p>
        </w:tc>
        <w:tc>
          <w:tcPr>
            <w:tcW w:w="6901" w:type="dxa"/>
            <w:tcBorders>
              <w:right w:val="double" w:color="auto" w:sz="4" w:space="0"/>
            </w:tcBorders>
            <w:noWrap w:val="0"/>
            <w:vAlign w:val="center"/>
          </w:tcPr>
          <w:p>
            <w:pPr>
              <w:spacing w:line="360" w:lineRule="auto"/>
              <w:rPr>
                <w:rFonts w:hint="eastAsia" w:ascii="宋体" w:hAnsi="宋体" w:cs="宋体"/>
                <w:bCs/>
                <w:sz w:val="22"/>
                <w:szCs w:val="22"/>
              </w:rPr>
            </w:pPr>
            <w:r>
              <w:rPr>
                <w:rFonts w:hint="eastAsia" w:ascii="宋体" w:hAnsi="宋体" w:cs="宋体"/>
                <w:bCs/>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34" w:type="dxa"/>
            <w:tcBorders>
              <w:left w:val="double" w:color="auto" w:sz="4" w:space="0"/>
            </w:tcBorders>
            <w:noWrap w:val="0"/>
            <w:vAlign w:val="center"/>
          </w:tcPr>
          <w:p>
            <w:pPr>
              <w:spacing w:line="360" w:lineRule="auto"/>
              <w:jc w:val="center"/>
              <w:rPr>
                <w:rFonts w:hint="eastAsia" w:ascii="宋体" w:hAnsi="宋体" w:cs="宋体"/>
                <w:b/>
                <w:bCs/>
                <w:sz w:val="22"/>
                <w:szCs w:val="22"/>
              </w:rPr>
            </w:pPr>
            <w:r>
              <w:rPr>
                <w:rFonts w:hint="eastAsia" w:ascii="宋体" w:hAnsi="宋体" w:cs="宋体"/>
                <w:b/>
                <w:bCs/>
                <w:sz w:val="22"/>
                <w:szCs w:val="22"/>
              </w:rPr>
              <w:t>采购方式</w:t>
            </w:r>
          </w:p>
        </w:tc>
        <w:tc>
          <w:tcPr>
            <w:tcW w:w="6901" w:type="dxa"/>
            <w:tcBorders>
              <w:right w:val="double" w:color="auto" w:sz="4" w:space="0"/>
            </w:tcBorders>
            <w:noWrap w:val="0"/>
            <w:vAlign w:val="center"/>
          </w:tcPr>
          <w:p>
            <w:pPr>
              <w:spacing w:line="360" w:lineRule="auto"/>
              <w:rPr>
                <w:rFonts w:hint="eastAsia" w:ascii="宋体" w:hAnsi="宋体" w:cs="宋体"/>
                <w:bCs/>
                <w:sz w:val="22"/>
                <w:szCs w:val="22"/>
              </w:rPr>
            </w:pPr>
            <w:r>
              <w:rPr>
                <w:rFonts w:hint="eastAsia" w:ascii="宋体" w:hAnsi="宋体" w:cs="宋体"/>
                <w:sz w:val="22"/>
                <w:szCs w:val="22"/>
              </w:rPr>
              <w:t>竞争性磋商（电子交易）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34" w:type="dxa"/>
            <w:tcBorders>
              <w:left w:val="double" w:color="auto" w:sz="4" w:space="0"/>
            </w:tcBorders>
            <w:noWrap w:val="0"/>
            <w:vAlign w:val="center"/>
          </w:tcPr>
          <w:p>
            <w:pPr>
              <w:spacing w:line="360" w:lineRule="auto"/>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最高限价</w:t>
            </w:r>
          </w:p>
        </w:tc>
        <w:tc>
          <w:tcPr>
            <w:tcW w:w="6901" w:type="dxa"/>
            <w:tcBorders>
              <w:right w:val="double" w:color="auto" w:sz="4" w:space="0"/>
            </w:tcBorders>
            <w:noWrap w:val="0"/>
            <w:vAlign w:val="center"/>
          </w:tcPr>
          <w:p>
            <w:pPr>
              <w:spacing w:line="360" w:lineRule="auto"/>
              <w:rPr>
                <w:rFonts w:hint="eastAsia" w:ascii="宋体" w:hAnsi="宋体" w:cs="宋体"/>
                <w:sz w:val="22"/>
                <w:szCs w:val="22"/>
              </w:rPr>
            </w:pPr>
            <w:r>
              <w:rPr>
                <w:rFonts w:hint="eastAsia" w:ascii="宋体" w:hAnsi="宋体" w:cs="宋体"/>
                <w:b/>
                <w:bCs/>
                <w:sz w:val="22"/>
                <w:szCs w:val="22"/>
                <w:lang w:val="en-US" w:eastAsia="zh-CN"/>
              </w:rPr>
              <w:t>336万元</w:t>
            </w:r>
            <w:r>
              <w:rPr>
                <w:rFonts w:hint="eastAsia" w:ascii="宋体" w:hAnsi="宋体" w:cs="宋体"/>
                <w:b/>
                <w:bCs/>
                <w:sz w:val="22"/>
                <w:szCs w:val="22"/>
              </w:rPr>
              <w:t>（供应商报价超出</w:t>
            </w:r>
            <w:r>
              <w:rPr>
                <w:rFonts w:hint="eastAsia" w:ascii="宋体" w:hAnsi="宋体" w:cs="宋体"/>
                <w:b/>
                <w:bCs/>
                <w:sz w:val="22"/>
                <w:szCs w:val="22"/>
                <w:lang w:eastAsia="zh-CN"/>
              </w:rPr>
              <w:t>最高限价</w:t>
            </w:r>
            <w:r>
              <w:rPr>
                <w:rFonts w:hint="eastAsia" w:ascii="宋体" w:hAnsi="宋体" w:cs="宋体"/>
                <w:b/>
                <w:bCs/>
                <w:sz w:val="22"/>
                <w:szCs w:val="22"/>
              </w:rPr>
              <w:t>的，该供应商按无效</w:t>
            </w:r>
            <w:r>
              <w:rPr>
                <w:rFonts w:hint="eastAsia" w:ascii="宋体" w:hAnsi="宋体" w:cs="宋体"/>
                <w:b/>
                <w:bCs/>
                <w:sz w:val="22"/>
                <w:szCs w:val="22"/>
                <w:lang w:eastAsia="zh-CN"/>
              </w:rPr>
              <w:t>投标</w:t>
            </w:r>
            <w:r>
              <w:rPr>
                <w:rFonts w:hint="eastAsia" w:ascii="宋体" w:hAnsi="宋体" w:cs="宋体"/>
                <w:b/>
                <w:bCs/>
                <w:sz w:val="22"/>
                <w:szCs w:val="22"/>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kern w:val="2"/>
                <w:sz w:val="22"/>
                <w:szCs w:val="22"/>
                <w:lang w:val="en-US" w:eastAsia="zh-CN" w:bidi="ar-SA"/>
              </w:rPr>
            </w:pPr>
            <w:r>
              <w:rPr>
                <w:rFonts w:hint="eastAsia" w:ascii="宋体" w:hAnsi="宋体" w:cs="宋体"/>
                <w:b/>
                <w:bCs/>
                <w:sz w:val="22"/>
                <w:szCs w:val="22"/>
                <w:lang w:eastAsia="zh-CN"/>
              </w:rPr>
              <w:t>采购类型</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kern w:val="2"/>
                <w:sz w:val="22"/>
                <w:szCs w:val="22"/>
                <w:lang w:val="en-US" w:eastAsia="zh-CN" w:bidi="ar-SA"/>
              </w:rPr>
            </w:pPr>
            <w:r>
              <w:rPr>
                <w:rFonts w:hint="eastAsia" w:ascii="宋体" w:hAnsi="宋体" w:eastAsia="宋体" w:cs="宋体"/>
                <w:sz w:val="22"/>
                <w:szCs w:val="24"/>
                <w:u w:val="none"/>
              </w:rPr>
              <w:fldChar w:fldCharType="begin"/>
            </w:r>
            <w:r>
              <w:rPr>
                <w:rFonts w:hint="eastAsia" w:ascii="宋体" w:hAnsi="宋体" w:eastAsia="宋体" w:cs="宋体"/>
                <w:sz w:val="22"/>
                <w:szCs w:val="24"/>
                <w:u w:val="none"/>
              </w:rPr>
              <w:instrText xml:space="preserve"> eq \o\ac(</w:instrText>
            </w:r>
            <w:r>
              <w:rPr>
                <w:rFonts w:hint="eastAsia" w:ascii="宋体" w:hAnsi="宋体" w:eastAsia="宋体" w:cs="宋体"/>
                <w:position w:val="-4"/>
                <w:sz w:val="33"/>
                <w:szCs w:val="24"/>
                <w:u w:val="none"/>
              </w:rPr>
              <w:instrText xml:space="preserve">□</w:instrText>
            </w:r>
            <w:r>
              <w:rPr>
                <w:rFonts w:hint="eastAsia" w:ascii="宋体" w:hAnsi="宋体" w:eastAsia="宋体" w:cs="宋体"/>
                <w:position w:val="0"/>
                <w:sz w:val="22"/>
                <w:szCs w:val="24"/>
                <w:u w:val="none"/>
              </w:rPr>
              <w:instrText xml:space="preserve">)</w:instrText>
            </w:r>
            <w:r>
              <w:rPr>
                <w:rFonts w:hint="eastAsia" w:ascii="宋体" w:hAnsi="宋体" w:eastAsia="宋体" w:cs="宋体"/>
                <w:sz w:val="22"/>
                <w:szCs w:val="24"/>
                <w:u w:val="none"/>
              </w:rPr>
              <w:fldChar w:fldCharType="end"/>
            </w:r>
            <w:r>
              <w:rPr>
                <w:rFonts w:hint="eastAsia" w:ascii="宋体" w:hAnsi="宋体" w:eastAsia="宋体" w:cs="宋体"/>
                <w:sz w:val="22"/>
                <w:szCs w:val="24"/>
              </w:rPr>
              <w:t xml:space="preserve">货物类       </w:t>
            </w:r>
            <w:r>
              <w:rPr>
                <w:rFonts w:hint="eastAsia" w:ascii="宋体" w:hAnsi="宋体" w:eastAsia="宋体" w:cs="宋体"/>
                <w:b w:val="0"/>
                <w:bCs w:val="0"/>
                <w:sz w:val="22"/>
                <w:szCs w:val="24"/>
                <w:u w:val="none"/>
              </w:rPr>
              <w:fldChar w:fldCharType="begin"/>
            </w:r>
            <w:r>
              <w:rPr>
                <w:rFonts w:hint="eastAsia" w:ascii="宋体" w:hAnsi="宋体" w:eastAsia="宋体" w:cs="宋体"/>
                <w:b w:val="0"/>
                <w:bCs w:val="0"/>
                <w:sz w:val="22"/>
                <w:szCs w:val="24"/>
                <w:u w:val="none"/>
              </w:rPr>
              <w:instrText xml:space="preserve"> eq \o\ac(</w:instrText>
            </w:r>
            <w:r>
              <w:rPr>
                <w:rFonts w:hint="eastAsia" w:ascii="宋体" w:hAnsi="宋体" w:eastAsia="宋体" w:cs="宋体"/>
                <w:b w:val="0"/>
                <w:bCs w:val="0"/>
                <w:position w:val="-4"/>
                <w:sz w:val="33"/>
                <w:szCs w:val="24"/>
                <w:u w:val="none"/>
              </w:rPr>
              <w:instrText xml:space="preserve">□</w:instrText>
            </w:r>
            <w:r>
              <w:rPr>
                <w:rFonts w:hint="eastAsia" w:ascii="宋体" w:hAnsi="宋体" w:eastAsia="宋体" w:cs="宋体"/>
                <w:b w:val="0"/>
                <w:bCs w:val="0"/>
                <w:position w:val="0"/>
                <w:sz w:val="22"/>
                <w:szCs w:val="24"/>
                <w:u w:val="none"/>
              </w:rPr>
              <w:instrText xml:space="preserve">)</w:instrText>
            </w:r>
            <w:r>
              <w:rPr>
                <w:rFonts w:hint="eastAsia" w:ascii="宋体" w:hAnsi="宋体" w:eastAsia="宋体" w:cs="宋体"/>
                <w:b w:val="0"/>
                <w:bCs w:val="0"/>
                <w:sz w:val="22"/>
                <w:szCs w:val="24"/>
                <w:u w:val="none"/>
              </w:rPr>
              <w:fldChar w:fldCharType="end"/>
            </w:r>
            <w:r>
              <w:rPr>
                <w:rFonts w:hint="eastAsia" w:ascii="宋体" w:hAnsi="宋体" w:eastAsia="宋体" w:cs="宋体"/>
                <w:sz w:val="22"/>
                <w:szCs w:val="24"/>
              </w:rPr>
              <w:t xml:space="preserve">服务类        </w:t>
            </w:r>
            <w:r>
              <w:rPr>
                <w:rFonts w:hint="eastAsia" w:ascii="宋体" w:hAnsi="宋体" w:eastAsia="宋体" w:cs="宋体"/>
                <w:sz w:val="22"/>
                <w:szCs w:val="24"/>
                <w:u w:val="none"/>
              </w:rPr>
              <w:fldChar w:fldCharType="begin"/>
            </w:r>
            <w:r>
              <w:rPr>
                <w:rFonts w:hint="eastAsia" w:ascii="宋体" w:hAnsi="宋体" w:eastAsia="宋体" w:cs="宋体"/>
                <w:sz w:val="22"/>
                <w:szCs w:val="24"/>
                <w:u w:val="none"/>
              </w:rPr>
              <w:instrText xml:space="preserve"> eq \o\ac(</w:instrText>
            </w:r>
            <w:r>
              <w:rPr>
                <w:rFonts w:hint="eastAsia" w:ascii="宋体" w:hAnsi="宋体" w:eastAsia="宋体" w:cs="宋体"/>
                <w:position w:val="-4"/>
                <w:sz w:val="33"/>
                <w:szCs w:val="24"/>
                <w:u w:val="none"/>
              </w:rPr>
              <w:instrText xml:space="preserve">□</w:instrText>
            </w:r>
            <w:r>
              <w:rPr>
                <w:rFonts w:hint="eastAsia" w:ascii="宋体" w:hAnsi="宋体" w:eastAsia="宋体" w:cs="宋体"/>
                <w:position w:val="-4"/>
                <w:sz w:val="33"/>
                <w:szCs w:val="24"/>
                <w:u w:val="none"/>
                <w:lang w:eastAsia="zh-CN"/>
              </w:rPr>
              <w:instrText xml:space="preserve">,</w:instrText>
            </w:r>
            <w:r>
              <w:rPr>
                <w:rFonts w:hint="eastAsia" w:ascii="宋体" w:hAnsi="宋体" w:eastAsia="宋体" w:cs="宋体"/>
                <w:position w:val="0"/>
                <w:sz w:val="23"/>
                <w:szCs w:val="24"/>
                <w:u w:val="none"/>
                <w:lang w:eastAsia="zh-CN"/>
              </w:rPr>
              <w:instrText xml:space="preserve">√</w:instrText>
            </w:r>
            <w:r>
              <w:rPr>
                <w:rFonts w:hint="eastAsia" w:ascii="宋体" w:hAnsi="宋体" w:eastAsia="宋体" w:cs="宋体"/>
                <w:position w:val="0"/>
                <w:sz w:val="22"/>
                <w:szCs w:val="24"/>
                <w:u w:val="none"/>
              </w:rPr>
              <w:instrText xml:space="preserve">)</w:instrText>
            </w:r>
            <w:r>
              <w:rPr>
                <w:rFonts w:hint="eastAsia" w:ascii="宋体" w:hAnsi="宋体" w:eastAsia="宋体" w:cs="宋体"/>
                <w:sz w:val="22"/>
                <w:szCs w:val="24"/>
                <w:u w:val="none"/>
              </w:rPr>
              <w:fldChar w:fldCharType="end"/>
            </w:r>
            <w:r>
              <w:rPr>
                <w:rFonts w:hint="eastAsia" w:ascii="宋体" w:hAnsi="宋体" w:eastAsia="宋体" w:cs="宋体"/>
                <w:sz w:val="22"/>
                <w:szCs w:val="24"/>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kern w:val="2"/>
                <w:sz w:val="22"/>
                <w:szCs w:val="22"/>
                <w:lang w:val="en-US" w:eastAsia="zh-CN" w:bidi="ar-SA"/>
              </w:rPr>
            </w:pPr>
            <w:r>
              <w:rPr>
                <w:rFonts w:hint="eastAsia" w:ascii="宋体" w:hAnsi="宋体" w:cs="宋体"/>
                <w:b/>
                <w:bCs/>
                <w:sz w:val="22"/>
                <w:szCs w:val="22"/>
                <w:lang w:eastAsia="zh-CN"/>
              </w:rPr>
              <w:t>采购标的所属行业</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kern w:val="2"/>
                <w:sz w:val="22"/>
                <w:szCs w:val="24"/>
                <w:u w:val="single"/>
                <w:lang w:val="en-US" w:eastAsia="zh-CN" w:bidi="ar-SA"/>
              </w:rPr>
            </w:pPr>
            <w:r>
              <w:rPr>
                <w:rFonts w:hint="eastAsia" w:ascii="宋体" w:hAnsi="宋体" w:eastAsia="宋体" w:cs="宋体"/>
                <w:kern w:val="2"/>
                <w:sz w:val="22"/>
                <w:szCs w:val="24"/>
                <w:u w:val="none"/>
                <w:lang w:val="en-US" w:eastAsia="zh-CN" w:bidi="ar-SA"/>
              </w:rPr>
              <w:t>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kern w:val="2"/>
                <w:sz w:val="22"/>
                <w:szCs w:val="22"/>
                <w:lang w:val="en-US" w:eastAsia="zh-CN" w:bidi="ar-SA"/>
              </w:rPr>
            </w:pPr>
            <w:r>
              <w:rPr>
                <w:rFonts w:hint="eastAsia" w:ascii="宋体" w:hAnsi="宋体" w:cs="宋体"/>
                <w:b/>
                <w:bCs/>
                <w:sz w:val="22"/>
                <w:szCs w:val="22"/>
                <w:lang w:eastAsia="zh-CN"/>
              </w:rPr>
              <w:t>是否专门面向中小企业采购</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kern w:val="2"/>
                <w:sz w:val="22"/>
                <w:szCs w:val="24"/>
                <w:u w:val="none"/>
                <w:lang w:val="en-US" w:eastAsia="zh-CN" w:bidi="ar-SA"/>
              </w:rPr>
            </w:pPr>
            <w:r>
              <w:rPr>
                <w:rFonts w:hint="eastAsia"/>
                <w:sz w:val="22"/>
                <w:szCs w:val="22"/>
              </w:rPr>
              <w:t>非专门面向中小企业采购项目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kern w:val="2"/>
                <w:sz w:val="22"/>
                <w:szCs w:val="22"/>
                <w:lang w:val="en-US" w:eastAsia="zh-CN" w:bidi="ar-SA"/>
              </w:rPr>
            </w:pPr>
            <w:r>
              <w:rPr>
                <w:rFonts w:hint="eastAsia" w:ascii="宋体" w:hAnsi="宋体" w:cs="宋体"/>
                <w:b/>
                <w:bCs/>
                <w:sz w:val="22"/>
                <w:szCs w:val="22"/>
                <w:lang w:eastAsia="zh-CN"/>
              </w:rPr>
              <w:t>是否接受联合体投标</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宋体" w:cs="Times New Roman"/>
                <w:kern w:val="2"/>
                <w:sz w:val="21"/>
                <w:szCs w:val="24"/>
                <w:lang w:val="en-US" w:eastAsia="zh-CN" w:bidi="ar-SA"/>
              </w:rPr>
            </w:pPr>
            <w:r>
              <w:rPr>
                <w:rFonts w:hint="eastAsia" w:ascii="宋体" w:hAnsi="宋体" w:eastAsia="宋体" w:cs="宋体"/>
                <w:i w:val="0"/>
                <w:iCs w:val="0"/>
                <w:caps w:val="0"/>
                <w:color w:val="000000"/>
                <w:spacing w:val="0"/>
                <w:sz w:val="22"/>
                <w:szCs w:val="22"/>
              </w:rPr>
              <w:t>本项目</w:t>
            </w:r>
            <w:r>
              <w:rPr>
                <w:rFonts w:hint="eastAsia" w:ascii="宋体" w:hAnsi="宋体" w:cs="宋体"/>
                <w:i w:val="0"/>
                <w:iCs w:val="0"/>
                <w:caps w:val="0"/>
                <w:color w:val="000000"/>
                <w:spacing w:val="0"/>
                <w:sz w:val="22"/>
                <w:szCs w:val="22"/>
                <w:lang w:eastAsia="zh-CN"/>
              </w:rPr>
              <w:t>不接受</w:t>
            </w:r>
            <w:r>
              <w:rPr>
                <w:rFonts w:hint="eastAsia" w:ascii="宋体" w:hAnsi="宋体" w:eastAsia="宋体" w:cs="宋体"/>
                <w:i w:val="0"/>
                <w:iCs w:val="0"/>
                <w:caps w:val="0"/>
                <w:color w:val="000000"/>
                <w:spacing w:val="0"/>
                <w:sz w:val="22"/>
                <w:szCs w:val="22"/>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34" w:type="dxa"/>
            <w:tcBorders>
              <w:left w:val="double" w:color="auto" w:sz="4" w:space="0"/>
            </w:tcBorders>
            <w:noWrap w:val="0"/>
            <w:vAlign w:val="center"/>
          </w:tcPr>
          <w:p>
            <w:pPr>
              <w:spacing w:line="360" w:lineRule="auto"/>
              <w:jc w:val="center"/>
              <w:rPr>
                <w:rFonts w:hint="eastAsia" w:ascii="宋体" w:hAnsi="宋体" w:cs="宋体"/>
                <w:b/>
                <w:bCs/>
                <w:sz w:val="22"/>
                <w:szCs w:val="22"/>
              </w:rPr>
            </w:pPr>
            <w:r>
              <w:rPr>
                <w:rFonts w:hint="eastAsia" w:ascii="宋体" w:hAnsi="宋体" w:cs="宋体"/>
                <w:b/>
                <w:bCs/>
                <w:sz w:val="22"/>
                <w:szCs w:val="22"/>
              </w:rPr>
              <w:t>确定成交供应商办法</w:t>
            </w:r>
          </w:p>
        </w:tc>
        <w:tc>
          <w:tcPr>
            <w:tcW w:w="6901" w:type="dxa"/>
            <w:tcBorders>
              <w:right w:val="double" w:color="auto" w:sz="4" w:space="0"/>
            </w:tcBorders>
            <w:noWrap w:val="0"/>
            <w:vAlign w:val="center"/>
          </w:tcPr>
          <w:p>
            <w:pPr>
              <w:spacing w:line="360" w:lineRule="auto"/>
              <w:rPr>
                <w:rFonts w:hint="eastAsia" w:ascii="宋体" w:hAnsi="宋体" w:cs="宋体"/>
                <w:bCs/>
                <w:sz w:val="22"/>
                <w:szCs w:val="22"/>
              </w:rPr>
            </w:pPr>
            <w:r>
              <w:rPr>
                <w:rFonts w:hint="eastAsia" w:ascii="宋体" w:hAnsi="宋体" w:cs="宋体"/>
                <w:bCs/>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34" w:type="dxa"/>
            <w:tcBorders>
              <w:left w:val="double" w:color="auto" w:sz="4" w:space="0"/>
            </w:tcBorders>
            <w:noWrap w:val="0"/>
            <w:vAlign w:val="center"/>
          </w:tcPr>
          <w:p>
            <w:pPr>
              <w:spacing w:line="360" w:lineRule="auto"/>
              <w:jc w:val="center"/>
              <w:rPr>
                <w:rFonts w:hint="eastAsia" w:ascii="宋体" w:hAnsi="宋体" w:cs="宋体"/>
                <w:b/>
                <w:bCs/>
                <w:sz w:val="22"/>
                <w:szCs w:val="22"/>
              </w:rPr>
            </w:pPr>
            <w:r>
              <w:rPr>
                <w:rFonts w:hint="eastAsia" w:ascii="宋体" w:hAnsi="宋体" w:cs="宋体"/>
                <w:b/>
                <w:bCs/>
                <w:sz w:val="22"/>
                <w:szCs w:val="22"/>
              </w:rPr>
              <w:t>报价有效期</w:t>
            </w:r>
          </w:p>
        </w:tc>
        <w:tc>
          <w:tcPr>
            <w:tcW w:w="6901" w:type="dxa"/>
            <w:tcBorders>
              <w:right w:val="double" w:color="auto" w:sz="4" w:space="0"/>
            </w:tcBorders>
            <w:noWrap w:val="0"/>
            <w:vAlign w:val="center"/>
          </w:tcPr>
          <w:p>
            <w:pPr>
              <w:spacing w:line="360" w:lineRule="auto"/>
              <w:rPr>
                <w:rFonts w:hint="eastAsia" w:ascii="宋体" w:hAnsi="宋体" w:cs="宋体"/>
                <w:sz w:val="22"/>
                <w:szCs w:val="22"/>
              </w:rPr>
            </w:pPr>
            <w:r>
              <w:rPr>
                <w:rFonts w:hint="eastAsia" w:ascii="宋体" w:hAnsi="宋体" w:cs="宋体"/>
                <w:sz w:val="22"/>
                <w:szCs w:val="22"/>
              </w:rPr>
              <w:t>90日历天（自招标文件递交截止日起计算）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34" w:type="dxa"/>
            <w:tcBorders>
              <w:left w:val="double" w:color="auto" w:sz="4" w:space="0"/>
            </w:tcBorders>
            <w:noWrap w:val="0"/>
            <w:vAlign w:val="center"/>
          </w:tcPr>
          <w:p>
            <w:pPr>
              <w:spacing w:line="360" w:lineRule="auto"/>
              <w:jc w:val="center"/>
              <w:rPr>
                <w:rFonts w:hint="eastAsia" w:ascii="宋体" w:hAnsi="宋体" w:cs="宋体"/>
                <w:b/>
                <w:bCs/>
                <w:sz w:val="22"/>
                <w:szCs w:val="22"/>
              </w:rPr>
            </w:pPr>
            <w:r>
              <w:rPr>
                <w:rFonts w:hint="eastAsia" w:ascii="宋体" w:hAnsi="宋体" w:cs="宋体"/>
                <w:b/>
                <w:bCs/>
                <w:sz w:val="22"/>
                <w:szCs w:val="22"/>
              </w:rPr>
              <w:t>磋商响应文件递交平台与招标平台</w:t>
            </w:r>
          </w:p>
        </w:tc>
        <w:tc>
          <w:tcPr>
            <w:tcW w:w="6901" w:type="dxa"/>
            <w:tcBorders>
              <w:right w:val="double" w:color="auto" w:sz="4" w:space="0"/>
            </w:tcBorders>
            <w:noWrap w:val="0"/>
            <w:vAlign w:val="center"/>
          </w:tcPr>
          <w:p>
            <w:pPr>
              <w:spacing w:line="360" w:lineRule="auto"/>
              <w:rPr>
                <w:rFonts w:hint="eastAsia" w:ascii="宋体" w:hAnsi="宋体" w:cs="宋体"/>
                <w:sz w:val="22"/>
                <w:szCs w:val="22"/>
              </w:rPr>
            </w:pPr>
            <w:r>
              <w:rPr>
                <w:rFonts w:hint="eastAsia" w:ascii="宋体" w:hAnsi="宋体" w:cs="宋体"/>
                <w:kern w:val="0"/>
                <w:sz w:val="22"/>
                <w:szCs w:val="22"/>
              </w:rPr>
              <w:t>政采云平台（www.zcygov.cn）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noWrap w:val="0"/>
            <w:vAlign w:val="center"/>
          </w:tcPr>
          <w:p>
            <w:pPr>
              <w:spacing w:line="360" w:lineRule="auto"/>
              <w:jc w:val="center"/>
              <w:rPr>
                <w:rFonts w:hint="eastAsia" w:ascii="宋体" w:hAnsi="宋体" w:cs="宋体"/>
                <w:b/>
                <w:bCs/>
                <w:sz w:val="22"/>
                <w:szCs w:val="22"/>
              </w:rPr>
            </w:pPr>
            <w:r>
              <w:rPr>
                <w:rFonts w:hint="eastAsia" w:ascii="宋体" w:hAnsi="宋体" w:cs="宋体"/>
                <w:b/>
                <w:bCs/>
                <w:sz w:val="22"/>
                <w:szCs w:val="22"/>
              </w:rPr>
              <w:t>磋商响应文件递交截止时间与</w:t>
            </w:r>
            <w:r>
              <w:rPr>
                <w:rFonts w:hint="eastAsia" w:ascii="宋体" w:hAnsi="宋体" w:cs="宋体"/>
                <w:b/>
                <w:bCs/>
                <w:kern w:val="0"/>
                <w:sz w:val="22"/>
                <w:szCs w:val="22"/>
              </w:rPr>
              <w:t>招标</w:t>
            </w:r>
            <w:r>
              <w:rPr>
                <w:rFonts w:hint="eastAsia" w:ascii="宋体" w:hAnsi="宋体" w:cs="宋体"/>
                <w:b/>
                <w:bCs/>
                <w:sz w:val="22"/>
                <w:szCs w:val="22"/>
              </w:rPr>
              <w:t>开始时间</w:t>
            </w:r>
          </w:p>
        </w:tc>
        <w:tc>
          <w:tcPr>
            <w:tcW w:w="6901" w:type="dxa"/>
            <w:tcBorders>
              <w:right w:val="double" w:color="auto" w:sz="4" w:space="0"/>
            </w:tcBorders>
            <w:noWrap w:val="0"/>
            <w:vAlign w:val="center"/>
          </w:tcPr>
          <w:p>
            <w:pPr>
              <w:widowControl/>
              <w:snapToGrid w:val="0"/>
              <w:spacing w:line="360" w:lineRule="auto"/>
              <w:ind w:left="62" w:right="62"/>
              <w:rPr>
                <w:rFonts w:ascii="宋体" w:hAnsi="宋体" w:cs="宋体"/>
                <w:sz w:val="22"/>
                <w:szCs w:val="22"/>
              </w:rPr>
            </w:pPr>
            <w:r>
              <w:rPr>
                <w:rFonts w:hint="eastAsia" w:ascii="宋体" w:hAnsi="宋体" w:cs="宋体"/>
                <w:b/>
                <w:bCs/>
                <w:kern w:val="0"/>
                <w:sz w:val="22"/>
                <w:szCs w:val="22"/>
                <w:u w:val="single"/>
              </w:rPr>
              <w:t>202</w:t>
            </w:r>
            <w:r>
              <w:rPr>
                <w:rFonts w:hint="eastAsia" w:ascii="宋体" w:hAnsi="宋体" w:cs="宋体"/>
                <w:b/>
                <w:bCs/>
                <w:kern w:val="0"/>
                <w:sz w:val="22"/>
                <w:szCs w:val="22"/>
                <w:u w:val="single"/>
                <w:lang w:val="en-US" w:eastAsia="zh-CN"/>
              </w:rPr>
              <w:t>1</w:t>
            </w:r>
            <w:r>
              <w:rPr>
                <w:rFonts w:hint="eastAsia" w:ascii="宋体" w:hAnsi="宋体" w:cs="宋体"/>
                <w:b/>
                <w:bCs/>
                <w:kern w:val="0"/>
                <w:sz w:val="22"/>
                <w:szCs w:val="22"/>
                <w:u w:val="single"/>
              </w:rPr>
              <w:t>年</w:t>
            </w:r>
            <w:r>
              <w:rPr>
                <w:rFonts w:hint="eastAsia" w:ascii="宋体" w:hAnsi="宋体" w:cs="宋体"/>
                <w:b/>
                <w:bCs/>
                <w:kern w:val="0"/>
                <w:sz w:val="22"/>
                <w:szCs w:val="22"/>
                <w:u w:val="single"/>
                <w:lang w:val="en-US" w:eastAsia="zh-CN"/>
              </w:rPr>
              <w:t>11</w:t>
            </w:r>
            <w:r>
              <w:rPr>
                <w:rFonts w:hint="eastAsia" w:ascii="宋体" w:hAnsi="宋体" w:cs="宋体"/>
                <w:b/>
                <w:bCs/>
                <w:kern w:val="0"/>
                <w:sz w:val="22"/>
                <w:szCs w:val="22"/>
                <w:u w:val="single"/>
              </w:rPr>
              <w:t>月</w:t>
            </w:r>
            <w:r>
              <w:rPr>
                <w:rFonts w:hint="eastAsia" w:ascii="宋体" w:hAnsi="宋体" w:cs="宋体"/>
                <w:b/>
                <w:bCs/>
                <w:kern w:val="0"/>
                <w:sz w:val="22"/>
                <w:szCs w:val="22"/>
                <w:u w:val="single"/>
                <w:lang w:val="en-US" w:eastAsia="zh-CN"/>
              </w:rPr>
              <w:t>12</w:t>
            </w:r>
            <w:r>
              <w:rPr>
                <w:rFonts w:hint="eastAsia" w:ascii="宋体" w:hAnsi="宋体" w:cs="宋体"/>
                <w:b/>
                <w:bCs/>
                <w:kern w:val="0"/>
                <w:sz w:val="22"/>
                <w:szCs w:val="22"/>
                <w:u w:val="single"/>
              </w:rPr>
              <w:t>日</w:t>
            </w:r>
            <w:r>
              <w:rPr>
                <w:rFonts w:hint="eastAsia" w:ascii="宋体" w:hAnsi="宋体" w:cs="宋体"/>
                <w:b/>
                <w:bCs/>
                <w:kern w:val="0"/>
                <w:sz w:val="22"/>
                <w:szCs w:val="22"/>
                <w:u w:val="single"/>
                <w:lang w:val="en-US" w:eastAsia="zh-CN"/>
              </w:rPr>
              <w:t>9</w:t>
            </w:r>
            <w:r>
              <w:rPr>
                <w:rFonts w:hint="eastAsia" w:ascii="宋体" w:hAnsi="宋体" w:cs="宋体"/>
                <w:b/>
                <w:bCs/>
                <w:kern w:val="0"/>
                <w:sz w:val="22"/>
                <w:szCs w:val="22"/>
                <w:u w:val="single"/>
              </w:rPr>
              <w:t>时</w:t>
            </w:r>
            <w:r>
              <w:rPr>
                <w:rFonts w:hint="eastAsia" w:ascii="宋体" w:hAnsi="宋体" w:cs="宋体"/>
                <w:b/>
                <w:bCs/>
                <w:kern w:val="0"/>
                <w:sz w:val="22"/>
                <w:szCs w:val="22"/>
                <w:u w:val="single"/>
                <w:lang w:val="en-US" w:eastAsia="zh-CN"/>
              </w:rPr>
              <w:t>30</w:t>
            </w:r>
            <w:r>
              <w:rPr>
                <w:rFonts w:hint="eastAsia" w:ascii="宋体" w:hAnsi="宋体" w:cs="宋体"/>
                <w:b/>
                <w:bCs/>
                <w:kern w:val="0"/>
                <w:sz w:val="22"/>
                <w:szCs w:val="22"/>
                <w:u w:val="single"/>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noWrap w:val="0"/>
            <w:vAlign w:val="center"/>
          </w:tcPr>
          <w:p>
            <w:pPr>
              <w:spacing w:line="360" w:lineRule="auto"/>
              <w:jc w:val="center"/>
              <w:rPr>
                <w:rFonts w:hint="eastAsia" w:ascii="宋体" w:hAnsi="宋体" w:cs="宋体"/>
                <w:b/>
                <w:bCs/>
                <w:sz w:val="22"/>
                <w:szCs w:val="22"/>
              </w:rPr>
            </w:pPr>
            <w:r>
              <w:rPr>
                <w:rFonts w:hint="eastAsia" w:ascii="宋体" w:hAnsi="宋体" w:cs="宋体"/>
                <w:b/>
                <w:bCs/>
                <w:sz w:val="22"/>
                <w:szCs w:val="22"/>
                <w:lang w:eastAsia="zh-CN"/>
              </w:rPr>
              <w:t>投标</w:t>
            </w:r>
            <w:r>
              <w:rPr>
                <w:rFonts w:hint="eastAsia" w:ascii="宋体" w:hAnsi="宋体" w:cs="宋体"/>
                <w:b/>
                <w:bCs/>
                <w:sz w:val="22"/>
                <w:szCs w:val="22"/>
              </w:rPr>
              <w:t>保证金</w:t>
            </w:r>
          </w:p>
        </w:tc>
        <w:tc>
          <w:tcPr>
            <w:tcW w:w="6901" w:type="dxa"/>
            <w:tcBorders>
              <w:right w:val="double" w:color="auto" w:sz="4" w:space="0"/>
            </w:tcBorders>
            <w:noWrap w:val="0"/>
            <w:vAlign w:val="center"/>
          </w:tcPr>
          <w:p>
            <w:pPr>
              <w:adjustRightInd w:val="0"/>
              <w:snapToGrid w:val="0"/>
              <w:spacing w:line="360" w:lineRule="auto"/>
              <w:rPr>
                <w:rFonts w:hint="eastAsia" w:ascii="宋体" w:hAnsi="宋体" w:cs="宋体"/>
                <w:sz w:val="22"/>
                <w:szCs w:val="22"/>
              </w:rPr>
            </w:pPr>
            <w:r>
              <w:rPr>
                <w:rFonts w:hint="eastAsia" w:ascii="宋体" w:hAnsi="宋体" w:cs="宋体"/>
                <w:sz w:val="22"/>
                <w:szCs w:val="22"/>
              </w:rPr>
              <w:t>依据</w:t>
            </w:r>
            <w:r>
              <w:rPr>
                <w:rFonts w:hint="eastAsia" w:ascii="宋体" w:hAnsi="宋体"/>
                <w:sz w:val="22"/>
                <w:szCs w:val="22"/>
              </w:rPr>
              <w:t>《浙江省财政厅关于明确政府采购保证金管理工作的通知》浙财采监〔2019〕5号文件</w:t>
            </w:r>
            <w:r>
              <w:rPr>
                <w:rFonts w:hint="eastAsia" w:ascii="宋体" w:hAnsi="宋体" w:cs="宋体"/>
                <w:sz w:val="22"/>
                <w:szCs w:val="22"/>
              </w:rPr>
              <w:t xml:space="preserve">规定，本项目供应商无需缴纳投标保证金。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noWrap w:val="0"/>
            <w:vAlign w:val="center"/>
          </w:tcPr>
          <w:p>
            <w:pPr>
              <w:snapToGrid w:val="0"/>
              <w:spacing w:line="360" w:lineRule="auto"/>
              <w:jc w:val="center"/>
              <w:rPr>
                <w:rFonts w:hint="eastAsia" w:ascii="宋体" w:hAnsi="宋体" w:cs="宋体"/>
                <w:b/>
                <w:bCs/>
                <w:sz w:val="22"/>
                <w:szCs w:val="22"/>
              </w:rPr>
            </w:pPr>
            <w:r>
              <w:rPr>
                <w:rFonts w:hint="eastAsia" w:ascii="宋体" w:hAnsi="宋体" w:cs="宋体"/>
                <w:b/>
                <w:bCs/>
                <w:sz w:val="22"/>
                <w:szCs w:val="22"/>
                <w:lang w:bidi="ar"/>
              </w:rPr>
              <w:t>磋商响应文件的编制</w:t>
            </w:r>
          </w:p>
        </w:tc>
        <w:tc>
          <w:tcPr>
            <w:tcW w:w="6901" w:type="dxa"/>
            <w:tcBorders>
              <w:right w:val="double" w:color="auto" w:sz="4" w:space="0"/>
            </w:tcBorders>
            <w:noWrap w:val="0"/>
            <w:vAlign w:val="center"/>
          </w:tcPr>
          <w:p>
            <w:pPr>
              <w:spacing w:line="360" w:lineRule="auto"/>
              <w:rPr>
                <w:rFonts w:hint="eastAsia" w:ascii="宋体" w:hAnsi="宋体" w:cs="宋体"/>
                <w:sz w:val="22"/>
                <w:szCs w:val="22"/>
                <w:lang w:bidi="ar"/>
              </w:rPr>
            </w:pPr>
            <w:r>
              <w:rPr>
                <w:rFonts w:hint="eastAsia" w:ascii="宋体" w:hAnsi="宋体" w:cs="宋体"/>
                <w:sz w:val="22"/>
                <w:szCs w:val="22"/>
                <w:lang w:bidi="ar"/>
              </w:rPr>
              <w:t>供应商应先安装“政采云电子交易客户端”和申领“CA数字证书”，并按照本采购文件和“政采云平台”的要求，通过“政采云电子交易客户端”编制并加密磋商响应文件。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634" w:type="dxa"/>
            <w:tcBorders>
              <w:left w:val="double" w:color="auto" w:sz="4" w:space="0"/>
            </w:tcBorders>
            <w:noWrap w:val="0"/>
            <w:vAlign w:val="center"/>
          </w:tcPr>
          <w:p>
            <w:pPr>
              <w:snapToGrid w:val="0"/>
              <w:spacing w:line="360" w:lineRule="auto"/>
              <w:jc w:val="center"/>
              <w:rPr>
                <w:rFonts w:hint="eastAsia" w:ascii="宋体" w:hAnsi="宋体" w:cs="宋体"/>
                <w:b/>
                <w:bCs/>
                <w:sz w:val="22"/>
                <w:szCs w:val="22"/>
              </w:rPr>
            </w:pPr>
            <w:r>
              <w:rPr>
                <w:rFonts w:hint="eastAsia" w:ascii="宋体" w:hAnsi="宋体" w:cs="宋体"/>
                <w:b/>
                <w:bCs/>
                <w:color w:val="000000"/>
                <w:sz w:val="22"/>
              </w:rPr>
              <w:t>磋商响应文件</w:t>
            </w:r>
            <w:r>
              <w:rPr>
                <w:rFonts w:hint="eastAsia" w:ascii="宋体" w:hAnsi="宋体" w:cs="宋体"/>
                <w:b/>
                <w:bCs/>
                <w:sz w:val="22"/>
                <w:szCs w:val="22"/>
                <w:lang w:bidi="ar"/>
              </w:rPr>
              <w:t>的签章</w:t>
            </w:r>
          </w:p>
        </w:tc>
        <w:tc>
          <w:tcPr>
            <w:tcW w:w="6901" w:type="dxa"/>
            <w:tcBorders>
              <w:right w:val="double" w:color="auto" w:sz="4" w:space="0"/>
            </w:tcBorders>
            <w:noWrap w:val="0"/>
            <w:vAlign w:val="center"/>
          </w:tcPr>
          <w:p>
            <w:pPr>
              <w:spacing w:line="360" w:lineRule="auto"/>
              <w:rPr>
                <w:rFonts w:hint="eastAsia" w:ascii="宋体" w:hAnsi="宋体" w:cs="宋体"/>
                <w:sz w:val="22"/>
                <w:szCs w:val="22"/>
                <w:lang w:bidi="ar"/>
              </w:rPr>
            </w:pPr>
            <w:r>
              <w:rPr>
                <w:rFonts w:hint="eastAsia" w:ascii="宋体" w:hAnsi="宋体" w:cs="宋体"/>
                <w:b/>
                <w:bCs/>
                <w:color w:val="0000FF"/>
                <w:sz w:val="22"/>
                <w:szCs w:val="22"/>
                <w:highlight w:val="yellow"/>
                <w:lang w:bidi="ar"/>
              </w:rPr>
              <w:t>☑电子签章（招标文件里要求盖公章使用电子签章）。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8" w:hRule="atLeast"/>
        </w:trPr>
        <w:tc>
          <w:tcPr>
            <w:tcW w:w="2634" w:type="dxa"/>
            <w:tcBorders>
              <w:left w:val="double" w:color="auto" w:sz="4" w:space="0"/>
            </w:tcBorders>
            <w:noWrap w:val="0"/>
            <w:vAlign w:val="center"/>
          </w:tcPr>
          <w:p>
            <w:pPr>
              <w:snapToGrid w:val="0"/>
              <w:spacing w:line="360" w:lineRule="auto"/>
              <w:jc w:val="center"/>
              <w:rPr>
                <w:rFonts w:hint="eastAsia" w:ascii="宋体" w:hAnsi="宋体" w:cs="宋体"/>
                <w:b/>
                <w:bCs/>
                <w:sz w:val="22"/>
                <w:szCs w:val="22"/>
              </w:rPr>
            </w:pPr>
            <w:r>
              <w:rPr>
                <w:rFonts w:hint="eastAsia" w:ascii="宋体" w:hAnsi="宋体" w:cs="宋体"/>
                <w:b/>
                <w:bCs/>
                <w:sz w:val="22"/>
                <w:szCs w:val="22"/>
                <w:lang w:bidi="ar"/>
              </w:rPr>
              <w:t>磋商响应文件的形式</w:t>
            </w:r>
          </w:p>
        </w:tc>
        <w:tc>
          <w:tcPr>
            <w:tcW w:w="6901" w:type="dxa"/>
            <w:tcBorders>
              <w:right w:val="double" w:color="auto" w:sz="4" w:space="0"/>
            </w:tcBorders>
            <w:noWrap w:val="0"/>
            <w:vAlign w:val="center"/>
          </w:tcPr>
          <w:p>
            <w:pPr>
              <w:spacing w:line="360" w:lineRule="auto"/>
              <w:rPr>
                <w:rFonts w:hint="eastAsia" w:ascii="宋体" w:hAnsi="宋体" w:cs="宋体"/>
                <w:sz w:val="22"/>
                <w:szCs w:val="22"/>
                <w:lang w:bidi="ar"/>
              </w:rPr>
            </w:pPr>
            <w:r>
              <w:rPr>
                <w:rFonts w:hint="eastAsia" w:ascii="宋体" w:hAnsi="宋体" w:cs="宋体"/>
                <w:sz w:val="22"/>
                <w:szCs w:val="22"/>
                <w:lang w:bidi="ar"/>
              </w:rPr>
              <w:t>☑电子磋商响应文件（包括《电子加密磋商响应文件》和《备份磋商响应文件》，在磋商响应文件编制完成后同时生成）；</w:t>
            </w:r>
          </w:p>
          <w:p>
            <w:pPr>
              <w:spacing w:line="360" w:lineRule="auto"/>
              <w:rPr>
                <w:rFonts w:hint="eastAsia" w:ascii="宋体" w:hAnsi="宋体" w:cs="宋体"/>
                <w:sz w:val="22"/>
                <w:szCs w:val="22"/>
                <w:lang w:bidi="ar"/>
              </w:rPr>
            </w:pPr>
            <w:r>
              <w:rPr>
                <w:rFonts w:hint="eastAsia" w:ascii="宋体" w:hAnsi="宋体" w:cs="宋体"/>
                <w:sz w:val="22"/>
                <w:szCs w:val="22"/>
                <w:lang w:bidi="ar"/>
              </w:rPr>
              <w:t>（1）《电子加密磋商响应文件》是指通过“政采云电子交易客户端”完成磋商响应文件编制后生成并加密的数据电文形式的磋商响应文件。</w:t>
            </w:r>
          </w:p>
          <w:p>
            <w:pPr>
              <w:spacing w:line="360" w:lineRule="auto"/>
              <w:rPr>
                <w:rFonts w:hint="eastAsia" w:ascii="宋体" w:hAnsi="宋体" w:cs="宋体"/>
                <w:sz w:val="22"/>
                <w:szCs w:val="22"/>
                <w:lang w:bidi="ar"/>
              </w:rPr>
            </w:pPr>
            <w:r>
              <w:rPr>
                <w:rFonts w:hint="eastAsia" w:ascii="宋体" w:hAnsi="宋体" w:cs="宋体"/>
                <w:sz w:val="22"/>
                <w:szCs w:val="22"/>
                <w:lang w:bidi="ar"/>
              </w:rPr>
              <w:t>（2）《备份磋商响应文件》是指与《电子加密磋商响应文件》同时生成的数据电文形式的电子文件（备份投标文件），其他方式编制的备份磋商响应文件视为无效备份磋商响应文件。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noWrap w:val="0"/>
            <w:vAlign w:val="center"/>
          </w:tcPr>
          <w:p>
            <w:pPr>
              <w:spacing w:line="360" w:lineRule="auto"/>
              <w:jc w:val="center"/>
              <w:rPr>
                <w:rFonts w:hint="eastAsia" w:ascii="宋体" w:hAnsi="宋体" w:cs="宋体"/>
                <w:b/>
                <w:bCs/>
                <w:sz w:val="22"/>
                <w:szCs w:val="22"/>
              </w:rPr>
            </w:pPr>
            <w:r>
              <w:rPr>
                <w:rFonts w:hint="eastAsia" w:ascii="宋体" w:hAnsi="宋体" w:cs="宋体"/>
                <w:b/>
                <w:bCs/>
                <w:color w:val="000000"/>
                <w:sz w:val="22"/>
              </w:rPr>
              <w:t>磋商响应文件</w:t>
            </w:r>
            <w:r>
              <w:rPr>
                <w:rFonts w:hint="eastAsia" w:ascii="宋体" w:hAnsi="宋体" w:cs="宋体"/>
                <w:b/>
                <w:bCs/>
                <w:sz w:val="22"/>
                <w:szCs w:val="22"/>
                <w:lang w:bidi="ar"/>
              </w:rPr>
              <w:t>份数</w:t>
            </w:r>
          </w:p>
        </w:tc>
        <w:tc>
          <w:tcPr>
            <w:tcW w:w="6901" w:type="dxa"/>
            <w:tcBorders>
              <w:right w:val="double" w:color="auto" w:sz="4" w:space="0"/>
            </w:tcBorders>
            <w:noWrap w:val="0"/>
            <w:vAlign w:val="center"/>
          </w:tcPr>
          <w:p>
            <w:pPr>
              <w:spacing w:line="360" w:lineRule="auto"/>
              <w:rPr>
                <w:rFonts w:hint="eastAsia" w:ascii="宋体" w:hAnsi="宋体" w:cs="宋体"/>
                <w:sz w:val="22"/>
                <w:szCs w:val="22"/>
                <w:lang w:bidi="ar"/>
              </w:rPr>
            </w:pPr>
            <w:r>
              <w:rPr>
                <w:rFonts w:hint="eastAsia" w:ascii="宋体" w:hAnsi="宋体" w:cs="宋体"/>
                <w:sz w:val="22"/>
                <w:szCs w:val="22"/>
                <w:lang w:bidi="ar"/>
              </w:rPr>
              <w:t>（1）《电子加密磋商响应文件》：在线上传递交。</w:t>
            </w:r>
          </w:p>
          <w:p>
            <w:pPr>
              <w:spacing w:line="360" w:lineRule="auto"/>
              <w:rPr>
                <w:rFonts w:hint="eastAsia" w:ascii="宋体" w:hAnsi="宋体" w:cs="宋体"/>
                <w:sz w:val="22"/>
                <w:szCs w:val="22"/>
                <w:lang w:bidi="ar"/>
              </w:rPr>
            </w:pPr>
            <w:r>
              <w:rPr>
                <w:rFonts w:hint="eastAsia" w:ascii="宋体" w:hAnsi="宋体" w:cs="宋体"/>
                <w:sz w:val="22"/>
                <w:szCs w:val="22"/>
                <w:lang w:bidi="ar"/>
              </w:rPr>
              <w:t>（2）《备份磋商响应文件》：密封包装后（EMS邮寄形式）投标截止时间前递交或邮寄、数量一份（受件地址：</w:t>
            </w:r>
            <w:r>
              <w:rPr>
                <w:rFonts w:hint="eastAsia" w:ascii="宋体" w:hAnsi="宋体" w:cs="Times New Roman"/>
                <w:sz w:val="22"/>
                <w:szCs w:val="22"/>
                <w:lang w:eastAsia="zh-CN"/>
              </w:rPr>
              <w:t>苍南县灵溪镇上江小区13幢一单元301室</w:t>
            </w:r>
            <w:r>
              <w:rPr>
                <w:rFonts w:hint="eastAsia" w:ascii="宋体" w:hAnsi="宋体" w:cs="宋体"/>
                <w:sz w:val="22"/>
                <w:szCs w:val="22"/>
                <w:lang w:bidi="ar"/>
              </w:rPr>
              <w:t>，</w:t>
            </w:r>
            <w:r>
              <w:rPr>
                <w:rFonts w:hint="eastAsia" w:ascii="宋体" w:hAnsi="宋体" w:cs="宋体"/>
                <w:sz w:val="22"/>
                <w:szCs w:val="22"/>
                <w:lang w:eastAsia="zh-CN" w:bidi="ar"/>
              </w:rPr>
              <w:t>黄</w:t>
            </w:r>
            <w:r>
              <w:rPr>
                <w:rFonts w:hint="eastAsia" w:ascii="宋体" w:hAnsi="宋体" w:cs="宋体"/>
                <w:sz w:val="22"/>
                <w:szCs w:val="22"/>
                <w:lang w:bidi="ar"/>
              </w:rPr>
              <w:t>先生收，邮编325800，电话</w:t>
            </w:r>
            <w:r>
              <w:rPr>
                <w:rFonts w:hint="eastAsia" w:ascii="宋体" w:hAnsi="宋体" w:cs="宋体"/>
                <w:sz w:val="22"/>
                <w:szCs w:val="22"/>
                <w:lang w:val="en-US" w:eastAsia="zh-CN"/>
              </w:rPr>
              <w:t>17826823810</w:t>
            </w:r>
            <w:r>
              <w:rPr>
                <w:rFonts w:hint="eastAsia" w:ascii="宋体" w:hAnsi="宋体" w:cs="宋体"/>
                <w:sz w:val="22"/>
                <w:szCs w:val="22"/>
                <w:lang w:bidi="ar"/>
              </w:rPr>
              <w:t>）。投标供应商需自行考虑/承担邮寄运输过程中运输耗费时间及其他不可预测风险，建议在投标截止时前一天送达至代理公司,避免逾期递交。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noWrap w:val="0"/>
            <w:vAlign w:val="center"/>
          </w:tcPr>
          <w:p>
            <w:pPr>
              <w:spacing w:line="360" w:lineRule="auto"/>
              <w:jc w:val="center"/>
              <w:rPr>
                <w:rFonts w:hint="eastAsia" w:ascii="宋体" w:hAnsi="宋体" w:cs="宋体"/>
                <w:b/>
                <w:bCs/>
                <w:sz w:val="22"/>
                <w:szCs w:val="22"/>
              </w:rPr>
            </w:pPr>
            <w:r>
              <w:rPr>
                <w:rFonts w:hint="eastAsia" w:ascii="宋体" w:hAnsi="宋体" w:cs="宋体"/>
                <w:b/>
                <w:bCs/>
                <w:sz w:val="22"/>
                <w:szCs w:val="22"/>
                <w:lang w:bidi="ar"/>
              </w:rPr>
              <w:t>磋商响应文件的上传和递交</w:t>
            </w:r>
          </w:p>
        </w:tc>
        <w:tc>
          <w:tcPr>
            <w:tcW w:w="6901" w:type="dxa"/>
            <w:tcBorders>
              <w:right w:val="double" w:color="auto" w:sz="4" w:space="0"/>
            </w:tcBorders>
            <w:noWrap w:val="0"/>
            <w:vAlign w:val="center"/>
          </w:tcPr>
          <w:p>
            <w:pPr>
              <w:spacing w:line="360" w:lineRule="auto"/>
              <w:rPr>
                <w:rFonts w:hint="eastAsia" w:ascii="宋体" w:hAnsi="宋体" w:cs="宋体"/>
                <w:sz w:val="22"/>
                <w:szCs w:val="22"/>
                <w:lang w:bidi="ar"/>
              </w:rPr>
            </w:pPr>
            <w:r>
              <w:rPr>
                <w:rFonts w:hint="eastAsia" w:ascii="宋体" w:hAnsi="宋体" w:cs="宋体"/>
                <w:sz w:val="22"/>
                <w:szCs w:val="22"/>
                <w:lang w:bidi="ar"/>
              </w:rPr>
              <w:t>（1）《电子加密磋商响应文件》的上传、递交：</w:t>
            </w:r>
          </w:p>
          <w:p>
            <w:pPr>
              <w:spacing w:line="360" w:lineRule="auto"/>
              <w:rPr>
                <w:rFonts w:hint="eastAsia" w:ascii="宋体" w:hAnsi="宋体" w:cs="宋体"/>
                <w:sz w:val="22"/>
                <w:szCs w:val="22"/>
                <w:lang w:bidi="ar"/>
              </w:rPr>
            </w:pPr>
            <w:r>
              <w:rPr>
                <w:rFonts w:hint="eastAsia" w:ascii="宋体" w:hAnsi="宋体" w:cs="宋体"/>
                <w:sz w:val="22"/>
                <w:szCs w:val="22"/>
                <w:lang w:bidi="ar"/>
              </w:rPr>
              <w:t>a.投标供应商应在投标截止时间前将《电子加密</w:t>
            </w:r>
            <w:r>
              <w:rPr>
                <w:rFonts w:hint="eastAsia" w:ascii="宋体" w:hAnsi="宋体"/>
                <w:sz w:val="22"/>
                <w:szCs w:val="22"/>
                <w:lang w:eastAsia="zh-CN"/>
              </w:rPr>
              <w:t>磋商响应文件</w:t>
            </w:r>
            <w:r>
              <w:rPr>
                <w:rFonts w:hint="eastAsia" w:ascii="宋体" w:hAnsi="宋体" w:cs="宋体"/>
                <w:sz w:val="22"/>
                <w:szCs w:val="22"/>
                <w:lang w:bidi="ar"/>
              </w:rPr>
              <w:t>》成功上传递交至“政采云平台”，否则投标无效。</w:t>
            </w:r>
          </w:p>
          <w:p>
            <w:pPr>
              <w:spacing w:line="360" w:lineRule="auto"/>
              <w:rPr>
                <w:rFonts w:hint="eastAsia" w:ascii="宋体" w:hAnsi="宋体" w:cs="宋体"/>
                <w:sz w:val="22"/>
                <w:szCs w:val="22"/>
                <w:lang w:bidi="ar"/>
              </w:rPr>
            </w:pPr>
            <w:r>
              <w:rPr>
                <w:rFonts w:hint="eastAsia" w:ascii="宋体" w:hAnsi="宋体" w:cs="宋体"/>
                <w:sz w:val="22"/>
                <w:szCs w:val="22"/>
                <w:lang w:bidi="ar"/>
              </w:rPr>
              <w:t>b.《电子加密磋商响应文件》成功上传递交后，供应商可自行打印磋商响应文件接收回执。</w:t>
            </w:r>
          </w:p>
          <w:p>
            <w:pPr>
              <w:spacing w:line="360" w:lineRule="auto"/>
              <w:rPr>
                <w:rFonts w:hint="eastAsia" w:ascii="宋体" w:hAnsi="宋体" w:cs="宋体"/>
                <w:sz w:val="22"/>
                <w:szCs w:val="22"/>
                <w:lang w:bidi="ar"/>
              </w:rPr>
            </w:pPr>
            <w:r>
              <w:rPr>
                <w:rFonts w:hint="eastAsia" w:ascii="宋体" w:hAnsi="宋体" w:cs="宋体"/>
                <w:sz w:val="22"/>
                <w:szCs w:val="22"/>
                <w:lang w:bidi="ar"/>
              </w:rPr>
              <w:t>（2）《备份磋商响应文件》的密封包装、递交：</w:t>
            </w:r>
          </w:p>
          <w:p>
            <w:pPr>
              <w:spacing w:line="360" w:lineRule="auto"/>
              <w:rPr>
                <w:rFonts w:hint="eastAsia" w:ascii="宋体" w:hAnsi="宋体" w:cs="宋体"/>
                <w:sz w:val="22"/>
                <w:szCs w:val="22"/>
                <w:lang w:bidi="ar"/>
              </w:rPr>
            </w:pPr>
            <w:r>
              <w:rPr>
                <w:rFonts w:hint="eastAsia" w:ascii="宋体" w:hAnsi="宋体" w:cs="宋体"/>
                <w:sz w:val="22"/>
                <w:szCs w:val="22"/>
                <w:lang w:bidi="ar"/>
              </w:rPr>
              <w:t>a.投标供应商在“政采云平台”完成《电子加密磋商响应文件》的上传递交后，还可以人工递交或（EMS邮寄形式）在投标截止时间前递交以U盘存储的 《备份磋商响应文件》（一份）；</w:t>
            </w:r>
          </w:p>
          <w:p>
            <w:pPr>
              <w:spacing w:line="360" w:lineRule="auto"/>
              <w:rPr>
                <w:rFonts w:hint="eastAsia" w:ascii="宋体" w:hAnsi="宋体" w:cs="宋体"/>
                <w:sz w:val="22"/>
                <w:szCs w:val="22"/>
                <w:lang w:bidi="ar"/>
              </w:rPr>
            </w:pPr>
            <w:r>
              <w:rPr>
                <w:rFonts w:hint="eastAsia" w:ascii="宋体" w:hAnsi="宋体" w:cs="宋体"/>
                <w:sz w:val="22"/>
                <w:szCs w:val="22"/>
                <w:lang w:bidi="ar"/>
              </w:rPr>
              <w:t>b.《备份磋商响应文件》应当密封包装，并在包装上标注投标项目名称、投标单位名称并加盖公章。没有密封包装或者逾期邮寄送达至指定地点的《备份磋商响应文件》将不予接收；</w:t>
            </w:r>
          </w:p>
          <w:p>
            <w:pPr>
              <w:spacing w:line="360" w:lineRule="auto"/>
              <w:rPr>
                <w:rFonts w:hint="eastAsia" w:ascii="宋体" w:hAnsi="宋体" w:cs="宋体"/>
                <w:sz w:val="22"/>
                <w:szCs w:val="22"/>
                <w:lang w:bidi="ar"/>
              </w:rPr>
            </w:pPr>
            <w:r>
              <w:rPr>
                <w:rFonts w:hint="eastAsia" w:ascii="宋体" w:hAnsi="宋体" w:cs="宋体"/>
                <w:sz w:val="22"/>
                <w:szCs w:val="22"/>
                <w:lang w:bidi="ar"/>
              </w:rPr>
              <w:t>c.投标供应商可以不提供“备份磋商响应文件”。未提供“备份磋商响应文件”的投标供应商自行承担“电子加密磋商响应文件”解密失败造成的投标无效的后果。</w:t>
            </w:r>
          </w:p>
          <w:p>
            <w:pPr>
              <w:spacing w:line="360" w:lineRule="auto"/>
              <w:rPr>
                <w:rFonts w:hint="eastAsia" w:ascii="宋体" w:hAnsi="宋体" w:cs="宋体"/>
                <w:sz w:val="22"/>
                <w:szCs w:val="22"/>
                <w:lang w:bidi="ar"/>
              </w:rPr>
            </w:pPr>
            <w:r>
              <w:rPr>
                <w:rFonts w:hint="eastAsia" w:ascii="宋体" w:hAnsi="宋体" w:cs="宋体"/>
                <w:sz w:val="22"/>
                <w:szCs w:val="22"/>
                <w:lang w:bidi="ar"/>
              </w:rPr>
              <w:t>d.通过“政采云平台”成功上传递交的《电子加密磋商响应文件》已按时解密的，《备份磋商响应文件》自动失效。投标截止时间前，投标供应商仅递交了《备份磋商响应文件》而未将《电子加密磋商响应文件》成功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noWrap w:val="0"/>
            <w:vAlign w:val="center"/>
          </w:tcPr>
          <w:p>
            <w:pPr>
              <w:spacing w:line="360" w:lineRule="auto"/>
              <w:jc w:val="center"/>
              <w:rPr>
                <w:rFonts w:hint="eastAsia" w:ascii="宋体" w:hAnsi="宋体" w:cs="宋体"/>
                <w:b/>
                <w:bCs/>
                <w:sz w:val="22"/>
                <w:szCs w:val="22"/>
                <w:lang w:bidi="ar"/>
              </w:rPr>
            </w:pPr>
            <w:r>
              <w:rPr>
                <w:rFonts w:hint="eastAsia" w:ascii="宋体" w:hAnsi="宋体" w:cs="宋体"/>
                <w:b/>
                <w:bCs/>
                <w:sz w:val="22"/>
                <w:szCs w:val="22"/>
                <w:lang w:bidi="ar"/>
              </w:rPr>
              <w:t>电子加密磋商响应文件的解密和异常情况处理</w:t>
            </w:r>
          </w:p>
          <w:p>
            <w:pPr>
              <w:snapToGrid w:val="0"/>
              <w:spacing w:line="360" w:lineRule="auto"/>
              <w:jc w:val="center"/>
              <w:rPr>
                <w:rFonts w:hint="eastAsia" w:ascii="宋体" w:hAnsi="宋体" w:cs="宋体"/>
                <w:b/>
                <w:bCs/>
                <w:sz w:val="22"/>
                <w:szCs w:val="22"/>
              </w:rPr>
            </w:pPr>
          </w:p>
        </w:tc>
        <w:tc>
          <w:tcPr>
            <w:tcW w:w="6901" w:type="dxa"/>
            <w:tcBorders>
              <w:right w:val="double" w:color="auto" w:sz="4" w:space="0"/>
            </w:tcBorders>
            <w:noWrap w:val="0"/>
            <w:vAlign w:val="center"/>
          </w:tcPr>
          <w:p>
            <w:pPr>
              <w:pStyle w:val="14"/>
              <w:spacing w:line="400" w:lineRule="atLeast"/>
              <w:rPr>
                <w:rFonts w:hint="eastAsia" w:ascii="宋体" w:hAnsi="宋体" w:cs="宋体"/>
                <w:sz w:val="22"/>
                <w:szCs w:val="22"/>
                <w:lang w:bidi="ar"/>
              </w:rPr>
            </w:pPr>
            <w:r>
              <w:rPr>
                <w:rFonts w:hint="eastAsia" w:ascii="宋体" w:hAnsi="宋体" w:cs="宋体"/>
                <w:sz w:val="22"/>
                <w:szCs w:val="22"/>
                <w:lang w:bidi="ar"/>
              </w:rPr>
              <w:t>（1）开标后，采购组织机构将向各投标供应商发出《电子加密磋商响应文件》的解密通知，各投标供应商代表应当在接到解密通知后</w:t>
            </w:r>
            <w:r>
              <w:rPr>
                <w:rFonts w:hint="eastAsia" w:ascii="宋体" w:eastAsia="宋体" w:cs="Times New Roman"/>
                <w:b w:val="0"/>
                <w:sz w:val="22"/>
                <w:szCs w:val="22"/>
              </w:rPr>
              <w:t>30分钟内自行完成</w:t>
            </w:r>
            <w:r>
              <w:rPr>
                <w:rFonts w:hint="eastAsia" w:ascii="宋体" w:hAnsi="宋体" w:cs="宋体"/>
                <w:sz w:val="22"/>
                <w:szCs w:val="22"/>
                <w:lang w:bidi="ar"/>
              </w:rPr>
              <w:t>《电子加密磋商响应文件》</w:t>
            </w:r>
            <w:r>
              <w:rPr>
                <w:rFonts w:hint="eastAsia" w:ascii="宋体" w:eastAsia="宋体" w:cs="Times New Roman"/>
                <w:b w:val="0"/>
                <w:sz w:val="22"/>
                <w:szCs w:val="22"/>
              </w:rPr>
              <w:t>的在线解密。</w:t>
            </w:r>
          </w:p>
          <w:p>
            <w:pPr>
              <w:spacing w:line="360" w:lineRule="auto"/>
              <w:rPr>
                <w:rFonts w:hint="eastAsia" w:ascii="宋体" w:hAnsi="宋体" w:cs="宋体"/>
                <w:sz w:val="22"/>
                <w:szCs w:val="22"/>
                <w:lang w:bidi="ar"/>
              </w:rPr>
            </w:pPr>
            <w:r>
              <w:rPr>
                <w:rFonts w:hint="eastAsia" w:ascii="宋体" w:hAnsi="宋体" w:cs="宋体"/>
                <w:sz w:val="22"/>
                <w:szCs w:val="22"/>
                <w:lang w:bidi="ar"/>
              </w:rPr>
              <w:t>（2）通过“政采云平台”成功上传递交的《电子加密磋商响应文件》无法按时解密，投标供应商如递交了《备份磋商响应文件》的，以《备份磋商响应文件》为依据（由采购组织机构按“政采云平台”操作规范将《备份磋商响应文件》上传至《政采云平台》，上传成功后，《电子加密磋商响应文件》自动失效），否则视为磋商响应文件撤回，放弃投标。</w:t>
            </w:r>
          </w:p>
          <w:p>
            <w:pPr>
              <w:spacing w:line="360" w:lineRule="auto"/>
              <w:rPr>
                <w:rFonts w:hint="eastAsia" w:ascii="宋体" w:hAnsi="宋体" w:cs="宋体"/>
                <w:sz w:val="22"/>
                <w:szCs w:val="22"/>
                <w:lang w:bidi="ar"/>
              </w:rPr>
            </w:pPr>
            <w:r>
              <w:rPr>
                <w:rFonts w:hint="eastAsia" w:ascii="宋体" w:hAnsi="宋体" w:cs="宋体"/>
                <w:sz w:val="22"/>
                <w:szCs w:val="22"/>
                <w:lang w:bidi="ar"/>
              </w:rPr>
              <w:t>（3）投标截止时间前，投标供应商仅递交了“备份磋商响应文件”而未将电子加密磋商响应文件上传至“政采云平台”的，投标无效。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noWrap w:val="0"/>
            <w:vAlign w:val="center"/>
          </w:tcPr>
          <w:p>
            <w:pPr>
              <w:spacing w:line="360" w:lineRule="auto"/>
              <w:jc w:val="center"/>
              <w:rPr>
                <w:rFonts w:hint="eastAsia" w:ascii="宋体" w:hAnsi="宋体" w:cs="宋体"/>
                <w:b/>
                <w:bCs/>
                <w:sz w:val="22"/>
                <w:szCs w:val="22"/>
              </w:rPr>
            </w:pPr>
            <w:r>
              <w:rPr>
                <w:rFonts w:hint="eastAsia" w:ascii="宋体" w:hAnsi="宋体" w:cs="宋体"/>
                <w:b/>
                <w:bCs/>
                <w:sz w:val="22"/>
                <w:szCs w:val="22"/>
              </w:rPr>
              <w:t>质疑时间及事项</w:t>
            </w:r>
          </w:p>
        </w:tc>
        <w:tc>
          <w:tcPr>
            <w:tcW w:w="6901" w:type="dxa"/>
            <w:tcBorders>
              <w:right w:val="double" w:color="auto" w:sz="4" w:space="0"/>
            </w:tcBorders>
            <w:noWrap w:val="0"/>
            <w:vAlign w:val="center"/>
          </w:tcPr>
          <w:p>
            <w:pPr>
              <w:spacing w:line="360" w:lineRule="auto"/>
              <w:rPr>
                <w:rFonts w:hint="eastAsia" w:ascii="宋体" w:hAnsi="宋体" w:cs="宋体"/>
                <w:sz w:val="22"/>
                <w:szCs w:val="22"/>
              </w:rPr>
            </w:pPr>
            <w:r>
              <w:rPr>
                <w:rFonts w:hint="eastAsia" w:ascii="宋体" w:hAnsi="宋体" w:cs="宋体"/>
                <w:sz w:val="22"/>
                <w:szCs w:val="22"/>
              </w:rPr>
              <w:t>在采购公告质疑时间前一次性提出所有询问和质疑事项并以书面形式壹式贰份原件送达至代理机构，非法定代表人办理，需授权代理人全权负责，提交《法定代表人授权委托书原件》附后，《质疑函》范本请到“浙江政府采购网-下载专区-疑投诉模板”下载编制。逾期不递交的，视为放弃上述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noWrap w:val="0"/>
            <w:vAlign w:val="center"/>
          </w:tcPr>
          <w:p>
            <w:pPr>
              <w:spacing w:line="360" w:lineRule="auto"/>
              <w:jc w:val="center"/>
              <w:rPr>
                <w:rFonts w:hint="eastAsia" w:ascii="宋体" w:hAnsi="宋体" w:cs="宋体"/>
                <w:b/>
                <w:bCs/>
                <w:sz w:val="22"/>
                <w:szCs w:val="22"/>
              </w:rPr>
            </w:pPr>
            <w:r>
              <w:rPr>
                <w:rFonts w:hint="eastAsia" w:ascii="宋体" w:hAnsi="宋体" w:cs="宋体"/>
                <w:b/>
                <w:bCs/>
                <w:sz w:val="22"/>
                <w:szCs w:val="22"/>
              </w:rPr>
              <w:t>信用记录</w:t>
            </w:r>
          </w:p>
        </w:tc>
        <w:tc>
          <w:tcPr>
            <w:tcW w:w="6901" w:type="dxa"/>
            <w:tcBorders>
              <w:bottom w:val="single" w:color="auto" w:sz="4" w:space="0"/>
              <w:right w:val="double" w:color="auto" w:sz="4" w:space="0"/>
            </w:tcBorders>
            <w:noWrap w:val="0"/>
            <w:vAlign w:val="center"/>
          </w:tcPr>
          <w:p>
            <w:pPr>
              <w:spacing w:line="360" w:lineRule="auto"/>
              <w:rPr>
                <w:rFonts w:hint="eastAsia" w:ascii="宋体" w:hAnsi="宋体" w:cs="宋体"/>
                <w:sz w:val="22"/>
                <w:szCs w:val="22"/>
              </w:rPr>
            </w:pPr>
            <w:r>
              <w:rPr>
                <w:rFonts w:hint="eastAsia" w:ascii="宋体" w:hAnsi="宋体" w:cs="宋体"/>
                <w:sz w:val="22"/>
                <w:szCs w:val="22"/>
              </w:rPr>
              <w:t>根据《财政部关于在政府采购活动中查询及使用信用记录的通知》（财库〔2016〕125号）相关规定，采购组织机构将统一通过“信用中国”网站（www.creditchina.gov.cn）、中国政府采购网（www.ccgp.gov.cn）等渠道查询供应商信用记录，对供应商信用记录进行甄别。凡是列入失信被执行人、重大税收违法案件当事人名单、政府采购严重违法失信行为记录名单及其他不符合《中华人民共和国政府采购法》第二十二条规定条件的供应商，一律拒绝其参加本次政府采购活动。相关处理办法如下：</w:t>
            </w:r>
          </w:p>
          <w:p>
            <w:pPr>
              <w:spacing w:line="360" w:lineRule="auto"/>
              <w:rPr>
                <w:rFonts w:hint="eastAsia" w:ascii="宋体" w:hAnsi="宋体" w:cs="宋体"/>
                <w:sz w:val="22"/>
                <w:szCs w:val="22"/>
              </w:rPr>
            </w:pPr>
            <w:r>
              <w:rPr>
                <w:rFonts w:hint="eastAsia" w:ascii="宋体" w:hAnsi="宋体" w:cs="宋体"/>
                <w:sz w:val="22"/>
                <w:szCs w:val="22"/>
              </w:rPr>
              <w:t>（1）投标截止时间前发现供应商存在上述“被拒绝情形”的，拒绝其报名登记。</w:t>
            </w:r>
          </w:p>
          <w:p>
            <w:pPr>
              <w:spacing w:line="360" w:lineRule="auto"/>
              <w:rPr>
                <w:rFonts w:hint="eastAsia" w:ascii="宋体" w:hAnsi="宋体" w:cs="宋体"/>
                <w:sz w:val="22"/>
                <w:szCs w:val="22"/>
              </w:rPr>
            </w:pPr>
            <w:r>
              <w:rPr>
                <w:rFonts w:hint="eastAsia" w:ascii="宋体" w:hAnsi="宋体" w:cs="宋体"/>
                <w:sz w:val="22"/>
                <w:szCs w:val="22"/>
              </w:rPr>
              <w:t>（2）投标截止时间后、采购结果公告前发现供应商存在上述“被拒绝情形”的，对其递交的磋商响应文件作无效标处理。</w:t>
            </w:r>
          </w:p>
          <w:p>
            <w:pPr>
              <w:spacing w:line="360" w:lineRule="auto"/>
              <w:rPr>
                <w:rFonts w:hint="eastAsia" w:ascii="宋体" w:hAnsi="宋体" w:cs="宋体"/>
                <w:sz w:val="22"/>
                <w:szCs w:val="22"/>
              </w:rPr>
            </w:pPr>
            <w:r>
              <w:rPr>
                <w:rFonts w:hint="eastAsia" w:ascii="宋体" w:hAnsi="宋体" w:cs="宋体"/>
                <w:sz w:val="22"/>
                <w:szCs w:val="22"/>
              </w:rPr>
              <w:t>（3）采购结果公告后（合同签订前）发现中标单位存在上述“被拒绝情形”的，取消其中标资格。</w:t>
            </w:r>
          </w:p>
          <w:p>
            <w:pPr>
              <w:spacing w:line="360" w:lineRule="auto"/>
              <w:rPr>
                <w:rFonts w:hint="eastAsia" w:ascii="宋体" w:hAnsi="宋体" w:cs="宋体"/>
                <w:sz w:val="22"/>
                <w:szCs w:val="22"/>
              </w:rPr>
            </w:pPr>
            <w:r>
              <w:rPr>
                <w:rFonts w:hint="eastAsia" w:ascii="宋体" w:hAnsi="宋体" w:cs="宋体"/>
                <w:sz w:val="22"/>
                <w:szCs w:val="22"/>
              </w:rPr>
              <w:t>（4）“被拒绝情形”是指列入失信被执行人、重大税收违法案件当事人名单、政府采购严重违法失信行为记录名单及其他不符合《中华人民共和国政府采购法》第二十二条规定条件的情形。</w:t>
            </w:r>
          </w:p>
          <w:p>
            <w:pPr>
              <w:spacing w:line="360" w:lineRule="auto"/>
              <w:rPr>
                <w:rFonts w:hint="eastAsia" w:ascii="宋体" w:hAnsi="宋体" w:cs="宋体"/>
                <w:sz w:val="22"/>
                <w:szCs w:val="22"/>
              </w:rPr>
            </w:pPr>
            <w:r>
              <w:rPr>
                <w:rFonts w:hint="eastAsia" w:ascii="宋体" w:hAnsi="宋体" w:cs="宋体"/>
                <w:sz w:val="22"/>
                <w:szCs w:val="22"/>
              </w:rPr>
              <w:t>（5）查询工作由采购组织机构（采购人或采购代理机构）统一进行，并以统一记录的形式留存备案。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noWrap w:val="0"/>
            <w:vAlign w:val="center"/>
          </w:tcPr>
          <w:p>
            <w:pPr>
              <w:spacing w:line="360" w:lineRule="auto"/>
              <w:jc w:val="center"/>
              <w:rPr>
                <w:rFonts w:hint="eastAsia" w:ascii="宋体" w:hAnsi="宋体" w:cs="宋体"/>
                <w:b/>
                <w:bCs/>
                <w:sz w:val="22"/>
                <w:szCs w:val="22"/>
              </w:rPr>
            </w:pPr>
            <w:r>
              <w:rPr>
                <w:rFonts w:hint="eastAsia" w:ascii="宋体" w:hAnsi="宋体" w:cs="宋体"/>
                <w:b/>
                <w:bCs/>
                <w:sz w:val="22"/>
                <w:szCs w:val="22"/>
              </w:rPr>
              <w:t>合同履约管理</w:t>
            </w:r>
          </w:p>
        </w:tc>
        <w:tc>
          <w:tcPr>
            <w:tcW w:w="6901" w:type="dxa"/>
            <w:tcBorders>
              <w:bottom w:val="single" w:color="auto" w:sz="4" w:space="0"/>
              <w:right w:val="double" w:color="auto" w:sz="4" w:space="0"/>
            </w:tcBorders>
            <w:noWrap w:val="0"/>
            <w:vAlign w:val="center"/>
          </w:tcPr>
          <w:p>
            <w:pPr>
              <w:spacing w:line="360" w:lineRule="auto"/>
              <w:rPr>
                <w:rFonts w:hint="eastAsia" w:ascii="宋体" w:hAnsi="宋体" w:cs="宋体"/>
                <w:sz w:val="22"/>
                <w:szCs w:val="22"/>
              </w:rPr>
            </w:pPr>
            <w:r>
              <w:rPr>
                <w:rFonts w:hint="eastAsia" w:ascii="宋体" w:hAnsi="宋体" w:cs="宋体"/>
                <w:sz w:val="22"/>
                <w:szCs w:val="22"/>
              </w:rPr>
              <w:t>合同签订后，采购人依法加强对合同履约进行管理，并在中标单位供货、项目验收等重要关节，如实填写《合同验收报告》（表附合同条款中），并及时向同级财政部门报告验收过程中遇到的问题。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634" w:type="dxa"/>
            <w:tcBorders>
              <w:left w:val="double" w:color="auto" w:sz="4" w:space="0"/>
              <w:bottom w:val="double" w:color="auto" w:sz="4" w:space="0"/>
            </w:tcBorders>
            <w:noWrap w:val="0"/>
            <w:vAlign w:val="center"/>
          </w:tcPr>
          <w:p>
            <w:pPr>
              <w:pStyle w:val="14"/>
              <w:spacing w:before="0" w:line="360" w:lineRule="auto"/>
              <w:jc w:val="center"/>
              <w:rPr>
                <w:rFonts w:hint="eastAsia" w:ascii="宋体" w:hAnsi="宋体" w:cs="宋体"/>
                <w:b/>
                <w:bCs/>
                <w:sz w:val="22"/>
                <w:szCs w:val="22"/>
              </w:rPr>
            </w:pPr>
            <w:r>
              <w:rPr>
                <w:rFonts w:hint="eastAsia" w:ascii="宋体" w:hAnsi="宋体" w:cs="宋体"/>
                <w:b/>
                <w:bCs/>
                <w:sz w:val="22"/>
                <w:szCs w:val="22"/>
              </w:rPr>
              <w:t>备注</w:t>
            </w:r>
          </w:p>
        </w:tc>
        <w:tc>
          <w:tcPr>
            <w:tcW w:w="6901" w:type="dxa"/>
            <w:tcBorders>
              <w:bottom w:val="double" w:color="auto" w:sz="4" w:space="0"/>
              <w:right w:val="double" w:color="auto" w:sz="4" w:space="0"/>
            </w:tcBorders>
            <w:noWrap w:val="0"/>
            <w:vAlign w:val="center"/>
          </w:tcPr>
          <w:p>
            <w:pPr>
              <w:numPr>
                <w:ilvl w:val="0"/>
                <w:numId w:val="2"/>
              </w:numPr>
              <w:adjustRightInd w:val="0"/>
              <w:snapToGrid w:val="0"/>
              <w:spacing w:line="360" w:lineRule="auto"/>
              <w:rPr>
                <w:rFonts w:hint="eastAsia" w:ascii="宋体" w:hAnsi="宋体" w:cs="宋体"/>
                <w:sz w:val="22"/>
                <w:szCs w:val="22"/>
              </w:rPr>
            </w:pPr>
            <w:r>
              <w:rPr>
                <w:rFonts w:hint="eastAsia" w:ascii="宋体" w:hAnsi="宋体" w:cs="宋体"/>
                <w:sz w:val="22"/>
                <w:szCs w:val="22"/>
              </w:rPr>
              <w:t>如发现</w:t>
            </w:r>
            <w:r>
              <w:rPr>
                <w:rFonts w:hint="eastAsia" w:ascii="宋体" w:hAnsi="宋体" w:cs="宋体"/>
                <w:sz w:val="22"/>
                <w:szCs w:val="22"/>
                <w:lang w:eastAsia="zh-CN"/>
              </w:rPr>
              <w:t>采购</w:t>
            </w:r>
            <w:r>
              <w:rPr>
                <w:rFonts w:hint="eastAsia" w:ascii="宋体" w:hAnsi="宋体" w:cs="宋体"/>
                <w:sz w:val="22"/>
                <w:szCs w:val="22"/>
              </w:rPr>
              <w:t>文件及其评审办法中存在含糊不清、相互矛盾、多种含义以及歧视性不公正条款或违法违规等内容时，</w:t>
            </w:r>
            <w:r>
              <w:rPr>
                <w:rFonts w:hint="eastAsia" w:ascii="宋体" w:hAnsi="宋体" w:cs="宋体"/>
                <w:sz w:val="22"/>
                <w:szCs w:val="22"/>
                <w:u w:val="single"/>
              </w:rPr>
              <w:t>请在规定的质疑截止时间前向采购机构或采购人书面提交《询问函》或《质疑函》反映，逾期不得再对</w:t>
            </w:r>
            <w:r>
              <w:rPr>
                <w:rFonts w:hint="eastAsia" w:ascii="宋体" w:hAnsi="宋体" w:cs="宋体"/>
                <w:sz w:val="22"/>
                <w:szCs w:val="22"/>
                <w:u w:val="single"/>
                <w:lang w:eastAsia="zh-CN"/>
              </w:rPr>
              <w:t>采购</w:t>
            </w:r>
            <w:r>
              <w:rPr>
                <w:rFonts w:hint="eastAsia" w:ascii="宋体" w:hAnsi="宋体" w:cs="宋体"/>
                <w:sz w:val="22"/>
                <w:szCs w:val="22"/>
                <w:u w:val="single"/>
              </w:rPr>
              <w:t>文件的条款提出质疑</w:t>
            </w:r>
            <w:r>
              <w:rPr>
                <w:rFonts w:hint="eastAsia" w:ascii="宋体" w:hAnsi="宋体" w:cs="宋体"/>
                <w:sz w:val="22"/>
                <w:szCs w:val="22"/>
              </w:rPr>
              <w:t>。</w:t>
            </w:r>
          </w:p>
          <w:p>
            <w:pPr>
              <w:numPr>
                <w:ilvl w:val="0"/>
                <w:numId w:val="2"/>
              </w:numPr>
              <w:adjustRightInd w:val="0"/>
              <w:snapToGrid w:val="0"/>
              <w:spacing w:line="360" w:lineRule="auto"/>
              <w:rPr>
                <w:rFonts w:hint="eastAsia" w:ascii="宋体" w:hAnsi="宋体" w:cs="宋体"/>
                <w:sz w:val="22"/>
                <w:szCs w:val="22"/>
              </w:rPr>
            </w:pPr>
            <w:r>
              <w:rPr>
                <w:rFonts w:hint="eastAsia" w:ascii="宋体" w:hAnsi="宋体" w:cs="宋体"/>
                <w:sz w:val="22"/>
                <w:szCs w:val="22"/>
              </w:rPr>
              <w:t>在线投标时如遇平台操作/技术问题详询政采云客服400-881-7190。</w:t>
            </w:r>
          </w:p>
          <w:p>
            <w:pPr>
              <w:numPr>
                <w:ilvl w:val="0"/>
                <w:numId w:val="2"/>
              </w:numPr>
              <w:adjustRightInd w:val="0"/>
              <w:snapToGrid w:val="0"/>
              <w:spacing w:line="360" w:lineRule="auto"/>
              <w:rPr>
                <w:rFonts w:hint="eastAsia" w:ascii="宋体" w:hAnsi="宋体" w:cs="宋体"/>
                <w:b/>
                <w:bCs/>
                <w:color w:val="FF0000"/>
                <w:sz w:val="22"/>
                <w:szCs w:val="22"/>
              </w:rPr>
            </w:pPr>
            <w:r>
              <w:rPr>
                <w:rFonts w:hint="eastAsia" w:ascii="宋体" w:hAnsi="宋体" w:cs="宋体"/>
                <w:b/>
                <w:bCs/>
                <w:color w:val="FF0000"/>
                <w:sz w:val="22"/>
                <w:szCs w:val="22"/>
              </w:rPr>
              <w:t>投标截止时间后，供应商登录政采云平台，用“项目采购-开标评标”功能对电子磋商响应文件进行在线解密。在线解密电子磋商响应文件时间为开标时间起规定时间内，否则视为放弃投标。</w:t>
            </w:r>
          </w:p>
          <w:p>
            <w:pPr>
              <w:numPr>
                <w:ilvl w:val="0"/>
                <w:numId w:val="2"/>
              </w:numPr>
              <w:adjustRightInd w:val="0"/>
              <w:snapToGrid w:val="0"/>
              <w:spacing w:line="360" w:lineRule="auto"/>
              <w:rPr>
                <w:rFonts w:hint="eastAsia" w:ascii="宋体" w:hAnsi="宋体" w:cs="宋体"/>
                <w:b/>
                <w:bCs/>
                <w:color w:val="FF0000"/>
                <w:sz w:val="22"/>
                <w:szCs w:val="22"/>
              </w:rPr>
            </w:pPr>
            <w:r>
              <w:rPr>
                <w:rFonts w:hint="eastAsia" w:ascii="宋体" w:hAnsi="宋体" w:cs="宋体"/>
                <w:b/>
                <w:bCs/>
                <w:color w:val="FF0000"/>
                <w:sz w:val="22"/>
                <w:szCs w:val="22"/>
              </w:rPr>
              <w:t>所有开标流程，均在线上完成，请各供应商务必不要离开电脑太久，并留意手机短信。（请提前检查“政采云”内，关于“项目采购”的岗位权限是否已勾选上。如有问题，请致电400-8817190）</w:t>
            </w:r>
          </w:p>
          <w:p>
            <w:pPr>
              <w:numPr>
                <w:ilvl w:val="0"/>
                <w:numId w:val="2"/>
              </w:numPr>
              <w:adjustRightInd w:val="0"/>
              <w:snapToGrid w:val="0"/>
              <w:spacing w:line="360" w:lineRule="auto"/>
              <w:rPr>
                <w:rFonts w:hint="eastAsia" w:ascii="宋体" w:hAnsi="宋体" w:cs="宋体"/>
                <w:color w:val="FF0000"/>
                <w:sz w:val="22"/>
                <w:szCs w:val="22"/>
              </w:rPr>
            </w:pPr>
            <w:r>
              <w:rPr>
                <w:rFonts w:hint="eastAsia" w:ascii="宋体" w:hAnsi="宋体" w:cs="宋体"/>
                <w:b/>
                <w:bCs/>
                <w:color w:val="FF0000"/>
                <w:sz w:val="22"/>
                <w:szCs w:val="22"/>
              </w:rPr>
              <w:t>供应商无须到开标现场，只需自备电脑在规定时间前进行在线解密文件即可。</w:t>
            </w:r>
          </w:p>
          <w:p>
            <w:pPr>
              <w:numPr>
                <w:ilvl w:val="0"/>
                <w:numId w:val="2"/>
              </w:numPr>
              <w:adjustRightInd w:val="0"/>
              <w:snapToGrid w:val="0"/>
              <w:spacing w:line="360" w:lineRule="auto"/>
              <w:rPr>
                <w:rFonts w:hint="eastAsia" w:ascii="宋体" w:hAnsi="宋体" w:cs="宋体"/>
                <w:sz w:val="22"/>
                <w:szCs w:val="22"/>
              </w:rPr>
            </w:pPr>
            <w:r>
              <w:rPr>
                <w:rFonts w:hint="eastAsia" w:ascii="宋体" w:hAnsi="宋体" w:cs="宋体"/>
                <w:sz w:val="22"/>
                <w:szCs w:val="22"/>
              </w:rPr>
              <w:t>本</w:t>
            </w:r>
            <w:r>
              <w:rPr>
                <w:rFonts w:hint="eastAsia" w:ascii="宋体" w:hAnsi="宋体" w:cs="宋体"/>
                <w:sz w:val="22"/>
                <w:szCs w:val="22"/>
                <w:lang w:eastAsia="zh-CN"/>
              </w:rPr>
              <w:t>采购</w:t>
            </w:r>
            <w:r>
              <w:rPr>
                <w:rFonts w:hint="eastAsia" w:ascii="宋体" w:hAnsi="宋体" w:cs="宋体"/>
                <w:sz w:val="22"/>
                <w:szCs w:val="22"/>
              </w:rPr>
              <w:t>文件的解释权归采购代理机构与采购人所有。</w:t>
            </w:r>
          </w:p>
          <w:p>
            <w:pPr>
              <w:numPr>
                <w:ilvl w:val="0"/>
                <w:numId w:val="2"/>
              </w:numPr>
              <w:adjustRightInd w:val="0"/>
              <w:snapToGrid w:val="0"/>
              <w:spacing w:line="360" w:lineRule="auto"/>
              <w:rPr>
                <w:rFonts w:hint="eastAsia" w:ascii="宋体" w:hAnsi="宋体" w:cs="宋体"/>
                <w:sz w:val="22"/>
                <w:szCs w:val="22"/>
              </w:rPr>
            </w:pPr>
            <w:r>
              <w:rPr>
                <w:rFonts w:hint="eastAsia" w:ascii="宋体" w:hAnsi="宋体" w:cs="宋体"/>
                <w:b/>
                <w:bCs/>
                <w:color w:val="000000"/>
                <w:sz w:val="22"/>
                <w:szCs w:val="22"/>
              </w:rPr>
              <w:t>如遇“政采云平台”电子化开标或评审程序调整的，按调整后程序执行。</w:t>
            </w:r>
          </w:p>
        </w:tc>
      </w:tr>
    </w:tbl>
    <w:p>
      <w:pPr>
        <w:autoSpaceDE w:val="0"/>
        <w:autoSpaceDN w:val="0"/>
        <w:adjustRightInd w:val="0"/>
        <w:jc w:val="center"/>
        <w:rPr>
          <w:rStyle w:val="55"/>
          <w:rFonts w:hint="eastAsia" w:ascii="宋体" w:hAnsi="宋体" w:eastAsia="宋体" w:cs="宋体"/>
          <w:b/>
          <w:bCs/>
          <w:spacing w:val="0"/>
        </w:rPr>
      </w:pPr>
      <w:r>
        <w:rPr>
          <w:rFonts w:ascii="宋体" w:hAnsi="宋体" w:cs="宋体"/>
          <w:kern w:val="0"/>
          <w:sz w:val="42"/>
          <w:szCs w:val="42"/>
        </w:rPr>
        <w:br w:type="page"/>
      </w:r>
      <w:bookmarkStart w:id="5" w:name="_Toc21087"/>
      <w:bookmarkStart w:id="6" w:name="_Toc13835"/>
      <w:bookmarkStart w:id="7" w:name="_Toc3123"/>
      <w:r>
        <w:rPr>
          <w:rStyle w:val="55"/>
          <w:rFonts w:hint="eastAsia" w:ascii="宋体" w:hAnsi="宋体" w:eastAsia="宋体" w:cs="宋体"/>
          <w:b/>
          <w:bCs/>
          <w:spacing w:val="0"/>
        </w:rPr>
        <w:t>第一部</w:t>
      </w:r>
      <w:r>
        <w:rPr>
          <w:rStyle w:val="55"/>
          <w:rFonts w:hint="eastAsia" w:ascii="宋体" w:hAnsi="宋体" w:cs="宋体"/>
          <w:b/>
          <w:bCs/>
          <w:spacing w:val="0"/>
          <w:lang w:eastAsia="zh-CN"/>
        </w:rPr>
        <w:t>分</w:t>
      </w:r>
      <w:r>
        <w:rPr>
          <w:rStyle w:val="55"/>
          <w:rFonts w:hint="eastAsia" w:ascii="宋体" w:hAnsi="宋体" w:eastAsia="宋体" w:cs="宋体"/>
          <w:b/>
          <w:bCs/>
          <w:spacing w:val="0"/>
        </w:rPr>
        <w:t xml:space="preserve">  项目简介</w:t>
      </w:r>
    </w:p>
    <w:bookmarkEnd w:id="5"/>
    <w:bookmarkEnd w:id="6"/>
    <w:bookmarkEnd w:id="7"/>
    <w:p>
      <w:pPr>
        <w:pStyle w:val="22"/>
        <w:adjustRightInd w:val="0"/>
        <w:snapToGrid w:val="0"/>
        <w:spacing w:line="360" w:lineRule="auto"/>
        <w:ind w:firstLine="440" w:firstLineChars="200"/>
        <w:rPr>
          <w:rFonts w:hint="eastAsia" w:hAnsi="宋体" w:cs="宋体"/>
          <w:sz w:val="22"/>
          <w:szCs w:val="22"/>
        </w:rPr>
      </w:pPr>
      <w:r>
        <w:rPr>
          <w:rFonts w:hint="eastAsia" w:hAnsi="宋体" w:cs="宋体"/>
          <w:sz w:val="22"/>
          <w:szCs w:val="22"/>
        </w:rPr>
        <w:t>1、</w:t>
      </w:r>
      <w:r>
        <w:rPr>
          <w:rFonts w:hint="eastAsia" w:hAnsi="宋体" w:cs="宋体"/>
          <w:kern w:val="0"/>
          <w:sz w:val="22"/>
          <w:lang w:eastAsia="zh-CN"/>
        </w:rPr>
        <w:t>浙江东瓯工程造价咨询有限公司</w:t>
      </w:r>
      <w:r>
        <w:rPr>
          <w:rFonts w:hint="eastAsia"/>
          <w:color w:val="000000"/>
          <w:sz w:val="22"/>
          <w:szCs w:val="22"/>
        </w:rPr>
        <w:t>受</w:t>
      </w:r>
      <w:r>
        <w:rPr>
          <w:rFonts w:hint="eastAsia" w:hAnsi="宋体" w:cs="宋体"/>
          <w:kern w:val="0"/>
          <w:sz w:val="22"/>
          <w:lang w:eastAsia="zh-CN"/>
        </w:rPr>
        <w:t>苍南县宜山镇人民政府</w:t>
      </w:r>
      <w:r>
        <w:rPr>
          <w:rFonts w:hint="eastAsia"/>
          <w:bCs/>
          <w:color w:val="000000"/>
          <w:sz w:val="22"/>
          <w:szCs w:val="22"/>
        </w:rPr>
        <w:t>委托，</w:t>
      </w:r>
      <w:r>
        <w:rPr>
          <w:color w:val="000000"/>
          <w:sz w:val="22"/>
          <w:szCs w:val="22"/>
        </w:rPr>
        <w:t>以</w:t>
      </w:r>
      <w:r>
        <w:rPr>
          <w:rFonts w:hint="eastAsia"/>
          <w:color w:val="000000"/>
          <w:sz w:val="22"/>
          <w:szCs w:val="22"/>
          <w:lang w:eastAsia="zh-CN"/>
        </w:rPr>
        <w:t>竞争性磋商</w:t>
      </w:r>
      <w:r>
        <w:rPr>
          <w:color w:val="000000"/>
          <w:sz w:val="22"/>
          <w:szCs w:val="22"/>
        </w:rPr>
        <w:t>方式采购</w:t>
      </w:r>
      <w:r>
        <w:rPr>
          <w:rFonts w:hint="eastAsia"/>
          <w:color w:val="000000"/>
          <w:sz w:val="22"/>
          <w:szCs w:val="22"/>
          <w:lang w:eastAsia="zh-CN"/>
        </w:rPr>
        <w:t>苍南县宜山镇道路照明提升工程设计、采购及安装项目</w:t>
      </w:r>
      <w:r>
        <w:rPr>
          <w:rFonts w:hint="eastAsia" w:hAnsi="宋体" w:cs="宋体"/>
          <w:sz w:val="22"/>
          <w:szCs w:val="22"/>
        </w:rPr>
        <w:t>。本次招标投标供应商必须对所有内容进行投标，不允许只对其中部分内容进行投标。</w:t>
      </w:r>
    </w:p>
    <w:p>
      <w:pPr>
        <w:pStyle w:val="22"/>
        <w:adjustRightInd w:val="0"/>
        <w:snapToGrid w:val="0"/>
        <w:spacing w:line="360" w:lineRule="auto"/>
        <w:ind w:firstLine="440" w:firstLineChars="200"/>
        <w:rPr>
          <w:rFonts w:hint="eastAsia" w:hAnsi="宋体" w:cs="宋体"/>
          <w:b/>
          <w:color w:val="000000"/>
          <w:sz w:val="32"/>
          <w:szCs w:val="32"/>
        </w:rPr>
      </w:pPr>
      <w:r>
        <w:rPr>
          <w:rFonts w:hint="eastAsia" w:hAnsi="宋体" w:cs="宋体"/>
          <w:sz w:val="22"/>
          <w:szCs w:val="22"/>
        </w:rPr>
        <w:t>2、投标人应根据采购人的要求，以合理的服务流程和服务人数、优良的产品质量、优惠的价格制定详细的配送服务方案前来投标，充分显示自身的竞争实力。</w:t>
      </w:r>
    </w:p>
    <w:p>
      <w:pPr>
        <w:autoSpaceDE w:val="0"/>
        <w:autoSpaceDN w:val="0"/>
        <w:adjustRightInd w:val="0"/>
        <w:jc w:val="left"/>
        <w:rPr>
          <w:kern w:val="0"/>
          <w:sz w:val="24"/>
        </w:rPr>
      </w:pPr>
      <w:r>
        <w:rPr>
          <w:rFonts w:ascii="宋体" w:hAnsi="宋体" w:cs="宋体"/>
          <w:kern w:val="0"/>
          <w:sz w:val="28"/>
          <w:szCs w:val="28"/>
        </w:rPr>
        <w:t>一、总则</w:t>
      </w:r>
      <w:r>
        <w:rPr>
          <w:rFonts w:ascii="宋体" w:hAnsi="宋体" w:cs="宋体"/>
          <w:kern w:val="0"/>
          <w:sz w:val="42"/>
          <w:szCs w:val="42"/>
        </w:rPr>
        <w:t xml:space="preserve"> </w:t>
      </w:r>
    </w:p>
    <w:p>
      <w:pPr>
        <w:pStyle w:val="35"/>
        <w:adjustRightInd w:val="0"/>
        <w:snapToGrid w:val="0"/>
        <w:spacing w:line="460" w:lineRule="exact"/>
        <w:outlineLvl w:val="0"/>
        <w:rPr>
          <w:rFonts w:ascii="宋体" w:hAnsi="宋体" w:eastAsia="宋体"/>
          <w:b/>
          <w:color w:val="auto"/>
          <w:sz w:val="22"/>
          <w:szCs w:val="22"/>
        </w:rPr>
      </w:pPr>
      <w:r>
        <w:rPr>
          <w:rFonts w:ascii="宋体" w:hAnsi="宋体" w:eastAsia="宋体"/>
          <w:b w:val="0"/>
          <w:bCs/>
          <w:color w:val="auto"/>
          <w:sz w:val="22"/>
          <w:szCs w:val="22"/>
        </w:rPr>
        <w:t>1、实施依据及适用范围</w:t>
      </w:r>
      <w:r>
        <w:rPr>
          <w:rFonts w:ascii="宋体" w:hAnsi="宋体" w:eastAsia="宋体"/>
          <w:b/>
          <w:color w:val="auto"/>
          <w:sz w:val="22"/>
          <w:szCs w:val="22"/>
        </w:rPr>
        <w:t xml:space="preserve"> </w:t>
      </w:r>
    </w:p>
    <w:p>
      <w:pPr>
        <w:snapToGrid w:val="0"/>
        <w:spacing w:line="460" w:lineRule="exact"/>
        <w:ind w:firstLine="541" w:firstLineChars="246"/>
        <w:rPr>
          <w:rFonts w:ascii="宋体" w:hAnsi="宋体"/>
          <w:sz w:val="22"/>
          <w:szCs w:val="22"/>
        </w:rPr>
      </w:pPr>
      <w:r>
        <w:rPr>
          <w:rFonts w:ascii="宋体" w:hAnsi="宋体"/>
          <w:sz w:val="22"/>
          <w:szCs w:val="22"/>
        </w:rPr>
        <w:t>1.1实施依据：本次采购工作按照《中华人民共和国政府采购法》、《中华人民共和国政府采购法实施条例》等政府采购有关法律、法规、规章、文件的规定组织和</w:t>
      </w:r>
      <w:r>
        <w:rPr>
          <w:rFonts w:hint="eastAsia" w:ascii="宋体" w:hAnsi="宋体"/>
          <w:sz w:val="22"/>
          <w:szCs w:val="22"/>
        </w:rPr>
        <w:t>实施。</w:t>
      </w:r>
    </w:p>
    <w:p>
      <w:pPr>
        <w:snapToGrid w:val="0"/>
        <w:spacing w:line="460" w:lineRule="exact"/>
        <w:ind w:firstLine="541" w:firstLineChars="246"/>
        <w:rPr>
          <w:rFonts w:ascii="宋体" w:hAnsi="宋体"/>
          <w:sz w:val="22"/>
          <w:szCs w:val="22"/>
        </w:rPr>
      </w:pPr>
      <w:r>
        <w:rPr>
          <w:rFonts w:ascii="宋体" w:hAnsi="宋体"/>
          <w:sz w:val="22"/>
          <w:szCs w:val="22"/>
        </w:rPr>
        <w:t>1.2本《</w:t>
      </w:r>
      <w:r>
        <w:rPr>
          <w:rFonts w:hint="eastAsia" w:ascii="宋体" w:hAnsi="宋体"/>
          <w:sz w:val="22"/>
          <w:szCs w:val="22"/>
          <w:lang w:eastAsia="zh-CN"/>
        </w:rPr>
        <w:t>采购</w:t>
      </w:r>
      <w:r>
        <w:rPr>
          <w:rFonts w:ascii="宋体" w:hAnsi="宋体"/>
          <w:sz w:val="22"/>
          <w:szCs w:val="22"/>
        </w:rPr>
        <w:t>文件》适用于</w:t>
      </w:r>
      <w:r>
        <w:rPr>
          <w:rFonts w:hint="eastAsia" w:ascii="宋体" w:hAnsi="宋体"/>
          <w:sz w:val="22"/>
          <w:szCs w:val="22"/>
          <w:lang w:eastAsia="zh-CN"/>
        </w:rPr>
        <w:t>苍南县宜山镇道路照明提升工程设计、采购及安装项目</w:t>
      </w:r>
      <w:r>
        <w:rPr>
          <w:rFonts w:ascii="宋体" w:hAnsi="宋体"/>
          <w:sz w:val="22"/>
          <w:szCs w:val="22"/>
        </w:rPr>
        <w:t xml:space="preserve">的招标、评标、定标、验收、合同履约、付款等（法律、法规另有规定的，从其规定）。 </w:t>
      </w:r>
    </w:p>
    <w:p>
      <w:pPr>
        <w:snapToGrid w:val="0"/>
        <w:spacing w:line="460" w:lineRule="exact"/>
        <w:ind w:firstLine="541" w:firstLineChars="246"/>
        <w:rPr>
          <w:rFonts w:ascii="宋体" w:hAnsi="宋体" w:eastAsia="宋体" w:cs="Times New Roman"/>
          <w:b w:val="0"/>
          <w:bCs/>
          <w:color w:val="auto"/>
          <w:kern w:val="2"/>
          <w:sz w:val="22"/>
          <w:szCs w:val="22"/>
          <w:lang w:val="en-US" w:eastAsia="zh-CN" w:bidi="ar-SA"/>
        </w:rPr>
      </w:pPr>
      <w:r>
        <w:rPr>
          <w:rFonts w:ascii="宋体" w:hAnsi="宋体" w:eastAsia="宋体" w:cs="Times New Roman"/>
          <w:b w:val="0"/>
          <w:bCs/>
          <w:color w:val="auto"/>
          <w:kern w:val="2"/>
          <w:sz w:val="22"/>
          <w:szCs w:val="22"/>
          <w:lang w:val="en-US" w:eastAsia="zh-CN" w:bidi="ar-SA"/>
        </w:rPr>
        <w:t>2、定义</w:t>
      </w:r>
    </w:p>
    <w:p>
      <w:pPr>
        <w:snapToGrid w:val="0"/>
        <w:spacing w:line="460" w:lineRule="exact"/>
        <w:ind w:firstLine="541" w:firstLineChars="246"/>
        <w:rPr>
          <w:rFonts w:ascii="宋体" w:hAnsi="宋体"/>
          <w:sz w:val="22"/>
          <w:szCs w:val="22"/>
        </w:rPr>
      </w:pPr>
      <w:r>
        <w:rPr>
          <w:rFonts w:ascii="宋体" w:hAnsi="宋体"/>
          <w:sz w:val="22"/>
          <w:szCs w:val="22"/>
        </w:rPr>
        <w:t>2.1“采购人（或招标人）”系指提出本次采购的“</w:t>
      </w:r>
      <w:r>
        <w:rPr>
          <w:rFonts w:hint="eastAsia" w:ascii="宋体" w:hAnsi="宋体"/>
          <w:sz w:val="22"/>
          <w:szCs w:val="22"/>
          <w:lang w:eastAsia="zh-CN"/>
        </w:rPr>
        <w:t>苍南县宜山镇人民政府</w:t>
      </w:r>
      <w:r>
        <w:rPr>
          <w:rFonts w:ascii="宋体" w:hAnsi="宋体"/>
          <w:sz w:val="22"/>
          <w:szCs w:val="22"/>
        </w:rPr>
        <w:t xml:space="preserve">”，即政府采购合同中的“甲方”； </w:t>
      </w:r>
    </w:p>
    <w:p>
      <w:pPr>
        <w:snapToGrid w:val="0"/>
        <w:spacing w:line="460" w:lineRule="exact"/>
        <w:ind w:firstLine="541" w:firstLineChars="246"/>
        <w:rPr>
          <w:rFonts w:ascii="宋体" w:hAnsi="宋体"/>
          <w:sz w:val="22"/>
          <w:szCs w:val="22"/>
        </w:rPr>
      </w:pPr>
      <w:r>
        <w:rPr>
          <w:rFonts w:ascii="宋体" w:hAnsi="宋体"/>
          <w:sz w:val="22"/>
          <w:szCs w:val="22"/>
        </w:rPr>
        <w:t>2.2“采购代理机构（或招标代理机构）”系指受本次项目采购人委托，在委托事项范围内办理本次政府采购事宜的“</w:t>
      </w:r>
      <w:r>
        <w:rPr>
          <w:rFonts w:hint="eastAsia" w:ascii="宋体" w:hAnsi="宋体"/>
          <w:sz w:val="22"/>
          <w:szCs w:val="22"/>
          <w:lang w:eastAsia="zh-CN"/>
        </w:rPr>
        <w:t>浙江东瓯工程造价咨询有限公司</w:t>
      </w:r>
      <w:r>
        <w:rPr>
          <w:rFonts w:ascii="宋体" w:hAnsi="宋体"/>
          <w:sz w:val="22"/>
          <w:szCs w:val="22"/>
        </w:rPr>
        <w:t xml:space="preserve">”，即政府采购合同中的“鉴证方”； </w:t>
      </w:r>
    </w:p>
    <w:p>
      <w:pPr>
        <w:snapToGrid w:val="0"/>
        <w:spacing w:line="460" w:lineRule="exact"/>
        <w:ind w:firstLine="541" w:firstLineChars="246"/>
        <w:rPr>
          <w:rFonts w:ascii="宋体" w:hAnsi="宋体"/>
          <w:sz w:val="22"/>
          <w:szCs w:val="22"/>
        </w:rPr>
      </w:pPr>
      <w:r>
        <w:rPr>
          <w:rFonts w:ascii="宋体" w:hAnsi="宋体"/>
          <w:sz w:val="22"/>
          <w:szCs w:val="22"/>
        </w:rPr>
        <w:t>2.3“采购组织机构”系“采购人”与“采购代理机构”的合称。</w:t>
      </w:r>
    </w:p>
    <w:p>
      <w:pPr>
        <w:snapToGrid w:val="0"/>
        <w:spacing w:line="460" w:lineRule="exact"/>
        <w:ind w:firstLine="541" w:firstLineChars="246"/>
        <w:rPr>
          <w:rFonts w:ascii="宋体" w:hAnsi="宋体"/>
          <w:sz w:val="22"/>
          <w:szCs w:val="22"/>
        </w:rPr>
      </w:pPr>
      <w:r>
        <w:rPr>
          <w:rFonts w:ascii="宋体" w:hAnsi="宋体"/>
          <w:sz w:val="22"/>
          <w:szCs w:val="22"/>
        </w:rPr>
        <w:t>2.4“投标供应商”系指在规定的时间和地点向采购人提交</w:t>
      </w:r>
      <w:r>
        <w:rPr>
          <w:rFonts w:hint="eastAsia" w:ascii="宋体" w:hAnsi="宋体"/>
          <w:sz w:val="22"/>
          <w:szCs w:val="22"/>
        </w:rPr>
        <w:t>磋商响应文件</w:t>
      </w:r>
      <w:r>
        <w:rPr>
          <w:rFonts w:ascii="宋体" w:hAnsi="宋体"/>
          <w:sz w:val="22"/>
          <w:szCs w:val="22"/>
        </w:rPr>
        <w:t>的供应商。</w:t>
      </w:r>
    </w:p>
    <w:p>
      <w:pPr>
        <w:snapToGrid w:val="0"/>
        <w:spacing w:line="460" w:lineRule="exact"/>
        <w:ind w:firstLine="541" w:firstLineChars="246"/>
        <w:rPr>
          <w:rFonts w:ascii="宋体" w:hAnsi="宋体"/>
          <w:sz w:val="22"/>
          <w:szCs w:val="22"/>
        </w:rPr>
      </w:pPr>
      <w:r>
        <w:rPr>
          <w:rFonts w:ascii="宋体" w:hAnsi="宋体"/>
          <w:sz w:val="22"/>
          <w:szCs w:val="22"/>
        </w:rPr>
        <w:t xml:space="preserve">2.5“投标供应商代表”是指参加本项目投标活动的投标供应商的法定代表人或法定代表人授权代表。 </w:t>
      </w:r>
    </w:p>
    <w:p>
      <w:pPr>
        <w:snapToGrid w:val="0"/>
        <w:spacing w:line="460" w:lineRule="exact"/>
        <w:ind w:firstLine="541" w:firstLineChars="246"/>
        <w:rPr>
          <w:rFonts w:ascii="宋体" w:hAnsi="宋体"/>
          <w:sz w:val="22"/>
          <w:szCs w:val="22"/>
        </w:rPr>
      </w:pPr>
      <w:r>
        <w:rPr>
          <w:rFonts w:ascii="宋体" w:hAnsi="宋体"/>
          <w:sz w:val="22"/>
          <w:szCs w:val="22"/>
        </w:rPr>
        <w:t xml:space="preserve">2.6“中标（成交）供应商”系指经评审小组推荐并经采购人确认的中标成交单位，即政府采购合同中的“乙方”； </w:t>
      </w:r>
    </w:p>
    <w:p>
      <w:pPr>
        <w:snapToGrid w:val="0"/>
        <w:spacing w:line="460" w:lineRule="exact"/>
        <w:ind w:firstLine="541" w:firstLineChars="246"/>
        <w:rPr>
          <w:rFonts w:ascii="宋体" w:hAnsi="宋体"/>
          <w:sz w:val="22"/>
          <w:szCs w:val="22"/>
        </w:rPr>
      </w:pPr>
      <w:r>
        <w:rPr>
          <w:rFonts w:ascii="宋体" w:hAnsi="宋体"/>
          <w:sz w:val="22"/>
          <w:szCs w:val="22"/>
        </w:rPr>
        <w:t>2.7“项目”系指投标供应商按《</w:t>
      </w:r>
      <w:r>
        <w:rPr>
          <w:rFonts w:hint="eastAsia" w:ascii="宋体" w:hAnsi="宋体"/>
          <w:sz w:val="22"/>
          <w:szCs w:val="22"/>
          <w:lang w:eastAsia="zh-CN"/>
        </w:rPr>
        <w:t>采购</w:t>
      </w:r>
      <w:r>
        <w:rPr>
          <w:rFonts w:ascii="宋体" w:hAnsi="宋体"/>
          <w:sz w:val="22"/>
          <w:szCs w:val="22"/>
        </w:rPr>
        <w:t xml:space="preserve">文件》规定向采购人提供的货物或服务或工程。 </w:t>
      </w:r>
    </w:p>
    <w:p>
      <w:pPr>
        <w:snapToGrid w:val="0"/>
        <w:spacing w:line="460" w:lineRule="exact"/>
        <w:ind w:firstLine="541" w:firstLineChars="246"/>
        <w:rPr>
          <w:rFonts w:ascii="宋体" w:hAnsi="宋体"/>
          <w:sz w:val="22"/>
          <w:szCs w:val="22"/>
        </w:rPr>
      </w:pPr>
      <w:r>
        <w:rPr>
          <w:rFonts w:ascii="宋体" w:hAnsi="宋体"/>
          <w:sz w:val="22"/>
          <w:szCs w:val="22"/>
        </w:rPr>
        <w:t>2.8“书面形式”系指加盖有单位公章的信函、传真、电子扫描件等。</w:t>
      </w:r>
    </w:p>
    <w:p>
      <w:pPr>
        <w:snapToGrid w:val="0"/>
        <w:spacing w:line="460" w:lineRule="exact"/>
        <w:ind w:firstLine="541" w:firstLineChars="246"/>
        <w:rPr>
          <w:rFonts w:ascii="宋体" w:hAnsi="宋体"/>
          <w:sz w:val="22"/>
          <w:szCs w:val="22"/>
        </w:rPr>
      </w:pPr>
      <w:r>
        <w:rPr>
          <w:rFonts w:ascii="宋体" w:hAnsi="宋体"/>
          <w:sz w:val="22"/>
          <w:szCs w:val="22"/>
        </w:rPr>
        <w:t>2.9“个人有效身份证明”系指公安部门出具的“有效居民身份证”或“护照”或“驾驶证”。</w:t>
      </w:r>
    </w:p>
    <w:p>
      <w:pPr>
        <w:snapToGrid w:val="0"/>
        <w:spacing w:line="460" w:lineRule="exact"/>
        <w:ind w:firstLine="541" w:firstLineChars="246"/>
        <w:rPr>
          <w:rFonts w:ascii="宋体" w:hAnsi="宋体"/>
          <w:sz w:val="22"/>
          <w:szCs w:val="22"/>
        </w:rPr>
      </w:pPr>
      <w:r>
        <w:rPr>
          <w:rFonts w:ascii="宋体" w:hAnsi="宋体"/>
          <w:sz w:val="22"/>
          <w:szCs w:val="22"/>
        </w:rPr>
        <w:t xml:space="preserve">2.10“制造商”系指拥有投标产品自主知识产权的单位。 </w:t>
      </w:r>
    </w:p>
    <w:p>
      <w:pPr>
        <w:snapToGrid w:val="0"/>
        <w:spacing w:line="460" w:lineRule="exact"/>
        <w:ind w:firstLine="541" w:firstLineChars="246"/>
        <w:rPr>
          <w:rFonts w:ascii="宋体" w:hAnsi="宋体"/>
          <w:sz w:val="22"/>
          <w:szCs w:val="22"/>
        </w:rPr>
      </w:pPr>
      <w:r>
        <w:rPr>
          <w:rFonts w:ascii="宋体" w:hAnsi="宋体"/>
          <w:sz w:val="22"/>
          <w:szCs w:val="22"/>
        </w:rPr>
        <w:t>2.11“采购文件（或招标文件）”系指本文件。</w:t>
      </w:r>
    </w:p>
    <w:p>
      <w:pPr>
        <w:snapToGrid w:val="0"/>
        <w:spacing w:line="460" w:lineRule="exact"/>
        <w:ind w:firstLine="541" w:firstLineChars="246"/>
        <w:rPr>
          <w:rFonts w:ascii="宋体" w:hAnsi="宋体"/>
          <w:sz w:val="22"/>
          <w:szCs w:val="22"/>
        </w:rPr>
      </w:pPr>
      <w:r>
        <w:rPr>
          <w:rFonts w:ascii="宋体" w:hAnsi="宋体"/>
          <w:sz w:val="22"/>
          <w:szCs w:val="22"/>
        </w:rPr>
        <w:t>2.12“进口产品”系指通过中国海关报关验放进入中国境内且产自关境外的产品。</w:t>
      </w:r>
    </w:p>
    <w:p>
      <w:pPr>
        <w:snapToGrid w:val="0"/>
        <w:spacing w:line="460" w:lineRule="exact"/>
        <w:ind w:firstLine="541" w:firstLineChars="246"/>
        <w:rPr>
          <w:rFonts w:ascii="宋体" w:hAnsi="宋体"/>
          <w:sz w:val="22"/>
          <w:szCs w:val="22"/>
        </w:rPr>
      </w:pPr>
      <w:r>
        <w:rPr>
          <w:rFonts w:ascii="宋体" w:hAnsi="宋体"/>
          <w:sz w:val="22"/>
          <w:szCs w:val="22"/>
        </w:rPr>
        <w:t xml:space="preserve">3、采购方式和采购组织类型 </w:t>
      </w:r>
    </w:p>
    <w:p>
      <w:pPr>
        <w:snapToGrid w:val="0"/>
        <w:spacing w:line="460" w:lineRule="exact"/>
        <w:ind w:firstLine="541" w:firstLineChars="246"/>
        <w:rPr>
          <w:rFonts w:ascii="宋体" w:hAnsi="宋体"/>
          <w:sz w:val="22"/>
          <w:szCs w:val="22"/>
        </w:rPr>
      </w:pPr>
      <w:r>
        <w:rPr>
          <w:rFonts w:ascii="宋体" w:hAnsi="宋体"/>
          <w:sz w:val="22"/>
          <w:szCs w:val="22"/>
        </w:rPr>
        <w:t>3.1采购方式：</w:t>
      </w:r>
      <w:r>
        <w:rPr>
          <w:rFonts w:hint="eastAsia" w:ascii="宋体" w:hAnsi="宋体"/>
          <w:sz w:val="22"/>
          <w:szCs w:val="22"/>
          <w:lang w:eastAsia="zh-CN"/>
        </w:rPr>
        <w:t>竞争性磋商</w:t>
      </w:r>
      <w:r>
        <w:rPr>
          <w:rFonts w:ascii="宋体" w:hAnsi="宋体"/>
          <w:sz w:val="22"/>
          <w:szCs w:val="22"/>
        </w:rPr>
        <w:t xml:space="preserve">。 </w:t>
      </w:r>
    </w:p>
    <w:p>
      <w:pPr>
        <w:snapToGrid w:val="0"/>
        <w:spacing w:line="460" w:lineRule="exact"/>
        <w:ind w:firstLine="541" w:firstLineChars="246"/>
        <w:rPr>
          <w:rFonts w:ascii="宋体" w:hAnsi="宋体"/>
          <w:sz w:val="22"/>
          <w:szCs w:val="22"/>
        </w:rPr>
      </w:pPr>
      <w:r>
        <w:rPr>
          <w:rFonts w:ascii="宋体" w:hAnsi="宋体"/>
          <w:sz w:val="22"/>
          <w:szCs w:val="22"/>
        </w:rPr>
        <w:t xml:space="preserve">3.2采购组织类型：分散采购委托代理。 </w:t>
      </w:r>
    </w:p>
    <w:p>
      <w:pPr>
        <w:snapToGrid w:val="0"/>
        <w:spacing w:line="460" w:lineRule="exact"/>
        <w:ind w:firstLine="541" w:firstLineChars="246"/>
        <w:rPr>
          <w:rFonts w:ascii="宋体" w:hAnsi="宋体"/>
          <w:sz w:val="22"/>
          <w:szCs w:val="22"/>
        </w:rPr>
      </w:pPr>
      <w:r>
        <w:rPr>
          <w:rFonts w:ascii="宋体" w:hAnsi="宋体"/>
          <w:sz w:val="22"/>
          <w:szCs w:val="22"/>
        </w:rPr>
        <w:t xml:space="preserve">4、投标委托 </w:t>
      </w:r>
    </w:p>
    <w:p>
      <w:pPr>
        <w:snapToGrid w:val="0"/>
        <w:spacing w:line="460" w:lineRule="exact"/>
        <w:ind w:firstLine="541" w:firstLineChars="246"/>
        <w:rPr>
          <w:rFonts w:ascii="宋体" w:hAnsi="宋体"/>
          <w:sz w:val="22"/>
          <w:szCs w:val="22"/>
        </w:rPr>
      </w:pPr>
      <w:r>
        <w:rPr>
          <w:rFonts w:ascii="宋体" w:hAnsi="宋体"/>
          <w:sz w:val="22"/>
          <w:szCs w:val="22"/>
        </w:rPr>
        <w:t xml:space="preserve">投标供应商的法定代表人可以授权其单位的其他在职员工全权处理本次投标事项，但其授权代表必须持有法定代表人出具的《法定代表人授权委托书》，《法定代表人授权委托书》必须经法定代表人签字（或盖章），否则视为无效授权（等同未提供）。 </w:t>
      </w:r>
    </w:p>
    <w:p>
      <w:pPr>
        <w:snapToGrid w:val="0"/>
        <w:spacing w:line="460" w:lineRule="exact"/>
        <w:ind w:firstLine="541" w:firstLineChars="246"/>
        <w:rPr>
          <w:rFonts w:ascii="宋体" w:hAnsi="宋体"/>
          <w:sz w:val="22"/>
          <w:szCs w:val="22"/>
        </w:rPr>
      </w:pPr>
      <w:r>
        <w:rPr>
          <w:rFonts w:ascii="宋体" w:hAnsi="宋体"/>
          <w:sz w:val="22"/>
          <w:szCs w:val="22"/>
        </w:rPr>
        <w:t>5、投标费用</w:t>
      </w:r>
    </w:p>
    <w:p>
      <w:pPr>
        <w:snapToGrid w:val="0"/>
        <w:spacing w:line="460" w:lineRule="exact"/>
        <w:ind w:firstLine="541" w:firstLineChars="246"/>
        <w:rPr>
          <w:rFonts w:ascii="宋体" w:hAnsi="宋体"/>
          <w:sz w:val="22"/>
          <w:szCs w:val="22"/>
        </w:rPr>
      </w:pPr>
      <w:r>
        <w:rPr>
          <w:rFonts w:ascii="宋体" w:hAnsi="宋体"/>
          <w:sz w:val="22"/>
          <w:szCs w:val="22"/>
        </w:rPr>
        <w:t xml:space="preserve">5.1不论投标结果如何，投标供应商均应自行承担所有与投标有关的全部费用，采购组织机构概不负责。 </w:t>
      </w:r>
    </w:p>
    <w:p>
      <w:pPr>
        <w:snapToGrid w:val="0"/>
        <w:spacing w:line="460" w:lineRule="exact"/>
        <w:ind w:firstLine="541" w:firstLineChars="246"/>
        <w:rPr>
          <w:rFonts w:ascii="宋体" w:hAnsi="宋体"/>
          <w:sz w:val="22"/>
          <w:szCs w:val="22"/>
        </w:rPr>
      </w:pPr>
      <w:r>
        <w:rPr>
          <w:rFonts w:ascii="宋体" w:hAnsi="宋体"/>
          <w:sz w:val="22"/>
          <w:szCs w:val="22"/>
        </w:rPr>
        <w:t xml:space="preserve">5.2合同实施过程中，中标（成交）供应商须与采购人积极配合。中标（成交）供应商自行承担本次采购活动中所发生的全部费用。 </w:t>
      </w:r>
    </w:p>
    <w:p>
      <w:pPr>
        <w:snapToGrid w:val="0"/>
        <w:spacing w:line="460" w:lineRule="exact"/>
        <w:ind w:firstLine="541" w:firstLineChars="246"/>
        <w:rPr>
          <w:rFonts w:ascii="宋体" w:hAnsi="宋体"/>
          <w:sz w:val="22"/>
          <w:szCs w:val="22"/>
        </w:rPr>
      </w:pPr>
      <w:r>
        <w:rPr>
          <w:rFonts w:ascii="宋体" w:hAnsi="宋体"/>
          <w:sz w:val="22"/>
          <w:szCs w:val="22"/>
        </w:rPr>
        <w:t xml:space="preserve">6、投标供应商须知前附表规定接受联合体投标的，应遵守以下规定： </w:t>
      </w:r>
    </w:p>
    <w:p>
      <w:pPr>
        <w:snapToGrid w:val="0"/>
        <w:spacing w:line="460" w:lineRule="exact"/>
        <w:ind w:firstLine="541" w:firstLineChars="246"/>
        <w:rPr>
          <w:rFonts w:ascii="宋体" w:hAnsi="宋体"/>
          <w:sz w:val="22"/>
          <w:szCs w:val="22"/>
        </w:rPr>
      </w:pPr>
      <w:r>
        <w:rPr>
          <w:rFonts w:ascii="宋体" w:hAnsi="宋体"/>
          <w:sz w:val="22"/>
          <w:szCs w:val="22"/>
        </w:rPr>
        <w:t>6.1两个以上供应商可以组成一个联合体，以一个供应商的身份共同参加投标；</w:t>
      </w:r>
    </w:p>
    <w:p>
      <w:pPr>
        <w:snapToGrid w:val="0"/>
        <w:spacing w:line="460" w:lineRule="exact"/>
        <w:ind w:firstLine="541" w:firstLineChars="246"/>
        <w:rPr>
          <w:rFonts w:ascii="宋体" w:hAnsi="宋体"/>
          <w:sz w:val="22"/>
          <w:szCs w:val="22"/>
        </w:rPr>
      </w:pPr>
      <w:r>
        <w:rPr>
          <w:rFonts w:ascii="宋体" w:hAnsi="宋体"/>
          <w:sz w:val="22"/>
          <w:szCs w:val="22"/>
        </w:rPr>
        <w:t>6.2组成联合体参加本项目投标的，投标供应商须在购买</w:t>
      </w:r>
      <w:r>
        <w:rPr>
          <w:rFonts w:hint="eastAsia" w:ascii="宋体" w:hAnsi="宋体"/>
          <w:sz w:val="22"/>
          <w:szCs w:val="22"/>
          <w:lang w:eastAsia="zh-CN"/>
        </w:rPr>
        <w:t>采购</w:t>
      </w:r>
      <w:r>
        <w:rPr>
          <w:rFonts w:ascii="宋体" w:hAnsi="宋体"/>
          <w:sz w:val="22"/>
          <w:szCs w:val="22"/>
        </w:rPr>
        <w:t xml:space="preserve">文件时向采购代理机构提交组成联合体的相关书面材料（书面材料须经联合体各方的盖章和法定代表人签字（或盖章））； </w:t>
      </w:r>
    </w:p>
    <w:p>
      <w:pPr>
        <w:snapToGrid w:val="0"/>
        <w:spacing w:line="460" w:lineRule="exact"/>
        <w:ind w:firstLine="541" w:firstLineChars="246"/>
        <w:rPr>
          <w:rFonts w:ascii="宋体" w:hAnsi="宋体"/>
          <w:sz w:val="22"/>
          <w:szCs w:val="22"/>
        </w:rPr>
      </w:pPr>
      <w:r>
        <w:rPr>
          <w:rFonts w:ascii="宋体" w:hAnsi="宋体"/>
          <w:sz w:val="22"/>
          <w:szCs w:val="22"/>
        </w:rPr>
        <w:t xml:space="preserve">6.3以联合体形式参加本项目投标的，联合体的各成员均应当具备《中华人民共和国政府采购法》第二十二条规定的条件，联合体各方中至少应当有一方符合采购人规定的特定条件，联合体中有同类资质（以及荣誉、等级证书等资信内容）的供应商按照联合体分工承担相同工作的，按照资质等级较低的供应商确定资质（以及荣誉、等级证书等资信内容）等级（备注：相同工作是指相同类别的工作，例如供货任务或者安装任务或设计任务或其他服务任务等）； </w:t>
      </w:r>
    </w:p>
    <w:p>
      <w:pPr>
        <w:snapToGrid w:val="0"/>
        <w:spacing w:line="460" w:lineRule="exact"/>
        <w:ind w:firstLine="541" w:firstLineChars="246"/>
        <w:rPr>
          <w:rFonts w:ascii="宋体" w:hAnsi="宋体"/>
          <w:sz w:val="22"/>
          <w:szCs w:val="22"/>
        </w:rPr>
      </w:pPr>
      <w:r>
        <w:rPr>
          <w:rFonts w:ascii="宋体" w:hAnsi="宋体"/>
          <w:sz w:val="22"/>
          <w:szCs w:val="22"/>
        </w:rPr>
        <w:t>6.4不同供应商组成联合体投标的，在投标供应商业绩（或成功经验）评审时以该联合体</w:t>
      </w:r>
      <w:r>
        <w:rPr>
          <w:rFonts w:hint="eastAsia" w:ascii="宋体" w:hAnsi="宋体"/>
          <w:sz w:val="22"/>
          <w:szCs w:val="22"/>
        </w:rPr>
        <w:t>（主办方）</w:t>
      </w:r>
      <w:r>
        <w:rPr>
          <w:rFonts w:ascii="宋体" w:hAnsi="宋体"/>
          <w:sz w:val="22"/>
          <w:szCs w:val="22"/>
        </w:rPr>
        <w:t>的业绩（或成功经验）为准。</w:t>
      </w:r>
    </w:p>
    <w:p>
      <w:pPr>
        <w:snapToGrid w:val="0"/>
        <w:spacing w:line="460" w:lineRule="exact"/>
        <w:ind w:firstLine="541" w:firstLineChars="246"/>
        <w:rPr>
          <w:rFonts w:ascii="宋体" w:hAnsi="宋体"/>
          <w:sz w:val="22"/>
          <w:szCs w:val="22"/>
        </w:rPr>
      </w:pPr>
      <w:r>
        <w:rPr>
          <w:rFonts w:ascii="宋体" w:hAnsi="宋体"/>
          <w:sz w:val="22"/>
          <w:szCs w:val="22"/>
        </w:rPr>
        <w:t>6.5联合体各方之间须签订投标联合协议，明确约定联合体各方承担的工作和相应的责任，在投标联合协议中指定本项目主办人，并将投标联合协议作为</w:t>
      </w:r>
      <w:r>
        <w:rPr>
          <w:rFonts w:hint="eastAsia" w:ascii="宋体" w:hAnsi="宋体"/>
          <w:sz w:val="22"/>
          <w:szCs w:val="22"/>
        </w:rPr>
        <w:t>磋商响应文件</w:t>
      </w:r>
      <w:r>
        <w:rPr>
          <w:rFonts w:ascii="宋体" w:hAnsi="宋体"/>
          <w:sz w:val="22"/>
          <w:szCs w:val="22"/>
        </w:rPr>
        <w:t xml:space="preserve">组成的一部分；本项目的主体、关键性工作须由主办人完成，并在投标联合协议中进行说明； </w:t>
      </w:r>
    </w:p>
    <w:p>
      <w:pPr>
        <w:snapToGrid w:val="0"/>
        <w:spacing w:line="460" w:lineRule="exact"/>
        <w:ind w:firstLine="541" w:firstLineChars="246"/>
        <w:rPr>
          <w:rFonts w:ascii="宋体" w:hAnsi="宋体"/>
          <w:sz w:val="22"/>
          <w:szCs w:val="22"/>
        </w:rPr>
      </w:pPr>
      <w:r>
        <w:rPr>
          <w:rFonts w:ascii="宋体" w:hAnsi="宋体"/>
          <w:sz w:val="22"/>
          <w:szCs w:val="22"/>
        </w:rPr>
        <w:t xml:space="preserve">6.6联合体各方签订投标联合协议后，不得再以自己名义单独在本项目中参加投标，也不得组成新的联合体参加本项目投标； </w:t>
      </w:r>
    </w:p>
    <w:p>
      <w:pPr>
        <w:snapToGrid w:val="0"/>
        <w:spacing w:line="460" w:lineRule="exact"/>
        <w:ind w:firstLine="541" w:firstLineChars="246"/>
        <w:rPr>
          <w:rFonts w:ascii="宋体" w:hAnsi="宋体"/>
          <w:sz w:val="22"/>
          <w:szCs w:val="22"/>
        </w:rPr>
      </w:pPr>
      <w:r>
        <w:rPr>
          <w:rFonts w:ascii="宋体" w:hAnsi="宋体"/>
          <w:sz w:val="22"/>
          <w:szCs w:val="22"/>
        </w:rPr>
        <w:t xml:space="preserve">6.7联合体各方共同与采购人签订采购合同，就采购合同约定的事项对采购人承担连带责任； </w:t>
      </w:r>
    </w:p>
    <w:p>
      <w:pPr>
        <w:snapToGrid w:val="0"/>
        <w:spacing w:line="460" w:lineRule="exact"/>
        <w:ind w:firstLine="541" w:firstLineChars="246"/>
        <w:rPr>
          <w:rFonts w:ascii="宋体" w:hAnsi="宋体"/>
          <w:sz w:val="22"/>
          <w:szCs w:val="22"/>
        </w:rPr>
      </w:pPr>
      <w:r>
        <w:rPr>
          <w:rFonts w:ascii="宋体" w:hAnsi="宋体"/>
          <w:sz w:val="22"/>
          <w:szCs w:val="22"/>
        </w:rPr>
        <w:t xml:space="preserve">7、关联企业投标限制 </w:t>
      </w:r>
    </w:p>
    <w:p>
      <w:pPr>
        <w:snapToGrid w:val="0"/>
        <w:spacing w:line="460" w:lineRule="exact"/>
        <w:ind w:firstLine="541" w:firstLineChars="246"/>
        <w:rPr>
          <w:rFonts w:ascii="宋体" w:hAnsi="宋体"/>
          <w:sz w:val="22"/>
          <w:szCs w:val="22"/>
        </w:rPr>
      </w:pPr>
      <w:r>
        <w:rPr>
          <w:rFonts w:ascii="宋体" w:hAnsi="宋体"/>
          <w:sz w:val="22"/>
          <w:szCs w:val="22"/>
        </w:rPr>
        <w:t>本《</w:t>
      </w:r>
      <w:r>
        <w:rPr>
          <w:rFonts w:hint="eastAsia" w:ascii="宋体" w:hAnsi="宋体"/>
          <w:sz w:val="22"/>
          <w:szCs w:val="22"/>
          <w:lang w:eastAsia="zh-CN"/>
        </w:rPr>
        <w:t>采购</w:t>
      </w:r>
      <w:r>
        <w:rPr>
          <w:rFonts w:ascii="宋体" w:hAnsi="宋体"/>
          <w:sz w:val="22"/>
          <w:szCs w:val="22"/>
        </w:rPr>
        <w:t xml:space="preserve">文件》所称“关联企业”，是指存在关联关系的企业；“关联关系”的界定适用《中华人民共和国公司法》217条之规定。 </w:t>
      </w:r>
    </w:p>
    <w:p>
      <w:pPr>
        <w:snapToGrid w:val="0"/>
        <w:spacing w:line="460" w:lineRule="exact"/>
        <w:ind w:firstLine="541" w:firstLineChars="246"/>
        <w:rPr>
          <w:rFonts w:ascii="宋体" w:hAnsi="宋体"/>
          <w:sz w:val="22"/>
          <w:szCs w:val="22"/>
        </w:rPr>
      </w:pPr>
      <w:r>
        <w:rPr>
          <w:rFonts w:ascii="宋体" w:hAnsi="宋体"/>
          <w:sz w:val="22"/>
          <w:szCs w:val="22"/>
        </w:rPr>
        <w:t>7.1▲单位负责人为同一人或者存在直接控股、管理关系的不同供应商参加同一合同项下的政府采购活动的，相关投标均作无效标处理。</w:t>
      </w:r>
    </w:p>
    <w:p>
      <w:pPr>
        <w:snapToGrid w:val="0"/>
        <w:spacing w:line="460" w:lineRule="exact"/>
        <w:ind w:firstLine="541" w:firstLineChars="246"/>
        <w:rPr>
          <w:rFonts w:ascii="宋体" w:hAnsi="宋体"/>
          <w:sz w:val="22"/>
          <w:szCs w:val="22"/>
        </w:rPr>
      </w:pPr>
      <w:r>
        <w:rPr>
          <w:rFonts w:ascii="宋体" w:hAnsi="宋体"/>
          <w:sz w:val="22"/>
          <w:szCs w:val="22"/>
        </w:rPr>
        <w:t xml:space="preserve">7.2▲不同供应商之间存在以下利害关系并且存在影响政府采购公平竞争行为的，不得参加同一合同项下的政府采购活动，相关投标均作无效标处理： </w:t>
      </w:r>
    </w:p>
    <w:p>
      <w:pPr>
        <w:snapToGrid w:val="0"/>
        <w:spacing w:line="460" w:lineRule="exact"/>
        <w:ind w:firstLine="541" w:firstLineChars="246"/>
        <w:rPr>
          <w:rFonts w:ascii="宋体" w:hAnsi="宋体"/>
          <w:sz w:val="22"/>
          <w:szCs w:val="22"/>
        </w:rPr>
      </w:pPr>
      <w:r>
        <w:rPr>
          <w:rFonts w:ascii="宋体" w:hAnsi="宋体"/>
          <w:sz w:val="22"/>
          <w:szCs w:val="22"/>
        </w:rPr>
        <w:t xml:space="preserve">（1）法定代表人或负责人或实际控制人是夫妻关系； </w:t>
      </w:r>
    </w:p>
    <w:p>
      <w:pPr>
        <w:snapToGrid w:val="0"/>
        <w:spacing w:line="460" w:lineRule="exact"/>
        <w:ind w:firstLine="541" w:firstLineChars="246"/>
        <w:rPr>
          <w:rFonts w:ascii="宋体" w:hAnsi="宋体"/>
          <w:sz w:val="22"/>
          <w:szCs w:val="22"/>
        </w:rPr>
      </w:pPr>
      <w:r>
        <w:rPr>
          <w:rFonts w:ascii="宋体" w:hAnsi="宋体"/>
          <w:sz w:val="22"/>
          <w:szCs w:val="22"/>
        </w:rPr>
        <w:t xml:space="preserve">（2）法定代表人或负责人或实际控制人是直系血亲关系； </w:t>
      </w:r>
    </w:p>
    <w:p>
      <w:pPr>
        <w:snapToGrid w:val="0"/>
        <w:spacing w:line="460" w:lineRule="exact"/>
        <w:ind w:firstLine="541" w:firstLineChars="246"/>
        <w:rPr>
          <w:rFonts w:ascii="宋体" w:hAnsi="宋体"/>
          <w:sz w:val="22"/>
          <w:szCs w:val="22"/>
        </w:rPr>
      </w:pPr>
      <w:r>
        <w:rPr>
          <w:rFonts w:ascii="宋体" w:hAnsi="宋体"/>
          <w:sz w:val="22"/>
          <w:szCs w:val="22"/>
        </w:rPr>
        <w:t xml:space="preserve">（3）法定代表人或负责人或实际控制人存在三代以内旁系血亲关系； </w:t>
      </w:r>
    </w:p>
    <w:p>
      <w:pPr>
        <w:snapToGrid w:val="0"/>
        <w:spacing w:line="460" w:lineRule="exact"/>
        <w:ind w:firstLine="541" w:firstLineChars="246"/>
        <w:rPr>
          <w:rFonts w:ascii="宋体" w:hAnsi="宋体"/>
          <w:sz w:val="22"/>
          <w:szCs w:val="22"/>
        </w:rPr>
      </w:pPr>
      <w:r>
        <w:rPr>
          <w:rFonts w:ascii="宋体" w:hAnsi="宋体"/>
          <w:sz w:val="22"/>
          <w:szCs w:val="22"/>
        </w:rPr>
        <w:t xml:space="preserve">（4）法定代表人或负责人或实际控制人存在近姻亲关系； </w:t>
      </w:r>
    </w:p>
    <w:p>
      <w:pPr>
        <w:snapToGrid w:val="0"/>
        <w:spacing w:line="460" w:lineRule="exact"/>
        <w:ind w:firstLine="541" w:firstLineChars="246"/>
        <w:rPr>
          <w:rFonts w:ascii="宋体" w:hAnsi="宋体"/>
          <w:sz w:val="22"/>
          <w:szCs w:val="22"/>
        </w:rPr>
      </w:pPr>
      <w:r>
        <w:rPr>
          <w:rFonts w:ascii="宋体" w:hAnsi="宋体"/>
          <w:sz w:val="22"/>
          <w:szCs w:val="22"/>
        </w:rPr>
        <w:t xml:space="preserve">（5）法定代表人或负责人或实际控制人存在股份控制或实际控制关系； </w:t>
      </w:r>
    </w:p>
    <w:p>
      <w:pPr>
        <w:snapToGrid w:val="0"/>
        <w:spacing w:line="460" w:lineRule="exact"/>
        <w:ind w:firstLine="541" w:firstLineChars="246"/>
        <w:rPr>
          <w:rFonts w:ascii="宋体" w:hAnsi="宋体"/>
          <w:sz w:val="22"/>
          <w:szCs w:val="22"/>
        </w:rPr>
      </w:pPr>
      <w:r>
        <w:rPr>
          <w:rFonts w:ascii="宋体" w:hAnsi="宋体"/>
          <w:sz w:val="22"/>
          <w:szCs w:val="22"/>
        </w:rPr>
        <w:t xml:space="preserve">（6）存在共同直接或间接投资设立子公司、联营企业和合营企业情况； </w:t>
      </w:r>
    </w:p>
    <w:p>
      <w:pPr>
        <w:snapToGrid w:val="0"/>
        <w:spacing w:line="460" w:lineRule="exact"/>
        <w:ind w:firstLine="541" w:firstLineChars="246"/>
        <w:rPr>
          <w:rFonts w:ascii="宋体" w:hAnsi="宋体"/>
          <w:sz w:val="22"/>
          <w:szCs w:val="22"/>
        </w:rPr>
      </w:pPr>
      <w:r>
        <w:rPr>
          <w:rFonts w:ascii="宋体" w:hAnsi="宋体"/>
          <w:sz w:val="22"/>
          <w:szCs w:val="22"/>
        </w:rPr>
        <w:t xml:space="preserve">（7）存在分级代理或代销关系、同一生产制造商关系、管理关系、重要业务（占主营业务收入50%以上）或重要财务往来关系（如融资）等其他实质性控制关系。 </w:t>
      </w:r>
    </w:p>
    <w:p>
      <w:pPr>
        <w:snapToGrid w:val="0"/>
        <w:spacing w:line="460" w:lineRule="exact"/>
        <w:ind w:firstLine="541" w:firstLineChars="246"/>
        <w:rPr>
          <w:rFonts w:ascii="宋体" w:hAnsi="宋体"/>
          <w:sz w:val="22"/>
          <w:szCs w:val="22"/>
        </w:rPr>
      </w:pPr>
      <w:r>
        <w:rPr>
          <w:rFonts w:ascii="宋体" w:hAnsi="宋体"/>
          <w:sz w:val="22"/>
          <w:szCs w:val="22"/>
        </w:rPr>
        <w:t>7.3▲除单一来源采购项目外，为采购项目提供监理、检测等服务的供应商，不得再参加该采购项目的其他采购活动。</w:t>
      </w:r>
    </w:p>
    <w:p>
      <w:pPr>
        <w:snapToGrid w:val="0"/>
        <w:spacing w:line="460" w:lineRule="exact"/>
        <w:ind w:firstLine="541" w:firstLineChars="246"/>
        <w:rPr>
          <w:rFonts w:ascii="宋体" w:hAnsi="宋体"/>
          <w:sz w:val="22"/>
          <w:szCs w:val="22"/>
        </w:rPr>
      </w:pPr>
      <w:r>
        <w:rPr>
          <w:rFonts w:ascii="宋体" w:hAnsi="宋体"/>
          <w:sz w:val="22"/>
          <w:szCs w:val="22"/>
        </w:rPr>
        <w:t>7.3</w:t>
      </w:r>
      <w:r>
        <w:rPr>
          <w:rFonts w:hint="eastAsia" w:ascii="宋体" w:hAnsi="宋体"/>
          <w:sz w:val="22"/>
          <w:szCs w:val="22"/>
        </w:rPr>
        <w:t>.1</w:t>
      </w:r>
      <w:r>
        <w:rPr>
          <w:rFonts w:ascii="宋体" w:hAnsi="宋体"/>
          <w:sz w:val="22"/>
          <w:szCs w:val="22"/>
        </w:rPr>
        <w:t xml:space="preserve">（货物类、单一产品采购项目适用）如多家投标供应商提供相同品牌相同型号的产品参加同一合同项下的政府采购项目竞争的，按一个有效投标供应商认定。评审时，取其中通过资格审查后的报价最低一家为有效供应商；报价相同时，取技术资信分最高者；均相同时，由评审小组集体决定。 </w:t>
      </w:r>
    </w:p>
    <w:p>
      <w:pPr>
        <w:snapToGrid w:val="0"/>
        <w:spacing w:line="460" w:lineRule="exact"/>
        <w:ind w:firstLine="541" w:firstLineChars="246"/>
        <w:rPr>
          <w:rFonts w:ascii="宋体" w:hAnsi="宋体"/>
          <w:sz w:val="22"/>
          <w:szCs w:val="22"/>
        </w:rPr>
      </w:pPr>
      <w:r>
        <w:rPr>
          <w:rFonts w:ascii="宋体" w:hAnsi="宋体"/>
          <w:sz w:val="22"/>
          <w:szCs w:val="22"/>
        </w:rPr>
        <w:t xml:space="preserve">7.4（货物类、非单一产品采购项目适用）作为关键核心部分的单一产品品牌、型号均相同且报价占项目总报价50%以上（含本数，下同）的，视为提供的是同品牌同型号的产品；多家投标供应商中，有一家投标供应商的报价达到50%以上，提供同品牌产品的投标供应商均按一家供应商认定。评审时，取其中通过资格审查后的报价最低一家为有效供应商；报价相同时，取技术资信分最高者；均相同时，由评审小组集体决定。 </w:t>
      </w:r>
    </w:p>
    <w:p>
      <w:pPr>
        <w:snapToGrid w:val="0"/>
        <w:spacing w:line="460" w:lineRule="exact"/>
        <w:ind w:firstLine="541" w:firstLineChars="246"/>
        <w:rPr>
          <w:rFonts w:ascii="宋体" w:hAnsi="宋体"/>
          <w:sz w:val="22"/>
          <w:szCs w:val="22"/>
        </w:rPr>
      </w:pPr>
      <w:r>
        <w:rPr>
          <w:rFonts w:ascii="宋体" w:hAnsi="宋体"/>
          <w:sz w:val="22"/>
          <w:szCs w:val="22"/>
        </w:rPr>
        <w:t>8、转包、分包：</w:t>
      </w:r>
      <w:r>
        <w:rPr>
          <w:rFonts w:hint="eastAsia" w:ascii="宋体" w:hAnsi="宋体"/>
          <w:sz w:val="22"/>
          <w:szCs w:val="22"/>
        </w:rPr>
        <w:t>不允许</w:t>
      </w:r>
      <w:r>
        <w:rPr>
          <w:rFonts w:ascii="宋体" w:hAnsi="宋体"/>
          <w:sz w:val="22"/>
          <w:szCs w:val="22"/>
        </w:rPr>
        <w:t xml:space="preserve">。 </w:t>
      </w:r>
    </w:p>
    <w:p>
      <w:pPr>
        <w:snapToGrid w:val="0"/>
        <w:spacing w:line="460" w:lineRule="exact"/>
        <w:ind w:firstLine="541" w:firstLineChars="246"/>
        <w:rPr>
          <w:rFonts w:ascii="宋体" w:hAnsi="宋体"/>
          <w:sz w:val="22"/>
          <w:szCs w:val="22"/>
        </w:rPr>
      </w:pPr>
      <w:r>
        <w:rPr>
          <w:rFonts w:ascii="宋体" w:hAnsi="宋体"/>
          <w:sz w:val="22"/>
          <w:szCs w:val="22"/>
        </w:rPr>
        <w:t>9、特别说明：</w:t>
      </w:r>
    </w:p>
    <w:p>
      <w:pPr>
        <w:snapToGrid w:val="0"/>
        <w:spacing w:line="460" w:lineRule="exact"/>
        <w:ind w:firstLine="541" w:firstLineChars="246"/>
        <w:rPr>
          <w:rFonts w:ascii="宋体" w:hAnsi="宋体"/>
          <w:sz w:val="22"/>
          <w:szCs w:val="22"/>
        </w:rPr>
      </w:pPr>
      <w:r>
        <w:rPr>
          <w:rFonts w:ascii="宋体" w:hAnsi="宋体"/>
          <w:sz w:val="22"/>
          <w:szCs w:val="22"/>
        </w:rPr>
        <w:t xml:space="preserve">9.1除采用最低评标价法的项目外，直接或者间接受采购人控制的当事人，或者与采购人受共同上级控制的当事人，为本次招标进行设计或编制规范和其他文件的当事人，或者直接或间接地与为本次采购进行设计或编制规范、其他文件的个人、企业、采购代理机构或其附属机构有关联关系的当事人，不得参加本项目投标。 </w:t>
      </w:r>
    </w:p>
    <w:p>
      <w:pPr>
        <w:snapToGrid w:val="0"/>
        <w:spacing w:line="460" w:lineRule="exact"/>
        <w:ind w:firstLine="541" w:firstLineChars="246"/>
        <w:rPr>
          <w:rFonts w:ascii="宋体" w:hAnsi="宋体"/>
          <w:sz w:val="22"/>
          <w:szCs w:val="22"/>
        </w:rPr>
      </w:pPr>
      <w:r>
        <w:rPr>
          <w:rFonts w:ascii="宋体" w:hAnsi="宋体"/>
          <w:sz w:val="22"/>
          <w:szCs w:val="22"/>
        </w:rPr>
        <w:t xml:space="preserve">9.2投标供应商投标所使用的资格、信誉、荣誉、投标供应商业绩与企业认证必须为本法定代表人所拥有。投标供应商投标所使用的项目实施人员可以为其控股公司的工作人员。在组织商务、技术评审或资格性审查时，属于投标供应商母公司（总机构）或者同一母公司下属的其他子公司（同一总机构下属的其他分支机构）的人员、业绩、荣誉、知识产权、项目案例等，不得作为该投标供应商的资信文件予以确认或审查通过。 </w:t>
      </w:r>
    </w:p>
    <w:p>
      <w:pPr>
        <w:snapToGrid w:val="0"/>
        <w:spacing w:line="460" w:lineRule="exact"/>
        <w:ind w:firstLine="541" w:firstLineChars="246"/>
        <w:rPr>
          <w:rFonts w:ascii="宋体" w:hAnsi="宋体"/>
          <w:sz w:val="22"/>
          <w:szCs w:val="22"/>
        </w:rPr>
      </w:pPr>
      <w:r>
        <w:rPr>
          <w:rFonts w:ascii="宋体" w:hAnsi="宋体"/>
          <w:sz w:val="22"/>
          <w:szCs w:val="22"/>
        </w:rPr>
        <w:t xml:space="preserve">9.3投标供应商在投标活动中提供任何虚假材料或从事其他违法活动的，其投标无效，并报监管部门查处；中标后发现的，须依照相关规定双倍赔偿给采购人。且民事赔偿并不免除违法投标供应商的行政与刑事责任。 </w:t>
      </w:r>
    </w:p>
    <w:p>
      <w:pPr>
        <w:snapToGrid w:val="0"/>
        <w:spacing w:line="460" w:lineRule="exact"/>
        <w:ind w:firstLine="541" w:firstLineChars="246"/>
        <w:rPr>
          <w:rFonts w:ascii="宋体" w:hAnsi="宋体"/>
          <w:sz w:val="22"/>
          <w:szCs w:val="22"/>
        </w:rPr>
      </w:pPr>
      <w:r>
        <w:rPr>
          <w:rFonts w:ascii="宋体" w:hAnsi="宋体"/>
          <w:sz w:val="22"/>
          <w:szCs w:val="22"/>
        </w:rPr>
        <w:t>9.4投标供应商应仔细阅读《</w:t>
      </w:r>
      <w:r>
        <w:rPr>
          <w:rFonts w:hint="eastAsia" w:ascii="宋体" w:hAnsi="宋体"/>
          <w:sz w:val="22"/>
          <w:szCs w:val="22"/>
          <w:lang w:eastAsia="zh-CN"/>
        </w:rPr>
        <w:t>采购</w:t>
      </w:r>
      <w:r>
        <w:rPr>
          <w:rFonts w:ascii="宋体" w:hAnsi="宋体"/>
          <w:sz w:val="22"/>
          <w:szCs w:val="22"/>
        </w:rPr>
        <w:t>文件》的所有内容，按照《</w:t>
      </w:r>
      <w:r>
        <w:rPr>
          <w:rFonts w:hint="eastAsia" w:ascii="宋体" w:hAnsi="宋体"/>
          <w:sz w:val="22"/>
          <w:szCs w:val="22"/>
          <w:lang w:eastAsia="zh-CN"/>
        </w:rPr>
        <w:t>采购</w:t>
      </w:r>
      <w:r>
        <w:rPr>
          <w:rFonts w:ascii="宋体" w:hAnsi="宋体"/>
          <w:sz w:val="22"/>
          <w:szCs w:val="22"/>
        </w:rPr>
        <w:t>文件》的要求提交《</w:t>
      </w:r>
      <w:r>
        <w:rPr>
          <w:rFonts w:hint="eastAsia" w:ascii="宋体" w:hAnsi="宋体"/>
          <w:sz w:val="22"/>
          <w:szCs w:val="22"/>
        </w:rPr>
        <w:t>磋商响应文件</w:t>
      </w:r>
      <w:r>
        <w:rPr>
          <w:rFonts w:ascii="宋体" w:hAnsi="宋体"/>
          <w:sz w:val="22"/>
          <w:szCs w:val="22"/>
        </w:rPr>
        <w:t>》。《</w:t>
      </w:r>
      <w:r>
        <w:rPr>
          <w:rFonts w:hint="eastAsia" w:ascii="宋体" w:hAnsi="宋体"/>
          <w:sz w:val="22"/>
          <w:szCs w:val="22"/>
        </w:rPr>
        <w:t>磋商响应文件</w:t>
      </w:r>
      <w:r>
        <w:rPr>
          <w:rFonts w:ascii="宋体" w:hAnsi="宋体"/>
          <w:sz w:val="22"/>
          <w:szCs w:val="22"/>
        </w:rPr>
        <w:t>》应对《</w:t>
      </w:r>
      <w:r>
        <w:rPr>
          <w:rFonts w:hint="eastAsia" w:ascii="宋体" w:hAnsi="宋体"/>
          <w:sz w:val="22"/>
          <w:szCs w:val="22"/>
          <w:lang w:eastAsia="zh-CN"/>
        </w:rPr>
        <w:t>采购</w:t>
      </w:r>
      <w:r>
        <w:rPr>
          <w:rFonts w:ascii="宋体" w:hAnsi="宋体"/>
          <w:sz w:val="22"/>
          <w:szCs w:val="22"/>
        </w:rPr>
        <w:t xml:space="preserve">文件》的要求作出实质性响应，并对所提供的全部资料的真实性承担法律责任。 </w:t>
      </w:r>
    </w:p>
    <w:p>
      <w:pPr>
        <w:snapToGrid w:val="0"/>
        <w:spacing w:line="460" w:lineRule="exact"/>
        <w:ind w:firstLine="541" w:firstLineChars="246"/>
        <w:rPr>
          <w:rFonts w:ascii="宋体" w:hAnsi="宋体"/>
          <w:sz w:val="22"/>
          <w:szCs w:val="22"/>
        </w:rPr>
      </w:pPr>
      <w:r>
        <w:rPr>
          <w:rFonts w:ascii="宋体" w:hAnsi="宋体"/>
          <w:sz w:val="22"/>
          <w:szCs w:val="22"/>
        </w:rPr>
        <w:t xml:space="preserve">10、询问、质疑和投诉 </w:t>
      </w:r>
    </w:p>
    <w:p>
      <w:pPr>
        <w:snapToGrid w:val="0"/>
        <w:spacing w:line="460" w:lineRule="exact"/>
        <w:ind w:firstLine="541" w:firstLineChars="246"/>
        <w:rPr>
          <w:rFonts w:ascii="宋体" w:hAnsi="宋体"/>
          <w:sz w:val="22"/>
          <w:szCs w:val="22"/>
        </w:rPr>
      </w:pPr>
      <w:r>
        <w:rPr>
          <w:rFonts w:ascii="宋体" w:hAnsi="宋体"/>
          <w:sz w:val="22"/>
          <w:szCs w:val="22"/>
        </w:rPr>
        <w:t xml:space="preserve">10.1询问：在采购活动中供应商可以就某一事项向采购组织机构发出“询问”，采购组织机构将在收到供应商“询问”后三个工作日内予以答复，但规定不予答复的内容除外。 </w:t>
      </w:r>
    </w:p>
    <w:p>
      <w:pPr>
        <w:snapToGrid w:val="0"/>
        <w:spacing w:line="460" w:lineRule="exact"/>
        <w:ind w:firstLine="541" w:firstLineChars="246"/>
        <w:rPr>
          <w:rFonts w:ascii="宋体" w:hAnsi="宋体"/>
          <w:sz w:val="22"/>
          <w:szCs w:val="22"/>
        </w:rPr>
      </w:pPr>
      <w:r>
        <w:rPr>
          <w:rFonts w:ascii="宋体" w:hAnsi="宋体"/>
          <w:sz w:val="22"/>
          <w:szCs w:val="22"/>
        </w:rPr>
        <w:t xml:space="preserve">10.2质疑：投标供应商认为采购文件、采购过程和采购结果使自己的合法权益受到损害的，应当在知道或者应知其权益受到损害之日起七个工作日内，以书面形式向采购组织机构提出质疑。对采购文件提出质疑的，最迟应在采购响应截止时间前提出，否则采购组织机构可以不予答复。 </w:t>
      </w:r>
    </w:p>
    <w:p>
      <w:pPr>
        <w:snapToGrid w:val="0"/>
        <w:spacing w:line="460" w:lineRule="exact"/>
        <w:ind w:firstLine="541" w:firstLineChars="246"/>
        <w:rPr>
          <w:rFonts w:ascii="宋体" w:hAnsi="宋体"/>
          <w:sz w:val="22"/>
          <w:szCs w:val="22"/>
        </w:rPr>
      </w:pPr>
      <w:r>
        <w:rPr>
          <w:rFonts w:ascii="宋体" w:hAnsi="宋体"/>
          <w:sz w:val="22"/>
          <w:szCs w:val="22"/>
        </w:rPr>
        <w:t>10.2.1上述所指“供应商应知其权益受到损害之日”，是指：</w:t>
      </w:r>
    </w:p>
    <w:p>
      <w:pPr>
        <w:snapToGrid w:val="0"/>
        <w:spacing w:line="460" w:lineRule="exact"/>
        <w:ind w:firstLine="541" w:firstLineChars="246"/>
        <w:rPr>
          <w:rFonts w:ascii="宋体" w:hAnsi="宋体"/>
          <w:sz w:val="22"/>
          <w:szCs w:val="22"/>
        </w:rPr>
      </w:pPr>
      <w:r>
        <w:rPr>
          <w:rFonts w:ascii="宋体" w:hAnsi="宋体"/>
          <w:sz w:val="22"/>
          <w:szCs w:val="22"/>
        </w:rPr>
        <w:t>（一）对采购文件提出质疑的，为收到采购文件之日（发售截止日之后收到采购文件的，以发售截止日为准）或者采购文件公告期限届满之日（即采购公告发布后的第6个工作日）；</w:t>
      </w:r>
    </w:p>
    <w:p>
      <w:pPr>
        <w:snapToGrid w:val="0"/>
        <w:spacing w:line="460" w:lineRule="exact"/>
        <w:ind w:firstLine="541" w:firstLineChars="246"/>
        <w:rPr>
          <w:rFonts w:ascii="宋体" w:hAnsi="宋体"/>
          <w:sz w:val="22"/>
          <w:szCs w:val="22"/>
        </w:rPr>
      </w:pPr>
      <w:r>
        <w:rPr>
          <w:rFonts w:ascii="宋体" w:hAnsi="宋体"/>
          <w:sz w:val="22"/>
          <w:szCs w:val="22"/>
        </w:rPr>
        <w:t>（二）对采购过程提出质疑的，为各采购程序环节结束之日；</w:t>
      </w:r>
    </w:p>
    <w:p>
      <w:pPr>
        <w:snapToGrid w:val="0"/>
        <w:spacing w:line="460" w:lineRule="exact"/>
        <w:ind w:firstLine="541" w:firstLineChars="246"/>
        <w:rPr>
          <w:rFonts w:ascii="宋体" w:hAnsi="宋体"/>
          <w:sz w:val="22"/>
          <w:szCs w:val="22"/>
        </w:rPr>
      </w:pPr>
      <w:r>
        <w:rPr>
          <w:rFonts w:ascii="宋体" w:hAnsi="宋体"/>
          <w:sz w:val="22"/>
          <w:szCs w:val="22"/>
        </w:rPr>
        <w:t>（三）对中标或者成交结果提出质疑的，为中标或者成交结果公告期限届满之日</w:t>
      </w:r>
      <w:r>
        <w:rPr>
          <w:rFonts w:hint="eastAsia" w:ascii="宋体" w:hAnsi="宋体"/>
          <w:sz w:val="22"/>
          <w:szCs w:val="22"/>
        </w:rPr>
        <w:t>。</w:t>
      </w:r>
    </w:p>
    <w:p>
      <w:pPr>
        <w:snapToGrid w:val="0"/>
        <w:spacing w:line="460" w:lineRule="exact"/>
        <w:ind w:firstLine="541" w:firstLineChars="246"/>
        <w:rPr>
          <w:rFonts w:ascii="宋体" w:hAnsi="宋体"/>
          <w:sz w:val="22"/>
          <w:szCs w:val="22"/>
        </w:rPr>
      </w:pPr>
      <w:r>
        <w:rPr>
          <w:rFonts w:ascii="宋体" w:hAnsi="宋体"/>
          <w:sz w:val="22"/>
          <w:szCs w:val="22"/>
        </w:rPr>
        <w:t>10.2.2质疑书须包括以下内容：</w:t>
      </w:r>
    </w:p>
    <w:p>
      <w:pPr>
        <w:snapToGrid w:val="0"/>
        <w:spacing w:line="460" w:lineRule="exact"/>
        <w:ind w:firstLine="541" w:firstLineChars="246"/>
        <w:rPr>
          <w:rFonts w:ascii="宋体" w:hAnsi="宋体"/>
          <w:sz w:val="22"/>
          <w:szCs w:val="22"/>
        </w:rPr>
      </w:pPr>
      <w:r>
        <w:rPr>
          <w:rFonts w:ascii="宋体" w:hAnsi="宋体"/>
          <w:sz w:val="22"/>
          <w:szCs w:val="22"/>
        </w:rPr>
        <w:t>（一）质疑人的名称、地址、邮政编码、联系人、联系电话、法定代表人签字或盖章；</w:t>
      </w:r>
    </w:p>
    <w:p>
      <w:pPr>
        <w:snapToGrid w:val="0"/>
        <w:spacing w:line="460" w:lineRule="exact"/>
        <w:ind w:firstLine="541" w:firstLineChars="246"/>
        <w:rPr>
          <w:rFonts w:ascii="宋体" w:hAnsi="宋体"/>
          <w:sz w:val="22"/>
          <w:szCs w:val="22"/>
        </w:rPr>
      </w:pPr>
      <w:r>
        <w:rPr>
          <w:rFonts w:ascii="宋体" w:hAnsi="宋体"/>
          <w:sz w:val="22"/>
          <w:szCs w:val="22"/>
        </w:rPr>
        <w:t>（二）被质疑采购项目名称、编号及采购内容；</w:t>
      </w:r>
    </w:p>
    <w:p>
      <w:pPr>
        <w:snapToGrid w:val="0"/>
        <w:spacing w:line="460" w:lineRule="exact"/>
        <w:ind w:firstLine="541" w:firstLineChars="246"/>
        <w:rPr>
          <w:rFonts w:ascii="宋体" w:hAnsi="宋体"/>
          <w:sz w:val="22"/>
          <w:szCs w:val="22"/>
        </w:rPr>
      </w:pPr>
      <w:r>
        <w:rPr>
          <w:rFonts w:ascii="宋体" w:hAnsi="宋体"/>
          <w:sz w:val="22"/>
          <w:szCs w:val="22"/>
        </w:rPr>
        <w:t>（三）具体的质疑事项及事实依据；</w:t>
      </w:r>
    </w:p>
    <w:p>
      <w:pPr>
        <w:snapToGrid w:val="0"/>
        <w:spacing w:line="460" w:lineRule="exact"/>
        <w:ind w:firstLine="541" w:firstLineChars="246"/>
        <w:rPr>
          <w:rFonts w:ascii="宋体" w:hAnsi="宋体"/>
          <w:sz w:val="22"/>
          <w:szCs w:val="22"/>
        </w:rPr>
      </w:pPr>
      <w:r>
        <w:rPr>
          <w:rFonts w:ascii="宋体" w:hAnsi="宋体"/>
          <w:sz w:val="22"/>
          <w:szCs w:val="22"/>
        </w:rPr>
        <w:t>（四）认为自己合法权益受到损害或可能受到损害的相关证据材料；</w:t>
      </w:r>
    </w:p>
    <w:p>
      <w:pPr>
        <w:snapToGrid w:val="0"/>
        <w:spacing w:line="460" w:lineRule="exact"/>
        <w:ind w:firstLine="541" w:firstLineChars="246"/>
        <w:rPr>
          <w:rFonts w:ascii="宋体" w:hAnsi="宋体"/>
          <w:sz w:val="22"/>
          <w:szCs w:val="22"/>
        </w:rPr>
      </w:pPr>
      <w:r>
        <w:rPr>
          <w:rFonts w:ascii="宋体" w:hAnsi="宋体"/>
          <w:sz w:val="22"/>
          <w:szCs w:val="22"/>
        </w:rPr>
        <w:t>（五）提出质疑的日期。</w:t>
      </w:r>
    </w:p>
    <w:p>
      <w:pPr>
        <w:snapToGrid w:val="0"/>
        <w:spacing w:line="460" w:lineRule="exact"/>
        <w:ind w:firstLine="541" w:firstLineChars="246"/>
        <w:rPr>
          <w:rFonts w:ascii="宋体" w:hAnsi="宋体"/>
          <w:sz w:val="22"/>
          <w:szCs w:val="22"/>
        </w:rPr>
      </w:pPr>
      <w:r>
        <w:rPr>
          <w:rFonts w:ascii="宋体" w:hAnsi="宋体"/>
          <w:sz w:val="22"/>
          <w:szCs w:val="22"/>
        </w:rPr>
        <w:t>10.2.3投标供应商认可采购组织机构在质疑答复程序中启用的调查和重新评审等程序，在该程序操作过程未明显违反法律禁止性规定时，不得再提出异议。</w:t>
      </w:r>
    </w:p>
    <w:p>
      <w:pPr>
        <w:snapToGrid w:val="0"/>
        <w:spacing w:line="460" w:lineRule="exact"/>
        <w:ind w:firstLine="541" w:firstLineChars="246"/>
        <w:rPr>
          <w:rFonts w:ascii="宋体" w:hAnsi="宋体"/>
          <w:sz w:val="22"/>
          <w:szCs w:val="22"/>
        </w:rPr>
      </w:pPr>
      <w:r>
        <w:rPr>
          <w:rFonts w:ascii="宋体" w:hAnsi="宋体"/>
          <w:sz w:val="22"/>
          <w:szCs w:val="22"/>
        </w:rPr>
        <w:t>10.2.4质疑、投诉应当采用书面形式，经法定代表人或其授权代表签署后加盖单位公章，质疑书、投诉书均应明确阐述《</w:t>
      </w:r>
      <w:r>
        <w:rPr>
          <w:rFonts w:hint="eastAsia" w:ascii="宋体" w:hAnsi="宋体"/>
          <w:sz w:val="22"/>
          <w:szCs w:val="22"/>
          <w:lang w:eastAsia="zh-CN"/>
        </w:rPr>
        <w:t>采购</w:t>
      </w:r>
      <w:r>
        <w:rPr>
          <w:rFonts w:ascii="宋体" w:hAnsi="宋体"/>
          <w:sz w:val="22"/>
          <w:szCs w:val="22"/>
        </w:rPr>
        <w:t>文件》、招标过程和中标结果中使自己合法权益受到损害的实质性内容，供应商提出的质疑、投诉应当有明确的诉求（即通过质疑所要达到的具体目标）和必要的证明材料（即通过合法手段获得的能够证明供应商的诉求成立的必要材料）。</w:t>
      </w:r>
    </w:p>
    <w:p>
      <w:pPr>
        <w:snapToGrid w:val="0"/>
        <w:spacing w:line="460" w:lineRule="exact"/>
        <w:ind w:firstLine="541" w:firstLineChars="246"/>
        <w:rPr>
          <w:rFonts w:ascii="宋体" w:hAnsi="宋体"/>
          <w:sz w:val="22"/>
          <w:szCs w:val="22"/>
        </w:rPr>
      </w:pPr>
      <w:r>
        <w:rPr>
          <w:rFonts w:ascii="宋体" w:hAnsi="宋体"/>
          <w:sz w:val="22"/>
          <w:szCs w:val="22"/>
        </w:rPr>
        <w:t>10.3投诉：投标供应商对采购组织机构的质疑答复不满意或者采购组织机构未在规定时间内作出答复的，可以在答复期满后十五个工作日内向同级采购监管部门投诉。</w:t>
      </w:r>
    </w:p>
    <w:p>
      <w:pPr>
        <w:snapToGrid w:val="0"/>
        <w:spacing w:line="460" w:lineRule="exact"/>
        <w:ind w:firstLine="541" w:firstLineChars="246"/>
        <w:rPr>
          <w:rFonts w:ascii="宋体" w:hAnsi="宋体"/>
          <w:sz w:val="22"/>
          <w:szCs w:val="22"/>
        </w:rPr>
      </w:pPr>
      <w:r>
        <w:rPr>
          <w:rFonts w:ascii="宋体" w:hAnsi="宋体"/>
          <w:sz w:val="22"/>
          <w:szCs w:val="22"/>
        </w:rPr>
        <w:t>二、《</w:t>
      </w:r>
      <w:r>
        <w:rPr>
          <w:rFonts w:hint="eastAsia" w:ascii="宋体" w:hAnsi="宋体"/>
          <w:sz w:val="22"/>
          <w:szCs w:val="22"/>
          <w:lang w:eastAsia="zh-CN"/>
        </w:rPr>
        <w:t>采购</w:t>
      </w:r>
      <w:r>
        <w:rPr>
          <w:rFonts w:ascii="宋体" w:hAnsi="宋体"/>
          <w:sz w:val="22"/>
          <w:szCs w:val="22"/>
        </w:rPr>
        <w:t xml:space="preserve">文件》组成与说明 </w:t>
      </w:r>
    </w:p>
    <w:p>
      <w:pPr>
        <w:snapToGrid w:val="0"/>
        <w:spacing w:line="460" w:lineRule="exact"/>
        <w:ind w:firstLine="541" w:firstLineChars="246"/>
        <w:rPr>
          <w:rFonts w:ascii="宋体" w:hAnsi="宋体"/>
          <w:sz w:val="22"/>
          <w:szCs w:val="22"/>
        </w:rPr>
      </w:pPr>
      <w:r>
        <w:rPr>
          <w:rFonts w:ascii="宋体" w:hAnsi="宋体"/>
          <w:sz w:val="22"/>
          <w:szCs w:val="22"/>
        </w:rPr>
        <w:t>11、《</w:t>
      </w:r>
      <w:r>
        <w:rPr>
          <w:rFonts w:hint="eastAsia" w:ascii="宋体" w:hAnsi="宋体"/>
          <w:sz w:val="22"/>
          <w:szCs w:val="22"/>
          <w:lang w:eastAsia="zh-CN"/>
        </w:rPr>
        <w:t>采购</w:t>
      </w:r>
      <w:r>
        <w:rPr>
          <w:rFonts w:ascii="宋体" w:hAnsi="宋体"/>
          <w:sz w:val="22"/>
          <w:szCs w:val="22"/>
        </w:rPr>
        <w:t xml:space="preserve">文件》的构成 </w:t>
      </w:r>
    </w:p>
    <w:p>
      <w:pPr>
        <w:autoSpaceDE w:val="0"/>
        <w:autoSpaceDN w:val="0"/>
        <w:snapToGrid w:val="0"/>
        <w:spacing w:line="440" w:lineRule="atLeast"/>
        <w:ind w:firstLine="325" w:firstLineChars="148"/>
        <w:textAlignment w:val="bottom"/>
        <w:rPr>
          <w:rFonts w:ascii="宋体" w:hAnsi="宋体"/>
          <w:sz w:val="22"/>
          <w:szCs w:val="22"/>
        </w:rPr>
      </w:pPr>
      <w:r>
        <w:rPr>
          <w:rFonts w:hint="eastAsia" w:ascii="宋体" w:hAnsi="宋体"/>
          <w:sz w:val="22"/>
          <w:szCs w:val="22"/>
        </w:rPr>
        <w:t>第一部分、投标须知及前附表</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第二部分、招标内容及技术要求</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第三部分、</w:t>
      </w:r>
      <w:r>
        <w:rPr>
          <w:rFonts w:ascii="宋体" w:hAnsi="宋体"/>
          <w:b/>
          <w:sz w:val="22"/>
          <w:szCs w:val="22"/>
        </w:rPr>
        <w:t>评审办法及评分标准</w:t>
      </w:r>
    </w:p>
    <w:p>
      <w:pPr>
        <w:tabs>
          <w:tab w:val="left" w:pos="560"/>
        </w:tabs>
        <w:autoSpaceDE w:val="0"/>
        <w:autoSpaceDN w:val="0"/>
        <w:snapToGrid w:val="0"/>
        <w:spacing w:line="440" w:lineRule="atLeast"/>
        <w:ind w:firstLine="330" w:firstLineChars="150"/>
        <w:textAlignment w:val="bottom"/>
        <w:rPr>
          <w:rFonts w:ascii="宋体" w:hAnsi="宋体"/>
          <w:sz w:val="22"/>
          <w:szCs w:val="22"/>
        </w:rPr>
      </w:pPr>
      <w:r>
        <w:rPr>
          <w:rFonts w:hint="eastAsia" w:ascii="宋体" w:hAnsi="宋体"/>
          <w:sz w:val="22"/>
          <w:szCs w:val="22"/>
        </w:rPr>
        <w:t>第四部分、合同格式（参考）</w:t>
      </w:r>
    </w:p>
    <w:p>
      <w:pPr>
        <w:tabs>
          <w:tab w:val="left" w:pos="560"/>
        </w:tabs>
        <w:autoSpaceDE w:val="0"/>
        <w:autoSpaceDN w:val="0"/>
        <w:snapToGrid w:val="0"/>
        <w:spacing w:line="440" w:lineRule="atLeast"/>
        <w:ind w:firstLine="330" w:firstLineChars="150"/>
        <w:textAlignment w:val="bottom"/>
        <w:rPr>
          <w:rFonts w:ascii="宋体" w:hAnsi="宋体"/>
          <w:sz w:val="22"/>
          <w:szCs w:val="22"/>
        </w:rPr>
      </w:pPr>
      <w:r>
        <w:rPr>
          <w:rFonts w:hint="eastAsia" w:ascii="宋体" w:hAnsi="宋体"/>
          <w:sz w:val="22"/>
          <w:szCs w:val="22"/>
        </w:rPr>
        <w:t>第五部分、</w:t>
      </w:r>
      <w:r>
        <w:rPr>
          <w:rFonts w:hint="eastAsia" w:ascii="宋体" w:hAnsi="宋体"/>
          <w:sz w:val="22"/>
          <w:szCs w:val="22"/>
          <w:lang w:eastAsia="zh-CN"/>
        </w:rPr>
        <w:t>磋商响应文件</w:t>
      </w:r>
      <w:r>
        <w:rPr>
          <w:rFonts w:hint="eastAsia" w:ascii="宋体" w:hAnsi="宋体"/>
          <w:sz w:val="22"/>
          <w:szCs w:val="22"/>
        </w:rPr>
        <w:t>格式</w:t>
      </w:r>
    </w:p>
    <w:p>
      <w:pPr>
        <w:snapToGrid w:val="0"/>
        <w:spacing w:line="460" w:lineRule="exact"/>
        <w:ind w:firstLine="541" w:firstLineChars="246"/>
        <w:rPr>
          <w:rFonts w:ascii="宋体" w:hAnsi="宋体"/>
          <w:sz w:val="22"/>
          <w:szCs w:val="22"/>
        </w:rPr>
      </w:pPr>
      <w:r>
        <w:rPr>
          <w:rFonts w:ascii="宋体" w:hAnsi="宋体"/>
          <w:sz w:val="22"/>
          <w:szCs w:val="22"/>
        </w:rPr>
        <w:t>12、投标供应商的风险</w:t>
      </w:r>
    </w:p>
    <w:p>
      <w:pPr>
        <w:snapToGrid w:val="0"/>
        <w:spacing w:line="460" w:lineRule="exact"/>
        <w:ind w:firstLine="541" w:firstLineChars="246"/>
        <w:rPr>
          <w:rFonts w:ascii="宋体" w:hAnsi="宋体"/>
          <w:sz w:val="22"/>
          <w:szCs w:val="22"/>
        </w:rPr>
      </w:pPr>
      <w:r>
        <w:rPr>
          <w:rFonts w:ascii="宋体" w:hAnsi="宋体"/>
          <w:sz w:val="22"/>
          <w:szCs w:val="22"/>
        </w:rPr>
        <w:t>投标供应商没有按照《</w:t>
      </w:r>
      <w:r>
        <w:rPr>
          <w:rFonts w:hint="eastAsia" w:ascii="宋体" w:hAnsi="宋体"/>
          <w:sz w:val="22"/>
          <w:szCs w:val="22"/>
          <w:lang w:eastAsia="zh-CN"/>
        </w:rPr>
        <w:t>采购</w:t>
      </w:r>
      <w:r>
        <w:rPr>
          <w:rFonts w:ascii="宋体" w:hAnsi="宋体"/>
          <w:sz w:val="22"/>
          <w:szCs w:val="22"/>
        </w:rPr>
        <w:t>文件》要求提供全部资料，或者没有仔细阅读《</w:t>
      </w:r>
      <w:r>
        <w:rPr>
          <w:rFonts w:hint="eastAsia" w:ascii="宋体" w:hAnsi="宋体"/>
          <w:sz w:val="22"/>
          <w:szCs w:val="22"/>
          <w:lang w:eastAsia="zh-CN"/>
        </w:rPr>
        <w:t>采购</w:t>
      </w:r>
      <w:r>
        <w:rPr>
          <w:rFonts w:ascii="宋体" w:hAnsi="宋体"/>
          <w:sz w:val="22"/>
          <w:szCs w:val="22"/>
        </w:rPr>
        <w:t>文件》，或者投标供应商没有对《</w:t>
      </w:r>
      <w:r>
        <w:rPr>
          <w:rFonts w:hint="eastAsia" w:ascii="宋体" w:hAnsi="宋体"/>
          <w:sz w:val="22"/>
          <w:szCs w:val="22"/>
          <w:lang w:eastAsia="zh-CN"/>
        </w:rPr>
        <w:t>采购</w:t>
      </w:r>
      <w:r>
        <w:rPr>
          <w:rFonts w:ascii="宋体" w:hAnsi="宋体"/>
          <w:sz w:val="22"/>
          <w:szCs w:val="22"/>
        </w:rPr>
        <w:t>文件》在各方面的要求作出实质性响应是投标供应商的风险，由此造成的一切后果由投标供应商自行承担。</w:t>
      </w:r>
    </w:p>
    <w:p>
      <w:pPr>
        <w:snapToGrid w:val="0"/>
        <w:spacing w:line="460" w:lineRule="exact"/>
        <w:ind w:firstLine="541" w:firstLineChars="246"/>
        <w:rPr>
          <w:rFonts w:ascii="宋体" w:hAnsi="宋体"/>
          <w:sz w:val="22"/>
          <w:szCs w:val="22"/>
        </w:rPr>
      </w:pPr>
      <w:r>
        <w:rPr>
          <w:rFonts w:ascii="宋体" w:hAnsi="宋体"/>
          <w:sz w:val="22"/>
          <w:szCs w:val="22"/>
        </w:rPr>
        <w:t>13、《</w:t>
      </w:r>
      <w:r>
        <w:rPr>
          <w:rFonts w:hint="eastAsia" w:ascii="宋体" w:hAnsi="宋体"/>
          <w:sz w:val="22"/>
          <w:szCs w:val="22"/>
          <w:lang w:eastAsia="zh-CN"/>
        </w:rPr>
        <w:t>采购</w:t>
      </w:r>
      <w:r>
        <w:rPr>
          <w:rFonts w:ascii="宋体" w:hAnsi="宋体"/>
          <w:sz w:val="22"/>
          <w:szCs w:val="22"/>
        </w:rPr>
        <w:t>文件》的澄清与修改</w:t>
      </w:r>
    </w:p>
    <w:p>
      <w:pPr>
        <w:snapToGrid w:val="0"/>
        <w:spacing w:line="460" w:lineRule="exact"/>
        <w:ind w:firstLine="541" w:firstLineChars="246"/>
        <w:rPr>
          <w:rFonts w:ascii="宋体" w:hAnsi="宋体"/>
          <w:sz w:val="22"/>
          <w:szCs w:val="22"/>
        </w:rPr>
      </w:pPr>
      <w:r>
        <w:rPr>
          <w:rFonts w:ascii="宋体" w:hAnsi="宋体"/>
          <w:sz w:val="22"/>
          <w:szCs w:val="22"/>
        </w:rPr>
        <w:t>13.1供应商应认真阅读领取的《</w:t>
      </w:r>
      <w:r>
        <w:rPr>
          <w:rFonts w:hint="eastAsia" w:ascii="宋体" w:hAnsi="宋体"/>
          <w:sz w:val="22"/>
          <w:szCs w:val="22"/>
          <w:lang w:eastAsia="zh-CN"/>
        </w:rPr>
        <w:t>采购</w:t>
      </w:r>
      <w:r>
        <w:rPr>
          <w:rFonts w:ascii="宋体" w:hAnsi="宋体"/>
          <w:sz w:val="22"/>
          <w:szCs w:val="22"/>
        </w:rPr>
        <w:t>文件》，发现其中有误或前后不一致或有不清楚的，投标供应商应按投标供应商须知前附表中规定的“</w:t>
      </w:r>
      <w:r>
        <w:rPr>
          <w:rFonts w:hint="eastAsia" w:ascii="宋体" w:hAnsi="宋体"/>
          <w:sz w:val="22"/>
          <w:szCs w:val="22"/>
          <w:lang w:eastAsia="zh-CN"/>
        </w:rPr>
        <w:t>采购</w:t>
      </w:r>
      <w:r>
        <w:rPr>
          <w:rFonts w:ascii="宋体" w:hAnsi="宋体"/>
          <w:sz w:val="22"/>
          <w:szCs w:val="22"/>
        </w:rPr>
        <w:t>文件提疑截止时间” 前以书面形式向采购组织机构递交《疑问函》，否则造成的一切后果由投标供应商自行承担，采购组织机构概不负责。供应商如认为《</w:t>
      </w:r>
      <w:r>
        <w:rPr>
          <w:rFonts w:hint="eastAsia" w:ascii="宋体" w:hAnsi="宋体"/>
          <w:sz w:val="22"/>
          <w:szCs w:val="22"/>
          <w:lang w:eastAsia="zh-CN"/>
        </w:rPr>
        <w:t>采购</w:t>
      </w:r>
      <w:r>
        <w:rPr>
          <w:rFonts w:ascii="宋体" w:hAnsi="宋体"/>
          <w:sz w:val="22"/>
          <w:szCs w:val="22"/>
        </w:rPr>
        <w:t xml:space="preserve">文件》使自己的合法权益收到损害的应当参照供应商质疑程序向采购组织机构提交《质疑函》。 </w:t>
      </w:r>
    </w:p>
    <w:p>
      <w:pPr>
        <w:snapToGrid w:val="0"/>
        <w:spacing w:line="460" w:lineRule="exact"/>
        <w:ind w:firstLine="541" w:firstLineChars="246"/>
        <w:rPr>
          <w:rFonts w:ascii="宋体" w:hAnsi="宋体"/>
          <w:sz w:val="22"/>
          <w:szCs w:val="22"/>
        </w:rPr>
      </w:pPr>
      <w:r>
        <w:rPr>
          <w:rFonts w:ascii="宋体" w:hAnsi="宋体"/>
          <w:sz w:val="22"/>
          <w:szCs w:val="22"/>
        </w:rPr>
        <w:t>13.2采购组织机构将在收到供应商递交的《疑问函》后三个工作日内以书面形式答复投标供应商提出的问题，并将不包含问题来源的答复通知所有已获取《</w:t>
      </w:r>
      <w:r>
        <w:rPr>
          <w:rFonts w:hint="eastAsia" w:ascii="宋体" w:hAnsi="宋体"/>
          <w:sz w:val="22"/>
          <w:szCs w:val="22"/>
          <w:lang w:eastAsia="zh-CN"/>
        </w:rPr>
        <w:t>采购</w:t>
      </w:r>
      <w:r>
        <w:rPr>
          <w:rFonts w:ascii="宋体" w:hAnsi="宋体"/>
          <w:sz w:val="22"/>
          <w:szCs w:val="22"/>
        </w:rPr>
        <w:t xml:space="preserve">文件》的供应商。 </w:t>
      </w:r>
    </w:p>
    <w:p>
      <w:pPr>
        <w:snapToGrid w:val="0"/>
        <w:spacing w:line="460" w:lineRule="exact"/>
        <w:ind w:firstLine="541" w:firstLineChars="246"/>
        <w:rPr>
          <w:rFonts w:ascii="宋体" w:hAnsi="宋体"/>
          <w:sz w:val="22"/>
          <w:szCs w:val="22"/>
        </w:rPr>
      </w:pPr>
      <w:r>
        <w:rPr>
          <w:rFonts w:ascii="宋体" w:hAnsi="宋体"/>
          <w:sz w:val="22"/>
          <w:szCs w:val="22"/>
        </w:rPr>
        <w:t>13.3采购组织机构对已发出的《</w:t>
      </w:r>
      <w:r>
        <w:rPr>
          <w:rFonts w:hint="eastAsia" w:ascii="宋体" w:hAnsi="宋体"/>
          <w:sz w:val="22"/>
          <w:szCs w:val="22"/>
          <w:lang w:eastAsia="zh-CN"/>
        </w:rPr>
        <w:t>采购</w:t>
      </w:r>
      <w:r>
        <w:rPr>
          <w:rFonts w:ascii="宋体" w:hAnsi="宋体"/>
          <w:sz w:val="22"/>
          <w:szCs w:val="22"/>
        </w:rPr>
        <w:t>文件》进行必要澄清、答复、修改或补充的，将在《</w:t>
      </w:r>
      <w:r>
        <w:rPr>
          <w:rFonts w:hint="eastAsia" w:ascii="宋体" w:hAnsi="宋体"/>
          <w:sz w:val="22"/>
          <w:szCs w:val="22"/>
          <w:lang w:eastAsia="zh-CN"/>
        </w:rPr>
        <w:t>采购</w:t>
      </w:r>
      <w:r>
        <w:rPr>
          <w:rFonts w:ascii="宋体" w:hAnsi="宋体"/>
          <w:sz w:val="22"/>
          <w:szCs w:val="22"/>
        </w:rPr>
        <w:t>文件》要求提交《</w:t>
      </w:r>
      <w:r>
        <w:rPr>
          <w:rFonts w:hint="eastAsia" w:ascii="宋体" w:hAnsi="宋体"/>
          <w:sz w:val="22"/>
          <w:szCs w:val="22"/>
          <w:lang w:eastAsia="zh-CN"/>
        </w:rPr>
        <w:t>采购</w:t>
      </w:r>
      <w:r>
        <w:rPr>
          <w:rFonts w:ascii="宋体" w:hAnsi="宋体"/>
          <w:sz w:val="22"/>
          <w:szCs w:val="22"/>
        </w:rPr>
        <w:t>文件》截止时间三日前，在财政部门指定的政府采购信息发布媒体（原</w:t>
      </w:r>
      <w:r>
        <w:rPr>
          <w:rFonts w:hint="eastAsia" w:ascii="宋体" w:hAnsi="宋体"/>
          <w:sz w:val="22"/>
          <w:szCs w:val="22"/>
          <w:lang w:eastAsia="zh-CN"/>
        </w:rPr>
        <w:t>竞争性磋商</w:t>
      </w:r>
      <w:r>
        <w:rPr>
          <w:rFonts w:ascii="宋体" w:hAnsi="宋体"/>
          <w:sz w:val="22"/>
          <w:szCs w:val="22"/>
        </w:rPr>
        <w:t>采购公告媒体）发布上发布更正公告，并以书面形式通知所有已获取《</w:t>
      </w:r>
      <w:r>
        <w:rPr>
          <w:rFonts w:hint="eastAsia" w:ascii="宋体" w:hAnsi="宋体"/>
          <w:sz w:val="22"/>
          <w:szCs w:val="22"/>
          <w:lang w:eastAsia="zh-CN"/>
        </w:rPr>
        <w:t>采购</w:t>
      </w:r>
      <w:r>
        <w:rPr>
          <w:rFonts w:ascii="宋体" w:hAnsi="宋体"/>
          <w:sz w:val="22"/>
          <w:szCs w:val="22"/>
        </w:rPr>
        <w:t xml:space="preserve">文件》的供应商。 </w:t>
      </w:r>
    </w:p>
    <w:p>
      <w:pPr>
        <w:snapToGrid w:val="0"/>
        <w:spacing w:line="460" w:lineRule="exact"/>
        <w:ind w:firstLine="541" w:firstLineChars="246"/>
        <w:rPr>
          <w:rFonts w:ascii="宋体" w:hAnsi="宋体"/>
          <w:sz w:val="22"/>
          <w:szCs w:val="22"/>
        </w:rPr>
      </w:pPr>
      <w:r>
        <w:rPr>
          <w:rFonts w:ascii="宋体" w:hAnsi="宋体"/>
          <w:sz w:val="22"/>
          <w:szCs w:val="22"/>
        </w:rPr>
        <w:t>13.4补充（或更正）文件发出后，投标供应商如认为补充（或更正）事项影响到</w:t>
      </w:r>
      <w:r>
        <w:rPr>
          <w:rFonts w:hint="eastAsia" w:ascii="宋体" w:hAnsi="宋体"/>
          <w:sz w:val="22"/>
          <w:szCs w:val="22"/>
        </w:rPr>
        <w:t>磋商响应文件</w:t>
      </w:r>
      <w:r>
        <w:rPr>
          <w:rFonts w:ascii="宋体" w:hAnsi="宋体"/>
          <w:sz w:val="22"/>
          <w:szCs w:val="22"/>
        </w:rPr>
        <w:t xml:space="preserve">的编制，需要延长投标截止时间和开标时间的，应当在收到补充（或更正）文件后24小时内将意见及理由以书面形式向采购代理机构提出。 </w:t>
      </w:r>
    </w:p>
    <w:p>
      <w:pPr>
        <w:snapToGrid w:val="0"/>
        <w:spacing w:line="460" w:lineRule="exact"/>
        <w:ind w:firstLine="541" w:firstLineChars="246"/>
        <w:rPr>
          <w:rFonts w:ascii="宋体" w:hAnsi="宋体"/>
          <w:sz w:val="22"/>
          <w:szCs w:val="22"/>
        </w:rPr>
      </w:pPr>
      <w:r>
        <w:rPr>
          <w:rFonts w:ascii="宋体" w:hAnsi="宋体"/>
          <w:sz w:val="22"/>
          <w:szCs w:val="22"/>
        </w:rPr>
        <w:t>13.5《</w:t>
      </w:r>
      <w:r>
        <w:rPr>
          <w:rFonts w:hint="eastAsia" w:ascii="宋体" w:hAnsi="宋体"/>
          <w:sz w:val="22"/>
          <w:szCs w:val="22"/>
          <w:lang w:eastAsia="zh-CN"/>
        </w:rPr>
        <w:t>采购</w:t>
      </w:r>
      <w:r>
        <w:rPr>
          <w:rFonts w:ascii="宋体" w:hAnsi="宋体"/>
          <w:sz w:val="22"/>
          <w:szCs w:val="22"/>
        </w:rPr>
        <w:t>文件》澄清、答复、修改、补充的内容为《</w:t>
      </w:r>
      <w:r>
        <w:rPr>
          <w:rFonts w:hint="eastAsia" w:ascii="宋体" w:hAnsi="宋体"/>
          <w:sz w:val="22"/>
          <w:szCs w:val="22"/>
          <w:lang w:eastAsia="zh-CN"/>
        </w:rPr>
        <w:t>采购</w:t>
      </w:r>
      <w:r>
        <w:rPr>
          <w:rFonts w:ascii="宋体" w:hAnsi="宋体"/>
          <w:sz w:val="22"/>
          <w:szCs w:val="22"/>
        </w:rPr>
        <w:t>文件》的组成部分。当《</w:t>
      </w:r>
      <w:r>
        <w:rPr>
          <w:rFonts w:hint="eastAsia" w:ascii="宋体" w:hAnsi="宋体"/>
          <w:sz w:val="22"/>
          <w:szCs w:val="22"/>
          <w:lang w:eastAsia="zh-CN"/>
        </w:rPr>
        <w:t>采购</w:t>
      </w:r>
      <w:r>
        <w:rPr>
          <w:rFonts w:ascii="宋体" w:hAnsi="宋体"/>
          <w:sz w:val="22"/>
          <w:szCs w:val="22"/>
        </w:rPr>
        <w:t>文件》与《</w:t>
      </w:r>
      <w:r>
        <w:rPr>
          <w:rFonts w:hint="eastAsia" w:ascii="宋体" w:hAnsi="宋体"/>
          <w:sz w:val="22"/>
          <w:szCs w:val="22"/>
          <w:lang w:eastAsia="zh-CN"/>
        </w:rPr>
        <w:t>采购</w:t>
      </w:r>
      <w:r>
        <w:rPr>
          <w:rFonts w:ascii="宋体" w:hAnsi="宋体"/>
          <w:sz w:val="22"/>
          <w:szCs w:val="22"/>
        </w:rPr>
        <w:t xml:space="preserve">文件》的答复、澄清、修改、补充通知就同一内容的表述不一致时，以最后发出的书面文件为准。 </w:t>
      </w:r>
    </w:p>
    <w:p>
      <w:pPr>
        <w:snapToGrid w:val="0"/>
        <w:spacing w:line="460" w:lineRule="exact"/>
        <w:ind w:firstLine="541" w:firstLineChars="246"/>
        <w:rPr>
          <w:rFonts w:ascii="宋体" w:hAnsi="宋体"/>
          <w:sz w:val="22"/>
          <w:szCs w:val="22"/>
        </w:rPr>
      </w:pPr>
      <w:r>
        <w:rPr>
          <w:rFonts w:ascii="宋体" w:hAnsi="宋体"/>
          <w:sz w:val="22"/>
          <w:szCs w:val="22"/>
        </w:rPr>
        <w:t>13.6《</w:t>
      </w:r>
      <w:r>
        <w:rPr>
          <w:rFonts w:hint="eastAsia" w:ascii="宋体" w:hAnsi="宋体"/>
          <w:sz w:val="22"/>
          <w:szCs w:val="22"/>
          <w:lang w:eastAsia="zh-CN"/>
        </w:rPr>
        <w:t>采购</w:t>
      </w:r>
      <w:r>
        <w:rPr>
          <w:rFonts w:ascii="宋体" w:hAnsi="宋体"/>
          <w:sz w:val="22"/>
          <w:szCs w:val="22"/>
        </w:rPr>
        <w:t xml:space="preserve">文件》的澄清、答复、修改或补充均通过采购组织机构以法定形式发布。 </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13.7</w:t>
      </w:r>
      <w:r>
        <w:rPr>
          <w:rFonts w:ascii="宋体" w:hAnsi="宋体"/>
          <w:sz w:val="22"/>
          <w:szCs w:val="22"/>
        </w:rPr>
        <w:t>、《</w:t>
      </w:r>
      <w:r>
        <w:rPr>
          <w:rFonts w:hint="eastAsia" w:ascii="宋体" w:hAnsi="宋体"/>
          <w:sz w:val="22"/>
          <w:szCs w:val="22"/>
        </w:rPr>
        <w:t>磋商响应文件</w:t>
      </w:r>
      <w:r>
        <w:rPr>
          <w:rFonts w:ascii="宋体" w:hAnsi="宋体"/>
          <w:sz w:val="22"/>
          <w:szCs w:val="22"/>
        </w:rPr>
        <w:t xml:space="preserve">》的编制 </w:t>
      </w:r>
    </w:p>
    <w:p>
      <w:pPr>
        <w:snapToGrid w:val="0"/>
        <w:spacing w:line="460" w:lineRule="exact"/>
        <w:ind w:firstLine="541" w:firstLineChars="246"/>
        <w:rPr>
          <w:rFonts w:hint="eastAsia" w:ascii="宋体" w:hAnsi="宋体" w:cs="宋体"/>
          <w:sz w:val="22"/>
          <w:szCs w:val="22"/>
          <w:lang w:val="en-US" w:eastAsia="zh-CN"/>
        </w:rPr>
      </w:pPr>
      <w:r>
        <w:rPr>
          <w:rFonts w:hint="eastAsia" w:ascii="宋体" w:hAnsi="宋体" w:cs="宋体"/>
          <w:sz w:val="22"/>
          <w:szCs w:val="22"/>
          <w:lang w:val="en-US" w:eastAsia="zh-CN"/>
        </w:rPr>
        <w:t>13.7.1</w:t>
      </w:r>
      <w:r>
        <w:rPr>
          <w:rFonts w:hint="eastAsia" w:ascii="宋体" w:hAnsi="宋体"/>
          <w:sz w:val="22"/>
          <w:szCs w:val="22"/>
          <w:lang w:eastAsia="zh-CN"/>
        </w:rPr>
        <w:t>磋商响应文件</w:t>
      </w:r>
      <w:r>
        <w:rPr>
          <w:rFonts w:hint="eastAsia" w:ascii="宋体" w:hAnsi="宋体" w:cs="宋体"/>
          <w:sz w:val="22"/>
          <w:szCs w:val="22"/>
          <w:lang w:val="en-US" w:eastAsia="zh-CN"/>
        </w:rPr>
        <w:t>编制</w:t>
      </w:r>
    </w:p>
    <w:p>
      <w:pPr>
        <w:spacing w:line="360" w:lineRule="auto"/>
        <w:ind w:firstLine="440" w:firstLineChars="200"/>
        <w:rPr>
          <w:rFonts w:hint="eastAsia" w:ascii="宋体" w:hAnsi="宋体" w:cs="宋体"/>
          <w:b/>
          <w:color w:val="000000"/>
          <w:sz w:val="22"/>
          <w:szCs w:val="22"/>
        </w:rPr>
      </w:pPr>
      <w:r>
        <w:rPr>
          <w:rFonts w:hint="eastAsia" w:ascii="宋体" w:hAnsi="宋体" w:cs="宋体"/>
          <w:sz w:val="22"/>
          <w:szCs w:val="22"/>
        </w:rPr>
        <w:t>1）</w:t>
      </w:r>
      <w:r>
        <w:rPr>
          <w:rFonts w:hint="eastAsia" w:ascii="宋体" w:hAnsi="宋体" w:cs="宋体"/>
          <w:b/>
          <w:color w:val="000000"/>
          <w:sz w:val="22"/>
          <w:szCs w:val="22"/>
        </w:rPr>
        <w:t>本项目通过“政府采购云平台（www.zcygov.cn）”实行在线投标响应（电子投标）。供应商应通过“政采云电子交易客户端”，并按照本</w:t>
      </w:r>
      <w:r>
        <w:rPr>
          <w:rFonts w:hint="eastAsia" w:ascii="宋体" w:hAnsi="宋体" w:cs="宋体"/>
          <w:b/>
          <w:color w:val="000000"/>
          <w:sz w:val="22"/>
          <w:szCs w:val="22"/>
          <w:lang w:eastAsia="zh-CN"/>
        </w:rPr>
        <w:t>采购</w:t>
      </w:r>
      <w:r>
        <w:rPr>
          <w:rFonts w:hint="eastAsia" w:ascii="宋体" w:hAnsi="宋体" w:cs="宋体"/>
          <w:b/>
          <w:color w:val="000000"/>
          <w:sz w:val="22"/>
          <w:szCs w:val="22"/>
        </w:rPr>
        <w:t>文件和“政府采购云平台”的要求编制并加密</w:t>
      </w:r>
      <w:r>
        <w:rPr>
          <w:rFonts w:hint="eastAsia" w:ascii="宋体" w:hAnsi="宋体" w:cs="宋体"/>
          <w:b/>
          <w:bCs/>
          <w:color w:val="000000"/>
          <w:sz w:val="22"/>
        </w:rPr>
        <w:t>磋商响应文件</w:t>
      </w:r>
      <w:r>
        <w:rPr>
          <w:rFonts w:hint="eastAsia" w:ascii="宋体" w:hAnsi="宋体" w:cs="宋体"/>
          <w:b/>
          <w:color w:val="000000"/>
          <w:sz w:val="22"/>
          <w:szCs w:val="22"/>
        </w:rPr>
        <w:t>。未按规定加密的</w:t>
      </w:r>
      <w:r>
        <w:rPr>
          <w:rFonts w:hint="eastAsia" w:ascii="宋体" w:hAnsi="宋体" w:cs="宋体"/>
          <w:b/>
          <w:bCs/>
          <w:color w:val="000000"/>
          <w:sz w:val="22"/>
        </w:rPr>
        <w:t>磋商响应文件</w:t>
      </w:r>
      <w:r>
        <w:rPr>
          <w:rFonts w:hint="eastAsia" w:ascii="宋体" w:hAnsi="宋体" w:cs="宋体"/>
          <w:b/>
          <w:color w:val="000000"/>
          <w:sz w:val="22"/>
          <w:szCs w:val="22"/>
        </w:rPr>
        <w:t>，电子交易平台将拒收。</w:t>
      </w:r>
    </w:p>
    <w:p>
      <w:pPr>
        <w:spacing w:line="360" w:lineRule="auto"/>
        <w:ind w:firstLine="387" w:firstLineChars="175"/>
        <w:rPr>
          <w:rFonts w:hint="eastAsia" w:ascii="宋体" w:hAnsi="宋体" w:cs="宋体"/>
          <w:b/>
          <w:color w:val="000000"/>
          <w:kern w:val="0"/>
          <w:sz w:val="22"/>
          <w:szCs w:val="22"/>
        </w:rPr>
      </w:pPr>
      <w:r>
        <w:rPr>
          <w:rFonts w:hint="eastAsia" w:ascii="宋体" w:hAnsi="宋体" w:cs="宋体"/>
          <w:b/>
          <w:color w:val="000000"/>
          <w:kern w:val="0"/>
          <w:sz w:val="22"/>
          <w:szCs w:val="22"/>
        </w:rPr>
        <w:t>2） 投标供应商应当按照本章节 “</w:t>
      </w:r>
      <w:r>
        <w:rPr>
          <w:rFonts w:hint="eastAsia" w:ascii="宋体" w:hAnsi="宋体" w:cs="宋体"/>
          <w:b/>
          <w:bCs/>
          <w:color w:val="000000"/>
          <w:sz w:val="22"/>
        </w:rPr>
        <w:t>磋商响应文件</w:t>
      </w:r>
      <w:r>
        <w:rPr>
          <w:rFonts w:hint="eastAsia" w:ascii="宋体" w:hAnsi="宋体" w:cs="宋体"/>
          <w:b/>
          <w:color w:val="000000"/>
          <w:kern w:val="0"/>
          <w:sz w:val="22"/>
          <w:szCs w:val="22"/>
        </w:rPr>
        <w:t>组成”规定的内容及顺序在“政采云电子交易客户端”编制</w:t>
      </w:r>
      <w:r>
        <w:rPr>
          <w:rFonts w:hint="eastAsia" w:ascii="宋体" w:hAnsi="宋体" w:cs="宋体"/>
          <w:b/>
          <w:bCs/>
          <w:color w:val="000000"/>
          <w:sz w:val="22"/>
        </w:rPr>
        <w:t>磋商响应文件</w:t>
      </w:r>
      <w:r>
        <w:rPr>
          <w:rFonts w:hint="eastAsia" w:ascii="宋体" w:hAnsi="宋体" w:cs="宋体"/>
          <w:b/>
          <w:color w:val="000000"/>
          <w:kern w:val="0"/>
          <w:sz w:val="22"/>
          <w:szCs w:val="22"/>
        </w:rPr>
        <w:t>。</w:t>
      </w:r>
    </w:p>
    <w:p>
      <w:pPr>
        <w:spacing w:line="360" w:lineRule="auto"/>
        <w:ind w:firstLine="387" w:firstLineChars="175"/>
        <w:rPr>
          <w:rFonts w:hint="eastAsia" w:ascii="宋体" w:hAnsi="宋体" w:cs="宋体"/>
          <w:sz w:val="22"/>
          <w:szCs w:val="22"/>
        </w:rPr>
      </w:pPr>
      <w:r>
        <w:rPr>
          <w:rFonts w:hint="eastAsia" w:ascii="宋体" w:hAnsi="宋体" w:cs="宋体"/>
          <w:b/>
          <w:color w:val="000000"/>
          <w:sz w:val="22"/>
          <w:szCs w:val="22"/>
        </w:rPr>
        <w:t>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应提交的有关格式范例》未提供格式的，请各投标单位自行拟定格式，并按</w:t>
      </w:r>
      <w:r>
        <w:rPr>
          <w:rFonts w:hint="eastAsia" w:ascii="宋体" w:hAnsi="宋体" w:cs="宋体"/>
          <w:b/>
          <w:color w:val="000000"/>
          <w:sz w:val="22"/>
          <w:szCs w:val="22"/>
          <w:lang w:eastAsia="zh-CN"/>
        </w:rPr>
        <w:t>采购</w:t>
      </w:r>
      <w:r>
        <w:rPr>
          <w:rFonts w:hint="eastAsia" w:ascii="宋体" w:hAnsi="宋体" w:cs="宋体"/>
          <w:b/>
          <w:color w:val="000000"/>
          <w:sz w:val="22"/>
          <w:szCs w:val="22"/>
        </w:rPr>
        <w:t>文件要求进行</w:t>
      </w:r>
      <w:r>
        <w:rPr>
          <w:rFonts w:hint="eastAsia" w:ascii="宋体" w:hAnsi="宋体" w:cs="宋体"/>
          <w:b/>
          <w:color w:val="0000FF"/>
          <w:sz w:val="22"/>
          <w:szCs w:val="22"/>
          <w:highlight w:val="yellow"/>
        </w:rPr>
        <w:t>电子签章（电子公章）</w:t>
      </w:r>
      <w:r>
        <w:rPr>
          <w:rFonts w:hint="eastAsia" w:ascii="宋体" w:hAnsi="宋体" w:cs="宋体"/>
          <w:b/>
          <w:color w:val="000000"/>
          <w:sz w:val="22"/>
          <w:szCs w:val="22"/>
        </w:rPr>
        <w:t>，否则视为未提供。</w:t>
      </w:r>
    </w:p>
    <w:p>
      <w:pPr>
        <w:spacing w:line="360" w:lineRule="auto"/>
        <w:ind w:firstLine="385" w:firstLineChars="175"/>
        <w:rPr>
          <w:rFonts w:hint="eastAsia" w:ascii="宋体" w:hAnsi="宋体" w:cs="宋体"/>
          <w:color w:val="000000"/>
          <w:kern w:val="0"/>
          <w:sz w:val="22"/>
          <w:szCs w:val="22"/>
        </w:rPr>
      </w:pPr>
      <w:r>
        <w:rPr>
          <w:rFonts w:hint="eastAsia" w:ascii="宋体" w:hAnsi="宋体" w:cs="宋体"/>
          <w:color w:val="000000"/>
          <w:kern w:val="0"/>
          <w:sz w:val="22"/>
          <w:szCs w:val="22"/>
        </w:rPr>
        <w:t>4） 磋商响应文件内容不完整、编排混乱、未设置评审关联点或设置错误评审关联点导致</w:t>
      </w:r>
      <w:r>
        <w:rPr>
          <w:rFonts w:hint="eastAsia" w:ascii="宋体" w:hAnsi="宋体"/>
          <w:sz w:val="22"/>
          <w:szCs w:val="22"/>
          <w:lang w:eastAsia="zh-CN"/>
        </w:rPr>
        <w:t>磋商响应文件</w:t>
      </w:r>
      <w:r>
        <w:rPr>
          <w:rFonts w:hint="eastAsia" w:ascii="宋体" w:hAnsi="宋体" w:cs="宋体"/>
          <w:color w:val="000000"/>
          <w:kern w:val="0"/>
          <w:sz w:val="22"/>
          <w:szCs w:val="22"/>
        </w:rPr>
        <w:t>被误读、漏读或者查找不到相关内容的，是投标供应商的责任。</w:t>
      </w:r>
    </w:p>
    <w:p>
      <w:pPr>
        <w:spacing w:line="360" w:lineRule="auto"/>
        <w:ind w:firstLine="385" w:firstLineChars="175"/>
        <w:rPr>
          <w:rFonts w:hint="eastAsia" w:ascii="宋体" w:hAnsi="宋体" w:cs="宋体"/>
          <w:color w:val="000000"/>
          <w:kern w:val="0"/>
          <w:sz w:val="22"/>
          <w:szCs w:val="22"/>
        </w:rPr>
      </w:pPr>
      <w:r>
        <w:rPr>
          <w:rFonts w:hint="eastAsia" w:ascii="宋体" w:hAnsi="宋体" w:cs="宋体"/>
          <w:color w:val="000000"/>
          <w:kern w:val="0"/>
          <w:sz w:val="22"/>
          <w:szCs w:val="22"/>
        </w:rPr>
        <w:t>5） 磋商响应文件因字迹潦草或表达不清所引起的后果由投标供应商负责。</w:t>
      </w:r>
    </w:p>
    <w:p>
      <w:pPr>
        <w:spacing w:line="360" w:lineRule="auto"/>
        <w:ind w:firstLine="385" w:firstLineChars="175"/>
        <w:rPr>
          <w:rFonts w:hint="eastAsia" w:ascii="宋体" w:hAnsi="宋体" w:cs="宋体"/>
          <w:color w:val="000000"/>
          <w:kern w:val="0"/>
          <w:sz w:val="22"/>
          <w:szCs w:val="22"/>
        </w:rPr>
      </w:pPr>
      <w:r>
        <w:rPr>
          <w:rFonts w:hint="eastAsia" w:ascii="宋体" w:hAnsi="宋体" w:cs="宋体"/>
          <w:color w:val="000000"/>
          <w:kern w:val="0"/>
          <w:sz w:val="22"/>
          <w:szCs w:val="22"/>
        </w:rPr>
        <w:t>6） 投标供应商没有按照本章节 “磋商响应文件组成”要求提供全部资料，或者没有仔细阅读</w:t>
      </w:r>
      <w:r>
        <w:rPr>
          <w:rFonts w:hint="eastAsia" w:ascii="宋体" w:hAnsi="宋体" w:cs="宋体"/>
          <w:color w:val="000000"/>
          <w:kern w:val="0"/>
          <w:sz w:val="22"/>
          <w:szCs w:val="22"/>
          <w:lang w:eastAsia="zh-CN"/>
        </w:rPr>
        <w:t>采购</w:t>
      </w:r>
      <w:r>
        <w:rPr>
          <w:rFonts w:hint="eastAsia" w:ascii="宋体" w:hAnsi="宋体" w:cs="宋体"/>
          <w:color w:val="000000"/>
          <w:kern w:val="0"/>
          <w:sz w:val="22"/>
          <w:szCs w:val="22"/>
        </w:rPr>
        <w:t>文件，或者没有对</w:t>
      </w:r>
      <w:r>
        <w:rPr>
          <w:rFonts w:hint="eastAsia" w:ascii="宋体" w:hAnsi="宋体" w:cs="宋体"/>
          <w:color w:val="000000"/>
          <w:kern w:val="0"/>
          <w:sz w:val="22"/>
          <w:szCs w:val="22"/>
          <w:lang w:eastAsia="zh-CN"/>
        </w:rPr>
        <w:t>采购</w:t>
      </w:r>
      <w:r>
        <w:rPr>
          <w:rFonts w:hint="eastAsia" w:ascii="宋体" w:hAnsi="宋体" w:cs="宋体"/>
          <w:color w:val="000000"/>
          <w:kern w:val="0"/>
          <w:sz w:val="22"/>
          <w:szCs w:val="22"/>
        </w:rPr>
        <w:t>文件在各方面的要求作出实质性响应是投标供应商的风险，由此造成的一切后果由投标供应商自行承担。</w:t>
      </w:r>
    </w:p>
    <w:p>
      <w:pPr>
        <w:autoSpaceDE w:val="0"/>
        <w:autoSpaceDN w:val="0"/>
        <w:adjustRightInd w:val="0"/>
        <w:snapToGrid w:val="0"/>
        <w:spacing w:line="360" w:lineRule="auto"/>
        <w:ind w:left="399" w:leftChars="190"/>
        <w:textAlignment w:val="bottom"/>
        <w:rPr>
          <w:rFonts w:hint="eastAsia" w:ascii="宋体" w:hAnsi="宋体" w:cs="宋体"/>
          <w:b/>
          <w:bCs/>
          <w:sz w:val="22"/>
          <w:szCs w:val="22"/>
        </w:rPr>
      </w:pPr>
      <w:r>
        <w:rPr>
          <w:rFonts w:hint="eastAsia" w:ascii="宋体" w:hAnsi="宋体" w:cs="宋体"/>
          <w:b/>
          <w:bCs/>
          <w:sz w:val="22"/>
          <w:szCs w:val="22"/>
        </w:rPr>
        <w:t>7） 磋商响应文件所提供的相关材料的尺寸和清晰度应该能够在电脑上被阅读、识别和判断。磋商响应文件内容无法阅读、识别和判断的，视为未提供。</w:t>
      </w:r>
    </w:p>
    <w:p>
      <w:pPr>
        <w:autoSpaceDE w:val="0"/>
        <w:autoSpaceDN w:val="0"/>
        <w:adjustRightInd w:val="0"/>
        <w:snapToGrid w:val="0"/>
        <w:spacing w:line="360" w:lineRule="auto"/>
        <w:ind w:left="399" w:leftChars="190"/>
        <w:textAlignment w:val="bottom"/>
        <w:rPr>
          <w:rFonts w:hint="eastAsia" w:ascii="宋体" w:hAnsi="宋体" w:cs="宋体"/>
          <w:b/>
          <w:bCs/>
          <w:sz w:val="22"/>
          <w:szCs w:val="22"/>
        </w:rPr>
      </w:pPr>
      <w:r>
        <w:rPr>
          <w:rFonts w:hint="eastAsia" w:ascii="宋体" w:hAnsi="宋体" w:cs="宋体"/>
          <w:b/>
          <w:bCs/>
          <w:sz w:val="22"/>
          <w:szCs w:val="22"/>
        </w:rPr>
        <w:t>8）磋商响应文件的容量大小须符合电子交易平台规定。</w:t>
      </w:r>
    </w:p>
    <w:p>
      <w:pPr>
        <w:autoSpaceDE w:val="0"/>
        <w:autoSpaceDN w:val="0"/>
        <w:adjustRightInd w:val="0"/>
        <w:snapToGrid w:val="0"/>
        <w:spacing w:line="360" w:lineRule="auto"/>
        <w:ind w:left="399" w:leftChars="190"/>
        <w:textAlignment w:val="bottom"/>
        <w:rPr>
          <w:rFonts w:hint="eastAsia" w:ascii="宋体" w:hAnsi="宋体" w:cs="宋体"/>
          <w:sz w:val="22"/>
          <w:szCs w:val="22"/>
        </w:rPr>
      </w:pPr>
      <w:r>
        <w:rPr>
          <w:rFonts w:hint="eastAsia" w:ascii="宋体" w:hAnsi="宋体" w:cs="宋体"/>
          <w:b/>
          <w:bCs/>
          <w:sz w:val="22"/>
          <w:szCs w:val="22"/>
        </w:rPr>
        <w:t>9）供应商在使用电子交易平台进行投标的过程中遇到涉及平台使用的任何问题，可致电平台技  术支持热线咨询，联系方式：400-881-7190。</w:t>
      </w:r>
    </w:p>
    <w:p>
      <w:pPr>
        <w:pStyle w:val="5"/>
        <w:numPr>
          <w:ilvl w:val="2"/>
          <w:numId w:val="0"/>
        </w:numPr>
        <w:tabs>
          <w:tab w:val="left" w:pos="720"/>
        </w:tabs>
        <w:spacing w:before="0" w:after="0"/>
        <w:ind w:firstLine="221" w:firstLineChars="100"/>
        <w:jc w:val="both"/>
        <w:rPr>
          <w:rFonts w:hint="eastAsia" w:ascii="宋体" w:hAnsi="宋体" w:eastAsia="宋体" w:cs="宋体"/>
          <w:sz w:val="22"/>
          <w:szCs w:val="22"/>
        </w:rPr>
      </w:pPr>
      <w:bookmarkStart w:id="8" w:name="_Toc13192"/>
      <w:bookmarkStart w:id="9" w:name="_Toc17841"/>
      <w:r>
        <w:rPr>
          <w:rFonts w:hint="eastAsia" w:ascii="宋体" w:hAnsi="宋体" w:cs="宋体"/>
          <w:sz w:val="22"/>
          <w:szCs w:val="22"/>
          <w:lang w:val="en-US" w:eastAsia="zh-CN"/>
        </w:rPr>
        <w:t>13.7</w:t>
      </w:r>
      <w:r>
        <w:rPr>
          <w:rFonts w:hint="eastAsia" w:ascii="宋体" w:hAnsi="宋体" w:eastAsia="宋体" w:cs="宋体"/>
          <w:sz w:val="22"/>
          <w:szCs w:val="22"/>
        </w:rPr>
        <w:t>.2磋商响应文件的签章</w:t>
      </w:r>
      <w:bookmarkEnd w:id="8"/>
      <w:bookmarkEnd w:id="9"/>
    </w:p>
    <w:p>
      <w:pPr>
        <w:pStyle w:val="5"/>
        <w:numPr>
          <w:ilvl w:val="2"/>
          <w:numId w:val="0"/>
        </w:numPr>
        <w:tabs>
          <w:tab w:val="left" w:pos="720"/>
        </w:tabs>
        <w:spacing w:before="0" w:after="0"/>
        <w:ind w:firstLine="442" w:firstLineChars="200"/>
        <w:jc w:val="both"/>
        <w:rPr>
          <w:rFonts w:hint="eastAsia" w:ascii="宋体" w:hAnsi="宋体" w:eastAsia="宋体" w:cs="宋体"/>
          <w:b/>
          <w:color w:val="000000"/>
          <w:kern w:val="0"/>
          <w:sz w:val="22"/>
          <w:szCs w:val="22"/>
        </w:rPr>
      </w:pPr>
      <w:bookmarkStart w:id="10" w:name="_Toc26349"/>
      <w:bookmarkStart w:id="11" w:name="_Toc3924"/>
      <w:r>
        <w:rPr>
          <w:rFonts w:hint="eastAsia" w:ascii="宋体" w:hAnsi="宋体" w:eastAsia="宋体" w:cs="宋体"/>
          <w:sz w:val="22"/>
          <w:szCs w:val="22"/>
        </w:rPr>
        <w:t>▲1）</w:t>
      </w:r>
      <w:r>
        <w:rPr>
          <w:rFonts w:hint="eastAsia" w:ascii="宋体" w:hAnsi="宋体" w:cs="宋体"/>
          <w:color w:val="0000FF"/>
          <w:sz w:val="22"/>
          <w:szCs w:val="22"/>
          <w:highlight w:val="yellow"/>
          <w:lang w:eastAsia="zh-CN"/>
        </w:rPr>
        <w:t>采购</w:t>
      </w:r>
      <w:r>
        <w:rPr>
          <w:rFonts w:hint="eastAsia" w:ascii="宋体" w:hAnsi="宋体" w:eastAsia="宋体" w:cs="宋体"/>
          <w:color w:val="0000FF"/>
          <w:sz w:val="22"/>
          <w:szCs w:val="22"/>
          <w:highlight w:val="yellow"/>
        </w:rPr>
        <w:t>文件中要求公章签章，统一为电子签章（电子公章）。</w:t>
      </w:r>
      <w:bookmarkEnd w:id="10"/>
      <w:bookmarkEnd w:id="11"/>
    </w:p>
    <w:p>
      <w:pPr>
        <w:spacing w:line="360" w:lineRule="auto"/>
        <w:ind w:firstLine="424" w:firstLineChars="192"/>
        <w:rPr>
          <w:rFonts w:hint="eastAsia" w:ascii="宋体" w:hAnsi="宋体" w:cs="宋体"/>
          <w:b/>
          <w:color w:val="000000"/>
          <w:kern w:val="0"/>
          <w:sz w:val="22"/>
          <w:szCs w:val="22"/>
        </w:rPr>
      </w:pPr>
      <w:r>
        <w:rPr>
          <w:rFonts w:hint="eastAsia" w:ascii="宋体" w:hAnsi="宋体" w:cs="宋体"/>
          <w:b/>
          <w:color w:val="000000"/>
          <w:kern w:val="0"/>
          <w:sz w:val="22"/>
          <w:szCs w:val="22"/>
        </w:rPr>
        <w:t>2）</w:t>
      </w:r>
      <w:r>
        <w:rPr>
          <w:rFonts w:hint="eastAsia" w:ascii="宋体" w:hAnsi="宋体" w:cs="宋体"/>
          <w:b/>
          <w:color w:val="0000FF"/>
          <w:kern w:val="0"/>
          <w:sz w:val="22"/>
          <w:szCs w:val="22"/>
          <w:highlight w:val="yellow"/>
        </w:rPr>
        <w:t>资格响应文件、商务技术响应文件、报价要求响应文件封面应由投标供应商法定代表人或其授权代表签字（或盖章），并加盖投标供应商电子签章（电子公章）。</w:t>
      </w:r>
    </w:p>
    <w:p>
      <w:pPr>
        <w:pStyle w:val="54"/>
        <w:spacing w:line="360" w:lineRule="auto"/>
        <w:rPr>
          <w:rFonts w:hint="eastAsia" w:ascii="宋体" w:hAnsi="宋体" w:cs="宋体"/>
          <w:sz w:val="22"/>
          <w:szCs w:val="22"/>
        </w:rPr>
      </w:pPr>
      <w:r>
        <w:rPr>
          <w:rFonts w:hint="eastAsia" w:ascii="宋体" w:hAnsi="宋体" w:cs="宋体"/>
          <w:b/>
          <w:color w:val="000000"/>
          <w:sz w:val="22"/>
          <w:szCs w:val="22"/>
        </w:rPr>
        <w:t xml:space="preserve">    3）供应商应使用“政采云电子交易客户端”进行的电子签章并进行加密的磋商响应文件，加密的磋商响应文件中的电子公章款式是否跟实际公章一致，都是有效签章。</w:t>
      </w:r>
    </w:p>
    <w:p>
      <w:pPr>
        <w:pStyle w:val="2"/>
        <w:spacing w:line="360" w:lineRule="auto"/>
        <w:ind w:left="0" w:firstLine="442" w:firstLineChars="200"/>
        <w:rPr>
          <w:rFonts w:hint="eastAsia" w:ascii="宋体" w:hAnsi="宋体" w:cs="宋体"/>
          <w:sz w:val="22"/>
          <w:szCs w:val="22"/>
        </w:rPr>
      </w:pPr>
      <w:r>
        <w:rPr>
          <w:rFonts w:hint="eastAsia" w:ascii="宋体" w:hAnsi="宋体" w:cs="宋体"/>
          <w:b/>
          <w:color w:val="000000"/>
          <w:kern w:val="0"/>
          <w:sz w:val="22"/>
          <w:szCs w:val="22"/>
        </w:rPr>
        <w:t>4）磋商响应文件应使用电子交易平台 CA 数字证书进行电子签章。电子交易平台 CA 数字证书仅限于本单位在电子交易活动中使用，不得转让和出借。申领流程：浙江政府采购网-下载专区-电子交易客户端-CA 驱动和申领流程。电子签章操作指南详见政府采购云平台---服务中心--帮助文档--项目采购--电子招投标--《政府采购项目电子交易管理操作指南-供应商》。</w:t>
      </w:r>
    </w:p>
    <w:p>
      <w:pPr>
        <w:pStyle w:val="5"/>
        <w:tabs>
          <w:tab w:val="left" w:pos="720"/>
        </w:tabs>
        <w:spacing w:before="0" w:after="0"/>
        <w:ind w:left="720" w:hanging="720"/>
        <w:jc w:val="both"/>
        <w:rPr>
          <w:rFonts w:hint="eastAsia" w:ascii="宋体" w:hAnsi="宋体" w:eastAsia="宋体" w:cs="宋体"/>
          <w:sz w:val="22"/>
          <w:szCs w:val="22"/>
        </w:rPr>
      </w:pPr>
      <w:bookmarkStart w:id="12" w:name="_Toc18877"/>
      <w:bookmarkStart w:id="13" w:name="_Toc20270"/>
      <w:r>
        <w:rPr>
          <w:rFonts w:hint="eastAsia" w:ascii="宋体" w:hAnsi="宋体" w:cs="宋体"/>
          <w:sz w:val="22"/>
          <w:szCs w:val="22"/>
          <w:lang w:val="en-US" w:eastAsia="zh-CN"/>
        </w:rPr>
        <w:t>1</w:t>
      </w:r>
      <w:r>
        <w:rPr>
          <w:rFonts w:hint="eastAsia" w:ascii="宋体" w:hAnsi="宋体" w:eastAsia="宋体" w:cs="宋体"/>
          <w:sz w:val="22"/>
          <w:szCs w:val="22"/>
        </w:rPr>
        <w:t>3.</w:t>
      </w:r>
      <w:r>
        <w:rPr>
          <w:rFonts w:hint="eastAsia" w:ascii="宋体" w:hAnsi="宋体" w:cs="宋体"/>
          <w:sz w:val="22"/>
          <w:szCs w:val="22"/>
          <w:lang w:val="en-US" w:eastAsia="zh-CN"/>
        </w:rPr>
        <w:t>7.</w:t>
      </w:r>
      <w:r>
        <w:rPr>
          <w:rFonts w:hint="eastAsia" w:ascii="宋体" w:hAnsi="宋体" w:eastAsia="宋体" w:cs="宋体"/>
          <w:sz w:val="22"/>
          <w:szCs w:val="22"/>
        </w:rPr>
        <w:t>3磋商响应文件的形式</w:t>
      </w:r>
      <w:bookmarkEnd w:id="12"/>
      <w:bookmarkEnd w:id="13"/>
    </w:p>
    <w:p>
      <w:pPr>
        <w:spacing w:line="360" w:lineRule="auto"/>
        <w:ind w:firstLine="389" w:firstLineChars="176"/>
        <w:rPr>
          <w:rFonts w:hint="eastAsia" w:ascii="宋体" w:hAnsi="宋体" w:cs="宋体"/>
          <w:color w:val="000000"/>
          <w:sz w:val="22"/>
          <w:szCs w:val="22"/>
        </w:rPr>
      </w:pPr>
      <w:r>
        <w:rPr>
          <w:rFonts w:hint="eastAsia" w:ascii="宋体" w:hAnsi="宋体" w:cs="宋体"/>
          <w:b/>
          <w:color w:val="000000"/>
          <w:sz w:val="22"/>
          <w:szCs w:val="22"/>
        </w:rPr>
        <w:t>1）磋商响应文件的形式：见《投标通知(邀请)书》；</w:t>
      </w:r>
    </w:p>
    <w:p>
      <w:pPr>
        <w:spacing w:line="360" w:lineRule="auto"/>
        <w:ind w:firstLine="389" w:firstLineChars="176"/>
        <w:rPr>
          <w:rFonts w:hint="eastAsia" w:ascii="宋体" w:hAnsi="宋体" w:cs="宋体"/>
          <w:b/>
          <w:color w:val="000000"/>
          <w:sz w:val="22"/>
          <w:szCs w:val="22"/>
        </w:rPr>
      </w:pPr>
      <w:r>
        <w:rPr>
          <w:rFonts w:hint="eastAsia" w:ascii="宋体" w:hAnsi="宋体" w:cs="宋体"/>
          <w:b/>
          <w:color w:val="000000"/>
          <w:sz w:val="22"/>
          <w:szCs w:val="22"/>
        </w:rPr>
        <w:t>2）“电子加密磋商响应文件”：“电子加密磋商响应文件”是指通过“政采云电子交易客户端”完成磋商响应文件编制后生成并加密的数据电文形式的磋商响应文件。</w:t>
      </w:r>
    </w:p>
    <w:p>
      <w:pPr>
        <w:spacing w:line="360" w:lineRule="auto"/>
        <w:ind w:firstLine="389" w:firstLineChars="176"/>
        <w:rPr>
          <w:rFonts w:hint="eastAsia" w:ascii="宋体" w:hAnsi="宋体" w:cs="宋体"/>
          <w:b/>
          <w:color w:val="000000"/>
          <w:sz w:val="22"/>
          <w:szCs w:val="22"/>
        </w:rPr>
      </w:pPr>
      <w:r>
        <w:rPr>
          <w:rFonts w:hint="eastAsia" w:ascii="宋体" w:hAnsi="宋体" w:cs="宋体"/>
          <w:b/>
          <w:color w:val="000000"/>
          <w:sz w:val="22"/>
          <w:szCs w:val="22"/>
        </w:rPr>
        <w:t>3）“备份磋商响应文件”：“备份磋商响应文件”是指与“电子加密磋商响应文件”同时生成的数据电文形式的电子文件（备份</w:t>
      </w:r>
      <w:r>
        <w:rPr>
          <w:rFonts w:hint="eastAsia" w:ascii="宋体" w:hAnsi="宋体" w:cs="宋体"/>
          <w:b/>
          <w:color w:val="000000"/>
          <w:sz w:val="22"/>
          <w:szCs w:val="22"/>
          <w:lang w:eastAsia="zh-CN"/>
        </w:rPr>
        <w:t>投标文件</w:t>
      </w:r>
      <w:r>
        <w:rPr>
          <w:rFonts w:hint="eastAsia" w:ascii="宋体" w:hAnsi="宋体" w:cs="宋体"/>
          <w:b/>
          <w:color w:val="000000"/>
          <w:sz w:val="22"/>
          <w:szCs w:val="22"/>
        </w:rPr>
        <w:t>），其他方式编制的“备份</w:t>
      </w:r>
      <w:r>
        <w:rPr>
          <w:rFonts w:hint="eastAsia" w:ascii="宋体" w:hAnsi="宋体" w:cs="宋体"/>
          <w:b/>
          <w:bCs/>
          <w:color w:val="000000"/>
          <w:sz w:val="22"/>
        </w:rPr>
        <w:t>磋商响应文件</w:t>
      </w:r>
      <w:r>
        <w:rPr>
          <w:rFonts w:hint="eastAsia" w:ascii="宋体" w:hAnsi="宋体" w:cs="宋体"/>
          <w:b/>
          <w:color w:val="000000"/>
          <w:sz w:val="22"/>
          <w:szCs w:val="22"/>
        </w:rPr>
        <w:t>”视为无效的“备份</w:t>
      </w:r>
      <w:r>
        <w:rPr>
          <w:rFonts w:hint="eastAsia" w:ascii="宋体" w:hAnsi="宋体" w:cs="宋体"/>
          <w:b/>
          <w:bCs/>
          <w:color w:val="000000"/>
          <w:sz w:val="22"/>
        </w:rPr>
        <w:t>磋商响应文件</w:t>
      </w:r>
      <w:r>
        <w:rPr>
          <w:rFonts w:hint="eastAsia" w:ascii="宋体" w:hAnsi="宋体" w:cs="宋体"/>
          <w:b/>
          <w:color w:val="000000"/>
          <w:sz w:val="22"/>
          <w:szCs w:val="22"/>
        </w:rPr>
        <w:t>”。</w:t>
      </w:r>
      <w:r>
        <w:rPr>
          <w:rFonts w:hint="eastAsia" w:ascii="宋体" w:hAnsi="宋体" w:cs="宋体"/>
          <w:b/>
          <w:sz w:val="22"/>
          <w:szCs w:val="22"/>
        </w:rPr>
        <w:t>通过电子交易平台成功上传递交的</w:t>
      </w:r>
      <w:r>
        <w:rPr>
          <w:rFonts w:hint="eastAsia" w:ascii="宋体" w:hAnsi="宋体" w:cs="宋体"/>
          <w:b/>
          <w:bCs/>
          <w:color w:val="000000"/>
          <w:sz w:val="22"/>
        </w:rPr>
        <w:t>磋商响应文件</w:t>
      </w:r>
      <w:r>
        <w:rPr>
          <w:rFonts w:hint="eastAsia" w:ascii="宋体" w:hAnsi="宋体" w:cs="宋体"/>
          <w:b/>
          <w:sz w:val="22"/>
          <w:szCs w:val="22"/>
        </w:rPr>
        <w:t>已按时解密的，备份</w:t>
      </w:r>
      <w:r>
        <w:rPr>
          <w:rFonts w:hint="eastAsia" w:ascii="宋体" w:hAnsi="宋体" w:cs="宋体"/>
          <w:b/>
          <w:bCs/>
          <w:color w:val="000000"/>
          <w:sz w:val="22"/>
        </w:rPr>
        <w:t>磋商响应文件</w:t>
      </w:r>
      <w:r>
        <w:rPr>
          <w:rFonts w:hint="eastAsia" w:ascii="宋体" w:hAnsi="宋体" w:cs="宋体"/>
          <w:b/>
          <w:sz w:val="22"/>
          <w:szCs w:val="22"/>
        </w:rPr>
        <w:t>自动失效。备份</w:t>
      </w:r>
      <w:r>
        <w:rPr>
          <w:rFonts w:hint="eastAsia" w:ascii="宋体" w:hAnsi="宋体" w:cs="宋体"/>
          <w:b/>
          <w:bCs/>
          <w:color w:val="000000"/>
          <w:sz w:val="22"/>
        </w:rPr>
        <w:t>磋商响应文件</w:t>
      </w:r>
      <w:r>
        <w:rPr>
          <w:rFonts w:hint="eastAsia" w:ascii="宋体" w:hAnsi="宋体" w:cs="宋体"/>
          <w:b/>
          <w:sz w:val="22"/>
          <w:szCs w:val="22"/>
        </w:rPr>
        <w:t>不是投标备选方案。</w:t>
      </w:r>
    </w:p>
    <w:p>
      <w:pPr>
        <w:snapToGrid w:val="0"/>
        <w:spacing w:line="460" w:lineRule="exact"/>
        <w:ind w:firstLine="543" w:firstLineChars="246"/>
        <w:rPr>
          <w:rFonts w:ascii="宋体" w:hAnsi="宋体"/>
          <w:sz w:val="22"/>
          <w:szCs w:val="22"/>
        </w:rPr>
      </w:pPr>
      <w:r>
        <w:rPr>
          <w:rFonts w:hint="eastAsia" w:ascii="宋体" w:hAnsi="宋体" w:cs="宋体"/>
          <w:b/>
          <w:color w:val="000000"/>
          <w:sz w:val="22"/>
          <w:szCs w:val="22"/>
        </w:rPr>
        <w:t>4）</w:t>
      </w:r>
      <w:r>
        <w:rPr>
          <w:rFonts w:hint="eastAsia" w:ascii="宋体" w:hAnsi="宋体" w:cs="宋体"/>
          <w:b/>
          <w:sz w:val="22"/>
          <w:szCs w:val="22"/>
        </w:rPr>
        <w:t>本项目实行电子交易。电子交易平台为浙江政府采购网政府采购云平台。供应商应通过电子交易平台实行在线投标响应。</w:t>
      </w:r>
    </w:p>
    <w:p>
      <w:pPr>
        <w:snapToGrid w:val="0"/>
        <w:spacing w:line="460" w:lineRule="exact"/>
        <w:ind w:firstLine="541" w:firstLineChars="246"/>
        <w:rPr>
          <w:rFonts w:ascii="宋体" w:hAnsi="宋体"/>
          <w:sz w:val="22"/>
          <w:szCs w:val="22"/>
        </w:rPr>
      </w:pPr>
      <w:r>
        <w:rPr>
          <w:rFonts w:ascii="宋体" w:hAnsi="宋体"/>
          <w:sz w:val="22"/>
          <w:szCs w:val="22"/>
        </w:rPr>
        <w:t>14、《</w:t>
      </w:r>
      <w:r>
        <w:rPr>
          <w:rFonts w:hint="eastAsia" w:ascii="宋体" w:hAnsi="宋体"/>
          <w:sz w:val="22"/>
          <w:szCs w:val="22"/>
        </w:rPr>
        <w:t>磋商响应文件</w:t>
      </w:r>
      <w:r>
        <w:rPr>
          <w:rFonts w:ascii="宋体" w:hAnsi="宋体"/>
          <w:sz w:val="22"/>
          <w:szCs w:val="22"/>
        </w:rPr>
        <w:t xml:space="preserve">》的组成 </w:t>
      </w:r>
    </w:p>
    <w:p>
      <w:pPr>
        <w:snapToGrid w:val="0"/>
        <w:spacing w:line="460" w:lineRule="exact"/>
        <w:ind w:firstLine="541" w:firstLineChars="246"/>
        <w:rPr>
          <w:rFonts w:ascii="宋体" w:hAnsi="宋体"/>
          <w:sz w:val="22"/>
          <w:szCs w:val="22"/>
        </w:rPr>
      </w:pPr>
      <w:r>
        <w:rPr>
          <w:rFonts w:ascii="宋体" w:hAnsi="宋体"/>
          <w:sz w:val="22"/>
          <w:szCs w:val="22"/>
        </w:rPr>
        <w:t>▲14.1完整的《</w:t>
      </w:r>
      <w:r>
        <w:rPr>
          <w:rFonts w:hint="eastAsia" w:ascii="宋体" w:hAnsi="宋体"/>
          <w:sz w:val="22"/>
          <w:szCs w:val="22"/>
          <w:lang w:eastAsia="zh-CN"/>
        </w:rPr>
        <w:t>磋商响应文件</w:t>
      </w:r>
      <w:r>
        <w:rPr>
          <w:rFonts w:ascii="宋体" w:hAnsi="宋体"/>
          <w:sz w:val="22"/>
          <w:szCs w:val="22"/>
        </w:rPr>
        <w:t>》由</w:t>
      </w:r>
      <w:r>
        <w:rPr>
          <w:rFonts w:hint="eastAsia" w:ascii="宋体" w:hAnsi="宋体"/>
          <w:sz w:val="22"/>
          <w:szCs w:val="22"/>
          <w:lang w:eastAsia="zh-CN"/>
        </w:rPr>
        <w:t>“</w:t>
      </w:r>
      <w:r>
        <w:rPr>
          <w:rFonts w:hint="eastAsia" w:ascii="宋体" w:hAnsi="宋体"/>
          <w:sz w:val="22"/>
          <w:szCs w:val="22"/>
        </w:rPr>
        <w:t>资格文件</w:t>
      </w:r>
      <w:r>
        <w:rPr>
          <w:rFonts w:hint="eastAsia" w:ascii="宋体" w:hAnsi="宋体"/>
          <w:sz w:val="22"/>
          <w:szCs w:val="22"/>
          <w:lang w:eastAsia="zh-CN"/>
        </w:rPr>
        <w:t>”</w:t>
      </w:r>
      <w:r>
        <w:rPr>
          <w:rFonts w:hint="eastAsia" w:ascii="宋体" w:hAnsi="宋体"/>
          <w:sz w:val="22"/>
          <w:szCs w:val="22"/>
        </w:rPr>
        <w:t>、</w:t>
      </w:r>
      <w:r>
        <w:rPr>
          <w:rFonts w:ascii="宋体" w:hAnsi="宋体"/>
          <w:sz w:val="22"/>
          <w:szCs w:val="22"/>
        </w:rPr>
        <w:t>“资信技术文件”和“报价文件”</w:t>
      </w:r>
      <w:r>
        <w:rPr>
          <w:rFonts w:hint="eastAsia" w:ascii="宋体" w:hAnsi="宋体"/>
          <w:sz w:val="22"/>
          <w:szCs w:val="22"/>
          <w:lang w:eastAsia="zh-CN"/>
        </w:rPr>
        <w:t>三</w:t>
      </w:r>
      <w:r>
        <w:rPr>
          <w:rFonts w:ascii="宋体" w:hAnsi="宋体"/>
          <w:sz w:val="22"/>
          <w:szCs w:val="22"/>
        </w:rPr>
        <w:t>个部分组成。</w:t>
      </w:r>
    </w:p>
    <w:p>
      <w:pPr>
        <w:snapToGrid w:val="0"/>
        <w:spacing w:line="460" w:lineRule="exact"/>
        <w:ind w:firstLine="541" w:firstLineChars="246"/>
        <w:rPr>
          <w:rFonts w:ascii="宋体" w:hAnsi="宋体"/>
          <w:sz w:val="22"/>
          <w:szCs w:val="22"/>
        </w:rPr>
      </w:pPr>
      <w:r>
        <w:rPr>
          <w:rFonts w:ascii="宋体" w:hAnsi="宋体"/>
          <w:sz w:val="22"/>
          <w:szCs w:val="22"/>
        </w:rPr>
        <w:t>14.2</w:t>
      </w:r>
      <w:r>
        <w:rPr>
          <w:rFonts w:hint="eastAsia" w:ascii="宋体" w:hAnsi="宋体"/>
          <w:sz w:val="22"/>
          <w:szCs w:val="22"/>
        </w:rPr>
        <w:t>磋商响应文件</w:t>
      </w:r>
      <w:r>
        <w:rPr>
          <w:rFonts w:ascii="宋体" w:hAnsi="宋体"/>
          <w:sz w:val="22"/>
          <w:szCs w:val="22"/>
        </w:rPr>
        <w:t xml:space="preserve">内容组成表（投标供应商应按以下清单提供相关资料，否则一切风险和责任由投标供应商自行承担： </w:t>
      </w:r>
    </w:p>
    <w:p>
      <w:pPr>
        <w:numPr>
          <w:ilvl w:val="0"/>
          <w:numId w:val="3"/>
        </w:numPr>
        <w:snapToGrid w:val="0"/>
        <w:spacing w:line="460" w:lineRule="exact"/>
        <w:ind w:firstLine="642" w:firstLineChars="246"/>
        <w:rPr>
          <w:rFonts w:ascii="宋体" w:hAnsi="宋体"/>
          <w:b/>
          <w:color w:val="auto"/>
          <w:sz w:val="26"/>
          <w:szCs w:val="26"/>
        </w:rPr>
      </w:pPr>
      <w:r>
        <w:rPr>
          <w:rFonts w:hint="eastAsia" w:ascii="宋体" w:hAnsi="宋体"/>
          <w:b/>
          <w:color w:val="auto"/>
          <w:sz w:val="26"/>
          <w:szCs w:val="26"/>
        </w:rPr>
        <w:t>“资格文件”</w:t>
      </w:r>
      <w:r>
        <w:rPr>
          <w:rFonts w:ascii="宋体" w:hAnsi="宋体"/>
          <w:b/>
          <w:color w:val="auto"/>
          <w:sz w:val="26"/>
          <w:szCs w:val="26"/>
        </w:rPr>
        <w:t>的组成</w:t>
      </w:r>
    </w:p>
    <w:p>
      <w:pPr>
        <w:pageBreakBefore w:val="0"/>
        <w:widowControl w:val="0"/>
        <w:numPr>
          <w:ilvl w:val="0"/>
          <w:numId w:val="4"/>
        </w:numPr>
        <w:kinsoku/>
        <w:wordWrap/>
        <w:overflowPunct/>
        <w:topLinePunct w:val="0"/>
        <w:autoSpaceDE w:val="0"/>
        <w:autoSpaceDN w:val="0"/>
        <w:bidi w:val="0"/>
        <w:adjustRightInd w:val="0"/>
        <w:snapToGrid w:val="0"/>
        <w:spacing w:line="460" w:lineRule="exact"/>
        <w:ind w:firstLine="440" w:firstLineChars="200"/>
        <w:textAlignment w:val="bottom"/>
        <w:rPr>
          <w:rFonts w:hint="eastAsia" w:ascii="宋体" w:hAnsi="宋体" w:eastAsia="宋体" w:cs="Times New Roman"/>
          <w:sz w:val="22"/>
          <w:szCs w:val="22"/>
          <w:lang w:val="zh-CN"/>
        </w:rPr>
      </w:pPr>
      <w:r>
        <w:rPr>
          <w:rFonts w:hint="eastAsia" w:ascii="宋体" w:hAnsi="宋体" w:eastAsia="宋体" w:cs="Times New Roman"/>
          <w:sz w:val="22"/>
          <w:szCs w:val="22"/>
          <w:lang w:val="zh-CN"/>
        </w:rPr>
        <w:t>营业执照(或事业法人登记证书或其它工商等登记证明材料；自然人参与政府采购，提供身份证)扫描件；</w:t>
      </w:r>
    </w:p>
    <w:p>
      <w:pPr>
        <w:pageBreakBefore w:val="0"/>
        <w:widowControl w:val="0"/>
        <w:numPr>
          <w:ilvl w:val="0"/>
          <w:numId w:val="4"/>
        </w:numPr>
        <w:kinsoku/>
        <w:wordWrap/>
        <w:overflowPunct/>
        <w:topLinePunct w:val="0"/>
        <w:autoSpaceDE w:val="0"/>
        <w:autoSpaceDN w:val="0"/>
        <w:bidi w:val="0"/>
        <w:adjustRightInd w:val="0"/>
        <w:snapToGrid w:val="0"/>
        <w:spacing w:line="460" w:lineRule="exact"/>
        <w:ind w:firstLine="440" w:firstLineChars="200"/>
        <w:textAlignment w:val="bottom"/>
        <w:rPr>
          <w:rFonts w:hint="eastAsia" w:ascii="宋体" w:hAnsi="宋体" w:eastAsia="宋体" w:cs="Times New Roman"/>
          <w:sz w:val="22"/>
          <w:szCs w:val="22"/>
          <w:lang w:val="en-US" w:eastAsia="zh-CN"/>
        </w:rPr>
      </w:pPr>
      <w:r>
        <w:rPr>
          <w:rFonts w:hint="eastAsia" w:ascii="宋体" w:hAnsi="宋体" w:eastAsia="宋体" w:cs="Times New Roman"/>
          <w:sz w:val="22"/>
          <w:szCs w:val="22"/>
          <w:lang w:val="zh-CN"/>
        </w:rPr>
        <w:t>供应商参与政府采购活动投标资格声明函【格式见第五部分】</w:t>
      </w:r>
      <w:r>
        <w:rPr>
          <w:rFonts w:hint="eastAsia" w:ascii="宋体" w:hAnsi="宋体" w:eastAsia="宋体" w:cs="Times New Roman"/>
          <w:sz w:val="22"/>
          <w:szCs w:val="22"/>
          <w:lang w:val="zh-CN" w:eastAsia="zh-CN"/>
        </w:rPr>
        <w:t>；</w:t>
      </w:r>
    </w:p>
    <w:p>
      <w:pPr>
        <w:pageBreakBefore w:val="0"/>
        <w:widowControl w:val="0"/>
        <w:numPr>
          <w:ilvl w:val="0"/>
          <w:numId w:val="4"/>
        </w:numPr>
        <w:kinsoku/>
        <w:wordWrap/>
        <w:overflowPunct/>
        <w:topLinePunct w:val="0"/>
        <w:autoSpaceDE w:val="0"/>
        <w:autoSpaceDN w:val="0"/>
        <w:bidi w:val="0"/>
        <w:adjustRightInd w:val="0"/>
        <w:snapToGrid w:val="0"/>
        <w:spacing w:line="460" w:lineRule="exact"/>
        <w:ind w:firstLine="440" w:firstLineChars="200"/>
        <w:textAlignment w:val="bottom"/>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参加本次政府采购项目前三年内在经营活动中没有重大违法记录的书面声明</w:t>
      </w:r>
      <w:r>
        <w:rPr>
          <w:rFonts w:hint="eastAsia" w:ascii="宋体" w:hAnsi="宋体" w:eastAsia="宋体" w:cs="Times New Roman"/>
          <w:sz w:val="22"/>
          <w:szCs w:val="22"/>
          <w:lang w:val="zh-CN"/>
        </w:rPr>
        <w:t>【格式见第五部分】</w:t>
      </w:r>
      <w:r>
        <w:rPr>
          <w:rFonts w:hint="eastAsia" w:ascii="宋体" w:hAnsi="宋体" w:eastAsia="宋体" w:cs="Times New Roman"/>
          <w:sz w:val="22"/>
          <w:szCs w:val="22"/>
          <w:lang w:val="zh-CN" w:eastAsia="zh-CN"/>
        </w:rPr>
        <w:t>；</w:t>
      </w:r>
    </w:p>
    <w:p>
      <w:pPr>
        <w:pageBreakBefore w:val="0"/>
        <w:widowControl w:val="0"/>
        <w:numPr>
          <w:ilvl w:val="0"/>
          <w:numId w:val="0"/>
        </w:numPr>
        <w:kinsoku/>
        <w:wordWrap/>
        <w:overflowPunct/>
        <w:topLinePunct w:val="0"/>
        <w:autoSpaceDE w:val="0"/>
        <w:autoSpaceDN w:val="0"/>
        <w:bidi w:val="0"/>
        <w:adjustRightInd w:val="0"/>
        <w:snapToGrid w:val="0"/>
        <w:spacing w:line="460" w:lineRule="exact"/>
        <w:ind w:firstLine="440" w:firstLineChars="200"/>
        <w:textAlignment w:val="bottom"/>
        <w:rPr>
          <w:rFonts w:hint="eastAsia" w:ascii="宋体" w:hAnsi="宋体" w:eastAsia="宋体" w:cs="Times New Roman"/>
          <w:sz w:val="22"/>
          <w:szCs w:val="22"/>
          <w:lang w:val="en-US" w:eastAsia="zh-CN"/>
        </w:rPr>
      </w:pPr>
      <w:r>
        <w:rPr>
          <w:rFonts w:hint="eastAsia" w:ascii="宋体" w:hAnsi="宋体" w:eastAsia="宋体" w:cs="Times New Roman"/>
          <w:sz w:val="22"/>
          <w:szCs w:val="22"/>
          <w:lang w:val="zh-CN"/>
        </w:rPr>
        <w:t>（</w:t>
      </w:r>
      <w:r>
        <w:rPr>
          <w:rFonts w:hint="eastAsia" w:ascii="宋体" w:hAnsi="宋体" w:eastAsia="宋体" w:cs="Times New Roman"/>
          <w:sz w:val="22"/>
          <w:szCs w:val="22"/>
          <w:lang w:val="en-US" w:eastAsia="zh-CN"/>
        </w:rPr>
        <w:t>4</w:t>
      </w:r>
      <w:r>
        <w:rPr>
          <w:rFonts w:hint="eastAsia" w:ascii="宋体" w:hAnsi="宋体" w:eastAsia="宋体" w:cs="Times New Roman"/>
          <w:sz w:val="22"/>
          <w:szCs w:val="22"/>
          <w:lang w:val="zh-CN"/>
        </w:rPr>
        <w:t>）供应商法定代表人授权书；如为法定代表人参与的提供法人身份证明【格式见第五部分】；</w:t>
      </w:r>
    </w:p>
    <w:p>
      <w:pPr>
        <w:pageBreakBefore w:val="0"/>
        <w:widowControl w:val="0"/>
        <w:numPr>
          <w:ilvl w:val="0"/>
          <w:numId w:val="0"/>
        </w:numPr>
        <w:kinsoku/>
        <w:wordWrap/>
        <w:overflowPunct/>
        <w:topLinePunct w:val="0"/>
        <w:autoSpaceDE w:val="0"/>
        <w:autoSpaceDN w:val="0"/>
        <w:bidi w:val="0"/>
        <w:adjustRightInd w:val="0"/>
        <w:snapToGrid w:val="0"/>
        <w:spacing w:line="460" w:lineRule="exact"/>
        <w:ind w:firstLine="440" w:firstLineChars="200"/>
        <w:textAlignment w:val="bottom"/>
        <w:rPr>
          <w:rFonts w:hint="eastAsia" w:ascii="宋体" w:hAnsi="宋体" w:eastAsia="宋体" w:cs="Times New Roman"/>
          <w:sz w:val="22"/>
          <w:szCs w:val="22"/>
          <w:lang w:val="en-US" w:eastAsia="zh-CN"/>
        </w:rPr>
      </w:pPr>
      <w:r>
        <w:rPr>
          <w:rFonts w:hint="eastAsia" w:ascii="宋体" w:hAnsi="宋体" w:eastAsia="宋体" w:cs="Times New Roman"/>
          <w:sz w:val="22"/>
          <w:szCs w:val="22"/>
          <w:lang w:val="zh-CN" w:eastAsia="zh-CN"/>
        </w:rPr>
        <w:t>（</w:t>
      </w:r>
      <w:r>
        <w:rPr>
          <w:rFonts w:hint="eastAsia" w:ascii="宋体" w:hAnsi="宋体" w:eastAsia="宋体" w:cs="Times New Roman"/>
          <w:sz w:val="22"/>
          <w:szCs w:val="22"/>
          <w:lang w:val="en-US" w:eastAsia="zh-CN"/>
        </w:rPr>
        <w:t>5）①设计资质要求：建设主管部门颁发的设计综合甲级或照明工程设计专项乙级及以上资质；②施工资质要求：建设主管部门颁发的城市及道路照明工程专业承包三级及以上资质和有效的安全生产许可证；</w:t>
      </w:r>
      <w:r>
        <w:rPr>
          <w:rFonts w:hint="eastAsia" w:ascii="宋体" w:hAnsi="宋体" w:cs="Times New Roman"/>
          <w:sz w:val="22"/>
          <w:szCs w:val="22"/>
          <w:lang w:val="en-US" w:eastAsia="zh-CN"/>
        </w:rPr>
        <w:t>提供证书扫描件；</w:t>
      </w:r>
    </w:p>
    <w:p>
      <w:pPr>
        <w:snapToGrid w:val="0"/>
        <w:spacing w:line="460" w:lineRule="exact"/>
        <w:ind w:firstLine="642" w:firstLineChars="246"/>
        <w:rPr>
          <w:rFonts w:ascii="宋体" w:hAnsi="宋体"/>
          <w:b/>
          <w:sz w:val="26"/>
          <w:szCs w:val="26"/>
        </w:rPr>
      </w:pPr>
      <w:r>
        <w:rPr>
          <w:rFonts w:hint="eastAsia" w:ascii="宋体" w:hAnsi="宋体"/>
          <w:b/>
          <w:sz w:val="26"/>
          <w:szCs w:val="26"/>
        </w:rPr>
        <w:t>B</w:t>
      </w:r>
      <w:r>
        <w:rPr>
          <w:rFonts w:hint="eastAsia" w:ascii="宋体" w:hAnsi="宋体"/>
          <w:b/>
          <w:sz w:val="26"/>
          <w:szCs w:val="26"/>
          <w:lang w:eastAsia="zh-CN"/>
        </w:rPr>
        <w:t>、</w:t>
      </w:r>
      <w:r>
        <w:rPr>
          <w:rFonts w:hint="eastAsia" w:ascii="宋体" w:hAnsi="宋体"/>
          <w:b/>
          <w:sz w:val="26"/>
          <w:szCs w:val="26"/>
        </w:rPr>
        <w:t>“</w:t>
      </w:r>
      <w:r>
        <w:rPr>
          <w:rFonts w:ascii="宋体" w:hAnsi="宋体"/>
          <w:b/>
          <w:sz w:val="26"/>
          <w:szCs w:val="26"/>
        </w:rPr>
        <w:t>资信技术文件</w:t>
      </w:r>
      <w:r>
        <w:rPr>
          <w:rFonts w:hint="eastAsia" w:ascii="宋体" w:hAnsi="宋体"/>
          <w:b/>
          <w:sz w:val="26"/>
          <w:szCs w:val="26"/>
        </w:rPr>
        <w:t>”</w:t>
      </w:r>
      <w:r>
        <w:rPr>
          <w:rFonts w:ascii="宋体" w:hAnsi="宋体"/>
          <w:b/>
          <w:sz w:val="26"/>
          <w:szCs w:val="26"/>
        </w:rPr>
        <w:t xml:space="preserve">的组成 </w:t>
      </w:r>
    </w:p>
    <w:p>
      <w:pPr>
        <w:snapToGrid w:val="0"/>
        <w:spacing w:line="460" w:lineRule="exact"/>
        <w:ind w:firstLine="541" w:firstLineChars="246"/>
        <w:rPr>
          <w:rFonts w:ascii="宋体" w:hAnsi="宋体"/>
          <w:sz w:val="22"/>
          <w:szCs w:val="22"/>
        </w:rPr>
      </w:pPr>
      <w:r>
        <w:rPr>
          <w:rFonts w:ascii="宋体" w:hAnsi="宋体"/>
          <w:sz w:val="22"/>
          <w:szCs w:val="22"/>
        </w:rPr>
        <w:t xml:space="preserve">（1）“资信技术文件”封面【格式见第五部分】； </w:t>
      </w:r>
    </w:p>
    <w:p>
      <w:pPr>
        <w:snapToGrid w:val="0"/>
        <w:spacing w:line="460" w:lineRule="exact"/>
        <w:ind w:firstLine="541" w:firstLineChars="246"/>
        <w:rPr>
          <w:rFonts w:ascii="宋体" w:hAnsi="宋体"/>
          <w:sz w:val="22"/>
          <w:szCs w:val="22"/>
        </w:rPr>
      </w:pPr>
      <w:r>
        <w:rPr>
          <w:rFonts w:ascii="宋体" w:hAnsi="宋体"/>
          <w:sz w:val="22"/>
          <w:szCs w:val="22"/>
        </w:rPr>
        <w:t>（2）“资信技术文件”目录（带页码，格式自拟）；</w:t>
      </w:r>
    </w:p>
    <w:p>
      <w:pPr>
        <w:snapToGrid w:val="0"/>
        <w:spacing w:line="460" w:lineRule="exact"/>
        <w:ind w:firstLine="541" w:firstLineChars="246"/>
        <w:rPr>
          <w:rFonts w:ascii="宋体" w:hAnsi="宋体"/>
          <w:sz w:val="22"/>
          <w:szCs w:val="22"/>
        </w:rPr>
      </w:pPr>
      <w:r>
        <w:rPr>
          <w:rFonts w:ascii="宋体" w:hAnsi="宋体"/>
          <w:sz w:val="22"/>
          <w:szCs w:val="22"/>
        </w:rPr>
        <w:t>（3）投标供应商关于《</w:t>
      </w:r>
      <w:r>
        <w:rPr>
          <w:rFonts w:hint="eastAsia" w:ascii="宋体" w:hAnsi="宋体"/>
          <w:sz w:val="22"/>
          <w:szCs w:val="22"/>
          <w:lang w:eastAsia="zh-CN"/>
        </w:rPr>
        <w:t>磋商响应文件</w:t>
      </w:r>
      <w:r>
        <w:rPr>
          <w:rFonts w:ascii="宋体" w:hAnsi="宋体"/>
          <w:sz w:val="22"/>
          <w:szCs w:val="22"/>
        </w:rPr>
        <w:t xml:space="preserve">》所有内容真实、有效的承诺书【▲未提供的投标无效，格式见第五部分】； </w:t>
      </w:r>
    </w:p>
    <w:p>
      <w:pPr>
        <w:snapToGrid w:val="0"/>
        <w:spacing w:line="460" w:lineRule="exact"/>
        <w:ind w:firstLine="541" w:firstLineChars="246"/>
        <w:rPr>
          <w:rFonts w:ascii="宋体" w:hAnsi="宋体"/>
          <w:sz w:val="22"/>
          <w:szCs w:val="22"/>
        </w:rPr>
      </w:pPr>
      <w:r>
        <w:rPr>
          <w:rFonts w:ascii="宋体" w:hAnsi="宋体"/>
          <w:sz w:val="22"/>
          <w:szCs w:val="22"/>
        </w:rPr>
        <w:t xml:space="preserve">（4）《投标函》【▲未提供的投标无效，格式见第五部分】； </w:t>
      </w:r>
    </w:p>
    <w:p>
      <w:pPr>
        <w:snapToGrid w:val="0"/>
        <w:spacing w:line="460" w:lineRule="exact"/>
        <w:ind w:firstLine="541" w:firstLineChars="246"/>
        <w:rPr>
          <w:rFonts w:hint="eastAsia" w:ascii="宋体" w:hAnsi="宋体" w:eastAsia="宋体"/>
          <w:sz w:val="22"/>
          <w:szCs w:val="22"/>
          <w:lang w:val="en-US" w:eastAsia="zh-CN"/>
        </w:rPr>
      </w:pPr>
      <w:r>
        <w:rPr>
          <w:rFonts w:ascii="宋体" w:hAnsi="宋体"/>
          <w:sz w:val="22"/>
          <w:szCs w:val="22"/>
        </w:rPr>
        <w:t>（</w:t>
      </w:r>
      <w:r>
        <w:rPr>
          <w:rFonts w:hint="eastAsia" w:ascii="宋体" w:hAnsi="宋体"/>
          <w:sz w:val="22"/>
          <w:szCs w:val="22"/>
        </w:rPr>
        <w:t>5</w:t>
      </w:r>
      <w:r>
        <w:rPr>
          <w:rFonts w:ascii="宋体" w:hAnsi="宋体"/>
          <w:sz w:val="22"/>
          <w:szCs w:val="22"/>
        </w:rPr>
        <w:t>）</w:t>
      </w:r>
      <w:r>
        <w:rPr>
          <w:rFonts w:hint="eastAsia"/>
        </w:rPr>
        <w:t>供应商法定代表人授权书；如为法定代表人参与的提供法人身份证明</w:t>
      </w:r>
      <w:r>
        <w:rPr>
          <w:rFonts w:ascii="宋体" w:hAnsi="宋体"/>
          <w:sz w:val="22"/>
          <w:szCs w:val="22"/>
        </w:rPr>
        <w:t>【格式见第五部分】；</w:t>
      </w:r>
      <w:r>
        <w:rPr>
          <w:rFonts w:hint="eastAsia" w:ascii="宋体" w:hAnsi="宋体"/>
          <w:sz w:val="22"/>
          <w:szCs w:val="22"/>
          <w:lang w:val="en-US" w:eastAsia="zh-CN"/>
        </w:rPr>
        <w:t xml:space="preserve"> </w:t>
      </w:r>
    </w:p>
    <w:p>
      <w:pPr>
        <w:snapToGrid w:val="0"/>
        <w:spacing w:line="460" w:lineRule="exact"/>
        <w:ind w:firstLine="541" w:firstLineChars="246"/>
        <w:rPr>
          <w:rFonts w:ascii="宋体" w:hAnsi="宋体"/>
          <w:sz w:val="22"/>
          <w:szCs w:val="22"/>
        </w:rPr>
      </w:pPr>
      <w:r>
        <w:rPr>
          <w:rFonts w:ascii="宋体" w:hAnsi="宋体"/>
          <w:sz w:val="22"/>
          <w:szCs w:val="22"/>
        </w:rPr>
        <w:t>（</w:t>
      </w:r>
      <w:r>
        <w:rPr>
          <w:rFonts w:hint="eastAsia" w:ascii="宋体" w:hAnsi="宋体"/>
          <w:sz w:val="22"/>
          <w:szCs w:val="22"/>
        </w:rPr>
        <w:t>6</w:t>
      </w:r>
      <w:r>
        <w:rPr>
          <w:rFonts w:ascii="宋体" w:hAnsi="宋体"/>
          <w:sz w:val="22"/>
          <w:szCs w:val="22"/>
        </w:rPr>
        <w:t xml:space="preserve">）投标供应商基本情况说明表【格式见第五部分】； </w:t>
      </w:r>
    </w:p>
    <w:p>
      <w:pPr>
        <w:snapToGrid w:val="0"/>
        <w:spacing w:line="460" w:lineRule="exact"/>
        <w:ind w:firstLine="541" w:firstLineChars="246"/>
        <w:rPr>
          <w:rFonts w:ascii="宋体" w:hAnsi="宋体"/>
          <w:sz w:val="22"/>
          <w:szCs w:val="22"/>
        </w:rPr>
      </w:pPr>
      <w:r>
        <w:rPr>
          <w:rFonts w:ascii="宋体" w:hAnsi="宋体"/>
          <w:sz w:val="22"/>
          <w:szCs w:val="22"/>
        </w:rPr>
        <w:t>（</w:t>
      </w:r>
      <w:r>
        <w:rPr>
          <w:rFonts w:hint="eastAsia" w:ascii="宋体" w:hAnsi="宋体"/>
          <w:sz w:val="22"/>
          <w:szCs w:val="22"/>
          <w:lang w:val="en-US" w:eastAsia="zh-CN"/>
        </w:rPr>
        <w:t>7</w:t>
      </w:r>
      <w:r>
        <w:rPr>
          <w:rFonts w:ascii="宋体" w:hAnsi="宋体"/>
          <w:sz w:val="22"/>
          <w:szCs w:val="22"/>
        </w:rPr>
        <w:t>）技术响应表（含偏离说明）【格式见第五部分】；</w:t>
      </w:r>
    </w:p>
    <w:p>
      <w:pPr>
        <w:snapToGrid w:val="0"/>
        <w:spacing w:line="460" w:lineRule="exact"/>
        <w:ind w:firstLine="541" w:firstLineChars="246"/>
        <w:rPr>
          <w:rFonts w:ascii="宋体" w:hAnsi="宋体"/>
          <w:sz w:val="22"/>
          <w:szCs w:val="22"/>
        </w:rPr>
      </w:pPr>
      <w:r>
        <w:rPr>
          <w:rFonts w:ascii="宋体" w:hAnsi="宋体"/>
          <w:sz w:val="22"/>
          <w:szCs w:val="22"/>
        </w:rPr>
        <w:t>（</w:t>
      </w:r>
      <w:r>
        <w:rPr>
          <w:rFonts w:hint="eastAsia" w:ascii="宋体" w:hAnsi="宋体"/>
          <w:sz w:val="22"/>
          <w:szCs w:val="22"/>
          <w:lang w:val="en-US" w:eastAsia="zh-CN"/>
        </w:rPr>
        <w:t>8</w:t>
      </w:r>
      <w:r>
        <w:rPr>
          <w:rFonts w:ascii="宋体" w:hAnsi="宋体"/>
          <w:sz w:val="22"/>
          <w:szCs w:val="22"/>
        </w:rPr>
        <w:t>）商务响应表（含偏离说明）【格式见第五部分】；</w:t>
      </w:r>
    </w:p>
    <w:p>
      <w:pPr>
        <w:snapToGrid w:val="0"/>
        <w:spacing w:line="460" w:lineRule="exact"/>
        <w:ind w:firstLine="541" w:firstLineChars="246"/>
        <w:rPr>
          <w:rFonts w:ascii="宋体" w:hAnsi="宋体"/>
          <w:sz w:val="22"/>
          <w:szCs w:val="22"/>
        </w:rPr>
      </w:pPr>
      <w:r>
        <w:rPr>
          <w:rFonts w:ascii="宋体" w:hAnsi="宋体"/>
          <w:sz w:val="22"/>
          <w:szCs w:val="22"/>
        </w:rPr>
        <w:t>（</w:t>
      </w:r>
      <w:r>
        <w:rPr>
          <w:rFonts w:hint="eastAsia" w:ascii="宋体" w:hAnsi="宋体"/>
          <w:sz w:val="22"/>
          <w:szCs w:val="22"/>
          <w:lang w:val="en-US" w:eastAsia="zh-CN"/>
        </w:rPr>
        <w:t>9</w:t>
      </w:r>
      <w:r>
        <w:rPr>
          <w:rFonts w:ascii="宋体" w:hAnsi="宋体"/>
          <w:sz w:val="22"/>
          <w:szCs w:val="22"/>
        </w:rPr>
        <w:t>）</w:t>
      </w:r>
      <w:r>
        <w:rPr>
          <w:rFonts w:hint="eastAsia" w:ascii="宋体" w:hAnsi="宋体"/>
          <w:sz w:val="22"/>
          <w:szCs w:val="22"/>
          <w:lang w:eastAsia="zh-CN"/>
        </w:rPr>
        <w:t>供应商</w:t>
      </w:r>
      <w:r>
        <w:rPr>
          <w:rFonts w:hint="eastAsia" w:ascii="宋体" w:hAnsi="宋体"/>
          <w:sz w:val="22"/>
          <w:szCs w:val="22"/>
        </w:rPr>
        <w:t>设计方案</w:t>
      </w:r>
      <w:r>
        <w:rPr>
          <w:rFonts w:ascii="宋体" w:hAnsi="宋体"/>
          <w:sz w:val="22"/>
          <w:szCs w:val="22"/>
        </w:rPr>
        <w:t>【格式见第五部分】；</w:t>
      </w:r>
    </w:p>
    <w:p>
      <w:pPr>
        <w:snapToGrid w:val="0"/>
        <w:spacing w:line="460" w:lineRule="exact"/>
        <w:ind w:firstLine="541" w:firstLineChars="246"/>
        <w:rPr>
          <w:rFonts w:ascii="宋体" w:hAnsi="宋体"/>
          <w:sz w:val="22"/>
          <w:szCs w:val="22"/>
        </w:rPr>
      </w:pPr>
      <w:r>
        <w:rPr>
          <w:rFonts w:ascii="宋体" w:hAnsi="宋体"/>
          <w:sz w:val="22"/>
          <w:szCs w:val="22"/>
        </w:rPr>
        <w:t>（1</w:t>
      </w:r>
      <w:r>
        <w:rPr>
          <w:rFonts w:hint="eastAsia" w:ascii="宋体" w:hAnsi="宋体"/>
          <w:sz w:val="22"/>
          <w:szCs w:val="22"/>
          <w:lang w:val="en-US" w:eastAsia="zh-CN"/>
        </w:rPr>
        <w:t>0</w:t>
      </w:r>
      <w:r>
        <w:rPr>
          <w:rFonts w:ascii="宋体" w:hAnsi="宋体"/>
          <w:sz w:val="22"/>
          <w:szCs w:val="22"/>
        </w:rPr>
        <w:t>）</w:t>
      </w:r>
      <w:r>
        <w:rPr>
          <w:rFonts w:hint="eastAsia" w:ascii="宋体" w:hAnsi="宋体"/>
          <w:sz w:val="22"/>
          <w:szCs w:val="22"/>
          <w:lang w:eastAsia="zh-CN"/>
        </w:rPr>
        <w:t>供应商</w:t>
      </w:r>
      <w:r>
        <w:rPr>
          <w:rFonts w:hint="eastAsia" w:ascii="宋体" w:hAnsi="宋体"/>
          <w:sz w:val="22"/>
          <w:szCs w:val="22"/>
        </w:rPr>
        <w:t>实施方案</w:t>
      </w:r>
      <w:r>
        <w:rPr>
          <w:rFonts w:ascii="宋体" w:hAnsi="宋体"/>
          <w:sz w:val="22"/>
          <w:szCs w:val="22"/>
        </w:rPr>
        <w:t>【格式见第五部分】；</w:t>
      </w:r>
    </w:p>
    <w:p>
      <w:pPr>
        <w:snapToGrid w:val="0"/>
        <w:spacing w:line="460" w:lineRule="exact"/>
        <w:ind w:firstLine="541" w:firstLineChars="246"/>
        <w:rPr>
          <w:rFonts w:ascii="宋体" w:hAnsi="宋体"/>
          <w:sz w:val="22"/>
          <w:szCs w:val="22"/>
        </w:rPr>
      </w:pPr>
      <w:r>
        <w:rPr>
          <w:rFonts w:ascii="宋体" w:hAnsi="宋体"/>
          <w:sz w:val="22"/>
          <w:szCs w:val="22"/>
        </w:rPr>
        <w:t>（</w:t>
      </w:r>
      <w:r>
        <w:rPr>
          <w:rFonts w:hint="eastAsia" w:ascii="宋体" w:hAnsi="宋体"/>
          <w:sz w:val="22"/>
          <w:szCs w:val="22"/>
          <w:lang w:val="en-US" w:eastAsia="zh-CN"/>
        </w:rPr>
        <w:t>11</w:t>
      </w:r>
      <w:r>
        <w:rPr>
          <w:rFonts w:ascii="宋体" w:hAnsi="宋体"/>
          <w:sz w:val="22"/>
          <w:szCs w:val="22"/>
        </w:rPr>
        <w:t>）</w:t>
      </w:r>
      <w:r>
        <w:rPr>
          <w:rFonts w:hint="eastAsia" w:ascii="宋体" w:hAnsi="宋体"/>
          <w:sz w:val="22"/>
          <w:szCs w:val="22"/>
          <w:lang w:eastAsia="zh-CN"/>
        </w:rPr>
        <w:t>供应商</w:t>
      </w:r>
      <w:r>
        <w:rPr>
          <w:rFonts w:hint="eastAsia" w:ascii="宋体" w:hAnsi="宋体"/>
          <w:sz w:val="22"/>
          <w:szCs w:val="22"/>
        </w:rPr>
        <w:t>业绩</w:t>
      </w:r>
      <w:r>
        <w:rPr>
          <w:rFonts w:ascii="宋体" w:hAnsi="宋体"/>
          <w:sz w:val="22"/>
          <w:szCs w:val="22"/>
        </w:rPr>
        <w:t>【格式见第五部分】；</w:t>
      </w:r>
    </w:p>
    <w:p>
      <w:pPr>
        <w:snapToGrid w:val="0"/>
        <w:spacing w:line="460" w:lineRule="exact"/>
        <w:ind w:firstLine="541" w:firstLineChars="246"/>
        <w:rPr>
          <w:rFonts w:ascii="宋体" w:hAnsi="宋体"/>
          <w:sz w:val="22"/>
          <w:szCs w:val="22"/>
        </w:rPr>
      </w:pPr>
      <w:r>
        <w:rPr>
          <w:rFonts w:ascii="宋体" w:hAnsi="宋体"/>
          <w:sz w:val="22"/>
          <w:szCs w:val="22"/>
        </w:rPr>
        <w:t>（1</w:t>
      </w:r>
      <w:r>
        <w:rPr>
          <w:rFonts w:hint="eastAsia" w:ascii="宋体" w:hAnsi="宋体"/>
          <w:sz w:val="22"/>
          <w:szCs w:val="22"/>
          <w:lang w:val="en-US" w:eastAsia="zh-CN"/>
        </w:rPr>
        <w:t>2</w:t>
      </w:r>
      <w:r>
        <w:rPr>
          <w:rFonts w:ascii="宋体" w:hAnsi="宋体"/>
          <w:sz w:val="22"/>
          <w:szCs w:val="22"/>
        </w:rPr>
        <w:t>）</w:t>
      </w:r>
      <w:r>
        <w:rPr>
          <w:rFonts w:hint="eastAsia" w:ascii="宋体" w:hAnsi="宋体" w:cs="Times New Roman"/>
          <w:sz w:val="22"/>
          <w:szCs w:val="22"/>
          <w:lang w:eastAsia="zh-CN"/>
        </w:rPr>
        <w:t>拟投入车辆设备</w:t>
      </w:r>
      <w:r>
        <w:rPr>
          <w:rFonts w:hint="eastAsia" w:ascii="宋体" w:hAnsi="宋体" w:cs="Times New Roman"/>
          <w:sz w:val="22"/>
          <w:szCs w:val="22"/>
        </w:rPr>
        <w:t>格式见第五部分】；</w:t>
      </w:r>
    </w:p>
    <w:p>
      <w:pPr>
        <w:snapToGrid w:val="0"/>
        <w:spacing w:line="460" w:lineRule="exact"/>
        <w:ind w:firstLine="541" w:firstLineChars="246"/>
        <w:rPr>
          <w:rFonts w:ascii="宋体" w:hAnsi="宋体"/>
          <w:sz w:val="22"/>
          <w:szCs w:val="22"/>
        </w:rPr>
      </w:pPr>
      <w:r>
        <w:rPr>
          <w:rFonts w:hint="eastAsia" w:ascii="宋体" w:hAnsi="宋体" w:cs="Times New Roman"/>
          <w:sz w:val="22"/>
          <w:szCs w:val="22"/>
        </w:rPr>
        <w:t>（1</w:t>
      </w:r>
      <w:r>
        <w:rPr>
          <w:rFonts w:hint="eastAsia" w:ascii="宋体" w:hAnsi="宋体" w:cs="Times New Roman"/>
          <w:sz w:val="22"/>
          <w:szCs w:val="22"/>
          <w:lang w:val="en-US" w:eastAsia="zh-CN"/>
        </w:rPr>
        <w:t>3</w:t>
      </w:r>
      <w:r>
        <w:rPr>
          <w:rFonts w:hint="eastAsia" w:ascii="宋体" w:hAnsi="宋体" w:cs="Times New Roman"/>
          <w:sz w:val="22"/>
          <w:szCs w:val="22"/>
        </w:rPr>
        <w:t>）</w:t>
      </w:r>
      <w:r>
        <w:rPr>
          <w:rFonts w:hint="eastAsia" w:ascii="宋体" w:hAnsi="宋体"/>
          <w:sz w:val="22"/>
          <w:szCs w:val="22"/>
        </w:rPr>
        <w:t>项目管理团队汇总表</w:t>
      </w:r>
      <w:r>
        <w:rPr>
          <w:rFonts w:ascii="宋体" w:hAnsi="宋体"/>
          <w:sz w:val="22"/>
          <w:szCs w:val="22"/>
        </w:rPr>
        <w:t>【格式见第五部分】；</w:t>
      </w:r>
    </w:p>
    <w:p>
      <w:pPr>
        <w:snapToGrid w:val="0"/>
        <w:spacing w:line="460" w:lineRule="exact"/>
        <w:ind w:firstLine="541" w:firstLineChars="246"/>
        <w:rPr>
          <w:rFonts w:hint="eastAsia" w:ascii="宋体" w:hAnsi="宋体" w:eastAsia="宋体" w:cs="Times New Roman"/>
          <w:sz w:val="22"/>
          <w:szCs w:val="22"/>
          <w:lang w:eastAsia="zh-CN"/>
        </w:rPr>
      </w:pPr>
      <w:r>
        <w:rPr>
          <w:rFonts w:hint="eastAsia" w:ascii="宋体" w:hAnsi="宋体" w:cs="Times New Roman"/>
          <w:sz w:val="22"/>
          <w:szCs w:val="22"/>
        </w:rPr>
        <w:t>（1</w:t>
      </w:r>
      <w:r>
        <w:rPr>
          <w:rFonts w:hint="eastAsia" w:ascii="宋体" w:hAnsi="宋体" w:cs="Times New Roman"/>
          <w:sz w:val="22"/>
          <w:szCs w:val="22"/>
          <w:lang w:val="en-US" w:eastAsia="zh-CN"/>
        </w:rPr>
        <w:t>4</w:t>
      </w:r>
      <w:r>
        <w:rPr>
          <w:rFonts w:hint="eastAsia" w:ascii="宋体" w:hAnsi="宋体" w:cs="Times New Roman"/>
          <w:sz w:val="22"/>
          <w:szCs w:val="22"/>
        </w:rPr>
        <w:t>）</w:t>
      </w:r>
      <w:r>
        <w:rPr>
          <w:rFonts w:hint="eastAsia" w:ascii="宋体" w:hAnsi="宋体" w:cs="Times New Roman"/>
          <w:sz w:val="22"/>
          <w:szCs w:val="22"/>
          <w:lang w:eastAsia="zh-CN"/>
        </w:rPr>
        <w:t>拟派人员在岗承诺书</w:t>
      </w:r>
      <w:r>
        <w:rPr>
          <w:rFonts w:ascii="宋体" w:hAnsi="宋体"/>
          <w:sz w:val="22"/>
          <w:szCs w:val="22"/>
        </w:rPr>
        <w:t>【格式见第五部分】；</w:t>
      </w:r>
    </w:p>
    <w:p>
      <w:pPr>
        <w:snapToGrid w:val="0"/>
        <w:spacing w:line="460" w:lineRule="exact"/>
        <w:ind w:firstLine="541" w:firstLineChars="246"/>
        <w:rPr>
          <w:rFonts w:hint="eastAsia" w:ascii="宋体" w:hAnsi="宋体" w:cs="Times New Roman"/>
          <w:sz w:val="22"/>
          <w:szCs w:val="22"/>
        </w:rPr>
      </w:pPr>
      <w:r>
        <w:rPr>
          <w:rFonts w:ascii="宋体" w:hAnsi="宋体"/>
          <w:sz w:val="22"/>
          <w:szCs w:val="22"/>
        </w:rPr>
        <w:t>（</w:t>
      </w:r>
      <w:r>
        <w:rPr>
          <w:rFonts w:hint="eastAsia" w:ascii="宋体" w:hAnsi="宋体"/>
          <w:sz w:val="22"/>
          <w:szCs w:val="22"/>
          <w:lang w:val="en-US" w:eastAsia="zh-CN"/>
        </w:rPr>
        <w:t>15</w:t>
      </w:r>
      <w:r>
        <w:rPr>
          <w:rFonts w:ascii="宋体" w:hAnsi="宋体"/>
          <w:sz w:val="22"/>
          <w:szCs w:val="22"/>
        </w:rPr>
        <w:t>）</w:t>
      </w:r>
      <w:r>
        <w:rPr>
          <w:rFonts w:hint="eastAsia" w:ascii="宋体" w:hAnsi="宋体" w:cs="Times New Roman"/>
          <w:sz w:val="22"/>
          <w:szCs w:val="22"/>
        </w:rPr>
        <w:t>项目所需产品阐述【格式见第五部分】；</w:t>
      </w:r>
    </w:p>
    <w:p>
      <w:pPr>
        <w:snapToGrid w:val="0"/>
        <w:spacing w:line="460" w:lineRule="exact"/>
        <w:ind w:firstLine="541" w:firstLineChars="246"/>
        <w:rPr>
          <w:rFonts w:ascii="宋体" w:hAnsi="宋体"/>
          <w:sz w:val="22"/>
          <w:szCs w:val="22"/>
        </w:rPr>
      </w:pPr>
      <w:r>
        <w:rPr>
          <w:rFonts w:hint="eastAsia" w:ascii="宋体" w:hAnsi="宋体"/>
          <w:sz w:val="22"/>
          <w:szCs w:val="22"/>
          <w:lang w:eastAsia="zh-CN"/>
        </w:rPr>
        <w:t>（</w:t>
      </w:r>
      <w:r>
        <w:rPr>
          <w:rFonts w:hint="eastAsia" w:ascii="宋体" w:hAnsi="宋体"/>
          <w:sz w:val="22"/>
          <w:szCs w:val="22"/>
          <w:lang w:val="en-US" w:eastAsia="zh-CN"/>
        </w:rPr>
        <w:t>16</w:t>
      </w:r>
      <w:r>
        <w:rPr>
          <w:rFonts w:hint="eastAsia" w:ascii="宋体" w:hAnsi="宋体"/>
          <w:sz w:val="22"/>
          <w:szCs w:val="22"/>
          <w:lang w:eastAsia="zh-CN"/>
        </w:rPr>
        <w:t>）</w:t>
      </w:r>
      <w:r>
        <w:rPr>
          <w:rFonts w:ascii="宋体" w:hAnsi="宋体"/>
          <w:sz w:val="22"/>
          <w:szCs w:val="22"/>
        </w:rPr>
        <w:t>《</w:t>
      </w:r>
      <w:r>
        <w:rPr>
          <w:rFonts w:hint="eastAsia" w:ascii="宋体" w:hAnsi="宋体"/>
          <w:sz w:val="22"/>
          <w:szCs w:val="22"/>
          <w:lang w:eastAsia="zh-CN"/>
        </w:rPr>
        <w:t>采购</w:t>
      </w:r>
      <w:r>
        <w:rPr>
          <w:rFonts w:ascii="宋体" w:hAnsi="宋体"/>
          <w:sz w:val="22"/>
          <w:szCs w:val="22"/>
        </w:rPr>
        <w:t>文件》中要求的或投标供应商认为有必要提供的其他材料或说明【格式见第五部分】。</w:t>
      </w:r>
    </w:p>
    <w:p>
      <w:pPr>
        <w:snapToGrid w:val="0"/>
        <w:spacing w:line="460" w:lineRule="exact"/>
        <w:ind w:firstLine="642" w:firstLineChars="246"/>
        <w:rPr>
          <w:rFonts w:ascii="宋体" w:hAnsi="宋体"/>
          <w:b/>
          <w:sz w:val="26"/>
          <w:szCs w:val="26"/>
        </w:rPr>
      </w:pPr>
      <w:r>
        <w:rPr>
          <w:rFonts w:hint="eastAsia" w:ascii="宋体" w:hAnsi="宋体"/>
          <w:b/>
          <w:sz w:val="26"/>
          <w:szCs w:val="26"/>
          <w:lang w:val="en-US" w:eastAsia="zh-CN"/>
        </w:rPr>
        <w:t>C</w:t>
      </w:r>
      <w:r>
        <w:rPr>
          <w:rFonts w:ascii="宋体" w:hAnsi="宋体"/>
          <w:b/>
          <w:sz w:val="26"/>
          <w:szCs w:val="26"/>
        </w:rPr>
        <w:t>、</w:t>
      </w:r>
      <w:r>
        <w:rPr>
          <w:rFonts w:hint="eastAsia" w:ascii="宋体" w:hAnsi="宋体"/>
          <w:b/>
          <w:sz w:val="26"/>
          <w:szCs w:val="26"/>
          <w:lang w:eastAsia="zh-CN"/>
        </w:rPr>
        <w:t>“</w:t>
      </w:r>
      <w:r>
        <w:rPr>
          <w:rFonts w:ascii="宋体" w:hAnsi="宋体"/>
          <w:b/>
          <w:sz w:val="26"/>
          <w:szCs w:val="26"/>
        </w:rPr>
        <w:t>报价文件</w:t>
      </w:r>
      <w:r>
        <w:rPr>
          <w:rFonts w:hint="eastAsia" w:ascii="宋体" w:hAnsi="宋体"/>
          <w:b/>
          <w:sz w:val="26"/>
          <w:szCs w:val="26"/>
          <w:lang w:eastAsia="zh-CN"/>
        </w:rPr>
        <w:t>”</w:t>
      </w:r>
      <w:r>
        <w:rPr>
          <w:rFonts w:ascii="宋体" w:hAnsi="宋体"/>
          <w:b/>
          <w:sz w:val="26"/>
          <w:szCs w:val="26"/>
        </w:rPr>
        <w:t xml:space="preserve">的组成 </w:t>
      </w:r>
    </w:p>
    <w:p>
      <w:pPr>
        <w:snapToGrid w:val="0"/>
        <w:spacing w:line="460" w:lineRule="exact"/>
        <w:ind w:firstLine="541" w:firstLineChars="246"/>
        <w:rPr>
          <w:rFonts w:ascii="宋体" w:hAnsi="宋体"/>
          <w:sz w:val="22"/>
          <w:szCs w:val="22"/>
        </w:rPr>
      </w:pPr>
      <w:r>
        <w:rPr>
          <w:rFonts w:ascii="宋体" w:hAnsi="宋体"/>
          <w:sz w:val="22"/>
          <w:szCs w:val="22"/>
        </w:rPr>
        <w:t>（1）“报价文件”封面【格式见第五部分】；</w:t>
      </w:r>
    </w:p>
    <w:p>
      <w:pPr>
        <w:snapToGrid w:val="0"/>
        <w:spacing w:line="460" w:lineRule="exact"/>
        <w:ind w:firstLine="541" w:firstLineChars="246"/>
        <w:rPr>
          <w:rFonts w:ascii="宋体" w:hAnsi="宋体"/>
          <w:sz w:val="22"/>
          <w:szCs w:val="22"/>
        </w:rPr>
      </w:pPr>
      <w:r>
        <w:rPr>
          <w:rFonts w:ascii="宋体" w:hAnsi="宋体"/>
          <w:sz w:val="22"/>
          <w:szCs w:val="22"/>
        </w:rPr>
        <w:t>（2）“报价文件”目录（格式自拟）；</w:t>
      </w:r>
    </w:p>
    <w:p>
      <w:pPr>
        <w:snapToGrid w:val="0"/>
        <w:spacing w:line="460" w:lineRule="exact"/>
        <w:ind w:firstLine="541" w:firstLineChars="246"/>
        <w:rPr>
          <w:rFonts w:ascii="宋体" w:hAnsi="宋体"/>
          <w:sz w:val="22"/>
          <w:szCs w:val="22"/>
        </w:rPr>
      </w:pPr>
      <w:r>
        <w:rPr>
          <w:rFonts w:ascii="宋体" w:hAnsi="宋体"/>
          <w:sz w:val="22"/>
          <w:szCs w:val="22"/>
        </w:rPr>
        <w:t>（3）《投标一览表》【格式见第五部分】；</w:t>
      </w:r>
    </w:p>
    <w:p>
      <w:pPr>
        <w:snapToGrid w:val="0"/>
        <w:spacing w:line="460" w:lineRule="exact"/>
        <w:ind w:firstLine="541" w:firstLineChars="246"/>
        <w:rPr>
          <w:rFonts w:ascii="宋体" w:hAnsi="宋体"/>
          <w:sz w:val="22"/>
          <w:szCs w:val="22"/>
        </w:rPr>
      </w:pPr>
      <w:r>
        <w:rPr>
          <w:rFonts w:ascii="宋体" w:hAnsi="宋体"/>
          <w:sz w:val="22"/>
          <w:szCs w:val="22"/>
        </w:rPr>
        <w:t>（4）《投标报价组成明细表及附表》【格式见第五部分】。</w:t>
      </w:r>
    </w:p>
    <w:p>
      <w:pPr>
        <w:keepNext w:val="0"/>
        <w:keepLines w:val="0"/>
        <w:pageBreakBefore w:val="0"/>
        <w:widowControl w:val="0"/>
        <w:kinsoku/>
        <w:wordWrap/>
        <w:overflowPunct/>
        <w:topLinePunct w:val="0"/>
        <w:autoSpaceDE/>
        <w:autoSpaceDN/>
        <w:bidi w:val="0"/>
        <w:adjustRightInd/>
        <w:snapToGrid w:val="0"/>
        <w:spacing w:line="460" w:lineRule="exact"/>
        <w:ind w:firstLine="569" w:firstLineChars="259"/>
        <w:jc w:val="both"/>
        <w:textAlignment w:val="auto"/>
        <w:rPr>
          <w:rFonts w:ascii="宋体" w:hAnsi="宋体" w:eastAsia="宋体" w:cs="Times New Roman"/>
          <w:kern w:val="2"/>
          <w:sz w:val="22"/>
          <w:szCs w:val="22"/>
          <w:lang w:val="en-US" w:eastAsia="zh-CN" w:bidi="ar-SA"/>
        </w:rPr>
      </w:pPr>
      <w:r>
        <w:rPr>
          <w:rFonts w:ascii="宋体" w:hAnsi="宋体" w:eastAsia="宋体" w:cs="Times New Roman"/>
          <w:kern w:val="2"/>
          <w:sz w:val="22"/>
          <w:szCs w:val="22"/>
          <w:lang w:val="en-US" w:eastAsia="zh-CN" w:bidi="ar-SA"/>
        </w:rPr>
        <w:t>（</w:t>
      </w:r>
      <w:r>
        <w:rPr>
          <w:rFonts w:hint="eastAsia" w:ascii="宋体" w:hAnsi="宋体" w:eastAsia="宋体" w:cs="Times New Roman"/>
          <w:kern w:val="2"/>
          <w:sz w:val="22"/>
          <w:szCs w:val="22"/>
          <w:lang w:val="en-US" w:eastAsia="zh-CN" w:bidi="ar-SA"/>
        </w:rPr>
        <w:t>5</w:t>
      </w:r>
      <w:r>
        <w:rPr>
          <w:rFonts w:ascii="宋体" w:hAnsi="宋体" w:eastAsia="宋体" w:cs="Times New Roman"/>
          <w:kern w:val="2"/>
          <w:sz w:val="22"/>
          <w:szCs w:val="22"/>
          <w:lang w:val="en-US" w:eastAsia="zh-CN" w:bidi="ar-SA"/>
        </w:rPr>
        <w:t>）《中小企业声明函》及相关证明材料</w:t>
      </w:r>
      <w:r>
        <w:rPr>
          <w:rFonts w:hint="eastAsia" w:ascii="宋体" w:hAnsi="宋体" w:cs="Times New Roman"/>
          <w:kern w:val="2"/>
          <w:sz w:val="22"/>
          <w:szCs w:val="22"/>
          <w:lang w:val="en-US" w:eastAsia="zh-CN" w:bidi="ar-SA"/>
        </w:rPr>
        <w:t>、</w:t>
      </w:r>
      <w:r>
        <w:rPr>
          <w:rFonts w:hint="eastAsia" w:ascii="宋体"/>
          <w:color w:val="000000" w:themeColor="text1"/>
          <w:sz w:val="22"/>
        </w:rPr>
        <w:t>残疾人福利性单位声明函（如是）（由相关部门出具）</w:t>
      </w:r>
      <w:r>
        <w:rPr>
          <w:rFonts w:hint="eastAsia" w:ascii="宋体"/>
          <w:color w:val="000000" w:themeColor="text1"/>
          <w:sz w:val="22"/>
          <w:lang w:eastAsia="zh-CN"/>
        </w:rPr>
        <w:t>、</w:t>
      </w:r>
      <w:r>
        <w:rPr>
          <w:rFonts w:hint="eastAsia" w:ascii="宋体"/>
          <w:color w:val="000000" w:themeColor="text1"/>
          <w:sz w:val="22"/>
        </w:rPr>
        <w:t>监狱企业证明文件（如有）</w:t>
      </w:r>
      <w:r>
        <w:rPr>
          <w:rFonts w:ascii="宋体" w:hAnsi="宋体" w:eastAsia="宋体" w:cs="Times New Roman"/>
          <w:kern w:val="2"/>
          <w:sz w:val="22"/>
          <w:szCs w:val="22"/>
          <w:lang w:val="en-US" w:eastAsia="zh-CN" w:bidi="ar-SA"/>
        </w:rPr>
        <w:t xml:space="preserve">【不符合的不提供，格式见第五部分】； </w:t>
      </w:r>
    </w:p>
    <w:p>
      <w:pPr>
        <w:snapToGrid w:val="0"/>
        <w:spacing w:line="460" w:lineRule="exact"/>
        <w:ind w:firstLine="541" w:firstLineChars="246"/>
        <w:rPr>
          <w:rFonts w:ascii="宋体" w:hAnsi="宋体"/>
          <w:sz w:val="22"/>
          <w:szCs w:val="22"/>
        </w:rPr>
      </w:pPr>
      <w:r>
        <w:rPr>
          <w:rFonts w:ascii="宋体" w:hAnsi="宋体"/>
          <w:sz w:val="22"/>
          <w:szCs w:val="22"/>
        </w:rPr>
        <w:t>14.3补充说明：</w:t>
      </w:r>
    </w:p>
    <w:p>
      <w:pPr>
        <w:snapToGrid w:val="0"/>
        <w:spacing w:line="460" w:lineRule="exact"/>
        <w:ind w:firstLine="541" w:firstLineChars="246"/>
        <w:rPr>
          <w:rFonts w:ascii="宋体" w:hAnsi="宋体"/>
          <w:sz w:val="22"/>
          <w:szCs w:val="22"/>
        </w:rPr>
      </w:pPr>
      <w:r>
        <w:rPr>
          <w:rFonts w:ascii="宋体" w:hAnsi="宋体"/>
          <w:sz w:val="22"/>
          <w:szCs w:val="22"/>
        </w:rPr>
        <w:t>（1）上述材料本《</w:t>
      </w:r>
      <w:r>
        <w:rPr>
          <w:rFonts w:hint="eastAsia" w:ascii="宋体" w:hAnsi="宋体"/>
          <w:sz w:val="22"/>
          <w:szCs w:val="22"/>
          <w:lang w:eastAsia="zh-CN"/>
        </w:rPr>
        <w:t>采购</w:t>
      </w:r>
      <w:r>
        <w:rPr>
          <w:rFonts w:ascii="宋体" w:hAnsi="宋体"/>
          <w:sz w:val="22"/>
          <w:szCs w:val="22"/>
        </w:rPr>
        <w:t xml:space="preserve">文件》有提供格式的，参照格式要求进行编制，并按格式规定盖章、签署，内容或签章不齐的视同未提供。 </w:t>
      </w:r>
    </w:p>
    <w:p>
      <w:pPr>
        <w:snapToGrid w:val="0"/>
        <w:spacing w:line="460" w:lineRule="exact"/>
        <w:ind w:firstLine="541" w:firstLineChars="246"/>
        <w:rPr>
          <w:rFonts w:ascii="宋体" w:hAnsi="宋体"/>
          <w:sz w:val="22"/>
          <w:szCs w:val="22"/>
        </w:rPr>
      </w:pPr>
      <w:r>
        <w:rPr>
          <w:rFonts w:ascii="宋体" w:hAnsi="宋体"/>
          <w:sz w:val="22"/>
          <w:szCs w:val="22"/>
        </w:rPr>
        <w:t xml:space="preserve">（2）提供的《法定代表人授权委托书》必须由投标供应商的法定代表人签字（或盖章）并加盖投标供应商公章（其他需要签字的部分可由授权代表签字（或盖章）并加盖公章）内容或签章不齐的视同未提供； </w:t>
      </w:r>
    </w:p>
    <w:p>
      <w:pPr>
        <w:snapToGrid w:val="0"/>
        <w:spacing w:line="460" w:lineRule="exact"/>
        <w:ind w:firstLine="541" w:firstLineChars="246"/>
        <w:rPr>
          <w:rFonts w:ascii="宋体" w:hAnsi="宋体"/>
          <w:sz w:val="22"/>
          <w:szCs w:val="22"/>
        </w:rPr>
      </w:pPr>
      <w:r>
        <w:rPr>
          <w:rFonts w:ascii="宋体" w:hAnsi="宋体"/>
          <w:sz w:val="22"/>
          <w:szCs w:val="22"/>
        </w:rPr>
        <w:t>（3）资格证明文件、企业资质证书、许可证书、产品检测报告、供应商业绩证明材料</w:t>
      </w:r>
      <w:r>
        <w:rPr>
          <w:rFonts w:hint="eastAsia" w:ascii="宋体" w:hAnsi="宋体"/>
          <w:sz w:val="22"/>
          <w:szCs w:val="22"/>
          <w:lang w:eastAsia="zh-CN"/>
        </w:rPr>
        <w:t>扫描</w:t>
      </w:r>
      <w:r>
        <w:rPr>
          <w:rFonts w:ascii="宋体" w:hAnsi="宋体"/>
          <w:sz w:val="22"/>
          <w:szCs w:val="22"/>
        </w:rPr>
        <w:t xml:space="preserve">件须加盖投标供应商单位公章；签章不齐的视同未提供。 </w:t>
      </w:r>
    </w:p>
    <w:p>
      <w:pPr>
        <w:snapToGrid w:val="0"/>
        <w:spacing w:line="460" w:lineRule="exact"/>
        <w:ind w:firstLine="541" w:firstLineChars="246"/>
        <w:rPr>
          <w:rFonts w:ascii="宋体" w:hAnsi="宋体"/>
          <w:sz w:val="22"/>
          <w:szCs w:val="22"/>
        </w:rPr>
      </w:pPr>
      <w:r>
        <w:rPr>
          <w:rFonts w:ascii="宋体" w:hAnsi="宋体"/>
          <w:sz w:val="22"/>
          <w:szCs w:val="22"/>
        </w:rPr>
        <w:t>15、《</w:t>
      </w:r>
      <w:r>
        <w:rPr>
          <w:rFonts w:hint="eastAsia" w:ascii="宋体" w:hAnsi="宋体"/>
          <w:sz w:val="22"/>
          <w:szCs w:val="22"/>
        </w:rPr>
        <w:t>磋商响应文件</w:t>
      </w:r>
      <w:r>
        <w:rPr>
          <w:rFonts w:ascii="宋体" w:hAnsi="宋体"/>
          <w:sz w:val="22"/>
          <w:szCs w:val="22"/>
        </w:rPr>
        <w:t xml:space="preserve">》的语言及计量 </w:t>
      </w:r>
    </w:p>
    <w:p>
      <w:pPr>
        <w:snapToGrid w:val="0"/>
        <w:spacing w:line="460" w:lineRule="exact"/>
        <w:ind w:firstLine="541" w:firstLineChars="246"/>
        <w:rPr>
          <w:rFonts w:ascii="宋体" w:hAnsi="宋体"/>
          <w:sz w:val="22"/>
          <w:szCs w:val="22"/>
        </w:rPr>
      </w:pPr>
      <w:r>
        <w:rPr>
          <w:rFonts w:ascii="宋体" w:hAnsi="宋体"/>
          <w:sz w:val="22"/>
          <w:szCs w:val="22"/>
        </w:rPr>
        <w:t>15.1《</w:t>
      </w:r>
      <w:r>
        <w:rPr>
          <w:rFonts w:hint="eastAsia" w:ascii="宋体" w:hAnsi="宋体"/>
          <w:sz w:val="22"/>
          <w:szCs w:val="22"/>
        </w:rPr>
        <w:t>磋商响应文件</w:t>
      </w:r>
      <w:r>
        <w:rPr>
          <w:rFonts w:ascii="宋体" w:hAnsi="宋体"/>
          <w:sz w:val="22"/>
          <w:szCs w:val="22"/>
        </w:rPr>
        <w:t>》以及投标供应商与采购人就有关投标事宜的所有来往函电，均应以中文汉语书写。除签名、盖章、专用名称等特殊情形外，以中文汉语以外的文字表述的</w:t>
      </w:r>
      <w:r>
        <w:rPr>
          <w:rFonts w:hint="eastAsia" w:ascii="宋体" w:hAnsi="宋体"/>
          <w:sz w:val="22"/>
          <w:szCs w:val="22"/>
        </w:rPr>
        <w:t>磋商响应文件</w:t>
      </w:r>
      <w:r>
        <w:rPr>
          <w:rFonts w:ascii="宋体" w:hAnsi="宋体"/>
          <w:sz w:val="22"/>
          <w:szCs w:val="22"/>
        </w:rPr>
        <w:t xml:space="preserve">视同未提供。 </w:t>
      </w:r>
    </w:p>
    <w:p>
      <w:pPr>
        <w:snapToGrid w:val="0"/>
        <w:spacing w:line="460" w:lineRule="exact"/>
        <w:ind w:firstLine="541" w:firstLineChars="246"/>
        <w:rPr>
          <w:rFonts w:ascii="宋体" w:hAnsi="宋体"/>
          <w:sz w:val="22"/>
          <w:szCs w:val="22"/>
        </w:rPr>
      </w:pPr>
      <w:r>
        <w:rPr>
          <w:rFonts w:ascii="宋体" w:hAnsi="宋体"/>
          <w:sz w:val="22"/>
          <w:szCs w:val="22"/>
        </w:rPr>
        <w:t>15.2投标计量单位，《</w:t>
      </w:r>
      <w:r>
        <w:rPr>
          <w:rFonts w:hint="eastAsia" w:ascii="宋体" w:hAnsi="宋体"/>
          <w:sz w:val="22"/>
          <w:szCs w:val="22"/>
          <w:lang w:eastAsia="zh-CN"/>
        </w:rPr>
        <w:t>采购</w:t>
      </w:r>
      <w:r>
        <w:rPr>
          <w:rFonts w:ascii="宋体" w:hAnsi="宋体"/>
          <w:sz w:val="22"/>
          <w:szCs w:val="22"/>
        </w:rPr>
        <w:t>文件》已有明确规定的，使用《</w:t>
      </w:r>
      <w:r>
        <w:rPr>
          <w:rFonts w:hint="eastAsia" w:ascii="宋体" w:hAnsi="宋体"/>
          <w:sz w:val="22"/>
          <w:szCs w:val="22"/>
          <w:lang w:eastAsia="zh-CN"/>
        </w:rPr>
        <w:t>采购</w:t>
      </w:r>
      <w:r>
        <w:rPr>
          <w:rFonts w:ascii="宋体" w:hAnsi="宋体"/>
          <w:sz w:val="22"/>
          <w:szCs w:val="22"/>
        </w:rPr>
        <w:t>文件》规定的计量单位；《</w:t>
      </w:r>
      <w:r>
        <w:rPr>
          <w:rFonts w:hint="eastAsia" w:ascii="宋体" w:hAnsi="宋体"/>
          <w:sz w:val="22"/>
          <w:szCs w:val="22"/>
          <w:lang w:eastAsia="zh-CN"/>
        </w:rPr>
        <w:t>采购</w:t>
      </w:r>
      <w:r>
        <w:rPr>
          <w:rFonts w:ascii="宋体" w:hAnsi="宋体"/>
          <w:sz w:val="22"/>
          <w:szCs w:val="22"/>
        </w:rPr>
        <w:t xml:space="preserve">文件》没有规定的，应采用中华人民共和国法定计量单位，否则视同未响应。 </w:t>
      </w:r>
    </w:p>
    <w:p>
      <w:pPr>
        <w:snapToGrid w:val="0"/>
        <w:spacing w:line="460" w:lineRule="exact"/>
        <w:ind w:firstLine="541" w:firstLineChars="246"/>
        <w:rPr>
          <w:rFonts w:ascii="宋体" w:hAnsi="宋体"/>
          <w:sz w:val="22"/>
          <w:szCs w:val="22"/>
        </w:rPr>
      </w:pPr>
      <w:r>
        <w:rPr>
          <w:rFonts w:ascii="宋体" w:hAnsi="宋体"/>
          <w:sz w:val="22"/>
          <w:szCs w:val="22"/>
        </w:rPr>
        <w:t xml:space="preserve">16、投标报价 </w:t>
      </w:r>
    </w:p>
    <w:p>
      <w:pPr>
        <w:snapToGrid w:val="0"/>
        <w:spacing w:line="460" w:lineRule="exact"/>
        <w:ind w:firstLine="541" w:firstLineChars="246"/>
        <w:rPr>
          <w:rFonts w:ascii="宋体" w:hAnsi="宋体"/>
          <w:sz w:val="22"/>
          <w:szCs w:val="22"/>
        </w:rPr>
      </w:pPr>
      <w:r>
        <w:rPr>
          <w:rFonts w:ascii="宋体" w:hAnsi="宋体"/>
          <w:sz w:val="22"/>
          <w:szCs w:val="22"/>
        </w:rPr>
        <w:t>16.1投标报价应按《</w:t>
      </w:r>
      <w:r>
        <w:rPr>
          <w:rFonts w:hint="eastAsia" w:ascii="宋体" w:hAnsi="宋体"/>
          <w:sz w:val="22"/>
          <w:szCs w:val="22"/>
          <w:lang w:eastAsia="zh-CN"/>
        </w:rPr>
        <w:t>采购</w:t>
      </w:r>
      <w:r>
        <w:rPr>
          <w:rFonts w:ascii="宋体" w:hAnsi="宋体"/>
          <w:sz w:val="22"/>
          <w:szCs w:val="22"/>
        </w:rPr>
        <w:t xml:space="preserve">文件》中相关附表格式填写。 </w:t>
      </w:r>
    </w:p>
    <w:p>
      <w:pPr>
        <w:snapToGrid w:val="0"/>
        <w:spacing w:line="460" w:lineRule="exact"/>
        <w:ind w:firstLine="541" w:firstLineChars="246"/>
        <w:rPr>
          <w:rFonts w:ascii="宋体" w:hAnsi="宋体"/>
          <w:sz w:val="22"/>
          <w:szCs w:val="22"/>
        </w:rPr>
      </w:pPr>
      <w:r>
        <w:rPr>
          <w:rFonts w:ascii="宋体" w:hAnsi="宋体"/>
          <w:sz w:val="22"/>
          <w:szCs w:val="22"/>
        </w:rPr>
        <w:t xml:space="preserve">16.2本次项目以人民币报价，评审时以人民币价格为准。 </w:t>
      </w:r>
    </w:p>
    <w:p>
      <w:pPr>
        <w:snapToGrid w:val="0"/>
        <w:spacing w:line="460" w:lineRule="exact"/>
        <w:ind w:firstLine="541" w:firstLineChars="246"/>
        <w:rPr>
          <w:rFonts w:ascii="宋体" w:hAnsi="宋体"/>
          <w:sz w:val="22"/>
          <w:szCs w:val="22"/>
        </w:rPr>
      </w:pPr>
      <w:r>
        <w:rPr>
          <w:rFonts w:ascii="宋体" w:hAnsi="宋体"/>
          <w:sz w:val="22"/>
          <w:szCs w:val="22"/>
        </w:rPr>
        <w:t>16.3本项目采用总价合同，中标（成交）供应商的投标报价是履行合同的最终价格，投标供应商的投标报价必须涵盖《投标须知前附表》中有关投标报价的所有范围。</w:t>
      </w:r>
    </w:p>
    <w:p>
      <w:pPr>
        <w:snapToGrid w:val="0"/>
        <w:spacing w:line="460" w:lineRule="exact"/>
        <w:ind w:firstLine="541" w:firstLineChars="246"/>
        <w:rPr>
          <w:rFonts w:ascii="宋体" w:hAnsi="宋体"/>
          <w:sz w:val="22"/>
          <w:szCs w:val="22"/>
        </w:rPr>
      </w:pPr>
      <w:r>
        <w:rPr>
          <w:rFonts w:ascii="宋体" w:hAnsi="宋体"/>
          <w:sz w:val="22"/>
          <w:szCs w:val="22"/>
        </w:rPr>
        <w:t>16.4▲</w:t>
      </w:r>
      <w:r>
        <w:rPr>
          <w:rFonts w:hint="eastAsia" w:ascii="宋体" w:hAnsi="宋体"/>
          <w:sz w:val="22"/>
          <w:szCs w:val="22"/>
        </w:rPr>
        <w:t>本项目</w:t>
      </w:r>
      <w:r>
        <w:rPr>
          <w:rFonts w:ascii="宋体" w:hAnsi="宋体"/>
          <w:sz w:val="22"/>
          <w:szCs w:val="22"/>
        </w:rPr>
        <w:t xml:space="preserve">只允许有一个报价，有选择的报价将作无效标处理。 </w:t>
      </w:r>
    </w:p>
    <w:p>
      <w:pPr>
        <w:snapToGrid w:val="0"/>
        <w:spacing w:line="460" w:lineRule="exact"/>
        <w:ind w:firstLine="541" w:firstLineChars="246"/>
        <w:rPr>
          <w:rFonts w:ascii="宋体" w:hAnsi="宋体"/>
          <w:sz w:val="22"/>
          <w:szCs w:val="22"/>
        </w:rPr>
      </w:pPr>
      <w:r>
        <w:rPr>
          <w:rFonts w:ascii="宋体" w:hAnsi="宋体"/>
          <w:sz w:val="22"/>
          <w:szCs w:val="22"/>
        </w:rPr>
        <w:t xml:space="preserve">16.5最低报价不是中标的保证，采购组织机构不作任何落标解释。 </w:t>
      </w:r>
    </w:p>
    <w:p>
      <w:pPr>
        <w:snapToGrid w:val="0"/>
        <w:spacing w:line="460" w:lineRule="exact"/>
        <w:ind w:firstLine="541" w:firstLineChars="246"/>
        <w:rPr>
          <w:rFonts w:ascii="宋体" w:hAnsi="宋体"/>
          <w:sz w:val="22"/>
          <w:szCs w:val="22"/>
        </w:rPr>
      </w:pPr>
      <w:r>
        <w:rPr>
          <w:rFonts w:ascii="宋体" w:hAnsi="宋体"/>
          <w:sz w:val="22"/>
          <w:szCs w:val="22"/>
        </w:rPr>
        <w:t>17、《</w:t>
      </w:r>
      <w:r>
        <w:rPr>
          <w:rFonts w:hint="eastAsia" w:ascii="宋体" w:hAnsi="宋体"/>
          <w:sz w:val="22"/>
          <w:szCs w:val="22"/>
        </w:rPr>
        <w:t>磋商响应文件</w:t>
      </w:r>
      <w:r>
        <w:rPr>
          <w:rFonts w:ascii="宋体" w:hAnsi="宋体"/>
          <w:sz w:val="22"/>
          <w:szCs w:val="22"/>
        </w:rPr>
        <w:t xml:space="preserve">》的有效期 </w:t>
      </w:r>
    </w:p>
    <w:p>
      <w:pPr>
        <w:snapToGrid w:val="0"/>
        <w:spacing w:line="460" w:lineRule="exact"/>
        <w:ind w:firstLine="541" w:firstLineChars="246"/>
        <w:rPr>
          <w:rFonts w:ascii="宋体" w:hAnsi="宋体"/>
          <w:sz w:val="22"/>
          <w:szCs w:val="22"/>
        </w:rPr>
      </w:pPr>
      <w:r>
        <w:rPr>
          <w:rFonts w:ascii="宋体" w:hAnsi="宋体"/>
          <w:sz w:val="22"/>
          <w:szCs w:val="22"/>
        </w:rPr>
        <w:t>17.1▲自投标截止日起</w:t>
      </w:r>
      <w:r>
        <w:rPr>
          <w:rFonts w:hint="eastAsia" w:ascii="宋体" w:hAnsi="宋体"/>
          <w:sz w:val="22"/>
          <w:szCs w:val="22"/>
          <w:lang w:val="en-US" w:eastAsia="zh-CN"/>
        </w:rPr>
        <w:t>9</w:t>
      </w:r>
      <w:r>
        <w:rPr>
          <w:rFonts w:ascii="宋体" w:hAnsi="宋体"/>
          <w:sz w:val="22"/>
          <w:szCs w:val="22"/>
        </w:rPr>
        <w:t>0天内《</w:t>
      </w:r>
      <w:r>
        <w:rPr>
          <w:rFonts w:hint="eastAsia" w:ascii="宋体" w:hAnsi="宋体"/>
          <w:sz w:val="22"/>
          <w:szCs w:val="22"/>
        </w:rPr>
        <w:t>磋商响应文件</w:t>
      </w:r>
      <w:r>
        <w:rPr>
          <w:rFonts w:ascii="宋体" w:hAnsi="宋体"/>
          <w:sz w:val="22"/>
          <w:szCs w:val="22"/>
        </w:rPr>
        <w:t>》应保持有效，</w:t>
      </w:r>
      <w:r>
        <w:rPr>
          <w:rFonts w:hint="eastAsia" w:ascii="宋体" w:hAnsi="宋体"/>
          <w:sz w:val="22"/>
          <w:szCs w:val="22"/>
        </w:rPr>
        <w:t>磋商响应文件</w:t>
      </w:r>
      <w:r>
        <w:rPr>
          <w:rFonts w:ascii="宋体" w:hAnsi="宋体"/>
          <w:sz w:val="22"/>
          <w:szCs w:val="22"/>
        </w:rPr>
        <w:t xml:space="preserve">有效期短于这个规定期限的投标将作无效标处理。 </w:t>
      </w:r>
    </w:p>
    <w:p>
      <w:pPr>
        <w:snapToGrid w:val="0"/>
        <w:spacing w:line="460" w:lineRule="exact"/>
        <w:ind w:firstLine="541" w:firstLineChars="246"/>
        <w:rPr>
          <w:rFonts w:ascii="宋体" w:hAnsi="宋体"/>
          <w:sz w:val="22"/>
          <w:szCs w:val="22"/>
        </w:rPr>
      </w:pPr>
      <w:r>
        <w:rPr>
          <w:rFonts w:ascii="宋体" w:hAnsi="宋体"/>
          <w:sz w:val="22"/>
          <w:szCs w:val="22"/>
        </w:rPr>
        <w:t>17.2在特殊情况下，采购人可与投标供应商协商延长《</w:t>
      </w:r>
      <w:r>
        <w:rPr>
          <w:rFonts w:hint="eastAsia" w:ascii="宋体" w:hAnsi="宋体"/>
          <w:sz w:val="22"/>
          <w:szCs w:val="22"/>
        </w:rPr>
        <w:t>磋商响应文件</w:t>
      </w:r>
      <w:r>
        <w:rPr>
          <w:rFonts w:ascii="宋体" w:hAnsi="宋体"/>
          <w:sz w:val="22"/>
          <w:szCs w:val="22"/>
        </w:rPr>
        <w:t>》的有效期，这种要求和答复均以书面形式进行。</w:t>
      </w:r>
    </w:p>
    <w:p>
      <w:pPr>
        <w:snapToGrid w:val="0"/>
        <w:spacing w:line="460" w:lineRule="exact"/>
        <w:ind w:firstLine="541" w:firstLineChars="246"/>
        <w:rPr>
          <w:rFonts w:ascii="宋体" w:hAnsi="宋体"/>
          <w:sz w:val="22"/>
          <w:szCs w:val="22"/>
        </w:rPr>
      </w:pPr>
      <w:r>
        <w:rPr>
          <w:rFonts w:ascii="宋体" w:hAnsi="宋体"/>
          <w:sz w:val="22"/>
          <w:szCs w:val="22"/>
        </w:rPr>
        <w:t>17.3投标供应商可拒绝接受延期要求</w:t>
      </w:r>
      <w:r>
        <w:rPr>
          <w:rFonts w:hint="eastAsia" w:ascii="宋体" w:hAnsi="宋体"/>
          <w:sz w:val="22"/>
          <w:szCs w:val="22"/>
        </w:rPr>
        <w:t>，</w:t>
      </w:r>
      <w:r>
        <w:rPr>
          <w:rFonts w:ascii="宋体" w:hAnsi="宋体"/>
          <w:sz w:val="22"/>
          <w:szCs w:val="22"/>
        </w:rPr>
        <w:t>但不能修改《</w:t>
      </w:r>
      <w:r>
        <w:rPr>
          <w:rFonts w:hint="eastAsia" w:ascii="宋体" w:hAnsi="宋体"/>
          <w:sz w:val="22"/>
          <w:szCs w:val="22"/>
        </w:rPr>
        <w:t>磋商响应文件</w:t>
      </w:r>
      <w:r>
        <w:rPr>
          <w:rFonts w:ascii="宋体" w:hAnsi="宋体"/>
          <w:sz w:val="22"/>
          <w:szCs w:val="22"/>
        </w:rPr>
        <w:t xml:space="preserve">》。 </w:t>
      </w:r>
    </w:p>
    <w:p>
      <w:pPr>
        <w:snapToGrid w:val="0"/>
        <w:spacing w:line="460" w:lineRule="exact"/>
        <w:ind w:firstLine="541" w:firstLineChars="246"/>
        <w:rPr>
          <w:rFonts w:ascii="宋体" w:hAnsi="宋体"/>
          <w:sz w:val="22"/>
          <w:szCs w:val="22"/>
        </w:rPr>
      </w:pPr>
      <w:r>
        <w:rPr>
          <w:rFonts w:ascii="宋体" w:hAnsi="宋体"/>
          <w:sz w:val="22"/>
          <w:szCs w:val="22"/>
        </w:rPr>
        <w:t>17.4中标（成交）供应商的《</w:t>
      </w:r>
      <w:r>
        <w:rPr>
          <w:rFonts w:hint="eastAsia" w:ascii="宋体" w:hAnsi="宋体"/>
          <w:sz w:val="22"/>
          <w:szCs w:val="22"/>
        </w:rPr>
        <w:t>磋商响应文件</w:t>
      </w:r>
      <w:r>
        <w:rPr>
          <w:rFonts w:ascii="宋体" w:hAnsi="宋体"/>
          <w:sz w:val="22"/>
          <w:szCs w:val="22"/>
        </w:rPr>
        <w:t xml:space="preserve">》自开标之日起至合同履行完毕止均应保持有效。 </w:t>
      </w:r>
    </w:p>
    <w:p>
      <w:pPr>
        <w:snapToGrid w:val="0"/>
        <w:spacing w:line="460" w:lineRule="exact"/>
        <w:ind w:firstLine="541" w:firstLineChars="246"/>
        <w:rPr>
          <w:rFonts w:ascii="宋体" w:hAnsi="宋体"/>
          <w:sz w:val="22"/>
          <w:szCs w:val="22"/>
        </w:rPr>
      </w:pPr>
      <w:r>
        <w:rPr>
          <w:rFonts w:ascii="宋体" w:hAnsi="宋体"/>
          <w:sz w:val="22"/>
          <w:szCs w:val="22"/>
        </w:rPr>
        <w:t xml:space="preserve">17.5在投标有效期内，中标（成交）供应商具有与其他采购人直接签订同类政府采购合同的资格。 </w:t>
      </w:r>
    </w:p>
    <w:p>
      <w:pPr>
        <w:snapToGrid w:val="0"/>
        <w:spacing w:line="460" w:lineRule="exact"/>
        <w:ind w:firstLine="541" w:firstLineChars="246"/>
        <w:rPr>
          <w:rFonts w:ascii="宋体" w:hAnsi="宋体"/>
          <w:sz w:val="22"/>
          <w:szCs w:val="22"/>
        </w:rPr>
      </w:pPr>
      <w:r>
        <w:rPr>
          <w:rFonts w:ascii="宋体" w:hAnsi="宋体"/>
          <w:sz w:val="22"/>
          <w:szCs w:val="22"/>
        </w:rPr>
        <w:t xml:space="preserve">18、投标保证金 </w:t>
      </w:r>
    </w:p>
    <w:p>
      <w:pPr>
        <w:snapToGrid w:val="0"/>
        <w:spacing w:line="460" w:lineRule="exact"/>
        <w:ind w:firstLine="541" w:firstLineChars="246"/>
        <w:rPr>
          <w:rFonts w:ascii="宋体" w:hAnsi="宋体"/>
          <w:sz w:val="22"/>
          <w:szCs w:val="22"/>
        </w:rPr>
      </w:pPr>
      <w:r>
        <w:rPr>
          <w:rFonts w:hint="eastAsia" w:ascii="宋体" w:hAnsi="宋体"/>
          <w:sz w:val="22"/>
          <w:szCs w:val="22"/>
        </w:rPr>
        <w:t>按照《浙江省财政厅关于明确政府采购保证金管理工作的通知》浙财采监〔2019〕5号文件规定，投标人无需缴纳投标保证金。</w:t>
      </w:r>
    </w:p>
    <w:p>
      <w:pPr>
        <w:pStyle w:val="5"/>
        <w:numPr>
          <w:ilvl w:val="0"/>
          <w:numId w:val="0"/>
        </w:numPr>
        <w:tabs>
          <w:tab w:val="left" w:pos="720"/>
        </w:tabs>
        <w:spacing w:before="0" w:after="0"/>
        <w:ind w:leftChars="43"/>
        <w:jc w:val="both"/>
        <w:rPr>
          <w:rFonts w:hint="eastAsia" w:ascii="宋体" w:hAnsi="宋体" w:eastAsia="宋体" w:cs="宋体"/>
          <w:sz w:val="22"/>
          <w:szCs w:val="22"/>
        </w:rPr>
      </w:pPr>
      <w:bookmarkStart w:id="14" w:name="_Toc26531"/>
      <w:bookmarkStart w:id="15" w:name="_Toc28910"/>
      <w:r>
        <w:rPr>
          <w:rFonts w:hint="eastAsia" w:ascii="宋体" w:hAnsi="宋体" w:cs="宋体"/>
          <w:sz w:val="22"/>
          <w:szCs w:val="22"/>
          <w:lang w:val="en-US" w:eastAsia="zh-CN"/>
        </w:rPr>
        <w:t>19.</w:t>
      </w:r>
      <w:r>
        <w:rPr>
          <w:rFonts w:hint="eastAsia" w:ascii="宋体" w:hAnsi="宋体" w:eastAsia="宋体" w:cs="宋体"/>
          <w:sz w:val="22"/>
          <w:szCs w:val="22"/>
        </w:rPr>
        <w:t>投标</w:t>
      </w:r>
      <w:bookmarkEnd w:id="14"/>
      <w:bookmarkEnd w:id="15"/>
    </w:p>
    <w:p>
      <w:pPr>
        <w:pStyle w:val="5"/>
        <w:numPr>
          <w:ilvl w:val="2"/>
          <w:numId w:val="0"/>
        </w:numPr>
        <w:tabs>
          <w:tab w:val="left" w:pos="720"/>
        </w:tabs>
        <w:spacing w:before="0" w:after="0"/>
        <w:ind w:left="88" w:leftChars="42" w:firstLine="135" w:firstLineChars="61"/>
        <w:jc w:val="both"/>
        <w:rPr>
          <w:rFonts w:hint="eastAsia" w:ascii="宋体" w:hAnsi="宋体" w:eastAsia="宋体" w:cs="宋体"/>
          <w:b/>
          <w:bCs/>
          <w:sz w:val="22"/>
          <w:szCs w:val="22"/>
        </w:rPr>
      </w:pPr>
      <w:bookmarkStart w:id="16" w:name="_Toc6872"/>
      <w:bookmarkStart w:id="17" w:name="_Toc4576"/>
      <w:r>
        <w:rPr>
          <w:rFonts w:hint="eastAsia" w:ascii="宋体" w:hAnsi="宋体" w:cs="宋体"/>
          <w:b/>
          <w:bCs/>
          <w:sz w:val="22"/>
          <w:szCs w:val="22"/>
          <w:lang w:val="en-US" w:eastAsia="zh-CN"/>
        </w:rPr>
        <w:t>19.</w:t>
      </w:r>
      <w:r>
        <w:rPr>
          <w:rFonts w:hint="eastAsia" w:ascii="宋体" w:hAnsi="宋体" w:eastAsia="宋体" w:cs="宋体"/>
          <w:b/>
          <w:bCs/>
          <w:sz w:val="22"/>
          <w:szCs w:val="22"/>
        </w:rPr>
        <w:t>1、磋商响应文件的上传和递交：见“</w:t>
      </w:r>
      <w:r>
        <w:rPr>
          <w:rFonts w:hint="eastAsia" w:ascii="宋体" w:hAnsi="宋体" w:eastAsia="宋体" w:cs="宋体"/>
          <w:sz w:val="22"/>
          <w:szCs w:val="22"/>
        </w:rPr>
        <w:t>投标通知(邀请)书</w:t>
      </w:r>
      <w:r>
        <w:rPr>
          <w:rFonts w:hint="eastAsia" w:ascii="宋体" w:hAnsi="宋体" w:eastAsia="宋体" w:cs="宋体"/>
          <w:b/>
          <w:bCs/>
          <w:sz w:val="22"/>
          <w:szCs w:val="22"/>
        </w:rPr>
        <w:t>”</w:t>
      </w:r>
      <w:bookmarkEnd w:id="16"/>
      <w:bookmarkEnd w:id="17"/>
    </w:p>
    <w:p>
      <w:pPr>
        <w:spacing w:line="360" w:lineRule="auto"/>
        <w:ind w:firstLine="221" w:firstLineChars="100"/>
        <w:rPr>
          <w:rFonts w:hint="eastAsia" w:ascii="宋体" w:hAnsi="宋体" w:cs="宋体"/>
          <w:sz w:val="22"/>
          <w:szCs w:val="22"/>
        </w:rPr>
      </w:pPr>
      <w:r>
        <w:rPr>
          <w:rFonts w:hint="eastAsia" w:ascii="宋体" w:hAnsi="宋体" w:cs="宋体"/>
          <w:b/>
          <w:bCs/>
          <w:sz w:val="22"/>
          <w:szCs w:val="22"/>
          <w:lang w:val="en-US" w:eastAsia="zh-CN"/>
        </w:rPr>
        <w:t>19.</w:t>
      </w:r>
      <w:r>
        <w:rPr>
          <w:rFonts w:hint="eastAsia" w:ascii="宋体" w:hAnsi="宋体" w:cs="宋体"/>
          <w:b/>
          <w:bCs/>
          <w:sz w:val="22"/>
          <w:szCs w:val="22"/>
        </w:rPr>
        <w:t>2、“电子加密</w:t>
      </w:r>
      <w:r>
        <w:rPr>
          <w:rFonts w:hint="eastAsia" w:ascii="宋体" w:hAnsi="宋体" w:cs="宋体"/>
          <w:b/>
          <w:bCs/>
          <w:color w:val="000000"/>
          <w:sz w:val="22"/>
        </w:rPr>
        <w:t>磋商响应文件</w:t>
      </w:r>
      <w:r>
        <w:rPr>
          <w:rFonts w:hint="eastAsia" w:ascii="宋体" w:hAnsi="宋体" w:cs="宋体"/>
          <w:b/>
          <w:bCs/>
          <w:sz w:val="22"/>
          <w:szCs w:val="22"/>
        </w:rPr>
        <w:t>”解密和异常情况处理：见“投标通知(邀请)书”</w:t>
      </w:r>
    </w:p>
    <w:p>
      <w:pPr>
        <w:pStyle w:val="5"/>
        <w:tabs>
          <w:tab w:val="left" w:pos="720"/>
        </w:tabs>
        <w:spacing w:before="0" w:after="0"/>
        <w:ind w:left="720" w:hanging="500"/>
        <w:jc w:val="both"/>
        <w:rPr>
          <w:rFonts w:hint="eastAsia" w:ascii="宋体" w:hAnsi="宋体" w:eastAsia="宋体" w:cs="宋体"/>
          <w:sz w:val="22"/>
          <w:szCs w:val="22"/>
        </w:rPr>
      </w:pPr>
      <w:bookmarkStart w:id="18" w:name="_Toc13444"/>
      <w:bookmarkStart w:id="19" w:name="_Toc9951"/>
      <w:r>
        <w:rPr>
          <w:rFonts w:hint="eastAsia" w:ascii="宋体" w:hAnsi="宋体" w:cs="宋体"/>
          <w:b/>
          <w:bCs/>
          <w:sz w:val="22"/>
          <w:szCs w:val="22"/>
          <w:lang w:val="en-US" w:eastAsia="zh-CN"/>
        </w:rPr>
        <w:t>19.</w:t>
      </w:r>
      <w:r>
        <w:rPr>
          <w:rFonts w:hint="eastAsia" w:ascii="宋体" w:hAnsi="宋体" w:eastAsia="宋体" w:cs="宋体"/>
          <w:sz w:val="22"/>
          <w:szCs w:val="22"/>
        </w:rPr>
        <w:t>3、</w:t>
      </w:r>
      <w:r>
        <w:rPr>
          <w:rFonts w:hint="eastAsia" w:ascii="宋体" w:hAnsi="宋体" w:cs="宋体"/>
          <w:b/>
          <w:bCs/>
          <w:color w:val="000000"/>
          <w:sz w:val="22"/>
        </w:rPr>
        <w:t>磋商响应文件</w:t>
      </w:r>
      <w:r>
        <w:rPr>
          <w:rFonts w:hint="eastAsia" w:ascii="宋体" w:hAnsi="宋体" w:eastAsia="宋体" w:cs="宋体"/>
          <w:sz w:val="22"/>
          <w:szCs w:val="22"/>
        </w:rPr>
        <w:t>的补充、修改或撤回</w:t>
      </w:r>
      <w:bookmarkEnd w:id="18"/>
      <w:bookmarkEnd w:id="19"/>
    </w:p>
    <w:p>
      <w:pPr>
        <w:pStyle w:val="22"/>
        <w:adjustRightInd w:val="0"/>
        <w:snapToGrid w:val="0"/>
        <w:spacing w:line="360" w:lineRule="auto"/>
        <w:ind w:firstLine="442" w:firstLineChars="200"/>
        <w:outlineLvl w:val="0"/>
        <w:rPr>
          <w:rFonts w:hint="eastAsia" w:hAnsi="宋体" w:cs="宋体"/>
          <w:sz w:val="22"/>
          <w:szCs w:val="22"/>
        </w:rPr>
      </w:pPr>
      <w:bookmarkStart w:id="20" w:name="_Toc1693"/>
      <w:bookmarkStart w:id="21" w:name="_Toc4022"/>
      <w:bookmarkStart w:id="22" w:name="_Toc6032"/>
      <w:bookmarkStart w:id="23" w:name="_Toc30641"/>
      <w:r>
        <w:rPr>
          <w:rFonts w:hint="eastAsia" w:ascii="宋体" w:hAnsi="宋体" w:cs="宋体"/>
          <w:b/>
          <w:bCs/>
          <w:sz w:val="22"/>
          <w:szCs w:val="22"/>
          <w:lang w:val="en-US" w:eastAsia="zh-CN"/>
        </w:rPr>
        <w:t>19.</w:t>
      </w:r>
      <w:r>
        <w:rPr>
          <w:rFonts w:hint="eastAsia" w:hAnsi="宋体" w:cs="宋体"/>
          <w:sz w:val="22"/>
          <w:szCs w:val="22"/>
        </w:rPr>
        <w:t>3.1供应商应当在投标截止时间前完成磋商响应文件的上传、递交，并可以补充、修改或者撤回磋商响应文件。补充或者修改磋商响应文件的，应当先行撤回原文件，补充、修改后重新上传、递交。投标截止时间前未完成上传、递交的，视为撤回磋商响应文件。投标截止时间后递交的磋商响应文件，“政府采购云平台”将予以拒收。</w:t>
      </w:r>
      <w:bookmarkEnd w:id="20"/>
      <w:bookmarkEnd w:id="21"/>
      <w:bookmarkEnd w:id="22"/>
      <w:bookmarkEnd w:id="23"/>
    </w:p>
    <w:p>
      <w:pPr>
        <w:pStyle w:val="22"/>
        <w:adjustRightInd w:val="0"/>
        <w:snapToGrid w:val="0"/>
        <w:spacing w:line="360" w:lineRule="auto"/>
        <w:ind w:firstLine="442" w:firstLineChars="200"/>
        <w:outlineLvl w:val="0"/>
        <w:rPr>
          <w:rFonts w:hint="eastAsia" w:hAnsi="宋体" w:cs="宋体"/>
          <w:sz w:val="22"/>
          <w:szCs w:val="22"/>
        </w:rPr>
      </w:pPr>
      <w:bookmarkStart w:id="24" w:name="_Toc10009"/>
      <w:bookmarkStart w:id="25" w:name="_Toc31280"/>
      <w:bookmarkStart w:id="26" w:name="_Toc13568"/>
      <w:bookmarkStart w:id="27" w:name="_Toc6434"/>
      <w:r>
        <w:rPr>
          <w:rFonts w:hint="eastAsia" w:ascii="宋体" w:hAnsi="宋体" w:cs="宋体"/>
          <w:b/>
          <w:bCs/>
          <w:sz w:val="22"/>
          <w:szCs w:val="22"/>
          <w:lang w:val="en-US" w:eastAsia="zh-CN"/>
        </w:rPr>
        <w:t>19.</w:t>
      </w:r>
      <w:r>
        <w:rPr>
          <w:rFonts w:hint="eastAsia" w:hAnsi="宋体" w:cs="宋体"/>
          <w:sz w:val="22"/>
          <w:szCs w:val="22"/>
        </w:rPr>
        <w:t>3.2投标截止时间后，投标供应商不得撤回、修改磋商响应文件。</w:t>
      </w:r>
      <w:bookmarkEnd w:id="24"/>
      <w:bookmarkEnd w:id="25"/>
      <w:bookmarkEnd w:id="26"/>
      <w:bookmarkEnd w:id="27"/>
    </w:p>
    <w:p>
      <w:pPr>
        <w:pStyle w:val="23"/>
        <w:spacing w:line="360" w:lineRule="auto"/>
        <w:ind w:firstLine="221" w:firstLineChars="100"/>
        <w:rPr>
          <w:rFonts w:hint="eastAsia" w:ascii="宋体" w:hAnsi="宋体" w:cs="宋体"/>
          <w:sz w:val="22"/>
          <w:szCs w:val="22"/>
        </w:rPr>
      </w:pPr>
      <w:r>
        <w:rPr>
          <w:rFonts w:hint="eastAsia" w:ascii="宋体" w:hAnsi="宋体" w:cs="宋体"/>
          <w:b/>
          <w:bCs/>
          <w:sz w:val="22"/>
          <w:szCs w:val="22"/>
          <w:lang w:val="en-US" w:eastAsia="zh-CN"/>
        </w:rPr>
        <w:t>19.</w:t>
      </w:r>
      <w:r>
        <w:rPr>
          <w:rFonts w:hint="eastAsia" w:ascii="宋体" w:hAnsi="宋体" w:cs="宋体"/>
          <w:sz w:val="22"/>
          <w:szCs w:val="22"/>
        </w:rPr>
        <w:t>3.4投标供应商不得递交任何的投标备选（替代）方案，否则其磋商响应文件将作无效标处理。与“电子加密磋商响应文件”同时生成的“备份磋商响应文件”不是投标备选（替代）方案。</w:t>
      </w:r>
    </w:p>
    <w:p>
      <w:pPr>
        <w:pStyle w:val="22"/>
        <w:numPr>
          <w:ilvl w:val="0"/>
          <w:numId w:val="0"/>
        </w:numPr>
        <w:adjustRightInd w:val="0"/>
        <w:snapToGrid w:val="0"/>
        <w:spacing w:line="360" w:lineRule="auto"/>
        <w:ind w:leftChars="43"/>
        <w:outlineLvl w:val="0"/>
        <w:rPr>
          <w:rFonts w:hint="eastAsia" w:hAnsi="宋体" w:cs="宋体"/>
          <w:b/>
          <w:bCs/>
          <w:sz w:val="22"/>
          <w:szCs w:val="22"/>
        </w:rPr>
      </w:pPr>
      <w:bookmarkStart w:id="28" w:name="_Toc10371"/>
      <w:bookmarkStart w:id="29" w:name="_Toc17371"/>
      <w:bookmarkStart w:id="30" w:name="_Toc27427"/>
      <w:bookmarkStart w:id="31" w:name="_Toc4144"/>
      <w:bookmarkStart w:id="32" w:name="_Toc31645"/>
      <w:r>
        <w:rPr>
          <w:rFonts w:hint="eastAsia" w:hAnsi="宋体" w:cs="宋体"/>
          <w:b/>
          <w:bCs/>
          <w:sz w:val="22"/>
          <w:szCs w:val="22"/>
          <w:lang w:val="en-US" w:eastAsia="zh-CN"/>
        </w:rPr>
        <w:t>20</w:t>
      </w:r>
      <w:r>
        <w:rPr>
          <w:rFonts w:hint="eastAsia" w:hAnsi="宋体" w:cs="宋体"/>
          <w:b/>
          <w:bCs/>
          <w:sz w:val="22"/>
          <w:szCs w:val="22"/>
        </w:rPr>
        <w:t>开标和评标</w:t>
      </w:r>
      <w:bookmarkEnd w:id="28"/>
      <w:bookmarkEnd w:id="29"/>
      <w:bookmarkEnd w:id="30"/>
      <w:bookmarkEnd w:id="31"/>
      <w:bookmarkEnd w:id="32"/>
    </w:p>
    <w:p>
      <w:pPr>
        <w:pStyle w:val="5"/>
        <w:tabs>
          <w:tab w:val="left" w:pos="720"/>
        </w:tabs>
        <w:spacing w:before="0" w:after="0"/>
        <w:ind w:left="720" w:hanging="720"/>
        <w:jc w:val="both"/>
        <w:rPr>
          <w:rFonts w:hint="eastAsia" w:ascii="宋体" w:hAnsi="宋体" w:eastAsia="宋体" w:cs="宋体"/>
          <w:sz w:val="22"/>
          <w:szCs w:val="22"/>
        </w:rPr>
      </w:pPr>
      <w:bookmarkStart w:id="33" w:name="_Toc7669"/>
      <w:bookmarkStart w:id="34" w:name="_Toc28280"/>
      <w:r>
        <w:rPr>
          <w:rFonts w:hint="eastAsia" w:ascii="宋体" w:hAnsi="宋体" w:cs="宋体"/>
          <w:sz w:val="22"/>
          <w:szCs w:val="22"/>
          <w:lang w:val="en-US" w:eastAsia="zh-CN"/>
        </w:rPr>
        <w:t>20.</w:t>
      </w:r>
      <w:r>
        <w:rPr>
          <w:rFonts w:hint="eastAsia" w:ascii="宋体" w:hAnsi="宋体" w:eastAsia="宋体" w:cs="宋体"/>
          <w:sz w:val="22"/>
          <w:szCs w:val="22"/>
        </w:rPr>
        <w:t>1、开标形式</w:t>
      </w:r>
      <w:bookmarkEnd w:id="33"/>
      <w:bookmarkEnd w:id="34"/>
    </w:p>
    <w:p>
      <w:pPr>
        <w:spacing w:line="360" w:lineRule="auto"/>
        <w:ind w:firstLine="389" w:firstLineChars="177"/>
        <w:rPr>
          <w:rFonts w:hint="eastAsia" w:ascii="宋体" w:hAnsi="宋体" w:cs="宋体"/>
          <w:b/>
          <w:color w:val="000000"/>
          <w:sz w:val="22"/>
          <w:szCs w:val="22"/>
        </w:rPr>
      </w:pPr>
      <w:r>
        <w:rPr>
          <w:rFonts w:hint="eastAsia" w:ascii="宋体" w:hAnsi="宋体" w:cs="宋体"/>
          <w:sz w:val="22"/>
          <w:szCs w:val="22"/>
          <w:lang w:val="en-US" w:eastAsia="zh-CN"/>
        </w:rPr>
        <w:t>20.</w:t>
      </w:r>
      <w:r>
        <w:rPr>
          <w:rFonts w:hint="eastAsia" w:ascii="宋体" w:hAnsi="宋体" w:eastAsia="宋体" w:cs="宋体"/>
          <w:sz w:val="22"/>
          <w:szCs w:val="22"/>
        </w:rPr>
        <w:t>1</w:t>
      </w:r>
      <w:r>
        <w:rPr>
          <w:rFonts w:hint="eastAsia" w:ascii="宋体" w:hAnsi="宋体" w:cs="宋体"/>
          <w:b/>
          <w:color w:val="000000"/>
          <w:sz w:val="22"/>
          <w:szCs w:val="22"/>
        </w:rPr>
        <w:t>.1 采购组织机构将按照</w:t>
      </w:r>
      <w:r>
        <w:rPr>
          <w:rFonts w:hint="eastAsia" w:ascii="宋体" w:hAnsi="宋体" w:cs="宋体"/>
          <w:b/>
          <w:color w:val="000000"/>
          <w:sz w:val="22"/>
          <w:szCs w:val="22"/>
          <w:lang w:eastAsia="zh-CN"/>
        </w:rPr>
        <w:t>采购</w:t>
      </w:r>
      <w:r>
        <w:rPr>
          <w:rFonts w:hint="eastAsia" w:ascii="宋体" w:hAnsi="宋体" w:cs="宋体"/>
          <w:b/>
          <w:color w:val="000000"/>
          <w:sz w:val="22"/>
          <w:szCs w:val="22"/>
        </w:rPr>
        <w:t>文件规定的时间通过“政府采购云平台”组织开标、开启</w:t>
      </w:r>
      <w:r>
        <w:rPr>
          <w:rFonts w:hint="eastAsia" w:ascii="宋体" w:hAnsi="宋体" w:cs="宋体"/>
          <w:b/>
          <w:bCs/>
          <w:color w:val="000000"/>
          <w:sz w:val="22"/>
        </w:rPr>
        <w:t>磋商响应文件</w:t>
      </w:r>
      <w:r>
        <w:rPr>
          <w:rFonts w:hint="eastAsia" w:ascii="宋体" w:hAnsi="宋体" w:cs="宋体"/>
          <w:b/>
          <w:color w:val="000000"/>
          <w:sz w:val="22"/>
          <w:szCs w:val="22"/>
        </w:rPr>
        <w:t>，所有供应商均应当准时在线参加。</w:t>
      </w:r>
    </w:p>
    <w:p>
      <w:pPr>
        <w:pStyle w:val="5"/>
        <w:tabs>
          <w:tab w:val="left" w:pos="720"/>
        </w:tabs>
        <w:spacing w:before="0" w:after="0"/>
        <w:ind w:left="720" w:hanging="720"/>
        <w:jc w:val="both"/>
        <w:rPr>
          <w:rFonts w:hint="eastAsia" w:ascii="宋体" w:hAnsi="宋体" w:eastAsia="宋体" w:cs="宋体"/>
          <w:sz w:val="22"/>
          <w:szCs w:val="22"/>
        </w:rPr>
      </w:pPr>
      <w:bookmarkStart w:id="35" w:name="_Toc19608"/>
      <w:bookmarkStart w:id="36" w:name="_Toc6975"/>
      <w:r>
        <w:rPr>
          <w:rFonts w:hint="eastAsia" w:ascii="宋体" w:hAnsi="宋体" w:cs="宋体"/>
          <w:sz w:val="22"/>
          <w:szCs w:val="22"/>
          <w:lang w:val="en-US" w:eastAsia="zh-CN"/>
        </w:rPr>
        <w:t>20.</w:t>
      </w:r>
      <w:r>
        <w:rPr>
          <w:rFonts w:hint="eastAsia" w:ascii="宋体" w:hAnsi="宋体" w:eastAsia="宋体" w:cs="宋体"/>
          <w:sz w:val="22"/>
          <w:szCs w:val="22"/>
        </w:rPr>
        <w:t>2、开标准备</w:t>
      </w:r>
      <w:bookmarkEnd w:id="35"/>
      <w:bookmarkEnd w:id="36"/>
    </w:p>
    <w:p>
      <w:pPr>
        <w:spacing w:line="360" w:lineRule="auto"/>
        <w:ind w:firstLine="387" w:firstLineChars="176"/>
        <w:rPr>
          <w:rFonts w:hint="eastAsia" w:ascii="宋体" w:hAnsi="宋体" w:cs="宋体"/>
          <w:color w:val="000000"/>
          <w:kern w:val="0"/>
          <w:sz w:val="22"/>
          <w:szCs w:val="22"/>
        </w:rPr>
      </w:pPr>
      <w:r>
        <w:rPr>
          <w:rFonts w:hint="eastAsia" w:ascii="宋体" w:hAnsi="宋体" w:cs="宋体"/>
          <w:sz w:val="22"/>
          <w:szCs w:val="22"/>
          <w:lang w:val="en-US" w:eastAsia="zh-CN"/>
        </w:rPr>
        <w:t>20.</w:t>
      </w:r>
      <w:r>
        <w:rPr>
          <w:rFonts w:hint="eastAsia" w:ascii="宋体" w:hAnsi="宋体" w:cs="宋体"/>
          <w:color w:val="000000"/>
          <w:kern w:val="0"/>
          <w:sz w:val="22"/>
          <w:szCs w:val="22"/>
        </w:rPr>
        <w:t>2.1开标的准备工作由采购组织机构负责落实；</w:t>
      </w:r>
    </w:p>
    <w:p>
      <w:pPr>
        <w:spacing w:line="360" w:lineRule="auto"/>
        <w:ind w:firstLine="387" w:firstLineChars="176"/>
        <w:rPr>
          <w:rFonts w:hint="eastAsia" w:ascii="宋体" w:hAnsi="宋体" w:cs="宋体"/>
          <w:color w:val="000000"/>
          <w:kern w:val="0"/>
          <w:sz w:val="22"/>
          <w:szCs w:val="22"/>
        </w:rPr>
      </w:pPr>
      <w:r>
        <w:rPr>
          <w:rFonts w:hint="eastAsia" w:ascii="宋体" w:hAnsi="宋体" w:cs="宋体"/>
          <w:sz w:val="22"/>
          <w:szCs w:val="22"/>
          <w:lang w:val="en-US" w:eastAsia="zh-CN"/>
        </w:rPr>
        <w:t>20.</w:t>
      </w:r>
      <w:r>
        <w:rPr>
          <w:rFonts w:hint="eastAsia" w:ascii="宋体" w:hAnsi="宋体" w:cs="宋体"/>
          <w:color w:val="000000"/>
          <w:kern w:val="0"/>
          <w:sz w:val="22"/>
          <w:szCs w:val="22"/>
        </w:rPr>
        <w:t>2.2</w:t>
      </w:r>
      <w:r>
        <w:rPr>
          <w:rFonts w:hint="eastAsia" w:ascii="宋体" w:hAnsi="宋体" w:cs="宋体"/>
          <w:b/>
          <w:color w:val="000000"/>
          <w:sz w:val="22"/>
          <w:szCs w:val="22"/>
        </w:rPr>
        <w:t>采购组织机构将按照</w:t>
      </w:r>
      <w:r>
        <w:rPr>
          <w:rFonts w:hint="eastAsia" w:ascii="宋体" w:hAnsi="宋体" w:cs="宋体"/>
          <w:b/>
          <w:color w:val="000000"/>
          <w:sz w:val="22"/>
          <w:szCs w:val="22"/>
          <w:lang w:eastAsia="zh-CN"/>
        </w:rPr>
        <w:t>采购</w:t>
      </w:r>
      <w:r>
        <w:rPr>
          <w:rFonts w:hint="eastAsia" w:ascii="宋体" w:hAnsi="宋体" w:cs="宋体"/>
          <w:b/>
          <w:color w:val="000000"/>
          <w:sz w:val="22"/>
          <w:szCs w:val="22"/>
        </w:rPr>
        <w:t>文件规定的时间通过“政府采购云平台”组织开标、开启</w:t>
      </w:r>
      <w:r>
        <w:rPr>
          <w:rFonts w:hint="eastAsia" w:ascii="宋体" w:hAnsi="宋体" w:cs="宋体"/>
          <w:b/>
          <w:bCs/>
          <w:color w:val="000000"/>
          <w:sz w:val="22"/>
        </w:rPr>
        <w:t>磋商响应文件</w:t>
      </w:r>
      <w:r>
        <w:rPr>
          <w:rFonts w:hint="eastAsia" w:ascii="宋体" w:hAnsi="宋体" w:cs="宋体"/>
          <w:b/>
          <w:color w:val="000000"/>
          <w:sz w:val="22"/>
          <w:szCs w:val="22"/>
        </w:rPr>
        <w:t>，所有供应商均应当准时在线参加。</w:t>
      </w:r>
      <w:r>
        <w:rPr>
          <w:rFonts w:hint="eastAsia" w:ascii="宋体" w:hAnsi="宋体" w:cs="宋体"/>
          <w:b/>
          <w:color w:val="000000"/>
          <w:kern w:val="0"/>
          <w:sz w:val="22"/>
          <w:szCs w:val="22"/>
        </w:rPr>
        <w:t>投标供应商如不参加开标大会的，视同认可开标结果，事后不得对采购相关人员、开标过程和开标结果提出异议，同时投标供应商因未在线参加开标而导致</w:t>
      </w:r>
      <w:r>
        <w:rPr>
          <w:rFonts w:hint="eastAsia" w:ascii="宋体" w:hAnsi="宋体" w:cs="宋体"/>
          <w:b/>
          <w:color w:val="000000"/>
          <w:kern w:val="0"/>
          <w:sz w:val="22"/>
          <w:szCs w:val="22"/>
          <w:lang w:eastAsia="zh-CN"/>
        </w:rPr>
        <w:t>磋商响应文件</w:t>
      </w:r>
      <w:r>
        <w:rPr>
          <w:rFonts w:hint="eastAsia" w:ascii="宋体" w:hAnsi="宋体" w:cs="宋体"/>
          <w:b/>
          <w:color w:val="000000"/>
          <w:kern w:val="0"/>
          <w:sz w:val="22"/>
          <w:szCs w:val="22"/>
        </w:rPr>
        <w:t>无法按时解密等一切后果由供应商自己承担。</w:t>
      </w:r>
    </w:p>
    <w:p>
      <w:pPr>
        <w:pStyle w:val="5"/>
        <w:tabs>
          <w:tab w:val="left" w:pos="720"/>
        </w:tabs>
        <w:spacing w:before="0" w:after="0"/>
        <w:ind w:left="720" w:hanging="720"/>
        <w:jc w:val="both"/>
        <w:rPr>
          <w:rFonts w:hint="eastAsia" w:ascii="宋体" w:hAnsi="宋体" w:eastAsia="宋体" w:cs="宋体"/>
          <w:sz w:val="22"/>
          <w:szCs w:val="22"/>
        </w:rPr>
      </w:pPr>
      <w:bookmarkStart w:id="37" w:name="_Toc1188"/>
      <w:bookmarkStart w:id="38" w:name="_Toc22281"/>
      <w:r>
        <w:rPr>
          <w:rFonts w:hint="eastAsia" w:ascii="宋体" w:hAnsi="宋体" w:cs="宋体"/>
          <w:sz w:val="22"/>
          <w:szCs w:val="22"/>
          <w:lang w:val="en-US" w:eastAsia="zh-CN"/>
        </w:rPr>
        <w:t>20.</w:t>
      </w:r>
      <w:r>
        <w:rPr>
          <w:rFonts w:hint="eastAsia" w:ascii="宋体" w:hAnsi="宋体" w:eastAsia="宋体" w:cs="宋体"/>
          <w:sz w:val="22"/>
          <w:szCs w:val="22"/>
        </w:rPr>
        <w:t>3、开标流程（两阶段）</w:t>
      </w:r>
      <w:bookmarkEnd w:id="37"/>
      <w:bookmarkEnd w:id="38"/>
    </w:p>
    <w:p>
      <w:pPr>
        <w:spacing w:line="360" w:lineRule="auto"/>
        <w:ind w:firstLine="391" w:firstLineChars="177"/>
        <w:jc w:val="left"/>
        <w:rPr>
          <w:rFonts w:hint="eastAsia" w:ascii="宋体" w:hAnsi="宋体" w:cs="宋体"/>
          <w:b/>
          <w:color w:val="000000"/>
          <w:kern w:val="0"/>
          <w:sz w:val="22"/>
          <w:szCs w:val="22"/>
        </w:rPr>
      </w:pPr>
      <w:r>
        <w:rPr>
          <w:rFonts w:hint="eastAsia" w:ascii="宋体" w:hAnsi="宋体" w:cs="宋体"/>
          <w:b/>
          <w:bCs/>
          <w:sz w:val="22"/>
          <w:szCs w:val="22"/>
          <w:lang w:val="en-US" w:eastAsia="zh-CN"/>
        </w:rPr>
        <w:t>20.</w:t>
      </w:r>
      <w:r>
        <w:rPr>
          <w:rFonts w:hint="eastAsia" w:ascii="宋体" w:hAnsi="宋体" w:cs="宋体"/>
          <w:b/>
          <w:color w:val="000000"/>
          <w:kern w:val="0"/>
          <w:sz w:val="22"/>
          <w:szCs w:val="22"/>
        </w:rPr>
        <w:t>3.1开标第一阶段</w:t>
      </w:r>
    </w:p>
    <w:p>
      <w:pPr>
        <w:spacing w:line="360" w:lineRule="auto"/>
        <w:ind w:firstLine="389" w:firstLineChars="177"/>
        <w:jc w:val="left"/>
        <w:rPr>
          <w:rFonts w:hint="eastAsia" w:ascii="宋体" w:hAnsi="宋体" w:cs="宋体"/>
          <w:color w:val="000000"/>
          <w:kern w:val="0"/>
          <w:sz w:val="22"/>
          <w:szCs w:val="22"/>
        </w:rPr>
      </w:pPr>
      <w:r>
        <w:rPr>
          <w:rFonts w:hint="eastAsia" w:ascii="宋体" w:hAnsi="宋体" w:cs="宋体"/>
          <w:color w:val="000000"/>
          <w:kern w:val="0"/>
          <w:sz w:val="22"/>
          <w:szCs w:val="22"/>
        </w:rPr>
        <w:t>（1）向各投标供应商发出电子加密</w:t>
      </w:r>
      <w:r>
        <w:rPr>
          <w:rFonts w:hint="eastAsia" w:ascii="宋体" w:hAnsi="宋体"/>
          <w:sz w:val="22"/>
          <w:szCs w:val="22"/>
          <w:lang w:eastAsia="zh-CN"/>
        </w:rPr>
        <w:t>磋商响应文件</w:t>
      </w:r>
      <w:r>
        <w:rPr>
          <w:rFonts w:hint="eastAsia" w:ascii="宋体" w:hAnsi="宋体" w:cs="宋体"/>
          <w:color w:val="000000"/>
          <w:kern w:val="0"/>
          <w:sz w:val="22"/>
          <w:szCs w:val="22"/>
        </w:rPr>
        <w:t>【开始解密】通知，由供应商按电子加密磋商响应文件【开始解密】通知规定的</w:t>
      </w:r>
      <w:r>
        <w:rPr>
          <w:rFonts w:hint="eastAsia" w:ascii="宋体" w:hAnsi="宋体" w:cs="宋体"/>
          <w:color w:val="000000"/>
          <w:kern w:val="0"/>
          <w:sz w:val="22"/>
          <w:szCs w:val="22"/>
          <w:lang w:val="en-US"/>
        </w:rPr>
        <w:t>30分钟</w:t>
      </w:r>
      <w:r>
        <w:rPr>
          <w:rFonts w:hint="eastAsia" w:ascii="宋体" w:hAnsi="宋体" w:cs="宋体"/>
          <w:color w:val="000000"/>
          <w:kern w:val="0"/>
          <w:sz w:val="22"/>
          <w:szCs w:val="22"/>
        </w:rPr>
        <w:t>内自行进行磋商响应文件解密。投标供应商在规定的时间内无法完成已递交的“电子加密磋商响应文件”解密的，如已按规定递交了备份磋商响应文件的，将由采购组织机构按“政府采购云平台”操作规范将备份磋商响应文件上传至“政府采购云平台”，上传成功后，“电子加密磋商响应文件”自动失效；</w:t>
      </w:r>
    </w:p>
    <w:p>
      <w:pPr>
        <w:spacing w:line="360" w:lineRule="auto"/>
        <w:ind w:firstLine="389" w:firstLineChars="177"/>
        <w:jc w:val="left"/>
        <w:rPr>
          <w:rFonts w:hint="eastAsia" w:ascii="宋体" w:hAnsi="宋体" w:cs="宋体"/>
          <w:color w:val="000000"/>
          <w:kern w:val="0"/>
          <w:sz w:val="22"/>
          <w:szCs w:val="22"/>
        </w:rPr>
      </w:pPr>
      <w:r>
        <w:rPr>
          <w:rFonts w:hint="eastAsia" w:ascii="宋体" w:hAnsi="宋体" w:cs="宋体"/>
          <w:color w:val="000000"/>
          <w:kern w:val="0"/>
          <w:sz w:val="22"/>
          <w:szCs w:val="22"/>
        </w:rPr>
        <w:t>（2）磋商响应文件解密结束，通过邮件形式发送各供应商组织签署《政府采购活动现场确认声明书》；</w:t>
      </w:r>
    </w:p>
    <w:p>
      <w:pPr>
        <w:spacing w:line="360" w:lineRule="auto"/>
        <w:ind w:firstLine="389" w:firstLineChars="177"/>
        <w:jc w:val="left"/>
        <w:rPr>
          <w:rFonts w:hint="eastAsia" w:ascii="宋体" w:hAnsi="宋体" w:cs="宋体"/>
          <w:color w:val="000000"/>
          <w:kern w:val="0"/>
          <w:sz w:val="22"/>
          <w:szCs w:val="22"/>
        </w:rPr>
      </w:pPr>
      <w:r>
        <w:rPr>
          <w:rFonts w:hint="eastAsia" w:ascii="宋体" w:hAnsi="宋体" w:cs="宋体"/>
          <w:color w:val="000000"/>
          <w:kern w:val="0"/>
          <w:sz w:val="22"/>
          <w:szCs w:val="22"/>
        </w:rPr>
        <w:t>（3）开启磋商响应文件，进入资格审查；</w:t>
      </w:r>
    </w:p>
    <w:p>
      <w:pPr>
        <w:spacing w:line="360" w:lineRule="auto"/>
        <w:ind w:firstLine="389" w:firstLineChars="177"/>
        <w:jc w:val="left"/>
        <w:rPr>
          <w:rFonts w:hint="eastAsia" w:ascii="宋体" w:hAnsi="宋体" w:cs="宋体"/>
          <w:color w:val="000000"/>
          <w:kern w:val="0"/>
          <w:sz w:val="22"/>
          <w:szCs w:val="22"/>
        </w:rPr>
      </w:pPr>
      <w:r>
        <w:rPr>
          <w:rFonts w:hint="eastAsia" w:ascii="宋体" w:hAnsi="宋体" w:cs="宋体"/>
          <w:color w:val="000000"/>
          <w:kern w:val="0"/>
          <w:sz w:val="22"/>
          <w:szCs w:val="22"/>
        </w:rPr>
        <w:t>（4）开启资格审查通过的投标供应商的商务技术</w:t>
      </w:r>
      <w:r>
        <w:rPr>
          <w:rFonts w:hint="eastAsia" w:ascii="宋体" w:hAnsi="宋体" w:cs="宋体"/>
          <w:sz w:val="22"/>
          <w:szCs w:val="22"/>
          <w:lang w:bidi="ar"/>
        </w:rPr>
        <w:t>文件</w:t>
      </w:r>
      <w:r>
        <w:rPr>
          <w:rFonts w:hint="eastAsia" w:ascii="宋体" w:hAnsi="宋体" w:cs="宋体"/>
          <w:color w:val="000000"/>
          <w:kern w:val="0"/>
          <w:sz w:val="22"/>
          <w:szCs w:val="22"/>
        </w:rPr>
        <w:t>进入符合性审查、商务技术评审；</w:t>
      </w:r>
    </w:p>
    <w:p>
      <w:pPr>
        <w:spacing w:line="360" w:lineRule="auto"/>
        <w:ind w:firstLine="389" w:firstLineChars="177"/>
        <w:jc w:val="left"/>
        <w:rPr>
          <w:rFonts w:hint="eastAsia" w:ascii="宋体" w:hAnsi="宋体" w:cs="宋体"/>
          <w:color w:val="000000"/>
          <w:kern w:val="0"/>
          <w:sz w:val="22"/>
          <w:szCs w:val="22"/>
        </w:rPr>
      </w:pPr>
      <w:r>
        <w:rPr>
          <w:rFonts w:hint="eastAsia" w:ascii="宋体" w:hAnsi="宋体" w:cs="宋体"/>
          <w:color w:val="000000"/>
          <w:kern w:val="0"/>
          <w:sz w:val="22"/>
          <w:szCs w:val="22"/>
        </w:rPr>
        <w:t>（5）第一阶段开标结束。</w:t>
      </w:r>
    </w:p>
    <w:p>
      <w:pPr>
        <w:spacing w:line="360" w:lineRule="auto"/>
        <w:ind w:firstLine="391" w:firstLineChars="177"/>
        <w:jc w:val="left"/>
        <w:rPr>
          <w:rFonts w:hint="eastAsia" w:ascii="宋体" w:hAnsi="宋体" w:cs="宋体"/>
          <w:b/>
          <w:color w:val="000000"/>
          <w:kern w:val="0"/>
          <w:sz w:val="22"/>
          <w:szCs w:val="22"/>
        </w:rPr>
      </w:pPr>
      <w:r>
        <w:rPr>
          <w:rFonts w:hint="eastAsia" w:ascii="宋体" w:hAnsi="宋体" w:cs="宋体"/>
          <w:b/>
          <w:color w:val="000000"/>
          <w:kern w:val="0"/>
          <w:sz w:val="22"/>
          <w:szCs w:val="22"/>
        </w:rPr>
        <w:t>备注：开标大会的第一阶段，采购人或采购代理机构将对依法对投标供应商的资格进行审查，资格审查结束后进入符合性审查和商务技术的评审工作，具体见本章节“投标供应商资格审查”相关规定。</w:t>
      </w:r>
    </w:p>
    <w:p>
      <w:pPr>
        <w:spacing w:line="360" w:lineRule="auto"/>
        <w:ind w:firstLine="391" w:firstLineChars="177"/>
        <w:jc w:val="left"/>
        <w:rPr>
          <w:rFonts w:hint="eastAsia" w:ascii="宋体" w:hAnsi="宋体" w:cs="宋体"/>
          <w:b/>
          <w:color w:val="000000"/>
          <w:kern w:val="0"/>
          <w:sz w:val="22"/>
          <w:szCs w:val="22"/>
        </w:rPr>
      </w:pPr>
      <w:r>
        <w:rPr>
          <w:rFonts w:hint="eastAsia" w:ascii="宋体" w:hAnsi="宋体" w:cs="宋体"/>
          <w:b/>
          <w:bCs/>
          <w:sz w:val="22"/>
          <w:szCs w:val="22"/>
          <w:lang w:val="en-US" w:eastAsia="zh-CN"/>
        </w:rPr>
        <w:t>20.</w:t>
      </w:r>
      <w:r>
        <w:rPr>
          <w:rFonts w:hint="eastAsia" w:ascii="宋体" w:hAnsi="宋体" w:cs="宋体"/>
          <w:b/>
          <w:color w:val="000000"/>
          <w:kern w:val="0"/>
          <w:sz w:val="22"/>
          <w:szCs w:val="22"/>
        </w:rPr>
        <w:t>3.2开标大会第二阶段</w:t>
      </w:r>
    </w:p>
    <w:p>
      <w:pPr>
        <w:spacing w:line="360" w:lineRule="auto"/>
        <w:ind w:firstLine="389" w:firstLineChars="177"/>
        <w:jc w:val="left"/>
        <w:rPr>
          <w:rFonts w:hint="eastAsia" w:ascii="宋体" w:hAnsi="宋体" w:cs="宋体"/>
          <w:kern w:val="0"/>
          <w:sz w:val="22"/>
          <w:szCs w:val="22"/>
        </w:rPr>
      </w:pPr>
      <w:r>
        <w:rPr>
          <w:rFonts w:hint="eastAsia" w:ascii="宋体" w:hAnsi="宋体" w:cs="宋体"/>
          <w:kern w:val="0"/>
          <w:sz w:val="22"/>
          <w:szCs w:val="22"/>
        </w:rPr>
        <w:t>（1）符合性审查、商务技术评审结束后，举行开标大会第二阶段会议。首先通过发送邮件形式公布符合性审查、商务技术评审无效供应商名称及理由；公布经商务技术评审后有效投标供应商的名单。</w:t>
      </w:r>
    </w:p>
    <w:p>
      <w:pPr>
        <w:spacing w:line="360" w:lineRule="auto"/>
        <w:ind w:firstLine="389" w:firstLineChars="177"/>
        <w:jc w:val="left"/>
        <w:rPr>
          <w:rFonts w:hint="eastAsia" w:ascii="宋体" w:hAnsi="宋体" w:cs="宋体"/>
          <w:kern w:val="0"/>
          <w:sz w:val="22"/>
          <w:szCs w:val="22"/>
        </w:rPr>
      </w:pPr>
      <w:bookmarkStart w:id="39" w:name="_Toc30263"/>
      <w:bookmarkStart w:id="40" w:name="_Toc23063"/>
      <w:bookmarkStart w:id="41" w:name="_Toc33194393"/>
      <w:bookmarkStart w:id="42" w:name="_Toc24550037"/>
      <w:r>
        <w:rPr>
          <w:rFonts w:hint="eastAsia" w:ascii="宋体" w:hAnsi="宋体" w:cs="宋体"/>
          <w:kern w:val="0"/>
          <w:sz w:val="22"/>
          <w:szCs w:val="22"/>
        </w:rPr>
        <w:t>（2）开启符合性审查、商务技术评审有效投标供应商的《报价响应文件》，《报价响应文件》内的投标金额为第一轮报价，不予公开。</w:t>
      </w:r>
    </w:p>
    <w:p>
      <w:pPr>
        <w:spacing w:line="360" w:lineRule="auto"/>
        <w:ind w:firstLine="389" w:firstLineChars="177"/>
        <w:jc w:val="left"/>
        <w:rPr>
          <w:rFonts w:hint="eastAsia" w:ascii="宋体" w:hAnsi="宋体" w:cs="宋体"/>
          <w:kern w:val="0"/>
          <w:sz w:val="22"/>
          <w:szCs w:val="22"/>
        </w:rPr>
      </w:pPr>
      <w:r>
        <w:rPr>
          <w:rFonts w:hint="eastAsia" w:ascii="宋体" w:hAnsi="宋体" w:cs="宋体"/>
          <w:kern w:val="0"/>
          <w:sz w:val="22"/>
          <w:szCs w:val="22"/>
        </w:rPr>
        <w:t>（3）《报价响应文件》开启后，通过“政府采购云平台”通知符合性审查、商务技术评审有效投标供应商进行第二轮报价。接到通知的供应商在规定的时间内容通过“政府采购云平台”进行第二轮报价（注意：第二轮报价不一定是最终报价。最终报价是磋商小组认可的最后一轮报价）。接到通知的供应商未在规定的时间内容通过“政府采购云平台”进行报价的，视为其默认新报价与上一轮报价金额一致。报价结束后，由磋商小组对报价的合理性、准确性等进行审查核实。</w:t>
      </w:r>
    </w:p>
    <w:p>
      <w:pPr>
        <w:spacing w:line="360" w:lineRule="auto"/>
        <w:ind w:firstLine="389" w:firstLineChars="177"/>
        <w:jc w:val="left"/>
        <w:rPr>
          <w:rFonts w:hint="eastAsia" w:ascii="宋体" w:hAnsi="宋体" w:cs="宋体"/>
          <w:kern w:val="0"/>
          <w:sz w:val="22"/>
          <w:szCs w:val="22"/>
        </w:rPr>
      </w:pPr>
      <w:r>
        <w:rPr>
          <w:rFonts w:hint="eastAsia" w:ascii="宋体" w:hAnsi="宋体" w:cs="宋体"/>
          <w:kern w:val="0"/>
          <w:sz w:val="22"/>
          <w:szCs w:val="22"/>
        </w:rPr>
        <w:t>（4）如磋商小组决定开启新一轮报价的，前一轮报价不予公布。每重新开启一轮报价，报价的流程按“3.2开标大会第二阶段”第（3）款流程执行，直至磋商小组决定不再开启新一轮报价。</w:t>
      </w:r>
    </w:p>
    <w:p>
      <w:pPr>
        <w:spacing w:line="360" w:lineRule="auto"/>
        <w:ind w:firstLine="389" w:firstLineChars="177"/>
        <w:jc w:val="left"/>
        <w:rPr>
          <w:rFonts w:hint="eastAsia" w:ascii="宋体" w:hAnsi="宋体" w:cs="宋体"/>
          <w:kern w:val="0"/>
          <w:sz w:val="22"/>
          <w:szCs w:val="22"/>
        </w:rPr>
      </w:pPr>
      <w:r>
        <w:rPr>
          <w:rFonts w:hint="eastAsia" w:ascii="宋体" w:hAnsi="宋体" w:cs="宋体"/>
          <w:kern w:val="0"/>
          <w:sz w:val="22"/>
          <w:szCs w:val="22"/>
        </w:rPr>
        <w:t xml:space="preserve">（5）供应商最后一轮报价为最终报价。最终报价通过发送邮件形式公布最后一轮报价有关内容，同时当场制作开标记录表，供应商通过发送邮件形式签字确认（不予确认的应说明理由，否则视为无异议）。  </w:t>
      </w:r>
    </w:p>
    <w:p>
      <w:pPr>
        <w:spacing w:line="360" w:lineRule="auto"/>
        <w:ind w:firstLine="389" w:firstLineChars="177"/>
        <w:jc w:val="left"/>
        <w:rPr>
          <w:rFonts w:hint="eastAsia" w:ascii="宋体" w:hAnsi="宋体" w:cs="宋体"/>
          <w:kern w:val="0"/>
          <w:sz w:val="22"/>
          <w:szCs w:val="22"/>
        </w:rPr>
      </w:pPr>
      <w:r>
        <w:rPr>
          <w:rFonts w:hint="eastAsia" w:ascii="宋体" w:hAnsi="宋体" w:cs="宋体"/>
          <w:kern w:val="0"/>
          <w:sz w:val="22"/>
          <w:szCs w:val="22"/>
        </w:rPr>
        <w:t>（6）评审结束后，通过发送邮件形式公布中标（成交）候选供应商名单及采购人最终确定中标或成交供应商名单的时间和公告方式等。</w:t>
      </w:r>
    </w:p>
    <w:p>
      <w:pPr>
        <w:spacing w:line="360" w:lineRule="auto"/>
        <w:ind w:firstLine="391" w:firstLineChars="177"/>
        <w:jc w:val="left"/>
        <w:rPr>
          <w:rFonts w:hint="eastAsia" w:ascii="宋体" w:hAnsi="宋体" w:cs="宋体"/>
          <w:b/>
          <w:color w:val="000000"/>
          <w:kern w:val="0"/>
          <w:sz w:val="22"/>
          <w:szCs w:val="22"/>
        </w:rPr>
      </w:pPr>
      <w:r>
        <w:rPr>
          <w:rFonts w:hint="eastAsia" w:ascii="宋体" w:hAnsi="宋体" w:cs="宋体"/>
          <w:b/>
          <w:color w:val="000000"/>
          <w:kern w:val="0"/>
          <w:sz w:val="22"/>
          <w:szCs w:val="22"/>
        </w:rPr>
        <w:t>特别说明：如遇“政府采购云平台”电子化开标或评审程序调整的，按调整后程序执行。</w:t>
      </w:r>
    </w:p>
    <w:p>
      <w:pPr>
        <w:pStyle w:val="4"/>
        <w:tabs>
          <w:tab w:val="left" w:pos="706"/>
          <w:tab w:val="left" w:pos="1110"/>
        </w:tabs>
        <w:rPr>
          <w:rFonts w:hint="eastAsia" w:ascii="宋体" w:hAnsi="宋体" w:eastAsia="宋体" w:cs="宋体"/>
          <w:color w:val="000000"/>
          <w:sz w:val="22"/>
          <w:szCs w:val="22"/>
        </w:rPr>
      </w:pPr>
      <w:r>
        <w:rPr>
          <w:rFonts w:hint="eastAsia" w:ascii="宋体" w:hAnsi="宋体" w:cs="宋体"/>
          <w:sz w:val="22"/>
          <w:szCs w:val="22"/>
          <w:lang w:val="en-US" w:eastAsia="zh-CN"/>
        </w:rPr>
        <w:t>20.</w:t>
      </w:r>
      <w:r>
        <w:rPr>
          <w:rFonts w:hint="eastAsia" w:ascii="宋体" w:hAnsi="宋体" w:eastAsia="宋体" w:cs="宋体"/>
          <w:color w:val="000000"/>
          <w:sz w:val="22"/>
          <w:szCs w:val="22"/>
        </w:rPr>
        <w:t>4、投标供应商资格审查</w:t>
      </w:r>
      <w:bookmarkEnd w:id="39"/>
      <w:bookmarkEnd w:id="40"/>
      <w:bookmarkEnd w:id="41"/>
      <w:bookmarkEnd w:id="42"/>
    </w:p>
    <w:p>
      <w:pPr>
        <w:spacing w:line="360" w:lineRule="auto"/>
        <w:ind w:firstLine="391" w:firstLineChars="177"/>
        <w:rPr>
          <w:rFonts w:hint="eastAsia" w:ascii="宋体" w:hAnsi="宋体" w:cs="宋体"/>
          <w:color w:val="000000"/>
          <w:sz w:val="22"/>
          <w:szCs w:val="22"/>
        </w:rPr>
      </w:pPr>
      <w:r>
        <w:rPr>
          <w:rFonts w:hint="eastAsia" w:ascii="宋体" w:hAnsi="宋体" w:cs="宋体"/>
          <w:b/>
          <w:bCs/>
          <w:sz w:val="22"/>
          <w:szCs w:val="22"/>
          <w:lang w:val="en-US" w:eastAsia="zh-CN"/>
        </w:rPr>
        <w:t>20</w:t>
      </w:r>
      <w:r>
        <w:rPr>
          <w:rFonts w:hint="eastAsia" w:ascii="宋体" w:hAnsi="宋体" w:cs="宋体"/>
          <w:sz w:val="22"/>
          <w:szCs w:val="22"/>
          <w:lang w:val="en-US" w:eastAsia="zh-CN"/>
        </w:rPr>
        <w:t>.</w:t>
      </w:r>
      <w:r>
        <w:rPr>
          <w:rFonts w:hint="eastAsia" w:ascii="宋体" w:hAnsi="宋体" w:cs="宋体"/>
          <w:b/>
          <w:color w:val="000000"/>
          <w:sz w:val="22"/>
          <w:szCs w:val="22"/>
        </w:rPr>
        <w:t>4.1开标大会第一阶段，采购人或采购代理机构首先依法对各投标供应商的资格进行审查，审查各投标供应商的资格是否满足</w:t>
      </w:r>
      <w:r>
        <w:rPr>
          <w:rFonts w:hint="eastAsia" w:ascii="宋体" w:hAnsi="宋体" w:cs="宋体"/>
          <w:b/>
          <w:color w:val="000000"/>
          <w:sz w:val="22"/>
          <w:szCs w:val="22"/>
          <w:lang w:eastAsia="zh-CN"/>
        </w:rPr>
        <w:t>采购</w:t>
      </w:r>
      <w:r>
        <w:rPr>
          <w:rFonts w:hint="eastAsia" w:ascii="宋体" w:hAnsi="宋体" w:cs="宋体"/>
          <w:b/>
          <w:color w:val="000000"/>
          <w:sz w:val="22"/>
          <w:szCs w:val="22"/>
        </w:rPr>
        <w:t>文件的要求。</w:t>
      </w:r>
      <w:r>
        <w:rPr>
          <w:rFonts w:hint="eastAsia" w:ascii="宋体" w:hAnsi="宋体" w:cs="宋体"/>
          <w:color w:val="000000"/>
          <w:sz w:val="22"/>
          <w:szCs w:val="22"/>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391" w:firstLineChars="177"/>
        <w:rPr>
          <w:rFonts w:hint="eastAsia" w:ascii="宋体" w:hAnsi="宋体" w:cs="宋体"/>
          <w:b/>
          <w:color w:val="000000"/>
          <w:kern w:val="0"/>
          <w:sz w:val="22"/>
          <w:szCs w:val="22"/>
        </w:rPr>
      </w:pPr>
      <w:r>
        <w:rPr>
          <w:rFonts w:hint="eastAsia" w:ascii="宋体" w:hAnsi="宋体" w:cs="宋体"/>
          <w:b/>
          <w:bCs/>
          <w:sz w:val="22"/>
          <w:szCs w:val="22"/>
          <w:lang w:val="en-US" w:eastAsia="zh-CN"/>
        </w:rPr>
        <w:t>20</w:t>
      </w:r>
      <w:r>
        <w:rPr>
          <w:rFonts w:hint="eastAsia" w:ascii="宋体" w:hAnsi="宋体" w:cs="宋体"/>
          <w:sz w:val="22"/>
          <w:szCs w:val="22"/>
          <w:lang w:val="en-US" w:eastAsia="zh-CN"/>
        </w:rPr>
        <w:t>.</w:t>
      </w:r>
      <w:r>
        <w:rPr>
          <w:rFonts w:hint="eastAsia" w:ascii="宋体" w:hAnsi="宋体" w:cs="宋体"/>
          <w:b/>
          <w:color w:val="000000"/>
          <w:sz w:val="22"/>
          <w:szCs w:val="22"/>
        </w:rPr>
        <w:t>4.2投标供应商提交的资格证明材料无法证明其符合</w:t>
      </w:r>
      <w:r>
        <w:rPr>
          <w:rFonts w:hint="eastAsia" w:ascii="宋体" w:hAnsi="宋体" w:cs="宋体"/>
          <w:b/>
          <w:color w:val="000000"/>
          <w:sz w:val="22"/>
          <w:szCs w:val="22"/>
          <w:lang w:eastAsia="zh-CN"/>
        </w:rPr>
        <w:t>采购</w:t>
      </w:r>
      <w:r>
        <w:rPr>
          <w:rFonts w:hint="eastAsia" w:ascii="宋体" w:hAnsi="宋体" w:cs="宋体"/>
          <w:b/>
          <w:color w:val="000000"/>
          <w:sz w:val="22"/>
          <w:szCs w:val="22"/>
        </w:rPr>
        <w:t>文件规定的“投标供应商资格要求”的，采购人或采购代理机构</w:t>
      </w:r>
      <w:r>
        <w:rPr>
          <w:rFonts w:hint="eastAsia" w:ascii="宋体" w:hAnsi="宋体" w:cs="宋体"/>
          <w:b/>
          <w:color w:val="000000"/>
          <w:kern w:val="0"/>
          <w:sz w:val="22"/>
          <w:szCs w:val="22"/>
        </w:rPr>
        <w:t>将对其作资格审查不通过处理（无效投标），并不再将其投标提交评标委员会进行后续评审。对未通过资格审查的供应商，采购人或采购机构通过电子邮件的形式告知其未通过的原因。</w:t>
      </w:r>
    </w:p>
    <w:p>
      <w:pPr>
        <w:spacing w:line="360" w:lineRule="auto"/>
        <w:ind w:firstLine="391" w:firstLineChars="177"/>
        <w:rPr>
          <w:rFonts w:hint="eastAsia" w:ascii="宋体" w:hAnsi="宋体" w:cs="宋体"/>
          <w:b/>
          <w:color w:val="000000"/>
          <w:kern w:val="0"/>
          <w:sz w:val="22"/>
          <w:szCs w:val="22"/>
        </w:rPr>
      </w:pPr>
      <w:r>
        <w:rPr>
          <w:rFonts w:hint="eastAsia" w:ascii="宋体" w:hAnsi="宋体" w:cs="宋体"/>
          <w:b/>
          <w:bCs/>
          <w:sz w:val="22"/>
          <w:szCs w:val="22"/>
          <w:lang w:val="en-US" w:eastAsia="zh-CN"/>
        </w:rPr>
        <w:t>20</w:t>
      </w:r>
      <w:r>
        <w:rPr>
          <w:rFonts w:hint="eastAsia" w:ascii="宋体" w:hAnsi="宋体" w:cs="宋体"/>
          <w:sz w:val="22"/>
          <w:szCs w:val="22"/>
          <w:lang w:val="en-US" w:eastAsia="zh-CN"/>
        </w:rPr>
        <w:t>.</w:t>
      </w:r>
      <w:r>
        <w:rPr>
          <w:rFonts w:hint="eastAsia" w:ascii="宋体" w:hAnsi="宋体" w:cs="宋体"/>
          <w:b/>
          <w:color w:val="000000"/>
          <w:sz w:val="22"/>
          <w:szCs w:val="22"/>
        </w:rPr>
        <w:t>4</w:t>
      </w:r>
      <w:r>
        <w:rPr>
          <w:rFonts w:hint="eastAsia" w:ascii="宋体" w:hAnsi="宋体" w:cs="宋体"/>
          <w:b/>
          <w:color w:val="000000"/>
          <w:kern w:val="0"/>
          <w:sz w:val="22"/>
          <w:szCs w:val="22"/>
        </w:rPr>
        <w:t>.3单位负责人为同一人或者存在直接控股、管理关系的不同供应商参加同一合同项下的政府采购活动的，相关投标供应商均作资格无效处理。</w:t>
      </w:r>
    </w:p>
    <w:p>
      <w:pPr>
        <w:pStyle w:val="2"/>
        <w:spacing w:line="360" w:lineRule="auto"/>
        <w:ind w:left="0" w:leftChars="0" w:firstLine="442" w:firstLineChars="200"/>
        <w:rPr>
          <w:rFonts w:hint="eastAsia" w:ascii="宋体" w:hAnsi="宋体" w:cs="宋体"/>
          <w:b/>
          <w:color w:val="000000"/>
          <w:kern w:val="0"/>
          <w:sz w:val="22"/>
          <w:szCs w:val="22"/>
        </w:rPr>
      </w:pPr>
      <w:r>
        <w:rPr>
          <w:rFonts w:hint="eastAsia" w:ascii="宋体" w:hAnsi="宋体" w:cs="宋体"/>
          <w:b/>
          <w:bCs w:val="0"/>
          <w:sz w:val="22"/>
          <w:szCs w:val="22"/>
          <w:lang w:val="en-US" w:eastAsia="zh-CN"/>
        </w:rPr>
        <w:t>20.</w:t>
      </w:r>
      <w:r>
        <w:rPr>
          <w:rFonts w:hint="eastAsia" w:ascii="宋体" w:hAnsi="宋体" w:cs="宋体"/>
          <w:b/>
          <w:color w:val="000000"/>
          <w:kern w:val="0"/>
          <w:sz w:val="22"/>
          <w:szCs w:val="22"/>
        </w:rPr>
        <w:t xml:space="preserve">4.4 </w:t>
      </w:r>
      <w:bookmarkStart w:id="43" w:name="_Toc462229101"/>
      <w:bookmarkStart w:id="44" w:name="_Toc412730343"/>
      <w:r>
        <w:rPr>
          <w:rFonts w:hint="eastAsia" w:ascii="宋体" w:hAnsi="宋体" w:cs="宋体"/>
          <w:b/>
          <w:color w:val="000000"/>
          <w:kern w:val="0"/>
          <w:sz w:val="22"/>
          <w:szCs w:val="22"/>
        </w:rPr>
        <w:t>有效投标供应商不足3家的，符合《财政部关于印发《政府采购竞争性磋商采购方式管理暂行办法》的通知》（财库【2014】214号）规定情况的本次采购活动继续进行，不符合《财政部关于印发《政府采购竞争性磋商采购方式管理暂行办法》的通知》（财库【2014】214号）规定情况的本次采购活动做废标处理并重新开始组织采购活动。</w:t>
      </w:r>
    </w:p>
    <w:bookmarkEnd w:id="43"/>
    <w:bookmarkEnd w:id="44"/>
    <w:p>
      <w:pPr>
        <w:snapToGrid w:val="0"/>
        <w:spacing w:line="360" w:lineRule="auto"/>
        <w:outlineLvl w:val="1"/>
        <w:rPr>
          <w:rFonts w:hint="eastAsia" w:ascii="宋体" w:hAnsi="宋体" w:cs="宋体"/>
          <w:b/>
          <w:color w:val="000000"/>
          <w:sz w:val="22"/>
          <w:szCs w:val="22"/>
        </w:rPr>
      </w:pPr>
      <w:bookmarkStart w:id="45" w:name="_Toc31102"/>
      <w:bookmarkStart w:id="46" w:name="_Toc24940"/>
      <w:r>
        <w:rPr>
          <w:rFonts w:hint="eastAsia" w:ascii="宋体" w:hAnsi="宋体" w:cs="宋体"/>
          <w:b/>
          <w:bCs/>
          <w:sz w:val="22"/>
          <w:szCs w:val="22"/>
          <w:lang w:val="en-US" w:eastAsia="zh-CN"/>
        </w:rPr>
        <w:t>20.</w:t>
      </w:r>
      <w:r>
        <w:rPr>
          <w:rFonts w:hint="eastAsia" w:ascii="宋体" w:hAnsi="宋体" w:cs="宋体"/>
          <w:b/>
          <w:color w:val="000000"/>
          <w:sz w:val="22"/>
          <w:szCs w:val="22"/>
        </w:rPr>
        <w:t>5、评标</w:t>
      </w:r>
      <w:bookmarkEnd w:id="45"/>
      <w:bookmarkEnd w:id="46"/>
    </w:p>
    <w:p>
      <w:pPr>
        <w:pStyle w:val="5"/>
        <w:tabs>
          <w:tab w:val="left" w:pos="720"/>
        </w:tabs>
        <w:spacing w:before="0" w:after="0"/>
        <w:ind w:left="720" w:hanging="720"/>
        <w:jc w:val="both"/>
        <w:rPr>
          <w:rFonts w:hint="eastAsia" w:ascii="宋体" w:hAnsi="宋体" w:eastAsia="宋体" w:cs="宋体"/>
          <w:sz w:val="22"/>
          <w:szCs w:val="22"/>
        </w:rPr>
      </w:pPr>
      <w:bookmarkStart w:id="47" w:name="_Toc17521"/>
      <w:bookmarkStart w:id="48" w:name="_Toc12938"/>
      <w:r>
        <w:rPr>
          <w:rFonts w:hint="eastAsia" w:ascii="宋体" w:hAnsi="宋体" w:eastAsia="宋体" w:cs="宋体"/>
          <w:sz w:val="22"/>
          <w:szCs w:val="22"/>
        </w:rPr>
        <w:t>（一）评审工作的组织</w:t>
      </w:r>
      <w:bookmarkEnd w:id="47"/>
      <w:bookmarkEnd w:id="48"/>
    </w:p>
    <w:p>
      <w:pPr>
        <w:spacing w:line="360" w:lineRule="auto"/>
        <w:ind w:firstLine="387" w:firstLineChars="176"/>
        <w:rPr>
          <w:rFonts w:hint="eastAsia" w:ascii="宋体" w:hAnsi="宋体" w:cs="宋体"/>
          <w:color w:val="000000"/>
          <w:kern w:val="0"/>
          <w:sz w:val="22"/>
          <w:szCs w:val="22"/>
        </w:rPr>
      </w:pPr>
      <w:r>
        <w:rPr>
          <w:rFonts w:hint="eastAsia" w:ascii="宋体" w:hAnsi="宋体" w:cs="宋体"/>
          <w:color w:val="000000"/>
          <w:kern w:val="0"/>
          <w:sz w:val="22"/>
          <w:szCs w:val="22"/>
        </w:rPr>
        <w:t>采购人或采购代理机构负责组织本项目的评审工作，并依据《政府采购货物和服务招标投标管理办法（财政部第87号令）》第四十五条的相关规定履行职责。</w:t>
      </w:r>
    </w:p>
    <w:p>
      <w:pPr>
        <w:pStyle w:val="5"/>
        <w:tabs>
          <w:tab w:val="left" w:pos="720"/>
        </w:tabs>
        <w:spacing w:before="0" w:after="0"/>
        <w:ind w:left="720" w:hanging="720"/>
        <w:jc w:val="both"/>
        <w:rPr>
          <w:rFonts w:hint="eastAsia" w:ascii="宋体" w:hAnsi="宋体" w:eastAsia="宋体" w:cs="宋体"/>
          <w:sz w:val="22"/>
          <w:szCs w:val="22"/>
        </w:rPr>
      </w:pPr>
      <w:bookmarkStart w:id="49" w:name="_Toc16418"/>
      <w:bookmarkStart w:id="50" w:name="_Toc20175"/>
      <w:r>
        <w:rPr>
          <w:rFonts w:hint="eastAsia" w:ascii="宋体" w:hAnsi="宋体" w:eastAsia="宋体" w:cs="宋体"/>
          <w:sz w:val="22"/>
          <w:szCs w:val="22"/>
        </w:rPr>
        <w:t>（二）评标委员会的组建</w:t>
      </w:r>
      <w:bookmarkEnd w:id="49"/>
      <w:bookmarkEnd w:id="50"/>
    </w:p>
    <w:p>
      <w:pPr>
        <w:spacing w:line="360" w:lineRule="auto"/>
        <w:ind w:firstLine="387" w:firstLineChars="176"/>
        <w:rPr>
          <w:rFonts w:hint="eastAsia" w:ascii="宋体" w:hAnsi="宋体" w:cs="宋体"/>
          <w:color w:val="000000"/>
          <w:kern w:val="0"/>
          <w:sz w:val="22"/>
          <w:szCs w:val="22"/>
        </w:rPr>
      </w:pPr>
      <w:r>
        <w:rPr>
          <w:rFonts w:hint="eastAsia" w:ascii="宋体" w:hAnsi="宋体" w:cs="宋体"/>
          <w:color w:val="000000"/>
          <w:kern w:val="0"/>
          <w:sz w:val="22"/>
          <w:szCs w:val="22"/>
        </w:rPr>
        <w:t>1）评标委员会由采购人或采购代理机构依法组建，成员包括采购人代表和评审专家，成员人数为</w:t>
      </w:r>
      <w:r>
        <w:rPr>
          <w:rFonts w:hint="eastAsia" w:ascii="宋体" w:hAnsi="宋体" w:cs="宋体"/>
          <w:color w:val="000000"/>
          <w:kern w:val="0"/>
          <w:sz w:val="22"/>
          <w:szCs w:val="22"/>
          <w:lang w:eastAsia="zh-CN"/>
        </w:rPr>
        <w:t>三</w:t>
      </w:r>
      <w:r>
        <w:rPr>
          <w:rFonts w:hint="eastAsia" w:ascii="宋体" w:hAnsi="宋体" w:cs="宋体"/>
          <w:color w:val="000000"/>
          <w:kern w:val="0"/>
          <w:sz w:val="22"/>
          <w:szCs w:val="22"/>
        </w:rPr>
        <w:t>人或以上单数，其中评审专家不少于成员总数的三分之二。</w:t>
      </w:r>
    </w:p>
    <w:p>
      <w:pPr>
        <w:spacing w:line="360" w:lineRule="auto"/>
        <w:ind w:firstLine="387" w:firstLineChars="176"/>
        <w:rPr>
          <w:rFonts w:hint="eastAsia" w:ascii="宋体" w:hAnsi="宋体" w:cs="宋体"/>
          <w:color w:val="000000"/>
          <w:kern w:val="0"/>
          <w:sz w:val="22"/>
          <w:szCs w:val="22"/>
        </w:rPr>
      </w:pPr>
      <w:r>
        <w:rPr>
          <w:rFonts w:hint="eastAsia" w:ascii="宋体" w:hAnsi="宋体" w:cs="宋体"/>
          <w:color w:val="000000"/>
          <w:kern w:val="0"/>
          <w:sz w:val="22"/>
          <w:szCs w:val="22"/>
        </w:rPr>
        <w:t>2）评标委员会成员名单在评审结果（采购结果）公告前保密。</w:t>
      </w:r>
    </w:p>
    <w:p>
      <w:pPr>
        <w:pStyle w:val="5"/>
        <w:tabs>
          <w:tab w:val="left" w:pos="720"/>
        </w:tabs>
        <w:spacing w:before="0" w:after="0"/>
        <w:ind w:left="720" w:hanging="720"/>
        <w:jc w:val="both"/>
        <w:rPr>
          <w:rFonts w:hint="eastAsia" w:ascii="宋体" w:hAnsi="宋体" w:eastAsia="宋体" w:cs="宋体"/>
          <w:sz w:val="22"/>
          <w:szCs w:val="22"/>
        </w:rPr>
      </w:pPr>
      <w:bookmarkStart w:id="51" w:name="_Toc26300"/>
      <w:bookmarkStart w:id="52" w:name="_Toc15406"/>
      <w:r>
        <w:rPr>
          <w:rFonts w:hint="eastAsia" w:ascii="宋体" w:hAnsi="宋体" w:eastAsia="宋体" w:cs="宋体"/>
          <w:sz w:val="22"/>
          <w:szCs w:val="22"/>
        </w:rPr>
        <w:t>（三）评标委员会的职责</w:t>
      </w:r>
      <w:bookmarkEnd w:id="51"/>
      <w:bookmarkEnd w:id="52"/>
    </w:p>
    <w:p>
      <w:pPr>
        <w:spacing w:line="360" w:lineRule="auto"/>
        <w:ind w:firstLine="389" w:firstLineChars="176"/>
        <w:rPr>
          <w:rFonts w:hint="eastAsia" w:ascii="宋体" w:hAnsi="宋体" w:cs="宋体"/>
          <w:b/>
          <w:color w:val="000000"/>
          <w:kern w:val="0"/>
          <w:sz w:val="22"/>
          <w:szCs w:val="22"/>
        </w:rPr>
      </w:pPr>
      <w:r>
        <w:rPr>
          <w:rFonts w:hint="eastAsia" w:ascii="宋体" w:hAnsi="宋体" w:cs="宋体"/>
          <w:b/>
          <w:color w:val="000000"/>
          <w:kern w:val="0"/>
          <w:sz w:val="22"/>
          <w:szCs w:val="22"/>
        </w:rPr>
        <w:t>评标委员会负责具体评审事务，并独立履行下列职责：</w:t>
      </w:r>
    </w:p>
    <w:p>
      <w:pPr>
        <w:spacing w:line="360" w:lineRule="auto"/>
        <w:ind w:firstLine="387" w:firstLineChars="176"/>
        <w:rPr>
          <w:rFonts w:hint="eastAsia" w:ascii="宋体" w:hAnsi="宋体" w:cs="宋体"/>
          <w:color w:val="000000"/>
          <w:kern w:val="0"/>
          <w:sz w:val="22"/>
          <w:szCs w:val="22"/>
        </w:rPr>
      </w:pPr>
      <w:r>
        <w:rPr>
          <w:rFonts w:hint="eastAsia" w:ascii="宋体" w:hAnsi="宋体" w:cs="宋体"/>
          <w:color w:val="000000"/>
          <w:kern w:val="0"/>
          <w:sz w:val="22"/>
          <w:szCs w:val="22"/>
        </w:rPr>
        <w:t>（1）审查、评价</w:t>
      </w:r>
      <w:r>
        <w:rPr>
          <w:rFonts w:hint="eastAsia" w:ascii="宋体" w:hAnsi="宋体"/>
          <w:sz w:val="22"/>
          <w:szCs w:val="22"/>
          <w:lang w:eastAsia="zh-CN"/>
        </w:rPr>
        <w:t>磋商响应文件</w:t>
      </w:r>
      <w:r>
        <w:rPr>
          <w:rFonts w:hint="eastAsia" w:ascii="宋体" w:hAnsi="宋体" w:cs="宋体"/>
          <w:color w:val="000000"/>
          <w:kern w:val="0"/>
          <w:sz w:val="22"/>
          <w:szCs w:val="22"/>
        </w:rPr>
        <w:t>是否符合</w:t>
      </w:r>
      <w:r>
        <w:rPr>
          <w:rFonts w:hint="eastAsia" w:ascii="宋体" w:hAnsi="宋体" w:cs="宋体"/>
          <w:color w:val="000000"/>
          <w:kern w:val="0"/>
          <w:sz w:val="22"/>
          <w:szCs w:val="22"/>
          <w:lang w:eastAsia="zh-CN"/>
        </w:rPr>
        <w:t>采购</w:t>
      </w:r>
      <w:r>
        <w:rPr>
          <w:rFonts w:hint="eastAsia" w:ascii="宋体" w:hAnsi="宋体" w:cs="宋体"/>
          <w:color w:val="000000"/>
          <w:kern w:val="0"/>
          <w:sz w:val="22"/>
          <w:szCs w:val="22"/>
        </w:rPr>
        <w:t>文件的商务、技术等实质性要求；</w:t>
      </w:r>
    </w:p>
    <w:p>
      <w:pPr>
        <w:spacing w:line="360" w:lineRule="auto"/>
        <w:ind w:firstLine="387" w:firstLineChars="176"/>
        <w:rPr>
          <w:rFonts w:hint="eastAsia" w:ascii="宋体" w:hAnsi="宋体" w:cs="宋体"/>
          <w:color w:val="000000"/>
          <w:kern w:val="0"/>
          <w:sz w:val="22"/>
          <w:szCs w:val="22"/>
        </w:rPr>
      </w:pPr>
      <w:r>
        <w:rPr>
          <w:rFonts w:hint="eastAsia" w:ascii="宋体" w:hAnsi="宋体" w:cs="宋体"/>
          <w:color w:val="000000"/>
          <w:kern w:val="0"/>
          <w:sz w:val="22"/>
          <w:szCs w:val="22"/>
        </w:rPr>
        <w:t>（2）要求供应商对</w:t>
      </w:r>
      <w:r>
        <w:rPr>
          <w:rFonts w:hint="eastAsia" w:ascii="宋体" w:hAnsi="宋体"/>
          <w:sz w:val="22"/>
          <w:szCs w:val="22"/>
          <w:lang w:eastAsia="zh-CN"/>
        </w:rPr>
        <w:t>磋商响应文件</w:t>
      </w:r>
      <w:r>
        <w:rPr>
          <w:rFonts w:hint="eastAsia" w:ascii="宋体" w:hAnsi="宋体" w:cs="宋体"/>
          <w:color w:val="000000"/>
          <w:kern w:val="0"/>
          <w:sz w:val="22"/>
          <w:szCs w:val="22"/>
        </w:rPr>
        <w:t>有关事项作出澄清或者说明；</w:t>
      </w:r>
    </w:p>
    <w:p>
      <w:pPr>
        <w:spacing w:line="360" w:lineRule="auto"/>
        <w:ind w:firstLine="387" w:firstLineChars="176"/>
        <w:rPr>
          <w:rFonts w:hint="eastAsia" w:ascii="宋体" w:hAnsi="宋体" w:cs="宋体"/>
          <w:color w:val="000000"/>
          <w:kern w:val="0"/>
          <w:sz w:val="22"/>
          <w:szCs w:val="22"/>
        </w:rPr>
      </w:pPr>
      <w:r>
        <w:rPr>
          <w:rFonts w:hint="eastAsia" w:ascii="宋体" w:hAnsi="宋体" w:cs="宋体"/>
          <w:color w:val="000000"/>
          <w:kern w:val="0"/>
          <w:sz w:val="22"/>
          <w:szCs w:val="22"/>
        </w:rPr>
        <w:t>（3）对磋商响应文件进行比较和评价；</w:t>
      </w:r>
    </w:p>
    <w:p>
      <w:pPr>
        <w:spacing w:line="360" w:lineRule="auto"/>
        <w:ind w:firstLine="387" w:firstLineChars="176"/>
        <w:rPr>
          <w:rFonts w:hint="eastAsia" w:ascii="宋体" w:hAnsi="宋体" w:cs="宋体"/>
          <w:color w:val="000000"/>
          <w:kern w:val="0"/>
          <w:sz w:val="22"/>
          <w:szCs w:val="22"/>
        </w:rPr>
      </w:pPr>
      <w:r>
        <w:rPr>
          <w:rFonts w:hint="eastAsia" w:ascii="宋体" w:hAnsi="宋体" w:cs="宋体"/>
          <w:color w:val="000000"/>
          <w:kern w:val="0"/>
          <w:sz w:val="22"/>
          <w:szCs w:val="22"/>
        </w:rPr>
        <w:t>（4）确定中标候选人名单，以及根据采购人委托直接确定中标人；</w:t>
      </w:r>
    </w:p>
    <w:p>
      <w:pPr>
        <w:spacing w:line="360" w:lineRule="auto"/>
        <w:ind w:firstLine="440" w:firstLineChars="200"/>
        <w:rPr>
          <w:rFonts w:hint="eastAsia" w:ascii="宋体" w:hAnsi="宋体" w:cs="宋体"/>
          <w:color w:val="000000"/>
          <w:kern w:val="0"/>
          <w:sz w:val="22"/>
          <w:szCs w:val="22"/>
        </w:rPr>
      </w:pPr>
      <w:r>
        <w:rPr>
          <w:rFonts w:hint="eastAsia" w:ascii="宋体" w:hAnsi="宋体" w:cs="宋体"/>
          <w:color w:val="000000"/>
          <w:kern w:val="0"/>
          <w:sz w:val="22"/>
          <w:szCs w:val="22"/>
        </w:rPr>
        <w:t>（5）向采购人、采购代理机构或者有关部门报告评审中发现的违法行为。</w:t>
      </w:r>
    </w:p>
    <w:p>
      <w:pPr>
        <w:pStyle w:val="5"/>
        <w:tabs>
          <w:tab w:val="left" w:pos="720"/>
        </w:tabs>
        <w:spacing w:before="0" w:after="0"/>
        <w:ind w:left="720" w:hanging="720"/>
        <w:jc w:val="both"/>
        <w:rPr>
          <w:rFonts w:hint="eastAsia" w:ascii="宋体" w:hAnsi="宋体" w:eastAsia="宋体" w:cs="宋体"/>
          <w:sz w:val="22"/>
          <w:szCs w:val="22"/>
        </w:rPr>
      </w:pPr>
      <w:bookmarkStart w:id="53" w:name="_Toc9272"/>
      <w:bookmarkStart w:id="54" w:name="_Toc19995"/>
      <w:r>
        <w:rPr>
          <w:rFonts w:hint="eastAsia" w:ascii="宋体" w:hAnsi="宋体" w:eastAsia="宋体" w:cs="宋体"/>
          <w:sz w:val="22"/>
          <w:szCs w:val="22"/>
        </w:rPr>
        <w:t>（四）评审原则</w:t>
      </w:r>
      <w:bookmarkEnd w:id="53"/>
      <w:bookmarkEnd w:id="54"/>
    </w:p>
    <w:p>
      <w:pPr>
        <w:spacing w:line="360" w:lineRule="auto"/>
        <w:ind w:firstLine="389" w:firstLineChars="177"/>
        <w:rPr>
          <w:rFonts w:hint="eastAsia" w:ascii="宋体" w:hAnsi="宋体" w:cs="宋体"/>
          <w:color w:val="000000"/>
          <w:sz w:val="22"/>
          <w:szCs w:val="22"/>
        </w:rPr>
      </w:pPr>
      <w:r>
        <w:rPr>
          <w:rFonts w:hint="eastAsia" w:ascii="宋体" w:hAnsi="宋体" w:cs="宋体"/>
          <w:color w:val="000000"/>
          <w:sz w:val="22"/>
          <w:szCs w:val="22"/>
        </w:rPr>
        <w:t>1、评审原则：</w:t>
      </w:r>
      <w:r>
        <w:rPr>
          <w:rFonts w:hint="eastAsia" w:ascii="宋体" w:hAnsi="宋体" w:cs="宋体"/>
          <w:color w:val="000000"/>
          <w:kern w:val="0"/>
          <w:sz w:val="22"/>
          <w:szCs w:val="22"/>
        </w:rPr>
        <w:t>评标委员会</w:t>
      </w:r>
      <w:r>
        <w:rPr>
          <w:rFonts w:hint="eastAsia" w:ascii="宋体" w:hAnsi="宋体" w:cs="宋体"/>
          <w:color w:val="000000"/>
          <w:sz w:val="22"/>
          <w:szCs w:val="22"/>
        </w:rPr>
        <w:t>按照客观、公正、审慎、择优的原则，根据</w:t>
      </w:r>
      <w:r>
        <w:rPr>
          <w:rFonts w:hint="eastAsia" w:ascii="宋体" w:hAnsi="宋体" w:cs="宋体"/>
          <w:color w:val="000000"/>
          <w:sz w:val="22"/>
          <w:szCs w:val="22"/>
          <w:lang w:eastAsia="zh-CN"/>
        </w:rPr>
        <w:t>采购</w:t>
      </w:r>
      <w:r>
        <w:rPr>
          <w:rFonts w:hint="eastAsia" w:ascii="宋体" w:hAnsi="宋体" w:cs="宋体"/>
          <w:color w:val="000000"/>
          <w:sz w:val="22"/>
          <w:szCs w:val="22"/>
        </w:rPr>
        <w:t>文件规定的评审程序、评审方法和评审标准进行独立评审。</w:t>
      </w:r>
    </w:p>
    <w:p>
      <w:pPr>
        <w:spacing w:line="360" w:lineRule="auto"/>
        <w:ind w:firstLine="389" w:firstLineChars="177"/>
        <w:rPr>
          <w:rFonts w:hint="eastAsia" w:ascii="宋体" w:hAnsi="宋体" w:cs="宋体"/>
          <w:color w:val="000000"/>
          <w:sz w:val="22"/>
          <w:szCs w:val="22"/>
        </w:rPr>
      </w:pPr>
      <w:r>
        <w:rPr>
          <w:rFonts w:hint="eastAsia" w:ascii="宋体" w:hAnsi="宋体" w:cs="宋体"/>
          <w:color w:val="000000"/>
          <w:sz w:val="22"/>
          <w:szCs w:val="22"/>
        </w:rPr>
        <w:t>2、评审工作将依据</w:t>
      </w:r>
      <w:r>
        <w:rPr>
          <w:rFonts w:hint="eastAsia" w:ascii="宋体" w:hAnsi="宋体" w:cs="宋体"/>
          <w:color w:val="000000"/>
          <w:kern w:val="0"/>
          <w:sz w:val="22"/>
          <w:szCs w:val="22"/>
          <w:lang w:eastAsia="zh-CN"/>
        </w:rPr>
        <w:t>采购</w:t>
      </w:r>
      <w:r>
        <w:rPr>
          <w:rFonts w:hint="eastAsia" w:ascii="宋体" w:hAnsi="宋体" w:cs="宋体"/>
          <w:color w:val="000000"/>
          <w:kern w:val="0"/>
          <w:sz w:val="22"/>
          <w:szCs w:val="22"/>
        </w:rPr>
        <w:t>文件、磋商响应文件及</w:t>
      </w:r>
      <w:r>
        <w:rPr>
          <w:rFonts w:hint="eastAsia" w:ascii="宋体" w:hAnsi="宋体" w:cs="宋体"/>
          <w:color w:val="000000"/>
          <w:kern w:val="0"/>
          <w:sz w:val="22"/>
          <w:szCs w:val="22"/>
          <w:lang w:eastAsia="zh-CN"/>
        </w:rPr>
        <w:t>采购</w:t>
      </w:r>
      <w:r>
        <w:rPr>
          <w:rFonts w:hint="eastAsia" w:ascii="宋体" w:hAnsi="宋体" w:cs="宋体"/>
          <w:color w:val="000000"/>
          <w:kern w:val="0"/>
          <w:sz w:val="22"/>
          <w:szCs w:val="22"/>
        </w:rPr>
        <w:t>文件中事先已列明的内容进行（如现场方案讲解、演示等）。</w:t>
      </w:r>
    </w:p>
    <w:p>
      <w:pPr>
        <w:pStyle w:val="5"/>
        <w:tabs>
          <w:tab w:val="left" w:pos="720"/>
        </w:tabs>
        <w:spacing w:before="0" w:after="0"/>
        <w:ind w:left="720" w:hanging="720"/>
        <w:jc w:val="both"/>
        <w:rPr>
          <w:rFonts w:hint="eastAsia" w:ascii="宋体" w:hAnsi="宋体" w:eastAsia="宋体" w:cs="宋体"/>
          <w:sz w:val="22"/>
          <w:szCs w:val="22"/>
        </w:rPr>
      </w:pPr>
      <w:bookmarkStart w:id="55" w:name="_Toc14233"/>
      <w:bookmarkStart w:id="56" w:name="_Toc19947"/>
      <w:r>
        <w:rPr>
          <w:rFonts w:hint="eastAsia" w:ascii="宋体" w:hAnsi="宋体" w:eastAsia="宋体" w:cs="宋体"/>
          <w:sz w:val="22"/>
          <w:szCs w:val="22"/>
        </w:rPr>
        <w:t>（五）评审意见的争议处理</w:t>
      </w:r>
      <w:bookmarkEnd w:id="55"/>
      <w:bookmarkEnd w:id="56"/>
    </w:p>
    <w:p>
      <w:pPr>
        <w:spacing w:line="360" w:lineRule="auto"/>
        <w:ind w:firstLine="607" w:firstLineChars="276"/>
        <w:rPr>
          <w:rFonts w:hint="eastAsia" w:ascii="宋体" w:hAnsi="宋体" w:cs="宋体"/>
          <w:bCs/>
          <w:color w:val="000000"/>
          <w:sz w:val="22"/>
          <w:szCs w:val="22"/>
        </w:rPr>
      </w:pPr>
      <w:r>
        <w:rPr>
          <w:rFonts w:hint="eastAsia" w:ascii="宋体" w:hAnsi="宋体" w:cs="宋体"/>
          <w:bCs/>
          <w:color w:val="000000"/>
          <w:sz w:val="22"/>
          <w:szCs w:val="22"/>
        </w:rPr>
        <w:t>评标委员会成员对需要共同认定的事项存在争议的，按照少数服从多数的原则作出结论。持不同意见的评标委员会成员应当在评审报告上签署不同意见及理由，否则视为同意评审报告。</w:t>
      </w:r>
    </w:p>
    <w:p>
      <w:pPr>
        <w:pStyle w:val="5"/>
        <w:tabs>
          <w:tab w:val="left" w:pos="720"/>
        </w:tabs>
        <w:spacing w:before="0" w:after="0"/>
        <w:ind w:left="720" w:hanging="720"/>
        <w:jc w:val="both"/>
        <w:rPr>
          <w:rFonts w:hint="eastAsia" w:ascii="宋体" w:hAnsi="宋体" w:eastAsia="宋体" w:cs="宋体"/>
          <w:sz w:val="22"/>
          <w:szCs w:val="22"/>
        </w:rPr>
      </w:pPr>
      <w:bookmarkStart w:id="57" w:name="_Toc18221"/>
      <w:bookmarkStart w:id="58" w:name="_Toc5726"/>
      <w:r>
        <w:rPr>
          <w:rFonts w:hint="eastAsia" w:ascii="宋体" w:hAnsi="宋体" w:eastAsia="宋体" w:cs="宋体"/>
          <w:sz w:val="22"/>
          <w:szCs w:val="22"/>
        </w:rPr>
        <w:t>（六）评委纪律</w:t>
      </w:r>
      <w:bookmarkEnd w:id="57"/>
      <w:bookmarkEnd w:id="58"/>
    </w:p>
    <w:p>
      <w:pPr>
        <w:spacing w:line="360" w:lineRule="auto"/>
        <w:ind w:firstLine="389" w:firstLineChars="177"/>
        <w:rPr>
          <w:rFonts w:hint="eastAsia" w:ascii="宋体" w:hAnsi="宋体" w:cs="宋体"/>
          <w:color w:val="000000"/>
          <w:kern w:val="0"/>
          <w:sz w:val="22"/>
          <w:szCs w:val="22"/>
        </w:rPr>
      </w:pPr>
      <w:r>
        <w:rPr>
          <w:rFonts w:hint="eastAsia" w:ascii="宋体" w:hAnsi="宋体" w:cs="宋体"/>
          <w:color w:val="000000"/>
          <w:sz w:val="22"/>
          <w:szCs w:val="22"/>
        </w:rPr>
        <w:t>评标委员会成员必须严格遵守保密规定，不得泄露评审的有关情况</w:t>
      </w:r>
      <w:r>
        <w:rPr>
          <w:rFonts w:hint="eastAsia" w:ascii="宋体" w:hAnsi="宋体" w:cs="宋体"/>
          <w:color w:val="000000"/>
          <w:kern w:val="0"/>
          <w:sz w:val="22"/>
          <w:szCs w:val="22"/>
        </w:rPr>
        <w:t>，任何单位和个人不得干扰、影响评标的正常进行，评标委员会成员不得私下与投标供应商接触，不得出现《浙江省政府采购活动现场组织管理办法》中规定的其他禁止行为。</w:t>
      </w:r>
    </w:p>
    <w:p>
      <w:pPr>
        <w:pStyle w:val="4"/>
        <w:keepNext/>
        <w:keepLines/>
        <w:pageBreakBefore w:val="0"/>
        <w:widowControl w:val="0"/>
        <w:tabs>
          <w:tab w:val="left" w:pos="706"/>
          <w:tab w:val="left" w:pos="1110"/>
        </w:tabs>
        <w:kinsoku/>
        <w:wordWrap/>
        <w:overflowPunct/>
        <w:topLinePunct w:val="0"/>
        <w:autoSpaceDE/>
        <w:autoSpaceDN/>
        <w:bidi w:val="0"/>
        <w:adjustRightInd/>
        <w:snapToGrid/>
        <w:spacing w:before="20" w:after="20" w:line="416" w:lineRule="auto"/>
        <w:textAlignment w:val="auto"/>
        <w:rPr>
          <w:rFonts w:hint="eastAsia" w:ascii="宋体" w:hAnsi="宋体" w:eastAsia="宋体" w:cs="宋体"/>
          <w:b/>
          <w:bCs/>
          <w:color w:val="000000"/>
          <w:sz w:val="22"/>
          <w:szCs w:val="22"/>
        </w:rPr>
      </w:pPr>
      <w:bookmarkStart w:id="59" w:name="_Toc24550043"/>
      <w:bookmarkStart w:id="60" w:name="_Toc30393"/>
      <w:bookmarkStart w:id="61" w:name="_Toc33194395"/>
      <w:bookmarkStart w:id="62" w:name="_Toc26697"/>
      <w:r>
        <w:rPr>
          <w:rFonts w:hint="eastAsia" w:ascii="宋体" w:hAnsi="宋体" w:eastAsia="宋体" w:cs="宋体"/>
          <w:b/>
          <w:bCs/>
          <w:color w:val="000000"/>
          <w:sz w:val="22"/>
          <w:szCs w:val="22"/>
        </w:rPr>
        <w:t>（七）</w:t>
      </w:r>
      <w:bookmarkEnd w:id="59"/>
      <w:bookmarkStart w:id="63" w:name="_Toc24550044"/>
      <w:r>
        <w:rPr>
          <w:rFonts w:hint="eastAsia" w:ascii="宋体" w:hAnsi="宋体" w:eastAsia="宋体" w:cs="宋体"/>
          <w:b/>
          <w:bCs/>
          <w:color w:val="000000"/>
          <w:sz w:val="22"/>
          <w:szCs w:val="22"/>
        </w:rPr>
        <w:t>评审流程及内容</w:t>
      </w:r>
      <w:bookmarkEnd w:id="60"/>
      <w:bookmarkEnd w:id="61"/>
      <w:bookmarkEnd w:id="62"/>
      <w:bookmarkEnd w:id="63"/>
    </w:p>
    <w:p>
      <w:pPr>
        <w:spacing w:line="360" w:lineRule="auto"/>
        <w:ind w:firstLine="389" w:firstLineChars="176"/>
        <w:rPr>
          <w:rFonts w:hint="eastAsia" w:ascii="宋体" w:hAnsi="宋体" w:cs="宋体"/>
          <w:color w:val="000000"/>
          <w:sz w:val="22"/>
          <w:szCs w:val="22"/>
        </w:rPr>
      </w:pPr>
      <w:r>
        <w:rPr>
          <w:rFonts w:hint="eastAsia" w:ascii="宋体" w:hAnsi="宋体" w:cs="宋体"/>
          <w:b/>
          <w:color w:val="000000"/>
          <w:kern w:val="0"/>
          <w:sz w:val="22"/>
          <w:szCs w:val="22"/>
        </w:rPr>
        <w:t>本项目具体的评审事务由评标委员会负责，评审流程及内容如下：</w:t>
      </w:r>
    </w:p>
    <w:p>
      <w:pPr>
        <w:pStyle w:val="5"/>
        <w:tabs>
          <w:tab w:val="left" w:pos="720"/>
        </w:tabs>
        <w:spacing w:before="0" w:after="0"/>
        <w:ind w:left="720" w:hanging="720"/>
        <w:jc w:val="both"/>
        <w:rPr>
          <w:rFonts w:hint="eastAsia" w:ascii="宋体" w:hAnsi="宋体" w:eastAsia="宋体" w:cs="宋体"/>
          <w:sz w:val="22"/>
          <w:szCs w:val="22"/>
        </w:rPr>
      </w:pPr>
      <w:bookmarkStart w:id="64" w:name="_Toc23277"/>
      <w:bookmarkStart w:id="65" w:name="_Toc10220"/>
      <w:r>
        <w:rPr>
          <w:rFonts w:hint="eastAsia" w:ascii="宋体" w:hAnsi="宋体" w:eastAsia="宋体" w:cs="宋体"/>
          <w:sz w:val="22"/>
          <w:szCs w:val="22"/>
        </w:rPr>
        <w:t>1 评审前准备</w:t>
      </w:r>
      <w:bookmarkEnd w:id="64"/>
      <w:bookmarkEnd w:id="65"/>
    </w:p>
    <w:p>
      <w:pPr>
        <w:spacing w:line="360" w:lineRule="auto"/>
        <w:ind w:firstLine="440" w:firstLineChars="200"/>
        <w:rPr>
          <w:rFonts w:hint="eastAsia" w:ascii="宋体" w:hAnsi="宋体" w:cs="宋体"/>
          <w:color w:val="000000"/>
          <w:kern w:val="0"/>
          <w:sz w:val="22"/>
          <w:szCs w:val="22"/>
        </w:rPr>
      </w:pPr>
      <w:r>
        <w:rPr>
          <w:rFonts w:hint="eastAsia" w:ascii="宋体" w:hAnsi="宋体" w:cs="宋体"/>
          <w:color w:val="000000"/>
          <w:kern w:val="0"/>
          <w:sz w:val="22"/>
          <w:szCs w:val="22"/>
        </w:rPr>
        <w:t>1.1由评审专家推选评审小组组长，采购人代表不得担任评审小组组长。</w:t>
      </w:r>
    </w:p>
    <w:p>
      <w:pPr>
        <w:spacing w:line="360" w:lineRule="auto"/>
        <w:ind w:firstLine="389" w:firstLineChars="177"/>
        <w:rPr>
          <w:rFonts w:hint="eastAsia" w:ascii="宋体" w:hAnsi="宋体" w:cs="宋体"/>
          <w:b/>
          <w:color w:val="000000"/>
          <w:kern w:val="0"/>
          <w:sz w:val="22"/>
          <w:szCs w:val="22"/>
        </w:rPr>
      </w:pPr>
      <w:r>
        <w:rPr>
          <w:rFonts w:hint="eastAsia" w:ascii="宋体" w:hAnsi="宋体" w:cs="宋体"/>
          <w:color w:val="000000"/>
          <w:kern w:val="0"/>
          <w:sz w:val="22"/>
          <w:szCs w:val="22"/>
        </w:rPr>
        <w:t>1.2由评审小组组长（评标委员会主任委员）召集所有评委成员阅读</w:t>
      </w:r>
      <w:r>
        <w:rPr>
          <w:rFonts w:hint="eastAsia" w:ascii="宋体" w:hAnsi="宋体" w:cs="宋体"/>
          <w:color w:val="000000"/>
          <w:kern w:val="0"/>
          <w:sz w:val="22"/>
          <w:szCs w:val="22"/>
          <w:lang w:eastAsia="zh-CN"/>
        </w:rPr>
        <w:t>采购</w:t>
      </w:r>
      <w:r>
        <w:rPr>
          <w:rFonts w:hint="eastAsia" w:ascii="宋体" w:hAnsi="宋体" w:cs="宋体"/>
          <w:color w:val="000000"/>
          <w:kern w:val="0"/>
          <w:sz w:val="22"/>
          <w:szCs w:val="22"/>
        </w:rPr>
        <w:t>文件及相关补充、质疑、答复文件、项目书面说明等材料，熟悉采购项目基本情况、采购需求、合同主要条款、磋商响应文件无效情形、评审办法、评审标准，以及其他与评审有关的内容。</w:t>
      </w:r>
    </w:p>
    <w:p>
      <w:pPr>
        <w:pStyle w:val="5"/>
        <w:tabs>
          <w:tab w:val="left" w:pos="720"/>
        </w:tabs>
        <w:spacing w:before="0" w:after="0"/>
        <w:ind w:left="720" w:hanging="720"/>
        <w:jc w:val="both"/>
        <w:rPr>
          <w:rFonts w:hint="eastAsia" w:ascii="宋体" w:hAnsi="宋体" w:eastAsia="宋体" w:cs="宋体"/>
          <w:sz w:val="22"/>
          <w:szCs w:val="22"/>
        </w:rPr>
      </w:pPr>
      <w:bookmarkStart w:id="66" w:name="_Toc25416"/>
      <w:bookmarkStart w:id="67" w:name="_Toc27832"/>
      <w:r>
        <w:rPr>
          <w:rFonts w:hint="eastAsia" w:ascii="宋体" w:hAnsi="宋体" w:eastAsia="宋体" w:cs="宋体"/>
          <w:sz w:val="22"/>
          <w:szCs w:val="22"/>
        </w:rPr>
        <w:t>2磋商响应文件的初步审查、符合性审查</w:t>
      </w:r>
      <w:bookmarkEnd w:id="66"/>
      <w:bookmarkEnd w:id="67"/>
    </w:p>
    <w:p>
      <w:pPr>
        <w:spacing w:line="360" w:lineRule="auto"/>
        <w:ind w:firstLine="391" w:firstLineChars="177"/>
        <w:rPr>
          <w:rFonts w:hint="eastAsia" w:ascii="宋体" w:hAnsi="宋体" w:cs="宋体"/>
          <w:b/>
          <w:color w:val="000000"/>
          <w:kern w:val="0"/>
          <w:sz w:val="22"/>
          <w:szCs w:val="22"/>
        </w:rPr>
      </w:pPr>
      <w:r>
        <w:rPr>
          <w:rFonts w:hint="eastAsia" w:ascii="宋体" w:hAnsi="宋体" w:cs="宋体"/>
          <w:b/>
          <w:color w:val="000000"/>
          <w:kern w:val="0"/>
          <w:sz w:val="22"/>
          <w:szCs w:val="22"/>
        </w:rPr>
        <w:t>对所有通过资格审查的投标供应商的磋商响应文件进行初步审查，审查、评价磋商响应文件是否符合</w:t>
      </w:r>
      <w:r>
        <w:rPr>
          <w:rFonts w:hint="eastAsia" w:ascii="宋体" w:hAnsi="宋体" w:cs="宋体"/>
          <w:b/>
          <w:color w:val="000000"/>
          <w:kern w:val="0"/>
          <w:sz w:val="22"/>
          <w:szCs w:val="22"/>
          <w:lang w:eastAsia="zh-CN"/>
        </w:rPr>
        <w:t>采购</w:t>
      </w:r>
      <w:r>
        <w:rPr>
          <w:rFonts w:hint="eastAsia" w:ascii="宋体" w:hAnsi="宋体" w:cs="宋体"/>
          <w:b/>
          <w:color w:val="000000"/>
          <w:kern w:val="0"/>
          <w:sz w:val="22"/>
          <w:szCs w:val="22"/>
        </w:rPr>
        <w:t>文件的商务、技术、服务等实质性要求。</w:t>
      </w:r>
    </w:p>
    <w:p>
      <w:pPr>
        <w:spacing w:line="360" w:lineRule="auto"/>
        <w:ind w:firstLine="389" w:firstLineChars="177"/>
        <w:rPr>
          <w:rFonts w:hint="eastAsia" w:ascii="宋体" w:hAnsi="宋体" w:cs="宋体"/>
          <w:color w:val="000000"/>
          <w:sz w:val="22"/>
          <w:szCs w:val="22"/>
        </w:rPr>
      </w:pPr>
      <w:r>
        <w:rPr>
          <w:rFonts w:hint="eastAsia" w:ascii="宋体" w:hAnsi="宋体" w:cs="宋体"/>
          <w:color w:val="000000"/>
          <w:sz w:val="22"/>
          <w:szCs w:val="22"/>
        </w:rPr>
        <w:t>2.1评标委员会首先对所有通过资格审查的投标供应商的</w:t>
      </w:r>
      <w:r>
        <w:rPr>
          <w:rFonts w:hint="eastAsia" w:ascii="宋体" w:hAnsi="宋体" w:cs="宋体"/>
          <w:color w:val="000000"/>
          <w:kern w:val="0"/>
          <w:sz w:val="22"/>
          <w:szCs w:val="22"/>
        </w:rPr>
        <w:t>磋商响应文件</w:t>
      </w:r>
      <w:r>
        <w:rPr>
          <w:rFonts w:hint="eastAsia" w:ascii="宋体" w:hAnsi="宋体" w:cs="宋体"/>
          <w:color w:val="000000"/>
          <w:sz w:val="22"/>
          <w:szCs w:val="22"/>
        </w:rPr>
        <w:t>进行符合性审查，审查每份</w:t>
      </w:r>
      <w:r>
        <w:rPr>
          <w:rFonts w:hint="eastAsia" w:ascii="宋体" w:hAnsi="宋体" w:cs="宋体"/>
          <w:color w:val="000000"/>
          <w:kern w:val="0"/>
          <w:sz w:val="22"/>
          <w:szCs w:val="22"/>
        </w:rPr>
        <w:t>磋商响应文件</w:t>
      </w:r>
      <w:r>
        <w:rPr>
          <w:rFonts w:hint="eastAsia" w:ascii="宋体" w:hAnsi="宋体" w:cs="宋体"/>
          <w:color w:val="000000"/>
          <w:sz w:val="22"/>
          <w:szCs w:val="22"/>
        </w:rPr>
        <w:t>是否实质上响应了</w:t>
      </w:r>
      <w:r>
        <w:rPr>
          <w:rFonts w:hint="eastAsia" w:ascii="宋体" w:hAnsi="宋体" w:cs="宋体"/>
          <w:color w:val="000000"/>
          <w:sz w:val="22"/>
          <w:szCs w:val="22"/>
          <w:lang w:eastAsia="zh-CN"/>
        </w:rPr>
        <w:t>采购</w:t>
      </w:r>
      <w:r>
        <w:rPr>
          <w:rFonts w:hint="eastAsia" w:ascii="宋体" w:hAnsi="宋体" w:cs="宋体"/>
          <w:color w:val="000000"/>
          <w:sz w:val="22"/>
          <w:szCs w:val="22"/>
        </w:rPr>
        <w:t>文件的要求（实质性响应的</w:t>
      </w:r>
      <w:r>
        <w:rPr>
          <w:rFonts w:hint="eastAsia" w:ascii="宋体" w:hAnsi="宋体" w:cs="宋体"/>
          <w:color w:val="000000"/>
          <w:kern w:val="0"/>
          <w:sz w:val="22"/>
          <w:szCs w:val="22"/>
        </w:rPr>
        <w:t>磋商响应文件</w:t>
      </w:r>
      <w:r>
        <w:rPr>
          <w:rFonts w:hint="eastAsia" w:ascii="宋体" w:hAnsi="宋体" w:cs="宋体"/>
          <w:color w:val="000000"/>
          <w:sz w:val="22"/>
          <w:szCs w:val="22"/>
        </w:rPr>
        <w:t>是指</w:t>
      </w:r>
      <w:r>
        <w:rPr>
          <w:rFonts w:hint="eastAsia" w:ascii="宋体" w:hAnsi="宋体" w:cs="宋体"/>
          <w:color w:val="000000"/>
          <w:kern w:val="0"/>
          <w:sz w:val="22"/>
          <w:szCs w:val="22"/>
        </w:rPr>
        <w:t>磋商响应文件</w:t>
      </w:r>
      <w:r>
        <w:rPr>
          <w:rFonts w:hint="eastAsia" w:ascii="宋体" w:hAnsi="宋体" w:cs="宋体"/>
          <w:color w:val="000000"/>
          <w:sz w:val="22"/>
          <w:szCs w:val="22"/>
        </w:rPr>
        <w:t>符合</w:t>
      </w:r>
      <w:r>
        <w:rPr>
          <w:rFonts w:hint="eastAsia" w:ascii="宋体" w:hAnsi="宋体" w:cs="宋体"/>
          <w:color w:val="000000"/>
          <w:sz w:val="22"/>
          <w:szCs w:val="22"/>
          <w:lang w:eastAsia="zh-CN"/>
        </w:rPr>
        <w:t>采购</w:t>
      </w:r>
      <w:r>
        <w:rPr>
          <w:rFonts w:hint="eastAsia" w:ascii="宋体" w:hAnsi="宋体" w:cs="宋体"/>
          <w:color w:val="000000"/>
          <w:sz w:val="22"/>
          <w:szCs w:val="22"/>
        </w:rPr>
        <w:t>文件规定的实质性内容、条件和规定）。</w:t>
      </w:r>
    </w:p>
    <w:p>
      <w:pPr>
        <w:pStyle w:val="5"/>
        <w:tabs>
          <w:tab w:val="left" w:pos="720"/>
        </w:tabs>
        <w:spacing w:before="0" w:after="0"/>
        <w:jc w:val="both"/>
        <w:rPr>
          <w:rFonts w:hint="eastAsia" w:ascii="宋体" w:hAnsi="宋体" w:eastAsia="宋体" w:cs="宋体"/>
          <w:sz w:val="22"/>
          <w:szCs w:val="22"/>
        </w:rPr>
      </w:pPr>
      <w:bookmarkStart w:id="68" w:name="_Toc30552"/>
      <w:bookmarkStart w:id="69" w:name="_Toc13081"/>
      <w:r>
        <w:rPr>
          <w:rFonts w:hint="eastAsia" w:ascii="宋体" w:hAnsi="宋体" w:eastAsia="宋体" w:cs="宋体"/>
          <w:sz w:val="22"/>
          <w:szCs w:val="22"/>
        </w:rPr>
        <w:t>3 磋商响应文件的澄清、说明或补正</w:t>
      </w:r>
      <w:bookmarkEnd w:id="68"/>
      <w:bookmarkEnd w:id="69"/>
    </w:p>
    <w:p>
      <w:pPr>
        <w:spacing w:line="360" w:lineRule="auto"/>
        <w:ind w:firstLine="389" w:firstLineChars="177"/>
        <w:rPr>
          <w:rFonts w:hint="eastAsia" w:ascii="宋体" w:hAnsi="宋体" w:cs="宋体"/>
          <w:color w:val="000000"/>
          <w:kern w:val="0"/>
          <w:sz w:val="22"/>
          <w:szCs w:val="22"/>
        </w:rPr>
      </w:pPr>
      <w:r>
        <w:rPr>
          <w:rFonts w:hint="eastAsia" w:ascii="宋体" w:hAnsi="宋体" w:cs="宋体"/>
          <w:color w:val="000000"/>
          <w:kern w:val="0"/>
          <w:sz w:val="22"/>
          <w:szCs w:val="22"/>
        </w:rPr>
        <w:t>3.1对于磋商响应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pacing w:line="360" w:lineRule="auto"/>
        <w:ind w:firstLine="389" w:firstLineChars="177"/>
        <w:rPr>
          <w:rFonts w:hint="eastAsia" w:ascii="宋体" w:hAnsi="宋体" w:cs="宋体"/>
          <w:color w:val="000000"/>
          <w:kern w:val="0"/>
          <w:sz w:val="22"/>
          <w:szCs w:val="22"/>
        </w:rPr>
      </w:pPr>
      <w:r>
        <w:rPr>
          <w:rFonts w:hint="eastAsia" w:ascii="宋体" w:hAnsi="宋体" w:cs="宋体"/>
          <w:color w:val="000000"/>
          <w:kern w:val="0"/>
          <w:sz w:val="22"/>
          <w:szCs w:val="22"/>
        </w:rPr>
        <w:t>3.2投标供应商的澄清、说明或者补正应当采用书面（或通过“政府采购云平台”在线答复）形式提交，并加盖公章，或者由法定代表人或其授权的代表签字。投标供应商的澄清、说明或者补正不得超出磋商响应文件的范围或者改变磋商响应文件的实质性内容。</w:t>
      </w:r>
    </w:p>
    <w:p>
      <w:pPr>
        <w:pStyle w:val="5"/>
        <w:tabs>
          <w:tab w:val="left" w:pos="720"/>
        </w:tabs>
        <w:spacing w:before="0" w:after="0"/>
        <w:ind w:left="720" w:hanging="720"/>
        <w:jc w:val="both"/>
        <w:rPr>
          <w:rFonts w:hint="eastAsia" w:ascii="宋体" w:hAnsi="宋体" w:eastAsia="宋体" w:cs="宋体"/>
          <w:sz w:val="22"/>
          <w:szCs w:val="22"/>
        </w:rPr>
      </w:pPr>
      <w:bookmarkStart w:id="70" w:name="_Toc26085"/>
      <w:bookmarkStart w:id="71" w:name="_Toc11246"/>
      <w:r>
        <w:rPr>
          <w:rFonts w:hint="eastAsia" w:ascii="宋体" w:hAnsi="宋体" w:eastAsia="宋体" w:cs="宋体"/>
          <w:sz w:val="22"/>
          <w:szCs w:val="22"/>
        </w:rPr>
        <w:t>4 磋商响应文件的错误修正</w:t>
      </w:r>
      <w:bookmarkEnd w:id="70"/>
      <w:bookmarkEnd w:id="71"/>
    </w:p>
    <w:p>
      <w:pPr>
        <w:spacing w:line="360" w:lineRule="auto"/>
        <w:ind w:firstLine="387" w:firstLineChars="175"/>
        <w:rPr>
          <w:rFonts w:hint="eastAsia" w:ascii="宋体" w:hAnsi="宋体" w:cs="宋体"/>
          <w:b/>
          <w:color w:val="000000"/>
          <w:kern w:val="0"/>
          <w:sz w:val="22"/>
          <w:szCs w:val="22"/>
        </w:rPr>
      </w:pPr>
      <w:r>
        <w:rPr>
          <w:rFonts w:hint="eastAsia" w:ascii="宋体" w:hAnsi="宋体" w:cs="宋体"/>
          <w:b/>
          <w:color w:val="000000"/>
          <w:kern w:val="0"/>
          <w:sz w:val="22"/>
          <w:szCs w:val="22"/>
        </w:rPr>
        <w:t>4.1磋商响应文件如果出现计算或表达上的错误，修正错误的原则如下：</w:t>
      </w:r>
    </w:p>
    <w:p>
      <w:pPr>
        <w:spacing w:line="360" w:lineRule="auto"/>
        <w:ind w:firstLine="385" w:firstLineChars="175"/>
        <w:rPr>
          <w:rFonts w:hint="eastAsia" w:ascii="宋体" w:hAnsi="宋体" w:cs="宋体"/>
          <w:color w:val="000000"/>
          <w:kern w:val="0"/>
          <w:sz w:val="22"/>
          <w:szCs w:val="22"/>
        </w:rPr>
      </w:pPr>
      <w:r>
        <w:rPr>
          <w:rFonts w:hint="eastAsia" w:ascii="宋体" w:hAnsi="宋体" w:cs="宋体"/>
          <w:color w:val="000000"/>
          <w:kern w:val="0"/>
          <w:sz w:val="22"/>
          <w:szCs w:val="22"/>
        </w:rPr>
        <w:t>（1）磋商响应文件中开标一览表内容与磋商响应文件中相应内容不一致的，以开标一览表为准。</w:t>
      </w:r>
    </w:p>
    <w:p>
      <w:pPr>
        <w:spacing w:line="360" w:lineRule="auto"/>
        <w:ind w:firstLine="385" w:firstLineChars="175"/>
        <w:rPr>
          <w:rFonts w:hint="eastAsia" w:ascii="宋体" w:hAnsi="宋体" w:cs="宋体"/>
          <w:color w:val="000000"/>
          <w:kern w:val="0"/>
          <w:sz w:val="22"/>
          <w:szCs w:val="22"/>
        </w:rPr>
      </w:pPr>
      <w:r>
        <w:rPr>
          <w:rFonts w:hint="eastAsia" w:ascii="宋体" w:hAnsi="宋体" w:cs="宋体"/>
          <w:color w:val="000000"/>
          <w:kern w:val="0"/>
          <w:sz w:val="22"/>
          <w:szCs w:val="22"/>
        </w:rPr>
        <w:t>（2）磋商响应文件的大写金额和小写金额不一致的，以大写金额为准；</w:t>
      </w:r>
    </w:p>
    <w:p>
      <w:pPr>
        <w:spacing w:line="360" w:lineRule="auto"/>
        <w:ind w:firstLine="385" w:firstLineChars="175"/>
        <w:rPr>
          <w:rFonts w:hint="eastAsia" w:ascii="宋体" w:hAnsi="宋体" w:cs="宋体"/>
          <w:color w:val="000000"/>
          <w:kern w:val="0"/>
          <w:sz w:val="22"/>
          <w:szCs w:val="22"/>
        </w:rPr>
      </w:pPr>
      <w:r>
        <w:rPr>
          <w:rFonts w:hint="eastAsia" w:ascii="宋体" w:hAnsi="宋体" w:cs="宋体"/>
          <w:color w:val="000000"/>
          <w:kern w:val="0"/>
          <w:sz w:val="22"/>
          <w:szCs w:val="22"/>
        </w:rPr>
        <w:t>（3）单价金额小数点或者百分比有明显错位的，应以开标一览表的总价为准，并修改单价；</w:t>
      </w:r>
    </w:p>
    <w:p>
      <w:pPr>
        <w:spacing w:line="360" w:lineRule="auto"/>
        <w:ind w:firstLine="385" w:firstLineChars="175"/>
        <w:rPr>
          <w:rFonts w:hint="eastAsia" w:ascii="宋体" w:hAnsi="宋体" w:cs="宋体"/>
          <w:color w:val="000000"/>
          <w:kern w:val="0"/>
          <w:sz w:val="22"/>
          <w:szCs w:val="22"/>
        </w:rPr>
      </w:pPr>
      <w:r>
        <w:rPr>
          <w:rFonts w:hint="eastAsia" w:ascii="宋体" w:hAnsi="宋体" w:cs="宋体"/>
          <w:color w:val="000000"/>
          <w:kern w:val="0"/>
          <w:sz w:val="22"/>
          <w:szCs w:val="22"/>
        </w:rPr>
        <w:t>（4）总价金额与按单价汇总金额不一致的，以单价金额计算结果为准。</w:t>
      </w:r>
    </w:p>
    <w:p>
      <w:pPr>
        <w:spacing w:line="360" w:lineRule="auto"/>
        <w:ind w:firstLine="605" w:firstLineChars="275"/>
        <w:rPr>
          <w:rFonts w:hint="eastAsia" w:ascii="宋体" w:hAnsi="宋体" w:cs="宋体"/>
          <w:color w:val="000000"/>
          <w:kern w:val="0"/>
          <w:sz w:val="22"/>
          <w:szCs w:val="22"/>
        </w:rPr>
      </w:pPr>
      <w:r>
        <w:rPr>
          <w:rFonts w:hint="eastAsia" w:ascii="宋体" w:hAnsi="宋体" w:cs="宋体"/>
          <w:color w:val="000000"/>
          <w:kern w:val="0"/>
          <w:sz w:val="22"/>
          <w:szCs w:val="22"/>
        </w:rPr>
        <w:t>4.2对不同文字文本磋商响应文件的解释发生异议的，以中文文本为准。</w:t>
      </w:r>
    </w:p>
    <w:p>
      <w:pPr>
        <w:pStyle w:val="231"/>
        <w:autoSpaceDE/>
        <w:adjustRightInd/>
        <w:snapToGrid w:val="0"/>
        <w:spacing w:before="0" w:line="360" w:lineRule="auto"/>
        <w:ind w:left="0" w:firstLine="0"/>
        <w:rPr>
          <w:rFonts w:hint="eastAsia" w:ascii="宋体" w:hAnsi="宋体" w:eastAsia="宋体" w:cs="宋体"/>
          <w:b/>
          <w:color w:val="000000"/>
          <w:kern w:val="2"/>
          <w:sz w:val="22"/>
          <w:szCs w:val="22"/>
        </w:rPr>
      </w:pPr>
      <w:r>
        <w:rPr>
          <w:rFonts w:hint="eastAsia" w:ascii="宋体" w:hAnsi="宋体" w:eastAsia="宋体" w:cs="宋体"/>
          <w:b/>
          <w:color w:val="000000"/>
          <w:kern w:val="2"/>
          <w:sz w:val="22"/>
          <w:szCs w:val="22"/>
        </w:rPr>
        <w:t>（八）磋商响应文件有下列情况之一者将视为无效：</w:t>
      </w:r>
    </w:p>
    <w:p>
      <w:pPr>
        <w:spacing w:line="360" w:lineRule="auto"/>
        <w:ind w:firstLine="389" w:firstLineChars="176"/>
        <w:rPr>
          <w:rFonts w:hint="eastAsia" w:ascii="宋体" w:hAnsi="宋体" w:cs="宋体"/>
          <w:b/>
          <w:color w:val="000000"/>
          <w:kern w:val="0"/>
          <w:sz w:val="22"/>
          <w:szCs w:val="22"/>
        </w:rPr>
      </w:pPr>
      <w:bookmarkStart w:id="72" w:name="_Hlk33211013"/>
      <w:r>
        <w:rPr>
          <w:rFonts w:hint="eastAsia" w:ascii="宋体" w:hAnsi="宋体" w:cs="宋体"/>
          <w:b/>
          <w:color w:val="000000"/>
          <w:kern w:val="0"/>
          <w:sz w:val="22"/>
          <w:szCs w:val="22"/>
        </w:rPr>
        <w:t>1、商务、技术文件符合性审查中，存在下列情形之一的，经评标委员会认定后作无效标处理：</w:t>
      </w:r>
    </w:p>
    <w:p>
      <w:pPr>
        <w:spacing w:line="360" w:lineRule="auto"/>
        <w:ind w:firstLine="389" w:firstLineChars="176"/>
        <w:rPr>
          <w:rFonts w:hint="eastAsia" w:ascii="宋体" w:hAnsi="宋体" w:cs="宋体"/>
          <w:b/>
          <w:color w:val="000000"/>
          <w:kern w:val="0"/>
          <w:sz w:val="22"/>
          <w:szCs w:val="22"/>
        </w:rPr>
      </w:pPr>
      <w:bookmarkStart w:id="73" w:name="_Toc33194396"/>
      <w:r>
        <w:rPr>
          <w:rFonts w:hint="eastAsia" w:ascii="宋体" w:hAnsi="宋体" w:cs="宋体"/>
          <w:b/>
          <w:color w:val="000000"/>
          <w:kern w:val="0"/>
          <w:sz w:val="22"/>
          <w:szCs w:val="22"/>
        </w:rPr>
        <w:t>（1）磋商响应文件未有效授权，法定代表人授权委托书等填写不完整或有涂改的；</w:t>
      </w:r>
      <w:bookmarkEnd w:id="73"/>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（2）磋商响应文件没有对本</w:t>
      </w:r>
      <w:r>
        <w:rPr>
          <w:rFonts w:hint="eastAsia" w:ascii="宋体" w:hAnsi="宋体" w:cs="宋体"/>
          <w:b/>
          <w:sz w:val="22"/>
          <w:szCs w:val="22"/>
          <w:lang w:eastAsia="zh-CN"/>
        </w:rPr>
        <w:t>采购</w:t>
      </w:r>
      <w:r>
        <w:rPr>
          <w:rFonts w:hint="eastAsia" w:ascii="宋体" w:hAnsi="宋体" w:cs="宋体"/>
          <w:b/>
          <w:sz w:val="22"/>
          <w:szCs w:val="22"/>
        </w:rPr>
        <w:t>文件作出实质性响应的，或不满足（不响应）本</w:t>
      </w:r>
      <w:r>
        <w:rPr>
          <w:rFonts w:hint="eastAsia" w:ascii="宋体" w:hAnsi="宋体" w:cs="宋体"/>
          <w:b/>
          <w:sz w:val="22"/>
          <w:szCs w:val="22"/>
          <w:lang w:eastAsia="zh-CN"/>
        </w:rPr>
        <w:t>采购</w:t>
      </w:r>
      <w:r>
        <w:rPr>
          <w:rFonts w:hint="eastAsia" w:ascii="宋体" w:hAnsi="宋体" w:cs="宋体"/>
          <w:b/>
          <w:sz w:val="22"/>
          <w:szCs w:val="22"/>
        </w:rPr>
        <w:t>文件中标注“▲”的实质性要求条款的，或存在</w:t>
      </w:r>
      <w:r>
        <w:rPr>
          <w:rFonts w:hint="eastAsia" w:ascii="宋体" w:hAnsi="宋体" w:cs="宋体"/>
          <w:b/>
          <w:sz w:val="22"/>
          <w:szCs w:val="22"/>
          <w:lang w:eastAsia="zh-CN"/>
        </w:rPr>
        <w:t>采购</w:t>
      </w:r>
      <w:r>
        <w:rPr>
          <w:rFonts w:hint="eastAsia" w:ascii="宋体" w:hAnsi="宋体" w:cs="宋体"/>
          <w:b/>
          <w:sz w:val="22"/>
          <w:szCs w:val="22"/>
        </w:rPr>
        <w:t>文件中明确规定的其他无效标情形的；</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（3）磋商响应文件存在一个或一个以上备选（替代）投标方案的；</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（4）仅提交“备份磋商响应文件”的；</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（5）文件组成内容不齐全，本</w:t>
      </w:r>
      <w:r>
        <w:rPr>
          <w:rFonts w:hint="eastAsia" w:ascii="宋体" w:hAnsi="宋体" w:cs="宋体"/>
          <w:b/>
          <w:sz w:val="22"/>
          <w:szCs w:val="22"/>
          <w:lang w:eastAsia="zh-CN"/>
        </w:rPr>
        <w:t>采购</w:t>
      </w:r>
      <w:r>
        <w:rPr>
          <w:rFonts w:hint="eastAsia" w:ascii="宋体" w:hAnsi="宋体" w:cs="宋体"/>
          <w:b/>
          <w:sz w:val="22"/>
          <w:szCs w:val="22"/>
        </w:rPr>
        <w:t>文件规定必须提供而未提供的（属于资格审查范围的除外）；</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（6）磋商响应文件标注的响应或偏离情况与事实不符，或提供了虚假材料的；</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（7）不响应或擅自改变本</w:t>
      </w:r>
      <w:r>
        <w:rPr>
          <w:rFonts w:hint="eastAsia" w:ascii="宋体" w:hAnsi="宋体" w:cs="宋体"/>
          <w:b/>
          <w:sz w:val="22"/>
          <w:szCs w:val="22"/>
          <w:lang w:eastAsia="zh-CN"/>
        </w:rPr>
        <w:t>采购</w:t>
      </w:r>
      <w:r>
        <w:rPr>
          <w:rFonts w:hint="eastAsia" w:ascii="宋体" w:hAnsi="宋体" w:cs="宋体"/>
          <w:b/>
          <w:sz w:val="22"/>
          <w:szCs w:val="22"/>
        </w:rPr>
        <w:t>文件要求或</w:t>
      </w:r>
      <w:r>
        <w:rPr>
          <w:rFonts w:hint="eastAsia" w:ascii="宋体" w:hAnsi="宋体" w:cs="宋体"/>
          <w:b/>
          <w:sz w:val="22"/>
          <w:szCs w:val="22"/>
          <w:lang w:eastAsia="zh-CN"/>
        </w:rPr>
        <w:t>磋商响应文件</w:t>
      </w:r>
      <w:r>
        <w:rPr>
          <w:rFonts w:hint="eastAsia" w:ascii="宋体" w:hAnsi="宋体" w:cs="宋体"/>
          <w:b/>
          <w:sz w:val="22"/>
          <w:szCs w:val="22"/>
        </w:rPr>
        <w:t>有采购人不能接受的附加条件的；</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（8）参加同一合同项下政府采购活动的不同供应商之间存在利害关系并且存在影响政府采购公平竞争行为的；</w:t>
      </w:r>
    </w:p>
    <w:p>
      <w:pPr>
        <w:pStyle w:val="4"/>
        <w:tabs>
          <w:tab w:val="left" w:pos="706"/>
          <w:tab w:val="left" w:pos="1110"/>
        </w:tabs>
        <w:spacing w:before="0" w:after="0"/>
        <w:ind w:firstLine="442" w:firstLineChars="200"/>
        <w:rPr>
          <w:rFonts w:hint="eastAsia" w:ascii="宋体" w:hAnsi="宋体" w:eastAsia="宋体" w:cs="宋体"/>
          <w:b/>
          <w:bCs/>
          <w:sz w:val="22"/>
          <w:szCs w:val="22"/>
        </w:rPr>
      </w:pPr>
      <w:bookmarkStart w:id="74" w:name="_Toc33194397"/>
      <w:bookmarkStart w:id="75" w:name="_Toc32456"/>
      <w:bookmarkStart w:id="76" w:name="_Toc17317"/>
      <w:r>
        <w:rPr>
          <w:rFonts w:hint="eastAsia" w:ascii="宋体" w:hAnsi="宋体" w:eastAsia="宋体" w:cs="宋体"/>
          <w:b/>
          <w:bCs/>
          <w:sz w:val="22"/>
          <w:szCs w:val="22"/>
        </w:rPr>
        <w:t>（9）</w:t>
      </w:r>
      <w:r>
        <w:rPr>
          <w:rFonts w:hint="eastAsia" w:ascii="宋体" w:hAnsi="宋体" w:eastAsia="宋体" w:cs="宋体"/>
          <w:b/>
          <w:bCs/>
          <w:color w:val="000000"/>
          <w:sz w:val="22"/>
          <w:szCs w:val="22"/>
        </w:rPr>
        <w:t>招标人拟采购的产品如属于品目清单范围内的强制采购品目的，供应商未</w:t>
      </w:r>
      <w:bookmarkEnd w:id="74"/>
      <w:bookmarkStart w:id="77" w:name="_Toc33194398"/>
      <w:r>
        <w:rPr>
          <w:rFonts w:hint="eastAsia" w:ascii="宋体" w:hAnsi="宋体" w:eastAsia="宋体" w:cs="宋体"/>
          <w:b/>
          <w:bCs/>
          <w:color w:val="000000"/>
          <w:sz w:val="22"/>
          <w:szCs w:val="22"/>
        </w:rPr>
        <w:t>能在磋商响应文件中提供国家确定的认证机构出具的、处于有效期之内的该产品节能产品、环境标志产品认证证书；</w:t>
      </w:r>
      <w:bookmarkEnd w:id="75"/>
      <w:bookmarkEnd w:id="76"/>
      <w:bookmarkEnd w:id="77"/>
    </w:p>
    <w:p>
      <w:pPr>
        <w:spacing w:line="360" w:lineRule="auto"/>
        <w:ind w:firstLine="391" w:firstLineChars="177"/>
        <w:rPr>
          <w:rFonts w:hint="eastAsia" w:ascii="宋体" w:hAnsi="宋体" w:cs="宋体"/>
          <w:b/>
          <w:color w:val="000000"/>
          <w:sz w:val="22"/>
          <w:szCs w:val="22"/>
        </w:rPr>
      </w:pPr>
      <w:r>
        <w:rPr>
          <w:rFonts w:hint="eastAsia" w:ascii="宋体" w:hAnsi="宋体" w:cs="宋体"/>
          <w:b/>
          <w:sz w:val="22"/>
          <w:szCs w:val="22"/>
        </w:rPr>
        <w:t>（10）违反国家或政府部门相关法律、法规、文件规定的。</w:t>
      </w:r>
      <w:bookmarkEnd w:id="72"/>
    </w:p>
    <w:p>
      <w:pPr>
        <w:spacing w:line="360" w:lineRule="auto"/>
        <w:ind w:firstLine="391" w:firstLineChars="177"/>
        <w:rPr>
          <w:rFonts w:hint="eastAsia" w:ascii="宋体" w:hAnsi="宋体" w:cs="宋体"/>
          <w:b/>
          <w:color w:val="000000"/>
          <w:kern w:val="0"/>
          <w:sz w:val="22"/>
          <w:szCs w:val="22"/>
        </w:rPr>
      </w:pPr>
      <w:r>
        <w:rPr>
          <w:rFonts w:hint="eastAsia" w:ascii="宋体" w:hAnsi="宋体" w:cs="宋体"/>
          <w:b/>
          <w:color w:val="000000"/>
          <w:kern w:val="0"/>
          <w:sz w:val="22"/>
          <w:szCs w:val="22"/>
        </w:rPr>
        <w:t>2、报价文件符合性审查中，存在下列情形之一的，经评标委员会认定后作无效标处理：</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（1）磋商响应文件没有对本</w:t>
      </w:r>
      <w:r>
        <w:rPr>
          <w:rFonts w:hint="eastAsia" w:ascii="宋体" w:hAnsi="宋体" w:cs="宋体"/>
          <w:b/>
          <w:sz w:val="22"/>
          <w:szCs w:val="22"/>
          <w:lang w:eastAsia="zh-CN"/>
        </w:rPr>
        <w:t>采购</w:t>
      </w:r>
      <w:r>
        <w:rPr>
          <w:rFonts w:hint="eastAsia" w:ascii="宋体" w:hAnsi="宋体" w:cs="宋体"/>
          <w:b/>
          <w:sz w:val="22"/>
          <w:szCs w:val="22"/>
        </w:rPr>
        <w:t>文件作出实质性响应的，或不满足（不响应）本</w:t>
      </w:r>
      <w:r>
        <w:rPr>
          <w:rFonts w:hint="eastAsia" w:ascii="宋体" w:hAnsi="宋体" w:cs="宋体"/>
          <w:b/>
          <w:sz w:val="22"/>
          <w:szCs w:val="22"/>
          <w:lang w:eastAsia="zh-CN"/>
        </w:rPr>
        <w:t>采购</w:t>
      </w:r>
      <w:r>
        <w:rPr>
          <w:rFonts w:hint="eastAsia" w:ascii="宋体" w:hAnsi="宋体" w:cs="宋体"/>
          <w:b/>
          <w:sz w:val="22"/>
          <w:szCs w:val="22"/>
        </w:rPr>
        <w:t>文件中标注“▲”的实质性要求条款的，或存在</w:t>
      </w:r>
      <w:r>
        <w:rPr>
          <w:rFonts w:hint="eastAsia" w:ascii="宋体" w:hAnsi="宋体" w:cs="宋体"/>
          <w:b/>
          <w:sz w:val="22"/>
          <w:szCs w:val="22"/>
          <w:lang w:eastAsia="zh-CN"/>
        </w:rPr>
        <w:t>采购</w:t>
      </w:r>
      <w:r>
        <w:rPr>
          <w:rFonts w:hint="eastAsia" w:ascii="宋体" w:hAnsi="宋体" w:cs="宋体"/>
          <w:b/>
          <w:sz w:val="22"/>
          <w:szCs w:val="22"/>
        </w:rPr>
        <w:t>文件中明确规定的其他无效标情形的；</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（2）磋商响应文件存在一个或一个以上备选（替代）投标方案的；</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（3）未按照</w:t>
      </w:r>
      <w:r>
        <w:rPr>
          <w:rFonts w:hint="eastAsia" w:ascii="宋体" w:hAnsi="宋体" w:cs="宋体"/>
          <w:b/>
          <w:sz w:val="22"/>
          <w:szCs w:val="22"/>
          <w:lang w:eastAsia="zh-CN"/>
        </w:rPr>
        <w:t>采购</w:t>
      </w:r>
      <w:r>
        <w:rPr>
          <w:rFonts w:hint="eastAsia" w:ascii="宋体" w:hAnsi="宋体" w:cs="宋体"/>
          <w:b/>
          <w:sz w:val="22"/>
          <w:szCs w:val="22"/>
        </w:rPr>
        <w:t>文件标明的币种报价的，或者投标报价涵盖的内容不符合</w:t>
      </w:r>
      <w:r>
        <w:rPr>
          <w:rFonts w:hint="eastAsia" w:ascii="宋体" w:hAnsi="宋体" w:cs="宋体"/>
          <w:b/>
          <w:sz w:val="22"/>
          <w:szCs w:val="22"/>
          <w:lang w:eastAsia="zh-CN"/>
        </w:rPr>
        <w:t>采购</w:t>
      </w:r>
      <w:r>
        <w:rPr>
          <w:rFonts w:hint="eastAsia" w:ascii="宋体" w:hAnsi="宋体" w:cs="宋体"/>
          <w:b/>
          <w:sz w:val="22"/>
          <w:szCs w:val="22"/>
        </w:rPr>
        <w:t>文件要求的；</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（4）《开标一览表》内容与《报价组成表》内容不一致且拒不接受修正的；</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（5）投标报价具有选择性，唱标价格与磋商响应文件承诺的优惠（折扣）后价格不一致的；</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（6）投标报价超过采购最高限价的；</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（7）仅提交“备份磋商响应文件”的；</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（8）磋商响应文件组成内容不齐全，本</w:t>
      </w:r>
      <w:r>
        <w:rPr>
          <w:rFonts w:hint="eastAsia" w:ascii="宋体" w:hAnsi="宋体" w:cs="宋体"/>
          <w:b/>
          <w:sz w:val="22"/>
          <w:szCs w:val="22"/>
          <w:lang w:eastAsia="zh-CN"/>
        </w:rPr>
        <w:t>采购</w:t>
      </w:r>
      <w:r>
        <w:rPr>
          <w:rFonts w:hint="eastAsia" w:ascii="宋体" w:hAnsi="宋体" w:cs="宋体"/>
          <w:b/>
          <w:sz w:val="22"/>
          <w:szCs w:val="22"/>
        </w:rPr>
        <w:t>文件规定必须提供而未提供的（属于资格审查范围的除外）；</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（9）磋商响应文件标注的响应或偏离情况与事实不符，或提供了虚假材料的；</w:t>
      </w:r>
    </w:p>
    <w:p>
      <w:pPr>
        <w:spacing w:line="360" w:lineRule="auto"/>
        <w:ind w:firstLine="391" w:firstLineChars="177"/>
        <w:rPr>
          <w:rFonts w:hint="eastAsia" w:ascii="宋体" w:hAnsi="宋体" w:cs="宋体"/>
          <w:b/>
          <w:sz w:val="22"/>
          <w:szCs w:val="22"/>
        </w:rPr>
      </w:pPr>
      <w:r>
        <w:rPr>
          <w:rFonts w:hint="eastAsia" w:ascii="宋体" w:hAnsi="宋体" w:cs="宋体"/>
          <w:b/>
          <w:sz w:val="22"/>
          <w:szCs w:val="22"/>
        </w:rPr>
        <w:t>（10）不响应或擅自改变本</w:t>
      </w:r>
      <w:r>
        <w:rPr>
          <w:rFonts w:hint="eastAsia" w:ascii="宋体" w:hAnsi="宋体" w:cs="宋体"/>
          <w:b/>
          <w:sz w:val="22"/>
          <w:szCs w:val="22"/>
          <w:lang w:eastAsia="zh-CN"/>
        </w:rPr>
        <w:t>采购</w:t>
      </w:r>
      <w:r>
        <w:rPr>
          <w:rFonts w:hint="eastAsia" w:ascii="宋体" w:hAnsi="宋体" w:cs="宋体"/>
          <w:b/>
          <w:sz w:val="22"/>
          <w:szCs w:val="22"/>
        </w:rPr>
        <w:t>文件要求或磋商响应文件有采购人不能接受的附加条件的；</w:t>
      </w:r>
    </w:p>
    <w:p>
      <w:pPr>
        <w:shd w:val="clear" w:color="auto" w:fill="FFFFFF"/>
        <w:autoSpaceDE w:val="0"/>
        <w:autoSpaceDN w:val="0"/>
        <w:snapToGrid w:val="0"/>
        <w:spacing w:line="360" w:lineRule="auto"/>
        <w:ind w:firstLine="442" w:firstLineChars="200"/>
        <w:rPr>
          <w:rFonts w:hint="eastAsia" w:ascii="宋体" w:hAnsi="宋体" w:cs="宋体"/>
          <w:b/>
          <w:color w:val="000000"/>
          <w:sz w:val="22"/>
          <w:szCs w:val="22"/>
        </w:rPr>
      </w:pPr>
      <w:r>
        <w:rPr>
          <w:rFonts w:hint="eastAsia" w:ascii="宋体" w:hAnsi="宋体" w:cs="宋体"/>
          <w:b/>
          <w:sz w:val="22"/>
          <w:szCs w:val="22"/>
        </w:rPr>
        <w:t>（11）</w:t>
      </w:r>
      <w:r>
        <w:rPr>
          <w:rFonts w:hint="eastAsia" w:ascii="宋体" w:hAnsi="宋体" w:cs="宋体"/>
          <w:b/>
          <w:color w:val="000000"/>
          <w:sz w:val="22"/>
          <w:szCs w:val="22"/>
        </w:rPr>
        <w:t>评审委员会认为供应商报价明显低于其他合格供应商的报价，有可能影响产品质量或者不能诚信履约的，应当要求其在合理时间内提供书面说明，必要时提供相关证明材料；供应商不能证明其报价合理性的，评审委员会应当将其作为无效投标或者无效响应处理；</w:t>
      </w:r>
    </w:p>
    <w:p>
      <w:pPr>
        <w:spacing w:line="360" w:lineRule="auto"/>
        <w:ind w:firstLine="391" w:firstLineChars="177"/>
        <w:rPr>
          <w:rFonts w:hint="eastAsia" w:ascii="宋体" w:hAnsi="宋体" w:cs="宋体"/>
          <w:b/>
          <w:color w:val="000000"/>
          <w:kern w:val="0"/>
          <w:sz w:val="22"/>
          <w:szCs w:val="22"/>
        </w:rPr>
      </w:pPr>
      <w:r>
        <w:rPr>
          <w:rFonts w:hint="eastAsia" w:ascii="宋体" w:hAnsi="宋体" w:cs="宋体"/>
          <w:b/>
          <w:sz w:val="22"/>
          <w:szCs w:val="22"/>
        </w:rPr>
        <w:t>（12）违反国家或政府部门相关法律、法规、文件规定的。</w:t>
      </w:r>
    </w:p>
    <w:p>
      <w:pPr>
        <w:pStyle w:val="5"/>
        <w:tabs>
          <w:tab w:val="left" w:pos="720"/>
        </w:tabs>
        <w:spacing w:before="0" w:after="0"/>
        <w:ind w:left="720" w:hanging="720"/>
        <w:jc w:val="both"/>
        <w:rPr>
          <w:rFonts w:hint="eastAsia" w:ascii="宋体" w:hAnsi="宋体" w:eastAsia="宋体" w:cs="宋体"/>
          <w:sz w:val="22"/>
          <w:szCs w:val="22"/>
        </w:rPr>
      </w:pPr>
      <w:bookmarkStart w:id="78" w:name="_Toc11168"/>
      <w:bookmarkStart w:id="79" w:name="_Toc28703"/>
      <w:r>
        <w:rPr>
          <w:rFonts w:hint="eastAsia" w:ascii="宋体" w:hAnsi="宋体" w:eastAsia="宋体" w:cs="宋体"/>
          <w:sz w:val="22"/>
          <w:szCs w:val="22"/>
        </w:rPr>
        <w:t>（九）磋商响应文件的评估、比较、评分</w:t>
      </w:r>
      <w:bookmarkEnd w:id="78"/>
      <w:bookmarkEnd w:id="79"/>
    </w:p>
    <w:p>
      <w:pPr>
        <w:spacing w:line="360" w:lineRule="auto"/>
        <w:ind w:firstLine="389" w:firstLineChars="177"/>
        <w:rPr>
          <w:rFonts w:hint="eastAsia" w:ascii="宋体" w:hAnsi="宋体" w:cs="宋体"/>
          <w:color w:val="000000"/>
          <w:kern w:val="0"/>
          <w:sz w:val="22"/>
          <w:szCs w:val="22"/>
        </w:rPr>
      </w:pPr>
      <w:r>
        <w:rPr>
          <w:rFonts w:hint="eastAsia" w:ascii="宋体" w:hAnsi="宋体" w:cs="宋体"/>
          <w:color w:val="000000"/>
          <w:kern w:val="0"/>
          <w:sz w:val="22"/>
          <w:szCs w:val="22"/>
        </w:rPr>
        <w:t>1、评标委员会应当按照</w:t>
      </w:r>
      <w:r>
        <w:rPr>
          <w:rFonts w:hint="eastAsia" w:ascii="宋体" w:hAnsi="宋体" w:cs="宋体"/>
          <w:color w:val="000000"/>
          <w:kern w:val="0"/>
          <w:sz w:val="22"/>
          <w:szCs w:val="22"/>
          <w:lang w:eastAsia="zh-CN"/>
        </w:rPr>
        <w:t>采购</w:t>
      </w:r>
      <w:r>
        <w:rPr>
          <w:rFonts w:hint="eastAsia" w:ascii="宋体" w:hAnsi="宋体" w:cs="宋体"/>
          <w:color w:val="000000"/>
          <w:kern w:val="0"/>
          <w:sz w:val="22"/>
          <w:szCs w:val="22"/>
        </w:rPr>
        <w:t>文件中规定的评审方法和标准，对符合性审查合格的磋商响应文件进行商务和技术评估，综合比较与评价。评标时，评标委员会各成员将独立对每个供应商的磋商响应文件进行评价，并汇总每个供应商的得分。评审细则详见本章第七款。</w:t>
      </w:r>
    </w:p>
    <w:p>
      <w:pPr>
        <w:spacing w:line="360" w:lineRule="auto"/>
        <w:ind w:firstLine="389" w:firstLineChars="177"/>
        <w:rPr>
          <w:rFonts w:hint="eastAsia" w:ascii="宋体" w:hAnsi="宋体" w:cs="宋体"/>
          <w:color w:val="000000"/>
          <w:kern w:val="0"/>
          <w:sz w:val="22"/>
          <w:szCs w:val="22"/>
        </w:rPr>
      </w:pPr>
      <w:r>
        <w:rPr>
          <w:rFonts w:hint="eastAsia" w:ascii="宋体" w:hAnsi="宋体" w:cs="宋体"/>
          <w:color w:val="000000"/>
          <w:kern w:val="0"/>
          <w:sz w:val="22"/>
          <w:szCs w:val="22"/>
        </w:rPr>
        <w:t>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5"/>
        <w:tabs>
          <w:tab w:val="left" w:pos="720"/>
        </w:tabs>
        <w:spacing w:before="0" w:after="0"/>
        <w:ind w:left="720" w:hanging="720"/>
        <w:jc w:val="both"/>
        <w:rPr>
          <w:rFonts w:hint="eastAsia" w:ascii="宋体" w:hAnsi="宋体" w:eastAsia="宋体" w:cs="宋体"/>
          <w:sz w:val="22"/>
          <w:szCs w:val="22"/>
        </w:rPr>
      </w:pPr>
      <w:bookmarkStart w:id="80" w:name="_Toc5046"/>
      <w:bookmarkStart w:id="81" w:name="_Toc23700"/>
      <w:r>
        <w:rPr>
          <w:rFonts w:hint="eastAsia" w:ascii="宋体" w:hAnsi="宋体" w:eastAsia="宋体" w:cs="宋体"/>
          <w:sz w:val="22"/>
          <w:szCs w:val="22"/>
        </w:rPr>
        <w:t>（十）修改评审结果</w:t>
      </w:r>
      <w:bookmarkEnd w:id="80"/>
      <w:bookmarkEnd w:id="81"/>
    </w:p>
    <w:p>
      <w:pPr>
        <w:spacing w:line="360" w:lineRule="auto"/>
        <w:ind w:firstLine="446" w:firstLineChars="202"/>
        <w:rPr>
          <w:rFonts w:hint="eastAsia" w:ascii="宋体" w:hAnsi="宋体" w:cs="宋体"/>
          <w:b/>
          <w:color w:val="000000"/>
          <w:sz w:val="22"/>
          <w:szCs w:val="22"/>
        </w:rPr>
      </w:pPr>
      <w:r>
        <w:rPr>
          <w:rFonts w:hint="eastAsia" w:ascii="宋体" w:hAnsi="宋体" w:cs="宋体"/>
          <w:b/>
          <w:color w:val="000000"/>
          <w:sz w:val="22"/>
          <w:szCs w:val="22"/>
        </w:rPr>
        <w:t>1、评标结果汇总完成后，除下列情形外，任何人不得修改评标结果：</w:t>
      </w:r>
    </w:p>
    <w:p>
      <w:pPr>
        <w:spacing w:line="360" w:lineRule="auto"/>
        <w:ind w:firstLine="444" w:firstLineChars="202"/>
        <w:rPr>
          <w:rFonts w:hint="eastAsia" w:ascii="宋体" w:hAnsi="宋体" w:cs="宋体"/>
          <w:color w:val="000000"/>
          <w:sz w:val="22"/>
          <w:szCs w:val="22"/>
        </w:rPr>
      </w:pPr>
      <w:r>
        <w:rPr>
          <w:rFonts w:hint="eastAsia" w:ascii="宋体" w:hAnsi="宋体" w:cs="宋体"/>
          <w:color w:val="000000"/>
          <w:sz w:val="22"/>
          <w:szCs w:val="22"/>
        </w:rPr>
        <w:t>（1）分值汇总计算错误的；</w:t>
      </w:r>
    </w:p>
    <w:p>
      <w:pPr>
        <w:spacing w:line="360" w:lineRule="auto"/>
        <w:ind w:firstLine="444" w:firstLineChars="202"/>
        <w:rPr>
          <w:rFonts w:hint="eastAsia" w:ascii="宋体" w:hAnsi="宋体" w:cs="宋体"/>
          <w:color w:val="000000"/>
          <w:sz w:val="22"/>
          <w:szCs w:val="22"/>
        </w:rPr>
      </w:pPr>
      <w:r>
        <w:rPr>
          <w:rFonts w:hint="eastAsia" w:ascii="宋体" w:hAnsi="宋体" w:cs="宋体"/>
          <w:color w:val="000000"/>
          <w:sz w:val="22"/>
          <w:szCs w:val="22"/>
        </w:rPr>
        <w:t>（2）分项评分超出评分标准范围的；</w:t>
      </w:r>
    </w:p>
    <w:p>
      <w:pPr>
        <w:spacing w:line="360" w:lineRule="auto"/>
        <w:ind w:firstLine="444" w:firstLineChars="202"/>
        <w:rPr>
          <w:rFonts w:hint="eastAsia" w:ascii="宋体" w:hAnsi="宋体" w:cs="宋体"/>
          <w:color w:val="000000"/>
          <w:sz w:val="22"/>
          <w:szCs w:val="22"/>
        </w:rPr>
      </w:pPr>
      <w:r>
        <w:rPr>
          <w:rFonts w:hint="eastAsia" w:ascii="宋体" w:hAnsi="宋体" w:cs="宋体"/>
          <w:color w:val="000000"/>
          <w:sz w:val="22"/>
          <w:szCs w:val="22"/>
        </w:rPr>
        <w:t>（3）评标委员会成员对客观评审因素评分不一致的；</w:t>
      </w:r>
    </w:p>
    <w:p>
      <w:pPr>
        <w:spacing w:line="360" w:lineRule="auto"/>
        <w:ind w:firstLine="444" w:firstLineChars="202"/>
        <w:rPr>
          <w:rFonts w:hint="eastAsia" w:ascii="宋体" w:hAnsi="宋体" w:cs="宋体"/>
          <w:color w:val="000000"/>
          <w:sz w:val="22"/>
          <w:szCs w:val="22"/>
        </w:rPr>
      </w:pPr>
      <w:r>
        <w:rPr>
          <w:rFonts w:hint="eastAsia" w:ascii="宋体" w:hAnsi="宋体" w:cs="宋体"/>
          <w:color w:val="000000"/>
          <w:sz w:val="22"/>
          <w:szCs w:val="22"/>
        </w:rPr>
        <w:t>（4）经评标委员会认定评分畸高、畸低的。</w:t>
      </w:r>
    </w:p>
    <w:p>
      <w:pPr>
        <w:spacing w:line="360" w:lineRule="auto"/>
        <w:ind w:firstLine="446" w:firstLineChars="202"/>
        <w:rPr>
          <w:rFonts w:hint="eastAsia" w:ascii="宋体" w:hAnsi="宋体" w:cs="宋体"/>
          <w:b/>
          <w:color w:val="000000"/>
          <w:sz w:val="22"/>
          <w:szCs w:val="22"/>
        </w:rPr>
      </w:pPr>
      <w:r>
        <w:rPr>
          <w:rFonts w:hint="eastAsia" w:ascii="宋体" w:hAnsi="宋体" w:cs="宋体"/>
          <w:b/>
          <w:color w:val="000000"/>
          <w:sz w:val="22"/>
          <w:szCs w:val="22"/>
        </w:rPr>
        <w:t>2、评标报告签署前，经复核发现存在以上情形之一的，评标委员会将当场修改评标结果，并在评标报告中记载。</w:t>
      </w:r>
    </w:p>
    <w:p>
      <w:pPr>
        <w:pStyle w:val="5"/>
        <w:tabs>
          <w:tab w:val="left" w:pos="720"/>
        </w:tabs>
        <w:spacing w:before="0" w:after="0"/>
        <w:ind w:left="720" w:hanging="720"/>
        <w:jc w:val="both"/>
        <w:rPr>
          <w:rFonts w:hint="eastAsia" w:ascii="宋体" w:hAnsi="宋体" w:eastAsia="宋体" w:cs="宋体"/>
          <w:sz w:val="22"/>
          <w:szCs w:val="22"/>
        </w:rPr>
      </w:pPr>
      <w:bookmarkStart w:id="82" w:name="_Toc32590"/>
      <w:bookmarkStart w:id="83" w:name="_Toc27695"/>
      <w:r>
        <w:rPr>
          <w:rFonts w:hint="eastAsia" w:ascii="宋体" w:hAnsi="宋体" w:eastAsia="宋体" w:cs="宋体"/>
          <w:sz w:val="22"/>
          <w:szCs w:val="22"/>
        </w:rPr>
        <w:t>（十一）供应商排序及推荐中标（成交）候选供应商</w:t>
      </w:r>
      <w:bookmarkEnd w:id="82"/>
      <w:bookmarkEnd w:id="83"/>
    </w:p>
    <w:p>
      <w:pPr>
        <w:spacing w:line="360" w:lineRule="auto"/>
        <w:ind w:firstLine="391" w:firstLineChars="177"/>
        <w:rPr>
          <w:rFonts w:hint="eastAsia" w:ascii="宋体" w:hAnsi="宋体" w:cs="宋体"/>
          <w:b/>
          <w:color w:val="000000"/>
          <w:sz w:val="22"/>
          <w:szCs w:val="22"/>
        </w:rPr>
      </w:pPr>
      <w:r>
        <w:rPr>
          <w:rFonts w:hint="eastAsia" w:ascii="宋体" w:hAnsi="宋体" w:cs="宋体"/>
          <w:b/>
          <w:color w:val="000000"/>
          <w:sz w:val="22"/>
          <w:szCs w:val="22"/>
        </w:rPr>
        <w:t>评标委员会根据以下规定确定供应商排名并推荐中标（成交）候选供应商。</w:t>
      </w:r>
    </w:p>
    <w:p>
      <w:pPr>
        <w:spacing w:line="360" w:lineRule="auto"/>
        <w:ind w:firstLine="426" w:firstLineChars="193"/>
        <w:rPr>
          <w:rFonts w:hint="eastAsia" w:ascii="宋体" w:hAnsi="宋体" w:cs="宋体"/>
          <w:color w:val="000000"/>
          <w:kern w:val="0"/>
          <w:sz w:val="22"/>
          <w:szCs w:val="22"/>
        </w:rPr>
      </w:pPr>
      <w:r>
        <w:rPr>
          <w:rFonts w:hint="eastAsia" w:ascii="宋体" w:hAnsi="宋体" w:cs="宋体"/>
          <w:b/>
          <w:color w:val="000000"/>
          <w:sz w:val="22"/>
          <w:szCs w:val="22"/>
        </w:rPr>
        <w:t>1、评标委员会根据各投标供应商的综合得分（商务技术分与报价得分之和）从高到低依次进行排名排序。特殊情形按以下原则处理：</w:t>
      </w:r>
    </w:p>
    <w:p>
      <w:pPr>
        <w:spacing w:line="360" w:lineRule="auto"/>
        <w:ind w:firstLine="424" w:firstLineChars="193"/>
        <w:rPr>
          <w:rFonts w:hint="eastAsia" w:ascii="宋体" w:hAnsi="宋体" w:cs="宋体"/>
          <w:color w:val="000000"/>
          <w:sz w:val="22"/>
          <w:szCs w:val="22"/>
        </w:rPr>
      </w:pPr>
      <w:r>
        <w:rPr>
          <w:rFonts w:hint="eastAsia" w:ascii="宋体" w:hAnsi="宋体" w:cs="宋体"/>
          <w:color w:val="000000"/>
          <w:sz w:val="22"/>
          <w:szCs w:val="22"/>
        </w:rPr>
        <w:t>（1）综合得分相同的，按投标报价低的优先原则确定排名；</w:t>
      </w:r>
    </w:p>
    <w:p>
      <w:pPr>
        <w:spacing w:line="360" w:lineRule="auto"/>
        <w:ind w:firstLine="424" w:firstLineChars="193"/>
        <w:rPr>
          <w:rFonts w:hint="eastAsia" w:ascii="宋体" w:hAnsi="宋体" w:cs="宋体"/>
          <w:color w:val="000000"/>
          <w:sz w:val="22"/>
          <w:szCs w:val="22"/>
        </w:rPr>
      </w:pPr>
      <w:r>
        <w:rPr>
          <w:rFonts w:hint="eastAsia" w:ascii="宋体" w:hAnsi="宋体" w:cs="宋体"/>
          <w:color w:val="000000"/>
          <w:sz w:val="22"/>
          <w:szCs w:val="22"/>
        </w:rPr>
        <w:t>（2）综合得分和投标报价均相同的，按技术资信得分从高到低确定排名；</w:t>
      </w:r>
    </w:p>
    <w:p>
      <w:pPr>
        <w:spacing w:line="360" w:lineRule="auto"/>
        <w:ind w:firstLine="424" w:firstLineChars="193"/>
        <w:rPr>
          <w:rFonts w:hint="eastAsia" w:ascii="宋体" w:hAnsi="宋体" w:cs="宋体"/>
          <w:color w:val="000000"/>
          <w:sz w:val="22"/>
          <w:szCs w:val="22"/>
        </w:rPr>
      </w:pPr>
      <w:r>
        <w:rPr>
          <w:rFonts w:hint="eastAsia" w:ascii="宋体" w:hAnsi="宋体" w:cs="宋体"/>
          <w:color w:val="000000"/>
          <w:sz w:val="22"/>
          <w:szCs w:val="22"/>
        </w:rPr>
        <w:t>（3）综合得分、投标报价和技术资信得分均相同的由评标委员会全体成员记名投票按少数服从多数的原则确定排名。</w:t>
      </w:r>
    </w:p>
    <w:p>
      <w:pPr>
        <w:spacing w:line="360" w:lineRule="auto"/>
        <w:ind w:firstLine="391" w:firstLineChars="177"/>
        <w:rPr>
          <w:rFonts w:hint="eastAsia" w:ascii="宋体" w:hAnsi="宋体" w:cs="宋体"/>
          <w:b/>
          <w:color w:val="000000"/>
          <w:sz w:val="22"/>
          <w:szCs w:val="22"/>
        </w:rPr>
      </w:pPr>
      <w:r>
        <w:rPr>
          <w:rFonts w:hint="eastAsia" w:ascii="宋体" w:hAnsi="宋体" w:cs="宋体"/>
          <w:b/>
          <w:color w:val="000000"/>
          <w:sz w:val="22"/>
          <w:szCs w:val="22"/>
        </w:rPr>
        <w:t>2、根据最终得分排序，通过书面评审报告的形式，向采购人推荐</w:t>
      </w:r>
      <w:r>
        <w:rPr>
          <w:rFonts w:hint="eastAsia" w:ascii="宋体" w:hAnsi="宋体" w:cs="宋体"/>
          <w:b/>
          <w:color w:val="000000"/>
          <w:kern w:val="0"/>
          <w:sz w:val="22"/>
          <w:szCs w:val="22"/>
        </w:rPr>
        <w:t>排名第一的投标供应商为中标（成交）候选供应商</w:t>
      </w:r>
      <w:r>
        <w:rPr>
          <w:rFonts w:hint="eastAsia" w:ascii="宋体" w:hAnsi="宋体" w:cs="宋体"/>
          <w:b/>
          <w:color w:val="000000"/>
          <w:sz w:val="22"/>
          <w:szCs w:val="22"/>
        </w:rPr>
        <w:t>。</w:t>
      </w:r>
    </w:p>
    <w:p>
      <w:pPr>
        <w:pStyle w:val="5"/>
        <w:tabs>
          <w:tab w:val="left" w:pos="720"/>
        </w:tabs>
        <w:spacing w:before="0" w:after="0"/>
        <w:ind w:left="720" w:hanging="720"/>
        <w:jc w:val="both"/>
        <w:rPr>
          <w:rFonts w:hint="eastAsia" w:ascii="宋体" w:hAnsi="宋体" w:eastAsia="宋体" w:cs="宋体"/>
          <w:sz w:val="22"/>
          <w:szCs w:val="22"/>
        </w:rPr>
      </w:pPr>
      <w:bookmarkStart w:id="84" w:name="_Toc1306"/>
      <w:bookmarkStart w:id="85" w:name="_Toc15144"/>
      <w:r>
        <w:rPr>
          <w:rFonts w:hint="eastAsia" w:ascii="宋体" w:hAnsi="宋体" w:eastAsia="宋体" w:cs="宋体"/>
          <w:sz w:val="22"/>
          <w:szCs w:val="22"/>
        </w:rPr>
        <w:t>（十二）起草、签署评审报告</w:t>
      </w:r>
      <w:bookmarkEnd w:id="84"/>
      <w:bookmarkEnd w:id="85"/>
    </w:p>
    <w:p>
      <w:pPr>
        <w:spacing w:line="360" w:lineRule="auto"/>
        <w:ind w:firstLine="424" w:firstLineChars="193"/>
        <w:rPr>
          <w:rFonts w:hint="eastAsia" w:ascii="宋体" w:hAnsi="宋体" w:cs="宋体"/>
          <w:color w:val="000000"/>
          <w:sz w:val="22"/>
          <w:szCs w:val="22"/>
        </w:rPr>
      </w:pPr>
      <w:r>
        <w:rPr>
          <w:rFonts w:hint="eastAsia" w:ascii="宋体" w:hAnsi="宋体" w:cs="宋体"/>
          <w:color w:val="000000"/>
          <w:sz w:val="22"/>
          <w:szCs w:val="22"/>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22"/>
        <w:numPr>
          <w:ilvl w:val="0"/>
          <w:numId w:val="5"/>
        </w:numPr>
        <w:snapToGrid w:val="0"/>
        <w:spacing w:line="360" w:lineRule="auto"/>
        <w:rPr>
          <w:rFonts w:hint="eastAsia" w:hAnsi="宋体" w:cs="宋体"/>
          <w:b/>
          <w:color w:val="000000"/>
          <w:sz w:val="22"/>
          <w:szCs w:val="22"/>
        </w:rPr>
      </w:pPr>
      <w:r>
        <w:rPr>
          <w:rFonts w:hint="eastAsia" w:hAnsi="宋体" w:cs="宋体"/>
          <w:b/>
          <w:color w:val="000000"/>
          <w:sz w:val="22"/>
          <w:szCs w:val="22"/>
        </w:rPr>
        <w:t>评标办法：见</w:t>
      </w:r>
      <w:r>
        <w:rPr>
          <w:rFonts w:hint="eastAsia" w:hAnsi="宋体" w:cs="宋体"/>
          <w:b/>
          <w:color w:val="000000"/>
          <w:sz w:val="22"/>
          <w:szCs w:val="22"/>
          <w:lang w:eastAsia="zh-CN"/>
        </w:rPr>
        <w:t>采购</w:t>
      </w:r>
      <w:r>
        <w:rPr>
          <w:rFonts w:hint="eastAsia" w:hAnsi="宋体" w:cs="宋体"/>
          <w:b/>
          <w:color w:val="000000"/>
          <w:sz w:val="22"/>
          <w:szCs w:val="22"/>
        </w:rPr>
        <w:t>文件“第</w:t>
      </w:r>
      <w:r>
        <w:rPr>
          <w:rFonts w:hint="eastAsia" w:hAnsi="宋体" w:cs="宋体"/>
          <w:b/>
          <w:color w:val="000000"/>
          <w:sz w:val="22"/>
          <w:szCs w:val="22"/>
          <w:lang w:eastAsia="zh-CN"/>
        </w:rPr>
        <w:t>三</w:t>
      </w:r>
      <w:r>
        <w:rPr>
          <w:rFonts w:hint="eastAsia" w:hAnsi="宋体" w:cs="宋体"/>
          <w:b/>
          <w:color w:val="000000"/>
          <w:sz w:val="22"/>
          <w:szCs w:val="22"/>
        </w:rPr>
        <w:t>部分 评审办法及评分标准”</w:t>
      </w:r>
    </w:p>
    <w:p>
      <w:pPr>
        <w:shd w:val="clear" w:color="auto" w:fill="FFFFFF"/>
        <w:snapToGrid w:val="0"/>
        <w:spacing w:line="360" w:lineRule="auto"/>
        <w:rPr>
          <w:rFonts w:hint="eastAsia" w:ascii="宋体" w:hAnsi="宋体" w:cs="宋体"/>
          <w:b/>
          <w:bCs/>
          <w:color w:val="000000"/>
          <w:sz w:val="22"/>
          <w:szCs w:val="22"/>
        </w:rPr>
      </w:pPr>
      <w:r>
        <w:rPr>
          <w:rFonts w:hint="eastAsia" w:ascii="宋体" w:hAnsi="宋体" w:cs="宋体"/>
          <w:b/>
          <w:bCs/>
          <w:color w:val="000000"/>
          <w:sz w:val="22"/>
          <w:szCs w:val="22"/>
        </w:rPr>
        <w:t>（十四）评标内容的保密</w:t>
      </w:r>
    </w:p>
    <w:p>
      <w:pPr>
        <w:shd w:val="clear" w:color="auto" w:fill="FFFFFF"/>
        <w:snapToGrid w:val="0"/>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1、公开开标后，直到宣布中标单位止，凡属于审查、澄清、评价和比较投标的所有资料，都不应向供应商或与评标无关的其他人泄露。</w:t>
      </w:r>
    </w:p>
    <w:p>
      <w:pPr>
        <w:shd w:val="clear" w:color="auto" w:fill="FFFFFF"/>
        <w:snapToGrid w:val="0"/>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2、在</w:t>
      </w:r>
      <w:r>
        <w:rPr>
          <w:rFonts w:hint="eastAsia" w:ascii="宋体" w:hAnsi="宋体" w:cs="宋体"/>
          <w:color w:val="000000"/>
          <w:kern w:val="0"/>
          <w:sz w:val="22"/>
          <w:szCs w:val="22"/>
        </w:rPr>
        <w:t>磋商响应文件</w:t>
      </w:r>
      <w:r>
        <w:rPr>
          <w:rFonts w:hint="eastAsia" w:ascii="宋体" w:hAnsi="宋体" w:cs="宋体"/>
          <w:color w:val="000000"/>
          <w:sz w:val="22"/>
          <w:szCs w:val="22"/>
        </w:rPr>
        <w:t>的审查、澄清、评价和比较以及确定中标人过程中，供应商对招标人、招标代理机构和评标委员会施加影响的任何行为，都将导致取消资格。</w:t>
      </w:r>
    </w:p>
    <w:p>
      <w:pPr>
        <w:shd w:val="clear" w:color="auto" w:fill="FFFFFF"/>
        <w:snapToGrid w:val="0"/>
        <w:spacing w:line="360" w:lineRule="auto"/>
        <w:rPr>
          <w:rFonts w:hint="eastAsia" w:ascii="宋体" w:hAnsi="宋体" w:cs="宋体"/>
          <w:b/>
          <w:bCs/>
          <w:color w:val="000000"/>
          <w:sz w:val="22"/>
          <w:szCs w:val="22"/>
        </w:rPr>
      </w:pPr>
      <w:r>
        <w:rPr>
          <w:rFonts w:hint="eastAsia" w:ascii="宋体" w:hAnsi="宋体" w:cs="宋体"/>
          <w:b/>
          <w:bCs/>
          <w:color w:val="000000"/>
          <w:sz w:val="22"/>
          <w:szCs w:val="22"/>
        </w:rPr>
        <w:t>（十五）废标</w:t>
      </w:r>
    </w:p>
    <w:p>
      <w:pPr>
        <w:pStyle w:val="2"/>
        <w:snapToGrid w:val="0"/>
        <w:spacing w:line="360" w:lineRule="auto"/>
        <w:ind w:left="442" w:hanging="442"/>
        <w:rPr>
          <w:rFonts w:hint="eastAsia" w:ascii="宋体" w:hAnsi="宋体" w:cs="宋体"/>
          <w:b/>
          <w:color w:val="000000"/>
          <w:sz w:val="22"/>
          <w:szCs w:val="22"/>
        </w:rPr>
      </w:pPr>
      <w:r>
        <w:rPr>
          <w:rFonts w:hint="eastAsia" w:ascii="宋体" w:hAnsi="宋体" w:cs="宋体"/>
          <w:b/>
          <w:color w:val="000000"/>
          <w:sz w:val="22"/>
          <w:szCs w:val="22"/>
        </w:rPr>
        <w:t>在采购中，出现下列情形之一的，应予废标：</w:t>
      </w:r>
    </w:p>
    <w:p>
      <w:pPr>
        <w:pStyle w:val="2"/>
        <w:snapToGrid w:val="0"/>
        <w:spacing w:line="360" w:lineRule="auto"/>
        <w:ind w:left="442" w:hanging="442"/>
        <w:rPr>
          <w:rFonts w:hint="eastAsia" w:ascii="宋体" w:hAnsi="宋体" w:cs="宋体"/>
          <w:b/>
          <w:color w:val="000000"/>
          <w:sz w:val="22"/>
          <w:szCs w:val="22"/>
        </w:rPr>
      </w:pPr>
      <w:r>
        <w:rPr>
          <w:rFonts w:hint="eastAsia" w:ascii="宋体" w:hAnsi="宋体" w:cs="宋体"/>
          <w:b/>
          <w:color w:val="000000"/>
          <w:sz w:val="22"/>
          <w:szCs w:val="22"/>
        </w:rPr>
        <w:t>(1)符合专业条件的供应商或者对</w:t>
      </w:r>
      <w:r>
        <w:rPr>
          <w:rFonts w:hint="eastAsia" w:ascii="宋体" w:hAnsi="宋体" w:cs="宋体"/>
          <w:b/>
          <w:color w:val="000000"/>
          <w:sz w:val="22"/>
          <w:szCs w:val="22"/>
          <w:lang w:eastAsia="zh-CN"/>
        </w:rPr>
        <w:t>采购</w:t>
      </w:r>
      <w:r>
        <w:rPr>
          <w:rFonts w:hint="eastAsia" w:ascii="宋体" w:hAnsi="宋体" w:cs="宋体"/>
          <w:b/>
          <w:color w:val="000000"/>
          <w:sz w:val="22"/>
          <w:szCs w:val="22"/>
        </w:rPr>
        <w:t>文件作实质响应的供应商不足3家的；</w:t>
      </w:r>
    </w:p>
    <w:p>
      <w:pPr>
        <w:pStyle w:val="2"/>
        <w:snapToGrid w:val="0"/>
        <w:spacing w:line="360" w:lineRule="auto"/>
        <w:ind w:left="442" w:hanging="442"/>
        <w:rPr>
          <w:rFonts w:hint="eastAsia" w:ascii="宋体" w:hAnsi="宋体" w:cs="宋体"/>
          <w:b/>
          <w:color w:val="000000"/>
          <w:sz w:val="22"/>
          <w:szCs w:val="22"/>
        </w:rPr>
      </w:pPr>
      <w:r>
        <w:rPr>
          <w:rFonts w:hint="eastAsia" w:ascii="宋体" w:hAnsi="宋体" w:cs="宋体"/>
          <w:b/>
          <w:color w:val="000000"/>
          <w:sz w:val="22"/>
          <w:szCs w:val="22"/>
        </w:rPr>
        <w:t>(2)出现影响采购公正的违法、违规行为的；</w:t>
      </w:r>
    </w:p>
    <w:p>
      <w:pPr>
        <w:pStyle w:val="2"/>
        <w:snapToGrid w:val="0"/>
        <w:spacing w:line="360" w:lineRule="auto"/>
        <w:ind w:left="442" w:hanging="442"/>
        <w:rPr>
          <w:rFonts w:hint="eastAsia" w:ascii="宋体" w:hAnsi="宋体" w:cs="宋体"/>
          <w:b/>
          <w:color w:val="000000"/>
          <w:sz w:val="22"/>
          <w:szCs w:val="22"/>
        </w:rPr>
      </w:pPr>
      <w:r>
        <w:rPr>
          <w:rFonts w:hint="eastAsia" w:ascii="宋体" w:hAnsi="宋体" w:cs="宋体"/>
          <w:b/>
          <w:color w:val="000000"/>
          <w:sz w:val="22"/>
          <w:szCs w:val="22"/>
        </w:rPr>
        <w:t>(3)报价均超过预算，不能支付的；</w:t>
      </w:r>
    </w:p>
    <w:p>
      <w:pPr>
        <w:shd w:val="clear" w:color="auto" w:fill="FFFFFF"/>
        <w:snapToGrid w:val="0"/>
        <w:spacing w:line="360" w:lineRule="auto"/>
        <w:ind w:firstLine="442" w:firstLineChars="200"/>
        <w:rPr>
          <w:rFonts w:hint="eastAsia" w:ascii="宋体" w:hAnsi="宋体" w:cs="宋体"/>
          <w:b/>
          <w:bCs/>
          <w:color w:val="000000"/>
          <w:sz w:val="22"/>
          <w:szCs w:val="22"/>
        </w:rPr>
      </w:pPr>
      <w:r>
        <w:rPr>
          <w:rFonts w:hint="eastAsia" w:ascii="宋体" w:hAnsi="宋体" w:cs="宋体"/>
          <w:b/>
          <w:color w:val="000000"/>
          <w:sz w:val="22"/>
          <w:szCs w:val="22"/>
        </w:rPr>
        <w:t>(4)因重大变故，采购任务取消的。</w:t>
      </w:r>
    </w:p>
    <w:p>
      <w:pPr>
        <w:pStyle w:val="5"/>
        <w:tabs>
          <w:tab w:val="left" w:pos="720"/>
        </w:tabs>
        <w:spacing w:before="0" w:after="0"/>
        <w:jc w:val="both"/>
        <w:rPr>
          <w:rFonts w:hint="eastAsia" w:ascii="宋体" w:hAnsi="宋体" w:eastAsia="宋体" w:cs="宋体"/>
          <w:sz w:val="22"/>
          <w:szCs w:val="22"/>
        </w:rPr>
      </w:pPr>
      <w:bookmarkStart w:id="86" w:name="_Toc25937"/>
      <w:bookmarkStart w:id="87" w:name="_Toc30448"/>
      <w:r>
        <w:rPr>
          <w:rFonts w:hint="eastAsia" w:ascii="宋体" w:hAnsi="宋体" w:eastAsia="宋体" w:cs="宋体"/>
          <w:sz w:val="22"/>
          <w:szCs w:val="22"/>
        </w:rPr>
        <w:t>（十六）可中止电子交易活动的情形</w:t>
      </w:r>
      <w:bookmarkEnd w:id="86"/>
      <w:bookmarkEnd w:id="87"/>
    </w:p>
    <w:p>
      <w:pPr>
        <w:spacing w:line="360" w:lineRule="auto"/>
        <w:ind w:firstLine="389" w:firstLineChars="176"/>
        <w:rPr>
          <w:rFonts w:hint="eastAsia" w:ascii="宋体" w:hAnsi="宋体" w:cs="宋体"/>
          <w:color w:val="000000"/>
          <w:sz w:val="22"/>
          <w:szCs w:val="22"/>
        </w:rPr>
      </w:pPr>
      <w:r>
        <w:rPr>
          <w:rFonts w:hint="eastAsia" w:ascii="宋体" w:hAnsi="宋体" w:cs="宋体"/>
          <w:b/>
          <w:color w:val="000000"/>
          <w:sz w:val="22"/>
          <w:szCs w:val="22"/>
        </w:rPr>
        <w:t>采购过程中出现以下情形，导致电子交易平台无法正常运行，或者无法保证电子交易的公平、公正和安全时，采购组织机构可中止电子交易活动：</w:t>
      </w:r>
    </w:p>
    <w:p>
      <w:pPr>
        <w:spacing w:line="360" w:lineRule="auto"/>
        <w:ind w:firstLine="387" w:firstLineChars="176"/>
        <w:rPr>
          <w:rFonts w:hint="eastAsia" w:ascii="宋体" w:hAnsi="宋体" w:cs="宋体"/>
          <w:color w:val="000000"/>
          <w:sz w:val="22"/>
          <w:szCs w:val="22"/>
        </w:rPr>
      </w:pPr>
      <w:r>
        <w:rPr>
          <w:rFonts w:hint="eastAsia" w:ascii="宋体" w:hAnsi="宋体" w:cs="宋体"/>
          <w:color w:val="000000"/>
          <w:sz w:val="22"/>
          <w:szCs w:val="22"/>
        </w:rPr>
        <w:t>1、电子交易平台发生故障而无法登录访问的；</w:t>
      </w:r>
    </w:p>
    <w:p>
      <w:pPr>
        <w:spacing w:line="360" w:lineRule="auto"/>
        <w:ind w:firstLine="387" w:firstLineChars="176"/>
        <w:rPr>
          <w:rFonts w:hint="eastAsia" w:ascii="宋体" w:hAnsi="宋体" w:cs="宋体"/>
          <w:color w:val="000000"/>
          <w:sz w:val="22"/>
          <w:szCs w:val="22"/>
        </w:rPr>
      </w:pPr>
      <w:r>
        <w:rPr>
          <w:rFonts w:hint="eastAsia" w:ascii="宋体" w:hAnsi="宋体" w:cs="宋体"/>
          <w:color w:val="000000"/>
          <w:sz w:val="22"/>
          <w:szCs w:val="22"/>
        </w:rPr>
        <w:t>2、电子交易平台应用或数据库出现错误，不能进行正常操作的；</w:t>
      </w:r>
    </w:p>
    <w:p>
      <w:pPr>
        <w:spacing w:line="360" w:lineRule="auto"/>
        <w:ind w:firstLine="387" w:firstLineChars="176"/>
        <w:rPr>
          <w:rFonts w:hint="eastAsia" w:ascii="宋体" w:hAnsi="宋体" w:cs="宋体"/>
          <w:color w:val="000000"/>
          <w:sz w:val="22"/>
          <w:szCs w:val="22"/>
        </w:rPr>
      </w:pPr>
      <w:r>
        <w:rPr>
          <w:rFonts w:hint="eastAsia" w:ascii="宋体" w:hAnsi="宋体" w:cs="宋体"/>
          <w:color w:val="000000"/>
          <w:sz w:val="22"/>
          <w:szCs w:val="22"/>
        </w:rPr>
        <w:t>3、电子交易平台发现严重安全漏洞，有潜在泄密危险的；</w:t>
      </w:r>
    </w:p>
    <w:p>
      <w:pPr>
        <w:spacing w:line="360" w:lineRule="auto"/>
        <w:ind w:firstLine="387" w:firstLineChars="176"/>
        <w:rPr>
          <w:rFonts w:hint="eastAsia" w:ascii="宋体" w:hAnsi="宋体" w:cs="宋体"/>
          <w:color w:val="000000"/>
          <w:sz w:val="22"/>
          <w:szCs w:val="22"/>
        </w:rPr>
      </w:pPr>
      <w:r>
        <w:rPr>
          <w:rFonts w:hint="eastAsia" w:ascii="宋体" w:hAnsi="宋体" w:cs="宋体"/>
          <w:color w:val="000000"/>
          <w:sz w:val="22"/>
          <w:szCs w:val="22"/>
        </w:rPr>
        <w:t>4、病毒发作导致不能进行正常操作的；</w:t>
      </w:r>
    </w:p>
    <w:p>
      <w:pPr>
        <w:spacing w:line="360" w:lineRule="auto"/>
        <w:ind w:firstLine="387" w:firstLineChars="176"/>
        <w:rPr>
          <w:rFonts w:hint="eastAsia" w:ascii="宋体" w:hAnsi="宋体" w:cs="宋体"/>
          <w:color w:val="000000"/>
          <w:sz w:val="22"/>
          <w:szCs w:val="22"/>
        </w:rPr>
      </w:pPr>
      <w:r>
        <w:rPr>
          <w:rFonts w:hint="eastAsia" w:ascii="宋体" w:hAnsi="宋体" w:cs="宋体"/>
          <w:color w:val="000000"/>
          <w:sz w:val="22"/>
          <w:szCs w:val="22"/>
        </w:rPr>
        <w:t>5、其他无法保证电子交易的公平、公正和安全的情况。</w:t>
      </w:r>
    </w:p>
    <w:p>
      <w:pPr>
        <w:spacing w:line="360" w:lineRule="auto"/>
        <w:ind w:firstLine="389" w:firstLineChars="176"/>
        <w:rPr>
          <w:rFonts w:hint="eastAsia" w:ascii="宋体" w:hAnsi="宋体" w:cs="宋体"/>
          <w:sz w:val="22"/>
          <w:szCs w:val="22"/>
        </w:rPr>
      </w:pPr>
      <w:r>
        <w:rPr>
          <w:rFonts w:hint="eastAsia" w:ascii="宋体" w:hAnsi="宋体" w:cs="宋体"/>
          <w:b/>
          <w:color w:val="000000"/>
          <w:sz w:val="22"/>
          <w:szCs w:val="22"/>
        </w:rPr>
        <w:t>出现前款规定情形，不影响采购公平、公正性的，采购组织机构可以待上述情形消除后继续组织电子交易活动；影响或可能影响采购公平、公正性的，应当重新采购。</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21</w:t>
      </w:r>
      <w:r>
        <w:rPr>
          <w:rFonts w:ascii="宋体" w:hAnsi="宋体"/>
          <w:sz w:val="22"/>
          <w:szCs w:val="22"/>
        </w:rPr>
        <w:t xml:space="preserve">、评审原则和评审办法 </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21</w:t>
      </w:r>
      <w:r>
        <w:rPr>
          <w:rFonts w:ascii="宋体" w:hAnsi="宋体"/>
          <w:sz w:val="22"/>
          <w:szCs w:val="22"/>
        </w:rPr>
        <w:t xml:space="preserve">.1评审原则：公平、公正、客观，不带任何倾向性和启发性； </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21</w:t>
      </w:r>
      <w:r>
        <w:rPr>
          <w:rFonts w:ascii="宋体" w:hAnsi="宋体"/>
          <w:sz w:val="22"/>
          <w:szCs w:val="22"/>
        </w:rPr>
        <w:t>.2评审办法：本项目评审办法是综合评分法（满分100分），具体评审内容及评分标准等详见《第</w:t>
      </w:r>
      <w:r>
        <w:rPr>
          <w:rFonts w:hint="eastAsia" w:ascii="宋体" w:hAnsi="宋体"/>
          <w:sz w:val="22"/>
          <w:szCs w:val="22"/>
        </w:rPr>
        <w:t>三部分</w:t>
      </w:r>
      <w:r>
        <w:rPr>
          <w:rFonts w:ascii="宋体" w:hAnsi="宋体"/>
          <w:sz w:val="22"/>
          <w:szCs w:val="22"/>
        </w:rPr>
        <w:t xml:space="preserve">：评审办法及评分标准》。 </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22</w:t>
      </w:r>
      <w:r>
        <w:rPr>
          <w:rFonts w:ascii="宋体" w:hAnsi="宋体"/>
          <w:sz w:val="22"/>
          <w:szCs w:val="22"/>
        </w:rPr>
        <w:t xml:space="preserve">、评审过程的纪律 </w:t>
      </w:r>
    </w:p>
    <w:p>
      <w:pPr>
        <w:snapToGrid w:val="0"/>
        <w:spacing w:line="460" w:lineRule="exact"/>
        <w:ind w:firstLine="541" w:firstLineChars="246"/>
        <w:rPr>
          <w:rFonts w:ascii="宋体" w:hAnsi="宋体"/>
          <w:sz w:val="22"/>
          <w:szCs w:val="22"/>
        </w:rPr>
      </w:pPr>
      <w:r>
        <w:rPr>
          <w:rFonts w:ascii="宋体" w:hAnsi="宋体"/>
          <w:sz w:val="22"/>
          <w:szCs w:val="22"/>
        </w:rPr>
        <w:t xml:space="preserve">本项目评审过程由采购组织机构负责组织，由现场监督员进行现场监督。采购人、采购代理机构不得向评审小组、竞争性谈判小组或者询价小组的评审专家作倾向性、误导性的解释或者说明。评审小组不得向外界透露任何与评标有关的内容；任何单位和个人不得干扰、影响评标的正常进行；评审小组及有关工作人员不得私下与投标供应商接触；浙江省政府采购活动现场组织管理办法中规定的其他禁止行为。▲投标供应商在评标过程中所进行的企图影响评标结果的不公正活动，将导致其投标作无效标处理。 </w:t>
      </w:r>
    </w:p>
    <w:p>
      <w:pPr>
        <w:snapToGrid w:val="0"/>
        <w:spacing w:line="460" w:lineRule="exact"/>
        <w:ind w:firstLine="541" w:firstLineChars="246"/>
        <w:rPr>
          <w:rFonts w:ascii="宋体" w:hAnsi="宋体"/>
          <w:sz w:val="22"/>
          <w:szCs w:val="22"/>
        </w:rPr>
      </w:pPr>
      <w:r>
        <w:rPr>
          <w:rFonts w:ascii="宋体" w:hAnsi="宋体"/>
          <w:sz w:val="22"/>
          <w:szCs w:val="22"/>
        </w:rPr>
        <w:t xml:space="preserve">六、采购结果确认与发布 </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23</w:t>
      </w:r>
      <w:r>
        <w:rPr>
          <w:rFonts w:ascii="宋体" w:hAnsi="宋体"/>
          <w:sz w:val="22"/>
          <w:szCs w:val="22"/>
        </w:rPr>
        <w:t xml:space="preserve">、依法确认采购结果 </w:t>
      </w:r>
    </w:p>
    <w:p>
      <w:pPr>
        <w:snapToGrid w:val="0"/>
        <w:spacing w:line="460" w:lineRule="exact"/>
        <w:ind w:firstLine="541" w:firstLineChars="246"/>
        <w:rPr>
          <w:rFonts w:ascii="宋体" w:hAnsi="宋体"/>
          <w:sz w:val="22"/>
          <w:szCs w:val="22"/>
        </w:rPr>
      </w:pPr>
      <w:r>
        <w:rPr>
          <w:rFonts w:ascii="宋体" w:hAnsi="宋体"/>
          <w:sz w:val="22"/>
          <w:szCs w:val="22"/>
        </w:rPr>
        <w:t>本项目由采购人根据评审小组提交的《评审报告》依法确定中标（成交）单位。</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24</w:t>
      </w:r>
      <w:r>
        <w:rPr>
          <w:rFonts w:ascii="宋体" w:hAnsi="宋体"/>
          <w:sz w:val="22"/>
          <w:szCs w:val="22"/>
        </w:rPr>
        <w:t xml:space="preserve">.1采购组织机构在评审结束后的2个工作日内将《评审报告》交给采购人确认。采购人将在收到《评审报告》后的5个工作日内依法确定中标成交供应商，并将确认意见以书面形式回复采购代理机构。 </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24</w:t>
      </w:r>
      <w:r>
        <w:rPr>
          <w:rFonts w:ascii="宋体" w:hAnsi="宋体"/>
          <w:sz w:val="22"/>
          <w:szCs w:val="22"/>
        </w:rPr>
        <w:t xml:space="preserve">.2采购组织机构不对评审结果做任何解释。 </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25</w:t>
      </w:r>
      <w:r>
        <w:rPr>
          <w:rFonts w:ascii="宋体" w:hAnsi="宋体"/>
          <w:sz w:val="22"/>
          <w:szCs w:val="22"/>
        </w:rPr>
        <w:t xml:space="preserve">、采购结果公告及中标（成交）通知书签发采购结果经采购人确认后2个工作日内，采购代理机构将在浙江政府采购网、苍南县公共资源交易中心网对外发布采购结果公告，同时向中标（成交）单位签发中标（成交）通知书。 </w:t>
      </w:r>
    </w:p>
    <w:p>
      <w:pPr>
        <w:snapToGrid w:val="0"/>
        <w:spacing w:line="460" w:lineRule="exact"/>
        <w:ind w:firstLine="541" w:firstLineChars="246"/>
        <w:rPr>
          <w:rFonts w:ascii="宋体" w:hAnsi="宋体"/>
          <w:sz w:val="22"/>
          <w:szCs w:val="22"/>
        </w:rPr>
      </w:pPr>
      <w:r>
        <w:rPr>
          <w:rFonts w:ascii="宋体" w:hAnsi="宋体"/>
          <w:sz w:val="22"/>
          <w:szCs w:val="22"/>
        </w:rPr>
        <w:t xml:space="preserve">七、合同授予 </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26</w:t>
      </w:r>
      <w:r>
        <w:rPr>
          <w:rFonts w:ascii="宋体" w:hAnsi="宋体"/>
          <w:sz w:val="22"/>
          <w:szCs w:val="22"/>
        </w:rPr>
        <w:t>、签订合同</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26</w:t>
      </w:r>
      <w:r>
        <w:rPr>
          <w:rFonts w:ascii="宋体" w:hAnsi="宋体"/>
          <w:sz w:val="22"/>
          <w:szCs w:val="22"/>
        </w:rPr>
        <w:t>.1中标（成交）供应商应</w:t>
      </w:r>
      <w:r>
        <w:rPr>
          <w:rFonts w:hint="eastAsia" w:ascii="宋体" w:hAnsi="宋体"/>
          <w:sz w:val="22"/>
          <w:szCs w:val="22"/>
          <w:lang w:eastAsia="zh-CN"/>
        </w:rPr>
        <w:t>在</w:t>
      </w:r>
      <w:r>
        <w:rPr>
          <w:rFonts w:hint="eastAsia" w:ascii="宋体" w:hAnsi="宋体" w:cs="宋体"/>
          <w:b w:val="0"/>
          <w:bCs/>
          <w:color w:val="000000"/>
          <w:sz w:val="22"/>
          <w:szCs w:val="22"/>
        </w:rPr>
        <w:t>中标通知书</w:t>
      </w:r>
      <w:r>
        <w:rPr>
          <w:rFonts w:hint="eastAsia" w:ascii="宋体" w:hAnsi="宋体" w:cs="宋体"/>
          <w:b w:val="0"/>
          <w:bCs/>
          <w:color w:val="000000"/>
          <w:sz w:val="22"/>
          <w:szCs w:val="22"/>
          <w:lang w:eastAsia="zh-CN"/>
        </w:rPr>
        <w:t>发出之日起</w:t>
      </w:r>
      <w:r>
        <w:rPr>
          <w:rFonts w:hint="eastAsia" w:ascii="宋体" w:hAnsi="宋体" w:cs="宋体"/>
          <w:b w:val="0"/>
          <w:bCs/>
          <w:color w:val="auto"/>
          <w:sz w:val="22"/>
          <w:szCs w:val="22"/>
        </w:rPr>
        <w:t>30天内</w:t>
      </w:r>
      <w:r>
        <w:rPr>
          <w:rFonts w:hint="eastAsia" w:ascii="宋体" w:hAnsi="宋体" w:cs="宋体"/>
          <w:b w:val="0"/>
          <w:bCs/>
          <w:color w:val="000000"/>
          <w:sz w:val="22"/>
          <w:szCs w:val="22"/>
        </w:rPr>
        <w:t>到采购人处</w:t>
      </w:r>
      <w:r>
        <w:rPr>
          <w:rFonts w:ascii="宋体" w:hAnsi="宋体"/>
          <w:sz w:val="22"/>
          <w:szCs w:val="22"/>
        </w:rPr>
        <w:t xml:space="preserve">与采购人签订政府采购合同。同时，采购组织机构根据委托代理事项对合同内容进行审查，如发现与采购结果和投标承诺内容不一致的，应予以纠正。 </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26</w:t>
      </w:r>
      <w:r>
        <w:rPr>
          <w:rFonts w:ascii="宋体" w:hAnsi="宋体"/>
          <w:sz w:val="22"/>
          <w:szCs w:val="22"/>
        </w:rPr>
        <w:t xml:space="preserve">.2 中标（成交）供应商拖延、拒签合同的，将被取消中标资格；给采购人及使用单位造成损失的应按照相关规定进行赔偿。采购人重新组织采购的，所需费用由原中标供应商承担。 </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27</w:t>
      </w:r>
      <w:r>
        <w:rPr>
          <w:rFonts w:ascii="宋体" w:hAnsi="宋体"/>
          <w:sz w:val="22"/>
          <w:szCs w:val="22"/>
        </w:rPr>
        <w:t xml:space="preserve">、履约保证金 </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27</w:t>
      </w:r>
      <w:r>
        <w:rPr>
          <w:rFonts w:ascii="宋体" w:hAnsi="宋体"/>
          <w:sz w:val="22"/>
          <w:szCs w:val="22"/>
        </w:rPr>
        <w:t>.1中标（成交）供应商应按向采购人交纳</w:t>
      </w:r>
      <w:r>
        <w:rPr>
          <w:rFonts w:hint="eastAsia" w:ascii="宋体" w:hAnsi="宋体"/>
          <w:sz w:val="22"/>
          <w:szCs w:val="22"/>
          <w:lang w:eastAsia="zh-CN"/>
        </w:rPr>
        <w:t>合同总金额</w:t>
      </w:r>
      <w:r>
        <w:rPr>
          <w:rFonts w:hint="eastAsia" w:ascii="宋体" w:hAnsi="宋体"/>
          <w:sz w:val="22"/>
          <w:szCs w:val="22"/>
          <w:lang w:val="en-US" w:eastAsia="zh-CN"/>
        </w:rPr>
        <w:t>5％的</w:t>
      </w:r>
      <w:r>
        <w:rPr>
          <w:rFonts w:ascii="宋体" w:hAnsi="宋体"/>
          <w:sz w:val="22"/>
          <w:szCs w:val="22"/>
        </w:rPr>
        <w:t>履约保证金</w:t>
      </w:r>
      <w:r>
        <w:rPr>
          <w:rFonts w:hint="eastAsia" w:ascii="宋体" w:hAnsi="宋体"/>
          <w:sz w:val="22"/>
          <w:szCs w:val="22"/>
        </w:rPr>
        <w:t>（</w:t>
      </w:r>
      <w:r>
        <w:rPr>
          <w:rFonts w:hint="eastAsia" w:ascii="宋体" w:hAnsi="宋体"/>
          <w:sz w:val="22"/>
          <w:szCs w:val="22"/>
          <w:lang w:eastAsia="zh-CN"/>
        </w:rPr>
        <w:t>银行转账、银行保函或保险保函</w:t>
      </w:r>
      <w:r>
        <w:rPr>
          <w:rFonts w:hint="eastAsia" w:ascii="宋体" w:hAnsi="宋体"/>
          <w:sz w:val="22"/>
          <w:szCs w:val="22"/>
        </w:rPr>
        <w:t>）</w:t>
      </w:r>
      <w:r>
        <w:rPr>
          <w:rFonts w:ascii="宋体" w:hAnsi="宋体"/>
          <w:sz w:val="22"/>
          <w:szCs w:val="22"/>
        </w:rPr>
        <w:t xml:space="preserve">。 </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27.</w:t>
      </w:r>
      <w:r>
        <w:rPr>
          <w:rFonts w:ascii="宋体" w:hAnsi="宋体"/>
          <w:sz w:val="22"/>
          <w:szCs w:val="22"/>
        </w:rPr>
        <w:t>2签订合同后，中标（成交）供应商不按双方签订合同约定履约，则没收其全部履约保证金，履约保证金不足以赔偿损失的，按实际损失赔偿。</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27</w:t>
      </w:r>
      <w:r>
        <w:rPr>
          <w:rFonts w:ascii="宋体" w:hAnsi="宋体"/>
          <w:sz w:val="22"/>
          <w:szCs w:val="22"/>
        </w:rPr>
        <w:t>.3履约保证金在中标（成交）供应商按合同约定竣工验收合格后</w:t>
      </w:r>
      <w:r>
        <w:rPr>
          <w:rFonts w:hint="eastAsia" w:ascii="宋体" w:hAnsi="宋体"/>
          <w:sz w:val="22"/>
          <w:szCs w:val="22"/>
        </w:rPr>
        <w:t>并由承包人提出申请十个工作日内</w:t>
      </w:r>
      <w:r>
        <w:rPr>
          <w:rFonts w:ascii="宋体" w:hAnsi="宋体"/>
          <w:sz w:val="22"/>
          <w:szCs w:val="22"/>
        </w:rPr>
        <w:t xml:space="preserve">无息退还。 </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28</w:t>
      </w:r>
      <w:r>
        <w:rPr>
          <w:rFonts w:ascii="宋体" w:hAnsi="宋体"/>
          <w:sz w:val="22"/>
          <w:szCs w:val="22"/>
        </w:rPr>
        <w:t xml:space="preserve">、采购代理服务费 </w:t>
      </w:r>
    </w:p>
    <w:p>
      <w:pPr>
        <w:snapToGrid w:val="0"/>
        <w:spacing w:line="460" w:lineRule="exact"/>
        <w:ind w:firstLine="541" w:firstLineChars="246"/>
        <w:rPr>
          <w:rFonts w:ascii="宋体" w:hAnsi="宋体"/>
          <w:sz w:val="22"/>
          <w:szCs w:val="22"/>
        </w:rPr>
      </w:pPr>
      <w:r>
        <w:rPr>
          <w:rFonts w:hint="eastAsia" w:ascii="宋体" w:hAnsi="宋体"/>
          <w:sz w:val="22"/>
          <w:szCs w:val="22"/>
          <w:lang w:val="en-US" w:eastAsia="zh-CN"/>
        </w:rPr>
        <w:t>28.</w:t>
      </w:r>
      <w:r>
        <w:rPr>
          <w:rFonts w:ascii="宋体" w:hAnsi="宋体"/>
          <w:sz w:val="22"/>
          <w:szCs w:val="22"/>
        </w:rPr>
        <w:t>1</w:t>
      </w:r>
      <w:r>
        <w:rPr>
          <w:rFonts w:hint="eastAsia" w:ascii="宋体" w:hAnsi="宋体"/>
          <w:sz w:val="22"/>
          <w:szCs w:val="22"/>
        </w:rPr>
        <w:t>中标供应商</w:t>
      </w:r>
      <w:r>
        <w:rPr>
          <w:rFonts w:hint="eastAsia" w:ascii="宋体" w:hAnsi="宋体"/>
          <w:sz w:val="22"/>
          <w:szCs w:val="22"/>
          <w:lang w:eastAsia="zh-CN"/>
        </w:rPr>
        <w:t>应</w:t>
      </w:r>
      <w:r>
        <w:rPr>
          <w:rFonts w:hint="eastAsia" w:ascii="宋体" w:hAnsi="宋体"/>
          <w:sz w:val="22"/>
          <w:szCs w:val="22"/>
        </w:rPr>
        <w:t>向招标代理机构支付招标代理服务费</w:t>
      </w:r>
      <w:r>
        <w:rPr>
          <w:rFonts w:hint="eastAsia" w:ascii="宋体" w:hAnsi="宋体"/>
          <w:sz w:val="22"/>
          <w:szCs w:val="22"/>
          <w:lang w:val="en-US" w:eastAsia="zh-CN"/>
        </w:rPr>
        <w:t>伍万叁仟</w:t>
      </w:r>
      <w:r>
        <w:rPr>
          <w:rFonts w:hint="eastAsia" w:ascii="宋体" w:hAnsi="宋体"/>
          <w:sz w:val="22"/>
          <w:szCs w:val="22"/>
        </w:rPr>
        <w:t>元整，招标代理服务费包含在投标总价中。</w:t>
      </w:r>
    </w:p>
    <w:p>
      <w:pPr>
        <w:snapToGrid w:val="0"/>
        <w:spacing w:line="360" w:lineRule="auto"/>
        <w:jc w:val="center"/>
        <w:rPr>
          <w:rFonts w:ascii="宋体" w:hAnsi="宋体"/>
          <w:sz w:val="22"/>
          <w:szCs w:val="22"/>
        </w:rPr>
      </w:pPr>
      <w:r>
        <w:rPr>
          <w:rFonts w:ascii="宋体" w:hAnsi="宋体"/>
          <w:sz w:val="22"/>
          <w:szCs w:val="22"/>
        </w:rPr>
        <w:br w:type="page"/>
      </w:r>
      <w:r>
        <w:rPr>
          <w:rFonts w:hint="eastAsia" w:ascii="宋体" w:hAnsi="宋体"/>
          <w:b/>
          <w:sz w:val="36"/>
        </w:rPr>
        <w:t>第二部分   招标内容及技术要求</w:t>
      </w:r>
      <w:bookmarkStart w:id="88" w:name="_Toc142902564"/>
    </w:p>
    <w:bookmarkEnd w:id="88"/>
    <w:p>
      <w:pPr>
        <w:pStyle w:val="35"/>
        <w:adjustRightInd w:val="0"/>
        <w:snapToGrid w:val="0"/>
        <w:spacing w:line="360" w:lineRule="auto"/>
        <w:ind w:firstLine="0" w:firstLineChars="0"/>
        <w:outlineLvl w:val="0"/>
        <w:rPr>
          <w:rFonts w:ascii="宋体" w:hAnsi="宋体" w:eastAsia="宋体"/>
          <w:b/>
          <w:color w:val="auto"/>
          <w:sz w:val="28"/>
          <w:szCs w:val="28"/>
        </w:rPr>
      </w:pPr>
      <w:r>
        <w:rPr>
          <w:rFonts w:hint="eastAsia" w:ascii="宋体" w:hAnsi="宋体" w:eastAsia="宋体"/>
          <w:b/>
          <w:color w:val="auto"/>
          <w:sz w:val="28"/>
          <w:szCs w:val="28"/>
        </w:rPr>
        <w:t>一、项目简介</w:t>
      </w:r>
    </w:p>
    <w:p>
      <w:pPr>
        <w:snapToGrid w:val="0"/>
        <w:spacing w:line="360" w:lineRule="auto"/>
        <w:ind w:firstLine="440" w:firstLineChars="200"/>
        <w:rPr>
          <w:rFonts w:ascii="宋体" w:hAnsi="宋体"/>
          <w:sz w:val="22"/>
          <w:szCs w:val="22"/>
        </w:rPr>
      </w:pPr>
      <w:r>
        <w:rPr>
          <w:rFonts w:hint="eastAsia" w:ascii="宋体" w:hAnsi="宋体"/>
          <w:sz w:val="22"/>
          <w:szCs w:val="22"/>
          <w:lang w:eastAsia="zh-CN"/>
        </w:rPr>
        <w:t>浙江东瓯工程造价咨询有限公司</w:t>
      </w:r>
      <w:r>
        <w:rPr>
          <w:rFonts w:hint="eastAsia" w:ascii="宋体" w:hAnsi="宋体"/>
          <w:sz w:val="22"/>
          <w:szCs w:val="22"/>
        </w:rPr>
        <w:t>受</w:t>
      </w:r>
      <w:r>
        <w:rPr>
          <w:rFonts w:hint="eastAsia" w:ascii="宋体" w:hAnsi="宋体"/>
          <w:sz w:val="22"/>
          <w:szCs w:val="22"/>
          <w:lang w:eastAsia="zh-CN"/>
        </w:rPr>
        <w:t>苍南县宜山镇人民政府</w:t>
      </w:r>
      <w:r>
        <w:rPr>
          <w:rFonts w:hint="eastAsia" w:ascii="宋体" w:hAnsi="宋体"/>
          <w:sz w:val="22"/>
          <w:szCs w:val="22"/>
        </w:rPr>
        <w:t>委托</w:t>
      </w:r>
      <w:r>
        <w:rPr>
          <w:rFonts w:hint="eastAsia" w:ascii="宋体" w:hAnsi="宋体"/>
          <w:bCs/>
          <w:sz w:val="22"/>
          <w:szCs w:val="22"/>
        </w:rPr>
        <w:t>，</w:t>
      </w:r>
      <w:r>
        <w:rPr>
          <w:rFonts w:hint="eastAsia" w:ascii="宋体" w:hAnsi="宋体"/>
          <w:sz w:val="22"/>
          <w:szCs w:val="22"/>
        </w:rPr>
        <w:t>对</w:t>
      </w:r>
      <w:r>
        <w:rPr>
          <w:rFonts w:hint="eastAsia" w:ascii="宋体" w:hAnsi="宋体"/>
          <w:b/>
          <w:sz w:val="22"/>
          <w:szCs w:val="22"/>
          <w:lang w:eastAsia="zh-CN"/>
        </w:rPr>
        <w:t>苍南县宜山镇道路照明提升工程设计、采购及安装项目</w:t>
      </w:r>
      <w:r>
        <w:rPr>
          <w:rFonts w:hint="eastAsia" w:ascii="宋体" w:hAnsi="宋体"/>
          <w:sz w:val="22"/>
          <w:szCs w:val="22"/>
        </w:rPr>
        <w:t>进行</w:t>
      </w:r>
      <w:r>
        <w:rPr>
          <w:rFonts w:hint="eastAsia" w:ascii="宋体" w:hAnsi="宋体"/>
          <w:sz w:val="22"/>
          <w:szCs w:val="22"/>
          <w:lang w:eastAsia="zh-CN"/>
        </w:rPr>
        <w:t>竞争性磋商</w:t>
      </w:r>
      <w:r>
        <w:rPr>
          <w:rFonts w:hint="eastAsia" w:ascii="宋体" w:hAnsi="宋体"/>
          <w:sz w:val="22"/>
          <w:szCs w:val="22"/>
        </w:rPr>
        <w:t>采购，本次招标的资金已经落实。欢迎有资格及能力的供应商报名前来参加投标。</w:t>
      </w:r>
    </w:p>
    <w:p>
      <w:pPr>
        <w:snapToGrid w:val="0"/>
        <w:spacing w:line="360" w:lineRule="auto"/>
        <w:rPr>
          <w:rFonts w:ascii="宋体" w:hAnsi="宋体"/>
          <w:b/>
          <w:sz w:val="28"/>
          <w:szCs w:val="28"/>
        </w:rPr>
      </w:pPr>
      <w:r>
        <w:rPr>
          <w:rFonts w:hint="eastAsia" w:ascii="宋体" w:hAnsi="宋体"/>
          <w:b/>
          <w:sz w:val="28"/>
          <w:szCs w:val="28"/>
        </w:rPr>
        <w:t>二、建设内容与规模</w:t>
      </w:r>
    </w:p>
    <w:p>
      <w:pPr>
        <w:snapToGrid w:val="0"/>
        <w:spacing w:line="360" w:lineRule="auto"/>
        <w:rPr>
          <w:rFonts w:ascii="宋体" w:hAnsi="宋体"/>
          <w:b/>
          <w:sz w:val="22"/>
          <w:szCs w:val="22"/>
        </w:rPr>
      </w:pPr>
      <w:r>
        <w:rPr>
          <w:rFonts w:hint="eastAsia" w:ascii="宋体" w:hAnsi="宋体"/>
          <w:b/>
          <w:sz w:val="22"/>
          <w:szCs w:val="22"/>
        </w:rPr>
        <w:t>（一）项目概况</w:t>
      </w:r>
    </w:p>
    <w:p>
      <w:pPr>
        <w:spacing w:line="360" w:lineRule="auto"/>
        <w:ind w:firstLine="440" w:firstLineChars="200"/>
        <w:rPr>
          <w:rFonts w:hint="default" w:ascii="宋体" w:hAnsi="宋体" w:eastAsia="宋体"/>
          <w:color w:val="000000" w:themeColor="text1"/>
          <w:sz w:val="22"/>
          <w:szCs w:val="22"/>
          <w:lang w:val="en-US" w:eastAsia="zh-CN"/>
        </w:rPr>
      </w:pPr>
      <w:r>
        <w:rPr>
          <w:rFonts w:hint="eastAsia" w:ascii="宋体" w:hAnsi="宋体"/>
          <w:color w:val="000000" w:themeColor="text1"/>
          <w:sz w:val="22"/>
          <w:szCs w:val="22"/>
        </w:rPr>
        <w:t>本</w:t>
      </w:r>
      <w:r>
        <w:rPr>
          <w:rFonts w:hint="eastAsia" w:ascii="宋体" w:hAnsi="宋体"/>
          <w:color w:val="000000" w:themeColor="text1"/>
          <w:sz w:val="22"/>
          <w:szCs w:val="22"/>
          <w:lang w:eastAsia="zh-CN"/>
        </w:rPr>
        <w:t>项目主要内容</w:t>
      </w:r>
      <w:r>
        <w:rPr>
          <w:rFonts w:hint="eastAsia" w:ascii="宋体" w:hAnsi="宋体"/>
          <w:color w:val="000000" w:themeColor="text1"/>
          <w:sz w:val="22"/>
          <w:szCs w:val="22"/>
        </w:rPr>
        <w:t>为</w:t>
      </w:r>
      <w:r>
        <w:rPr>
          <w:rFonts w:hint="eastAsia" w:ascii="宋体" w:hAnsi="宋体"/>
          <w:color w:val="000000" w:themeColor="text1"/>
          <w:sz w:val="22"/>
          <w:szCs w:val="22"/>
          <w:lang w:eastAsia="zh-CN"/>
        </w:rPr>
        <w:t>对苍南县宜山镇道路照明提升工程（包含道路照明及夜景照明）进行施工图设计、设备采购及施工。本项目涉及</w:t>
      </w:r>
      <w:r>
        <w:rPr>
          <w:rFonts w:hint="eastAsia" w:ascii="宋体" w:hAnsi="宋体"/>
          <w:color w:val="000000" w:themeColor="text1"/>
          <w:sz w:val="22"/>
          <w:szCs w:val="22"/>
        </w:rPr>
        <w:t>道路全长</w:t>
      </w:r>
      <w:r>
        <w:rPr>
          <w:rFonts w:hint="eastAsia" w:ascii="宋体" w:hAnsi="宋体"/>
          <w:color w:val="000000" w:themeColor="text1"/>
          <w:sz w:val="22"/>
          <w:szCs w:val="22"/>
          <w:lang w:eastAsia="zh-CN"/>
        </w:rPr>
        <w:t>共</w:t>
      </w:r>
      <w:r>
        <w:rPr>
          <w:rFonts w:hint="eastAsia" w:ascii="宋体" w:hAnsi="宋体"/>
          <w:color w:val="000000" w:themeColor="text1"/>
          <w:sz w:val="22"/>
          <w:szCs w:val="22"/>
        </w:rPr>
        <w:t>约</w:t>
      </w:r>
      <w:r>
        <w:rPr>
          <w:rFonts w:hint="eastAsia" w:ascii="宋体" w:hAnsi="宋体"/>
          <w:b/>
          <w:bCs/>
          <w:color w:val="000000" w:themeColor="text1"/>
          <w:sz w:val="22"/>
          <w:szCs w:val="22"/>
          <w:u w:val="single"/>
          <w:lang w:val="en-US" w:eastAsia="zh-CN"/>
        </w:rPr>
        <w:t>54.61</w:t>
      </w:r>
      <w:r>
        <w:rPr>
          <w:rFonts w:hint="eastAsia" w:ascii="宋体" w:hAnsi="宋体"/>
          <w:b w:val="0"/>
          <w:bCs w:val="0"/>
          <w:color w:val="000000" w:themeColor="text1"/>
          <w:sz w:val="22"/>
          <w:szCs w:val="22"/>
          <w:u w:val="none"/>
          <w:lang w:val="en-US" w:eastAsia="zh-CN"/>
        </w:rPr>
        <w:t>千</w:t>
      </w:r>
      <w:r>
        <w:rPr>
          <w:rFonts w:hint="eastAsia" w:ascii="宋体" w:hAnsi="宋体"/>
          <w:color w:val="000000" w:themeColor="text1"/>
          <w:sz w:val="22"/>
          <w:szCs w:val="22"/>
        </w:rPr>
        <w:t>米</w:t>
      </w:r>
      <w:r>
        <w:rPr>
          <w:rFonts w:hint="eastAsia" w:ascii="宋体" w:hAnsi="宋体"/>
          <w:color w:val="000000" w:themeColor="text1"/>
          <w:sz w:val="22"/>
          <w:szCs w:val="22"/>
          <w:lang w:val="en-US" w:eastAsia="zh-CN"/>
        </w:rPr>
        <w:t>。涉及道路有瓦海线、南洋南路、宜山高中左侧及右侧道路、金鸡街、网红基地、新塘街、下市街、环城东路、灵宜线、公园路、宝山路、市民广场、环球路、环城西路、球新路、环城南路、通兴路、人民路、环山路、东风街、仁寿街、埭金线、繁荣街、兴华街、新市街、学前街、渔池街、方金内街、新洋村、黄头图。具体详见本次线路平面图。</w:t>
      </w:r>
    </w:p>
    <w:p>
      <w:pPr>
        <w:snapToGrid w:val="0"/>
        <w:spacing w:line="360" w:lineRule="auto"/>
        <w:rPr>
          <w:rFonts w:hint="eastAsia" w:ascii="宋体" w:hAnsi="宋体" w:cs="Times New Roman"/>
          <w:b/>
          <w:sz w:val="22"/>
          <w:szCs w:val="22"/>
        </w:rPr>
      </w:pPr>
      <w:r>
        <w:rPr>
          <w:rFonts w:hint="eastAsia" w:ascii="宋体" w:hAnsi="宋体" w:cs="Times New Roman"/>
          <w:b/>
          <w:sz w:val="22"/>
          <w:szCs w:val="22"/>
        </w:rPr>
        <w:t>（二）道路照明要求</w:t>
      </w:r>
    </w:p>
    <w:p>
      <w:pPr>
        <w:spacing w:line="360" w:lineRule="auto"/>
        <w:ind w:firstLine="440" w:firstLineChars="200"/>
        <w:rPr>
          <w:rFonts w:ascii="宋体" w:hAnsi="宋体"/>
          <w:sz w:val="22"/>
          <w:szCs w:val="22"/>
        </w:rPr>
      </w:pPr>
      <w:r>
        <w:rPr>
          <w:rFonts w:hint="eastAsia" w:ascii="宋体" w:hAnsi="宋体"/>
          <w:sz w:val="22"/>
          <w:szCs w:val="22"/>
          <w:lang w:val="en-US" w:eastAsia="zh-CN"/>
        </w:rPr>
        <w:t>1</w:t>
      </w:r>
      <w:r>
        <w:rPr>
          <w:rFonts w:hint="eastAsia" w:ascii="宋体" w:hAnsi="宋体"/>
          <w:sz w:val="22"/>
          <w:szCs w:val="22"/>
          <w:lang w:eastAsia="zh-CN"/>
        </w:rPr>
        <w:t>、</w:t>
      </w:r>
      <w:r>
        <w:rPr>
          <w:rFonts w:hint="eastAsia" w:ascii="宋体" w:hAnsi="宋体"/>
          <w:sz w:val="22"/>
          <w:szCs w:val="22"/>
        </w:rPr>
        <w:t>本照明工程设计范围为</w:t>
      </w:r>
      <w:r>
        <w:rPr>
          <w:rFonts w:hint="eastAsia" w:ascii="宋体" w:hAnsi="宋体"/>
          <w:sz w:val="22"/>
          <w:szCs w:val="22"/>
          <w:lang w:eastAsia="zh-CN"/>
        </w:rPr>
        <w:t>宜山镇道路</w:t>
      </w:r>
      <w:r>
        <w:rPr>
          <w:rFonts w:hint="eastAsia" w:ascii="宋体" w:hAnsi="宋体"/>
          <w:sz w:val="22"/>
          <w:szCs w:val="22"/>
        </w:rPr>
        <w:t>范围路灯供配电设计，为一般功能性照明。</w:t>
      </w:r>
    </w:p>
    <w:p>
      <w:pPr>
        <w:spacing w:line="360" w:lineRule="auto"/>
        <w:ind w:firstLine="440" w:firstLineChars="200"/>
        <w:rPr>
          <w:rFonts w:ascii="宋体" w:hAnsi="宋体"/>
          <w:sz w:val="22"/>
          <w:szCs w:val="22"/>
        </w:rPr>
      </w:pPr>
      <w:r>
        <w:rPr>
          <w:rFonts w:hint="eastAsia" w:ascii="宋体" w:hAnsi="宋体"/>
          <w:sz w:val="22"/>
          <w:szCs w:val="22"/>
          <w:lang w:val="en-US" w:eastAsia="zh-CN"/>
        </w:rPr>
        <w:t>2</w:t>
      </w:r>
      <w:r>
        <w:rPr>
          <w:rFonts w:hint="eastAsia" w:ascii="宋体" w:hAnsi="宋体"/>
          <w:sz w:val="22"/>
          <w:szCs w:val="22"/>
          <w:lang w:eastAsia="zh-CN"/>
        </w:rPr>
        <w:t>、</w:t>
      </w:r>
      <w:r>
        <w:rPr>
          <w:rFonts w:hint="eastAsia" w:ascii="宋体" w:hAnsi="宋体"/>
          <w:sz w:val="22"/>
          <w:szCs w:val="22"/>
        </w:rPr>
        <w:t>电气安装工程应严格按照国家有关的施工及验收规范进行，工程内的高压电气装置、低压电气装置、照明灯具、电缆配电线路及接地装置等均应遵守下列国标的规定。</w:t>
      </w:r>
    </w:p>
    <w:p>
      <w:pPr>
        <w:spacing w:line="360" w:lineRule="auto"/>
        <w:rPr>
          <w:rFonts w:ascii="宋体" w:hAnsi="宋体"/>
          <w:sz w:val="22"/>
          <w:szCs w:val="22"/>
        </w:rPr>
      </w:pPr>
      <w:r>
        <w:rPr>
          <w:rFonts w:hint="eastAsia" w:ascii="宋体" w:hAnsi="宋体"/>
          <w:sz w:val="22"/>
          <w:szCs w:val="22"/>
        </w:rPr>
        <w:t>（1）、</w:t>
      </w:r>
      <w:r>
        <w:rPr>
          <w:rFonts w:hint="eastAsia" w:ascii="宋体" w:hAnsi="宋体"/>
          <w:sz w:val="22"/>
          <w:szCs w:val="22"/>
          <w:lang w:val="en-US" w:eastAsia="zh-CN"/>
        </w:rPr>
        <w:t>CJJ45-2015</w:t>
      </w:r>
      <w:r>
        <w:rPr>
          <w:rFonts w:hint="eastAsia" w:ascii="宋体" w:hAnsi="宋体"/>
          <w:sz w:val="22"/>
          <w:szCs w:val="22"/>
        </w:rPr>
        <w:t xml:space="preserve">   </w:t>
      </w:r>
      <w:r>
        <w:rPr>
          <w:rFonts w:hint="eastAsia" w:ascii="宋体" w:hAnsi="宋体"/>
          <w:sz w:val="22"/>
          <w:szCs w:val="22"/>
          <w:lang w:val="en-US" w:eastAsia="zh-CN"/>
        </w:rPr>
        <w:t xml:space="preserve">    </w:t>
      </w:r>
      <w:r>
        <w:rPr>
          <w:rFonts w:hint="eastAsia" w:ascii="宋体" w:hAnsi="宋体"/>
          <w:sz w:val="22"/>
          <w:szCs w:val="22"/>
        </w:rPr>
        <w:t>《</w:t>
      </w:r>
      <w:r>
        <w:rPr>
          <w:rFonts w:hint="eastAsia" w:ascii="宋体" w:hAnsi="宋体"/>
          <w:sz w:val="22"/>
          <w:szCs w:val="22"/>
          <w:lang w:val="en-US" w:eastAsia="zh-CN"/>
        </w:rPr>
        <w:t>城市道路</w:t>
      </w:r>
      <w:r>
        <w:rPr>
          <w:rFonts w:hint="eastAsia" w:ascii="宋体" w:hAnsi="宋体"/>
          <w:sz w:val="22"/>
          <w:szCs w:val="22"/>
        </w:rPr>
        <w:t>照明</w:t>
      </w:r>
      <w:r>
        <w:rPr>
          <w:rFonts w:hint="eastAsia" w:ascii="宋体" w:hAnsi="宋体"/>
          <w:sz w:val="22"/>
          <w:szCs w:val="22"/>
          <w:lang w:eastAsia="zh-CN"/>
        </w:rPr>
        <w:t>设计标准</w:t>
      </w:r>
      <w:r>
        <w:rPr>
          <w:rFonts w:hint="eastAsia" w:ascii="宋体" w:hAnsi="宋体"/>
          <w:sz w:val="22"/>
          <w:szCs w:val="22"/>
        </w:rPr>
        <w:t>》</w:t>
      </w:r>
    </w:p>
    <w:p>
      <w:pPr>
        <w:spacing w:line="360" w:lineRule="auto"/>
        <w:rPr>
          <w:rFonts w:ascii="宋体" w:hAnsi="宋体"/>
          <w:sz w:val="22"/>
          <w:szCs w:val="22"/>
        </w:rPr>
      </w:pPr>
      <w:r>
        <w:rPr>
          <w:rFonts w:hint="eastAsia" w:ascii="宋体" w:hAnsi="宋体"/>
          <w:sz w:val="22"/>
          <w:szCs w:val="22"/>
        </w:rPr>
        <w:t>（2）、CJJ89-2012       《城市道路照明工程施工及验收规范》</w:t>
      </w:r>
    </w:p>
    <w:p>
      <w:pPr>
        <w:spacing w:line="360" w:lineRule="auto"/>
        <w:rPr>
          <w:rFonts w:ascii="宋体" w:hAnsi="宋体"/>
          <w:sz w:val="22"/>
          <w:szCs w:val="22"/>
        </w:rPr>
      </w:pPr>
      <w:r>
        <w:rPr>
          <w:rFonts w:hint="eastAsia" w:ascii="宋体" w:hAnsi="宋体"/>
          <w:sz w:val="22"/>
          <w:szCs w:val="22"/>
        </w:rPr>
        <w:t>（3）、GB50054-2011     《低压配电设计规范》</w:t>
      </w:r>
    </w:p>
    <w:p>
      <w:pPr>
        <w:spacing w:line="360" w:lineRule="auto"/>
        <w:rPr>
          <w:rFonts w:hint="eastAsia" w:ascii="宋体" w:hAnsi="宋体"/>
          <w:b/>
          <w:sz w:val="22"/>
          <w:szCs w:val="22"/>
        </w:rPr>
      </w:pPr>
      <w:r>
        <w:rPr>
          <w:rFonts w:hint="eastAsia" w:ascii="宋体" w:hAnsi="宋体"/>
          <w:sz w:val="22"/>
          <w:szCs w:val="22"/>
        </w:rPr>
        <w:t>（4）、GB50169-2016     《电气装置安装工程接地装置施工及验收规范》</w:t>
      </w:r>
      <w:r>
        <w:rPr>
          <w:rFonts w:ascii="宋体" w:hAnsi="宋体"/>
          <w:sz w:val="22"/>
          <w:szCs w:val="22"/>
        </w:rPr>
        <w:br w:type="textWrapping"/>
      </w:r>
      <w:r>
        <w:rPr>
          <w:rFonts w:hint="eastAsia" w:ascii="宋体" w:hAnsi="宋体"/>
          <w:sz w:val="22"/>
          <w:szCs w:val="22"/>
        </w:rPr>
        <w:t>（5）、GB50217-2018     《电力工程电缆设计规范》</w:t>
      </w:r>
    </w:p>
    <w:p>
      <w:pPr>
        <w:spacing w:line="360" w:lineRule="auto"/>
        <w:ind w:firstLine="440" w:firstLineChars="200"/>
        <w:rPr>
          <w:rFonts w:ascii="宋体" w:hAnsi="宋体"/>
          <w:sz w:val="22"/>
          <w:szCs w:val="22"/>
        </w:rPr>
      </w:pPr>
      <w:r>
        <w:rPr>
          <w:rFonts w:hint="eastAsia" w:ascii="宋体" w:hAnsi="宋体"/>
          <w:sz w:val="22"/>
          <w:szCs w:val="22"/>
          <w:lang w:val="en-US" w:eastAsia="zh-CN"/>
        </w:rPr>
        <w:t>3</w:t>
      </w:r>
      <w:r>
        <w:rPr>
          <w:rFonts w:hint="eastAsia" w:ascii="宋体" w:hAnsi="宋体"/>
          <w:sz w:val="22"/>
          <w:szCs w:val="22"/>
        </w:rPr>
        <w:t>、本工程道路照明按照</w:t>
      </w:r>
      <w:r>
        <w:rPr>
          <w:rFonts w:hint="eastAsia" w:ascii="宋体" w:hAnsi="宋体"/>
          <w:sz w:val="22"/>
          <w:szCs w:val="22"/>
          <w:lang w:eastAsia="zh-CN"/>
        </w:rPr>
        <w:t>城市道路照明等级三级（支路）</w:t>
      </w:r>
      <w:r>
        <w:rPr>
          <w:rFonts w:hint="eastAsia" w:ascii="宋体" w:hAnsi="宋体"/>
          <w:sz w:val="22"/>
          <w:szCs w:val="22"/>
        </w:rPr>
        <w:t>标准设计，设计标准按《</w:t>
      </w:r>
      <w:r>
        <w:rPr>
          <w:rFonts w:hint="eastAsia" w:ascii="宋体" w:hAnsi="宋体"/>
          <w:sz w:val="22"/>
          <w:szCs w:val="22"/>
          <w:lang w:val="en-US" w:eastAsia="zh-CN"/>
        </w:rPr>
        <w:t>城市道路</w:t>
      </w:r>
      <w:r>
        <w:rPr>
          <w:rFonts w:hint="eastAsia" w:ascii="宋体" w:hAnsi="宋体"/>
          <w:sz w:val="22"/>
          <w:szCs w:val="22"/>
        </w:rPr>
        <w:t>照明</w:t>
      </w:r>
      <w:r>
        <w:rPr>
          <w:rFonts w:hint="eastAsia" w:ascii="宋体" w:hAnsi="宋体"/>
          <w:sz w:val="22"/>
          <w:szCs w:val="22"/>
          <w:lang w:eastAsia="zh-CN"/>
        </w:rPr>
        <w:t>设计标准</w:t>
      </w:r>
      <w:r>
        <w:rPr>
          <w:rFonts w:hint="eastAsia" w:ascii="宋体" w:hAnsi="宋体"/>
          <w:sz w:val="22"/>
          <w:szCs w:val="22"/>
        </w:rPr>
        <w:t>》</w:t>
      </w:r>
      <w:r>
        <w:rPr>
          <w:rFonts w:hint="eastAsia" w:ascii="宋体" w:hAnsi="宋体"/>
          <w:sz w:val="22"/>
          <w:szCs w:val="22"/>
          <w:lang w:val="en-US" w:eastAsia="zh-CN"/>
        </w:rPr>
        <w:t>CJJ45-2015</w:t>
      </w:r>
      <w:r>
        <w:rPr>
          <w:rFonts w:hint="eastAsia" w:ascii="宋体" w:hAnsi="宋体"/>
          <w:sz w:val="22"/>
          <w:szCs w:val="22"/>
        </w:rPr>
        <w:t>实施，达到下表要求：</w:t>
      </w:r>
    </w:p>
    <w:tbl>
      <w:tblPr>
        <w:tblStyle w:val="44"/>
        <w:tblW w:w="9920"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287"/>
        <w:gridCol w:w="1145"/>
        <w:gridCol w:w="1342"/>
        <w:gridCol w:w="1375"/>
        <w:gridCol w:w="1156"/>
        <w:gridCol w:w="1113"/>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15"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rPr>
            </w:pPr>
            <w:r>
              <w:rPr>
                <w:rFonts w:hint="eastAsia" w:ascii="宋体" w:hAnsi="宋体"/>
                <w:sz w:val="22"/>
                <w:szCs w:val="22"/>
                <w:lang w:val="en-US" w:eastAsia="zh-CN"/>
              </w:rPr>
              <w:t xml:space="preserve">    </w:t>
            </w:r>
            <w:r>
              <w:rPr>
                <w:rFonts w:hint="eastAsia" w:ascii="宋体" w:hAnsi="宋体"/>
                <w:sz w:val="22"/>
                <w:szCs w:val="22"/>
              </w:rPr>
              <w:t>照明标准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宋体" w:hAnsi="宋体"/>
                <w:sz w:val="22"/>
                <w:szCs w:val="22"/>
              </w:rPr>
            </w:pPr>
            <w:r>
              <w:rPr>
                <w:rFonts w:hint="eastAsia" w:ascii="宋体" w:hAnsi="宋体"/>
                <w:sz w:val="22"/>
                <w:szCs w:val="22"/>
              </w:rPr>
              <w:t>道路类型</w:t>
            </w:r>
          </w:p>
        </w:tc>
        <w:tc>
          <w:tcPr>
            <w:tcW w:w="377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sz w:val="22"/>
                <w:szCs w:val="22"/>
                <w:lang w:eastAsia="zh-CN"/>
              </w:rPr>
            </w:pPr>
            <w:r>
              <w:rPr>
                <w:rFonts w:hint="eastAsia" w:ascii="宋体" w:hAnsi="宋体"/>
                <w:sz w:val="22"/>
                <w:szCs w:val="22"/>
                <w:lang w:eastAsia="zh-CN"/>
              </w:rPr>
              <w:t>路面亮度</w:t>
            </w:r>
          </w:p>
        </w:tc>
        <w:tc>
          <w:tcPr>
            <w:tcW w:w="253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sz w:val="22"/>
                <w:szCs w:val="22"/>
                <w:lang w:eastAsia="zh-CN"/>
              </w:rPr>
            </w:pPr>
            <w:r>
              <w:rPr>
                <w:rFonts w:hint="eastAsia" w:ascii="宋体" w:hAnsi="宋体"/>
                <w:sz w:val="22"/>
                <w:szCs w:val="22"/>
                <w:lang w:eastAsia="zh-CN"/>
              </w:rPr>
              <w:t>路面照度</w:t>
            </w:r>
          </w:p>
        </w:tc>
        <w:tc>
          <w:tcPr>
            <w:tcW w:w="111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22"/>
                <w:szCs w:val="22"/>
                <w:lang w:val="en-US" w:eastAsia="zh-CN"/>
              </w:rPr>
            </w:pPr>
            <w:r>
              <w:rPr>
                <w:rFonts w:hint="eastAsia" w:ascii="宋体" w:hAnsi="宋体"/>
                <w:sz w:val="22"/>
                <w:szCs w:val="22"/>
                <w:lang w:eastAsia="zh-CN"/>
              </w:rPr>
              <w:t>眩光限制阈值增量</w:t>
            </w:r>
            <w:r>
              <w:rPr>
                <w:rFonts w:hint="eastAsia" w:ascii="宋体" w:hAnsi="宋体"/>
                <w:sz w:val="22"/>
                <w:szCs w:val="22"/>
                <w:lang w:val="en-US" w:eastAsia="zh-CN"/>
              </w:rPr>
              <w:t>TI(%）最大初始值</w:t>
            </w:r>
          </w:p>
        </w:tc>
        <w:tc>
          <w:tcPr>
            <w:tcW w:w="88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22"/>
                <w:szCs w:val="22"/>
                <w:lang w:val="en-US" w:eastAsia="zh-CN"/>
              </w:rPr>
            </w:pPr>
            <w:r>
              <w:rPr>
                <w:rFonts w:hint="eastAsia" w:ascii="宋体" w:hAnsi="宋体"/>
                <w:sz w:val="22"/>
                <w:szCs w:val="22"/>
                <w:lang w:eastAsia="zh-CN"/>
              </w:rPr>
              <w:t>环境比</w:t>
            </w:r>
            <w:r>
              <w:rPr>
                <w:rFonts w:hint="eastAsia" w:ascii="宋体" w:hAnsi="宋体"/>
                <w:sz w:val="22"/>
                <w:szCs w:val="22"/>
                <w:lang w:val="en-US" w:eastAsia="zh-CN"/>
              </w:rPr>
              <w:t>SR最小值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6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22"/>
                <w:szCs w:val="22"/>
                <w:lang w:val="en-US" w:eastAsia="zh-CN" w:bidi="ar-SA"/>
              </w:rPr>
            </w:pPr>
            <w:r>
              <w:rPr>
                <w:rFonts w:hint="eastAsia" w:ascii="宋体" w:hAnsi="宋体" w:cs="Times New Roman"/>
                <w:kern w:val="2"/>
                <w:sz w:val="22"/>
                <w:szCs w:val="22"/>
                <w:lang w:val="en-US" w:eastAsia="zh-CN" w:bidi="ar-SA"/>
              </w:rPr>
              <w:t>平均亮度Lav维持值</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22"/>
                <w:szCs w:val="22"/>
                <w:lang w:val="en-US" w:eastAsia="zh-CN"/>
              </w:rPr>
            </w:pPr>
            <w:r>
              <w:rPr>
                <w:rFonts w:hint="eastAsia" w:ascii="宋体" w:hAnsi="宋体"/>
                <w:sz w:val="22"/>
                <w:szCs w:val="22"/>
                <w:lang w:eastAsia="zh-CN"/>
              </w:rPr>
              <w:t>总均匀度</w:t>
            </w:r>
            <w:r>
              <w:rPr>
                <w:rFonts w:hint="eastAsia" w:ascii="宋体" w:hAnsi="宋体"/>
                <w:sz w:val="22"/>
                <w:szCs w:val="22"/>
                <w:lang w:val="en-US" w:eastAsia="zh-CN"/>
              </w:rPr>
              <w:t>Uo最小值</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22"/>
                <w:szCs w:val="22"/>
                <w:lang w:val="en-US" w:eastAsia="zh-CN" w:bidi="ar-SA"/>
              </w:rPr>
            </w:pPr>
            <w:r>
              <w:rPr>
                <w:rFonts w:hint="eastAsia" w:ascii="宋体" w:hAnsi="宋体" w:cs="Times New Roman"/>
                <w:kern w:val="2"/>
                <w:sz w:val="22"/>
                <w:szCs w:val="22"/>
                <w:lang w:val="en-US" w:eastAsia="zh-CN" w:bidi="ar-SA"/>
              </w:rPr>
              <w:t>纵向均匀度UL最小值</w:t>
            </w: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22"/>
                <w:szCs w:val="22"/>
                <w:lang w:val="en-US" w:eastAsia="zh-CN" w:bidi="ar-SA"/>
              </w:rPr>
            </w:pPr>
            <w:r>
              <w:rPr>
                <w:rFonts w:hint="eastAsia" w:ascii="宋体" w:hAnsi="宋体" w:cs="Times New Roman"/>
                <w:kern w:val="2"/>
                <w:sz w:val="22"/>
                <w:szCs w:val="22"/>
                <w:lang w:val="en-US" w:eastAsia="zh-CN" w:bidi="ar-SA"/>
              </w:rPr>
              <w:t>平均照度Ehav维持值</w:t>
            </w: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22"/>
                <w:szCs w:val="22"/>
                <w:lang w:val="en-US" w:eastAsia="zh-CN"/>
              </w:rPr>
            </w:pPr>
            <w:r>
              <w:rPr>
                <w:rFonts w:hint="eastAsia" w:ascii="宋体" w:hAnsi="宋体"/>
                <w:sz w:val="22"/>
                <w:szCs w:val="22"/>
                <w:lang w:eastAsia="zh-CN"/>
              </w:rPr>
              <w:t>均匀度</w:t>
            </w:r>
            <w:r>
              <w:rPr>
                <w:rFonts w:hint="eastAsia" w:ascii="宋体" w:hAnsi="宋体"/>
                <w:sz w:val="22"/>
                <w:szCs w:val="22"/>
                <w:lang w:val="en-US" w:eastAsia="zh-CN"/>
              </w:rPr>
              <w:t>Ue最小值</w:t>
            </w:r>
          </w:p>
        </w:tc>
        <w:tc>
          <w:tcPr>
            <w:tcW w:w="11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Times New Roman"/>
                <w:kern w:val="2"/>
                <w:sz w:val="22"/>
                <w:szCs w:val="22"/>
                <w:lang w:val="en-US" w:eastAsia="zh-CN" w:bidi="ar-SA"/>
              </w:rPr>
            </w:pPr>
          </w:p>
        </w:tc>
        <w:tc>
          <w:tcPr>
            <w:tcW w:w="88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Times New Roman"/>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22"/>
                <w:szCs w:val="22"/>
                <w:lang w:eastAsia="zh-CN"/>
              </w:rPr>
            </w:pPr>
            <w:r>
              <w:rPr>
                <w:rFonts w:hint="eastAsia" w:ascii="宋体" w:hAnsi="宋体"/>
                <w:sz w:val="22"/>
                <w:szCs w:val="22"/>
                <w:lang w:eastAsia="zh-CN"/>
              </w:rPr>
              <w:t>城市道路</w:t>
            </w:r>
            <w:r>
              <w:rPr>
                <w:rFonts w:hint="eastAsia" w:ascii="宋体" w:hAnsi="宋体"/>
                <w:sz w:val="22"/>
                <w:szCs w:val="22"/>
              </w:rPr>
              <w:t>照明等级</w:t>
            </w:r>
            <w:r>
              <w:rPr>
                <w:rFonts w:hint="eastAsia" w:ascii="宋体" w:hAnsi="宋体"/>
                <w:sz w:val="22"/>
                <w:szCs w:val="22"/>
                <w:lang w:eastAsia="zh-CN"/>
              </w:rPr>
              <w:t>三</w:t>
            </w:r>
            <w:r>
              <w:rPr>
                <w:rFonts w:hint="eastAsia" w:ascii="宋体" w:hAnsi="宋体"/>
                <w:sz w:val="22"/>
                <w:szCs w:val="22"/>
              </w:rPr>
              <w:t>级</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22"/>
                <w:szCs w:val="22"/>
                <w:lang w:val="en-US" w:eastAsia="zh-CN" w:bidi="ar-SA"/>
              </w:rPr>
            </w:pPr>
            <w:r>
              <w:rPr>
                <w:rFonts w:hint="eastAsia" w:ascii="宋体" w:hAnsi="宋体" w:cs="Times New Roman"/>
                <w:kern w:val="2"/>
                <w:sz w:val="22"/>
                <w:szCs w:val="22"/>
                <w:lang w:val="en-US" w:eastAsia="zh-CN" w:bidi="ar-SA"/>
              </w:rPr>
              <w:t>1.00/1.50</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22"/>
                <w:szCs w:val="22"/>
                <w:lang w:val="en-US" w:eastAsia="zh-CN"/>
              </w:rPr>
            </w:pPr>
            <w:r>
              <w:rPr>
                <w:rFonts w:hint="eastAsia" w:ascii="宋体" w:hAnsi="宋体"/>
                <w:sz w:val="22"/>
                <w:szCs w:val="22"/>
                <w:lang w:val="en-US" w:eastAsia="zh-CN"/>
              </w:rPr>
              <w:t>0.4</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22"/>
                <w:szCs w:val="22"/>
                <w:lang w:val="en-US" w:eastAsia="zh-CN" w:bidi="ar-SA"/>
              </w:rPr>
            </w:pPr>
            <w:r>
              <w:rPr>
                <w:rFonts w:hint="eastAsia" w:ascii="宋体" w:hAnsi="宋体" w:cs="Times New Roman"/>
                <w:kern w:val="2"/>
                <w:sz w:val="22"/>
                <w:szCs w:val="22"/>
                <w:lang w:val="en-US" w:eastAsia="zh-CN" w:bidi="ar-SA"/>
              </w:rPr>
              <w:t>0.5</w:t>
            </w: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22"/>
                <w:szCs w:val="22"/>
                <w:lang w:val="en-US" w:eastAsia="zh-CN" w:bidi="ar-SA"/>
              </w:rPr>
            </w:pPr>
            <w:r>
              <w:rPr>
                <w:rFonts w:hint="eastAsia" w:ascii="宋体" w:hAnsi="宋体" w:cs="Times New Roman"/>
                <w:kern w:val="2"/>
                <w:sz w:val="22"/>
                <w:szCs w:val="22"/>
                <w:lang w:val="en-US" w:eastAsia="zh-CN" w:bidi="ar-SA"/>
              </w:rPr>
              <w:t>15/20</w:t>
            </w: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22"/>
                <w:szCs w:val="22"/>
                <w:lang w:val="en-US" w:eastAsia="zh-CN"/>
              </w:rPr>
            </w:pPr>
            <w:r>
              <w:rPr>
                <w:rFonts w:hint="eastAsia" w:ascii="宋体" w:hAnsi="宋体"/>
                <w:sz w:val="22"/>
                <w:szCs w:val="22"/>
                <w:lang w:val="en-US" w:eastAsia="zh-CN"/>
              </w:rPr>
              <w:t>0.4</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22"/>
                <w:szCs w:val="22"/>
                <w:lang w:val="en-US" w:eastAsia="zh-CN" w:bidi="ar-SA"/>
              </w:rPr>
            </w:pPr>
            <w:r>
              <w:rPr>
                <w:rFonts w:hint="eastAsia" w:ascii="宋体" w:hAnsi="宋体" w:cs="Times New Roman"/>
                <w:kern w:val="2"/>
                <w:sz w:val="22"/>
                <w:szCs w:val="22"/>
                <w:lang w:val="en-US" w:eastAsia="zh-CN" w:bidi="ar-SA"/>
              </w:rPr>
              <w:t>10</w:t>
            </w: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22"/>
                <w:szCs w:val="22"/>
                <w:lang w:val="en-US" w:eastAsia="zh-CN" w:bidi="ar-SA"/>
              </w:rPr>
            </w:pPr>
            <w:r>
              <w:rPr>
                <w:rFonts w:hint="eastAsia" w:ascii="宋体" w:hAnsi="宋体" w:cs="Times New Roman"/>
                <w:kern w:val="2"/>
                <w:sz w:val="22"/>
                <w:szCs w:val="22"/>
                <w:lang w:val="en-US" w:eastAsia="zh-CN" w:bidi="ar-SA"/>
              </w:rPr>
              <w:t>0.5</w:t>
            </w:r>
          </w:p>
        </w:tc>
      </w:tr>
    </w:tbl>
    <w:p>
      <w:pPr>
        <w:spacing w:line="360" w:lineRule="auto"/>
        <w:ind w:firstLine="440" w:firstLineChars="200"/>
        <w:rPr>
          <w:rFonts w:ascii="宋体" w:hAnsi="宋体"/>
          <w:sz w:val="22"/>
          <w:szCs w:val="22"/>
        </w:rPr>
      </w:pPr>
      <w:r>
        <w:rPr>
          <w:rFonts w:hint="eastAsia" w:ascii="宋体" w:hAnsi="宋体"/>
          <w:sz w:val="22"/>
          <w:szCs w:val="22"/>
          <w:lang w:val="en-US" w:eastAsia="zh-CN"/>
        </w:rPr>
        <w:t>4</w:t>
      </w:r>
      <w:r>
        <w:rPr>
          <w:rFonts w:hint="eastAsia" w:ascii="宋体" w:hAnsi="宋体"/>
          <w:sz w:val="22"/>
          <w:szCs w:val="22"/>
        </w:rPr>
        <w:t>、灯具采用半截光型，防护等级IP65以上，功率因数达到0.9以上，照明供电回路采用三相供电，以保证三相平衡。</w:t>
      </w:r>
    </w:p>
    <w:p>
      <w:pPr>
        <w:spacing w:line="360" w:lineRule="auto"/>
        <w:ind w:firstLine="440" w:firstLineChars="200"/>
        <w:rPr>
          <w:rFonts w:ascii="宋体" w:hAnsi="宋体"/>
          <w:sz w:val="22"/>
          <w:szCs w:val="22"/>
        </w:rPr>
      </w:pPr>
      <w:r>
        <w:rPr>
          <w:rFonts w:hint="eastAsia" w:ascii="宋体" w:hAnsi="宋体"/>
          <w:sz w:val="22"/>
          <w:szCs w:val="22"/>
          <w:lang w:val="en-US" w:eastAsia="zh-CN"/>
        </w:rPr>
        <w:t>5</w:t>
      </w:r>
      <w:r>
        <w:rPr>
          <w:rFonts w:hint="eastAsia" w:ascii="宋体" w:hAnsi="宋体"/>
          <w:sz w:val="22"/>
          <w:szCs w:val="22"/>
        </w:rPr>
        <w:t>、</w:t>
      </w:r>
      <w:r>
        <w:rPr>
          <w:rFonts w:hint="eastAsia" w:ascii="宋体" w:hAnsi="宋体"/>
          <w:sz w:val="22"/>
          <w:szCs w:val="22"/>
          <w:lang w:val="en-US" w:eastAsia="zh-CN"/>
        </w:rPr>
        <w:t>对本项目的所有电缆及相应套管，各投标单位应依据电气设计规范和电缆设计规范等国家相关要求进行设计、施工；</w:t>
      </w:r>
    </w:p>
    <w:p>
      <w:pPr>
        <w:spacing w:line="360" w:lineRule="auto"/>
        <w:ind w:firstLine="440" w:firstLineChars="200"/>
        <w:rPr>
          <w:rFonts w:ascii="宋体" w:hAnsi="宋体"/>
          <w:sz w:val="22"/>
          <w:szCs w:val="22"/>
        </w:rPr>
      </w:pPr>
      <w:r>
        <w:rPr>
          <w:rFonts w:hint="eastAsia" w:ascii="宋体" w:hAnsi="宋体"/>
          <w:sz w:val="22"/>
          <w:szCs w:val="22"/>
          <w:lang w:val="en-US" w:eastAsia="zh-CN"/>
        </w:rPr>
        <w:t>6</w:t>
      </w:r>
      <w:r>
        <w:rPr>
          <w:rFonts w:hint="eastAsia" w:ascii="宋体" w:hAnsi="宋体"/>
          <w:sz w:val="22"/>
          <w:szCs w:val="22"/>
        </w:rPr>
        <w:t>、道路照明灯杆利用灯杆基础内的预埋接地体及结构钢筋为重复接地，灯杆与预埋接地体须可靠接地，接地电阻应小于4欧姆，其中照明电缆的PE线采用须与每根灯杆内的接地螺栓牢固连接，沿线不得中断。</w:t>
      </w:r>
    </w:p>
    <w:p>
      <w:pPr>
        <w:spacing w:line="360" w:lineRule="auto"/>
        <w:ind w:firstLine="440" w:firstLineChars="200"/>
        <w:rPr>
          <w:rFonts w:ascii="宋体" w:hAnsi="宋体"/>
          <w:sz w:val="22"/>
          <w:szCs w:val="22"/>
        </w:rPr>
      </w:pPr>
      <w:r>
        <w:rPr>
          <w:rFonts w:hint="eastAsia" w:ascii="宋体" w:hAnsi="宋体"/>
          <w:sz w:val="22"/>
          <w:szCs w:val="22"/>
          <w:lang w:val="en-US" w:eastAsia="zh-CN"/>
        </w:rPr>
        <w:t>7</w:t>
      </w:r>
      <w:r>
        <w:rPr>
          <w:rFonts w:hint="eastAsia" w:ascii="宋体" w:hAnsi="宋体"/>
          <w:sz w:val="22"/>
          <w:szCs w:val="22"/>
        </w:rPr>
        <w:t>、每套道路照明灯具由灯杆下部配电接线板至灯具的配线采用RVV-3x2.5mm2</w:t>
      </w:r>
      <w:r>
        <w:rPr>
          <w:rFonts w:hint="eastAsia" w:ascii="宋体" w:hAnsi="宋体"/>
          <w:sz w:val="22"/>
          <w:szCs w:val="22"/>
          <w:lang w:eastAsia="zh-CN"/>
        </w:rPr>
        <w:t>或</w:t>
      </w:r>
      <w:r>
        <w:rPr>
          <w:rFonts w:hint="eastAsia" w:ascii="宋体" w:hAnsi="宋体"/>
          <w:sz w:val="22"/>
          <w:szCs w:val="22"/>
          <w:lang w:val="en-US" w:eastAsia="zh-CN"/>
        </w:rPr>
        <w:t>RVV-3</w:t>
      </w:r>
      <w:r>
        <w:rPr>
          <w:rFonts w:hint="eastAsia" w:ascii="宋体" w:hAnsi="宋体"/>
          <w:sz w:val="22"/>
          <w:szCs w:val="22"/>
        </w:rPr>
        <w:t>x</w:t>
      </w:r>
      <w:r>
        <w:rPr>
          <w:rFonts w:hint="eastAsia" w:ascii="宋体" w:hAnsi="宋体"/>
          <w:sz w:val="22"/>
          <w:szCs w:val="22"/>
          <w:lang w:val="en-US" w:eastAsia="zh-CN"/>
        </w:rPr>
        <w:t>4</w:t>
      </w:r>
      <w:r>
        <w:rPr>
          <w:rFonts w:hint="eastAsia" w:ascii="宋体" w:hAnsi="宋体"/>
          <w:sz w:val="22"/>
          <w:szCs w:val="22"/>
        </w:rPr>
        <w:t>mm2铜芯聚氯乙烯绝缘护套软线，以一对一的方式连接灯具。</w:t>
      </w:r>
    </w:p>
    <w:p>
      <w:pPr>
        <w:spacing w:line="360" w:lineRule="auto"/>
        <w:ind w:firstLine="440" w:firstLineChars="200"/>
        <w:rPr>
          <w:rFonts w:ascii="宋体" w:hAnsi="宋体"/>
          <w:sz w:val="22"/>
          <w:szCs w:val="22"/>
        </w:rPr>
      </w:pPr>
      <w:r>
        <w:rPr>
          <w:rFonts w:hint="eastAsia" w:ascii="宋体" w:hAnsi="宋体"/>
          <w:sz w:val="22"/>
          <w:szCs w:val="22"/>
          <w:lang w:val="en-US" w:eastAsia="zh-CN"/>
        </w:rPr>
        <w:t>8</w:t>
      </w:r>
      <w:r>
        <w:rPr>
          <w:rFonts w:hint="eastAsia" w:ascii="宋体" w:hAnsi="宋体"/>
          <w:sz w:val="22"/>
          <w:szCs w:val="22"/>
        </w:rPr>
        <w:t>、本工程</w:t>
      </w:r>
      <w:r>
        <w:rPr>
          <w:rFonts w:hint="eastAsia" w:ascii="宋体" w:hAnsi="宋体"/>
          <w:sz w:val="22"/>
          <w:szCs w:val="22"/>
          <w:lang w:eastAsia="zh-CN"/>
        </w:rPr>
        <w:t>采用</w:t>
      </w:r>
      <w:r>
        <w:rPr>
          <w:rFonts w:hint="eastAsia" w:ascii="宋体" w:hAnsi="宋体"/>
          <w:sz w:val="22"/>
          <w:szCs w:val="22"/>
        </w:rPr>
        <w:t>三级负荷，配电半径约</w:t>
      </w:r>
      <w:r>
        <w:rPr>
          <w:rFonts w:hint="eastAsia" w:ascii="宋体" w:hAnsi="宋体"/>
          <w:sz w:val="22"/>
          <w:szCs w:val="22"/>
          <w:lang w:val="en-US" w:eastAsia="zh-CN"/>
        </w:rPr>
        <w:t>2300</w:t>
      </w:r>
      <w:r>
        <w:rPr>
          <w:rFonts w:hint="eastAsia" w:ascii="宋体" w:hAnsi="宋体"/>
          <w:sz w:val="22"/>
          <w:szCs w:val="22"/>
        </w:rPr>
        <w:t>米，设置路灯配电控制箱，供电电源引自周边低压公用电网。</w:t>
      </w:r>
    </w:p>
    <w:p>
      <w:pPr>
        <w:spacing w:line="360" w:lineRule="auto"/>
        <w:ind w:firstLine="440" w:firstLineChars="200"/>
        <w:rPr>
          <w:rFonts w:ascii="宋体" w:hAnsi="宋体"/>
          <w:color w:val="000000" w:themeColor="text1"/>
          <w:sz w:val="22"/>
          <w:szCs w:val="22"/>
        </w:rPr>
      </w:pPr>
      <w:r>
        <w:rPr>
          <w:rFonts w:hint="eastAsia" w:ascii="宋体" w:hAnsi="宋体"/>
          <w:sz w:val="22"/>
          <w:szCs w:val="22"/>
          <w:lang w:val="en-US" w:eastAsia="zh-CN"/>
        </w:rPr>
        <w:t>9</w:t>
      </w:r>
      <w:r>
        <w:rPr>
          <w:rFonts w:hint="eastAsia" w:ascii="宋体" w:hAnsi="宋体"/>
          <w:sz w:val="22"/>
          <w:szCs w:val="22"/>
        </w:rPr>
        <w:t>、配电箱箱体做接地保护，配电箱处中性线为N线时不允许接地。接地体埋深0.7米，接地极与接地线联应焊接，并在焊接处涂沥青等防腐，具体做法见国标《15D501》。低压配电系统接地型式采用TN-S系统。路灯照明线路PE线在平面图标注接地的路灯处做重复接地，接地电阻小于10欧，路灯控制箱等所有正常情况</w:t>
      </w:r>
      <w:r>
        <w:rPr>
          <w:rFonts w:hint="eastAsia" w:ascii="宋体" w:hAnsi="宋体"/>
          <w:color w:val="000000" w:themeColor="text1"/>
          <w:sz w:val="22"/>
          <w:szCs w:val="22"/>
        </w:rPr>
        <w:t>下不应带电的金属外壳、穿线钢管等均应可靠接地。</w:t>
      </w:r>
    </w:p>
    <w:p>
      <w:pPr>
        <w:spacing w:line="360" w:lineRule="auto"/>
        <w:ind w:firstLine="440" w:firstLineChars="200"/>
        <w:rPr>
          <w:rFonts w:hint="eastAsia" w:ascii="宋体" w:hAnsi="宋体" w:eastAsia="宋体"/>
          <w:color w:val="000000" w:themeColor="text1"/>
          <w:sz w:val="22"/>
          <w:szCs w:val="22"/>
          <w:lang w:eastAsia="zh-CN"/>
        </w:rPr>
      </w:pPr>
      <w:r>
        <w:rPr>
          <w:rFonts w:hint="eastAsia" w:ascii="宋体" w:hAnsi="宋体"/>
          <w:color w:val="000000" w:themeColor="text1"/>
          <w:sz w:val="22"/>
          <w:szCs w:val="22"/>
          <w:lang w:val="en-US" w:eastAsia="zh-CN"/>
        </w:rPr>
        <w:t>10</w:t>
      </w:r>
      <w:r>
        <w:rPr>
          <w:rFonts w:hint="eastAsia" w:ascii="宋体" w:hAnsi="宋体"/>
          <w:color w:val="000000" w:themeColor="text1"/>
          <w:sz w:val="22"/>
          <w:szCs w:val="22"/>
        </w:rPr>
        <w:t>、道路照明灯具设置：灯杆采用优质钢板经模压成型，内外热镀锌处理后表面喷金属漆，热镀锌、喷金属漆、喷塑工艺均应达到国家相关规范中的要求。灯杆壁厚为</w:t>
      </w:r>
      <w:r>
        <w:rPr>
          <w:rFonts w:hint="eastAsia" w:ascii="宋体" w:hAnsi="宋体"/>
          <w:b/>
          <w:bCs/>
          <w:color w:val="000000" w:themeColor="text1"/>
          <w:sz w:val="22"/>
          <w:szCs w:val="22"/>
          <w:u w:val="single"/>
          <w:lang w:val="en-US" w:eastAsia="zh-CN"/>
        </w:rPr>
        <w:t>3</w:t>
      </w:r>
      <w:r>
        <w:rPr>
          <w:rFonts w:hint="eastAsia" w:ascii="宋体" w:hAnsi="宋体"/>
          <w:b/>
          <w:bCs/>
          <w:color w:val="000000" w:themeColor="text1"/>
          <w:sz w:val="22"/>
          <w:szCs w:val="22"/>
          <w:u w:val="single"/>
        </w:rPr>
        <w:t>~5mm</w:t>
      </w:r>
      <w:r>
        <w:rPr>
          <w:rFonts w:hint="eastAsia" w:ascii="宋体" w:hAnsi="宋体"/>
          <w:color w:val="000000" w:themeColor="text1"/>
          <w:sz w:val="22"/>
          <w:szCs w:val="22"/>
        </w:rPr>
        <w:t>。灯杆中心位于道路两侧，采用</w:t>
      </w:r>
      <w:r>
        <w:rPr>
          <w:rFonts w:hint="eastAsia" w:ascii="宋体" w:hAnsi="宋体"/>
          <w:color w:val="000000" w:themeColor="text1"/>
          <w:sz w:val="22"/>
          <w:szCs w:val="22"/>
          <w:lang w:eastAsia="zh-CN"/>
        </w:rPr>
        <w:t>单</w:t>
      </w:r>
      <w:r>
        <w:rPr>
          <w:rFonts w:hint="eastAsia" w:ascii="宋体" w:hAnsi="宋体"/>
          <w:color w:val="000000" w:themeColor="text1"/>
          <w:sz w:val="22"/>
          <w:szCs w:val="22"/>
        </w:rPr>
        <w:t>侧</w:t>
      </w:r>
      <w:r>
        <w:rPr>
          <w:rFonts w:hint="eastAsia" w:ascii="宋体" w:hAnsi="宋体"/>
          <w:color w:val="000000" w:themeColor="text1"/>
          <w:sz w:val="22"/>
          <w:szCs w:val="22"/>
          <w:lang w:eastAsia="zh-CN"/>
        </w:rPr>
        <w:t>均匀</w:t>
      </w:r>
      <w:r>
        <w:rPr>
          <w:rFonts w:hint="eastAsia" w:ascii="宋体" w:hAnsi="宋体"/>
          <w:color w:val="000000" w:themeColor="text1"/>
          <w:sz w:val="22"/>
          <w:szCs w:val="22"/>
        </w:rPr>
        <w:t>布置，光源采用</w:t>
      </w:r>
      <w:r>
        <w:rPr>
          <w:rFonts w:hint="eastAsia" w:ascii="宋体" w:hAnsi="宋体"/>
          <w:b/>
          <w:bCs/>
          <w:color w:val="000000" w:themeColor="text1"/>
          <w:sz w:val="22"/>
          <w:szCs w:val="22"/>
          <w:u w:val="none"/>
          <w:lang w:val="en-US" w:eastAsia="zh-CN"/>
        </w:rPr>
        <w:t>LED</w:t>
      </w:r>
      <w:r>
        <w:rPr>
          <w:rFonts w:hint="eastAsia" w:ascii="宋体" w:hAnsi="宋体"/>
          <w:color w:val="000000" w:themeColor="text1"/>
          <w:sz w:val="22"/>
          <w:szCs w:val="22"/>
        </w:rPr>
        <w:t>灯，纵向间距约为</w:t>
      </w:r>
      <w:r>
        <w:rPr>
          <w:rFonts w:hint="eastAsia" w:ascii="宋体" w:hAnsi="宋体"/>
          <w:color w:val="000000" w:themeColor="text1"/>
          <w:sz w:val="22"/>
          <w:szCs w:val="22"/>
          <w:lang w:val="en-US" w:eastAsia="zh-CN"/>
        </w:rPr>
        <w:t>25</w:t>
      </w:r>
      <w:r>
        <w:rPr>
          <w:rFonts w:hint="eastAsia" w:ascii="宋体" w:hAnsi="宋体"/>
          <w:color w:val="000000" w:themeColor="text1"/>
          <w:sz w:val="22"/>
          <w:szCs w:val="22"/>
        </w:rPr>
        <w:t>米</w:t>
      </w:r>
      <w:r>
        <w:rPr>
          <w:rFonts w:hint="eastAsia" w:ascii="宋体" w:hAnsi="宋体"/>
          <w:color w:val="000000" w:themeColor="text1"/>
          <w:sz w:val="22"/>
          <w:szCs w:val="22"/>
          <w:lang w:eastAsia="zh-CN"/>
        </w:rPr>
        <w:t>。</w:t>
      </w:r>
    </w:p>
    <w:p>
      <w:pPr>
        <w:spacing w:line="360" w:lineRule="auto"/>
        <w:ind w:firstLine="440" w:firstLineChars="200"/>
        <w:rPr>
          <w:rFonts w:ascii="宋体" w:hAnsi="宋体"/>
          <w:color w:val="000000" w:themeColor="text1"/>
          <w:sz w:val="22"/>
          <w:szCs w:val="22"/>
        </w:rPr>
      </w:pPr>
      <w:r>
        <w:rPr>
          <w:rFonts w:hint="eastAsia" w:ascii="宋体" w:hAnsi="宋体"/>
          <w:color w:val="000000" w:themeColor="text1"/>
          <w:sz w:val="22"/>
          <w:szCs w:val="22"/>
          <w:lang w:val="en-US" w:eastAsia="zh-CN"/>
        </w:rPr>
        <w:t>11</w:t>
      </w:r>
      <w:r>
        <w:rPr>
          <w:rFonts w:hint="eastAsia" w:ascii="宋体" w:hAnsi="宋体"/>
          <w:color w:val="000000" w:themeColor="text1"/>
          <w:sz w:val="22"/>
          <w:szCs w:val="22"/>
        </w:rPr>
        <w:t>、所选LED光源灯具的显色指数宜不小于60。</w:t>
      </w:r>
    </w:p>
    <w:p>
      <w:pPr>
        <w:spacing w:line="360" w:lineRule="auto"/>
        <w:ind w:firstLine="440" w:firstLineChars="200"/>
        <w:rPr>
          <w:rFonts w:hint="eastAsia" w:ascii="宋体" w:hAnsi="宋体" w:eastAsia="宋体"/>
          <w:sz w:val="22"/>
          <w:szCs w:val="22"/>
          <w:lang w:eastAsia="zh-CN"/>
        </w:rPr>
      </w:pPr>
      <w:r>
        <w:rPr>
          <w:rFonts w:hint="eastAsia" w:ascii="宋体" w:hAnsi="宋体"/>
          <w:color w:val="000000" w:themeColor="text1"/>
          <w:sz w:val="22"/>
          <w:szCs w:val="22"/>
        </w:rPr>
        <w:t>1</w:t>
      </w:r>
      <w:r>
        <w:rPr>
          <w:rFonts w:hint="eastAsia" w:ascii="宋体" w:hAnsi="宋体"/>
          <w:color w:val="000000" w:themeColor="text1"/>
          <w:sz w:val="22"/>
          <w:szCs w:val="22"/>
          <w:lang w:val="en-US" w:eastAsia="zh-CN"/>
        </w:rPr>
        <w:t>2</w:t>
      </w:r>
      <w:r>
        <w:rPr>
          <w:rFonts w:hint="eastAsia" w:ascii="宋体" w:hAnsi="宋体"/>
          <w:color w:val="000000" w:themeColor="text1"/>
          <w:sz w:val="22"/>
          <w:szCs w:val="22"/>
        </w:rPr>
        <w:t>、LED灯具要求：LED整灯发光效率不小于110Lm/w；色温4000K左右，所在道路的光源色温应一致，灯具效能限值</w:t>
      </w:r>
      <w:r>
        <w:rPr>
          <w:rFonts w:hint="eastAsia" w:ascii="宋体" w:hAnsi="宋体"/>
          <w:color w:val="000000" w:themeColor="text1"/>
          <w:sz w:val="22"/>
          <w:szCs w:val="22"/>
          <w:lang w:val="en-US" w:eastAsia="zh-CN"/>
        </w:rPr>
        <w:t>不低于</w:t>
      </w:r>
      <w:r>
        <w:rPr>
          <w:rFonts w:hint="eastAsia" w:ascii="宋体" w:hAnsi="宋体"/>
          <w:b/>
          <w:bCs/>
          <w:color w:val="000000" w:themeColor="text1"/>
          <w:sz w:val="22"/>
          <w:szCs w:val="22"/>
          <w:u w:val="single"/>
          <w:lang w:val="en-US" w:eastAsia="zh-CN"/>
        </w:rPr>
        <w:t>95（lm/W）</w:t>
      </w:r>
      <w:r>
        <w:rPr>
          <w:rFonts w:hint="eastAsia" w:ascii="宋体" w:hAnsi="宋体"/>
          <w:color w:val="000000" w:themeColor="text1"/>
          <w:sz w:val="22"/>
          <w:szCs w:val="22"/>
        </w:rPr>
        <w:t>；LED灯具使用寿命大于50000小时；LED灯具选用高效的恒流驱动，效率大于90%，功率因数大于0.9，并具有过流、过热、过压、短路以及开关冲击等保护功能；防护等级IP65；灯挑及灯具必须设置防脱落装置；灯具内所有</w:t>
      </w:r>
      <w:r>
        <w:rPr>
          <w:rFonts w:hint="eastAsia" w:ascii="宋体" w:hAnsi="宋体"/>
          <w:sz w:val="22"/>
          <w:szCs w:val="22"/>
        </w:rPr>
        <w:t>紧固件（包括固定螺丝、卡扣等）均采用不绣钢材料。</w:t>
      </w:r>
      <w:r>
        <w:rPr>
          <w:rFonts w:hint="eastAsia" w:ascii="宋体" w:hAnsi="宋体"/>
          <w:sz w:val="22"/>
          <w:szCs w:val="22"/>
          <w:lang w:eastAsia="zh-CN"/>
        </w:rPr>
        <w:t>本工程采用智能控制方式。</w:t>
      </w:r>
    </w:p>
    <w:p>
      <w:pPr>
        <w:spacing w:line="360" w:lineRule="auto"/>
        <w:ind w:firstLine="440" w:firstLineChars="200"/>
        <w:rPr>
          <w:rFonts w:ascii="宋体" w:hAnsi="宋体"/>
          <w:sz w:val="22"/>
          <w:szCs w:val="22"/>
        </w:rPr>
      </w:pPr>
      <w:r>
        <w:rPr>
          <w:rFonts w:hint="eastAsia" w:ascii="宋体" w:hAnsi="宋体"/>
          <w:sz w:val="22"/>
          <w:szCs w:val="22"/>
        </w:rPr>
        <w:t>1</w:t>
      </w:r>
      <w:r>
        <w:rPr>
          <w:rFonts w:hint="eastAsia" w:ascii="宋体" w:hAnsi="宋体"/>
          <w:sz w:val="22"/>
          <w:szCs w:val="22"/>
          <w:lang w:val="en-US" w:eastAsia="zh-CN"/>
        </w:rPr>
        <w:t>3</w:t>
      </w:r>
      <w:r>
        <w:rPr>
          <w:rFonts w:hint="eastAsia" w:ascii="宋体" w:hAnsi="宋体"/>
          <w:sz w:val="22"/>
          <w:szCs w:val="22"/>
        </w:rPr>
        <w:t>、在标称工作状态下，灯具连续燃点3000小时的光源光通量维持率不应小于96%，灯具连续燃点6000小时的光源光通量维持率不应小于92%。</w:t>
      </w:r>
    </w:p>
    <w:p>
      <w:pPr>
        <w:spacing w:line="360" w:lineRule="auto"/>
        <w:ind w:firstLine="440" w:firstLineChars="200"/>
        <w:rPr>
          <w:rFonts w:ascii="宋体" w:hAnsi="宋体"/>
          <w:sz w:val="22"/>
          <w:szCs w:val="22"/>
        </w:rPr>
      </w:pPr>
      <w:r>
        <w:rPr>
          <w:rFonts w:hint="eastAsia" w:ascii="宋体" w:hAnsi="宋体"/>
          <w:sz w:val="22"/>
          <w:szCs w:val="22"/>
        </w:rPr>
        <w:t>1</w:t>
      </w:r>
      <w:r>
        <w:rPr>
          <w:rFonts w:hint="eastAsia" w:ascii="宋体" w:hAnsi="宋体"/>
          <w:sz w:val="22"/>
          <w:szCs w:val="22"/>
          <w:lang w:val="en-US" w:eastAsia="zh-CN"/>
        </w:rPr>
        <w:t>4</w:t>
      </w:r>
      <w:r>
        <w:rPr>
          <w:rFonts w:hint="eastAsia" w:ascii="宋体" w:hAnsi="宋体"/>
          <w:sz w:val="22"/>
          <w:szCs w:val="22"/>
        </w:rPr>
        <w:t>、灯具的电源模组应符合现行国家标准《灯的控制装置 第14部分：LED模块用直流或交流电子控制装置的特殊要求》GB 19510.14的要求，且可现场替换，替换后防护等级不应降低。</w:t>
      </w:r>
    </w:p>
    <w:p>
      <w:pPr>
        <w:spacing w:line="360" w:lineRule="auto"/>
        <w:ind w:firstLine="440" w:firstLineChars="200"/>
        <w:rPr>
          <w:rFonts w:ascii="宋体" w:hAnsi="宋体"/>
          <w:sz w:val="22"/>
          <w:szCs w:val="22"/>
        </w:rPr>
      </w:pPr>
      <w:r>
        <w:rPr>
          <w:rFonts w:hint="eastAsia" w:ascii="宋体" w:hAnsi="宋体"/>
          <w:sz w:val="22"/>
          <w:szCs w:val="22"/>
        </w:rPr>
        <w:t>1</w:t>
      </w:r>
      <w:r>
        <w:rPr>
          <w:rFonts w:hint="eastAsia" w:ascii="宋体" w:hAnsi="宋体"/>
          <w:sz w:val="22"/>
          <w:szCs w:val="22"/>
          <w:lang w:val="en-US" w:eastAsia="zh-CN"/>
        </w:rPr>
        <w:t>5</w:t>
      </w:r>
      <w:r>
        <w:rPr>
          <w:rFonts w:hint="eastAsia" w:ascii="宋体" w:hAnsi="宋体"/>
          <w:sz w:val="22"/>
          <w:szCs w:val="22"/>
        </w:rPr>
        <w:t>、灯具的无线电骚扰特性应符合现行国家标准《电气照明和类似设备的无线电骚扰特性的限制和测量方法》GB 17743的要求，谐波电流限制应符合现行国家标准《电磁兼容 限值 谐波电流发射限值（设备每相输入电流≤16A）》GB 17625.1 的要求，电磁兼容抗扰度应符合现行国家标准《一般照明用设备电磁兼容抗扰度要求》GB/T 18595的要求。</w:t>
      </w:r>
    </w:p>
    <w:p>
      <w:pPr>
        <w:spacing w:line="360" w:lineRule="auto"/>
        <w:ind w:firstLine="440" w:firstLineChars="200"/>
        <w:rPr>
          <w:rFonts w:ascii="宋体" w:hAnsi="宋体"/>
          <w:sz w:val="22"/>
          <w:szCs w:val="22"/>
        </w:rPr>
      </w:pPr>
      <w:r>
        <w:rPr>
          <w:rFonts w:hint="eastAsia" w:ascii="宋体" w:hAnsi="宋体"/>
          <w:sz w:val="22"/>
          <w:szCs w:val="22"/>
        </w:rPr>
        <w:t>1</w:t>
      </w:r>
      <w:r>
        <w:rPr>
          <w:rFonts w:hint="eastAsia" w:ascii="宋体" w:hAnsi="宋体"/>
          <w:sz w:val="22"/>
          <w:szCs w:val="22"/>
          <w:lang w:val="en-US" w:eastAsia="zh-CN"/>
        </w:rPr>
        <w:t>6</w:t>
      </w:r>
      <w:r>
        <w:rPr>
          <w:rFonts w:hint="eastAsia" w:ascii="宋体" w:hAnsi="宋体"/>
          <w:sz w:val="22"/>
          <w:szCs w:val="22"/>
        </w:rPr>
        <w:t>、电能计量：在配电箱进线处设置电度表。对有计量要求的其他功能用途回路另设电度表。</w:t>
      </w:r>
    </w:p>
    <w:p>
      <w:pPr>
        <w:spacing w:line="360" w:lineRule="auto"/>
        <w:ind w:firstLine="440" w:firstLineChars="200"/>
        <w:rPr>
          <w:rFonts w:hint="default" w:ascii="宋体" w:hAnsi="宋体" w:eastAsia="宋体"/>
          <w:sz w:val="22"/>
          <w:szCs w:val="22"/>
          <w:lang w:val="en-US" w:eastAsia="zh-CN"/>
        </w:rPr>
      </w:pPr>
      <w:r>
        <w:rPr>
          <w:rFonts w:hint="eastAsia" w:ascii="宋体" w:hAnsi="宋体"/>
          <w:sz w:val="22"/>
          <w:szCs w:val="22"/>
        </w:rPr>
        <w:t>1</w:t>
      </w:r>
      <w:r>
        <w:rPr>
          <w:rFonts w:hint="eastAsia" w:ascii="宋体" w:hAnsi="宋体"/>
          <w:sz w:val="22"/>
          <w:szCs w:val="22"/>
          <w:lang w:val="en-US" w:eastAsia="zh-CN"/>
        </w:rPr>
        <w:t>7</w:t>
      </w:r>
      <w:r>
        <w:rPr>
          <w:rFonts w:hint="eastAsia" w:ascii="宋体" w:hAnsi="宋体"/>
          <w:sz w:val="22"/>
          <w:szCs w:val="22"/>
        </w:rPr>
        <w:t>、道路照明控制前期采用电脑时间控制或光控仪和手动相结合，并预留接口，后期接入路灯管理处的三遥控制。</w:t>
      </w:r>
      <w:r>
        <w:rPr>
          <w:rFonts w:hint="eastAsia" w:ascii="宋体" w:hAnsi="宋体"/>
          <w:sz w:val="22"/>
          <w:szCs w:val="22"/>
          <w:lang w:eastAsia="zh-CN"/>
        </w:rPr>
        <w:t>夜间</w:t>
      </w:r>
      <w:r>
        <w:rPr>
          <w:rFonts w:hint="eastAsia" w:ascii="宋体" w:hAnsi="宋体"/>
          <w:sz w:val="22"/>
          <w:szCs w:val="22"/>
          <w:lang w:val="en-US" w:eastAsia="zh-CN"/>
        </w:rPr>
        <w:t>12点后路灯点亮方案改为间隔亮灯模式，以减少电量消耗。</w:t>
      </w:r>
    </w:p>
    <w:p>
      <w:pPr>
        <w:spacing w:line="360" w:lineRule="auto"/>
        <w:ind w:firstLine="440" w:firstLineChars="200"/>
        <w:rPr>
          <w:rFonts w:ascii="宋体" w:hAnsi="宋体"/>
          <w:sz w:val="22"/>
          <w:szCs w:val="22"/>
        </w:rPr>
      </w:pPr>
      <w:r>
        <w:rPr>
          <w:rFonts w:hint="eastAsia" w:ascii="宋体" w:hAnsi="宋体"/>
          <w:sz w:val="22"/>
          <w:szCs w:val="22"/>
        </w:rPr>
        <w:t>1</w:t>
      </w:r>
      <w:r>
        <w:rPr>
          <w:rFonts w:hint="eastAsia" w:ascii="宋体" w:hAnsi="宋体"/>
          <w:sz w:val="22"/>
          <w:szCs w:val="22"/>
          <w:lang w:val="en-US" w:eastAsia="zh-CN"/>
        </w:rPr>
        <w:t>8</w:t>
      </w:r>
      <w:r>
        <w:rPr>
          <w:rFonts w:hint="eastAsia" w:ascii="宋体" w:hAnsi="宋体"/>
          <w:sz w:val="22"/>
          <w:szCs w:val="22"/>
        </w:rPr>
        <w:t>、灯具电源应通过国家强制性产品认证。</w:t>
      </w:r>
    </w:p>
    <w:p>
      <w:pPr>
        <w:spacing w:line="360" w:lineRule="auto"/>
        <w:ind w:firstLine="440" w:firstLineChars="200"/>
        <w:rPr>
          <w:rFonts w:ascii="宋体" w:hAnsi="宋体"/>
          <w:sz w:val="22"/>
          <w:szCs w:val="22"/>
        </w:rPr>
      </w:pPr>
      <w:r>
        <w:rPr>
          <w:rFonts w:hint="eastAsia" w:ascii="宋体" w:hAnsi="宋体"/>
          <w:sz w:val="22"/>
          <w:szCs w:val="22"/>
        </w:rPr>
        <w:t>1</w:t>
      </w:r>
      <w:r>
        <w:rPr>
          <w:rFonts w:hint="eastAsia" w:ascii="宋体" w:hAnsi="宋体"/>
          <w:sz w:val="22"/>
          <w:szCs w:val="22"/>
          <w:lang w:val="en-US" w:eastAsia="zh-CN"/>
        </w:rPr>
        <w:t>9</w:t>
      </w:r>
      <w:r>
        <w:rPr>
          <w:rFonts w:hint="eastAsia" w:ascii="宋体" w:hAnsi="宋体"/>
          <w:sz w:val="22"/>
          <w:szCs w:val="22"/>
        </w:rPr>
        <w:t>、灯具安装详图符合有关厂家资料要求。</w:t>
      </w:r>
    </w:p>
    <w:p>
      <w:pPr>
        <w:spacing w:line="360" w:lineRule="auto"/>
        <w:ind w:firstLine="440" w:firstLineChars="200"/>
        <w:rPr>
          <w:rFonts w:ascii="宋体" w:hAnsi="宋体"/>
          <w:sz w:val="22"/>
          <w:szCs w:val="22"/>
        </w:rPr>
      </w:pPr>
      <w:r>
        <w:rPr>
          <w:rFonts w:hint="eastAsia" w:ascii="宋体" w:hAnsi="宋体"/>
          <w:sz w:val="22"/>
          <w:szCs w:val="22"/>
          <w:lang w:val="en-US" w:eastAsia="zh-CN"/>
        </w:rPr>
        <w:t>20</w:t>
      </w:r>
      <w:r>
        <w:rPr>
          <w:rFonts w:hint="eastAsia" w:ascii="宋体" w:hAnsi="宋体"/>
          <w:sz w:val="22"/>
          <w:szCs w:val="22"/>
        </w:rPr>
        <w:t>、配电箱基础。室外安装的配电箱应下设不低于200mm的基础，并应设锁或工具开启，且在明显处悬挂安全警示标志。</w:t>
      </w:r>
    </w:p>
    <w:p>
      <w:pPr>
        <w:pStyle w:val="227"/>
        <w:spacing w:line="360" w:lineRule="auto"/>
        <w:ind w:firstLine="440" w:firstLineChars="200"/>
        <w:rPr>
          <w:rFonts w:hint="eastAsia" w:ascii="宋体" w:hAnsi="宋体"/>
          <w:sz w:val="22"/>
        </w:rPr>
      </w:pPr>
      <w:r>
        <w:rPr>
          <w:rFonts w:hint="eastAsia" w:ascii="宋体" w:hAnsi="宋体"/>
          <w:sz w:val="22"/>
          <w:lang w:val="en-US" w:eastAsia="zh-CN"/>
        </w:rPr>
        <w:t>21</w:t>
      </w:r>
      <w:r>
        <w:rPr>
          <w:rFonts w:hint="eastAsia" w:ascii="宋体" w:hAnsi="宋体"/>
          <w:sz w:val="22"/>
        </w:rPr>
        <w:t>、施工时如遇给水、排水、电信等其他管线支管，路灯基础位置可进行适当调整。</w:t>
      </w:r>
    </w:p>
    <w:p>
      <w:pPr>
        <w:pStyle w:val="227"/>
        <w:spacing w:line="360" w:lineRule="auto"/>
        <w:ind w:firstLine="440" w:firstLineChars="200"/>
        <w:rPr>
          <w:rFonts w:hint="eastAsia" w:ascii="宋体" w:hAnsi="宋体"/>
          <w:sz w:val="22"/>
        </w:rPr>
      </w:pPr>
      <w:r>
        <w:rPr>
          <w:rFonts w:hint="eastAsia" w:ascii="宋体" w:hAnsi="宋体"/>
          <w:sz w:val="22"/>
        </w:rPr>
        <w:t>2</w:t>
      </w:r>
      <w:r>
        <w:rPr>
          <w:rFonts w:hint="eastAsia" w:ascii="宋体" w:hAnsi="宋体"/>
          <w:sz w:val="22"/>
          <w:lang w:val="en-US" w:eastAsia="zh-CN"/>
        </w:rPr>
        <w:t>2</w:t>
      </w:r>
      <w:r>
        <w:rPr>
          <w:rFonts w:hint="eastAsia" w:ascii="宋体" w:hAnsi="宋体"/>
          <w:sz w:val="22"/>
        </w:rPr>
        <w:t>、设计时应考虑路面修复</w:t>
      </w:r>
      <w:r>
        <w:rPr>
          <w:rFonts w:hint="eastAsia" w:ascii="宋体" w:hAnsi="宋体"/>
          <w:sz w:val="22"/>
          <w:lang w:eastAsia="zh-CN"/>
        </w:rPr>
        <w:t>及绿化景观复原</w:t>
      </w:r>
      <w:r>
        <w:rPr>
          <w:rFonts w:hint="eastAsia" w:ascii="宋体" w:hAnsi="宋体"/>
          <w:sz w:val="22"/>
        </w:rPr>
        <w:t>等问题。</w:t>
      </w:r>
    </w:p>
    <w:p>
      <w:pPr>
        <w:snapToGrid w:val="0"/>
        <w:spacing w:line="360" w:lineRule="auto"/>
        <w:rPr>
          <w:rFonts w:hint="eastAsia" w:ascii="宋体" w:hAnsi="宋体"/>
          <w:b/>
          <w:sz w:val="22"/>
          <w:szCs w:val="22"/>
        </w:rPr>
      </w:pPr>
      <w:r>
        <w:rPr>
          <w:rFonts w:hint="eastAsia" w:ascii="宋体" w:hAnsi="宋体"/>
          <w:b/>
          <w:sz w:val="22"/>
          <w:szCs w:val="22"/>
        </w:rPr>
        <w:t>（</w:t>
      </w:r>
      <w:r>
        <w:rPr>
          <w:rFonts w:hint="eastAsia" w:ascii="宋体" w:hAnsi="宋体"/>
          <w:b/>
          <w:sz w:val="22"/>
          <w:szCs w:val="22"/>
          <w:lang w:eastAsia="zh-CN"/>
        </w:rPr>
        <w:t>三</w:t>
      </w:r>
      <w:r>
        <w:rPr>
          <w:rFonts w:hint="eastAsia" w:ascii="宋体" w:hAnsi="宋体"/>
          <w:b/>
          <w:sz w:val="22"/>
          <w:szCs w:val="22"/>
        </w:rPr>
        <w:t>）</w:t>
      </w:r>
      <w:r>
        <w:rPr>
          <w:rFonts w:hint="eastAsia" w:ascii="宋体" w:hAnsi="宋体"/>
          <w:b/>
          <w:sz w:val="22"/>
          <w:szCs w:val="22"/>
          <w:lang w:eastAsia="zh-CN"/>
        </w:rPr>
        <w:t>夜景</w:t>
      </w:r>
      <w:r>
        <w:rPr>
          <w:rFonts w:hint="eastAsia" w:ascii="宋体" w:hAnsi="宋体"/>
          <w:b/>
          <w:sz w:val="22"/>
          <w:szCs w:val="22"/>
        </w:rPr>
        <w:t>照明要求</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2"/>
          <w:szCs w:val="22"/>
        </w:rPr>
      </w:pPr>
      <w:r>
        <w:rPr>
          <w:rFonts w:hint="eastAsia"/>
          <w:lang w:val="en-US" w:eastAsia="zh-CN"/>
        </w:rPr>
        <w:t>1、夜景照明设计</w:t>
      </w:r>
      <w:r>
        <w:rPr>
          <w:rFonts w:hint="eastAsia" w:ascii="宋体" w:hAnsi="宋体"/>
          <w:sz w:val="22"/>
          <w:szCs w:val="22"/>
        </w:rPr>
        <w:t>应遵守下列国标的规定。</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2"/>
          <w:szCs w:val="22"/>
          <w:lang w:val="en-US" w:eastAsia="zh-CN"/>
        </w:rPr>
      </w:pPr>
      <w:r>
        <w:rPr>
          <w:rFonts w:hint="eastAsia" w:ascii="宋体" w:hAnsi="宋体"/>
          <w:sz w:val="22"/>
          <w:szCs w:val="22"/>
          <w:lang w:val="en-US" w:eastAsia="zh-CN"/>
        </w:rPr>
        <w:t>（1）</w:t>
      </w:r>
      <w:r>
        <w:rPr>
          <w:rFonts w:hint="eastAsia" w:ascii="宋体" w:hAnsi="宋体"/>
          <w:sz w:val="22"/>
          <w:szCs w:val="22"/>
        </w:rPr>
        <w:t>、</w:t>
      </w:r>
      <w:r>
        <w:rPr>
          <w:rFonts w:hint="eastAsia" w:ascii="宋体" w:hAnsi="宋体"/>
          <w:sz w:val="22"/>
          <w:szCs w:val="22"/>
          <w:lang w:val="en-US" w:eastAsia="zh-CN"/>
        </w:rPr>
        <w:t>《民用建筑电气设计规范》             JGJ 16-2008</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2"/>
          <w:szCs w:val="22"/>
          <w:lang w:val="en-US" w:eastAsia="zh-CN"/>
        </w:rPr>
      </w:pPr>
      <w:r>
        <w:rPr>
          <w:rFonts w:hint="eastAsia" w:ascii="宋体" w:hAnsi="宋体"/>
          <w:sz w:val="22"/>
          <w:szCs w:val="22"/>
          <w:lang w:val="en-US" w:eastAsia="zh-CN"/>
        </w:rPr>
        <w:t>（2）、《供配电系统设计规范》               GB50052-2009</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2"/>
          <w:szCs w:val="22"/>
          <w:lang w:val="en-US" w:eastAsia="zh-CN"/>
        </w:rPr>
      </w:pPr>
      <w:r>
        <w:rPr>
          <w:rFonts w:hint="eastAsia" w:ascii="宋体" w:hAnsi="宋体"/>
          <w:sz w:val="22"/>
          <w:szCs w:val="22"/>
          <w:lang w:val="en-US" w:eastAsia="zh-CN"/>
        </w:rPr>
        <w:t>（3）、《低压配电设计规范》                 GB50054-2011</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2"/>
          <w:szCs w:val="22"/>
          <w:lang w:val="en-US" w:eastAsia="zh-CN"/>
        </w:rPr>
      </w:pPr>
      <w:r>
        <w:rPr>
          <w:rFonts w:hint="eastAsia" w:ascii="宋体" w:hAnsi="宋体"/>
          <w:sz w:val="22"/>
          <w:szCs w:val="22"/>
          <w:lang w:val="en-US" w:eastAsia="zh-CN"/>
        </w:rPr>
        <w:t>（4）、《电力工程电缆设计规范》             GB50217-2007</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2"/>
          <w:szCs w:val="22"/>
          <w:lang w:val="en-US" w:eastAsia="zh-CN"/>
        </w:rPr>
      </w:pPr>
      <w:r>
        <w:rPr>
          <w:rFonts w:hint="eastAsia" w:ascii="宋体" w:hAnsi="宋体"/>
          <w:sz w:val="22"/>
          <w:szCs w:val="22"/>
          <w:lang w:val="en-US" w:eastAsia="zh-CN"/>
        </w:rPr>
        <w:t>（5）、《建筑照明设计标准》                 GB50034-2013</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sz w:val="22"/>
          <w:szCs w:val="22"/>
          <w:lang w:val="en-US" w:eastAsia="zh-CN"/>
        </w:rPr>
      </w:pPr>
      <w:r>
        <w:rPr>
          <w:rFonts w:hint="eastAsia" w:ascii="宋体" w:hAnsi="宋体"/>
          <w:sz w:val="22"/>
          <w:szCs w:val="22"/>
          <w:lang w:val="en-US" w:eastAsia="zh-CN"/>
        </w:rPr>
        <w:t>（6）、《建筑物防雷设计规范》               GB50057-2010</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2"/>
          <w:szCs w:val="22"/>
          <w:lang w:val="en-US" w:eastAsia="zh-CN"/>
        </w:rPr>
      </w:pPr>
      <w:r>
        <w:rPr>
          <w:rFonts w:hint="eastAsia" w:ascii="宋体" w:hAnsi="宋体"/>
          <w:sz w:val="22"/>
          <w:szCs w:val="22"/>
          <w:lang w:val="en-US" w:eastAsia="zh-CN"/>
        </w:rPr>
        <w:t>（7）、《综合布线系统工程设计规范》         GB/T50311-2016</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2"/>
          <w:szCs w:val="22"/>
          <w:lang w:val="en-US" w:eastAsia="zh-CN"/>
        </w:rPr>
      </w:pPr>
      <w:r>
        <w:rPr>
          <w:rFonts w:hint="eastAsia" w:ascii="宋体" w:hAnsi="宋体"/>
          <w:sz w:val="22"/>
          <w:szCs w:val="22"/>
          <w:lang w:val="en-US" w:eastAsia="zh-CN"/>
        </w:rPr>
        <w:t>（8）、《城市夜景照明设计规范》             JGJ/T163-2008</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sz w:val="22"/>
          <w:szCs w:val="22"/>
          <w:lang w:val="en-US" w:eastAsia="zh-CN"/>
        </w:rPr>
      </w:pPr>
      <w:r>
        <w:rPr>
          <w:rFonts w:hint="eastAsia" w:ascii="宋体" w:hAnsi="宋体"/>
          <w:sz w:val="22"/>
          <w:szCs w:val="22"/>
          <w:lang w:val="en-US" w:eastAsia="zh-CN"/>
        </w:rPr>
        <w:t>（9）、国家和地方现行的其他设计规范及标准。</w:t>
      </w:r>
    </w:p>
    <w:p>
      <w:pPr>
        <w:autoSpaceDE w:val="0"/>
        <w:autoSpaceDN w:val="0"/>
        <w:adjustRightInd w:val="0"/>
        <w:jc w:val="left"/>
        <w:rPr>
          <w:rFonts w:hint="eastAsia" w:ascii="宋体" w:hAnsi="宋体"/>
          <w:b/>
          <w:sz w:val="22"/>
          <w:szCs w:val="22"/>
          <w:lang w:val="en-US" w:eastAsia="zh-CN"/>
        </w:rPr>
      </w:pPr>
      <w:r>
        <w:rPr>
          <w:rFonts w:hint="eastAsia" w:ascii="宋体" w:hAnsi="宋体"/>
          <w:b/>
          <w:sz w:val="22"/>
          <w:szCs w:val="22"/>
          <w:lang w:val="en-US" w:eastAsia="zh-CN"/>
        </w:rPr>
        <w:t>2、供电电源</w:t>
      </w:r>
    </w:p>
    <w:p>
      <w:pPr>
        <w:pStyle w:val="53"/>
        <w:keepNext w:val="0"/>
        <w:keepLines w:val="0"/>
        <w:pageBreakBefore w:val="0"/>
        <w:widowControl w:val="0"/>
        <w:kinsoku/>
        <w:wordWrap/>
        <w:overflowPunct/>
        <w:topLinePunct w:val="0"/>
        <w:autoSpaceDE/>
        <w:autoSpaceDN/>
        <w:bidi w:val="0"/>
        <w:adjustRightInd/>
        <w:snapToGrid/>
        <w:spacing w:line="360" w:lineRule="auto"/>
        <w:ind w:firstLine="220" w:firstLineChars="100"/>
        <w:textAlignment w:val="auto"/>
        <w:rPr>
          <w:rFonts w:hint="eastAsia" w:ascii="宋体" w:hAnsi="宋体"/>
          <w:b w:val="0"/>
          <w:bCs/>
          <w:sz w:val="22"/>
          <w:szCs w:val="22"/>
          <w:lang w:val="en-US" w:eastAsia="zh-CN"/>
        </w:rPr>
      </w:pPr>
      <w:r>
        <w:rPr>
          <w:rFonts w:hint="eastAsia" w:ascii="宋体" w:hAnsi="宋体"/>
          <w:b w:val="0"/>
          <w:bCs/>
          <w:sz w:val="22"/>
          <w:szCs w:val="22"/>
          <w:lang w:val="en-US" w:eastAsia="zh-CN"/>
        </w:rPr>
        <w:t>2.1夜景照明设置独立的配电系统，电压AC220/380V，电源引自甲方指定位置。</w:t>
      </w:r>
    </w:p>
    <w:p>
      <w:pPr>
        <w:pStyle w:val="53"/>
        <w:keepNext w:val="0"/>
        <w:keepLines w:val="0"/>
        <w:pageBreakBefore w:val="0"/>
        <w:widowControl w:val="0"/>
        <w:kinsoku/>
        <w:wordWrap/>
        <w:overflowPunct/>
        <w:topLinePunct w:val="0"/>
        <w:autoSpaceDE/>
        <w:autoSpaceDN/>
        <w:bidi w:val="0"/>
        <w:adjustRightInd/>
        <w:snapToGrid/>
        <w:spacing w:line="360" w:lineRule="auto"/>
        <w:ind w:firstLine="220" w:firstLineChars="100"/>
        <w:textAlignment w:val="auto"/>
        <w:rPr>
          <w:rFonts w:hint="eastAsia" w:ascii="宋体" w:hAnsi="宋体"/>
          <w:b w:val="0"/>
          <w:bCs/>
          <w:sz w:val="22"/>
          <w:szCs w:val="22"/>
          <w:lang w:val="en-US" w:eastAsia="zh-CN"/>
        </w:rPr>
      </w:pPr>
      <w:r>
        <w:rPr>
          <w:rFonts w:hint="eastAsia" w:ascii="宋体" w:hAnsi="宋体"/>
          <w:b w:val="0"/>
          <w:bCs/>
          <w:sz w:val="22"/>
          <w:szCs w:val="22"/>
          <w:lang w:val="en-US" w:eastAsia="zh-CN"/>
        </w:rPr>
        <w:t>2.2电压波动允许范围为+5%，-7%。</w:t>
      </w:r>
    </w:p>
    <w:p>
      <w:pPr>
        <w:pStyle w:val="53"/>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宋体" w:hAnsi="宋体"/>
          <w:b/>
          <w:bCs w:val="0"/>
          <w:sz w:val="22"/>
          <w:szCs w:val="22"/>
          <w:lang w:val="en-US" w:eastAsia="zh-CN"/>
        </w:rPr>
      </w:pPr>
      <w:r>
        <w:rPr>
          <w:rFonts w:hint="eastAsia" w:ascii="宋体" w:hAnsi="宋体"/>
          <w:b/>
          <w:bCs w:val="0"/>
          <w:sz w:val="22"/>
          <w:szCs w:val="22"/>
          <w:lang w:val="en-US" w:eastAsia="zh-CN"/>
        </w:rPr>
        <w:t>负荷等级</w:t>
      </w:r>
    </w:p>
    <w:p>
      <w:pPr>
        <w:pStyle w:val="5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0" w:firstLineChars="100"/>
        <w:textAlignment w:val="auto"/>
        <w:rPr>
          <w:rFonts w:hint="eastAsia" w:ascii="宋体" w:hAnsi="宋体"/>
          <w:b w:val="0"/>
          <w:bCs/>
          <w:sz w:val="22"/>
          <w:szCs w:val="22"/>
          <w:lang w:val="en-US" w:eastAsia="zh-CN"/>
        </w:rPr>
      </w:pPr>
      <w:r>
        <w:rPr>
          <w:rFonts w:hint="eastAsia" w:ascii="宋体" w:hAnsi="宋体"/>
          <w:b w:val="0"/>
          <w:bCs/>
          <w:sz w:val="22"/>
          <w:szCs w:val="22"/>
          <w:lang w:val="en-US" w:eastAsia="zh-CN"/>
        </w:rPr>
        <w:t>夜景照明供电为三级负荷。</w:t>
      </w:r>
    </w:p>
    <w:p>
      <w:pPr>
        <w:pStyle w:val="53"/>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default" w:ascii="宋体" w:hAnsi="宋体"/>
          <w:b w:val="0"/>
          <w:bCs/>
          <w:sz w:val="22"/>
          <w:szCs w:val="22"/>
          <w:lang w:val="en-US" w:eastAsia="zh-CN"/>
        </w:rPr>
      </w:pPr>
      <w:r>
        <w:rPr>
          <w:rFonts w:hint="eastAsia" w:ascii="宋体" w:hAnsi="宋体"/>
          <w:b w:val="0"/>
          <w:bCs/>
          <w:sz w:val="22"/>
          <w:szCs w:val="22"/>
          <w:lang w:val="en-US" w:eastAsia="zh-CN"/>
        </w:rPr>
        <w:t>线路开关电源应具有以下保护种类：短路/过负载/过电压/过温度。</w:t>
      </w:r>
    </w:p>
    <w:p>
      <w:pPr>
        <w:pStyle w:val="53"/>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default" w:ascii="宋体" w:hAnsi="宋体"/>
          <w:b/>
          <w:bCs w:val="0"/>
          <w:sz w:val="22"/>
          <w:szCs w:val="22"/>
          <w:lang w:val="en-US" w:eastAsia="zh-CN"/>
        </w:rPr>
      </w:pPr>
      <w:r>
        <w:rPr>
          <w:rFonts w:hint="eastAsia" w:ascii="宋体" w:hAnsi="宋体"/>
          <w:b/>
          <w:bCs w:val="0"/>
          <w:sz w:val="22"/>
          <w:szCs w:val="22"/>
          <w:lang w:val="en-US" w:eastAsia="zh-CN"/>
        </w:rPr>
        <w:t>智能照明控制系统</w:t>
      </w:r>
    </w:p>
    <w:p>
      <w:pPr>
        <w:pStyle w:val="5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0" w:firstLineChars="100"/>
        <w:textAlignment w:val="auto"/>
        <w:rPr>
          <w:rFonts w:hint="eastAsia" w:ascii="宋体" w:hAnsi="宋体"/>
          <w:b w:val="0"/>
          <w:bCs/>
          <w:sz w:val="22"/>
          <w:szCs w:val="22"/>
          <w:lang w:val="en-US" w:eastAsia="zh-CN"/>
        </w:rPr>
      </w:pPr>
      <w:r>
        <w:rPr>
          <w:rFonts w:hint="eastAsia" w:ascii="宋体" w:hAnsi="宋体"/>
          <w:b w:val="0"/>
          <w:bCs/>
          <w:sz w:val="22"/>
          <w:szCs w:val="22"/>
          <w:lang w:val="en-US" w:eastAsia="zh-CN"/>
        </w:rPr>
        <w:t>本项目外立面所有灯具需采用天文时钟控制器及接触器实现不同季节不同时段的时钟控制。</w:t>
      </w:r>
    </w:p>
    <w:p>
      <w:pPr>
        <w:pStyle w:val="53"/>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b w:val="0"/>
          <w:bCs/>
          <w:sz w:val="22"/>
          <w:szCs w:val="22"/>
          <w:lang w:val="en-US" w:eastAsia="zh-CN"/>
        </w:rPr>
      </w:pPr>
      <w:r>
        <w:rPr>
          <w:rFonts w:hint="eastAsia" w:ascii="宋体" w:hAnsi="宋体"/>
          <w:b w:val="0"/>
          <w:bCs/>
          <w:sz w:val="22"/>
          <w:szCs w:val="22"/>
          <w:lang w:val="en-US" w:eastAsia="zh-CN"/>
        </w:rPr>
        <w:t>灯具选择及安装</w:t>
      </w:r>
    </w:p>
    <w:p>
      <w:pPr>
        <w:pStyle w:val="5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20" w:firstLineChars="100"/>
        <w:textAlignment w:val="auto"/>
        <w:rPr>
          <w:rFonts w:hint="eastAsia" w:ascii="宋体" w:hAnsi="宋体"/>
          <w:b w:val="0"/>
          <w:bCs/>
          <w:sz w:val="22"/>
          <w:szCs w:val="22"/>
          <w:lang w:val="en-US" w:eastAsia="zh-CN"/>
        </w:rPr>
      </w:pPr>
      <w:r>
        <w:rPr>
          <w:rFonts w:hint="eastAsia" w:ascii="宋体" w:hAnsi="宋体"/>
          <w:b w:val="0"/>
          <w:bCs/>
          <w:sz w:val="22"/>
          <w:szCs w:val="22"/>
          <w:lang w:val="en-US" w:eastAsia="zh-CN"/>
        </w:rPr>
        <w:t>6.1灯具采用LED灯具，灯具性能需符合《灯具一般安全要求与实验》等相关规定。</w:t>
      </w:r>
    </w:p>
    <w:p>
      <w:pPr>
        <w:pStyle w:val="5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20" w:firstLineChars="100"/>
        <w:textAlignment w:val="auto"/>
        <w:rPr>
          <w:rFonts w:hint="eastAsia" w:ascii="宋体" w:hAnsi="宋体"/>
          <w:b w:val="0"/>
          <w:bCs/>
          <w:sz w:val="22"/>
          <w:szCs w:val="22"/>
          <w:lang w:val="en-US" w:eastAsia="zh-CN"/>
        </w:rPr>
      </w:pPr>
      <w:r>
        <w:rPr>
          <w:rFonts w:hint="eastAsia" w:ascii="宋体" w:hAnsi="宋体"/>
          <w:b w:val="0"/>
          <w:bCs/>
          <w:sz w:val="22"/>
          <w:szCs w:val="22"/>
          <w:lang w:val="en-US" w:eastAsia="zh-CN"/>
        </w:rPr>
        <w:t>6.2灯具防护等级IP65以上、耐腐蚀，采用高效、长寿命光源。</w:t>
      </w:r>
    </w:p>
    <w:p>
      <w:pPr>
        <w:pStyle w:val="5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20" w:firstLineChars="100"/>
        <w:textAlignment w:val="auto"/>
        <w:rPr>
          <w:rFonts w:hint="eastAsia" w:ascii="宋体" w:hAnsi="宋体"/>
          <w:b w:val="0"/>
          <w:bCs/>
          <w:sz w:val="22"/>
          <w:szCs w:val="22"/>
          <w:lang w:val="en-US" w:eastAsia="zh-CN"/>
        </w:rPr>
      </w:pPr>
      <w:r>
        <w:rPr>
          <w:rFonts w:hint="eastAsia" w:ascii="宋体" w:hAnsi="宋体"/>
          <w:b w:val="0"/>
          <w:bCs/>
          <w:sz w:val="22"/>
          <w:szCs w:val="22"/>
          <w:lang w:val="en-US" w:eastAsia="zh-CN"/>
        </w:rPr>
        <w:t>6.3泛光灯灯具效率不应低于65%，灯具功率因数不应小于0.9。</w:t>
      </w:r>
    </w:p>
    <w:p>
      <w:pPr>
        <w:pStyle w:val="5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20" w:firstLineChars="100"/>
        <w:textAlignment w:val="auto"/>
        <w:rPr>
          <w:rFonts w:hint="eastAsia" w:ascii="宋体" w:hAnsi="宋体"/>
          <w:b w:val="0"/>
          <w:bCs/>
          <w:sz w:val="22"/>
          <w:szCs w:val="22"/>
          <w:lang w:val="en-US" w:eastAsia="zh-CN"/>
        </w:rPr>
      </w:pPr>
      <w:r>
        <w:rPr>
          <w:rFonts w:hint="eastAsia" w:ascii="宋体" w:hAnsi="宋体"/>
          <w:b w:val="0"/>
          <w:bCs/>
          <w:sz w:val="22"/>
          <w:szCs w:val="22"/>
          <w:lang w:val="en-US" w:eastAsia="zh-CN"/>
        </w:rPr>
        <w:t>6.4灯具安装位置靠近可燃物时，应采取隔热、散热等保护措施。</w:t>
      </w:r>
    </w:p>
    <w:p>
      <w:pPr>
        <w:pStyle w:val="5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20" w:firstLineChars="100"/>
        <w:textAlignment w:val="auto"/>
        <w:rPr>
          <w:rFonts w:hint="eastAsia" w:ascii="宋体" w:hAnsi="宋体"/>
          <w:b w:val="0"/>
          <w:bCs/>
          <w:sz w:val="22"/>
          <w:szCs w:val="22"/>
          <w:lang w:val="en-US" w:eastAsia="zh-CN"/>
        </w:rPr>
      </w:pPr>
      <w:r>
        <w:rPr>
          <w:rFonts w:hint="eastAsia" w:ascii="宋体" w:hAnsi="宋体"/>
          <w:b w:val="0"/>
          <w:bCs/>
          <w:sz w:val="22"/>
          <w:szCs w:val="22"/>
          <w:lang w:val="en-US" w:eastAsia="zh-CN"/>
        </w:rPr>
        <w:t>6.5灯具的选择及安装角度应满足城市对光污染的控制要求。</w:t>
      </w:r>
    </w:p>
    <w:p>
      <w:pPr>
        <w:pStyle w:val="53"/>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b w:val="0"/>
          <w:bCs/>
          <w:sz w:val="22"/>
          <w:szCs w:val="22"/>
          <w:lang w:val="en-US" w:eastAsia="zh-CN"/>
        </w:rPr>
      </w:pPr>
      <w:r>
        <w:rPr>
          <w:rFonts w:hint="eastAsia" w:ascii="宋体" w:hAnsi="宋体"/>
          <w:b w:val="0"/>
          <w:bCs/>
          <w:sz w:val="22"/>
          <w:szCs w:val="22"/>
          <w:lang w:val="en-US" w:eastAsia="zh-CN"/>
        </w:rPr>
        <w:t>线路敷设</w:t>
      </w:r>
    </w:p>
    <w:p>
      <w:pPr>
        <w:pStyle w:val="5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20" w:firstLineChars="100"/>
        <w:textAlignment w:val="auto"/>
        <w:rPr>
          <w:rFonts w:hint="eastAsia" w:ascii="宋体" w:hAnsi="宋体" w:eastAsia="宋体"/>
          <w:b w:val="0"/>
          <w:bCs/>
          <w:sz w:val="22"/>
          <w:szCs w:val="22"/>
          <w:lang w:val="en-US" w:eastAsia="zh-CN"/>
        </w:rPr>
      </w:pPr>
      <w:r>
        <w:rPr>
          <w:rFonts w:hint="eastAsia" w:ascii="宋体" w:hAnsi="宋体"/>
          <w:b w:val="0"/>
          <w:bCs/>
          <w:sz w:val="22"/>
          <w:szCs w:val="22"/>
          <w:lang w:val="en-US" w:eastAsia="zh-CN"/>
        </w:rPr>
        <w:t>所有线路采用铜芯电缆。建筑泛光采用WDZB-YJY电缆，灯具与开关电源间连接采用ZR-RVV2</w:t>
      </w:r>
      <w:r>
        <w:rPr>
          <w:rFonts w:hint="eastAsia" w:ascii="宋体" w:hAnsi="宋体"/>
          <w:sz w:val="22"/>
          <w:szCs w:val="22"/>
        </w:rPr>
        <w:t>x</w:t>
      </w:r>
      <w:r>
        <w:rPr>
          <w:rFonts w:hint="eastAsia" w:ascii="宋体" w:hAnsi="宋体"/>
          <w:sz w:val="22"/>
          <w:szCs w:val="22"/>
          <w:lang w:val="en-US" w:eastAsia="zh-CN"/>
        </w:rPr>
        <w:t>4电缆。</w:t>
      </w:r>
    </w:p>
    <w:p>
      <w:pPr>
        <w:pStyle w:val="40"/>
        <w:numPr>
          <w:ilvl w:val="0"/>
          <w:numId w:val="0"/>
        </w:numPr>
        <w:jc w:val="left"/>
        <w:rPr>
          <w:rFonts w:hint="eastAsia" w:ascii="宋体" w:hAnsi="宋体"/>
          <w:b/>
          <w:sz w:val="22"/>
          <w:szCs w:val="22"/>
          <w:lang w:val="en-US" w:eastAsia="zh-CN"/>
        </w:rPr>
      </w:pPr>
      <w:r>
        <w:rPr>
          <w:rFonts w:hint="eastAsia" w:ascii="宋体" w:hAnsi="宋体"/>
          <w:b/>
          <w:sz w:val="22"/>
          <w:szCs w:val="22"/>
          <w:lang w:val="en-US" w:eastAsia="zh-CN"/>
        </w:rPr>
        <w:t>（四）灯型布置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val="0"/>
          <w:bCs w:val="0"/>
          <w:sz w:val="22"/>
          <w:szCs w:val="22"/>
          <w:lang w:val="en-US" w:eastAsia="zh-CN"/>
        </w:rPr>
      </w:pPr>
      <w:r>
        <w:rPr>
          <w:rFonts w:hint="eastAsia" w:ascii="Arial" w:hAnsi="Arial" w:eastAsia="宋体" w:cs="Times New Roman"/>
          <w:bCs/>
          <w:kern w:val="2"/>
          <w:sz w:val="22"/>
          <w:szCs w:val="22"/>
          <w:lang w:val="en-US" w:eastAsia="zh-CN" w:bidi="ar-SA"/>
        </w:rPr>
        <w:t>1、</w:t>
      </w:r>
      <w:r>
        <w:rPr>
          <w:rFonts w:hint="eastAsia"/>
          <w:b/>
          <w:bCs/>
          <w:sz w:val="22"/>
          <w:szCs w:val="22"/>
          <w:lang w:val="en-US" w:eastAsia="zh-CN"/>
        </w:rPr>
        <w:t>灯光雕塑：</w:t>
      </w:r>
      <w:r>
        <w:rPr>
          <w:rFonts w:hint="eastAsia" w:ascii="宋体" w:hAnsi="宋体" w:eastAsia="宋体" w:cs="Times New Roman"/>
          <w:b w:val="0"/>
          <w:bCs w:val="0"/>
          <w:color w:val="000000" w:themeColor="text1"/>
          <w:kern w:val="2"/>
          <w:sz w:val="22"/>
          <w:szCs w:val="22"/>
          <w:u w:val="none"/>
          <w:lang w:val="en-US" w:eastAsia="zh-CN" w:bidi="ar-SA"/>
        </w:rPr>
        <w:t>规格为</w:t>
      </w:r>
      <w:r>
        <w:rPr>
          <w:rFonts w:hint="eastAsia" w:ascii="宋体" w:hAnsi="宋体" w:eastAsia="宋体" w:cs="Times New Roman"/>
          <w:b/>
          <w:bCs/>
          <w:color w:val="000000" w:themeColor="text1"/>
          <w:kern w:val="2"/>
          <w:sz w:val="22"/>
          <w:szCs w:val="22"/>
          <w:u w:val="single"/>
          <w:lang w:val="en-US" w:eastAsia="zh-CN" w:bidi="ar-SA"/>
        </w:rPr>
        <w:t>D2.5*H3.5m</w:t>
      </w:r>
      <w:r>
        <w:rPr>
          <w:rFonts w:hint="eastAsia" w:ascii="宋体" w:hAnsi="宋体" w:eastAsia="宋体" w:cs="Times New Roman"/>
          <w:b/>
          <w:bCs/>
          <w:color w:val="000000" w:themeColor="text1"/>
          <w:kern w:val="2"/>
          <w:sz w:val="22"/>
          <w:szCs w:val="22"/>
          <w:u w:val="none"/>
          <w:lang w:val="en-US" w:eastAsia="zh-CN" w:bidi="ar-SA"/>
        </w:rPr>
        <w:t>，</w:t>
      </w:r>
      <w:r>
        <w:rPr>
          <w:rFonts w:hint="eastAsia"/>
          <w:b w:val="0"/>
          <w:bCs w:val="0"/>
          <w:sz w:val="22"/>
          <w:szCs w:val="22"/>
          <w:lang w:val="en-US" w:eastAsia="zh-CN"/>
        </w:rPr>
        <w:t>含基础浇捣及安装配套配件等。</w:t>
      </w:r>
      <w:r>
        <w:rPr>
          <w:rFonts w:hint="eastAsia" w:ascii="宋体" w:hAnsi="宋体" w:cs="Times New Roman"/>
          <w:b w:val="0"/>
          <w:bCs w:val="0"/>
          <w:color w:val="000000" w:themeColor="text1"/>
          <w:kern w:val="2"/>
          <w:sz w:val="22"/>
          <w:szCs w:val="22"/>
          <w:u w:val="none"/>
          <w:lang w:val="en-US" w:eastAsia="zh-CN" w:bidi="ar-SA"/>
        </w:rPr>
        <w:t>布置于</w:t>
      </w:r>
      <w:r>
        <w:rPr>
          <w:rFonts w:hint="eastAsia"/>
          <w:b w:val="0"/>
          <w:bCs w:val="0"/>
          <w:sz w:val="22"/>
          <w:szCs w:val="22"/>
          <w:lang w:val="en-US" w:eastAsia="zh-CN"/>
        </w:rPr>
        <w:t>灵龙大道与东河北路交口</w:t>
      </w:r>
      <w:r>
        <w:rPr>
          <w:rFonts w:hint="eastAsia"/>
          <w:sz w:val="22"/>
          <w:szCs w:val="22"/>
          <w:lang w:val="en-US" w:eastAsia="zh-CN"/>
        </w:rPr>
        <w:t>、</w:t>
      </w:r>
      <w:r>
        <w:rPr>
          <w:rFonts w:hint="eastAsia"/>
          <w:b w:val="0"/>
          <w:bCs w:val="0"/>
          <w:sz w:val="22"/>
          <w:szCs w:val="22"/>
          <w:lang w:val="en-US" w:eastAsia="zh-CN"/>
        </w:rPr>
        <w:t>龙金大道与宜山大道交口各一座。</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2"/>
          <w:szCs w:val="22"/>
          <w:lang w:val="en-US" w:eastAsia="zh-CN"/>
        </w:rPr>
      </w:pPr>
      <w:r>
        <w:rPr>
          <w:rFonts w:hint="eastAsia"/>
          <w:sz w:val="22"/>
          <w:szCs w:val="22"/>
          <w:lang w:val="en-US" w:eastAsia="zh-CN"/>
        </w:rPr>
        <w:t>2、</w:t>
      </w:r>
      <w:r>
        <w:rPr>
          <w:rFonts w:hint="eastAsia"/>
          <w:b/>
          <w:bCs w:val="0"/>
          <w:sz w:val="22"/>
          <w:szCs w:val="22"/>
          <w:lang w:val="en-US" w:eastAsia="zh-CN"/>
        </w:rPr>
        <w:t>2.5米灯臂路灯：</w:t>
      </w:r>
      <w:r>
        <w:rPr>
          <w:rFonts w:hint="eastAsia" w:ascii="宋体" w:hAnsi="宋体"/>
          <w:color w:val="000000" w:themeColor="text1"/>
          <w:sz w:val="22"/>
          <w:szCs w:val="22"/>
        </w:rPr>
        <w:t>光源采用</w:t>
      </w:r>
      <w:r>
        <w:rPr>
          <w:rFonts w:hint="eastAsia" w:ascii="宋体" w:hAnsi="宋体"/>
          <w:b/>
          <w:bCs/>
          <w:color w:val="000000" w:themeColor="text1"/>
          <w:sz w:val="22"/>
          <w:szCs w:val="22"/>
          <w:u w:val="single"/>
          <w:lang w:val="en-US" w:eastAsia="zh-CN"/>
        </w:rPr>
        <w:t>200W</w:t>
      </w:r>
      <w:r>
        <w:rPr>
          <w:rFonts w:hint="eastAsia" w:ascii="宋体" w:hAnsi="宋体"/>
          <w:b/>
          <w:bCs/>
          <w:color w:val="000000" w:themeColor="text1"/>
          <w:sz w:val="10"/>
          <w:szCs w:val="10"/>
          <w:u w:val="single"/>
          <w:lang w:val="en-US" w:eastAsia="zh-CN"/>
        </w:rPr>
        <w:t xml:space="preserve">  </w:t>
      </w:r>
      <w:r>
        <w:rPr>
          <w:rFonts w:hint="eastAsia" w:ascii="宋体" w:hAnsi="宋体"/>
          <w:b/>
          <w:bCs/>
          <w:color w:val="000000" w:themeColor="text1"/>
          <w:sz w:val="22"/>
          <w:szCs w:val="22"/>
          <w:u w:val="single"/>
          <w:lang w:val="en-US" w:eastAsia="zh-CN"/>
        </w:rPr>
        <w:t>LED</w:t>
      </w:r>
      <w:r>
        <w:rPr>
          <w:rFonts w:hint="eastAsia" w:ascii="宋体" w:hAnsi="宋体"/>
          <w:b w:val="0"/>
          <w:bCs w:val="0"/>
          <w:color w:val="000000" w:themeColor="text1"/>
          <w:sz w:val="22"/>
          <w:szCs w:val="22"/>
          <w:u w:val="none"/>
          <w:lang w:val="en-US" w:eastAsia="zh-CN"/>
        </w:rPr>
        <w:t>，功率因素不小于0.9，色温4000K左右，</w:t>
      </w:r>
      <w:r>
        <w:rPr>
          <w:rFonts w:hint="eastAsia" w:ascii="宋体" w:hAnsi="宋体"/>
          <w:sz w:val="22"/>
          <w:szCs w:val="22"/>
        </w:rPr>
        <w:t>灯具采用半截光型，</w:t>
      </w:r>
      <w:r>
        <w:rPr>
          <w:rFonts w:hint="eastAsia" w:ascii="宋体" w:hAnsi="宋体"/>
          <w:color w:val="000000" w:themeColor="text1"/>
          <w:sz w:val="22"/>
          <w:szCs w:val="22"/>
        </w:rPr>
        <w:t>防护等级IP65</w:t>
      </w:r>
      <w:r>
        <w:rPr>
          <w:rFonts w:hint="eastAsia" w:ascii="宋体" w:hAnsi="宋体"/>
          <w:color w:val="000000" w:themeColor="text1"/>
          <w:sz w:val="22"/>
          <w:szCs w:val="22"/>
          <w:lang w:eastAsia="zh-CN"/>
        </w:rPr>
        <w:t>，安装于现状电杆上。</w:t>
      </w:r>
      <w:r>
        <w:rPr>
          <w:rFonts w:hint="eastAsia" w:ascii="宋体" w:hAnsi="宋体"/>
          <w:b w:val="0"/>
          <w:bCs w:val="0"/>
          <w:color w:val="000000" w:themeColor="text1"/>
          <w:sz w:val="22"/>
          <w:szCs w:val="22"/>
          <w:u w:val="none"/>
          <w:lang w:val="en-US" w:eastAsia="zh-CN"/>
        </w:rPr>
        <w:t>设计道路有</w:t>
      </w:r>
      <w:r>
        <w:rPr>
          <w:rFonts w:hint="eastAsia"/>
          <w:sz w:val="22"/>
          <w:szCs w:val="22"/>
          <w:lang w:val="en-US" w:eastAsia="zh-CN"/>
        </w:rPr>
        <w:t>金鸡街、新塘街、下市街环城东路、灵宜线、公园路、宝山路、通兴路、人民路、环山路、东风街、仁寿街、繁荣街、兴华街、新市街、学前街、渔池街、环城东路、方金内街、新洋村、黄头图。</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sz w:val="22"/>
          <w:szCs w:val="22"/>
          <w:lang w:val="en-US" w:eastAsia="zh-CN"/>
        </w:rPr>
      </w:pPr>
      <w:r>
        <w:rPr>
          <w:rFonts w:hint="eastAsia"/>
          <w:sz w:val="22"/>
          <w:szCs w:val="22"/>
          <w:lang w:val="en-US" w:eastAsia="zh-CN"/>
        </w:rPr>
        <w:t>3、</w:t>
      </w:r>
      <w:r>
        <w:rPr>
          <w:rFonts w:hint="eastAsia"/>
          <w:b/>
          <w:bCs w:val="0"/>
          <w:sz w:val="22"/>
          <w:szCs w:val="22"/>
          <w:lang w:val="en-US" w:eastAsia="zh-CN"/>
        </w:rPr>
        <w:t>3.5米灯臂路灯：</w:t>
      </w:r>
      <w:r>
        <w:rPr>
          <w:rFonts w:hint="eastAsia" w:ascii="宋体" w:hAnsi="宋体"/>
          <w:color w:val="000000" w:themeColor="text1"/>
          <w:sz w:val="22"/>
          <w:szCs w:val="22"/>
        </w:rPr>
        <w:t>光源采用</w:t>
      </w:r>
      <w:r>
        <w:rPr>
          <w:rFonts w:hint="eastAsia" w:ascii="宋体" w:hAnsi="宋体"/>
          <w:b/>
          <w:bCs/>
          <w:color w:val="000000" w:themeColor="text1"/>
          <w:sz w:val="22"/>
          <w:szCs w:val="22"/>
          <w:u w:val="single"/>
          <w:lang w:val="en-US" w:eastAsia="zh-CN"/>
        </w:rPr>
        <w:t>200W</w:t>
      </w:r>
      <w:r>
        <w:rPr>
          <w:rFonts w:hint="eastAsia" w:ascii="宋体" w:hAnsi="宋体"/>
          <w:b/>
          <w:bCs/>
          <w:color w:val="000000" w:themeColor="text1"/>
          <w:sz w:val="10"/>
          <w:szCs w:val="10"/>
          <w:u w:val="single"/>
          <w:lang w:val="en-US" w:eastAsia="zh-CN"/>
        </w:rPr>
        <w:t xml:space="preserve">  </w:t>
      </w:r>
      <w:r>
        <w:rPr>
          <w:rFonts w:hint="eastAsia" w:ascii="宋体" w:hAnsi="宋体"/>
          <w:b/>
          <w:bCs/>
          <w:color w:val="000000" w:themeColor="text1"/>
          <w:sz w:val="22"/>
          <w:szCs w:val="22"/>
          <w:u w:val="single"/>
          <w:lang w:val="en-US" w:eastAsia="zh-CN"/>
        </w:rPr>
        <w:t>LED</w:t>
      </w:r>
      <w:r>
        <w:rPr>
          <w:rFonts w:hint="eastAsia" w:ascii="宋体" w:hAnsi="宋体"/>
          <w:b w:val="0"/>
          <w:bCs w:val="0"/>
          <w:color w:val="000000" w:themeColor="text1"/>
          <w:sz w:val="22"/>
          <w:szCs w:val="22"/>
          <w:u w:val="none"/>
          <w:lang w:val="en-US" w:eastAsia="zh-CN"/>
        </w:rPr>
        <w:t>，功率因素不小于0.9，色温4000K左右，</w:t>
      </w:r>
      <w:r>
        <w:rPr>
          <w:rFonts w:hint="eastAsia" w:ascii="宋体" w:hAnsi="宋体"/>
          <w:sz w:val="22"/>
          <w:szCs w:val="22"/>
        </w:rPr>
        <w:t>灯具采用半截光型，</w:t>
      </w:r>
      <w:r>
        <w:rPr>
          <w:rFonts w:hint="eastAsia" w:ascii="宋体" w:hAnsi="宋体"/>
          <w:color w:val="000000" w:themeColor="text1"/>
          <w:sz w:val="22"/>
          <w:szCs w:val="22"/>
        </w:rPr>
        <w:t>防护等级IP65</w:t>
      </w:r>
      <w:r>
        <w:rPr>
          <w:rFonts w:hint="eastAsia" w:ascii="宋体" w:hAnsi="宋体"/>
          <w:color w:val="000000" w:themeColor="text1"/>
          <w:sz w:val="22"/>
          <w:szCs w:val="22"/>
          <w:lang w:eastAsia="zh-CN"/>
        </w:rPr>
        <w:t>，安装于现状电杆上。</w:t>
      </w:r>
      <w:r>
        <w:rPr>
          <w:rFonts w:hint="eastAsia" w:ascii="宋体" w:hAnsi="宋体"/>
          <w:b w:val="0"/>
          <w:bCs w:val="0"/>
          <w:color w:val="000000" w:themeColor="text1"/>
          <w:sz w:val="22"/>
          <w:szCs w:val="22"/>
          <w:u w:val="none"/>
          <w:lang w:val="en-US" w:eastAsia="zh-CN"/>
        </w:rPr>
        <w:t>设计道路有</w:t>
      </w:r>
      <w:r>
        <w:rPr>
          <w:rFonts w:hint="eastAsia"/>
          <w:sz w:val="22"/>
          <w:szCs w:val="22"/>
          <w:lang w:val="en-US" w:eastAsia="zh-CN"/>
        </w:rPr>
        <w:t>环球路、环城西路、球新路、环城南路。</w:t>
      </w:r>
    </w:p>
    <w:p>
      <w:pPr>
        <w:pStyle w:val="1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Arial" w:hAnsi="Arial" w:cs="Times New Roman"/>
          <w:bCs/>
          <w:kern w:val="2"/>
          <w:sz w:val="22"/>
          <w:szCs w:val="22"/>
          <w:lang w:val="en-US" w:eastAsia="zh-CN" w:bidi="ar-SA"/>
        </w:rPr>
      </w:pPr>
      <w:r>
        <w:rPr>
          <w:rFonts w:hint="eastAsia" w:ascii="Arial" w:hAnsi="Arial" w:eastAsia="宋体" w:cs="Times New Roman"/>
          <w:bCs/>
          <w:kern w:val="2"/>
          <w:sz w:val="22"/>
          <w:szCs w:val="22"/>
          <w:lang w:val="en-US" w:eastAsia="zh-CN" w:bidi="ar-SA"/>
        </w:rPr>
        <w:t>4</w:t>
      </w:r>
      <w:r>
        <w:rPr>
          <w:rFonts w:hint="eastAsia" w:ascii="Arial" w:hAnsi="Arial" w:cs="Times New Roman"/>
          <w:bCs/>
          <w:kern w:val="2"/>
          <w:sz w:val="22"/>
          <w:szCs w:val="22"/>
          <w:lang w:val="en-US" w:eastAsia="zh-CN" w:bidi="ar-SA"/>
        </w:rPr>
        <w:t>、</w:t>
      </w:r>
      <w:r>
        <w:rPr>
          <w:rFonts w:hint="eastAsia" w:ascii="Arial" w:hAnsi="Arial" w:cs="Times New Roman"/>
          <w:b/>
          <w:bCs w:val="0"/>
          <w:kern w:val="2"/>
          <w:sz w:val="22"/>
          <w:szCs w:val="22"/>
          <w:lang w:val="en-US" w:eastAsia="zh-CN" w:bidi="ar-SA"/>
        </w:rPr>
        <w:t>8米单挑路灯：</w:t>
      </w:r>
      <w:r>
        <w:rPr>
          <w:rFonts w:hint="eastAsia" w:ascii="宋体" w:hAnsi="宋体"/>
          <w:color w:val="000000" w:themeColor="text1"/>
          <w:sz w:val="22"/>
          <w:szCs w:val="22"/>
        </w:rPr>
        <w:t>光源采用</w:t>
      </w:r>
      <w:r>
        <w:rPr>
          <w:rFonts w:hint="eastAsia" w:ascii="宋体" w:hAnsi="宋体"/>
          <w:b/>
          <w:bCs/>
          <w:color w:val="000000" w:themeColor="text1"/>
          <w:sz w:val="22"/>
          <w:szCs w:val="22"/>
          <w:u w:val="single"/>
          <w:lang w:val="en-US" w:eastAsia="zh-CN"/>
        </w:rPr>
        <w:t>90W</w:t>
      </w:r>
      <w:r>
        <w:rPr>
          <w:rFonts w:hint="eastAsia" w:ascii="宋体" w:hAnsi="宋体"/>
          <w:b/>
          <w:bCs/>
          <w:color w:val="000000" w:themeColor="text1"/>
          <w:sz w:val="10"/>
          <w:szCs w:val="10"/>
          <w:u w:val="single"/>
          <w:lang w:val="en-US" w:eastAsia="zh-CN"/>
        </w:rPr>
        <w:t xml:space="preserve">  </w:t>
      </w:r>
      <w:r>
        <w:rPr>
          <w:rFonts w:hint="eastAsia" w:ascii="宋体" w:hAnsi="宋体"/>
          <w:b/>
          <w:bCs/>
          <w:color w:val="000000" w:themeColor="text1"/>
          <w:sz w:val="22"/>
          <w:szCs w:val="22"/>
          <w:u w:val="single"/>
          <w:lang w:val="en-US" w:eastAsia="zh-CN"/>
        </w:rPr>
        <w:t>LED</w:t>
      </w:r>
      <w:r>
        <w:rPr>
          <w:rFonts w:hint="eastAsia" w:ascii="宋体" w:hAnsi="宋体"/>
          <w:b w:val="0"/>
          <w:bCs w:val="0"/>
          <w:color w:val="000000" w:themeColor="text1"/>
          <w:sz w:val="22"/>
          <w:szCs w:val="22"/>
          <w:u w:val="none"/>
          <w:lang w:val="en-US" w:eastAsia="zh-CN"/>
        </w:rPr>
        <w:t>，功率因素不小于0.9，色温4000K左右，</w:t>
      </w:r>
      <w:r>
        <w:rPr>
          <w:rFonts w:hint="eastAsia" w:ascii="宋体" w:hAnsi="宋体"/>
          <w:sz w:val="22"/>
          <w:szCs w:val="22"/>
        </w:rPr>
        <w:t>灯具采用半截光型，</w:t>
      </w:r>
      <w:r>
        <w:rPr>
          <w:rFonts w:hint="eastAsia" w:ascii="宋体" w:hAnsi="宋体"/>
          <w:color w:val="000000" w:themeColor="text1"/>
          <w:sz w:val="22"/>
          <w:szCs w:val="22"/>
        </w:rPr>
        <w:t>防护等级IP65</w:t>
      </w:r>
      <w:r>
        <w:rPr>
          <w:rFonts w:hint="eastAsia" w:ascii="宋体" w:hAnsi="宋体"/>
          <w:color w:val="000000" w:themeColor="text1"/>
          <w:sz w:val="22"/>
          <w:szCs w:val="22"/>
          <w:lang w:eastAsia="zh-CN"/>
        </w:rPr>
        <w:t>。</w:t>
      </w:r>
      <w:r>
        <w:rPr>
          <w:rFonts w:hint="eastAsia" w:ascii="宋体" w:hAnsi="宋体"/>
          <w:b w:val="0"/>
          <w:bCs w:val="0"/>
          <w:color w:val="000000" w:themeColor="text1"/>
          <w:sz w:val="22"/>
          <w:szCs w:val="22"/>
          <w:u w:val="none"/>
          <w:lang w:val="en-US" w:eastAsia="zh-CN"/>
        </w:rPr>
        <w:t>设计道路有</w:t>
      </w:r>
      <w:r>
        <w:rPr>
          <w:rFonts w:hint="eastAsia" w:ascii="Arial" w:hAnsi="Arial" w:cs="Times New Roman"/>
          <w:bCs/>
          <w:kern w:val="2"/>
          <w:sz w:val="22"/>
          <w:szCs w:val="22"/>
          <w:lang w:val="en-US" w:eastAsia="zh-CN" w:bidi="ar-SA"/>
        </w:rPr>
        <w:t>瓦海线、宜山高中左侧及右侧道路、金鸡街。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cs="Times New Roman"/>
          <w:bCs/>
          <w:kern w:val="2"/>
          <w:sz w:val="22"/>
          <w:szCs w:val="22"/>
          <w:lang w:val="en-US" w:eastAsia="zh-CN" w:bidi="ar-SA"/>
        </w:rPr>
      </w:pPr>
      <w:r>
        <w:rPr>
          <w:rFonts w:hint="eastAsia" w:ascii="Arial" w:hAnsi="Arial" w:cs="Times New Roman"/>
          <w:bCs/>
          <w:kern w:val="2"/>
          <w:sz w:val="22"/>
          <w:szCs w:val="22"/>
          <w:lang w:val="en-US" w:eastAsia="zh-CN" w:bidi="ar-SA"/>
        </w:rPr>
        <w:t>5、</w:t>
      </w:r>
      <w:r>
        <w:rPr>
          <w:rFonts w:hint="eastAsia" w:ascii="Arial" w:hAnsi="Arial" w:cs="Times New Roman"/>
          <w:b/>
          <w:bCs w:val="0"/>
          <w:kern w:val="2"/>
          <w:sz w:val="22"/>
          <w:szCs w:val="22"/>
          <w:lang w:val="en-US" w:eastAsia="zh-CN" w:bidi="ar-SA"/>
        </w:rPr>
        <w:t>8米双臂路灯：</w:t>
      </w:r>
      <w:r>
        <w:rPr>
          <w:rFonts w:hint="eastAsia" w:ascii="宋体" w:hAnsi="宋体"/>
          <w:color w:val="000000" w:themeColor="text1"/>
          <w:sz w:val="22"/>
          <w:szCs w:val="22"/>
        </w:rPr>
        <w:t>光源采用</w:t>
      </w:r>
      <w:r>
        <w:rPr>
          <w:rFonts w:hint="eastAsia" w:ascii="宋体" w:hAnsi="宋体"/>
          <w:b/>
          <w:bCs/>
          <w:color w:val="000000" w:themeColor="text1"/>
          <w:sz w:val="22"/>
          <w:szCs w:val="22"/>
          <w:u w:val="single"/>
          <w:lang w:val="en-US" w:eastAsia="zh-CN"/>
        </w:rPr>
        <w:t>200+120W</w:t>
      </w:r>
      <w:r>
        <w:rPr>
          <w:rFonts w:hint="eastAsia" w:ascii="宋体" w:hAnsi="宋体"/>
          <w:b/>
          <w:bCs/>
          <w:color w:val="000000" w:themeColor="text1"/>
          <w:sz w:val="10"/>
          <w:szCs w:val="10"/>
          <w:u w:val="single"/>
          <w:lang w:val="en-US" w:eastAsia="zh-CN"/>
        </w:rPr>
        <w:t xml:space="preserve">  </w:t>
      </w:r>
      <w:r>
        <w:rPr>
          <w:rFonts w:hint="eastAsia" w:ascii="宋体" w:hAnsi="宋体"/>
          <w:b/>
          <w:bCs/>
          <w:color w:val="000000" w:themeColor="text1"/>
          <w:sz w:val="22"/>
          <w:szCs w:val="22"/>
          <w:u w:val="single"/>
          <w:lang w:val="en-US" w:eastAsia="zh-CN"/>
        </w:rPr>
        <w:t>LED</w:t>
      </w:r>
      <w:r>
        <w:rPr>
          <w:rFonts w:hint="eastAsia" w:ascii="宋体" w:hAnsi="宋体"/>
          <w:b w:val="0"/>
          <w:bCs w:val="0"/>
          <w:color w:val="000000" w:themeColor="text1"/>
          <w:sz w:val="22"/>
          <w:szCs w:val="22"/>
          <w:u w:val="none"/>
          <w:lang w:val="en-US" w:eastAsia="zh-CN"/>
        </w:rPr>
        <w:t>，功率因素不小于0.9，色温4000K左右，</w:t>
      </w:r>
      <w:r>
        <w:rPr>
          <w:rFonts w:hint="eastAsia" w:ascii="宋体" w:hAnsi="宋体"/>
          <w:sz w:val="22"/>
          <w:szCs w:val="22"/>
        </w:rPr>
        <w:t>灯具采用半截光型，</w:t>
      </w:r>
      <w:r>
        <w:rPr>
          <w:rFonts w:hint="eastAsia" w:ascii="宋体" w:hAnsi="宋体"/>
          <w:color w:val="000000" w:themeColor="text1"/>
          <w:sz w:val="22"/>
          <w:szCs w:val="22"/>
        </w:rPr>
        <w:t>防护等级IP65</w:t>
      </w:r>
      <w:r>
        <w:rPr>
          <w:rFonts w:hint="eastAsia" w:ascii="宋体" w:hAnsi="宋体"/>
          <w:color w:val="000000" w:themeColor="text1"/>
          <w:sz w:val="22"/>
          <w:szCs w:val="22"/>
          <w:lang w:eastAsia="zh-CN"/>
        </w:rPr>
        <w:t>。</w:t>
      </w:r>
      <w:r>
        <w:rPr>
          <w:rFonts w:hint="eastAsia" w:ascii="宋体" w:hAnsi="宋体"/>
          <w:b w:val="0"/>
          <w:bCs w:val="0"/>
          <w:color w:val="000000" w:themeColor="text1"/>
          <w:sz w:val="22"/>
          <w:szCs w:val="22"/>
          <w:u w:val="none"/>
          <w:lang w:val="en-US" w:eastAsia="zh-CN"/>
        </w:rPr>
        <w:t>设计道路有</w:t>
      </w:r>
      <w:r>
        <w:rPr>
          <w:rFonts w:hint="eastAsia" w:ascii="Arial" w:hAnsi="Arial" w:cs="Times New Roman"/>
          <w:bCs/>
          <w:kern w:val="2"/>
          <w:sz w:val="22"/>
          <w:szCs w:val="22"/>
          <w:lang w:val="en-US" w:eastAsia="zh-CN" w:bidi="ar-SA"/>
        </w:rPr>
        <w:t>南洋南路。</w:t>
      </w:r>
    </w:p>
    <w:p>
      <w:pPr>
        <w:pStyle w:val="1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Times New Roman"/>
          <w:bCs/>
          <w:kern w:val="2"/>
          <w:sz w:val="22"/>
          <w:szCs w:val="22"/>
          <w:lang w:val="en-US" w:eastAsia="zh-CN" w:bidi="ar-SA"/>
        </w:rPr>
      </w:pPr>
      <w:r>
        <w:rPr>
          <w:rFonts w:hint="eastAsia"/>
          <w:sz w:val="22"/>
          <w:szCs w:val="22"/>
          <w:lang w:val="en-US" w:eastAsia="zh-CN"/>
        </w:rPr>
        <w:t>6、</w:t>
      </w:r>
      <w:r>
        <w:rPr>
          <w:rFonts w:hint="eastAsia"/>
          <w:b/>
          <w:bCs w:val="0"/>
          <w:sz w:val="22"/>
          <w:szCs w:val="22"/>
          <w:lang w:val="en-US" w:eastAsia="zh-CN"/>
        </w:rPr>
        <w:t>15米中杆灯</w:t>
      </w:r>
      <w:r>
        <w:rPr>
          <w:rFonts w:hint="eastAsia"/>
          <w:b/>
          <w:bCs w:val="0"/>
          <w:lang w:val="en-US" w:eastAsia="zh-CN"/>
        </w:rPr>
        <w:t>：</w:t>
      </w:r>
      <w:r>
        <w:rPr>
          <w:rFonts w:hint="eastAsia" w:ascii="宋体" w:hAnsi="宋体" w:eastAsia="宋体" w:cs="Times New Roman"/>
          <w:b w:val="0"/>
          <w:bCs w:val="0"/>
          <w:color w:val="000000" w:themeColor="text1"/>
          <w:kern w:val="2"/>
          <w:sz w:val="22"/>
          <w:szCs w:val="22"/>
          <w:u w:val="none"/>
          <w:lang w:val="en-US" w:eastAsia="zh-CN" w:bidi="ar-SA"/>
        </w:rPr>
        <w:t>规格为</w:t>
      </w:r>
      <w:r>
        <w:rPr>
          <w:rFonts w:hint="eastAsia" w:ascii="宋体" w:hAnsi="宋体" w:eastAsia="宋体" w:cs="Times New Roman"/>
          <w:b/>
          <w:bCs/>
          <w:color w:val="000000" w:themeColor="text1"/>
          <w:kern w:val="2"/>
          <w:sz w:val="22"/>
          <w:szCs w:val="22"/>
          <w:u w:val="single"/>
          <w:lang w:val="en-US" w:eastAsia="zh-CN" w:bidi="ar-SA"/>
        </w:rPr>
        <w:t>8*LED 200W</w:t>
      </w:r>
      <w:r>
        <w:rPr>
          <w:rFonts w:hint="eastAsia" w:ascii="宋体" w:hAnsi="宋体" w:cs="Times New Roman"/>
          <w:b/>
          <w:bCs/>
          <w:color w:val="000000" w:themeColor="text1"/>
          <w:kern w:val="2"/>
          <w:sz w:val="22"/>
          <w:szCs w:val="22"/>
          <w:u w:val="none"/>
          <w:lang w:val="en-US" w:eastAsia="zh-CN" w:bidi="ar-SA"/>
        </w:rPr>
        <w:t>,</w:t>
      </w:r>
      <w:r>
        <w:rPr>
          <w:rFonts w:hint="eastAsia" w:ascii="宋体" w:hAnsi="宋体"/>
          <w:b w:val="0"/>
          <w:bCs w:val="0"/>
          <w:color w:val="000000" w:themeColor="text1"/>
          <w:sz w:val="22"/>
          <w:szCs w:val="22"/>
          <w:u w:val="none"/>
          <w:lang w:val="en-US" w:eastAsia="zh-CN"/>
        </w:rPr>
        <w:t>功率因素不小于0.9，色温4000K左右，</w:t>
      </w:r>
      <w:r>
        <w:rPr>
          <w:rFonts w:hint="eastAsia" w:ascii="宋体" w:hAnsi="宋体"/>
          <w:sz w:val="22"/>
          <w:szCs w:val="22"/>
        </w:rPr>
        <w:t>灯具采用半截光型，</w:t>
      </w:r>
      <w:r>
        <w:rPr>
          <w:rFonts w:hint="eastAsia" w:ascii="宋体" w:hAnsi="宋体"/>
          <w:color w:val="000000" w:themeColor="text1"/>
          <w:sz w:val="22"/>
          <w:szCs w:val="22"/>
        </w:rPr>
        <w:t>防护等级IP65</w:t>
      </w:r>
      <w:r>
        <w:rPr>
          <w:rFonts w:hint="eastAsia" w:ascii="宋体" w:hAnsi="宋体"/>
          <w:color w:val="000000" w:themeColor="text1"/>
          <w:sz w:val="22"/>
          <w:szCs w:val="22"/>
          <w:lang w:eastAsia="zh-CN"/>
        </w:rPr>
        <w:t>。</w:t>
      </w:r>
      <w:r>
        <w:rPr>
          <w:rFonts w:hint="eastAsia" w:ascii="宋体" w:hAnsi="宋体" w:cs="Times New Roman"/>
          <w:b w:val="0"/>
          <w:bCs w:val="0"/>
          <w:color w:val="000000" w:themeColor="text1"/>
          <w:kern w:val="2"/>
          <w:sz w:val="22"/>
          <w:szCs w:val="22"/>
          <w:u w:val="none"/>
          <w:lang w:val="en-US" w:eastAsia="zh-CN" w:bidi="ar-SA"/>
        </w:rPr>
        <w:t>布置位置有</w:t>
      </w:r>
      <w:r>
        <w:rPr>
          <w:rFonts w:hint="eastAsia" w:ascii="Arial" w:hAnsi="Arial" w:cs="Times New Roman"/>
          <w:bCs/>
          <w:kern w:val="2"/>
          <w:sz w:val="22"/>
          <w:szCs w:val="22"/>
          <w:lang w:val="en-US" w:eastAsia="zh-CN" w:bidi="ar-SA"/>
        </w:rPr>
        <w:t>瓦海线、宜山高中左侧及右侧道路、</w:t>
      </w:r>
      <w:r>
        <w:rPr>
          <w:rFonts w:hint="eastAsia" w:cs="Times New Roman"/>
          <w:bCs/>
          <w:kern w:val="2"/>
          <w:sz w:val="22"/>
          <w:szCs w:val="22"/>
          <w:lang w:val="en-US" w:eastAsia="zh-CN" w:bidi="ar-SA"/>
        </w:rPr>
        <w:t>金鸡街、球新路、环城南路、埭金线、繁荣街。其中埭金线布置3套，其余地点各布置一套。市民广场中杆灯更换</w:t>
      </w:r>
      <w:r>
        <w:rPr>
          <w:rFonts w:hint="eastAsia" w:ascii="宋体" w:hAnsi="宋体" w:eastAsia="宋体" w:cs="Times New Roman"/>
          <w:b/>
          <w:bCs/>
          <w:color w:val="000000" w:themeColor="text1"/>
          <w:kern w:val="2"/>
          <w:sz w:val="22"/>
          <w:szCs w:val="22"/>
          <w:u w:val="single"/>
          <w:lang w:val="en-US" w:eastAsia="zh-CN" w:bidi="ar-SA"/>
        </w:rPr>
        <w:t>8*LED 200W</w:t>
      </w:r>
      <w:r>
        <w:rPr>
          <w:rFonts w:hint="eastAsia" w:cs="Times New Roman"/>
          <w:bCs/>
          <w:kern w:val="2"/>
          <w:sz w:val="22"/>
          <w:szCs w:val="22"/>
          <w:lang w:val="en-US" w:eastAsia="zh-CN" w:bidi="ar-SA"/>
        </w:rPr>
        <w:t>投光灯灯头。</w:t>
      </w:r>
    </w:p>
    <w:p>
      <w:pPr>
        <w:pStyle w:val="19"/>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eastAsia" w:ascii="Arial" w:hAnsi="Arial" w:cs="Times New Roman"/>
          <w:bCs/>
          <w:kern w:val="2"/>
          <w:sz w:val="22"/>
          <w:szCs w:val="22"/>
          <w:lang w:val="en-US" w:eastAsia="zh-CN" w:bidi="ar-SA"/>
        </w:rPr>
      </w:pPr>
      <w:r>
        <w:rPr>
          <w:rFonts w:hint="eastAsia" w:ascii="Arial" w:hAnsi="Arial" w:cs="Times New Roman"/>
          <w:b/>
          <w:bCs w:val="0"/>
          <w:kern w:val="2"/>
          <w:sz w:val="22"/>
          <w:szCs w:val="22"/>
          <w:lang w:val="en-US" w:eastAsia="zh-CN" w:bidi="ar-SA"/>
        </w:rPr>
        <w:t>人民路庭院灯：</w:t>
      </w:r>
      <w:r>
        <w:rPr>
          <w:rFonts w:hint="eastAsia" w:ascii="Arial" w:hAnsi="Arial" w:cs="Times New Roman"/>
          <w:b w:val="0"/>
          <w:bCs/>
          <w:kern w:val="2"/>
          <w:sz w:val="22"/>
          <w:szCs w:val="22"/>
          <w:lang w:val="en-US" w:eastAsia="zh-CN" w:bidi="ar-SA"/>
        </w:rPr>
        <w:t>人民南路（环城南路-芙蓉村桥头）</w:t>
      </w:r>
      <w:r>
        <w:rPr>
          <w:rFonts w:hint="eastAsia" w:ascii="Arial" w:hAnsi="Arial" w:cs="Times New Roman"/>
          <w:bCs/>
          <w:kern w:val="2"/>
          <w:sz w:val="22"/>
          <w:szCs w:val="22"/>
          <w:lang w:val="en-US" w:eastAsia="zh-CN" w:bidi="ar-SA"/>
        </w:rPr>
        <w:t>保留灯具主体，仅对灯罩、光源及相应的配件进行更换及维修。共计86套。</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Arial" w:hAnsi="Arial" w:cs="Times New Roman"/>
          <w:bCs/>
          <w:kern w:val="2"/>
          <w:sz w:val="22"/>
          <w:szCs w:val="22"/>
          <w:lang w:val="en-US" w:eastAsia="zh-CN" w:bidi="ar-SA"/>
        </w:rPr>
      </w:pPr>
      <w:r>
        <w:rPr>
          <w:rFonts w:hint="eastAsia" w:ascii="Arial" w:hAnsi="Arial" w:cs="Times New Roman"/>
          <w:bCs/>
          <w:kern w:val="2"/>
          <w:sz w:val="22"/>
          <w:szCs w:val="22"/>
          <w:lang w:val="en-US" w:eastAsia="zh-CN" w:bidi="ar-SA"/>
        </w:rPr>
        <w:t>8、</w:t>
      </w:r>
      <w:r>
        <w:rPr>
          <w:rFonts w:hint="eastAsia" w:ascii="Arial" w:hAnsi="Arial" w:cs="Times New Roman"/>
          <w:b/>
          <w:bCs w:val="0"/>
          <w:kern w:val="2"/>
          <w:sz w:val="22"/>
          <w:szCs w:val="22"/>
          <w:lang w:val="en-US" w:eastAsia="zh-CN" w:bidi="ar-SA"/>
        </w:rPr>
        <w:t>网红基地景观路灯：</w:t>
      </w:r>
      <w:r>
        <w:rPr>
          <w:rFonts w:hint="eastAsia" w:ascii="宋体" w:hAnsi="宋体"/>
          <w:color w:val="000000" w:themeColor="text1"/>
          <w:sz w:val="22"/>
          <w:szCs w:val="22"/>
        </w:rPr>
        <w:t>光源采用</w:t>
      </w:r>
      <w:r>
        <w:rPr>
          <w:rFonts w:hint="eastAsia" w:ascii="宋体" w:hAnsi="宋体"/>
          <w:b/>
          <w:bCs/>
          <w:color w:val="000000" w:themeColor="text1"/>
          <w:sz w:val="22"/>
          <w:szCs w:val="22"/>
          <w:u w:val="single"/>
          <w:lang w:val="en-US" w:eastAsia="zh-CN"/>
        </w:rPr>
        <w:t>90W</w:t>
      </w:r>
      <w:r>
        <w:rPr>
          <w:rFonts w:hint="eastAsia" w:ascii="宋体" w:hAnsi="宋体"/>
          <w:b/>
          <w:bCs/>
          <w:color w:val="000000" w:themeColor="text1"/>
          <w:sz w:val="10"/>
          <w:szCs w:val="10"/>
          <w:u w:val="single"/>
          <w:lang w:val="en-US" w:eastAsia="zh-CN"/>
        </w:rPr>
        <w:t xml:space="preserve">  </w:t>
      </w:r>
      <w:r>
        <w:rPr>
          <w:rFonts w:hint="eastAsia" w:ascii="宋体" w:hAnsi="宋体"/>
          <w:b/>
          <w:bCs/>
          <w:color w:val="000000" w:themeColor="text1"/>
          <w:sz w:val="22"/>
          <w:szCs w:val="22"/>
          <w:u w:val="single"/>
          <w:lang w:val="en-US" w:eastAsia="zh-CN"/>
        </w:rPr>
        <w:t>LED</w:t>
      </w:r>
      <w:r>
        <w:rPr>
          <w:rFonts w:hint="eastAsia" w:ascii="宋体" w:hAnsi="宋体"/>
          <w:b w:val="0"/>
          <w:bCs w:val="0"/>
          <w:color w:val="000000" w:themeColor="text1"/>
          <w:sz w:val="22"/>
          <w:szCs w:val="22"/>
          <w:u w:val="none"/>
          <w:lang w:val="en-US" w:eastAsia="zh-CN"/>
        </w:rPr>
        <w:t>，功率因素不小于0.9，色温4000K左右，</w:t>
      </w:r>
      <w:r>
        <w:rPr>
          <w:rFonts w:hint="eastAsia" w:ascii="宋体" w:hAnsi="宋体"/>
          <w:sz w:val="22"/>
          <w:szCs w:val="22"/>
        </w:rPr>
        <w:t>灯具采用半截光型，</w:t>
      </w:r>
      <w:r>
        <w:rPr>
          <w:rFonts w:hint="eastAsia" w:ascii="宋体" w:hAnsi="宋体"/>
          <w:color w:val="000000" w:themeColor="text1"/>
          <w:sz w:val="22"/>
          <w:szCs w:val="22"/>
        </w:rPr>
        <w:t>防护等级IP65</w:t>
      </w:r>
      <w:r>
        <w:rPr>
          <w:rFonts w:hint="eastAsia" w:ascii="宋体" w:hAnsi="宋体"/>
          <w:color w:val="000000" w:themeColor="text1"/>
          <w:sz w:val="22"/>
          <w:szCs w:val="22"/>
          <w:lang w:eastAsia="zh-CN"/>
        </w:rPr>
        <w:t>。</w:t>
      </w:r>
    </w:p>
    <w:p>
      <w:pPr>
        <w:pStyle w:val="1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Arial" w:hAnsi="Arial" w:cs="Times New Roman"/>
          <w:bCs/>
          <w:kern w:val="2"/>
          <w:sz w:val="22"/>
          <w:szCs w:val="22"/>
          <w:lang w:val="en-US" w:eastAsia="zh-CN" w:bidi="ar-SA"/>
        </w:rPr>
      </w:pPr>
      <w:r>
        <w:rPr>
          <w:rFonts w:hint="eastAsia" w:ascii="Arial" w:hAnsi="Arial" w:cs="Times New Roman"/>
          <w:bCs/>
          <w:kern w:val="2"/>
          <w:sz w:val="22"/>
          <w:szCs w:val="22"/>
          <w:lang w:val="en-US" w:eastAsia="zh-CN" w:bidi="ar-SA"/>
        </w:rPr>
        <w:t>9、</w:t>
      </w:r>
      <w:r>
        <w:rPr>
          <w:rFonts w:hint="eastAsia" w:ascii="Arial" w:hAnsi="Arial" w:cs="Times New Roman"/>
          <w:b/>
          <w:bCs w:val="0"/>
          <w:kern w:val="2"/>
          <w:sz w:val="22"/>
          <w:szCs w:val="22"/>
          <w:lang w:val="en-US" w:eastAsia="zh-CN" w:bidi="ar-SA"/>
        </w:rPr>
        <w:t>宝山路立面照明：</w:t>
      </w:r>
      <w:r>
        <w:rPr>
          <w:rFonts w:hint="eastAsia" w:ascii="Arial" w:hAnsi="Arial" w:cs="Times New Roman"/>
          <w:b w:val="0"/>
          <w:bCs/>
          <w:kern w:val="2"/>
          <w:sz w:val="22"/>
          <w:szCs w:val="22"/>
          <w:lang w:val="en-US" w:eastAsia="zh-CN" w:bidi="ar-SA"/>
        </w:rPr>
        <w:t>宝山路两侧建筑立面亮化，包含洗墙灯（带遮光板）、投光灯、多光束点射灯、点光源、护栏管及抱树灯布设。采用LED光源，色温3000K左右。</w:t>
      </w:r>
    </w:p>
    <w:p>
      <w:pPr>
        <w:autoSpaceDE w:val="0"/>
        <w:autoSpaceDN w:val="0"/>
        <w:adjustRightInd w:val="0"/>
        <w:jc w:val="left"/>
        <w:rPr>
          <w:rFonts w:hint="eastAsia"/>
          <w:lang w:eastAsia="zh-CN"/>
        </w:rPr>
      </w:pPr>
      <w:r>
        <w:rPr>
          <w:rFonts w:hint="eastAsia" w:ascii="Arial" w:hAnsi="Arial" w:cs="Times New Roman"/>
          <w:bCs/>
          <w:kern w:val="2"/>
          <w:sz w:val="22"/>
          <w:szCs w:val="22"/>
          <w:lang w:val="en-US" w:eastAsia="zh-CN" w:bidi="ar-SA"/>
        </w:rPr>
        <w:t xml:space="preserve"> </w:t>
      </w:r>
      <w:r>
        <w:rPr>
          <w:rFonts w:hint="eastAsia" w:ascii="宋体" w:hAnsi="宋体"/>
          <w:b/>
          <w:sz w:val="22"/>
          <w:szCs w:val="22"/>
        </w:rPr>
        <w:t>（</w:t>
      </w:r>
      <w:r>
        <w:rPr>
          <w:rFonts w:hint="eastAsia" w:ascii="宋体" w:hAnsi="宋体"/>
          <w:b/>
          <w:sz w:val="22"/>
          <w:szCs w:val="22"/>
          <w:lang w:eastAsia="zh-CN"/>
        </w:rPr>
        <w:t>五</w:t>
      </w:r>
      <w:r>
        <w:rPr>
          <w:rFonts w:hint="eastAsia" w:ascii="宋体" w:hAnsi="宋体"/>
          <w:b/>
          <w:sz w:val="22"/>
          <w:szCs w:val="22"/>
        </w:rPr>
        <w:t>）</w:t>
      </w:r>
      <w:r>
        <w:rPr>
          <w:rFonts w:hint="eastAsia" w:ascii="宋体" w:hAnsi="宋体"/>
          <w:b/>
          <w:sz w:val="22"/>
          <w:szCs w:val="22"/>
          <w:lang w:eastAsia="zh-CN"/>
        </w:rPr>
        <w:t>路灯设计线路平面图</w:t>
      </w:r>
      <w:r>
        <w:rPr>
          <w:rFonts w:hint="eastAsia"/>
          <w:lang w:eastAsia="zh-CN"/>
        </w:rPr>
        <w:drawing>
          <wp:inline distT="0" distB="0" distL="114300" distR="114300">
            <wp:extent cx="5135245" cy="5788025"/>
            <wp:effectExtent l="0" t="0" r="8255" b="3175"/>
            <wp:docPr id="2" name="图片 1" descr="1634605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634605201(1)"/>
                    <pic:cNvPicPr>
                      <a:picLocks noChangeAspect="1"/>
                    </pic:cNvPicPr>
                  </pic:nvPicPr>
                  <pic:blipFill>
                    <a:blip r:embed="rId16"/>
                    <a:stretch>
                      <a:fillRect/>
                    </a:stretch>
                  </pic:blipFill>
                  <pic:spPr>
                    <a:xfrm>
                      <a:off x="0" y="0"/>
                      <a:ext cx="5135245" cy="5788025"/>
                    </a:xfrm>
                    <a:prstGeom prst="rect">
                      <a:avLst/>
                    </a:prstGeom>
                    <a:noFill/>
                    <a:ln>
                      <a:noFill/>
                    </a:ln>
                  </pic:spPr>
                </pic:pic>
              </a:graphicData>
            </a:graphic>
          </wp:inline>
        </w:drawing>
      </w:r>
    </w:p>
    <w:p>
      <w:pPr>
        <w:pStyle w:val="40"/>
        <w:jc w:val="left"/>
        <w:rPr>
          <w:rFonts w:hint="eastAsia" w:ascii="宋体" w:hAnsi="宋体"/>
          <w:b/>
          <w:sz w:val="22"/>
          <w:szCs w:val="22"/>
          <w:lang w:val="en-US" w:eastAsia="zh-CN"/>
        </w:rPr>
      </w:pPr>
      <w:r>
        <w:rPr>
          <w:rFonts w:hint="eastAsia" w:ascii="宋体" w:hAnsi="宋体"/>
          <w:b/>
          <w:sz w:val="22"/>
          <w:szCs w:val="22"/>
          <w:lang w:val="en-US" w:eastAsia="zh-CN"/>
        </w:rPr>
        <w:t>注：各道路平面图详见本项目附件。</w:t>
      </w:r>
    </w:p>
    <w:p>
      <w:pPr>
        <w:rPr>
          <w:rFonts w:hint="eastAsia"/>
          <w:lang w:val="en-US" w:eastAsia="zh-CN"/>
        </w:rPr>
      </w:pPr>
    </w:p>
    <w:p>
      <w:pPr>
        <w:pStyle w:val="19"/>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Times New Roman"/>
          <w:b/>
          <w:kern w:val="2"/>
          <w:sz w:val="28"/>
          <w:szCs w:val="28"/>
          <w:lang w:val="en-US" w:eastAsia="zh-CN" w:bidi="ar-SA"/>
        </w:rPr>
      </w:pPr>
      <w:r>
        <w:rPr>
          <w:rFonts w:hint="eastAsia" w:ascii="宋体" w:hAnsi="宋体" w:eastAsia="宋体" w:cs="Times New Roman"/>
          <w:b/>
          <w:kern w:val="2"/>
          <w:sz w:val="28"/>
          <w:szCs w:val="28"/>
          <w:lang w:val="en-US" w:eastAsia="zh-CN" w:bidi="ar-SA"/>
        </w:rPr>
        <w:t>商务条款</w:t>
      </w:r>
    </w:p>
    <w:p>
      <w:pPr>
        <w:pageBreakBefore w:val="0"/>
        <w:widowControl w:val="0"/>
        <w:kinsoku/>
        <w:wordWrap/>
        <w:overflowPunct/>
        <w:topLinePunct w:val="0"/>
        <w:autoSpaceDE/>
        <w:autoSpaceDN/>
        <w:bidi w:val="0"/>
        <w:spacing w:line="336" w:lineRule="auto"/>
        <w:textAlignment w:val="auto"/>
        <w:rPr>
          <w:rFonts w:hint="default"/>
          <w:lang w:val="en-US" w:eastAsia="zh-CN"/>
        </w:rPr>
      </w:pPr>
      <w:r>
        <w:rPr>
          <w:rFonts w:hint="eastAsia" w:hAnsi="宋体" w:cs="宋体"/>
          <w:szCs w:val="21"/>
          <w:lang w:val="en-US" w:eastAsia="zh-CN"/>
        </w:rPr>
        <w:t>1、</w:t>
      </w:r>
      <w:r>
        <w:rPr>
          <w:rFonts w:hint="eastAsia" w:hAnsi="宋体" w:cs="宋体"/>
          <w:szCs w:val="21"/>
        </w:rPr>
        <w:t>工程保修期</w:t>
      </w:r>
      <w:r>
        <w:rPr>
          <w:rFonts w:hint="eastAsia" w:hAnsi="宋体" w:cs="宋体"/>
          <w:szCs w:val="21"/>
          <w:lang w:eastAsia="zh-CN"/>
        </w:rPr>
        <w:t>：</w:t>
      </w:r>
      <w:r>
        <w:rPr>
          <w:rFonts w:hint="eastAsia" w:hAnsi="宋体" w:cs="宋体"/>
          <w:szCs w:val="21"/>
        </w:rPr>
        <w:t>最低为2年，</w:t>
      </w:r>
      <w:r>
        <w:rPr>
          <w:rFonts w:hint="eastAsia" w:ascii="宋体" w:hAnsi="宋体"/>
          <w:sz w:val="22"/>
          <w:szCs w:val="22"/>
        </w:rPr>
        <w:t>质量保证期内内因产品本身缺陷（非人为因素）造成各种故障应由供应商免费技术服务和维修；质保期从验收合格交付使用之日起算。</w:t>
      </w:r>
    </w:p>
    <w:p>
      <w:pPr>
        <w:pageBreakBefore w:val="0"/>
        <w:widowControl w:val="0"/>
        <w:numPr>
          <w:ilvl w:val="0"/>
          <w:numId w:val="0"/>
        </w:numPr>
        <w:kinsoku/>
        <w:wordWrap/>
        <w:overflowPunct/>
        <w:topLinePunct w:val="0"/>
        <w:autoSpaceDE/>
        <w:autoSpaceDN/>
        <w:bidi w:val="0"/>
        <w:spacing w:line="336" w:lineRule="auto"/>
        <w:textAlignment w:val="auto"/>
        <w:rPr>
          <w:rFonts w:hint="eastAsia"/>
          <w:b w:val="0"/>
          <w:bCs w:val="0"/>
          <w:sz w:val="22"/>
          <w:szCs w:val="22"/>
          <w:lang w:val="en-US" w:eastAsia="zh-CN"/>
        </w:rPr>
      </w:pPr>
      <w:r>
        <w:rPr>
          <w:rFonts w:hint="eastAsia"/>
          <w:b w:val="0"/>
          <w:bCs w:val="0"/>
          <w:sz w:val="22"/>
          <w:szCs w:val="22"/>
          <w:lang w:val="en-US" w:eastAsia="zh-CN"/>
        </w:rPr>
        <w:t>2、履约担保：</w:t>
      </w:r>
    </w:p>
    <w:p>
      <w:pPr>
        <w:pageBreakBefore w:val="0"/>
        <w:widowControl w:val="0"/>
        <w:numPr>
          <w:ilvl w:val="0"/>
          <w:numId w:val="0"/>
        </w:numPr>
        <w:kinsoku/>
        <w:wordWrap/>
        <w:overflowPunct/>
        <w:topLinePunct w:val="0"/>
        <w:autoSpaceDE/>
        <w:autoSpaceDN/>
        <w:bidi w:val="0"/>
        <w:spacing w:line="336" w:lineRule="auto"/>
        <w:ind w:firstLine="220" w:firstLineChars="100"/>
        <w:textAlignment w:val="auto"/>
        <w:rPr>
          <w:rFonts w:ascii="宋体" w:hAnsi="宋体"/>
          <w:sz w:val="22"/>
          <w:szCs w:val="22"/>
        </w:rPr>
      </w:pPr>
      <w:r>
        <w:rPr>
          <w:rFonts w:hint="eastAsia" w:ascii="宋体" w:hAnsi="宋体" w:eastAsia="宋体" w:cs="宋体"/>
          <w:b w:val="0"/>
          <w:bCs w:val="0"/>
          <w:sz w:val="22"/>
          <w:szCs w:val="22"/>
          <w:lang w:val="en-US" w:eastAsia="zh-CN"/>
        </w:rPr>
        <w:t>2.1</w:t>
      </w:r>
      <w:r>
        <w:rPr>
          <w:rFonts w:ascii="宋体" w:hAnsi="宋体"/>
          <w:sz w:val="22"/>
          <w:szCs w:val="22"/>
        </w:rPr>
        <w:t>中标（成交）供应商应按向采购人交纳</w:t>
      </w:r>
      <w:r>
        <w:rPr>
          <w:rFonts w:hint="eastAsia" w:ascii="宋体" w:hAnsi="宋体"/>
          <w:sz w:val="22"/>
          <w:szCs w:val="22"/>
          <w:lang w:eastAsia="zh-CN"/>
        </w:rPr>
        <w:t>合同总金额</w:t>
      </w:r>
      <w:r>
        <w:rPr>
          <w:rFonts w:hint="eastAsia" w:ascii="宋体" w:hAnsi="宋体"/>
          <w:sz w:val="22"/>
          <w:szCs w:val="22"/>
          <w:lang w:val="en-US" w:eastAsia="zh-CN"/>
        </w:rPr>
        <w:t>5％的</w:t>
      </w:r>
      <w:r>
        <w:rPr>
          <w:rFonts w:ascii="宋体" w:hAnsi="宋体"/>
          <w:sz w:val="22"/>
          <w:szCs w:val="22"/>
        </w:rPr>
        <w:t>履约保证金</w:t>
      </w:r>
      <w:r>
        <w:rPr>
          <w:rFonts w:hint="eastAsia" w:ascii="宋体" w:hAnsi="宋体"/>
          <w:sz w:val="22"/>
          <w:szCs w:val="22"/>
        </w:rPr>
        <w:t>（</w:t>
      </w:r>
      <w:r>
        <w:rPr>
          <w:rFonts w:hint="eastAsia" w:ascii="宋体" w:hAnsi="宋体"/>
          <w:sz w:val="22"/>
          <w:szCs w:val="22"/>
          <w:lang w:eastAsia="zh-CN"/>
        </w:rPr>
        <w:t>银行转账、银行保函或保险保函</w:t>
      </w:r>
      <w:r>
        <w:rPr>
          <w:rFonts w:hint="eastAsia" w:ascii="宋体" w:hAnsi="宋体"/>
          <w:sz w:val="22"/>
          <w:szCs w:val="22"/>
        </w:rPr>
        <w:t>）</w:t>
      </w:r>
      <w:r>
        <w:rPr>
          <w:rFonts w:ascii="宋体" w:hAnsi="宋体"/>
          <w:sz w:val="22"/>
          <w:szCs w:val="22"/>
        </w:rPr>
        <w:t>。</w:t>
      </w:r>
    </w:p>
    <w:p>
      <w:pPr>
        <w:pageBreakBefore w:val="0"/>
        <w:widowControl w:val="0"/>
        <w:numPr>
          <w:ilvl w:val="0"/>
          <w:numId w:val="0"/>
        </w:numPr>
        <w:kinsoku/>
        <w:wordWrap/>
        <w:overflowPunct/>
        <w:topLinePunct w:val="0"/>
        <w:autoSpaceDE/>
        <w:autoSpaceDN/>
        <w:bidi w:val="0"/>
        <w:spacing w:line="336" w:lineRule="auto"/>
        <w:ind w:firstLine="220" w:firstLineChars="100"/>
        <w:textAlignment w:val="auto"/>
        <w:rPr>
          <w:rFonts w:ascii="宋体" w:hAnsi="宋体"/>
          <w:sz w:val="22"/>
          <w:szCs w:val="22"/>
        </w:rPr>
      </w:pPr>
      <w:r>
        <w:rPr>
          <w:rFonts w:hint="eastAsia" w:ascii="宋体" w:hAnsi="宋体"/>
          <w:sz w:val="22"/>
          <w:szCs w:val="22"/>
          <w:lang w:val="en-US" w:eastAsia="zh-CN"/>
        </w:rPr>
        <w:t>2.2</w:t>
      </w:r>
      <w:r>
        <w:rPr>
          <w:rFonts w:ascii="宋体" w:hAnsi="宋体"/>
          <w:sz w:val="22"/>
          <w:szCs w:val="22"/>
        </w:rPr>
        <w:t>履约保证金在中标（成交）供应商按合同约定竣工验收合格后</w:t>
      </w:r>
      <w:r>
        <w:rPr>
          <w:rFonts w:hint="eastAsia" w:ascii="宋体" w:hAnsi="宋体"/>
          <w:sz w:val="22"/>
          <w:szCs w:val="22"/>
        </w:rPr>
        <w:t>并由承包人提出申请十个工作日内</w:t>
      </w:r>
      <w:r>
        <w:rPr>
          <w:rFonts w:ascii="宋体" w:hAnsi="宋体"/>
          <w:sz w:val="22"/>
          <w:szCs w:val="22"/>
        </w:rPr>
        <w:t xml:space="preserve">无息退还。 </w:t>
      </w:r>
    </w:p>
    <w:p>
      <w:pPr>
        <w:pStyle w:val="208"/>
        <w:pageBreakBefore w:val="0"/>
        <w:widowControl w:val="0"/>
        <w:tabs>
          <w:tab w:val="left" w:pos="0"/>
          <w:tab w:val="left" w:pos="630"/>
        </w:tabs>
        <w:kinsoku/>
        <w:wordWrap/>
        <w:overflowPunct/>
        <w:topLinePunct w:val="0"/>
        <w:autoSpaceDE/>
        <w:autoSpaceDN/>
        <w:bidi w:val="0"/>
        <w:adjustRightInd w:val="0"/>
        <w:snapToGrid w:val="0"/>
        <w:spacing w:before="0" w:after="0" w:line="336" w:lineRule="auto"/>
        <w:ind w:firstLine="103"/>
        <w:textAlignment w:val="auto"/>
        <w:outlineLvl w:val="3"/>
        <w:rPr>
          <w:rFonts w:ascii="宋体" w:cs="宋体"/>
          <w:bCs w:val="0"/>
          <w:i w:val="0"/>
          <w:sz w:val="22"/>
          <w:szCs w:val="22"/>
        </w:rPr>
      </w:pPr>
      <w:r>
        <w:rPr>
          <w:rFonts w:hint="eastAsia" w:ascii="Times New Roman" w:hAnsi="Times New Roman" w:eastAsia="宋体" w:cs="Times New Roman"/>
          <w:b w:val="0"/>
          <w:i w:val="0"/>
          <w:kern w:val="2"/>
          <w:sz w:val="22"/>
          <w:szCs w:val="22"/>
          <w:lang w:val="en-US" w:eastAsia="zh-CN" w:bidi="ar-SA"/>
        </w:rPr>
        <w:t>3、付款方式：</w:t>
      </w:r>
    </w:p>
    <w:p>
      <w:pPr>
        <w:pageBreakBefore w:val="0"/>
        <w:widowControl w:val="0"/>
        <w:kinsoku/>
        <w:wordWrap/>
        <w:overflowPunct/>
        <w:topLinePunct w:val="0"/>
        <w:autoSpaceDE/>
        <w:autoSpaceDN/>
        <w:bidi w:val="0"/>
        <w:spacing w:line="336" w:lineRule="auto"/>
        <w:ind w:firstLine="220" w:firstLineChars="100"/>
        <w:textAlignment w:val="auto"/>
        <w:rPr>
          <w:rFonts w:ascii="宋体" w:hAnsi="宋体" w:cs="宋体"/>
          <w:bCs/>
          <w:sz w:val="22"/>
          <w:szCs w:val="22"/>
        </w:rPr>
      </w:pPr>
      <w:r>
        <w:rPr>
          <w:rFonts w:hint="eastAsia" w:ascii="宋体" w:hAnsi="宋体" w:eastAsia="新宋体" w:cs="宋体"/>
          <w:bCs/>
          <w:sz w:val="22"/>
          <w:szCs w:val="22"/>
          <w:lang w:val="en-US" w:eastAsia="zh-CN"/>
        </w:rPr>
        <w:t>3.1</w:t>
      </w:r>
      <w:r>
        <w:rPr>
          <w:rFonts w:hint="eastAsia" w:ascii="新宋体" w:hAnsi="新宋体" w:eastAsia="新宋体"/>
          <w:bCs/>
          <w:color w:val="000000"/>
          <w:sz w:val="22"/>
        </w:rPr>
        <w:t>合同签订后1</w:t>
      </w:r>
      <w:r>
        <w:rPr>
          <w:rFonts w:hint="eastAsia" w:ascii="新宋体" w:hAnsi="新宋体" w:eastAsia="新宋体"/>
          <w:bCs/>
          <w:color w:val="000000"/>
          <w:sz w:val="22"/>
          <w:lang w:val="en-US" w:eastAsia="zh-CN"/>
        </w:rPr>
        <w:t>5</w:t>
      </w:r>
      <w:r>
        <w:rPr>
          <w:rFonts w:hint="eastAsia" w:ascii="新宋体" w:hAnsi="新宋体" w:eastAsia="新宋体"/>
          <w:bCs/>
          <w:color w:val="000000"/>
          <w:sz w:val="22"/>
        </w:rPr>
        <w:t>日内</w:t>
      </w:r>
      <w:r>
        <w:rPr>
          <w:rFonts w:hint="eastAsia" w:hAnsi="宋体" w:eastAsia="宋体" w:cs="宋体"/>
          <w:color w:val="000000"/>
          <w:sz w:val="22"/>
          <w:szCs w:val="22"/>
          <w:highlight w:val="none"/>
          <w:lang w:eastAsia="zh-CN"/>
        </w:rPr>
        <w:t>，</w:t>
      </w:r>
      <w:r>
        <w:rPr>
          <w:rFonts w:hint="eastAsia" w:ascii="宋体" w:hAnsi="宋体" w:cs="宋体"/>
          <w:bCs/>
          <w:sz w:val="22"/>
          <w:szCs w:val="22"/>
        </w:rPr>
        <w:t>甲方支付</w:t>
      </w:r>
      <w:r>
        <w:rPr>
          <w:rFonts w:hint="eastAsia" w:ascii="宋体" w:hAnsi="宋体"/>
          <w:color w:val="000000"/>
          <w:sz w:val="22"/>
          <w:szCs w:val="22"/>
        </w:rPr>
        <w:t>中标合同价工程款</w:t>
      </w:r>
      <w:r>
        <w:rPr>
          <w:rFonts w:hint="eastAsia" w:ascii="宋体" w:hAnsi="宋体" w:cs="宋体"/>
          <w:bCs/>
          <w:sz w:val="22"/>
          <w:szCs w:val="22"/>
        </w:rPr>
        <w:t>10%的工程预付款；</w:t>
      </w:r>
    </w:p>
    <w:p>
      <w:pPr>
        <w:pageBreakBefore w:val="0"/>
        <w:widowControl w:val="0"/>
        <w:kinsoku/>
        <w:wordWrap/>
        <w:overflowPunct/>
        <w:topLinePunct w:val="0"/>
        <w:autoSpaceDE/>
        <w:autoSpaceDN/>
        <w:bidi w:val="0"/>
        <w:spacing w:line="336" w:lineRule="auto"/>
        <w:ind w:firstLine="220" w:firstLineChars="100"/>
        <w:textAlignment w:val="auto"/>
        <w:rPr>
          <w:rFonts w:ascii="宋体" w:hAnsi="宋体" w:cs="宋体"/>
          <w:bCs/>
          <w:sz w:val="22"/>
          <w:szCs w:val="22"/>
        </w:rPr>
      </w:pPr>
      <w:r>
        <w:rPr>
          <w:rFonts w:hint="eastAsia" w:ascii="宋体" w:hAnsi="宋体" w:cs="宋体"/>
          <w:bCs/>
          <w:sz w:val="22"/>
          <w:szCs w:val="22"/>
          <w:lang w:val="en-US" w:eastAsia="zh-CN"/>
        </w:rPr>
        <w:t>3.2</w:t>
      </w:r>
      <w:r>
        <w:rPr>
          <w:rFonts w:hint="eastAsia" w:ascii="宋体" w:hAnsi="宋体" w:cs="宋体"/>
          <w:bCs/>
          <w:sz w:val="22"/>
          <w:szCs w:val="22"/>
        </w:rPr>
        <w:t>工程进度款按每月工程实际完成量的80%支付工程款（预付款同时按比例扣回）支付方式：每月25日前申报该月完成的工程量，经招标人及其委托的监理工程师审核确认后，于次月30日前支付已完成部分的工程款。进度款付至合同价的80%时，将停止支付工程进度款，待提交结算资料经初步审核后并办理竣工结算经相关单位审核后付至结算价的</w:t>
      </w:r>
      <w:r>
        <w:rPr>
          <w:rFonts w:hint="eastAsia" w:ascii="宋体" w:hAnsi="宋体" w:cs="宋体"/>
          <w:bCs/>
          <w:sz w:val="22"/>
          <w:szCs w:val="22"/>
          <w:lang w:val="en-US" w:eastAsia="zh-CN"/>
        </w:rPr>
        <w:t>100</w:t>
      </w:r>
      <w:r>
        <w:rPr>
          <w:rFonts w:hint="eastAsia" w:ascii="宋体" w:hAnsi="宋体" w:cs="宋体"/>
          <w:bCs/>
          <w:sz w:val="22"/>
          <w:szCs w:val="22"/>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36" w:lineRule="auto"/>
        <w:textAlignment w:val="auto"/>
        <w:rPr>
          <w:rFonts w:hint="default" w:ascii="宋体" w:hAnsi="宋体" w:eastAsia="黑体" w:cs="宋体"/>
          <w:b w:val="0"/>
          <w:bCs w:val="0"/>
          <w:i w:val="0"/>
          <w:kern w:val="2"/>
          <w:sz w:val="22"/>
          <w:szCs w:val="22"/>
          <w:lang w:val="en-US" w:eastAsia="zh-CN" w:bidi="ar-SA"/>
        </w:rPr>
      </w:pPr>
      <w:r>
        <w:rPr>
          <w:rFonts w:hint="eastAsia" w:ascii="宋体" w:hAnsi="宋体" w:eastAsia="宋体" w:cs="宋体"/>
          <w:b w:val="0"/>
          <w:bCs w:val="0"/>
          <w:i w:val="0"/>
          <w:kern w:val="2"/>
          <w:sz w:val="22"/>
          <w:szCs w:val="22"/>
          <w:lang w:val="en-US" w:eastAsia="zh-CN" w:bidi="ar-SA"/>
        </w:rPr>
        <w:t>3、合同履约期限：总周期：90日历天。其中：中标通知书发放后15日历天内完成施工图设计并报发包人审查，施工工期75日历天。</w:t>
      </w:r>
    </w:p>
    <w:p>
      <w:pPr>
        <w:pStyle w:val="40"/>
        <w:pageBreakBefore w:val="0"/>
        <w:widowControl w:val="0"/>
        <w:kinsoku/>
        <w:wordWrap/>
        <w:overflowPunct/>
        <w:topLinePunct w:val="0"/>
        <w:autoSpaceDE/>
        <w:autoSpaceDN/>
        <w:bidi w:val="0"/>
        <w:spacing w:before="0" w:after="0" w:line="336" w:lineRule="auto"/>
        <w:jc w:val="left"/>
        <w:textAlignment w:val="auto"/>
        <w:rPr>
          <w:rFonts w:hint="eastAsia" w:ascii="宋体" w:hAnsi="宋体" w:eastAsia="宋体" w:cs="宋体"/>
          <w:bCs/>
          <w:kern w:val="2"/>
          <w:sz w:val="22"/>
          <w:szCs w:val="22"/>
          <w:lang w:val="en-US" w:eastAsia="zh-CN" w:bidi="ar-SA"/>
        </w:rPr>
      </w:pPr>
      <w:r>
        <w:rPr>
          <w:rFonts w:hint="eastAsia" w:ascii="宋体" w:hAnsi="宋体" w:eastAsia="宋体" w:cs="宋体"/>
          <w:bCs/>
          <w:kern w:val="2"/>
          <w:sz w:val="22"/>
          <w:szCs w:val="22"/>
          <w:lang w:val="en-US" w:eastAsia="zh-CN" w:bidi="ar-SA"/>
        </w:rPr>
        <w:t>4、安装调试</w:t>
      </w:r>
    </w:p>
    <w:p>
      <w:pPr>
        <w:pStyle w:val="40"/>
        <w:pageBreakBefore w:val="0"/>
        <w:widowControl w:val="0"/>
        <w:kinsoku/>
        <w:wordWrap/>
        <w:overflowPunct/>
        <w:topLinePunct w:val="0"/>
        <w:autoSpaceDE/>
        <w:autoSpaceDN/>
        <w:bidi w:val="0"/>
        <w:spacing w:before="0" w:after="0" w:line="336" w:lineRule="auto"/>
        <w:ind w:firstLine="220" w:firstLineChars="100"/>
        <w:jc w:val="left"/>
        <w:textAlignment w:val="auto"/>
        <w:rPr>
          <w:rFonts w:hint="eastAsia" w:ascii="宋体" w:hAnsi="宋体" w:eastAsia="宋体" w:cs="宋体"/>
          <w:bCs/>
          <w:kern w:val="2"/>
          <w:sz w:val="22"/>
          <w:szCs w:val="22"/>
          <w:lang w:val="en-US" w:eastAsia="zh-CN" w:bidi="ar-SA"/>
        </w:rPr>
      </w:pPr>
      <w:r>
        <w:rPr>
          <w:rFonts w:hint="eastAsia" w:ascii="宋体" w:hAnsi="宋体" w:eastAsia="宋体" w:cs="宋体"/>
          <w:bCs/>
          <w:kern w:val="2"/>
          <w:sz w:val="22"/>
          <w:szCs w:val="22"/>
          <w:lang w:val="en-US" w:eastAsia="zh-CN" w:bidi="ar-SA"/>
        </w:rPr>
        <w:t>4.1安装地点：按采购单位要求。</w:t>
      </w:r>
    </w:p>
    <w:p>
      <w:pPr>
        <w:pStyle w:val="40"/>
        <w:pageBreakBefore w:val="0"/>
        <w:widowControl w:val="0"/>
        <w:kinsoku/>
        <w:wordWrap/>
        <w:overflowPunct/>
        <w:topLinePunct w:val="0"/>
        <w:autoSpaceDE/>
        <w:autoSpaceDN/>
        <w:bidi w:val="0"/>
        <w:spacing w:before="0" w:after="0" w:line="336" w:lineRule="auto"/>
        <w:ind w:firstLine="220" w:firstLineChars="100"/>
        <w:jc w:val="left"/>
        <w:textAlignment w:val="auto"/>
        <w:rPr>
          <w:rFonts w:hint="eastAsia" w:ascii="宋体" w:hAnsi="宋体" w:eastAsia="宋体" w:cs="宋体"/>
          <w:bCs/>
          <w:kern w:val="2"/>
          <w:sz w:val="22"/>
          <w:szCs w:val="22"/>
          <w:lang w:val="en-US" w:eastAsia="zh-CN" w:bidi="ar-SA"/>
        </w:rPr>
      </w:pPr>
      <w:r>
        <w:rPr>
          <w:rFonts w:hint="eastAsia" w:ascii="宋体" w:hAnsi="宋体" w:eastAsia="宋体" w:cs="宋体"/>
          <w:bCs/>
          <w:kern w:val="2"/>
          <w:sz w:val="22"/>
          <w:szCs w:val="22"/>
          <w:lang w:val="en-US" w:eastAsia="zh-CN" w:bidi="ar-SA"/>
        </w:rPr>
        <w:t>4.2质量标准：符合我国国家有关技术规范要求和技术标准。</w:t>
      </w:r>
    </w:p>
    <w:p>
      <w:pPr>
        <w:pStyle w:val="40"/>
        <w:pageBreakBefore w:val="0"/>
        <w:widowControl w:val="0"/>
        <w:kinsoku/>
        <w:wordWrap/>
        <w:overflowPunct/>
        <w:topLinePunct w:val="0"/>
        <w:autoSpaceDE/>
        <w:autoSpaceDN/>
        <w:bidi w:val="0"/>
        <w:spacing w:before="0" w:after="0" w:line="336" w:lineRule="auto"/>
        <w:ind w:firstLine="220" w:firstLineChars="100"/>
        <w:jc w:val="left"/>
        <w:textAlignment w:val="auto"/>
        <w:rPr>
          <w:rFonts w:hint="eastAsia" w:ascii="宋体" w:hAnsi="宋体" w:eastAsia="宋体" w:cs="宋体"/>
          <w:bCs/>
          <w:kern w:val="2"/>
          <w:sz w:val="22"/>
          <w:szCs w:val="22"/>
          <w:lang w:val="en-US" w:eastAsia="zh-CN" w:bidi="ar-SA"/>
        </w:rPr>
      </w:pPr>
      <w:r>
        <w:rPr>
          <w:rFonts w:hint="eastAsia" w:ascii="宋体" w:hAnsi="宋体" w:eastAsia="宋体" w:cs="宋体"/>
          <w:bCs/>
          <w:kern w:val="2"/>
          <w:sz w:val="22"/>
          <w:szCs w:val="22"/>
          <w:lang w:val="en-US" w:eastAsia="zh-CN" w:bidi="ar-SA"/>
        </w:rPr>
        <w:t>4.3送货、安装过程中发生的费用由中标供应商负责。</w:t>
      </w:r>
    </w:p>
    <w:p>
      <w:pPr>
        <w:pStyle w:val="40"/>
        <w:pageBreakBefore w:val="0"/>
        <w:widowControl w:val="0"/>
        <w:kinsoku/>
        <w:wordWrap/>
        <w:overflowPunct/>
        <w:topLinePunct w:val="0"/>
        <w:autoSpaceDE/>
        <w:autoSpaceDN/>
        <w:bidi w:val="0"/>
        <w:spacing w:before="0" w:after="0" w:line="336" w:lineRule="auto"/>
        <w:ind w:firstLine="220" w:firstLineChars="100"/>
        <w:jc w:val="left"/>
        <w:textAlignment w:val="auto"/>
        <w:rPr>
          <w:rFonts w:hint="eastAsia" w:ascii="宋体" w:hAnsi="宋体" w:eastAsia="宋体" w:cs="宋体"/>
          <w:bCs/>
          <w:kern w:val="2"/>
          <w:sz w:val="22"/>
          <w:szCs w:val="22"/>
          <w:lang w:val="en-US" w:eastAsia="zh-CN" w:bidi="ar-SA"/>
        </w:rPr>
      </w:pPr>
      <w:r>
        <w:rPr>
          <w:rFonts w:hint="eastAsia" w:ascii="宋体" w:hAnsi="宋体" w:eastAsia="宋体" w:cs="宋体"/>
          <w:bCs/>
          <w:kern w:val="2"/>
          <w:sz w:val="22"/>
          <w:szCs w:val="22"/>
          <w:lang w:val="en-US" w:eastAsia="zh-CN" w:bidi="ar-SA"/>
        </w:rPr>
        <w:t>4.4报价方应在</w:t>
      </w:r>
      <w:r>
        <w:rPr>
          <w:rFonts w:hint="eastAsia" w:ascii="宋体" w:hAnsi="宋体" w:cs="宋体"/>
          <w:bCs/>
          <w:kern w:val="2"/>
          <w:sz w:val="22"/>
          <w:szCs w:val="22"/>
          <w:lang w:val="en-US" w:eastAsia="zh-CN" w:bidi="ar-SA"/>
        </w:rPr>
        <w:t>投标</w:t>
      </w:r>
      <w:r>
        <w:rPr>
          <w:rFonts w:hint="eastAsia" w:ascii="宋体" w:hAnsi="宋体" w:eastAsia="宋体" w:cs="宋体"/>
          <w:bCs/>
          <w:kern w:val="2"/>
          <w:sz w:val="22"/>
          <w:szCs w:val="22"/>
          <w:lang w:val="en-US" w:eastAsia="zh-CN" w:bidi="ar-SA"/>
        </w:rPr>
        <w:t>文件中提出其安装调试过程中使用单位需配合的内容。</w:t>
      </w:r>
    </w:p>
    <w:p>
      <w:pPr>
        <w:pStyle w:val="40"/>
        <w:keepNext w:val="0"/>
        <w:keepLines w:val="0"/>
        <w:pageBreakBefore w:val="0"/>
        <w:widowControl w:val="0"/>
        <w:kinsoku/>
        <w:wordWrap/>
        <w:overflowPunct/>
        <w:topLinePunct w:val="0"/>
        <w:autoSpaceDE/>
        <w:autoSpaceDN/>
        <w:bidi w:val="0"/>
        <w:adjustRightInd/>
        <w:snapToGrid/>
        <w:spacing w:before="0" w:after="0" w:line="336" w:lineRule="auto"/>
        <w:jc w:val="left"/>
        <w:textAlignment w:val="auto"/>
        <w:rPr>
          <w:rFonts w:hint="eastAsia" w:ascii="宋体" w:hAnsi="宋体" w:eastAsia="宋体" w:cs="宋体"/>
          <w:bCs/>
          <w:kern w:val="2"/>
          <w:sz w:val="22"/>
          <w:szCs w:val="22"/>
          <w:lang w:val="en-US" w:eastAsia="zh-CN" w:bidi="ar-SA"/>
        </w:rPr>
      </w:pPr>
      <w:r>
        <w:rPr>
          <w:rFonts w:hint="eastAsia" w:ascii="宋体" w:hAnsi="宋体" w:eastAsia="宋体" w:cs="宋体"/>
          <w:bCs/>
          <w:kern w:val="2"/>
          <w:sz w:val="22"/>
          <w:szCs w:val="22"/>
          <w:lang w:val="en-US" w:eastAsia="zh-CN" w:bidi="ar-SA"/>
        </w:rPr>
        <w:t>5、工作范围（根据招标文件，各供应商须按国家有关标准及规范完成下列工作）：</w:t>
      </w:r>
    </w:p>
    <w:p>
      <w:pPr>
        <w:keepNext w:val="0"/>
        <w:keepLines w:val="0"/>
        <w:pageBreakBefore w:val="0"/>
        <w:widowControl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bCs/>
          <w:kern w:val="2"/>
          <w:sz w:val="22"/>
          <w:szCs w:val="22"/>
          <w:lang w:val="en-US" w:eastAsia="zh-CN" w:bidi="ar-SA"/>
        </w:rPr>
      </w:pPr>
      <w:r>
        <w:rPr>
          <w:rFonts w:hint="eastAsia" w:ascii="宋体" w:hAnsi="宋体" w:eastAsia="宋体" w:cs="宋体"/>
          <w:bCs/>
          <w:kern w:val="2"/>
          <w:sz w:val="22"/>
          <w:szCs w:val="22"/>
          <w:lang w:val="en-US" w:eastAsia="zh-CN" w:bidi="ar-SA"/>
        </w:rPr>
        <w:t>5.1提供完整成套的货物；</w:t>
      </w:r>
    </w:p>
    <w:p>
      <w:pPr>
        <w:keepNext w:val="0"/>
        <w:keepLines w:val="0"/>
        <w:pageBreakBefore w:val="0"/>
        <w:widowControl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bCs/>
          <w:kern w:val="2"/>
          <w:sz w:val="22"/>
          <w:szCs w:val="22"/>
          <w:lang w:val="en-US" w:eastAsia="zh-CN" w:bidi="ar-SA"/>
        </w:rPr>
      </w:pPr>
      <w:r>
        <w:rPr>
          <w:rFonts w:hint="eastAsia" w:ascii="宋体" w:hAnsi="宋体" w:eastAsia="宋体" w:cs="宋体"/>
          <w:bCs/>
          <w:kern w:val="2"/>
          <w:sz w:val="22"/>
          <w:szCs w:val="22"/>
          <w:lang w:val="en-US" w:eastAsia="zh-CN" w:bidi="ar-SA"/>
        </w:rPr>
        <w:t>5.2产品及相关附件的提供、运输、装卸、就位、安装、调试、检验、通过验收及配套工程的施工；</w:t>
      </w:r>
    </w:p>
    <w:p>
      <w:pPr>
        <w:keepNext w:val="0"/>
        <w:keepLines w:val="0"/>
        <w:pageBreakBefore w:val="0"/>
        <w:widowControl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bCs/>
          <w:kern w:val="2"/>
          <w:sz w:val="22"/>
          <w:szCs w:val="22"/>
          <w:lang w:val="en-US" w:eastAsia="zh-CN" w:bidi="ar-SA"/>
        </w:rPr>
      </w:pPr>
      <w:r>
        <w:rPr>
          <w:rFonts w:hint="eastAsia" w:ascii="宋体" w:hAnsi="宋体" w:eastAsia="宋体" w:cs="宋体"/>
          <w:bCs/>
          <w:kern w:val="2"/>
          <w:sz w:val="22"/>
          <w:szCs w:val="22"/>
          <w:lang w:val="en-US" w:eastAsia="zh-CN" w:bidi="ar-SA"/>
        </w:rPr>
        <w:t>5.3完成各项安装、调试、检验、测试等工作，并在买方的配合下通过的验收；提供各种数据资料；直至通过验收；</w:t>
      </w:r>
    </w:p>
    <w:p>
      <w:pPr>
        <w:keepNext w:val="0"/>
        <w:keepLines w:val="0"/>
        <w:pageBreakBefore w:val="0"/>
        <w:widowControl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bCs/>
          <w:kern w:val="2"/>
          <w:sz w:val="22"/>
          <w:szCs w:val="22"/>
          <w:lang w:val="en-US" w:eastAsia="zh-CN" w:bidi="ar-SA"/>
        </w:rPr>
      </w:pPr>
      <w:r>
        <w:rPr>
          <w:rFonts w:hint="eastAsia" w:ascii="宋体" w:hAnsi="宋体" w:eastAsia="宋体" w:cs="宋体"/>
          <w:bCs/>
          <w:kern w:val="2"/>
          <w:sz w:val="22"/>
          <w:szCs w:val="22"/>
          <w:lang w:val="en-US" w:eastAsia="zh-CN" w:bidi="ar-SA"/>
        </w:rPr>
        <w:t>5.4质保期内维修；</w:t>
      </w:r>
    </w:p>
    <w:p>
      <w:pPr>
        <w:keepNext w:val="0"/>
        <w:keepLines w:val="0"/>
        <w:pageBreakBefore w:val="0"/>
        <w:widowControl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bCs/>
          <w:kern w:val="2"/>
          <w:sz w:val="22"/>
          <w:szCs w:val="22"/>
          <w:lang w:val="en-US" w:eastAsia="zh-CN" w:bidi="ar-SA"/>
        </w:rPr>
      </w:pPr>
      <w:r>
        <w:rPr>
          <w:rFonts w:hint="eastAsia" w:ascii="宋体" w:hAnsi="宋体" w:eastAsia="宋体" w:cs="宋体"/>
          <w:bCs/>
          <w:kern w:val="2"/>
          <w:sz w:val="22"/>
          <w:szCs w:val="22"/>
          <w:lang w:val="en-US" w:eastAsia="zh-CN" w:bidi="ar-SA"/>
        </w:rPr>
        <w:t>5.5售后服务的措施及承诺。</w:t>
      </w:r>
    </w:p>
    <w:p>
      <w:pPr>
        <w:keepNext w:val="0"/>
        <w:keepLines w:val="0"/>
        <w:pageBreakBefore w:val="0"/>
        <w:widowControl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bCs/>
          <w:kern w:val="2"/>
          <w:sz w:val="22"/>
          <w:szCs w:val="22"/>
          <w:lang w:val="en-US" w:eastAsia="zh-CN" w:bidi="ar-SA"/>
        </w:rPr>
      </w:pPr>
      <w:r>
        <w:rPr>
          <w:rFonts w:hint="eastAsia" w:ascii="宋体" w:hAnsi="宋体" w:eastAsia="宋体" w:cs="宋体"/>
          <w:bCs/>
          <w:kern w:val="2"/>
          <w:sz w:val="22"/>
          <w:szCs w:val="22"/>
          <w:lang w:val="en-US" w:eastAsia="zh-CN" w:bidi="ar-SA"/>
        </w:rPr>
        <w:t>▲注意：以上其他工作内容的费用均包含在投标总价中。</w:t>
      </w:r>
    </w:p>
    <w:p>
      <w:pPr>
        <w:autoSpaceDE w:val="0"/>
        <w:autoSpaceDN w:val="0"/>
        <w:adjustRightInd w:val="0"/>
        <w:ind w:left="-840" w:leftChars="-400" w:firstLine="0" w:firstLineChars="0"/>
        <w:jc w:val="center"/>
        <w:rPr>
          <w:rFonts w:hint="eastAsia"/>
          <w:b/>
          <w:sz w:val="36"/>
          <w:lang w:val="zh-CN"/>
        </w:rPr>
      </w:pPr>
    </w:p>
    <w:p>
      <w:pPr>
        <w:autoSpaceDE w:val="0"/>
        <w:autoSpaceDN w:val="0"/>
        <w:adjustRightInd w:val="0"/>
        <w:ind w:left="-840" w:leftChars="-400" w:firstLine="0" w:firstLineChars="0"/>
        <w:jc w:val="center"/>
        <w:rPr>
          <w:rFonts w:hint="eastAsia"/>
          <w:b/>
          <w:sz w:val="36"/>
          <w:lang w:val="zh-CN"/>
        </w:rPr>
      </w:pPr>
    </w:p>
    <w:p>
      <w:pPr>
        <w:autoSpaceDE w:val="0"/>
        <w:autoSpaceDN w:val="0"/>
        <w:adjustRightInd w:val="0"/>
        <w:ind w:left="-840" w:leftChars="-400" w:firstLine="0" w:firstLineChars="0"/>
        <w:jc w:val="center"/>
        <w:rPr>
          <w:b/>
          <w:sz w:val="36"/>
          <w:lang w:val="zh-CN"/>
        </w:rPr>
      </w:pPr>
      <w:bookmarkStart w:id="210" w:name="_GoBack"/>
      <w:bookmarkEnd w:id="210"/>
      <w:r>
        <w:rPr>
          <w:rFonts w:hint="eastAsia"/>
          <w:b/>
          <w:sz w:val="36"/>
          <w:lang w:val="zh-CN"/>
        </w:rPr>
        <w:t>第三部分 评审办法及评分标准</w:t>
      </w:r>
    </w:p>
    <w:p>
      <w:pPr>
        <w:tabs>
          <w:tab w:val="left" w:pos="8820"/>
        </w:tabs>
        <w:adjustRightInd w:val="0"/>
        <w:snapToGrid w:val="0"/>
        <w:spacing w:line="360" w:lineRule="auto"/>
        <w:ind w:firstLine="440" w:firstLineChars="200"/>
        <w:rPr>
          <w:rFonts w:hint="eastAsia" w:ascii="宋体" w:hAnsi="宋体"/>
          <w:sz w:val="22"/>
          <w:szCs w:val="22"/>
        </w:rPr>
      </w:pPr>
    </w:p>
    <w:p>
      <w:pPr>
        <w:tabs>
          <w:tab w:val="left" w:pos="8820"/>
        </w:tabs>
        <w:adjustRightInd w:val="0"/>
        <w:snapToGrid w:val="0"/>
        <w:spacing w:line="360" w:lineRule="auto"/>
        <w:ind w:firstLine="440" w:firstLineChars="200"/>
        <w:rPr>
          <w:rFonts w:hint="eastAsia" w:ascii="宋体" w:hAnsi="宋体"/>
          <w:sz w:val="22"/>
          <w:szCs w:val="22"/>
        </w:rPr>
      </w:pPr>
    </w:p>
    <w:p>
      <w:pPr>
        <w:tabs>
          <w:tab w:val="left" w:pos="8820"/>
        </w:tabs>
        <w:adjustRightInd w:val="0"/>
        <w:snapToGrid w:val="0"/>
        <w:spacing w:line="360" w:lineRule="auto"/>
        <w:ind w:firstLine="440" w:firstLineChars="200"/>
        <w:rPr>
          <w:rFonts w:hint="eastAsia" w:ascii="宋体" w:hAnsi="宋体"/>
          <w:sz w:val="22"/>
          <w:szCs w:val="22"/>
        </w:rPr>
      </w:pPr>
      <w:r>
        <w:rPr>
          <w:rFonts w:hint="eastAsia" w:ascii="宋体" w:hAnsi="宋体"/>
          <w:sz w:val="22"/>
          <w:szCs w:val="22"/>
        </w:rPr>
        <w:t>根据《中华人民共和国政府采购法》等有关政府采购法规，结合本次所要采购项目的实际，按照公平、公正、科学、择优的原则选择中标单位，特制定本评标办法。</w:t>
      </w:r>
    </w:p>
    <w:p>
      <w:pPr>
        <w:adjustRightInd w:val="0"/>
        <w:snapToGrid w:val="0"/>
        <w:spacing w:before="162" w:beforeLines="50" w:after="50" w:line="360" w:lineRule="auto"/>
        <w:jc w:val="center"/>
        <w:outlineLvl w:val="0"/>
        <w:rPr>
          <w:rFonts w:hint="eastAsia" w:ascii="宋体" w:hAnsi="宋体"/>
          <w:bCs/>
          <w:sz w:val="22"/>
          <w:szCs w:val="22"/>
        </w:rPr>
      </w:pPr>
      <w:bookmarkStart w:id="89" w:name="_Toc11343"/>
      <w:bookmarkStart w:id="90" w:name="_Toc18821"/>
      <w:r>
        <w:rPr>
          <w:rFonts w:hint="eastAsia" w:ascii="宋体" w:hAnsi="宋体"/>
          <w:bCs/>
          <w:sz w:val="22"/>
          <w:szCs w:val="22"/>
        </w:rPr>
        <w:t>一、总则</w:t>
      </w:r>
      <w:bookmarkEnd w:id="89"/>
      <w:bookmarkEnd w:id="90"/>
    </w:p>
    <w:p>
      <w:pPr>
        <w:pStyle w:val="26"/>
        <w:adjustRightInd w:val="0"/>
        <w:snapToGrid w:val="0"/>
        <w:spacing w:before="100" w:after="50" w:line="360" w:lineRule="auto"/>
        <w:ind w:left="0" w:leftChars="0" w:firstLine="418" w:firstLineChars="190"/>
        <w:rPr>
          <w:rFonts w:hint="eastAsia" w:hAnsi="宋体"/>
          <w:sz w:val="22"/>
          <w:szCs w:val="22"/>
        </w:rPr>
      </w:pPr>
      <w:r>
        <w:rPr>
          <w:rFonts w:hint="eastAsia" w:hAnsi="宋体"/>
          <w:sz w:val="22"/>
          <w:szCs w:val="22"/>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w:t>
      </w:r>
      <w:r>
        <w:rPr>
          <w:rFonts w:hint="eastAsia" w:ascii="宋体" w:hAnsi="宋体"/>
          <w:sz w:val="22"/>
          <w:szCs w:val="22"/>
          <w:lang w:eastAsia="zh-CN"/>
        </w:rPr>
        <w:t>磋商响应文件</w:t>
      </w:r>
      <w:r>
        <w:rPr>
          <w:rFonts w:hint="eastAsia" w:hAnsi="宋体"/>
          <w:sz w:val="22"/>
          <w:szCs w:val="22"/>
        </w:rPr>
        <w:t>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w:t>
      </w:r>
      <w:r>
        <w:rPr>
          <w:rFonts w:hint="eastAsia" w:ascii="宋体" w:hAnsi="宋体"/>
          <w:sz w:val="22"/>
          <w:szCs w:val="22"/>
          <w:lang w:eastAsia="zh-CN"/>
        </w:rPr>
        <w:t>磋商响应文件</w:t>
      </w:r>
      <w:r>
        <w:rPr>
          <w:rFonts w:hint="eastAsia" w:hAnsi="宋体"/>
          <w:sz w:val="22"/>
          <w:szCs w:val="22"/>
        </w:rPr>
        <w:t>将被拒绝。</w:t>
      </w:r>
    </w:p>
    <w:p>
      <w:pPr>
        <w:adjustRightInd w:val="0"/>
        <w:snapToGrid w:val="0"/>
        <w:spacing w:before="162" w:beforeLines="50" w:after="50" w:line="360" w:lineRule="auto"/>
        <w:jc w:val="center"/>
        <w:outlineLvl w:val="0"/>
        <w:rPr>
          <w:rFonts w:hint="eastAsia" w:ascii="宋体" w:hAnsi="宋体"/>
          <w:bCs/>
          <w:sz w:val="22"/>
          <w:szCs w:val="22"/>
        </w:rPr>
      </w:pPr>
      <w:bookmarkStart w:id="91" w:name="_Toc7958"/>
      <w:bookmarkStart w:id="92" w:name="_Toc25049"/>
      <w:r>
        <w:rPr>
          <w:rFonts w:hint="eastAsia" w:ascii="宋体" w:hAnsi="宋体"/>
          <w:bCs/>
          <w:sz w:val="22"/>
          <w:szCs w:val="22"/>
        </w:rPr>
        <w:t>二．评标组织</w:t>
      </w:r>
      <w:bookmarkEnd w:id="91"/>
      <w:bookmarkEnd w:id="92"/>
    </w:p>
    <w:p>
      <w:pPr>
        <w:pStyle w:val="26"/>
        <w:adjustRightInd w:val="0"/>
        <w:snapToGrid w:val="0"/>
        <w:spacing w:before="100" w:after="50" w:line="360" w:lineRule="auto"/>
        <w:ind w:left="0" w:leftChars="0" w:firstLine="415" w:firstLineChars="189"/>
        <w:rPr>
          <w:rFonts w:hint="eastAsia" w:hAnsi="宋体"/>
          <w:sz w:val="22"/>
          <w:szCs w:val="22"/>
        </w:rPr>
      </w:pPr>
      <w:r>
        <w:rPr>
          <w:rFonts w:hint="eastAsia" w:hAnsi="宋体"/>
          <w:sz w:val="22"/>
          <w:szCs w:val="22"/>
        </w:rPr>
        <w:t>参见本采购文件第</w:t>
      </w:r>
      <w:r>
        <w:rPr>
          <w:rFonts w:hint="eastAsia" w:hAnsi="宋体"/>
          <w:sz w:val="22"/>
          <w:szCs w:val="22"/>
          <w:lang w:eastAsia="zh-CN"/>
        </w:rPr>
        <w:t>一</w:t>
      </w:r>
      <w:r>
        <w:rPr>
          <w:rFonts w:hint="eastAsia" w:hAnsi="宋体"/>
          <w:sz w:val="22"/>
          <w:szCs w:val="22"/>
        </w:rPr>
        <w:t>部分：“项目简介” 中的相关内容。</w:t>
      </w:r>
    </w:p>
    <w:p>
      <w:pPr>
        <w:pStyle w:val="139"/>
        <w:widowControl w:val="0"/>
        <w:pBdr>
          <w:left w:val="none" w:color="auto" w:sz="0" w:space="0"/>
          <w:bottom w:val="none" w:color="auto" w:sz="0" w:space="0"/>
          <w:right w:val="none" w:color="auto" w:sz="0" w:space="0"/>
        </w:pBdr>
        <w:adjustRightInd w:val="0"/>
        <w:snapToGrid w:val="0"/>
        <w:spacing w:before="162" w:beforeLines="50" w:beforeAutospacing="0" w:after="50" w:afterAutospacing="0" w:line="360" w:lineRule="auto"/>
        <w:textAlignment w:val="auto"/>
        <w:outlineLvl w:val="0"/>
        <w:rPr>
          <w:rFonts w:hint="eastAsia" w:ascii="宋体" w:hAnsi="宋体"/>
          <w:b w:val="0"/>
          <w:kern w:val="2"/>
          <w:sz w:val="22"/>
          <w:szCs w:val="22"/>
        </w:rPr>
      </w:pPr>
      <w:bookmarkStart w:id="93" w:name="_Toc2643"/>
      <w:bookmarkStart w:id="94" w:name="_Toc27261"/>
      <w:r>
        <w:rPr>
          <w:rFonts w:hint="eastAsia" w:ascii="宋体" w:hAnsi="宋体"/>
          <w:b w:val="0"/>
          <w:kern w:val="2"/>
          <w:sz w:val="22"/>
          <w:szCs w:val="22"/>
        </w:rPr>
        <w:t>三、评标程序</w:t>
      </w:r>
      <w:bookmarkEnd w:id="93"/>
      <w:bookmarkEnd w:id="94"/>
    </w:p>
    <w:p>
      <w:pPr>
        <w:adjustRightInd w:val="0"/>
        <w:snapToGrid w:val="0"/>
        <w:spacing w:before="100" w:after="50" w:line="360" w:lineRule="auto"/>
        <w:ind w:firstLine="442" w:firstLineChars="200"/>
        <w:rPr>
          <w:rFonts w:hint="eastAsia" w:ascii="宋体" w:hAnsi="宋体"/>
          <w:b/>
          <w:bCs/>
          <w:sz w:val="22"/>
          <w:szCs w:val="22"/>
          <w:u w:val="single"/>
        </w:rPr>
      </w:pPr>
      <w:r>
        <w:rPr>
          <w:rFonts w:hint="eastAsia" w:ascii="宋体" w:hAnsi="宋体"/>
          <w:b/>
          <w:bCs/>
          <w:sz w:val="22"/>
          <w:szCs w:val="22"/>
          <w:u w:val="single"/>
        </w:rPr>
        <w:t>参见本采购文件第</w:t>
      </w:r>
      <w:r>
        <w:rPr>
          <w:rFonts w:hint="eastAsia" w:ascii="宋体" w:hAnsi="宋体"/>
          <w:b/>
          <w:bCs/>
          <w:sz w:val="22"/>
          <w:szCs w:val="22"/>
          <w:u w:val="single"/>
          <w:lang w:eastAsia="zh-CN"/>
        </w:rPr>
        <w:t>一</w:t>
      </w:r>
      <w:r>
        <w:rPr>
          <w:rFonts w:hint="eastAsia" w:ascii="宋体" w:hAnsi="宋体"/>
          <w:b/>
          <w:bCs/>
          <w:sz w:val="22"/>
          <w:szCs w:val="22"/>
          <w:u w:val="single"/>
        </w:rPr>
        <w:t>部分：“项目简介” 中的相关内容。</w:t>
      </w:r>
    </w:p>
    <w:p>
      <w:pPr>
        <w:autoSpaceDE w:val="0"/>
        <w:autoSpaceDN w:val="0"/>
        <w:adjustRightInd w:val="0"/>
        <w:spacing w:line="460" w:lineRule="exact"/>
        <w:ind w:firstLine="440" w:firstLineChars="200"/>
        <w:jc w:val="left"/>
        <w:rPr>
          <w:rFonts w:ascii="宋体" w:hAnsi="宋体"/>
          <w:sz w:val="22"/>
          <w:szCs w:val="22"/>
        </w:rPr>
      </w:pPr>
      <w:r>
        <w:rPr>
          <w:rFonts w:ascii="宋体" w:hAnsi="宋体"/>
          <w:sz w:val="22"/>
          <w:szCs w:val="22"/>
        </w:rPr>
        <w:t xml:space="preserve"> </w:t>
      </w:r>
    </w:p>
    <w:p>
      <w:pPr>
        <w:autoSpaceDE w:val="0"/>
        <w:autoSpaceDN w:val="0"/>
        <w:adjustRightInd w:val="0"/>
        <w:spacing w:line="460" w:lineRule="exact"/>
        <w:jc w:val="left"/>
        <w:rPr>
          <w:rFonts w:ascii="宋体" w:hAnsi="宋体" w:cs="宋体"/>
          <w:b/>
          <w:kern w:val="0"/>
          <w:sz w:val="28"/>
          <w:szCs w:val="28"/>
        </w:rPr>
      </w:pPr>
    </w:p>
    <w:p>
      <w:pPr>
        <w:autoSpaceDE w:val="0"/>
        <w:autoSpaceDN w:val="0"/>
        <w:adjustRightInd w:val="0"/>
        <w:spacing w:line="460" w:lineRule="exact"/>
        <w:jc w:val="left"/>
        <w:rPr>
          <w:rFonts w:ascii="宋体" w:hAnsi="宋体" w:cs="宋体"/>
          <w:b/>
          <w:kern w:val="0"/>
          <w:sz w:val="28"/>
          <w:szCs w:val="28"/>
        </w:rPr>
      </w:pPr>
    </w:p>
    <w:p>
      <w:pPr>
        <w:autoSpaceDE w:val="0"/>
        <w:autoSpaceDN w:val="0"/>
        <w:adjustRightInd w:val="0"/>
        <w:spacing w:line="460" w:lineRule="exact"/>
        <w:jc w:val="left"/>
        <w:rPr>
          <w:rFonts w:ascii="宋体" w:hAnsi="宋体" w:cs="宋体"/>
          <w:b/>
          <w:kern w:val="0"/>
          <w:sz w:val="28"/>
          <w:szCs w:val="28"/>
        </w:rPr>
      </w:pPr>
    </w:p>
    <w:p>
      <w:pPr>
        <w:autoSpaceDE w:val="0"/>
        <w:autoSpaceDN w:val="0"/>
        <w:adjustRightInd w:val="0"/>
        <w:spacing w:line="460" w:lineRule="exact"/>
        <w:jc w:val="left"/>
        <w:rPr>
          <w:rFonts w:ascii="宋体" w:hAnsi="宋体" w:cs="宋体"/>
          <w:b/>
          <w:kern w:val="0"/>
          <w:sz w:val="28"/>
          <w:szCs w:val="28"/>
        </w:rPr>
      </w:pPr>
    </w:p>
    <w:p>
      <w:pPr>
        <w:autoSpaceDE w:val="0"/>
        <w:autoSpaceDN w:val="0"/>
        <w:adjustRightInd w:val="0"/>
        <w:spacing w:line="460" w:lineRule="exact"/>
        <w:jc w:val="left"/>
        <w:rPr>
          <w:rFonts w:ascii="宋体" w:hAnsi="宋体" w:cs="宋体"/>
          <w:b/>
          <w:kern w:val="0"/>
          <w:sz w:val="28"/>
          <w:szCs w:val="28"/>
        </w:rPr>
      </w:pPr>
    </w:p>
    <w:p>
      <w:pPr>
        <w:autoSpaceDE w:val="0"/>
        <w:autoSpaceDN w:val="0"/>
        <w:adjustRightInd w:val="0"/>
        <w:spacing w:line="460" w:lineRule="exact"/>
        <w:jc w:val="left"/>
        <w:rPr>
          <w:rFonts w:ascii="宋体" w:hAnsi="宋体" w:cs="宋体"/>
          <w:b/>
          <w:kern w:val="0"/>
          <w:sz w:val="28"/>
          <w:szCs w:val="28"/>
        </w:rPr>
      </w:pPr>
    </w:p>
    <w:p>
      <w:pPr>
        <w:autoSpaceDE w:val="0"/>
        <w:autoSpaceDN w:val="0"/>
        <w:adjustRightInd w:val="0"/>
        <w:spacing w:line="460" w:lineRule="exact"/>
        <w:jc w:val="left"/>
        <w:rPr>
          <w:rFonts w:ascii="宋体" w:hAnsi="宋体" w:cs="宋体"/>
          <w:b/>
          <w:kern w:val="0"/>
          <w:sz w:val="28"/>
          <w:szCs w:val="28"/>
        </w:rPr>
      </w:pPr>
    </w:p>
    <w:p>
      <w:pPr>
        <w:autoSpaceDE w:val="0"/>
        <w:autoSpaceDN w:val="0"/>
        <w:adjustRightInd w:val="0"/>
        <w:spacing w:line="460" w:lineRule="exact"/>
        <w:jc w:val="left"/>
        <w:rPr>
          <w:rFonts w:ascii="宋体" w:hAnsi="宋体" w:cs="宋体"/>
          <w:b/>
          <w:kern w:val="0"/>
          <w:sz w:val="28"/>
          <w:szCs w:val="28"/>
        </w:rPr>
      </w:pPr>
    </w:p>
    <w:p>
      <w:pPr>
        <w:autoSpaceDE w:val="0"/>
        <w:autoSpaceDN w:val="0"/>
        <w:adjustRightInd w:val="0"/>
        <w:spacing w:line="460" w:lineRule="exact"/>
        <w:jc w:val="left"/>
        <w:rPr>
          <w:rFonts w:ascii="宋体" w:hAnsi="宋体" w:cs="宋体"/>
          <w:b/>
          <w:kern w:val="0"/>
          <w:sz w:val="28"/>
          <w:szCs w:val="28"/>
        </w:rPr>
      </w:pPr>
    </w:p>
    <w:p>
      <w:pPr>
        <w:autoSpaceDE w:val="0"/>
        <w:autoSpaceDN w:val="0"/>
        <w:adjustRightInd w:val="0"/>
        <w:spacing w:line="460" w:lineRule="exact"/>
        <w:jc w:val="left"/>
        <w:rPr>
          <w:rFonts w:ascii="宋体" w:hAnsi="宋体" w:cs="宋体"/>
          <w:b/>
          <w:kern w:val="0"/>
          <w:sz w:val="28"/>
          <w:szCs w:val="28"/>
        </w:rPr>
      </w:pPr>
    </w:p>
    <w:p>
      <w:pPr>
        <w:autoSpaceDE w:val="0"/>
        <w:autoSpaceDN w:val="0"/>
        <w:adjustRightInd w:val="0"/>
        <w:spacing w:line="460" w:lineRule="exact"/>
        <w:jc w:val="left"/>
        <w:rPr>
          <w:rFonts w:ascii="宋体" w:hAnsi="宋体" w:cs="宋体"/>
          <w:b/>
          <w:kern w:val="0"/>
          <w:sz w:val="28"/>
          <w:szCs w:val="28"/>
        </w:rPr>
      </w:pPr>
    </w:p>
    <w:p>
      <w:pPr>
        <w:autoSpaceDE w:val="0"/>
        <w:autoSpaceDN w:val="0"/>
        <w:adjustRightInd w:val="0"/>
        <w:spacing w:line="460" w:lineRule="exact"/>
        <w:jc w:val="left"/>
        <w:rPr>
          <w:rFonts w:ascii="宋体" w:hAnsi="宋体" w:cs="宋体"/>
          <w:b/>
          <w:kern w:val="0"/>
          <w:sz w:val="28"/>
          <w:szCs w:val="28"/>
        </w:rPr>
      </w:pPr>
      <w:r>
        <w:rPr>
          <w:rFonts w:hint="eastAsia" w:ascii="宋体" w:hAnsi="宋体" w:cs="宋体"/>
          <w:b/>
          <w:kern w:val="0"/>
          <w:sz w:val="28"/>
          <w:szCs w:val="28"/>
          <w:lang w:eastAsia="zh-CN"/>
        </w:rPr>
        <w:t>四</w:t>
      </w:r>
      <w:r>
        <w:rPr>
          <w:rFonts w:ascii="宋体" w:hAnsi="宋体" w:cs="宋体"/>
          <w:b/>
          <w:kern w:val="0"/>
          <w:sz w:val="28"/>
          <w:szCs w:val="28"/>
        </w:rPr>
        <w:t xml:space="preserve">、评分标准 </w:t>
      </w:r>
    </w:p>
    <w:p>
      <w:pPr>
        <w:autoSpaceDE w:val="0"/>
        <w:autoSpaceDN w:val="0"/>
        <w:adjustRightInd w:val="0"/>
        <w:spacing w:line="460" w:lineRule="exact"/>
        <w:jc w:val="left"/>
        <w:rPr>
          <w:rFonts w:ascii="宋体" w:hAnsi="宋体" w:cs="宋体"/>
          <w:b/>
          <w:kern w:val="0"/>
          <w:sz w:val="24"/>
        </w:rPr>
      </w:pPr>
      <w:r>
        <w:rPr>
          <w:rFonts w:ascii="宋体" w:hAnsi="宋体" w:cs="宋体"/>
          <w:b/>
          <w:kern w:val="0"/>
          <w:sz w:val="24"/>
        </w:rPr>
        <w:t>1、资信技术分（</w:t>
      </w:r>
      <w:r>
        <w:rPr>
          <w:rFonts w:hint="eastAsia" w:ascii="宋体" w:hAnsi="宋体" w:cs="宋体"/>
          <w:b/>
          <w:kern w:val="0"/>
          <w:sz w:val="24"/>
        </w:rPr>
        <w:t>70</w:t>
      </w:r>
      <w:r>
        <w:rPr>
          <w:rFonts w:ascii="宋体" w:hAnsi="宋体" w:cs="宋体"/>
          <w:b/>
          <w:kern w:val="0"/>
          <w:sz w:val="24"/>
        </w:rPr>
        <w:t>分）</w:t>
      </w:r>
    </w:p>
    <w:tbl>
      <w:tblPr>
        <w:tblStyle w:val="43"/>
        <w:tblW w:w="10134" w:type="dxa"/>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8"/>
        <w:gridCol w:w="1263"/>
        <w:gridCol w:w="894"/>
        <w:gridCol w:w="6775"/>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538" w:type="dxa"/>
            <w:tcBorders>
              <w:tl2br w:val="nil"/>
              <w:tr2bl w:val="nil"/>
            </w:tcBorders>
            <w:vAlign w:val="center"/>
          </w:tcPr>
          <w:p>
            <w:pPr>
              <w:jc w:val="center"/>
              <w:rPr>
                <w:rFonts w:hint="eastAsia" w:ascii="宋体" w:hAnsi="宋体" w:eastAsia="宋体"/>
                <w:szCs w:val="21"/>
                <w:lang w:eastAsia="zh-CN"/>
              </w:rPr>
            </w:pPr>
            <w:r>
              <w:rPr>
                <w:rFonts w:hint="eastAsia" w:ascii="宋体" w:hAnsi="宋体"/>
                <w:szCs w:val="21"/>
                <w:lang w:eastAsia="zh-CN"/>
              </w:rPr>
              <w:t>序号</w:t>
            </w:r>
          </w:p>
        </w:tc>
        <w:tc>
          <w:tcPr>
            <w:tcW w:w="2157" w:type="dxa"/>
            <w:gridSpan w:val="2"/>
            <w:tcBorders>
              <w:tl2br w:val="nil"/>
              <w:tr2bl w:val="nil"/>
            </w:tcBorders>
            <w:vAlign w:val="center"/>
          </w:tcPr>
          <w:p>
            <w:pPr>
              <w:jc w:val="center"/>
              <w:rPr>
                <w:rFonts w:ascii="宋体" w:hAnsi="宋体"/>
                <w:szCs w:val="21"/>
              </w:rPr>
            </w:pPr>
            <w:r>
              <w:rPr>
                <w:rFonts w:hint="eastAsia" w:ascii="宋体" w:hAnsi="宋体"/>
                <w:szCs w:val="21"/>
              </w:rPr>
              <w:t>评审分项</w:t>
            </w:r>
          </w:p>
        </w:tc>
        <w:tc>
          <w:tcPr>
            <w:tcW w:w="6775" w:type="dxa"/>
            <w:tcBorders>
              <w:tl2br w:val="nil"/>
              <w:tr2bl w:val="nil"/>
            </w:tcBorders>
            <w:vAlign w:val="center"/>
          </w:tcPr>
          <w:p>
            <w:pPr>
              <w:jc w:val="center"/>
              <w:rPr>
                <w:rFonts w:hint="eastAsia" w:ascii="宋体" w:hAnsi="宋体"/>
                <w:szCs w:val="21"/>
              </w:rPr>
            </w:pPr>
            <w:r>
              <w:rPr>
                <w:rFonts w:hint="eastAsia" w:ascii="宋体" w:hAnsi="宋体"/>
                <w:szCs w:val="21"/>
              </w:rPr>
              <w:t>评审细则</w:t>
            </w:r>
          </w:p>
        </w:tc>
        <w:tc>
          <w:tcPr>
            <w:tcW w:w="664" w:type="dxa"/>
            <w:tcBorders>
              <w:tl2br w:val="nil"/>
              <w:tr2bl w:val="nil"/>
            </w:tcBorders>
            <w:vAlign w:val="center"/>
          </w:tcPr>
          <w:p>
            <w:pPr>
              <w:jc w:val="center"/>
              <w:rPr>
                <w:rFonts w:ascii="宋体" w:hAnsi="宋体"/>
                <w:szCs w:val="21"/>
              </w:rPr>
            </w:pPr>
            <w:r>
              <w:rPr>
                <w:rFonts w:hint="eastAsia" w:ascii="宋体" w:hAnsi="宋体"/>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7" w:hRule="atLeast"/>
        </w:trPr>
        <w:tc>
          <w:tcPr>
            <w:tcW w:w="538" w:type="dxa"/>
            <w:tcBorders>
              <w:tl2br w:val="nil"/>
              <w:tr2bl w:val="nil"/>
            </w:tcBorders>
            <w:vAlign w:val="center"/>
          </w:tcPr>
          <w:p>
            <w:pPr>
              <w:jc w:val="center"/>
              <w:rPr>
                <w:rFonts w:hint="eastAsia" w:ascii="宋体" w:hAnsi="宋体" w:eastAsia="宋体"/>
                <w:szCs w:val="21"/>
                <w:lang w:val="en-US" w:eastAsia="zh-CN"/>
              </w:rPr>
            </w:pPr>
            <w:r>
              <w:rPr>
                <w:rFonts w:hint="eastAsia" w:ascii="宋体" w:hAnsi="宋体"/>
                <w:szCs w:val="21"/>
                <w:lang w:val="en-US" w:eastAsia="zh-CN"/>
              </w:rPr>
              <w:t>1</w:t>
            </w:r>
          </w:p>
        </w:tc>
        <w:tc>
          <w:tcPr>
            <w:tcW w:w="1263" w:type="dxa"/>
            <w:tcBorders>
              <w:tl2br w:val="nil"/>
              <w:tr2bl w:val="nil"/>
            </w:tcBorders>
            <w:vAlign w:val="center"/>
          </w:tcPr>
          <w:p>
            <w:pPr>
              <w:jc w:val="center"/>
              <w:rPr>
                <w:rFonts w:hint="eastAsia" w:ascii="宋体" w:hAnsi="宋体" w:eastAsia="宋体"/>
                <w:color w:val="000000" w:themeColor="text1"/>
                <w:szCs w:val="21"/>
                <w:lang w:eastAsia="zh-CN"/>
              </w:rPr>
            </w:pPr>
            <w:r>
              <w:rPr>
                <w:rFonts w:hint="eastAsia" w:ascii="宋体" w:hAnsi="宋体"/>
                <w:color w:val="000000" w:themeColor="text1"/>
                <w:szCs w:val="21"/>
                <w:lang w:eastAsia="zh-CN"/>
              </w:rPr>
              <w:t>企业认证情况</w:t>
            </w:r>
          </w:p>
        </w:tc>
        <w:tc>
          <w:tcPr>
            <w:tcW w:w="894" w:type="dxa"/>
            <w:tcBorders>
              <w:tl2br w:val="nil"/>
              <w:tr2bl w:val="nil"/>
            </w:tcBorders>
            <w:vAlign w:val="center"/>
          </w:tcPr>
          <w:p>
            <w:pPr>
              <w:jc w:val="center"/>
              <w:rPr>
                <w:rFonts w:hint="eastAsia" w:ascii="宋体" w:hAnsi="宋体" w:eastAsia="宋体"/>
                <w:color w:val="000000" w:themeColor="text1"/>
                <w:szCs w:val="21"/>
                <w:lang w:eastAsia="zh-CN"/>
              </w:rPr>
            </w:pPr>
            <w:r>
              <w:rPr>
                <w:rFonts w:hint="eastAsia" w:ascii="宋体" w:hAnsi="宋体"/>
                <w:color w:val="000000" w:themeColor="text1"/>
                <w:szCs w:val="21"/>
                <w:lang w:eastAsia="zh-CN"/>
              </w:rPr>
              <w:t>客观分</w:t>
            </w:r>
          </w:p>
        </w:tc>
        <w:tc>
          <w:tcPr>
            <w:tcW w:w="6775" w:type="dxa"/>
            <w:tcBorders>
              <w:tl2br w:val="nil"/>
              <w:tr2bl w:val="nil"/>
            </w:tcBorders>
            <w:vAlign w:val="center"/>
          </w:tcPr>
          <w:p>
            <w:pPr>
              <w:numPr>
                <w:ilvl w:val="0"/>
                <w:numId w:val="9"/>
              </w:numPr>
              <w:spacing w:line="360" w:lineRule="exact"/>
              <w:jc w:val="left"/>
              <w:rPr>
                <w:rFonts w:hint="eastAsia"/>
                <w:color w:val="000000" w:themeColor="text1"/>
                <w:lang w:val="en-US" w:eastAsia="zh-CN"/>
              </w:rPr>
            </w:pPr>
            <w:r>
              <w:rPr>
                <w:rFonts w:hint="eastAsia"/>
                <w:color w:val="000000" w:themeColor="text1"/>
                <w:lang w:val="en-US" w:eastAsia="zh-CN"/>
              </w:rPr>
              <w:t>投标人具有质量管理体系认证证书，得1分；</w:t>
            </w:r>
          </w:p>
          <w:p>
            <w:pPr>
              <w:pStyle w:val="53"/>
              <w:numPr>
                <w:ilvl w:val="0"/>
                <w:numId w:val="0"/>
              </w:numPr>
              <w:rPr>
                <w:rFonts w:hint="eastAsia"/>
                <w:color w:val="000000" w:themeColor="text1"/>
                <w:lang w:val="en-US" w:eastAsia="zh-CN"/>
              </w:rPr>
            </w:pPr>
            <w:r>
              <w:rPr>
                <w:rFonts w:hint="eastAsia"/>
                <w:color w:val="000000" w:themeColor="text1"/>
                <w:lang w:val="en-US" w:eastAsia="zh-CN"/>
              </w:rPr>
              <w:t>2、投标人具有职业健康管理体系认证证书，得1分；</w:t>
            </w:r>
          </w:p>
          <w:p>
            <w:pPr>
              <w:pStyle w:val="53"/>
              <w:numPr>
                <w:ilvl w:val="0"/>
                <w:numId w:val="0"/>
              </w:numPr>
              <w:rPr>
                <w:rFonts w:hint="eastAsia"/>
                <w:color w:val="000000" w:themeColor="text1"/>
                <w:lang w:val="en-US" w:eastAsia="zh-CN"/>
              </w:rPr>
            </w:pPr>
            <w:r>
              <w:rPr>
                <w:rFonts w:hint="eastAsia"/>
                <w:color w:val="000000" w:themeColor="text1"/>
                <w:lang w:val="en-US" w:eastAsia="zh-CN"/>
              </w:rPr>
              <w:t>3、投标人具有环境管理体系认证证书，得 1 分；</w:t>
            </w:r>
          </w:p>
          <w:p>
            <w:pPr>
              <w:pStyle w:val="53"/>
              <w:numPr>
                <w:ilvl w:val="0"/>
                <w:numId w:val="0"/>
              </w:numPr>
              <w:rPr>
                <w:rFonts w:hint="eastAsia"/>
                <w:color w:val="000000" w:themeColor="text1"/>
                <w:lang w:val="en-US" w:eastAsia="zh-CN"/>
              </w:rPr>
            </w:pPr>
            <w:r>
              <w:rPr>
                <w:rFonts w:hint="eastAsia"/>
                <w:color w:val="000000" w:themeColor="text1"/>
                <w:lang w:val="en-US" w:eastAsia="zh-CN"/>
              </w:rPr>
              <w:t>4、投标人具有五星级商品售后服务认证证书，得1分；</w:t>
            </w:r>
          </w:p>
          <w:p>
            <w:pPr>
              <w:pStyle w:val="53"/>
              <w:numPr>
                <w:ilvl w:val="0"/>
                <w:numId w:val="0"/>
              </w:numPr>
              <w:rPr>
                <w:rFonts w:hint="eastAsia"/>
                <w:color w:val="000000" w:themeColor="text1"/>
                <w:lang w:val="en-US" w:eastAsia="zh-CN"/>
              </w:rPr>
            </w:pPr>
            <w:r>
              <w:rPr>
                <w:rFonts w:hint="eastAsia"/>
                <w:color w:val="000000" w:themeColor="text1"/>
                <w:lang w:val="en-US" w:eastAsia="zh-CN"/>
              </w:rPr>
              <w:t>5、投标人具有绿色照明服务三星级及以上认证证书，得1分；</w:t>
            </w:r>
          </w:p>
          <w:p>
            <w:pPr>
              <w:pStyle w:val="53"/>
              <w:numPr>
                <w:ilvl w:val="0"/>
                <w:numId w:val="0"/>
              </w:numPr>
              <w:rPr>
                <w:rFonts w:hint="eastAsia"/>
                <w:color w:val="000000" w:themeColor="text1"/>
                <w:lang w:val="en-US" w:eastAsia="zh-CN"/>
              </w:rPr>
            </w:pPr>
            <w:r>
              <w:rPr>
                <w:rFonts w:hint="eastAsia"/>
                <w:color w:val="000000" w:themeColor="text1"/>
                <w:lang w:val="en-US" w:eastAsia="zh-CN"/>
              </w:rPr>
              <w:t>6、投标人具有中国节能产品认证证书，得1分。</w:t>
            </w:r>
          </w:p>
          <w:p>
            <w:pPr>
              <w:pStyle w:val="53"/>
              <w:numPr>
                <w:ilvl w:val="0"/>
                <w:numId w:val="0"/>
              </w:numPr>
              <w:rPr>
                <w:rFonts w:hint="default"/>
                <w:color w:val="000000" w:themeColor="text1"/>
                <w:lang w:val="en-US" w:eastAsia="zh-CN"/>
              </w:rPr>
            </w:pPr>
            <w:r>
              <w:rPr>
                <w:rFonts w:hint="eastAsia"/>
                <w:color w:val="000000" w:themeColor="text1"/>
                <w:lang w:val="en-US" w:eastAsia="zh-CN"/>
              </w:rPr>
              <w:t>（提供相关证书扫描件，否则不得分。）</w:t>
            </w:r>
          </w:p>
        </w:tc>
        <w:tc>
          <w:tcPr>
            <w:tcW w:w="664" w:type="dxa"/>
            <w:tcBorders>
              <w:tl2br w:val="nil"/>
              <w:tr2bl w:val="nil"/>
            </w:tcBorders>
            <w:vAlign w:val="center"/>
          </w:tcPr>
          <w:p>
            <w:pPr>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7" w:hRule="atLeast"/>
        </w:trPr>
        <w:tc>
          <w:tcPr>
            <w:tcW w:w="538" w:type="dxa"/>
            <w:tcBorders>
              <w:tl2br w:val="nil"/>
              <w:tr2bl w:val="nil"/>
            </w:tcBorders>
            <w:vAlign w:val="center"/>
          </w:tcPr>
          <w:p>
            <w:pPr>
              <w:jc w:val="center"/>
              <w:rPr>
                <w:rFonts w:hint="default" w:ascii="宋体" w:hAnsi="宋体"/>
                <w:szCs w:val="21"/>
                <w:lang w:val="en-US" w:eastAsia="zh-CN"/>
              </w:rPr>
            </w:pPr>
            <w:r>
              <w:rPr>
                <w:rFonts w:hint="eastAsia" w:ascii="宋体" w:hAnsi="宋体"/>
                <w:szCs w:val="21"/>
                <w:lang w:val="en-US" w:eastAsia="zh-CN"/>
              </w:rPr>
              <w:t>2</w:t>
            </w:r>
          </w:p>
        </w:tc>
        <w:tc>
          <w:tcPr>
            <w:tcW w:w="1263" w:type="dxa"/>
            <w:tcBorders>
              <w:tl2br w:val="nil"/>
              <w:tr2bl w:val="nil"/>
            </w:tcBorders>
            <w:vAlign w:val="center"/>
          </w:tcPr>
          <w:p>
            <w:pPr>
              <w:jc w:val="center"/>
              <w:rPr>
                <w:rFonts w:hint="eastAsia" w:ascii="宋体" w:hAnsi="宋体" w:eastAsia="宋体" w:cs="Times New Roman"/>
                <w:color w:val="000000" w:themeColor="text1"/>
                <w:kern w:val="2"/>
                <w:sz w:val="21"/>
                <w:szCs w:val="21"/>
                <w:lang w:val="en-US" w:eastAsia="zh-CN" w:bidi="ar-SA"/>
              </w:rPr>
            </w:pPr>
            <w:r>
              <w:rPr>
                <w:rFonts w:hint="eastAsia" w:ascii="宋体" w:hAnsi="宋体"/>
                <w:color w:val="000000" w:themeColor="text1"/>
                <w:szCs w:val="21"/>
                <w:lang w:eastAsia="zh-CN"/>
              </w:rPr>
              <w:t>类似项目</w:t>
            </w:r>
            <w:r>
              <w:rPr>
                <w:rFonts w:hint="eastAsia" w:ascii="宋体" w:hAnsi="宋体"/>
                <w:color w:val="000000" w:themeColor="text1"/>
                <w:szCs w:val="21"/>
              </w:rPr>
              <w:t>业绩</w:t>
            </w:r>
          </w:p>
        </w:tc>
        <w:tc>
          <w:tcPr>
            <w:tcW w:w="894" w:type="dxa"/>
            <w:tcBorders>
              <w:tl2br w:val="nil"/>
              <w:tr2bl w:val="nil"/>
            </w:tcBorders>
            <w:vAlign w:val="center"/>
          </w:tcPr>
          <w:p>
            <w:pPr>
              <w:jc w:val="center"/>
              <w:rPr>
                <w:rFonts w:hint="eastAsia" w:ascii="宋体" w:hAnsi="宋体" w:eastAsia="宋体" w:cs="Times New Roman"/>
                <w:color w:val="000000" w:themeColor="text1"/>
                <w:kern w:val="2"/>
                <w:sz w:val="21"/>
                <w:szCs w:val="21"/>
                <w:lang w:val="en-US" w:eastAsia="zh-CN" w:bidi="ar-SA"/>
              </w:rPr>
            </w:pPr>
            <w:r>
              <w:rPr>
                <w:rFonts w:hint="eastAsia" w:ascii="宋体" w:hAnsi="宋体"/>
                <w:color w:val="000000" w:themeColor="text1"/>
                <w:szCs w:val="21"/>
                <w:lang w:eastAsia="zh-CN"/>
              </w:rPr>
              <w:t>客观分</w:t>
            </w:r>
          </w:p>
        </w:tc>
        <w:tc>
          <w:tcPr>
            <w:tcW w:w="6775" w:type="dxa"/>
            <w:tcBorders>
              <w:tl2br w:val="nil"/>
              <w:tr2bl w:val="nil"/>
            </w:tcBorders>
            <w:vAlign w:val="center"/>
          </w:tcPr>
          <w:p>
            <w:pPr>
              <w:rPr>
                <w:rFonts w:hint="eastAsia" w:ascii="宋体" w:hAnsi="宋体" w:eastAsia="宋体" w:cs="Times New Roman"/>
                <w:color w:val="000000" w:themeColor="text1"/>
                <w:kern w:val="2"/>
                <w:sz w:val="21"/>
                <w:szCs w:val="21"/>
                <w:lang w:val="en-US" w:eastAsia="zh-CN" w:bidi="ar-SA"/>
              </w:rPr>
            </w:pPr>
            <w:r>
              <w:rPr>
                <w:rFonts w:hint="eastAsia" w:ascii="宋体" w:hAnsi="宋体"/>
                <w:color w:val="000000" w:themeColor="text1"/>
                <w:szCs w:val="21"/>
                <w:highlight w:val="none"/>
                <w:lang w:eastAsia="zh-CN"/>
              </w:rPr>
              <w:t>投标人自</w:t>
            </w:r>
            <w:r>
              <w:rPr>
                <w:rFonts w:hint="eastAsia" w:ascii="宋体" w:hAnsi="宋体"/>
                <w:color w:val="000000" w:themeColor="text1"/>
                <w:szCs w:val="21"/>
                <w:highlight w:val="none"/>
                <w:lang w:val="en-US" w:eastAsia="zh-CN"/>
              </w:rPr>
              <w:t>2018年1月1日以</w:t>
            </w:r>
            <w:r>
              <w:rPr>
                <w:rFonts w:hint="eastAsia" w:ascii="宋体" w:hAnsi="宋体"/>
                <w:color w:val="000000" w:themeColor="text1"/>
                <w:szCs w:val="21"/>
                <w:highlight w:val="none"/>
              </w:rPr>
              <w:t>来承接过</w:t>
            </w:r>
            <w:r>
              <w:rPr>
                <w:rFonts w:hint="eastAsia" w:ascii="宋体" w:hAnsi="宋体"/>
                <w:b w:val="0"/>
                <w:bCs w:val="0"/>
                <w:color w:val="000000" w:themeColor="text1"/>
                <w:szCs w:val="21"/>
                <w:u w:val="none"/>
              </w:rPr>
              <w:t>类似业绩</w:t>
            </w:r>
            <w:r>
              <w:rPr>
                <w:rFonts w:hint="eastAsia" w:ascii="宋体" w:hAnsi="宋体"/>
                <w:color w:val="000000" w:themeColor="text1"/>
                <w:szCs w:val="21"/>
                <w:highlight w:val="none"/>
              </w:rPr>
              <w:t>的</w:t>
            </w:r>
            <w:r>
              <w:rPr>
                <w:rFonts w:hint="eastAsia" w:ascii="宋体" w:hAnsi="宋体"/>
                <w:color w:val="000000" w:themeColor="text1"/>
                <w:szCs w:val="21"/>
                <w:highlight w:val="none"/>
                <w:lang w:eastAsia="zh-CN"/>
              </w:rPr>
              <w:t>，</w:t>
            </w:r>
            <w:r>
              <w:rPr>
                <w:rFonts w:hint="eastAsia" w:ascii="宋体" w:hAnsi="宋体"/>
                <w:color w:val="000000" w:themeColor="text1"/>
                <w:szCs w:val="21"/>
                <w:highlight w:val="none"/>
              </w:rPr>
              <w:t>每个得</w:t>
            </w:r>
            <w:r>
              <w:rPr>
                <w:rFonts w:hint="eastAsia" w:ascii="宋体" w:hAnsi="宋体"/>
                <w:color w:val="000000" w:themeColor="text1"/>
                <w:szCs w:val="21"/>
                <w:highlight w:val="none"/>
                <w:lang w:val="en-US" w:eastAsia="zh-CN"/>
              </w:rPr>
              <w:t>1</w:t>
            </w:r>
            <w:r>
              <w:rPr>
                <w:rFonts w:hint="eastAsia" w:ascii="宋体" w:hAnsi="宋体"/>
                <w:color w:val="000000" w:themeColor="text1"/>
                <w:szCs w:val="21"/>
                <w:highlight w:val="none"/>
              </w:rPr>
              <w:t>分，最</w:t>
            </w:r>
            <w:r>
              <w:rPr>
                <w:rFonts w:hint="eastAsia" w:ascii="宋体" w:hAnsi="宋体"/>
                <w:color w:val="000000" w:themeColor="text1"/>
                <w:szCs w:val="21"/>
                <w:highlight w:val="none"/>
                <w:lang w:eastAsia="zh-CN"/>
              </w:rPr>
              <w:t>高</w:t>
            </w:r>
            <w:r>
              <w:rPr>
                <w:rFonts w:hint="eastAsia" w:ascii="宋体" w:hAnsi="宋体"/>
                <w:color w:val="000000" w:themeColor="text1"/>
                <w:szCs w:val="21"/>
                <w:highlight w:val="none"/>
              </w:rPr>
              <w:t>得</w:t>
            </w:r>
            <w:r>
              <w:rPr>
                <w:rFonts w:hint="eastAsia" w:ascii="宋体" w:hAnsi="宋体"/>
                <w:color w:val="000000" w:themeColor="text1"/>
                <w:szCs w:val="21"/>
                <w:highlight w:val="none"/>
                <w:lang w:val="en-US" w:eastAsia="zh-CN"/>
              </w:rPr>
              <w:t>4</w:t>
            </w:r>
            <w:r>
              <w:rPr>
                <w:rFonts w:hint="eastAsia" w:ascii="宋体" w:hAnsi="宋体"/>
                <w:color w:val="000000" w:themeColor="text1"/>
                <w:szCs w:val="21"/>
                <w:highlight w:val="none"/>
              </w:rPr>
              <w:t>分；（须提供合同</w:t>
            </w:r>
            <w:r>
              <w:rPr>
                <w:rFonts w:hint="eastAsia" w:ascii="宋体" w:hAnsi="宋体"/>
                <w:color w:val="000000" w:themeColor="text1"/>
                <w:szCs w:val="21"/>
                <w:highlight w:val="none"/>
                <w:lang w:eastAsia="zh-CN"/>
              </w:rPr>
              <w:t>及</w:t>
            </w:r>
            <w:r>
              <w:rPr>
                <w:rFonts w:hint="eastAsia" w:ascii="宋体" w:hAnsi="宋体"/>
                <w:color w:val="000000" w:themeColor="text1"/>
                <w:szCs w:val="21"/>
                <w:highlight w:val="none"/>
              </w:rPr>
              <w:t>竣工验收报告原件扫描件</w:t>
            </w:r>
            <w:r>
              <w:rPr>
                <w:rFonts w:hint="eastAsia" w:ascii="宋体" w:hAnsi="宋体"/>
                <w:color w:val="000000" w:themeColor="text1"/>
                <w:szCs w:val="21"/>
                <w:highlight w:val="none"/>
                <w:lang w:eastAsia="zh-CN"/>
              </w:rPr>
              <w:t>。</w:t>
            </w:r>
            <w:r>
              <w:rPr>
                <w:rFonts w:hint="eastAsia" w:ascii="宋体" w:hAnsi="宋体"/>
                <w:color w:val="000000" w:themeColor="text1"/>
                <w:szCs w:val="21"/>
                <w:highlight w:val="none"/>
              </w:rPr>
              <w:t>(时间以竣工验收报告时间为准），否则不得分</w:t>
            </w:r>
            <w:r>
              <w:rPr>
                <w:rFonts w:hint="eastAsia" w:ascii="宋体" w:hAnsi="宋体"/>
                <w:color w:val="000000" w:themeColor="text1"/>
                <w:szCs w:val="21"/>
                <w:highlight w:val="none"/>
                <w:lang w:eastAsia="zh-CN"/>
              </w:rPr>
              <w:t>。</w:t>
            </w:r>
            <w:r>
              <w:rPr>
                <w:rFonts w:hint="eastAsia" w:ascii="宋体" w:hAnsi="宋体"/>
                <w:color w:val="000000" w:themeColor="text1"/>
                <w:szCs w:val="21"/>
                <w:highlight w:val="none"/>
              </w:rPr>
              <w:t>）</w:t>
            </w:r>
          </w:p>
        </w:tc>
        <w:tc>
          <w:tcPr>
            <w:tcW w:w="664" w:type="dxa"/>
            <w:tcBorders>
              <w:tl2br w:val="nil"/>
              <w:tr2bl w:val="nil"/>
            </w:tcBorders>
            <w:vAlign w:val="center"/>
          </w:tcPr>
          <w:p>
            <w:pPr>
              <w:jc w:val="center"/>
              <w:rPr>
                <w:rFonts w:hint="default" w:ascii="宋体" w:hAnsi="宋体" w:eastAsia="宋体" w:cs="Times New Roman"/>
                <w:color w:val="000000" w:themeColor="text1"/>
                <w:kern w:val="2"/>
                <w:sz w:val="21"/>
                <w:szCs w:val="21"/>
                <w:lang w:val="en-US" w:eastAsia="zh-CN" w:bidi="ar-SA"/>
              </w:rPr>
            </w:pPr>
            <w:r>
              <w:rPr>
                <w:rFonts w:hint="eastAsia" w:ascii="宋体" w:hAnsi="宋体" w:cs="Times New Roman"/>
                <w:color w:val="000000" w:themeColor="text1"/>
                <w:kern w:val="2"/>
                <w:sz w:val="21"/>
                <w:szCs w:val="21"/>
                <w:lang w:val="en-US" w:eastAsia="zh-CN" w:bidi="ar-SA"/>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9" w:hRule="atLeast"/>
        </w:trPr>
        <w:tc>
          <w:tcPr>
            <w:tcW w:w="538" w:type="dxa"/>
            <w:tcBorders>
              <w:tl2br w:val="nil"/>
              <w:tr2bl w:val="nil"/>
            </w:tcBorders>
            <w:vAlign w:val="center"/>
          </w:tcPr>
          <w:p>
            <w:pPr>
              <w:jc w:val="center"/>
              <w:rPr>
                <w:rFonts w:hint="default" w:ascii="宋体" w:hAnsi="宋体"/>
                <w:szCs w:val="21"/>
                <w:lang w:val="en-US" w:eastAsia="zh-CN"/>
              </w:rPr>
            </w:pPr>
            <w:r>
              <w:rPr>
                <w:rFonts w:hint="eastAsia" w:ascii="宋体" w:hAnsi="宋体"/>
                <w:szCs w:val="21"/>
                <w:lang w:val="en-US" w:eastAsia="zh-CN"/>
              </w:rPr>
              <w:t>3</w:t>
            </w:r>
          </w:p>
        </w:tc>
        <w:tc>
          <w:tcPr>
            <w:tcW w:w="1263" w:type="dxa"/>
            <w:tcBorders>
              <w:tl2br w:val="nil"/>
              <w:tr2bl w:val="nil"/>
            </w:tcBorders>
            <w:vAlign w:val="center"/>
          </w:tcPr>
          <w:p>
            <w:pPr>
              <w:jc w:val="center"/>
              <w:rPr>
                <w:rFonts w:hint="eastAsia" w:ascii="宋体" w:hAnsi="宋体" w:eastAsia="宋体"/>
                <w:color w:val="000000" w:themeColor="text1"/>
                <w:szCs w:val="21"/>
                <w:lang w:eastAsia="zh-CN"/>
              </w:rPr>
            </w:pPr>
            <w:r>
              <w:rPr>
                <w:rFonts w:hint="eastAsia" w:ascii="宋体" w:hAnsi="宋体"/>
                <w:color w:val="000000" w:themeColor="text1"/>
                <w:szCs w:val="21"/>
                <w:lang w:eastAsia="zh-CN"/>
              </w:rPr>
              <w:t>拟派人员</w:t>
            </w:r>
          </w:p>
        </w:tc>
        <w:tc>
          <w:tcPr>
            <w:tcW w:w="894" w:type="dxa"/>
            <w:tcBorders>
              <w:tl2br w:val="nil"/>
              <w:tr2bl w:val="nil"/>
            </w:tcBorders>
            <w:vAlign w:val="center"/>
          </w:tcPr>
          <w:p>
            <w:pPr>
              <w:jc w:val="center"/>
              <w:rPr>
                <w:rFonts w:hint="eastAsia" w:ascii="宋体" w:hAnsi="宋体" w:eastAsia="宋体" w:cs="Times New Roman"/>
                <w:color w:val="000000" w:themeColor="text1"/>
                <w:kern w:val="2"/>
                <w:sz w:val="21"/>
                <w:szCs w:val="21"/>
                <w:lang w:val="en-US" w:eastAsia="zh-CN" w:bidi="ar-SA"/>
              </w:rPr>
            </w:pPr>
            <w:r>
              <w:rPr>
                <w:rFonts w:hint="eastAsia" w:ascii="宋体" w:hAnsi="宋体"/>
                <w:color w:val="000000" w:themeColor="text1"/>
                <w:szCs w:val="21"/>
                <w:lang w:eastAsia="zh-CN"/>
              </w:rPr>
              <w:t>客观分</w:t>
            </w:r>
          </w:p>
        </w:tc>
        <w:tc>
          <w:tcPr>
            <w:tcW w:w="6775" w:type="dxa"/>
            <w:tcBorders>
              <w:tl2br w:val="nil"/>
              <w:tr2bl w:val="nil"/>
            </w:tcBorders>
            <w:vAlign w:val="center"/>
          </w:tcPr>
          <w:p>
            <w:pPr>
              <w:rPr>
                <w:rFonts w:hint="eastAsia" w:ascii="宋体" w:hAnsi="宋体" w:eastAsia="宋体" w:cs="Times New Roman"/>
                <w:b w:val="0"/>
                <w:bCs w:val="0"/>
                <w:color w:val="000000" w:themeColor="text1"/>
                <w:kern w:val="2"/>
                <w:sz w:val="21"/>
                <w:szCs w:val="21"/>
                <w:lang w:val="en-US" w:eastAsia="zh-CN" w:bidi="ar-SA"/>
              </w:rPr>
            </w:pPr>
            <w:r>
              <w:rPr>
                <w:rFonts w:hint="eastAsia" w:ascii="宋体" w:hAnsi="宋体" w:eastAsia="宋体" w:cs="Times New Roman"/>
                <w:b w:val="0"/>
                <w:bCs w:val="0"/>
                <w:color w:val="000000" w:themeColor="text1"/>
                <w:kern w:val="2"/>
                <w:sz w:val="21"/>
                <w:szCs w:val="21"/>
                <w:lang w:val="en-US" w:eastAsia="zh-CN" w:bidi="ar-SA"/>
              </w:rPr>
              <w:t>1.拟投入本项目安装实施人员具有施工员</w:t>
            </w:r>
            <w:r>
              <w:rPr>
                <w:rFonts w:hint="eastAsia" w:ascii="宋体" w:hAnsi="宋体" w:cs="Times New Roman"/>
                <w:b w:val="0"/>
                <w:bCs w:val="0"/>
                <w:color w:val="000000" w:themeColor="text1"/>
                <w:kern w:val="2"/>
                <w:sz w:val="21"/>
                <w:szCs w:val="21"/>
                <w:lang w:val="en-US" w:eastAsia="zh-CN" w:bidi="ar-SA"/>
              </w:rPr>
              <w:t>证</w:t>
            </w:r>
            <w:r>
              <w:rPr>
                <w:rFonts w:hint="eastAsia" w:ascii="宋体" w:hAnsi="宋体" w:eastAsia="宋体" w:cs="Times New Roman"/>
                <w:b w:val="0"/>
                <w:bCs w:val="0"/>
                <w:color w:val="000000" w:themeColor="text1"/>
                <w:kern w:val="2"/>
                <w:sz w:val="21"/>
                <w:szCs w:val="21"/>
                <w:lang w:val="en-US" w:eastAsia="zh-CN" w:bidi="ar-SA"/>
              </w:rPr>
              <w:t>、安全员</w:t>
            </w:r>
            <w:r>
              <w:rPr>
                <w:rFonts w:hint="eastAsia" w:ascii="宋体" w:hAnsi="宋体" w:cs="Times New Roman"/>
                <w:b w:val="0"/>
                <w:bCs w:val="0"/>
                <w:color w:val="000000" w:themeColor="text1"/>
                <w:kern w:val="2"/>
                <w:sz w:val="21"/>
                <w:szCs w:val="21"/>
                <w:lang w:val="en-US" w:eastAsia="zh-CN" w:bidi="ar-SA"/>
              </w:rPr>
              <w:t>证</w:t>
            </w:r>
            <w:r>
              <w:rPr>
                <w:rFonts w:hint="eastAsia" w:ascii="宋体" w:hAnsi="宋体" w:eastAsia="宋体" w:cs="Times New Roman"/>
                <w:b w:val="0"/>
                <w:bCs w:val="0"/>
                <w:color w:val="000000" w:themeColor="text1"/>
                <w:kern w:val="2"/>
                <w:sz w:val="21"/>
                <w:szCs w:val="21"/>
                <w:lang w:val="en-US" w:eastAsia="zh-CN" w:bidi="ar-SA"/>
              </w:rPr>
              <w:t>、质量员</w:t>
            </w:r>
            <w:r>
              <w:rPr>
                <w:rFonts w:hint="eastAsia" w:ascii="宋体" w:hAnsi="宋体" w:cs="Times New Roman"/>
                <w:b w:val="0"/>
                <w:bCs w:val="0"/>
                <w:color w:val="000000" w:themeColor="text1"/>
                <w:kern w:val="2"/>
                <w:sz w:val="21"/>
                <w:szCs w:val="21"/>
                <w:lang w:val="en-US" w:eastAsia="zh-CN" w:bidi="ar-SA"/>
              </w:rPr>
              <w:t>证</w:t>
            </w:r>
            <w:r>
              <w:rPr>
                <w:rFonts w:hint="eastAsia" w:ascii="宋体" w:hAnsi="宋体" w:eastAsia="宋体" w:cs="Times New Roman"/>
                <w:b w:val="0"/>
                <w:bCs w:val="0"/>
                <w:color w:val="000000" w:themeColor="text1"/>
                <w:kern w:val="2"/>
                <w:sz w:val="21"/>
                <w:szCs w:val="21"/>
                <w:lang w:val="en-US" w:eastAsia="zh-CN" w:bidi="ar-SA"/>
              </w:rPr>
              <w:t>、材料员</w:t>
            </w:r>
            <w:r>
              <w:rPr>
                <w:rFonts w:hint="eastAsia" w:ascii="宋体" w:hAnsi="宋体" w:cs="Times New Roman"/>
                <w:b w:val="0"/>
                <w:bCs w:val="0"/>
                <w:color w:val="000000" w:themeColor="text1"/>
                <w:kern w:val="2"/>
                <w:sz w:val="21"/>
                <w:szCs w:val="21"/>
                <w:lang w:val="en-US" w:eastAsia="zh-CN" w:bidi="ar-SA"/>
              </w:rPr>
              <w:t>证</w:t>
            </w:r>
            <w:r>
              <w:rPr>
                <w:rFonts w:hint="eastAsia" w:ascii="宋体" w:hAnsi="宋体" w:eastAsia="宋体" w:cs="Times New Roman"/>
                <w:b w:val="0"/>
                <w:bCs w:val="0"/>
                <w:color w:val="000000" w:themeColor="text1"/>
                <w:kern w:val="2"/>
                <w:sz w:val="21"/>
                <w:szCs w:val="21"/>
                <w:lang w:val="en-US" w:eastAsia="zh-CN" w:bidi="ar-SA"/>
              </w:rPr>
              <w:t>，每提供一</w:t>
            </w:r>
            <w:r>
              <w:rPr>
                <w:rFonts w:hint="eastAsia" w:ascii="宋体" w:hAnsi="宋体" w:cs="Times New Roman"/>
                <w:b w:val="0"/>
                <w:bCs w:val="0"/>
                <w:color w:val="000000" w:themeColor="text1"/>
                <w:kern w:val="2"/>
                <w:sz w:val="21"/>
                <w:szCs w:val="21"/>
                <w:lang w:val="en-US" w:eastAsia="zh-CN" w:bidi="ar-SA"/>
              </w:rPr>
              <w:t>种证书</w:t>
            </w:r>
            <w:r>
              <w:rPr>
                <w:rFonts w:hint="eastAsia" w:ascii="宋体" w:hAnsi="宋体" w:eastAsia="宋体" w:cs="Times New Roman"/>
                <w:b w:val="0"/>
                <w:bCs w:val="0"/>
                <w:color w:val="000000" w:themeColor="text1"/>
                <w:kern w:val="2"/>
                <w:sz w:val="21"/>
                <w:szCs w:val="21"/>
                <w:lang w:val="en-US" w:eastAsia="zh-CN" w:bidi="ar-SA"/>
              </w:rPr>
              <w:t xml:space="preserve">得 1 分，最高得 </w:t>
            </w:r>
            <w:r>
              <w:rPr>
                <w:rFonts w:hint="eastAsia" w:ascii="宋体" w:hAnsi="宋体" w:cs="Times New Roman"/>
                <w:b w:val="0"/>
                <w:bCs w:val="0"/>
                <w:color w:val="000000" w:themeColor="text1"/>
                <w:kern w:val="2"/>
                <w:sz w:val="21"/>
                <w:szCs w:val="21"/>
                <w:lang w:val="en-US" w:eastAsia="zh-CN" w:bidi="ar-SA"/>
              </w:rPr>
              <w:t>4</w:t>
            </w:r>
            <w:r>
              <w:rPr>
                <w:rFonts w:hint="eastAsia" w:ascii="宋体" w:hAnsi="宋体" w:eastAsia="宋体" w:cs="Times New Roman"/>
                <w:b w:val="0"/>
                <w:bCs w:val="0"/>
                <w:color w:val="000000" w:themeColor="text1"/>
                <w:kern w:val="2"/>
                <w:sz w:val="21"/>
                <w:szCs w:val="21"/>
                <w:lang w:val="en-US" w:eastAsia="zh-CN" w:bidi="ar-SA"/>
              </w:rPr>
              <w:t xml:space="preserve"> 分；</w:t>
            </w:r>
          </w:p>
          <w:p>
            <w:pPr>
              <w:rPr>
                <w:rFonts w:hint="eastAsia" w:ascii="宋体" w:hAnsi="宋体" w:eastAsia="宋体" w:cs="Times New Roman"/>
                <w:b w:val="0"/>
                <w:bCs w:val="0"/>
                <w:color w:val="000000" w:themeColor="text1"/>
                <w:kern w:val="2"/>
                <w:sz w:val="21"/>
                <w:szCs w:val="21"/>
                <w:lang w:val="en-US" w:eastAsia="zh-CN" w:bidi="ar-SA"/>
              </w:rPr>
            </w:pPr>
            <w:r>
              <w:rPr>
                <w:rFonts w:hint="eastAsia" w:ascii="宋体" w:hAnsi="宋体" w:eastAsia="宋体" w:cs="Times New Roman"/>
                <w:b w:val="0"/>
                <w:bCs w:val="0"/>
                <w:color w:val="000000" w:themeColor="text1"/>
                <w:kern w:val="2"/>
                <w:sz w:val="21"/>
                <w:szCs w:val="21"/>
                <w:lang w:val="en-US" w:eastAsia="zh-CN" w:bidi="ar-SA"/>
              </w:rPr>
              <w:t>2.拟投入本项目特种作业操作人员具有高压电工证、电力电缆作业证、电气试验作业证、高处作业证、焊接与热切割作业证，每提供一</w:t>
            </w:r>
            <w:r>
              <w:rPr>
                <w:rFonts w:hint="eastAsia" w:ascii="宋体" w:hAnsi="宋体" w:cs="Times New Roman"/>
                <w:b w:val="0"/>
                <w:bCs w:val="0"/>
                <w:color w:val="000000" w:themeColor="text1"/>
                <w:kern w:val="2"/>
                <w:sz w:val="21"/>
                <w:szCs w:val="21"/>
                <w:lang w:val="en-US" w:eastAsia="zh-CN" w:bidi="ar-SA"/>
              </w:rPr>
              <w:t>种证书</w:t>
            </w:r>
            <w:r>
              <w:rPr>
                <w:rFonts w:hint="eastAsia" w:ascii="宋体" w:hAnsi="宋体" w:eastAsia="宋体" w:cs="Times New Roman"/>
                <w:b w:val="0"/>
                <w:bCs w:val="0"/>
                <w:color w:val="000000" w:themeColor="text1"/>
                <w:kern w:val="2"/>
                <w:sz w:val="21"/>
                <w:szCs w:val="21"/>
                <w:lang w:val="en-US" w:eastAsia="zh-CN" w:bidi="ar-SA"/>
              </w:rPr>
              <w:t>得 0.5分，最高得 5 分；</w:t>
            </w:r>
          </w:p>
          <w:p>
            <w:pPr>
              <w:rPr>
                <w:rFonts w:hint="eastAsia" w:ascii="宋体" w:hAnsi="宋体" w:eastAsia="宋体" w:cs="Times New Roman"/>
                <w:b w:val="0"/>
                <w:bCs w:val="0"/>
                <w:color w:val="000000" w:themeColor="text1"/>
                <w:kern w:val="2"/>
                <w:sz w:val="21"/>
                <w:szCs w:val="21"/>
                <w:lang w:val="en-US" w:eastAsia="zh-CN" w:bidi="ar-SA"/>
              </w:rPr>
            </w:pPr>
            <w:r>
              <w:rPr>
                <w:rFonts w:hint="eastAsia" w:ascii="宋体" w:hAnsi="宋体" w:eastAsia="宋体" w:cs="Times New Roman"/>
                <w:b w:val="0"/>
                <w:bCs w:val="0"/>
                <w:color w:val="000000" w:themeColor="text1"/>
                <w:kern w:val="2"/>
                <w:sz w:val="21"/>
                <w:szCs w:val="21"/>
                <w:lang w:val="en-US" w:eastAsia="zh-CN" w:bidi="ar-SA"/>
              </w:rPr>
              <w:t>注：一人一证，</w:t>
            </w:r>
            <w:r>
              <w:rPr>
                <w:rFonts w:hint="eastAsia" w:ascii="宋体" w:hAnsi="宋体" w:cs="Times New Roman"/>
                <w:b w:val="0"/>
                <w:bCs w:val="0"/>
                <w:color w:val="000000" w:themeColor="text1"/>
                <w:kern w:val="2"/>
                <w:sz w:val="21"/>
                <w:szCs w:val="21"/>
                <w:lang w:val="en-US" w:eastAsia="zh-CN" w:bidi="ar-SA"/>
              </w:rPr>
              <w:t>并</w:t>
            </w:r>
            <w:r>
              <w:rPr>
                <w:rFonts w:hint="eastAsia" w:ascii="宋体" w:hAnsi="宋体" w:eastAsia="宋体" w:cs="Times New Roman"/>
                <w:b w:val="0"/>
                <w:bCs w:val="0"/>
                <w:color w:val="000000" w:themeColor="text1"/>
                <w:kern w:val="2"/>
                <w:sz w:val="21"/>
                <w:szCs w:val="21"/>
                <w:lang w:val="en-US" w:eastAsia="zh-CN" w:bidi="ar-SA"/>
              </w:rPr>
              <w:t>提供有效证书及依法缴纳连续 6个月的本单位社保证明</w:t>
            </w:r>
            <w:r>
              <w:rPr>
                <w:rFonts w:hint="eastAsia" w:ascii="宋体" w:hAnsi="宋体" w:cs="Times New Roman"/>
                <w:b w:val="0"/>
                <w:bCs w:val="0"/>
                <w:color w:val="000000" w:themeColor="text1"/>
                <w:kern w:val="2"/>
                <w:sz w:val="21"/>
                <w:szCs w:val="21"/>
                <w:lang w:val="en-US" w:eastAsia="zh-CN" w:bidi="ar-SA"/>
              </w:rPr>
              <w:t>扫描件，否则不得分。</w:t>
            </w:r>
          </w:p>
        </w:tc>
        <w:tc>
          <w:tcPr>
            <w:tcW w:w="664" w:type="dxa"/>
            <w:tcBorders>
              <w:tl2br w:val="nil"/>
              <w:tr2bl w:val="nil"/>
            </w:tcBorders>
            <w:vAlign w:val="center"/>
          </w:tcPr>
          <w:p>
            <w:pPr>
              <w:jc w:val="center"/>
              <w:rPr>
                <w:rFonts w:hint="default" w:ascii="宋体" w:hAnsi="宋体" w:eastAsia="宋体" w:cs="Times New Roman"/>
                <w:color w:val="000000" w:themeColor="text1"/>
                <w:kern w:val="2"/>
                <w:sz w:val="21"/>
                <w:szCs w:val="21"/>
                <w:lang w:val="en-US" w:eastAsia="zh-CN" w:bidi="ar-SA"/>
              </w:rPr>
            </w:pPr>
            <w:r>
              <w:rPr>
                <w:rFonts w:hint="eastAsia" w:ascii="宋体" w:hAnsi="宋体" w:cs="Times New Roman"/>
                <w:color w:val="000000" w:themeColor="text1"/>
                <w:kern w:val="2"/>
                <w:sz w:val="21"/>
                <w:szCs w:val="21"/>
                <w:lang w:val="en-US" w:eastAsia="zh-CN" w:bidi="ar-SA"/>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trPr>
        <w:tc>
          <w:tcPr>
            <w:tcW w:w="538" w:type="dxa"/>
            <w:tcBorders>
              <w:tl2br w:val="nil"/>
              <w:tr2bl w:val="nil"/>
            </w:tcBorders>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4</w:t>
            </w:r>
          </w:p>
        </w:tc>
        <w:tc>
          <w:tcPr>
            <w:tcW w:w="1263" w:type="dxa"/>
            <w:tcBorders>
              <w:tl2br w:val="nil"/>
              <w:tr2bl w:val="nil"/>
            </w:tcBorders>
            <w:vAlign w:val="center"/>
          </w:tcPr>
          <w:p>
            <w:pPr>
              <w:jc w:val="center"/>
              <w:rPr>
                <w:rFonts w:hint="eastAsia" w:ascii="宋体" w:hAnsi="宋体" w:cs="Times New Roman"/>
                <w:b w:val="0"/>
                <w:bCs w:val="0"/>
                <w:color w:val="000000" w:themeColor="text1"/>
                <w:kern w:val="2"/>
                <w:sz w:val="21"/>
                <w:szCs w:val="21"/>
                <w:lang w:val="en-US" w:eastAsia="zh-CN" w:bidi="ar-SA"/>
              </w:rPr>
            </w:pPr>
            <w:r>
              <w:rPr>
                <w:rFonts w:hint="eastAsia" w:ascii="宋体" w:hAnsi="宋体" w:eastAsia="宋体"/>
                <w:color w:val="000000" w:themeColor="text1"/>
                <w:spacing w:val="0"/>
                <w:sz w:val="21"/>
                <w:szCs w:val="21"/>
                <w:lang w:val="en-US" w:eastAsia="zh-CN"/>
              </w:rPr>
              <w:t>灯具检测报告</w:t>
            </w:r>
          </w:p>
        </w:tc>
        <w:tc>
          <w:tcPr>
            <w:tcW w:w="894" w:type="dxa"/>
            <w:tcBorders>
              <w:tl2br w:val="nil"/>
              <w:tr2bl w:val="nil"/>
            </w:tcBorders>
            <w:vAlign w:val="center"/>
          </w:tcPr>
          <w:p>
            <w:pPr>
              <w:rPr>
                <w:rFonts w:hint="eastAsia" w:ascii="宋体" w:hAnsi="宋体" w:cs="Times New Roman"/>
                <w:b w:val="0"/>
                <w:bCs w:val="0"/>
                <w:color w:val="000000" w:themeColor="text1"/>
                <w:kern w:val="2"/>
                <w:sz w:val="21"/>
                <w:szCs w:val="21"/>
                <w:lang w:val="en-US" w:eastAsia="zh-CN" w:bidi="ar-SA"/>
              </w:rPr>
            </w:pPr>
            <w:r>
              <w:rPr>
                <w:rFonts w:hint="eastAsia" w:ascii="宋体" w:hAnsi="宋体" w:cs="Times New Roman"/>
                <w:b w:val="0"/>
                <w:bCs w:val="0"/>
                <w:color w:val="000000" w:themeColor="text1"/>
                <w:kern w:val="2"/>
                <w:sz w:val="21"/>
                <w:szCs w:val="21"/>
                <w:lang w:val="en-US" w:eastAsia="zh-CN" w:bidi="ar-SA"/>
              </w:rPr>
              <w:t>客观分</w:t>
            </w:r>
          </w:p>
        </w:tc>
        <w:tc>
          <w:tcPr>
            <w:tcW w:w="6775" w:type="dxa"/>
            <w:tcBorders>
              <w:tl2br w:val="nil"/>
              <w:tr2bl w:val="nil"/>
            </w:tcBorders>
            <w:vAlign w:val="center"/>
          </w:tcPr>
          <w:p>
            <w:pPr>
              <w:rPr>
                <w:rFonts w:hint="eastAsia" w:ascii="宋体" w:hAnsi="宋体" w:cs="Times New Roman"/>
                <w:b w:val="0"/>
                <w:bCs w:val="0"/>
                <w:color w:val="000000" w:themeColor="text1"/>
                <w:kern w:val="2"/>
                <w:sz w:val="21"/>
                <w:szCs w:val="21"/>
                <w:lang w:val="en-US" w:eastAsia="zh-CN" w:bidi="ar-SA"/>
              </w:rPr>
            </w:pPr>
            <w:r>
              <w:rPr>
                <w:rFonts w:hint="eastAsia" w:ascii="宋体" w:hAnsi="宋体" w:cs="Times New Roman"/>
                <w:b w:val="0"/>
                <w:bCs w:val="0"/>
                <w:color w:val="000000" w:themeColor="text1"/>
                <w:kern w:val="2"/>
                <w:sz w:val="21"/>
                <w:szCs w:val="21"/>
                <w:lang w:val="en-US" w:eastAsia="zh-CN" w:bidi="ar-SA"/>
              </w:rPr>
              <w:t>提供200W灯具检测报告，色温在4000K左右，光效（灯具效能）大于等于150lm/W。具备的得4分。</w:t>
            </w:r>
          </w:p>
          <w:p>
            <w:pPr>
              <w:rPr>
                <w:rFonts w:hint="eastAsia" w:ascii="宋体" w:hAnsi="宋体" w:cs="Times New Roman"/>
                <w:b w:val="0"/>
                <w:bCs w:val="0"/>
                <w:color w:val="000000" w:themeColor="text1"/>
                <w:kern w:val="2"/>
                <w:sz w:val="21"/>
                <w:szCs w:val="21"/>
                <w:lang w:val="en-US" w:eastAsia="zh-CN" w:bidi="ar-SA"/>
              </w:rPr>
            </w:pPr>
            <w:r>
              <w:rPr>
                <w:rFonts w:hint="eastAsia" w:ascii="宋体" w:hAnsi="宋体" w:cs="Times New Roman"/>
                <w:b w:val="0"/>
                <w:bCs w:val="0"/>
                <w:color w:val="000000" w:themeColor="text1"/>
                <w:kern w:val="2"/>
                <w:sz w:val="21"/>
                <w:szCs w:val="21"/>
                <w:lang w:val="en-US" w:eastAsia="zh-CN" w:bidi="ar-SA"/>
              </w:rPr>
              <w:t>注：提供检验报告扫描件，检测报告须由国家电光源质量监督检验中心出具，否则不得分。</w:t>
            </w:r>
          </w:p>
        </w:tc>
        <w:tc>
          <w:tcPr>
            <w:tcW w:w="664" w:type="dxa"/>
            <w:tcBorders>
              <w:tl2br w:val="nil"/>
              <w:tr2bl w:val="nil"/>
            </w:tcBorders>
            <w:vAlign w:val="center"/>
          </w:tcPr>
          <w:p>
            <w:pPr>
              <w:rPr>
                <w:rFonts w:hint="eastAsia" w:ascii="宋体" w:hAnsi="宋体" w:cs="Times New Roman"/>
                <w:b w:val="0"/>
                <w:bCs w:val="0"/>
                <w:color w:val="000000" w:themeColor="text1"/>
                <w:kern w:val="2"/>
                <w:sz w:val="21"/>
                <w:szCs w:val="21"/>
                <w:lang w:val="en-US" w:eastAsia="zh-CN" w:bidi="ar-SA"/>
              </w:rPr>
            </w:pPr>
            <w:r>
              <w:rPr>
                <w:rFonts w:hint="eastAsia" w:ascii="宋体" w:hAnsi="宋体" w:cs="Times New Roman"/>
                <w:b w:val="0"/>
                <w:bCs w:val="0"/>
                <w:color w:val="000000" w:themeColor="text1"/>
                <w:kern w:val="2"/>
                <w:sz w:val="21"/>
                <w:szCs w:val="21"/>
                <w:lang w:val="en-US" w:eastAsia="zh-CN" w:bidi="ar-SA"/>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0" w:hRule="atLeast"/>
        </w:trPr>
        <w:tc>
          <w:tcPr>
            <w:tcW w:w="538" w:type="dxa"/>
            <w:tcBorders>
              <w:tl2br w:val="nil"/>
              <w:tr2bl w:val="nil"/>
            </w:tcBorders>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5</w:t>
            </w:r>
          </w:p>
        </w:tc>
        <w:tc>
          <w:tcPr>
            <w:tcW w:w="1263" w:type="dxa"/>
            <w:tcBorders>
              <w:tl2br w:val="nil"/>
              <w:tr2bl w:val="nil"/>
            </w:tcBorders>
            <w:vAlign w:val="center"/>
          </w:tcPr>
          <w:p>
            <w:pPr>
              <w:jc w:val="center"/>
              <w:rPr>
                <w:rFonts w:hint="eastAsia" w:ascii="宋体" w:hAnsi="宋体" w:eastAsia="宋体"/>
                <w:color w:val="000000" w:themeColor="text1"/>
                <w:szCs w:val="21"/>
                <w:lang w:eastAsia="zh-CN"/>
              </w:rPr>
            </w:pPr>
            <w:r>
              <w:rPr>
                <w:rFonts w:hint="eastAsia" w:ascii="宋体" w:hAnsi="宋体" w:eastAsia="宋体"/>
                <w:color w:val="000000" w:themeColor="text1"/>
                <w:szCs w:val="21"/>
                <w:lang w:eastAsia="zh-CN"/>
              </w:rPr>
              <w:t>灯杆检测报告</w:t>
            </w:r>
          </w:p>
        </w:tc>
        <w:tc>
          <w:tcPr>
            <w:tcW w:w="894" w:type="dxa"/>
            <w:tcBorders>
              <w:tl2br w:val="nil"/>
              <w:tr2bl w:val="nil"/>
            </w:tcBorders>
            <w:vAlign w:val="center"/>
          </w:tcPr>
          <w:p>
            <w:pPr>
              <w:jc w:val="center"/>
              <w:rPr>
                <w:rFonts w:hint="eastAsia" w:ascii="宋体" w:hAnsi="宋体" w:eastAsia="宋体"/>
                <w:color w:val="000000" w:themeColor="text1"/>
                <w:szCs w:val="21"/>
                <w:lang w:eastAsia="zh-CN"/>
              </w:rPr>
            </w:pPr>
            <w:r>
              <w:rPr>
                <w:rFonts w:hint="eastAsia" w:ascii="宋体" w:hAnsi="宋体" w:eastAsia="宋体"/>
                <w:color w:val="000000" w:themeColor="text1"/>
                <w:szCs w:val="21"/>
                <w:lang w:eastAsia="zh-CN"/>
              </w:rPr>
              <w:t>客观分</w:t>
            </w:r>
          </w:p>
        </w:tc>
        <w:tc>
          <w:tcPr>
            <w:tcW w:w="6775" w:type="dxa"/>
            <w:tcBorders>
              <w:tl2br w:val="nil"/>
              <w:tr2bl w:val="nil"/>
            </w:tcBorders>
            <w:vAlign w:val="center"/>
          </w:tcPr>
          <w:p>
            <w:pPr>
              <w:rPr>
                <w:rFonts w:hint="eastAsia" w:ascii="宋体" w:hAnsi="宋体" w:eastAsia="宋体" w:cs="Times New Roman"/>
                <w:b w:val="0"/>
                <w:bCs w:val="0"/>
                <w:color w:val="000000" w:themeColor="text1"/>
                <w:kern w:val="2"/>
                <w:sz w:val="21"/>
                <w:szCs w:val="21"/>
                <w:lang w:val="en-US" w:eastAsia="zh-CN" w:bidi="ar-SA"/>
              </w:rPr>
            </w:pPr>
            <w:r>
              <w:rPr>
                <w:rFonts w:hint="eastAsia" w:ascii="宋体" w:hAnsi="宋体" w:eastAsia="宋体" w:cs="Times New Roman"/>
                <w:b w:val="0"/>
                <w:bCs w:val="0"/>
                <w:color w:val="000000" w:themeColor="text1"/>
                <w:kern w:val="2"/>
                <w:sz w:val="21"/>
                <w:szCs w:val="21"/>
                <w:lang w:val="en-US" w:eastAsia="zh-CN" w:bidi="ar-SA"/>
              </w:rPr>
              <w:t>提供8米灯杆检验合格报告，检测报告中须体现杆件材料强度、防腐厚度、外观质量和尺寸、结构分析、焊接质量等内容。具备的得4分。</w:t>
            </w:r>
          </w:p>
          <w:p>
            <w:pPr>
              <w:rPr>
                <w:rFonts w:hint="eastAsia" w:ascii="宋体" w:hAnsi="宋体" w:eastAsia="宋体"/>
                <w:b w:val="0"/>
                <w:bCs w:val="0"/>
                <w:color w:val="000000" w:themeColor="text1"/>
                <w:szCs w:val="21"/>
                <w:highlight w:val="none"/>
                <w:lang w:val="en-US" w:eastAsia="zh-CN"/>
              </w:rPr>
            </w:pPr>
            <w:r>
              <w:rPr>
                <w:rFonts w:hint="eastAsia" w:ascii="宋体" w:hAnsi="宋体" w:eastAsia="宋体" w:cs="Times New Roman"/>
                <w:b w:val="0"/>
                <w:bCs w:val="0"/>
                <w:color w:val="000000" w:themeColor="text1"/>
                <w:kern w:val="2"/>
                <w:sz w:val="21"/>
                <w:szCs w:val="21"/>
                <w:lang w:val="en-US" w:eastAsia="zh-CN" w:bidi="ar-SA"/>
              </w:rPr>
              <w:t>注：</w:t>
            </w:r>
            <w:r>
              <w:rPr>
                <w:rFonts w:hint="eastAsia" w:ascii="宋体" w:hAnsi="宋体" w:cs="Times New Roman"/>
                <w:b w:val="0"/>
                <w:bCs w:val="0"/>
                <w:color w:val="000000" w:themeColor="text1"/>
                <w:kern w:val="2"/>
                <w:sz w:val="21"/>
                <w:szCs w:val="21"/>
                <w:lang w:val="en-US" w:eastAsia="zh-CN" w:bidi="ar-SA"/>
              </w:rPr>
              <w:t>提供检验报告扫描件，</w:t>
            </w:r>
            <w:r>
              <w:rPr>
                <w:rFonts w:hint="eastAsia" w:ascii="宋体" w:hAnsi="宋体" w:eastAsia="宋体" w:cs="Times New Roman"/>
                <w:b w:val="0"/>
                <w:bCs w:val="0"/>
                <w:color w:val="000000" w:themeColor="text1"/>
                <w:kern w:val="2"/>
                <w:sz w:val="21"/>
                <w:szCs w:val="21"/>
                <w:lang w:val="en-US" w:eastAsia="zh-CN" w:bidi="ar-SA"/>
              </w:rPr>
              <w:t>检验合格报告须由国家级检测机构（如国家电子工程建筑及环境性能质量监督检验中心）出具，否则不得分。</w:t>
            </w:r>
          </w:p>
        </w:tc>
        <w:tc>
          <w:tcPr>
            <w:tcW w:w="664" w:type="dxa"/>
            <w:tcBorders>
              <w:tl2br w:val="nil"/>
              <w:tr2bl w:val="nil"/>
            </w:tcBorders>
            <w:vAlign w:val="center"/>
          </w:tcPr>
          <w:p>
            <w:pPr>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5" w:hRule="atLeast"/>
        </w:trPr>
        <w:tc>
          <w:tcPr>
            <w:tcW w:w="538" w:type="dxa"/>
            <w:tcBorders>
              <w:tl2br w:val="nil"/>
              <w:tr2bl w:val="nil"/>
            </w:tcBorders>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6</w:t>
            </w:r>
          </w:p>
        </w:tc>
        <w:tc>
          <w:tcPr>
            <w:tcW w:w="1263" w:type="dxa"/>
            <w:tcBorders>
              <w:tl2br w:val="nil"/>
              <w:tr2bl w:val="nil"/>
            </w:tcBorders>
            <w:vAlign w:val="center"/>
          </w:tcPr>
          <w:p>
            <w:pPr>
              <w:jc w:val="center"/>
              <w:rPr>
                <w:rFonts w:ascii="宋体" w:hAnsi="宋体"/>
                <w:color w:val="000000" w:themeColor="text1"/>
                <w:szCs w:val="21"/>
              </w:rPr>
            </w:pPr>
            <w:r>
              <w:rPr>
                <w:rFonts w:hint="eastAsia" w:ascii="宋体" w:hAnsi="宋体"/>
                <w:color w:val="000000" w:themeColor="text1"/>
                <w:szCs w:val="21"/>
                <w:lang w:eastAsia="zh-CN"/>
              </w:rPr>
              <w:t>拟</w:t>
            </w:r>
            <w:r>
              <w:rPr>
                <w:rFonts w:hint="eastAsia" w:ascii="宋体" w:hAnsi="宋体"/>
                <w:color w:val="000000" w:themeColor="text1"/>
                <w:szCs w:val="21"/>
              </w:rPr>
              <w:t>投入设备</w:t>
            </w:r>
          </w:p>
        </w:tc>
        <w:tc>
          <w:tcPr>
            <w:tcW w:w="894" w:type="dxa"/>
            <w:tcBorders>
              <w:tl2br w:val="nil"/>
              <w:tr2bl w:val="nil"/>
            </w:tcBorders>
            <w:vAlign w:val="center"/>
          </w:tcPr>
          <w:p>
            <w:pPr>
              <w:pStyle w:val="229"/>
              <w:jc w:val="center"/>
              <w:rPr>
                <w:rFonts w:ascii="宋体" w:hAnsi="宋体" w:eastAsia="宋体" w:cs="宋体"/>
                <w:color w:val="000000" w:themeColor="text1"/>
                <w:sz w:val="21"/>
                <w:szCs w:val="21"/>
              </w:rPr>
            </w:pPr>
            <w:r>
              <w:rPr>
                <w:rFonts w:hint="eastAsia" w:ascii="宋体" w:hAnsi="宋体" w:eastAsia="宋体"/>
                <w:color w:val="000000" w:themeColor="text1"/>
                <w:szCs w:val="21"/>
                <w:lang w:eastAsia="zh-CN"/>
              </w:rPr>
              <w:t>客观分</w:t>
            </w:r>
          </w:p>
        </w:tc>
        <w:tc>
          <w:tcPr>
            <w:tcW w:w="6775" w:type="dxa"/>
            <w:tcBorders>
              <w:tl2br w:val="nil"/>
              <w:tr2bl w:val="nil"/>
            </w:tcBorders>
            <w:vAlign w:val="center"/>
          </w:tcPr>
          <w:p>
            <w:pPr>
              <w:pStyle w:val="229"/>
              <w:keepNext w:val="0"/>
              <w:keepLines w:val="0"/>
              <w:pageBreakBefore w:val="0"/>
              <w:widowControl w:val="0"/>
              <w:kinsoku/>
              <w:wordWrap/>
              <w:overflowPunct/>
              <w:topLinePunct w:val="0"/>
              <w:autoSpaceDE/>
              <w:autoSpaceDN/>
              <w:bidi w:val="0"/>
              <w:adjustRightInd/>
              <w:snapToGrid/>
              <w:ind w:right="-17"/>
              <w:jc w:val="both"/>
              <w:textAlignment w:val="auto"/>
              <w:rPr>
                <w:rFonts w:hint="eastAsia" w:ascii="宋体" w:hAnsi="宋体" w:eastAsia="宋体" w:cs="宋体"/>
                <w:color w:val="000000" w:themeColor="text1"/>
                <w:spacing w:val="0"/>
                <w:kern w:val="0"/>
                <w:sz w:val="21"/>
                <w:szCs w:val="21"/>
                <w:lang w:val="en-US" w:eastAsia="zh-CN" w:bidi="ar-SA"/>
              </w:rPr>
            </w:pPr>
            <w:r>
              <w:rPr>
                <w:rFonts w:hint="eastAsia" w:ascii="宋体" w:hAnsi="宋体" w:eastAsia="宋体" w:cs="宋体"/>
                <w:color w:val="000000" w:themeColor="text1"/>
                <w:spacing w:val="0"/>
                <w:kern w:val="0"/>
                <w:sz w:val="21"/>
                <w:szCs w:val="21"/>
                <w:lang w:val="en-US" w:eastAsia="zh-CN" w:bidi="ar-SA"/>
              </w:rPr>
              <w:t>拟投入本项目的公司自有专业安装车辆提供一辆高空作业车（最大作业高度不低于14米）得4分，提供一辆轻型普通货车得4分，本项最高得8分；</w:t>
            </w:r>
          </w:p>
          <w:p>
            <w:pPr>
              <w:pStyle w:val="229"/>
              <w:keepNext w:val="0"/>
              <w:keepLines w:val="0"/>
              <w:pageBreakBefore w:val="0"/>
              <w:widowControl w:val="0"/>
              <w:kinsoku/>
              <w:wordWrap/>
              <w:overflowPunct/>
              <w:topLinePunct w:val="0"/>
              <w:autoSpaceDE/>
              <w:autoSpaceDN/>
              <w:bidi w:val="0"/>
              <w:adjustRightInd/>
              <w:snapToGrid/>
              <w:ind w:right="-17"/>
              <w:jc w:val="both"/>
              <w:textAlignment w:val="auto"/>
              <w:rPr>
                <w:rFonts w:hint="eastAsia" w:ascii="宋体" w:hAnsi="宋体" w:eastAsia="宋体" w:cs="宋体"/>
                <w:color w:val="000000" w:themeColor="text1"/>
                <w:spacing w:val="0"/>
                <w:kern w:val="0"/>
                <w:sz w:val="21"/>
                <w:szCs w:val="21"/>
                <w:lang w:val="en-US" w:eastAsia="zh-CN" w:bidi="ar-SA"/>
              </w:rPr>
            </w:pPr>
            <w:r>
              <w:rPr>
                <w:rFonts w:hint="eastAsia" w:ascii="宋体" w:hAnsi="宋体" w:eastAsia="宋体" w:cs="宋体"/>
                <w:color w:val="000000" w:themeColor="text1"/>
                <w:spacing w:val="0"/>
                <w:kern w:val="0"/>
                <w:sz w:val="21"/>
                <w:szCs w:val="21"/>
                <w:lang w:val="en-US" w:eastAsia="zh-CN" w:bidi="ar-SA"/>
              </w:rPr>
              <w:t>注：提供行驶证、购买发票原件电子扫描件，否则不予以加分。</w:t>
            </w:r>
          </w:p>
        </w:tc>
        <w:tc>
          <w:tcPr>
            <w:tcW w:w="664" w:type="dxa"/>
            <w:tcBorders>
              <w:tl2br w:val="nil"/>
              <w:tr2bl w:val="nil"/>
            </w:tcBorders>
            <w:vAlign w:val="center"/>
          </w:tcPr>
          <w:p>
            <w:pPr>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538" w:type="dxa"/>
            <w:vMerge w:val="restart"/>
            <w:tcBorders>
              <w:tl2br w:val="nil"/>
              <w:tr2bl w:val="nil"/>
            </w:tcBorders>
            <w:vAlign w:val="center"/>
          </w:tcPr>
          <w:p>
            <w:pPr>
              <w:jc w:val="center"/>
              <w:rPr>
                <w:rFonts w:hint="default" w:ascii="宋体" w:hAnsi="宋体"/>
                <w:szCs w:val="21"/>
                <w:lang w:val="en-US" w:eastAsia="zh-CN"/>
              </w:rPr>
            </w:pPr>
            <w:r>
              <w:rPr>
                <w:rFonts w:hint="eastAsia" w:ascii="宋体" w:hAnsi="宋体"/>
                <w:szCs w:val="21"/>
                <w:lang w:val="en-US" w:eastAsia="zh-CN"/>
              </w:rPr>
              <w:t>7</w:t>
            </w:r>
          </w:p>
        </w:tc>
        <w:tc>
          <w:tcPr>
            <w:tcW w:w="1263" w:type="dxa"/>
            <w:vMerge w:val="restart"/>
            <w:tcBorders>
              <w:tl2br w:val="nil"/>
              <w:tr2bl w:val="nil"/>
            </w:tcBorders>
            <w:vAlign w:val="center"/>
          </w:tcPr>
          <w:p>
            <w:pPr>
              <w:jc w:val="center"/>
              <w:rPr>
                <w:rFonts w:hint="eastAsia" w:ascii="宋体" w:hAnsi="宋体" w:eastAsia="宋体"/>
                <w:color w:val="000000" w:themeColor="text1"/>
                <w:szCs w:val="21"/>
                <w:lang w:eastAsia="zh-CN"/>
              </w:rPr>
            </w:pPr>
            <w:r>
              <w:rPr>
                <w:rFonts w:hint="eastAsia" w:ascii="宋体" w:hAnsi="宋体"/>
                <w:color w:val="000000" w:themeColor="text1"/>
                <w:szCs w:val="21"/>
              </w:rPr>
              <w:t>设计</w:t>
            </w:r>
            <w:r>
              <w:rPr>
                <w:rFonts w:hint="eastAsia" w:ascii="宋体" w:hAnsi="宋体"/>
                <w:color w:val="000000" w:themeColor="text1"/>
                <w:szCs w:val="21"/>
                <w:lang w:eastAsia="zh-CN"/>
              </w:rPr>
              <w:t>方案</w:t>
            </w:r>
          </w:p>
        </w:tc>
        <w:tc>
          <w:tcPr>
            <w:tcW w:w="894" w:type="dxa"/>
            <w:vMerge w:val="restart"/>
            <w:tcBorders>
              <w:tl2br w:val="nil"/>
              <w:tr2bl w:val="nil"/>
            </w:tcBorders>
            <w:vAlign w:val="center"/>
          </w:tcPr>
          <w:p>
            <w:pPr>
              <w:jc w:val="center"/>
              <w:rPr>
                <w:rFonts w:hint="eastAsia" w:ascii="宋体" w:hAnsi="宋体" w:eastAsia="宋体" w:cs="Times New Roman"/>
                <w:color w:val="000000" w:themeColor="text1"/>
                <w:szCs w:val="21"/>
                <w:lang w:eastAsia="zh-CN"/>
              </w:rPr>
            </w:pPr>
            <w:r>
              <w:rPr>
                <w:rFonts w:hint="eastAsia" w:ascii="宋体" w:hAnsi="宋体" w:eastAsia="宋体" w:cs="Times New Roman"/>
                <w:color w:val="000000" w:themeColor="text1"/>
                <w:szCs w:val="21"/>
                <w:lang w:eastAsia="zh-CN"/>
              </w:rPr>
              <w:t>主观分</w:t>
            </w:r>
          </w:p>
        </w:tc>
        <w:tc>
          <w:tcPr>
            <w:tcW w:w="6775" w:type="dxa"/>
            <w:tcBorders>
              <w:tl2br w:val="nil"/>
              <w:tr2bl w:val="nil"/>
            </w:tcBorders>
            <w:vAlign w:val="center"/>
          </w:tcPr>
          <w:p>
            <w:pPr>
              <w:rPr>
                <w:rFonts w:hint="eastAsia" w:ascii="宋体" w:hAnsi="宋体" w:cs="宋体"/>
                <w:color w:val="000000" w:themeColor="text1"/>
                <w:spacing w:val="0"/>
                <w:kern w:val="0"/>
                <w:sz w:val="21"/>
                <w:szCs w:val="21"/>
                <w:lang w:val="en-US" w:eastAsia="zh-CN" w:bidi="ar-SA"/>
              </w:rPr>
            </w:pPr>
            <w:r>
              <w:rPr>
                <w:rFonts w:hint="eastAsia" w:ascii="宋体" w:hAnsi="宋体" w:cs="宋体"/>
                <w:color w:val="000000" w:themeColor="text1"/>
                <w:spacing w:val="0"/>
                <w:kern w:val="0"/>
                <w:sz w:val="21"/>
                <w:szCs w:val="21"/>
                <w:lang w:val="en-US" w:eastAsia="zh-CN" w:bidi="ar-SA"/>
              </w:rPr>
              <w:t>设计说明书各专业章节内容齐全，编制深度符合规定，编制格式规范：合理3-4分；较合理的：2-3分；基本合理的：1-2分；不合理的：0分。</w:t>
            </w:r>
          </w:p>
        </w:tc>
        <w:tc>
          <w:tcPr>
            <w:tcW w:w="664" w:type="dxa"/>
            <w:tcBorders>
              <w:tl2br w:val="nil"/>
              <w:tr2bl w:val="nil"/>
            </w:tcBorders>
            <w:vAlign w:val="center"/>
          </w:tcPr>
          <w:p>
            <w:pPr>
              <w:jc w:val="center"/>
              <w:rPr>
                <w:rFonts w:hint="default" w:ascii="宋体" w:hAnsi="宋体"/>
                <w:color w:val="000000" w:themeColor="text1"/>
                <w:szCs w:val="21"/>
                <w:lang w:val="en-US" w:eastAsia="zh-CN"/>
              </w:rPr>
            </w:pPr>
            <w:r>
              <w:rPr>
                <w:rFonts w:hint="eastAsia" w:ascii="宋体" w:hAnsi="宋体"/>
                <w:color w:val="000000" w:themeColor="text1"/>
                <w:szCs w:val="21"/>
                <w:lang w:val="en-US" w:eastAsia="zh-CN"/>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trPr>
        <w:tc>
          <w:tcPr>
            <w:tcW w:w="538" w:type="dxa"/>
            <w:vMerge w:val="continue"/>
            <w:tcBorders>
              <w:tl2br w:val="nil"/>
              <w:tr2bl w:val="nil"/>
            </w:tcBorders>
            <w:vAlign w:val="center"/>
          </w:tcPr>
          <w:p>
            <w:pPr>
              <w:jc w:val="center"/>
              <w:rPr>
                <w:rFonts w:hint="default" w:ascii="宋体" w:hAnsi="宋体" w:eastAsia="宋体" w:cs="Times New Roman"/>
                <w:kern w:val="2"/>
                <w:sz w:val="21"/>
                <w:szCs w:val="21"/>
                <w:lang w:val="en-US" w:eastAsia="zh-CN" w:bidi="ar-SA"/>
              </w:rPr>
            </w:pPr>
          </w:p>
        </w:tc>
        <w:tc>
          <w:tcPr>
            <w:tcW w:w="1263" w:type="dxa"/>
            <w:vMerge w:val="continue"/>
            <w:tcBorders>
              <w:tl2br w:val="nil"/>
              <w:tr2bl w:val="nil"/>
            </w:tcBorders>
            <w:vAlign w:val="center"/>
          </w:tcPr>
          <w:p>
            <w:pPr>
              <w:jc w:val="center"/>
              <w:rPr>
                <w:rFonts w:hint="eastAsia" w:ascii="宋体" w:hAnsi="宋体" w:eastAsia="宋体"/>
                <w:color w:val="000000" w:themeColor="text1"/>
                <w:szCs w:val="21"/>
                <w:lang w:eastAsia="zh-CN"/>
              </w:rPr>
            </w:pPr>
          </w:p>
        </w:tc>
        <w:tc>
          <w:tcPr>
            <w:tcW w:w="894" w:type="dxa"/>
            <w:vMerge w:val="continue"/>
            <w:tcBorders>
              <w:tl2br w:val="nil"/>
              <w:tr2bl w:val="nil"/>
            </w:tcBorders>
            <w:vAlign w:val="center"/>
          </w:tcPr>
          <w:p>
            <w:pPr>
              <w:jc w:val="center"/>
              <w:rPr>
                <w:rFonts w:hint="eastAsia" w:ascii="宋体" w:hAnsi="宋体" w:eastAsia="宋体" w:cs="Times New Roman"/>
                <w:color w:val="000000" w:themeColor="text1"/>
                <w:szCs w:val="21"/>
                <w:lang w:eastAsia="zh-CN"/>
              </w:rPr>
            </w:pPr>
          </w:p>
        </w:tc>
        <w:tc>
          <w:tcPr>
            <w:tcW w:w="6775" w:type="dxa"/>
            <w:tcBorders>
              <w:tl2br w:val="nil"/>
              <w:tr2bl w:val="nil"/>
            </w:tcBorders>
            <w:vAlign w:val="center"/>
          </w:tcPr>
          <w:p>
            <w:pPr>
              <w:rPr>
                <w:rFonts w:hint="eastAsia" w:ascii="宋体" w:hAnsi="宋体" w:cs="宋体"/>
                <w:color w:val="000000" w:themeColor="text1"/>
                <w:spacing w:val="0"/>
                <w:kern w:val="0"/>
                <w:sz w:val="21"/>
                <w:szCs w:val="21"/>
                <w:lang w:val="en-US" w:eastAsia="zh-CN" w:bidi="ar-SA"/>
              </w:rPr>
            </w:pPr>
            <w:r>
              <w:rPr>
                <w:rFonts w:hint="eastAsia" w:ascii="宋体" w:hAnsi="宋体" w:cs="宋体"/>
                <w:color w:val="000000" w:themeColor="text1"/>
                <w:spacing w:val="0"/>
                <w:kern w:val="0"/>
                <w:sz w:val="21"/>
                <w:szCs w:val="21"/>
                <w:lang w:val="en-US" w:eastAsia="zh-CN" w:bidi="ar-SA"/>
              </w:rPr>
              <w:t>设计图纸各专业内容齐全，设计符合规范及标准，编制深度符合规定，编制格式规范：合理的：4-5分；较合理的：3-4分；基本合理的：1-2分，不合理的：0分。</w:t>
            </w:r>
          </w:p>
        </w:tc>
        <w:tc>
          <w:tcPr>
            <w:tcW w:w="664" w:type="dxa"/>
            <w:tcBorders>
              <w:tl2br w:val="nil"/>
              <w:tr2bl w:val="nil"/>
            </w:tcBorders>
            <w:vAlign w:val="center"/>
          </w:tcPr>
          <w:p>
            <w:pPr>
              <w:jc w:val="center"/>
              <w:rPr>
                <w:rFonts w:hint="default" w:ascii="宋体" w:hAnsi="宋体"/>
                <w:color w:val="000000" w:themeColor="text1"/>
                <w:szCs w:val="21"/>
                <w:lang w:val="en-US" w:eastAsia="zh-CN"/>
              </w:rPr>
            </w:pPr>
            <w:r>
              <w:rPr>
                <w:rFonts w:hint="eastAsia" w:ascii="宋体" w:hAnsi="宋体"/>
                <w:color w:val="000000" w:themeColor="text1"/>
                <w:szCs w:val="21"/>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538" w:type="dxa"/>
            <w:vMerge w:val="restart"/>
            <w:tcBorders>
              <w:tl2br w:val="nil"/>
              <w:tr2bl w:val="nil"/>
            </w:tcBorders>
            <w:vAlign w:val="center"/>
          </w:tcPr>
          <w:p>
            <w:pPr>
              <w:jc w:val="center"/>
              <w:rPr>
                <w:rFonts w:hint="default" w:ascii="宋体" w:hAnsi="宋体" w:eastAsia="宋体"/>
                <w:szCs w:val="21"/>
                <w:lang w:val="en-US" w:eastAsia="zh-CN"/>
              </w:rPr>
            </w:pPr>
            <w:r>
              <w:rPr>
                <w:rFonts w:hint="eastAsia" w:ascii="宋体" w:hAnsi="宋体"/>
                <w:szCs w:val="21"/>
                <w:lang w:val="en-US" w:eastAsia="zh-CN"/>
              </w:rPr>
              <w:t>8</w:t>
            </w:r>
          </w:p>
        </w:tc>
        <w:tc>
          <w:tcPr>
            <w:tcW w:w="1263" w:type="dxa"/>
            <w:vMerge w:val="restart"/>
            <w:tcBorders>
              <w:tl2br w:val="nil"/>
              <w:tr2bl w:val="nil"/>
            </w:tcBorders>
            <w:vAlign w:val="center"/>
          </w:tcPr>
          <w:p>
            <w:pPr>
              <w:jc w:val="center"/>
              <w:rPr>
                <w:rFonts w:ascii="宋体" w:hAnsi="宋体"/>
                <w:color w:val="000000" w:themeColor="text1"/>
                <w:szCs w:val="21"/>
              </w:rPr>
            </w:pPr>
            <w:r>
              <w:rPr>
                <w:rFonts w:hint="eastAsia" w:ascii="宋体" w:hAnsi="宋体"/>
                <w:color w:val="000000" w:themeColor="text1"/>
                <w:szCs w:val="21"/>
              </w:rPr>
              <w:t>施工组织设计</w:t>
            </w:r>
          </w:p>
        </w:tc>
        <w:tc>
          <w:tcPr>
            <w:tcW w:w="894" w:type="dxa"/>
            <w:vMerge w:val="restart"/>
            <w:tcBorders>
              <w:tl2br w:val="nil"/>
              <w:tr2bl w:val="nil"/>
            </w:tcBorders>
            <w:vAlign w:val="center"/>
          </w:tcPr>
          <w:p>
            <w:pPr>
              <w:jc w:val="center"/>
              <w:rPr>
                <w:rFonts w:hint="eastAsia" w:ascii="宋体" w:hAnsi="宋体" w:eastAsia="宋体" w:cs="Times New Roman"/>
                <w:color w:val="000000" w:themeColor="text1"/>
                <w:szCs w:val="21"/>
                <w:lang w:eastAsia="zh-CN"/>
              </w:rPr>
            </w:pPr>
            <w:r>
              <w:rPr>
                <w:rFonts w:hint="eastAsia" w:ascii="宋体" w:hAnsi="宋体" w:eastAsia="宋体" w:cs="Times New Roman"/>
                <w:color w:val="000000" w:themeColor="text1"/>
                <w:szCs w:val="21"/>
                <w:lang w:eastAsia="zh-CN"/>
              </w:rPr>
              <w:t>主观分</w:t>
            </w:r>
          </w:p>
          <w:p>
            <w:pPr>
              <w:jc w:val="center"/>
              <w:rPr>
                <w:rFonts w:hint="eastAsia" w:ascii="宋体" w:hAnsi="宋体" w:eastAsia="宋体" w:cs="Times New Roman"/>
                <w:color w:val="000000" w:themeColor="text1"/>
                <w:szCs w:val="21"/>
                <w:lang w:eastAsia="zh-CN"/>
              </w:rPr>
            </w:pPr>
          </w:p>
        </w:tc>
        <w:tc>
          <w:tcPr>
            <w:tcW w:w="6775" w:type="dxa"/>
            <w:tcBorders>
              <w:tl2br w:val="nil"/>
              <w:tr2bl w:val="nil"/>
            </w:tcBorders>
            <w:vAlign w:val="center"/>
          </w:tcPr>
          <w:p>
            <w:pPr>
              <w:rPr>
                <w:rFonts w:hint="eastAsia" w:ascii="宋体" w:hAnsi="宋体" w:eastAsia="宋体" w:cs="宋体"/>
                <w:color w:val="000000" w:themeColor="text1"/>
                <w:spacing w:val="0"/>
                <w:kern w:val="0"/>
                <w:sz w:val="21"/>
                <w:szCs w:val="21"/>
                <w:lang w:val="en-US" w:eastAsia="zh-CN" w:bidi="ar-SA"/>
              </w:rPr>
            </w:pPr>
            <w:r>
              <w:rPr>
                <w:rFonts w:hint="eastAsia" w:ascii="宋体" w:hAnsi="宋体" w:cs="宋体"/>
                <w:color w:val="000000" w:themeColor="text1"/>
                <w:spacing w:val="0"/>
                <w:kern w:val="0"/>
                <w:sz w:val="21"/>
                <w:szCs w:val="21"/>
                <w:lang w:val="en-US" w:eastAsia="zh-CN" w:bidi="ar-SA"/>
              </w:rPr>
              <w:t>1.</w:t>
            </w:r>
            <w:r>
              <w:rPr>
                <w:rFonts w:hint="eastAsia" w:ascii="宋体" w:hAnsi="宋体" w:eastAsia="宋体" w:cs="宋体"/>
                <w:color w:val="000000" w:themeColor="text1"/>
                <w:spacing w:val="0"/>
                <w:kern w:val="0"/>
                <w:sz w:val="21"/>
                <w:szCs w:val="21"/>
                <w:lang w:val="en-US" w:eastAsia="zh-CN" w:bidi="ar-SA"/>
              </w:rPr>
              <w:t>施工现场布置合理</w:t>
            </w:r>
            <w:r>
              <w:rPr>
                <w:rFonts w:hint="eastAsia" w:ascii="宋体" w:hAnsi="宋体" w:cs="宋体"/>
                <w:color w:val="000000" w:themeColor="text1"/>
                <w:spacing w:val="0"/>
                <w:kern w:val="0"/>
                <w:sz w:val="21"/>
                <w:szCs w:val="21"/>
                <w:lang w:val="en-US" w:eastAsia="zh-CN" w:bidi="ar-SA"/>
              </w:rPr>
              <w:t>的：1-2</w:t>
            </w:r>
            <w:r>
              <w:rPr>
                <w:rFonts w:hint="eastAsia" w:ascii="宋体" w:hAnsi="宋体" w:eastAsia="宋体" w:cs="宋体"/>
                <w:color w:val="000000" w:themeColor="text1"/>
                <w:spacing w:val="0"/>
                <w:kern w:val="0"/>
                <w:sz w:val="21"/>
                <w:szCs w:val="21"/>
                <w:lang w:val="en-US" w:eastAsia="zh-CN" w:bidi="ar-SA"/>
              </w:rPr>
              <w:t>分；基本合理</w:t>
            </w:r>
            <w:r>
              <w:rPr>
                <w:rFonts w:hint="eastAsia" w:ascii="宋体" w:hAnsi="宋体" w:cs="宋体"/>
                <w:color w:val="000000" w:themeColor="text1"/>
                <w:spacing w:val="0"/>
                <w:kern w:val="0"/>
                <w:sz w:val="21"/>
                <w:szCs w:val="21"/>
                <w:lang w:val="en-US" w:eastAsia="zh-CN" w:bidi="ar-SA"/>
              </w:rPr>
              <w:t>的：1</w:t>
            </w:r>
            <w:r>
              <w:rPr>
                <w:rFonts w:hint="eastAsia" w:ascii="宋体" w:hAnsi="宋体" w:eastAsia="宋体" w:cs="宋体"/>
                <w:color w:val="000000" w:themeColor="text1"/>
                <w:spacing w:val="0"/>
                <w:kern w:val="0"/>
                <w:sz w:val="21"/>
                <w:szCs w:val="21"/>
                <w:lang w:val="en-US" w:eastAsia="zh-CN" w:bidi="ar-SA"/>
              </w:rPr>
              <w:t>分；</w:t>
            </w:r>
            <w:r>
              <w:rPr>
                <w:rFonts w:hint="eastAsia" w:ascii="宋体" w:hAnsi="宋体" w:cs="宋体"/>
                <w:color w:val="000000" w:themeColor="text1"/>
                <w:spacing w:val="0"/>
                <w:kern w:val="0"/>
                <w:sz w:val="21"/>
                <w:szCs w:val="21"/>
                <w:lang w:val="en-US" w:eastAsia="zh-CN" w:bidi="ar-SA"/>
              </w:rPr>
              <w:t>缺项的：</w:t>
            </w:r>
            <w:r>
              <w:rPr>
                <w:rFonts w:hint="eastAsia" w:ascii="宋体" w:hAnsi="宋体" w:eastAsia="宋体" w:cs="宋体"/>
                <w:color w:val="000000" w:themeColor="text1"/>
                <w:spacing w:val="0"/>
                <w:kern w:val="0"/>
                <w:sz w:val="21"/>
                <w:szCs w:val="21"/>
                <w:lang w:val="en-US" w:eastAsia="zh-CN" w:bidi="ar-SA"/>
              </w:rPr>
              <w:t>0分</w:t>
            </w:r>
            <w:r>
              <w:rPr>
                <w:rFonts w:hint="eastAsia" w:ascii="宋体" w:hAnsi="宋体" w:cs="宋体"/>
                <w:color w:val="000000" w:themeColor="text1"/>
                <w:spacing w:val="0"/>
                <w:kern w:val="0"/>
                <w:sz w:val="21"/>
                <w:szCs w:val="21"/>
                <w:lang w:val="en-US" w:eastAsia="zh-CN" w:bidi="ar-SA"/>
              </w:rPr>
              <w:t>。</w:t>
            </w:r>
          </w:p>
        </w:tc>
        <w:tc>
          <w:tcPr>
            <w:tcW w:w="664" w:type="dxa"/>
            <w:tcBorders>
              <w:tl2br w:val="nil"/>
              <w:tr2bl w:val="nil"/>
            </w:tcBorders>
            <w:vAlign w:val="center"/>
          </w:tcPr>
          <w:p>
            <w:pPr>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538" w:type="dxa"/>
            <w:vMerge w:val="continue"/>
            <w:tcBorders>
              <w:tl2br w:val="nil"/>
              <w:tr2bl w:val="nil"/>
            </w:tcBorders>
            <w:vAlign w:val="center"/>
          </w:tcPr>
          <w:p>
            <w:pPr>
              <w:jc w:val="center"/>
              <w:rPr>
                <w:rFonts w:ascii="宋体" w:hAnsi="宋体"/>
                <w:szCs w:val="21"/>
              </w:rPr>
            </w:pPr>
          </w:p>
        </w:tc>
        <w:tc>
          <w:tcPr>
            <w:tcW w:w="1263" w:type="dxa"/>
            <w:vMerge w:val="continue"/>
            <w:tcBorders>
              <w:tl2br w:val="nil"/>
              <w:tr2bl w:val="nil"/>
            </w:tcBorders>
            <w:vAlign w:val="center"/>
          </w:tcPr>
          <w:p>
            <w:pPr>
              <w:jc w:val="center"/>
              <w:rPr>
                <w:rFonts w:ascii="宋体" w:hAnsi="宋体"/>
                <w:color w:val="000000" w:themeColor="text1"/>
                <w:szCs w:val="21"/>
              </w:rPr>
            </w:pPr>
          </w:p>
        </w:tc>
        <w:tc>
          <w:tcPr>
            <w:tcW w:w="894" w:type="dxa"/>
            <w:vMerge w:val="continue"/>
            <w:tcBorders>
              <w:tl2br w:val="nil"/>
              <w:tr2bl w:val="nil"/>
            </w:tcBorders>
            <w:vAlign w:val="center"/>
          </w:tcPr>
          <w:p>
            <w:pPr>
              <w:jc w:val="center"/>
              <w:rPr>
                <w:rFonts w:ascii="宋体" w:hAnsi="宋体"/>
                <w:color w:val="000000" w:themeColor="text1"/>
                <w:szCs w:val="21"/>
              </w:rPr>
            </w:pPr>
          </w:p>
        </w:tc>
        <w:tc>
          <w:tcPr>
            <w:tcW w:w="6775" w:type="dxa"/>
            <w:tcBorders>
              <w:tl2br w:val="nil"/>
              <w:tr2bl w:val="nil"/>
            </w:tcBorders>
            <w:vAlign w:val="center"/>
          </w:tcPr>
          <w:p>
            <w:pPr>
              <w:rPr>
                <w:rFonts w:hint="eastAsia" w:ascii="宋体" w:hAnsi="宋体" w:eastAsia="宋体" w:cs="宋体"/>
                <w:color w:val="000000" w:themeColor="text1"/>
                <w:spacing w:val="0"/>
                <w:kern w:val="0"/>
                <w:sz w:val="21"/>
                <w:szCs w:val="21"/>
                <w:lang w:val="en-US" w:eastAsia="zh-CN" w:bidi="ar-SA"/>
              </w:rPr>
            </w:pPr>
            <w:r>
              <w:rPr>
                <w:rFonts w:hint="eastAsia" w:ascii="宋体" w:hAnsi="宋体" w:cs="宋体"/>
                <w:color w:val="000000" w:themeColor="text1"/>
                <w:spacing w:val="0"/>
                <w:kern w:val="0"/>
                <w:sz w:val="21"/>
                <w:szCs w:val="21"/>
                <w:lang w:val="en-US" w:eastAsia="zh-CN" w:bidi="ar-SA"/>
              </w:rPr>
              <w:t>2.</w:t>
            </w:r>
            <w:r>
              <w:rPr>
                <w:rFonts w:hint="eastAsia" w:ascii="宋体" w:hAnsi="宋体" w:eastAsia="宋体" w:cs="宋体"/>
                <w:color w:val="000000" w:themeColor="text1"/>
                <w:spacing w:val="0"/>
                <w:kern w:val="0"/>
                <w:sz w:val="21"/>
                <w:szCs w:val="21"/>
                <w:lang w:val="en-US" w:eastAsia="zh-CN" w:bidi="ar-SA"/>
              </w:rPr>
              <w:t>施工进度计划和进度保证措施有力</w:t>
            </w:r>
            <w:r>
              <w:rPr>
                <w:rFonts w:hint="eastAsia" w:ascii="宋体" w:hAnsi="宋体" w:cs="宋体"/>
                <w:color w:val="000000" w:themeColor="text1"/>
                <w:spacing w:val="0"/>
                <w:kern w:val="0"/>
                <w:sz w:val="21"/>
                <w:szCs w:val="21"/>
                <w:lang w:val="en-US" w:eastAsia="zh-CN" w:bidi="ar-SA"/>
              </w:rPr>
              <w:t>的：2</w:t>
            </w:r>
            <w:r>
              <w:rPr>
                <w:rFonts w:hint="eastAsia" w:ascii="宋体" w:hAnsi="宋体" w:eastAsia="宋体" w:cs="宋体"/>
                <w:color w:val="000000" w:themeColor="text1"/>
                <w:spacing w:val="0"/>
                <w:kern w:val="0"/>
                <w:sz w:val="21"/>
                <w:szCs w:val="21"/>
                <w:lang w:val="en-US" w:eastAsia="zh-CN" w:bidi="ar-SA"/>
              </w:rPr>
              <w:t>-</w:t>
            </w:r>
            <w:r>
              <w:rPr>
                <w:rFonts w:hint="eastAsia" w:ascii="宋体" w:hAnsi="宋体" w:cs="宋体"/>
                <w:color w:val="000000" w:themeColor="text1"/>
                <w:spacing w:val="0"/>
                <w:kern w:val="0"/>
                <w:sz w:val="21"/>
                <w:szCs w:val="21"/>
                <w:lang w:val="en-US" w:eastAsia="zh-CN" w:bidi="ar-SA"/>
              </w:rPr>
              <w:t>3</w:t>
            </w:r>
            <w:r>
              <w:rPr>
                <w:rFonts w:hint="eastAsia" w:ascii="宋体" w:hAnsi="宋体" w:eastAsia="宋体" w:cs="宋体"/>
                <w:color w:val="000000" w:themeColor="text1"/>
                <w:spacing w:val="0"/>
                <w:kern w:val="0"/>
                <w:sz w:val="21"/>
                <w:szCs w:val="21"/>
                <w:lang w:val="en-US" w:eastAsia="zh-CN" w:bidi="ar-SA"/>
              </w:rPr>
              <w:t>分；基本</w:t>
            </w:r>
            <w:r>
              <w:rPr>
                <w:rFonts w:hint="eastAsia" w:ascii="宋体" w:hAnsi="宋体" w:cs="宋体"/>
                <w:color w:val="000000" w:themeColor="text1"/>
                <w:spacing w:val="0"/>
                <w:kern w:val="0"/>
                <w:sz w:val="21"/>
                <w:szCs w:val="21"/>
                <w:lang w:val="en-US" w:eastAsia="zh-CN" w:bidi="ar-SA"/>
              </w:rPr>
              <w:t>可行的：1</w:t>
            </w:r>
            <w:r>
              <w:rPr>
                <w:rFonts w:hint="eastAsia" w:ascii="宋体" w:hAnsi="宋体" w:eastAsia="宋体" w:cs="宋体"/>
                <w:color w:val="000000" w:themeColor="text1"/>
                <w:spacing w:val="0"/>
                <w:kern w:val="0"/>
                <w:sz w:val="21"/>
                <w:szCs w:val="21"/>
                <w:lang w:val="en-US" w:eastAsia="zh-CN" w:bidi="ar-SA"/>
              </w:rPr>
              <w:t>-</w:t>
            </w:r>
            <w:r>
              <w:rPr>
                <w:rFonts w:hint="eastAsia" w:ascii="宋体" w:hAnsi="宋体" w:cs="宋体"/>
                <w:color w:val="000000" w:themeColor="text1"/>
                <w:spacing w:val="0"/>
                <w:kern w:val="0"/>
                <w:sz w:val="21"/>
                <w:szCs w:val="21"/>
                <w:lang w:val="en-US" w:eastAsia="zh-CN" w:bidi="ar-SA"/>
              </w:rPr>
              <w:t>2</w:t>
            </w:r>
            <w:r>
              <w:rPr>
                <w:rFonts w:hint="eastAsia" w:ascii="宋体" w:hAnsi="宋体" w:eastAsia="宋体" w:cs="宋体"/>
                <w:color w:val="000000" w:themeColor="text1"/>
                <w:spacing w:val="0"/>
                <w:kern w:val="0"/>
                <w:sz w:val="21"/>
                <w:szCs w:val="21"/>
                <w:lang w:val="en-US" w:eastAsia="zh-CN" w:bidi="ar-SA"/>
              </w:rPr>
              <w:t>分；</w:t>
            </w:r>
            <w:r>
              <w:rPr>
                <w:rFonts w:hint="eastAsia" w:ascii="宋体" w:hAnsi="宋体" w:cs="宋体"/>
                <w:color w:val="000000" w:themeColor="text1"/>
                <w:spacing w:val="0"/>
                <w:kern w:val="0"/>
                <w:sz w:val="21"/>
                <w:szCs w:val="21"/>
                <w:lang w:val="en-US" w:eastAsia="zh-CN" w:bidi="ar-SA"/>
              </w:rPr>
              <w:t>缺项的：</w:t>
            </w:r>
            <w:r>
              <w:rPr>
                <w:rFonts w:hint="eastAsia" w:ascii="宋体" w:hAnsi="宋体" w:eastAsia="宋体" w:cs="宋体"/>
                <w:color w:val="000000" w:themeColor="text1"/>
                <w:spacing w:val="0"/>
                <w:kern w:val="0"/>
                <w:sz w:val="21"/>
                <w:szCs w:val="21"/>
                <w:lang w:val="en-US" w:eastAsia="zh-CN" w:bidi="ar-SA"/>
              </w:rPr>
              <w:t>0分</w:t>
            </w:r>
            <w:r>
              <w:rPr>
                <w:rFonts w:hint="eastAsia" w:ascii="宋体" w:hAnsi="宋体" w:cs="宋体"/>
                <w:color w:val="000000" w:themeColor="text1"/>
                <w:spacing w:val="0"/>
                <w:kern w:val="0"/>
                <w:sz w:val="21"/>
                <w:szCs w:val="21"/>
                <w:lang w:val="en-US" w:eastAsia="zh-CN" w:bidi="ar-SA"/>
              </w:rPr>
              <w:t>。</w:t>
            </w:r>
          </w:p>
        </w:tc>
        <w:tc>
          <w:tcPr>
            <w:tcW w:w="664" w:type="dxa"/>
            <w:tcBorders>
              <w:tl2br w:val="nil"/>
              <w:tr2bl w:val="nil"/>
            </w:tcBorders>
            <w:vAlign w:val="center"/>
          </w:tcPr>
          <w:p>
            <w:pPr>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538" w:type="dxa"/>
            <w:vMerge w:val="continue"/>
            <w:tcBorders>
              <w:tl2br w:val="nil"/>
              <w:tr2bl w:val="nil"/>
            </w:tcBorders>
            <w:vAlign w:val="center"/>
          </w:tcPr>
          <w:p>
            <w:pPr>
              <w:jc w:val="center"/>
              <w:rPr>
                <w:rFonts w:ascii="宋体" w:hAnsi="宋体"/>
                <w:szCs w:val="21"/>
              </w:rPr>
            </w:pPr>
          </w:p>
        </w:tc>
        <w:tc>
          <w:tcPr>
            <w:tcW w:w="1263" w:type="dxa"/>
            <w:vMerge w:val="continue"/>
            <w:tcBorders>
              <w:tl2br w:val="nil"/>
              <w:tr2bl w:val="nil"/>
            </w:tcBorders>
            <w:vAlign w:val="center"/>
          </w:tcPr>
          <w:p>
            <w:pPr>
              <w:jc w:val="center"/>
              <w:rPr>
                <w:rFonts w:ascii="宋体" w:hAnsi="宋体"/>
                <w:color w:val="000000" w:themeColor="text1"/>
                <w:szCs w:val="21"/>
              </w:rPr>
            </w:pPr>
          </w:p>
        </w:tc>
        <w:tc>
          <w:tcPr>
            <w:tcW w:w="894" w:type="dxa"/>
            <w:vMerge w:val="continue"/>
            <w:tcBorders>
              <w:tl2br w:val="nil"/>
              <w:tr2bl w:val="nil"/>
            </w:tcBorders>
            <w:vAlign w:val="center"/>
          </w:tcPr>
          <w:p>
            <w:pPr>
              <w:jc w:val="center"/>
              <w:rPr>
                <w:rFonts w:ascii="宋体" w:hAnsi="宋体"/>
                <w:color w:val="000000" w:themeColor="text1"/>
                <w:szCs w:val="21"/>
              </w:rPr>
            </w:pPr>
          </w:p>
        </w:tc>
        <w:tc>
          <w:tcPr>
            <w:tcW w:w="6775" w:type="dxa"/>
            <w:tcBorders>
              <w:tl2br w:val="nil"/>
              <w:tr2bl w:val="nil"/>
            </w:tcBorders>
            <w:vAlign w:val="center"/>
          </w:tcPr>
          <w:p>
            <w:pPr>
              <w:rPr>
                <w:rFonts w:hint="eastAsia" w:ascii="宋体" w:hAnsi="宋体" w:eastAsia="宋体" w:cs="宋体"/>
                <w:color w:val="000000" w:themeColor="text1"/>
                <w:spacing w:val="0"/>
                <w:kern w:val="0"/>
                <w:sz w:val="21"/>
                <w:szCs w:val="21"/>
                <w:lang w:val="en-US" w:eastAsia="zh-CN" w:bidi="ar-SA"/>
              </w:rPr>
            </w:pPr>
            <w:r>
              <w:rPr>
                <w:rFonts w:hint="eastAsia" w:ascii="宋体" w:hAnsi="宋体" w:cs="宋体"/>
                <w:color w:val="000000" w:themeColor="text1"/>
                <w:spacing w:val="0"/>
                <w:kern w:val="0"/>
                <w:sz w:val="21"/>
                <w:szCs w:val="21"/>
                <w:lang w:val="en-US" w:eastAsia="zh-CN" w:bidi="ar-SA"/>
              </w:rPr>
              <w:t>3.施工方案科学可行的</w:t>
            </w:r>
            <w:r>
              <w:rPr>
                <w:rFonts w:hint="eastAsia" w:ascii="宋体" w:hAnsi="宋体" w:eastAsia="宋体" w:cs="宋体"/>
                <w:color w:val="000000" w:themeColor="text1"/>
                <w:spacing w:val="0"/>
                <w:kern w:val="0"/>
                <w:sz w:val="21"/>
                <w:szCs w:val="21"/>
                <w:lang w:val="en-US" w:eastAsia="zh-CN" w:bidi="ar-SA"/>
              </w:rPr>
              <w:t>；</w:t>
            </w:r>
            <w:r>
              <w:rPr>
                <w:rFonts w:hint="eastAsia" w:ascii="宋体" w:hAnsi="宋体" w:cs="宋体"/>
                <w:color w:val="000000" w:themeColor="text1"/>
                <w:spacing w:val="0"/>
                <w:kern w:val="0"/>
                <w:sz w:val="21"/>
                <w:szCs w:val="21"/>
                <w:lang w:val="en-US" w:eastAsia="zh-CN" w:bidi="ar-SA"/>
              </w:rPr>
              <w:t>3</w:t>
            </w:r>
            <w:r>
              <w:rPr>
                <w:rFonts w:hint="eastAsia" w:ascii="宋体" w:hAnsi="宋体" w:eastAsia="宋体" w:cs="宋体"/>
                <w:color w:val="000000" w:themeColor="text1"/>
                <w:spacing w:val="0"/>
                <w:kern w:val="0"/>
                <w:sz w:val="21"/>
                <w:szCs w:val="21"/>
                <w:lang w:val="en-US" w:eastAsia="zh-CN" w:bidi="ar-SA"/>
              </w:rPr>
              <w:t>-</w:t>
            </w:r>
            <w:r>
              <w:rPr>
                <w:rFonts w:hint="eastAsia" w:ascii="宋体" w:hAnsi="宋体" w:cs="宋体"/>
                <w:color w:val="000000" w:themeColor="text1"/>
                <w:spacing w:val="0"/>
                <w:kern w:val="0"/>
                <w:sz w:val="21"/>
                <w:szCs w:val="21"/>
                <w:lang w:val="en-US" w:eastAsia="zh-CN" w:bidi="ar-SA"/>
              </w:rPr>
              <w:t>5</w:t>
            </w:r>
            <w:r>
              <w:rPr>
                <w:rFonts w:hint="eastAsia" w:ascii="宋体" w:hAnsi="宋体" w:eastAsia="宋体" w:cs="宋体"/>
                <w:color w:val="000000" w:themeColor="text1"/>
                <w:spacing w:val="0"/>
                <w:kern w:val="0"/>
                <w:sz w:val="21"/>
                <w:szCs w:val="21"/>
                <w:lang w:val="en-US" w:eastAsia="zh-CN" w:bidi="ar-SA"/>
              </w:rPr>
              <w:t>分；基本</w:t>
            </w:r>
            <w:r>
              <w:rPr>
                <w:rFonts w:hint="eastAsia" w:ascii="宋体" w:hAnsi="宋体" w:cs="宋体"/>
                <w:color w:val="000000" w:themeColor="text1"/>
                <w:spacing w:val="0"/>
                <w:kern w:val="0"/>
                <w:sz w:val="21"/>
                <w:szCs w:val="21"/>
                <w:lang w:val="en-US" w:eastAsia="zh-CN" w:bidi="ar-SA"/>
              </w:rPr>
              <w:t>可行的：1</w:t>
            </w:r>
            <w:r>
              <w:rPr>
                <w:rFonts w:hint="eastAsia" w:ascii="宋体" w:hAnsi="宋体" w:eastAsia="宋体" w:cs="宋体"/>
                <w:color w:val="000000" w:themeColor="text1"/>
                <w:spacing w:val="0"/>
                <w:kern w:val="0"/>
                <w:sz w:val="21"/>
                <w:szCs w:val="21"/>
                <w:lang w:val="en-US" w:eastAsia="zh-CN" w:bidi="ar-SA"/>
              </w:rPr>
              <w:t>-</w:t>
            </w:r>
            <w:r>
              <w:rPr>
                <w:rFonts w:hint="eastAsia" w:ascii="宋体" w:hAnsi="宋体" w:cs="宋体"/>
                <w:color w:val="000000" w:themeColor="text1"/>
                <w:spacing w:val="0"/>
                <w:kern w:val="0"/>
                <w:sz w:val="21"/>
                <w:szCs w:val="21"/>
                <w:lang w:val="en-US" w:eastAsia="zh-CN" w:bidi="ar-SA"/>
              </w:rPr>
              <w:t>3</w:t>
            </w:r>
            <w:r>
              <w:rPr>
                <w:rFonts w:hint="eastAsia" w:ascii="宋体" w:hAnsi="宋体" w:eastAsia="宋体" w:cs="宋体"/>
                <w:color w:val="000000" w:themeColor="text1"/>
                <w:spacing w:val="0"/>
                <w:kern w:val="0"/>
                <w:sz w:val="21"/>
                <w:szCs w:val="21"/>
                <w:lang w:val="en-US" w:eastAsia="zh-CN" w:bidi="ar-SA"/>
              </w:rPr>
              <w:t>分；</w:t>
            </w:r>
            <w:r>
              <w:rPr>
                <w:rFonts w:hint="eastAsia" w:ascii="宋体" w:hAnsi="宋体" w:cs="宋体"/>
                <w:color w:val="000000" w:themeColor="text1"/>
                <w:spacing w:val="0"/>
                <w:kern w:val="0"/>
                <w:sz w:val="21"/>
                <w:szCs w:val="21"/>
                <w:lang w:val="en-US" w:eastAsia="zh-CN" w:bidi="ar-SA"/>
              </w:rPr>
              <w:t>缺项的：</w:t>
            </w:r>
            <w:r>
              <w:rPr>
                <w:rFonts w:hint="eastAsia" w:ascii="宋体" w:hAnsi="宋体" w:eastAsia="宋体" w:cs="宋体"/>
                <w:color w:val="000000" w:themeColor="text1"/>
                <w:spacing w:val="0"/>
                <w:kern w:val="0"/>
                <w:sz w:val="21"/>
                <w:szCs w:val="21"/>
                <w:lang w:val="en-US" w:eastAsia="zh-CN" w:bidi="ar-SA"/>
              </w:rPr>
              <w:t>0分</w:t>
            </w:r>
            <w:r>
              <w:rPr>
                <w:rFonts w:hint="eastAsia" w:ascii="宋体" w:hAnsi="宋体" w:cs="宋体"/>
                <w:color w:val="000000" w:themeColor="text1"/>
                <w:spacing w:val="0"/>
                <w:kern w:val="0"/>
                <w:sz w:val="21"/>
                <w:szCs w:val="21"/>
                <w:lang w:val="en-US" w:eastAsia="zh-CN" w:bidi="ar-SA"/>
              </w:rPr>
              <w:t>。</w:t>
            </w:r>
          </w:p>
        </w:tc>
        <w:tc>
          <w:tcPr>
            <w:tcW w:w="664" w:type="dxa"/>
            <w:tcBorders>
              <w:tl2br w:val="nil"/>
              <w:tr2bl w:val="nil"/>
            </w:tcBorders>
            <w:vAlign w:val="center"/>
          </w:tcPr>
          <w:p>
            <w:pPr>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trPr>
        <w:tc>
          <w:tcPr>
            <w:tcW w:w="538" w:type="dxa"/>
            <w:vMerge w:val="continue"/>
            <w:tcBorders>
              <w:tl2br w:val="nil"/>
              <w:tr2bl w:val="nil"/>
            </w:tcBorders>
            <w:vAlign w:val="center"/>
          </w:tcPr>
          <w:p>
            <w:pPr>
              <w:jc w:val="center"/>
              <w:rPr>
                <w:rFonts w:ascii="宋体" w:hAnsi="宋体"/>
                <w:szCs w:val="21"/>
              </w:rPr>
            </w:pPr>
          </w:p>
        </w:tc>
        <w:tc>
          <w:tcPr>
            <w:tcW w:w="1263" w:type="dxa"/>
            <w:vMerge w:val="continue"/>
            <w:tcBorders>
              <w:tl2br w:val="nil"/>
              <w:tr2bl w:val="nil"/>
            </w:tcBorders>
            <w:vAlign w:val="center"/>
          </w:tcPr>
          <w:p>
            <w:pPr>
              <w:jc w:val="center"/>
              <w:rPr>
                <w:rFonts w:ascii="宋体" w:hAnsi="宋体"/>
                <w:color w:val="000000" w:themeColor="text1"/>
                <w:szCs w:val="21"/>
              </w:rPr>
            </w:pPr>
          </w:p>
        </w:tc>
        <w:tc>
          <w:tcPr>
            <w:tcW w:w="894" w:type="dxa"/>
            <w:vMerge w:val="continue"/>
            <w:tcBorders>
              <w:tl2br w:val="nil"/>
              <w:tr2bl w:val="nil"/>
            </w:tcBorders>
            <w:vAlign w:val="center"/>
          </w:tcPr>
          <w:p>
            <w:pPr>
              <w:jc w:val="center"/>
              <w:rPr>
                <w:rFonts w:ascii="宋体" w:hAnsi="宋体"/>
                <w:color w:val="000000" w:themeColor="text1"/>
                <w:szCs w:val="21"/>
              </w:rPr>
            </w:pPr>
          </w:p>
        </w:tc>
        <w:tc>
          <w:tcPr>
            <w:tcW w:w="6775" w:type="dxa"/>
            <w:tcBorders>
              <w:tl2br w:val="nil"/>
              <w:tr2bl w:val="nil"/>
            </w:tcBorders>
            <w:vAlign w:val="center"/>
          </w:tcPr>
          <w:p>
            <w:pPr>
              <w:rPr>
                <w:rFonts w:hint="eastAsia" w:ascii="宋体" w:hAnsi="宋体" w:eastAsia="宋体" w:cs="宋体"/>
                <w:color w:val="000000" w:themeColor="text1"/>
                <w:spacing w:val="0"/>
                <w:kern w:val="0"/>
                <w:sz w:val="21"/>
                <w:szCs w:val="21"/>
                <w:lang w:val="en-US" w:eastAsia="zh-CN" w:bidi="ar-SA"/>
              </w:rPr>
            </w:pPr>
            <w:r>
              <w:rPr>
                <w:rFonts w:hint="eastAsia" w:ascii="宋体" w:hAnsi="宋体" w:cs="宋体"/>
                <w:color w:val="000000" w:themeColor="text1"/>
                <w:spacing w:val="0"/>
                <w:kern w:val="0"/>
                <w:sz w:val="21"/>
                <w:szCs w:val="21"/>
                <w:lang w:val="en-US" w:eastAsia="zh-CN" w:bidi="ar-SA"/>
              </w:rPr>
              <w:t>4.安全文明施工和环境保护措施合理的：1-</w:t>
            </w:r>
            <w:r>
              <w:rPr>
                <w:rFonts w:hint="eastAsia" w:ascii="宋体" w:hAnsi="宋体" w:eastAsia="宋体" w:cs="宋体"/>
                <w:color w:val="000000" w:themeColor="text1"/>
                <w:spacing w:val="0"/>
                <w:kern w:val="0"/>
                <w:sz w:val="21"/>
                <w:szCs w:val="21"/>
                <w:lang w:val="en-US" w:eastAsia="zh-CN" w:bidi="ar-SA"/>
              </w:rPr>
              <w:t>2分；基本合理</w:t>
            </w:r>
            <w:r>
              <w:rPr>
                <w:rFonts w:hint="eastAsia" w:ascii="宋体" w:hAnsi="宋体" w:cs="宋体"/>
                <w:color w:val="000000" w:themeColor="text1"/>
                <w:spacing w:val="0"/>
                <w:kern w:val="0"/>
                <w:sz w:val="21"/>
                <w:szCs w:val="21"/>
                <w:lang w:val="en-US" w:eastAsia="zh-CN" w:bidi="ar-SA"/>
              </w:rPr>
              <w:t>的：</w:t>
            </w:r>
            <w:r>
              <w:rPr>
                <w:rFonts w:hint="eastAsia" w:ascii="宋体" w:hAnsi="宋体" w:eastAsia="宋体" w:cs="宋体"/>
                <w:color w:val="000000" w:themeColor="text1"/>
                <w:spacing w:val="0"/>
                <w:kern w:val="0"/>
                <w:sz w:val="21"/>
                <w:szCs w:val="21"/>
                <w:lang w:val="en-US" w:eastAsia="zh-CN" w:bidi="ar-SA"/>
              </w:rPr>
              <w:t>1分；</w:t>
            </w:r>
            <w:r>
              <w:rPr>
                <w:rFonts w:hint="eastAsia" w:ascii="宋体" w:hAnsi="宋体" w:cs="宋体"/>
                <w:color w:val="000000" w:themeColor="text1"/>
                <w:spacing w:val="0"/>
                <w:kern w:val="0"/>
                <w:sz w:val="21"/>
                <w:szCs w:val="21"/>
                <w:lang w:val="en-US" w:eastAsia="zh-CN" w:bidi="ar-SA"/>
              </w:rPr>
              <w:t>缺项的：</w:t>
            </w:r>
            <w:r>
              <w:rPr>
                <w:rFonts w:hint="eastAsia" w:ascii="宋体" w:hAnsi="宋体" w:eastAsia="宋体" w:cs="宋体"/>
                <w:color w:val="000000" w:themeColor="text1"/>
                <w:spacing w:val="0"/>
                <w:kern w:val="0"/>
                <w:sz w:val="21"/>
                <w:szCs w:val="21"/>
                <w:lang w:val="en-US" w:eastAsia="zh-CN" w:bidi="ar-SA"/>
              </w:rPr>
              <w:t>0分</w:t>
            </w:r>
            <w:r>
              <w:rPr>
                <w:rFonts w:hint="eastAsia" w:ascii="宋体" w:hAnsi="宋体" w:cs="宋体"/>
                <w:color w:val="000000" w:themeColor="text1"/>
                <w:spacing w:val="0"/>
                <w:kern w:val="0"/>
                <w:sz w:val="21"/>
                <w:szCs w:val="21"/>
                <w:lang w:val="en-US" w:eastAsia="zh-CN" w:bidi="ar-SA"/>
              </w:rPr>
              <w:t>。</w:t>
            </w:r>
          </w:p>
        </w:tc>
        <w:tc>
          <w:tcPr>
            <w:tcW w:w="664" w:type="dxa"/>
            <w:tcBorders>
              <w:tl2br w:val="nil"/>
              <w:tr2bl w:val="nil"/>
            </w:tcBorders>
            <w:vAlign w:val="center"/>
          </w:tcPr>
          <w:p>
            <w:pPr>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trPr>
        <w:tc>
          <w:tcPr>
            <w:tcW w:w="538" w:type="dxa"/>
            <w:vMerge w:val="continue"/>
            <w:tcBorders>
              <w:tl2br w:val="nil"/>
              <w:tr2bl w:val="nil"/>
            </w:tcBorders>
            <w:vAlign w:val="center"/>
          </w:tcPr>
          <w:p>
            <w:pPr>
              <w:jc w:val="center"/>
              <w:rPr>
                <w:rFonts w:ascii="宋体" w:hAnsi="宋体"/>
                <w:szCs w:val="21"/>
              </w:rPr>
            </w:pPr>
          </w:p>
        </w:tc>
        <w:tc>
          <w:tcPr>
            <w:tcW w:w="1263" w:type="dxa"/>
            <w:vMerge w:val="continue"/>
            <w:tcBorders>
              <w:tl2br w:val="nil"/>
              <w:tr2bl w:val="nil"/>
            </w:tcBorders>
            <w:vAlign w:val="center"/>
          </w:tcPr>
          <w:p>
            <w:pPr>
              <w:jc w:val="center"/>
              <w:rPr>
                <w:rFonts w:ascii="宋体" w:hAnsi="宋体"/>
                <w:color w:val="000000" w:themeColor="text1"/>
                <w:szCs w:val="21"/>
              </w:rPr>
            </w:pPr>
          </w:p>
        </w:tc>
        <w:tc>
          <w:tcPr>
            <w:tcW w:w="894" w:type="dxa"/>
            <w:vMerge w:val="continue"/>
            <w:tcBorders>
              <w:tl2br w:val="nil"/>
              <w:tr2bl w:val="nil"/>
            </w:tcBorders>
            <w:vAlign w:val="center"/>
          </w:tcPr>
          <w:p>
            <w:pPr>
              <w:jc w:val="center"/>
              <w:rPr>
                <w:rFonts w:ascii="宋体" w:hAnsi="宋体"/>
                <w:color w:val="000000" w:themeColor="text1"/>
                <w:szCs w:val="21"/>
              </w:rPr>
            </w:pPr>
          </w:p>
        </w:tc>
        <w:tc>
          <w:tcPr>
            <w:tcW w:w="6775" w:type="dxa"/>
            <w:tcBorders>
              <w:tl2br w:val="nil"/>
              <w:tr2bl w:val="nil"/>
            </w:tcBorders>
            <w:vAlign w:val="center"/>
          </w:tcPr>
          <w:p>
            <w:pPr>
              <w:rPr>
                <w:rFonts w:hint="eastAsia" w:ascii="宋体" w:hAnsi="宋体" w:eastAsia="宋体" w:cs="宋体"/>
                <w:color w:val="000000" w:themeColor="text1"/>
                <w:spacing w:val="0"/>
                <w:kern w:val="0"/>
                <w:sz w:val="21"/>
                <w:szCs w:val="21"/>
                <w:lang w:val="en-US" w:eastAsia="zh-CN" w:bidi="ar-SA"/>
              </w:rPr>
            </w:pPr>
            <w:r>
              <w:rPr>
                <w:rFonts w:hint="eastAsia" w:ascii="宋体" w:hAnsi="宋体" w:cs="宋体"/>
                <w:color w:val="000000" w:themeColor="text1"/>
                <w:spacing w:val="0"/>
                <w:kern w:val="0"/>
                <w:sz w:val="21"/>
                <w:szCs w:val="21"/>
                <w:lang w:val="en-US" w:eastAsia="zh-CN" w:bidi="ar-SA"/>
              </w:rPr>
              <w:t>5.劳动力、材料投入计划及保证措施、机械设备投入计划详尽的：2</w:t>
            </w:r>
            <w:r>
              <w:rPr>
                <w:rFonts w:hint="eastAsia" w:ascii="宋体" w:hAnsi="宋体" w:eastAsia="宋体" w:cs="宋体"/>
                <w:color w:val="000000" w:themeColor="text1"/>
                <w:spacing w:val="0"/>
                <w:kern w:val="0"/>
                <w:sz w:val="21"/>
                <w:szCs w:val="21"/>
                <w:lang w:val="en-US" w:eastAsia="zh-CN" w:bidi="ar-SA"/>
              </w:rPr>
              <w:t>-</w:t>
            </w:r>
            <w:r>
              <w:rPr>
                <w:rFonts w:hint="eastAsia" w:ascii="宋体" w:hAnsi="宋体" w:cs="宋体"/>
                <w:color w:val="000000" w:themeColor="text1"/>
                <w:spacing w:val="0"/>
                <w:kern w:val="0"/>
                <w:sz w:val="21"/>
                <w:szCs w:val="21"/>
                <w:lang w:val="en-US" w:eastAsia="zh-CN" w:bidi="ar-SA"/>
              </w:rPr>
              <w:t>3</w:t>
            </w:r>
            <w:r>
              <w:rPr>
                <w:rFonts w:hint="eastAsia" w:ascii="宋体" w:hAnsi="宋体" w:eastAsia="宋体" w:cs="宋体"/>
                <w:color w:val="000000" w:themeColor="text1"/>
                <w:spacing w:val="0"/>
                <w:kern w:val="0"/>
                <w:sz w:val="21"/>
                <w:szCs w:val="21"/>
                <w:lang w:val="en-US" w:eastAsia="zh-CN" w:bidi="ar-SA"/>
              </w:rPr>
              <w:t>分；</w:t>
            </w:r>
            <w:r>
              <w:rPr>
                <w:rFonts w:hint="eastAsia" w:ascii="宋体" w:hAnsi="宋体" w:cs="宋体"/>
                <w:color w:val="000000" w:themeColor="text1"/>
                <w:spacing w:val="0"/>
                <w:kern w:val="0"/>
                <w:sz w:val="21"/>
                <w:szCs w:val="21"/>
                <w:lang w:val="en-US" w:eastAsia="zh-CN" w:bidi="ar-SA"/>
              </w:rPr>
              <w:t>计划粗略的：1</w:t>
            </w:r>
            <w:r>
              <w:rPr>
                <w:rFonts w:hint="eastAsia" w:ascii="宋体" w:hAnsi="宋体" w:eastAsia="宋体" w:cs="宋体"/>
                <w:color w:val="000000" w:themeColor="text1"/>
                <w:spacing w:val="0"/>
                <w:kern w:val="0"/>
                <w:sz w:val="21"/>
                <w:szCs w:val="21"/>
                <w:lang w:val="en-US" w:eastAsia="zh-CN" w:bidi="ar-SA"/>
              </w:rPr>
              <w:t>-</w:t>
            </w:r>
            <w:r>
              <w:rPr>
                <w:rFonts w:hint="eastAsia" w:ascii="宋体" w:hAnsi="宋体" w:cs="宋体"/>
                <w:color w:val="000000" w:themeColor="text1"/>
                <w:spacing w:val="0"/>
                <w:kern w:val="0"/>
                <w:sz w:val="21"/>
                <w:szCs w:val="21"/>
                <w:lang w:val="en-US" w:eastAsia="zh-CN" w:bidi="ar-SA"/>
              </w:rPr>
              <w:t>2</w:t>
            </w:r>
            <w:r>
              <w:rPr>
                <w:rFonts w:hint="eastAsia" w:ascii="宋体" w:hAnsi="宋体" w:eastAsia="宋体" w:cs="宋体"/>
                <w:color w:val="000000" w:themeColor="text1"/>
                <w:spacing w:val="0"/>
                <w:kern w:val="0"/>
                <w:sz w:val="21"/>
                <w:szCs w:val="21"/>
                <w:lang w:val="en-US" w:eastAsia="zh-CN" w:bidi="ar-SA"/>
              </w:rPr>
              <w:t>分；</w:t>
            </w:r>
            <w:r>
              <w:rPr>
                <w:rFonts w:hint="eastAsia" w:ascii="宋体" w:hAnsi="宋体" w:cs="宋体"/>
                <w:color w:val="000000" w:themeColor="text1"/>
                <w:spacing w:val="0"/>
                <w:kern w:val="0"/>
                <w:sz w:val="21"/>
                <w:szCs w:val="21"/>
                <w:lang w:val="en-US" w:eastAsia="zh-CN" w:bidi="ar-SA"/>
              </w:rPr>
              <w:t>缺项的：</w:t>
            </w:r>
            <w:r>
              <w:rPr>
                <w:rFonts w:hint="eastAsia" w:ascii="宋体" w:hAnsi="宋体" w:eastAsia="宋体" w:cs="宋体"/>
                <w:color w:val="000000" w:themeColor="text1"/>
                <w:spacing w:val="0"/>
                <w:kern w:val="0"/>
                <w:sz w:val="21"/>
                <w:szCs w:val="21"/>
                <w:lang w:val="en-US" w:eastAsia="zh-CN" w:bidi="ar-SA"/>
              </w:rPr>
              <w:t>0分</w:t>
            </w:r>
            <w:r>
              <w:rPr>
                <w:rFonts w:hint="eastAsia" w:ascii="宋体" w:hAnsi="宋体" w:cs="宋体"/>
                <w:color w:val="000000" w:themeColor="text1"/>
                <w:spacing w:val="0"/>
                <w:kern w:val="0"/>
                <w:sz w:val="21"/>
                <w:szCs w:val="21"/>
                <w:lang w:val="en-US" w:eastAsia="zh-CN" w:bidi="ar-SA"/>
              </w:rPr>
              <w:t>。</w:t>
            </w:r>
          </w:p>
        </w:tc>
        <w:tc>
          <w:tcPr>
            <w:tcW w:w="664" w:type="dxa"/>
            <w:tcBorders>
              <w:tl2br w:val="nil"/>
              <w:tr2bl w:val="nil"/>
            </w:tcBorders>
            <w:vAlign w:val="center"/>
          </w:tcPr>
          <w:p>
            <w:pPr>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538" w:type="dxa"/>
            <w:vMerge w:val="continue"/>
            <w:tcBorders>
              <w:tl2br w:val="nil"/>
              <w:tr2bl w:val="nil"/>
            </w:tcBorders>
            <w:vAlign w:val="center"/>
          </w:tcPr>
          <w:p>
            <w:pPr>
              <w:jc w:val="center"/>
              <w:rPr>
                <w:rFonts w:ascii="宋体" w:hAnsi="宋体"/>
                <w:szCs w:val="21"/>
              </w:rPr>
            </w:pPr>
          </w:p>
        </w:tc>
        <w:tc>
          <w:tcPr>
            <w:tcW w:w="1263" w:type="dxa"/>
            <w:vMerge w:val="continue"/>
            <w:tcBorders>
              <w:tl2br w:val="nil"/>
              <w:tr2bl w:val="nil"/>
            </w:tcBorders>
            <w:vAlign w:val="center"/>
          </w:tcPr>
          <w:p>
            <w:pPr>
              <w:jc w:val="center"/>
              <w:rPr>
                <w:rFonts w:ascii="宋体" w:hAnsi="宋体"/>
                <w:color w:val="000000" w:themeColor="text1"/>
                <w:szCs w:val="21"/>
              </w:rPr>
            </w:pPr>
          </w:p>
        </w:tc>
        <w:tc>
          <w:tcPr>
            <w:tcW w:w="894" w:type="dxa"/>
            <w:vMerge w:val="continue"/>
            <w:tcBorders>
              <w:tl2br w:val="nil"/>
              <w:tr2bl w:val="nil"/>
            </w:tcBorders>
            <w:vAlign w:val="center"/>
          </w:tcPr>
          <w:p>
            <w:pPr>
              <w:jc w:val="center"/>
              <w:rPr>
                <w:rFonts w:ascii="宋体" w:hAnsi="宋体"/>
                <w:color w:val="000000" w:themeColor="text1"/>
                <w:szCs w:val="21"/>
              </w:rPr>
            </w:pPr>
          </w:p>
        </w:tc>
        <w:tc>
          <w:tcPr>
            <w:tcW w:w="6775" w:type="dxa"/>
            <w:tcBorders>
              <w:tl2br w:val="nil"/>
              <w:tr2bl w:val="nil"/>
            </w:tcBorders>
            <w:vAlign w:val="center"/>
          </w:tcPr>
          <w:p>
            <w:pPr>
              <w:rPr>
                <w:rFonts w:hint="eastAsia" w:ascii="宋体" w:hAnsi="宋体" w:eastAsia="宋体" w:cs="宋体"/>
                <w:color w:val="000000" w:themeColor="text1"/>
                <w:spacing w:val="0"/>
                <w:kern w:val="0"/>
                <w:sz w:val="21"/>
                <w:szCs w:val="21"/>
                <w:lang w:val="en-US" w:eastAsia="zh-CN" w:bidi="ar-SA"/>
              </w:rPr>
            </w:pPr>
            <w:r>
              <w:rPr>
                <w:rFonts w:hint="eastAsia" w:ascii="宋体" w:hAnsi="宋体" w:cs="宋体"/>
                <w:color w:val="000000" w:themeColor="text1"/>
                <w:spacing w:val="0"/>
                <w:kern w:val="0"/>
                <w:sz w:val="21"/>
                <w:szCs w:val="21"/>
                <w:lang w:val="en-US" w:eastAsia="zh-CN" w:bidi="ar-SA"/>
              </w:rPr>
              <w:t>6.针对项目实际情况，关键施工技术、工艺及工程项目实施的重点、难点分析和解决方案可行性好的：2</w:t>
            </w:r>
            <w:r>
              <w:rPr>
                <w:rFonts w:hint="eastAsia" w:ascii="宋体" w:hAnsi="宋体" w:eastAsia="宋体" w:cs="宋体"/>
                <w:color w:val="000000" w:themeColor="text1"/>
                <w:spacing w:val="0"/>
                <w:kern w:val="0"/>
                <w:sz w:val="21"/>
                <w:szCs w:val="21"/>
                <w:lang w:val="en-US" w:eastAsia="zh-CN" w:bidi="ar-SA"/>
              </w:rPr>
              <w:t>-</w:t>
            </w:r>
            <w:r>
              <w:rPr>
                <w:rFonts w:hint="eastAsia" w:ascii="宋体" w:hAnsi="宋体" w:cs="宋体"/>
                <w:color w:val="000000" w:themeColor="text1"/>
                <w:spacing w:val="0"/>
                <w:kern w:val="0"/>
                <w:sz w:val="21"/>
                <w:szCs w:val="21"/>
                <w:lang w:val="en-US" w:eastAsia="zh-CN" w:bidi="ar-SA"/>
              </w:rPr>
              <w:t>3</w:t>
            </w:r>
            <w:r>
              <w:rPr>
                <w:rFonts w:hint="eastAsia" w:ascii="宋体" w:hAnsi="宋体" w:eastAsia="宋体" w:cs="宋体"/>
                <w:color w:val="000000" w:themeColor="text1"/>
                <w:spacing w:val="0"/>
                <w:kern w:val="0"/>
                <w:sz w:val="21"/>
                <w:szCs w:val="21"/>
                <w:lang w:val="en-US" w:eastAsia="zh-CN" w:bidi="ar-SA"/>
              </w:rPr>
              <w:t>分；</w:t>
            </w:r>
            <w:r>
              <w:rPr>
                <w:rFonts w:hint="eastAsia" w:ascii="宋体" w:hAnsi="宋体" w:cs="宋体"/>
                <w:color w:val="000000" w:themeColor="text1"/>
                <w:spacing w:val="0"/>
                <w:kern w:val="0"/>
                <w:sz w:val="21"/>
                <w:szCs w:val="21"/>
                <w:lang w:val="en-US" w:eastAsia="zh-CN" w:bidi="ar-SA"/>
              </w:rPr>
              <w:t>较好的1</w:t>
            </w:r>
            <w:r>
              <w:rPr>
                <w:rFonts w:hint="eastAsia" w:ascii="宋体" w:hAnsi="宋体" w:eastAsia="宋体" w:cs="宋体"/>
                <w:color w:val="000000" w:themeColor="text1"/>
                <w:spacing w:val="0"/>
                <w:kern w:val="0"/>
                <w:sz w:val="21"/>
                <w:szCs w:val="21"/>
                <w:lang w:val="en-US" w:eastAsia="zh-CN" w:bidi="ar-SA"/>
              </w:rPr>
              <w:t>-</w:t>
            </w:r>
            <w:r>
              <w:rPr>
                <w:rFonts w:hint="eastAsia" w:ascii="宋体" w:hAnsi="宋体" w:cs="宋体"/>
                <w:color w:val="000000" w:themeColor="text1"/>
                <w:spacing w:val="0"/>
                <w:kern w:val="0"/>
                <w:sz w:val="21"/>
                <w:szCs w:val="21"/>
                <w:lang w:val="en-US" w:eastAsia="zh-CN" w:bidi="ar-SA"/>
              </w:rPr>
              <w:t>2</w:t>
            </w:r>
            <w:r>
              <w:rPr>
                <w:rFonts w:hint="eastAsia" w:ascii="宋体" w:hAnsi="宋体" w:eastAsia="宋体" w:cs="宋体"/>
                <w:color w:val="000000" w:themeColor="text1"/>
                <w:spacing w:val="0"/>
                <w:kern w:val="0"/>
                <w:sz w:val="21"/>
                <w:szCs w:val="21"/>
                <w:lang w:val="en-US" w:eastAsia="zh-CN" w:bidi="ar-SA"/>
              </w:rPr>
              <w:t>分；</w:t>
            </w:r>
            <w:r>
              <w:rPr>
                <w:rFonts w:hint="eastAsia" w:ascii="宋体" w:hAnsi="宋体" w:cs="宋体"/>
                <w:color w:val="000000" w:themeColor="text1"/>
                <w:spacing w:val="0"/>
                <w:kern w:val="0"/>
                <w:sz w:val="21"/>
                <w:szCs w:val="21"/>
                <w:lang w:val="en-US" w:eastAsia="zh-CN" w:bidi="ar-SA"/>
              </w:rPr>
              <w:t>缺项的：</w:t>
            </w:r>
            <w:r>
              <w:rPr>
                <w:rFonts w:hint="eastAsia" w:ascii="宋体" w:hAnsi="宋体" w:eastAsia="宋体" w:cs="宋体"/>
                <w:color w:val="000000" w:themeColor="text1"/>
                <w:spacing w:val="0"/>
                <w:kern w:val="0"/>
                <w:sz w:val="21"/>
                <w:szCs w:val="21"/>
                <w:lang w:val="en-US" w:eastAsia="zh-CN" w:bidi="ar-SA"/>
              </w:rPr>
              <w:t>0分</w:t>
            </w:r>
            <w:r>
              <w:rPr>
                <w:rFonts w:hint="eastAsia" w:ascii="宋体" w:hAnsi="宋体" w:cs="宋体"/>
                <w:color w:val="000000" w:themeColor="text1"/>
                <w:spacing w:val="0"/>
                <w:kern w:val="0"/>
                <w:sz w:val="21"/>
                <w:szCs w:val="21"/>
                <w:lang w:val="en-US" w:eastAsia="zh-CN" w:bidi="ar-SA"/>
              </w:rPr>
              <w:t>。</w:t>
            </w:r>
          </w:p>
        </w:tc>
        <w:tc>
          <w:tcPr>
            <w:tcW w:w="664" w:type="dxa"/>
            <w:tcBorders>
              <w:tl2br w:val="nil"/>
              <w:tr2bl w:val="nil"/>
            </w:tcBorders>
            <w:vAlign w:val="center"/>
          </w:tcPr>
          <w:p>
            <w:pPr>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538" w:type="dxa"/>
            <w:vMerge w:val="continue"/>
            <w:tcBorders>
              <w:tl2br w:val="nil"/>
              <w:tr2bl w:val="nil"/>
            </w:tcBorders>
            <w:vAlign w:val="center"/>
          </w:tcPr>
          <w:p>
            <w:pPr>
              <w:jc w:val="center"/>
              <w:rPr>
                <w:rFonts w:ascii="宋体" w:hAnsi="宋体"/>
                <w:szCs w:val="21"/>
              </w:rPr>
            </w:pPr>
          </w:p>
        </w:tc>
        <w:tc>
          <w:tcPr>
            <w:tcW w:w="1263" w:type="dxa"/>
            <w:vMerge w:val="continue"/>
            <w:tcBorders>
              <w:tl2br w:val="nil"/>
              <w:tr2bl w:val="nil"/>
            </w:tcBorders>
            <w:vAlign w:val="center"/>
          </w:tcPr>
          <w:p>
            <w:pPr>
              <w:jc w:val="center"/>
              <w:rPr>
                <w:rFonts w:ascii="宋体" w:hAnsi="宋体"/>
                <w:color w:val="000000" w:themeColor="text1"/>
                <w:szCs w:val="21"/>
              </w:rPr>
            </w:pPr>
          </w:p>
        </w:tc>
        <w:tc>
          <w:tcPr>
            <w:tcW w:w="894" w:type="dxa"/>
            <w:vMerge w:val="continue"/>
            <w:tcBorders>
              <w:tl2br w:val="nil"/>
              <w:tr2bl w:val="nil"/>
            </w:tcBorders>
            <w:vAlign w:val="center"/>
          </w:tcPr>
          <w:p>
            <w:pPr>
              <w:jc w:val="center"/>
              <w:rPr>
                <w:rFonts w:ascii="宋体" w:hAnsi="宋体"/>
                <w:color w:val="000000" w:themeColor="text1"/>
                <w:szCs w:val="21"/>
              </w:rPr>
            </w:pPr>
          </w:p>
        </w:tc>
        <w:tc>
          <w:tcPr>
            <w:tcW w:w="6775" w:type="dxa"/>
            <w:tcBorders>
              <w:tl2br w:val="nil"/>
              <w:tr2bl w:val="nil"/>
            </w:tcBorders>
            <w:vAlign w:val="center"/>
          </w:tcPr>
          <w:p>
            <w:pPr>
              <w:pStyle w:val="229"/>
              <w:keepNext w:val="0"/>
              <w:keepLines w:val="0"/>
              <w:pageBreakBefore w:val="0"/>
              <w:widowControl w:val="0"/>
              <w:kinsoku/>
              <w:wordWrap/>
              <w:overflowPunct/>
              <w:topLinePunct w:val="0"/>
              <w:autoSpaceDE/>
              <w:autoSpaceDN/>
              <w:bidi w:val="0"/>
              <w:adjustRightInd/>
              <w:snapToGrid/>
              <w:ind w:right="-17"/>
              <w:jc w:val="both"/>
              <w:textAlignment w:val="auto"/>
              <w:rPr>
                <w:rFonts w:hint="eastAsia" w:ascii="宋体" w:hAnsi="宋体" w:eastAsia="宋体" w:cs="宋体"/>
                <w:color w:val="000000" w:themeColor="text1"/>
                <w:spacing w:val="0"/>
                <w:sz w:val="21"/>
                <w:szCs w:val="21"/>
                <w:lang w:val="en-US" w:eastAsia="zh-CN"/>
              </w:rPr>
            </w:pPr>
            <w:r>
              <w:rPr>
                <w:rFonts w:hint="eastAsia" w:ascii="宋体" w:hAnsi="宋体" w:eastAsia="宋体" w:cs="宋体"/>
                <w:color w:val="000000" w:themeColor="text1"/>
                <w:spacing w:val="0"/>
                <w:sz w:val="21"/>
                <w:szCs w:val="21"/>
                <w:lang w:val="en-US" w:eastAsia="zh-CN"/>
              </w:rPr>
              <w:t>7.特殊情况下得施工措施考虑的到位的：1-2分；基本到位的：1分；</w:t>
            </w:r>
            <w:r>
              <w:rPr>
                <w:rFonts w:hint="eastAsia" w:ascii="宋体" w:hAnsi="宋体" w:cs="宋体"/>
                <w:color w:val="000000" w:themeColor="text1"/>
                <w:spacing w:val="0"/>
                <w:kern w:val="0"/>
                <w:sz w:val="21"/>
                <w:szCs w:val="21"/>
                <w:lang w:val="en-US" w:eastAsia="zh-CN" w:bidi="ar-SA"/>
              </w:rPr>
              <w:t>缺项的：</w:t>
            </w:r>
            <w:r>
              <w:rPr>
                <w:rFonts w:hint="eastAsia" w:ascii="宋体" w:hAnsi="宋体" w:eastAsia="宋体" w:cs="宋体"/>
                <w:color w:val="000000" w:themeColor="text1"/>
                <w:spacing w:val="0"/>
                <w:sz w:val="21"/>
                <w:szCs w:val="21"/>
                <w:lang w:val="en-US" w:eastAsia="zh-CN"/>
              </w:rPr>
              <w:t>0分。</w:t>
            </w:r>
          </w:p>
        </w:tc>
        <w:tc>
          <w:tcPr>
            <w:tcW w:w="664" w:type="dxa"/>
            <w:tcBorders>
              <w:tl2br w:val="nil"/>
              <w:tr2bl w:val="nil"/>
            </w:tcBorders>
            <w:vAlign w:val="center"/>
          </w:tcPr>
          <w:p>
            <w:pPr>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538" w:type="dxa"/>
            <w:vMerge w:val="continue"/>
            <w:tcBorders>
              <w:tl2br w:val="nil"/>
              <w:tr2bl w:val="nil"/>
            </w:tcBorders>
            <w:vAlign w:val="center"/>
          </w:tcPr>
          <w:p>
            <w:pPr>
              <w:jc w:val="center"/>
              <w:rPr>
                <w:rFonts w:ascii="宋体" w:hAnsi="宋体"/>
                <w:szCs w:val="21"/>
              </w:rPr>
            </w:pPr>
          </w:p>
        </w:tc>
        <w:tc>
          <w:tcPr>
            <w:tcW w:w="1263" w:type="dxa"/>
            <w:vMerge w:val="continue"/>
            <w:tcBorders>
              <w:tl2br w:val="nil"/>
              <w:tr2bl w:val="nil"/>
            </w:tcBorders>
            <w:vAlign w:val="center"/>
          </w:tcPr>
          <w:p>
            <w:pPr>
              <w:jc w:val="center"/>
              <w:rPr>
                <w:rFonts w:ascii="宋体" w:hAnsi="宋体"/>
                <w:color w:val="000000" w:themeColor="text1"/>
                <w:szCs w:val="21"/>
              </w:rPr>
            </w:pPr>
          </w:p>
        </w:tc>
        <w:tc>
          <w:tcPr>
            <w:tcW w:w="894" w:type="dxa"/>
            <w:vMerge w:val="continue"/>
            <w:tcBorders>
              <w:tl2br w:val="nil"/>
              <w:tr2bl w:val="nil"/>
            </w:tcBorders>
            <w:vAlign w:val="center"/>
          </w:tcPr>
          <w:p>
            <w:pPr>
              <w:jc w:val="center"/>
              <w:rPr>
                <w:rFonts w:ascii="宋体" w:hAnsi="宋体"/>
                <w:color w:val="000000" w:themeColor="text1"/>
                <w:szCs w:val="21"/>
              </w:rPr>
            </w:pPr>
          </w:p>
        </w:tc>
        <w:tc>
          <w:tcPr>
            <w:tcW w:w="6775" w:type="dxa"/>
            <w:tcBorders>
              <w:tl2br w:val="nil"/>
              <w:tr2bl w:val="nil"/>
            </w:tcBorders>
            <w:vAlign w:val="center"/>
          </w:tcPr>
          <w:p>
            <w:pPr>
              <w:pStyle w:val="229"/>
              <w:keepNext w:val="0"/>
              <w:keepLines w:val="0"/>
              <w:pageBreakBefore w:val="0"/>
              <w:widowControl w:val="0"/>
              <w:kinsoku/>
              <w:wordWrap/>
              <w:overflowPunct/>
              <w:topLinePunct w:val="0"/>
              <w:autoSpaceDE/>
              <w:autoSpaceDN/>
              <w:bidi w:val="0"/>
              <w:adjustRightInd/>
              <w:snapToGrid/>
              <w:ind w:right="-17"/>
              <w:jc w:val="both"/>
              <w:textAlignment w:val="auto"/>
              <w:rPr>
                <w:rFonts w:hint="default" w:ascii="宋体" w:hAnsi="宋体" w:eastAsia="宋体" w:cs="宋体"/>
                <w:color w:val="000000" w:themeColor="text1"/>
                <w:spacing w:val="0"/>
                <w:sz w:val="21"/>
                <w:szCs w:val="21"/>
                <w:lang w:val="en-US" w:eastAsia="zh-CN"/>
              </w:rPr>
            </w:pPr>
            <w:r>
              <w:rPr>
                <w:rFonts w:hint="eastAsia" w:ascii="宋体" w:hAnsi="宋体" w:eastAsia="宋体" w:cs="宋体"/>
                <w:color w:val="000000" w:themeColor="text1"/>
                <w:spacing w:val="0"/>
                <w:sz w:val="21"/>
                <w:szCs w:val="21"/>
                <w:lang w:val="en-US" w:eastAsia="zh-CN"/>
              </w:rPr>
              <w:t>8.新技术、新产品、新工艺、新材料的应用科学、广泛的：1-2分；</w:t>
            </w:r>
            <w:r>
              <w:rPr>
                <w:rFonts w:hint="eastAsia" w:ascii="宋体" w:hAnsi="宋体" w:cs="宋体"/>
                <w:color w:val="000000" w:themeColor="text1"/>
                <w:spacing w:val="0"/>
                <w:kern w:val="0"/>
                <w:sz w:val="21"/>
                <w:szCs w:val="21"/>
                <w:lang w:val="en-US" w:eastAsia="zh-CN" w:bidi="ar-SA"/>
              </w:rPr>
              <w:t>较好的：1</w:t>
            </w:r>
            <w:r>
              <w:rPr>
                <w:rFonts w:hint="eastAsia" w:ascii="宋体" w:hAnsi="宋体" w:eastAsia="宋体" w:cs="宋体"/>
                <w:color w:val="000000" w:themeColor="text1"/>
                <w:spacing w:val="0"/>
                <w:kern w:val="0"/>
                <w:sz w:val="21"/>
                <w:szCs w:val="21"/>
                <w:lang w:val="en-US" w:eastAsia="zh-CN" w:bidi="ar-SA"/>
              </w:rPr>
              <w:t>分；</w:t>
            </w:r>
            <w:r>
              <w:rPr>
                <w:rFonts w:hint="eastAsia" w:ascii="宋体" w:hAnsi="宋体" w:cs="宋体"/>
                <w:color w:val="000000" w:themeColor="text1"/>
                <w:spacing w:val="0"/>
                <w:kern w:val="0"/>
                <w:sz w:val="21"/>
                <w:szCs w:val="21"/>
                <w:lang w:val="en-US" w:eastAsia="zh-CN" w:bidi="ar-SA"/>
              </w:rPr>
              <w:t>缺项的：</w:t>
            </w:r>
            <w:r>
              <w:rPr>
                <w:rFonts w:hint="eastAsia" w:ascii="宋体" w:hAnsi="宋体" w:eastAsia="宋体" w:cs="宋体"/>
                <w:color w:val="000000" w:themeColor="text1"/>
                <w:spacing w:val="0"/>
                <w:kern w:val="0"/>
                <w:sz w:val="21"/>
                <w:szCs w:val="21"/>
                <w:lang w:val="en-US" w:eastAsia="zh-CN" w:bidi="ar-SA"/>
              </w:rPr>
              <w:t>0分</w:t>
            </w:r>
            <w:r>
              <w:rPr>
                <w:rFonts w:hint="eastAsia" w:ascii="宋体" w:hAnsi="宋体" w:cs="宋体"/>
                <w:color w:val="000000" w:themeColor="text1"/>
                <w:spacing w:val="0"/>
                <w:kern w:val="0"/>
                <w:sz w:val="21"/>
                <w:szCs w:val="21"/>
                <w:lang w:val="en-US" w:eastAsia="zh-CN" w:bidi="ar-SA"/>
              </w:rPr>
              <w:t>。</w:t>
            </w:r>
          </w:p>
        </w:tc>
        <w:tc>
          <w:tcPr>
            <w:tcW w:w="664" w:type="dxa"/>
            <w:tcBorders>
              <w:tl2br w:val="nil"/>
              <w:tr2bl w:val="nil"/>
            </w:tcBorders>
            <w:vAlign w:val="center"/>
          </w:tcPr>
          <w:p>
            <w:pPr>
              <w:jc w:val="center"/>
              <w:rPr>
                <w:rFonts w:hint="default" w:ascii="宋体" w:hAnsi="宋体"/>
                <w:color w:val="000000" w:themeColor="text1"/>
                <w:szCs w:val="21"/>
                <w:lang w:val="en-US" w:eastAsia="zh-CN"/>
              </w:rPr>
            </w:pPr>
            <w:r>
              <w:rPr>
                <w:rFonts w:hint="eastAsia" w:ascii="宋体" w:hAnsi="宋体"/>
                <w:color w:val="000000" w:themeColor="text1"/>
                <w:szCs w:val="21"/>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trPr>
        <w:tc>
          <w:tcPr>
            <w:tcW w:w="538" w:type="dxa"/>
            <w:tcBorders>
              <w:tl2br w:val="nil"/>
              <w:tr2bl w:val="nil"/>
            </w:tcBorders>
            <w:vAlign w:val="center"/>
          </w:tcPr>
          <w:p>
            <w:pPr>
              <w:jc w:val="center"/>
              <w:rPr>
                <w:rFonts w:hint="default" w:ascii="宋体" w:hAnsi="宋体" w:cs="宋体"/>
                <w:spacing w:val="0"/>
                <w:szCs w:val="21"/>
                <w:lang w:val="en-US" w:eastAsia="zh-CN"/>
              </w:rPr>
            </w:pPr>
            <w:r>
              <w:rPr>
                <w:rFonts w:hint="eastAsia" w:ascii="宋体" w:hAnsi="宋体" w:cs="宋体"/>
                <w:spacing w:val="0"/>
                <w:szCs w:val="21"/>
                <w:lang w:val="en-US" w:eastAsia="zh-CN"/>
              </w:rPr>
              <w:t>9</w:t>
            </w:r>
          </w:p>
        </w:tc>
        <w:tc>
          <w:tcPr>
            <w:tcW w:w="1263" w:type="dxa"/>
            <w:tcBorders>
              <w:tl2br w:val="nil"/>
              <w:tr2bl w:val="nil"/>
            </w:tcBorders>
            <w:vAlign w:val="center"/>
          </w:tcPr>
          <w:p>
            <w:pPr>
              <w:jc w:val="center"/>
              <w:rPr>
                <w:rFonts w:hint="eastAsia" w:ascii="宋体" w:hAnsi="宋体" w:cs="宋体"/>
                <w:color w:val="000000" w:themeColor="text1"/>
                <w:spacing w:val="0"/>
                <w:szCs w:val="21"/>
                <w:lang w:eastAsia="zh-CN"/>
              </w:rPr>
            </w:pPr>
            <w:r>
              <w:rPr>
                <w:rFonts w:hint="eastAsia" w:ascii="宋体" w:hAnsi="宋体" w:cs="宋体"/>
                <w:color w:val="000000" w:themeColor="text1"/>
                <w:spacing w:val="0"/>
                <w:szCs w:val="21"/>
                <w:lang w:eastAsia="zh-CN"/>
              </w:rPr>
              <w:t>售后服务措施及承诺</w:t>
            </w:r>
          </w:p>
        </w:tc>
        <w:tc>
          <w:tcPr>
            <w:tcW w:w="894" w:type="dxa"/>
            <w:tcBorders>
              <w:tl2br w:val="nil"/>
              <w:tr2bl w:val="nil"/>
            </w:tcBorders>
            <w:vAlign w:val="center"/>
          </w:tcPr>
          <w:p>
            <w:pPr>
              <w:jc w:val="center"/>
              <w:rPr>
                <w:rFonts w:hint="eastAsia" w:ascii="宋体" w:hAnsi="宋体" w:cs="宋体"/>
                <w:color w:val="000000" w:themeColor="text1"/>
                <w:spacing w:val="0"/>
                <w:szCs w:val="21"/>
                <w:lang w:val="en-US" w:eastAsia="zh-CN"/>
              </w:rPr>
            </w:pPr>
            <w:r>
              <w:rPr>
                <w:rFonts w:hint="eastAsia" w:ascii="宋体" w:hAnsi="宋体" w:cs="宋体"/>
                <w:color w:val="000000" w:themeColor="text1"/>
                <w:spacing w:val="0"/>
                <w:szCs w:val="21"/>
                <w:lang w:val="en-US" w:eastAsia="zh-CN"/>
              </w:rPr>
              <w:t>主观分</w:t>
            </w:r>
          </w:p>
        </w:tc>
        <w:tc>
          <w:tcPr>
            <w:tcW w:w="6775" w:type="dxa"/>
            <w:tcBorders>
              <w:tl2br w:val="nil"/>
              <w:tr2bl w:val="nil"/>
            </w:tcBorders>
            <w:vAlign w:val="center"/>
          </w:tcPr>
          <w:p>
            <w:pPr>
              <w:rPr>
                <w:rFonts w:hint="eastAsia" w:ascii="宋体" w:hAnsi="宋体" w:cs="宋体"/>
                <w:color w:val="000000" w:themeColor="text1"/>
                <w:spacing w:val="0"/>
                <w:szCs w:val="21"/>
                <w:lang w:val="en-US" w:eastAsia="zh-CN"/>
              </w:rPr>
            </w:pPr>
            <w:r>
              <w:rPr>
                <w:rFonts w:hint="eastAsia" w:ascii="宋体" w:hAnsi="宋体" w:cs="宋体"/>
                <w:color w:val="000000" w:themeColor="text1"/>
                <w:spacing w:val="0"/>
                <w:szCs w:val="21"/>
                <w:lang w:val="en-US" w:eastAsia="zh-CN"/>
              </w:rPr>
              <w:t xml:space="preserve">1、出现需要维修问题，供应商承诺在6小时内到达维修地点解决问题的，得2分；承诺在6-12小时到达维修地点解决问题的，得1分；供应商在12小时以后到达维修地点解决问题的，不得分，本项最多得2分； </w:t>
            </w:r>
          </w:p>
          <w:p>
            <w:pPr>
              <w:rPr>
                <w:rFonts w:hint="eastAsia" w:ascii="宋体" w:hAnsi="宋体" w:cs="宋体"/>
                <w:color w:val="000000" w:themeColor="text1"/>
                <w:spacing w:val="0"/>
                <w:szCs w:val="21"/>
                <w:lang w:val="en-US" w:eastAsia="zh-CN"/>
              </w:rPr>
            </w:pPr>
            <w:r>
              <w:rPr>
                <w:rFonts w:hint="eastAsia" w:ascii="宋体" w:hAnsi="宋体" w:cs="宋体"/>
                <w:color w:val="000000" w:themeColor="text1"/>
                <w:spacing w:val="0"/>
                <w:szCs w:val="21"/>
                <w:lang w:val="en-US" w:eastAsia="zh-CN"/>
              </w:rPr>
              <w:t xml:space="preserve">2、售后服务措施具体完善的得1-2 分，一般的得1分，不适用的不得分，本项最多得2分。 </w:t>
            </w:r>
          </w:p>
        </w:tc>
        <w:tc>
          <w:tcPr>
            <w:tcW w:w="664" w:type="dxa"/>
            <w:tcBorders>
              <w:tl2br w:val="nil"/>
              <w:tr2bl w:val="nil"/>
            </w:tcBorders>
            <w:vAlign w:val="center"/>
          </w:tcPr>
          <w:p>
            <w:pPr>
              <w:jc w:val="center"/>
              <w:rPr>
                <w:rFonts w:hint="default" w:ascii="宋体" w:hAnsi="宋体" w:cs="宋体"/>
                <w:color w:val="000000" w:themeColor="text1"/>
                <w:spacing w:val="0"/>
                <w:szCs w:val="21"/>
                <w:lang w:val="en-US" w:eastAsia="zh-CN"/>
              </w:rPr>
            </w:pPr>
            <w:r>
              <w:rPr>
                <w:rFonts w:hint="eastAsia" w:ascii="宋体" w:hAnsi="宋体" w:cs="宋体"/>
                <w:color w:val="000000" w:themeColor="text1"/>
                <w:spacing w:val="0"/>
                <w:szCs w:val="21"/>
                <w:lang w:val="en-US" w:eastAsia="zh-CN"/>
              </w:rPr>
              <w:t>0-4</w:t>
            </w:r>
          </w:p>
        </w:tc>
      </w:tr>
    </w:tbl>
    <w:p>
      <w:pPr>
        <w:autoSpaceDE w:val="0"/>
        <w:autoSpaceDN w:val="0"/>
        <w:adjustRightInd w:val="0"/>
        <w:jc w:val="left"/>
        <w:rPr>
          <w:rFonts w:ascii="宋体" w:hAnsi="宋体" w:cs="宋体"/>
          <w:b/>
          <w:kern w:val="0"/>
          <w:sz w:val="28"/>
          <w:szCs w:val="28"/>
        </w:rPr>
      </w:pPr>
      <w:r>
        <w:rPr>
          <w:rFonts w:hint="eastAsia" w:ascii="宋体" w:hAnsi="宋体" w:cs="宋体"/>
          <w:b/>
          <w:kern w:val="0"/>
          <w:sz w:val="28"/>
          <w:szCs w:val="28"/>
        </w:rPr>
        <w:t>2、报价分（3</w:t>
      </w:r>
      <w:r>
        <w:rPr>
          <w:rFonts w:ascii="宋体" w:hAnsi="宋体" w:cs="宋体"/>
          <w:b/>
          <w:kern w:val="0"/>
          <w:sz w:val="28"/>
          <w:szCs w:val="28"/>
        </w:rPr>
        <w:t>0</w:t>
      </w:r>
      <w:r>
        <w:rPr>
          <w:rFonts w:hint="eastAsia" w:ascii="宋体" w:hAnsi="宋体" w:cs="宋体"/>
          <w:b/>
          <w:kern w:val="0"/>
          <w:sz w:val="28"/>
          <w:szCs w:val="28"/>
        </w:rPr>
        <w:t>分）</w:t>
      </w:r>
    </w:p>
    <w:p>
      <w:pPr>
        <w:adjustRightInd w:val="0"/>
        <w:spacing w:before="100" w:after="50" w:line="460" w:lineRule="atLeast"/>
        <w:ind w:firstLine="420"/>
        <w:rPr>
          <w:rFonts w:hint="eastAsia" w:ascii="宋体"/>
          <w:bCs/>
          <w:sz w:val="22"/>
          <w:szCs w:val="22"/>
          <w:u w:val="single"/>
        </w:rPr>
      </w:pPr>
      <w:r>
        <w:rPr>
          <w:rFonts w:hint="eastAsia" w:ascii="宋体"/>
          <w:bCs/>
          <w:sz w:val="22"/>
          <w:szCs w:val="22"/>
        </w:rPr>
        <w:t>1、以供应商有效投标价中的最低价为评标基准价，得满分30分。商务报价评分计算公式为:</w:t>
      </w:r>
      <w:r>
        <w:rPr>
          <w:rFonts w:ascii="宋体"/>
          <w:bCs/>
          <w:sz w:val="22"/>
          <w:szCs w:val="22"/>
        </w:rPr>
        <w:t xml:space="preserve"> 商务报价得分</w:t>
      </w:r>
      <w:r>
        <w:rPr>
          <w:rFonts w:hint="eastAsia" w:ascii="宋体"/>
          <w:bCs/>
          <w:sz w:val="22"/>
          <w:szCs w:val="22"/>
          <w:u w:val="single"/>
        </w:rPr>
        <w:t>=(评标基准价／</w:t>
      </w:r>
      <w:r>
        <w:rPr>
          <w:rFonts w:ascii="宋体"/>
          <w:bCs/>
          <w:sz w:val="22"/>
          <w:szCs w:val="22"/>
          <w:u w:val="single"/>
        </w:rPr>
        <w:t>商务投标报价</w:t>
      </w:r>
      <w:r>
        <w:rPr>
          <w:rFonts w:hint="eastAsia" w:ascii="宋体"/>
          <w:bCs/>
          <w:sz w:val="22"/>
          <w:szCs w:val="22"/>
          <w:u w:val="single"/>
        </w:rPr>
        <w:t>)×30%×100。</w:t>
      </w:r>
    </w:p>
    <w:p>
      <w:pPr>
        <w:pStyle w:val="22"/>
        <w:spacing w:line="360" w:lineRule="auto"/>
        <w:ind w:firstLine="442" w:firstLineChars="200"/>
        <w:rPr>
          <w:rFonts w:hint="eastAsia" w:hAnsi="宋体" w:cs="宋体"/>
          <w:b/>
          <w:sz w:val="22"/>
          <w:szCs w:val="22"/>
        </w:rPr>
      </w:pPr>
      <w:r>
        <w:rPr>
          <w:rFonts w:hint="eastAsia" w:hAnsi="宋体" w:cs="宋体"/>
          <w:b/>
          <w:sz w:val="22"/>
          <w:szCs w:val="22"/>
        </w:rPr>
        <w:t>2、本项目在报价评审时对符合中小企业划型标准规定（工信部联企业[2011]300号）的小</w:t>
      </w:r>
      <w:r>
        <w:rPr>
          <w:rFonts w:hint="eastAsia" w:hAnsi="宋体" w:cs="宋体"/>
          <w:b/>
          <w:sz w:val="22"/>
          <w:szCs w:val="22"/>
          <w:lang w:eastAsia="zh-CN"/>
        </w:rPr>
        <w:t>属于</w:t>
      </w:r>
      <w:r>
        <w:rPr>
          <w:rFonts w:hint="eastAsia" w:hAnsi="宋体" w:cs="宋体"/>
          <w:b/>
          <w:sz w:val="22"/>
          <w:szCs w:val="22"/>
        </w:rPr>
        <w:t>“</w:t>
      </w:r>
      <w:r>
        <w:rPr>
          <w:rFonts w:hint="eastAsia" w:hAnsi="宋体" w:cs="宋体"/>
          <w:b/>
          <w:sz w:val="22"/>
          <w:szCs w:val="22"/>
          <w:lang w:eastAsia="zh-CN"/>
        </w:rPr>
        <w:t>建筑</w:t>
      </w:r>
      <w:r>
        <w:rPr>
          <w:rFonts w:hint="eastAsia" w:hAnsi="宋体" w:cs="宋体"/>
          <w:b/>
          <w:sz w:val="22"/>
          <w:szCs w:val="22"/>
        </w:rPr>
        <w:t>业”</w:t>
      </w:r>
      <w:r>
        <w:rPr>
          <w:rFonts w:hint="eastAsia" w:hAnsi="宋体" w:cs="宋体"/>
          <w:b/>
          <w:sz w:val="22"/>
          <w:szCs w:val="22"/>
          <w:lang w:eastAsia="zh-CN"/>
        </w:rPr>
        <w:t>小</w:t>
      </w:r>
      <w:r>
        <w:rPr>
          <w:rFonts w:hint="eastAsia" w:hAnsi="宋体" w:cs="宋体"/>
          <w:b/>
          <w:sz w:val="22"/>
          <w:szCs w:val="22"/>
        </w:rPr>
        <w:t>型和微型企业给予价格优惠扶持，用扣除后的价格参与评审，具体如下：</w:t>
      </w:r>
    </w:p>
    <w:p>
      <w:pPr>
        <w:keepNext w:val="0"/>
        <w:keepLines w:val="0"/>
        <w:pageBreakBefore w:val="0"/>
        <w:widowControl w:val="0"/>
        <w:kinsoku/>
        <w:wordWrap/>
        <w:overflowPunct/>
        <w:topLinePunct w:val="0"/>
        <w:autoSpaceDE/>
        <w:autoSpaceDN/>
        <w:bidi w:val="0"/>
        <w:adjustRightInd w:val="0"/>
        <w:snapToGrid w:val="0"/>
        <w:spacing w:line="460" w:lineRule="exact"/>
        <w:ind w:firstLine="420"/>
        <w:textAlignment w:val="auto"/>
        <w:rPr>
          <w:rFonts w:hint="eastAsia" w:ascii="宋体" w:hAnsi="宋体" w:cs="宋体"/>
          <w:b/>
          <w:sz w:val="22"/>
          <w:szCs w:val="22"/>
          <w:u w:val="single"/>
        </w:rPr>
      </w:pPr>
      <w:r>
        <w:rPr>
          <w:rFonts w:hint="eastAsia" w:ascii="宋体" w:hAnsi="宋体" w:cs="宋体"/>
          <w:b/>
          <w:sz w:val="22"/>
          <w:szCs w:val="22"/>
          <w:u w:val="single"/>
        </w:rPr>
        <w:t>(1)本项目对小型和微型企业的价格给予</w:t>
      </w:r>
      <w:r>
        <w:rPr>
          <w:rFonts w:hint="eastAsia" w:ascii="宋体" w:hAnsi="宋体" w:cs="宋体"/>
          <w:b/>
          <w:sz w:val="22"/>
          <w:szCs w:val="22"/>
          <w:u w:val="single"/>
          <w:lang w:val="en-US" w:eastAsia="zh-CN"/>
        </w:rPr>
        <w:t>3</w:t>
      </w:r>
      <w:r>
        <w:rPr>
          <w:rFonts w:hint="eastAsia" w:ascii="宋体" w:hAnsi="宋体" w:cs="宋体"/>
          <w:b/>
          <w:sz w:val="22"/>
          <w:szCs w:val="22"/>
          <w:u w:val="single"/>
        </w:rPr>
        <w:t>%的扣除，用扣除后的价格（即投标报价的 9</w:t>
      </w:r>
      <w:r>
        <w:rPr>
          <w:rFonts w:hint="eastAsia" w:ascii="宋体" w:hAnsi="宋体" w:cs="宋体"/>
          <w:b/>
          <w:sz w:val="22"/>
          <w:szCs w:val="22"/>
          <w:u w:val="single"/>
          <w:lang w:val="en-US" w:eastAsia="zh-CN"/>
        </w:rPr>
        <w:t>7</w:t>
      </w:r>
      <w:r>
        <w:rPr>
          <w:rFonts w:hint="eastAsia" w:ascii="宋体" w:hAnsi="宋体" w:cs="宋体"/>
          <w:b/>
          <w:sz w:val="22"/>
          <w:szCs w:val="22"/>
          <w:u w:val="single"/>
        </w:rPr>
        <w:t>%）参与报价分评审。</w:t>
      </w:r>
    </w:p>
    <w:p>
      <w:pPr>
        <w:keepNext w:val="0"/>
        <w:keepLines w:val="0"/>
        <w:pageBreakBefore w:val="0"/>
        <w:widowControl w:val="0"/>
        <w:kinsoku/>
        <w:wordWrap/>
        <w:overflowPunct/>
        <w:topLinePunct w:val="0"/>
        <w:autoSpaceDE/>
        <w:autoSpaceDN/>
        <w:bidi w:val="0"/>
        <w:adjustRightInd w:val="0"/>
        <w:snapToGrid w:val="0"/>
        <w:spacing w:line="460" w:lineRule="exact"/>
        <w:ind w:firstLine="420"/>
        <w:textAlignment w:val="auto"/>
        <w:rPr>
          <w:rFonts w:hint="eastAsia" w:ascii="宋体" w:hAnsi="宋体" w:cs="宋体"/>
          <w:b/>
          <w:sz w:val="22"/>
          <w:szCs w:val="22"/>
          <w:u w:val="single"/>
        </w:rPr>
      </w:pPr>
      <w:r>
        <w:rPr>
          <w:rFonts w:hint="eastAsia" w:ascii="宋体" w:hAnsi="宋体" w:cs="宋体"/>
          <w:b/>
          <w:sz w:val="22"/>
          <w:szCs w:val="22"/>
          <w:u w:val="single"/>
        </w:rPr>
        <w:t>(2)参与本项目政府采购活动的中小企业应当提供 《中小企业声明函》。</w:t>
      </w:r>
    </w:p>
    <w:p>
      <w:pPr>
        <w:keepNext w:val="0"/>
        <w:keepLines w:val="0"/>
        <w:pageBreakBefore w:val="0"/>
        <w:widowControl w:val="0"/>
        <w:kinsoku/>
        <w:wordWrap/>
        <w:overflowPunct/>
        <w:topLinePunct w:val="0"/>
        <w:autoSpaceDE/>
        <w:autoSpaceDN/>
        <w:bidi w:val="0"/>
        <w:adjustRightInd w:val="0"/>
        <w:snapToGrid w:val="0"/>
        <w:spacing w:line="460" w:lineRule="exact"/>
        <w:ind w:firstLine="420"/>
        <w:textAlignment w:val="auto"/>
        <w:rPr>
          <w:rFonts w:hint="eastAsia" w:ascii="宋体" w:hAnsi="宋体" w:cs="宋体"/>
          <w:b/>
          <w:sz w:val="22"/>
          <w:szCs w:val="22"/>
          <w:u w:val="single"/>
        </w:rPr>
      </w:pPr>
      <w:r>
        <w:rPr>
          <w:rFonts w:hint="eastAsia" w:ascii="宋体" w:hAnsi="宋体" w:cs="宋体"/>
          <w:b/>
          <w:sz w:val="22"/>
          <w:szCs w:val="22"/>
          <w:u w:val="single"/>
        </w:rPr>
        <w:t>(3)中小企业按上述优惠取得政府采购合同后，小型、微型企业不得分包或转包给大型、中型企业，中型企业不得分包或转包给大型企业。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adjustRightInd w:val="0"/>
        <w:snapToGrid w:val="0"/>
        <w:spacing w:line="460" w:lineRule="exact"/>
        <w:ind w:firstLine="420"/>
        <w:textAlignment w:val="auto"/>
        <w:rPr>
          <w:rFonts w:hint="eastAsia" w:ascii="宋体" w:hAnsi="宋体" w:cs="宋体"/>
          <w:b/>
          <w:bCs/>
          <w:kern w:val="0"/>
          <w:sz w:val="22"/>
          <w:szCs w:val="22"/>
          <w:u w:val="single"/>
        </w:rPr>
      </w:pPr>
      <w:r>
        <w:rPr>
          <w:rFonts w:hint="eastAsia" w:ascii="宋体" w:hAnsi="宋体" w:cs="宋体"/>
          <w:b/>
          <w:sz w:val="22"/>
          <w:szCs w:val="22"/>
          <w:u w:val="single"/>
        </w:rPr>
        <w:t>3</w:t>
      </w:r>
      <w:r>
        <w:rPr>
          <w:rFonts w:hint="eastAsia" w:ascii="宋体" w:hAnsi="宋体" w:cs="宋体"/>
          <w:b/>
          <w:sz w:val="22"/>
          <w:szCs w:val="22"/>
          <w:u w:val="single"/>
          <w:lang w:eastAsia="zh-CN"/>
        </w:rPr>
        <w:t>、</w:t>
      </w:r>
      <w:r>
        <w:rPr>
          <w:rFonts w:hint="eastAsia" w:ascii="宋体" w:hAnsi="宋体" w:cs="宋体"/>
          <w:b/>
          <w:bCs/>
          <w:kern w:val="0"/>
          <w:sz w:val="22"/>
          <w:szCs w:val="22"/>
          <w:u w:val="single"/>
        </w:rPr>
        <w:t xml:space="preserve">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 </w:t>
      </w:r>
      <w:r>
        <w:rPr>
          <w:rFonts w:hint="eastAsia" w:ascii="宋体" w:hAnsi="宋体" w:cs="宋体"/>
          <w:b/>
          <w:bCs/>
          <w:kern w:val="0"/>
          <w:sz w:val="22"/>
          <w:szCs w:val="22"/>
          <w:u w:val="single"/>
          <w:lang w:val="en-US" w:eastAsia="zh-CN"/>
        </w:rPr>
        <w:t>3</w:t>
      </w:r>
      <w:r>
        <w:rPr>
          <w:rFonts w:hint="eastAsia" w:ascii="宋体" w:hAnsi="宋体" w:cs="宋体"/>
          <w:b/>
          <w:bCs/>
          <w:kern w:val="0"/>
          <w:sz w:val="22"/>
          <w:szCs w:val="22"/>
          <w:u w:val="single"/>
        </w:rPr>
        <w:t>%的价格扣除扶持政策。</w:t>
      </w:r>
    </w:p>
    <w:p>
      <w:pPr>
        <w:keepNext w:val="0"/>
        <w:keepLines w:val="0"/>
        <w:pageBreakBefore w:val="0"/>
        <w:widowControl w:val="0"/>
        <w:kinsoku/>
        <w:wordWrap/>
        <w:overflowPunct/>
        <w:topLinePunct w:val="0"/>
        <w:autoSpaceDE/>
        <w:autoSpaceDN/>
        <w:bidi w:val="0"/>
        <w:adjustRightInd w:val="0"/>
        <w:snapToGrid w:val="0"/>
        <w:spacing w:line="460" w:lineRule="exact"/>
        <w:ind w:firstLine="420"/>
        <w:textAlignment w:val="auto"/>
        <w:rPr>
          <w:rFonts w:hint="eastAsia" w:ascii="宋体" w:hAnsi="宋体" w:cs="宋体"/>
          <w:b/>
          <w:sz w:val="22"/>
          <w:szCs w:val="22"/>
          <w:u w:val="single"/>
        </w:rPr>
      </w:pPr>
      <w:r>
        <w:rPr>
          <w:rFonts w:hint="eastAsia" w:ascii="宋体" w:hAnsi="宋体" w:cs="宋体"/>
          <w:b/>
          <w:sz w:val="22"/>
          <w:szCs w:val="22"/>
          <w:u w:val="single"/>
        </w:rPr>
        <w:t>备注：（1）监狱企业证明文件：省级或以上监狱管理局、戒毒管理局（含新疆生产建设兵团）出具的属于监狱企业的证明文件。（2）如果提供其他监狱企业制造的货物，还须同时提供该企业为监狱企业的证明文件。</w:t>
      </w:r>
    </w:p>
    <w:p>
      <w:pPr>
        <w:keepNext w:val="0"/>
        <w:keepLines w:val="0"/>
        <w:pageBreakBefore w:val="0"/>
        <w:widowControl w:val="0"/>
        <w:kinsoku/>
        <w:wordWrap/>
        <w:overflowPunct/>
        <w:topLinePunct w:val="0"/>
        <w:autoSpaceDE/>
        <w:autoSpaceDN/>
        <w:bidi w:val="0"/>
        <w:adjustRightInd w:val="0"/>
        <w:snapToGrid w:val="0"/>
        <w:spacing w:line="460" w:lineRule="exact"/>
        <w:ind w:firstLine="420"/>
        <w:textAlignment w:val="auto"/>
        <w:rPr>
          <w:rFonts w:hint="eastAsia" w:ascii="宋体" w:hAnsi="宋体" w:cs="宋体"/>
          <w:b/>
          <w:bCs/>
          <w:kern w:val="0"/>
          <w:sz w:val="22"/>
          <w:szCs w:val="22"/>
          <w:u w:val="single"/>
        </w:rPr>
      </w:pPr>
      <w:r>
        <w:rPr>
          <w:rFonts w:hint="eastAsia" w:ascii="宋体" w:hAnsi="宋体" w:cs="宋体"/>
          <w:b/>
          <w:bCs/>
          <w:kern w:val="0"/>
          <w:sz w:val="22"/>
          <w:szCs w:val="22"/>
          <w:u w:val="single"/>
        </w:rPr>
        <w:t>4</w:t>
      </w:r>
      <w:r>
        <w:rPr>
          <w:rFonts w:hint="eastAsia" w:ascii="宋体" w:hAnsi="宋体" w:cs="宋体"/>
          <w:b/>
          <w:bCs/>
          <w:kern w:val="0"/>
          <w:sz w:val="22"/>
          <w:szCs w:val="22"/>
          <w:u w:val="single"/>
          <w:lang w:eastAsia="zh-CN"/>
        </w:rPr>
        <w:t>、</w:t>
      </w:r>
      <w:r>
        <w:rPr>
          <w:rFonts w:hint="eastAsia" w:ascii="宋体" w:hAnsi="宋体" w:cs="宋体"/>
          <w:b/>
          <w:bCs/>
          <w:kern w:val="0"/>
          <w:sz w:val="22"/>
          <w:szCs w:val="22"/>
          <w:u w:val="single"/>
        </w:rPr>
        <w:t xml:space="preserve">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w:t>
      </w:r>
      <w:r>
        <w:rPr>
          <w:rFonts w:hint="eastAsia" w:ascii="宋体" w:hAnsi="宋体" w:cs="宋体"/>
          <w:b/>
          <w:bCs/>
          <w:kern w:val="0"/>
          <w:sz w:val="22"/>
          <w:szCs w:val="22"/>
          <w:u w:val="single"/>
          <w:lang w:val="en-US" w:eastAsia="zh-CN"/>
        </w:rPr>
        <w:t>3</w:t>
      </w:r>
      <w:r>
        <w:rPr>
          <w:rFonts w:hint="eastAsia" w:ascii="宋体" w:hAnsi="宋体" w:cs="宋体"/>
          <w:b/>
          <w:bCs/>
          <w:kern w:val="0"/>
          <w:sz w:val="22"/>
          <w:szCs w:val="22"/>
          <w:u w:val="single"/>
        </w:rPr>
        <w:t>%价格扣除扶持政策。</w:t>
      </w:r>
    </w:p>
    <w:p>
      <w:pPr>
        <w:keepNext w:val="0"/>
        <w:keepLines w:val="0"/>
        <w:pageBreakBefore w:val="0"/>
        <w:widowControl w:val="0"/>
        <w:kinsoku/>
        <w:wordWrap/>
        <w:overflowPunct/>
        <w:topLinePunct w:val="0"/>
        <w:autoSpaceDE/>
        <w:autoSpaceDN/>
        <w:bidi w:val="0"/>
        <w:adjustRightInd w:val="0"/>
        <w:snapToGrid w:val="0"/>
        <w:spacing w:line="460" w:lineRule="exact"/>
        <w:ind w:firstLine="420"/>
        <w:textAlignment w:val="auto"/>
        <w:rPr>
          <w:rFonts w:hint="eastAsia" w:ascii="宋体" w:hAnsi="宋体"/>
          <w:bCs/>
          <w:sz w:val="22"/>
          <w:szCs w:val="22"/>
          <w:u w:val="single"/>
        </w:rPr>
      </w:pPr>
      <w:r>
        <w:rPr>
          <w:rFonts w:hint="eastAsia" w:ascii="宋体" w:hAnsi="宋体" w:cs="宋体"/>
          <w:b/>
          <w:bCs/>
          <w:kern w:val="0"/>
          <w:sz w:val="22"/>
          <w:szCs w:val="22"/>
          <w:u w:val="single"/>
        </w:rPr>
        <w:t>备注：（1）残疾人福利性单位证明材料：残疾人福利性单位声明函。（2）如提供其他残疾人福利性单位制造的货物，还须同时提供该企业的残疾人福利性单位声明函。</w:t>
      </w:r>
    </w:p>
    <w:p>
      <w:pPr>
        <w:keepNext w:val="0"/>
        <w:keepLines w:val="0"/>
        <w:pageBreakBefore w:val="0"/>
        <w:widowControl w:val="0"/>
        <w:kinsoku/>
        <w:wordWrap/>
        <w:overflowPunct/>
        <w:topLinePunct w:val="0"/>
        <w:autoSpaceDE/>
        <w:autoSpaceDN/>
        <w:bidi w:val="0"/>
        <w:adjustRightInd w:val="0"/>
        <w:snapToGrid w:val="0"/>
        <w:spacing w:line="460" w:lineRule="exact"/>
        <w:ind w:firstLine="420"/>
        <w:textAlignment w:val="auto"/>
        <w:rPr>
          <w:rFonts w:ascii="宋体" w:hAnsi="宋体" w:eastAsia="宋体"/>
          <w:b w:val="0"/>
          <w:sz w:val="22"/>
          <w:szCs w:val="22"/>
          <w:u w:val="single"/>
        </w:rPr>
      </w:pPr>
      <w:r>
        <w:rPr>
          <w:rFonts w:hint="eastAsia" w:ascii="宋体" w:hAnsi="宋体" w:eastAsia="宋体"/>
          <w:b w:val="0"/>
          <w:sz w:val="22"/>
          <w:szCs w:val="22"/>
          <w:u w:val="single"/>
          <w:lang w:val="en-US" w:eastAsia="zh-CN"/>
        </w:rPr>
        <w:t>5</w:t>
      </w:r>
      <w:r>
        <w:rPr>
          <w:rFonts w:hint="eastAsia" w:ascii="宋体" w:hAnsi="宋体" w:eastAsia="宋体"/>
          <w:b w:val="0"/>
          <w:sz w:val="22"/>
          <w:szCs w:val="22"/>
          <w:u w:val="single"/>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将会作为无效投标处理。</w:t>
      </w:r>
    </w:p>
    <w:p>
      <w:pPr>
        <w:autoSpaceDE w:val="0"/>
        <w:autoSpaceDN w:val="0"/>
        <w:adjustRightInd w:val="0"/>
        <w:spacing w:line="460" w:lineRule="exact"/>
        <w:jc w:val="center"/>
        <w:rPr>
          <w:rFonts w:ascii="宋体" w:hAnsi="宋体" w:cs="宋体"/>
          <w:b/>
          <w:kern w:val="0"/>
          <w:sz w:val="28"/>
          <w:szCs w:val="28"/>
        </w:rPr>
      </w:pPr>
      <w:r>
        <w:rPr>
          <w:rFonts w:hint="eastAsia" w:ascii="宋体" w:hAnsi="宋体" w:cs="宋体"/>
          <w:b/>
          <w:kern w:val="0"/>
          <w:sz w:val="28"/>
          <w:szCs w:val="28"/>
          <w:lang w:eastAsia="zh-CN"/>
        </w:rPr>
        <w:t>五</w:t>
      </w:r>
      <w:r>
        <w:rPr>
          <w:rFonts w:hint="eastAsia" w:ascii="宋体" w:hAnsi="宋体" w:cs="宋体"/>
          <w:b/>
          <w:kern w:val="0"/>
          <w:sz w:val="28"/>
          <w:szCs w:val="28"/>
        </w:rPr>
        <w:t>、中标（成交）候选人推荐办法</w:t>
      </w:r>
    </w:p>
    <w:p>
      <w:pPr>
        <w:autoSpaceDE w:val="0"/>
        <w:autoSpaceDN w:val="0"/>
        <w:adjustRightInd w:val="0"/>
        <w:spacing w:line="460" w:lineRule="exact"/>
        <w:ind w:firstLine="440" w:firstLineChars="200"/>
        <w:jc w:val="left"/>
        <w:rPr>
          <w:rFonts w:ascii="宋体" w:hAnsi="宋体"/>
          <w:sz w:val="22"/>
          <w:szCs w:val="22"/>
        </w:rPr>
      </w:pPr>
      <w:r>
        <w:rPr>
          <w:rFonts w:hint="eastAsia" w:ascii="宋体" w:hAnsi="宋体"/>
          <w:sz w:val="22"/>
          <w:szCs w:val="22"/>
        </w:rPr>
        <w:t>评审小组根据各投标供应商的综合得分从高到低依次进行排名排序，并</w:t>
      </w:r>
      <w:r>
        <w:rPr>
          <w:rFonts w:ascii="宋体" w:hAnsi="宋体"/>
          <w:sz w:val="22"/>
          <w:szCs w:val="22"/>
        </w:rPr>
        <w:t>推荐排序第一的投标供应商为第一中标（成交）候选人</w:t>
      </w:r>
      <w:r>
        <w:rPr>
          <w:rFonts w:hint="eastAsia" w:ascii="宋体" w:hAnsi="宋体"/>
          <w:sz w:val="22"/>
          <w:szCs w:val="22"/>
        </w:rPr>
        <w:t>（如果得分相同，以报价低的优先</w:t>
      </w:r>
      <w:r>
        <w:rPr>
          <w:rFonts w:hint="eastAsia" w:ascii="宋体" w:hAnsi="宋体"/>
          <w:sz w:val="22"/>
          <w:szCs w:val="22"/>
          <w:lang w:eastAsia="zh-CN"/>
        </w:rPr>
        <w:t>，</w:t>
      </w:r>
      <w:r>
        <w:rPr>
          <w:rFonts w:hint="eastAsia" w:ascii="宋体" w:hAnsi="宋体"/>
          <w:sz w:val="22"/>
          <w:szCs w:val="22"/>
        </w:rPr>
        <w:t>报价也相同，</w:t>
      </w:r>
      <w:r>
        <w:rPr>
          <w:rFonts w:hint="eastAsia" w:ascii="宋体" w:hAnsi="宋体"/>
          <w:sz w:val="22"/>
          <w:szCs w:val="22"/>
          <w:lang w:val="en-US" w:eastAsia="zh-CN"/>
        </w:rPr>
        <w:t>按照技术指标优劣顺序推荐</w:t>
      </w:r>
      <w:r>
        <w:rPr>
          <w:rFonts w:hint="eastAsia" w:ascii="宋体" w:hAnsi="宋体"/>
          <w:sz w:val="22"/>
          <w:szCs w:val="22"/>
        </w:rPr>
        <w:t>，并编写采购报告）。</w:t>
      </w:r>
      <w:r>
        <w:rPr>
          <w:rFonts w:ascii="宋体" w:hAnsi="宋体"/>
          <w:sz w:val="22"/>
          <w:szCs w:val="22"/>
        </w:rPr>
        <w:t>评分过程中采用四舍五入法，并保留小数2位。</w:t>
      </w:r>
    </w:p>
    <w:p>
      <w:pPr>
        <w:spacing w:line="360" w:lineRule="auto"/>
        <w:rPr>
          <w:rFonts w:hAnsi="宋体"/>
          <w:b/>
          <w:sz w:val="36"/>
          <w:szCs w:val="36"/>
        </w:rPr>
      </w:pPr>
      <w:r>
        <w:rPr>
          <w:rFonts w:hAnsi="宋体"/>
          <w:b/>
          <w:sz w:val="36"/>
          <w:szCs w:val="36"/>
        </w:rPr>
        <w:br w:type="page"/>
      </w:r>
      <w:r>
        <w:rPr>
          <w:rFonts w:hAnsi="宋体"/>
          <w:b/>
          <w:sz w:val="36"/>
          <w:szCs w:val="36"/>
        </w:rPr>
        <w:t>GF—201</w:t>
      </w:r>
      <w:r>
        <w:rPr>
          <w:rFonts w:hint="eastAsia" w:hAnsi="宋体"/>
          <w:b/>
          <w:sz w:val="36"/>
          <w:szCs w:val="36"/>
        </w:rPr>
        <w:t>7</w:t>
      </w:r>
      <w:r>
        <w:rPr>
          <w:rFonts w:hAnsi="宋体"/>
          <w:b/>
          <w:sz w:val="36"/>
          <w:szCs w:val="36"/>
        </w:rPr>
        <w:t>—0216</w:t>
      </w: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 w:val="36"/>
          <w:szCs w:val="36"/>
        </w:rPr>
      </w:pPr>
    </w:p>
    <w:p>
      <w:pPr>
        <w:jc w:val="center"/>
        <w:rPr>
          <w:rFonts w:hAnsi="宋体"/>
          <w:b/>
          <w:sz w:val="36"/>
          <w:szCs w:val="36"/>
        </w:rPr>
      </w:pPr>
      <w:r>
        <w:rPr>
          <w:rFonts w:hint="eastAsia" w:hAnsi="宋体"/>
          <w:b/>
          <w:sz w:val="36"/>
          <w:szCs w:val="36"/>
        </w:rPr>
        <w:t>建设项目工程总承包合同示范文本</w:t>
      </w:r>
    </w:p>
    <w:p>
      <w:pPr>
        <w:jc w:val="center"/>
        <w:rPr>
          <w:rFonts w:hAnsi="宋体"/>
          <w:b/>
          <w:sz w:val="36"/>
          <w:szCs w:val="36"/>
        </w:rPr>
      </w:pPr>
      <w:r>
        <w:rPr>
          <w:rFonts w:hAnsi="宋体"/>
          <w:b/>
          <w:sz w:val="36"/>
          <w:szCs w:val="36"/>
        </w:rPr>
        <w:t>(</w:t>
      </w:r>
      <w:r>
        <w:rPr>
          <w:rFonts w:hint="eastAsia" w:hAnsi="宋体"/>
          <w:b/>
          <w:sz w:val="36"/>
          <w:szCs w:val="36"/>
        </w:rPr>
        <w:t>试行</w:t>
      </w:r>
      <w:r>
        <w:rPr>
          <w:rFonts w:hAnsi="宋体"/>
          <w:b/>
          <w:sz w:val="36"/>
          <w:szCs w:val="36"/>
        </w:rPr>
        <w:t>)</w:t>
      </w: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szCs w:val="21"/>
        </w:rPr>
      </w:pPr>
    </w:p>
    <w:p>
      <w:pPr>
        <w:rPr>
          <w:rFonts w:hAnsi="宋体"/>
          <w:b/>
          <w:szCs w:val="21"/>
        </w:rPr>
      </w:pPr>
    </w:p>
    <w:p>
      <w:pPr>
        <w:jc w:val="center"/>
        <w:rPr>
          <w:rFonts w:hAnsi="宋体"/>
          <w:b/>
          <w:sz w:val="36"/>
          <w:szCs w:val="36"/>
        </w:rPr>
      </w:pPr>
      <w:r>
        <w:rPr>
          <w:rFonts w:hAnsi="宋体"/>
          <w:sz w:val="36"/>
          <w:szCs w:val="36"/>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99060</wp:posOffset>
                </wp:positionV>
                <wp:extent cx="1143000" cy="594360"/>
                <wp:effectExtent l="0" t="0" r="0" b="0"/>
                <wp:wrapNone/>
                <wp:docPr id="1" name="Rectangle 4"/>
                <wp:cNvGraphicFramePr/>
                <a:graphic xmlns:a="http://schemas.openxmlformats.org/drawingml/2006/main">
                  <a:graphicData uri="http://schemas.microsoft.com/office/word/2010/wordprocessingShape">
                    <wps:wsp>
                      <wps:cNvSpPr>
                        <a:spLocks noChangeArrowheads="1"/>
                      </wps:cNvSpPr>
                      <wps:spPr bwMode="auto">
                        <a:xfrm>
                          <a:off x="0" y="0"/>
                          <a:ext cx="1143000" cy="594360"/>
                        </a:xfrm>
                        <a:prstGeom prst="rect">
                          <a:avLst/>
                        </a:prstGeom>
                        <a:noFill/>
                        <a:ln>
                          <a:noFill/>
                        </a:ln>
                        <a:effectLst/>
                      </wps:spPr>
                      <wps:txbx>
                        <w:txbxContent>
                          <w:p>
                            <w:pPr>
                              <w:jc w:val="center"/>
                              <w:rPr>
                                <w:b/>
                                <w:sz w:val="44"/>
                                <w:szCs w:val="44"/>
                              </w:rPr>
                            </w:pPr>
                            <w:r>
                              <w:rPr>
                                <w:rFonts w:hint="eastAsia"/>
                                <w:b/>
                                <w:sz w:val="44"/>
                                <w:szCs w:val="44"/>
                              </w:rPr>
                              <w:t>制定</w:t>
                            </w:r>
                          </w:p>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342pt;margin-top:7.8pt;height:46.8pt;width:90pt;z-index:251660288;mso-width-relative:page;mso-height-relative:page;" filled="f" stroked="f" coordsize="21600,21600" o:gfxdata="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LBHPdkAAAAKAQAADwAAAAAAAAABACAAAAAiAAAA&#10;ZHJzL2Rvd25yZXYueG1sUEsBAhQAFAAAAAgAh07iQN16VH0GAgAAGQQAAA4AAAAAAAAAAQAgAAAA&#10;KAEAAGRycy9lMm9Eb2MueG1sUEsFBgAAAAAGAAYAWQEAAKAFAAAAAA==&#10;">
                <v:fill on="f" focussize="0,0"/>
                <v:stroke on="f"/>
                <v:imagedata o:title=""/>
                <o:lock v:ext="edit" aspectratio="f"/>
                <v:textbox>
                  <w:txbxContent>
                    <w:p>
                      <w:pPr>
                        <w:jc w:val="center"/>
                        <w:rPr>
                          <w:b/>
                          <w:sz w:val="44"/>
                          <w:szCs w:val="44"/>
                        </w:rPr>
                      </w:pPr>
                      <w:r>
                        <w:rPr>
                          <w:rFonts w:hint="eastAsia"/>
                          <w:b/>
                          <w:sz w:val="44"/>
                          <w:szCs w:val="44"/>
                        </w:rPr>
                        <w:t>制定</w:t>
                      </w:r>
                    </w:p>
                    <w:p/>
                  </w:txbxContent>
                </v:textbox>
              </v:rect>
            </w:pict>
          </mc:Fallback>
        </mc:AlternateContent>
      </w:r>
      <w:r>
        <w:rPr>
          <w:rFonts w:hint="eastAsia" w:hAnsi="宋体"/>
          <w:b/>
          <w:sz w:val="36"/>
          <w:szCs w:val="36"/>
        </w:rPr>
        <w:t>住房和城乡建设部</w:t>
      </w:r>
    </w:p>
    <w:p>
      <w:pPr>
        <w:jc w:val="center"/>
        <w:rPr>
          <w:rFonts w:hAnsi="宋体"/>
          <w:b/>
          <w:sz w:val="36"/>
          <w:szCs w:val="36"/>
        </w:rPr>
      </w:pPr>
      <w:r>
        <w:rPr>
          <w:rFonts w:hint="eastAsia" w:hAnsi="宋体"/>
          <w:b/>
          <w:sz w:val="36"/>
          <w:szCs w:val="36"/>
        </w:rPr>
        <w:t>国家工商行政管理总局</w:t>
      </w:r>
    </w:p>
    <w:p>
      <w:pPr>
        <w:rPr>
          <w:rFonts w:hAnsi="宋体"/>
          <w:szCs w:val="21"/>
        </w:rPr>
        <w:sectPr>
          <w:footerReference r:id="rId5" w:type="default"/>
          <w:pgSz w:w="11906" w:h="16838"/>
          <w:pgMar w:top="1440" w:right="1418" w:bottom="1440" w:left="1418" w:header="851" w:footer="992" w:gutter="0"/>
          <w:pgNumType w:start="1"/>
          <w:cols w:space="720" w:num="1"/>
          <w:docGrid w:type="lines" w:linePitch="312" w:charSpace="0"/>
        </w:sectPr>
      </w:pPr>
    </w:p>
    <w:p>
      <w:pPr>
        <w:spacing w:line="360" w:lineRule="auto"/>
        <w:jc w:val="center"/>
        <w:outlineLvl w:val="0"/>
        <w:rPr>
          <w:rFonts w:hAnsi="宋体"/>
          <w:b/>
          <w:sz w:val="36"/>
          <w:szCs w:val="36"/>
        </w:rPr>
      </w:pPr>
      <w:r>
        <w:rPr>
          <w:rFonts w:hint="eastAsia" w:hAnsi="宋体"/>
          <w:b/>
          <w:sz w:val="36"/>
          <w:szCs w:val="36"/>
        </w:rPr>
        <w:t>第一部分   合同协议书</w:t>
      </w:r>
    </w:p>
    <w:p>
      <w:pPr>
        <w:spacing w:line="420" w:lineRule="exact"/>
        <w:rPr>
          <w:rFonts w:hint="eastAsia" w:hAnsi="宋体" w:eastAsia="宋体"/>
          <w:szCs w:val="21"/>
          <w:u w:val="single"/>
          <w:lang w:eastAsia="zh-CN"/>
        </w:rPr>
      </w:pPr>
      <w:r>
        <w:rPr>
          <w:rFonts w:hint="eastAsia" w:hAnsi="宋体"/>
          <w:b/>
          <w:szCs w:val="21"/>
        </w:rPr>
        <w:t>发包人</w:t>
      </w:r>
      <w:r>
        <w:rPr>
          <w:rFonts w:hAnsi="宋体"/>
          <w:b/>
          <w:szCs w:val="21"/>
        </w:rPr>
        <w:t>(</w:t>
      </w:r>
      <w:r>
        <w:rPr>
          <w:rFonts w:hint="eastAsia" w:hAnsi="宋体"/>
          <w:b/>
          <w:szCs w:val="21"/>
        </w:rPr>
        <w:t>全称</w:t>
      </w:r>
      <w:r>
        <w:rPr>
          <w:rFonts w:hAnsi="宋体"/>
          <w:b/>
          <w:szCs w:val="21"/>
        </w:rPr>
        <w:t xml:space="preserve">)  </w:t>
      </w:r>
      <w:r>
        <w:rPr>
          <w:rFonts w:hint="eastAsia" w:hAnsi="宋体"/>
          <w:szCs w:val="21"/>
          <w:u w:val="single"/>
          <w:lang w:eastAsia="zh-CN"/>
        </w:rPr>
        <w:t>苍南县宜山镇人民政府</w:t>
      </w:r>
    </w:p>
    <w:p>
      <w:pPr>
        <w:spacing w:line="420" w:lineRule="exact"/>
        <w:rPr>
          <w:rFonts w:hAnsi="宋体"/>
          <w:b/>
          <w:szCs w:val="21"/>
          <w:u w:val="single"/>
        </w:rPr>
      </w:pPr>
      <w:r>
        <w:rPr>
          <w:rFonts w:hint="eastAsia" w:hAnsi="宋体"/>
          <w:b/>
          <w:szCs w:val="21"/>
        </w:rPr>
        <w:t>承包人</w:t>
      </w:r>
      <w:r>
        <w:rPr>
          <w:rFonts w:hAnsi="宋体"/>
          <w:b/>
          <w:szCs w:val="21"/>
        </w:rPr>
        <w:t>(</w:t>
      </w:r>
      <w:r>
        <w:rPr>
          <w:rFonts w:hint="eastAsia" w:hAnsi="宋体"/>
          <w:b/>
          <w:szCs w:val="21"/>
        </w:rPr>
        <w:t>全称</w:t>
      </w:r>
      <w:r>
        <w:rPr>
          <w:rFonts w:hAnsi="宋体"/>
          <w:b/>
          <w:szCs w:val="21"/>
        </w:rPr>
        <w:t xml:space="preserve">)  </w:t>
      </w:r>
      <w:r>
        <w:rPr>
          <w:rFonts w:hint="eastAsia" w:hAnsi="宋体"/>
          <w:b/>
          <w:szCs w:val="21"/>
          <w:u w:val="single"/>
        </w:rPr>
        <w:t xml:space="preserve">                                </w:t>
      </w:r>
    </w:p>
    <w:p>
      <w:pPr>
        <w:spacing w:line="420" w:lineRule="exact"/>
        <w:rPr>
          <w:rFonts w:hAnsi="宋体"/>
          <w:szCs w:val="21"/>
        </w:rPr>
      </w:pPr>
      <w:r>
        <w:rPr>
          <w:rFonts w:hint="eastAsia" w:hAnsi="宋体"/>
          <w:szCs w:val="21"/>
        </w:rPr>
        <w:t>依照《</w:t>
      </w:r>
      <w:r>
        <w:rPr>
          <w:rFonts w:hint="eastAsia" w:hAnsi="宋体"/>
          <w:szCs w:val="21"/>
          <w:lang w:eastAsia="zh-CN"/>
        </w:rPr>
        <w:t>中华人民共和国民法典</w:t>
      </w:r>
      <w:r>
        <w:rPr>
          <w:rFonts w:hint="eastAsia" w:hAnsi="宋体"/>
          <w:szCs w:val="21"/>
        </w:rPr>
        <w:t>》、《中华人民共和国建筑法》、《中华人民共和国招标投标法》及相关法律、行政法规，遵循平等、自愿、公平和诚信原则，合同双方就</w:t>
      </w:r>
      <w:r>
        <w:rPr>
          <w:rFonts w:hint="eastAsia" w:hAnsi="宋体"/>
          <w:szCs w:val="21"/>
          <w:u w:val="single"/>
          <w:lang w:eastAsia="zh-CN"/>
        </w:rPr>
        <w:t>苍南县宜山镇道路照明提升工程设计、采购及安装项目</w:t>
      </w:r>
      <w:r>
        <w:rPr>
          <w:rFonts w:hint="eastAsia" w:hAnsi="宋体"/>
          <w:szCs w:val="21"/>
        </w:rPr>
        <w:t>工程总承包事宜经协商一致，订立本合同。</w:t>
      </w:r>
    </w:p>
    <w:p>
      <w:pPr>
        <w:spacing w:line="420" w:lineRule="exact"/>
        <w:outlineLvl w:val="0"/>
        <w:rPr>
          <w:rFonts w:hAnsi="宋体"/>
          <w:b/>
          <w:szCs w:val="21"/>
        </w:rPr>
      </w:pPr>
      <w:r>
        <w:rPr>
          <w:rFonts w:hint="eastAsia" w:hAnsi="宋体"/>
          <w:b/>
          <w:szCs w:val="21"/>
        </w:rPr>
        <w:t>一、工程概况</w:t>
      </w:r>
    </w:p>
    <w:p>
      <w:pPr>
        <w:spacing w:line="420" w:lineRule="exact"/>
        <w:rPr>
          <w:rFonts w:hAnsi="宋体"/>
          <w:szCs w:val="21"/>
          <w:u w:val="single"/>
        </w:rPr>
      </w:pPr>
      <w:r>
        <w:rPr>
          <w:rFonts w:hint="eastAsia" w:hAnsi="宋体"/>
          <w:szCs w:val="21"/>
        </w:rPr>
        <w:t>工程名称：</w:t>
      </w:r>
      <w:r>
        <w:rPr>
          <w:rFonts w:hint="eastAsia" w:hAnsi="宋体"/>
          <w:szCs w:val="21"/>
          <w:u w:val="single"/>
          <w:lang w:eastAsia="zh-CN"/>
        </w:rPr>
        <w:t>苍南县宜山镇道路照明提升工程设计、采购及安装项目</w:t>
      </w:r>
    </w:p>
    <w:p>
      <w:pPr>
        <w:spacing w:line="420" w:lineRule="exact"/>
        <w:rPr>
          <w:rFonts w:hAnsi="宋体"/>
          <w:szCs w:val="21"/>
          <w:u w:val="single"/>
        </w:rPr>
      </w:pPr>
      <w:r>
        <w:rPr>
          <w:rFonts w:hint="eastAsia" w:hAnsi="宋体"/>
          <w:szCs w:val="21"/>
        </w:rPr>
        <w:t>工程批准、核准或备案文号：</w:t>
      </w:r>
      <w:r>
        <w:rPr>
          <w:rFonts w:hint="eastAsia" w:hAnsi="宋体"/>
          <w:szCs w:val="21"/>
          <w:u w:val="single"/>
        </w:rPr>
        <w:t xml:space="preserve">              </w:t>
      </w:r>
    </w:p>
    <w:p>
      <w:pPr>
        <w:pStyle w:val="22"/>
        <w:spacing w:line="420" w:lineRule="exact"/>
        <w:rPr>
          <w:rFonts w:hAnsi="宋体"/>
        </w:rPr>
      </w:pPr>
      <w:r>
        <w:rPr>
          <w:rFonts w:hint="eastAsia" w:hAnsi="宋体"/>
        </w:rPr>
        <w:t>工程内容及规模：工程内容为</w:t>
      </w:r>
      <w:r>
        <w:rPr>
          <w:rFonts w:hint="eastAsia" w:hAnsi="宋体"/>
          <w:u w:val="single"/>
        </w:rPr>
        <w:t xml:space="preserve">     </w:t>
      </w:r>
      <w:r>
        <w:rPr>
          <w:rFonts w:hint="eastAsia" w:hAnsi="宋体"/>
        </w:rPr>
        <w:t xml:space="preserve">  </w:t>
      </w:r>
    </w:p>
    <w:p>
      <w:pPr>
        <w:spacing w:line="420" w:lineRule="exact"/>
        <w:ind w:left="2310" w:hanging="2310" w:hangingChars="1100"/>
        <w:rPr>
          <w:rFonts w:hAnsi="宋体"/>
          <w:snapToGrid w:val="0"/>
          <w:kern w:val="0"/>
          <w:szCs w:val="21"/>
          <w:u w:val="single"/>
        </w:rPr>
      </w:pPr>
      <w:r>
        <w:rPr>
          <w:rFonts w:hint="eastAsia" w:hAnsi="宋体"/>
          <w:szCs w:val="21"/>
        </w:rPr>
        <w:t>工程所在地详细地址：</w:t>
      </w:r>
      <w:r>
        <w:rPr>
          <w:rFonts w:hint="eastAsia" w:hAnsi="宋体"/>
          <w:szCs w:val="21"/>
          <w:u w:val="single"/>
        </w:rPr>
        <w:t xml:space="preserve">      </w:t>
      </w:r>
    </w:p>
    <w:p>
      <w:pPr>
        <w:spacing w:line="420" w:lineRule="exact"/>
        <w:rPr>
          <w:rFonts w:hAnsi="宋体"/>
          <w:szCs w:val="21"/>
          <w:u w:val="single"/>
        </w:rPr>
      </w:pPr>
      <w:r>
        <w:rPr>
          <w:rFonts w:hint="eastAsia" w:hAnsi="宋体"/>
          <w:szCs w:val="21"/>
        </w:rPr>
        <w:t>工程承包范围：</w:t>
      </w:r>
      <w:r>
        <w:rPr>
          <w:rFonts w:hint="eastAsia" w:hAnsi="宋体"/>
          <w:szCs w:val="21"/>
          <w:u w:val="single"/>
        </w:rPr>
        <w:t xml:space="preserve">本工程为设计采购施工总承包项目。招标范围包括：        </w:t>
      </w:r>
    </w:p>
    <w:p>
      <w:pPr>
        <w:tabs>
          <w:tab w:val="left" w:pos="7365"/>
        </w:tabs>
        <w:spacing w:line="420" w:lineRule="exact"/>
        <w:rPr>
          <w:rFonts w:hAnsi="宋体"/>
          <w:b/>
          <w:szCs w:val="21"/>
        </w:rPr>
      </w:pPr>
      <w:r>
        <w:rPr>
          <w:rFonts w:hint="eastAsia" w:hAnsi="宋体"/>
          <w:b/>
          <w:szCs w:val="21"/>
        </w:rPr>
        <w:t>二、工程主要生产技术来源</w:t>
      </w:r>
      <w:r>
        <w:rPr>
          <w:rFonts w:hAnsi="宋体"/>
          <w:b/>
          <w:szCs w:val="21"/>
        </w:rPr>
        <w:tab/>
      </w:r>
    </w:p>
    <w:p>
      <w:pPr>
        <w:spacing w:line="420" w:lineRule="exact"/>
        <w:ind w:firstLine="525" w:firstLineChars="250"/>
        <w:rPr>
          <w:rFonts w:hint="default" w:hAnsi="宋体" w:eastAsia="宋体"/>
          <w:szCs w:val="21"/>
          <w:u w:val="single"/>
          <w:lang w:val="en-US" w:eastAsia="zh-CN"/>
        </w:rPr>
      </w:pPr>
      <w:r>
        <w:rPr>
          <w:rFonts w:hint="eastAsia" w:hAnsi="宋体"/>
          <w:szCs w:val="21"/>
          <w:u w:val="single"/>
          <w:lang w:val="en-US" w:eastAsia="zh-CN"/>
        </w:rPr>
        <w:t xml:space="preserve">                </w:t>
      </w:r>
    </w:p>
    <w:p>
      <w:pPr>
        <w:spacing w:line="420" w:lineRule="exact"/>
        <w:outlineLvl w:val="0"/>
        <w:rPr>
          <w:rFonts w:hAnsi="宋体"/>
          <w:b/>
          <w:szCs w:val="21"/>
        </w:rPr>
      </w:pPr>
      <w:r>
        <w:rPr>
          <w:rFonts w:hint="eastAsia" w:hAnsi="宋体"/>
          <w:b/>
          <w:szCs w:val="21"/>
        </w:rPr>
        <w:t>三、主要日期</w:t>
      </w:r>
    </w:p>
    <w:p>
      <w:pPr>
        <w:spacing w:line="420" w:lineRule="exact"/>
        <w:outlineLvl w:val="0"/>
        <w:rPr>
          <w:rFonts w:hint="eastAsia" w:hAnsi="宋体"/>
          <w:b/>
          <w:color w:val="FF0000"/>
          <w:szCs w:val="21"/>
          <w:lang w:val="en-US" w:eastAsia="zh-CN"/>
        </w:rPr>
      </w:pPr>
      <w:r>
        <w:rPr>
          <w:rFonts w:hint="eastAsia" w:hAnsi="宋体"/>
          <w:b/>
          <w:color w:val="FF0000"/>
          <w:szCs w:val="21"/>
        </w:rPr>
        <w:t>1、</w:t>
      </w:r>
      <w:r>
        <w:rPr>
          <w:rFonts w:hint="eastAsia" w:hAnsi="宋体"/>
          <w:b/>
          <w:color w:val="FF0000"/>
          <w:szCs w:val="21"/>
          <w:lang w:eastAsia="zh-CN"/>
        </w:rPr>
        <w:t>总周期</w:t>
      </w:r>
      <w:r>
        <w:rPr>
          <w:rFonts w:hint="eastAsia" w:hAnsi="宋体"/>
          <w:b/>
          <w:color w:val="FF0000"/>
          <w:szCs w:val="21"/>
        </w:rPr>
        <w:t>：</w:t>
      </w:r>
      <w:r>
        <w:rPr>
          <w:rFonts w:hint="eastAsia" w:hAnsi="宋体"/>
          <w:b/>
          <w:color w:val="FF0000"/>
          <w:szCs w:val="21"/>
          <w:lang w:val="en-US" w:eastAsia="zh-CN"/>
        </w:rPr>
        <w:t>90日历天</w:t>
      </w:r>
      <w:r>
        <w:rPr>
          <w:rFonts w:hint="eastAsia" w:hAnsi="宋体"/>
          <w:b/>
          <w:color w:val="FF0000"/>
          <w:szCs w:val="21"/>
          <w:lang w:eastAsia="zh-CN"/>
        </w:rPr>
        <w:t>。其中</w:t>
      </w:r>
      <w:r>
        <w:rPr>
          <w:rFonts w:hint="eastAsia" w:hAnsi="宋体"/>
          <w:b/>
          <w:color w:val="FF0000"/>
          <w:szCs w:val="21"/>
        </w:rPr>
        <w:t>：中标通知书发放后15</w:t>
      </w:r>
      <w:r>
        <w:rPr>
          <w:rFonts w:hint="eastAsia" w:hAnsi="宋体"/>
          <w:b/>
          <w:color w:val="FF0000"/>
          <w:szCs w:val="21"/>
          <w:lang w:eastAsia="zh-CN"/>
        </w:rPr>
        <w:t>日历</w:t>
      </w:r>
      <w:r>
        <w:rPr>
          <w:rFonts w:hint="eastAsia" w:hAnsi="宋体"/>
          <w:b/>
          <w:color w:val="FF0000"/>
          <w:szCs w:val="21"/>
        </w:rPr>
        <w:t>天内完成施工图设计并报发包人审查</w:t>
      </w:r>
      <w:r>
        <w:rPr>
          <w:rFonts w:hint="eastAsia" w:hAnsi="宋体"/>
          <w:b/>
          <w:color w:val="FF0000"/>
          <w:szCs w:val="21"/>
          <w:lang w:eastAsia="zh-CN"/>
        </w:rPr>
        <w:t>，施工工期</w:t>
      </w:r>
      <w:r>
        <w:rPr>
          <w:rFonts w:hint="eastAsia" w:hAnsi="宋体"/>
          <w:b/>
          <w:color w:val="FF0000"/>
          <w:szCs w:val="21"/>
          <w:lang w:val="en-US" w:eastAsia="zh-CN"/>
        </w:rPr>
        <w:t>75日历天。</w:t>
      </w:r>
    </w:p>
    <w:p>
      <w:pPr>
        <w:spacing w:line="420" w:lineRule="exact"/>
        <w:outlineLvl w:val="0"/>
        <w:rPr>
          <w:rFonts w:hAnsi="宋体"/>
          <w:b/>
          <w:szCs w:val="21"/>
        </w:rPr>
      </w:pPr>
      <w:r>
        <w:rPr>
          <w:rFonts w:hint="eastAsia" w:hAnsi="宋体"/>
          <w:b/>
          <w:szCs w:val="21"/>
        </w:rPr>
        <w:t>2、设计阶段审查日期的延误：因出图时间原因引起的延误承包人自行承担。应由招标人完成的前期报批、采购确认、后期验收等内容导致的工期延误，根据责任情况双方共同承担。</w:t>
      </w:r>
    </w:p>
    <w:p>
      <w:pPr>
        <w:spacing w:line="420" w:lineRule="exact"/>
        <w:outlineLvl w:val="0"/>
        <w:rPr>
          <w:rFonts w:hAnsi="宋体"/>
          <w:b/>
          <w:szCs w:val="21"/>
        </w:rPr>
      </w:pPr>
      <w:r>
        <w:rPr>
          <w:rFonts w:hint="eastAsia" w:hAnsi="宋体"/>
          <w:b/>
          <w:szCs w:val="21"/>
        </w:rPr>
        <w:t>四、工程质量标准</w:t>
      </w:r>
    </w:p>
    <w:p>
      <w:pPr>
        <w:spacing w:line="420" w:lineRule="exact"/>
        <w:outlineLvl w:val="0"/>
        <w:rPr>
          <w:rFonts w:hAnsi="宋体"/>
          <w:szCs w:val="21"/>
        </w:rPr>
      </w:pPr>
      <w:r>
        <w:rPr>
          <w:rFonts w:hint="eastAsia" w:hAnsi="宋体"/>
          <w:szCs w:val="21"/>
        </w:rPr>
        <w:t>达到“合格”标准；设计达到有关施工图的深度要求及本工程涉及的相关专业设计规范；施工达到各专业工程施工质量验收规范。符合国家和省、市有关工程工艺标准和质量验收标准。</w:t>
      </w:r>
    </w:p>
    <w:p>
      <w:pPr>
        <w:spacing w:line="420" w:lineRule="exact"/>
        <w:outlineLvl w:val="0"/>
        <w:rPr>
          <w:rFonts w:hAnsi="宋体"/>
          <w:b/>
          <w:szCs w:val="21"/>
        </w:rPr>
      </w:pPr>
      <w:r>
        <w:rPr>
          <w:rFonts w:hint="eastAsia" w:hAnsi="宋体"/>
          <w:b/>
          <w:szCs w:val="21"/>
        </w:rPr>
        <w:t>五、合同价格和付款货币</w:t>
      </w:r>
    </w:p>
    <w:p>
      <w:pPr>
        <w:spacing w:line="420" w:lineRule="exact"/>
        <w:ind w:firstLine="420"/>
        <w:rPr>
          <w:rFonts w:hAnsi="宋体"/>
          <w:szCs w:val="21"/>
        </w:rPr>
      </w:pPr>
      <w:r>
        <w:rPr>
          <w:rFonts w:hint="eastAsia" w:hAnsi="宋体"/>
          <w:szCs w:val="21"/>
        </w:rPr>
        <w:t>合同价格为人民币</w:t>
      </w:r>
      <w:r>
        <w:rPr>
          <w:rFonts w:hAnsi="宋体"/>
          <w:szCs w:val="21"/>
        </w:rPr>
        <w:t>(</w:t>
      </w:r>
      <w:r>
        <w:rPr>
          <w:rFonts w:hint="eastAsia" w:hAnsi="宋体"/>
          <w:szCs w:val="21"/>
        </w:rPr>
        <w:t>大写</w:t>
      </w:r>
      <w:r>
        <w:rPr>
          <w:rFonts w:hAnsi="宋体"/>
          <w:szCs w:val="21"/>
        </w:rPr>
        <w:t>)</w:t>
      </w:r>
      <w:r>
        <w:rPr>
          <w:rFonts w:hint="eastAsia" w:hAnsi="宋体"/>
          <w:szCs w:val="21"/>
        </w:rPr>
        <w:t>：</w:t>
      </w:r>
      <w:r>
        <w:rPr>
          <w:rFonts w:hAnsi="宋体"/>
          <w:szCs w:val="21"/>
          <w:u w:val="single"/>
        </w:rPr>
        <w:t xml:space="preserve">    </w:t>
      </w:r>
      <w:r>
        <w:rPr>
          <w:rFonts w:hint="eastAsia" w:hAnsi="宋体"/>
          <w:szCs w:val="21"/>
          <w:u w:val="single"/>
        </w:rPr>
        <w:t xml:space="preserve">     </w:t>
      </w:r>
      <w:r>
        <w:rPr>
          <w:rFonts w:hint="eastAsia" w:hAnsi="宋体"/>
          <w:szCs w:val="21"/>
        </w:rPr>
        <w:t>元</w:t>
      </w:r>
      <w:r>
        <w:rPr>
          <w:rFonts w:hAnsi="宋体"/>
          <w:szCs w:val="21"/>
        </w:rPr>
        <w:t>(</w:t>
      </w:r>
      <w:r>
        <w:rPr>
          <w:rFonts w:hint="eastAsia" w:hAnsi="宋体"/>
          <w:szCs w:val="21"/>
        </w:rPr>
        <w:t>小写金额：</w:t>
      </w:r>
      <w:r>
        <w:rPr>
          <w:rFonts w:hAnsi="宋体"/>
          <w:szCs w:val="21"/>
          <w:u w:val="single"/>
        </w:rPr>
        <w:t xml:space="preserve">       </w:t>
      </w:r>
      <w:r>
        <w:rPr>
          <w:rFonts w:hint="eastAsia" w:hAnsi="宋体"/>
          <w:szCs w:val="21"/>
        </w:rPr>
        <w:t>元</w:t>
      </w:r>
      <w:r>
        <w:rPr>
          <w:rFonts w:hAnsi="宋体"/>
          <w:szCs w:val="21"/>
        </w:rPr>
        <w:t>)</w:t>
      </w:r>
      <w:r>
        <w:rPr>
          <w:rFonts w:hint="eastAsia" w:hAnsi="宋体"/>
          <w:szCs w:val="21"/>
        </w:rPr>
        <w:t>。</w:t>
      </w:r>
    </w:p>
    <w:p>
      <w:pPr>
        <w:spacing w:line="420" w:lineRule="exact"/>
        <w:outlineLvl w:val="0"/>
        <w:rPr>
          <w:rFonts w:hAnsi="宋体"/>
          <w:b/>
          <w:szCs w:val="21"/>
        </w:rPr>
      </w:pPr>
      <w:r>
        <w:rPr>
          <w:rFonts w:hint="eastAsia" w:hAnsi="宋体"/>
          <w:b/>
          <w:szCs w:val="21"/>
        </w:rPr>
        <w:t>六、定义与解释</w:t>
      </w:r>
    </w:p>
    <w:p>
      <w:pPr>
        <w:spacing w:line="420" w:lineRule="exact"/>
        <w:rPr>
          <w:rFonts w:hAnsi="宋体"/>
          <w:szCs w:val="21"/>
        </w:rPr>
      </w:pPr>
      <w:r>
        <w:rPr>
          <w:rFonts w:hint="eastAsia" w:hAnsi="宋体"/>
          <w:szCs w:val="21"/>
        </w:rPr>
        <w:t>本协议书中有关词语的含义与通用条款中赋予的定义与解释相同。</w:t>
      </w:r>
    </w:p>
    <w:p>
      <w:pPr>
        <w:spacing w:line="420" w:lineRule="exact"/>
        <w:outlineLvl w:val="0"/>
        <w:rPr>
          <w:rFonts w:hAnsi="宋体"/>
          <w:szCs w:val="21"/>
        </w:rPr>
      </w:pPr>
      <w:r>
        <w:rPr>
          <w:rFonts w:hint="eastAsia" w:hAnsi="宋体"/>
          <w:b/>
          <w:szCs w:val="21"/>
        </w:rPr>
        <w:t>七、合同生效</w:t>
      </w:r>
    </w:p>
    <w:p>
      <w:pPr>
        <w:spacing w:line="420" w:lineRule="exact"/>
        <w:rPr>
          <w:rFonts w:hAnsi="宋体"/>
          <w:szCs w:val="21"/>
          <w:u w:val="single"/>
        </w:rPr>
      </w:pPr>
      <w:r>
        <w:rPr>
          <w:rFonts w:hint="eastAsia" w:hAnsi="宋体"/>
          <w:szCs w:val="21"/>
        </w:rPr>
        <w:t>本合同在以下条件全部满足之后生效：</w:t>
      </w:r>
      <w:r>
        <w:rPr>
          <w:rFonts w:hint="eastAsia" w:hAnsi="宋体"/>
          <w:szCs w:val="21"/>
          <w:u w:val="single"/>
        </w:rPr>
        <w:t>本合同经发包人、承包人双方签字盖章后生效。</w:t>
      </w:r>
    </w:p>
    <w:p>
      <w:pPr>
        <w:spacing w:line="420" w:lineRule="exact"/>
        <w:rPr>
          <w:rFonts w:hAnsi="宋体"/>
          <w:szCs w:val="21"/>
        </w:rPr>
      </w:pPr>
      <w:r>
        <w:rPr>
          <w:rFonts w:hint="eastAsia" w:hAnsi="宋体"/>
          <w:szCs w:val="21"/>
        </w:rPr>
        <w:t>发包人：                                  承包人：</w:t>
      </w:r>
    </w:p>
    <w:p>
      <w:pPr>
        <w:spacing w:line="420" w:lineRule="exact"/>
        <w:rPr>
          <w:rFonts w:hAnsi="宋体"/>
          <w:szCs w:val="21"/>
        </w:rPr>
      </w:pPr>
      <w:r>
        <w:rPr>
          <w:rFonts w:hAnsi="宋体"/>
          <w:szCs w:val="21"/>
        </w:rPr>
        <w:t xml:space="preserve"> (</w:t>
      </w:r>
      <w:r>
        <w:rPr>
          <w:rFonts w:hint="eastAsia" w:hAnsi="宋体"/>
          <w:szCs w:val="21"/>
        </w:rPr>
        <w:t>公章</w:t>
      </w:r>
      <w:r>
        <w:rPr>
          <w:rFonts w:hAnsi="宋体"/>
          <w:szCs w:val="21"/>
        </w:rPr>
        <w:t xml:space="preserve">)                   </w:t>
      </w:r>
      <w:r>
        <w:rPr>
          <w:rFonts w:hint="eastAsia" w:hAnsi="宋体"/>
          <w:szCs w:val="21"/>
        </w:rPr>
        <w:t xml:space="preserve">               </w:t>
      </w:r>
      <w:r>
        <w:rPr>
          <w:rFonts w:hAnsi="宋体"/>
          <w:szCs w:val="21"/>
        </w:rPr>
        <w:t>(</w:t>
      </w:r>
      <w:r>
        <w:rPr>
          <w:rFonts w:hint="eastAsia" w:hAnsi="宋体"/>
          <w:szCs w:val="21"/>
        </w:rPr>
        <w:t>公章</w:t>
      </w:r>
      <w:r>
        <w:rPr>
          <w:rFonts w:hAnsi="宋体"/>
          <w:szCs w:val="21"/>
        </w:rPr>
        <w:t>)</w:t>
      </w:r>
    </w:p>
    <w:p>
      <w:pPr>
        <w:spacing w:line="420" w:lineRule="exact"/>
        <w:rPr>
          <w:rFonts w:hAnsi="宋体"/>
          <w:szCs w:val="21"/>
        </w:rPr>
      </w:pPr>
      <w:r>
        <w:rPr>
          <w:rFonts w:hint="eastAsia" w:hAnsi="宋体"/>
          <w:szCs w:val="21"/>
        </w:rPr>
        <w:t>法定代表人或其授权代表：                  法定代表人或其授权代表：</w:t>
      </w:r>
    </w:p>
    <w:p>
      <w:pPr>
        <w:spacing w:line="420" w:lineRule="exact"/>
        <w:rPr>
          <w:rFonts w:hAnsi="宋体"/>
          <w:szCs w:val="21"/>
        </w:rPr>
      </w:pPr>
      <w:r>
        <w:rPr>
          <w:rFonts w:hAnsi="宋体"/>
          <w:szCs w:val="21"/>
        </w:rPr>
        <w:t xml:space="preserve">  (</w:t>
      </w:r>
      <w:r>
        <w:rPr>
          <w:rFonts w:hint="eastAsia" w:hAnsi="宋体"/>
          <w:szCs w:val="21"/>
        </w:rPr>
        <w:t>签字或盖章</w:t>
      </w:r>
      <w:r>
        <w:rPr>
          <w:rFonts w:hAnsi="宋体"/>
          <w:szCs w:val="21"/>
        </w:rPr>
        <w:t>)                             (</w:t>
      </w:r>
      <w:r>
        <w:rPr>
          <w:rFonts w:hint="eastAsia" w:hAnsi="宋体"/>
          <w:szCs w:val="21"/>
        </w:rPr>
        <w:t>签字或盖章</w:t>
      </w:r>
      <w:r>
        <w:rPr>
          <w:rFonts w:hAnsi="宋体"/>
          <w:szCs w:val="21"/>
        </w:rPr>
        <w:t>)</w:t>
      </w:r>
    </w:p>
    <w:p>
      <w:pPr>
        <w:spacing w:line="420" w:lineRule="exact"/>
        <w:rPr>
          <w:rFonts w:hAnsi="宋体"/>
          <w:szCs w:val="21"/>
        </w:rPr>
      </w:pPr>
      <w:r>
        <w:rPr>
          <w:rFonts w:hint="eastAsia" w:hAnsi="宋体"/>
          <w:szCs w:val="21"/>
        </w:rPr>
        <w:t>工商注册住所：                            工商注册住所：</w:t>
      </w:r>
    </w:p>
    <w:p>
      <w:pPr>
        <w:spacing w:line="420" w:lineRule="exact"/>
        <w:rPr>
          <w:rFonts w:hAnsi="宋体"/>
          <w:szCs w:val="21"/>
        </w:rPr>
      </w:pPr>
      <w:r>
        <w:rPr>
          <w:rFonts w:hint="eastAsia" w:hAnsi="宋体"/>
          <w:szCs w:val="21"/>
        </w:rPr>
        <w:t>企业组织机构代码：                        企业组织机构代码：</w:t>
      </w:r>
    </w:p>
    <w:p>
      <w:pPr>
        <w:spacing w:line="420" w:lineRule="exact"/>
        <w:rPr>
          <w:rFonts w:hAnsi="宋体"/>
          <w:szCs w:val="21"/>
        </w:rPr>
      </w:pPr>
      <w:r>
        <w:rPr>
          <w:rFonts w:hint="eastAsia" w:hAnsi="宋体"/>
          <w:szCs w:val="21"/>
        </w:rPr>
        <w:t>邮政编码：                                邮政编码：</w:t>
      </w:r>
    </w:p>
    <w:p>
      <w:pPr>
        <w:spacing w:line="420" w:lineRule="exact"/>
        <w:rPr>
          <w:rFonts w:hAnsi="宋体"/>
          <w:szCs w:val="21"/>
        </w:rPr>
      </w:pPr>
      <w:r>
        <w:rPr>
          <w:rFonts w:hint="eastAsia" w:hAnsi="宋体"/>
          <w:szCs w:val="21"/>
        </w:rPr>
        <w:t>法定代表人：                              法定代表人：</w:t>
      </w:r>
    </w:p>
    <w:p>
      <w:pPr>
        <w:spacing w:line="420" w:lineRule="exact"/>
        <w:rPr>
          <w:rFonts w:hAnsi="宋体"/>
          <w:szCs w:val="21"/>
        </w:rPr>
      </w:pPr>
      <w:r>
        <w:rPr>
          <w:rFonts w:hint="eastAsia" w:hAnsi="宋体"/>
          <w:szCs w:val="21"/>
        </w:rPr>
        <w:t>电话：                                    电话：</w:t>
      </w:r>
    </w:p>
    <w:p>
      <w:pPr>
        <w:spacing w:line="420" w:lineRule="exact"/>
        <w:rPr>
          <w:rFonts w:hAnsi="宋体"/>
          <w:szCs w:val="21"/>
        </w:rPr>
      </w:pPr>
      <w:r>
        <w:rPr>
          <w:rFonts w:hint="eastAsia" w:hAnsi="宋体"/>
          <w:szCs w:val="21"/>
        </w:rPr>
        <w:t>传真：                                    传真：</w:t>
      </w:r>
    </w:p>
    <w:p>
      <w:pPr>
        <w:spacing w:line="420" w:lineRule="exact"/>
        <w:rPr>
          <w:rFonts w:hAnsi="宋体"/>
          <w:szCs w:val="21"/>
        </w:rPr>
      </w:pPr>
      <w:r>
        <w:rPr>
          <w:rFonts w:hint="eastAsia" w:hAnsi="宋体"/>
          <w:szCs w:val="21"/>
        </w:rPr>
        <w:t>电子邮箱：                                电子邮箱：</w:t>
      </w:r>
    </w:p>
    <w:p>
      <w:pPr>
        <w:spacing w:line="420" w:lineRule="exact"/>
        <w:rPr>
          <w:rFonts w:hAnsi="宋体"/>
          <w:szCs w:val="21"/>
        </w:rPr>
      </w:pPr>
      <w:r>
        <w:rPr>
          <w:rFonts w:hint="eastAsia" w:hAnsi="宋体"/>
          <w:szCs w:val="21"/>
        </w:rPr>
        <w:t>开户银行：                                开户银行：</w:t>
      </w:r>
    </w:p>
    <w:p>
      <w:pPr>
        <w:spacing w:line="420" w:lineRule="exact"/>
        <w:rPr>
          <w:rFonts w:hAnsi="宋体"/>
          <w:szCs w:val="21"/>
        </w:rPr>
      </w:pPr>
      <w:r>
        <w:rPr>
          <w:rFonts w:hint="eastAsia" w:hAnsi="宋体"/>
          <w:szCs w:val="21"/>
        </w:rPr>
        <w:t>账号：                                    账号：</w:t>
      </w:r>
    </w:p>
    <w:p>
      <w:pPr>
        <w:spacing w:line="420" w:lineRule="exact"/>
        <w:rPr>
          <w:rFonts w:hAnsi="宋体"/>
          <w:szCs w:val="21"/>
        </w:rPr>
      </w:pPr>
      <w:r>
        <w:rPr>
          <w:rFonts w:hint="eastAsia" w:hAnsi="宋体"/>
          <w:szCs w:val="21"/>
        </w:rPr>
        <w:t>合同订立时间： 年 月 日</w:t>
      </w:r>
    </w:p>
    <w:p>
      <w:pPr>
        <w:spacing w:line="420" w:lineRule="exact"/>
        <w:rPr>
          <w:rFonts w:hAnsi="宋体"/>
          <w:szCs w:val="21"/>
          <w:u w:val="single"/>
        </w:rPr>
      </w:pPr>
      <w:r>
        <w:rPr>
          <w:rFonts w:hint="eastAsia" w:hAnsi="宋体"/>
          <w:szCs w:val="21"/>
        </w:rPr>
        <w:t>合同订立地点：</w:t>
      </w:r>
      <w:r>
        <w:rPr>
          <w:rFonts w:hint="eastAsia" w:hAnsi="宋体"/>
          <w:szCs w:val="21"/>
          <w:u w:val="single"/>
        </w:rPr>
        <w:t>苍南县</w:t>
      </w:r>
    </w:p>
    <w:p>
      <w:pPr>
        <w:spacing w:line="360" w:lineRule="auto"/>
        <w:jc w:val="center"/>
        <w:outlineLvl w:val="0"/>
        <w:rPr>
          <w:rFonts w:hAnsi="宋体"/>
          <w:b/>
          <w:sz w:val="36"/>
          <w:szCs w:val="36"/>
        </w:rPr>
      </w:pPr>
      <w:r>
        <w:rPr>
          <w:rFonts w:hAnsi="宋体"/>
          <w:szCs w:val="21"/>
        </w:rPr>
        <w:br w:type="page"/>
      </w:r>
      <w:r>
        <w:rPr>
          <w:rFonts w:hint="eastAsia" w:hAnsi="宋体"/>
          <w:b/>
          <w:sz w:val="36"/>
          <w:szCs w:val="36"/>
        </w:rPr>
        <w:t>第二部分  通用条款</w:t>
      </w:r>
    </w:p>
    <w:p>
      <w:pPr>
        <w:spacing w:line="360" w:lineRule="auto"/>
        <w:jc w:val="center"/>
        <w:outlineLvl w:val="0"/>
        <w:rPr>
          <w:rFonts w:hAnsi="宋体"/>
          <w:b/>
          <w:sz w:val="36"/>
          <w:szCs w:val="36"/>
        </w:rPr>
      </w:pPr>
      <w:r>
        <w:rPr>
          <w:rFonts w:hint="eastAsia" w:hAnsi="宋体"/>
          <w:b/>
          <w:sz w:val="36"/>
          <w:szCs w:val="36"/>
        </w:rPr>
        <w:t>（略）</w:t>
      </w:r>
    </w:p>
    <w:p>
      <w:pPr>
        <w:pStyle w:val="4"/>
        <w:tabs>
          <w:tab w:val="left" w:pos="0"/>
          <w:tab w:val="left" w:pos="630"/>
        </w:tabs>
        <w:adjustRightInd w:val="0"/>
        <w:snapToGrid w:val="0"/>
        <w:spacing w:before="200" w:after="200" w:line="500" w:lineRule="exact"/>
        <w:ind w:firstLine="420"/>
        <w:jc w:val="center"/>
        <w:rPr>
          <w:rFonts w:ascii="宋体" w:hAnsi="宋体" w:eastAsia="宋体" w:cs="宋体"/>
          <w:bCs w:val="0"/>
          <w:sz w:val="24"/>
          <w:szCs w:val="24"/>
        </w:rPr>
      </w:pPr>
      <w:bookmarkStart w:id="95" w:name="_Toc357321394"/>
      <w:bookmarkStart w:id="96" w:name="_Toc357026799"/>
      <w:bookmarkStart w:id="97" w:name="_Toc247514197"/>
      <w:bookmarkStart w:id="98" w:name="_Toc247527798"/>
      <w:bookmarkStart w:id="99" w:name="_Toc184635122"/>
      <w:r>
        <w:rPr>
          <w:rFonts w:hint="eastAsia" w:ascii="宋体" w:hAnsi="宋体" w:cs="宋体"/>
          <w:bCs w:val="0"/>
          <w:sz w:val="30"/>
          <w:szCs w:val="30"/>
        </w:rPr>
        <w:t>第三部分</w:t>
      </w:r>
      <w:r>
        <w:rPr>
          <w:rFonts w:hint="eastAsia" w:ascii="宋体" w:hAnsi="宋体" w:eastAsia="宋体" w:cs="宋体"/>
          <w:bCs w:val="0"/>
          <w:sz w:val="28"/>
          <w:szCs w:val="28"/>
        </w:rPr>
        <w:t>专用合同条款</w:t>
      </w:r>
      <w:bookmarkEnd w:id="95"/>
      <w:bookmarkEnd w:id="96"/>
      <w:bookmarkEnd w:id="97"/>
      <w:bookmarkEnd w:id="98"/>
      <w:bookmarkEnd w:id="99"/>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100" w:name="_Toc357321395"/>
      <w:bookmarkStart w:id="101" w:name="_Toc357026800"/>
      <w:r>
        <w:rPr>
          <w:rFonts w:hint="eastAsia" w:ascii="宋体" w:cs="宋体"/>
          <w:bCs w:val="0"/>
          <w:i w:val="0"/>
          <w:sz w:val="21"/>
          <w:szCs w:val="21"/>
        </w:rPr>
        <w:t>1. 一般约定</w:t>
      </w:r>
      <w:bookmarkEnd w:id="100"/>
      <w:bookmarkEnd w:id="101"/>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02" w:name="_Toc357026801"/>
      <w:bookmarkStart w:id="103" w:name="_Toc357321396"/>
      <w:r>
        <w:rPr>
          <w:rFonts w:hint="eastAsia" w:ascii="宋体" w:cs="宋体"/>
          <w:bCs w:val="0"/>
          <w:i w:val="0"/>
          <w:sz w:val="21"/>
          <w:szCs w:val="21"/>
        </w:rPr>
        <w:t>1.1定义与解释</w:t>
      </w:r>
      <w:bookmarkEnd w:id="102"/>
      <w:bookmarkEnd w:id="103"/>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04" w:name="_Toc357026802"/>
      <w:bookmarkStart w:id="105" w:name="_Toc357321397"/>
      <w:r>
        <w:rPr>
          <w:rFonts w:hint="eastAsia" w:ascii="宋体" w:cs="宋体"/>
          <w:bCs w:val="0"/>
          <w:i w:val="0"/>
          <w:sz w:val="21"/>
          <w:szCs w:val="21"/>
        </w:rPr>
        <w:t>1.2 法律</w:t>
      </w:r>
      <w:bookmarkEnd w:id="104"/>
      <w:bookmarkEnd w:id="105"/>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适用于合同的法律包括：</w:t>
      </w:r>
      <w:r>
        <w:rPr>
          <w:rFonts w:hint="eastAsia" w:hAnsi="宋体" w:cs="宋体"/>
          <w:szCs w:val="21"/>
          <w:u w:val="single"/>
        </w:rPr>
        <w:t>（1）国家、浙江省、温州市颁布的法律、法规及行政规章制度。包括但不限于以下法律、条例：《中华人民共和国建筑法》、《</w:t>
      </w:r>
      <w:r>
        <w:rPr>
          <w:rFonts w:hint="eastAsia" w:hAnsi="宋体" w:cs="宋体"/>
          <w:szCs w:val="21"/>
          <w:u w:val="single"/>
          <w:lang w:eastAsia="zh-CN"/>
        </w:rPr>
        <w:t>中华人民共和国民法典</w:t>
      </w:r>
      <w:r>
        <w:rPr>
          <w:rFonts w:hint="eastAsia" w:hAnsi="宋体" w:cs="宋体"/>
          <w:szCs w:val="21"/>
          <w:u w:val="single"/>
        </w:rPr>
        <w:t>》、《建筑工程质量管理条例》、《建设工程安全生产管理条例》；（2）经上级有关部门及建设行政主管部门批准的初步设计文件及批复、概预算书、建设计划、设计施工图等有关技术经济文件。（3）国家和地方现行的工程承包、施工验收规范、工程质量验收标准。</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06" w:name="_Toc357321398"/>
      <w:bookmarkStart w:id="107" w:name="_Toc357026803"/>
      <w:r>
        <w:rPr>
          <w:rFonts w:hint="eastAsia" w:ascii="宋体" w:cs="宋体"/>
          <w:bCs w:val="0"/>
          <w:i w:val="0"/>
          <w:sz w:val="21"/>
          <w:szCs w:val="21"/>
        </w:rPr>
        <w:t>1.3文件的提供和照管</w:t>
      </w:r>
      <w:bookmarkEnd w:id="106"/>
      <w:bookmarkEnd w:id="107"/>
    </w:p>
    <w:p>
      <w:pPr>
        <w:tabs>
          <w:tab w:val="left" w:pos="0"/>
          <w:tab w:val="left" w:pos="630"/>
        </w:tabs>
        <w:snapToGrid w:val="0"/>
        <w:spacing w:line="500" w:lineRule="exact"/>
        <w:ind w:firstLine="420"/>
        <w:rPr>
          <w:rFonts w:hAnsi="宋体" w:cs="宋体"/>
          <w:szCs w:val="21"/>
        </w:rPr>
      </w:pPr>
      <w:r>
        <w:rPr>
          <w:rFonts w:hint="eastAsia" w:hAnsi="宋体" w:cs="宋体"/>
          <w:szCs w:val="21"/>
        </w:rPr>
        <w:t>1.3.1 承包人文件的提供：</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承包商应编制月进度报告，一式 5 份，提交给业主。</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每次报告应包括：</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(a)设计、承包商文件、采购、制造、货物运达现场、施工、安装、试验、调试和试运行等每一阶段进展情况的图表和详细说明；</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(b)材料的质量保证文件、试验结果及合格证的副本；</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(c)安全统计，包括对环境和公共关系有危害的任何事件和活动的详细情况；</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(d)实际进度与计划进度的对比，包括可能影响按合同竣工的任何事件或情况的详细，以及为消除延误正在（或准备）采取的措施。</w:t>
      </w:r>
    </w:p>
    <w:p>
      <w:pPr>
        <w:tabs>
          <w:tab w:val="left" w:pos="0"/>
          <w:tab w:val="left" w:pos="630"/>
        </w:tabs>
        <w:snapToGrid w:val="0"/>
        <w:spacing w:line="500" w:lineRule="exact"/>
        <w:ind w:firstLine="420"/>
        <w:rPr>
          <w:rFonts w:hAnsi="宋体" w:cs="宋体"/>
          <w:szCs w:val="21"/>
        </w:rPr>
      </w:pPr>
      <w:r>
        <w:rPr>
          <w:rFonts w:hint="eastAsia" w:hAnsi="宋体" w:cs="宋体"/>
          <w:szCs w:val="21"/>
        </w:rPr>
        <w:t>1.3.2 发包人提供的文件：</w:t>
      </w:r>
      <w:r>
        <w:rPr>
          <w:rFonts w:hint="eastAsia" w:hAnsi="宋体" w:cs="宋体"/>
          <w:szCs w:val="21"/>
          <w:u w:val="single"/>
        </w:rPr>
        <w:t xml:space="preserve"> 合同签订后7天内，发包人提供一式 2 份前期工作相关文件。</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108" w:name="_Toc357321399"/>
      <w:bookmarkStart w:id="109" w:name="_Toc357026804"/>
      <w:r>
        <w:rPr>
          <w:rFonts w:hint="eastAsia" w:ascii="宋体" w:cs="宋体"/>
          <w:bCs w:val="0"/>
          <w:i w:val="0"/>
          <w:sz w:val="21"/>
          <w:szCs w:val="21"/>
        </w:rPr>
        <w:t>2．发包人义务</w:t>
      </w:r>
      <w:bookmarkEnd w:id="108"/>
      <w:bookmarkEnd w:id="109"/>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10" w:name="_Toc357026805"/>
      <w:bookmarkStart w:id="111" w:name="_Toc357321400"/>
      <w:r>
        <w:rPr>
          <w:rFonts w:hint="eastAsia" w:ascii="宋体" w:cs="宋体"/>
          <w:bCs w:val="0"/>
          <w:i w:val="0"/>
          <w:sz w:val="21"/>
          <w:szCs w:val="21"/>
        </w:rPr>
        <w:t>2.1 提供施工场地：</w:t>
      </w:r>
      <w:bookmarkEnd w:id="110"/>
      <w:bookmarkEnd w:id="111"/>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在开工前，发包人将通过工程师提供施工场地，双方代表应做好现场的交验工作并签字确认。发包人提供施工用电接头、施工用水接口，电讯线路的接入由承包人自行解决。</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12" w:name="_Toc357321401"/>
      <w:bookmarkStart w:id="113" w:name="_Toc357026806"/>
      <w:r>
        <w:rPr>
          <w:rFonts w:hint="eastAsia" w:ascii="宋体" w:cs="宋体"/>
          <w:bCs w:val="0"/>
          <w:i w:val="0"/>
          <w:sz w:val="21"/>
          <w:szCs w:val="21"/>
        </w:rPr>
        <w:t>2.2其他义务</w:t>
      </w:r>
      <w:bookmarkEnd w:id="112"/>
      <w:bookmarkEnd w:id="113"/>
    </w:p>
    <w:p>
      <w:pPr>
        <w:tabs>
          <w:tab w:val="left" w:pos="0"/>
          <w:tab w:val="left" w:pos="630"/>
        </w:tabs>
        <w:snapToGrid w:val="0"/>
        <w:spacing w:line="500" w:lineRule="exact"/>
        <w:ind w:firstLine="420"/>
        <w:rPr>
          <w:rFonts w:hAnsi="宋体" w:cs="宋体"/>
          <w:szCs w:val="21"/>
        </w:rPr>
      </w:pPr>
      <w:r>
        <w:rPr>
          <w:rFonts w:hint="eastAsia" w:hAnsi="宋体" w:cs="宋体"/>
          <w:szCs w:val="21"/>
        </w:rPr>
        <w:t>（1）提供项目基础资料。发包人提供的项目基础资料的类别、内容、份数和时间：</w:t>
      </w:r>
      <w:r>
        <w:rPr>
          <w:rFonts w:hint="eastAsia" w:hAnsi="宋体" w:cs="宋体"/>
          <w:szCs w:val="21"/>
          <w:u w:val="single"/>
        </w:rPr>
        <w:t xml:space="preserve">   。</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（2）提供现场障碍资料。发包人提供的现场障碍资料的类别、内容、份数和时间：</w:t>
      </w:r>
      <w:r>
        <w:rPr>
          <w:rFonts w:hint="eastAsia" w:hAnsi="宋体" w:cs="宋体"/>
          <w:szCs w:val="21"/>
          <w:u w:val="single"/>
        </w:rPr>
        <w:t xml:space="preserve">   。</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14" w:name="_Toc357321402"/>
      <w:bookmarkStart w:id="115" w:name="_Toc357026807"/>
      <w:r>
        <w:rPr>
          <w:rFonts w:hint="eastAsia" w:ascii="宋体" w:cs="宋体"/>
          <w:bCs w:val="0"/>
          <w:i w:val="0"/>
          <w:sz w:val="21"/>
          <w:szCs w:val="21"/>
        </w:rPr>
        <w:t>2.3发包人代表</w:t>
      </w:r>
      <w:bookmarkEnd w:id="114"/>
      <w:bookmarkEnd w:id="115"/>
    </w:p>
    <w:p>
      <w:pPr>
        <w:tabs>
          <w:tab w:val="left" w:pos="0"/>
          <w:tab w:val="left" w:pos="630"/>
        </w:tabs>
        <w:snapToGrid w:val="0"/>
        <w:spacing w:line="500" w:lineRule="exact"/>
        <w:ind w:firstLine="420"/>
        <w:rPr>
          <w:rFonts w:hAnsi="宋体" w:cs="宋体"/>
          <w:szCs w:val="21"/>
        </w:rPr>
      </w:pPr>
      <w:r>
        <w:rPr>
          <w:rFonts w:hint="eastAsia" w:hAnsi="宋体" w:cs="宋体"/>
          <w:szCs w:val="21"/>
        </w:rPr>
        <w:t>发包人代表的姓名：</w:t>
      </w:r>
      <w:r>
        <w:rPr>
          <w:rFonts w:hint="eastAsia" w:hAnsi="宋体" w:cs="宋体"/>
          <w:szCs w:val="21"/>
          <w:u w:val="single"/>
        </w:rPr>
        <w:t xml:space="preserve">               ；</w:t>
      </w:r>
      <w:r>
        <w:rPr>
          <w:rFonts w:hint="eastAsia" w:hAnsi="宋体" w:cs="宋体"/>
          <w:szCs w:val="21"/>
        </w:rPr>
        <w:t xml:space="preserve"> </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发包人代表的职务：</w:t>
      </w:r>
      <w:r>
        <w:rPr>
          <w:rFonts w:hint="eastAsia" w:hAnsi="宋体" w:cs="宋体"/>
          <w:szCs w:val="21"/>
          <w:u w:val="single"/>
        </w:rPr>
        <w:t xml:space="preserve">               ；</w:t>
      </w:r>
    </w:p>
    <w:p>
      <w:pPr>
        <w:tabs>
          <w:tab w:val="left" w:pos="0"/>
          <w:tab w:val="left" w:pos="630"/>
        </w:tabs>
        <w:snapToGrid w:val="0"/>
        <w:spacing w:line="500" w:lineRule="exact"/>
        <w:ind w:firstLine="420"/>
        <w:rPr>
          <w:rFonts w:hAnsi="宋体" w:cs="宋体"/>
          <w:szCs w:val="21"/>
        </w:rPr>
      </w:pPr>
      <w:r>
        <w:rPr>
          <w:rFonts w:hint="eastAsia" w:hAnsi="宋体" w:cs="宋体"/>
          <w:szCs w:val="21"/>
        </w:rPr>
        <w:t>发包人代表的职责：</w:t>
      </w:r>
      <w:r>
        <w:rPr>
          <w:rFonts w:hint="eastAsia" w:hAnsi="宋体" w:cs="宋体"/>
          <w:szCs w:val="21"/>
          <w:u w:val="single"/>
        </w:rPr>
        <w:t xml:space="preserve"> 对工程建设进行管理和监督。</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116" w:name="_Toc357321403"/>
      <w:bookmarkStart w:id="117" w:name="_Toc357026808"/>
      <w:r>
        <w:rPr>
          <w:rFonts w:hint="eastAsia" w:ascii="宋体" w:cs="宋体"/>
          <w:bCs w:val="0"/>
          <w:i w:val="0"/>
          <w:sz w:val="21"/>
          <w:szCs w:val="21"/>
        </w:rPr>
        <w:t>3．监理人</w:t>
      </w:r>
      <w:bookmarkEnd w:id="116"/>
      <w:bookmarkEnd w:id="117"/>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18" w:name="_Toc357026809"/>
      <w:bookmarkStart w:id="119" w:name="_Toc357321404"/>
      <w:r>
        <w:rPr>
          <w:rFonts w:hint="eastAsia" w:ascii="宋体" w:cs="宋体"/>
          <w:bCs w:val="0"/>
          <w:i w:val="0"/>
          <w:sz w:val="21"/>
          <w:szCs w:val="21"/>
        </w:rPr>
        <w:t>3.1监理人的职责和权力</w:t>
      </w:r>
      <w:bookmarkEnd w:id="118"/>
      <w:bookmarkEnd w:id="119"/>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监理的范围：</w:t>
      </w:r>
      <w:r>
        <w:rPr>
          <w:rFonts w:hint="eastAsia" w:hAnsi="宋体" w:cs="宋体"/>
          <w:szCs w:val="21"/>
          <w:u w:val="single"/>
        </w:rPr>
        <w:t>本工程范围内的建设和缺陷责任期的保修服务。</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监理的内容：</w:t>
      </w:r>
      <w:r>
        <w:rPr>
          <w:rFonts w:hint="eastAsia" w:hAnsi="宋体" w:cs="宋体"/>
          <w:szCs w:val="21"/>
          <w:u w:val="single"/>
        </w:rPr>
        <w:t>详见《委托监理合同》内发包人委托的职权部分。本工程委托监理人监理。</w:t>
      </w:r>
    </w:p>
    <w:p>
      <w:pPr>
        <w:tabs>
          <w:tab w:val="left" w:pos="0"/>
          <w:tab w:val="left" w:pos="630"/>
        </w:tabs>
        <w:snapToGrid w:val="0"/>
        <w:spacing w:line="500" w:lineRule="exact"/>
        <w:ind w:firstLine="420"/>
        <w:rPr>
          <w:rFonts w:hAnsi="宋体" w:cs="宋体"/>
          <w:szCs w:val="21"/>
        </w:rPr>
      </w:pPr>
      <w:r>
        <w:rPr>
          <w:rFonts w:hint="eastAsia" w:hAnsi="宋体" w:cs="宋体"/>
          <w:szCs w:val="21"/>
        </w:rPr>
        <w:t>监理的职权：</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（1）监理人受发包人委托，享有合同约定的权力；</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（2）监理人依据发包人的授权发出的任何指示应视为已得到发包人的批准，但监理人无权免除或变更合同约定的发包人和承包人的权利、义务和责任；</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（3）合同约定应由承包人承担的义务和责任，不因监理人对承包人提交文件的审查或批准，对工程、材料和设备的检查和检验，以及为实施监理作出的指示等职务行为而减轻或解除。</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监理的权限：监理人在行使下列权力前需要经发包人事先书面批准：</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(1)同意承包人分包本工程的某些非主体和非关键性工作；</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(2)确定产生的费用增加额；</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(3)发布开工通知、暂停施工指示或复工通知；</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(4)决定工期延长、</w:t>
      </w:r>
      <w:r>
        <w:rPr>
          <w:rFonts w:hint="eastAsia" w:hAnsi="宋体" w:cs="宋体"/>
          <w:kern w:val="0"/>
          <w:szCs w:val="21"/>
        </w:rPr>
        <w:t>合同进度计划修订的批复和完工期限</w:t>
      </w:r>
      <w:r>
        <w:rPr>
          <w:rFonts w:hint="eastAsia" w:hAnsi="宋体" w:cs="宋体"/>
          <w:szCs w:val="21"/>
          <w:u w:val="single"/>
        </w:rPr>
        <w:t>；</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(5)审查批准技术规范或设计的变更；</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(6)发出变更指示；</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 xml:space="preserve"> (7)确定变更</w:t>
      </w:r>
      <w:r>
        <w:rPr>
          <w:rFonts w:hint="eastAsia" w:hAnsi="宋体" w:cs="宋体"/>
          <w:kern w:val="0"/>
          <w:szCs w:val="21"/>
          <w:u w:val="single"/>
        </w:rPr>
        <w:t>而变动的</w:t>
      </w:r>
      <w:r>
        <w:rPr>
          <w:rFonts w:hint="eastAsia" w:hAnsi="宋体" w:cs="宋体"/>
          <w:szCs w:val="21"/>
          <w:u w:val="single"/>
        </w:rPr>
        <w:t>的单价</w:t>
      </w:r>
      <w:r>
        <w:rPr>
          <w:rFonts w:hint="eastAsia" w:hAnsi="宋体" w:cs="宋体"/>
          <w:kern w:val="0"/>
          <w:szCs w:val="21"/>
          <w:u w:val="single"/>
        </w:rPr>
        <w:t>和合价</w:t>
      </w:r>
      <w:r>
        <w:rPr>
          <w:rFonts w:hint="eastAsia" w:hAnsi="宋体" w:cs="宋体"/>
          <w:szCs w:val="21"/>
          <w:u w:val="single"/>
        </w:rPr>
        <w:t>；</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 xml:space="preserve"> (8)确定索赔的批准或支付；</w:t>
      </w:r>
    </w:p>
    <w:p>
      <w:pPr>
        <w:tabs>
          <w:tab w:val="left" w:pos="0"/>
          <w:tab w:val="left" w:pos="630"/>
        </w:tabs>
        <w:snapToGrid w:val="0"/>
        <w:spacing w:line="500" w:lineRule="exact"/>
        <w:ind w:firstLine="420"/>
        <w:rPr>
          <w:rFonts w:hAnsi="宋体" w:cs="宋体"/>
          <w:kern w:val="0"/>
          <w:szCs w:val="21"/>
          <w:u w:val="single"/>
        </w:rPr>
      </w:pPr>
      <w:r>
        <w:rPr>
          <w:rFonts w:hint="eastAsia" w:hAnsi="宋体" w:cs="宋体"/>
          <w:szCs w:val="21"/>
          <w:u w:val="single"/>
        </w:rPr>
        <w:t>（9）</w:t>
      </w:r>
      <w:r>
        <w:rPr>
          <w:rFonts w:hint="eastAsia" w:hAnsi="宋体" w:cs="宋体"/>
          <w:kern w:val="0"/>
          <w:szCs w:val="21"/>
          <w:u w:val="single"/>
        </w:rPr>
        <w:t>承包人主要管理人员（项目经理、技术负责人、施工员、质检员等）的流动，重要设备的调迁；</w:t>
      </w:r>
    </w:p>
    <w:p>
      <w:pPr>
        <w:tabs>
          <w:tab w:val="left" w:pos="0"/>
          <w:tab w:val="left" w:pos="630"/>
        </w:tabs>
        <w:snapToGrid w:val="0"/>
        <w:spacing w:line="500" w:lineRule="exact"/>
        <w:ind w:firstLine="420"/>
        <w:rPr>
          <w:rFonts w:hAnsi="宋体" w:cs="宋体"/>
          <w:kern w:val="0"/>
          <w:szCs w:val="21"/>
          <w:u w:val="single"/>
        </w:rPr>
      </w:pPr>
      <w:r>
        <w:rPr>
          <w:rFonts w:hint="eastAsia" w:hAnsi="宋体" w:cs="宋体"/>
          <w:kern w:val="0"/>
          <w:szCs w:val="21"/>
          <w:u w:val="single"/>
        </w:rPr>
        <w:t>（10）有关影响工期、质量、合同价格的其它重大决定；</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如果发生紧急情况，监理人认为将造成人员伤亡，或危及本工程或邻近的财产需立即采取行动，监理人有权在未征得发包人的批准的情况下发布处理紧急情况所必需的指令，承包人应予执行。</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20" w:name="_Toc357321405"/>
      <w:bookmarkStart w:id="121" w:name="_Toc357026810"/>
      <w:r>
        <w:rPr>
          <w:rFonts w:hint="eastAsia" w:ascii="宋体" w:cs="宋体"/>
          <w:bCs w:val="0"/>
          <w:i w:val="0"/>
          <w:sz w:val="21"/>
          <w:szCs w:val="21"/>
        </w:rPr>
        <w:t>3.2 总监理工程师</w:t>
      </w:r>
      <w:bookmarkEnd w:id="120"/>
      <w:bookmarkEnd w:id="121"/>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工程总监理工程师姓名：</w:t>
      </w:r>
      <w:r>
        <w:rPr>
          <w:rFonts w:hint="eastAsia" w:hAnsi="宋体" w:cs="宋体"/>
          <w:szCs w:val="21"/>
          <w:u w:val="single"/>
        </w:rPr>
        <w:t>待定</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3.3总监理工程师的商定</w:t>
      </w:r>
    </w:p>
    <w:p>
      <w:pPr>
        <w:tabs>
          <w:tab w:val="left" w:pos="0"/>
          <w:tab w:val="left" w:pos="630"/>
        </w:tabs>
        <w:snapToGrid w:val="0"/>
        <w:spacing w:line="500" w:lineRule="exact"/>
        <w:ind w:firstLine="420"/>
        <w:rPr>
          <w:rFonts w:hAnsi="宋体" w:cs="宋体"/>
          <w:kern w:val="0"/>
          <w:szCs w:val="21"/>
        </w:rPr>
      </w:pPr>
      <w:r>
        <w:rPr>
          <w:rFonts w:hint="eastAsia" w:hAnsi="宋体" w:cs="宋体"/>
          <w:kern w:val="0"/>
          <w:szCs w:val="21"/>
        </w:rPr>
        <w:t>如果这项商定或确定导致费用增加或工期延长，或者涉及确定变更工程的价格，则总监理工程师在发出通知前，应征得发包人的同意。</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122" w:name="_Toc357026811"/>
      <w:bookmarkStart w:id="123" w:name="_Toc357321406"/>
      <w:r>
        <w:rPr>
          <w:rFonts w:hint="eastAsia" w:ascii="宋体" w:cs="宋体"/>
          <w:bCs w:val="0"/>
          <w:i w:val="0"/>
          <w:sz w:val="21"/>
          <w:szCs w:val="21"/>
        </w:rPr>
        <w:t>4. 承包人</w:t>
      </w:r>
      <w:bookmarkEnd w:id="122"/>
      <w:bookmarkEnd w:id="123"/>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24" w:name="_Toc357026812"/>
      <w:bookmarkStart w:id="125" w:name="_Toc357321407"/>
      <w:r>
        <w:rPr>
          <w:rFonts w:hint="eastAsia" w:ascii="宋体" w:cs="宋体"/>
          <w:bCs w:val="0"/>
          <w:i w:val="0"/>
          <w:sz w:val="21"/>
          <w:szCs w:val="21"/>
        </w:rPr>
        <w:t>4.1承包人的一般义务</w:t>
      </w:r>
      <w:bookmarkEnd w:id="124"/>
      <w:bookmarkEnd w:id="125"/>
    </w:p>
    <w:p>
      <w:pPr>
        <w:tabs>
          <w:tab w:val="left" w:pos="0"/>
          <w:tab w:val="left" w:pos="630"/>
        </w:tabs>
        <w:snapToGrid w:val="0"/>
        <w:spacing w:line="500" w:lineRule="exact"/>
        <w:ind w:firstLine="420"/>
        <w:rPr>
          <w:rFonts w:hAnsi="宋体" w:cs="宋体"/>
          <w:szCs w:val="21"/>
        </w:rPr>
      </w:pPr>
      <w:r>
        <w:rPr>
          <w:rFonts w:hint="eastAsia" w:hAnsi="宋体" w:cs="宋体"/>
          <w:szCs w:val="21"/>
        </w:rPr>
        <w:t>4.1.1 高质量完成设计任务并通过初步设计审查、施工图审查。提交工程总体施工组织设计的份数和时间：</w:t>
      </w:r>
      <w:r>
        <w:rPr>
          <w:rFonts w:hint="eastAsia" w:hAnsi="宋体" w:cs="宋体"/>
          <w:szCs w:val="21"/>
          <w:u w:val="single"/>
        </w:rPr>
        <w:t>施工前须提供详尽的施工方案及进度计划三份。</w:t>
      </w:r>
    </w:p>
    <w:p>
      <w:pPr>
        <w:tabs>
          <w:tab w:val="left" w:pos="0"/>
          <w:tab w:val="left" w:pos="630"/>
        </w:tabs>
        <w:snapToGrid w:val="0"/>
        <w:spacing w:line="500" w:lineRule="exact"/>
        <w:ind w:firstLine="420"/>
        <w:rPr>
          <w:rFonts w:hAnsi="宋体" w:cs="宋体"/>
          <w:szCs w:val="21"/>
        </w:rPr>
      </w:pPr>
      <w:r>
        <w:rPr>
          <w:rFonts w:hint="eastAsia" w:hAnsi="宋体" w:cs="宋体"/>
          <w:szCs w:val="21"/>
        </w:rPr>
        <w:t>4.1.2由承包人履行的其他义务：</w:t>
      </w:r>
      <w:r>
        <w:rPr>
          <w:rFonts w:hint="eastAsia" w:hAnsi="宋体" w:cs="宋体"/>
          <w:szCs w:val="21"/>
          <w:u w:val="single"/>
        </w:rPr>
        <w:t>施工用水、用电申请及场内用电接线及用水接管由承包人自理，施工用水、用电申请费用及通电、通水费用（包括容量费、自备发电机等一切费用）及表后工程费用由承包人自理。承包人应考虑自备发电设备，以防止施工过程中的临时停电对工程进度和质量等的影响，费用由承包人自理，计入总价，包干使用。</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各分包单位的施工用水电由承包人提供，费用分担另行详见分包项目分包合同或协议书。</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a</w:t>
      </w:r>
      <w:r>
        <w:rPr>
          <w:rFonts w:hint="eastAsia" w:hAnsi="宋体" w:cs="宋体"/>
          <w:szCs w:val="21"/>
          <w:u w:val="single"/>
        </w:rPr>
        <w:tab/>
      </w:r>
      <w:r>
        <w:rPr>
          <w:rFonts w:hint="eastAsia" w:hAnsi="宋体" w:cs="宋体"/>
          <w:szCs w:val="21"/>
          <w:u w:val="single"/>
        </w:rPr>
        <w:t>应提供计划、报表的名称及完成时间：开工前提供由监理工程师签证的工程进度计划、完成工程量报表及形象进度情况。</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b承担施工安全保卫工作及非夜间施工照明的责任和要求：由承包人承担施工安全保卫工作及非夜间施工照明的责任，并承担费用。</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c需承包人办理的有关施工场地交通、环卫和施工噪声管理等手续：其发生的费用由承包方支付，因承包方未及时办理等责任由承包方负责 ，并书面通知发包人。</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d已完工程成品保护的特殊要求及费用承担：由承包方负责并承担所需费用。</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e施工场周围地下管线和邻近建筑物、构筑物（含文物保护建筑）、古树名木的保护要求及费用承担：由承包人作好保护工作，由承包人承担费用。</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f施工场地清洁卫生的要求：由承包人做好现场清洁卫生工作承担费用。</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g双方约定承包人应做的其他工作：在施工现场作好安全警示和安全保卫工作，因安全防护工作不到位引发的一切事故均由承包人承担所有费用及相应的责任；施工中的相关资料必须由承包人归档上报（竣工图须提供电子版本） 。</w:t>
      </w:r>
    </w:p>
    <w:p>
      <w:pPr>
        <w:tabs>
          <w:tab w:val="left" w:pos="0"/>
          <w:tab w:val="left" w:pos="630"/>
        </w:tabs>
        <w:snapToGrid w:val="0"/>
        <w:spacing w:line="500" w:lineRule="exact"/>
        <w:ind w:firstLine="420"/>
        <w:rPr>
          <w:rFonts w:hAnsi="宋体" w:cs="宋体"/>
          <w:b/>
          <w:color w:val="FF0000"/>
          <w:szCs w:val="21"/>
          <w:u w:val="single"/>
        </w:rPr>
      </w:pPr>
      <w:r>
        <w:rPr>
          <w:rFonts w:hint="eastAsia" w:hAnsi="宋体" w:cs="宋体"/>
          <w:b/>
          <w:color w:val="FF0000"/>
          <w:szCs w:val="21"/>
          <w:u w:val="single"/>
        </w:rPr>
        <w:t>h</w:t>
      </w:r>
      <w:r>
        <w:rPr>
          <w:rFonts w:hint="eastAsia" w:hAnsi="宋体" w:cs="宋体"/>
          <w:b/>
          <w:color w:val="FF0000"/>
          <w:szCs w:val="21"/>
          <w:u w:val="single"/>
        </w:rPr>
        <w:tab/>
      </w:r>
      <w:r>
        <w:rPr>
          <w:rFonts w:hint="eastAsia" w:hAnsi="宋体" w:cs="宋体"/>
          <w:b/>
          <w:color w:val="FF0000"/>
          <w:szCs w:val="21"/>
          <w:u w:val="single"/>
        </w:rPr>
        <w:t>承包人应配合发包人组织施工图审查，并根据审查意见调整、修改相应成果报告，直至审查通过。</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i</w:t>
      </w:r>
      <w:r>
        <w:rPr>
          <w:rFonts w:hint="eastAsia" w:hAnsi="宋体" w:cs="宋体"/>
          <w:szCs w:val="21"/>
          <w:u w:val="single"/>
        </w:rPr>
        <w:tab/>
      </w:r>
      <w:r>
        <w:rPr>
          <w:rFonts w:hint="eastAsia" w:hAnsi="宋体" w:cs="宋体"/>
          <w:szCs w:val="21"/>
          <w:u w:val="single"/>
        </w:rPr>
        <w:t>其他：双方另行协商  。</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26" w:name="_Toc357321408"/>
      <w:bookmarkStart w:id="127" w:name="_Toc357026813"/>
      <w:r>
        <w:rPr>
          <w:rFonts w:hint="eastAsia" w:ascii="宋体" w:cs="宋体"/>
          <w:bCs w:val="0"/>
          <w:i w:val="0"/>
          <w:sz w:val="21"/>
          <w:szCs w:val="21"/>
        </w:rPr>
        <w:t>4.2履约担保</w:t>
      </w:r>
      <w:bookmarkEnd w:id="126"/>
      <w:bookmarkEnd w:id="127"/>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承包人按中标价的5%以</w:t>
      </w:r>
      <w:r>
        <w:rPr>
          <w:rFonts w:hint="eastAsia" w:hAnsi="宋体" w:cs="宋体"/>
          <w:szCs w:val="21"/>
          <w:u w:val="single"/>
          <w:lang w:eastAsia="zh-CN"/>
        </w:rPr>
        <w:t>银行转账、银行保函或保险保函</w:t>
      </w:r>
      <w:r>
        <w:rPr>
          <w:rFonts w:hint="eastAsia" w:hAnsi="宋体" w:cs="宋体"/>
          <w:szCs w:val="21"/>
          <w:u w:val="single"/>
        </w:rPr>
        <w:t>的形式在签订本合同协议书签订前提交履约担保。整个工程竣工验收合格后并由承包人提出申请十个工作日内无息退还履约担保。</w:t>
      </w:r>
    </w:p>
    <w:p>
      <w:pPr>
        <w:tabs>
          <w:tab w:val="left" w:pos="0"/>
          <w:tab w:val="left" w:pos="630"/>
        </w:tabs>
        <w:adjustRightInd w:val="0"/>
        <w:snapToGrid w:val="0"/>
        <w:spacing w:line="500" w:lineRule="exact"/>
        <w:ind w:firstLine="420"/>
        <w:rPr>
          <w:rFonts w:hAnsi="宋体" w:cs="宋体"/>
          <w:i/>
          <w:szCs w:val="21"/>
        </w:rPr>
      </w:pPr>
      <w:bookmarkStart w:id="128" w:name="_Toc357321409"/>
      <w:bookmarkStart w:id="129" w:name="_Toc357026814"/>
      <w:r>
        <w:rPr>
          <w:rFonts w:hint="eastAsia" w:hAnsi="宋体" w:cs="宋体"/>
          <w:szCs w:val="21"/>
        </w:rPr>
        <w:t>4.3分包和不得转包</w:t>
      </w:r>
      <w:bookmarkEnd w:id="128"/>
      <w:bookmarkEnd w:id="129"/>
      <w:r>
        <w:rPr>
          <w:rFonts w:hint="eastAsia" w:hAnsi="宋体" w:cs="宋体"/>
          <w:szCs w:val="21"/>
        </w:rPr>
        <w:t>。</w:t>
      </w:r>
    </w:p>
    <w:p>
      <w:pPr>
        <w:tabs>
          <w:tab w:val="left" w:pos="0"/>
          <w:tab w:val="left" w:pos="630"/>
        </w:tabs>
        <w:snapToGrid w:val="0"/>
        <w:spacing w:line="500" w:lineRule="exact"/>
        <w:ind w:firstLine="420"/>
        <w:rPr>
          <w:rFonts w:hAnsi="宋体" w:cs="宋体"/>
          <w:szCs w:val="21"/>
        </w:rPr>
      </w:pPr>
      <w:r>
        <w:rPr>
          <w:rFonts w:hint="eastAsia" w:hAnsi="宋体" w:cs="宋体"/>
          <w:szCs w:val="21"/>
        </w:rPr>
        <w:t>4.3.1约定的分包事项：</w:t>
      </w:r>
      <w:r>
        <w:rPr>
          <w:rFonts w:hint="eastAsia" w:hAnsi="宋体" w:cs="宋体"/>
          <w:szCs w:val="21"/>
          <w:u w:val="single"/>
        </w:rPr>
        <w:t xml:space="preserve">        </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30" w:name="_Toc357321410"/>
      <w:bookmarkStart w:id="131" w:name="_Toc357026815"/>
      <w:r>
        <w:rPr>
          <w:rFonts w:hint="eastAsia" w:ascii="宋体" w:cs="宋体"/>
          <w:bCs w:val="0"/>
          <w:i w:val="0"/>
          <w:sz w:val="21"/>
          <w:szCs w:val="21"/>
        </w:rPr>
        <w:t>4.4承包人项目经理</w:t>
      </w:r>
      <w:bookmarkEnd w:id="130"/>
      <w:bookmarkEnd w:id="131"/>
    </w:p>
    <w:p>
      <w:pPr>
        <w:tabs>
          <w:tab w:val="left" w:pos="0"/>
          <w:tab w:val="left" w:pos="630"/>
        </w:tabs>
        <w:snapToGrid w:val="0"/>
        <w:spacing w:line="500" w:lineRule="exact"/>
        <w:ind w:firstLine="420"/>
        <w:rPr>
          <w:rFonts w:hAnsi="宋体" w:cs="宋体"/>
          <w:szCs w:val="21"/>
        </w:rPr>
      </w:pPr>
      <w:r>
        <w:rPr>
          <w:rFonts w:hint="eastAsia" w:hAnsi="宋体" w:cs="宋体"/>
          <w:szCs w:val="21"/>
        </w:rPr>
        <w:t>4.4.1设计项目负责人（项目经理）：</w:t>
      </w:r>
      <w:r>
        <w:rPr>
          <w:rFonts w:hint="eastAsia" w:hAnsi="宋体" w:cs="宋体"/>
          <w:szCs w:val="21"/>
          <w:u w:val="single"/>
        </w:rPr>
        <w:t xml:space="preserve">          </w:t>
      </w:r>
      <w:r>
        <w:rPr>
          <w:rFonts w:hint="eastAsia" w:hAnsi="宋体" w:cs="宋体"/>
          <w:szCs w:val="21"/>
        </w:rPr>
        <w:t>；施工项目负责人（项目经理）：</w:t>
      </w:r>
      <w:r>
        <w:rPr>
          <w:rFonts w:hint="eastAsia" w:hAnsi="宋体" w:cs="宋体"/>
          <w:szCs w:val="21"/>
          <w:u w:val="single"/>
        </w:rPr>
        <w:t xml:space="preserve">          </w:t>
      </w:r>
      <w:r>
        <w:rPr>
          <w:rFonts w:hint="eastAsia" w:hAnsi="宋体" w:cs="宋体"/>
          <w:szCs w:val="21"/>
        </w:rPr>
        <w:t>；</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4.4.2项目经理职责：</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（1）按合同约定以及监理人作出的指示，负责组织合同工程的实施。在情况紧急且无法与监理人取得联系时，可采取保证工程和人员生命财产安全的紧急措施，并在采取措施后24小时内向监理人提交书面报告。</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（2）承包人为履行合同发出的一切函件均应盖有承包人授权的施工场地管理机构章，并由承包人项目经理或其授权代表签字。</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（3）承包人项目经理可以授权其下属人员履行其某项职责，但事先应将这些人员的姓名和授权范围通知监理人。</w:t>
      </w:r>
    </w:p>
    <w:p>
      <w:pPr>
        <w:tabs>
          <w:tab w:val="left" w:pos="0"/>
          <w:tab w:val="left" w:pos="630"/>
        </w:tabs>
        <w:snapToGrid w:val="0"/>
        <w:spacing w:line="500" w:lineRule="exact"/>
        <w:ind w:firstLine="420"/>
        <w:rPr>
          <w:rFonts w:hAnsi="宋体" w:cs="宋体"/>
          <w:szCs w:val="21"/>
        </w:rPr>
      </w:pPr>
      <w:r>
        <w:rPr>
          <w:rFonts w:hint="eastAsia" w:hAnsi="宋体" w:cs="宋体"/>
          <w:szCs w:val="21"/>
        </w:rPr>
        <w:t>项目经理权限：</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（1）主持项目经理部工作。</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（2）决定授权范围内的项目资金的投入和使用。</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（3）制定内部计酬办法。</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（4）参与选择并使用具有相应资质的分包人。</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（5）参与选择物资供应单位。</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（6）在授权范围内协调与项目有关的内、外部关系。</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（7）法定代表人授予的其它权力。</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因擅自更换项目经理或项目经理兼职其他项目经理的违约约定：</w:t>
      </w:r>
      <w:r>
        <w:rPr>
          <w:rFonts w:hint="eastAsia" w:hAnsi="宋体" w:cs="宋体"/>
          <w:szCs w:val="21"/>
          <w:u w:val="single"/>
        </w:rPr>
        <w:t>项目经理在工程实施期间不得擅自更换或兼任其他工程项目经理，否则，发包人有权解除合同。若确须更换项目经理应事先征得发包人同意，并应在更换14天前通知发包人和监理人，且应报经建设管理部门审查批准，更换应满足同资历相应人员，同时承包人应支付发包人员调换审查费每次50000元，发包人从工程进度款中扣取。</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32" w:name="_Toc357321411"/>
      <w:bookmarkStart w:id="133" w:name="_Toc357026816"/>
      <w:r>
        <w:rPr>
          <w:rFonts w:hint="eastAsia" w:ascii="宋体" w:cs="宋体"/>
          <w:bCs w:val="0"/>
          <w:i w:val="0"/>
          <w:sz w:val="21"/>
          <w:szCs w:val="21"/>
        </w:rPr>
        <w:t>4.5承包人人员的管理</w:t>
      </w:r>
      <w:bookmarkEnd w:id="132"/>
      <w:bookmarkEnd w:id="133"/>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4.5.1人力资源计划一览表的格式、内容、份数和提交时间：</w:t>
      </w:r>
      <w:r>
        <w:rPr>
          <w:rFonts w:hint="eastAsia" w:hAnsi="宋体" w:cs="宋体"/>
          <w:szCs w:val="21"/>
          <w:u w:val="single"/>
        </w:rPr>
        <w:t>开工前提交三份，格式、内容自定。</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人力资源实际进场的报表格式、份数和报告期：</w:t>
      </w:r>
      <w:r>
        <w:rPr>
          <w:rFonts w:hint="eastAsia" w:hAnsi="宋体" w:cs="宋体"/>
          <w:szCs w:val="21"/>
          <w:u w:val="single"/>
        </w:rPr>
        <w:t>开工前提交三份，格式、内容自定。</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（以上提供的各类表格需征得监理公司及发包人的认可后方生效）</w:t>
      </w:r>
    </w:p>
    <w:p>
      <w:pPr>
        <w:pStyle w:val="226"/>
        <w:spacing w:line="400" w:lineRule="exact"/>
        <w:ind w:firstLine="420" w:firstLineChars="200"/>
        <w:jc w:val="left"/>
        <w:rPr>
          <w:rFonts w:ascii="宋体" w:hAnsi="宋体"/>
          <w:b/>
          <w:bCs/>
          <w:color w:val="FF0000"/>
        </w:rPr>
      </w:pPr>
      <w:r>
        <w:rPr>
          <w:rFonts w:hint="eastAsia" w:hAnsi="宋体" w:cs="宋体"/>
          <w:szCs w:val="21"/>
        </w:rPr>
        <w:t>4.5.2承包人承诺的项目部技术经济管理人员必须按投标承诺名单及时到位，施工项目经理每月现场到位不得少于24天，实际到位天数每少一天，承包人按5000元/每人.每天支付违约金给发包人，其余施工技术人员每月现场到位到位不得少于24天，实际到位天数每少于一天，按2000/每人.每天支付违约金。</w:t>
      </w:r>
      <w:r>
        <w:rPr>
          <w:rFonts w:hint="eastAsia" w:ascii="宋体" w:hAnsi="宋体"/>
          <w:b/>
          <w:bCs/>
          <w:color w:val="FF0000"/>
          <w:u w:val="single"/>
        </w:rPr>
        <w:t>施工项目经理在合同约定到位天数内，单月累计不到位少于等10天的，项目业主从当月工程款中扣除相应违约金，并约谈企业负责人；当月累计不到位多于10天的，项目业主从当月工程款中扣除相应违约金，并报主管部门，监管部门约谈企业负责人并责令整改；监管部门约谈企业负责人两次的，将依据有关规定给予严肃处理</w:t>
      </w:r>
      <w:r>
        <w:rPr>
          <w:rFonts w:hint="eastAsia" w:ascii="宋体" w:hAnsi="宋体"/>
          <w:b/>
          <w:bCs/>
          <w:color w:val="FF0000"/>
        </w:rPr>
        <w:t>。承包人因上述行为被主管部门约谈两次的，视为承包人不按照与发包人订立的合同履行义务且情节严重，发包人有权解除合同，同时上报监管部门，监管部门可取消承包人12个月参加苍南县招标项目的投标资格。</w:t>
      </w:r>
      <w:r>
        <w:rPr>
          <w:rFonts w:hint="eastAsia" w:hAnsi="宋体" w:cs="宋体"/>
          <w:szCs w:val="21"/>
        </w:rPr>
        <w:t>施工项目经理到位率不足50%的，发包人有权解除合同，并没收全部履约保证金，同时承包人还应赔偿由此造成发包人的损失。若因特殊情况或实际需要必须调换者，承包人必须事先向委托人提供以下材料并取得委托人的书面批准以后，才能派替换的人员进场：（1）书面请示报告；（2）替换人的技术职称证书、岗位证书、身份证（验证原件，提供复印件）及其工作经历与业绩等有关证明材料；（3）当替换人的职称、资质和工作经历应满足</w:t>
      </w:r>
      <w:r>
        <w:rPr>
          <w:rFonts w:hint="eastAsia" w:hAnsi="宋体" w:cs="宋体"/>
          <w:szCs w:val="21"/>
          <w:lang w:eastAsia="zh-CN"/>
        </w:rPr>
        <w:t>采购</w:t>
      </w:r>
      <w:r>
        <w:rPr>
          <w:rFonts w:hint="eastAsia" w:hAnsi="宋体" w:cs="宋体"/>
          <w:szCs w:val="21"/>
        </w:rPr>
        <w:t>文件要求。</w:t>
      </w:r>
    </w:p>
    <w:p>
      <w:pPr>
        <w:tabs>
          <w:tab w:val="left" w:pos="0"/>
          <w:tab w:val="left" w:pos="630"/>
        </w:tabs>
        <w:snapToGrid w:val="0"/>
        <w:spacing w:line="500" w:lineRule="exact"/>
        <w:ind w:firstLine="420"/>
        <w:rPr>
          <w:rFonts w:hAnsi="宋体" w:cs="宋体"/>
          <w:szCs w:val="21"/>
        </w:rPr>
      </w:pPr>
      <w:r>
        <w:rPr>
          <w:rFonts w:hint="eastAsia" w:hAnsi="宋体" w:cs="宋体"/>
          <w:szCs w:val="21"/>
        </w:rPr>
        <w:t>4.5.3未经发包人同意，承包人擅自更换人员时，将被视为承包人违约，发包人有权对承包人处罚20万元。，在当期工程款支付中扣除，情节严重的，由发包人决定将同时没收部分或全部履约担保，直至单方面解除本合同。如现场人员不服从招标人、监理人员的管理，发包人和监理人有权要求更换该人员。</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34" w:name="_Toc357321412"/>
      <w:bookmarkStart w:id="135" w:name="_Toc357026817"/>
      <w:r>
        <w:rPr>
          <w:rFonts w:hint="eastAsia" w:ascii="宋体" w:cs="宋体"/>
          <w:bCs w:val="0"/>
          <w:i w:val="0"/>
          <w:sz w:val="21"/>
          <w:szCs w:val="21"/>
        </w:rPr>
        <w:t>4.6进度计划</w:t>
      </w:r>
      <w:bookmarkEnd w:id="134"/>
      <w:bookmarkEnd w:id="135"/>
    </w:p>
    <w:p>
      <w:pPr>
        <w:tabs>
          <w:tab w:val="left" w:pos="0"/>
          <w:tab w:val="left" w:pos="630"/>
        </w:tabs>
        <w:snapToGrid w:val="0"/>
        <w:spacing w:line="500" w:lineRule="exact"/>
        <w:ind w:firstLine="420"/>
        <w:rPr>
          <w:rFonts w:hAnsi="宋体" w:cs="宋体"/>
          <w:szCs w:val="21"/>
        </w:rPr>
      </w:pPr>
      <w:r>
        <w:rPr>
          <w:rFonts w:hint="eastAsia" w:hAnsi="宋体" w:cs="宋体"/>
          <w:szCs w:val="21"/>
        </w:rPr>
        <w:t>4.6.1 合同进度计划</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承包人提交项目进度计划的份数和时间：</w:t>
      </w:r>
      <w:r>
        <w:rPr>
          <w:rFonts w:hint="eastAsia" w:hAnsi="宋体" w:cs="宋体"/>
          <w:szCs w:val="21"/>
          <w:u w:val="single"/>
        </w:rPr>
        <w:t>在合同签署后7天内,承包人向发包人提交2份符合</w:t>
      </w:r>
      <w:r>
        <w:rPr>
          <w:rFonts w:hint="eastAsia" w:hAnsi="宋体" w:cs="宋体"/>
          <w:szCs w:val="21"/>
          <w:u w:val="single"/>
          <w:lang w:eastAsia="zh-CN"/>
        </w:rPr>
        <w:t>采购</w:t>
      </w:r>
      <w:r>
        <w:rPr>
          <w:rFonts w:hint="eastAsia" w:hAnsi="宋体" w:cs="宋体"/>
          <w:szCs w:val="21"/>
          <w:u w:val="single"/>
        </w:rPr>
        <w:t>文件要求、发包人代表或监理人规定的工程进度计划，以及为完成该计划而建议采用的实施性的施工安排和施工方案说明。</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监理人及发包人确认的时间：</w:t>
      </w:r>
      <w:r>
        <w:rPr>
          <w:rFonts w:hint="eastAsia" w:hAnsi="宋体" w:cs="宋体"/>
          <w:szCs w:val="21"/>
          <w:u w:val="single"/>
        </w:rPr>
        <w:t>收到该计划后的7天内审查同意或提出修改意见。</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提交关键单项工程施工计划（名称）：</w:t>
      </w:r>
      <w:r>
        <w:rPr>
          <w:rFonts w:hint="eastAsia" w:hAnsi="宋体" w:cs="宋体"/>
          <w:szCs w:val="21"/>
          <w:u w:val="single"/>
        </w:rPr>
        <w:t xml:space="preserve"> 详见合同附件  </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提交关键分部分项工程施工计划（名称）：</w:t>
      </w:r>
      <w:r>
        <w:rPr>
          <w:rFonts w:hint="eastAsia" w:hAnsi="宋体" w:cs="宋体"/>
          <w:szCs w:val="21"/>
          <w:u w:val="single"/>
        </w:rPr>
        <w:t xml:space="preserve"> 详见合同附件</w:t>
      </w:r>
    </w:p>
    <w:p>
      <w:pPr>
        <w:tabs>
          <w:tab w:val="left" w:pos="0"/>
          <w:tab w:val="left" w:pos="630"/>
        </w:tabs>
        <w:snapToGrid w:val="0"/>
        <w:spacing w:line="500" w:lineRule="exact"/>
        <w:ind w:firstLine="420"/>
        <w:rPr>
          <w:rFonts w:hAnsi="宋体" w:cs="宋体"/>
          <w:szCs w:val="21"/>
        </w:rPr>
      </w:pPr>
      <w:r>
        <w:rPr>
          <w:rFonts w:hint="eastAsia" w:hAnsi="宋体" w:cs="宋体"/>
          <w:szCs w:val="21"/>
        </w:rPr>
        <w:t>4.6.2 合同进度计划的修订</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承包人向监理人及发包人提交修订合同进度计划的申请报告期限：</w:t>
      </w:r>
      <w:r>
        <w:rPr>
          <w:rFonts w:hint="eastAsia" w:hAnsi="宋体" w:cs="宋体"/>
          <w:szCs w:val="21"/>
          <w:u w:val="single"/>
        </w:rPr>
        <w:t>7天</w:t>
      </w:r>
      <w:r>
        <w:rPr>
          <w:rFonts w:hint="eastAsia" w:hAnsi="宋体" w:cs="宋体"/>
          <w:szCs w:val="21"/>
        </w:rPr>
        <w:t>。监理人及发包人批复期限</w:t>
      </w:r>
      <w:r>
        <w:rPr>
          <w:rFonts w:hint="eastAsia" w:hAnsi="宋体" w:cs="宋体"/>
          <w:szCs w:val="21"/>
          <w:u w:val="single"/>
        </w:rPr>
        <w:t>：7天。</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工程延期的审批</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a.必须是非承包人自身的原因造成的工期延误,发包人才可以考虑是否受理承包人的延期申请，但最终是否准予延期和延期天数的决定权在发包人；</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b.若只是局部工程受到影响，承包人应采取措施予以弥补，而不能要求推迟工程的总工期；</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c.延期工程项目如果不在工程施工进度网络计划的关键线路上，即使是关键工序但不在关键线路上的，发包人也不考虑延长工程总工期。</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136" w:name="_Toc357026818"/>
      <w:bookmarkStart w:id="137" w:name="_Toc357321413"/>
      <w:r>
        <w:rPr>
          <w:rFonts w:hint="eastAsia" w:ascii="宋体" w:cs="宋体"/>
          <w:bCs w:val="0"/>
          <w:i w:val="0"/>
          <w:sz w:val="21"/>
          <w:szCs w:val="21"/>
        </w:rPr>
        <w:t>5. 设计</w:t>
      </w:r>
      <w:bookmarkEnd w:id="136"/>
      <w:bookmarkEnd w:id="137"/>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38" w:name="_Toc357026819"/>
      <w:bookmarkStart w:id="139" w:name="_Toc357321414"/>
      <w:r>
        <w:rPr>
          <w:rFonts w:hint="eastAsia" w:ascii="宋体" w:cs="宋体"/>
          <w:bCs w:val="0"/>
          <w:i w:val="0"/>
          <w:sz w:val="21"/>
          <w:szCs w:val="21"/>
        </w:rPr>
        <w:t>5.1承包人的设计义务</w:t>
      </w:r>
      <w:bookmarkEnd w:id="138"/>
      <w:bookmarkEnd w:id="139"/>
    </w:p>
    <w:p>
      <w:pPr>
        <w:tabs>
          <w:tab w:val="left" w:pos="0"/>
          <w:tab w:val="left" w:pos="630"/>
        </w:tabs>
        <w:snapToGrid w:val="0"/>
        <w:spacing w:line="500" w:lineRule="exact"/>
        <w:ind w:firstLine="420"/>
        <w:rPr>
          <w:rFonts w:hAnsi="宋体" w:cs="宋体"/>
          <w:szCs w:val="21"/>
        </w:rPr>
      </w:pPr>
      <w:r>
        <w:rPr>
          <w:rFonts w:hint="eastAsia" w:hAnsi="宋体" w:cs="宋体"/>
          <w:szCs w:val="21"/>
        </w:rPr>
        <w:t>5.1.1 施工图设计阶段设计文件的份数：提供16份</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40" w:name="_Toc357321415"/>
      <w:bookmarkStart w:id="141" w:name="_Toc357026820"/>
      <w:r>
        <w:rPr>
          <w:rFonts w:hint="eastAsia" w:ascii="宋体" w:cs="宋体"/>
          <w:bCs w:val="0"/>
          <w:i w:val="0"/>
          <w:sz w:val="21"/>
          <w:szCs w:val="21"/>
        </w:rPr>
        <w:t>5.2设计审查</w:t>
      </w:r>
      <w:bookmarkEnd w:id="140"/>
      <w:bookmarkEnd w:id="141"/>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本工程的设计阶段（名称）：</w:t>
      </w:r>
      <w:r>
        <w:rPr>
          <w:rFonts w:hint="eastAsia" w:hAnsi="宋体" w:cs="宋体"/>
          <w:szCs w:val="21"/>
          <w:u w:val="single"/>
        </w:rPr>
        <w:t>方案设计、初步设计、施工图设计</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设计审查阶段及其审查会议的时间安排：</w:t>
      </w:r>
      <w:r>
        <w:rPr>
          <w:rFonts w:hint="eastAsia" w:hAnsi="宋体" w:cs="宋体"/>
          <w:szCs w:val="21"/>
          <w:u w:val="single"/>
        </w:rPr>
        <w:t>发包人有权对承包人出具的设计图纸委托具备相应审查图纸资质的单位进行审查，相关费用由承包人承担。</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42" w:name="_Toc357026821"/>
      <w:bookmarkStart w:id="143" w:name="_Toc357321416"/>
      <w:r>
        <w:rPr>
          <w:rFonts w:hint="eastAsia" w:ascii="宋体" w:cs="宋体"/>
          <w:bCs w:val="0"/>
          <w:i w:val="0"/>
          <w:sz w:val="21"/>
          <w:szCs w:val="21"/>
        </w:rPr>
        <w:t>5.3 竣工文件</w:t>
      </w:r>
      <w:bookmarkEnd w:id="142"/>
      <w:bookmarkEnd w:id="143"/>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5.3.1 承包人提交竣工记录份数：</w:t>
      </w:r>
      <w:r>
        <w:rPr>
          <w:rFonts w:hint="eastAsia" w:hAnsi="宋体" w:cs="宋体"/>
          <w:szCs w:val="21"/>
          <w:u w:val="single"/>
        </w:rPr>
        <w:t>在交工验收前十五天向发包人提供完整的竣工资料一式柒份，要求监理人确认。竣工图U盘2张。提供工程施工全过程照片（重要工程节点施工过程、涉及工程变更取证、各级领导现场视察、相关部门各种类专项检查过程的记录等），做好影像资料台帐并保证其完备性。</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144" w:name="_Toc357026822"/>
      <w:bookmarkStart w:id="145" w:name="_Toc357321417"/>
      <w:r>
        <w:rPr>
          <w:rFonts w:hint="eastAsia" w:ascii="宋体" w:cs="宋体"/>
          <w:bCs w:val="0"/>
          <w:i w:val="0"/>
          <w:sz w:val="21"/>
          <w:szCs w:val="21"/>
        </w:rPr>
        <w:t>6．材料和工程设备</w:t>
      </w:r>
      <w:bookmarkEnd w:id="144"/>
      <w:bookmarkEnd w:id="145"/>
      <w:r>
        <w:rPr>
          <w:rFonts w:hint="eastAsia" w:ascii="宋体" w:cs="宋体"/>
          <w:bCs w:val="0"/>
          <w:i w:val="0"/>
          <w:sz w:val="21"/>
          <w:szCs w:val="21"/>
        </w:rPr>
        <w:t xml:space="preserve"> </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46" w:name="_Toc357026823"/>
      <w:bookmarkStart w:id="147" w:name="_Toc357321418"/>
      <w:r>
        <w:rPr>
          <w:rFonts w:hint="eastAsia" w:ascii="宋体" w:cs="宋体"/>
          <w:bCs w:val="0"/>
          <w:i w:val="0"/>
          <w:sz w:val="21"/>
          <w:szCs w:val="21"/>
        </w:rPr>
        <w:t>6.1 承包人提供的材料和工程设备</w:t>
      </w:r>
      <w:bookmarkEnd w:id="146"/>
      <w:bookmarkEnd w:id="147"/>
    </w:p>
    <w:p>
      <w:pPr>
        <w:tabs>
          <w:tab w:val="left" w:pos="0"/>
          <w:tab w:val="left" w:pos="630"/>
        </w:tabs>
        <w:snapToGrid w:val="0"/>
        <w:spacing w:line="500" w:lineRule="exact"/>
        <w:ind w:firstLine="420"/>
        <w:rPr>
          <w:rFonts w:hAnsi="宋体" w:cs="宋体"/>
          <w:szCs w:val="21"/>
        </w:rPr>
      </w:pPr>
      <w:r>
        <w:rPr>
          <w:rFonts w:hint="eastAsia" w:hAnsi="宋体" w:cs="宋体"/>
          <w:szCs w:val="21"/>
        </w:rPr>
        <w:t>6.1.1主要机具计划一览表的格式、内容、份数和提交时间：</w:t>
      </w:r>
      <w:r>
        <w:rPr>
          <w:rFonts w:hint="eastAsia" w:hAnsi="宋体" w:cs="宋体"/>
          <w:szCs w:val="21"/>
          <w:u w:val="single"/>
        </w:rPr>
        <w:t xml:space="preserve">开工前提交三份，格式、内容自定。主要机具实际进场的报表格式、份数和报告期开工前提交三份，格式、内容自定。   </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（以上提供的各类表格需征得监理公司及发包人的认可后方生效）</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148" w:name="_Toc357321421"/>
      <w:bookmarkStart w:id="149" w:name="_Toc357026826"/>
      <w:r>
        <w:rPr>
          <w:rFonts w:hint="eastAsia" w:ascii="宋体" w:cs="宋体"/>
          <w:bCs w:val="0"/>
          <w:i w:val="0"/>
          <w:sz w:val="21"/>
          <w:szCs w:val="21"/>
        </w:rPr>
        <w:t>7．安全、治安保卫和环境保护</w:t>
      </w:r>
      <w:bookmarkEnd w:id="148"/>
      <w:bookmarkEnd w:id="149"/>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50" w:name="_Toc357026827"/>
      <w:bookmarkStart w:id="151" w:name="_Toc357321422"/>
      <w:r>
        <w:rPr>
          <w:rFonts w:hint="eastAsia" w:ascii="宋体" w:cs="宋体"/>
          <w:bCs w:val="0"/>
          <w:i w:val="0"/>
          <w:sz w:val="21"/>
          <w:szCs w:val="21"/>
        </w:rPr>
        <w:t>7.1 承包人的安全责任</w:t>
      </w:r>
      <w:bookmarkEnd w:id="150"/>
      <w:bookmarkEnd w:id="151"/>
    </w:p>
    <w:p>
      <w:pPr>
        <w:tabs>
          <w:tab w:val="left" w:pos="0"/>
          <w:tab w:val="left" w:pos="630"/>
        </w:tabs>
        <w:snapToGrid w:val="0"/>
        <w:spacing w:line="500" w:lineRule="exact"/>
        <w:ind w:firstLine="420"/>
        <w:rPr>
          <w:rFonts w:hAnsi="宋体" w:cs="宋体"/>
          <w:szCs w:val="21"/>
        </w:rPr>
      </w:pPr>
      <w:r>
        <w:rPr>
          <w:rFonts w:hint="eastAsia" w:hAnsi="宋体" w:cs="宋体"/>
          <w:szCs w:val="21"/>
        </w:rPr>
        <w:t>7.1.1 承包人编制安全措施计划报送监理人期限：</w:t>
      </w:r>
      <w:r>
        <w:rPr>
          <w:rFonts w:hint="eastAsia" w:hAnsi="宋体" w:cs="宋体"/>
          <w:szCs w:val="21"/>
          <w:u w:val="single"/>
        </w:rPr>
        <w:t xml:space="preserve">开工前 </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 xml:space="preserve">7.1.2 </w:t>
      </w:r>
      <w:r>
        <w:rPr>
          <w:rFonts w:hint="eastAsia" w:hAnsi="宋体" w:cs="宋体"/>
          <w:szCs w:val="21"/>
          <w:u w:val="single"/>
        </w:rPr>
        <w:t>承包人必须严格遵守和执行中华人民共和国以及温州市安全生产和劳动保护的有关规定，保证采取一切必要的安全预防措施，以防止承包人的雇员、发包人和监理人的职员及其他人员因承包人的不当操作而受到伤害。在施工过程中由于承包人原因而发生的人身伤亡、财产损失及其它一切事故，其责任由承包人负责。</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52" w:name="_Toc357321423"/>
      <w:bookmarkStart w:id="153" w:name="_Toc357026828"/>
      <w:r>
        <w:rPr>
          <w:rFonts w:hint="eastAsia" w:ascii="宋体" w:cs="宋体"/>
          <w:bCs w:val="0"/>
          <w:i w:val="0"/>
          <w:sz w:val="21"/>
          <w:szCs w:val="21"/>
        </w:rPr>
        <w:t>7.2环境保护</w:t>
      </w:r>
      <w:bookmarkEnd w:id="152"/>
      <w:bookmarkEnd w:id="153"/>
    </w:p>
    <w:p>
      <w:pPr>
        <w:tabs>
          <w:tab w:val="left" w:pos="0"/>
          <w:tab w:val="left" w:pos="630"/>
        </w:tabs>
        <w:snapToGrid w:val="0"/>
        <w:spacing w:line="500" w:lineRule="exact"/>
        <w:ind w:firstLine="420"/>
        <w:rPr>
          <w:szCs w:val="21"/>
          <w:u w:val="single"/>
        </w:rPr>
      </w:pPr>
      <w:r>
        <w:rPr>
          <w:rFonts w:hint="eastAsia"/>
          <w:szCs w:val="21"/>
        </w:rPr>
        <w:t>7.2.1提交健康、安全、环境管理计划的份数和时间：</w:t>
      </w:r>
      <w:r>
        <w:rPr>
          <w:rFonts w:hint="eastAsia"/>
          <w:szCs w:val="21"/>
          <w:u w:val="single"/>
        </w:rPr>
        <w:t xml:space="preserve"> 开工前提交三份  。</w:t>
      </w:r>
      <w:bookmarkStart w:id="154" w:name="_Toc357026829"/>
      <w:bookmarkStart w:id="155" w:name="_Toc357321424"/>
    </w:p>
    <w:p>
      <w:pPr>
        <w:tabs>
          <w:tab w:val="left" w:pos="0"/>
          <w:tab w:val="left" w:pos="630"/>
        </w:tabs>
        <w:snapToGrid w:val="0"/>
        <w:spacing w:line="500" w:lineRule="exact"/>
        <w:ind w:firstLine="420"/>
        <w:outlineLvl w:val="2"/>
        <w:rPr>
          <w:szCs w:val="21"/>
        </w:rPr>
      </w:pPr>
      <w:r>
        <w:rPr>
          <w:rFonts w:hint="eastAsia"/>
          <w:szCs w:val="21"/>
        </w:rPr>
        <w:t>8. 开始工作和竣工</w:t>
      </w:r>
      <w:bookmarkEnd w:id="154"/>
      <w:bookmarkEnd w:id="155"/>
      <w:bookmarkStart w:id="156" w:name="_Toc357026830"/>
      <w:bookmarkStart w:id="157" w:name="_Toc357321425"/>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8.1开始工作</w:t>
      </w:r>
      <w:bookmarkEnd w:id="156"/>
      <w:bookmarkEnd w:id="157"/>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承包人开始工作的条件：</w:t>
      </w:r>
      <w:r>
        <w:rPr>
          <w:rFonts w:hint="eastAsia" w:hAnsi="宋体" w:cs="宋体"/>
          <w:szCs w:val="21"/>
          <w:u w:val="single"/>
        </w:rPr>
        <w:t xml:space="preserve">发包人提供施工用电接头，施工用水接口，电讯线路的接入由承包人自行解决。 </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58" w:name="_Toc357321426"/>
      <w:bookmarkStart w:id="159" w:name="_Toc357026831"/>
      <w:r>
        <w:rPr>
          <w:rFonts w:hint="eastAsia" w:ascii="宋体" w:cs="宋体"/>
          <w:bCs w:val="0"/>
          <w:i w:val="0"/>
          <w:sz w:val="21"/>
          <w:szCs w:val="21"/>
        </w:rPr>
        <w:t>8.2发包人的工期延误</w:t>
      </w:r>
      <w:bookmarkEnd w:id="158"/>
      <w:bookmarkEnd w:id="159"/>
    </w:p>
    <w:p>
      <w:pPr>
        <w:tabs>
          <w:tab w:val="left" w:pos="0"/>
          <w:tab w:val="left" w:pos="630"/>
        </w:tabs>
        <w:snapToGrid w:val="0"/>
        <w:spacing w:line="500" w:lineRule="exact"/>
        <w:ind w:firstLine="420" w:firstLineChars="200"/>
        <w:rPr>
          <w:rFonts w:hAnsi="宋体" w:cs="宋体"/>
          <w:szCs w:val="21"/>
          <w:u w:val="single"/>
        </w:rPr>
      </w:pPr>
      <w:r>
        <w:rPr>
          <w:rFonts w:hint="eastAsia" w:hAnsi="宋体" w:cs="宋体"/>
          <w:szCs w:val="21"/>
        </w:rPr>
        <w:t>发包人造成工期延误的其他原因：</w:t>
      </w:r>
      <w:r>
        <w:rPr>
          <w:rFonts w:hint="eastAsia" w:hAnsi="宋体" w:cs="宋体"/>
          <w:szCs w:val="21"/>
          <w:u w:val="single"/>
        </w:rPr>
        <w:t>承包人必须考虑自备发电机以备应急之需，保证工程进度。原则上，发包人不接受承包人提出延长工期的申请，如非承包人原因造成的连续停水、停电超过48小时的，经发包人核实并书面确认的，工期顺延，但以上所涉及的所有费用均由承包人承担。</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60" w:name="_Toc357321427"/>
      <w:bookmarkStart w:id="161" w:name="_Toc357026832"/>
      <w:r>
        <w:rPr>
          <w:rFonts w:hint="eastAsia" w:ascii="宋体" w:cs="宋体"/>
          <w:bCs w:val="0"/>
          <w:i w:val="0"/>
          <w:sz w:val="21"/>
          <w:szCs w:val="21"/>
        </w:rPr>
        <w:t>8.3 异常恶劣的气候条件</w:t>
      </w:r>
      <w:bookmarkEnd w:id="160"/>
      <w:bookmarkEnd w:id="161"/>
    </w:p>
    <w:p>
      <w:pPr>
        <w:tabs>
          <w:tab w:val="left" w:pos="0"/>
          <w:tab w:val="left" w:pos="630"/>
        </w:tabs>
        <w:snapToGrid w:val="0"/>
        <w:spacing w:line="500" w:lineRule="exact"/>
        <w:ind w:firstLine="420"/>
        <w:rPr>
          <w:rFonts w:hAnsi="宋体" w:cs="宋体"/>
          <w:szCs w:val="21"/>
        </w:rPr>
      </w:pPr>
      <w:r>
        <w:rPr>
          <w:rFonts w:hint="eastAsia" w:hAnsi="宋体" w:cs="宋体"/>
          <w:szCs w:val="21"/>
        </w:rPr>
        <w:t>异常恶劣气候的条件指：</w:t>
      </w:r>
      <w:r>
        <w:rPr>
          <w:rFonts w:hint="eastAsia" w:hAnsi="宋体" w:cs="宋体"/>
          <w:szCs w:val="21"/>
          <w:u w:val="single"/>
        </w:rPr>
        <w:t xml:space="preserve">     /        。</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62" w:name="_Toc357321428"/>
      <w:bookmarkStart w:id="163" w:name="_Toc357026833"/>
      <w:r>
        <w:rPr>
          <w:rFonts w:hint="eastAsia" w:ascii="宋体" w:cs="宋体"/>
          <w:bCs w:val="0"/>
          <w:i w:val="0"/>
          <w:sz w:val="21"/>
          <w:szCs w:val="21"/>
        </w:rPr>
        <w:t>8.4 承包人的工期延误</w:t>
      </w:r>
      <w:bookmarkEnd w:id="162"/>
      <w:bookmarkEnd w:id="163"/>
    </w:p>
    <w:p>
      <w:pPr>
        <w:tabs>
          <w:tab w:val="left" w:pos="0"/>
          <w:tab w:val="left" w:pos="630"/>
        </w:tabs>
        <w:spacing w:line="500" w:lineRule="exact"/>
        <w:ind w:firstLine="420"/>
        <w:rPr>
          <w:rFonts w:hAnsi="宋体" w:cs="宋体"/>
          <w:szCs w:val="21"/>
        </w:rPr>
      </w:pPr>
      <w:r>
        <w:rPr>
          <w:rFonts w:hint="eastAsia" w:hAnsi="宋体" w:cs="宋体"/>
          <w:szCs w:val="21"/>
        </w:rPr>
        <w:t>逾期竣工违约金的计算方法：承包人应支付发包人的工期延误违约金以每拖延一天按合同价的0.02%计算。如发包人认为承包人自身原因造成工期严重滞后又无明显改进措施的，发包人即有权解除合同，要求承包人无条件退场，并承担由此产生的一切损失，同时，发包人也有权安排其他施工队伍进场施工，费用经审价机构审核后从承包人合同价款中扣除。</w:t>
      </w:r>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64" w:name="_Toc357026834"/>
      <w:bookmarkStart w:id="165" w:name="_Toc357321429"/>
      <w:r>
        <w:rPr>
          <w:rFonts w:hint="eastAsia" w:ascii="宋体" w:cs="宋体"/>
          <w:bCs w:val="0"/>
          <w:i w:val="0"/>
          <w:sz w:val="21"/>
          <w:szCs w:val="21"/>
        </w:rPr>
        <w:t>8.5 工期提前</w:t>
      </w:r>
      <w:bookmarkEnd w:id="164"/>
      <w:bookmarkEnd w:id="165"/>
    </w:p>
    <w:p>
      <w:pPr>
        <w:tabs>
          <w:tab w:val="left" w:pos="0"/>
          <w:tab w:val="left" w:pos="630"/>
        </w:tabs>
        <w:snapToGrid w:val="0"/>
        <w:spacing w:line="500" w:lineRule="exact"/>
        <w:ind w:firstLine="420"/>
        <w:rPr>
          <w:rFonts w:hAnsi="宋体" w:cs="宋体"/>
          <w:szCs w:val="21"/>
        </w:rPr>
      </w:pPr>
      <w:r>
        <w:rPr>
          <w:rFonts w:hint="eastAsia" w:hAnsi="宋体" w:cs="宋体"/>
          <w:szCs w:val="21"/>
        </w:rPr>
        <w:t>提前竣工奖金：</w:t>
      </w:r>
      <w:r>
        <w:rPr>
          <w:rFonts w:hint="eastAsia" w:hAnsi="宋体" w:cs="宋体"/>
          <w:szCs w:val="21"/>
          <w:u w:val="single"/>
        </w:rPr>
        <w:t xml:space="preserve"> /。</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166" w:name="_Toc357026835"/>
      <w:bookmarkStart w:id="167" w:name="_Toc357321430"/>
      <w:r>
        <w:rPr>
          <w:rFonts w:hint="eastAsia" w:ascii="宋体" w:cs="宋体"/>
          <w:bCs w:val="0"/>
          <w:i w:val="0"/>
          <w:sz w:val="21"/>
          <w:szCs w:val="21"/>
        </w:rPr>
        <w:t>9．工程质量</w:t>
      </w:r>
      <w:bookmarkEnd w:id="166"/>
      <w:bookmarkEnd w:id="167"/>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68" w:name="_Toc357026836"/>
      <w:bookmarkStart w:id="169" w:name="_Toc357321431"/>
      <w:r>
        <w:rPr>
          <w:rFonts w:hint="eastAsia" w:ascii="宋体" w:cs="宋体"/>
          <w:bCs w:val="0"/>
          <w:i w:val="0"/>
          <w:sz w:val="21"/>
          <w:szCs w:val="21"/>
        </w:rPr>
        <w:t>9.1工程质量要求</w:t>
      </w:r>
      <w:bookmarkEnd w:id="168"/>
      <w:bookmarkEnd w:id="169"/>
    </w:p>
    <w:p>
      <w:pPr>
        <w:tabs>
          <w:tab w:val="left" w:pos="0"/>
          <w:tab w:val="left" w:pos="630"/>
        </w:tabs>
        <w:snapToGrid w:val="0"/>
        <w:spacing w:line="500" w:lineRule="exact"/>
        <w:ind w:firstLine="420"/>
        <w:rPr>
          <w:rFonts w:hAnsi="宋体" w:cs="宋体"/>
          <w:szCs w:val="21"/>
        </w:rPr>
      </w:pPr>
      <w:r>
        <w:rPr>
          <w:rFonts w:hint="eastAsia" w:hAnsi="宋体" w:cs="宋体"/>
          <w:szCs w:val="21"/>
        </w:rPr>
        <w:t>9.1.1达到“合格”标准；设计达到建筑工程设计文件编制深度规定中有关施工图的深度要求及本工程涉及的相关专业设计规范；施工达到建筑工程施工质量验收统一标准及各专业工程施工质量验收规范。符合国家和浙江省有关建筑工程工艺标准和质量验收标准。</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9.1.2</w:t>
      </w:r>
      <w:r>
        <w:rPr>
          <w:rFonts w:hint="eastAsia" w:hAnsi="宋体" w:cs="宋体"/>
          <w:szCs w:val="21"/>
          <w:u w:val="single"/>
        </w:rPr>
        <w:t>隐蔽工程和中间验收</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需要质检的隐蔽工程和中间验收部位的分类、部位、质检内容、标准、表格和参检方的约定：</w:t>
      </w:r>
      <w:r>
        <w:rPr>
          <w:rFonts w:hint="eastAsia" w:hAnsi="宋体" w:cs="宋体"/>
          <w:szCs w:val="21"/>
          <w:u w:val="single"/>
        </w:rPr>
        <w:t xml:space="preserve"> 按工程施工及验收规范执行。</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170" w:name="_Toc357026837"/>
      <w:bookmarkStart w:id="171" w:name="_Toc357321432"/>
      <w:r>
        <w:rPr>
          <w:rFonts w:hint="eastAsia" w:ascii="宋体" w:cs="宋体"/>
          <w:bCs w:val="0"/>
          <w:i w:val="0"/>
          <w:sz w:val="21"/>
          <w:szCs w:val="21"/>
        </w:rPr>
        <w:t>10．变更</w:t>
      </w:r>
      <w:bookmarkEnd w:id="170"/>
      <w:bookmarkEnd w:id="171"/>
    </w:p>
    <w:p>
      <w:pPr>
        <w:pStyle w:val="208"/>
        <w:tabs>
          <w:tab w:val="left" w:pos="0"/>
          <w:tab w:val="left" w:pos="630"/>
        </w:tabs>
        <w:adjustRightInd w:val="0"/>
        <w:snapToGrid w:val="0"/>
        <w:spacing w:before="0" w:after="0" w:line="500" w:lineRule="exact"/>
        <w:ind w:firstLine="103"/>
        <w:outlineLvl w:val="9"/>
        <w:rPr>
          <w:rFonts w:ascii="宋体" w:cs="宋体"/>
          <w:bCs w:val="0"/>
          <w:i w:val="0"/>
          <w:sz w:val="21"/>
          <w:szCs w:val="21"/>
        </w:rPr>
      </w:pPr>
      <w:bookmarkStart w:id="172" w:name="_Toc357321433"/>
      <w:bookmarkStart w:id="173" w:name="_Toc357026838"/>
      <w:r>
        <w:rPr>
          <w:rFonts w:hint="eastAsia" w:ascii="宋体" w:cs="宋体"/>
          <w:bCs w:val="0"/>
          <w:i w:val="0"/>
          <w:sz w:val="21"/>
          <w:szCs w:val="21"/>
        </w:rPr>
        <w:t>10.1变更程序</w:t>
      </w:r>
      <w:bookmarkEnd w:id="172"/>
      <w:bookmarkEnd w:id="173"/>
    </w:p>
    <w:p>
      <w:pPr>
        <w:tabs>
          <w:tab w:val="left" w:pos="0"/>
          <w:tab w:val="left" w:pos="630"/>
        </w:tabs>
        <w:snapToGrid w:val="0"/>
        <w:spacing w:line="500" w:lineRule="exact"/>
        <w:ind w:firstLine="420"/>
        <w:rPr>
          <w:rFonts w:hAnsi="宋体" w:cs="宋体"/>
          <w:szCs w:val="21"/>
        </w:rPr>
      </w:pPr>
      <w:r>
        <w:rPr>
          <w:rFonts w:hint="eastAsia" w:hAnsi="宋体" w:cs="宋体"/>
          <w:szCs w:val="21"/>
        </w:rPr>
        <w:t>10.1.1 变更的提出及认定</w:t>
      </w:r>
    </w:p>
    <w:p>
      <w:pPr>
        <w:tabs>
          <w:tab w:val="left" w:pos="0"/>
          <w:tab w:val="left" w:pos="630"/>
        </w:tabs>
        <w:snapToGrid w:val="0"/>
        <w:spacing w:line="500" w:lineRule="exact"/>
        <w:ind w:firstLine="420"/>
        <w:rPr>
          <w:rFonts w:hAnsi="宋体" w:cs="宋体"/>
          <w:szCs w:val="21"/>
        </w:rPr>
      </w:pPr>
      <w:r>
        <w:rPr>
          <w:rFonts w:hint="eastAsia" w:hAnsi="宋体" w:cs="宋体"/>
          <w:szCs w:val="21"/>
        </w:rPr>
        <w:t>（1）所有工程联系单必须统一编号，一式四份，上报监理人、有关部门审核后由发包人确定。</w:t>
      </w:r>
    </w:p>
    <w:p>
      <w:pPr>
        <w:tabs>
          <w:tab w:val="left" w:pos="0"/>
          <w:tab w:val="left" w:pos="630"/>
        </w:tabs>
        <w:spacing w:line="500" w:lineRule="exact"/>
        <w:ind w:firstLine="420"/>
        <w:rPr>
          <w:rFonts w:hAnsi="宋体" w:cs="宋体"/>
          <w:szCs w:val="21"/>
        </w:rPr>
      </w:pPr>
      <w:r>
        <w:rPr>
          <w:rFonts w:hint="eastAsia" w:hAnsi="宋体" w:cs="宋体"/>
          <w:szCs w:val="21"/>
        </w:rPr>
        <w:t>（2）属人力不可抗力造成承包人直接损失的，由发包人将根据实际情况协商确定，但属于应该预见预防的，而承包人没有及时预防或预防不力造成的损失，发包人不负责补偿，属施工技术组织措施失误造成的费用、工期由承包人承担。</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（3）承包范围内的措施费用一次性包干，无论何种情况均不再调整。</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（4）承包人在深化设计阶段，不能降低原设计方案的品质和标准，发包人提出的修改意见视为设计方案的优化应予以响应并落实，不计入工程变更费用。</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（5）发包人对批准后的施工图中尚存在的瑕疵或有歧义的内容有权要求承包人进行修改与完善，其产生的额外费用由承包人承担，不计入工程变更费用。</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（6）在工程实施过程中，发包人认为可能存在安全隐患或难以实施的情形，有权要求承包人整改，其产生的额外费用由承包人承担，不计入工程变更费用。</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（7）在材料及设备运用中未达到设计方案预期效果的，业主可以要求更换或返工，其产生的额外费用由承包人承担，不计入工程变更费用。</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（8）变更执行《苍南县政府投资项目工程变更管理办法的通知》苍政办〔2018〕60号文件</w:t>
      </w:r>
    </w:p>
    <w:p>
      <w:pPr>
        <w:tabs>
          <w:tab w:val="left" w:pos="0"/>
          <w:tab w:val="left" w:pos="630"/>
        </w:tabs>
        <w:snapToGrid w:val="0"/>
        <w:spacing w:line="500" w:lineRule="exact"/>
        <w:ind w:firstLine="420"/>
        <w:rPr>
          <w:rFonts w:hAnsi="宋体" w:cs="宋体"/>
          <w:szCs w:val="21"/>
        </w:rPr>
      </w:pPr>
      <w:r>
        <w:rPr>
          <w:rFonts w:hint="eastAsia" w:hAnsi="宋体" w:cs="宋体"/>
          <w:szCs w:val="21"/>
        </w:rPr>
        <w:t>10.1.2变更估价</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对每项变更价款的计算方法约定：</w:t>
      </w:r>
      <w:r>
        <w:rPr>
          <w:rFonts w:hint="eastAsia" w:hAnsi="宋体" w:cs="宋体"/>
          <w:szCs w:val="21"/>
          <w:u w:val="single"/>
        </w:rPr>
        <w:t>按16.3款执行。</w:t>
      </w:r>
    </w:p>
    <w:p>
      <w:pPr>
        <w:pStyle w:val="5"/>
        <w:tabs>
          <w:tab w:val="left" w:pos="0"/>
          <w:tab w:val="left" w:pos="630"/>
        </w:tabs>
        <w:spacing w:before="400" w:after="0" w:line="500" w:lineRule="exact"/>
        <w:ind w:firstLine="103"/>
        <w:rPr>
          <w:rFonts w:ascii="宋体" w:hAnsi="宋体" w:cs="宋体"/>
          <w:bCs w:val="0"/>
          <w:sz w:val="21"/>
          <w:szCs w:val="21"/>
        </w:rPr>
      </w:pPr>
      <w:r>
        <w:rPr>
          <w:rFonts w:hint="eastAsia" w:ascii="宋体" w:hAnsi="宋体" w:cs="宋体"/>
          <w:bCs w:val="0"/>
          <w:sz w:val="21"/>
          <w:szCs w:val="21"/>
        </w:rPr>
        <w:t>11. 价格调整</w:t>
      </w:r>
    </w:p>
    <w:p>
      <w:pPr>
        <w:pStyle w:val="208"/>
        <w:widowControl/>
        <w:tabs>
          <w:tab w:val="left" w:pos="0"/>
          <w:tab w:val="left" w:pos="630"/>
        </w:tabs>
        <w:adjustRightInd w:val="0"/>
        <w:snapToGrid w:val="0"/>
        <w:spacing w:before="0" w:after="0" w:line="500" w:lineRule="exact"/>
        <w:ind w:firstLine="103"/>
        <w:jc w:val="left"/>
        <w:outlineLvl w:val="9"/>
        <w:rPr>
          <w:rFonts w:ascii="宋体" w:cs="宋体"/>
          <w:bCs w:val="0"/>
          <w:i w:val="0"/>
          <w:sz w:val="21"/>
          <w:szCs w:val="21"/>
        </w:rPr>
      </w:pPr>
      <w:r>
        <w:rPr>
          <w:rFonts w:hint="eastAsia" w:ascii="宋体" w:cs="宋体"/>
          <w:bCs w:val="0"/>
          <w:i w:val="0"/>
          <w:sz w:val="21"/>
          <w:szCs w:val="21"/>
        </w:rPr>
        <w:t>11.1执行《苍南县政府投资项目工程变更管理办法的通知》苍政办〔2018〕60号并经发包人确认的工程变更、设计变更的价格调整。</w:t>
      </w:r>
    </w:p>
    <w:p>
      <w:pPr>
        <w:widowControl/>
        <w:tabs>
          <w:tab w:val="left" w:pos="0"/>
          <w:tab w:val="left" w:pos="630"/>
        </w:tabs>
        <w:snapToGrid w:val="0"/>
        <w:spacing w:line="500" w:lineRule="exact"/>
        <w:ind w:firstLine="420"/>
        <w:jc w:val="left"/>
        <w:rPr>
          <w:rFonts w:hAnsi="宋体" w:cs="宋体"/>
          <w:szCs w:val="21"/>
        </w:rPr>
      </w:pPr>
      <w:r>
        <w:rPr>
          <w:rFonts w:hint="eastAsia" w:hAnsi="宋体" w:cs="宋体"/>
          <w:szCs w:val="21"/>
        </w:rPr>
        <w:t>11.1.1 未经发包人确认的工程变更、设计变更均不得调整合同总价。</w:t>
      </w:r>
    </w:p>
    <w:p>
      <w:pPr>
        <w:widowControl/>
        <w:tabs>
          <w:tab w:val="left" w:pos="0"/>
          <w:tab w:val="left" w:pos="630"/>
        </w:tabs>
        <w:snapToGrid w:val="0"/>
        <w:spacing w:line="500" w:lineRule="exact"/>
        <w:ind w:firstLine="420"/>
        <w:jc w:val="left"/>
        <w:rPr>
          <w:rFonts w:hAnsi="宋体" w:cs="宋体"/>
          <w:szCs w:val="21"/>
        </w:rPr>
      </w:pPr>
      <w:r>
        <w:rPr>
          <w:rFonts w:hint="eastAsia" w:hAnsi="宋体" w:cs="宋体"/>
          <w:szCs w:val="21"/>
        </w:rPr>
        <w:t>11.1.2 经发包人确认的工程变更、</w:t>
      </w:r>
      <w:r>
        <w:rPr>
          <w:rFonts w:hint="eastAsia" w:hAnsi="宋体" w:cs="宋体"/>
          <w:b/>
          <w:szCs w:val="21"/>
        </w:rPr>
        <w:t>设计变更总额累积在建安工程价10%，予以调整，超出部分不予支付。</w:t>
      </w:r>
    </w:p>
    <w:p>
      <w:pPr>
        <w:tabs>
          <w:tab w:val="left" w:pos="0"/>
          <w:tab w:val="left" w:pos="630"/>
        </w:tabs>
        <w:snapToGrid w:val="0"/>
        <w:spacing w:line="500" w:lineRule="exact"/>
        <w:ind w:firstLine="420"/>
        <w:rPr>
          <w:rFonts w:hAnsi="宋体" w:cs="宋体"/>
          <w:szCs w:val="21"/>
        </w:rPr>
      </w:pPr>
      <w:r>
        <w:rPr>
          <w:rFonts w:hint="eastAsia" w:hAnsi="宋体" w:cs="宋体"/>
          <w:szCs w:val="21"/>
        </w:rPr>
        <w:t>11.2</w:t>
      </w:r>
      <w:r>
        <w:rPr>
          <w:rFonts w:hAnsi="宋体" w:cs="宋体"/>
          <w:szCs w:val="21"/>
        </w:rPr>
        <w:t>市场价格波动是否调整合同价格的约定</w:t>
      </w:r>
      <w:r>
        <w:rPr>
          <w:rFonts w:hint="eastAsia" w:hAnsi="宋体" w:cs="宋体"/>
          <w:szCs w:val="21"/>
        </w:rPr>
        <w:t>：否</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174" w:name="_Toc357026839"/>
      <w:bookmarkStart w:id="175" w:name="_Toc357321434"/>
      <w:r>
        <w:rPr>
          <w:rFonts w:hint="eastAsia" w:ascii="宋体" w:cs="宋体"/>
          <w:bCs w:val="0"/>
          <w:i w:val="0"/>
          <w:sz w:val="21"/>
          <w:szCs w:val="21"/>
        </w:rPr>
        <w:t>12．合同价格与支付</w:t>
      </w:r>
      <w:bookmarkEnd w:id="174"/>
      <w:bookmarkEnd w:id="175"/>
    </w:p>
    <w:p>
      <w:pPr>
        <w:tabs>
          <w:tab w:val="left" w:pos="0"/>
          <w:tab w:val="left" w:pos="630"/>
        </w:tabs>
        <w:spacing w:line="500" w:lineRule="exact"/>
        <w:ind w:firstLine="422" w:firstLineChars="200"/>
        <w:outlineLvl w:val="3"/>
        <w:rPr>
          <w:rFonts w:hAnsi="宋体"/>
          <w:b/>
          <w:szCs w:val="21"/>
        </w:rPr>
      </w:pPr>
      <w:r>
        <w:rPr>
          <w:rFonts w:hint="eastAsia" w:hAnsi="宋体"/>
          <w:b/>
          <w:szCs w:val="21"/>
        </w:rPr>
        <w:t>12.1合同价格</w:t>
      </w:r>
    </w:p>
    <w:p>
      <w:pPr>
        <w:pStyle w:val="208"/>
        <w:tabs>
          <w:tab w:val="left" w:pos="0"/>
          <w:tab w:val="left" w:pos="630"/>
        </w:tabs>
        <w:adjustRightInd w:val="0"/>
        <w:snapToGrid w:val="0"/>
        <w:spacing w:before="0" w:after="0" w:line="360" w:lineRule="auto"/>
        <w:ind w:firstLine="103"/>
        <w:outlineLvl w:val="3"/>
        <w:rPr>
          <w:rFonts w:ascii="宋体" w:cs="宋体"/>
          <w:bCs w:val="0"/>
          <w:i w:val="0"/>
          <w:sz w:val="21"/>
          <w:szCs w:val="21"/>
        </w:rPr>
      </w:pPr>
      <w:bookmarkStart w:id="176" w:name="_Toc357321435"/>
      <w:bookmarkStart w:id="177" w:name="_Toc357026840"/>
      <w:r>
        <w:rPr>
          <w:rFonts w:hint="eastAsia" w:ascii="宋体" w:cs="宋体"/>
          <w:bCs w:val="0"/>
          <w:i w:val="0"/>
          <w:sz w:val="21"/>
          <w:szCs w:val="21"/>
        </w:rPr>
        <w:t>12.2 付款方式：</w:t>
      </w:r>
    </w:p>
    <w:bookmarkEnd w:id="176"/>
    <w:bookmarkEnd w:id="177"/>
    <w:p>
      <w:pPr>
        <w:spacing w:line="360" w:lineRule="auto"/>
        <w:ind w:firstLine="210" w:firstLineChars="100"/>
        <w:rPr>
          <w:rFonts w:ascii="宋体" w:hAnsi="宋体" w:cs="宋体"/>
          <w:bCs/>
          <w:szCs w:val="21"/>
        </w:rPr>
      </w:pPr>
      <w:r>
        <w:rPr>
          <w:rFonts w:hint="eastAsia" w:ascii="宋体" w:hAnsi="宋体" w:cs="宋体"/>
          <w:bCs/>
          <w:szCs w:val="21"/>
        </w:rPr>
        <w:t>（1）合同签订后1</w:t>
      </w:r>
      <w:r>
        <w:rPr>
          <w:rFonts w:hint="eastAsia" w:ascii="宋体" w:hAnsi="宋体" w:cs="宋体"/>
          <w:bCs/>
          <w:szCs w:val="21"/>
          <w:lang w:val="en-US" w:eastAsia="zh-CN"/>
        </w:rPr>
        <w:t>5</w:t>
      </w:r>
      <w:r>
        <w:rPr>
          <w:rFonts w:hint="eastAsia" w:ascii="宋体" w:hAnsi="宋体" w:cs="宋体"/>
          <w:bCs/>
          <w:szCs w:val="21"/>
        </w:rPr>
        <w:t>日内</w:t>
      </w:r>
      <w:r>
        <w:rPr>
          <w:rFonts w:hint="eastAsia" w:ascii="宋体" w:hAnsi="宋体" w:cs="宋体"/>
          <w:bCs/>
          <w:szCs w:val="21"/>
          <w:lang w:eastAsia="zh-CN"/>
        </w:rPr>
        <w:t>，</w:t>
      </w:r>
      <w:r>
        <w:rPr>
          <w:rFonts w:hint="eastAsia" w:ascii="宋体" w:hAnsi="宋体" w:cs="宋体"/>
          <w:bCs/>
          <w:szCs w:val="21"/>
        </w:rPr>
        <w:t>甲方支付</w:t>
      </w:r>
      <w:r>
        <w:rPr>
          <w:rFonts w:hint="eastAsia" w:ascii="宋体" w:hAnsi="宋体"/>
          <w:color w:val="000000"/>
          <w:szCs w:val="21"/>
        </w:rPr>
        <w:t>中标合同价工程款</w:t>
      </w:r>
      <w:r>
        <w:rPr>
          <w:rFonts w:hint="eastAsia" w:ascii="宋体" w:hAnsi="宋体" w:cs="宋体"/>
          <w:bCs/>
          <w:szCs w:val="21"/>
        </w:rPr>
        <w:t>10%的工程预付款；</w:t>
      </w:r>
    </w:p>
    <w:p>
      <w:pPr>
        <w:spacing w:line="360" w:lineRule="auto"/>
        <w:ind w:firstLine="210" w:firstLineChars="100"/>
        <w:rPr>
          <w:rFonts w:ascii="宋体" w:hAnsi="宋体" w:cs="宋体"/>
          <w:bCs/>
          <w:szCs w:val="21"/>
        </w:rPr>
      </w:pPr>
      <w:r>
        <w:rPr>
          <w:rFonts w:hint="eastAsia" w:ascii="宋体" w:hAnsi="宋体" w:cs="宋体"/>
          <w:bCs/>
          <w:szCs w:val="21"/>
        </w:rPr>
        <w:t>（2）工程进度款按每月工程实际完成量的80%支付工程款（预付款同时按比例扣回）支付方式：每月25日前申报该月完成的工程量，经招标人及其委托的监理工程师审核确认后，于次月30日前支付已完成部分的工程款。进度款付至合同价的80%时，将停止支付工程进度款，待提交结算资料经初步审核后并办理竣工结算经相关单位审核后付至结算价的</w:t>
      </w:r>
      <w:r>
        <w:rPr>
          <w:rFonts w:hint="eastAsia" w:ascii="宋体" w:hAnsi="宋体" w:cs="宋体"/>
          <w:bCs/>
          <w:szCs w:val="21"/>
          <w:lang w:val="en-US" w:eastAsia="zh-CN"/>
        </w:rPr>
        <w:t>100</w:t>
      </w:r>
      <w:r>
        <w:rPr>
          <w:rFonts w:hint="eastAsia" w:ascii="宋体" w:hAnsi="宋体" w:cs="宋体"/>
          <w:bCs/>
          <w:szCs w:val="21"/>
        </w:rPr>
        <w:t>%。</w:t>
      </w:r>
    </w:p>
    <w:p>
      <w:pPr>
        <w:pStyle w:val="208"/>
        <w:tabs>
          <w:tab w:val="left" w:pos="0"/>
          <w:tab w:val="left" w:pos="630"/>
        </w:tabs>
        <w:adjustRightInd w:val="0"/>
        <w:snapToGrid w:val="0"/>
        <w:spacing w:before="0" w:after="0" w:line="500" w:lineRule="exact"/>
        <w:ind w:firstLine="103"/>
        <w:outlineLvl w:val="3"/>
        <w:rPr>
          <w:rFonts w:ascii="宋体" w:cs="宋体"/>
          <w:bCs w:val="0"/>
          <w:i w:val="0"/>
          <w:sz w:val="21"/>
          <w:szCs w:val="21"/>
        </w:rPr>
      </w:pPr>
      <w:bookmarkStart w:id="178" w:name="_Toc357026842"/>
      <w:bookmarkStart w:id="179" w:name="_Toc357321437"/>
      <w:r>
        <w:rPr>
          <w:rFonts w:hint="eastAsia" w:ascii="宋体" w:cs="宋体"/>
          <w:bCs w:val="0"/>
          <w:i w:val="0"/>
          <w:sz w:val="21"/>
          <w:szCs w:val="21"/>
        </w:rPr>
        <w:t>12.3 竣工结算</w:t>
      </w:r>
      <w:bookmarkEnd w:id="178"/>
      <w:bookmarkEnd w:id="179"/>
    </w:p>
    <w:p>
      <w:pPr>
        <w:tabs>
          <w:tab w:val="left" w:pos="0"/>
          <w:tab w:val="left" w:pos="630"/>
        </w:tabs>
        <w:snapToGrid w:val="0"/>
        <w:spacing w:line="500" w:lineRule="exact"/>
        <w:ind w:firstLine="420"/>
        <w:outlineLvl w:val="3"/>
        <w:rPr>
          <w:rFonts w:hAnsi="宋体" w:cs="宋体"/>
          <w:szCs w:val="21"/>
        </w:rPr>
      </w:pPr>
      <w:r>
        <w:rPr>
          <w:rFonts w:hint="eastAsia" w:hAnsi="宋体" w:cs="宋体"/>
          <w:szCs w:val="21"/>
        </w:rPr>
        <w:t>12.3.1 竣工付款申请单</w:t>
      </w:r>
    </w:p>
    <w:p>
      <w:pPr>
        <w:tabs>
          <w:tab w:val="left" w:pos="0"/>
          <w:tab w:val="left" w:pos="630"/>
        </w:tabs>
        <w:snapToGrid w:val="0"/>
        <w:spacing w:line="500" w:lineRule="exact"/>
        <w:ind w:firstLine="420"/>
        <w:outlineLvl w:val="3"/>
        <w:rPr>
          <w:rFonts w:hAnsi="宋体" w:cs="宋体"/>
          <w:szCs w:val="21"/>
        </w:rPr>
      </w:pPr>
      <w:r>
        <w:rPr>
          <w:rFonts w:hint="eastAsia" w:hAnsi="宋体" w:cs="宋体"/>
          <w:szCs w:val="21"/>
        </w:rPr>
        <w:t>承包人提交的竣工付款申请单份数：</w:t>
      </w:r>
      <w:r>
        <w:rPr>
          <w:rFonts w:hint="eastAsia" w:hAnsi="宋体" w:cs="宋体"/>
          <w:szCs w:val="21"/>
          <w:u w:val="single"/>
        </w:rPr>
        <w:t>10份</w:t>
      </w:r>
    </w:p>
    <w:p>
      <w:pPr>
        <w:tabs>
          <w:tab w:val="left" w:pos="0"/>
          <w:tab w:val="left" w:pos="630"/>
        </w:tabs>
        <w:spacing w:line="500" w:lineRule="exact"/>
        <w:ind w:firstLine="420"/>
        <w:outlineLvl w:val="3"/>
        <w:rPr>
          <w:rFonts w:hAnsi="宋体" w:cs="宋体"/>
          <w:szCs w:val="21"/>
        </w:rPr>
      </w:pPr>
      <w:r>
        <w:rPr>
          <w:rFonts w:hint="eastAsia" w:hAnsi="宋体" w:cs="宋体"/>
          <w:szCs w:val="21"/>
        </w:rPr>
        <w:t>12.3.2竣工付款证书及支付时间</w:t>
      </w:r>
    </w:p>
    <w:p>
      <w:pPr>
        <w:tabs>
          <w:tab w:val="left" w:pos="0"/>
          <w:tab w:val="left" w:pos="630"/>
        </w:tabs>
        <w:spacing w:line="500" w:lineRule="exact"/>
        <w:ind w:firstLine="420"/>
        <w:outlineLvl w:val="3"/>
        <w:rPr>
          <w:rFonts w:hAnsi="宋体" w:cs="宋体"/>
          <w:szCs w:val="21"/>
        </w:rPr>
      </w:pPr>
      <w:r>
        <w:rPr>
          <w:rFonts w:hint="eastAsia" w:hAnsi="宋体" w:cs="宋体"/>
          <w:szCs w:val="21"/>
        </w:rPr>
        <w:t>（1）该工程为政府性投资项目，最终以财政部门根据国家造价管理的有关规定审定价作为的本合同工程结算造价，由发包人与承包人办理最终价款结算手续。</w:t>
      </w:r>
    </w:p>
    <w:p>
      <w:pPr>
        <w:tabs>
          <w:tab w:val="left" w:pos="0"/>
          <w:tab w:val="left" w:pos="630"/>
        </w:tabs>
        <w:spacing w:line="500" w:lineRule="exact"/>
        <w:ind w:firstLine="420"/>
        <w:outlineLvl w:val="3"/>
        <w:rPr>
          <w:rFonts w:hAnsi="宋体" w:cs="宋体"/>
          <w:szCs w:val="21"/>
        </w:rPr>
      </w:pPr>
      <w:r>
        <w:rPr>
          <w:rFonts w:hint="eastAsia" w:hAnsi="宋体" w:cs="宋体"/>
          <w:szCs w:val="21"/>
        </w:rPr>
        <w:t>（2）承包人应当在工程验收合格后的 3个月内向发包人提交完整的工程竣工结算资料，经发包人催促后14天内仍未提供或没有明确答复，发包人不再受理承包人逾期提交的资料且有权根据已有资料进行查并以已有资料提交财政部门进行审价，审计结果将作为最终结算造价。由于财政部门审价期限的延迟，双方均不向对方承担责任。</w:t>
      </w:r>
    </w:p>
    <w:p>
      <w:pPr>
        <w:tabs>
          <w:tab w:val="left" w:pos="0"/>
          <w:tab w:val="left" w:pos="630"/>
        </w:tabs>
        <w:spacing w:line="500" w:lineRule="exact"/>
        <w:ind w:firstLine="420"/>
        <w:outlineLvl w:val="3"/>
        <w:rPr>
          <w:rFonts w:hAnsi="宋体" w:cs="宋体"/>
          <w:szCs w:val="21"/>
        </w:rPr>
      </w:pPr>
      <w:r>
        <w:rPr>
          <w:rFonts w:hint="eastAsia" w:hAnsi="宋体" w:cs="宋体"/>
          <w:szCs w:val="21"/>
        </w:rPr>
        <w:t>（3）该工程为政府性投资项目，承包人超过送审额5%以外部分的核减费用及核增费用由承包人承担审价费用。</w:t>
      </w:r>
    </w:p>
    <w:p>
      <w:pPr>
        <w:pStyle w:val="208"/>
        <w:tabs>
          <w:tab w:val="left" w:pos="0"/>
          <w:tab w:val="left" w:pos="630"/>
        </w:tabs>
        <w:adjustRightInd w:val="0"/>
        <w:snapToGrid w:val="0"/>
        <w:spacing w:before="0" w:after="0" w:line="500" w:lineRule="exact"/>
        <w:ind w:firstLine="103"/>
        <w:outlineLvl w:val="3"/>
        <w:rPr>
          <w:rFonts w:ascii="宋体" w:cs="宋体"/>
          <w:bCs w:val="0"/>
          <w:i w:val="0"/>
          <w:sz w:val="21"/>
          <w:szCs w:val="21"/>
        </w:rPr>
      </w:pPr>
      <w:bookmarkStart w:id="180" w:name="_Toc357026843"/>
      <w:bookmarkStart w:id="181" w:name="_Toc357321438"/>
      <w:r>
        <w:rPr>
          <w:rFonts w:hint="eastAsia" w:ascii="宋体" w:cs="宋体"/>
          <w:bCs w:val="0"/>
          <w:i w:val="0"/>
          <w:sz w:val="21"/>
          <w:szCs w:val="21"/>
        </w:rPr>
        <w:t>12.4 最终结清</w:t>
      </w:r>
      <w:bookmarkEnd w:id="180"/>
      <w:bookmarkEnd w:id="181"/>
    </w:p>
    <w:p>
      <w:pPr>
        <w:tabs>
          <w:tab w:val="left" w:pos="0"/>
          <w:tab w:val="left" w:pos="630"/>
        </w:tabs>
        <w:snapToGrid w:val="0"/>
        <w:spacing w:line="500" w:lineRule="exact"/>
        <w:ind w:firstLine="420"/>
        <w:outlineLvl w:val="3"/>
        <w:rPr>
          <w:rFonts w:hAnsi="宋体" w:cs="宋体"/>
          <w:szCs w:val="21"/>
        </w:rPr>
      </w:pPr>
      <w:r>
        <w:rPr>
          <w:rFonts w:hint="eastAsia" w:hAnsi="宋体" w:cs="宋体"/>
          <w:szCs w:val="21"/>
        </w:rPr>
        <w:t>12.4.1 最终结清申请单</w:t>
      </w:r>
    </w:p>
    <w:p>
      <w:pPr>
        <w:tabs>
          <w:tab w:val="left" w:pos="0"/>
          <w:tab w:val="left" w:pos="630"/>
        </w:tabs>
        <w:snapToGrid w:val="0"/>
        <w:spacing w:line="500" w:lineRule="exact"/>
        <w:ind w:firstLine="420"/>
        <w:outlineLvl w:val="3"/>
        <w:rPr>
          <w:rFonts w:hAnsi="宋体" w:cs="宋体"/>
          <w:szCs w:val="21"/>
          <w:u w:val="single"/>
        </w:rPr>
      </w:pPr>
      <w:r>
        <w:rPr>
          <w:rFonts w:hint="eastAsia" w:hAnsi="宋体" w:cs="宋体"/>
          <w:szCs w:val="21"/>
        </w:rPr>
        <w:t>承包人提交的最终结清申请单份数：</w:t>
      </w:r>
      <w:r>
        <w:rPr>
          <w:rFonts w:hint="eastAsia" w:hAnsi="宋体" w:cs="宋体"/>
          <w:szCs w:val="21"/>
          <w:u w:val="single"/>
        </w:rPr>
        <w:t>10份。</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182" w:name="_Toc357321439"/>
      <w:bookmarkStart w:id="183" w:name="_Toc357026844"/>
      <w:r>
        <w:rPr>
          <w:rFonts w:hint="eastAsia" w:ascii="宋体" w:cs="宋体"/>
          <w:bCs w:val="0"/>
          <w:i w:val="0"/>
          <w:sz w:val="21"/>
          <w:szCs w:val="21"/>
        </w:rPr>
        <w:t>13. 竣工试验和竣工验收</w:t>
      </w:r>
      <w:bookmarkEnd w:id="182"/>
      <w:bookmarkEnd w:id="183"/>
    </w:p>
    <w:p>
      <w:pPr>
        <w:pStyle w:val="208"/>
        <w:tabs>
          <w:tab w:val="left" w:pos="0"/>
          <w:tab w:val="left" w:pos="630"/>
        </w:tabs>
        <w:adjustRightInd w:val="0"/>
        <w:snapToGrid w:val="0"/>
        <w:spacing w:before="0" w:after="0" w:line="500" w:lineRule="exact"/>
        <w:ind w:firstLine="103"/>
        <w:outlineLvl w:val="3"/>
        <w:rPr>
          <w:rFonts w:ascii="宋体" w:cs="宋体"/>
          <w:bCs w:val="0"/>
          <w:i w:val="0"/>
          <w:sz w:val="21"/>
          <w:szCs w:val="21"/>
        </w:rPr>
      </w:pPr>
      <w:bookmarkStart w:id="184" w:name="_Toc357026845"/>
      <w:bookmarkStart w:id="185" w:name="_Toc357321440"/>
      <w:r>
        <w:rPr>
          <w:rFonts w:hint="eastAsia" w:ascii="宋体" w:cs="宋体"/>
          <w:bCs w:val="0"/>
          <w:i w:val="0"/>
          <w:sz w:val="21"/>
          <w:szCs w:val="21"/>
        </w:rPr>
        <w:t>13.1竣工验收申请报告</w:t>
      </w:r>
      <w:bookmarkEnd w:id="184"/>
      <w:bookmarkEnd w:id="185"/>
    </w:p>
    <w:p>
      <w:pPr>
        <w:tabs>
          <w:tab w:val="left" w:pos="0"/>
          <w:tab w:val="left" w:pos="630"/>
        </w:tabs>
        <w:snapToGrid w:val="0"/>
        <w:spacing w:line="500" w:lineRule="exact"/>
        <w:ind w:firstLine="420"/>
        <w:rPr>
          <w:rFonts w:hAnsi="宋体" w:cs="宋体"/>
          <w:szCs w:val="21"/>
        </w:rPr>
      </w:pPr>
      <w:r>
        <w:rPr>
          <w:rFonts w:hint="eastAsia" w:hAnsi="宋体" w:cs="宋体"/>
          <w:szCs w:val="21"/>
        </w:rPr>
        <w:t>竣工验收报告的格式、份数和提交时间：</w:t>
      </w:r>
      <w:r>
        <w:rPr>
          <w:rFonts w:hint="eastAsia" w:hAnsi="宋体" w:cs="宋体"/>
          <w:szCs w:val="21"/>
          <w:u w:val="single"/>
        </w:rPr>
        <w:t>在竣工验收后七天内向发包人提供一式柒份。</w:t>
      </w:r>
      <w:r>
        <w:rPr>
          <w:rFonts w:hint="eastAsia" w:hAnsi="宋体" w:cs="宋体"/>
          <w:szCs w:val="21"/>
        </w:rPr>
        <w:t xml:space="preserve"> </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完整竣工资料的格式、份数和提交时间：</w:t>
      </w:r>
      <w:r>
        <w:rPr>
          <w:rFonts w:hint="eastAsia" w:hAnsi="宋体" w:cs="宋体"/>
          <w:szCs w:val="21"/>
          <w:u w:val="single"/>
        </w:rPr>
        <w:t>在交工验收前十五天向发包人提供完整的竣工资料一式柒份，要求监理公司签字并盖章确认。竣工图U盘2张。提供工程施工全过程照片（重要工程节点施工过程、涉及工程变更取证、各级领导现场视察、相关部门各种类专项检查过程的记录等），做好影像资料台帐并保证其完备性。</w:t>
      </w:r>
    </w:p>
    <w:p>
      <w:pPr>
        <w:pStyle w:val="208"/>
        <w:tabs>
          <w:tab w:val="left" w:pos="0"/>
          <w:tab w:val="left" w:pos="630"/>
        </w:tabs>
        <w:adjustRightInd w:val="0"/>
        <w:snapToGrid w:val="0"/>
        <w:spacing w:before="0" w:after="0" w:line="500" w:lineRule="exact"/>
        <w:ind w:firstLine="103"/>
        <w:outlineLvl w:val="3"/>
        <w:rPr>
          <w:rFonts w:ascii="宋体" w:cs="宋体"/>
          <w:bCs w:val="0"/>
          <w:i w:val="0"/>
          <w:sz w:val="21"/>
          <w:szCs w:val="21"/>
        </w:rPr>
      </w:pPr>
      <w:bookmarkStart w:id="186" w:name="_Toc357321441"/>
      <w:bookmarkStart w:id="187" w:name="_Toc357026846"/>
      <w:r>
        <w:rPr>
          <w:rFonts w:hint="eastAsia" w:ascii="宋体" w:cs="宋体"/>
          <w:bCs w:val="0"/>
          <w:i w:val="0"/>
          <w:sz w:val="21"/>
          <w:szCs w:val="21"/>
        </w:rPr>
        <w:t>13.2竣工后试验</w:t>
      </w:r>
      <w:bookmarkEnd w:id="186"/>
      <w:bookmarkEnd w:id="187"/>
    </w:p>
    <w:p>
      <w:pPr>
        <w:tabs>
          <w:tab w:val="left" w:pos="0"/>
          <w:tab w:val="left" w:pos="630"/>
        </w:tabs>
        <w:snapToGrid w:val="0"/>
        <w:spacing w:line="500" w:lineRule="exact"/>
        <w:ind w:firstLine="420"/>
        <w:rPr>
          <w:rFonts w:hAnsi="宋体" w:cs="宋体"/>
          <w:szCs w:val="21"/>
          <w:u w:val="single"/>
        </w:rPr>
      </w:pPr>
      <w:r>
        <w:rPr>
          <w:rFonts w:hint="eastAsia" w:hAnsi="宋体" w:cs="宋体"/>
          <w:szCs w:val="21"/>
          <w:u w:val="single"/>
        </w:rPr>
        <w:t>本工程不进行竣工后试验。</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188" w:name="_Toc357026847"/>
      <w:bookmarkStart w:id="189" w:name="_Toc357321442"/>
      <w:r>
        <w:rPr>
          <w:rFonts w:hint="eastAsia" w:ascii="宋体" w:cs="宋体"/>
          <w:bCs w:val="0"/>
          <w:i w:val="0"/>
          <w:sz w:val="21"/>
          <w:szCs w:val="21"/>
        </w:rPr>
        <w:t>14. 缺陷责任与保修责任</w:t>
      </w:r>
      <w:bookmarkEnd w:id="188"/>
      <w:bookmarkEnd w:id="189"/>
    </w:p>
    <w:p>
      <w:pPr>
        <w:tabs>
          <w:tab w:val="left" w:pos="0"/>
          <w:tab w:val="left" w:pos="630"/>
        </w:tabs>
        <w:adjustRightInd w:val="0"/>
        <w:snapToGrid w:val="0"/>
        <w:spacing w:line="500" w:lineRule="exact"/>
        <w:ind w:firstLine="420"/>
        <w:outlineLvl w:val="3"/>
        <w:rPr>
          <w:rFonts w:hAnsi="宋体" w:cs="宋体"/>
          <w:szCs w:val="21"/>
        </w:rPr>
      </w:pPr>
      <w:bookmarkStart w:id="190" w:name="_Toc357026848"/>
      <w:bookmarkStart w:id="191" w:name="_Toc357321443"/>
      <w:r>
        <w:rPr>
          <w:rFonts w:hint="eastAsia" w:hAnsi="宋体" w:cs="宋体"/>
          <w:szCs w:val="21"/>
        </w:rPr>
        <w:t>14.1 保修责任</w:t>
      </w:r>
      <w:bookmarkEnd w:id="190"/>
      <w:bookmarkEnd w:id="191"/>
    </w:p>
    <w:p>
      <w:pPr>
        <w:tabs>
          <w:tab w:val="left" w:pos="0"/>
          <w:tab w:val="left" w:pos="630"/>
        </w:tabs>
        <w:spacing w:line="500" w:lineRule="exact"/>
        <w:rPr>
          <w:rFonts w:hAnsi="宋体" w:cs="宋体"/>
          <w:szCs w:val="21"/>
        </w:rPr>
      </w:pPr>
      <w:r>
        <w:rPr>
          <w:rFonts w:hint="eastAsia" w:hAnsi="宋体" w:cs="宋体"/>
          <w:szCs w:val="21"/>
        </w:rPr>
        <w:t xml:space="preserve">    工程质量保修范围、期限和责任：工程保修期最低为2年，保修范围和责任按照发包人和承包人签订的保修协议办理。</w:t>
      </w:r>
    </w:p>
    <w:p>
      <w:pPr>
        <w:tabs>
          <w:tab w:val="left" w:pos="0"/>
          <w:tab w:val="left" w:pos="630"/>
        </w:tabs>
        <w:adjustRightInd w:val="0"/>
        <w:snapToGrid w:val="0"/>
        <w:spacing w:line="500" w:lineRule="exact"/>
        <w:ind w:firstLine="420"/>
        <w:outlineLvl w:val="2"/>
        <w:rPr>
          <w:rFonts w:hAnsi="宋体" w:cs="宋体"/>
          <w:szCs w:val="21"/>
        </w:rPr>
      </w:pPr>
      <w:bookmarkStart w:id="192" w:name="_Toc357321444"/>
      <w:bookmarkStart w:id="193" w:name="_Toc357026849"/>
      <w:r>
        <w:rPr>
          <w:rFonts w:hint="eastAsia" w:hAnsi="宋体" w:cs="宋体"/>
          <w:szCs w:val="21"/>
        </w:rPr>
        <w:t>15. 保险</w:t>
      </w:r>
      <w:bookmarkEnd w:id="192"/>
      <w:bookmarkEnd w:id="193"/>
    </w:p>
    <w:p>
      <w:pPr>
        <w:tabs>
          <w:tab w:val="left" w:pos="0"/>
          <w:tab w:val="left" w:pos="630"/>
        </w:tabs>
        <w:adjustRightInd w:val="0"/>
        <w:snapToGrid w:val="0"/>
        <w:spacing w:line="500" w:lineRule="exact"/>
        <w:ind w:firstLine="420"/>
        <w:outlineLvl w:val="3"/>
        <w:rPr>
          <w:rFonts w:hAnsi="宋体" w:cs="宋体"/>
          <w:szCs w:val="21"/>
        </w:rPr>
      </w:pPr>
      <w:bookmarkStart w:id="194" w:name="_Toc357026850"/>
      <w:bookmarkStart w:id="195" w:name="_Toc357321445"/>
      <w:r>
        <w:rPr>
          <w:rFonts w:hint="eastAsia" w:hAnsi="宋体" w:cs="宋体"/>
          <w:szCs w:val="21"/>
        </w:rPr>
        <w:t>15.1 设计和工程保险</w:t>
      </w:r>
      <w:bookmarkEnd w:id="194"/>
      <w:bookmarkEnd w:id="195"/>
    </w:p>
    <w:p>
      <w:pPr>
        <w:tabs>
          <w:tab w:val="left" w:pos="0"/>
          <w:tab w:val="left" w:pos="630"/>
        </w:tabs>
        <w:spacing w:line="500" w:lineRule="exact"/>
        <w:ind w:firstLine="420"/>
        <w:outlineLvl w:val="4"/>
        <w:rPr>
          <w:rFonts w:hAnsi="宋体" w:cs="宋体"/>
          <w:szCs w:val="21"/>
        </w:rPr>
      </w:pPr>
      <w:r>
        <w:rPr>
          <w:rFonts w:hint="eastAsia" w:hAnsi="宋体" w:cs="宋体"/>
          <w:szCs w:val="21"/>
        </w:rPr>
        <w:t>15.1.1合同双方商定，由承包人负责投保的保险种类、保险范围、投保金额、保险期限和持续有效的时间。</w:t>
      </w:r>
    </w:p>
    <w:p>
      <w:pPr>
        <w:tabs>
          <w:tab w:val="left" w:pos="0"/>
          <w:tab w:val="left" w:pos="630"/>
        </w:tabs>
        <w:spacing w:line="500" w:lineRule="exact"/>
        <w:ind w:firstLine="420"/>
        <w:rPr>
          <w:rFonts w:hAnsi="宋体" w:cs="宋体"/>
          <w:szCs w:val="21"/>
        </w:rPr>
      </w:pPr>
      <w:r>
        <w:rPr>
          <w:rFonts w:hint="eastAsia" w:hAnsi="宋体" w:cs="宋体"/>
          <w:szCs w:val="21"/>
        </w:rPr>
        <w:t>保险范围：为本合同工程的永久工程、临时工程和设备及已运至施工工地用于永久工程的材料和设备所投的保险。</w:t>
      </w:r>
    </w:p>
    <w:p>
      <w:pPr>
        <w:tabs>
          <w:tab w:val="left" w:pos="0"/>
          <w:tab w:val="left" w:pos="630"/>
        </w:tabs>
        <w:spacing w:line="500" w:lineRule="exact"/>
        <w:ind w:firstLine="420"/>
        <w:rPr>
          <w:rFonts w:hAnsi="宋体" w:cs="宋体"/>
          <w:szCs w:val="21"/>
        </w:rPr>
      </w:pPr>
      <w:r>
        <w:rPr>
          <w:rFonts w:hint="eastAsia" w:hAnsi="宋体" w:cs="宋体"/>
          <w:szCs w:val="21"/>
        </w:rPr>
        <w:t>保险期限：开工日起直至本合同工程签发缺陷责任期终止证书止。</w:t>
      </w:r>
    </w:p>
    <w:p>
      <w:pPr>
        <w:tabs>
          <w:tab w:val="left" w:pos="0"/>
          <w:tab w:val="left" w:pos="630"/>
        </w:tabs>
        <w:spacing w:line="500" w:lineRule="exact"/>
        <w:ind w:firstLine="420"/>
        <w:rPr>
          <w:rFonts w:hAnsi="宋体" w:cs="宋体"/>
          <w:szCs w:val="21"/>
        </w:rPr>
      </w:pPr>
      <w:r>
        <w:rPr>
          <w:rFonts w:hint="eastAsia" w:hAnsi="宋体" w:cs="宋体"/>
          <w:szCs w:val="21"/>
        </w:rPr>
        <w:t>建筑工程一切险的投保方及对投保的相关要求：由承包人负责。</w:t>
      </w:r>
    </w:p>
    <w:p>
      <w:pPr>
        <w:tabs>
          <w:tab w:val="left" w:pos="0"/>
          <w:tab w:val="left" w:pos="630"/>
        </w:tabs>
        <w:snapToGrid w:val="0"/>
        <w:spacing w:line="500" w:lineRule="exact"/>
        <w:ind w:firstLine="420"/>
        <w:outlineLvl w:val="4"/>
        <w:rPr>
          <w:rFonts w:hAnsi="宋体" w:cs="宋体"/>
          <w:szCs w:val="21"/>
          <w:u w:val="single"/>
        </w:rPr>
      </w:pPr>
      <w:r>
        <w:rPr>
          <w:rFonts w:hint="eastAsia" w:hAnsi="宋体" w:cs="宋体"/>
          <w:szCs w:val="21"/>
        </w:rPr>
        <w:t>15.1.2第三者责任险的应投保方及对投保的相关要求：</w:t>
      </w:r>
      <w:r>
        <w:rPr>
          <w:rFonts w:hint="eastAsia" w:hAnsi="宋体" w:cs="宋体"/>
          <w:szCs w:val="21"/>
          <w:u w:val="single"/>
        </w:rPr>
        <w:t>第三者责任险的保险费由承包人支付。</w:t>
      </w:r>
    </w:p>
    <w:p>
      <w:pPr>
        <w:pStyle w:val="208"/>
        <w:tabs>
          <w:tab w:val="left" w:pos="0"/>
          <w:tab w:val="left" w:pos="630"/>
        </w:tabs>
        <w:adjustRightInd w:val="0"/>
        <w:snapToGrid w:val="0"/>
        <w:spacing w:before="0" w:after="0" w:line="500" w:lineRule="exact"/>
        <w:ind w:firstLine="103"/>
        <w:outlineLvl w:val="3"/>
        <w:rPr>
          <w:rFonts w:ascii="宋体" w:cs="宋体"/>
          <w:bCs w:val="0"/>
          <w:i w:val="0"/>
          <w:sz w:val="21"/>
          <w:szCs w:val="21"/>
        </w:rPr>
      </w:pPr>
      <w:bookmarkStart w:id="196" w:name="_Toc357321446"/>
      <w:bookmarkStart w:id="197" w:name="_Toc357026851"/>
      <w:r>
        <w:rPr>
          <w:rFonts w:hint="eastAsia" w:ascii="宋体" w:cs="宋体"/>
          <w:bCs w:val="0"/>
          <w:i w:val="0"/>
          <w:sz w:val="21"/>
          <w:szCs w:val="21"/>
        </w:rPr>
        <w:t>15.2 对各项保险的一般要求</w:t>
      </w:r>
      <w:bookmarkEnd w:id="196"/>
      <w:bookmarkEnd w:id="197"/>
    </w:p>
    <w:p>
      <w:pPr>
        <w:tabs>
          <w:tab w:val="left" w:pos="0"/>
          <w:tab w:val="left" w:pos="630"/>
        </w:tabs>
        <w:snapToGrid w:val="0"/>
        <w:spacing w:line="500" w:lineRule="exact"/>
        <w:ind w:firstLine="420"/>
        <w:outlineLvl w:val="4"/>
        <w:rPr>
          <w:rFonts w:hAnsi="宋体" w:cs="宋体"/>
          <w:szCs w:val="21"/>
        </w:rPr>
      </w:pPr>
      <w:r>
        <w:rPr>
          <w:rFonts w:hint="eastAsia" w:hAnsi="宋体" w:cs="宋体"/>
          <w:szCs w:val="21"/>
        </w:rPr>
        <w:t>15.2.1 保险凭证</w:t>
      </w:r>
    </w:p>
    <w:p>
      <w:pPr>
        <w:tabs>
          <w:tab w:val="left" w:pos="0"/>
          <w:tab w:val="left" w:pos="630"/>
        </w:tabs>
        <w:snapToGrid w:val="0"/>
        <w:spacing w:line="500" w:lineRule="exact"/>
        <w:ind w:firstLine="420"/>
        <w:outlineLvl w:val="3"/>
        <w:rPr>
          <w:rFonts w:hAnsi="宋体" w:cs="宋体"/>
          <w:szCs w:val="21"/>
          <w:u w:val="single"/>
        </w:rPr>
      </w:pPr>
      <w:r>
        <w:rPr>
          <w:rFonts w:hint="eastAsia" w:hAnsi="宋体" w:cs="宋体"/>
          <w:szCs w:val="21"/>
        </w:rPr>
        <w:t>承包人提交各项保险生效的证据和保险单副本期限：</w:t>
      </w:r>
      <w:r>
        <w:rPr>
          <w:rFonts w:hint="eastAsia" w:hAnsi="宋体" w:cs="宋体"/>
          <w:szCs w:val="21"/>
          <w:u w:val="single"/>
        </w:rPr>
        <w:t>合同签订后14天内提交。</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198" w:name="_Toc357321447"/>
      <w:bookmarkStart w:id="199" w:name="_Toc357026852"/>
      <w:r>
        <w:rPr>
          <w:rFonts w:hint="eastAsia" w:ascii="宋体" w:cs="宋体"/>
          <w:bCs w:val="0"/>
          <w:i w:val="0"/>
          <w:sz w:val="21"/>
          <w:szCs w:val="21"/>
        </w:rPr>
        <w:t>16. 不可抗力</w:t>
      </w:r>
      <w:bookmarkEnd w:id="198"/>
      <w:bookmarkEnd w:id="199"/>
    </w:p>
    <w:p>
      <w:pPr>
        <w:pStyle w:val="208"/>
        <w:tabs>
          <w:tab w:val="left" w:pos="0"/>
          <w:tab w:val="left" w:pos="630"/>
        </w:tabs>
        <w:adjustRightInd w:val="0"/>
        <w:snapToGrid w:val="0"/>
        <w:spacing w:before="0" w:after="0" w:line="500" w:lineRule="exact"/>
        <w:ind w:firstLine="103"/>
        <w:outlineLvl w:val="3"/>
        <w:rPr>
          <w:rFonts w:ascii="宋体" w:cs="宋体"/>
          <w:bCs w:val="0"/>
          <w:i w:val="0"/>
          <w:sz w:val="21"/>
          <w:szCs w:val="21"/>
        </w:rPr>
      </w:pPr>
      <w:bookmarkStart w:id="200" w:name="_Toc357026853"/>
      <w:bookmarkStart w:id="201" w:name="_Toc357321448"/>
      <w:r>
        <w:rPr>
          <w:rFonts w:hint="eastAsia" w:ascii="宋体" w:cs="宋体"/>
          <w:bCs w:val="0"/>
          <w:i w:val="0"/>
          <w:sz w:val="21"/>
          <w:szCs w:val="21"/>
        </w:rPr>
        <w:t>16.1 不可抗力的确认</w:t>
      </w:r>
      <w:bookmarkEnd w:id="200"/>
      <w:bookmarkEnd w:id="201"/>
    </w:p>
    <w:p>
      <w:pPr>
        <w:tabs>
          <w:tab w:val="left" w:pos="0"/>
          <w:tab w:val="left" w:pos="630"/>
        </w:tabs>
        <w:snapToGrid w:val="0"/>
        <w:spacing w:line="500" w:lineRule="exact"/>
        <w:ind w:firstLine="420"/>
        <w:rPr>
          <w:rFonts w:hAnsi="宋体" w:cs="宋体"/>
          <w:szCs w:val="21"/>
        </w:rPr>
      </w:pPr>
      <w:r>
        <w:rPr>
          <w:rFonts w:hint="eastAsia" w:hAnsi="宋体" w:cs="宋体"/>
          <w:szCs w:val="21"/>
        </w:rPr>
        <w:t>16.1.1双方关于不可抗的约定: 六级以上地震、山洪暴发、战争、十级以上台风及其他属于承包人不能预见、不能避免并不能克服的客观情况。</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202" w:name="_Toc357321449"/>
      <w:bookmarkStart w:id="203" w:name="_Toc357026854"/>
      <w:r>
        <w:rPr>
          <w:rFonts w:hint="eastAsia" w:ascii="宋体" w:cs="宋体"/>
          <w:bCs w:val="0"/>
          <w:i w:val="0"/>
          <w:sz w:val="21"/>
          <w:szCs w:val="21"/>
        </w:rPr>
        <w:t>17. 违约</w:t>
      </w:r>
      <w:bookmarkEnd w:id="202"/>
      <w:bookmarkEnd w:id="203"/>
    </w:p>
    <w:p>
      <w:pPr>
        <w:pStyle w:val="208"/>
        <w:tabs>
          <w:tab w:val="left" w:pos="0"/>
          <w:tab w:val="left" w:pos="630"/>
        </w:tabs>
        <w:adjustRightInd w:val="0"/>
        <w:snapToGrid w:val="0"/>
        <w:spacing w:before="0" w:after="0" w:line="500" w:lineRule="exact"/>
        <w:ind w:firstLine="103"/>
        <w:outlineLvl w:val="3"/>
        <w:rPr>
          <w:rFonts w:ascii="宋体" w:cs="宋体"/>
          <w:bCs w:val="0"/>
          <w:i w:val="0"/>
          <w:sz w:val="21"/>
          <w:szCs w:val="21"/>
        </w:rPr>
      </w:pPr>
      <w:bookmarkStart w:id="204" w:name="_Toc357321450"/>
      <w:bookmarkStart w:id="205" w:name="_Toc357026855"/>
      <w:r>
        <w:rPr>
          <w:rFonts w:hint="eastAsia" w:ascii="宋体" w:cs="宋体"/>
          <w:bCs w:val="0"/>
          <w:i w:val="0"/>
          <w:sz w:val="21"/>
          <w:szCs w:val="21"/>
        </w:rPr>
        <w:t>17.1承包人违约</w:t>
      </w:r>
      <w:bookmarkEnd w:id="204"/>
      <w:bookmarkEnd w:id="205"/>
    </w:p>
    <w:p>
      <w:pPr>
        <w:tabs>
          <w:tab w:val="left" w:pos="0"/>
          <w:tab w:val="left" w:pos="630"/>
        </w:tabs>
        <w:snapToGrid w:val="0"/>
        <w:spacing w:line="500" w:lineRule="exact"/>
        <w:ind w:firstLine="420"/>
        <w:outlineLvl w:val="4"/>
        <w:rPr>
          <w:rFonts w:hAnsi="宋体" w:cs="宋体"/>
          <w:szCs w:val="21"/>
        </w:rPr>
      </w:pPr>
      <w:r>
        <w:rPr>
          <w:rFonts w:hint="eastAsia" w:hAnsi="宋体" w:cs="宋体"/>
          <w:szCs w:val="21"/>
        </w:rPr>
        <w:t>17.1.2对承包人违约的处理</w:t>
      </w:r>
    </w:p>
    <w:p>
      <w:pPr>
        <w:tabs>
          <w:tab w:val="left" w:pos="0"/>
          <w:tab w:val="left" w:pos="630"/>
        </w:tabs>
        <w:snapToGrid w:val="0"/>
        <w:spacing w:line="500" w:lineRule="exact"/>
        <w:ind w:firstLine="420"/>
        <w:rPr>
          <w:rFonts w:hAnsi="宋体" w:cs="宋体"/>
          <w:szCs w:val="21"/>
        </w:rPr>
      </w:pPr>
      <w:r>
        <w:rPr>
          <w:rFonts w:hint="eastAsia"/>
          <w:szCs w:val="21"/>
        </w:rPr>
        <w:t>（1）在设计深化、报审、第三方核价及施工过程中，由于承包人原因在涉及质量、安全、效果、工期等方面与发包人存在分歧且无法达成统一意见的，视为承包人单方面终止合同，其履约保证金不予退还，给发包人造成的损失超过履约保证金数额的，承包人还应当对超过部分予以赔偿，且有权上报行政主管部门计入不良行为记录。</w:t>
      </w:r>
    </w:p>
    <w:p>
      <w:pPr>
        <w:tabs>
          <w:tab w:val="left" w:pos="0"/>
          <w:tab w:val="left" w:pos="630"/>
        </w:tabs>
        <w:snapToGrid w:val="0"/>
        <w:spacing w:line="500" w:lineRule="exact"/>
        <w:ind w:firstLine="420"/>
        <w:rPr>
          <w:rFonts w:hAnsi="宋体" w:cs="宋体"/>
          <w:szCs w:val="21"/>
        </w:rPr>
      </w:pPr>
      <w:r>
        <w:rPr>
          <w:rFonts w:hint="eastAsia" w:hAnsi="宋体" w:cs="宋体"/>
          <w:szCs w:val="21"/>
        </w:rPr>
        <w:t>（2）承包人发生通用合同条款第22.1.1(1）目约定的违约情况时约定承包人违约应承担的违约责任：承包人必须严格按照施工图及工程施工验收规范等精心组织施工，严格把好每道工序的质量关，确保工程竣工验收达到合格等级。经验收，如有不合格工程，承包人应无条件返工、整改、采取相应的补救、修复措施，直至工程竣工验收合格，如无法修复或严重降低工程整体质量，则发包人有权扣除其全额质量履约保证金，且承包人应按工程结算总造价的5%支付发包人违约金。</w:t>
      </w:r>
    </w:p>
    <w:p>
      <w:pPr>
        <w:tabs>
          <w:tab w:val="left" w:pos="0"/>
          <w:tab w:val="left" w:pos="630"/>
        </w:tabs>
        <w:snapToGrid w:val="0"/>
        <w:spacing w:line="500" w:lineRule="exact"/>
        <w:ind w:firstLine="420"/>
        <w:rPr>
          <w:rFonts w:hAnsi="宋体" w:cs="宋体"/>
          <w:szCs w:val="21"/>
        </w:rPr>
      </w:pPr>
      <w:r>
        <w:rPr>
          <w:rFonts w:hint="eastAsia" w:hAnsi="宋体" w:cs="宋体"/>
          <w:szCs w:val="21"/>
        </w:rPr>
        <w:t>（3）承包人发生通用合同条款第22.1.1(5）目约定的违约情况时约定承包人违约承担的违约责任：承包人按每延误1天支付发包人误期违约金5000元，累计最高赔偿金额为工程总造价的3 %。如因承包人自身原因造成工期严重滞后，又无明显改进措施的，发包人有权解除合同并要求承包人无条件退场，承包人承担由此产生的一切损失；同时，发包人也有权安排其他施工队伍进场施工，费用经审价机构审核后从承包人合同价款中扣除。</w:t>
      </w:r>
    </w:p>
    <w:p>
      <w:pPr>
        <w:tabs>
          <w:tab w:val="left" w:pos="0"/>
          <w:tab w:val="left" w:pos="630"/>
        </w:tabs>
        <w:snapToGrid w:val="0"/>
        <w:spacing w:line="500" w:lineRule="exact"/>
        <w:ind w:firstLine="420"/>
        <w:rPr>
          <w:rFonts w:hAnsi="宋体" w:cs="宋体"/>
          <w:szCs w:val="21"/>
        </w:rPr>
      </w:pPr>
      <w:r>
        <w:rPr>
          <w:rFonts w:hint="eastAsia" w:hAnsi="宋体" w:cs="宋体"/>
          <w:szCs w:val="21"/>
        </w:rPr>
        <w:t>（4）承包人发生通用合同条款第22.1.1(9）目约定的违约情况时约定承包人违约承担的其他违约责任：不定期进行安全文明施工检查，承包人应及时整改，被一次警告后不作处罚，限期整改，被二次警告后扣除相应比例的文明施工费，另若由于施工不文明、不安全而被新闻单位曝光或交通或主管部门检查后通报，按每次由承包人在其履约保证金支付违约金壹万元整给发包人，其后承包人应立即补足履约保证金。</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bookmarkStart w:id="206" w:name="_Toc357321451"/>
      <w:bookmarkStart w:id="207" w:name="_Toc357026856"/>
      <w:r>
        <w:rPr>
          <w:rFonts w:hint="eastAsia" w:ascii="宋体" w:cs="宋体"/>
          <w:bCs w:val="0"/>
          <w:i w:val="0"/>
          <w:sz w:val="21"/>
          <w:szCs w:val="21"/>
        </w:rPr>
        <w:t>18. 争议的解决</w:t>
      </w:r>
      <w:bookmarkEnd w:id="206"/>
      <w:bookmarkEnd w:id="207"/>
    </w:p>
    <w:p>
      <w:pPr>
        <w:pStyle w:val="208"/>
        <w:tabs>
          <w:tab w:val="left" w:pos="0"/>
          <w:tab w:val="left" w:pos="630"/>
        </w:tabs>
        <w:adjustRightInd w:val="0"/>
        <w:snapToGrid w:val="0"/>
        <w:spacing w:before="0" w:after="0" w:line="500" w:lineRule="exact"/>
        <w:ind w:firstLine="103"/>
        <w:outlineLvl w:val="3"/>
        <w:rPr>
          <w:rFonts w:ascii="宋体" w:cs="宋体"/>
          <w:bCs w:val="0"/>
          <w:i w:val="0"/>
          <w:sz w:val="21"/>
          <w:szCs w:val="21"/>
        </w:rPr>
      </w:pPr>
      <w:bookmarkStart w:id="208" w:name="_Toc357026857"/>
      <w:bookmarkStart w:id="209" w:name="_Toc357321452"/>
      <w:r>
        <w:rPr>
          <w:rFonts w:hint="eastAsia" w:ascii="宋体" w:cs="宋体"/>
          <w:bCs w:val="0"/>
          <w:i w:val="0"/>
          <w:sz w:val="21"/>
          <w:szCs w:val="21"/>
        </w:rPr>
        <w:t>18.1 争议的解决方式</w:t>
      </w:r>
      <w:bookmarkEnd w:id="208"/>
      <w:bookmarkEnd w:id="209"/>
    </w:p>
    <w:p>
      <w:pPr>
        <w:tabs>
          <w:tab w:val="left" w:pos="0"/>
          <w:tab w:val="left" w:pos="630"/>
        </w:tabs>
        <w:snapToGrid w:val="0"/>
        <w:spacing w:line="500" w:lineRule="exact"/>
        <w:ind w:firstLine="420"/>
        <w:rPr>
          <w:rFonts w:hAnsi="宋体" w:cs="宋体"/>
          <w:szCs w:val="21"/>
        </w:rPr>
      </w:pPr>
      <w:r>
        <w:rPr>
          <w:rFonts w:hint="eastAsia" w:hAnsi="宋体" w:cs="宋体"/>
          <w:szCs w:val="21"/>
        </w:rPr>
        <w:t>双方约定,在履行合同过程中产生的争议时:</w:t>
      </w:r>
    </w:p>
    <w:p>
      <w:pPr>
        <w:tabs>
          <w:tab w:val="left" w:pos="0"/>
          <w:tab w:val="left" w:pos="630"/>
        </w:tabs>
        <w:snapToGrid w:val="0"/>
        <w:spacing w:line="500" w:lineRule="exact"/>
        <w:ind w:firstLine="420"/>
        <w:rPr>
          <w:rFonts w:hAnsi="宋体" w:cs="宋体"/>
          <w:szCs w:val="21"/>
          <w:u w:val="single"/>
        </w:rPr>
      </w:pPr>
      <w:r>
        <w:rPr>
          <w:rFonts w:hint="eastAsia" w:hAnsi="宋体" w:cs="宋体"/>
          <w:szCs w:val="21"/>
        </w:rPr>
        <w:t>通过温州仲裁委员会仲裁或当地人民法院解决。</w:t>
      </w:r>
    </w:p>
    <w:p>
      <w:pPr>
        <w:pStyle w:val="208"/>
        <w:tabs>
          <w:tab w:val="left" w:pos="0"/>
          <w:tab w:val="left" w:pos="630"/>
        </w:tabs>
        <w:adjustRightInd w:val="0"/>
        <w:snapToGrid w:val="0"/>
        <w:spacing w:before="0" w:after="0" w:line="500" w:lineRule="exact"/>
        <w:ind w:firstLine="103"/>
        <w:rPr>
          <w:rFonts w:ascii="宋体" w:cs="宋体"/>
          <w:bCs w:val="0"/>
          <w:i w:val="0"/>
          <w:sz w:val="21"/>
          <w:szCs w:val="21"/>
        </w:rPr>
      </w:pPr>
      <w:r>
        <w:rPr>
          <w:rFonts w:hint="eastAsia" w:ascii="宋体" w:cs="宋体"/>
          <w:bCs w:val="0"/>
          <w:i w:val="0"/>
          <w:sz w:val="21"/>
          <w:szCs w:val="21"/>
        </w:rPr>
        <w:t>19. 补充条款</w:t>
      </w:r>
    </w:p>
    <w:p>
      <w:pPr>
        <w:tabs>
          <w:tab w:val="left" w:pos="0"/>
          <w:tab w:val="left" w:pos="630"/>
        </w:tabs>
        <w:snapToGrid w:val="0"/>
        <w:spacing w:line="500" w:lineRule="exact"/>
        <w:ind w:firstLine="420"/>
        <w:rPr>
          <w:rFonts w:hAnsi="宋体" w:cs="宋体"/>
          <w:szCs w:val="21"/>
        </w:rPr>
      </w:pPr>
      <w:r>
        <w:rPr>
          <w:rFonts w:hint="eastAsia" w:hAnsi="宋体" w:cs="宋体"/>
          <w:szCs w:val="21"/>
        </w:rPr>
        <w:t>19.1 为做好工程建设中的党风廉政建设，保证工程建设高效优质，保证建设资金的安全有效使用及投资效益，发包人与承包人在签订工程合同的同时必须签订《廉政合同》《工程质量保修书》《安全生产文明施工协议书》。《廉政合同》《工程质量保修书》《安全生产文明施工协议书》作为施工合同协议书的附件，与工程施工合同协议书等具有同等的法律效力，经合同双方签字立即生效，双方务必认真执行。</w:t>
      </w:r>
    </w:p>
    <w:p>
      <w:pPr>
        <w:tabs>
          <w:tab w:val="left" w:pos="0"/>
          <w:tab w:val="left" w:pos="630"/>
        </w:tabs>
        <w:snapToGrid w:val="0"/>
        <w:spacing w:line="500" w:lineRule="exact"/>
        <w:ind w:firstLine="420"/>
        <w:rPr>
          <w:rFonts w:hAnsi="宋体" w:cs="宋体"/>
          <w:szCs w:val="21"/>
        </w:rPr>
      </w:pPr>
      <w:r>
        <w:rPr>
          <w:rFonts w:hint="eastAsia" w:hAnsi="宋体" w:cs="宋体"/>
          <w:szCs w:val="21"/>
        </w:rPr>
        <w:t>19.2</w:t>
      </w:r>
      <w:r>
        <w:rPr>
          <w:rFonts w:hAnsi="宋体" w:cs="宋体"/>
          <w:szCs w:val="21"/>
        </w:rPr>
        <w:t xml:space="preserve"> </w:t>
      </w:r>
      <w:r>
        <w:rPr>
          <w:rFonts w:hint="eastAsia" w:hAnsi="宋体" w:cs="宋体"/>
          <w:szCs w:val="21"/>
        </w:rPr>
        <w:t>承包人不得随意提出材料品种和规格的变更，除非经发包人的同意，也不得以采购困难等理由延误工期，否则发包人可自行组织采购，视为甲供材料，费用从承包人工程款中扣除，并处以相同金额款项的违约金在进度款中扣取。</w:t>
      </w:r>
    </w:p>
    <w:p>
      <w:pPr>
        <w:tabs>
          <w:tab w:val="left" w:pos="0"/>
          <w:tab w:val="left" w:pos="630"/>
        </w:tabs>
        <w:snapToGrid w:val="0"/>
        <w:spacing w:line="500" w:lineRule="exact"/>
        <w:ind w:firstLine="420"/>
        <w:rPr>
          <w:rFonts w:hAnsi="宋体" w:cs="宋体"/>
          <w:szCs w:val="21"/>
        </w:rPr>
      </w:pPr>
      <w:r>
        <w:rPr>
          <w:rFonts w:hint="eastAsia" w:hAnsi="宋体" w:cs="宋体"/>
          <w:szCs w:val="21"/>
        </w:rPr>
        <w:t>19.3</w:t>
      </w:r>
      <w:r>
        <w:rPr>
          <w:rFonts w:hAnsi="宋体" w:cs="宋体"/>
          <w:szCs w:val="21"/>
        </w:rPr>
        <w:t xml:space="preserve"> </w:t>
      </w:r>
      <w:r>
        <w:rPr>
          <w:rFonts w:hint="eastAsia" w:hAnsi="宋体" w:cs="宋体"/>
          <w:szCs w:val="21"/>
        </w:rPr>
        <w:t>已有管线、设备、建筑物保护工作由承包人负责，否则造成的损失由承包人承担。</w:t>
      </w:r>
    </w:p>
    <w:p>
      <w:pPr>
        <w:tabs>
          <w:tab w:val="left" w:pos="0"/>
          <w:tab w:val="left" w:pos="630"/>
        </w:tabs>
        <w:snapToGrid w:val="0"/>
        <w:spacing w:line="500" w:lineRule="exact"/>
        <w:ind w:firstLine="420"/>
        <w:rPr>
          <w:rFonts w:hAnsi="宋体" w:cs="宋体"/>
          <w:szCs w:val="21"/>
        </w:rPr>
      </w:pPr>
      <w:r>
        <w:rPr>
          <w:rFonts w:hint="eastAsia" w:hAnsi="宋体" w:cs="宋体"/>
          <w:szCs w:val="21"/>
        </w:rPr>
        <w:t>19.4</w:t>
      </w:r>
      <w:r>
        <w:rPr>
          <w:rFonts w:hAnsi="宋体" w:cs="宋体"/>
          <w:szCs w:val="21"/>
        </w:rPr>
        <w:t xml:space="preserve"> </w:t>
      </w:r>
      <w:r>
        <w:rPr>
          <w:rFonts w:hint="eastAsia" w:hAnsi="宋体" w:cs="宋体"/>
          <w:b/>
          <w:szCs w:val="21"/>
        </w:rPr>
        <w:t>承包人对发包人要求的设计变更、工程变更、时间进度调整无异议，并积极响应。如出现不配合和扯皮并拖延工期等不良现象和影响的，发包人将发函督促整改，若整改不到位，发包人将视情况对承包人处以10万元/次以下处罚。</w:t>
      </w:r>
    </w:p>
    <w:p>
      <w:pPr>
        <w:tabs>
          <w:tab w:val="left" w:pos="0"/>
          <w:tab w:val="left" w:pos="630"/>
        </w:tabs>
        <w:snapToGrid w:val="0"/>
        <w:spacing w:line="500" w:lineRule="exact"/>
        <w:ind w:firstLine="422" w:firstLineChars="200"/>
        <w:rPr>
          <w:rFonts w:hAnsi="宋体" w:cs="宋体"/>
          <w:b/>
          <w:szCs w:val="21"/>
        </w:rPr>
      </w:pPr>
      <w:r>
        <w:rPr>
          <w:rFonts w:hint="eastAsia" w:hAnsi="宋体" w:cs="宋体"/>
          <w:b/>
          <w:szCs w:val="21"/>
        </w:rPr>
        <w:t>19.5</w:t>
      </w:r>
      <w:r>
        <w:rPr>
          <w:rFonts w:hAnsi="宋体" w:cs="宋体"/>
          <w:b/>
          <w:szCs w:val="21"/>
        </w:rPr>
        <w:t xml:space="preserve"> </w:t>
      </w:r>
      <w:r>
        <w:rPr>
          <w:rFonts w:hint="eastAsia" w:hAnsi="宋体" w:cs="宋体"/>
          <w:b/>
          <w:szCs w:val="21"/>
        </w:rPr>
        <w:t>承包人对</w:t>
      </w:r>
      <w:r>
        <w:rPr>
          <w:rFonts w:hint="eastAsia" w:hAnsi="宋体" w:cs="宋体"/>
          <w:b/>
          <w:szCs w:val="21"/>
          <w:lang w:eastAsia="zh-CN"/>
        </w:rPr>
        <w:t>采购</w:t>
      </w:r>
      <w:r>
        <w:rPr>
          <w:rFonts w:hint="eastAsia" w:hAnsi="宋体" w:cs="宋体"/>
          <w:b/>
          <w:szCs w:val="21"/>
        </w:rPr>
        <w:t>文件中承诺事项必须按承诺内容组织实施，如出现不配合和扯皮等不良现象和影响的，发包人将发函督促整改，若整改不到位，发包人将视情况对承包人处以10万元/次以下处罚。</w:t>
      </w:r>
    </w:p>
    <w:p>
      <w:pPr>
        <w:tabs>
          <w:tab w:val="left" w:pos="0"/>
          <w:tab w:val="left" w:pos="630"/>
        </w:tabs>
        <w:snapToGrid w:val="0"/>
        <w:spacing w:line="500" w:lineRule="exact"/>
        <w:ind w:firstLine="422" w:firstLineChars="200"/>
        <w:rPr>
          <w:rFonts w:hAnsi="宋体" w:cs="宋体"/>
          <w:b/>
          <w:szCs w:val="21"/>
        </w:rPr>
      </w:pPr>
      <w:r>
        <w:rPr>
          <w:rFonts w:hint="eastAsia" w:hAnsi="宋体" w:cs="宋体"/>
          <w:b/>
          <w:szCs w:val="21"/>
        </w:rPr>
        <w:t>19.6承包人开具税务发票须按税务局和发包人的要求开具税务发票。</w:t>
      </w:r>
    </w:p>
    <w:p>
      <w:pPr>
        <w:tabs>
          <w:tab w:val="left" w:pos="0"/>
          <w:tab w:val="left" w:pos="630"/>
        </w:tabs>
        <w:snapToGrid w:val="0"/>
        <w:spacing w:line="500" w:lineRule="exact"/>
        <w:ind w:firstLine="422" w:firstLineChars="200"/>
        <w:rPr>
          <w:rFonts w:hAnsi="宋体" w:cs="Arial"/>
          <w:b/>
          <w:color w:val="FF0000"/>
          <w:szCs w:val="21"/>
        </w:rPr>
      </w:pPr>
      <w:r>
        <w:rPr>
          <w:rFonts w:hint="eastAsia" w:hAnsi="宋体" w:cs="宋体"/>
          <w:b/>
          <w:szCs w:val="21"/>
        </w:rPr>
        <w:t>19.7分包：</w:t>
      </w:r>
      <w:r>
        <w:rPr>
          <w:rFonts w:hint="eastAsia" w:hAnsi="宋体" w:cs="宋体"/>
          <w:szCs w:val="21"/>
        </w:rPr>
        <w:t>不</w:t>
      </w:r>
      <w:r>
        <w:rPr>
          <w:rFonts w:hint="eastAsia"/>
          <w:szCs w:val="21"/>
        </w:rPr>
        <w:t>允许。</w:t>
      </w:r>
    </w:p>
    <w:p>
      <w:pPr>
        <w:spacing w:line="360" w:lineRule="auto"/>
        <w:ind w:firstLine="420" w:firstLineChars="200"/>
        <w:rPr>
          <w:rFonts w:hAnsi="宋体"/>
          <w:b/>
          <w:szCs w:val="21"/>
        </w:rPr>
      </w:pPr>
      <w:r>
        <w:rPr>
          <w:rFonts w:hint="eastAsia" w:hAnsi="宋体" w:cs="Arial"/>
          <w:szCs w:val="21"/>
        </w:rPr>
        <w:t>19.8本合同未尽事宜，执行法律、法规、规章；并执行浙江省、温州市、苍南县各行政部门颁发的政策及法规。</w:t>
      </w:r>
      <w:r>
        <w:rPr>
          <w:rFonts w:hAnsi="宋体"/>
          <w:b/>
          <w:szCs w:val="21"/>
        </w:rPr>
        <w:br w:type="page"/>
      </w:r>
      <w:r>
        <w:rPr>
          <w:rFonts w:hint="eastAsia" w:hAnsi="宋体"/>
          <w:b/>
          <w:szCs w:val="21"/>
        </w:rPr>
        <w:t>附件1</w:t>
      </w:r>
    </w:p>
    <w:p>
      <w:pPr>
        <w:spacing w:line="360" w:lineRule="auto"/>
        <w:jc w:val="center"/>
        <w:rPr>
          <w:rFonts w:hAnsi="宋体"/>
          <w:b/>
          <w:sz w:val="32"/>
          <w:szCs w:val="32"/>
        </w:rPr>
      </w:pPr>
      <w:r>
        <w:rPr>
          <w:rFonts w:hint="eastAsia" w:hAnsi="宋体"/>
          <w:b/>
          <w:sz w:val="32"/>
          <w:szCs w:val="32"/>
        </w:rPr>
        <w:t>工程质量保修协议</w:t>
      </w:r>
    </w:p>
    <w:p>
      <w:pPr>
        <w:ind w:firstLine="354" w:firstLineChars="168"/>
        <w:jc w:val="center"/>
        <w:rPr>
          <w:rFonts w:hAnsi="宋体"/>
          <w:b/>
          <w:szCs w:val="21"/>
        </w:rPr>
      </w:pPr>
    </w:p>
    <w:p>
      <w:pPr>
        <w:ind w:firstLine="354" w:firstLineChars="168"/>
        <w:rPr>
          <w:rFonts w:hAnsi="宋体"/>
          <w:szCs w:val="21"/>
        </w:rPr>
      </w:pPr>
      <w:r>
        <w:rPr>
          <w:rFonts w:hAnsi="宋体"/>
          <w:b/>
          <w:szCs w:val="21"/>
        </w:rPr>
        <w:tab/>
      </w:r>
      <w:r>
        <w:rPr>
          <w:rFonts w:hint="eastAsia" w:hAnsi="宋体"/>
          <w:szCs w:val="21"/>
        </w:rPr>
        <w:t>发包人</w:t>
      </w:r>
      <w:r>
        <w:rPr>
          <w:rFonts w:hint="eastAsia" w:hAnsi="宋体"/>
          <w:bCs/>
          <w:szCs w:val="21"/>
        </w:rPr>
        <w:t>：</w:t>
      </w:r>
      <w:r>
        <w:rPr>
          <w:rFonts w:hint="eastAsia" w:hAnsi="宋体"/>
          <w:spacing w:val="12"/>
          <w:szCs w:val="21"/>
        </w:rPr>
        <w:t xml:space="preserve">    （简称</w:t>
      </w:r>
      <w:r>
        <w:rPr>
          <w:rFonts w:hint="eastAsia" w:hAnsi="宋体"/>
          <w:bCs/>
          <w:szCs w:val="21"/>
        </w:rPr>
        <w:t>甲方）·</w:t>
      </w:r>
    </w:p>
    <w:p>
      <w:pPr>
        <w:tabs>
          <w:tab w:val="left" w:pos="660"/>
        </w:tabs>
        <w:ind w:firstLine="420" w:firstLineChars="200"/>
        <w:jc w:val="left"/>
        <w:rPr>
          <w:rFonts w:hAnsi="宋体"/>
          <w:b/>
          <w:szCs w:val="21"/>
        </w:rPr>
      </w:pPr>
      <w:r>
        <w:rPr>
          <w:rFonts w:hint="eastAsia" w:hAnsi="宋体"/>
          <w:szCs w:val="21"/>
        </w:rPr>
        <w:t>承包人：</w:t>
      </w:r>
      <w:r>
        <w:rPr>
          <w:rFonts w:hint="eastAsia" w:hAnsi="宋体"/>
          <w:spacing w:val="12"/>
          <w:szCs w:val="21"/>
        </w:rPr>
        <w:t xml:space="preserve">    （简称</w:t>
      </w:r>
      <w:r>
        <w:rPr>
          <w:rFonts w:hint="eastAsia" w:hAnsi="宋体"/>
          <w:szCs w:val="21"/>
        </w:rPr>
        <w:t>乙</w:t>
      </w:r>
      <w:r>
        <w:rPr>
          <w:rFonts w:hint="eastAsia" w:hAnsi="宋体"/>
          <w:bCs/>
          <w:szCs w:val="21"/>
        </w:rPr>
        <w:t>方）</w:t>
      </w:r>
    </w:p>
    <w:p>
      <w:pPr>
        <w:ind w:firstLine="420" w:firstLineChars="200"/>
        <w:rPr>
          <w:rFonts w:hAnsi="宋体"/>
          <w:szCs w:val="21"/>
        </w:rPr>
      </w:pPr>
    </w:p>
    <w:p>
      <w:pPr>
        <w:ind w:left="480" w:firstLine="352" w:firstLineChars="168"/>
        <w:rPr>
          <w:rFonts w:hAnsi="宋体"/>
          <w:szCs w:val="21"/>
          <w:u w:val="single"/>
        </w:rPr>
      </w:pPr>
    </w:p>
    <w:p>
      <w:pPr>
        <w:pStyle w:val="26"/>
        <w:spacing w:line="240" w:lineRule="auto"/>
        <w:ind w:firstLine="352" w:firstLineChars="168"/>
        <w:rPr>
          <w:rFonts w:hAnsi="宋体"/>
          <w:sz w:val="21"/>
          <w:szCs w:val="21"/>
        </w:rPr>
      </w:pPr>
      <w:r>
        <w:rPr>
          <w:rFonts w:hint="eastAsia" w:hAnsi="宋体"/>
          <w:sz w:val="21"/>
          <w:szCs w:val="21"/>
        </w:rPr>
        <w:t>为保证本工程在合理使用期限内正常使用，甲乙双方协商一致签订本工程质量保修书。乙方按国家《建设工程质量管理条例》及双方约定承担工程质量缺陷的保修责任。</w:t>
      </w:r>
    </w:p>
    <w:p>
      <w:pPr>
        <w:pStyle w:val="22"/>
        <w:spacing w:line="440" w:lineRule="exact"/>
        <w:ind w:firstLine="472" w:firstLineChars="225"/>
        <w:outlineLvl w:val="0"/>
        <w:rPr>
          <w:rFonts w:hAnsi="宋体"/>
        </w:rPr>
      </w:pPr>
      <w:r>
        <w:rPr>
          <w:rFonts w:hAnsi="宋体"/>
        </w:rPr>
        <w:t>一、工程质量保修范围和内容</w:t>
      </w:r>
    </w:p>
    <w:p>
      <w:pPr>
        <w:pStyle w:val="22"/>
        <w:spacing w:line="440" w:lineRule="exact"/>
        <w:ind w:firstLine="472" w:firstLineChars="225"/>
        <w:rPr>
          <w:rFonts w:hAnsi="宋体"/>
        </w:rPr>
      </w:pPr>
      <w:r>
        <w:rPr>
          <w:rFonts w:hAnsi="宋体"/>
        </w:rPr>
        <w:t>承包人质量保修期内，按照有关法律、法规、规章的管理规定和三方约定，承担本工程质量保修责任。</w:t>
      </w:r>
    </w:p>
    <w:p>
      <w:pPr>
        <w:pStyle w:val="22"/>
        <w:spacing w:line="440" w:lineRule="exact"/>
        <w:ind w:firstLine="472" w:firstLineChars="225"/>
        <w:rPr>
          <w:rFonts w:hAnsi="宋体"/>
        </w:rPr>
      </w:pPr>
      <w:r>
        <w:rPr>
          <w:rFonts w:hAnsi="宋体"/>
        </w:rPr>
        <w:t>质量保修范围包括地基基础工程、主体结构工程、屋面防水工程、有防水要求的卫生间、房间和外墙面的防渗漏，供热与供冷系统，电气管线、给排水管道、设备安装和装修工程，以及三方约定的其它项目。具体保修的内容，三方约定如下：</w:t>
      </w:r>
    </w:p>
    <w:p>
      <w:pPr>
        <w:pStyle w:val="22"/>
        <w:spacing w:line="440" w:lineRule="exact"/>
        <w:ind w:firstLine="472" w:firstLineChars="225"/>
        <w:rPr>
          <w:rFonts w:hAnsi="宋体"/>
        </w:rPr>
      </w:pPr>
      <w:r>
        <w:rPr>
          <w:rFonts w:hAnsi="宋体"/>
        </w:rPr>
        <w:t>保修内容为：</w:t>
      </w:r>
      <w:r>
        <w:rPr>
          <w:rFonts w:hAnsi="宋体"/>
          <w:u w:val="single"/>
        </w:rPr>
        <w:t xml:space="preserve">  本合同承包范围内的全部工程内容</w:t>
      </w:r>
      <w:r>
        <w:rPr>
          <w:rFonts w:hint="eastAsia" w:hAnsi="宋体"/>
          <w:u w:val="single"/>
        </w:rPr>
        <w:t>。</w:t>
      </w:r>
    </w:p>
    <w:p>
      <w:pPr>
        <w:pStyle w:val="22"/>
        <w:spacing w:line="440" w:lineRule="exact"/>
        <w:ind w:firstLine="472" w:firstLineChars="225"/>
        <w:outlineLvl w:val="0"/>
        <w:rPr>
          <w:rFonts w:hAnsi="宋体"/>
        </w:rPr>
      </w:pPr>
      <w:r>
        <w:rPr>
          <w:rFonts w:hAnsi="宋体"/>
        </w:rPr>
        <w:t>二、质量保修期</w:t>
      </w:r>
    </w:p>
    <w:p>
      <w:pPr>
        <w:pStyle w:val="22"/>
        <w:spacing w:line="440" w:lineRule="exact"/>
        <w:ind w:firstLine="472" w:firstLineChars="225"/>
        <w:rPr>
          <w:rFonts w:hAnsi="宋体"/>
        </w:rPr>
      </w:pPr>
      <w:r>
        <w:rPr>
          <w:rFonts w:hAnsi="宋体"/>
        </w:rPr>
        <w:t>三方根据《建设工程质量管理条例》及有关规定，约定本工程的质量保修期如下：</w:t>
      </w:r>
    </w:p>
    <w:p>
      <w:pPr>
        <w:pStyle w:val="22"/>
        <w:spacing w:line="440" w:lineRule="exact"/>
        <w:ind w:firstLine="472" w:firstLineChars="225"/>
        <w:rPr>
          <w:rFonts w:hAnsi="宋体"/>
        </w:rPr>
      </w:pPr>
      <w:r>
        <w:rPr>
          <w:rFonts w:hAnsi="宋体"/>
        </w:rPr>
        <w:t>1、地基基础工程和主体结构工程为设计文件规定的该工程合理使用年限；</w:t>
      </w:r>
    </w:p>
    <w:p>
      <w:pPr>
        <w:pStyle w:val="22"/>
        <w:spacing w:line="440" w:lineRule="exact"/>
        <w:ind w:firstLine="472" w:firstLineChars="225"/>
        <w:rPr>
          <w:rFonts w:hAnsi="宋体"/>
        </w:rPr>
      </w:pPr>
      <w:r>
        <w:rPr>
          <w:rFonts w:hAnsi="宋体"/>
        </w:rPr>
        <w:t>2、屋面防水工程、有防水要求的卫生间、房间和外墙面的防渗漏为</w:t>
      </w:r>
      <w:r>
        <w:rPr>
          <w:rFonts w:hint="eastAsia" w:hAnsi="宋体"/>
          <w:u w:val="single"/>
        </w:rPr>
        <w:t>贰</w:t>
      </w:r>
      <w:r>
        <w:rPr>
          <w:rFonts w:hAnsi="宋体"/>
        </w:rPr>
        <w:t>年；</w:t>
      </w:r>
    </w:p>
    <w:p>
      <w:pPr>
        <w:pStyle w:val="22"/>
        <w:spacing w:line="440" w:lineRule="exact"/>
        <w:ind w:firstLine="472" w:firstLineChars="225"/>
        <w:rPr>
          <w:rFonts w:hAnsi="宋体"/>
        </w:rPr>
      </w:pPr>
      <w:r>
        <w:rPr>
          <w:rFonts w:hAnsi="宋体"/>
        </w:rPr>
        <w:t>3、装修工程为</w:t>
      </w:r>
      <w:r>
        <w:rPr>
          <w:rFonts w:hint="eastAsia" w:hAnsi="宋体"/>
          <w:u w:val="single"/>
        </w:rPr>
        <w:t>贰</w:t>
      </w:r>
      <w:r>
        <w:rPr>
          <w:rFonts w:hAnsi="宋体"/>
        </w:rPr>
        <w:t>年；</w:t>
      </w:r>
    </w:p>
    <w:p>
      <w:pPr>
        <w:pStyle w:val="22"/>
        <w:spacing w:line="440" w:lineRule="exact"/>
        <w:ind w:firstLine="472" w:firstLineChars="225"/>
        <w:rPr>
          <w:rFonts w:hAnsi="宋体"/>
        </w:rPr>
      </w:pPr>
      <w:r>
        <w:rPr>
          <w:rFonts w:hAnsi="宋体"/>
        </w:rPr>
        <w:t>4、电气管线、给排水管道、设备安装工程为</w:t>
      </w:r>
      <w:r>
        <w:rPr>
          <w:rFonts w:hint="eastAsia" w:hAnsi="宋体"/>
          <w:u w:val="single"/>
        </w:rPr>
        <w:t>贰</w:t>
      </w:r>
      <w:r>
        <w:rPr>
          <w:rFonts w:hAnsi="宋体"/>
        </w:rPr>
        <w:t>年；</w:t>
      </w:r>
    </w:p>
    <w:p>
      <w:pPr>
        <w:pStyle w:val="22"/>
        <w:spacing w:line="440" w:lineRule="exact"/>
        <w:ind w:firstLine="472" w:firstLineChars="225"/>
        <w:rPr>
          <w:rFonts w:hAnsi="宋体"/>
          <w:u w:val="single"/>
        </w:rPr>
      </w:pPr>
      <w:r>
        <w:rPr>
          <w:rFonts w:hAnsi="宋体"/>
        </w:rPr>
        <w:t>5、供热与供冷系统为</w:t>
      </w:r>
      <w:r>
        <w:rPr>
          <w:rFonts w:hint="eastAsia" w:hAnsi="宋体"/>
          <w:u w:val="single"/>
        </w:rPr>
        <w:t>贰</w:t>
      </w:r>
      <w:r>
        <w:rPr>
          <w:rFonts w:hAnsi="宋体"/>
        </w:rPr>
        <w:t>个采暖期、供冷期；</w:t>
      </w:r>
    </w:p>
    <w:p>
      <w:pPr>
        <w:pStyle w:val="22"/>
        <w:spacing w:line="440" w:lineRule="exact"/>
        <w:ind w:firstLine="472" w:firstLineChars="225"/>
        <w:rPr>
          <w:rFonts w:hAnsi="宋体"/>
        </w:rPr>
      </w:pPr>
      <w:r>
        <w:rPr>
          <w:rFonts w:hAnsi="宋体"/>
        </w:rPr>
        <w:t>6、</w:t>
      </w:r>
      <w:r>
        <w:rPr>
          <w:rFonts w:hint="eastAsia" w:hAnsi="宋体"/>
        </w:rPr>
        <w:t>公园</w:t>
      </w:r>
      <w:r>
        <w:rPr>
          <w:rFonts w:hAnsi="宋体"/>
        </w:rPr>
        <w:t>内的给排水设施、等配套工程为</w:t>
      </w:r>
      <w:r>
        <w:rPr>
          <w:rFonts w:hint="eastAsia" w:hAnsi="宋体"/>
          <w:u w:val="single"/>
        </w:rPr>
        <w:t>贰</w:t>
      </w:r>
      <w:r>
        <w:rPr>
          <w:rFonts w:hAnsi="宋体"/>
        </w:rPr>
        <w:t>年。</w:t>
      </w:r>
    </w:p>
    <w:p>
      <w:pPr>
        <w:pStyle w:val="22"/>
        <w:spacing w:line="440" w:lineRule="exact"/>
        <w:ind w:firstLine="472" w:firstLineChars="225"/>
        <w:rPr>
          <w:rFonts w:hAnsi="宋体"/>
        </w:rPr>
      </w:pPr>
      <w:r>
        <w:rPr>
          <w:rFonts w:hint="eastAsia" w:hAnsi="宋体"/>
        </w:rPr>
        <w:t>7、设备保修期贰年。</w:t>
      </w:r>
    </w:p>
    <w:p>
      <w:pPr>
        <w:pStyle w:val="22"/>
        <w:spacing w:line="440" w:lineRule="exact"/>
        <w:ind w:firstLine="474" w:firstLineChars="225"/>
        <w:rPr>
          <w:rFonts w:hAnsi="宋体"/>
        </w:rPr>
      </w:pPr>
      <w:r>
        <w:rPr>
          <w:rFonts w:hAnsi="宋体"/>
          <w:b/>
          <w:u w:val="single"/>
        </w:rPr>
        <w:t>质量保修期自工程竣工验收合格之日起计算</w:t>
      </w:r>
      <w:r>
        <w:rPr>
          <w:rFonts w:hint="eastAsia" w:hAnsi="宋体"/>
          <w:b/>
          <w:u w:val="single"/>
        </w:rPr>
        <w:t>。</w:t>
      </w:r>
    </w:p>
    <w:p>
      <w:pPr>
        <w:widowControl/>
        <w:tabs>
          <w:tab w:val="left" w:pos="2880"/>
        </w:tabs>
        <w:spacing w:line="360" w:lineRule="auto"/>
        <w:ind w:left="359" w:leftChars="121" w:hanging="105" w:hangingChars="50"/>
        <w:jc w:val="left"/>
        <w:rPr>
          <w:rFonts w:hAnsi="宋体" w:cs="宋体"/>
          <w:kern w:val="0"/>
          <w:szCs w:val="21"/>
        </w:rPr>
      </w:pPr>
      <w:r>
        <w:rPr>
          <w:rFonts w:hint="eastAsia" w:hAnsi="宋体" w:cs="宋体"/>
          <w:kern w:val="0"/>
          <w:szCs w:val="21"/>
        </w:rPr>
        <w:t>三、质量保修责任</w:t>
      </w:r>
    </w:p>
    <w:p>
      <w:pPr>
        <w:widowControl/>
        <w:tabs>
          <w:tab w:val="left" w:pos="2880"/>
        </w:tabs>
        <w:spacing w:line="360" w:lineRule="auto"/>
        <w:ind w:left="359" w:leftChars="121" w:hanging="105" w:hangingChars="50"/>
        <w:jc w:val="left"/>
        <w:rPr>
          <w:rFonts w:hAnsi="宋体" w:cs="宋体"/>
          <w:kern w:val="0"/>
          <w:szCs w:val="21"/>
        </w:rPr>
      </w:pPr>
      <w:r>
        <w:rPr>
          <w:rFonts w:hAnsi="宋体" w:cs="宋体"/>
          <w:kern w:val="0"/>
          <w:szCs w:val="21"/>
        </w:rPr>
        <w:t>1．属于保修范围内的项目，承包人同意接到发包人</w:t>
      </w:r>
      <w:r>
        <w:rPr>
          <w:rFonts w:hint="eastAsia" w:hAnsi="宋体" w:cs="宋体"/>
          <w:kern w:val="0"/>
          <w:szCs w:val="21"/>
        </w:rPr>
        <w:t>或相关主管部门</w:t>
      </w:r>
      <w:r>
        <w:rPr>
          <w:rFonts w:hAnsi="宋体" w:cs="宋体"/>
          <w:kern w:val="0"/>
          <w:szCs w:val="21"/>
        </w:rPr>
        <w:t>管理</w:t>
      </w:r>
      <w:r>
        <w:rPr>
          <w:rFonts w:hint="eastAsia" w:hAnsi="宋体" w:cs="宋体"/>
          <w:kern w:val="0"/>
          <w:szCs w:val="21"/>
        </w:rPr>
        <w:t>，</w:t>
      </w:r>
      <w:r>
        <w:rPr>
          <w:rFonts w:hAnsi="宋体" w:cs="宋体"/>
          <w:kern w:val="0"/>
          <w:szCs w:val="21"/>
        </w:rPr>
        <w:t>通知后在本合同约定期限内派人到现场进行维修。承包人如在接到书面通知后未在期限内派人到现场维修的，视为承包人未履行维修义务。</w:t>
      </w:r>
    </w:p>
    <w:p>
      <w:pPr>
        <w:widowControl/>
        <w:tabs>
          <w:tab w:val="left" w:pos="2880"/>
        </w:tabs>
        <w:spacing w:line="360" w:lineRule="auto"/>
        <w:ind w:left="359" w:leftChars="121" w:hanging="105" w:hangingChars="50"/>
        <w:jc w:val="left"/>
        <w:rPr>
          <w:rFonts w:hAnsi="宋体" w:cs="宋体"/>
          <w:kern w:val="0"/>
          <w:szCs w:val="21"/>
        </w:rPr>
      </w:pPr>
      <w:r>
        <w:rPr>
          <w:rFonts w:hint="eastAsia" w:hAnsi="宋体" w:cs="宋体"/>
          <w:kern w:val="0"/>
          <w:szCs w:val="21"/>
        </w:rPr>
        <w:t>2</w:t>
      </w:r>
      <w:r>
        <w:rPr>
          <w:rFonts w:hAnsi="宋体" w:cs="宋体"/>
          <w:kern w:val="0"/>
          <w:szCs w:val="21"/>
        </w:rPr>
        <w:t>．</w:t>
      </w:r>
      <w:r>
        <w:rPr>
          <w:rFonts w:hint="eastAsia" w:hAnsi="宋体" w:cs="宋体"/>
          <w:kern w:val="0"/>
          <w:szCs w:val="21"/>
        </w:rPr>
        <w:t>发生须紧急抢修事故，承包人接到事故通知后，应立即到达事故现场抢修。</w:t>
      </w:r>
    </w:p>
    <w:p>
      <w:pPr>
        <w:widowControl/>
        <w:tabs>
          <w:tab w:val="left" w:pos="2880"/>
        </w:tabs>
        <w:spacing w:line="360" w:lineRule="auto"/>
        <w:ind w:left="359" w:leftChars="121" w:hanging="105" w:hangingChars="50"/>
        <w:jc w:val="left"/>
        <w:rPr>
          <w:rFonts w:hAnsi="宋体" w:cs="宋体"/>
          <w:kern w:val="0"/>
          <w:szCs w:val="21"/>
        </w:rPr>
      </w:pPr>
      <w:r>
        <w:rPr>
          <w:rFonts w:hint="eastAsia" w:hAnsi="宋体" w:cs="宋体"/>
          <w:kern w:val="0"/>
          <w:szCs w:val="21"/>
        </w:rPr>
        <w:t>3</w:t>
      </w:r>
      <w:r>
        <w:rPr>
          <w:rFonts w:hAnsi="宋体" w:cs="宋体"/>
          <w:kern w:val="0"/>
          <w:szCs w:val="21"/>
        </w:rPr>
        <w:t>．保修期内发生工程质量问题的，</w:t>
      </w:r>
      <w:r>
        <w:rPr>
          <w:rFonts w:hint="eastAsia" w:hAnsi="宋体" w:cs="宋体"/>
          <w:kern w:val="0"/>
          <w:szCs w:val="21"/>
        </w:rPr>
        <w:t>承包人除承担保修责任外，因工程质量给发包人和业主造成损失的，承包人承担赔偿责任，发包人有权根据实际情况先行代承包人向业主赔偿损失。</w:t>
      </w:r>
    </w:p>
    <w:p>
      <w:pPr>
        <w:widowControl/>
        <w:tabs>
          <w:tab w:val="left" w:pos="2880"/>
        </w:tabs>
        <w:spacing w:line="360" w:lineRule="auto"/>
        <w:ind w:left="359" w:leftChars="121" w:hanging="105" w:hangingChars="50"/>
        <w:jc w:val="left"/>
        <w:rPr>
          <w:rFonts w:hAnsi="宋体" w:cs="宋体"/>
          <w:kern w:val="0"/>
          <w:szCs w:val="21"/>
        </w:rPr>
      </w:pPr>
      <w:r>
        <w:rPr>
          <w:rFonts w:hint="eastAsia" w:hAnsi="宋体" w:cs="宋体"/>
          <w:kern w:val="0"/>
          <w:szCs w:val="21"/>
        </w:rPr>
        <w:t>4</w:t>
      </w:r>
      <w:r>
        <w:rPr>
          <w:rFonts w:hAnsi="宋体" w:cs="宋体"/>
          <w:kern w:val="0"/>
          <w:szCs w:val="21"/>
        </w:rPr>
        <w:t>．在国家规定的工程合理使用期限内，承包人确保地基基础工程和主体结构的质量。因承包人原因致使工程在合理使用期限内造成人身和财产损害的，承包人应承担损害赔偿责任。</w:t>
      </w:r>
    </w:p>
    <w:p>
      <w:pPr>
        <w:widowControl/>
        <w:tabs>
          <w:tab w:val="left" w:pos="2880"/>
        </w:tabs>
        <w:spacing w:line="360" w:lineRule="auto"/>
        <w:ind w:left="359" w:leftChars="121" w:hanging="105" w:hangingChars="50"/>
        <w:jc w:val="left"/>
        <w:rPr>
          <w:rFonts w:hAnsi="宋体" w:cs="宋体"/>
          <w:kern w:val="0"/>
          <w:szCs w:val="21"/>
        </w:rPr>
      </w:pPr>
      <w:r>
        <w:rPr>
          <w:rFonts w:hint="eastAsia" w:hAnsi="宋体" w:cs="宋体"/>
          <w:kern w:val="0"/>
          <w:szCs w:val="21"/>
        </w:rPr>
        <w:t>5</w:t>
      </w:r>
      <w:r>
        <w:rPr>
          <w:rFonts w:hAnsi="宋体" w:cs="宋体"/>
          <w:kern w:val="0"/>
          <w:szCs w:val="21"/>
        </w:rPr>
        <w:t>．承包人需制定专门的维修负责人在现场负责维修工作，并在工程竣工验收之前将维修负责人姓名、联系电话、地址、传真等信息报发包人和物业管理公司记录，该工程维修负责人代表承包人全权处理现场维修工作。</w:t>
      </w:r>
    </w:p>
    <w:p>
      <w:pPr>
        <w:widowControl/>
        <w:tabs>
          <w:tab w:val="left" w:pos="2880"/>
        </w:tabs>
        <w:spacing w:line="360" w:lineRule="auto"/>
        <w:ind w:left="359" w:leftChars="121" w:hanging="105" w:hangingChars="50"/>
        <w:jc w:val="left"/>
        <w:rPr>
          <w:rFonts w:hAnsi="宋体" w:cs="宋体"/>
          <w:kern w:val="0"/>
          <w:szCs w:val="21"/>
        </w:rPr>
      </w:pPr>
      <w:r>
        <w:rPr>
          <w:rFonts w:hint="eastAsia" w:hAnsi="宋体" w:cs="宋体"/>
          <w:kern w:val="0"/>
          <w:szCs w:val="21"/>
        </w:rPr>
        <w:t>6</w:t>
      </w:r>
      <w:r>
        <w:rPr>
          <w:rFonts w:hAnsi="宋体" w:cs="宋体"/>
          <w:kern w:val="0"/>
          <w:szCs w:val="21"/>
        </w:rPr>
        <w:t>．承包人派人到现场进行维修的时间：</w:t>
      </w:r>
    </w:p>
    <w:p>
      <w:pPr>
        <w:widowControl/>
        <w:tabs>
          <w:tab w:val="left" w:pos="2880"/>
        </w:tabs>
        <w:spacing w:line="360" w:lineRule="auto"/>
        <w:ind w:left="359" w:leftChars="121" w:hanging="105" w:hangingChars="50"/>
        <w:jc w:val="left"/>
        <w:rPr>
          <w:rFonts w:hAnsi="宋体" w:cs="宋体"/>
          <w:kern w:val="0"/>
          <w:szCs w:val="21"/>
        </w:rPr>
      </w:pPr>
      <w:r>
        <w:rPr>
          <w:rFonts w:hAnsi="宋体" w:cs="宋体"/>
          <w:kern w:val="0"/>
          <w:szCs w:val="21"/>
        </w:rPr>
        <w:t>a.给排水、供电设施及线路出现故障，承包人须在接到通知后</w:t>
      </w:r>
      <w:r>
        <w:rPr>
          <w:rFonts w:hAnsi="宋体" w:cs="宋体"/>
          <w:i/>
          <w:kern w:val="0"/>
          <w:szCs w:val="21"/>
          <w:u w:val="single"/>
        </w:rPr>
        <w:t xml:space="preserve"> </w:t>
      </w:r>
      <w:r>
        <w:rPr>
          <w:rFonts w:hint="eastAsia" w:hAnsi="宋体" w:cs="宋体"/>
          <w:i/>
          <w:kern w:val="0"/>
          <w:szCs w:val="21"/>
          <w:u w:val="single"/>
        </w:rPr>
        <w:t>6</w:t>
      </w:r>
      <w:r>
        <w:rPr>
          <w:rFonts w:hAnsi="宋体" w:cs="宋体"/>
          <w:i/>
          <w:kern w:val="0"/>
          <w:szCs w:val="21"/>
          <w:u w:val="single"/>
        </w:rPr>
        <w:t xml:space="preserve">  </w:t>
      </w:r>
      <w:r>
        <w:rPr>
          <w:rFonts w:hint="eastAsia" w:hAnsi="宋体" w:cs="宋体"/>
          <w:kern w:val="0"/>
          <w:szCs w:val="21"/>
        </w:rPr>
        <w:t>小时内派人到现场维修，</w:t>
      </w:r>
      <w:r>
        <w:rPr>
          <w:rFonts w:hAnsi="宋体" w:cs="宋体"/>
          <w:i/>
          <w:kern w:val="0"/>
          <w:szCs w:val="21"/>
          <w:u w:val="single"/>
        </w:rPr>
        <w:t xml:space="preserve">  </w:t>
      </w:r>
      <w:r>
        <w:rPr>
          <w:rFonts w:hint="eastAsia" w:hAnsi="宋体" w:cs="宋体"/>
          <w:i/>
          <w:kern w:val="0"/>
          <w:szCs w:val="21"/>
          <w:u w:val="single"/>
        </w:rPr>
        <w:t>10</w:t>
      </w:r>
      <w:r>
        <w:rPr>
          <w:rFonts w:hAnsi="宋体" w:cs="宋体"/>
          <w:i/>
          <w:kern w:val="0"/>
          <w:szCs w:val="21"/>
          <w:u w:val="single"/>
        </w:rPr>
        <w:t xml:space="preserve">  </w:t>
      </w:r>
      <w:r>
        <w:rPr>
          <w:rFonts w:hint="eastAsia" w:hAnsi="宋体" w:cs="宋体"/>
          <w:kern w:val="0"/>
          <w:szCs w:val="21"/>
        </w:rPr>
        <w:t>小时内完成维修工作。</w:t>
      </w:r>
    </w:p>
    <w:p>
      <w:pPr>
        <w:widowControl/>
        <w:tabs>
          <w:tab w:val="left" w:pos="2880"/>
        </w:tabs>
        <w:spacing w:line="360" w:lineRule="auto"/>
        <w:ind w:left="359" w:leftChars="121" w:hanging="105" w:hangingChars="50"/>
        <w:jc w:val="left"/>
        <w:rPr>
          <w:rFonts w:hAnsi="宋体" w:cs="宋体"/>
          <w:kern w:val="0"/>
          <w:szCs w:val="21"/>
        </w:rPr>
      </w:pPr>
      <w:r>
        <w:rPr>
          <w:rFonts w:hAnsi="宋体" w:cs="宋体"/>
          <w:kern w:val="0"/>
          <w:szCs w:val="21"/>
        </w:rPr>
        <w:t>b.其他一般情况，承包人须在接到通知后</w:t>
      </w:r>
      <w:r>
        <w:rPr>
          <w:rFonts w:hAnsi="宋体" w:cs="宋体"/>
          <w:i/>
          <w:kern w:val="0"/>
          <w:szCs w:val="21"/>
          <w:u w:val="single"/>
        </w:rPr>
        <w:t xml:space="preserve">  24  </w:t>
      </w:r>
      <w:r>
        <w:rPr>
          <w:rFonts w:hint="eastAsia" w:hAnsi="宋体" w:cs="宋体"/>
          <w:kern w:val="0"/>
          <w:szCs w:val="21"/>
        </w:rPr>
        <w:t>小时内派人到现场维修，</w:t>
      </w:r>
      <w:r>
        <w:rPr>
          <w:rFonts w:hAnsi="宋体" w:cs="宋体"/>
          <w:i/>
          <w:kern w:val="0"/>
          <w:szCs w:val="21"/>
          <w:u w:val="single"/>
        </w:rPr>
        <w:t>48</w:t>
      </w:r>
      <w:r>
        <w:rPr>
          <w:rFonts w:hint="eastAsia" w:hAnsi="宋体" w:cs="宋体"/>
          <w:kern w:val="0"/>
          <w:szCs w:val="21"/>
        </w:rPr>
        <w:t>小时内完成维修工作。</w:t>
      </w:r>
    </w:p>
    <w:p>
      <w:pPr>
        <w:widowControl/>
        <w:tabs>
          <w:tab w:val="left" w:pos="2880"/>
        </w:tabs>
        <w:spacing w:line="360" w:lineRule="auto"/>
        <w:ind w:left="359" w:leftChars="121" w:hanging="105" w:hangingChars="50"/>
        <w:jc w:val="left"/>
        <w:rPr>
          <w:rFonts w:hAnsi="宋体" w:cs="宋体"/>
          <w:kern w:val="0"/>
          <w:szCs w:val="21"/>
        </w:rPr>
      </w:pPr>
      <w:r>
        <w:rPr>
          <w:rFonts w:hAnsi="宋体" w:cs="宋体"/>
          <w:kern w:val="0"/>
          <w:szCs w:val="21"/>
        </w:rPr>
        <w:t>c.对于一时无法彻底修复的大修问题，承包人应在</w:t>
      </w:r>
      <w:r>
        <w:rPr>
          <w:rFonts w:hAnsi="宋体" w:cs="宋体"/>
          <w:i/>
          <w:kern w:val="0"/>
          <w:szCs w:val="21"/>
          <w:u w:val="single"/>
        </w:rPr>
        <w:t xml:space="preserve"> 3   </w:t>
      </w:r>
      <w:r>
        <w:rPr>
          <w:rFonts w:hint="eastAsia" w:hAnsi="宋体" w:cs="宋体"/>
          <w:kern w:val="0"/>
          <w:szCs w:val="21"/>
        </w:rPr>
        <w:t>天内以书面形式明确维修方案及维修期限，报发包人代表审核同意后次日起实施。</w:t>
      </w:r>
    </w:p>
    <w:p>
      <w:pPr>
        <w:widowControl/>
        <w:tabs>
          <w:tab w:val="left" w:pos="2880"/>
        </w:tabs>
        <w:spacing w:line="360" w:lineRule="auto"/>
        <w:ind w:left="359" w:leftChars="121" w:hanging="105" w:hangingChars="50"/>
        <w:jc w:val="left"/>
        <w:rPr>
          <w:rFonts w:hAnsi="宋体" w:cs="宋体"/>
          <w:kern w:val="0"/>
          <w:szCs w:val="21"/>
        </w:rPr>
      </w:pPr>
      <w:r>
        <w:rPr>
          <w:rFonts w:hint="eastAsia" w:hAnsi="宋体" w:cs="宋体"/>
          <w:kern w:val="0"/>
          <w:szCs w:val="21"/>
        </w:rPr>
        <w:t>7</w:t>
      </w:r>
      <w:r>
        <w:rPr>
          <w:rFonts w:hAnsi="宋体" w:cs="宋体"/>
          <w:kern w:val="0"/>
          <w:szCs w:val="21"/>
        </w:rPr>
        <w:t>．在承包人人员到达之前，发包人可采取适当的应急措施，费用由承包人承担。</w:t>
      </w:r>
    </w:p>
    <w:p>
      <w:pPr>
        <w:widowControl/>
        <w:tabs>
          <w:tab w:val="left" w:pos="2880"/>
        </w:tabs>
        <w:spacing w:line="360" w:lineRule="auto"/>
        <w:ind w:left="359" w:leftChars="121" w:hanging="105" w:hangingChars="50"/>
        <w:jc w:val="left"/>
        <w:rPr>
          <w:rFonts w:hAnsi="宋体" w:cs="宋体"/>
          <w:kern w:val="0"/>
          <w:szCs w:val="21"/>
        </w:rPr>
      </w:pPr>
      <w:r>
        <w:rPr>
          <w:rFonts w:hint="eastAsia" w:hAnsi="宋体" w:cs="宋体"/>
          <w:kern w:val="0"/>
          <w:szCs w:val="21"/>
        </w:rPr>
        <w:t>8</w:t>
      </w:r>
      <w:r>
        <w:rPr>
          <w:rFonts w:hAnsi="宋体" w:cs="宋体"/>
          <w:kern w:val="0"/>
          <w:szCs w:val="21"/>
        </w:rPr>
        <w:t>．遇下列特殊情况的，承包人同意</w:t>
      </w:r>
      <w:r>
        <w:rPr>
          <w:rFonts w:hint="eastAsia" w:hAnsi="宋体" w:cs="宋体"/>
          <w:kern w:val="0"/>
          <w:szCs w:val="21"/>
        </w:rPr>
        <w:t>发包人、业主或相关主管部门</w:t>
      </w:r>
      <w:r>
        <w:rPr>
          <w:rFonts w:hAnsi="宋体" w:cs="宋体"/>
          <w:kern w:val="0"/>
          <w:szCs w:val="21"/>
        </w:rPr>
        <w:t>管理可以对一定金额（材料安装类5000元，土建</w:t>
      </w:r>
      <w:r>
        <w:rPr>
          <w:rFonts w:hint="eastAsia" w:hAnsi="宋体" w:cs="宋体"/>
          <w:kern w:val="0"/>
          <w:szCs w:val="21"/>
        </w:rPr>
        <w:t>市政</w:t>
      </w:r>
      <w:r>
        <w:rPr>
          <w:rFonts w:hAnsi="宋体" w:cs="宋体"/>
          <w:kern w:val="0"/>
          <w:szCs w:val="21"/>
        </w:rPr>
        <w:t>类 10000元）以内的维修项目进行应急处理，先行委托其他单位进行维修，所产生的维修费用由承包人承担。</w:t>
      </w:r>
    </w:p>
    <w:p>
      <w:pPr>
        <w:widowControl/>
        <w:tabs>
          <w:tab w:val="left" w:pos="2880"/>
        </w:tabs>
        <w:spacing w:line="360" w:lineRule="auto"/>
        <w:ind w:left="359" w:leftChars="121" w:hanging="105" w:hangingChars="50"/>
        <w:jc w:val="left"/>
        <w:rPr>
          <w:rFonts w:hAnsi="宋体" w:cs="宋体"/>
          <w:kern w:val="0"/>
          <w:szCs w:val="21"/>
        </w:rPr>
      </w:pPr>
      <w:r>
        <w:rPr>
          <w:rFonts w:hAnsi="宋体" w:cs="宋体"/>
          <w:kern w:val="0"/>
          <w:szCs w:val="21"/>
        </w:rPr>
        <w:t>a．紧急抢修事故时，为避免损失进一步扩大；</w:t>
      </w:r>
    </w:p>
    <w:p>
      <w:pPr>
        <w:widowControl/>
        <w:tabs>
          <w:tab w:val="left" w:pos="2880"/>
        </w:tabs>
        <w:spacing w:line="360" w:lineRule="auto"/>
        <w:ind w:left="359" w:leftChars="121" w:hanging="105" w:hangingChars="50"/>
        <w:jc w:val="left"/>
        <w:rPr>
          <w:rFonts w:hAnsi="宋体" w:cs="宋体"/>
          <w:kern w:val="0"/>
          <w:szCs w:val="21"/>
        </w:rPr>
      </w:pPr>
      <w:r>
        <w:rPr>
          <w:rFonts w:hAnsi="宋体" w:cs="宋体"/>
          <w:kern w:val="0"/>
          <w:szCs w:val="21"/>
        </w:rPr>
        <w:t>b．直接影响到业主正常生活或威胁业主人身财产及公司财产安全时；</w:t>
      </w:r>
    </w:p>
    <w:p>
      <w:pPr>
        <w:widowControl/>
        <w:tabs>
          <w:tab w:val="left" w:pos="2880"/>
        </w:tabs>
        <w:spacing w:line="360" w:lineRule="auto"/>
        <w:ind w:left="359" w:leftChars="121" w:hanging="105" w:hangingChars="50"/>
        <w:jc w:val="left"/>
        <w:rPr>
          <w:rFonts w:hAnsi="宋体" w:cs="宋体"/>
          <w:kern w:val="0"/>
          <w:szCs w:val="21"/>
        </w:rPr>
      </w:pPr>
      <w:r>
        <w:rPr>
          <w:rFonts w:hint="eastAsia" w:hAnsi="宋体" w:cs="宋体"/>
          <w:kern w:val="0"/>
          <w:szCs w:val="21"/>
        </w:rPr>
        <w:t>9</w:t>
      </w:r>
      <w:r>
        <w:rPr>
          <w:rFonts w:hAnsi="宋体" w:cs="宋体"/>
          <w:kern w:val="0"/>
          <w:szCs w:val="21"/>
        </w:rPr>
        <w:t>．发包人</w:t>
      </w:r>
      <w:r>
        <w:rPr>
          <w:rFonts w:hint="eastAsia" w:hAnsi="宋体" w:cs="宋体"/>
          <w:kern w:val="0"/>
          <w:szCs w:val="21"/>
        </w:rPr>
        <w:t>或相关主管部门</w:t>
      </w:r>
      <w:r>
        <w:rPr>
          <w:rFonts w:hAnsi="宋体" w:cs="宋体"/>
          <w:kern w:val="0"/>
          <w:szCs w:val="21"/>
        </w:rPr>
        <w:t>管理认为需召开维保工作协调会时，承包人应当准时参加，会议上提出的问题必须当场确定解决方案，承包人对其派出与会人员的签字确认负全部责任，并应当执行会议决定。否则，视作承包人未履行维修义务。</w:t>
      </w:r>
    </w:p>
    <w:p>
      <w:pPr>
        <w:widowControl/>
        <w:tabs>
          <w:tab w:val="left" w:pos="2880"/>
        </w:tabs>
        <w:spacing w:line="360" w:lineRule="auto"/>
        <w:ind w:left="359" w:leftChars="121" w:hanging="105" w:hangingChars="50"/>
        <w:jc w:val="left"/>
        <w:rPr>
          <w:rFonts w:hAnsi="宋体" w:cs="宋体"/>
          <w:kern w:val="0"/>
          <w:szCs w:val="21"/>
        </w:rPr>
      </w:pPr>
      <w:r>
        <w:rPr>
          <w:rFonts w:hAnsi="宋体" w:cs="宋体"/>
          <w:kern w:val="0"/>
          <w:szCs w:val="21"/>
        </w:rPr>
        <w:t>1</w:t>
      </w:r>
      <w:r>
        <w:rPr>
          <w:rFonts w:hint="eastAsia" w:hAnsi="宋体" w:cs="宋体"/>
          <w:kern w:val="0"/>
          <w:szCs w:val="21"/>
        </w:rPr>
        <w:t>0</w:t>
      </w:r>
      <w:r>
        <w:rPr>
          <w:rFonts w:hAnsi="宋体" w:cs="宋体"/>
          <w:kern w:val="0"/>
          <w:szCs w:val="21"/>
        </w:rPr>
        <w:t>．承包人未在指定期限派人维修或发生其他视为承包人未履行维修义务情形的，发包人</w:t>
      </w:r>
      <w:r>
        <w:rPr>
          <w:rFonts w:hint="eastAsia" w:hAnsi="宋体" w:cs="宋体"/>
          <w:kern w:val="0"/>
          <w:szCs w:val="21"/>
        </w:rPr>
        <w:t>或相关主管部门</w:t>
      </w:r>
      <w:r>
        <w:rPr>
          <w:rFonts w:hAnsi="宋体" w:cs="宋体"/>
          <w:kern w:val="0"/>
          <w:szCs w:val="21"/>
        </w:rPr>
        <w:t>管理有权委托第三人进行维修，所产生相关费用包括维修费、对业主补偿金等均由承包人承担。</w:t>
      </w:r>
    </w:p>
    <w:p>
      <w:pPr>
        <w:widowControl/>
        <w:tabs>
          <w:tab w:val="left" w:pos="2880"/>
        </w:tabs>
        <w:spacing w:line="360" w:lineRule="auto"/>
        <w:ind w:left="359" w:leftChars="121" w:hanging="105" w:hangingChars="50"/>
        <w:jc w:val="left"/>
        <w:rPr>
          <w:rFonts w:hAnsi="宋体" w:cs="宋体"/>
          <w:kern w:val="0"/>
          <w:szCs w:val="21"/>
        </w:rPr>
      </w:pPr>
      <w:r>
        <w:rPr>
          <w:rFonts w:hAnsi="宋体" w:cs="宋体"/>
          <w:kern w:val="0"/>
          <w:szCs w:val="21"/>
        </w:rPr>
        <w:t>1</w:t>
      </w:r>
      <w:r>
        <w:rPr>
          <w:rFonts w:hint="eastAsia" w:hAnsi="宋体" w:cs="宋体"/>
          <w:kern w:val="0"/>
          <w:szCs w:val="21"/>
        </w:rPr>
        <w:t>1</w:t>
      </w:r>
      <w:r>
        <w:rPr>
          <w:rFonts w:hAnsi="宋体" w:cs="宋体"/>
          <w:kern w:val="0"/>
          <w:szCs w:val="21"/>
        </w:rPr>
        <w:t>．因工程质量问题发生工程维修费用或对第三人赔偿损失的，发包人通知承包人应承担的费用或损失金额，承包人收到通知后7日内不提出具体异议的，视为承包人认可并同意承担通知书中确定的金额。</w:t>
      </w:r>
    </w:p>
    <w:p>
      <w:pPr>
        <w:widowControl/>
        <w:tabs>
          <w:tab w:val="left" w:pos="2880"/>
        </w:tabs>
        <w:spacing w:line="360" w:lineRule="auto"/>
        <w:ind w:left="359" w:leftChars="121" w:hanging="105" w:hangingChars="50"/>
        <w:jc w:val="left"/>
        <w:rPr>
          <w:rFonts w:hAnsi="宋体" w:cs="宋体"/>
          <w:kern w:val="0"/>
          <w:szCs w:val="21"/>
        </w:rPr>
      </w:pPr>
      <w:r>
        <w:rPr>
          <w:rFonts w:hint="eastAsia" w:hAnsi="宋体" w:cs="宋体"/>
          <w:kern w:val="0"/>
          <w:szCs w:val="21"/>
        </w:rPr>
        <w:t>12、工程竣工验收后，本工程移交给相关单位管理，并从移交日起，接管单位有权代为行使发包方在本协议中关于保修养护事宜的权利和责任，即接管单位可直接通知乙方履行保修养护责任。</w:t>
      </w:r>
    </w:p>
    <w:p>
      <w:pPr>
        <w:pStyle w:val="22"/>
        <w:spacing w:line="440" w:lineRule="exact"/>
        <w:ind w:firstLine="472" w:firstLineChars="225"/>
        <w:outlineLvl w:val="0"/>
        <w:rPr>
          <w:rFonts w:hAnsi="宋体"/>
        </w:rPr>
      </w:pPr>
      <w:r>
        <w:rPr>
          <w:rFonts w:hAnsi="宋体"/>
        </w:rPr>
        <w:t>四、保修费用</w:t>
      </w:r>
    </w:p>
    <w:p>
      <w:pPr>
        <w:widowControl/>
        <w:tabs>
          <w:tab w:val="left" w:pos="2880"/>
        </w:tabs>
        <w:spacing w:line="360" w:lineRule="auto"/>
        <w:ind w:left="193" w:leftChars="92" w:firstLine="420" w:firstLineChars="200"/>
        <w:jc w:val="left"/>
        <w:rPr>
          <w:rFonts w:hAnsi="宋体" w:cs="宋体"/>
          <w:kern w:val="0"/>
          <w:szCs w:val="21"/>
        </w:rPr>
      </w:pPr>
      <w:r>
        <w:rPr>
          <w:rFonts w:hAnsi="宋体" w:cs="宋体"/>
          <w:kern w:val="0"/>
          <w:szCs w:val="21"/>
        </w:rPr>
        <w:t>保修费用由造成质量缺陷的责任方承担。</w:t>
      </w:r>
      <w:r>
        <w:rPr>
          <w:rFonts w:hint="eastAsia" w:hAnsi="宋体" w:cs="宋体"/>
          <w:kern w:val="0"/>
          <w:szCs w:val="21"/>
        </w:rPr>
        <w:t>承包人负责保修的质量，工程保修项目完成后须经业主或发包人代表验收签字方可。工程保修项目应保证在十二个月内不出现同类问题，否则，即使保修期满也应继续维修。对同一工程质量问题承包人维修两次后，再次发生该质量问题的，物业管理公司（或相关主管部门</w:t>
      </w:r>
      <w:r>
        <w:rPr>
          <w:rFonts w:hAnsi="宋体" w:cs="宋体"/>
          <w:kern w:val="0"/>
          <w:szCs w:val="21"/>
        </w:rPr>
        <w:t>管理</w:t>
      </w:r>
      <w:r>
        <w:rPr>
          <w:rFonts w:hint="eastAsia" w:hAnsi="宋体" w:cs="宋体"/>
          <w:kern w:val="0"/>
          <w:szCs w:val="21"/>
        </w:rPr>
        <w:t>）有权安排自行维修、委托其他单位维修或业主自修，所产生相关费用包括维修费、对业主补偿金等均由承包人承担。</w:t>
      </w:r>
    </w:p>
    <w:p>
      <w:pPr>
        <w:widowControl/>
        <w:tabs>
          <w:tab w:val="left" w:pos="2880"/>
        </w:tabs>
        <w:spacing w:line="360" w:lineRule="auto"/>
        <w:ind w:left="359" w:leftChars="121" w:hanging="105" w:hangingChars="50"/>
        <w:jc w:val="left"/>
        <w:rPr>
          <w:rFonts w:hAnsi="宋体" w:cs="宋体"/>
          <w:kern w:val="0"/>
          <w:szCs w:val="21"/>
        </w:rPr>
      </w:pPr>
      <w:r>
        <w:rPr>
          <w:rFonts w:hint="eastAsia" w:hAnsi="宋体" w:cs="宋体"/>
          <w:kern w:val="0"/>
          <w:szCs w:val="21"/>
        </w:rPr>
        <w:t>五、质量保修金的支付与返还</w:t>
      </w:r>
    </w:p>
    <w:p>
      <w:pPr>
        <w:widowControl/>
        <w:tabs>
          <w:tab w:val="left" w:pos="2880"/>
        </w:tabs>
        <w:spacing w:line="360" w:lineRule="auto"/>
        <w:ind w:left="134" w:leftChars="64" w:firstLine="371" w:firstLineChars="176"/>
        <w:jc w:val="left"/>
        <w:rPr>
          <w:rFonts w:hAnsi="宋体" w:cs="宋体"/>
          <w:kern w:val="0"/>
          <w:szCs w:val="21"/>
        </w:rPr>
      </w:pPr>
      <w:r>
        <w:rPr>
          <w:rFonts w:hint="eastAsia" w:hAnsi="宋体"/>
          <w:b/>
          <w:szCs w:val="21"/>
          <w:u w:val="single"/>
          <w:lang w:val="en-US" w:eastAsia="zh-CN"/>
        </w:rPr>
        <w:t>/</w:t>
      </w:r>
      <w:r>
        <w:rPr>
          <w:rFonts w:hint="eastAsia" w:hAnsi="宋体"/>
          <w:b/>
          <w:szCs w:val="21"/>
          <w:u w:val="single"/>
        </w:rPr>
        <w:t>。</w:t>
      </w:r>
    </w:p>
    <w:p>
      <w:pPr>
        <w:pStyle w:val="22"/>
        <w:spacing w:line="440" w:lineRule="exact"/>
        <w:ind w:firstLine="472" w:firstLineChars="225"/>
        <w:outlineLvl w:val="0"/>
        <w:rPr>
          <w:rFonts w:hAnsi="宋体"/>
        </w:rPr>
      </w:pPr>
      <w:r>
        <w:rPr>
          <w:rFonts w:hint="eastAsia" w:hAnsi="宋体"/>
        </w:rPr>
        <w:t>六</w:t>
      </w:r>
      <w:r>
        <w:rPr>
          <w:rFonts w:hAnsi="宋体"/>
        </w:rPr>
        <w:t>、其他</w:t>
      </w:r>
    </w:p>
    <w:p>
      <w:pPr>
        <w:pStyle w:val="22"/>
        <w:spacing w:line="440" w:lineRule="exact"/>
        <w:ind w:firstLine="472" w:firstLineChars="225"/>
        <w:rPr>
          <w:rFonts w:hAnsi="宋体"/>
          <w:u w:val="single"/>
        </w:rPr>
      </w:pPr>
      <w:r>
        <w:rPr>
          <w:rFonts w:hAnsi="宋体"/>
        </w:rPr>
        <w:t>三方约定的其他工程质量保修事项：</w:t>
      </w:r>
    </w:p>
    <w:p>
      <w:pPr>
        <w:pStyle w:val="22"/>
        <w:spacing w:line="440" w:lineRule="exact"/>
        <w:ind w:firstLine="472" w:firstLineChars="225"/>
        <w:rPr>
          <w:rFonts w:hAnsi="宋体"/>
        </w:rPr>
      </w:pPr>
      <w:r>
        <w:rPr>
          <w:rFonts w:hAnsi="宋体"/>
        </w:rPr>
        <w:t>本工程质量保修书，由发包人</w:t>
      </w:r>
      <w:r>
        <w:rPr>
          <w:rFonts w:hint="eastAsia" w:hAnsi="宋体"/>
        </w:rPr>
        <w:t>和</w:t>
      </w:r>
      <w:r>
        <w:rPr>
          <w:rFonts w:hAnsi="宋体"/>
        </w:rPr>
        <w:t>承包人</w:t>
      </w:r>
      <w:r>
        <w:rPr>
          <w:rFonts w:hint="eastAsia" w:hAnsi="宋体"/>
        </w:rPr>
        <w:t>双</w:t>
      </w:r>
      <w:r>
        <w:rPr>
          <w:rFonts w:hAnsi="宋体"/>
        </w:rPr>
        <w:t>方在竣工验收前共同签署，作为</w:t>
      </w:r>
      <w:r>
        <w:rPr>
          <w:rFonts w:hint="eastAsia" w:hAnsi="宋体"/>
        </w:rPr>
        <w:t>工程总承包</w:t>
      </w:r>
      <w:r>
        <w:rPr>
          <w:rFonts w:hAnsi="宋体"/>
        </w:rPr>
        <w:t>合同附件，其有效期限至保修期满。</w:t>
      </w:r>
    </w:p>
    <w:p>
      <w:pPr>
        <w:pStyle w:val="22"/>
        <w:spacing w:line="440" w:lineRule="exact"/>
        <w:ind w:firstLine="472" w:firstLineChars="225"/>
        <w:rPr>
          <w:rFonts w:hAnsi="宋体"/>
        </w:rPr>
      </w:pPr>
    </w:p>
    <w:p>
      <w:pPr>
        <w:pStyle w:val="22"/>
        <w:spacing w:line="440" w:lineRule="exact"/>
        <w:ind w:firstLine="472" w:firstLineChars="225"/>
        <w:jc w:val="center"/>
        <w:rPr>
          <w:rFonts w:hAnsi="宋体"/>
        </w:rPr>
      </w:pPr>
    </w:p>
    <w:p>
      <w:pPr>
        <w:pStyle w:val="22"/>
        <w:spacing w:line="440" w:lineRule="exact"/>
        <w:ind w:firstLine="472" w:firstLineChars="225"/>
        <w:rPr>
          <w:rFonts w:hAnsi="宋体"/>
        </w:rPr>
      </w:pPr>
      <w:r>
        <w:rPr>
          <w:rFonts w:hAnsi="宋体"/>
        </w:rPr>
        <w:t>发包人（公章）：                     承包人（公章）：</w:t>
      </w:r>
    </w:p>
    <w:p>
      <w:pPr>
        <w:pStyle w:val="22"/>
        <w:spacing w:line="440" w:lineRule="exact"/>
        <w:ind w:firstLine="472" w:firstLineChars="225"/>
        <w:rPr>
          <w:rFonts w:hAnsi="宋体"/>
        </w:rPr>
      </w:pPr>
      <w:r>
        <w:rPr>
          <w:rFonts w:hAnsi="宋体"/>
        </w:rPr>
        <w:t>法定代表人（签字</w:t>
      </w:r>
      <w:r>
        <w:rPr>
          <w:rFonts w:hint="eastAsia" w:hAnsi="宋体"/>
        </w:rPr>
        <w:t>或盖章</w:t>
      </w:r>
      <w:r>
        <w:rPr>
          <w:rFonts w:hAnsi="宋体"/>
        </w:rPr>
        <w:t>）：           法定代表人（签字</w:t>
      </w:r>
      <w:r>
        <w:rPr>
          <w:rFonts w:hint="eastAsia" w:hAnsi="宋体"/>
        </w:rPr>
        <w:t>或盖章</w:t>
      </w:r>
      <w:r>
        <w:rPr>
          <w:rFonts w:hAnsi="宋体"/>
        </w:rPr>
        <w:t>）：</w:t>
      </w:r>
    </w:p>
    <w:p>
      <w:pPr>
        <w:spacing w:line="360" w:lineRule="auto"/>
        <w:ind w:firstLine="525" w:firstLineChars="250"/>
        <w:rPr>
          <w:rFonts w:hAnsi="宋体"/>
          <w:szCs w:val="21"/>
        </w:rPr>
      </w:pPr>
      <w:r>
        <w:rPr>
          <w:rFonts w:hAnsi="宋体"/>
          <w:szCs w:val="21"/>
        </w:rPr>
        <w:t xml:space="preserve">年   月   日                      </w:t>
      </w:r>
      <w:r>
        <w:rPr>
          <w:rFonts w:hint="eastAsia" w:hAnsi="宋体"/>
          <w:szCs w:val="21"/>
        </w:rPr>
        <w:t xml:space="preserve">  </w:t>
      </w:r>
      <w:r>
        <w:rPr>
          <w:rFonts w:hAnsi="宋体"/>
          <w:szCs w:val="21"/>
        </w:rPr>
        <w:t>年    月    日</w:t>
      </w:r>
    </w:p>
    <w:p>
      <w:pPr>
        <w:spacing w:line="460" w:lineRule="exact"/>
        <w:jc w:val="center"/>
        <w:rPr>
          <w:rFonts w:hAnsi="宋体"/>
          <w:bCs/>
          <w:szCs w:val="21"/>
        </w:rPr>
      </w:pPr>
    </w:p>
    <w:p>
      <w:pPr>
        <w:spacing w:line="460" w:lineRule="exact"/>
        <w:jc w:val="center"/>
        <w:rPr>
          <w:rFonts w:hAnsi="宋体"/>
          <w:bCs/>
          <w:szCs w:val="21"/>
        </w:rPr>
      </w:pPr>
    </w:p>
    <w:p>
      <w:pPr>
        <w:spacing w:line="460" w:lineRule="exact"/>
        <w:jc w:val="center"/>
        <w:rPr>
          <w:rFonts w:hAnsi="宋体"/>
          <w:bCs/>
          <w:szCs w:val="21"/>
        </w:rPr>
      </w:pPr>
    </w:p>
    <w:p>
      <w:pPr>
        <w:rPr>
          <w:rFonts w:hAnsi="宋体"/>
          <w:b/>
          <w:szCs w:val="21"/>
        </w:rPr>
      </w:pPr>
      <w:r>
        <w:rPr>
          <w:rFonts w:hAnsi="宋体"/>
          <w:sz w:val="24"/>
          <w:u w:val="single"/>
        </w:rPr>
        <w:br w:type="page"/>
      </w:r>
      <w:r>
        <w:rPr>
          <w:rFonts w:hint="eastAsia" w:hAnsi="宋体"/>
          <w:b/>
          <w:szCs w:val="21"/>
        </w:rPr>
        <w:t>附件2</w:t>
      </w:r>
    </w:p>
    <w:p>
      <w:pPr>
        <w:spacing w:line="360" w:lineRule="auto"/>
        <w:jc w:val="center"/>
        <w:rPr>
          <w:rFonts w:hAnsi="宋体"/>
          <w:b/>
          <w:sz w:val="32"/>
          <w:szCs w:val="32"/>
        </w:rPr>
      </w:pPr>
      <w:r>
        <w:rPr>
          <w:rFonts w:hint="eastAsia" w:hAnsi="宋体"/>
          <w:b/>
          <w:sz w:val="32"/>
          <w:szCs w:val="32"/>
        </w:rPr>
        <w:t>廉政责任书</w:t>
      </w:r>
    </w:p>
    <w:p>
      <w:pPr>
        <w:spacing w:line="460" w:lineRule="exact"/>
        <w:rPr>
          <w:rFonts w:hAnsi="宋体"/>
          <w:szCs w:val="21"/>
        </w:rPr>
      </w:pPr>
      <w:r>
        <w:rPr>
          <w:rFonts w:hint="eastAsia" w:hAnsi="宋体"/>
          <w:szCs w:val="21"/>
        </w:rPr>
        <w:t>根据有关工程建设、廉政建设的规定，为做好工程建设中的党风廉政建设，保证工程建设高效优质，保证建设资金的安全和有效使用以及投资效益，</w:t>
      </w:r>
      <w:r>
        <w:rPr>
          <w:rFonts w:hAnsi="宋体"/>
          <w:szCs w:val="21"/>
        </w:rPr>
        <w:t>_____________</w:t>
      </w:r>
      <w:r>
        <w:rPr>
          <w:rFonts w:hint="eastAsia" w:hAnsi="宋体"/>
          <w:szCs w:val="21"/>
        </w:rPr>
        <w:t>（以下简称发包人）与承包人</w:t>
      </w:r>
      <w:r>
        <w:rPr>
          <w:rFonts w:hAnsi="宋体"/>
          <w:szCs w:val="21"/>
        </w:rPr>
        <w:t>_____________</w:t>
      </w:r>
      <w:r>
        <w:rPr>
          <w:rFonts w:hint="eastAsia" w:hAnsi="宋体"/>
          <w:szCs w:val="21"/>
        </w:rPr>
        <w:t>（以下简称乙方），特订立如下合同：</w:t>
      </w:r>
    </w:p>
    <w:p>
      <w:pPr>
        <w:spacing w:line="460" w:lineRule="exact"/>
        <w:ind w:firstLine="570"/>
        <w:rPr>
          <w:rFonts w:hAnsi="宋体"/>
          <w:szCs w:val="21"/>
        </w:rPr>
      </w:pPr>
      <w:r>
        <w:rPr>
          <w:rFonts w:hint="eastAsia" w:hAnsi="宋体"/>
          <w:szCs w:val="21"/>
        </w:rPr>
        <w:t>第一条甲乙双方的权利和义务</w:t>
      </w:r>
    </w:p>
    <w:p>
      <w:pPr>
        <w:spacing w:line="460" w:lineRule="exact"/>
        <w:rPr>
          <w:rFonts w:hAnsi="宋体"/>
          <w:szCs w:val="21"/>
        </w:rPr>
      </w:pPr>
      <w:r>
        <w:rPr>
          <w:rFonts w:hint="eastAsia" w:hAnsi="宋体"/>
          <w:szCs w:val="21"/>
        </w:rPr>
        <w:t xml:space="preserve">    （一）严格遵守党和国家有关法律法规及建设部的有关规定。</w:t>
      </w:r>
    </w:p>
    <w:p>
      <w:pPr>
        <w:spacing w:line="460" w:lineRule="exact"/>
        <w:rPr>
          <w:rFonts w:hAnsi="宋体"/>
          <w:szCs w:val="21"/>
        </w:rPr>
      </w:pPr>
      <w:r>
        <w:rPr>
          <w:rFonts w:hint="eastAsia" w:hAnsi="宋体"/>
          <w:szCs w:val="21"/>
        </w:rPr>
        <w:t xml:space="preserve">    （二）严格执行</w:t>
      </w:r>
      <w:r>
        <w:rPr>
          <w:rFonts w:hAnsi="宋体"/>
          <w:szCs w:val="21"/>
        </w:rPr>
        <w:t>_____________________</w:t>
      </w:r>
      <w:r>
        <w:rPr>
          <w:rFonts w:hint="eastAsia" w:hAnsi="宋体"/>
          <w:szCs w:val="21"/>
        </w:rPr>
        <w:t>工程施工合同文件，自觉按合同办事。</w:t>
      </w:r>
    </w:p>
    <w:p>
      <w:pPr>
        <w:spacing w:line="460" w:lineRule="exact"/>
        <w:rPr>
          <w:rFonts w:hAnsi="宋体"/>
          <w:szCs w:val="21"/>
        </w:rPr>
      </w:pPr>
      <w:r>
        <w:rPr>
          <w:rFonts w:hint="eastAsia" w:hAnsi="宋体"/>
          <w:szCs w:val="21"/>
        </w:rPr>
        <w:t xml:space="preserve">    （三）双方的业务活动坚持公开、公正、诚信、透明的原则（除法律认定的商业秘密和合同文件另有规定之外），不得损害国家和集体利益，违反工程建设管理规章制度。</w:t>
      </w:r>
    </w:p>
    <w:p>
      <w:pPr>
        <w:spacing w:line="460" w:lineRule="exact"/>
        <w:ind w:firstLine="480"/>
        <w:rPr>
          <w:rFonts w:hAnsi="宋体"/>
          <w:szCs w:val="21"/>
        </w:rPr>
      </w:pPr>
      <w:r>
        <w:rPr>
          <w:rFonts w:hint="eastAsia" w:hAnsi="宋体"/>
          <w:szCs w:val="21"/>
        </w:rPr>
        <w:t>（四）建立健全廉政制度，开展廉政教育，设立廉政告示牌，公布举报电话，监督并认真查处违法违纪行为。</w:t>
      </w:r>
    </w:p>
    <w:p>
      <w:pPr>
        <w:spacing w:line="460" w:lineRule="exact"/>
        <w:ind w:firstLine="480"/>
        <w:rPr>
          <w:rFonts w:hAnsi="宋体"/>
          <w:szCs w:val="21"/>
        </w:rPr>
      </w:pPr>
      <w:r>
        <w:rPr>
          <w:rFonts w:hint="eastAsia" w:hAnsi="宋体"/>
          <w:szCs w:val="21"/>
        </w:rPr>
        <w:t>（五）发现对方在业务活动中有违反廉政规定的行为，有及时提醒对方纠正的权利和义务</w:t>
      </w:r>
    </w:p>
    <w:p>
      <w:pPr>
        <w:spacing w:line="460" w:lineRule="exact"/>
        <w:ind w:firstLine="480"/>
        <w:rPr>
          <w:rFonts w:hAnsi="宋体"/>
          <w:szCs w:val="21"/>
        </w:rPr>
      </w:pPr>
      <w:r>
        <w:rPr>
          <w:rFonts w:hint="eastAsia" w:hAnsi="宋体"/>
          <w:szCs w:val="21"/>
        </w:rPr>
        <w:t>（六）发现对方严重违反本合同义务条款的行为，有向其上级有关部门举报、建议给予处理并要求告知处理结果的权利。</w:t>
      </w:r>
    </w:p>
    <w:p>
      <w:pPr>
        <w:spacing w:line="460" w:lineRule="exact"/>
        <w:ind w:firstLine="480"/>
        <w:rPr>
          <w:rFonts w:hAnsi="宋体"/>
          <w:szCs w:val="21"/>
        </w:rPr>
      </w:pPr>
      <w:r>
        <w:rPr>
          <w:rFonts w:hint="eastAsia" w:hAnsi="宋体"/>
          <w:szCs w:val="21"/>
        </w:rPr>
        <w:t>第二条发包人的义务</w:t>
      </w:r>
    </w:p>
    <w:p>
      <w:pPr>
        <w:spacing w:line="460" w:lineRule="exact"/>
        <w:rPr>
          <w:rFonts w:hAnsi="宋体"/>
          <w:szCs w:val="21"/>
        </w:rPr>
      </w:pPr>
      <w:r>
        <w:rPr>
          <w:rFonts w:hint="eastAsia" w:hAnsi="宋体"/>
          <w:szCs w:val="21"/>
        </w:rPr>
        <w:t xml:space="preserve">    （一）发包人及其工作人员不得索要或接受乙方的礼金、有价证券和贵重物品，不得在乙方报销任何应由发包人或个人支付的费用等。</w:t>
      </w:r>
    </w:p>
    <w:p>
      <w:pPr>
        <w:spacing w:line="460" w:lineRule="exact"/>
        <w:rPr>
          <w:rFonts w:hAnsi="宋体"/>
          <w:szCs w:val="21"/>
        </w:rPr>
      </w:pPr>
      <w:r>
        <w:rPr>
          <w:rFonts w:hint="eastAsia" w:hAnsi="宋体"/>
          <w:szCs w:val="21"/>
        </w:rPr>
        <w:t xml:space="preserve">    （二）发包人工作人员不得参加乙方安排的超标准宴请和娱乐活动，不得接受乙方提供的通讯工具、交通工具和高档办公用品等。</w:t>
      </w:r>
    </w:p>
    <w:p>
      <w:pPr>
        <w:spacing w:line="460" w:lineRule="exact"/>
        <w:rPr>
          <w:rFonts w:hAnsi="宋体"/>
          <w:szCs w:val="21"/>
        </w:rPr>
      </w:pPr>
      <w:r>
        <w:rPr>
          <w:rFonts w:hint="eastAsia" w:hAnsi="宋体"/>
          <w:szCs w:val="21"/>
        </w:rPr>
        <w:t xml:space="preserve">    （三）发包人及其工作人员不得要求或者接受乙方为其住房装修、婚丧嫁娶活动、配偶子女的工作安排以及出国出境、旅游等提供方便等。</w:t>
      </w:r>
    </w:p>
    <w:p>
      <w:pPr>
        <w:spacing w:line="460" w:lineRule="exact"/>
        <w:rPr>
          <w:rFonts w:hAnsi="宋体"/>
          <w:szCs w:val="21"/>
        </w:rPr>
      </w:pPr>
      <w:r>
        <w:rPr>
          <w:rFonts w:hint="eastAsia" w:hAnsi="宋体"/>
          <w:szCs w:val="21"/>
        </w:rPr>
        <w:t xml:space="preserve">    （四）发包人工作人员的配偶、子女不得从事与发包人工程有关的材料设备供应、工程分包、劳务等经济活动等。</w:t>
      </w:r>
    </w:p>
    <w:p>
      <w:pPr>
        <w:spacing w:line="460" w:lineRule="exact"/>
        <w:rPr>
          <w:rFonts w:hAnsi="宋体"/>
          <w:szCs w:val="21"/>
        </w:rPr>
      </w:pPr>
      <w:r>
        <w:rPr>
          <w:rFonts w:hint="eastAsia" w:hAnsi="宋体"/>
          <w:szCs w:val="21"/>
        </w:rPr>
        <w:t xml:space="preserve">    （五）发包人及其工作人员不得以任何理由向乙方推荐分包单位，不得要求乙方购买合同外的材料和设备。</w:t>
      </w:r>
    </w:p>
    <w:p>
      <w:pPr>
        <w:numPr>
          <w:ilvl w:val="0"/>
          <w:numId w:val="10"/>
        </w:numPr>
        <w:tabs>
          <w:tab w:val="left" w:pos="900"/>
          <w:tab w:val="left" w:pos="1620"/>
        </w:tabs>
        <w:spacing w:line="460" w:lineRule="exact"/>
        <w:ind w:left="0" w:firstLine="0"/>
        <w:rPr>
          <w:rFonts w:hAnsi="宋体"/>
          <w:szCs w:val="21"/>
        </w:rPr>
      </w:pPr>
      <w:r>
        <w:rPr>
          <w:rFonts w:hint="eastAsia" w:hAnsi="宋体"/>
          <w:szCs w:val="21"/>
        </w:rPr>
        <w:t>乙方义务</w:t>
      </w:r>
    </w:p>
    <w:p>
      <w:pPr>
        <w:spacing w:line="460" w:lineRule="exact"/>
        <w:ind w:firstLine="480"/>
        <w:rPr>
          <w:rFonts w:hAnsi="宋体"/>
          <w:szCs w:val="21"/>
        </w:rPr>
      </w:pPr>
      <w:r>
        <w:rPr>
          <w:rFonts w:hint="eastAsia" w:hAnsi="宋体"/>
          <w:szCs w:val="21"/>
        </w:rPr>
        <w:t>（一）乙方不得以任何理由向发包人及其工作人员行贿或馈赠礼金，有价证券、贵重礼品。</w:t>
      </w:r>
    </w:p>
    <w:p>
      <w:pPr>
        <w:spacing w:line="460" w:lineRule="exact"/>
        <w:rPr>
          <w:rFonts w:hAnsi="宋体"/>
          <w:szCs w:val="21"/>
        </w:rPr>
      </w:pPr>
      <w:r>
        <w:rPr>
          <w:rFonts w:hint="eastAsia" w:hAnsi="宋体"/>
          <w:szCs w:val="21"/>
        </w:rPr>
        <w:t xml:space="preserve">    （二）乙方不得以任何名义为发包人及其工作人员报销应由发包人单位或个人支付的任何费用。</w:t>
      </w:r>
    </w:p>
    <w:p>
      <w:pPr>
        <w:spacing w:line="460" w:lineRule="exact"/>
        <w:rPr>
          <w:rFonts w:hAnsi="宋体"/>
          <w:szCs w:val="21"/>
        </w:rPr>
      </w:pPr>
      <w:r>
        <w:rPr>
          <w:rFonts w:hint="eastAsia" w:hAnsi="宋体"/>
          <w:szCs w:val="21"/>
        </w:rPr>
        <w:t xml:space="preserve">    （三）乙方不得以任何理由安排发包人工作人员参加超标准宴请及娱乐活动。</w:t>
      </w:r>
    </w:p>
    <w:p>
      <w:pPr>
        <w:spacing w:line="460" w:lineRule="exact"/>
        <w:rPr>
          <w:rFonts w:hAnsi="宋体"/>
          <w:szCs w:val="21"/>
        </w:rPr>
      </w:pPr>
      <w:r>
        <w:rPr>
          <w:rFonts w:hint="eastAsia" w:hAnsi="宋体"/>
          <w:szCs w:val="21"/>
        </w:rPr>
        <w:t xml:space="preserve">    （四）乙方不得为发包人单位和个人购置或提供通讯工具、交通工具和高档办公用品等。</w:t>
      </w:r>
    </w:p>
    <w:p>
      <w:pPr>
        <w:numPr>
          <w:ilvl w:val="0"/>
          <w:numId w:val="10"/>
        </w:numPr>
        <w:tabs>
          <w:tab w:val="left" w:pos="900"/>
        </w:tabs>
        <w:spacing w:line="460" w:lineRule="exact"/>
        <w:ind w:left="0" w:firstLine="0"/>
        <w:rPr>
          <w:rFonts w:hAnsi="宋体"/>
          <w:szCs w:val="21"/>
        </w:rPr>
      </w:pPr>
      <w:r>
        <w:rPr>
          <w:rFonts w:hint="eastAsia" w:hAnsi="宋体"/>
          <w:szCs w:val="21"/>
        </w:rPr>
        <w:t>违约责任</w:t>
      </w:r>
    </w:p>
    <w:p>
      <w:pPr>
        <w:spacing w:line="460" w:lineRule="exact"/>
        <w:rPr>
          <w:rFonts w:hAnsi="宋体"/>
          <w:szCs w:val="21"/>
        </w:rPr>
      </w:pPr>
      <w:r>
        <w:rPr>
          <w:rFonts w:hint="eastAsia" w:hAnsi="宋体"/>
          <w:szCs w:val="21"/>
        </w:rPr>
        <w:t xml:space="preserve">    （一）发包人及其工作人员违反本合同第一、二条，按管理权限，依据有关规定给予党纪、政纪或组织处理；涉嫌犯罪的，移交司法机关追究刑事责任；给乙方单位造成经济损失的，应予以赔偿。</w:t>
      </w:r>
    </w:p>
    <w:p>
      <w:pPr>
        <w:spacing w:line="460" w:lineRule="exact"/>
        <w:rPr>
          <w:rFonts w:hAnsi="宋体"/>
          <w:szCs w:val="21"/>
        </w:rPr>
      </w:pPr>
      <w:r>
        <w:rPr>
          <w:rFonts w:hint="eastAsia" w:hAnsi="宋体"/>
          <w:szCs w:val="21"/>
        </w:rPr>
        <w:t xml:space="preserve">    （二）乙方及其工作人员违反本合同第一、三条，按管理权限，依据有关规定、给予党纪、政纪或组织处理；给发包人单位造成经济损失的，应予以赔偿；情节严重的，发包人建议工程建设主管部门给予乙方一至三年内不得进入其主管的工程建筑市场的处罚。</w:t>
      </w:r>
    </w:p>
    <w:p>
      <w:pPr>
        <w:spacing w:line="460" w:lineRule="exact"/>
        <w:rPr>
          <w:rFonts w:hAnsi="宋体"/>
          <w:szCs w:val="21"/>
        </w:rPr>
      </w:pPr>
      <w:r>
        <w:rPr>
          <w:rFonts w:hint="eastAsia" w:hAnsi="宋体"/>
          <w:szCs w:val="21"/>
        </w:rPr>
        <w:t>第五条  双方约定</w:t>
      </w:r>
    </w:p>
    <w:p>
      <w:pPr>
        <w:spacing w:line="460" w:lineRule="exact"/>
        <w:rPr>
          <w:rFonts w:hAnsi="宋体"/>
          <w:szCs w:val="21"/>
        </w:rPr>
      </w:pPr>
      <w:r>
        <w:rPr>
          <w:rFonts w:hint="eastAsia" w:hAnsi="宋体"/>
          <w:szCs w:val="21"/>
        </w:rPr>
        <w:t xml:space="preserve">    本合同由双方或双方上级单位的纪检监察机关负责监督。由发包人或发包人上级单位的纪检监察机关约请乙方或乙方上级单位纪检监察机关对本合同履行情况进行检查提出在本合同规定范围内的裁定意见。</w:t>
      </w:r>
    </w:p>
    <w:p>
      <w:pPr>
        <w:spacing w:line="460" w:lineRule="exact"/>
        <w:rPr>
          <w:rFonts w:hAnsi="宋体"/>
          <w:szCs w:val="21"/>
        </w:rPr>
      </w:pPr>
      <w:r>
        <w:rPr>
          <w:rFonts w:hint="eastAsia" w:hAnsi="宋体"/>
          <w:szCs w:val="21"/>
        </w:rPr>
        <w:t>第六条  本合同有效期为甲乙双方签署之日起至该工程项目竣工验收后止。</w:t>
      </w:r>
    </w:p>
    <w:p>
      <w:pPr>
        <w:numPr>
          <w:ilvl w:val="0"/>
          <w:numId w:val="11"/>
        </w:numPr>
        <w:spacing w:line="460" w:lineRule="exact"/>
        <w:ind w:left="0" w:firstLine="0"/>
        <w:rPr>
          <w:rFonts w:hAnsi="宋体"/>
          <w:szCs w:val="21"/>
        </w:rPr>
      </w:pPr>
      <w:r>
        <w:rPr>
          <w:rFonts w:hint="eastAsia" w:hAnsi="宋体"/>
          <w:szCs w:val="21"/>
        </w:rPr>
        <w:t>本合同作为</w:t>
      </w:r>
      <w:r>
        <w:rPr>
          <w:rFonts w:hAnsi="宋体"/>
          <w:szCs w:val="21"/>
        </w:rPr>
        <w:t>____________________</w:t>
      </w:r>
      <w:r>
        <w:rPr>
          <w:rFonts w:hint="eastAsia" w:hAnsi="宋体"/>
          <w:szCs w:val="21"/>
        </w:rPr>
        <w:t>工程施工合同的附件，与工程施工合同具有同等的法律效力，经合同双方签署立即生效。</w:t>
      </w:r>
    </w:p>
    <w:p>
      <w:pPr>
        <w:numPr>
          <w:ilvl w:val="0"/>
          <w:numId w:val="11"/>
        </w:numPr>
        <w:spacing w:line="460" w:lineRule="exact"/>
        <w:ind w:left="0" w:firstLine="0"/>
        <w:rPr>
          <w:rFonts w:hAnsi="宋体"/>
          <w:szCs w:val="21"/>
        </w:rPr>
      </w:pPr>
      <w:r>
        <w:rPr>
          <w:rFonts w:hint="eastAsia" w:hAnsi="宋体"/>
          <w:szCs w:val="21"/>
        </w:rPr>
        <w:t>本合同甲乙双方各执一份，送交双方监督单位一份。</w:t>
      </w:r>
    </w:p>
    <w:p>
      <w:pPr>
        <w:spacing w:line="460" w:lineRule="exact"/>
        <w:rPr>
          <w:rFonts w:hAnsi="宋体"/>
          <w:szCs w:val="21"/>
        </w:rPr>
      </w:pPr>
    </w:p>
    <w:p>
      <w:pPr>
        <w:spacing w:line="460" w:lineRule="exact"/>
        <w:rPr>
          <w:rFonts w:hAnsi="宋体"/>
          <w:szCs w:val="21"/>
        </w:rPr>
      </w:pPr>
    </w:p>
    <w:p>
      <w:pPr>
        <w:spacing w:line="460" w:lineRule="exact"/>
        <w:rPr>
          <w:rFonts w:hAnsi="宋体"/>
          <w:szCs w:val="21"/>
        </w:rPr>
      </w:pPr>
      <w:r>
        <w:rPr>
          <w:rFonts w:hint="eastAsia" w:hAnsi="宋体"/>
          <w:szCs w:val="21"/>
        </w:rPr>
        <w:t>发包人单位：（盖章）                         乙方单位：（盖章）</w:t>
      </w:r>
    </w:p>
    <w:p>
      <w:pPr>
        <w:spacing w:line="460" w:lineRule="exact"/>
        <w:rPr>
          <w:rFonts w:hAnsi="宋体"/>
          <w:szCs w:val="21"/>
        </w:rPr>
      </w:pPr>
    </w:p>
    <w:p>
      <w:pPr>
        <w:spacing w:line="460" w:lineRule="exact"/>
        <w:rPr>
          <w:rFonts w:hAnsi="宋体"/>
          <w:szCs w:val="21"/>
        </w:rPr>
      </w:pPr>
      <w:r>
        <w:rPr>
          <w:rFonts w:hint="eastAsia" w:hAnsi="宋体"/>
          <w:szCs w:val="21"/>
        </w:rPr>
        <w:t>法定代表人：                              法定代表人：</w:t>
      </w:r>
    </w:p>
    <w:p>
      <w:pPr>
        <w:spacing w:line="460" w:lineRule="exact"/>
        <w:rPr>
          <w:rFonts w:hAnsi="宋体"/>
          <w:szCs w:val="21"/>
        </w:rPr>
      </w:pPr>
      <w:r>
        <w:rPr>
          <w:rFonts w:hint="eastAsia" w:hAnsi="宋体"/>
          <w:szCs w:val="21"/>
        </w:rPr>
        <w:t xml:space="preserve">      年    月    日                            年    月    日</w:t>
      </w:r>
    </w:p>
    <w:p>
      <w:pPr>
        <w:spacing w:line="460" w:lineRule="exact"/>
        <w:rPr>
          <w:rFonts w:hAnsi="宋体"/>
          <w:szCs w:val="21"/>
        </w:rPr>
      </w:pPr>
    </w:p>
    <w:p>
      <w:pPr>
        <w:spacing w:line="460" w:lineRule="exact"/>
        <w:rPr>
          <w:rFonts w:hAnsi="宋体"/>
          <w:szCs w:val="21"/>
        </w:rPr>
      </w:pPr>
      <w:r>
        <w:rPr>
          <w:rFonts w:hint="eastAsia" w:hAnsi="宋体"/>
          <w:szCs w:val="21"/>
        </w:rPr>
        <w:t>发包人监督单位（盖章）                      乙方监督单位（盖章）</w:t>
      </w: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pStyle w:val="218"/>
        <w:spacing w:line="360" w:lineRule="auto"/>
        <w:ind w:firstLine="418" w:firstLineChars="130"/>
        <w:rPr>
          <w:rFonts w:ascii="宋体" w:hAnsi="宋体" w:cs="楷体"/>
          <w:b/>
          <w:bCs/>
          <w:kern w:val="0"/>
          <w:sz w:val="32"/>
          <w:szCs w:val="32"/>
        </w:rPr>
      </w:pPr>
      <w:r>
        <w:rPr>
          <w:rFonts w:hint="eastAsia" w:ascii="宋体" w:hAnsi="宋体" w:cs="楷体"/>
          <w:b/>
          <w:bCs/>
          <w:kern w:val="0"/>
          <w:sz w:val="32"/>
          <w:szCs w:val="32"/>
        </w:rPr>
        <w:t>附件2          安全文明生产合同</w:t>
      </w:r>
    </w:p>
    <w:p>
      <w:pPr>
        <w:pStyle w:val="218"/>
        <w:ind w:firstLine="472" w:firstLineChars="196"/>
        <w:jc w:val="center"/>
        <w:rPr>
          <w:rFonts w:ascii="宋体" w:hAnsi="宋体" w:cs="楷体"/>
          <w:b/>
          <w:bCs/>
          <w:kern w:val="0"/>
          <w:sz w:val="24"/>
        </w:rPr>
      </w:pPr>
      <w:r>
        <w:rPr>
          <w:rFonts w:hint="eastAsia" w:ascii="宋体" w:hAnsi="宋体" w:cs="楷体"/>
          <w:b/>
          <w:bCs/>
          <w:kern w:val="0"/>
          <w:sz w:val="24"/>
        </w:rPr>
        <w:t xml:space="preserve"> </w:t>
      </w:r>
    </w:p>
    <w:p>
      <w:pPr>
        <w:pStyle w:val="218"/>
        <w:spacing w:line="360" w:lineRule="auto"/>
        <w:ind w:firstLine="513"/>
        <w:jc w:val="left"/>
        <w:rPr>
          <w:rFonts w:ascii="宋体" w:hAnsi="宋体" w:cs="楷体"/>
          <w:kern w:val="0"/>
          <w:szCs w:val="21"/>
        </w:rPr>
      </w:pPr>
      <w:r>
        <w:rPr>
          <w:rFonts w:hint="eastAsia" w:ascii="宋体" w:hAnsi="宋体" w:cs="楷体"/>
          <w:kern w:val="0"/>
        </w:rPr>
        <w:t>为在</w:t>
      </w:r>
      <w:r>
        <w:rPr>
          <w:rFonts w:hint="eastAsia" w:ascii="宋体" w:hAnsi="宋体" w:cs="楷体"/>
          <w:kern w:val="0"/>
          <w:u w:val="single"/>
        </w:rPr>
        <w:t xml:space="preserve">                          工程</w:t>
      </w:r>
      <w:r>
        <w:rPr>
          <w:rFonts w:hint="eastAsia" w:ascii="宋体" w:hAnsi="宋体" w:cs="楷体"/>
          <w:kern w:val="0"/>
        </w:rPr>
        <w:t>合同的实施过程中创造安全、高效的施工环境，搞好本项目的安全管理工作，本项目业主</w:t>
      </w:r>
      <w:r>
        <w:rPr>
          <w:rFonts w:hint="eastAsia" w:ascii="宋体" w:hAnsi="宋体" w:cs="楷体"/>
          <w:kern w:val="0"/>
          <w:u w:val="single"/>
        </w:rPr>
        <w:t xml:space="preserve">                   </w:t>
      </w:r>
      <w:r>
        <w:rPr>
          <w:rFonts w:hint="eastAsia" w:ascii="宋体" w:hAnsi="宋体" w:cs="楷体"/>
          <w:kern w:val="0"/>
        </w:rPr>
        <w:t xml:space="preserve">（以下简称“发包人”）与承包人 </w:t>
      </w:r>
      <w:r>
        <w:rPr>
          <w:rFonts w:hint="eastAsia" w:ascii="宋体" w:hAnsi="宋体" w:cs="楷体"/>
          <w:kern w:val="0"/>
          <w:u w:val="single"/>
        </w:rPr>
        <w:t xml:space="preserve">                       </w:t>
      </w:r>
      <w:r>
        <w:rPr>
          <w:rFonts w:hint="eastAsia" w:ascii="宋体" w:hAnsi="宋体" w:cs="楷体"/>
          <w:kern w:val="0"/>
        </w:rPr>
        <w:t>特此签订安全生产合同：</w:t>
      </w:r>
    </w:p>
    <w:p>
      <w:pPr>
        <w:pStyle w:val="218"/>
        <w:spacing w:line="360" w:lineRule="auto"/>
        <w:jc w:val="left"/>
        <w:rPr>
          <w:rFonts w:ascii="宋体" w:hAnsi="宋体" w:cs="楷体"/>
          <w:b/>
          <w:bCs/>
          <w:kern w:val="0"/>
        </w:rPr>
      </w:pPr>
      <w:r>
        <w:rPr>
          <w:rFonts w:hint="eastAsia" w:ascii="宋体" w:hAnsi="宋体" w:cs="楷体"/>
          <w:b/>
          <w:bCs/>
          <w:kern w:val="0"/>
        </w:rPr>
        <w:t xml:space="preserve">    一、发包人职责</w:t>
      </w:r>
    </w:p>
    <w:p>
      <w:pPr>
        <w:pStyle w:val="218"/>
        <w:spacing w:line="360" w:lineRule="auto"/>
        <w:ind w:firstLine="513"/>
        <w:jc w:val="left"/>
        <w:rPr>
          <w:rFonts w:ascii="宋体" w:hAnsi="宋体" w:cs="楷体"/>
          <w:kern w:val="0"/>
        </w:rPr>
      </w:pPr>
      <w:r>
        <w:rPr>
          <w:rFonts w:hint="eastAsia" w:ascii="宋体" w:hAnsi="宋体" w:cs="楷体"/>
          <w:kern w:val="0"/>
        </w:rPr>
        <w:t>1．严格遵守国家有关安全生产的法律法规，认真执行工程承包合同中的有关安全要求。</w:t>
      </w:r>
    </w:p>
    <w:p>
      <w:pPr>
        <w:pStyle w:val="218"/>
        <w:spacing w:line="360" w:lineRule="auto"/>
        <w:ind w:firstLine="513"/>
        <w:jc w:val="left"/>
        <w:rPr>
          <w:rFonts w:ascii="宋体" w:hAnsi="宋体" w:cs="楷体"/>
          <w:kern w:val="0"/>
        </w:rPr>
      </w:pPr>
      <w:r>
        <w:rPr>
          <w:rFonts w:hint="eastAsia" w:ascii="宋体" w:hAnsi="宋体" w:cs="楷体"/>
          <w:kern w:val="0"/>
        </w:rPr>
        <w:t>2.按照“安全第一、预防为主”和坚持“管生产必须管安全”的原则进行安全生产管理，做到生产与安全工作同时计划、布置、检查、总结和评比。</w:t>
      </w:r>
    </w:p>
    <w:p>
      <w:pPr>
        <w:pStyle w:val="218"/>
        <w:spacing w:line="360" w:lineRule="auto"/>
        <w:ind w:firstLine="513"/>
        <w:jc w:val="left"/>
        <w:rPr>
          <w:rFonts w:ascii="宋体" w:hAnsi="宋体" w:cs="楷体"/>
          <w:kern w:val="0"/>
        </w:rPr>
      </w:pPr>
      <w:r>
        <w:rPr>
          <w:rFonts w:hint="eastAsia" w:ascii="宋体" w:hAnsi="宋体" w:cs="楷体"/>
          <w:kern w:val="0"/>
        </w:rPr>
        <w:t>3.重要的安全设施必须坚持与主体工程“三同时”的原则，即：同时设计、审批，同时施工，同时验收，投入使用。</w:t>
      </w:r>
    </w:p>
    <w:p>
      <w:pPr>
        <w:pStyle w:val="218"/>
        <w:spacing w:line="360" w:lineRule="auto"/>
        <w:ind w:firstLine="513"/>
        <w:jc w:val="left"/>
        <w:rPr>
          <w:rFonts w:ascii="宋体" w:hAnsi="宋体" w:cs="楷体"/>
        </w:rPr>
      </w:pPr>
      <w:r>
        <w:rPr>
          <w:rFonts w:hint="eastAsia" w:ascii="宋体" w:hAnsi="宋体" w:cs="楷体"/>
          <w:kern w:val="0"/>
        </w:rPr>
        <w:t>4.组织对承包人施工现场安全生产检查，监督承包人及时处理发现的各种安全隐患。</w:t>
      </w:r>
    </w:p>
    <w:p>
      <w:pPr>
        <w:pStyle w:val="218"/>
        <w:spacing w:line="360" w:lineRule="auto"/>
        <w:jc w:val="left"/>
        <w:rPr>
          <w:rFonts w:ascii="宋体" w:hAnsi="宋体" w:cs="楷体"/>
          <w:b/>
          <w:bCs/>
          <w:kern w:val="0"/>
        </w:rPr>
      </w:pPr>
      <w:r>
        <w:rPr>
          <w:rFonts w:hint="eastAsia" w:ascii="宋体" w:hAnsi="宋体" w:cs="楷体"/>
          <w:b/>
          <w:bCs/>
          <w:kern w:val="0"/>
        </w:rPr>
        <w:t xml:space="preserve">    二、承包人职责</w:t>
      </w:r>
    </w:p>
    <w:p>
      <w:pPr>
        <w:pStyle w:val="218"/>
        <w:spacing w:line="360" w:lineRule="auto"/>
        <w:ind w:firstLine="513"/>
        <w:jc w:val="left"/>
        <w:rPr>
          <w:rFonts w:ascii="宋体" w:hAnsi="宋体" w:cs="楷体"/>
          <w:kern w:val="0"/>
        </w:rPr>
      </w:pPr>
      <w:r>
        <w:rPr>
          <w:rFonts w:hint="eastAsia" w:ascii="宋体" w:hAnsi="宋体" w:cs="楷体"/>
          <w:kern w:val="0"/>
        </w:rPr>
        <w:t>1.严格遵守国家有关安全生产的法律法规和有关安全生产的规定，认真执行工程承包合同中的有关安全要求。</w:t>
      </w:r>
    </w:p>
    <w:p>
      <w:pPr>
        <w:pStyle w:val="218"/>
        <w:spacing w:line="360" w:lineRule="auto"/>
        <w:ind w:firstLine="513"/>
        <w:jc w:val="left"/>
        <w:rPr>
          <w:rFonts w:ascii="宋体" w:hAnsi="宋体" w:cs="楷体"/>
          <w:kern w:val="0"/>
        </w:rPr>
      </w:pPr>
      <w:r>
        <w:rPr>
          <w:rFonts w:hint="eastAsia" w:ascii="宋体" w:hAnsi="宋体" w:cs="楷体"/>
          <w:kern w:val="0"/>
        </w:rPr>
        <w:t>2.坚持“安全第一、预防为主”和坚持“管生产必须管安全”的原则，加强安全生产宣传教育，增强全员安全生产意识，建立健全各项安全生产的管理机构和安全生产管理制度，配备专职及兼职安全检查人员，有组织有领导地开展生产安全生产活动。各级领导、工程技术人员、生产管理人员和具体操作人员，必须熟悉和遵守本条款的各项规定，做到生产与安全工作同时计划、布置、检查、总结和评比。</w:t>
      </w:r>
    </w:p>
    <w:p>
      <w:pPr>
        <w:pStyle w:val="218"/>
        <w:spacing w:line="360" w:lineRule="auto"/>
        <w:ind w:firstLine="513"/>
        <w:jc w:val="left"/>
        <w:rPr>
          <w:rFonts w:ascii="宋体" w:hAnsi="宋体" w:cs="楷体"/>
          <w:kern w:val="0"/>
        </w:rPr>
      </w:pPr>
      <w:r>
        <w:rPr>
          <w:rFonts w:hint="eastAsia" w:ascii="宋体" w:hAnsi="宋体" w:cs="楷体"/>
          <w:kern w:val="0"/>
        </w:rPr>
        <w:t>3.建立健全安全生产责任制。从派往项目实施的项目经理和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pStyle w:val="218"/>
        <w:spacing w:line="360" w:lineRule="auto"/>
        <w:ind w:firstLine="513"/>
        <w:jc w:val="left"/>
        <w:rPr>
          <w:rFonts w:ascii="宋体" w:hAnsi="宋体" w:cs="楷体"/>
          <w:kern w:val="0"/>
        </w:rPr>
      </w:pPr>
      <w:r>
        <w:rPr>
          <w:rFonts w:hint="eastAsia" w:ascii="宋体" w:hAnsi="宋体" w:cs="楷体"/>
          <w:kern w:val="0"/>
        </w:rPr>
        <w:t>4.承包人在任何时候都应采用各种合理的预防措施，防止其员工发生任何违法、违禁、暴力或妨碍治安的行为。</w:t>
      </w:r>
    </w:p>
    <w:p>
      <w:pPr>
        <w:pStyle w:val="218"/>
        <w:spacing w:line="360" w:lineRule="auto"/>
        <w:ind w:firstLine="513"/>
        <w:jc w:val="left"/>
        <w:rPr>
          <w:rFonts w:ascii="宋体" w:hAnsi="宋体" w:cs="楷体"/>
          <w:kern w:val="0"/>
        </w:rPr>
      </w:pPr>
      <w:r>
        <w:rPr>
          <w:rFonts w:hint="eastAsia" w:ascii="宋体" w:hAnsi="宋体" w:cs="楷体"/>
          <w:kern w:val="0"/>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pStyle w:val="218"/>
        <w:spacing w:line="360" w:lineRule="auto"/>
        <w:ind w:firstLine="513"/>
        <w:jc w:val="left"/>
        <w:rPr>
          <w:rFonts w:ascii="宋体" w:hAnsi="宋体" w:cs="楷体"/>
          <w:kern w:val="0"/>
        </w:rPr>
      </w:pPr>
      <w:r>
        <w:rPr>
          <w:rFonts w:hint="eastAsia" w:ascii="宋体" w:hAnsi="宋体" w:cs="楷体"/>
          <w:kern w:val="0"/>
        </w:rPr>
        <w:t>6.对于易燃易爆的材料除应专门妥善保管之外，还应配备有足够的消防设施，所有施工人员都应熟悉消防设备的性能和使用方法；承包人不得将任何种类的爆炸物以任何方式转让给任何其他人，或允许、容忍上述同样行为。</w:t>
      </w:r>
    </w:p>
    <w:p>
      <w:pPr>
        <w:pStyle w:val="218"/>
        <w:spacing w:line="360" w:lineRule="auto"/>
        <w:ind w:firstLine="513"/>
        <w:jc w:val="left"/>
        <w:rPr>
          <w:rFonts w:ascii="宋体" w:hAnsi="宋体" w:cs="楷体"/>
          <w:kern w:val="0"/>
        </w:rPr>
      </w:pPr>
      <w:r>
        <w:rPr>
          <w:rFonts w:hint="eastAsia" w:ascii="宋体" w:hAnsi="宋体" w:cs="楷体"/>
          <w:kern w:val="0"/>
        </w:rPr>
        <w:t>7.操作人员上岗，必须按规定穿戴防护用品。各专业施工负责人和安全检查员应随时检查劳动防护用品的穿戴情况，不按规定穿戴防护用品的人员不得上岗。</w:t>
      </w:r>
    </w:p>
    <w:p>
      <w:pPr>
        <w:pStyle w:val="218"/>
        <w:spacing w:line="360" w:lineRule="auto"/>
        <w:ind w:firstLine="513"/>
        <w:jc w:val="left"/>
        <w:rPr>
          <w:rFonts w:ascii="宋体" w:hAnsi="宋体" w:cs="楷体"/>
          <w:kern w:val="0"/>
        </w:rPr>
      </w:pPr>
      <w:r>
        <w:rPr>
          <w:rFonts w:hint="eastAsia" w:ascii="宋体" w:hAnsi="宋体" w:cs="楷体"/>
          <w:kern w:val="0"/>
        </w:rPr>
        <w:t>8.所有施工机具设备和高空作业的设备均应定期检查，并有安全员的签字记录，保证其经常处于完善状态；不合格的机具、设备和劳动保护用品严禁使用。</w:t>
      </w:r>
    </w:p>
    <w:p>
      <w:pPr>
        <w:pStyle w:val="218"/>
        <w:spacing w:line="360" w:lineRule="auto"/>
        <w:ind w:firstLine="513"/>
        <w:jc w:val="left"/>
        <w:rPr>
          <w:rFonts w:ascii="宋体" w:hAnsi="宋体" w:cs="楷体"/>
          <w:kern w:val="0"/>
        </w:rPr>
      </w:pPr>
      <w:r>
        <w:rPr>
          <w:rFonts w:hint="eastAsia" w:ascii="宋体" w:hAnsi="宋体" w:cs="楷体"/>
          <w:kern w:val="0"/>
        </w:rPr>
        <w:t>9.施工中采用新技术、新工艺、新设备、新材料时，必须制定相应的安全技术措施，施工现场必须具有相关的安全标志牌。</w:t>
      </w:r>
    </w:p>
    <w:p>
      <w:pPr>
        <w:pStyle w:val="218"/>
        <w:spacing w:line="360" w:lineRule="auto"/>
        <w:ind w:firstLine="513"/>
        <w:jc w:val="left"/>
        <w:rPr>
          <w:rFonts w:ascii="宋体" w:hAnsi="宋体" w:cs="楷体"/>
        </w:rPr>
      </w:pPr>
      <w:r>
        <w:rPr>
          <w:rFonts w:hint="eastAsia" w:ascii="宋体" w:hAnsi="宋体" w:cs="楷体"/>
          <w:kern w:val="0"/>
        </w:rPr>
        <w:t>10.承包人必须按照本工程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p>
    <w:p>
      <w:pPr>
        <w:pStyle w:val="218"/>
        <w:spacing w:line="360" w:lineRule="auto"/>
        <w:jc w:val="left"/>
        <w:rPr>
          <w:rFonts w:ascii="宋体" w:hAnsi="宋体" w:cs="楷体"/>
          <w:b/>
          <w:bCs/>
          <w:kern w:val="0"/>
        </w:rPr>
      </w:pPr>
      <w:r>
        <w:rPr>
          <w:rFonts w:hint="eastAsia" w:ascii="宋体" w:hAnsi="宋体" w:cs="楷体"/>
          <w:b/>
          <w:bCs/>
          <w:kern w:val="0"/>
        </w:rPr>
        <w:t xml:space="preserve">    三、违约责任</w:t>
      </w:r>
    </w:p>
    <w:p>
      <w:pPr>
        <w:pStyle w:val="218"/>
        <w:spacing w:line="360" w:lineRule="auto"/>
        <w:ind w:firstLine="513"/>
        <w:jc w:val="left"/>
        <w:rPr>
          <w:rFonts w:ascii="宋体" w:hAnsi="宋体" w:cs="楷体"/>
          <w:kern w:val="0"/>
        </w:rPr>
      </w:pPr>
      <w:r>
        <w:rPr>
          <w:rFonts w:hint="eastAsia" w:ascii="宋体" w:hAnsi="宋体" w:cs="楷体"/>
          <w:kern w:val="0"/>
        </w:rPr>
        <w:t>如因发包人或承包人违约造成安全事故，将依法追究责任。</w:t>
      </w:r>
    </w:p>
    <w:p>
      <w:pPr>
        <w:pStyle w:val="218"/>
        <w:spacing w:line="360" w:lineRule="auto"/>
        <w:ind w:firstLine="513"/>
        <w:jc w:val="left"/>
        <w:rPr>
          <w:rFonts w:ascii="宋体" w:hAnsi="宋体" w:cs="楷体"/>
          <w:kern w:val="0"/>
        </w:rPr>
      </w:pPr>
      <w:r>
        <w:rPr>
          <w:rFonts w:hint="eastAsia" w:ascii="宋体" w:hAnsi="宋体" w:cs="楷体"/>
          <w:kern w:val="0"/>
        </w:rPr>
        <w:t xml:space="preserve">本合同一式十份，双方各执五份。由双方法定代表人或授权代理人签署与加盖公章后生效，全部工程竣工验收后失效。 </w:t>
      </w:r>
    </w:p>
    <w:p>
      <w:pPr>
        <w:pStyle w:val="218"/>
        <w:spacing w:line="360" w:lineRule="auto"/>
        <w:jc w:val="left"/>
        <w:rPr>
          <w:rFonts w:ascii="宋体" w:hAnsi="宋体" w:cs="楷体"/>
          <w:kern w:val="0"/>
          <w:szCs w:val="21"/>
        </w:rPr>
      </w:pPr>
      <w:r>
        <w:rPr>
          <w:rFonts w:hint="eastAsia" w:ascii="宋体" w:hAnsi="宋体" w:cs="楷体"/>
          <w:kern w:val="0"/>
          <w:szCs w:val="21"/>
        </w:rPr>
        <w:t xml:space="preserve">发包人：                              承包人：   </w:t>
      </w:r>
    </w:p>
    <w:p>
      <w:pPr>
        <w:pStyle w:val="218"/>
        <w:spacing w:line="360" w:lineRule="auto"/>
        <w:jc w:val="left"/>
        <w:rPr>
          <w:rFonts w:ascii="宋体" w:hAnsi="宋体" w:cs="楷体"/>
          <w:kern w:val="0"/>
          <w:szCs w:val="21"/>
        </w:rPr>
      </w:pPr>
      <w:r>
        <w:rPr>
          <w:rFonts w:hint="eastAsia" w:ascii="宋体" w:hAnsi="宋体" w:cs="楷体"/>
          <w:kern w:val="0"/>
          <w:szCs w:val="21"/>
        </w:rPr>
        <w:t xml:space="preserve"> </w:t>
      </w:r>
    </w:p>
    <w:p>
      <w:pPr>
        <w:pStyle w:val="218"/>
        <w:spacing w:line="360" w:lineRule="auto"/>
        <w:jc w:val="left"/>
        <w:rPr>
          <w:rFonts w:ascii="宋体" w:hAnsi="宋体" w:cs="楷体"/>
          <w:kern w:val="0"/>
          <w:szCs w:val="21"/>
        </w:rPr>
      </w:pPr>
      <w:r>
        <w:rPr>
          <w:rFonts w:hint="eastAsia" w:ascii="宋体" w:hAnsi="宋体" w:cs="楷体"/>
          <w:kern w:val="0"/>
          <w:szCs w:val="21"/>
        </w:rPr>
        <w:t xml:space="preserve"> </w:t>
      </w:r>
    </w:p>
    <w:p>
      <w:pPr>
        <w:pStyle w:val="218"/>
        <w:spacing w:line="360" w:lineRule="auto"/>
        <w:jc w:val="left"/>
        <w:rPr>
          <w:rFonts w:ascii="宋体" w:hAnsi="宋体" w:cs="楷体"/>
          <w:kern w:val="0"/>
          <w:szCs w:val="21"/>
        </w:rPr>
      </w:pPr>
      <w:r>
        <w:rPr>
          <w:rFonts w:hint="eastAsia" w:ascii="宋体" w:hAnsi="宋体" w:cs="楷体"/>
          <w:kern w:val="0"/>
          <w:szCs w:val="21"/>
        </w:rPr>
        <w:t xml:space="preserve"> 法定代表人（授权代表）：             法定代表人（授权代表）：</w:t>
      </w:r>
    </w:p>
    <w:p>
      <w:pPr>
        <w:pStyle w:val="218"/>
        <w:spacing w:line="360" w:lineRule="auto"/>
        <w:ind w:firstLine="513"/>
        <w:jc w:val="left"/>
        <w:rPr>
          <w:rFonts w:ascii="宋体" w:hAnsi="宋体" w:cs="楷体"/>
          <w:kern w:val="0"/>
          <w:szCs w:val="21"/>
        </w:rPr>
      </w:pPr>
      <w:r>
        <w:rPr>
          <w:rFonts w:hint="eastAsia" w:ascii="宋体" w:hAnsi="宋体" w:cs="楷体"/>
          <w:kern w:val="0"/>
          <w:szCs w:val="21"/>
        </w:rPr>
        <w:t xml:space="preserve"> </w:t>
      </w:r>
    </w:p>
    <w:p>
      <w:pPr>
        <w:pStyle w:val="218"/>
        <w:spacing w:line="360" w:lineRule="auto"/>
        <w:ind w:firstLine="513"/>
        <w:jc w:val="left"/>
        <w:rPr>
          <w:rFonts w:ascii="宋体" w:hAnsi="宋体" w:cs="楷体"/>
          <w:kern w:val="0"/>
          <w:szCs w:val="21"/>
        </w:rPr>
      </w:pPr>
      <w:r>
        <w:rPr>
          <w:rFonts w:hint="eastAsia" w:ascii="宋体" w:hAnsi="宋体" w:cs="楷体"/>
          <w:kern w:val="0"/>
          <w:szCs w:val="21"/>
        </w:rPr>
        <w:t xml:space="preserve"> </w:t>
      </w:r>
    </w:p>
    <w:p>
      <w:pPr>
        <w:pStyle w:val="218"/>
        <w:spacing w:line="360" w:lineRule="auto"/>
        <w:jc w:val="left"/>
        <w:rPr>
          <w:rFonts w:ascii="宋体" w:hAnsi="宋体" w:cs="楷体"/>
          <w:kern w:val="0"/>
          <w:szCs w:val="21"/>
        </w:rPr>
      </w:pPr>
      <w:r>
        <w:rPr>
          <w:rFonts w:hint="eastAsia" w:ascii="宋体" w:hAnsi="宋体" w:cs="楷体"/>
          <w:kern w:val="0"/>
          <w:szCs w:val="21"/>
        </w:rPr>
        <w:t>签订时间：    年  月  日            签订时间：    年  月  日</w:t>
      </w:r>
    </w:p>
    <w:p>
      <w:pPr>
        <w:pStyle w:val="214"/>
        <w:rPr>
          <w:rFonts w:hAnsi="宋体" w:cs="黑体"/>
          <w:sz w:val="32"/>
          <w:szCs w:val="32"/>
        </w:rPr>
      </w:pPr>
      <w:r>
        <w:rPr>
          <w:rFonts w:hint="eastAsia" w:cs="黑体"/>
          <w:sz w:val="32"/>
          <w:szCs w:val="32"/>
        </w:rPr>
        <w:t xml:space="preserve"> </w:t>
      </w:r>
    </w:p>
    <w:p>
      <w:pPr>
        <w:widowControl/>
        <w:jc w:val="left"/>
        <w:rPr>
          <w:rFonts w:ascii="黑体" w:hAnsi="黑体" w:eastAsia="黑体"/>
          <w:bCs/>
          <w:color w:val="000000"/>
          <w:kern w:val="44"/>
          <w:sz w:val="24"/>
        </w:rPr>
      </w:pPr>
      <w:r>
        <w:rPr>
          <w:rFonts w:ascii="黑体" w:hAnsi="黑体" w:eastAsia="黑体"/>
          <w:b/>
          <w:bCs/>
          <w:color w:val="000000"/>
          <w:sz w:val="24"/>
        </w:rPr>
        <w:br w:type="page"/>
      </w:r>
    </w:p>
    <w:p>
      <w:pPr>
        <w:pStyle w:val="210"/>
        <w:spacing w:beforeLines="50" w:afterLines="50" w:line="400" w:lineRule="exact"/>
        <w:rPr>
          <w:rFonts w:ascii="黑体" w:hAnsi="宋体" w:eastAsia="黑体" w:cs="Calibri"/>
          <w:b w:val="0"/>
          <w:color w:val="000000"/>
          <w:sz w:val="24"/>
          <w:szCs w:val="24"/>
        </w:rPr>
      </w:pPr>
      <w:r>
        <w:rPr>
          <w:rFonts w:hint="eastAsia" w:ascii="黑体" w:hAnsi="黑体" w:eastAsia="黑体"/>
          <w:b w:val="0"/>
          <w:bCs/>
          <w:color w:val="000000"/>
          <w:sz w:val="24"/>
          <w:szCs w:val="24"/>
        </w:rPr>
        <w:t>附件3   工程资金监管协议格式</w:t>
      </w:r>
    </w:p>
    <w:p>
      <w:pPr>
        <w:pStyle w:val="218"/>
        <w:ind w:firstLine="420" w:firstLineChars="200"/>
        <w:rPr>
          <w:rFonts w:ascii="宋体" w:hAnsi="宋体"/>
          <w:color w:val="000000"/>
          <w:szCs w:val="21"/>
        </w:rPr>
      </w:pPr>
      <w:r>
        <w:rPr>
          <w:rFonts w:hint="eastAsia" w:ascii="宋体" w:hAnsi="宋体"/>
          <w:color w:val="000000"/>
          <w:szCs w:val="21"/>
        </w:rPr>
        <w:t>（发包人与承包人签订合同协议书时应与发包人制订的银行签署工程资金监管协议，工程资金监管协议内容在保证本项目资金有效监管的前提下由三方共同商定）</w:t>
      </w:r>
    </w:p>
    <w:p>
      <w:pPr>
        <w:pStyle w:val="218"/>
        <w:spacing w:before="240" w:after="240"/>
        <w:jc w:val="center"/>
        <w:rPr>
          <w:rFonts w:ascii="黑体" w:hAnsi="宋体" w:eastAsia="黑体"/>
          <w:b/>
          <w:bCs/>
          <w:color w:val="000000"/>
          <w:sz w:val="28"/>
          <w:szCs w:val="28"/>
        </w:rPr>
      </w:pPr>
      <w:r>
        <w:rPr>
          <w:rFonts w:hint="eastAsia" w:ascii="黑体" w:hAnsi="黑体" w:eastAsia="黑体"/>
          <w:b/>
          <w:bCs/>
          <w:color w:val="000000"/>
          <w:sz w:val="28"/>
          <w:szCs w:val="28"/>
        </w:rPr>
        <w:t>工程资金监管协议</w:t>
      </w:r>
    </w:p>
    <w:p>
      <w:pPr>
        <w:pStyle w:val="218"/>
        <w:rPr>
          <w:rFonts w:ascii="宋体" w:hAnsi="宋体"/>
          <w:color w:val="000000"/>
          <w:szCs w:val="21"/>
        </w:rPr>
      </w:pPr>
      <w:r>
        <w:rPr>
          <w:rFonts w:hint="eastAsia" w:ascii="宋体" w:hAnsi="宋体"/>
          <w:color w:val="000000"/>
          <w:szCs w:val="21"/>
        </w:rPr>
        <w:t>发 包 人：</w:t>
      </w:r>
      <w:r>
        <w:rPr>
          <w:rFonts w:hint="eastAsia" w:ascii="宋体" w:hAnsi="宋体"/>
          <w:color w:val="000000"/>
          <w:szCs w:val="21"/>
          <w:u w:val="single"/>
        </w:rPr>
        <w:t xml:space="preserve">              </w:t>
      </w:r>
      <w:r>
        <w:rPr>
          <w:rFonts w:hint="eastAsia" w:ascii="宋体" w:hAnsi="宋体"/>
          <w:color w:val="000000"/>
          <w:szCs w:val="21"/>
        </w:rPr>
        <w:t>（以下简称“甲方”）</w:t>
      </w:r>
    </w:p>
    <w:p>
      <w:pPr>
        <w:pStyle w:val="218"/>
        <w:rPr>
          <w:rFonts w:ascii="宋体" w:hAnsi="宋体"/>
          <w:color w:val="000000"/>
          <w:szCs w:val="21"/>
        </w:rPr>
      </w:pPr>
      <w:r>
        <w:rPr>
          <w:rFonts w:hint="eastAsia" w:ascii="宋体" w:hAnsi="宋体"/>
          <w:color w:val="000000"/>
          <w:szCs w:val="21"/>
        </w:rPr>
        <w:t>承 包 人：</w:t>
      </w:r>
      <w:r>
        <w:rPr>
          <w:rFonts w:hint="eastAsia" w:ascii="宋体" w:hAnsi="宋体"/>
          <w:color w:val="000000"/>
          <w:szCs w:val="21"/>
          <w:u w:val="single"/>
        </w:rPr>
        <w:t xml:space="preserve">              </w:t>
      </w:r>
      <w:r>
        <w:rPr>
          <w:rFonts w:hint="eastAsia" w:ascii="宋体" w:hAnsi="宋体"/>
          <w:color w:val="000000"/>
          <w:szCs w:val="21"/>
        </w:rPr>
        <w:t>（以下简称“乙方”）</w:t>
      </w:r>
    </w:p>
    <w:p>
      <w:pPr>
        <w:pStyle w:val="218"/>
        <w:rPr>
          <w:rFonts w:ascii="宋体" w:hAnsi="宋体"/>
          <w:color w:val="000000"/>
          <w:szCs w:val="21"/>
        </w:rPr>
      </w:pPr>
      <w:r>
        <w:rPr>
          <w:rFonts w:hint="eastAsia" w:ascii="宋体" w:hAnsi="宋体"/>
          <w:color w:val="000000"/>
          <w:szCs w:val="21"/>
        </w:rPr>
        <w:t>经办银行：</w:t>
      </w:r>
      <w:r>
        <w:rPr>
          <w:rFonts w:hint="eastAsia" w:ascii="宋体" w:hAnsi="宋体"/>
          <w:color w:val="000000"/>
          <w:szCs w:val="21"/>
          <w:u w:val="single"/>
        </w:rPr>
        <w:t xml:space="preserve">              </w:t>
      </w:r>
      <w:r>
        <w:rPr>
          <w:rFonts w:hint="eastAsia" w:ascii="宋体" w:hAnsi="宋体"/>
          <w:color w:val="000000"/>
          <w:szCs w:val="21"/>
        </w:rPr>
        <w:t>（以下简称“丙方”）</w:t>
      </w:r>
    </w:p>
    <w:p>
      <w:pPr>
        <w:pStyle w:val="218"/>
        <w:rPr>
          <w:rFonts w:ascii="宋体" w:hAnsi="宋体"/>
          <w:color w:val="000000"/>
          <w:szCs w:val="21"/>
        </w:rPr>
      </w:pPr>
      <w:r>
        <w:rPr>
          <w:rFonts w:hint="eastAsia" w:ascii="宋体" w:hAnsi="宋体"/>
          <w:color w:val="000000"/>
          <w:szCs w:val="21"/>
        </w:rPr>
        <w:t xml:space="preserve"> </w:t>
      </w:r>
    </w:p>
    <w:p>
      <w:pPr>
        <w:pStyle w:val="218"/>
        <w:spacing w:line="380" w:lineRule="exact"/>
        <w:ind w:firstLine="420" w:firstLineChars="200"/>
        <w:rPr>
          <w:rFonts w:ascii="宋体" w:hAnsi="宋体"/>
          <w:color w:val="000000"/>
          <w:szCs w:val="21"/>
        </w:rPr>
      </w:pPr>
      <w:r>
        <w:rPr>
          <w:rFonts w:hint="eastAsia" w:ascii="宋体" w:hAnsi="宋体"/>
          <w:color w:val="000000"/>
          <w:szCs w:val="21"/>
        </w:rPr>
        <w:t>为了促进</w:t>
      </w:r>
      <w:r>
        <w:rPr>
          <w:rFonts w:hint="eastAsia" w:ascii="宋体" w:hAnsi="宋体"/>
          <w:color w:val="000000"/>
          <w:szCs w:val="21"/>
          <w:u w:val="single"/>
        </w:rPr>
        <w:t xml:space="preserve">               </w:t>
      </w:r>
      <w:r>
        <w:rPr>
          <w:rFonts w:hint="eastAsia" w:ascii="宋体" w:hAnsi="宋体"/>
          <w:color w:val="000000"/>
          <w:szCs w:val="21"/>
        </w:rPr>
        <w:t>（项目名称）的顺利实施，管好用好建设资金，确保工程资金专款专用，同时为承包人提供便捷有效的银行业务服务，根据</w:t>
      </w:r>
      <w:r>
        <w:rPr>
          <w:rFonts w:hint="eastAsia" w:ascii="宋体" w:hAnsi="宋体"/>
          <w:color w:val="000000"/>
          <w:szCs w:val="21"/>
          <w:u w:val="single"/>
        </w:rPr>
        <w:t xml:space="preserve">     </w:t>
      </w:r>
      <w:r>
        <w:rPr>
          <w:rFonts w:hint="eastAsia" w:ascii="宋体" w:hAnsi="宋体"/>
          <w:color w:val="000000"/>
          <w:szCs w:val="21"/>
        </w:rPr>
        <w:t>（项目名称）合同条款有关规定，经甲、乙、丙三方协商，达成协议如下：</w:t>
      </w:r>
    </w:p>
    <w:p>
      <w:pPr>
        <w:pStyle w:val="218"/>
        <w:spacing w:line="380" w:lineRule="exact"/>
        <w:ind w:firstLine="420" w:firstLineChars="200"/>
        <w:rPr>
          <w:rFonts w:ascii="宋体" w:hAnsi="宋体"/>
          <w:color w:val="000000"/>
          <w:szCs w:val="21"/>
        </w:rPr>
      </w:pPr>
      <w:r>
        <w:rPr>
          <w:rFonts w:hint="eastAsia" w:ascii="宋体" w:hAnsi="宋体"/>
          <w:color w:val="000000"/>
          <w:szCs w:val="21"/>
        </w:rPr>
        <w:t>1.资金管理的内容</w:t>
      </w:r>
    </w:p>
    <w:p>
      <w:pPr>
        <w:pStyle w:val="218"/>
        <w:spacing w:line="380" w:lineRule="exact"/>
        <w:ind w:firstLine="420" w:firstLineChars="200"/>
        <w:rPr>
          <w:rFonts w:ascii="宋体" w:hAnsi="宋体"/>
          <w:color w:val="000000"/>
          <w:spacing w:val="-6"/>
          <w:szCs w:val="21"/>
        </w:rPr>
      </w:pPr>
      <w:r>
        <w:rPr>
          <w:rFonts w:hint="eastAsia" w:ascii="宋体" w:hAnsi="宋体"/>
          <w:color w:val="000000"/>
          <w:szCs w:val="21"/>
        </w:rPr>
        <w:t>（1）乙方为完成</w:t>
      </w:r>
      <w:r>
        <w:rPr>
          <w:rFonts w:hint="eastAsia" w:ascii="宋体" w:hAnsi="宋体"/>
          <w:color w:val="000000"/>
          <w:szCs w:val="21"/>
          <w:u w:val="single"/>
        </w:rPr>
        <w:t xml:space="preserve">       </w:t>
      </w:r>
      <w:r>
        <w:rPr>
          <w:rFonts w:hint="eastAsia" w:ascii="宋体" w:hAnsi="宋体"/>
          <w:color w:val="000000"/>
          <w:spacing w:val="-6"/>
          <w:szCs w:val="21"/>
        </w:rPr>
        <w:t>（项目名称）工程成立的项目经理部在丙方开设基本结算户；</w:t>
      </w:r>
    </w:p>
    <w:p>
      <w:pPr>
        <w:pStyle w:val="218"/>
        <w:spacing w:line="380" w:lineRule="exact"/>
        <w:ind w:firstLine="420" w:firstLineChars="200"/>
        <w:rPr>
          <w:rFonts w:ascii="宋体" w:hAnsi="宋体"/>
          <w:color w:val="000000"/>
          <w:spacing w:val="-4"/>
          <w:szCs w:val="21"/>
        </w:rPr>
      </w:pPr>
      <w:r>
        <w:rPr>
          <w:rFonts w:hint="eastAsia" w:ascii="宋体" w:hAnsi="宋体"/>
          <w:color w:val="000000"/>
          <w:szCs w:val="21"/>
        </w:rPr>
        <w:t>（2）</w:t>
      </w:r>
      <w:r>
        <w:rPr>
          <w:rFonts w:hint="eastAsia" w:ascii="宋体" w:hAnsi="宋体"/>
          <w:color w:val="000000"/>
          <w:spacing w:val="-4"/>
          <w:szCs w:val="21"/>
        </w:rPr>
        <w:t>甲方应将按合同规定将工程款（质量保证金除外）汇入乙方在丙方开设的账户；</w:t>
      </w:r>
    </w:p>
    <w:p>
      <w:pPr>
        <w:pStyle w:val="218"/>
        <w:spacing w:line="380" w:lineRule="exact"/>
        <w:ind w:firstLine="420" w:firstLineChars="200"/>
        <w:rPr>
          <w:rFonts w:ascii="宋体" w:hAnsi="宋体"/>
          <w:color w:val="000000"/>
          <w:szCs w:val="21"/>
        </w:rPr>
      </w:pPr>
      <w:r>
        <w:rPr>
          <w:rFonts w:hint="eastAsia" w:ascii="宋体" w:hAnsi="宋体"/>
          <w:color w:val="000000"/>
          <w:szCs w:val="21"/>
        </w:rPr>
        <w:t>（3）乙方应将流动资金及甲方所拨付资金专项用于</w:t>
      </w:r>
      <w:r>
        <w:rPr>
          <w:rFonts w:hint="eastAsia" w:ascii="宋体" w:hAnsi="宋体"/>
          <w:color w:val="000000"/>
          <w:szCs w:val="21"/>
          <w:u w:val="single"/>
        </w:rPr>
        <w:t xml:space="preserve">       </w:t>
      </w:r>
      <w:r>
        <w:rPr>
          <w:rFonts w:hint="eastAsia" w:ascii="宋体" w:hAnsi="宋体"/>
          <w:color w:val="000000"/>
          <w:szCs w:val="21"/>
        </w:rPr>
        <w:t>（项目名称）；</w:t>
      </w:r>
    </w:p>
    <w:p>
      <w:pPr>
        <w:pStyle w:val="218"/>
        <w:spacing w:line="380" w:lineRule="exact"/>
        <w:ind w:firstLine="420" w:firstLineChars="200"/>
        <w:rPr>
          <w:rFonts w:ascii="宋体" w:hAnsi="宋体"/>
          <w:color w:val="000000"/>
          <w:szCs w:val="21"/>
        </w:rPr>
      </w:pPr>
      <w:r>
        <w:rPr>
          <w:rFonts w:hint="eastAsia" w:ascii="宋体" w:hAnsi="宋体"/>
          <w:color w:val="000000"/>
          <w:szCs w:val="21"/>
        </w:rPr>
        <w:t>（4）丙方应为乙方提供便捷有效的银行业务服务，并接受甲方委托对乙方在丙方开设的基本结算户资金使用情况进行监督。</w:t>
      </w:r>
    </w:p>
    <w:p>
      <w:pPr>
        <w:pStyle w:val="218"/>
        <w:spacing w:line="380" w:lineRule="exact"/>
        <w:ind w:firstLine="420" w:firstLineChars="200"/>
        <w:rPr>
          <w:rFonts w:ascii="宋体" w:hAnsi="宋体"/>
          <w:color w:val="000000"/>
          <w:szCs w:val="21"/>
        </w:rPr>
      </w:pPr>
      <w:r>
        <w:rPr>
          <w:rFonts w:hint="eastAsia" w:ascii="宋体" w:hAnsi="宋体"/>
          <w:color w:val="000000"/>
          <w:szCs w:val="21"/>
        </w:rPr>
        <w:t>2.甲方的权责</w:t>
      </w:r>
    </w:p>
    <w:p>
      <w:pPr>
        <w:pStyle w:val="218"/>
        <w:spacing w:line="380" w:lineRule="exact"/>
        <w:ind w:firstLine="420" w:firstLineChars="200"/>
        <w:rPr>
          <w:rFonts w:ascii="宋体" w:hAnsi="宋体"/>
          <w:color w:val="000000"/>
          <w:spacing w:val="-4"/>
          <w:szCs w:val="21"/>
        </w:rPr>
      </w:pPr>
      <w:r>
        <w:rPr>
          <w:rFonts w:hint="eastAsia" w:ascii="宋体" w:hAnsi="宋体"/>
          <w:color w:val="000000"/>
          <w:szCs w:val="21"/>
        </w:rPr>
        <w:t>（1）按照</w:t>
      </w:r>
      <w:r>
        <w:rPr>
          <w:rFonts w:hint="eastAsia" w:ascii="宋体" w:hAnsi="宋体"/>
          <w:color w:val="000000"/>
          <w:szCs w:val="21"/>
          <w:u w:val="single"/>
        </w:rPr>
        <w:t xml:space="preserve">       </w:t>
      </w:r>
      <w:r>
        <w:rPr>
          <w:rFonts w:hint="eastAsia" w:ascii="宋体" w:hAnsi="宋体"/>
          <w:color w:val="000000"/>
          <w:szCs w:val="21"/>
        </w:rPr>
        <w:t>（</w:t>
      </w:r>
      <w:r>
        <w:rPr>
          <w:rFonts w:hint="eastAsia" w:ascii="宋体" w:hAnsi="宋体"/>
          <w:color w:val="000000"/>
          <w:spacing w:val="-4"/>
          <w:szCs w:val="21"/>
        </w:rPr>
        <w:t>项目名称）合同有关条款规定的时间和方式，向乙方支付工程款；</w:t>
      </w:r>
    </w:p>
    <w:p>
      <w:pPr>
        <w:pStyle w:val="218"/>
        <w:spacing w:line="380" w:lineRule="exact"/>
        <w:ind w:firstLine="420" w:firstLineChars="200"/>
        <w:rPr>
          <w:rFonts w:ascii="宋体" w:hAnsi="宋体"/>
          <w:color w:val="000000"/>
          <w:szCs w:val="21"/>
        </w:rPr>
      </w:pPr>
      <w:r>
        <w:rPr>
          <w:rFonts w:hint="eastAsia" w:ascii="宋体" w:hAnsi="宋体"/>
          <w:color w:val="000000"/>
          <w:szCs w:val="21"/>
        </w:rPr>
        <w:t>（2）在发现乙方将本项目资金挪用、转移时，甲方有权中止工程支付，直至乙方改正为止；</w:t>
      </w:r>
    </w:p>
    <w:p>
      <w:pPr>
        <w:pStyle w:val="218"/>
        <w:spacing w:line="380" w:lineRule="exact"/>
        <w:ind w:firstLine="420" w:firstLineChars="200"/>
        <w:rPr>
          <w:rFonts w:ascii="宋体" w:hAnsi="宋体"/>
          <w:color w:val="000000"/>
          <w:szCs w:val="21"/>
        </w:rPr>
      </w:pPr>
      <w:r>
        <w:rPr>
          <w:rFonts w:hint="eastAsia" w:ascii="宋体" w:hAnsi="宋体"/>
          <w:color w:val="000000"/>
          <w:szCs w:val="21"/>
        </w:rPr>
        <w:t>（3）不定期审查丙方对乙方的资金使用监督情况，如丙方不能履行其责任，甲方有权随时终止本协议；</w:t>
      </w:r>
    </w:p>
    <w:p>
      <w:pPr>
        <w:pStyle w:val="218"/>
        <w:spacing w:line="380" w:lineRule="exact"/>
        <w:ind w:firstLine="420" w:firstLineChars="200"/>
        <w:rPr>
          <w:rFonts w:ascii="宋体" w:hAnsi="宋体"/>
          <w:color w:val="000000"/>
          <w:szCs w:val="21"/>
        </w:rPr>
      </w:pPr>
      <w:r>
        <w:rPr>
          <w:rFonts w:hint="eastAsia" w:ascii="宋体" w:hAnsi="宋体"/>
          <w:color w:val="000000"/>
          <w:szCs w:val="21"/>
        </w:rPr>
        <w:t>（4）在乙、丙双方发生争议时，甲方应负责协调、解决。</w:t>
      </w:r>
    </w:p>
    <w:p>
      <w:pPr>
        <w:pStyle w:val="218"/>
        <w:spacing w:line="380" w:lineRule="exact"/>
        <w:ind w:firstLine="420" w:firstLineChars="200"/>
        <w:rPr>
          <w:rFonts w:ascii="宋体" w:hAnsi="宋体"/>
          <w:color w:val="000000"/>
          <w:szCs w:val="21"/>
        </w:rPr>
      </w:pPr>
      <w:r>
        <w:rPr>
          <w:rFonts w:hint="eastAsia" w:ascii="宋体" w:hAnsi="宋体"/>
          <w:color w:val="000000"/>
          <w:szCs w:val="21"/>
        </w:rPr>
        <w:t>3.乙方的权责</w:t>
      </w:r>
    </w:p>
    <w:p>
      <w:pPr>
        <w:pStyle w:val="218"/>
        <w:spacing w:line="380" w:lineRule="exact"/>
        <w:ind w:firstLine="420" w:firstLineChars="200"/>
        <w:rPr>
          <w:rFonts w:ascii="宋体" w:hAnsi="宋体"/>
          <w:color w:val="000000"/>
          <w:szCs w:val="21"/>
        </w:rPr>
      </w:pPr>
      <w:r>
        <w:rPr>
          <w:rFonts w:hint="eastAsia" w:ascii="宋体" w:hAnsi="宋体"/>
          <w:color w:val="000000"/>
          <w:szCs w:val="21"/>
        </w:rPr>
        <w:t>（1）项目经理部成立以后，乙方应尽快在丙方开设基本结算户；</w:t>
      </w:r>
    </w:p>
    <w:p>
      <w:pPr>
        <w:pStyle w:val="218"/>
        <w:spacing w:line="380" w:lineRule="exact"/>
        <w:ind w:firstLine="420" w:firstLineChars="200"/>
        <w:rPr>
          <w:rFonts w:ascii="宋体" w:hAnsi="宋体"/>
          <w:color w:val="000000"/>
          <w:szCs w:val="21"/>
        </w:rPr>
      </w:pPr>
      <w:r>
        <w:rPr>
          <w:rFonts w:hint="eastAsia" w:ascii="宋体" w:hAnsi="宋体"/>
          <w:color w:val="000000"/>
          <w:szCs w:val="21"/>
        </w:rPr>
        <w:t>（2）确保本项目资金专款专用，不发生挪用、转移资金的现象；保证不通过权益转让、抵押、担保承担债务等任何其他方式使用基本结算户的资金；</w:t>
      </w:r>
    </w:p>
    <w:p>
      <w:pPr>
        <w:pStyle w:val="218"/>
        <w:spacing w:line="380" w:lineRule="exact"/>
        <w:ind w:firstLine="420" w:firstLineChars="200"/>
        <w:rPr>
          <w:rFonts w:ascii="宋体" w:hAnsi="宋体"/>
          <w:color w:val="000000"/>
          <w:szCs w:val="21"/>
        </w:rPr>
      </w:pPr>
      <w:r>
        <w:rPr>
          <w:rFonts w:hint="eastAsia" w:ascii="宋体" w:hAnsi="宋体"/>
          <w:color w:val="000000"/>
          <w:szCs w:val="21"/>
        </w:rPr>
        <w:t>（3）办理材料、设备等采购业务金额在</w:t>
      </w:r>
      <w:r>
        <w:rPr>
          <w:rFonts w:hint="eastAsia" w:ascii="宋体" w:hAnsi="宋体"/>
          <w:color w:val="000000"/>
          <w:szCs w:val="21"/>
          <w:u w:val="single"/>
        </w:rPr>
        <w:t xml:space="preserve">     </w:t>
      </w:r>
      <w:r>
        <w:rPr>
          <w:rFonts w:hint="eastAsia" w:ascii="宋体" w:hAnsi="宋体"/>
          <w:color w:val="000000"/>
          <w:szCs w:val="21"/>
        </w:rPr>
        <w:t>万元以上的，应出示购货合同、协议和发票；在办理总额超过</w:t>
      </w:r>
      <w:r>
        <w:rPr>
          <w:rFonts w:hint="eastAsia" w:ascii="宋体" w:hAnsi="宋体"/>
          <w:color w:val="000000"/>
          <w:szCs w:val="21"/>
          <w:u w:val="single"/>
        </w:rPr>
        <w:t xml:space="preserve">     </w:t>
      </w:r>
      <w:r>
        <w:rPr>
          <w:rFonts w:hint="eastAsia" w:ascii="宋体" w:hAnsi="宋体"/>
          <w:color w:val="000000"/>
          <w:szCs w:val="21"/>
        </w:rPr>
        <w:t>万元以上的采购业务时，应将合同、协议和发票复印件送丙方备案；购买应急材料、设备时可先办理支付手续，但事后必须补备有关资料；</w:t>
      </w:r>
    </w:p>
    <w:p>
      <w:pPr>
        <w:pStyle w:val="218"/>
        <w:spacing w:line="380" w:lineRule="exact"/>
        <w:ind w:firstLine="420" w:firstLineChars="200"/>
        <w:rPr>
          <w:rFonts w:ascii="宋体" w:hAnsi="宋体"/>
          <w:color w:val="000000"/>
          <w:szCs w:val="21"/>
        </w:rPr>
      </w:pPr>
      <w:r>
        <w:rPr>
          <w:rFonts w:hint="eastAsia" w:ascii="宋体" w:hAnsi="宋体"/>
          <w:color w:val="000000"/>
          <w:szCs w:val="21"/>
        </w:rPr>
        <w:t>（4）用银行转账支票办理支付款项时，必须将转账支票送交丙方，由丙方负责办理支票转付手续；</w:t>
      </w:r>
    </w:p>
    <w:p>
      <w:pPr>
        <w:pStyle w:val="218"/>
        <w:spacing w:line="380" w:lineRule="exact"/>
        <w:ind w:firstLine="420" w:firstLineChars="200"/>
        <w:rPr>
          <w:rFonts w:ascii="宋体" w:hAnsi="宋体"/>
          <w:color w:val="000000"/>
          <w:szCs w:val="21"/>
        </w:rPr>
      </w:pPr>
      <w:r>
        <w:rPr>
          <w:rFonts w:hint="eastAsia" w:ascii="宋体" w:hAnsi="宋体"/>
          <w:color w:val="000000"/>
          <w:szCs w:val="21"/>
        </w:rPr>
        <w:t>（5）向分包单位支付工程进度款时，应附甲方批准分包的文件；</w:t>
      </w:r>
    </w:p>
    <w:p>
      <w:pPr>
        <w:pStyle w:val="218"/>
        <w:spacing w:line="380" w:lineRule="exact"/>
        <w:ind w:firstLine="420" w:firstLineChars="200"/>
        <w:rPr>
          <w:rFonts w:ascii="宋体" w:hAnsi="宋体"/>
          <w:color w:val="000000"/>
          <w:szCs w:val="21"/>
        </w:rPr>
      </w:pPr>
      <w:r>
        <w:rPr>
          <w:rFonts w:hint="eastAsia" w:ascii="宋体" w:hAnsi="宋体"/>
          <w:color w:val="000000"/>
          <w:szCs w:val="21"/>
        </w:rPr>
        <w:t>（6）向上级单位缴纳管理费、机械设备及周转材料租赁摊销费等款项时，应附上级单位出具的转账通知等有关资料，以确保资金专款专用。</w:t>
      </w:r>
    </w:p>
    <w:p>
      <w:pPr>
        <w:pStyle w:val="218"/>
        <w:spacing w:line="380" w:lineRule="exact"/>
        <w:ind w:firstLine="420" w:firstLineChars="200"/>
        <w:rPr>
          <w:rFonts w:ascii="宋体" w:hAnsi="宋体"/>
          <w:color w:val="000000"/>
          <w:szCs w:val="21"/>
        </w:rPr>
      </w:pPr>
      <w:r>
        <w:rPr>
          <w:rFonts w:hint="eastAsia" w:ascii="宋体" w:hAnsi="宋体"/>
          <w:color w:val="000000"/>
          <w:szCs w:val="21"/>
        </w:rPr>
        <w:t>4.丙方的权责</w:t>
      </w:r>
    </w:p>
    <w:p>
      <w:pPr>
        <w:pStyle w:val="218"/>
        <w:spacing w:line="380" w:lineRule="exact"/>
        <w:ind w:firstLine="420" w:firstLineChars="200"/>
        <w:rPr>
          <w:rFonts w:ascii="宋体" w:hAnsi="宋体"/>
          <w:color w:val="000000"/>
          <w:szCs w:val="21"/>
        </w:rPr>
      </w:pPr>
      <w:r>
        <w:rPr>
          <w:rFonts w:hint="eastAsia" w:ascii="宋体" w:hAnsi="宋体"/>
          <w:color w:val="000000"/>
          <w:szCs w:val="21"/>
        </w:rPr>
        <w:t>（1）成立</w:t>
      </w:r>
      <w:r>
        <w:rPr>
          <w:rFonts w:hint="eastAsia" w:ascii="宋体" w:hAnsi="宋体"/>
          <w:color w:val="000000"/>
          <w:szCs w:val="21"/>
          <w:u w:val="single"/>
        </w:rPr>
        <w:t xml:space="preserve">      </w:t>
      </w:r>
      <w:r>
        <w:rPr>
          <w:rFonts w:hint="eastAsia" w:ascii="宋体" w:hAnsi="宋体"/>
          <w:color w:val="000000"/>
          <w:szCs w:val="21"/>
        </w:rPr>
        <w:t>（项目名称）工程资金管理服务小组，明确业务流程，提高工作效率，杜绝“压票”现象；</w:t>
      </w:r>
    </w:p>
    <w:p>
      <w:pPr>
        <w:pStyle w:val="218"/>
        <w:spacing w:line="380" w:lineRule="exact"/>
        <w:ind w:firstLine="420" w:firstLineChars="200"/>
        <w:rPr>
          <w:rFonts w:ascii="宋体" w:hAnsi="宋体"/>
          <w:color w:val="000000"/>
          <w:szCs w:val="21"/>
        </w:rPr>
      </w:pPr>
      <w:r>
        <w:rPr>
          <w:rFonts w:hint="eastAsia" w:ascii="宋体" w:hAnsi="宋体"/>
          <w:color w:val="000000"/>
          <w:szCs w:val="21"/>
        </w:rPr>
        <w:t>（2）根据乙方提供的购货合同、协议和发票，检查其所购材料、设备是否用于（项目名称）工程建设，对本标段以外的购货款项，有权拒绝办理，并及时报告甲方；</w:t>
      </w:r>
    </w:p>
    <w:p>
      <w:pPr>
        <w:pStyle w:val="218"/>
        <w:spacing w:line="380" w:lineRule="exact"/>
        <w:ind w:firstLine="420" w:firstLineChars="200"/>
        <w:rPr>
          <w:rFonts w:ascii="宋体" w:hAnsi="宋体"/>
          <w:color w:val="000000"/>
          <w:szCs w:val="21"/>
        </w:rPr>
      </w:pPr>
      <w:r>
        <w:rPr>
          <w:rFonts w:hint="eastAsia" w:ascii="宋体" w:hAnsi="宋体"/>
          <w:color w:val="000000"/>
          <w:szCs w:val="21"/>
        </w:rPr>
        <w:t>（3）根据乙方与分包单位签订的合同及支付文件，检查其支付款项是否符合有关条件，向分包单位以外单位的支付有权拒绝办理，并及时报告甲方；</w:t>
      </w:r>
    </w:p>
    <w:p>
      <w:pPr>
        <w:pStyle w:val="218"/>
        <w:spacing w:line="380" w:lineRule="exact"/>
        <w:ind w:firstLine="420" w:firstLineChars="200"/>
        <w:rPr>
          <w:rFonts w:ascii="宋体" w:hAnsi="宋体"/>
          <w:color w:val="000000"/>
          <w:szCs w:val="21"/>
        </w:rPr>
      </w:pPr>
      <w:r>
        <w:rPr>
          <w:rFonts w:hint="eastAsia" w:ascii="宋体" w:hAnsi="宋体"/>
          <w:color w:val="000000"/>
          <w:szCs w:val="21"/>
        </w:rPr>
        <w:t>（4）根据乙方提供的上级单位出具的转账通知等有关资料，办理管理费、机械设备及周转材料租赁摊销费等款项的支付；对超出转账通知等有关资料以外的支付，有权拒绝办理，并及时转告甲方；</w:t>
      </w:r>
    </w:p>
    <w:p>
      <w:pPr>
        <w:pStyle w:val="218"/>
        <w:spacing w:line="380" w:lineRule="exact"/>
        <w:ind w:firstLine="420" w:firstLineChars="200"/>
        <w:rPr>
          <w:rFonts w:ascii="宋体" w:hAnsi="宋体"/>
          <w:color w:val="000000"/>
          <w:szCs w:val="21"/>
        </w:rPr>
      </w:pPr>
      <w:r>
        <w:rPr>
          <w:rFonts w:hint="eastAsia" w:ascii="宋体" w:hAnsi="宋体"/>
          <w:color w:val="000000"/>
          <w:szCs w:val="21"/>
        </w:rPr>
        <w:t>（5）定期将乙方前一个周期的支付情况，整理后书面报送甲方；乙方复印备案的材料一并送甲方。</w:t>
      </w:r>
    </w:p>
    <w:p>
      <w:pPr>
        <w:pStyle w:val="218"/>
        <w:spacing w:line="380" w:lineRule="exact"/>
        <w:ind w:firstLine="420" w:firstLineChars="200"/>
        <w:rPr>
          <w:rFonts w:ascii="宋体" w:hAnsi="宋体"/>
          <w:color w:val="000000"/>
          <w:szCs w:val="21"/>
        </w:rPr>
      </w:pPr>
      <w:r>
        <w:rPr>
          <w:rFonts w:hint="eastAsia" w:ascii="宋体" w:hAnsi="宋体"/>
          <w:color w:val="000000"/>
          <w:szCs w:val="21"/>
        </w:rPr>
        <w:t>5.甲、乙、丙三方都应履行保密责任，不得将其他两方的业务情况透露给三方以外的其他单位或个人。</w:t>
      </w:r>
    </w:p>
    <w:p>
      <w:pPr>
        <w:pStyle w:val="218"/>
        <w:spacing w:line="380" w:lineRule="exact"/>
        <w:ind w:firstLine="420" w:firstLineChars="200"/>
        <w:rPr>
          <w:rFonts w:ascii="宋体" w:hAnsi="宋体"/>
          <w:color w:val="000000"/>
          <w:szCs w:val="21"/>
        </w:rPr>
      </w:pPr>
      <w:r>
        <w:rPr>
          <w:rFonts w:hint="eastAsia" w:ascii="宋体" w:hAnsi="宋体"/>
          <w:color w:val="000000"/>
          <w:szCs w:val="21"/>
        </w:rPr>
        <w:t>6.本协议有效期自乙方在丙方开户起，至工程交工验收甲方向乙方颁发交工验收证书后结束。</w:t>
      </w:r>
    </w:p>
    <w:p>
      <w:pPr>
        <w:pStyle w:val="218"/>
        <w:spacing w:line="380" w:lineRule="exact"/>
        <w:ind w:firstLine="420" w:firstLineChars="200"/>
        <w:rPr>
          <w:rFonts w:ascii="宋体" w:hAnsi="宋体"/>
          <w:color w:val="000000"/>
          <w:szCs w:val="21"/>
        </w:rPr>
      </w:pPr>
      <w:r>
        <w:rPr>
          <w:rFonts w:hint="eastAsia" w:ascii="宋体" w:hAnsi="宋体"/>
          <w:color w:val="000000"/>
          <w:szCs w:val="21"/>
        </w:rPr>
        <w:t>7.本协议未尽事宜，由甲方牵头，三方协商解决。</w:t>
      </w:r>
    </w:p>
    <w:p>
      <w:pPr>
        <w:pStyle w:val="218"/>
        <w:spacing w:line="380" w:lineRule="exact"/>
        <w:ind w:firstLine="420" w:firstLineChars="200"/>
        <w:rPr>
          <w:rFonts w:ascii="宋体" w:hAnsi="宋体"/>
          <w:color w:val="000000"/>
          <w:szCs w:val="21"/>
        </w:rPr>
      </w:pPr>
      <w:r>
        <w:rPr>
          <w:rFonts w:hint="eastAsia" w:ascii="宋体" w:hAnsi="宋体"/>
          <w:color w:val="000000"/>
          <w:szCs w:val="21"/>
        </w:rPr>
        <w:t>8.本协议正本三份、副本</w:t>
      </w:r>
      <w:r>
        <w:rPr>
          <w:rFonts w:hint="eastAsia" w:ascii="宋体" w:hAnsi="宋体"/>
          <w:color w:val="000000"/>
          <w:szCs w:val="21"/>
          <w:u w:val="single"/>
        </w:rPr>
        <w:t xml:space="preserve">   </w:t>
      </w:r>
      <w:r>
        <w:rPr>
          <w:rFonts w:hint="eastAsia" w:ascii="宋体" w:hAnsi="宋体"/>
          <w:color w:val="000000"/>
          <w:szCs w:val="21"/>
        </w:rPr>
        <w:t>份。合同三方各执正本一份、副本</w:t>
      </w:r>
      <w:r>
        <w:rPr>
          <w:rFonts w:hint="eastAsia" w:ascii="宋体" w:hAnsi="宋体"/>
          <w:color w:val="000000"/>
          <w:szCs w:val="21"/>
          <w:u w:val="single"/>
        </w:rPr>
        <w:t xml:space="preserve">    </w:t>
      </w:r>
      <w:r>
        <w:rPr>
          <w:rFonts w:hint="eastAsia" w:ascii="宋体" w:hAnsi="宋体"/>
          <w:color w:val="000000"/>
          <w:szCs w:val="21"/>
        </w:rPr>
        <w:t>份，当正本与副本内容不一致时，以正本为准。</w:t>
      </w:r>
    </w:p>
    <w:p>
      <w:pPr>
        <w:pStyle w:val="218"/>
        <w:spacing w:line="400" w:lineRule="exact"/>
        <w:ind w:firstLine="420" w:firstLineChars="200"/>
        <w:rPr>
          <w:rFonts w:hint="eastAsia" w:ascii="宋体" w:hAnsi="宋体"/>
          <w:color w:val="000000"/>
          <w:szCs w:val="21"/>
        </w:rPr>
      </w:pPr>
    </w:p>
    <w:p>
      <w:pPr>
        <w:pStyle w:val="218"/>
        <w:spacing w:line="400" w:lineRule="exact"/>
        <w:ind w:firstLine="420" w:firstLineChars="200"/>
        <w:rPr>
          <w:rFonts w:ascii="宋体" w:hAnsi="宋体"/>
          <w:color w:val="000000"/>
          <w:szCs w:val="21"/>
        </w:rPr>
      </w:pPr>
      <w:r>
        <w:rPr>
          <w:rFonts w:hint="eastAsia" w:ascii="宋体" w:hAnsi="宋体"/>
          <w:color w:val="000000"/>
          <w:szCs w:val="21"/>
        </w:rPr>
        <w:t xml:space="preserve"> 发包人：</w:t>
      </w:r>
      <w:r>
        <w:rPr>
          <w:rFonts w:hint="eastAsia" w:ascii="宋体" w:hAnsi="宋体"/>
          <w:color w:val="000000"/>
          <w:szCs w:val="21"/>
          <w:u w:val="single"/>
        </w:rPr>
        <w:t xml:space="preserve">                      </w:t>
      </w:r>
      <w:r>
        <w:rPr>
          <w:rFonts w:hint="eastAsia" w:ascii="宋体" w:hAnsi="宋体"/>
          <w:color w:val="000000"/>
          <w:szCs w:val="21"/>
        </w:rPr>
        <w:t>（盖单位章）</w:t>
      </w:r>
    </w:p>
    <w:p>
      <w:pPr>
        <w:pStyle w:val="218"/>
        <w:spacing w:line="360" w:lineRule="exact"/>
        <w:ind w:firstLine="465"/>
        <w:jc w:val="left"/>
        <w:rPr>
          <w:rFonts w:ascii="宋体" w:hAnsi="宋体"/>
          <w:color w:val="000000"/>
          <w:szCs w:val="21"/>
        </w:rPr>
      </w:pPr>
      <w:r>
        <w:rPr>
          <w:rFonts w:hint="eastAsia" w:ascii="宋体" w:hAnsi="宋体"/>
          <w:color w:val="000000"/>
          <w:szCs w:val="21"/>
        </w:rPr>
        <w:t>法定人或代表其委托代理人：</w:t>
      </w:r>
      <w:r>
        <w:rPr>
          <w:rFonts w:hint="eastAsia" w:ascii="宋体" w:hAnsi="宋体"/>
          <w:color w:val="000000"/>
          <w:szCs w:val="21"/>
          <w:u w:val="single"/>
        </w:rPr>
        <w:t xml:space="preserve">        </w:t>
      </w:r>
      <w:r>
        <w:rPr>
          <w:rFonts w:hint="eastAsia" w:ascii="宋体" w:hAnsi="宋体"/>
          <w:color w:val="000000"/>
          <w:szCs w:val="21"/>
        </w:rPr>
        <w:t>（签字）</w:t>
      </w:r>
    </w:p>
    <w:p>
      <w:pPr>
        <w:pStyle w:val="218"/>
        <w:spacing w:line="360" w:lineRule="exact"/>
        <w:ind w:firstLine="465"/>
        <w:jc w:val="left"/>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pStyle w:val="218"/>
        <w:spacing w:line="360" w:lineRule="exact"/>
        <w:jc w:val="right"/>
        <w:rPr>
          <w:rFonts w:ascii="宋体" w:hAnsi="宋体"/>
          <w:color w:val="000000"/>
          <w:szCs w:val="21"/>
        </w:rPr>
      </w:pPr>
      <w:r>
        <w:rPr>
          <w:rFonts w:hint="eastAsia" w:ascii="宋体" w:hAnsi="宋体"/>
          <w:color w:val="000000"/>
          <w:szCs w:val="21"/>
        </w:rPr>
        <w:t xml:space="preserve">                              </w:t>
      </w:r>
    </w:p>
    <w:p>
      <w:pPr>
        <w:pStyle w:val="218"/>
        <w:spacing w:line="360" w:lineRule="exact"/>
        <w:ind w:firstLine="465"/>
        <w:jc w:val="both"/>
        <w:rPr>
          <w:rFonts w:ascii="宋体" w:hAnsi="宋体"/>
          <w:color w:val="000000"/>
          <w:szCs w:val="21"/>
        </w:rPr>
      </w:pPr>
      <w:r>
        <w:rPr>
          <w:rFonts w:hint="eastAsia" w:ascii="宋体" w:hAnsi="宋体"/>
          <w:color w:val="000000"/>
          <w:szCs w:val="21"/>
        </w:rPr>
        <w:t>承包人：</w:t>
      </w:r>
      <w:r>
        <w:rPr>
          <w:rFonts w:hint="eastAsia" w:ascii="宋体" w:hAnsi="宋体"/>
          <w:color w:val="000000"/>
          <w:szCs w:val="21"/>
          <w:u w:val="single"/>
        </w:rPr>
        <w:t xml:space="preserve">                      </w:t>
      </w:r>
      <w:r>
        <w:rPr>
          <w:rFonts w:hint="eastAsia" w:ascii="宋体" w:hAnsi="宋体"/>
          <w:color w:val="000000"/>
          <w:szCs w:val="21"/>
        </w:rPr>
        <w:t>（盖单位章）</w:t>
      </w:r>
    </w:p>
    <w:p>
      <w:pPr>
        <w:pStyle w:val="218"/>
        <w:spacing w:line="360" w:lineRule="exact"/>
        <w:ind w:firstLine="465"/>
        <w:jc w:val="left"/>
        <w:rPr>
          <w:rFonts w:ascii="宋体" w:hAnsi="宋体"/>
          <w:color w:val="000000"/>
          <w:szCs w:val="21"/>
        </w:rPr>
      </w:pPr>
      <w:r>
        <w:rPr>
          <w:rFonts w:hint="eastAsia" w:ascii="宋体" w:hAnsi="宋体"/>
          <w:color w:val="000000"/>
          <w:szCs w:val="21"/>
        </w:rPr>
        <w:t>法定人或代表其委托代理人：</w:t>
      </w:r>
      <w:r>
        <w:rPr>
          <w:rFonts w:hint="eastAsia" w:ascii="宋体" w:hAnsi="宋体"/>
          <w:color w:val="000000"/>
          <w:szCs w:val="21"/>
          <w:u w:val="single"/>
        </w:rPr>
        <w:t xml:space="preserve">        </w:t>
      </w:r>
      <w:r>
        <w:rPr>
          <w:rFonts w:hint="eastAsia" w:ascii="宋体" w:hAnsi="宋体"/>
          <w:color w:val="000000"/>
          <w:szCs w:val="21"/>
        </w:rPr>
        <w:t>（签字）</w:t>
      </w:r>
    </w:p>
    <w:p>
      <w:pPr>
        <w:pStyle w:val="218"/>
        <w:spacing w:line="360" w:lineRule="exact"/>
        <w:ind w:firstLine="465"/>
        <w:jc w:val="left"/>
        <w:rPr>
          <w:rFonts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pStyle w:val="218"/>
        <w:spacing w:line="360" w:lineRule="exact"/>
        <w:jc w:val="right"/>
        <w:rPr>
          <w:rFonts w:ascii="宋体" w:hAnsi="宋体"/>
          <w:color w:val="000000"/>
          <w:szCs w:val="21"/>
        </w:rPr>
      </w:pPr>
      <w:r>
        <w:rPr>
          <w:rFonts w:hint="eastAsia" w:ascii="宋体" w:hAnsi="宋体"/>
          <w:color w:val="000000"/>
          <w:szCs w:val="21"/>
        </w:rPr>
        <w:t xml:space="preserve"> </w:t>
      </w:r>
    </w:p>
    <w:p>
      <w:pPr>
        <w:pStyle w:val="218"/>
        <w:spacing w:line="360" w:lineRule="exact"/>
        <w:ind w:firstLine="465"/>
        <w:jc w:val="left"/>
        <w:rPr>
          <w:rFonts w:ascii="宋体" w:hAnsi="宋体"/>
          <w:color w:val="000000"/>
          <w:szCs w:val="21"/>
        </w:rPr>
      </w:pPr>
      <w:r>
        <w:rPr>
          <w:rFonts w:hint="eastAsia" w:ascii="宋体" w:hAnsi="宋体"/>
          <w:color w:val="000000"/>
          <w:szCs w:val="21"/>
        </w:rPr>
        <w:t>经办银行：</w:t>
      </w:r>
      <w:r>
        <w:rPr>
          <w:rFonts w:hint="eastAsia" w:ascii="宋体" w:hAnsi="宋体"/>
          <w:color w:val="000000"/>
          <w:szCs w:val="21"/>
          <w:u w:val="single"/>
        </w:rPr>
        <w:t xml:space="preserve">                    </w:t>
      </w:r>
      <w:r>
        <w:rPr>
          <w:rFonts w:hint="eastAsia" w:ascii="宋体" w:hAnsi="宋体"/>
          <w:color w:val="000000"/>
          <w:szCs w:val="21"/>
        </w:rPr>
        <w:t>（盖单位章）</w:t>
      </w:r>
    </w:p>
    <w:p>
      <w:pPr>
        <w:pStyle w:val="218"/>
        <w:spacing w:line="360" w:lineRule="exact"/>
        <w:ind w:firstLine="465"/>
        <w:jc w:val="both"/>
        <w:rPr>
          <w:rFonts w:ascii="宋体" w:hAnsi="宋体"/>
          <w:color w:val="000000"/>
          <w:szCs w:val="21"/>
        </w:rPr>
      </w:pPr>
      <w:r>
        <w:rPr>
          <w:rFonts w:hint="eastAsia" w:ascii="宋体" w:hAnsi="宋体"/>
          <w:color w:val="000000"/>
          <w:szCs w:val="21"/>
        </w:rPr>
        <w:t>法定人或代表其委托代理人：</w:t>
      </w:r>
      <w:r>
        <w:rPr>
          <w:rFonts w:hint="eastAsia" w:ascii="宋体" w:hAnsi="宋体"/>
          <w:color w:val="000000"/>
          <w:szCs w:val="21"/>
          <w:u w:val="single"/>
        </w:rPr>
        <w:t xml:space="preserve">        </w:t>
      </w:r>
      <w:r>
        <w:rPr>
          <w:rFonts w:hint="eastAsia" w:ascii="宋体" w:hAnsi="宋体"/>
          <w:color w:val="000000"/>
          <w:szCs w:val="21"/>
        </w:rPr>
        <w:t>（签字）</w:t>
      </w:r>
    </w:p>
    <w:p>
      <w:pPr>
        <w:pStyle w:val="218"/>
        <w:spacing w:line="360" w:lineRule="exact"/>
        <w:ind w:firstLine="465"/>
        <w:jc w:val="both"/>
        <w:rPr>
          <w:rFonts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400" w:lineRule="exact"/>
        <w:rPr>
          <w:rFonts w:ascii="黑体" w:eastAsia="黑体"/>
          <w:color w:val="000000"/>
          <w:sz w:val="32"/>
          <w:szCs w:val="32"/>
        </w:rPr>
      </w:pPr>
      <w:r>
        <w:rPr>
          <w:rFonts w:hint="eastAsia" w:ascii="黑体" w:eastAsia="黑体"/>
          <w:color w:val="000000"/>
          <w:sz w:val="32"/>
          <w:szCs w:val="32"/>
        </w:rPr>
        <w:br w:type="page"/>
      </w:r>
      <w:r>
        <w:rPr>
          <w:rFonts w:hint="eastAsia" w:ascii="黑体" w:eastAsia="黑体"/>
          <w:color w:val="000000"/>
          <w:sz w:val="32"/>
          <w:szCs w:val="32"/>
        </w:rPr>
        <w:t>附件4                工程质量责任合同</w:t>
      </w:r>
    </w:p>
    <w:p>
      <w:pPr>
        <w:rPr>
          <w:color w:val="000000"/>
        </w:rPr>
      </w:pPr>
    </w:p>
    <w:p>
      <w:pPr>
        <w:spacing w:line="420" w:lineRule="exact"/>
        <w:ind w:firstLine="420" w:firstLineChars="200"/>
        <w:rPr>
          <w:rFonts w:ascii="宋体" w:hAnsi="宋体"/>
          <w:color w:val="000000"/>
          <w:szCs w:val="21"/>
        </w:rPr>
      </w:pPr>
      <w:r>
        <w:rPr>
          <w:rFonts w:hint="eastAsia" w:ascii="宋体" w:hAnsi="宋体"/>
          <w:color w:val="000000"/>
          <w:szCs w:val="21"/>
        </w:rPr>
        <w:t>根据国务院《建设工程质量管理条例》，为保证在设计使用年限内建设工程质量，</w:t>
      </w:r>
      <w:r>
        <w:rPr>
          <w:rFonts w:hint="eastAsia" w:ascii="宋体" w:hAnsi="宋体"/>
          <w:color w:val="000000"/>
          <w:szCs w:val="21"/>
          <w:u w:val="single"/>
        </w:rPr>
        <w:t xml:space="preserve">        </w:t>
      </w:r>
      <w:r>
        <w:rPr>
          <w:rFonts w:hint="eastAsia" w:ascii="宋体" w:hAnsi="宋体"/>
          <w:color w:val="000000"/>
          <w:szCs w:val="21"/>
        </w:rPr>
        <w:t xml:space="preserve">项目的发包人 </w:t>
      </w:r>
      <w:r>
        <w:rPr>
          <w:rFonts w:hint="eastAsia" w:ascii="宋体" w:hAnsi="宋体"/>
          <w:color w:val="000000"/>
          <w:szCs w:val="21"/>
          <w:u w:val="single"/>
        </w:rPr>
        <w:t xml:space="preserve">                </w:t>
      </w:r>
      <w:r>
        <w:rPr>
          <w:rFonts w:hint="eastAsia" w:ascii="宋体" w:hAnsi="宋体"/>
          <w:color w:val="000000"/>
          <w:szCs w:val="21"/>
        </w:rPr>
        <w:t xml:space="preserve">（以下称甲方）与承包人 </w:t>
      </w:r>
      <w:r>
        <w:rPr>
          <w:rFonts w:hint="eastAsia" w:ascii="宋体" w:hAnsi="宋体"/>
          <w:color w:val="000000"/>
          <w:szCs w:val="21"/>
          <w:u w:val="single"/>
        </w:rPr>
        <w:t xml:space="preserve">               </w:t>
      </w:r>
      <w:r>
        <w:rPr>
          <w:rFonts w:hint="eastAsia" w:ascii="宋体" w:hAnsi="宋体"/>
          <w:color w:val="000000"/>
          <w:szCs w:val="21"/>
        </w:rPr>
        <w:t>（以下称乙方），特订立如下质量责任合同。</w:t>
      </w:r>
    </w:p>
    <w:p>
      <w:pPr>
        <w:spacing w:line="420" w:lineRule="exact"/>
        <w:ind w:firstLine="420" w:firstLineChars="200"/>
        <w:rPr>
          <w:rFonts w:ascii="宋体" w:hAnsi="宋体"/>
          <w:color w:val="000000"/>
          <w:szCs w:val="21"/>
        </w:rPr>
      </w:pPr>
      <w:r>
        <w:rPr>
          <w:rFonts w:hint="eastAsia" w:ascii="宋体" w:hAnsi="宋体"/>
          <w:color w:val="000000"/>
          <w:szCs w:val="21"/>
        </w:rPr>
        <w:t>1．本建设工程项目的质量目标为标段工程交工验收的质量评定：</w:t>
      </w:r>
      <w:r>
        <w:rPr>
          <w:rFonts w:hint="eastAsia" w:ascii="宋体" w:hAnsi="宋体"/>
          <w:color w:val="000000"/>
          <w:szCs w:val="21"/>
          <w:u w:val="single"/>
        </w:rPr>
        <w:t xml:space="preserve">                   </w:t>
      </w:r>
      <w:r>
        <w:rPr>
          <w:rFonts w:hint="eastAsia" w:ascii="宋体" w:hAnsi="宋体"/>
          <w:color w:val="000000"/>
          <w:szCs w:val="21"/>
        </w:rPr>
        <w:t>；标段工程竣工验收的质量评定：</w:t>
      </w:r>
      <w:r>
        <w:rPr>
          <w:rFonts w:hint="eastAsia" w:ascii="宋体" w:hAnsi="宋体"/>
          <w:color w:val="000000"/>
          <w:szCs w:val="21"/>
          <w:u w:val="single"/>
        </w:rPr>
        <w:t xml:space="preserve">                      </w:t>
      </w:r>
      <w:r>
        <w:rPr>
          <w:rFonts w:hint="eastAsia" w:ascii="宋体" w:hAnsi="宋体"/>
          <w:color w:val="000000"/>
          <w:szCs w:val="21"/>
        </w:rPr>
        <w:t>，承包人对本建设工程的施工质量在设计使用年限内依法终身负责。施工质量责任人</w:t>
      </w:r>
      <w:r>
        <w:rPr>
          <w:rFonts w:hint="eastAsia" w:ascii="宋体" w:hAnsi="宋体"/>
          <w:color w:val="000000"/>
          <w:szCs w:val="21"/>
          <w:u w:val="single"/>
        </w:rPr>
        <w:t xml:space="preserve">         </w:t>
      </w:r>
      <w:r>
        <w:rPr>
          <w:rFonts w:hint="eastAsia" w:ascii="宋体" w:hAnsi="宋体"/>
          <w:color w:val="000000"/>
          <w:szCs w:val="21"/>
        </w:rPr>
        <w:t>。</w:t>
      </w:r>
    </w:p>
    <w:p>
      <w:pPr>
        <w:spacing w:line="420" w:lineRule="exact"/>
        <w:ind w:firstLine="420" w:firstLineChars="200"/>
        <w:rPr>
          <w:rFonts w:ascii="宋体" w:hAnsi="宋体"/>
          <w:color w:val="000000"/>
          <w:szCs w:val="21"/>
        </w:rPr>
      </w:pPr>
      <w:r>
        <w:rPr>
          <w:rFonts w:hint="eastAsia" w:ascii="宋体" w:hAnsi="宋体"/>
          <w:color w:val="000000"/>
          <w:szCs w:val="21"/>
        </w:rPr>
        <w:t>2．甲方与乙方双方的权利与义务</w:t>
      </w:r>
    </w:p>
    <w:p>
      <w:pPr>
        <w:spacing w:line="420" w:lineRule="exact"/>
        <w:ind w:firstLine="420" w:firstLineChars="200"/>
        <w:rPr>
          <w:rFonts w:ascii="宋体" w:hAnsi="宋体"/>
          <w:color w:val="000000"/>
          <w:szCs w:val="21"/>
        </w:rPr>
      </w:pPr>
      <w:r>
        <w:rPr>
          <w:rFonts w:hint="eastAsia" w:ascii="宋体" w:hAnsi="宋体"/>
          <w:color w:val="000000"/>
          <w:szCs w:val="21"/>
        </w:rPr>
        <w:t>（1）严格遵守国家有关法律法规及交通运输部和浙江省交通运输厅的有关规定。</w:t>
      </w:r>
    </w:p>
    <w:p>
      <w:pPr>
        <w:spacing w:line="420" w:lineRule="exact"/>
        <w:ind w:firstLine="420" w:firstLineChars="200"/>
        <w:rPr>
          <w:rFonts w:ascii="宋体" w:hAnsi="宋体"/>
          <w:color w:val="000000"/>
          <w:szCs w:val="21"/>
        </w:rPr>
      </w:pPr>
      <w:r>
        <w:rPr>
          <w:rFonts w:hint="eastAsia" w:ascii="宋体" w:hAnsi="宋体"/>
          <w:color w:val="000000"/>
          <w:szCs w:val="21"/>
        </w:rPr>
        <w:t>（2）严格执行</w:t>
      </w:r>
      <w:r>
        <w:rPr>
          <w:rFonts w:hint="eastAsia" w:ascii="宋体" w:hAnsi="宋体"/>
          <w:color w:val="000000"/>
          <w:szCs w:val="21"/>
          <w:u w:val="single"/>
        </w:rPr>
        <w:t xml:space="preserve">                  </w:t>
      </w:r>
      <w:r>
        <w:rPr>
          <w:rFonts w:hint="eastAsia" w:ascii="宋体" w:hAnsi="宋体"/>
          <w:color w:val="000000"/>
          <w:szCs w:val="21"/>
        </w:rPr>
        <w:t>项目第</w:t>
      </w:r>
      <w:r>
        <w:rPr>
          <w:rFonts w:hint="eastAsia" w:ascii="宋体" w:hAnsi="宋体"/>
          <w:color w:val="000000"/>
          <w:szCs w:val="21"/>
          <w:u w:val="single"/>
        </w:rPr>
        <w:t xml:space="preserve">    </w:t>
      </w:r>
      <w:r>
        <w:rPr>
          <w:rFonts w:hint="eastAsia" w:ascii="宋体" w:hAnsi="宋体"/>
          <w:color w:val="000000"/>
          <w:szCs w:val="21"/>
        </w:rPr>
        <w:t>标段施工合同文件，自觉按合同办事。</w:t>
      </w:r>
    </w:p>
    <w:p>
      <w:pPr>
        <w:spacing w:line="420" w:lineRule="exact"/>
        <w:ind w:firstLine="420" w:firstLineChars="200"/>
        <w:rPr>
          <w:rFonts w:ascii="宋体" w:hAnsi="宋体"/>
          <w:color w:val="000000"/>
          <w:szCs w:val="21"/>
        </w:rPr>
      </w:pPr>
      <w:r>
        <w:rPr>
          <w:rFonts w:hint="eastAsia" w:ascii="宋体" w:hAnsi="宋体"/>
          <w:color w:val="000000"/>
          <w:szCs w:val="21"/>
        </w:rPr>
        <w:t>（3）双方的施工业务活动必须坚持科学、公正、诚信、平等的原则，不得损害国家、集体的利益，不得违反工程建设管理规章制度。</w:t>
      </w:r>
    </w:p>
    <w:p>
      <w:pPr>
        <w:spacing w:line="420" w:lineRule="exact"/>
        <w:ind w:firstLine="420" w:firstLineChars="200"/>
        <w:rPr>
          <w:rFonts w:ascii="宋体" w:hAnsi="宋体"/>
          <w:color w:val="000000"/>
          <w:szCs w:val="21"/>
        </w:rPr>
      </w:pPr>
      <w:r>
        <w:rPr>
          <w:rFonts w:hint="eastAsia" w:ascii="宋体" w:hAnsi="宋体"/>
          <w:color w:val="000000"/>
          <w:szCs w:val="21"/>
        </w:rPr>
        <w:t>（4）发现对方在施工业务活动中，有违反有关规定的行为，有及时提醒对方纠正的权利和义务。</w:t>
      </w:r>
    </w:p>
    <w:p>
      <w:pPr>
        <w:spacing w:line="420" w:lineRule="exact"/>
        <w:ind w:firstLine="420" w:firstLineChars="200"/>
        <w:rPr>
          <w:rFonts w:ascii="宋体" w:hAnsi="宋体"/>
          <w:color w:val="000000"/>
          <w:szCs w:val="21"/>
        </w:rPr>
      </w:pPr>
      <w:r>
        <w:rPr>
          <w:rFonts w:hint="eastAsia" w:ascii="宋体" w:hAnsi="宋体"/>
          <w:color w:val="000000"/>
          <w:szCs w:val="21"/>
        </w:rPr>
        <w:t>（5）发现对方严重违反施工合同文件的行为，有向其上级有关部门举报，建议给予处理并要求告知处理结果的权利。</w:t>
      </w:r>
    </w:p>
    <w:p>
      <w:pPr>
        <w:rPr>
          <w:rFonts w:ascii="宋体" w:hAnsi="宋体"/>
          <w:color w:val="000000"/>
          <w:szCs w:val="21"/>
        </w:rPr>
      </w:pPr>
      <w:r>
        <w:rPr>
          <w:rFonts w:hint="eastAsia" w:ascii="宋体" w:hAnsi="宋体"/>
          <w:color w:val="000000"/>
          <w:szCs w:val="21"/>
        </w:rPr>
        <w:t>3．甲方的义务</w:t>
      </w:r>
    </w:p>
    <w:p>
      <w:pPr>
        <w:spacing w:line="420" w:lineRule="exact"/>
        <w:ind w:firstLine="420" w:firstLineChars="200"/>
        <w:rPr>
          <w:rFonts w:ascii="宋体" w:hAnsi="宋体"/>
          <w:color w:val="000000"/>
          <w:szCs w:val="21"/>
        </w:rPr>
      </w:pPr>
      <w:r>
        <w:rPr>
          <w:rFonts w:hint="eastAsia" w:ascii="宋体" w:hAnsi="宋体"/>
          <w:color w:val="000000"/>
          <w:szCs w:val="21"/>
        </w:rPr>
        <w:t>（1）甲方向乙方及时提供有关资料（包括技术规范、工程量清单、施工图等。）</w:t>
      </w:r>
    </w:p>
    <w:p>
      <w:pPr>
        <w:spacing w:line="420" w:lineRule="exact"/>
        <w:ind w:firstLine="420" w:firstLineChars="200"/>
        <w:rPr>
          <w:rFonts w:ascii="宋体" w:hAnsi="宋体"/>
          <w:color w:val="000000"/>
          <w:szCs w:val="21"/>
        </w:rPr>
      </w:pPr>
      <w:r>
        <w:rPr>
          <w:rFonts w:hint="eastAsia" w:ascii="宋体" w:hAnsi="宋体"/>
          <w:color w:val="000000"/>
          <w:szCs w:val="21"/>
        </w:rPr>
        <w:t>（2）甲方不得指使乙方不按法律、法规、工程建设强制性标准和施工规范进行工程的施工活动。</w:t>
      </w:r>
    </w:p>
    <w:p>
      <w:pPr>
        <w:spacing w:line="420" w:lineRule="exact"/>
        <w:ind w:firstLine="420" w:firstLineChars="200"/>
        <w:rPr>
          <w:rFonts w:ascii="宋体" w:hAnsi="宋体"/>
          <w:color w:val="000000"/>
          <w:szCs w:val="21"/>
        </w:rPr>
      </w:pPr>
      <w:r>
        <w:rPr>
          <w:rFonts w:hint="eastAsia" w:ascii="宋体" w:hAnsi="宋体"/>
          <w:color w:val="000000"/>
          <w:szCs w:val="21"/>
        </w:rPr>
        <w:t>（3）甲方须按施工合同的约定支付工程款，除施工合同的约定外，甲方不得以任何借口克扣工程款或拖延工程款的支付。</w:t>
      </w:r>
    </w:p>
    <w:p>
      <w:pPr>
        <w:spacing w:line="420" w:lineRule="exact"/>
        <w:ind w:firstLine="420" w:firstLineChars="200"/>
        <w:rPr>
          <w:rFonts w:ascii="宋体" w:hAnsi="宋体"/>
          <w:color w:val="000000"/>
          <w:szCs w:val="21"/>
        </w:rPr>
      </w:pPr>
      <w:r>
        <w:rPr>
          <w:rFonts w:hint="eastAsia" w:ascii="宋体" w:hAnsi="宋体"/>
          <w:color w:val="000000"/>
          <w:szCs w:val="21"/>
        </w:rPr>
        <w:t>（4）甲方不得明示或暗示向乙方推荐单位或个人承包或分包本工程项目的施工任务。</w:t>
      </w:r>
    </w:p>
    <w:p>
      <w:pPr>
        <w:spacing w:line="420" w:lineRule="exact"/>
        <w:ind w:firstLine="420" w:firstLineChars="200"/>
        <w:rPr>
          <w:rFonts w:ascii="宋体" w:hAnsi="宋体"/>
          <w:color w:val="000000"/>
          <w:szCs w:val="21"/>
        </w:rPr>
      </w:pPr>
      <w:r>
        <w:rPr>
          <w:rFonts w:hint="eastAsia" w:ascii="宋体" w:hAnsi="宋体"/>
          <w:color w:val="000000"/>
          <w:szCs w:val="21"/>
        </w:rPr>
        <w:t>（5）甲方不得以任何理由索取回扣或其它好处。</w:t>
      </w:r>
    </w:p>
    <w:p>
      <w:pPr>
        <w:spacing w:line="420" w:lineRule="exact"/>
        <w:ind w:firstLine="420" w:firstLineChars="200"/>
        <w:rPr>
          <w:rFonts w:ascii="宋体" w:hAnsi="宋体"/>
          <w:color w:val="000000"/>
          <w:szCs w:val="21"/>
        </w:rPr>
      </w:pPr>
      <w:r>
        <w:rPr>
          <w:rFonts w:hint="eastAsia" w:ascii="宋体" w:hAnsi="宋体"/>
          <w:color w:val="000000"/>
          <w:szCs w:val="21"/>
        </w:rPr>
        <w:t>4．乙方的义务</w:t>
      </w:r>
    </w:p>
    <w:p>
      <w:pPr>
        <w:spacing w:line="420" w:lineRule="exact"/>
        <w:ind w:firstLine="420" w:firstLineChars="200"/>
        <w:rPr>
          <w:rFonts w:ascii="宋体" w:hAnsi="宋体"/>
          <w:color w:val="000000"/>
          <w:szCs w:val="21"/>
        </w:rPr>
      </w:pPr>
      <w:r>
        <w:rPr>
          <w:rFonts w:hint="eastAsia" w:ascii="宋体" w:hAnsi="宋体"/>
          <w:color w:val="000000"/>
          <w:szCs w:val="21"/>
        </w:rPr>
        <w:t>（1）乙方应具备与本工程项目相应等级的施工资质证书。</w:t>
      </w:r>
    </w:p>
    <w:p>
      <w:pPr>
        <w:spacing w:line="420" w:lineRule="exact"/>
        <w:ind w:firstLine="420" w:firstLineChars="200"/>
        <w:rPr>
          <w:rFonts w:ascii="宋体" w:hAnsi="宋体"/>
          <w:color w:val="000000"/>
          <w:szCs w:val="21"/>
        </w:rPr>
      </w:pPr>
      <w:r>
        <w:rPr>
          <w:rFonts w:hint="eastAsia" w:ascii="宋体" w:hAnsi="宋体"/>
          <w:color w:val="000000"/>
          <w:szCs w:val="21"/>
        </w:rPr>
        <w:t>（2）乙方不得允许其它单位或个人以承包人的名义承揽本工程项目的施工任务，不得转包或违法分包所承揽的本工程的项目施工任务。</w:t>
      </w:r>
    </w:p>
    <w:p>
      <w:pPr>
        <w:pStyle w:val="2"/>
        <w:spacing w:line="420" w:lineRule="exact"/>
        <w:rPr>
          <w:rFonts w:ascii="宋体" w:hAnsi="宋体"/>
          <w:color w:val="000000"/>
          <w:szCs w:val="21"/>
        </w:rPr>
      </w:pPr>
      <w:r>
        <w:rPr>
          <w:rFonts w:hint="eastAsia" w:ascii="宋体" w:hAnsi="宋体"/>
          <w:color w:val="000000"/>
          <w:szCs w:val="21"/>
        </w:rPr>
        <w:t>（3）乙方必须严格履行施工合同，按投标承诺的施工技术人员及时到位。施工技术人员原则上不得擅自调换，如有特殊原因确需调换的，须经甲方书面同意方能换人。</w:t>
      </w:r>
    </w:p>
    <w:p>
      <w:pPr>
        <w:spacing w:line="420" w:lineRule="exact"/>
        <w:ind w:firstLine="420" w:firstLineChars="200"/>
        <w:rPr>
          <w:rFonts w:ascii="宋体" w:hAnsi="宋体"/>
          <w:color w:val="000000"/>
          <w:szCs w:val="21"/>
        </w:rPr>
      </w:pPr>
      <w:r>
        <w:rPr>
          <w:rFonts w:hint="eastAsia" w:ascii="宋体" w:hAnsi="宋体"/>
          <w:color w:val="000000"/>
          <w:szCs w:val="21"/>
        </w:rPr>
        <w:t>（4）乙方必须建立工地临时实验室，按要求配备相应的试验检测人员和设备，并取得工地临时实验室资质证书。按有关规定做好各类试验，试验资料应真实、完整，统一归档。</w:t>
      </w:r>
    </w:p>
    <w:p>
      <w:pPr>
        <w:spacing w:line="420" w:lineRule="exact"/>
        <w:ind w:firstLine="420" w:firstLineChars="200"/>
        <w:rPr>
          <w:rFonts w:ascii="宋体" w:hAnsi="宋体"/>
          <w:color w:val="000000"/>
          <w:szCs w:val="21"/>
        </w:rPr>
      </w:pPr>
      <w:r>
        <w:rPr>
          <w:rFonts w:hint="eastAsia" w:ascii="宋体" w:hAnsi="宋体"/>
          <w:color w:val="000000"/>
          <w:szCs w:val="21"/>
        </w:rPr>
        <w:t>（5）乙方必须按照工程设计图纸和施工技术规范施工，不得擅自修改工程设计，不得偷工减料。</w:t>
      </w:r>
    </w:p>
    <w:p>
      <w:pPr>
        <w:spacing w:line="420" w:lineRule="exact"/>
        <w:ind w:firstLine="420" w:firstLineChars="200"/>
        <w:rPr>
          <w:rFonts w:ascii="宋体" w:hAnsi="宋体"/>
          <w:color w:val="000000"/>
          <w:szCs w:val="21"/>
        </w:rPr>
      </w:pPr>
      <w:r>
        <w:rPr>
          <w:rFonts w:hint="eastAsia" w:ascii="宋体" w:hAnsi="宋体"/>
          <w:color w:val="000000"/>
          <w:szCs w:val="21"/>
        </w:rPr>
        <w:t>（6）乙方在施工过程中发现设计文件和图纸有差错的，应当及时提出意见和建议。</w:t>
      </w:r>
    </w:p>
    <w:p>
      <w:pPr>
        <w:spacing w:line="420" w:lineRule="exact"/>
        <w:ind w:firstLine="420" w:firstLineChars="200"/>
        <w:rPr>
          <w:rFonts w:ascii="宋体" w:hAnsi="宋体"/>
          <w:color w:val="000000"/>
          <w:szCs w:val="21"/>
        </w:rPr>
      </w:pPr>
      <w:r>
        <w:rPr>
          <w:rFonts w:hint="eastAsia" w:ascii="宋体" w:hAnsi="宋体"/>
          <w:color w:val="000000"/>
          <w:szCs w:val="21"/>
        </w:rPr>
        <w:t>（7）乙方与甲方之间有关工程质量、进度和费用的一切往来函件、报表均应分类编号归档保存；施工技术资料应真实、完整。承包人与材料供应商之间有关工程质量相关资料应真实、完整。</w:t>
      </w:r>
    </w:p>
    <w:p>
      <w:pPr>
        <w:spacing w:line="420" w:lineRule="exact"/>
        <w:ind w:firstLine="420" w:firstLineChars="200"/>
        <w:rPr>
          <w:rFonts w:ascii="宋体" w:hAnsi="宋体"/>
          <w:color w:val="000000"/>
          <w:szCs w:val="21"/>
        </w:rPr>
      </w:pPr>
      <w:r>
        <w:rPr>
          <w:rFonts w:hint="eastAsia" w:ascii="宋体" w:hAnsi="宋体"/>
          <w:color w:val="000000"/>
          <w:szCs w:val="21"/>
        </w:rPr>
        <w:t>（8）乙方应加强对甲方按合同规定采购的材料和设备的检验，对检验不合格的产品，乙方应拒绝使用。</w:t>
      </w:r>
    </w:p>
    <w:p>
      <w:pPr>
        <w:spacing w:line="420" w:lineRule="exact"/>
        <w:ind w:firstLine="420" w:firstLineChars="200"/>
        <w:rPr>
          <w:rFonts w:ascii="宋体" w:hAnsi="宋体"/>
          <w:color w:val="000000"/>
          <w:szCs w:val="21"/>
        </w:rPr>
      </w:pPr>
      <w:r>
        <w:rPr>
          <w:rFonts w:hint="eastAsia" w:ascii="宋体" w:hAnsi="宋体"/>
          <w:color w:val="000000"/>
          <w:szCs w:val="21"/>
        </w:rPr>
        <w:t>（9）乙方不得暗示材料、设备供应单位提供使用不合格或质量低劣的材料、设备。</w:t>
      </w:r>
    </w:p>
    <w:p>
      <w:pPr>
        <w:rPr>
          <w:rFonts w:ascii="宋体" w:hAnsi="宋体"/>
          <w:color w:val="000000"/>
          <w:szCs w:val="21"/>
        </w:rPr>
      </w:pPr>
      <w:r>
        <w:rPr>
          <w:rFonts w:hint="eastAsia" w:ascii="宋体" w:hAnsi="宋体"/>
          <w:color w:val="000000"/>
          <w:szCs w:val="21"/>
        </w:rPr>
        <w:t>5．违约责任</w:t>
      </w:r>
    </w:p>
    <w:p>
      <w:pPr>
        <w:spacing w:line="420" w:lineRule="exact"/>
        <w:ind w:firstLine="420" w:firstLineChars="200"/>
        <w:rPr>
          <w:rFonts w:ascii="宋体" w:hAnsi="宋体"/>
          <w:color w:val="000000"/>
          <w:szCs w:val="21"/>
        </w:rPr>
      </w:pPr>
      <w:r>
        <w:rPr>
          <w:rFonts w:hint="eastAsia" w:ascii="宋体" w:hAnsi="宋体"/>
          <w:color w:val="000000"/>
          <w:szCs w:val="21"/>
        </w:rPr>
        <w:t>（1）乙方及其工作人员违反本合同第二、三条，按管理权限，依据国务院《建设工程质量管理条例》有关规定给予相应的处罚；涉嫌犯罪的，依法追究刑事责任；给承包人单位造成经济损失的，应予以赔偿。</w:t>
      </w:r>
    </w:p>
    <w:p>
      <w:pPr>
        <w:spacing w:line="420" w:lineRule="exact"/>
        <w:ind w:firstLine="420" w:firstLineChars="200"/>
        <w:rPr>
          <w:rFonts w:ascii="宋体" w:hAnsi="宋体"/>
          <w:color w:val="000000"/>
          <w:szCs w:val="21"/>
        </w:rPr>
      </w:pPr>
      <w:r>
        <w:rPr>
          <w:rFonts w:hint="eastAsia" w:ascii="宋体" w:hAnsi="宋体"/>
          <w:color w:val="000000"/>
          <w:szCs w:val="21"/>
        </w:rPr>
        <w:t>（2）乙方及其工作人员违反本合同第二、四条，按管理权限，依据国务院《建设工程质量管理条例》有关规定给予相应的处罚；涉嫌犯罪的，依法追究刑事责任；给发包人单位造成经济损失的，应予以赔偿。</w:t>
      </w:r>
    </w:p>
    <w:p>
      <w:pPr>
        <w:spacing w:line="420" w:lineRule="exact"/>
        <w:ind w:firstLine="420" w:firstLineChars="200"/>
        <w:rPr>
          <w:rFonts w:ascii="宋体" w:hAnsi="宋体"/>
          <w:color w:val="000000"/>
          <w:szCs w:val="21"/>
        </w:rPr>
      </w:pPr>
      <w:r>
        <w:rPr>
          <w:rFonts w:hint="eastAsia" w:ascii="宋体" w:hAnsi="宋体"/>
          <w:color w:val="000000"/>
          <w:szCs w:val="21"/>
        </w:rPr>
        <w:t>6．本合同有效期为甲方与乙方自签署之日起至该工程项目设计使用年限之日止。</w:t>
      </w:r>
    </w:p>
    <w:p>
      <w:pPr>
        <w:spacing w:line="420" w:lineRule="exact"/>
        <w:ind w:firstLine="420" w:firstLineChars="200"/>
        <w:rPr>
          <w:rFonts w:ascii="宋体" w:hAnsi="宋体"/>
          <w:color w:val="000000"/>
          <w:szCs w:val="21"/>
        </w:rPr>
      </w:pPr>
      <w:r>
        <w:rPr>
          <w:rFonts w:hint="eastAsia" w:ascii="宋体" w:hAnsi="宋体"/>
          <w:color w:val="000000"/>
          <w:szCs w:val="21"/>
        </w:rPr>
        <w:t xml:space="preserve">7．本合同作为 </w:t>
      </w:r>
      <w:r>
        <w:rPr>
          <w:rFonts w:hint="eastAsia" w:ascii="宋体" w:hAnsi="宋体"/>
          <w:color w:val="000000"/>
          <w:szCs w:val="21"/>
          <w:u w:val="single"/>
        </w:rPr>
        <w:t xml:space="preserve">                  </w:t>
      </w:r>
      <w:r>
        <w:rPr>
          <w:rFonts w:hint="eastAsia" w:ascii="宋体" w:hAnsi="宋体"/>
          <w:color w:val="000000"/>
          <w:szCs w:val="21"/>
        </w:rPr>
        <w:t xml:space="preserve"> （项目名称）</w:t>
      </w:r>
      <w:r>
        <w:rPr>
          <w:rFonts w:hint="eastAsia" w:ascii="宋体" w:hAnsi="宋体"/>
          <w:color w:val="000000"/>
          <w:szCs w:val="21"/>
          <w:u w:val="single"/>
        </w:rPr>
        <w:t xml:space="preserve">     </w:t>
      </w:r>
      <w:r>
        <w:rPr>
          <w:rFonts w:hint="eastAsia" w:ascii="宋体" w:hAnsi="宋体"/>
          <w:color w:val="000000"/>
          <w:szCs w:val="21"/>
        </w:rPr>
        <w:t xml:space="preserve"> 标段施工合同附件，与工程施工合同具有同等的法律效力，经合同双方签署后立即生效。</w:t>
      </w:r>
    </w:p>
    <w:p>
      <w:pPr>
        <w:spacing w:line="420" w:lineRule="exact"/>
        <w:ind w:firstLine="420" w:firstLineChars="200"/>
        <w:rPr>
          <w:rFonts w:ascii="宋体" w:hAnsi="宋体"/>
          <w:color w:val="000000"/>
          <w:szCs w:val="21"/>
        </w:rPr>
      </w:pPr>
      <w:r>
        <w:rPr>
          <w:rFonts w:hint="eastAsia" w:ascii="宋体" w:hAnsi="宋体"/>
          <w:color w:val="000000"/>
          <w:szCs w:val="21"/>
        </w:rPr>
        <w:t>8．本合同一式四份，由甲方和乙方各执一份，送交甲方和乙方的监督单位各一份。</w:t>
      </w:r>
    </w:p>
    <w:p>
      <w:pPr>
        <w:spacing w:line="420" w:lineRule="exact"/>
        <w:ind w:firstLine="420" w:firstLineChars="200"/>
        <w:rPr>
          <w:rFonts w:ascii="宋体" w:hAnsi="宋体"/>
          <w:color w:val="000000"/>
          <w:szCs w:val="21"/>
        </w:rPr>
      </w:pPr>
    </w:p>
    <w:p>
      <w:pPr>
        <w:spacing w:line="380" w:lineRule="exact"/>
        <w:rPr>
          <w:rFonts w:ascii="宋体" w:hAnsi="宋体"/>
          <w:color w:val="000000"/>
          <w:szCs w:val="21"/>
        </w:rPr>
      </w:pPr>
    </w:p>
    <w:p>
      <w:pPr>
        <w:spacing w:line="420" w:lineRule="exact"/>
        <w:rPr>
          <w:rFonts w:ascii="宋体" w:hAnsi="宋体"/>
          <w:color w:val="000000"/>
          <w:szCs w:val="21"/>
        </w:rPr>
      </w:pPr>
      <w:r>
        <w:rPr>
          <w:rFonts w:hint="eastAsia" w:ascii="宋体" w:hAnsi="宋体"/>
          <w:color w:val="000000"/>
          <w:szCs w:val="21"/>
        </w:rPr>
        <w:t xml:space="preserve">  发包人：</w:t>
      </w:r>
      <w:r>
        <w:rPr>
          <w:rFonts w:hint="eastAsia" w:ascii="宋体" w:hAnsi="宋体"/>
          <w:color w:val="000000"/>
          <w:szCs w:val="21"/>
          <w:u w:val="single"/>
        </w:rPr>
        <w:t xml:space="preserve">                </w:t>
      </w:r>
      <w:r>
        <w:rPr>
          <w:rFonts w:hint="eastAsia" w:ascii="宋体" w:hAnsi="宋体"/>
          <w:color w:val="000000"/>
          <w:szCs w:val="21"/>
        </w:rPr>
        <w:t>（盖单位章）     承包人：</w:t>
      </w:r>
      <w:r>
        <w:rPr>
          <w:rFonts w:hint="eastAsia" w:ascii="宋体" w:hAnsi="宋体"/>
          <w:color w:val="000000"/>
          <w:szCs w:val="21"/>
          <w:u w:val="single"/>
        </w:rPr>
        <w:t xml:space="preserve">               </w:t>
      </w:r>
      <w:r>
        <w:rPr>
          <w:rFonts w:hint="eastAsia" w:ascii="宋体" w:hAnsi="宋体"/>
          <w:color w:val="000000"/>
          <w:szCs w:val="21"/>
        </w:rPr>
        <w:t>（盖单位章）</w:t>
      </w:r>
    </w:p>
    <w:p>
      <w:pPr>
        <w:spacing w:line="420" w:lineRule="exact"/>
        <w:rPr>
          <w:rFonts w:ascii="宋体" w:hAnsi="宋体"/>
          <w:color w:val="000000"/>
          <w:szCs w:val="21"/>
        </w:rPr>
      </w:pPr>
      <w:r>
        <w:rPr>
          <w:rFonts w:hint="eastAsia" w:ascii="宋体" w:hAnsi="宋体"/>
          <w:color w:val="000000"/>
          <w:szCs w:val="21"/>
        </w:rPr>
        <w:t xml:space="preserve"> 法定代表人或其委托代理人：</w:t>
      </w:r>
      <w:r>
        <w:rPr>
          <w:rFonts w:hint="eastAsia" w:ascii="宋体" w:hAnsi="宋体"/>
          <w:color w:val="000000"/>
          <w:szCs w:val="21"/>
          <w:u w:val="single"/>
        </w:rPr>
        <w:t xml:space="preserve">  </w:t>
      </w:r>
      <w:r>
        <w:rPr>
          <w:rFonts w:hint="eastAsia" w:ascii="宋体" w:hAnsi="宋体"/>
          <w:color w:val="000000"/>
          <w:szCs w:val="21"/>
        </w:rPr>
        <w:t>（签字）     法定代表人或其委托代理人：</w:t>
      </w:r>
      <w:r>
        <w:rPr>
          <w:rFonts w:hint="eastAsia" w:ascii="宋体" w:hAnsi="宋体"/>
          <w:color w:val="000000"/>
          <w:szCs w:val="21"/>
          <w:u w:val="single"/>
        </w:rPr>
        <w:t xml:space="preserve">  </w:t>
      </w:r>
      <w:r>
        <w:rPr>
          <w:rFonts w:hint="eastAsia" w:ascii="宋体" w:hAnsi="宋体"/>
          <w:color w:val="000000"/>
          <w:szCs w:val="21"/>
        </w:rPr>
        <w:t>（签字）</w:t>
      </w:r>
    </w:p>
    <w:p>
      <w:pPr>
        <w:spacing w:line="420" w:lineRule="exact"/>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 xml:space="preserve">日                    </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autoSpaceDE w:val="0"/>
        <w:autoSpaceDN w:val="0"/>
        <w:adjustRightInd w:val="0"/>
        <w:spacing w:line="460" w:lineRule="exact"/>
        <w:ind w:firstLine="420" w:firstLineChars="200"/>
        <w:jc w:val="left"/>
        <w:rPr>
          <w:rFonts w:ascii="宋体" w:hAnsi="宋体"/>
          <w:sz w:val="22"/>
          <w:szCs w:val="22"/>
        </w:rPr>
      </w:pPr>
      <w:r>
        <w:rPr>
          <w:rFonts w:hint="eastAsia" w:ascii="宋体" w:hAnsi="宋体"/>
          <w:color w:val="000000"/>
          <w:szCs w:val="21"/>
        </w:rPr>
        <w:t>发包人监督单位：</w:t>
      </w:r>
      <w:r>
        <w:rPr>
          <w:rFonts w:hint="eastAsia" w:ascii="宋体" w:hAnsi="宋体"/>
          <w:color w:val="000000"/>
          <w:szCs w:val="21"/>
          <w:u w:val="single"/>
        </w:rPr>
        <w:t>（全称） （盖单位章）</w:t>
      </w:r>
      <w:r>
        <w:rPr>
          <w:rFonts w:hint="eastAsia" w:ascii="宋体" w:hAnsi="宋体"/>
          <w:color w:val="000000"/>
          <w:szCs w:val="21"/>
        </w:rPr>
        <w:t xml:space="preserve">     承包人监督单位：</w:t>
      </w:r>
      <w:r>
        <w:rPr>
          <w:rFonts w:hint="eastAsia" w:ascii="宋体" w:hAnsi="宋体"/>
          <w:color w:val="000000"/>
          <w:szCs w:val="21"/>
          <w:u w:val="single"/>
        </w:rPr>
        <w:t>（全称） （盖单位章）</w:t>
      </w:r>
    </w:p>
    <w:p>
      <w:pPr>
        <w:pStyle w:val="22"/>
        <w:adjustRightInd w:val="0"/>
        <w:snapToGrid w:val="0"/>
        <w:spacing w:line="400" w:lineRule="exact"/>
        <w:jc w:val="center"/>
        <w:rPr>
          <w:rFonts w:hAnsi="宋体"/>
          <w:sz w:val="36"/>
          <w:szCs w:val="36"/>
        </w:rPr>
      </w:pPr>
      <w:r>
        <w:rPr>
          <w:rFonts w:hAnsi="宋体"/>
          <w:sz w:val="36"/>
          <w:szCs w:val="36"/>
        </w:rPr>
        <w:br w:type="column"/>
      </w:r>
      <w:r>
        <w:rPr>
          <w:rFonts w:hint="eastAsia" w:hAnsi="宋体"/>
          <w:sz w:val="36"/>
          <w:szCs w:val="36"/>
        </w:rPr>
        <w:t xml:space="preserve">第五部分    </w:t>
      </w:r>
      <w:r>
        <w:rPr>
          <w:rFonts w:hint="eastAsia" w:hAnsi="宋体"/>
          <w:sz w:val="36"/>
          <w:szCs w:val="36"/>
          <w:lang w:eastAsia="zh-CN"/>
        </w:rPr>
        <w:t>磋商响应文件</w:t>
      </w:r>
      <w:r>
        <w:rPr>
          <w:rFonts w:hint="eastAsia" w:hAnsi="宋体"/>
          <w:sz w:val="36"/>
          <w:szCs w:val="36"/>
        </w:rPr>
        <w:t>格式</w:t>
      </w: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460" w:lineRule="exact"/>
        <w:rPr>
          <w:rFonts w:hAnsi="宋体"/>
          <w:b/>
          <w:sz w:val="24"/>
          <w:szCs w:val="24"/>
        </w:rPr>
      </w:pPr>
      <w:r>
        <w:rPr>
          <w:rFonts w:hint="eastAsia" w:hAnsi="宋体"/>
          <w:b/>
          <w:sz w:val="24"/>
          <w:szCs w:val="24"/>
        </w:rPr>
        <w:t>重要提示：</w:t>
      </w:r>
    </w:p>
    <w:p>
      <w:pPr>
        <w:pStyle w:val="22"/>
        <w:adjustRightInd w:val="0"/>
        <w:snapToGrid w:val="0"/>
        <w:spacing w:line="460" w:lineRule="exact"/>
        <w:rPr>
          <w:rFonts w:hAnsi="宋体"/>
          <w:b/>
          <w:sz w:val="24"/>
          <w:szCs w:val="24"/>
        </w:rPr>
      </w:pPr>
      <w:r>
        <w:rPr>
          <w:rFonts w:hint="eastAsia" w:hAnsi="宋体"/>
          <w:b/>
          <w:sz w:val="24"/>
          <w:szCs w:val="24"/>
        </w:rPr>
        <w:t>1、《政府采购招标文件》提供格式的，投标供应商应参照格式制作，在指定位置加盖投标供应商公章并由法定代表人或其授权代表签署（签字或盖章）；</w:t>
      </w:r>
    </w:p>
    <w:p>
      <w:pPr>
        <w:pStyle w:val="22"/>
        <w:adjustRightInd w:val="0"/>
        <w:snapToGrid w:val="0"/>
        <w:spacing w:line="460" w:lineRule="exact"/>
        <w:rPr>
          <w:rFonts w:hAnsi="宋体"/>
          <w:b/>
          <w:sz w:val="24"/>
          <w:szCs w:val="24"/>
        </w:rPr>
      </w:pPr>
      <w:r>
        <w:rPr>
          <w:rFonts w:hint="eastAsia" w:hAnsi="宋体"/>
          <w:b/>
          <w:sz w:val="24"/>
          <w:szCs w:val="24"/>
        </w:rPr>
        <w:t>2、《政府采购招标文件》未提供格式的，请各投标供应商自行拟定格式，加盖公章并由并由法定代表人或其授权代表签署（签字或盖章）；</w:t>
      </w:r>
    </w:p>
    <w:p>
      <w:pPr>
        <w:pStyle w:val="22"/>
        <w:adjustRightInd w:val="0"/>
        <w:snapToGrid w:val="0"/>
        <w:spacing w:line="460" w:lineRule="exact"/>
        <w:rPr>
          <w:rFonts w:hAnsi="宋体"/>
          <w:b/>
          <w:sz w:val="24"/>
          <w:szCs w:val="24"/>
        </w:rPr>
      </w:pPr>
      <w:r>
        <w:rPr>
          <w:rFonts w:hint="eastAsia" w:hAnsi="宋体"/>
          <w:b/>
          <w:sz w:val="24"/>
          <w:szCs w:val="24"/>
        </w:rPr>
        <w:t>3、投标供应商资格、资质、业绩、许可证书、检测证书等其他要求提供</w:t>
      </w:r>
      <w:r>
        <w:rPr>
          <w:rFonts w:hint="eastAsia" w:hAnsi="宋体"/>
          <w:b/>
          <w:sz w:val="24"/>
          <w:szCs w:val="24"/>
          <w:lang w:eastAsia="zh-CN"/>
        </w:rPr>
        <w:t>扫描</w:t>
      </w:r>
      <w:r>
        <w:rPr>
          <w:rFonts w:hint="eastAsia" w:hAnsi="宋体"/>
          <w:b/>
          <w:sz w:val="24"/>
          <w:szCs w:val="24"/>
        </w:rPr>
        <w:t>件的证明材料应加盖投标供应商公章，否则视为未提供。</w:t>
      </w: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pStyle w:val="22"/>
        <w:adjustRightInd w:val="0"/>
        <w:snapToGrid w:val="0"/>
        <w:spacing w:line="500" w:lineRule="exact"/>
        <w:rPr>
          <w:rFonts w:hAnsi="宋体"/>
          <w:sz w:val="30"/>
        </w:rPr>
      </w:pPr>
    </w:p>
    <w:p>
      <w:pPr>
        <w:tabs>
          <w:tab w:val="left" w:pos="7457"/>
        </w:tabs>
        <w:autoSpaceDE w:val="0"/>
        <w:autoSpaceDN w:val="0"/>
        <w:adjustRightInd w:val="0"/>
        <w:jc w:val="left"/>
        <w:rPr>
          <w:rFonts w:ascii="宋体" w:hAnsi="宋体" w:cs="宋体"/>
          <w:kern w:val="0"/>
          <w:sz w:val="28"/>
          <w:szCs w:val="28"/>
        </w:rPr>
      </w:pPr>
      <w:r>
        <w:rPr>
          <w:rFonts w:hint="eastAsia" w:ascii="宋体" w:hAnsi="宋体" w:cs="宋体"/>
          <w:kern w:val="0"/>
          <w:sz w:val="28"/>
          <w:szCs w:val="28"/>
        </w:rPr>
        <w:t>一、“资信技术文件”部分格式</w:t>
      </w:r>
    </w:p>
    <w:p>
      <w:pPr>
        <w:tabs>
          <w:tab w:val="left" w:pos="7457"/>
        </w:tabs>
        <w:autoSpaceDE w:val="0"/>
        <w:autoSpaceDN w:val="0"/>
        <w:adjustRightInd w:val="0"/>
        <w:jc w:val="left"/>
        <w:rPr>
          <w:kern w:val="0"/>
          <w:sz w:val="28"/>
          <w:szCs w:val="28"/>
        </w:rPr>
      </w:pPr>
      <w:r>
        <w:rPr>
          <w:rFonts w:hint="eastAsia" w:ascii="宋体" w:hAnsi="宋体" w:cs="宋体"/>
          <w:kern w:val="0"/>
          <w:sz w:val="28"/>
          <w:szCs w:val="28"/>
        </w:rPr>
        <w:t>格式1-1、“资信技术文件”封面</w:t>
      </w:r>
      <w:r>
        <w:rPr>
          <w:rFonts w:ascii="宋体" w:hAnsi="宋体" w:cs="宋体"/>
          <w:kern w:val="0"/>
          <w:sz w:val="28"/>
          <w:szCs w:val="28"/>
        </w:rPr>
        <w:t xml:space="preserve"> </w:t>
      </w:r>
      <w:r>
        <w:rPr>
          <w:rFonts w:ascii="宋体" w:hAnsi="宋体" w:cs="宋体"/>
          <w:kern w:val="0"/>
          <w:sz w:val="28"/>
          <w:szCs w:val="28"/>
        </w:rPr>
        <w:tab/>
      </w:r>
    </w:p>
    <w:p>
      <w:pPr>
        <w:autoSpaceDE w:val="0"/>
        <w:autoSpaceDN w:val="0"/>
        <w:adjustRightInd w:val="0"/>
        <w:jc w:val="right"/>
        <w:rPr>
          <w:rFonts w:ascii="宋体" w:hAnsi="宋体" w:cs="宋体"/>
          <w:kern w:val="0"/>
          <w:sz w:val="46"/>
          <w:szCs w:val="46"/>
        </w:rPr>
      </w:pPr>
      <w:r>
        <w:rPr>
          <w:rFonts w:ascii="宋体" w:hAnsi="宋体" w:cs="宋体"/>
          <w:kern w:val="0"/>
          <w:sz w:val="46"/>
          <w:szCs w:val="46"/>
        </w:rPr>
        <w:t xml:space="preserve"> </w:t>
      </w:r>
    </w:p>
    <w:p>
      <w:pPr>
        <w:autoSpaceDE w:val="0"/>
        <w:autoSpaceDN w:val="0"/>
        <w:adjustRightInd w:val="0"/>
        <w:jc w:val="right"/>
        <w:rPr>
          <w:rFonts w:ascii="宋体" w:hAnsi="宋体" w:cs="宋体"/>
          <w:kern w:val="0"/>
          <w:sz w:val="46"/>
          <w:szCs w:val="46"/>
        </w:rPr>
      </w:pPr>
    </w:p>
    <w:p>
      <w:pPr>
        <w:autoSpaceDE w:val="0"/>
        <w:autoSpaceDN w:val="0"/>
        <w:adjustRightInd w:val="0"/>
        <w:jc w:val="right"/>
        <w:rPr>
          <w:rFonts w:ascii="宋体" w:hAnsi="宋体" w:cs="宋体"/>
          <w:kern w:val="0"/>
          <w:sz w:val="46"/>
          <w:szCs w:val="46"/>
        </w:rPr>
      </w:pPr>
    </w:p>
    <w:p>
      <w:pPr>
        <w:autoSpaceDE w:val="0"/>
        <w:autoSpaceDN w:val="0"/>
        <w:adjustRightInd w:val="0"/>
        <w:jc w:val="right"/>
        <w:rPr>
          <w:rFonts w:ascii="宋体" w:hAnsi="宋体" w:cs="宋体"/>
          <w:kern w:val="0"/>
          <w:sz w:val="46"/>
          <w:szCs w:val="46"/>
        </w:rPr>
      </w:pPr>
    </w:p>
    <w:p>
      <w:pPr>
        <w:autoSpaceDE w:val="0"/>
        <w:autoSpaceDN w:val="0"/>
        <w:adjustRightInd w:val="0"/>
        <w:jc w:val="center"/>
        <w:rPr>
          <w:rFonts w:ascii="宋体" w:hAnsi="宋体" w:cs="宋体"/>
          <w:spacing w:val="-4"/>
          <w:kern w:val="0"/>
          <w:sz w:val="42"/>
          <w:szCs w:val="42"/>
        </w:rPr>
      </w:pPr>
      <w:r>
        <w:rPr>
          <w:rFonts w:hint="eastAsia" w:ascii="宋体" w:hAnsi="宋体" w:cs="宋体"/>
          <w:spacing w:val="-4"/>
          <w:kern w:val="0"/>
          <w:sz w:val="42"/>
          <w:szCs w:val="42"/>
          <w:lang w:eastAsia="zh-CN"/>
        </w:rPr>
        <w:t>苍南县宜山镇道路照明提升工程设计、采购及安装项目</w:t>
      </w:r>
    </w:p>
    <w:p>
      <w:pPr>
        <w:autoSpaceDE w:val="0"/>
        <w:autoSpaceDN w:val="0"/>
        <w:adjustRightInd w:val="0"/>
        <w:jc w:val="center"/>
        <w:rPr>
          <w:kern w:val="0"/>
          <w:sz w:val="44"/>
          <w:szCs w:val="44"/>
        </w:rPr>
      </w:pPr>
    </w:p>
    <w:p>
      <w:pPr>
        <w:autoSpaceDE w:val="0"/>
        <w:autoSpaceDN w:val="0"/>
        <w:adjustRightInd w:val="0"/>
        <w:jc w:val="center"/>
        <w:rPr>
          <w:b/>
          <w:kern w:val="0"/>
          <w:sz w:val="48"/>
          <w:szCs w:val="48"/>
        </w:rPr>
      </w:pPr>
      <w:r>
        <w:rPr>
          <w:rFonts w:hint="eastAsia"/>
          <w:b/>
          <w:kern w:val="0"/>
          <w:sz w:val="48"/>
          <w:szCs w:val="48"/>
        </w:rPr>
        <w:t>投 标 文 件</w:t>
      </w:r>
    </w:p>
    <w:p>
      <w:pPr>
        <w:autoSpaceDE w:val="0"/>
        <w:autoSpaceDN w:val="0"/>
        <w:adjustRightInd w:val="0"/>
        <w:jc w:val="center"/>
        <w:rPr>
          <w:kern w:val="0"/>
          <w:sz w:val="44"/>
          <w:szCs w:val="44"/>
        </w:rPr>
      </w:pPr>
    </w:p>
    <w:p>
      <w:pPr>
        <w:jc w:val="center"/>
        <w:rPr>
          <w:rFonts w:ascii="宋体" w:hAnsi="宋体" w:cs="宋体"/>
          <w:kern w:val="0"/>
          <w:sz w:val="44"/>
          <w:szCs w:val="44"/>
        </w:rPr>
      </w:pPr>
      <w:r>
        <w:rPr>
          <w:rFonts w:hint="eastAsia" w:ascii="宋体" w:hAnsi="宋体" w:cs="宋体"/>
          <w:kern w:val="0"/>
          <w:sz w:val="44"/>
          <w:szCs w:val="44"/>
        </w:rPr>
        <w:t>（资信技术文件）</w:t>
      </w:r>
    </w:p>
    <w:p>
      <w:pPr>
        <w:jc w:val="center"/>
        <w:rPr>
          <w:rFonts w:ascii="宋体" w:hAnsi="宋体" w:cs="宋体"/>
          <w:kern w:val="0"/>
          <w:sz w:val="40"/>
          <w:szCs w:val="40"/>
        </w:rPr>
      </w:pPr>
    </w:p>
    <w:p>
      <w:pPr>
        <w:jc w:val="center"/>
        <w:rPr>
          <w:rFonts w:ascii="宋体" w:hAnsi="宋体" w:cs="宋体"/>
          <w:kern w:val="0"/>
          <w:sz w:val="68"/>
          <w:szCs w:val="68"/>
        </w:rPr>
      </w:pPr>
    </w:p>
    <w:p>
      <w:pPr>
        <w:spacing w:line="360" w:lineRule="auto"/>
        <w:rPr>
          <w:rFonts w:ascii="宋体" w:hAnsi="宋体" w:cs="宋体"/>
          <w:kern w:val="0"/>
          <w:sz w:val="32"/>
          <w:szCs w:val="32"/>
        </w:rPr>
      </w:pPr>
      <w:r>
        <w:rPr>
          <w:rFonts w:hint="eastAsia" w:ascii="宋体" w:hAnsi="宋体" w:cs="宋体"/>
          <w:kern w:val="0"/>
          <w:sz w:val="32"/>
          <w:szCs w:val="32"/>
        </w:rPr>
        <w:t>项目编号：</w:t>
      </w:r>
      <w:r>
        <w:rPr>
          <w:rFonts w:hint="eastAsia" w:ascii="宋体" w:hAnsi="宋体" w:cs="宋体"/>
          <w:kern w:val="0"/>
          <w:sz w:val="32"/>
          <w:szCs w:val="32"/>
          <w:u w:val="single"/>
        </w:rPr>
        <w:t xml:space="preserve">               </w:t>
      </w:r>
      <w:r>
        <w:rPr>
          <w:rFonts w:hint="eastAsia" w:ascii="宋体" w:hAnsi="宋体" w:cs="宋体"/>
          <w:kern w:val="0"/>
          <w:sz w:val="32"/>
          <w:szCs w:val="32"/>
          <w:u w:val="single"/>
          <w:lang w:eastAsia="zh-CN"/>
        </w:rPr>
        <w:t>CNDL2021446</w:t>
      </w:r>
      <w:r>
        <w:rPr>
          <w:rFonts w:hint="eastAsia" w:ascii="宋体" w:hAnsi="宋体" w:cs="宋体"/>
          <w:kern w:val="0"/>
          <w:sz w:val="32"/>
          <w:szCs w:val="32"/>
          <w:u w:val="single"/>
        </w:rPr>
        <w:t xml:space="preserve">        </w:t>
      </w:r>
      <w:r>
        <w:rPr>
          <w:rFonts w:ascii="宋体" w:hAnsi="宋体" w:cs="宋体"/>
          <w:kern w:val="0"/>
          <w:sz w:val="32"/>
          <w:szCs w:val="32"/>
          <w:u w:val="single"/>
        </w:rPr>
        <w:t xml:space="preserve">      </w:t>
      </w:r>
    </w:p>
    <w:p>
      <w:pPr>
        <w:spacing w:line="360" w:lineRule="auto"/>
        <w:rPr>
          <w:rFonts w:ascii="宋体" w:hAnsi="宋体" w:cs="宋体"/>
          <w:kern w:val="0"/>
          <w:sz w:val="32"/>
          <w:szCs w:val="32"/>
          <w:u w:val="single"/>
        </w:rPr>
      </w:pPr>
      <w:r>
        <w:rPr>
          <w:rFonts w:hint="eastAsia" w:ascii="宋体" w:hAnsi="宋体" w:cs="宋体"/>
          <w:kern w:val="0"/>
          <w:sz w:val="32"/>
          <w:szCs w:val="32"/>
        </w:rPr>
        <w:t>供应商名称（盖章）：</w:t>
      </w:r>
      <w:r>
        <w:rPr>
          <w:rFonts w:ascii="宋体" w:hAnsi="宋体" w:cs="宋体"/>
          <w:kern w:val="0"/>
          <w:sz w:val="32"/>
          <w:szCs w:val="32"/>
        </w:rPr>
        <w:t xml:space="preserve"> </w:t>
      </w:r>
      <w:r>
        <w:rPr>
          <w:rFonts w:ascii="宋体" w:hAnsi="宋体" w:cs="宋体"/>
          <w:kern w:val="0"/>
          <w:sz w:val="32"/>
          <w:szCs w:val="32"/>
          <w:u w:val="single"/>
        </w:rPr>
        <w:t xml:space="preserve">  </w:t>
      </w:r>
      <w:r>
        <w:rPr>
          <w:rFonts w:hint="eastAsia" w:ascii="宋体" w:hAnsi="宋体" w:cs="宋体"/>
          <w:kern w:val="0"/>
          <w:sz w:val="32"/>
          <w:szCs w:val="32"/>
          <w:u w:val="single"/>
        </w:rPr>
        <w:t xml:space="preserve">                        </w:t>
      </w:r>
      <w:r>
        <w:rPr>
          <w:rFonts w:ascii="宋体" w:hAnsi="宋体" w:cs="宋体"/>
          <w:kern w:val="0"/>
          <w:sz w:val="32"/>
          <w:szCs w:val="32"/>
          <w:u w:val="single"/>
        </w:rPr>
        <w:t xml:space="preserve">     </w:t>
      </w:r>
    </w:p>
    <w:p>
      <w:pPr>
        <w:spacing w:line="360" w:lineRule="auto"/>
        <w:rPr>
          <w:rFonts w:ascii="宋体" w:hAnsi="宋体" w:cs="宋体"/>
          <w:kern w:val="0"/>
          <w:sz w:val="32"/>
          <w:szCs w:val="32"/>
          <w:u w:val="single"/>
        </w:rPr>
      </w:pPr>
      <w:r>
        <w:rPr>
          <w:rFonts w:hint="eastAsia" w:ascii="宋体" w:hAnsi="宋体" w:cs="宋体"/>
          <w:kern w:val="0"/>
          <w:sz w:val="32"/>
          <w:szCs w:val="32"/>
        </w:rPr>
        <w:t>地址：</w:t>
      </w:r>
      <w:r>
        <w:rPr>
          <w:rFonts w:hint="eastAsia" w:ascii="宋体" w:hAnsi="宋体" w:cs="宋体"/>
          <w:kern w:val="0"/>
          <w:sz w:val="32"/>
          <w:szCs w:val="32"/>
          <w:u w:val="single"/>
        </w:rPr>
        <w:t xml:space="preserve">                                              </w:t>
      </w:r>
    </w:p>
    <w:p>
      <w:pPr>
        <w:spacing w:line="360" w:lineRule="auto"/>
        <w:rPr>
          <w:rFonts w:ascii="宋体" w:hAnsi="宋体" w:cs="宋体"/>
          <w:kern w:val="0"/>
          <w:sz w:val="32"/>
          <w:szCs w:val="32"/>
        </w:rPr>
      </w:pPr>
      <w:r>
        <w:rPr>
          <w:rFonts w:hint="eastAsia" w:ascii="宋体" w:hAnsi="宋体" w:cs="宋体"/>
          <w:kern w:val="0"/>
          <w:sz w:val="32"/>
          <w:szCs w:val="32"/>
        </w:rPr>
        <w:t>联系人：</w:t>
      </w:r>
      <w:r>
        <w:rPr>
          <w:rFonts w:ascii="宋体" w:hAnsi="宋体" w:cs="宋体"/>
          <w:kern w:val="0"/>
          <w:sz w:val="32"/>
          <w:szCs w:val="32"/>
          <w:u w:val="single"/>
        </w:rPr>
        <w:t xml:space="preserve"> </w:t>
      </w:r>
      <w:r>
        <w:rPr>
          <w:rFonts w:hint="eastAsia" w:ascii="宋体" w:hAnsi="宋体" w:cs="宋体"/>
          <w:kern w:val="0"/>
          <w:sz w:val="32"/>
          <w:szCs w:val="32"/>
          <w:u w:val="single"/>
        </w:rPr>
        <w:t xml:space="preserve">                                          </w:t>
      </w:r>
      <w:r>
        <w:rPr>
          <w:rFonts w:ascii="宋体" w:hAnsi="宋体" w:cs="宋体"/>
          <w:kern w:val="0"/>
          <w:sz w:val="32"/>
          <w:szCs w:val="32"/>
          <w:u w:val="single"/>
        </w:rPr>
        <w:t xml:space="preserve"> </w:t>
      </w:r>
      <w:r>
        <w:rPr>
          <w:rFonts w:ascii="宋体" w:hAnsi="宋体" w:cs="宋体"/>
          <w:kern w:val="0"/>
          <w:sz w:val="32"/>
          <w:szCs w:val="32"/>
        </w:rPr>
        <w:t xml:space="preserve">  </w:t>
      </w:r>
    </w:p>
    <w:p>
      <w:pPr>
        <w:spacing w:line="360" w:lineRule="auto"/>
        <w:rPr>
          <w:rFonts w:ascii="宋体" w:hAnsi="宋体" w:cs="宋体"/>
          <w:kern w:val="0"/>
          <w:sz w:val="32"/>
          <w:szCs w:val="32"/>
        </w:rPr>
      </w:pPr>
      <w:r>
        <w:rPr>
          <w:rFonts w:hint="eastAsia" w:ascii="宋体" w:hAnsi="宋体" w:cs="宋体"/>
          <w:kern w:val="0"/>
          <w:sz w:val="32"/>
          <w:szCs w:val="32"/>
        </w:rPr>
        <w:t>日期：</w:t>
      </w:r>
      <w:r>
        <w:rPr>
          <w:rFonts w:ascii="宋体" w:hAnsi="宋体" w:cs="宋体"/>
          <w:kern w:val="0"/>
          <w:sz w:val="32"/>
          <w:szCs w:val="32"/>
          <w:u w:val="single"/>
        </w:rPr>
        <w:t xml:space="preserve">   </w:t>
      </w:r>
      <w:r>
        <w:rPr>
          <w:rFonts w:hint="eastAsia" w:ascii="宋体" w:hAnsi="宋体" w:cs="宋体"/>
          <w:kern w:val="0"/>
          <w:sz w:val="32"/>
          <w:szCs w:val="32"/>
          <w:u w:val="single"/>
        </w:rPr>
        <w:t xml:space="preserve">                                         </w:t>
      </w:r>
      <w:r>
        <w:rPr>
          <w:rFonts w:ascii="宋体" w:hAnsi="宋体" w:cs="宋体"/>
          <w:kern w:val="0"/>
          <w:sz w:val="32"/>
          <w:szCs w:val="32"/>
          <w:u w:val="single"/>
        </w:rPr>
        <w:t xml:space="preserve">  </w:t>
      </w:r>
    </w:p>
    <w:p>
      <w:pPr>
        <w:autoSpaceDE w:val="0"/>
        <w:autoSpaceDN w:val="0"/>
        <w:adjustRightInd w:val="0"/>
        <w:spacing w:line="360" w:lineRule="auto"/>
        <w:jc w:val="center"/>
        <w:rPr>
          <w:rFonts w:ascii="宋体" w:hAnsi="宋体" w:cs="宋体"/>
          <w:kern w:val="0"/>
          <w:sz w:val="36"/>
          <w:szCs w:val="36"/>
        </w:rPr>
      </w:pPr>
      <w:r>
        <w:rPr>
          <w:rFonts w:hint="eastAsia" w:ascii="宋体" w:hAnsi="宋体" w:cs="宋体"/>
          <w:kern w:val="0"/>
          <w:sz w:val="36"/>
          <w:szCs w:val="36"/>
        </w:rPr>
        <w:t xml:space="preserve"> </w:t>
      </w:r>
    </w:p>
    <w:p>
      <w:pPr>
        <w:autoSpaceDE w:val="0"/>
        <w:autoSpaceDN w:val="0"/>
        <w:adjustRightInd w:val="0"/>
        <w:jc w:val="center"/>
        <w:rPr>
          <w:rFonts w:ascii="宋体" w:hAnsi="宋体" w:cs="宋体"/>
          <w:kern w:val="0"/>
          <w:sz w:val="36"/>
          <w:szCs w:val="36"/>
        </w:rPr>
      </w:pPr>
    </w:p>
    <w:p>
      <w:pPr>
        <w:autoSpaceDE w:val="0"/>
        <w:autoSpaceDN w:val="0"/>
        <w:adjustRightInd w:val="0"/>
        <w:rPr>
          <w:rFonts w:ascii="宋体" w:hAnsi="宋体" w:cs="宋体"/>
          <w:kern w:val="0"/>
          <w:sz w:val="36"/>
          <w:szCs w:val="36"/>
        </w:rPr>
      </w:pPr>
    </w:p>
    <w:p>
      <w:pPr>
        <w:autoSpaceDE w:val="0"/>
        <w:autoSpaceDN w:val="0"/>
        <w:adjustRightInd w:val="0"/>
        <w:rPr>
          <w:rFonts w:ascii="宋体" w:hAnsi="宋体" w:cs="宋体"/>
          <w:kern w:val="0"/>
          <w:sz w:val="36"/>
          <w:szCs w:val="36"/>
        </w:rPr>
      </w:pPr>
    </w:p>
    <w:p>
      <w:pPr>
        <w:autoSpaceDE w:val="0"/>
        <w:autoSpaceDN w:val="0"/>
        <w:adjustRightInd w:val="0"/>
        <w:spacing w:line="440" w:lineRule="atLeast"/>
        <w:jc w:val="center"/>
        <w:rPr>
          <w:rFonts w:ascii="宋体"/>
          <w:b/>
          <w:sz w:val="36"/>
          <w:lang w:val="zh-CN"/>
        </w:rPr>
      </w:pP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br w:type="page"/>
      </w:r>
      <w:r>
        <w:rPr>
          <w:rFonts w:hint="eastAsia" w:hAnsi="宋体" w:cs="宋体"/>
          <w:kern w:val="0"/>
          <w:sz w:val="28"/>
          <w:szCs w:val="28"/>
        </w:rPr>
        <w:t>格式1-2、《关于</w:t>
      </w:r>
      <w:r>
        <w:rPr>
          <w:rFonts w:hint="eastAsia" w:hAnsi="宋体" w:cs="宋体"/>
          <w:kern w:val="0"/>
          <w:sz w:val="28"/>
          <w:szCs w:val="28"/>
          <w:lang w:eastAsia="zh-CN"/>
        </w:rPr>
        <w:t>磋商响应文件</w:t>
      </w:r>
      <w:r>
        <w:rPr>
          <w:rFonts w:hint="eastAsia" w:hAnsi="宋体" w:cs="宋体"/>
          <w:kern w:val="0"/>
          <w:sz w:val="28"/>
          <w:szCs w:val="28"/>
        </w:rPr>
        <w:t>所有内容真实可靠的承诺书》</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autoSpaceDE w:val="0"/>
        <w:autoSpaceDN w:val="0"/>
        <w:adjustRightInd w:val="0"/>
        <w:jc w:val="center"/>
        <w:rPr>
          <w:kern w:val="0"/>
          <w:sz w:val="40"/>
          <w:szCs w:val="40"/>
        </w:rPr>
      </w:pPr>
      <w:r>
        <w:rPr>
          <w:rFonts w:hint="eastAsia" w:ascii="宋体" w:hAnsi="宋体" w:cs="宋体"/>
          <w:kern w:val="0"/>
          <w:sz w:val="40"/>
          <w:szCs w:val="40"/>
        </w:rPr>
        <w:t>关于</w:t>
      </w:r>
      <w:r>
        <w:rPr>
          <w:rFonts w:hint="eastAsia" w:ascii="宋体" w:hAnsi="宋体" w:cs="宋体"/>
          <w:kern w:val="0"/>
          <w:sz w:val="40"/>
          <w:szCs w:val="40"/>
          <w:lang w:eastAsia="zh-CN"/>
        </w:rPr>
        <w:t>磋商响应文件</w:t>
      </w:r>
      <w:r>
        <w:rPr>
          <w:rFonts w:hint="eastAsia" w:ascii="宋体" w:hAnsi="宋体" w:cs="宋体"/>
          <w:kern w:val="0"/>
          <w:sz w:val="40"/>
          <w:szCs w:val="40"/>
        </w:rPr>
        <w:t>所有内容真实可靠的承诺书</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autoSpaceDE w:val="0"/>
        <w:autoSpaceDN w:val="0"/>
        <w:adjustRightInd w:val="0"/>
        <w:jc w:val="left"/>
        <w:rPr>
          <w:b/>
          <w:kern w:val="0"/>
          <w:sz w:val="28"/>
          <w:szCs w:val="28"/>
          <w:u w:val="single"/>
        </w:rPr>
      </w:pPr>
      <w:r>
        <w:rPr>
          <w:rFonts w:hint="eastAsia" w:ascii="宋体" w:hAnsi="宋体" w:cs="宋体"/>
          <w:b/>
          <w:kern w:val="0"/>
          <w:sz w:val="28"/>
          <w:szCs w:val="28"/>
          <w:u w:val="single"/>
        </w:rPr>
        <w:t>致：</w:t>
      </w:r>
      <w:r>
        <w:rPr>
          <w:rFonts w:hint="eastAsia" w:ascii="宋体" w:hAnsi="宋体" w:cs="宋体"/>
          <w:b/>
          <w:kern w:val="0"/>
          <w:sz w:val="28"/>
          <w:szCs w:val="28"/>
          <w:u w:val="single"/>
          <w:lang w:eastAsia="zh-CN"/>
        </w:rPr>
        <w:t>苍南县宜山镇人民政府</w:t>
      </w:r>
      <w:r>
        <w:rPr>
          <w:rFonts w:hint="eastAsia" w:ascii="宋体" w:hAnsi="宋体" w:cs="宋体"/>
          <w:b/>
          <w:kern w:val="0"/>
          <w:sz w:val="28"/>
          <w:szCs w:val="28"/>
          <w:u w:val="single"/>
        </w:rPr>
        <w:t>：</w:t>
      </w:r>
      <w:r>
        <w:rPr>
          <w:rFonts w:ascii="宋体" w:hAnsi="宋体" w:cs="宋体"/>
          <w:b/>
          <w:kern w:val="0"/>
          <w:sz w:val="28"/>
          <w:szCs w:val="28"/>
          <w:u w:val="single"/>
        </w:rPr>
        <w:t xml:space="preserve"> </w:t>
      </w:r>
    </w:p>
    <w:p>
      <w:pPr>
        <w:autoSpaceDE w:val="0"/>
        <w:autoSpaceDN w:val="0"/>
        <w:adjustRightInd w:val="0"/>
        <w:jc w:val="left"/>
        <w:rPr>
          <w:rFonts w:ascii="宋体" w:hAnsi="宋体" w:cs="宋体"/>
          <w:kern w:val="0"/>
          <w:sz w:val="30"/>
          <w:szCs w:val="30"/>
        </w:rPr>
      </w:pPr>
    </w:p>
    <w:p>
      <w:pPr>
        <w:autoSpaceDE w:val="0"/>
        <w:autoSpaceDN w:val="0"/>
        <w:adjustRightInd w:val="0"/>
        <w:jc w:val="left"/>
        <w:rPr>
          <w:rFonts w:ascii="宋体" w:hAnsi="宋体" w:cs="宋体"/>
          <w:kern w:val="0"/>
          <w:sz w:val="30"/>
          <w:szCs w:val="30"/>
        </w:rPr>
      </w:pPr>
    </w:p>
    <w:p>
      <w:pPr>
        <w:autoSpaceDE w:val="0"/>
        <w:autoSpaceDN w:val="0"/>
        <w:adjustRightInd w:val="0"/>
        <w:spacing w:line="600" w:lineRule="exact"/>
        <w:ind w:firstLine="700" w:firstLineChars="250"/>
        <w:jc w:val="left"/>
        <w:rPr>
          <w:rFonts w:ascii="宋体" w:hAnsi="宋体"/>
          <w:kern w:val="0"/>
          <w:sz w:val="28"/>
          <w:szCs w:val="28"/>
        </w:rPr>
      </w:pPr>
      <w:r>
        <w:rPr>
          <w:rFonts w:hint="eastAsia" w:ascii="宋体" w:hAnsi="宋体" w:cs="宋体"/>
          <w:kern w:val="0"/>
          <w:sz w:val="28"/>
          <w:szCs w:val="28"/>
        </w:rPr>
        <w:t>我公司郑重声明，我公司参加</w:t>
      </w:r>
      <w:r>
        <w:rPr>
          <w:rFonts w:hint="eastAsia" w:ascii="宋体" w:hAnsi="宋体" w:cs="宋体"/>
          <w:kern w:val="0"/>
          <w:sz w:val="28"/>
          <w:szCs w:val="28"/>
          <w:u w:val="single"/>
        </w:rPr>
        <w:t xml:space="preserve">  </w:t>
      </w:r>
      <w:r>
        <w:rPr>
          <w:rFonts w:hint="eastAsia" w:ascii="宋体" w:hAnsi="宋体" w:cs="宋体"/>
          <w:b/>
          <w:kern w:val="0"/>
          <w:sz w:val="28"/>
          <w:szCs w:val="28"/>
          <w:u w:val="single"/>
          <w:lang w:eastAsia="zh-CN"/>
        </w:rPr>
        <w:t>苍南县宜山镇道路照明提升工程设计、采购及安装项目</w:t>
      </w:r>
      <w:r>
        <w:rPr>
          <w:rFonts w:hint="eastAsia" w:ascii="宋体" w:hAnsi="宋体" w:cs="宋体"/>
          <w:b/>
          <w:kern w:val="0"/>
          <w:sz w:val="28"/>
          <w:szCs w:val="28"/>
        </w:rPr>
        <w:t>（招标编号：</w:t>
      </w:r>
      <w:r>
        <w:rPr>
          <w:rFonts w:hint="eastAsia" w:ascii="宋体" w:hAnsi="宋体" w:cs="宋体"/>
          <w:b/>
          <w:kern w:val="0"/>
          <w:sz w:val="28"/>
          <w:szCs w:val="28"/>
          <w:u w:val="single"/>
          <w:lang w:eastAsia="zh-CN"/>
        </w:rPr>
        <w:t>CNDL2021446</w:t>
      </w:r>
      <w:r>
        <w:rPr>
          <w:rFonts w:hint="eastAsia" w:ascii="宋体" w:hAnsi="宋体" w:cs="宋体"/>
          <w:b/>
          <w:kern w:val="0"/>
          <w:sz w:val="28"/>
          <w:szCs w:val="28"/>
          <w:u w:val="single"/>
        </w:rPr>
        <w:t xml:space="preserve"> </w:t>
      </w:r>
      <w:r>
        <w:rPr>
          <w:rFonts w:hint="eastAsia" w:ascii="宋体" w:hAnsi="宋体" w:cs="宋体"/>
          <w:b/>
          <w:kern w:val="0"/>
          <w:sz w:val="28"/>
          <w:szCs w:val="28"/>
        </w:rPr>
        <w:t>）</w:t>
      </w:r>
      <w:r>
        <w:rPr>
          <w:rFonts w:hint="eastAsia" w:ascii="宋体" w:hAnsi="宋体" w:cs="宋体"/>
          <w:kern w:val="0"/>
          <w:sz w:val="28"/>
          <w:szCs w:val="28"/>
        </w:rPr>
        <w:t>活动中所提交的</w:t>
      </w:r>
      <w:r>
        <w:rPr>
          <w:rFonts w:hint="eastAsia" w:ascii="宋体" w:hAnsi="宋体" w:cs="宋体"/>
          <w:kern w:val="0"/>
          <w:sz w:val="28"/>
          <w:szCs w:val="28"/>
          <w:lang w:eastAsia="zh-CN"/>
        </w:rPr>
        <w:t>磋商响应文件</w:t>
      </w:r>
      <w:r>
        <w:rPr>
          <w:rFonts w:hint="eastAsia" w:ascii="宋体" w:hAnsi="宋体" w:cs="宋体"/>
          <w:kern w:val="0"/>
          <w:sz w:val="28"/>
          <w:szCs w:val="28"/>
        </w:rPr>
        <w:t>所有内容真实、可靠，不存在虚假、造假行为。如有违反，愿承担一切责任。</w:t>
      </w:r>
      <w:r>
        <w:rPr>
          <w:rFonts w:ascii="宋体" w:hAnsi="宋体" w:cs="宋体"/>
          <w:kern w:val="0"/>
          <w:sz w:val="28"/>
          <w:szCs w:val="28"/>
        </w:rPr>
        <w:t xml:space="preserve"> </w:t>
      </w:r>
    </w:p>
    <w:p>
      <w:pPr>
        <w:autoSpaceDE w:val="0"/>
        <w:autoSpaceDN w:val="0"/>
        <w:adjustRightInd w:val="0"/>
        <w:spacing w:line="600" w:lineRule="exact"/>
        <w:ind w:firstLine="560" w:firstLineChars="200"/>
        <w:jc w:val="left"/>
        <w:rPr>
          <w:rFonts w:ascii="宋体" w:hAnsi="宋体"/>
          <w:kern w:val="0"/>
          <w:sz w:val="28"/>
          <w:szCs w:val="28"/>
        </w:rPr>
      </w:pPr>
      <w:r>
        <w:rPr>
          <w:rFonts w:hint="eastAsia" w:ascii="宋体" w:hAnsi="宋体" w:cs="宋体"/>
          <w:kern w:val="0"/>
          <w:sz w:val="28"/>
          <w:szCs w:val="28"/>
        </w:rPr>
        <w:t>特此声明</w:t>
      </w:r>
      <w:r>
        <w:rPr>
          <w:rFonts w:ascii="宋体" w:hAnsi="宋体" w:cs="宋体"/>
          <w:kern w:val="0"/>
          <w:sz w:val="28"/>
          <w:szCs w:val="28"/>
        </w:rPr>
        <w:t xml:space="preserve"> </w:t>
      </w:r>
    </w:p>
    <w:p>
      <w:pPr>
        <w:autoSpaceDE w:val="0"/>
        <w:autoSpaceDN w:val="0"/>
        <w:adjustRightInd w:val="0"/>
        <w:jc w:val="left"/>
        <w:rPr>
          <w:kern w:val="0"/>
          <w:sz w:val="24"/>
        </w:rPr>
      </w:pPr>
    </w:p>
    <w:p>
      <w:pPr>
        <w:autoSpaceDE w:val="0"/>
        <w:autoSpaceDN w:val="0"/>
        <w:adjustRightInd w:val="0"/>
        <w:jc w:val="left"/>
        <w:rPr>
          <w:kern w:val="0"/>
          <w:sz w:val="24"/>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autoSpaceDE w:val="0"/>
        <w:autoSpaceDN w:val="0"/>
        <w:adjustRightInd w:val="0"/>
        <w:spacing w:line="600" w:lineRule="exact"/>
        <w:jc w:val="left"/>
        <w:rPr>
          <w:rFonts w:ascii="宋体" w:hAnsi="宋体" w:cs="宋体"/>
          <w:kern w:val="0"/>
          <w:sz w:val="28"/>
          <w:szCs w:val="28"/>
        </w:rPr>
      </w:pPr>
      <w:r>
        <w:rPr>
          <w:rFonts w:hint="eastAsia" w:ascii="宋体" w:hAnsi="宋体" w:cs="宋体"/>
          <w:kern w:val="0"/>
          <w:sz w:val="28"/>
          <w:szCs w:val="28"/>
        </w:rPr>
        <w:t>投标供应商名称（盖章）：</w:t>
      </w:r>
      <w:r>
        <w:rPr>
          <w:rFonts w:hint="eastAsia" w:ascii="宋体" w:hAnsi="宋体" w:cs="宋体"/>
          <w:kern w:val="0"/>
          <w:sz w:val="28"/>
          <w:szCs w:val="28"/>
          <w:u w:val="single"/>
        </w:rPr>
        <w:t xml:space="preserve">                                   </w:t>
      </w:r>
    </w:p>
    <w:p>
      <w:pPr>
        <w:autoSpaceDE w:val="0"/>
        <w:autoSpaceDN w:val="0"/>
        <w:adjustRightInd w:val="0"/>
        <w:spacing w:line="600" w:lineRule="exact"/>
        <w:jc w:val="left"/>
        <w:rPr>
          <w:rFonts w:ascii="宋体" w:hAnsi="宋体" w:cs="宋体"/>
          <w:kern w:val="0"/>
          <w:sz w:val="28"/>
          <w:szCs w:val="28"/>
        </w:rPr>
      </w:pPr>
      <w:r>
        <w:rPr>
          <w:rFonts w:hint="eastAsia" w:ascii="宋体" w:hAnsi="宋体" w:cs="宋体"/>
          <w:kern w:val="0"/>
          <w:sz w:val="28"/>
          <w:szCs w:val="28"/>
        </w:rPr>
        <w:t>法定代表人或其授权代表（签字或盖章）：</w:t>
      </w:r>
      <w:r>
        <w:rPr>
          <w:rFonts w:hint="eastAsia" w:ascii="宋体" w:hAnsi="宋体" w:cs="宋体"/>
          <w:kern w:val="0"/>
          <w:sz w:val="28"/>
          <w:szCs w:val="28"/>
          <w:u w:val="single"/>
        </w:rPr>
        <w:t xml:space="preserve">                             </w:t>
      </w:r>
    </w:p>
    <w:p>
      <w:pPr>
        <w:autoSpaceDE w:val="0"/>
        <w:autoSpaceDN w:val="0"/>
        <w:adjustRightInd w:val="0"/>
        <w:spacing w:line="600" w:lineRule="exact"/>
        <w:jc w:val="left"/>
        <w:rPr>
          <w:rFonts w:ascii="宋体" w:hAnsi="宋体" w:cs="宋体"/>
          <w:kern w:val="0"/>
          <w:sz w:val="28"/>
          <w:szCs w:val="28"/>
          <w:u w:val="single"/>
        </w:rPr>
      </w:pPr>
      <w:r>
        <w:rPr>
          <w:rFonts w:hint="eastAsia" w:ascii="宋体" w:hAnsi="宋体" w:cs="宋体"/>
          <w:kern w:val="0"/>
          <w:sz w:val="28"/>
          <w:szCs w:val="28"/>
        </w:rPr>
        <w:t xml:space="preserve">日期： </w:t>
      </w:r>
      <w:r>
        <w:rPr>
          <w:rFonts w:hint="eastAsia" w:ascii="宋体" w:hAnsi="宋体" w:cs="宋体"/>
          <w:kern w:val="0"/>
          <w:sz w:val="28"/>
          <w:szCs w:val="28"/>
          <w:u w:val="single"/>
        </w:rPr>
        <w:t xml:space="preserve">                              </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格式1-3、《投标函》</w:t>
      </w:r>
    </w:p>
    <w:p>
      <w:pPr>
        <w:autoSpaceDE w:val="0"/>
        <w:autoSpaceDN w:val="0"/>
        <w:adjustRightInd w:val="0"/>
        <w:jc w:val="center"/>
        <w:rPr>
          <w:b/>
          <w:kern w:val="0"/>
          <w:sz w:val="48"/>
          <w:szCs w:val="48"/>
        </w:rPr>
      </w:pPr>
      <w:r>
        <w:rPr>
          <w:rFonts w:hint="eastAsia" w:ascii="宋体" w:hAnsi="宋体" w:cs="宋体"/>
          <w:b/>
          <w:kern w:val="0"/>
          <w:sz w:val="48"/>
          <w:szCs w:val="48"/>
        </w:rPr>
        <w:t>投标函</w:t>
      </w:r>
    </w:p>
    <w:p>
      <w:pPr>
        <w:autoSpaceDE w:val="0"/>
        <w:autoSpaceDN w:val="0"/>
        <w:adjustRightInd w:val="0"/>
        <w:spacing w:line="440" w:lineRule="exact"/>
        <w:jc w:val="left"/>
        <w:rPr>
          <w:b/>
          <w:kern w:val="0"/>
          <w:sz w:val="24"/>
          <w:u w:val="single"/>
        </w:rPr>
      </w:pPr>
      <w:r>
        <w:rPr>
          <w:rFonts w:hint="eastAsia" w:ascii="宋体" w:hAnsi="宋体" w:cs="宋体"/>
          <w:b/>
          <w:kern w:val="0"/>
          <w:sz w:val="24"/>
          <w:u w:val="single"/>
          <w:lang w:eastAsia="zh-CN"/>
        </w:rPr>
        <w:t>苍南县宜山镇人民政府</w:t>
      </w:r>
      <w:r>
        <w:rPr>
          <w:rFonts w:hint="eastAsia" w:ascii="宋体" w:hAnsi="宋体" w:cs="宋体"/>
          <w:b/>
          <w:kern w:val="0"/>
          <w:sz w:val="24"/>
          <w:u w:val="single"/>
        </w:rPr>
        <w:t>：</w:t>
      </w:r>
    </w:p>
    <w:p>
      <w:pPr>
        <w:autoSpaceDE w:val="0"/>
        <w:autoSpaceDN w:val="0"/>
        <w:adjustRightInd w:val="0"/>
        <w:spacing w:line="440" w:lineRule="exact"/>
        <w:ind w:firstLine="600" w:firstLineChars="250"/>
        <w:jc w:val="left"/>
        <w:rPr>
          <w:kern w:val="0"/>
          <w:sz w:val="24"/>
        </w:rPr>
      </w:pPr>
      <w:r>
        <w:rPr>
          <w:rFonts w:hint="eastAsia" w:ascii="宋体" w:hAnsi="宋体" w:cs="宋体"/>
          <w:kern w:val="0"/>
          <w:sz w:val="24"/>
        </w:rPr>
        <w:t>根据贵方为</w:t>
      </w:r>
      <w:r>
        <w:rPr>
          <w:rFonts w:hint="eastAsia" w:ascii="宋体" w:hAnsi="宋体" w:cs="宋体"/>
          <w:b/>
          <w:kern w:val="0"/>
          <w:sz w:val="24"/>
          <w:u w:val="single"/>
          <w:lang w:eastAsia="zh-CN"/>
        </w:rPr>
        <w:t>苍南县宜山镇道路照明提升工程设计、采购及安装项目</w:t>
      </w:r>
      <w:r>
        <w:rPr>
          <w:rFonts w:hint="eastAsia" w:ascii="宋体" w:hAnsi="宋体" w:cs="宋体"/>
          <w:kern w:val="0"/>
          <w:sz w:val="24"/>
        </w:rPr>
        <w:t>的</w:t>
      </w:r>
      <w:r>
        <w:rPr>
          <w:rFonts w:hint="eastAsia" w:ascii="宋体" w:hAnsi="宋体" w:cs="宋体"/>
          <w:kern w:val="0"/>
          <w:sz w:val="24"/>
          <w:lang w:eastAsia="zh-CN"/>
        </w:rPr>
        <w:t>竞争性磋商</w:t>
      </w:r>
      <w:r>
        <w:rPr>
          <w:rFonts w:hint="eastAsia" w:ascii="宋体" w:hAnsi="宋体" w:cs="宋体"/>
          <w:kern w:val="0"/>
          <w:sz w:val="24"/>
        </w:rPr>
        <w:t>采购公告（</w:t>
      </w:r>
      <w:r>
        <w:rPr>
          <w:rFonts w:hint="eastAsia" w:ascii="宋体" w:hAnsi="宋体" w:cs="宋体"/>
          <w:b/>
          <w:kern w:val="0"/>
          <w:sz w:val="24"/>
        </w:rPr>
        <w:t>项目编号：</w:t>
      </w:r>
      <w:r>
        <w:rPr>
          <w:rFonts w:hint="eastAsia" w:ascii="宋体" w:hAnsi="宋体" w:cs="宋体"/>
          <w:b/>
          <w:kern w:val="0"/>
          <w:sz w:val="24"/>
          <w:lang w:eastAsia="zh-CN"/>
        </w:rPr>
        <w:t>CNDL2021446</w:t>
      </w:r>
      <w:r>
        <w:rPr>
          <w:rFonts w:hint="eastAsia" w:ascii="宋体" w:hAnsi="宋体" w:cs="宋体"/>
          <w:b/>
          <w:kern w:val="0"/>
          <w:sz w:val="24"/>
        </w:rPr>
        <w:t xml:space="preserve"> </w:t>
      </w:r>
      <w:r>
        <w:rPr>
          <w:rFonts w:hint="eastAsia" w:ascii="宋体" w:hAnsi="宋体" w:cs="宋体"/>
          <w:kern w:val="0"/>
          <w:sz w:val="24"/>
        </w:rPr>
        <w:t>），签字代表</w:t>
      </w:r>
      <w:r>
        <w:rPr>
          <w:rFonts w:hint="eastAsia" w:ascii="宋体" w:hAnsi="宋体" w:cs="宋体"/>
          <w:kern w:val="0"/>
          <w:sz w:val="24"/>
          <w:u w:val="single"/>
        </w:rPr>
        <w:t xml:space="preserve">           </w:t>
      </w:r>
      <w:r>
        <w:rPr>
          <w:rFonts w:hint="eastAsia" w:ascii="宋体" w:hAnsi="宋体" w:cs="宋体"/>
          <w:kern w:val="0"/>
          <w:sz w:val="24"/>
        </w:rPr>
        <w:t xml:space="preserve">（全名）经正式授权并代表投标供应商 </w:t>
      </w:r>
      <w:r>
        <w:rPr>
          <w:rFonts w:hint="eastAsia" w:ascii="宋体" w:hAnsi="宋体" w:cs="宋体"/>
          <w:kern w:val="0"/>
          <w:sz w:val="24"/>
          <w:u w:val="single"/>
        </w:rPr>
        <w:t xml:space="preserve">             </w:t>
      </w:r>
      <w:r>
        <w:rPr>
          <w:rFonts w:hint="eastAsia" w:ascii="宋体" w:hAnsi="宋体" w:cs="宋体"/>
          <w:kern w:val="0"/>
          <w:sz w:val="24"/>
        </w:rPr>
        <w:t>（投标供应商名称）参与本次项目的投标，同时按《</w:t>
      </w:r>
      <w:r>
        <w:rPr>
          <w:rFonts w:hint="eastAsia" w:ascii="宋体" w:hAnsi="宋体" w:cs="宋体"/>
          <w:kern w:val="0"/>
          <w:sz w:val="24"/>
          <w:lang w:eastAsia="zh-CN"/>
        </w:rPr>
        <w:t>采购</w:t>
      </w:r>
      <w:r>
        <w:rPr>
          <w:rFonts w:hint="eastAsia" w:ascii="宋体" w:hAnsi="宋体" w:cs="宋体"/>
          <w:kern w:val="0"/>
          <w:sz w:val="24"/>
        </w:rPr>
        <w:t>文件》要求提交</w:t>
      </w:r>
      <w:r>
        <w:rPr>
          <w:rFonts w:hint="eastAsia" w:ascii="宋体" w:hAnsi="宋体" w:cs="宋体"/>
          <w:kern w:val="0"/>
          <w:sz w:val="24"/>
          <w:lang w:eastAsia="zh-CN"/>
        </w:rPr>
        <w:t>磋商响应文件</w:t>
      </w:r>
      <w:r>
        <w:rPr>
          <w:rFonts w:hint="eastAsia" w:ascii="宋体" w:hAnsi="宋体" w:cs="宋体"/>
          <w:kern w:val="0"/>
          <w:sz w:val="24"/>
        </w:rPr>
        <w:t>。据此函，签字代表宣布同意如下：</w:t>
      </w:r>
      <w:r>
        <w:rPr>
          <w:rFonts w:ascii="宋体" w:hAnsi="宋体" w:cs="宋体"/>
          <w:kern w:val="0"/>
          <w:sz w:val="24"/>
        </w:rPr>
        <w:t xml:space="preserve"> </w:t>
      </w:r>
    </w:p>
    <w:p>
      <w:pPr>
        <w:autoSpaceDE w:val="0"/>
        <w:autoSpaceDN w:val="0"/>
        <w:adjustRightInd w:val="0"/>
        <w:spacing w:line="440" w:lineRule="exact"/>
        <w:jc w:val="left"/>
        <w:rPr>
          <w:kern w:val="0"/>
          <w:sz w:val="24"/>
        </w:rPr>
      </w:pPr>
      <w:r>
        <w:rPr>
          <w:rFonts w:ascii="宋体" w:hAnsi="宋体" w:cs="宋体"/>
          <w:kern w:val="0"/>
          <w:sz w:val="24"/>
        </w:rPr>
        <w:t>1</w:t>
      </w:r>
      <w:r>
        <w:rPr>
          <w:rFonts w:hint="eastAsia" w:ascii="宋体" w:hAnsi="宋体" w:cs="宋体"/>
          <w:kern w:val="0"/>
          <w:sz w:val="24"/>
        </w:rPr>
        <w:t>、我方已详细阅读全部《</w:t>
      </w:r>
      <w:r>
        <w:rPr>
          <w:rFonts w:hint="eastAsia" w:ascii="宋体" w:hAnsi="宋体" w:cs="宋体"/>
          <w:kern w:val="0"/>
          <w:sz w:val="24"/>
          <w:lang w:eastAsia="zh-CN"/>
        </w:rPr>
        <w:t>采购</w:t>
      </w:r>
      <w:r>
        <w:rPr>
          <w:rFonts w:hint="eastAsia" w:ascii="宋体" w:hAnsi="宋体" w:cs="宋体"/>
          <w:kern w:val="0"/>
          <w:sz w:val="24"/>
        </w:rPr>
        <w:t>文件》，包括补充（更正）文件（如有）以及全部参考资料和有关附件，我方已经了解对于《</w:t>
      </w:r>
      <w:r>
        <w:rPr>
          <w:rFonts w:hint="eastAsia" w:ascii="宋体" w:hAnsi="宋体" w:cs="宋体"/>
          <w:kern w:val="0"/>
          <w:sz w:val="24"/>
          <w:lang w:eastAsia="zh-CN"/>
        </w:rPr>
        <w:t>采购</w:t>
      </w:r>
      <w:r>
        <w:rPr>
          <w:rFonts w:hint="eastAsia" w:ascii="宋体" w:hAnsi="宋体" w:cs="宋体"/>
          <w:kern w:val="0"/>
          <w:sz w:val="24"/>
        </w:rPr>
        <w:t>文件》、采购过程、采购结果有依法进行询问、质疑、投诉的权利及相关渠道和要求。</w:t>
      </w:r>
      <w:r>
        <w:rPr>
          <w:rFonts w:ascii="宋体" w:hAnsi="宋体" w:cs="宋体"/>
          <w:kern w:val="0"/>
          <w:sz w:val="24"/>
        </w:rPr>
        <w:t xml:space="preserve"> </w:t>
      </w:r>
    </w:p>
    <w:p>
      <w:pPr>
        <w:autoSpaceDE w:val="0"/>
        <w:autoSpaceDN w:val="0"/>
        <w:adjustRightInd w:val="0"/>
        <w:spacing w:line="440" w:lineRule="exact"/>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、我方向贵方提交的所有《</w:t>
      </w:r>
      <w:r>
        <w:rPr>
          <w:rFonts w:hint="eastAsia" w:ascii="宋体" w:hAnsi="宋体" w:cs="宋体"/>
          <w:kern w:val="0"/>
          <w:sz w:val="24"/>
          <w:lang w:eastAsia="zh-CN"/>
        </w:rPr>
        <w:t>磋商响应文件</w:t>
      </w:r>
      <w:r>
        <w:rPr>
          <w:rFonts w:hint="eastAsia" w:ascii="宋体" w:hAnsi="宋体" w:cs="宋体"/>
          <w:kern w:val="0"/>
          <w:sz w:val="24"/>
        </w:rPr>
        <w:t>》、资料都是准确和真实的；</w:t>
      </w:r>
    </w:p>
    <w:p>
      <w:pPr>
        <w:autoSpaceDE w:val="0"/>
        <w:autoSpaceDN w:val="0"/>
        <w:adjustRightInd w:val="0"/>
        <w:spacing w:line="440" w:lineRule="exact"/>
        <w:jc w:val="left"/>
        <w:rPr>
          <w:kern w:val="0"/>
          <w:sz w:val="24"/>
        </w:rPr>
      </w:pPr>
      <w:r>
        <w:rPr>
          <w:rFonts w:ascii="宋体" w:hAnsi="宋体" w:cs="宋体"/>
          <w:kern w:val="0"/>
          <w:sz w:val="24"/>
        </w:rPr>
        <w:t>3</w:t>
      </w:r>
      <w:r>
        <w:rPr>
          <w:rFonts w:hint="eastAsia" w:ascii="宋体" w:hAnsi="宋体" w:cs="宋体"/>
          <w:kern w:val="0"/>
          <w:sz w:val="24"/>
        </w:rPr>
        <w:t>、我方不是采购人的附属机构；在获知本项目采购信息后，与采购人聘请的为此项目提供咨询服务的公司及其附属机构没有任何关系；</w:t>
      </w:r>
      <w:r>
        <w:rPr>
          <w:rFonts w:ascii="宋体" w:hAnsi="宋体" w:cs="宋体"/>
          <w:kern w:val="0"/>
          <w:sz w:val="24"/>
        </w:rPr>
        <w:t xml:space="preserve"> </w:t>
      </w:r>
    </w:p>
    <w:p>
      <w:pPr>
        <w:autoSpaceDE w:val="0"/>
        <w:autoSpaceDN w:val="0"/>
        <w:adjustRightInd w:val="0"/>
        <w:spacing w:line="440" w:lineRule="exact"/>
        <w:jc w:val="left"/>
        <w:rPr>
          <w:kern w:val="0"/>
          <w:sz w:val="24"/>
        </w:rPr>
      </w:pPr>
      <w:r>
        <w:rPr>
          <w:rFonts w:ascii="宋体" w:hAnsi="宋体" w:cs="宋体"/>
          <w:kern w:val="0"/>
          <w:sz w:val="24"/>
        </w:rPr>
        <w:t>4</w:t>
      </w:r>
      <w:r>
        <w:rPr>
          <w:rFonts w:hint="eastAsia" w:ascii="宋体" w:hAnsi="宋体" w:cs="宋体"/>
          <w:kern w:val="0"/>
          <w:sz w:val="24"/>
        </w:rPr>
        <w:t>、我方在投标之前已经与贵方进行了充分的沟通，完全理解并接受《</w:t>
      </w:r>
      <w:r>
        <w:rPr>
          <w:rFonts w:hint="eastAsia" w:ascii="宋体" w:hAnsi="宋体" w:cs="宋体"/>
          <w:kern w:val="0"/>
          <w:sz w:val="24"/>
          <w:lang w:eastAsia="zh-CN"/>
        </w:rPr>
        <w:t>采购</w:t>
      </w:r>
      <w:r>
        <w:rPr>
          <w:rFonts w:hint="eastAsia" w:ascii="宋体" w:hAnsi="宋体" w:cs="宋体"/>
          <w:kern w:val="0"/>
          <w:sz w:val="24"/>
        </w:rPr>
        <w:t>文件》的各项规定和要求，对《</w:t>
      </w:r>
      <w:r>
        <w:rPr>
          <w:rFonts w:hint="eastAsia" w:ascii="宋体" w:hAnsi="宋体" w:cs="宋体"/>
          <w:kern w:val="0"/>
          <w:sz w:val="24"/>
          <w:lang w:eastAsia="zh-CN"/>
        </w:rPr>
        <w:t>采购</w:t>
      </w:r>
      <w:r>
        <w:rPr>
          <w:rFonts w:hint="eastAsia" w:ascii="宋体" w:hAnsi="宋体" w:cs="宋体"/>
          <w:kern w:val="0"/>
          <w:sz w:val="24"/>
        </w:rPr>
        <w:t>文件》的合理性、合法性不再有异议；</w:t>
      </w:r>
      <w:r>
        <w:rPr>
          <w:rFonts w:ascii="宋体" w:hAnsi="宋体" w:cs="宋体"/>
          <w:kern w:val="0"/>
          <w:sz w:val="24"/>
        </w:rPr>
        <w:t xml:space="preserve"> </w:t>
      </w:r>
    </w:p>
    <w:p>
      <w:pPr>
        <w:autoSpaceDE w:val="0"/>
        <w:autoSpaceDN w:val="0"/>
        <w:adjustRightInd w:val="0"/>
        <w:spacing w:line="440" w:lineRule="exact"/>
        <w:jc w:val="left"/>
        <w:rPr>
          <w:kern w:val="0"/>
          <w:sz w:val="24"/>
        </w:rPr>
      </w:pPr>
      <w:r>
        <w:rPr>
          <w:rFonts w:ascii="宋体" w:hAnsi="宋体" w:cs="宋体"/>
          <w:kern w:val="0"/>
          <w:sz w:val="24"/>
        </w:rPr>
        <w:t>5</w:t>
      </w:r>
      <w:r>
        <w:rPr>
          <w:rFonts w:hint="eastAsia" w:ascii="宋体" w:hAnsi="宋体" w:cs="宋体"/>
          <w:kern w:val="0"/>
          <w:sz w:val="24"/>
        </w:rPr>
        <w:t>、我方将按《</w:t>
      </w:r>
      <w:r>
        <w:rPr>
          <w:rFonts w:hint="eastAsia" w:ascii="宋体" w:hAnsi="宋体" w:cs="宋体"/>
          <w:kern w:val="0"/>
          <w:sz w:val="24"/>
          <w:lang w:eastAsia="zh-CN"/>
        </w:rPr>
        <w:t>采购</w:t>
      </w:r>
      <w:r>
        <w:rPr>
          <w:rFonts w:hint="eastAsia" w:ascii="宋体" w:hAnsi="宋体" w:cs="宋体"/>
          <w:kern w:val="0"/>
          <w:sz w:val="24"/>
        </w:rPr>
        <w:t>文件》的规定履行合同责任和义务；</w:t>
      </w:r>
    </w:p>
    <w:p>
      <w:pPr>
        <w:autoSpaceDE w:val="0"/>
        <w:autoSpaceDN w:val="0"/>
        <w:adjustRightInd w:val="0"/>
        <w:spacing w:line="440" w:lineRule="exact"/>
        <w:jc w:val="left"/>
        <w:rPr>
          <w:kern w:val="0"/>
          <w:sz w:val="24"/>
        </w:rPr>
      </w:pPr>
      <w:r>
        <w:rPr>
          <w:rFonts w:ascii="宋体" w:hAnsi="宋体" w:cs="宋体"/>
          <w:kern w:val="0"/>
          <w:sz w:val="24"/>
        </w:rPr>
        <w:t>6</w:t>
      </w:r>
      <w:r>
        <w:rPr>
          <w:rFonts w:hint="eastAsia" w:ascii="宋体" w:hAnsi="宋体" w:cs="宋体"/>
          <w:kern w:val="0"/>
          <w:sz w:val="24"/>
        </w:rPr>
        <w:t>、我方投标报价以我方</w:t>
      </w:r>
      <w:r>
        <w:rPr>
          <w:rFonts w:ascii="宋体" w:hAnsi="宋体" w:cs="宋体"/>
          <w:kern w:val="0"/>
          <w:sz w:val="24"/>
        </w:rPr>
        <w:t xml:space="preserve"> “</w:t>
      </w:r>
      <w:r>
        <w:rPr>
          <w:rFonts w:hint="eastAsia" w:ascii="宋体" w:hAnsi="宋体" w:cs="宋体"/>
          <w:kern w:val="0"/>
          <w:sz w:val="24"/>
        </w:rPr>
        <w:t>报价文件</w:t>
      </w:r>
      <w:r>
        <w:rPr>
          <w:rFonts w:ascii="宋体" w:hAnsi="宋体" w:cs="宋体"/>
          <w:kern w:val="0"/>
          <w:sz w:val="24"/>
        </w:rPr>
        <w:t>”</w:t>
      </w:r>
      <w:r>
        <w:rPr>
          <w:rFonts w:hint="eastAsia" w:ascii="宋体" w:hAnsi="宋体" w:cs="宋体"/>
          <w:kern w:val="0"/>
          <w:sz w:val="24"/>
        </w:rPr>
        <w:t>中《投标一览表》所列投标报价（大写）为准；</w:t>
      </w:r>
    </w:p>
    <w:p>
      <w:pPr>
        <w:autoSpaceDE w:val="0"/>
        <w:autoSpaceDN w:val="0"/>
        <w:adjustRightInd w:val="0"/>
        <w:spacing w:line="440" w:lineRule="exact"/>
        <w:jc w:val="left"/>
        <w:rPr>
          <w:kern w:val="0"/>
          <w:sz w:val="24"/>
        </w:rPr>
      </w:pPr>
      <w:r>
        <w:rPr>
          <w:rFonts w:ascii="宋体" w:hAnsi="宋体" w:cs="宋体"/>
          <w:kern w:val="0"/>
          <w:sz w:val="24"/>
        </w:rPr>
        <w:t>7</w:t>
      </w:r>
      <w:r>
        <w:rPr>
          <w:rFonts w:hint="eastAsia" w:ascii="宋体" w:hAnsi="宋体" w:cs="宋体"/>
          <w:kern w:val="0"/>
          <w:sz w:val="24"/>
        </w:rPr>
        <w:t>、本</w:t>
      </w:r>
      <w:r>
        <w:rPr>
          <w:rFonts w:hint="eastAsia" w:ascii="宋体" w:hAnsi="宋体" w:cs="宋体"/>
          <w:kern w:val="0"/>
          <w:sz w:val="24"/>
          <w:lang w:eastAsia="zh-CN"/>
        </w:rPr>
        <w:t>磋商响应文件</w:t>
      </w:r>
      <w:r>
        <w:rPr>
          <w:rFonts w:hint="eastAsia" w:ascii="宋体" w:hAnsi="宋体" w:cs="宋体"/>
          <w:kern w:val="0"/>
          <w:sz w:val="24"/>
        </w:rPr>
        <w:t>有效期为自投标截止之日起</w:t>
      </w:r>
      <w:r>
        <w:rPr>
          <w:rFonts w:ascii="宋体" w:hAnsi="宋体" w:cs="宋体"/>
          <w:kern w:val="0"/>
          <w:sz w:val="24"/>
        </w:rPr>
        <w:t xml:space="preserve"> </w:t>
      </w:r>
      <w:r>
        <w:rPr>
          <w:rFonts w:hint="eastAsia" w:ascii="宋体" w:hAnsi="宋体" w:cs="宋体"/>
          <w:kern w:val="0"/>
          <w:sz w:val="24"/>
          <w:lang w:val="en-US" w:eastAsia="zh-CN"/>
        </w:rPr>
        <w:t>9</w:t>
      </w:r>
      <w:r>
        <w:rPr>
          <w:rFonts w:ascii="宋体" w:hAnsi="宋体" w:cs="宋体"/>
          <w:kern w:val="0"/>
          <w:sz w:val="24"/>
        </w:rPr>
        <w:t>0</w:t>
      </w:r>
      <w:r>
        <w:rPr>
          <w:rFonts w:hint="eastAsia" w:ascii="宋体" w:hAnsi="宋体" w:cs="宋体"/>
          <w:kern w:val="0"/>
          <w:sz w:val="24"/>
        </w:rPr>
        <w:t>个日历天。</w:t>
      </w:r>
      <w:r>
        <w:rPr>
          <w:rFonts w:ascii="宋体" w:hAnsi="宋体" w:cs="宋体"/>
          <w:kern w:val="0"/>
          <w:sz w:val="24"/>
        </w:rPr>
        <w:t xml:space="preserve"> </w:t>
      </w:r>
    </w:p>
    <w:p>
      <w:pPr>
        <w:autoSpaceDE w:val="0"/>
        <w:autoSpaceDN w:val="0"/>
        <w:adjustRightInd w:val="0"/>
        <w:spacing w:line="440" w:lineRule="exact"/>
        <w:jc w:val="left"/>
        <w:rPr>
          <w:kern w:val="0"/>
          <w:sz w:val="24"/>
        </w:rPr>
      </w:pPr>
      <w:r>
        <w:rPr>
          <w:rFonts w:ascii="宋体" w:hAnsi="宋体" w:cs="宋体"/>
          <w:kern w:val="0"/>
          <w:sz w:val="24"/>
        </w:rPr>
        <w:t>8</w:t>
      </w:r>
      <w:r>
        <w:rPr>
          <w:rFonts w:hint="eastAsia" w:ascii="宋体" w:hAnsi="宋体" w:cs="宋体"/>
          <w:kern w:val="0"/>
          <w:sz w:val="24"/>
        </w:rPr>
        <w:t>、如中标（成交），本《</w:t>
      </w:r>
      <w:r>
        <w:rPr>
          <w:rFonts w:hint="eastAsia" w:ascii="宋体" w:hAnsi="宋体" w:cs="宋体"/>
          <w:kern w:val="0"/>
          <w:sz w:val="24"/>
          <w:lang w:eastAsia="zh-CN"/>
        </w:rPr>
        <w:t>磋商响应文件</w:t>
      </w:r>
      <w:r>
        <w:rPr>
          <w:rFonts w:hint="eastAsia" w:ascii="宋体" w:hAnsi="宋体" w:cs="宋体"/>
          <w:kern w:val="0"/>
          <w:sz w:val="24"/>
        </w:rPr>
        <w:t>》至本项目合同履行完毕止均保持有效，我方将按《</w:t>
      </w:r>
      <w:r>
        <w:rPr>
          <w:rFonts w:hint="eastAsia" w:ascii="宋体" w:hAnsi="宋体" w:cs="宋体"/>
          <w:kern w:val="0"/>
          <w:sz w:val="24"/>
          <w:lang w:eastAsia="zh-CN"/>
        </w:rPr>
        <w:t>采购</w:t>
      </w:r>
      <w:r>
        <w:rPr>
          <w:rFonts w:hint="eastAsia" w:ascii="宋体" w:hAnsi="宋体" w:cs="宋体"/>
          <w:kern w:val="0"/>
          <w:sz w:val="24"/>
        </w:rPr>
        <w:t>文件》、政府采购法律、法规的规定以及</w:t>
      </w:r>
      <w:r>
        <w:rPr>
          <w:rFonts w:hint="eastAsia" w:ascii="宋体" w:hAnsi="宋体" w:cs="宋体"/>
          <w:kern w:val="0"/>
          <w:sz w:val="24"/>
          <w:lang w:eastAsia="zh-CN"/>
        </w:rPr>
        <w:t>磋商响应文件</w:t>
      </w:r>
      <w:r>
        <w:rPr>
          <w:rFonts w:hint="eastAsia" w:ascii="宋体" w:hAnsi="宋体" w:cs="宋体"/>
          <w:kern w:val="0"/>
          <w:sz w:val="24"/>
        </w:rPr>
        <w:t>承诺履行合同责任和义务。</w:t>
      </w:r>
    </w:p>
    <w:p>
      <w:pPr>
        <w:autoSpaceDE w:val="0"/>
        <w:autoSpaceDN w:val="0"/>
        <w:adjustRightInd w:val="0"/>
        <w:spacing w:line="440" w:lineRule="exact"/>
        <w:jc w:val="left"/>
        <w:rPr>
          <w:kern w:val="0"/>
          <w:sz w:val="24"/>
        </w:rPr>
      </w:pPr>
      <w:r>
        <w:rPr>
          <w:rFonts w:ascii="宋体" w:hAnsi="宋体" w:cs="宋体"/>
          <w:kern w:val="0"/>
          <w:sz w:val="24"/>
        </w:rPr>
        <w:t>9</w:t>
      </w:r>
      <w:r>
        <w:rPr>
          <w:rFonts w:hint="eastAsia" w:ascii="宋体" w:hAnsi="宋体" w:cs="宋体"/>
          <w:kern w:val="0"/>
          <w:sz w:val="24"/>
        </w:rPr>
        <w:t>、我方同意按照贵方要求提供与投标有关的一切数据或资料。</w:t>
      </w:r>
    </w:p>
    <w:p>
      <w:pPr>
        <w:pStyle w:val="22"/>
        <w:adjustRightInd w:val="0"/>
        <w:snapToGrid w:val="0"/>
        <w:spacing w:line="440" w:lineRule="exact"/>
        <w:rPr>
          <w:rFonts w:hAnsi="宋体" w:cs="宋体"/>
          <w:kern w:val="0"/>
          <w:sz w:val="24"/>
          <w:szCs w:val="24"/>
        </w:rPr>
      </w:pPr>
    </w:p>
    <w:p>
      <w:pPr>
        <w:autoSpaceDE w:val="0"/>
        <w:autoSpaceDN w:val="0"/>
        <w:adjustRightInd w:val="0"/>
        <w:spacing w:line="440" w:lineRule="exact"/>
        <w:jc w:val="left"/>
        <w:rPr>
          <w:kern w:val="0"/>
          <w:sz w:val="24"/>
        </w:rPr>
      </w:pPr>
      <w:r>
        <w:rPr>
          <w:rFonts w:hint="eastAsia" w:ascii="宋体" w:hAnsi="宋体" w:cs="宋体"/>
          <w:kern w:val="0"/>
          <w:sz w:val="24"/>
        </w:rPr>
        <w:t>投标供应商名称（公章）：</w:t>
      </w:r>
      <w:r>
        <w:rPr>
          <w:rFonts w:hint="eastAsia" w:ascii="宋体" w:hAnsi="宋体" w:cs="宋体"/>
          <w:kern w:val="0"/>
          <w:sz w:val="24"/>
          <w:u w:val="single"/>
        </w:rPr>
        <w:t xml:space="preserve">                                                    </w:t>
      </w:r>
      <w:r>
        <w:rPr>
          <w:rFonts w:hint="eastAsia" w:ascii="宋体" w:hAnsi="宋体" w:cs="宋体"/>
          <w:kern w:val="0"/>
          <w:sz w:val="24"/>
        </w:rPr>
        <w:t xml:space="preserve">  </w:t>
      </w:r>
    </w:p>
    <w:p>
      <w:pPr>
        <w:autoSpaceDE w:val="0"/>
        <w:autoSpaceDN w:val="0"/>
        <w:adjustRightInd w:val="0"/>
        <w:spacing w:line="440" w:lineRule="exact"/>
        <w:jc w:val="left"/>
        <w:rPr>
          <w:kern w:val="0"/>
          <w:sz w:val="24"/>
        </w:rPr>
      </w:pPr>
      <w:r>
        <w:rPr>
          <w:rFonts w:hint="eastAsia" w:ascii="宋体" w:hAnsi="宋体" w:cs="宋体"/>
          <w:kern w:val="0"/>
          <w:sz w:val="24"/>
        </w:rPr>
        <w:t>法定代表人或授权代表姓名：</w:t>
      </w:r>
      <w:r>
        <w:rPr>
          <w:rFonts w:hint="eastAsia" w:ascii="宋体" w:hAnsi="宋体" w:cs="宋体"/>
          <w:kern w:val="0"/>
          <w:sz w:val="24"/>
          <w:u w:val="single"/>
        </w:rPr>
        <w:t xml:space="preserve">                     </w:t>
      </w:r>
      <w:r>
        <w:rPr>
          <w:rFonts w:hint="eastAsia" w:ascii="宋体" w:hAnsi="宋体" w:cs="宋体"/>
          <w:kern w:val="0"/>
          <w:sz w:val="24"/>
        </w:rPr>
        <w:t>职务：</w:t>
      </w:r>
      <w:r>
        <w:rPr>
          <w:rFonts w:hint="eastAsia" w:ascii="宋体" w:hAnsi="宋体" w:cs="宋体"/>
          <w:kern w:val="0"/>
          <w:sz w:val="24"/>
          <w:u w:val="single"/>
        </w:rPr>
        <w:t xml:space="preserve">                       </w:t>
      </w:r>
    </w:p>
    <w:p>
      <w:pPr>
        <w:pStyle w:val="22"/>
        <w:adjustRightInd w:val="0"/>
        <w:snapToGrid w:val="0"/>
        <w:spacing w:line="440" w:lineRule="exact"/>
        <w:rPr>
          <w:rFonts w:hAnsi="宋体" w:cs="宋体"/>
          <w:kern w:val="0"/>
          <w:sz w:val="24"/>
          <w:szCs w:val="24"/>
          <w:u w:val="single"/>
        </w:rPr>
      </w:pPr>
      <w:r>
        <w:rPr>
          <w:rFonts w:hint="eastAsia" w:hAnsi="宋体" w:cs="宋体"/>
          <w:kern w:val="0"/>
          <w:sz w:val="24"/>
          <w:szCs w:val="24"/>
        </w:rPr>
        <w:t>法定代表人或授权代表（签字或盖章）：</w:t>
      </w:r>
      <w:r>
        <w:rPr>
          <w:rFonts w:hint="eastAsia" w:hAnsi="宋体" w:cs="宋体"/>
          <w:kern w:val="0"/>
          <w:sz w:val="24"/>
          <w:szCs w:val="24"/>
          <w:u w:val="single"/>
        </w:rPr>
        <w:t xml:space="preserve">                        </w:t>
      </w:r>
    </w:p>
    <w:p>
      <w:pPr>
        <w:pStyle w:val="22"/>
        <w:adjustRightInd w:val="0"/>
        <w:snapToGrid w:val="0"/>
        <w:spacing w:line="440" w:lineRule="exact"/>
        <w:rPr>
          <w:rFonts w:hAnsi="宋体" w:cs="宋体"/>
          <w:kern w:val="0"/>
          <w:sz w:val="24"/>
          <w:szCs w:val="24"/>
        </w:rPr>
      </w:pPr>
      <w:r>
        <w:rPr>
          <w:rFonts w:hint="eastAsia" w:hAnsi="宋体" w:cs="宋体"/>
          <w:kern w:val="0"/>
          <w:sz w:val="24"/>
          <w:szCs w:val="24"/>
        </w:rPr>
        <w:t>法定代表人或授权代表手机号码：</w:t>
      </w:r>
      <w:r>
        <w:rPr>
          <w:rFonts w:hint="eastAsia" w:hAnsi="宋体" w:cs="宋体"/>
          <w:kern w:val="0"/>
          <w:sz w:val="24"/>
          <w:szCs w:val="24"/>
          <w:u w:val="single"/>
        </w:rPr>
        <w:t xml:space="preserve">                              </w:t>
      </w:r>
      <w:r>
        <w:rPr>
          <w:rFonts w:hint="eastAsia" w:hAnsi="宋体" w:cs="宋体"/>
          <w:kern w:val="0"/>
          <w:sz w:val="24"/>
          <w:szCs w:val="24"/>
        </w:rPr>
        <w:t xml:space="preserve"> </w:t>
      </w:r>
    </w:p>
    <w:p>
      <w:pPr>
        <w:autoSpaceDE w:val="0"/>
        <w:autoSpaceDN w:val="0"/>
        <w:adjustRightInd w:val="0"/>
        <w:spacing w:line="440" w:lineRule="exact"/>
        <w:jc w:val="left"/>
        <w:rPr>
          <w:kern w:val="0"/>
          <w:sz w:val="24"/>
        </w:rPr>
      </w:pPr>
      <w:r>
        <w:rPr>
          <w:rFonts w:hint="eastAsia" w:ascii="宋体" w:hAnsi="宋体" w:cs="宋体"/>
          <w:kern w:val="0"/>
          <w:sz w:val="24"/>
        </w:rPr>
        <w:t>单位地址：</w:t>
      </w:r>
      <w:r>
        <w:rPr>
          <w:rFonts w:hint="eastAsia" w:ascii="宋体" w:hAnsi="宋体" w:cs="宋体"/>
          <w:kern w:val="0"/>
          <w:sz w:val="24"/>
          <w:u w:val="single"/>
        </w:rPr>
        <w:t xml:space="preserve">                                     </w:t>
      </w:r>
      <w:r>
        <w:rPr>
          <w:rFonts w:hint="eastAsia" w:ascii="宋体" w:hAnsi="宋体" w:cs="宋体"/>
          <w:kern w:val="0"/>
          <w:sz w:val="24"/>
        </w:rPr>
        <w:t>邮编：</w:t>
      </w:r>
      <w:r>
        <w:rPr>
          <w:rFonts w:hint="eastAsia" w:ascii="宋体" w:hAnsi="宋体" w:cs="宋体"/>
          <w:kern w:val="0"/>
          <w:sz w:val="24"/>
          <w:u w:val="single"/>
        </w:rPr>
        <w:t xml:space="preserve">                       </w:t>
      </w:r>
    </w:p>
    <w:p>
      <w:pPr>
        <w:autoSpaceDE w:val="0"/>
        <w:autoSpaceDN w:val="0"/>
        <w:adjustRightInd w:val="0"/>
        <w:spacing w:line="440" w:lineRule="exact"/>
        <w:jc w:val="left"/>
        <w:rPr>
          <w:rFonts w:ascii="宋体" w:hAnsi="宋体" w:cs="宋体"/>
          <w:kern w:val="0"/>
          <w:sz w:val="24"/>
        </w:rPr>
      </w:pPr>
      <w:r>
        <w:rPr>
          <w:rFonts w:hint="eastAsia" w:ascii="宋体" w:hAnsi="宋体" w:cs="宋体"/>
          <w:kern w:val="0"/>
          <w:sz w:val="24"/>
        </w:rPr>
        <w:t xml:space="preserve">单位电话： </w:t>
      </w:r>
      <w:r>
        <w:rPr>
          <w:rFonts w:hint="eastAsia" w:ascii="宋体" w:hAnsi="宋体" w:cs="宋体"/>
          <w:kern w:val="0"/>
          <w:sz w:val="24"/>
          <w:u w:val="single"/>
        </w:rPr>
        <w:t xml:space="preserve">                                    </w:t>
      </w:r>
      <w:r>
        <w:rPr>
          <w:rFonts w:hint="eastAsia" w:ascii="宋体" w:hAnsi="宋体" w:cs="宋体"/>
          <w:kern w:val="0"/>
          <w:sz w:val="24"/>
        </w:rPr>
        <w:t xml:space="preserve">单位传真： </w:t>
      </w:r>
      <w:r>
        <w:rPr>
          <w:rFonts w:hint="eastAsia" w:ascii="宋体" w:hAnsi="宋体" w:cs="宋体"/>
          <w:kern w:val="0"/>
          <w:sz w:val="24"/>
          <w:u w:val="single"/>
        </w:rPr>
        <w:t xml:space="preserve">                  </w:t>
      </w:r>
      <w:r>
        <w:rPr>
          <w:rFonts w:hint="eastAsia" w:ascii="宋体" w:hAnsi="宋体" w:cs="宋体"/>
          <w:kern w:val="0"/>
          <w:sz w:val="24"/>
        </w:rPr>
        <w:t xml:space="preserve"> </w:t>
      </w:r>
    </w:p>
    <w:p>
      <w:pPr>
        <w:pStyle w:val="22"/>
        <w:adjustRightInd w:val="0"/>
        <w:snapToGrid w:val="0"/>
        <w:spacing w:line="440" w:lineRule="exact"/>
        <w:rPr>
          <w:rFonts w:hAnsi="宋体" w:cs="宋体"/>
          <w:kern w:val="0"/>
          <w:sz w:val="24"/>
          <w:szCs w:val="24"/>
        </w:rPr>
      </w:pPr>
      <w:r>
        <w:rPr>
          <w:rFonts w:hint="eastAsia" w:hAnsi="宋体" w:cs="宋体"/>
          <w:kern w:val="0"/>
          <w:sz w:val="24"/>
          <w:szCs w:val="24"/>
        </w:rPr>
        <w:t>开户银行：</w:t>
      </w:r>
      <w:r>
        <w:rPr>
          <w:rFonts w:hint="eastAsia" w:hAnsi="宋体" w:cs="宋体"/>
          <w:kern w:val="0"/>
          <w:sz w:val="24"/>
          <w:szCs w:val="24"/>
          <w:u w:val="single"/>
        </w:rPr>
        <w:t xml:space="preserve">                                 </w:t>
      </w:r>
      <w:r>
        <w:rPr>
          <w:rFonts w:hint="eastAsia" w:hAnsi="宋体" w:cs="宋体"/>
          <w:kern w:val="0"/>
          <w:sz w:val="24"/>
          <w:szCs w:val="24"/>
        </w:rPr>
        <w:t>银行帐号：</w:t>
      </w:r>
      <w:r>
        <w:rPr>
          <w:rFonts w:hint="eastAsia" w:hAnsi="宋体" w:cs="宋体"/>
          <w:kern w:val="0"/>
          <w:sz w:val="24"/>
          <w:szCs w:val="24"/>
          <w:u w:val="single"/>
        </w:rPr>
        <w:t xml:space="preserve">                        </w:t>
      </w:r>
    </w:p>
    <w:p>
      <w:pPr>
        <w:pStyle w:val="22"/>
        <w:adjustRightInd w:val="0"/>
        <w:snapToGrid w:val="0"/>
        <w:spacing w:line="440" w:lineRule="exact"/>
        <w:rPr>
          <w:rFonts w:hAnsi="宋体" w:cs="宋体"/>
          <w:kern w:val="0"/>
          <w:sz w:val="24"/>
          <w:szCs w:val="24"/>
        </w:rPr>
      </w:pPr>
      <w:r>
        <w:rPr>
          <w:rFonts w:hint="eastAsia" w:hAnsi="宋体" w:cs="宋体"/>
          <w:kern w:val="0"/>
          <w:sz w:val="24"/>
          <w:szCs w:val="24"/>
        </w:rPr>
        <w:t>日</w:t>
      </w:r>
      <w:r>
        <w:rPr>
          <w:rFonts w:hAnsi="宋体" w:cs="宋体"/>
          <w:kern w:val="0"/>
          <w:sz w:val="24"/>
          <w:szCs w:val="24"/>
        </w:rPr>
        <w:t xml:space="preserve">    </w:t>
      </w:r>
      <w:r>
        <w:rPr>
          <w:rFonts w:hint="eastAsia" w:hAnsi="宋体" w:cs="宋体"/>
          <w:kern w:val="0"/>
          <w:sz w:val="24"/>
          <w:szCs w:val="24"/>
        </w:rPr>
        <w:t>期：</w:t>
      </w:r>
      <w:r>
        <w:rPr>
          <w:rFonts w:hint="eastAsia" w:hAnsi="宋体" w:cs="宋体"/>
          <w:kern w:val="0"/>
          <w:sz w:val="24"/>
          <w:szCs w:val="24"/>
          <w:u w:val="single"/>
        </w:rPr>
        <w:t xml:space="preserve">     </w:t>
      </w:r>
      <w:r>
        <w:rPr>
          <w:rFonts w:hint="eastAsia" w:hAnsi="宋体" w:cs="宋体"/>
          <w:kern w:val="0"/>
          <w:sz w:val="24"/>
          <w:szCs w:val="24"/>
        </w:rPr>
        <w:t>年</w:t>
      </w:r>
      <w:r>
        <w:rPr>
          <w:rFonts w:hint="eastAsia" w:hAnsi="宋体" w:cs="宋体"/>
          <w:kern w:val="0"/>
          <w:sz w:val="24"/>
          <w:szCs w:val="24"/>
          <w:u w:val="single"/>
        </w:rPr>
        <w:t xml:space="preserve">     </w:t>
      </w:r>
      <w:r>
        <w:rPr>
          <w:rFonts w:hint="eastAsia" w:hAnsi="宋体" w:cs="宋体"/>
          <w:kern w:val="0"/>
          <w:sz w:val="24"/>
          <w:szCs w:val="24"/>
        </w:rPr>
        <w:t>月</w:t>
      </w:r>
      <w:r>
        <w:rPr>
          <w:rFonts w:hint="eastAsia" w:hAnsi="宋体" w:cs="宋体"/>
          <w:kern w:val="0"/>
          <w:sz w:val="24"/>
          <w:szCs w:val="24"/>
          <w:u w:val="single"/>
        </w:rPr>
        <w:t xml:space="preserve">     </w:t>
      </w:r>
      <w:r>
        <w:rPr>
          <w:rFonts w:hint="eastAsia" w:hAnsi="宋体" w:cs="宋体"/>
          <w:kern w:val="0"/>
          <w:sz w:val="24"/>
          <w:szCs w:val="24"/>
        </w:rPr>
        <w:t>日</w:t>
      </w: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格式1-</w:t>
      </w:r>
      <w:r>
        <w:rPr>
          <w:rFonts w:hint="eastAsia" w:hAnsi="宋体" w:cs="宋体"/>
          <w:kern w:val="0"/>
          <w:sz w:val="28"/>
          <w:szCs w:val="28"/>
          <w:lang w:val="en-US" w:eastAsia="zh-CN"/>
        </w:rPr>
        <w:t>4</w:t>
      </w:r>
      <w:r>
        <w:rPr>
          <w:rFonts w:hint="eastAsia" w:hAnsi="宋体" w:cs="宋体"/>
          <w:kern w:val="0"/>
          <w:sz w:val="28"/>
          <w:szCs w:val="28"/>
        </w:rPr>
        <w:t>、《法定代表人授权委托书》</w:t>
      </w:r>
    </w:p>
    <w:p>
      <w:pPr>
        <w:pStyle w:val="22"/>
        <w:adjustRightInd w:val="0"/>
        <w:snapToGrid w:val="0"/>
        <w:spacing w:line="340" w:lineRule="atLeast"/>
        <w:rPr>
          <w:rFonts w:hAnsi="宋体" w:cs="宋体"/>
          <w:kern w:val="0"/>
          <w:sz w:val="28"/>
          <w:szCs w:val="28"/>
        </w:rPr>
      </w:pPr>
    </w:p>
    <w:p>
      <w:pPr>
        <w:tabs>
          <w:tab w:val="left" w:pos="1080"/>
        </w:tabs>
        <w:autoSpaceDE w:val="0"/>
        <w:autoSpaceDN w:val="0"/>
        <w:adjustRightInd w:val="0"/>
        <w:spacing w:line="440" w:lineRule="atLeast"/>
        <w:jc w:val="center"/>
        <w:outlineLvl w:val="0"/>
        <w:rPr>
          <w:rFonts w:ascii="宋体"/>
          <w:b/>
          <w:sz w:val="36"/>
          <w:lang w:val="zh-CN"/>
        </w:rPr>
      </w:pPr>
      <w:r>
        <w:rPr>
          <w:rFonts w:hint="eastAsia" w:ascii="宋体"/>
          <w:b/>
          <w:sz w:val="36"/>
          <w:lang w:val="zh-CN"/>
        </w:rPr>
        <w:t>法定代表人授权书</w:t>
      </w:r>
    </w:p>
    <w:p>
      <w:pPr>
        <w:tabs>
          <w:tab w:val="left" w:pos="1080"/>
        </w:tabs>
        <w:autoSpaceDE w:val="0"/>
        <w:autoSpaceDN w:val="0"/>
        <w:adjustRightInd w:val="0"/>
        <w:spacing w:line="200" w:lineRule="atLeast"/>
        <w:outlineLvl w:val="0"/>
        <w:rPr>
          <w:rFonts w:ascii="宋体"/>
          <w:b/>
          <w:sz w:val="24"/>
          <w:lang w:val="zh-CN"/>
        </w:rPr>
      </w:pPr>
    </w:p>
    <w:p>
      <w:pPr>
        <w:pStyle w:val="22"/>
        <w:adjustRightInd w:val="0"/>
        <w:snapToGrid w:val="0"/>
        <w:spacing w:line="340" w:lineRule="atLeast"/>
        <w:rPr>
          <w:rFonts w:hAnsi="宋体"/>
          <w:sz w:val="28"/>
          <w:szCs w:val="28"/>
        </w:rPr>
      </w:pPr>
      <w:r>
        <w:rPr>
          <w:rFonts w:hint="eastAsia" w:hAnsi="宋体"/>
          <w:sz w:val="28"/>
          <w:szCs w:val="28"/>
          <w:u w:val="single"/>
          <w:lang w:eastAsia="zh-CN"/>
        </w:rPr>
        <w:t>苍南县宜山镇人民政府</w:t>
      </w:r>
      <w:r>
        <w:rPr>
          <w:rFonts w:hint="eastAsia" w:hAnsi="宋体"/>
          <w:sz w:val="28"/>
          <w:szCs w:val="28"/>
        </w:rPr>
        <w:t>：</w:t>
      </w:r>
    </w:p>
    <w:p>
      <w:pPr>
        <w:snapToGrid w:val="0"/>
        <w:spacing w:line="440" w:lineRule="atLeast"/>
        <w:ind w:firstLine="480" w:firstLineChars="200"/>
        <w:rPr>
          <w:rFonts w:ascii="宋体"/>
          <w:sz w:val="24"/>
        </w:rPr>
      </w:pPr>
      <w:r>
        <w:rPr>
          <w:rFonts w:hint="eastAsia" w:ascii="宋体"/>
          <w:sz w:val="24"/>
        </w:rPr>
        <w:t>本授权委托书声明：我</w:t>
      </w:r>
      <w:r>
        <w:rPr>
          <w:rFonts w:hint="eastAsia" w:ascii="宋体"/>
          <w:sz w:val="24"/>
          <w:u w:val="single"/>
        </w:rPr>
        <w:t xml:space="preserve">   （法定代表人姓名）   </w:t>
      </w:r>
      <w:r>
        <w:rPr>
          <w:rFonts w:hint="eastAsia" w:ascii="宋体"/>
          <w:sz w:val="24"/>
        </w:rPr>
        <w:t>系</w:t>
      </w:r>
      <w:r>
        <w:rPr>
          <w:rFonts w:hint="eastAsia" w:ascii="宋体"/>
          <w:sz w:val="24"/>
          <w:u w:val="single"/>
        </w:rPr>
        <w:t xml:space="preserve">   （供 应 商 名 称）  </w:t>
      </w:r>
      <w:r>
        <w:rPr>
          <w:rFonts w:hint="eastAsia" w:ascii="宋体"/>
          <w:sz w:val="24"/>
        </w:rPr>
        <w:t>的法定代表人，现授权委托本单位在职职工</w:t>
      </w:r>
      <w:r>
        <w:rPr>
          <w:rFonts w:hint="eastAsia" w:ascii="宋体"/>
          <w:sz w:val="24"/>
          <w:u w:val="single"/>
        </w:rPr>
        <w:t xml:space="preserve">  （授权代表姓名、身份证号）  </w:t>
      </w:r>
      <w:r>
        <w:rPr>
          <w:rFonts w:hint="eastAsia" w:ascii="宋体"/>
          <w:sz w:val="24"/>
        </w:rPr>
        <w:t>为我公司法定代表人授权代表，参加贵处组织的</w:t>
      </w:r>
      <w:r>
        <w:rPr>
          <w:rFonts w:hint="eastAsia" w:ascii="宋体"/>
          <w:sz w:val="24"/>
          <w:u w:val="single"/>
        </w:rPr>
        <w:t xml:space="preserve">  （招标项目名称，括号中填写项目编号）  </w:t>
      </w:r>
      <w:r>
        <w:rPr>
          <w:rFonts w:hint="eastAsia" w:ascii="宋体"/>
          <w:sz w:val="24"/>
        </w:rPr>
        <w:t>项目投标，全权处理本次招投标活动中的一切事宜，我承认授权代表全权代表我所签署的本项目的</w:t>
      </w:r>
      <w:r>
        <w:rPr>
          <w:rFonts w:hint="eastAsia" w:ascii="宋体"/>
          <w:sz w:val="24"/>
          <w:lang w:eastAsia="zh-CN"/>
        </w:rPr>
        <w:t>磋商响应文件</w:t>
      </w:r>
      <w:r>
        <w:rPr>
          <w:rFonts w:hint="eastAsia" w:ascii="宋体"/>
          <w:sz w:val="24"/>
        </w:rPr>
        <w:t>的内容。</w:t>
      </w:r>
    </w:p>
    <w:p>
      <w:pPr>
        <w:snapToGrid w:val="0"/>
        <w:spacing w:line="440" w:lineRule="atLeast"/>
        <w:ind w:firstLine="480" w:firstLineChars="200"/>
        <w:rPr>
          <w:rFonts w:ascii="宋体"/>
          <w:sz w:val="24"/>
        </w:rPr>
      </w:pPr>
      <w:r>
        <w:rPr>
          <w:rFonts w:hint="eastAsia" w:ascii="宋体"/>
          <w:sz w:val="24"/>
        </w:rPr>
        <w:t>授权代表无转授权，特此授权</w:t>
      </w:r>
    </w:p>
    <w:p>
      <w:pPr>
        <w:snapToGrid w:val="0"/>
        <w:spacing w:line="440" w:lineRule="atLeast"/>
        <w:ind w:left="1260"/>
        <w:rPr>
          <w:rFonts w:ascii="宋体"/>
          <w:sz w:val="24"/>
        </w:rPr>
      </w:pPr>
    </w:p>
    <w:p>
      <w:pPr>
        <w:snapToGrid w:val="0"/>
        <w:spacing w:line="440" w:lineRule="atLeast"/>
        <w:ind w:left="2100" w:leftChars="247" w:hanging="1581" w:hangingChars="659"/>
        <w:rPr>
          <w:rFonts w:ascii="宋体"/>
          <w:sz w:val="24"/>
        </w:rPr>
      </w:pPr>
      <w:r>
        <w:rPr>
          <w:rFonts w:hint="eastAsia" w:ascii="宋体"/>
          <w:sz w:val="24"/>
        </w:rPr>
        <w:t>授权代表：</w:t>
      </w:r>
      <w:r>
        <w:rPr>
          <w:rFonts w:hint="eastAsia" w:ascii="宋体"/>
          <w:sz w:val="24"/>
          <w:u w:val="single"/>
        </w:rPr>
        <w:t xml:space="preserve">   （签字）  </w:t>
      </w:r>
      <w:r>
        <w:rPr>
          <w:rFonts w:hint="eastAsia" w:ascii="宋体"/>
          <w:sz w:val="24"/>
        </w:rPr>
        <w:t xml:space="preserve"> 性别 ：</w:t>
      </w:r>
      <w:r>
        <w:rPr>
          <w:rFonts w:hint="eastAsia" w:ascii="宋体"/>
          <w:sz w:val="24"/>
          <w:u w:val="single"/>
        </w:rPr>
        <w:t xml:space="preserve">          </w:t>
      </w:r>
      <w:r>
        <w:rPr>
          <w:rFonts w:hint="eastAsia" w:ascii="宋体"/>
          <w:sz w:val="24"/>
        </w:rPr>
        <w:t xml:space="preserve"> </w:t>
      </w:r>
    </w:p>
    <w:p>
      <w:pPr>
        <w:snapToGrid w:val="0"/>
        <w:spacing w:line="440" w:lineRule="atLeast"/>
        <w:ind w:left="2100" w:leftChars="247" w:hanging="1581" w:hangingChars="659"/>
        <w:rPr>
          <w:rFonts w:ascii="宋体"/>
          <w:sz w:val="24"/>
          <w:u w:val="single"/>
        </w:rPr>
      </w:pPr>
      <w:r>
        <w:rPr>
          <w:rFonts w:hint="eastAsia" w:ascii="宋体"/>
          <w:sz w:val="24"/>
        </w:rPr>
        <w:t>年龄：</w:t>
      </w:r>
      <w:r>
        <w:rPr>
          <w:rFonts w:hint="eastAsia" w:ascii="宋体"/>
          <w:sz w:val="24"/>
          <w:u w:val="single"/>
        </w:rPr>
        <w:t xml:space="preserve">          </w:t>
      </w:r>
      <w:r>
        <w:rPr>
          <w:rFonts w:hint="eastAsia" w:ascii="宋体"/>
          <w:sz w:val="24"/>
        </w:rPr>
        <w:t xml:space="preserve"> 职务：</w:t>
      </w:r>
      <w:r>
        <w:rPr>
          <w:rFonts w:hint="eastAsia" w:ascii="宋体"/>
          <w:sz w:val="24"/>
          <w:u w:val="single"/>
        </w:rPr>
        <w:t xml:space="preserve">             </w:t>
      </w:r>
    </w:p>
    <w:p>
      <w:pPr>
        <w:snapToGrid w:val="0"/>
        <w:spacing w:line="440" w:lineRule="atLeast"/>
        <w:ind w:left="2100" w:leftChars="247" w:hanging="1581" w:hangingChars="659"/>
        <w:rPr>
          <w:rFonts w:ascii="宋体"/>
          <w:sz w:val="24"/>
          <w:u w:val="single"/>
        </w:rPr>
      </w:pPr>
      <w:r>
        <w:rPr>
          <w:rFonts w:hint="eastAsia" w:ascii="宋体"/>
          <w:sz w:val="24"/>
        </w:rPr>
        <w:t>详细通讯地址：</w:t>
      </w:r>
      <w:r>
        <w:rPr>
          <w:rFonts w:hint="eastAsia" w:ascii="宋体"/>
          <w:sz w:val="24"/>
          <w:u w:val="single"/>
        </w:rPr>
        <w:t xml:space="preserve">                  </w:t>
      </w:r>
      <w:r>
        <w:rPr>
          <w:rFonts w:hint="eastAsia" w:ascii="宋体"/>
          <w:sz w:val="24"/>
        </w:rPr>
        <w:t xml:space="preserve"> 邮政编码：</w:t>
      </w:r>
      <w:r>
        <w:rPr>
          <w:rFonts w:hint="eastAsia" w:ascii="宋体"/>
          <w:sz w:val="24"/>
          <w:u w:val="single"/>
        </w:rPr>
        <w:t xml:space="preserve">           </w:t>
      </w:r>
    </w:p>
    <w:p>
      <w:pPr>
        <w:snapToGrid w:val="0"/>
        <w:spacing w:line="440" w:lineRule="atLeast"/>
        <w:ind w:left="2100" w:leftChars="247" w:hanging="1581" w:hangingChars="659"/>
        <w:rPr>
          <w:rFonts w:ascii="宋体"/>
          <w:sz w:val="24"/>
          <w:u w:val="single"/>
        </w:rPr>
      </w:pPr>
      <w:r>
        <w:rPr>
          <w:rFonts w:hint="eastAsia" w:ascii="宋体"/>
          <w:sz w:val="24"/>
        </w:rPr>
        <w:t>电话：</w:t>
      </w:r>
      <w:r>
        <w:rPr>
          <w:rFonts w:hint="eastAsia" w:ascii="宋体"/>
          <w:sz w:val="24"/>
          <w:u w:val="single"/>
        </w:rPr>
        <w:t xml:space="preserve">                   </w:t>
      </w:r>
      <w:r>
        <w:rPr>
          <w:rFonts w:hint="eastAsia" w:ascii="宋体"/>
          <w:sz w:val="24"/>
        </w:rPr>
        <w:t xml:space="preserve"> 传真：</w:t>
      </w:r>
      <w:r>
        <w:rPr>
          <w:rFonts w:hint="eastAsia" w:ascii="宋体"/>
          <w:sz w:val="24"/>
          <w:u w:val="single"/>
        </w:rPr>
        <w:t xml:space="preserve">                      </w:t>
      </w:r>
    </w:p>
    <w:p>
      <w:pPr>
        <w:snapToGrid w:val="0"/>
        <w:spacing w:line="440" w:lineRule="atLeast"/>
        <w:ind w:left="2100" w:leftChars="247" w:hanging="1581" w:hangingChars="659"/>
        <w:rPr>
          <w:rFonts w:ascii="宋体"/>
          <w:sz w:val="24"/>
          <w:u w:val="single"/>
        </w:rPr>
      </w:pPr>
      <w:r>
        <w:rPr>
          <w:rFonts w:hint="eastAsia" w:ascii="宋体"/>
          <w:sz w:val="24"/>
        </w:rPr>
        <w:t>供应商：</w:t>
      </w:r>
      <w:r>
        <w:rPr>
          <w:rFonts w:hint="eastAsia" w:ascii="宋体"/>
          <w:sz w:val="24"/>
          <w:u w:val="single"/>
        </w:rPr>
        <w:t xml:space="preserve">                                      （盖章）</w:t>
      </w:r>
    </w:p>
    <w:p>
      <w:pPr>
        <w:snapToGrid w:val="0"/>
        <w:spacing w:line="440" w:lineRule="atLeast"/>
        <w:ind w:left="2100" w:leftChars="247" w:hanging="1581" w:hangingChars="659"/>
        <w:rPr>
          <w:rFonts w:ascii="宋体"/>
          <w:sz w:val="24"/>
        </w:rPr>
      </w:pPr>
      <w:r>
        <w:rPr>
          <w:rFonts w:hint="eastAsia" w:ascii="宋体"/>
          <w:sz w:val="24"/>
        </w:rPr>
        <w:t>法定代表人：</w:t>
      </w:r>
      <w:r>
        <w:rPr>
          <w:rFonts w:hint="eastAsia" w:ascii="宋体"/>
          <w:sz w:val="24"/>
          <w:u w:val="single"/>
        </w:rPr>
        <w:t xml:space="preserve">                            （签字）</w:t>
      </w:r>
    </w:p>
    <w:p>
      <w:pPr>
        <w:snapToGrid w:val="0"/>
        <w:spacing w:line="440" w:lineRule="atLeast"/>
        <w:ind w:left="2833" w:leftChars="1349" w:firstLine="2400" w:firstLineChars="1000"/>
        <w:rPr>
          <w:rFonts w:ascii="宋体"/>
          <w:sz w:val="24"/>
        </w:rPr>
      </w:pPr>
    </w:p>
    <w:p>
      <w:pPr>
        <w:snapToGrid w:val="0"/>
        <w:spacing w:line="440" w:lineRule="atLeast"/>
        <w:ind w:firstLine="3600" w:firstLineChars="1500"/>
        <w:jc w:val="right"/>
        <w:rPr>
          <w:rFonts w:ascii="宋体"/>
          <w:sz w:val="24"/>
        </w:rPr>
      </w:pPr>
      <w:r>
        <w:rPr>
          <w:rFonts w:hint="eastAsia" w:ascii="宋体"/>
          <w:sz w:val="24"/>
        </w:rPr>
        <w:t>授权委托日期：</w:t>
      </w:r>
      <w:r>
        <w:rPr>
          <w:rFonts w:hint="eastAsia" w:ascii="宋体"/>
          <w:sz w:val="24"/>
          <w:u w:val="single"/>
        </w:rPr>
        <w:t xml:space="preserve">     </w:t>
      </w:r>
      <w:r>
        <w:rPr>
          <w:rFonts w:hint="eastAsia" w:ascii="宋体"/>
          <w:sz w:val="24"/>
        </w:rPr>
        <w:t xml:space="preserve">年 </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tbl>
      <w:tblPr>
        <w:tblStyle w:val="43"/>
        <w:tblW w:w="0" w:type="auto"/>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62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224" w:hRule="atLeast"/>
        </w:trPr>
        <w:tc>
          <w:tcPr>
            <w:tcW w:w="9624" w:type="dxa"/>
          </w:tcPr>
          <w:p>
            <w:pPr>
              <w:pStyle w:val="22"/>
              <w:adjustRightInd w:val="0"/>
              <w:snapToGrid w:val="0"/>
              <w:spacing w:line="400" w:lineRule="exact"/>
              <w:rPr>
                <w:rFonts w:hAnsi="宋体"/>
                <w:i/>
                <w:sz w:val="36"/>
                <w:szCs w:val="24"/>
                <w:u w:val="single"/>
              </w:rPr>
            </w:pPr>
          </w:p>
          <w:p>
            <w:pPr>
              <w:pStyle w:val="22"/>
              <w:adjustRightInd w:val="0"/>
              <w:snapToGrid w:val="0"/>
              <w:spacing w:line="400" w:lineRule="exact"/>
              <w:rPr>
                <w:rFonts w:hAnsi="宋体"/>
                <w:i/>
                <w:sz w:val="36"/>
                <w:szCs w:val="24"/>
                <w:u w:val="single"/>
              </w:rPr>
            </w:pPr>
          </w:p>
          <w:p>
            <w:pPr>
              <w:pStyle w:val="22"/>
              <w:adjustRightInd w:val="0"/>
              <w:snapToGrid w:val="0"/>
              <w:spacing w:line="400" w:lineRule="exact"/>
              <w:jc w:val="center"/>
              <w:rPr>
                <w:rFonts w:hAnsi="宋体"/>
                <w:i/>
                <w:sz w:val="36"/>
                <w:szCs w:val="24"/>
                <w:u w:val="single"/>
              </w:rPr>
            </w:pPr>
            <w:r>
              <w:rPr>
                <w:rFonts w:hint="eastAsia"/>
                <w:b/>
                <w:i/>
                <w:sz w:val="24"/>
                <w:szCs w:val="24"/>
              </w:rPr>
              <w:t>法人代表身份证</w:t>
            </w:r>
          </w:p>
          <w:p>
            <w:pPr>
              <w:pStyle w:val="22"/>
              <w:adjustRightInd w:val="0"/>
              <w:snapToGrid w:val="0"/>
              <w:spacing w:line="400" w:lineRule="exact"/>
              <w:jc w:val="center"/>
              <w:rPr>
                <w:b/>
                <w:i/>
                <w:sz w:val="24"/>
                <w:szCs w:val="24"/>
              </w:rPr>
            </w:pPr>
            <w:r>
              <w:rPr>
                <w:rFonts w:hint="eastAsia"/>
                <w:b/>
                <w:i/>
                <w:sz w:val="24"/>
                <w:szCs w:val="24"/>
              </w:rPr>
              <w:t>扫描件或复印件（正反面均须提供）</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37" w:hRule="atLeast"/>
        </w:trPr>
        <w:tc>
          <w:tcPr>
            <w:tcW w:w="9624" w:type="dxa"/>
          </w:tcPr>
          <w:p>
            <w:pPr>
              <w:pStyle w:val="22"/>
              <w:adjustRightInd w:val="0"/>
              <w:snapToGrid w:val="0"/>
              <w:spacing w:line="400" w:lineRule="exact"/>
              <w:jc w:val="center"/>
              <w:rPr>
                <w:b/>
                <w:i/>
                <w:sz w:val="24"/>
                <w:szCs w:val="24"/>
              </w:rPr>
            </w:pPr>
          </w:p>
          <w:p>
            <w:pPr>
              <w:pStyle w:val="22"/>
              <w:adjustRightInd w:val="0"/>
              <w:snapToGrid w:val="0"/>
              <w:spacing w:line="400" w:lineRule="exact"/>
              <w:jc w:val="center"/>
              <w:rPr>
                <w:b/>
                <w:i/>
                <w:sz w:val="24"/>
                <w:szCs w:val="24"/>
              </w:rPr>
            </w:pPr>
          </w:p>
          <w:p>
            <w:pPr>
              <w:pStyle w:val="22"/>
              <w:adjustRightInd w:val="0"/>
              <w:snapToGrid w:val="0"/>
              <w:spacing w:line="400" w:lineRule="exact"/>
              <w:jc w:val="center"/>
              <w:rPr>
                <w:rFonts w:hAnsi="宋体"/>
                <w:i/>
                <w:sz w:val="36"/>
                <w:szCs w:val="24"/>
                <w:u w:val="single"/>
              </w:rPr>
            </w:pPr>
            <w:r>
              <w:rPr>
                <w:rFonts w:hint="eastAsia"/>
                <w:b/>
                <w:i/>
                <w:sz w:val="24"/>
                <w:szCs w:val="24"/>
              </w:rPr>
              <w:t>被授权人（授权代表）身份证</w:t>
            </w:r>
          </w:p>
          <w:p>
            <w:pPr>
              <w:pStyle w:val="22"/>
              <w:adjustRightInd w:val="0"/>
              <w:snapToGrid w:val="0"/>
              <w:spacing w:line="400" w:lineRule="exact"/>
              <w:jc w:val="center"/>
              <w:rPr>
                <w:rFonts w:hAnsi="宋体"/>
                <w:i/>
                <w:sz w:val="36"/>
                <w:szCs w:val="24"/>
                <w:u w:val="single"/>
              </w:rPr>
            </w:pPr>
            <w:r>
              <w:rPr>
                <w:rFonts w:hint="eastAsia"/>
                <w:b/>
                <w:i/>
                <w:sz w:val="24"/>
                <w:szCs w:val="24"/>
              </w:rPr>
              <w:t>扫描件或复印件（正反面均须提供）</w:t>
            </w:r>
          </w:p>
        </w:tc>
      </w:tr>
    </w:tbl>
    <w:p>
      <w:pPr>
        <w:pStyle w:val="22"/>
        <w:adjustRightInd w:val="0"/>
        <w:snapToGrid w:val="0"/>
        <w:spacing w:line="340" w:lineRule="atLeast"/>
        <w:rPr>
          <w:rFonts w:hAnsi="宋体" w:cs="宋体"/>
          <w:kern w:val="0"/>
          <w:sz w:val="28"/>
          <w:szCs w:val="28"/>
        </w:rPr>
      </w:pPr>
      <w:r>
        <w:rPr>
          <w:rFonts w:hint="eastAsia" w:hAnsi="宋体" w:cs="宋体"/>
          <w:kern w:val="0"/>
          <w:sz w:val="28"/>
          <w:szCs w:val="28"/>
        </w:rPr>
        <w:br w:type="page"/>
      </w:r>
      <w:r>
        <w:rPr>
          <w:rFonts w:hint="eastAsia" w:hAnsi="宋体" w:cs="宋体"/>
          <w:kern w:val="0"/>
          <w:sz w:val="28"/>
          <w:szCs w:val="28"/>
        </w:rPr>
        <w:t>格式1-</w:t>
      </w:r>
      <w:r>
        <w:rPr>
          <w:rFonts w:hint="eastAsia" w:hAnsi="宋体" w:cs="宋体"/>
          <w:kern w:val="0"/>
          <w:sz w:val="28"/>
          <w:szCs w:val="28"/>
          <w:lang w:val="en-US" w:eastAsia="zh-CN"/>
        </w:rPr>
        <w:t>5</w:t>
      </w:r>
      <w:r>
        <w:rPr>
          <w:rFonts w:hint="eastAsia" w:hAnsi="宋体" w:cs="宋体"/>
          <w:kern w:val="0"/>
          <w:sz w:val="28"/>
          <w:szCs w:val="28"/>
        </w:rPr>
        <w:t>、《营业执照》</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jc w:val="center"/>
        <w:rPr>
          <w:rFonts w:hAnsi="宋体" w:cs="宋体"/>
          <w:kern w:val="0"/>
          <w:sz w:val="44"/>
          <w:szCs w:val="44"/>
        </w:rPr>
      </w:pPr>
      <w:r>
        <w:rPr>
          <w:rFonts w:hint="eastAsia" w:hAnsi="宋体" w:cs="宋体"/>
          <w:kern w:val="0"/>
          <w:sz w:val="44"/>
          <w:szCs w:val="44"/>
        </w:rPr>
        <w:t>营业执照</w:t>
      </w:r>
    </w:p>
    <w:p>
      <w:pPr>
        <w:autoSpaceDE w:val="0"/>
        <w:autoSpaceDN w:val="0"/>
        <w:adjustRightInd w:val="0"/>
        <w:jc w:val="left"/>
        <w:rPr>
          <w:rFonts w:ascii="宋体" w:hAnsi="宋体" w:cs="宋体"/>
          <w:kern w:val="0"/>
          <w:sz w:val="24"/>
        </w:rPr>
      </w:pPr>
    </w:p>
    <w:tbl>
      <w:tblPr>
        <w:tblStyle w:val="43"/>
        <w:tblW w:w="0" w:type="auto"/>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897"/>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786" w:hRule="atLeast"/>
        </w:trPr>
        <w:tc>
          <w:tcPr>
            <w:tcW w:w="9897" w:type="dxa"/>
          </w:tcPr>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spacing w:line="460" w:lineRule="exact"/>
              <w:jc w:val="center"/>
              <w:rPr>
                <w:i/>
                <w:kern w:val="0"/>
                <w:sz w:val="30"/>
                <w:szCs w:val="30"/>
              </w:rPr>
            </w:pPr>
            <w:r>
              <w:rPr>
                <w:rFonts w:hint="eastAsia" w:ascii="宋体" w:hAnsi="宋体" w:cs="宋体"/>
                <w:i/>
                <w:kern w:val="0"/>
                <w:sz w:val="30"/>
                <w:szCs w:val="30"/>
              </w:rPr>
              <w:t>投标供应商营业执照</w:t>
            </w:r>
            <w:r>
              <w:rPr>
                <w:rFonts w:hint="eastAsia" w:ascii="宋体" w:hAnsi="宋体" w:cs="宋体"/>
                <w:i/>
                <w:kern w:val="0"/>
                <w:sz w:val="30"/>
                <w:szCs w:val="30"/>
                <w:lang w:eastAsia="zh-CN"/>
              </w:rPr>
              <w:t>扫描</w:t>
            </w:r>
            <w:r>
              <w:rPr>
                <w:rFonts w:hint="eastAsia" w:ascii="宋体" w:hAnsi="宋体" w:cs="宋体"/>
                <w:i/>
                <w:kern w:val="0"/>
                <w:sz w:val="30"/>
                <w:szCs w:val="30"/>
              </w:rPr>
              <w:t>件</w:t>
            </w:r>
          </w:p>
          <w:p>
            <w:pPr>
              <w:autoSpaceDE w:val="0"/>
              <w:autoSpaceDN w:val="0"/>
              <w:adjustRightInd w:val="0"/>
              <w:spacing w:line="460" w:lineRule="exact"/>
              <w:jc w:val="center"/>
              <w:rPr>
                <w:i/>
                <w:kern w:val="0"/>
                <w:sz w:val="24"/>
              </w:rPr>
            </w:pPr>
            <w:r>
              <w:rPr>
                <w:rFonts w:hint="eastAsia" w:ascii="宋体" w:hAnsi="宋体" w:cs="宋体"/>
                <w:i/>
                <w:kern w:val="0"/>
                <w:sz w:val="30"/>
                <w:szCs w:val="30"/>
              </w:rPr>
              <w:t>（加盖投标供应商公章，否则视为未提供）</w:t>
            </w:r>
          </w:p>
          <w:p>
            <w:pPr>
              <w:autoSpaceDE w:val="0"/>
              <w:autoSpaceDN w:val="0"/>
              <w:adjustRightInd w:val="0"/>
              <w:jc w:val="left"/>
              <w:rPr>
                <w:rFonts w:ascii="宋体" w:hAnsi="宋体" w:cs="宋体"/>
                <w:kern w:val="0"/>
                <w:sz w:val="24"/>
              </w:rPr>
            </w:pPr>
          </w:p>
        </w:tc>
      </w:tr>
    </w:tbl>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br w:type="page"/>
      </w:r>
      <w:r>
        <w:rPr>
          <w:rFonts w:hint="eastAsia" w:hAnsi="宋体" w:cs="宋体"/>
          <w:kern w:val="0"/>
          <w:sz w:val="28"/>
          <w:szCs w:val="28"/>
        </w:rPr>
        <w:t>格式1-</w:t>
      </w:r>
      <w:r>
        <w:rPr>
          <w:rFonts w:hint="eastAsia" w:hAnsi="宋体" w:cs="宋体"/>
          <w:kern w:val="0"/>
          <w:sz w:val="28"/>
          <w:szCs w:val="28"/>
          <w:lang w:val="en-US" w:eastAsia="zh-CN"/>
        </w:rPr>
        <w:t>6</w:t>
      </w:r>
      <w:r>
        <w:rPr>
          <w:rFonts w:hint="eastAsia" w:hAnsi="宋体" w:cs="宋体"/>
          <w:kern w:val="0"/>
          <w:sz w:val="28"/>
          <w:szCs w:val="28"/>
        </w:rPr>
        <w:t>、《</w:t>
      </w:r>
      <w:r>
        <w:rPr>
          <w:rFonts w:hint="eastAsia" w:hAnsi="宋体" w:cs="宋体"/>
          <w:kern w:val="0"/>
          <w:sz w:val="28"/>
          <w:szCs w:val="28"/>
          <w:lang w:val="zh-CN"/>
        </w:rPr>
        <w:t>供应商参与政府采购活动投标资格声明函</w:t>
      </w:r>
      <w:r>
        <w:rPr>
          <w:rFonts w:hint="eastAsia" w:hAnsi="宋体" w:cs="宋体"/>
          <w:kern w:val="0"/>
          <w:sz w:val="28"/>
          <w:szCs w:val="28"/>
        </w:rPr>
        <w:t>》</w:t>
      </w:r>
    </w:p>
    <w:p>
      <w:pPr>
        <w:pStyle w:val="22"/>
        <w:adjustRightInd w:val="0"/>
        <w:snapToGrid w:val="0"/>
        <w:spacing w:line="340" w:lineRule="atLeast"/>
        <w:rPr>
          <w:rFonts w:hAnsi="宋体" w:cs="宋体"/>
          <w:kern w:val="0"/>
          <w:sz w:val="28"/>
          <w:szCs w:val="28"/>
        </w:rPr>
      </w:pPr>
    </w:p>
    <w:p>
      <w:pPr>
        <w:pStyle w:val="22"/>
        <w:adjustRightInd w:val="0"/>
        <w:snapToGrid w:val="0"/>
        <w:spacing w:line="360" w:lineRule="exact"/>
        <w:jc w:val="center"/>
        <w:rPr>
          <w:rFonts w:hint="eastAsia" w:hAnsi="宋体"/>
          <w:b/>
          <w:color w:val="000000"/>
          <w:sz w:val="32"/>
          <w:lang w:val="zh-CN"/>
        </w:rPr>
      </w:pPr>
      <w:r>
        <w:rPr>
          <w:rFonts w:hint="eastAsia" w:hAnsi="宋体"/>
          <w:b/>
          <w:color w:val="000000"/>
          <w:sz w:val="32"/>
          <w:lang w:val="zh-CN"/>
        </w:rPr>
        <w:t>供应商参与政府采购活动投标资格声明函</w:t>
      </w:r>
    </w:p>
    <w:tbl>
      <w:tblPr>
        <w:tblStyle w:val="4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22"/>
              <w:adjustRightInd w:val="0"/>
              <w:snapToGrid w:val="0"/>
              <w:spacing w:line="400" w:lineRule="exact"/>
              <w:rPr>
                <w:rFonts w:hint="eastAsia" w:hAnsi="宋体"/>
                <w:bCs/>
                <w:color w:val="000000"/>
                <w:sz w:val="22"/>
                <w:szCs w:val="22"/>
                <w:lang w:val="en-US" w:eastAsia="zh-CN"/>
              </w:rPr>
            </w:pPr>
            <w:r>
              <w:rPr>
                <w:rFonts w:hint="eastAsia" w:hAnsi="宋体"/>
                <w:bCs/>
                <w:color w:val="000000"/>
                <w:sz w:val="22"/>
                <w:szCs w:val="22"/>
                <w:lang w:val="en-US" w:eastAsia="zh-CN"/>
              </w:rPr>
              <w:t>项目名称</w:t>
            </w:r>
          </w:p>
        </w:tc>
        <w:tc>
          <w:tcPr>
            <w:tcW w:w="7992" w:type="dxa"/>
            <w:noWrap w:val="0"/>
            <w:vAlign w:val="top"/>
          </w:tcPr>
          <w:p>
            <w:pPr>
              <w:pStyle w:val="22"/>
              <w:adjustRightInd w:val="0"/>
              <w:snapToGrid w:val="0"/>
              <w:spacing w:line="400" w:lineRule="exact"/>
              <w:ind w:left="422" w:firstLine="331"/>
              <w:rPr>
                <w:rFonts w:hint="eastAsia" w:hAnsi="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22"/>
              <w:adjustRightInd w:val="0"/>
              <w:snapToGrid w:val="0"/>
              <w:spacing w:line="400" w:lineRule="exact"/>
              <w:rPr>
                <w:rFonts w:hint="eastAsia" w:hAnsi="宋体"/>
                <w:bCs/>
                <w:color w:val="000000"/>
                <w:sz w:val="22"/>
                <w:szCs w:val="22"/>
                <w:lang w:val="en-US" w:eastAsia="zh-CN"/>
              </w:rPr>
            </w:pPr>
            <w:r>
              <w:rPr>
                <w:rFonts w:hint="eastAsia" w:hAnsi="宋体"/>
                <w:bCs/>
                <w:color w:val="000000"/>
                <w:sz w:val="22"/>
                <w:szCs w:val="22"/>
                <w:lang w:val="en-US" w:eastAsia="zh-CN"/>
              </w:rPr>
              <w:t>项目采购编号</w:t>
            </w:r>
          </w:p>
        </w:tc>
        <w:tc>
          <w:tcPr>
            <w:tcW w:w="7992" w:type="dxa"/>
            <w:noWrap w:val="0"/>
            <w:vAlign w:val="top"/>
          </w:tcPr>
          <w:p>
            <w:pPr>
              <w:pStyle w:val="22"/>
              <w:adjustRightInd w:val="0"/>
              <w:snapToGrid w:val="0"/>
              <w:spacing w:line="400" w:lineRule="exact"/>
              <w:ind w:left="422" w:firstLine="361"/>
              <w:rPr>
                <w:rFonts w:hint="eastAsia" w:hAnsi="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22"/>
              <w:adjustRightInd w:val="0"/>
              <w:snapToGrid w:val="0"/>
              <w:spacing w:line="400" w:lineRule="exact"/>
              <w:rPr>
                <w:rFonts w:hint="eastAsia" w:hAnsi="宋体"/>
                <w:bCs/>
                <w:color w:val="000000"/>
                <w:sz w:val="22"/>
                <w:szCs w:val="22"/>
                <w:lang w:val="en-US" w:eastAsia="zh-CN"/>
              </w:rPr>
            </w:pPr>
            <w:r>
              <w:rPr>
                <w:rFonts w:hint="eastAsia" w:hAnsi="宋体"/>
                <w:bCs/>
                <w:color w:val="000000"/>
                <w:sz w:val="22"/>
                <w:szCs w:val="22"/>
                <w:lang w:val="en-US" w:eastAsia="zh-CN"/>
              </w:rPr>
              <w:t>时    间</w:t>
            </w:r>
          </w:p>
        </w:tc>
        <w:tc>
          <w:tcPr>
            <w:tcW w:w="7992" w:type="dxa"/>
            <w:noWrap w:val="0"/>
            <w:vAlign w:val="top"/>
          </w:tcPr>
          <w:p>
            <w:pPr>
              <w:pStyle w:val="22"/>
              <w:adjustRightInd w:val="0"/>
              <w:snapToGrid w:val="0"/>
              <w:spacing w:line="400" w:lineRule="exact"/>
              <w:rPr>
                <w:rFonts w:hint="eastAsia" w:hAnsi="宋体"/>
                <w:bCs/>
                <w:color w:val="000000"/>
                <w:sz w:val="22"/>
                <w:szCs w:val="22"/>
                <w:lang w:val="en-US" w:eastAsia="zh-CN"/>
              </w:rPr>
            </w:pPr>
            <w:r>
              <w:rPr>
                <w:rFonts w:hint="eastAsia" w:hAnsi="宋体"/>
                <w:bCs/>
                <w:color w:val="000000"/>
                <w:sz w:val="22"/>
                <w:szCs w:val="22"/>
                <w:lang w:val="en-US" w:eastAsia="zh-CN"/>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noWrap w:val="0"/>
            <w:vAlign w:val="top"/>
          </w:tcPr>
          <w:p>
            <w:pPr>
              <w:pStyle w:val="22"/>
              <w:adjustRightInd w:val="0"/>
              <w:snapToGrid w:val="0"/>
              <w:spacing w:line="400" w:lineRule="exact"/>
              <w:ind w:firstLine="450"/>
              <w:rPr>
                <w:rFonts w:hAnsi="宋体"/>
                <w:color w:val="000000"/>
                <w:sz w:val="22"/>
                <w:szCs w:val="22"/>
                <w:lang w:val="en-US" w:eastAsia="zh-CN"/>
              </w:rPr>
            </w:pPr>
            <w:r>
              <w:rPr>
                <w:rFonts w:hint="eastAsia" w:hAnsi="宋体"/>
                <w:color w:val="000000"/>
                <w:sz w:val="22"/>
                <w:szCs w:val="22"/>
                <w:lang w:val="en-US" w:eastAsia="zh-CN"/>
              </w:rPr>
              <w:t>1、根据政府采购法第二十二条规定，我单位满足以下条件：</w:t>
            </w:r>
          </w:p>
          <w:p>
            <w:pPr>
              <w:pStyle w:val="22"/>
              <w:adjustRightInd w:val="0"/>
              <w:snapToGrid w:val="0"/>
              <w:spacing w:line="400" w:lineRule="exact"/>
              <w:ind w:firstLine="450"/>
              <w:rPr>
                <w:rFonts w:hAnsi="宋体"/>
                <w:color w:val="000000"/>
                <w:sz w:val="22"/>
                <w:szCs w:val="22"/>
                <w:lang w:val="en-US" w:eastAsia="zh-CN"/>
              </w:rPr>
            </w:pPr>
            <w:r>
              <w:rPr>
                <w:rFonts w:hint="eastAsia" w:hAnsi="宋体"/>
                <w:color w:val="000000"/>
                <w:sz w:val="22"/>
                <w:szCs w:val="22"/>
                <w:lang w:val="en-US" w:eastAsia="zh-CN"/>
              </w:rPr>
              <w:t xml:space="preserve">（一）具有独立承担民事责任的能力； </w:t>
            </w:r>
            <w:r>
              <w:rPr>
                <w:rFonts w:hint="eastAsia" w:hAnsi="宋体"/>
                <w:color w:val="000000"/>
                <w:sz w:val="22"/>
                <w:szCs w:val="22"/>
                <w:lang w:val="en-US" w:eastAsia="zh-CN"/>
              </w:rPr>
              <w:br w:type="textWrapping"/>
            </w:r>
            <w:r>
              <w:rPr>
                <w:rFonts w:hint="eastAsia" w:hAnsi="宋体"/>
                <w:color w:val="000000"/>
                <w:sz w:val="22"/>
                <w:szCs w:val="22"/>
                <w:lang w:val="en-US" w:eastAsia="zh-CN"/>
              </w:rPr>
              <w:t xml:space="preserve">　　（二）具有良好的商业信誉和健全的财务会计制度； </w:t>
            </w:r>
            <w:r>
              <w:rPr>
                <w:rFonts w:hint="eastAsia" w:hAnsi="宋体"/>
                <w:color w:val="000000"/>
                <w:sz w:val="22"/>
                <w:szCs w:val="22"/>
                <w:lang w:val="en-US" w:eastAsia="zh-CN"/>
              </w:rPr>
              <w:br w:type="textWrapping"/>
            </w:r>
            <w:r>
              <w:rPr>
                <w:rFonts w:hint="eastAsia" w:hAnsi="宋体"/>
                <w:color w:val="000000"/>
                <w:sz w:val="22"/>
                <w:szCs w:val="22"/>
                <w:lang w:val="en-US" w:eastAsia="zh-CN"/>
              </w:rPr>
              <w:t xml:space="preserve">　　（三）具有履行合同所必需的设备和专业技术能力； </w:t>
            </w:r>
            <w:r>
              <w:rPr>
                <w:rFonts w:hint="eastAsia" w:hAnsi="宋体"/>
                <w:color w:val="000000"/>
                <w:sz w:val="22"/>
                <w:szCs w:val="22"/>
                <w:lang w:val="en-US" w:eastAsia="zh-CN"/>
              </w:rPr>
              <w:br w:type="textWrapping"/>
            </w:r>
            <w:r>
              <w:rPr>
                <w:rFonts w:hint="eastAsia" w:hAnsi="宋体"/>
                <w:color w:val="000000"/>
                <w:sz w:val="22"/>
                <w:szCs w:val="22"/>
                <w:lang w:val="en-US" w:eastAsia="zh-CN"/>
              </w:rPr>
              <w:t xml:space="preserve">　　（四）有依法缴纳税收和社会保障资金的良好记录； </w:t>
            </w:r>
            <w:r>
              <w:rPr>
                <w:rFonts w:hint="eastAsia" w:hAnsi="宋体"/>
                <w:color w:val="000000"/>
                <w:sz w:val="22"/>
                <w:szCs w:val="22"/>
                <w:lang w:val="en-US" w:eastAsia="zh-CN"/>
              </w:rPr>
              <w:br w:type="textWrapping"/>
            </w:r>
            <w:r>
              <w:rPr>
                <w:rFonts w:hint="eastAsia" w:hAnsi="宋体"/>
                <w:color w:val="000000"/>
                <w:sz w:val="22"/>
                <w:szCs w:val="22"/>
                <w:lang w:val="en-US" w:eastAsia="zh-CN"/>
              </w:rPr>
              <w:t xml:space="preserve">　　（五）参加政府采购活动前三年内，在经营活动中没有重大违法记录； </w:t>
            </w:r>
            <w:r>
              <w:rPr>
                <w:rFonts w:hint="eastAsia" w:hAnsi="宋体"/>
                <w:color w:val="000000"/>
                <w:sz w:val="22"/>
                <w:szCs w:val="22"/>
                <w:lang w:val="en-US" w:eastAsia="zh-CN"/>
              </w:rPr>
              <w:br w:type="textWrapping"/>
            </w:r>
            <w:r>
              <w:rPr>
                <w:rFonts w:hint="eastAsia" w:hAnsi="宋体"/>
                <w:color w:val="000000"/>
                <w:sz w:val="22"/>
                <w:szCs w:val="22"/>
                <w:lang w:val="en-US" w:eastAsia="zh-CN"/>
              </w:rPr>
              <w:t xml:space="preserve">　　（六）法律、行政法规规定的其他条件。 </w:t>
            </w:r>
          </w:p>
          <w:p>
            <w:pPr>
              <w:pStyle w:val="22"/>
              <w:adjustRightInd w:val="0"/>
              <w:snapToGrid w:val="0"/>
              <w:spacing w:line="400" w:lineRule="exact"/>
              <w:ind w:firstLine="450"/>
              <w:rPr>
                <w:rFonts w:hAnsi="宋体"/>
                <w:b/>
                <w:color w:val="000000"/>
                <w:sz w:val="22"/>
                <w:szCs w:val="22"/>
                <w:lang w:val="en-US" w:eastAsia="zh-CN"/>
              </w:rPr>
            </w:pPr>
            <w:r>
              <w:rPr>
                <w:rFonts w:hAnsi="宋体"/>
                <w:color w:val="000000"/>
                <w:sz w:val="22"/>
                <w:szCs w:val="22"/>
                <w:lang w:val="en-US" w:eastAsia="zh-CN"/>
              </w:rPr>
              <w:t>2</w:t>
            </w:r>
            <w:r>
              <w:rPr>
                <w:rFonts w:hint="eastAsia" w:hAnsi="宋体"/>
                <w:color w:val="000000"/>
                <w:sz w:val="22"/>
                <w:szCs w:val="22"/>
                <w:lang w:val="en-US" w:eastAsia="zh-CN"/>
              </w:rPr>
              <w:t>、根据</w:t>
            </w:r>
            <w:r>
              <w:rPr>
                <w:rFonts w:hAnsi="宋体"/>
                <w:color w:val="000000"/>
                <w:sz w:val="22"/>
                <w:szCs w:val="22"/>
                <w:lang w:val="en-US" w:eastAsia="zh-CN"/>
              </w:rPr>
              <w:t>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hAnsi="宋体"/>
                <w:b/>
                <w:color w:val="000000"/>
                <w:sz w:val="22"/>
                <w:szCs w:val="22"/>
                <w:lang w:val="en-US" w:eastAsia="zh-CN"/>
              </w:rPr>
              <w:t>我单位承诺不存在上述文件规定依法限制参与政府采购的情况。</w:t>
            </w:r>
          </w:p>
          <w:p>
            <w:pPr>
              <w:pStyle w:val="22"/>
              <w:adjustRightInd w:val="0"/>
              <w:snapToGrid w:val="0"/>
              <w:spacing w:line="400" w:lineRule="exact"/>
              <w:ind w:firstLine="450"/>
              <w:rPr>
                <w:rFonts w:hint="eastAsia" w:hAnsi="宋体"/>
                <w:color w:val="000000"/>
                <w:sz w:val="22"/>
                <w:szCs w:val="22"/>
                <w:lang w:val="en-US" w:eastAsia="zh-CN"/>
              </w:rPr>
            </w:pPr>
            <w:r>
              <w:rPr>
                <w:rFonts w:hint="eastAsia" w:hAnsi="宋体"/>
                <w:color w:val="000000"/>
                <w:sz w:val="22"/>
                <w:szCs w:val="22"/>
                <w:lang w:val="en-US" w:eastAsia="zh-CN"/>
              </w:rPr>
              <w:t>3、我单位承诺没有</w:t>
            </w:r>
            <w:r>
              <w:rPr>
                <w:rFonts w:hAnsi="宋体"/>
                <w:color w:val="000000"/>
                <w:sz w:val="22"/>
                <w:szCs w:val="22"/>
                <w:lang w:val="en-US" w:eastAsia="zh-CN"/>
              </w:rPr>
              <w:t>被</w:t>
            </w:r>
            <w:r>
              <w:rPr>
                <w:rFonts w:hint="eastAsia" w:hAnsi="宋体"/>
                <w:color w:val="000000"/>
                <w:sz w:val="22"/>
                <w:szCs w:val="22"/>
                <w:lang w:val="en-US" w:eastAsia="zh-CN"/>
              </w:rPr>
              <w:t>各地、</w:t>
            </w:r>
            <w:r>
              <w:rPr>
                <w:rFonts w:hAnsi="宋体"/>
                <w:color w:val="000000"/>
                <w:sz w:val="22"/>
                <w:szCs w:val="22"/>
                <w:lang w:val="en-US" w:eastAsia="zh-CN"/>
              </w:rPr>
              <w:t>各级财政部门</w:t>
            </w:r>
            <w:r>
              <w:rPr>
                <w:rFonts w:hint="eastAsia" w:hAnsi="宋体"/>
                <w:color w:val="000000"/>
                <w:sz w:val="22"/>
                <w:szCs w:val="22"/>
                <w:lang w:val="en-US" w:eastAsia="zh-CN"/>
              </w:rPr>
              <w:t>限制</w:t>
            </w:r>
            <w:r>
              <w:rPr>
                <w:rFonts w:hAnsi="宋体"/>
                <w:color w:val="000000"/>
                <w:sz w:val="22"/>
                <w:szCs w:val="22"/>
                <w:lang w:val="en-US" w:eastAsia="zh-CN"/>
              </w:rPr>
              <w:t>参加政府采购</w:t>
            </w:r>
            <w:r>
              <w:rPr>
                <w:rFonts w:hint="eastAsia" w:hAnsi="宋体"/>
                <w:color w:val="000000"/>
                <w:sz w:val="22"/>
                <w:szCs w:val="22"/>
                <w:lang w:val="en-US" w:eastAsia="zh-CN"/>
              </w:rPr>
              <w:t>活动。</w:t>
            </w:r>
          </w:p>
          <w:p>
            <w:pPr>
              <w:tabs>
                <w:tab w:val="center" w:pos="4483"/>
              </w:tabs>
              <w:adjustRightInd w:val="0"/>
              <w:spacing w:line="360" w:lineRule="auto"/>
              <w:ind w:firstLine="400"/>
              <w:rPr>
                <w:color w:val="000000"/>
                <w:sz w:val="22"/>
                <w:szCs w:val="22"/>
                <w:u w:val="single"/>
              </w:rPr>
            </w:pPr>
            <w:r>
              <w:rPr>
                <w:color w:val="000000"/>
                <w:sz w:val="22"/>
                <w:szCs w:val="22"/>
              </w:rPr>
              <w:t>4</w:t>
            </w:r>
            <w:r>
              <w:rPr>
                <w:rFonts w:hint="eastAsia"/>
                <w:color w:val="000000"/>
                <w:sz w:val="22"/>
                <w:szCs w:val="22"/>
              </w:rPr>
              <w:t>、我单位承诺参与本项目政府采购活动3年内没有其它重大违法记录（重大违法记录，是指供应商因违法经营受到刑事处罚或者责令停产停业、吊销许可证或者执照、较大数额罚款等行政处罚）。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adjustRightInd w:val="0"/>
              <w:spacing w:line="360" w:lineRule="auto"/>
              <w:ind w:firstLine="440" w:firstLineChars="200"/>
              <w:rPr>
                <w:rFonts w:hint="eastAsia"/>
                <w:bCs/>
                <w:color w:val="000000"/>
                <w:sz w:val="22"/>
                <w:szCs w:val="22"/>
              </w:rPr>
            </w:pPr>
            <w:r>
              <w:rPr>
                <w:rFonts w:hint="eastAsia"/>
                <w:bCs/>
                <w:color w:val="000000"/>
                <w:sz w:val="22"/>
                <w:szCs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noWrap w:val="0"/>
            <w:vAlign w:val="center"/>
          </w:tcPr>
          <w:p>
            <w:pPr>
              <w:pStyle w:val="22"/>
              <w:adjustRightInd w:val="0"/>
              <w:snapToGrid w:val="0"/>
              <w:spacing w:line="400" w:lineRule="exact"/>
              <w:ind w:left="422" w:firstLine="331"/>
              <w:rPr>
                <w:rFonts w:hint="eastAsia" w:hAnsi="宋体"/>
                <w:bCs/>
                <w:color w:val="000000"/>
                <w:sz w:val="22"/>
                <w:szCs w:val="22"/>
                <w:lang w:val="en-US" w:eastAsia="zh-CN"/>
              </w:rPr>
            </w:pPr>
            <w:r>
              <w:rPr>
                <w:rFonts w:hint="eastAsia" w:hAnsi="宋体"/>
                <w:bCs/>
                <w:color w:val="000000"/>
                <w:sz w:val="22"/>
                <w:szCs w:val="22"/>
                <w:lang w:val="en-US" w:eastAsia="zh-CN"/>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noWrap w:val="0"/>
            <w:vAlign w:val="center"/>
          </w:tcPr>
          <w:p>
            <w:pPr>
              <w:pStyle w:val="22"/>
              <w:adjustRightInd w:val="0"/>
              <w:snapToGrid w:val="0"/>
              <w:spacing w:line="400" w:lineRule="exact"/>
              <w:ind w:left="422" w:firstLine="316"/>
              <w:rPr>
                <w:rFonts w:hint="eastAsia" w:hAnsi="宋体"/>
                <w:bCs/>
                <w:color w:val="000000"/>
                <w:sz w:val="22"/>
                <w:szCs w:val="22"/>
                <w:lang w:val="en-US" w:eastAsia="zh-CN"/>
              </w:rPr>
            </w:pPr>
            <w:r>
              <w:rPr>
                <w:rFonts w:hint="eastAsia" w:hAnsi="宋体"/>
                <w:bCs/>
                <w:color w:val="000000"/>
                <w:sz w:val="22"/>
                <w:szCs w:val="22"/>
                <w:lang w:val="en-US" w:eastAsia="zh-CN"/>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noWrap w:val="0"/>
            <w:vAlign w:val="center"/>
          </w:tcPr>
          <w:p>
            <w:pPr>
              <w:pStyle w:val="22"/>
              <w:adjustRightInd w:val="0"/>
              <w:snapToGrid w:val="0"/>
              <w:spacing w:line="400" w:lineRule="exact"/>
              <w:ind w:left="422" w:firstLine="331"/>
              <w:rPr>
                <w:rFonts w:hint="eastAsia" w:hAnsi="宋体"/>
                <w:bCs/>
                <w:color w:val="000000"/>
                <w:sz w:val="22"/>
                <w:szCs w:val="22"/>
                <w:lang w:val="en-US" w:eastAsia="zh-CN"/>
              </w:rPr>
            </w:pPr>
            <w:r>
              <w:rPr>
                <w:rFonts w:hint="eastAsia" w:hAnsi="宋体"/>
                <w:bCs/>
                <w:color w:val="000000"/>
                <w:sz w:val="22"/>
                <w:szCs w:val="22"/>
                <w:lang w:val="en-US" w:eastAsia="zh-CN"/>
              </w:rPr>
              <w:t>签署日期：</w:t>
            </w:r>
          </w:p>
        </w:tc>
      </w:tr>
    </w:tbl>
    <w:p>
      <w:pPr>
        <w:spacing w:line="360" w:lineRule="exact"/>
        <w:rPr>
          <w:bCs/>
          <w:color w:val="000000"/>
          <w:sz w:val="22"/>
          <w:szCs w:val="22"/>
          <w:u w:val="single"/>
        </w:rPr>
      </w:pPr>
      <w:r>
        <w:rPr>
          <w:rFonts w:hint="eastAsia"/>
          <w:b/>
          <w:bCs/>
          <w:color w:val="000000"/>
          <w:sz w:val="22"/>
          <w:szCs w:val="22"/>
        </w:rPr>
        <w:t xml:space="preserve"> </w:t>
      </w:r>
      <w:r>
        <w:rPr>
          <w:rFonts w:hint="eastAsia"/>
          <w:bCs/>
          <w:color w:val="000000"/>
          <w:sz w:val="22"/>
          <w:szCs w:val="22"/>
        </w:rPr>
        <w:t xml:space="preserve"> </w:t>
      </w:r>
      <w:r>
        <w:rPr>
          <w:rFonts w:hint="eastAsia"/>
          <w:bCs/>
          <w:color w:val="000000"/>
          <w:sz w:val="22"/>
          <w:szCs w:val="22"/>
          <w:u w:val="single"/>
        </w:rPr>
        <w:t>备注：</w:t>
      </w:r>
      <w:r>
        <w:rPr>
          <w:rFonts w:hint="eastAsia" w:ascii="仿宋" w:hAnsi="仿宋" w:eastAsia="仿宋"/>
          <w:bCs/>
          <w:color w:val="000000"/>
          <w:sz w:val="22"/>
          <w:szCs w:val="22"/>
          <w:u w:val="single"/>
        </w:rPr>
        <w:t>▲</w:t>
      </w:r>
      <w:r>
        <w:rPr>
          <w:rFonts w:hint="eastAsia"/>
          <w:bCs/>
          <w:color w:val="000000"/>
          <w:sz w:val="22"/>
          <w:szCs w:val="22"/>
          <w:u w:val="single"/>
        </w:rPr>
        <w:t>投标供应商必须提供本声明，不提供按无效投标处理。</w:t>
      </w:r>
    </w:p>
    <w:p>
      <w:pPr>
        <w:pStyle w:val="22"/>
        <w:adjustRightInd w:val="0"/>
        <w:snapToGrid w:val="0"/>
        <w:spacing w:line="460" w:lineRule="exac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格式1-</w:t>
      </w:r>
      <w:r>
        <w:rPr>
          <w:rFonts w:hint="eastAsia" w:hAnsi="宋体" w:cs="宋体"/>
          <w:kern w:val="0"/>
          <w:sz w:val="28"/>
          <w:szCs w:val="28"/>
          <w:lang w:val="en-US" w:eastAsia="zh-CN"/>
        </w:rPr>
        <w:t>7</w:t>
      </w:r>
      <w:r>
        <w:rPr>
          <w:rFonts w:hint="eastAsia" w:hAnsi="宋体" w:cs="宋体"/>
          <w:kern w:val="0"/>
          <w:sz w:val="28"/>
          <w:szCs w:val="28"/>
        </w:rPr>
        <w:t>、《近三年内在经营活动中没有重大违法记录的声明》</w:t>
      </w:r>
    </w:p>
    <w:p>
      <w:pPr>
        <w:pStyle w:val="22"/>
        <w:adjustRightInd w:val="0"/>
        <w:snapToGrid w:val="0"/>
        <w:spacing w:line="340" w:lineRule="atLeast"/>
        <w:rPr>
          <w:rFonts w:hAnsi="宋体" w:cs="宋体"/>
          <w:kern w:val="0"/>
          <w:sz w:val="28"/>
          <w:szCs w:val="28"/>
        </w:rPr>
      </w:pPr>
    </w:p>
    <w:p>
      <w:pPr>
        <w:pStyle w:val="22"/>
        <w:snapToGrid w:val="0"/>
        <w:spacing w:line="340" w:lineRule="atLeast"/>
        <w:jc w:val="center"/>
        <w:rPr>
          <w:rFonts w:hAnsi="宋体" w:cs="宋体"/>
          <w:b/>
          <w:kern w:val="0"/>
          <w:sz w:val="36"/>
          <w:szCs w:val="36"/>
        </w:rPr>
      </w:pPr>
      <w:r>
        <w:rPr>
          <w:rFonts w:hint="eastAsia" w:hAnsi="宋体" w:cs="宋体"/>
          <w:b/>
          <w:kern w:val="0"/>
          <w:sz w:val="36"/>
          <w:szCs w:val="36"/>
        </w:rPr>
        <w:t>参加本次政府采购项目前三年内在经营活动中没有重大违法记录的书面声明</w:t>
      </w:r>
    </w:p>
    <w:p>
      <w:pPr>
        <w:pStyle w:val="22"/>
        <w:adjustRightInd w:val="0"/>
        <w:snapToGrid w:val="0"/>
        <w:spacing w:line="340" w:lineRule="atLeast"/>
        <w:rPr>
          <w:rFonts w:hAnsi="宋体" w:cs="宋体"/>
          <w:kern w:val="0"/>
          <w:sz w:val="28"/>
          <w:szCs w:val="28"/>
        </w:rPr>
      </w:pPr>
    </w:p>
    <w:p>
      <w:pPr>
        <w:autoSpaceDE w:val="0"/>
        <w:autoSpaceDN w:val="0"/>
        <w:adjustRightInd w:val="0"/>
        <w:jc w:val="left"/>
        <w:rPr>
          <w:rFonts w:ascii="宋体" w:hAnsi="宋体" w:cs="宋体"/>
          <w:kern w:val="0"/>
          <w:sz w:val="28"/>
          <w:szCs w:val="28"/>
          <w:u w:val="single"/>
        </w:rPr>
      </w:pPr>
      <w:r>
        <w:rPr>
          <w:rFonts w:hint="eastAsia" w:ascii="宋体" w:hAnsi="宋体" w:cs="宋体"/>
          <w:kern w:val="0"/>
          <w:sz w:val="28"/>
          <w:szCs w:val="28"/>
          <w:u w:val="single"/>
          <w:lang w:eastAsia="zh-CN"/>
        </w:rPr>
        <w:t>苍南县宜山镇人民政府</w:t>
      </w:r>
      <w:r>
        <w:rPr>
          <w:rFonts w:hint="eastAsia" w:ascii="宋体" w:hAnsi="宋体" w:cs="宋体"/>
          <w:kern w:val="0"/>
          <w:sz w:val="28"/>
          <w:szCs w:val="28"/>
          <w:u w:val="single"/>
        </w:rPr>
        <w:t>：</w:t>
      </w:r>
    </w:p>
    <w:p>
      <w:pPr>
        <w:autoSpaceDE w:val="0"/>
        <w:autoSpaceDN w:val="0"/>
        <w:adjustRightInd w:val="0"/>
        <w:jc w:val="left"/>
        <w:rPr>
          <w:kern w:val="0"/>
          <w:sz w:val="28"/>
          <w:szCs w:val="28"/>
        </w:rPr>
      </w:pPr>
    </w:p>
    <w:p>
      <w:pPr>
        <w:autoSpaceDE w:val="0"/>
        <w:autoSpaceDN w:val="0"/>
        <w:adjustRightInd w:val="0"/>
        <w:spacing w:line="460" w:lineRule="exact"/>
        <w:ind w:firstLine="700" w:firstLineChars="250"/>
        <w:jc w:val="left"/>
        <w:rPr>
          <w:rFonts w:ascii="宋体" w:hAnsi="宋体" w:cs="宋体"/>
          <w:kern w:val="0"/>
          <w:sz w:val="28"/>
          <w:szCs w:val="28"/>
        </w:rPr>
      </w:pPr>
      <w:r>
        <w:rPr>
          <w:rFonts w:hint="eastAsia" w:ascii="宋体" w:hAnsi="宋体" w:cs="宋体"/>
          <w:kern w:val="0"/>
          <w:sz w:val="28"/>
          <w:szCs w:val="28"/>
        </w:rPr>
        <w:t>我方</w:t>
      </w:r>
      <w:r>
        <w:rPr>
          <w:rFonts w:ascii="宋体" w:hAnsi="宋体" w:cs="宋体"/>
          <w:kern w:val="0"/>
          <w:sz w:val="28"/>
          <w:szCs w:val="28"/>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rPr>
        <w:t>（投标供应商名称）</w:t>
      </w:r>
      <w:r>
        <w:rPr>
          <w:rFonts w:ascii="宋体" w:hAnsi="宋体" w:cs="宋体"/>
          <w:kern w:val="0"/>
          <w:sz w:val="28"/>
          <w:szCs w:val="28"/>
          <w:u w:val="single"/>
        </w:rPr>
        <w:t xml:space="preserve">     </w:t>
      </w:r>
      <w:r>
        <w:rPr>
          <w:rFonts w:hint="eastAsia" w:ascii="宋体" w:hAnsi="宋体" w:cs="宋体"/>
          <w:kern w:val="0"/>
          <w:sz w:val="28"/>
          <w:szCs w:val="28"/>
        </w:rPr>
        <w:t>在参加</w:t>
      </w:r>
      <w:r>
        <w:rPr>
          <w:rFonts w:hint="eastAsia" w:ascii="仿宋" w:hAnsi="仿宋" w:eastAsia="仿宋" w:cs="仿宋"/>
          <w:b w:val="0"/>
          <w:bCs/>
          <w:color w:val="000000"/>
          <w:kern w:val="0"/>
          <w:sz w:val="28"/>
          <w:szCs w:val="28"/>
          <w:u w:val="single"/>
          <w:lang w:bidi="ar"/>
        </w:rPr>
        <w:t xml:space="preserve">      </w:t>
      </w:r>
      <w:r>
        <w:rPr>
          <w:rFonts w:hint="eastAsia" w:ascii="宋体" w:hAnsi="宋体" w:eastAsia="宋体" w:cs="宋体"/>
          <w:b w:val="0"/>
          <w:bCs/>
          <w:color w:val="000000"/>
          <w:kern w:val="0"/>
          <w:sz w:val="28"/>
          <w:szCs w:val="28"/>
          <w:u w:val="single"/>
          <w:lang w:eastAsia="zh-CN" w:bidi="ar"/>
        </w:rPr>
        <w:t>（项目名称）</w:t>
      </w:r>
      <w:r>
        <w:rPr>
          <w:rFonts w:hint="eastAsia" w:ascii="宋体" w:hAnsi="宋体" w:eastAsia="宋体" w:cs="宋体"/>
          <w:b w:val="0"/>
          <w:bCs/>
          <w:color w:val="000000"/>
          <w:kern w:val="0"/>
          <w:sz w:val="28"/>
          <w:szCs w:val="28"/>
          <w:u w:val="single"/>
          <w:lang w:bidi="ar"/>
        </w:rPr>
        <w:t xml:space="preserve">              </w:t>
      </w:r>
      <w:r>
        <w:rPr>
          <w:rFonts w:hint="eastAsia" w:ascii="宋体" w:hAnsi="宋体" w:eastAsia="宋体" w:cs="宋体"/>
          <w:b w:val="0"/>
          <w:bCs/>
          <w:color w:val="000000"/>
          <w:kern w:val="0"/>
          <w:sz w:val="28"/>
          <w:szCs w:val="28"/>
          <w:lang w:bidi="ar"/>
        </w:rPr>
        <w:t>（项目编号：</w:t>
      </w:r>
      <w:r>
        <w:rPr>
          <w:rFonts w:hint="eastAsia" w:ascii="宋体" w:hAnsi="宋体" w:eastAsia="宋体" w:cs="宋体"/>
          <w:b w:val="0"/>
          <w:bCs/>
          <w:color w:val="000000"/>
          <w:kern w:val="0"/>
          <w:sz w:val="28"/>
          <w:szCs w:val="28"/>
          <w:u w:val="single"/>
          <w:lang w:val="en-US" w:eastAsia="zh-CN" w:bidi="ar"/>
        </w:rPr>
        <w:t xml:space="preserve">              </w:t>
      </w:r>
      <w:r>
        <w:rPr>
          <w:rFonts w:hint="eastAsia" w:ascii="宋体" w:hAnsi="宋体" w:eastAsia="宋体" w:cs="宋体"/>
          <w:b w:val="0"/>
          <w:bCs/>
          <w:color w:val="000000"/>
          <w:kern w:val="0"/>
          <w:sz w:val="28"/>
          <w:szCs w:val="28"/>
          <w:u w:val="single"/>
          <w:lang w:bidi="ar"/>
        </w:rPr>
        <w:t xml:space="preserve"> </w:t>
      </w:r>
      <w:r>
        <w:rPr>
          <w:rFonts w:hint="eastAsia" w:ascii="宋体" w:hAnsi="宋体" w:eastAsia="宋体" w:cs="宋体"/>
          <w:b w:val="0"/>
          <w:bCs/>
          <w:color w:val="000000"/>
          <w:kern w:val="0"/>
          <w:sz w:val="28"/>
          <w:szCs w:val="28"/>
          <w:lang w:bidi="ar"/>
        </w:rPr>
        <w:t>）</w:t>
      </w:r>
      <w:r>
        <w:rPr>
          <w:rFonts w:hint="eastAsia" w:ascii="宋体" w:hAnsi="宋体" w:cs="宋体"/>
          <w:kern w:val="0"/>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宋体" w:hAnsi="宋体" w:cs="宋体"/>
          <w:kern w:val="0"/>
          <w:sz w:val="28"/>
          <w:szCs w:val="28"/>
        </w:rPr>
        <w:t>/</w:t>
      </w:r>
      <w:r>
        <w:rPr>
          <w:rFonts w:hint="eastAsia" w:ascii="宋体" w:hAnsi="宋体" w:cs="宋体"/>
          <w:kern w:val="0"/>
          <w:sz w:val="28"/>
          <w:szCs w:val="28"/>
        </w:rPr>
        <w:t>谈判</w:t>
      </w:r>
      <w:r>
        <w:rPr>
          <w:rFonts w:ascii="宋体" w:hAnsi="宋体" w:cs="宋体"/>
          <w:kern w:val="0"/>
          <w:sz w:val="28"/>
          <w:szCs w:val="28"/>
        </w:rPr>
        <w:t>/</w:t>
      </w:r>
      <w:r>
        <w:rPr>
          <w:rFonts w:hint="eastAsia" w:ascii="宋体" w:hAnsi="宋体" w:cs="宋体"/>
          <w:kern w:val="0"/>
          <w:sz w:val="28"/>
          <w:szCs w:val="28"/>
        </w:rPr>
        <w:t>中标（成交）</w:t>
      </w:r>
      <w:r>
        <w:rPr>
          <w:rFonts w:ascii="宋体" w:hAnsi="宋体" w:cs="宋体"/>
          <w:kern w:val="0"/>
          <w:sz w:val="28"/>
          <w:szCs w:val="28"/>
        </w:rPr>
        <w:t>/</w:t>
      </w:r>
      <w:r>
        <w:rPr>
          <w:rFonts w:hint="eastAsia" w:ascii="宋体" w:hAnsi="宋体" w:cs="宋体"/>
          <w:kern w:val="0"/>
          <w:sz w:val="28"/>
          <w:szCs w:val="28"/>
        </w:rPr>
        <w:t>签订合同），我方对此无任何异议，并愿意承担一切后果和责任。</w:t>
      </w:r>
      <w:r>
        <w:rPr>
          <w:rFonts w:ascii="宋体" w:hAnsi="宋体" w:cs="宋体"/>
          <w:kern w:val="0"/>
          <w:sz w:val="28"/>
          <w:szCs w:val="28"/>
        </w:rPr>
        <w:t xml:space="preserve"> </w:t>
      </w:r>
    </w:p>
    <w:p>
      <w:pPr>
        <w:autoSpaceDE w:val="0"/>
        <w:autoSpaceDN w:val="0"/>
        <w:adjustRightInd w:val="0"/>
        <w:jc w:val="left"/>
        <w:rPr>
          <w:rFonts w:ascii="宋体" w:hAnsi="宋体" w:cs="宋体"/>
          <w:kern w:val="0"/>
          <w:sz w:val="30"/>
          <w:szCs w:val="30"/>
        </w:rPr>
      </w:pPr>
    </w:p>
    <w:p>
      <w:pPr>
        <w:autoSpaceDE w:val="0"/>
        <w:autoSpaceDN w:val="0"/>
        <w:adjustRightInd w:val="0"/>
        <w:jc w:val="left"/>
        <w:rPr>
          <w:rFonts w:ascii="宋体" w:hAnsi="宋体" w:cs="宋体"/>
          <w:kern w:val="0"/>
          <w:sz w:val="30"/>
          <w:szCs w:val="30"/>
        </w:rPr>
      </w:pPr>
    </w:p>
    <w:p>
      <w:pPr>
        <w:autoSpaceDE w:val="0"/>
        <w:autoSpaceDN w:val="0"/>
        <w:adjustRightInd w:val="0"/>
        <w:jc w:val="left"/>
        <w:rPr>
          <w:rFonts w:ascii="宋体" w:hAnsi="宋体" w:cs="宋体"/>
          <w:kern w:val="0"/>
          <w:sz w:val="30"/>
          <w:szCs w:val="30"/>
        </w:rPr>
      </w:pPr>
      <w:r>
        <w:rPr>
          <w:rFonts w:hint="eastAsia" w:ascii="宋体" w:hAnsi="宋体" w:cs="宋体"/>
          <w:kern w:val="0"/>
          <w:sz w:val="30"/>
          <w:szCs w:val="30"/>
        </w:rPr>
        <w:t>特此声明</w:t>
      </w:r>
      <w:r>
        <w:rPr>
          <w:rFonts w:ascii="宋体" w:hAnsi="宋体" w:cs="宋体"/>
          <w:kern w:val="0"/>
          <w:sz w:val="30"/>
          <w:szCs w:val="30"/>
        </w:rPr>
        <w:t xml:space="preserve"> </w:t>
      </w: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spacing w:line="400" w:lineRule="exact"/>
        <w:jc w:val="left"/>
        <w:rPr>
          <w:b/>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pStyle w:val="22"/>
        <w:adjustRightInd w:val="0"/>
        <w:snapToGrid w:val="0"/>
        <w:spacing w:line="460" w:lineRule="exact"/>
        <w:rPr>
          <w:rFonts w:hAnsi="宋体" w:cs="宋体"/>
          <w:kern w:val="0"/>
          <w:sz w:val="28"/>
          <w:szCs w:val="28"/>
        </w:rPr>
      </w:pPr>
      <w:r>
        <w:rPr>
          <w:rFonts w:hint="eastAsia" w:hAnsi="宋体" w:cs="宋体"/>
          <w:kern w:val="0"/>
          <w:sz w:val="28"/>
          <w:szCs w:val="28"/>
        </w:rPr>
        <w:t>投标供应商名称（盖章）：</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u w:val="single"/>
        </w:rPr>
      </w:pPr>
      <w:r>
        <w:rPr>
          <w:rFonts w:hint="eastAsia" w:hAnsi="宋体" w:cs="宋体"/>
          <w:kern w:val="0"/>
          <w:sz w:val="28"/>
          <w:szCs w:val="28"/>
        </w:rPr>
        <w:t>法定代表人或其授权代表（签字或盖章）：</w:t>
      </w:r>
      <w:r>
        <w:rPr>
          <w:rFonts w:hint="eastAsia" w:hAnsi="宋体" w:cs="宋体"/>
          <w:kern w:val="0"/>
          <w:sz w:val="28"/>
          <w:szCs w:val="28"/>
          <w:u w:val="single"/>
        </w:rPr>
        <w:t xml:space="preserve">              </w:t>
      </w:r>
    </w:p>
    <w:p>
      <w:pPr>
        <w:pStyle w:val="22"/>
        <w:adjustRightInd w:val="0"/>
        <w:snapToGrid w:val="0"/>
        <w:spacing w:line="460" w:lineRule="exact"/>
        <w:rPr>
          <w:rFonts w:hAnsi="宋体" w:cs="宋体"/>
          <w:kern w:val="0"/>
          <w:sz w:val="28"/>
          <w:szCs w:val="28"/>
        </w:rPr>
      </w:pPr>
      <w:r>
        <w:rPr>
          <w:rFonts w:hint="eastAsia" w:hAnsi="宋体" w:cs="宋体"/>
          <w:kern w:val="0"/>
          <w:sz w:val="28"/>
          <w:szCs w:val="28"/>
        </w:rPr>
        <w:t xml:space="preserve">日期： </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格式1-</w:t>
      </w:r>
      <w:r>
        <w:rPr>
          <w:rFonts w:hint="eastAsia" w:hAnsi="宋体" w:cs="宋体"/>
          <w:kern w:val="0"/>
          <w:sz w:val="28"/>
          <w:szCs w:val="28"/>
          <w:lang w:val="en-US" w:eastAsia="zh-CN"/>
        </w:rPr>
        <w:t>8</w:t>
      </w:r>
      <w:r>
        <w:rPr>
          <w:rFonts w:hint="eastAsia" w:hAnsi="宋体" w:cs="宋体"/>
          <w:kern w:val="0"/>
          <w:sz w:val="28"/>
          <w:szCs w:val="28"/>
        </w:rPr>
        <w:t>、《其他资质、资格等材料》</w:t>
      </w:r>
    </w:p>
    <w:p>
      <w:pPr>
        <w:pStyle w:val="22"/>
        <w:adjustRightInd w:val="0"/>
        <w:snapToGrid w:val="0"/>
        <w:spacing w:line="340" w:lineRule="atLeast"/>
        <w:rPr>
          <w:rFonts w:hAnsi="宋体" w:cs="宋体"/>
          <w:kern w:val="0"/>
          <w:sz w:val="28"/>
          <w:szCs w:val="28"/>
        </w:rPr>
      </w:pPr>
    </w:p>
    <w:p>
      <w:pPr>
        <w:pStyle w:val="22"/>
        <w:snapToGrid w:val="0"/>
        <w:spacing w:line="340" w:lineRule="atLeast"/>
        <w:jc w:val="center"/>
        <w:rPr>
          <w:rFonts w:hAnsi="宋体" w:cs="宋体"/>
          <w:b/>
          <w:kern w:val="0"/>
          <w:sz w:val="36"/>
          <w:szCs w:val="36"/>
        </w:rPr>
      </w:pPr>
      <w:r>
        <w:rPr>
          <w:rFonts w:hint="eastAsia" w:hAnsi="宋体" w:cs="宋体"/>
          <w:b/>
          <w:kern w:val="0"/>
          <w:sz w:val="36"/>
          <w:szCs w:val="36"/>
        </w:rPr>
        <w:t>其他资质、资格等材料</w:t>
      </w:r>
      <w:r>
        <w:rPr>
          <w:rFonts w:hAnsi="宋体" w:cs="宋体"/>
          <w:b/>
          <w:kern w:val="0"/>
          <w:sz w:val="36"/>
          <w:szCs w:val="36"/>
        </w:rPr>
        <w:t xml:space="preserve"> </w:t>
      </w:r>
    </w:p>
    <w:p>
      <w:pPr>
        <w:autoSpaceDE w:val="0"/>
        <w:autoSpaceDN w:val="0"/>
        <w:adjustRightInd w:val="0"/>
        <w:jc w:val="left"/>
        <w:rPr>
          <w:rFonts w:ascii="宋体" w:hAnsi="宋体" w:cs="宋体"/>
          <w:kern w:val="0"/>
          <w:sz w:val="24"/>
        </w:rPr>
      </w:pPr>
    </w:p>
    <w:tbl>
      <w:tblPr>
        <w:tblStyle w:val="43"/>
        <w:tblW w:w="0" w:type="auto"/>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897"/>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786" w:hRule="atLeast"/>
        </w:trPr>
        <w:tc>
          <w:tcPr>
            <w:tcW w:w="9897" w:type="dxa"/>
          </w:tcPr>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spacing w:line="460" w:lineRule="exact"/>
              <w:jc w:val="center"/>
              <w:rPr>
                <w:rFonts w:ascii="宋体" w:hAnsi="宋体" w:cs="宋体"/>
                <w:i/>
                <w:kern w:val="0"/>
                <w:sz w:val="30"/>
                <w:szCs w:val="30"/>
              </w:rPr>
            </w:pPr>
            <w:r>
              <w:rPr>
                <w:rFonts w:hint="eastAsia" w:ascii="宋体" w:hAnsi="宋体" w:cs="宋体"/>
                <w:i/>
                <w:kern w:val="0"/>
                <w:sz w:val="30"/>
                <w:szCs w:val="30"/>
              </w:rPr>
              <w:t>投标供应商其他资质、资格、许可证书以及技术资信评审中要求提供的其他材料（加盖投标供应商公章，否则视为未提供）</w:t>
            </w:r>
            <w:r>
              <w:rPr>
                <w:rFonts w:ascii="宋体" w:hAnsi="宋体" w:cs="宋体"/>
                <w:i/>
                <w:kern w:val="0"/>
                <w:sz w:val="30"/>
                <w:szCs w:val="30"/>
              </w:rPr>
              <w:t xml:space="preserve"> </w:t>
            </w:r>
          </w:p>
        </w:tc>
      </w:tr>
    </w:tbl>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autoSpaceDE w:val="0"/>
        <w:autoSpaceDN w:val="0"/>
        <w:adjustRightInd w:val="0"/>
        <w:rPr>
          <w:rFonts w:ascii="宋体" w:hAnsi="宋体" w:cs="宋体"/>
          <w:kern w:val="0"/>
          <w:sz w:val="24"/>
        </w:rPr>
      </w:pPr>
    </w:p>
    <w:p>
      <w:pPr>
        <w:autoSpaceDE w:val="0"/>
        <w:autoSpaceDN w:val="0"/>
        <w:adjustRightInd w:val="0"/>
        <w:rPr>
          <w:rFonts w:ascii="宋体" w:hAnsi="宋体" w:cs="宋体"/>
          <w:kern w:val="0"/>
          <w:sz w:val="24"/>
        </w:rPr>
      </w:pPr>
    </w:p>
    <w:p>
      <w:pPr>
        <w:pStyle w:val="22"/>
        <w:snapToGrid w:val="0"/>
        <w:spacing w:line="340" w:lineRule="atLeast"/>
        <w:rPr>
          <w:rFonts w:hAnsi="宋体" w:cs="宋体"/>
          <w:kern w:val="0"/>
          <w:sz w:val="28"/>
          <w:szCs w:val="28"/>
        </w:rPr>
      </w:pPr>
      <w:r>
        <w:rPr>
          <w:rFonts w:hint="eastAsia" w:hAnsi="宋体" w:cs="宋体"/>
          <w:kern w:val="0"/>
          <w:sz w:val="28"/>
          <w:szCs w:val="28"/>
        </w:rPr>
        <w:t>格式1-</w:t>
      </w:r>
      <w:r>
        <w:rPr>
          <w:rFonts w:hint="eastAsia" w:hAnsi="宋体" w:cs="宋体"/>
          <w:kern w:val="0"/>
          <w:sz w:val="28"/>
          <w:szCs w:val="28"/>
          <w:lang w:val="en-US" w:eastAsia="zh-CN"/>
        </w:rPr>
        <w:t>9</w:t>
      </w:r>
      <w:r>
        <w:rPr>
          <w:rFonts w:hint="eastAsia" w:hAnsi="宋体" w:cs="宋体"/>
          <w:kern w:val="0"/>
          <w:sz w:val="28"/>
          <w:szCs w:val="28"/>
        </w:rPr>
        <w:t>、投标供应商基本情况说明</w:t>
      </w:r>
      <w:r>
        <w:rPr>
          <w:rFonts w:hAnsi="宋体" w:cs="宋体"/>
          <w:kern w:val="0"/>
          <w:sz w:val="28"/>
          <w:szCs w:val="28"/>
        </w:rPr>
        <w:t xml:space="preserve"> </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jc w:val="center"/>
        <w:rPr>
          <w:rFonts w:hAnsi="宋体" w:cs="宋体"/>
          <w:b/>
          <w:kern w:val="0"/>
          <w:sz w:val="36"/>
          <w:szCs w:val="36"/>
        </w:rPr>
      </w:pPr>
      <w:r>
        <w:rPr>
          <w:rFonts w:hint="eastAsia" w:hAnsi="宋体" w:cs="宋体"/>
          <w:b/>
          <w:kern w:val="0"/>
          <w:sz w:val="36"/>
          <w:szCs w:val="36"/>
        </w:rPr>
        <w:t>投标供应商基本情况说明</w:t>
      </w:r>
    </w:p>
    <w:p>
      <w:pPr>
        <w:pStyle w:val="22"/>
        <w:adjustRightInd w:val="0"/>
        <w:snapToGrid w:val="0"/>
        <w:spacing w:line="160" w:lineRule="exact"/>
        <w:rPr>
          <w:rFonts w:hAnsi="宋体" w:cs="宋体"/>
          <w:b/>
          <w:kern w:val="0"/>
          <w:sz w:val="36"/>
          <w:szCs w:val="36"/>
        </w:rPr>
      </w:pPr>
    </w:p>
    <w:p>
      <w:pPr>
        <w:spacing w:line="460" w:lineRule="exact"/>
        <w:outlineLvl w:val="0"/>
        <w:rPr>
          <w:rFonts w:ascii="宋体"/>
          <w:b/>
          <w:sz w:val="28"/>
          <w:szCs w:val="28"/>
        </w:rPr>
      </w:pPr>
      <w:r>
        <w:rPr>
          <w:rFonts w:hint="eastAsia" w:ascii="宋体"/>
          <w:b/>
          <w:sz w:val="28"/>
          <w:szCs w:val="28"/>
        </w:rPr>
        <w:t>1. 名称及概况：</w:t>
      </w:r>
    </w:p>
    <w:p>
      <w:pPr>
        <w:spacing w:line="460" w:lineRule="exact"/>
        <w:rPr>
          <w:rFonts w:ascii="宋体"/>
          <w:sz w:val="28"/>
          <w:szCs w:val="28"/>
        </w:rPr>
      </w:pPr>
      <w:r>
        <w:rPr>
          <w:rFonts w:hint="eastAsia" w:ascii="宋体"/>
          <w:sz w:val="28"/>
          <w:szCs w:val="28"/>
        </w:rPr>
        <w:t>（1）投标供应商名称：</w:t>
      </w:r>
      <w:r>
        <w:rPr>
          <w:rFonts w:hint="eastAsia" w:ascii="宋体"/>
          <w:sz w:val="28"/>
          <w:szCs w:val="28"/>
          <w:u w:val="single"/>
        </w:rPr>
        <w:t xml:space="preserve">                           </w:t>
      </w:r>
    </w:p>
    <w:p>
      <w:pPr>
        <w:spacing w:line="460" w:lineRule="exact"/>
        <w:rPr>
          <w:rFonts w:ascii="宋体"/>
          <w:sz w:val="28"/>
          <w:szCs w:val="28"/>
        </w:rPr>
      </w:pPr>
      <w:r>
        <w:rPr>
          <w:rFonts w:hint="eastAsia" w:ascii="宋体"/>
          <w:sz w:val="28"/>
          <w:szCs w:val="28"/>
        </w:rPr>
        <w:t>（2）单位组织形式：</w:t>
      </w:r>
      <w:r>
        <w:rPr>
          <w:rFonts w:hint="eastAsia" w:ascii="宋体"/>
          <w:sz w:val="28"/>
          <w:szCs w:val="28"/>
          <w:u w:val="single"/>
        </w:rPr>
        <w:t xml:space="preserve">                             </w:t>
      </w:r>
    </w:p>
    <w:p>
      <w:pPr>
        <w:spacing w:line="460" w:lineRule="exact"/>
        <w:rPr>
          <w:rFonts w:ascii="宋体"/>
          <w:sz w:val="28"/>
          <w:szCs w:val="28"/>
        </w:rPr>
      </w:pPr>
      <w:r>
        <w:rPr>
          <w:rFonts w:hint="eastAsia" w:ascii="宋体"/>
          <w:sz w:val="28"/>
          <w:szCs w:val="28"/>
        </w:rPr>
        <w:t>（3）法定代表人姓名：</w:t>
      </w:r>
      <w:r>
        <w:rPr>
          <w:rFonts w:hint="eastAsia" w:ascii="宋体"/>
          <w:sz w:val="28"/>
          <w:szCs w:val="28"/>
          <w:u w:val="single"/>
        </w:rPr>
        <w:t xml:space="preserve">                        </w:t>
      </w:r>
    </w:p>
    <w:p>
      <w:pPr>
        <w:spacing w:line="460" w:lineRule="exact"/>
        <w:rPr>
          <w:rFonts w:ascii="宋体"/>
          <w:sz w:val="28"/>
          <w:szCs w:val="28"/>
        </w:rPr>
      </w:pPr>
      <w:r>
        <w:rPr>
          <w:rFonts w:hint="eastAsia" w:ascii="宋体"/>
          <w:sz w:val="28"/>
          <w:szCs w:val="28"/>
        </w:rPr>
        <w:t>（4）单位地址：</w:t>
      </w:r>
      <w:r>
        <w:rPr>
          <w:rFonts w:hint="eastAsia" w:ascii="宋体"/>
          <w:sz w:val="28"/>
          <w:szCs w:val="28"/>
          <w:u w:val="single"/>
        </w:rPr>
        <w:t xml:space="preserve">                              </w:t>
      </w:r>
    </w:p>
    <w:p>
      <w:pPr>
        <w:spacing w:line="460" w:lineRule="exact"/>
        <w:rPr>
          <w:rFonts w:ascii="宋体"/>
          <w:sz w:val="28"/>
          <w:szCs w:val="28"/>
          <w:u w:val="single"/>
        </w:rPr>
      </w:pPr>
      <w:r>
        <w:rPr>
          <w:rFonts w:hint="eastAsia" w:ascii="宋体"/>
          <w:sz w:val="28"/>
          <w:szCs w:val="28"/>
        </w:rPr>
        <w:t>（5）单位传真/电话号码：</w:t>
      </w:r>
      <w:r>
        <w:rPr>
          <w:rFonts w:hint="eastAsia" w:ascii="宋体"/>
          <w:sz w:val="28"/>
          <w:szCs w:val="28"/>
          <w:u w:val="single"/>
        </w:rPr>
        <w:t xml:space="preserve">                           </w:t>
      </w:r>
    </w:p>
    <w:p>
      <w:pPr>
        <w:spacing w:line="460" w:lineRule="exact"/>
        <w:rPr>
          <w:rFonts w:ascii="宋体"/>
          <w:sz w:val="28"/>
          <w:szCs w:val="28"/>
          <w:u w:val="single"/>
        </w:rPr>
      </w:pPr>
      <w:r>
        <w:rPr>
          <w:rFonts w:hint="eastAsia" w:ascii="宋体"/>
          <w:sz w:val="28"/>
          <w:szCs w:val="28"/>
        </w:rPr>
        <w:t>（6）成立或工商注册日期：</w:t>
      </w:r>
      <w:r>
        <w:rPr>
          <w:rFonts w:hint="eastAsia" w:ascii="宋体"/>
          <w:sz w:val="28"/>
          <w:szCs w:val="28"/>
          <w:u w:val="single"/>
        </w:rPr>
        <w:t xml:space="preserve">                           </w:t>
      </w:r>
    </w:p>
    <w:p>
      <w:pPr>
        <w:spacing w:line="460" w:lineRule="exact"/>
        <w:rPr>
          <w:rFonts w:ascii="宋体"/>
          <w:sz w:val="28"/>
          <w:szCs w:val="28"/>
          <w:u w:val="single"/>
        </w:rPr>
      </w:pPr>
      <w:r>
        <w:rPr>
          <w:rFonts w:hint="eastAsia" w:ascii="宋体"/>
          <w:sz w:val="28"/>
          <w:szCs w:val="28"/>
        </w:rPr>
        <w:t>（6）实收资本：</w:t>
      </w:r>
      <w:r>
        <w:rPr>
          <w:rFonts w:hint="eastAsia" w:ascii="宋体"/>
          <w:sz w:val="28"/>
          <w:szCs w:val="28"/>
          <w:u w:val="single"/>
        </w:rPr>
        <w:t xml:space="preserve">                           </w:t>
      </w:r>
    </w:p>
    <w:p>
      <w:pPr>
        <w:spacing w:line="460" w:lineRule="exact"/>
        <w:rPr>
          <w:rFonts w:ascii="宋体"/>
          <w:sz w:val="28"/>
          <w:szCs w:val="28"/>
        </w:rPr>
      </w:pPr>
      <w:r>
        <w:rPr>
          <w:rFonts w:hint="eastAsia" w:ascii="宋体"/>
          <w:sz w:val="28"/>
          <w:szCs w:val="28"/>
        </w:rPr>
        <w:t>（8）近期资产负债表（到</w:t>
      </w: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日止）</w:t>
      </w:r>
    </w:p>
    <w:p>
      <w:pPr>
        <w:spacing w:line="460" w:lineRule="exact"/>
        <w:rPr>
          <w:rFonts w:ascii="宋体"/>
          <w:sz w:val="28"/>
          <w:szCs w:val="28"/>
        </w:rPr>
      </w:pPr>
      <w:r>
        <w:rPr>
          <w:rFonts w:hint="eastAsia" w:ascii="宋体"/>
          <w:sz w:val="28"/>
          <w:szCs w:val="28"/>
        </w:rPr>
        <w:t xml:space="preserve">  1）固定资产：</w:t>
      </w:r>
      <w:r>
        <w:rPr>
          <w:rFonts w:hint="eastAsia" w:ascii="宋体"/>
          <w:sz w:val="28"/>
          <w:szCs w:val="28"/>
          <w:u w:val="single"/>
        </w:rPr>
        <w:t xml:space="preserve">               </w:t>
      </w:r>
    </w:p>
    <w:p>
      <w:pPr>
        <w:spacing w:line="460" w:lineRule="exact"/>
        <w:rPr>
          <w:rFonts w:ascii="宋体"/>
          <w:sz w:val="28"/>
          <w:szCs w:val="28"/>
        </w:rPr>
      </w:pPr>
      <w:r>
        <w:rPr>
          <w:rFonts w:hint="eastAsia" w:ascii="宋体"/>
          <w:sz w:val="28"/>
          <w:szCs w:val="28"/>
        </w:rPr>
        <w:t xml:space="preserve">  2）流动资产：</w:t>
      </w:r>
      <w:r>
        <w:rPr>
          <w:rFonts w:hint="eastAsia" w:ascii="宋体"/>
          <w:sz w:val="28"/>
          <w:szCs w:val="28"/>
          <w:u w:val="single"/>
        </w:rPr>
        <w:t xml:space="preserve">               </w:t>
      </w:r>
    </w:p>
    <w:p>
      <w:pPr>
        <w:spacing w:line="460" w:lineRule="exact"/>
        <w:rPr>
          <w:rFonts w:ascii="宋体"/>
          <w:sz w:val="28"/>
          <w:szCs w:val="28"/>
        </w:rPr>
      </w:pPr>
      <w:r>
        <w:rPr>
          <w:rFonts w:hint="eastAsia" w:ascii="宋体"/>
          <w:sz w:val="28"/>
          <w:szCs w:val="28"/>
        </w:rPr>
        <w:t xml:space="preserve">  3）长期负债：</w:t>
      </w:r>
      <w:r>
        <w:rPr>
          <w:rFonts w:hint="eastAsia" w:ascii="宋体"/>
          <w:sz w:val="28"/>
          <w:szCs w:val="28"/>
          <w:u w:val="single"/>
        </w:rPr>
        <w:t xml:space="preserve">               </w:t>
      </w:r>
    </w:p>
    <w:p>
      <w:pPr>
        <w:spacing w:line="460" w:lineRule="exact"/>
        <w:rPr>
          <w:rFonts w:ascii="宋体"/>
          <w:sz w:val="28"/>
          <w:szCs w:val="28"/>
        </w:rPr>
      </w:pPr>
      <w:r>
        <w:rPr>
          <w:rFonts w:hint="eastAsia" w:ascii="宋体"/>
          <w:sz w:val="28"/>
          <w:szCs w:val="28"/>
        </w:rPr>
        <w:t xml:space="preserve">  4）流动负债：</w:t>
      </w:r>
      <w:r>
        <w:rPr>
          <w:rFonts w:hint="eastAsia" w:ascii="宋体"/>
          <w:sz w:val="28"/>
          <w:szCs w:val="28"/>
          <w:u w:val="single"/>
        </w:rPr>
        <w:t xml:space="preserve">               </w:t>
      </w:r>
    </w:p>
    <w:p>
      <w:pPr>
        <w:spacing w:line="460" w:lineRule="exact"/>
        <w:rPr>
          <w:rFonts w:ascii="宋体"/>
          <w:sz w:val="28"/>
          <w:szCs w:val="28"/>
        </w:rPr>
      </w:pPr>
      <w:r>
        <w:rPr>
          <w:rFonts w:hint="eastAsia" w:ascii="宋体"/>
          <w:sz w:val="28"/>
          <w:szCs w:val="28"/>
        </w:rPr>
        <w:t xml:space="preserve">  5）净    值：</w:t>
      </w:r>
      <w:r>
        <w:rPr>
          <w:rFonts w:hint="eastAsia" w:ascii="宋体"/>
          <w:sz w:val="28"/>
          <w:szCs w:val="28"/>
          <w:u w:val="single"/>
        </w:rPr>
        <w:t xml:space="preserve">               </w:t>
      </w:r>
    </w:p>
    <w:p>
      <w:pPr>
        <w:spacing w:line="460" w:lineRule="exact"/>
        <w:rPr>
          <w:rFonts w:ascii="宋体"/>
          <w:sz w:val="28"/>
          <w:szCs w:val="28"/>
        </w:rPr>
      </w:pPr>
      <w:r>
        <w:rPr>
          <w:rFonts w:hint="eastAsia" w:ascii="宋体"/>
          <w:sz w:val="28"/>
          <w:szCs w:val="28"/>
        </w:rPr>
        <w:t>（6）主要负责人姓名：</w:t>
      </w:r>
      <w:r>
        <w:rPr>
          <w:rFonts w:hint="eastAsia" w:ascii="宋体"/>
          <w:sz w:val="28"/>
          <w:szCs w:val="28"/>
          <w:u w:val="single"/>
        </w:rPr>
        <w:t xml:space="preserve">                      </w:t>
      </w:r>
    </w:p>
    <w:p>
      <w:pPr>
        <w:spacing w:line="460" w:lineRule="exact"/>
        <w:ind w:left="843" w:hanging="843" w:hangingChars="300"/>
        <w:jc w:val="left"/>
        <w:rPr>
          <w:rFonts w:ascii="宋体"/>
          <w:sz w:val="28"/>
          <w:szCs w:val="28"/>
        </w:rPr>
      </w:pPr>
      <w:r>
        <w:rPr>
          <w:rFonts w:hint="eastAsia" w:ascii="宋体"/>
          <w:b/>
          <w:sz w:val="28"/>
          <w:szCs w:val="28"/>
        </w:rPr>
        <w:t>2．企业现有技术人员情况：</w:t>
      </w:r>
      <w:r>
        <w:rPr>
          <w:rFonts w:hint="eastAsia" w:ascii="宋体"/>
          <w:sz w:val="28"/>
          <w:szCs w:val="28"/>
        </w:rPr>
        <w:t>技术人员</w:t>
      </w:r>
      <w:r>
        <w:rPr>
          <w:rFonts w:ascii="宋体"/>
          <w:sz w:val="28"/>
          <w:szCs w:val="28"/>
        </w:rPr>
        <w:t>____________</w:t>
      </w:r>
      <w:r>
        <w:rPr>
          <w:rFonts w:hint="eastAsia" w:ascii="宋体"/>
          <w:sz w:val="28"/>
          <w:szCs w:val="28"/>
        </w:rPr>
        <w:t>人</w:t>
      </w:r>
      <w:r>
        <w:rPr>
          <w:rFonts w:ascii="宋体"/>
          <w:sz w:val="28"/>
          <w:szCs w:val="28"/>
        </w:rPr>
        <w:t xml:space="preserve"> </w:t>
      </w:r>
    </w:p>
    <w:p>
      <w:pPr>
        <w:spacing w:line="460" w:lineRule="exact"/>
        <w:ind w:left="843" w:hanging="843" w:hangingChars="300"/>
        <w:jc w:val="left"/>
        <w:outlineLvl w:val="0"/>
        <w:rPr>
          <w:rFonts w:ascii="宋体"/>
          <w:b/>
          <w:sz w:val="28"/>
          <w:szCs w:val="28"/>
        </w:rPr>
      </w:pPr>
      <w:r>
        <w:rPr>
          <w:rFonts w:hint="eastAsia" w:ascii="宋体"/>
          <w:b/>
          <w:sz w:val="28"/>
          <w:szCs w:val="28"/>
        </w:rPr>
        <w:t>3. 近三年的年营业总额：</w:t>
      </w:r>
      <w:r>
        <w:rPr>
          <w:rFonts w:hint="eastAsia" w:ascii="宋体"/>
          <w:b/>
          <w:sz w:val="28"/>
          <w:szCs w:val="28"/>
          <w:u w:val="single"/>
        </w:rPr>
        <w:t xml:space="preserve">                       </w:t>
      </w:r>
    </w:p>
    <w:p>
      <w:pPr>
        <w:spacing w:line="460" w:lineRule="exact"/>
        <w:ind w:firstLine="560" w:firstLineChars="200"/>
        <w:rPr>
          <w:rFonts w:ascii="宋体"/>
          <w:sz w:val="28"/>
          <w:szCs w:val="28"/>
        </w:rPr>
      </w:pPr>
      <w:r>
        <w:rPr>
          <w:rFonts w:hint="eastAsia" w:ascii="宋体"/>
          <w:sz w:val="28"/>
          <w:szCs w:val="28"/>
        </w:rPr>
        <w:t>兹证明上述声明是真实、正确的、并提供了全部能提供的资料和数据，我们同意遵照</w:t>
      </w:r>
      <w:r>
        <w:rPr>
          <w:rFonts w:hint="eastAsia" w:ascii="宋体"/>
          <w:sz w:val="28"/>
          <w:szCs w:val="28"/>
          <w:lang w:eastAsia="zh-CN"/>
        </w:rPr>
        <w:t>竞争性磋商</w:t>
      </w:r>
      <w:r>
        <w:rPr>
          <w:rFonts w:hint="eastAsia" w:ascii="宋体"/>
          <w:sz w:val="28"/>
          <w:szCs w:val="28"/>
        </w:rPr>
        <w:t>采购文件要求出示有关证明文件。</w:t>
      </w:r>
      <w:r>
        <w:rPr>
          <w:rFonts w:ascii="宋体"/>
          <w:sz w:val="28"/>
          <w:szCs w:val="28"/>
        </w:rPr>
        <w:t xml:space="preserve"> </w:t>
      </w:r>
    </w:p>
    <w:p>
      <w:pPr>
        <w:spacing w:line="460" w:lineRule="exact"/>
        <w:rPr>
          <w:rFonts w:ascii="宋体"/>
          <w:sz w:val="28"/>
          <w:szCs w:val="28"/>
        </w:rPr>
      </w:pPr>
    </w:p>
    <w:p>
      <w:pPr>
        <w:spacing w:line="460" w:lineRule="exact"/>
        <w:rPr>
          <w:rFonts w:ascii="宋体"/>
          <w:sz w:val="28"/>
          <w:szCs w:val="28"/>
        </w:rPr>
      </w:pPr>
    </w:p>
    <w:p>
      <w:pPr>
        <w:pStyle w:val="22"/>
        <w:adjustRightInd w:val="0"/>
        <w:snapToGrid w:val="0"/>
        <w:spacing w:line="460" w:lineRule="exact"/>
        <w:rPr>
          <w:rFonts w:hAnsi="宋体" w:cs="宋体"/>
          <w:kern w:val="0"/>
          <w:sz w:val="28"/>
          <w:szCs w:val="28"/>
        </w:rPr>
      </w:pPr>
      <w:r>
        <w:rPr>
          <w:rFonts w:hint="eastAsia" w:hAnsi="宋体" w:cs="宋体"/>
          <w:kern w:val="0"/>
          <w:sz w:val="28"/>
          <w:szCs w:val="28"/>
        </w:rPr>
        <w:t>投标供应商名称（盖章）：</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u w:val="single"/>
        </w:rPr>
      </w:pPr>
      <w:r>
        <w:rPr>
          <w:rFonts w:hint="eastAsia" w:hAnsi="宋体" w:cs="宋体"/>
          <w:kern w:val="0"/>
          <w:sz w:val="28"/>
          <w:szCs w:val="28"/>
        </w:rPr>
        <w:t>法定代表人或其授权代表（签字或盖章）：</w:t>
      </w:r>
      <w:r>
        <w:rPr>
          <w:rFonts w:hint="eastAsia" w:hAnsi="宋体" w:cs="宋体"/>
          <w:kern w:val="0"/>
          <w:sz w:val="28"/>
          <w:szCs w:val="28"/>
          <w:u w:val="single"/>
        </w:rPr>
        <w:t xml:space="preserve">              </w:t>
      </w:r>
    </w:p>
    <w:p>
      <w:pPr>
        <w:pStyle w:val="22"/>
        <w:adjustRightInd w:val="0"/>
        <w:snapToGrid w:val="0"/>
        <w:spacing w:line="460" w:lineRule="exact"/>
        <w:rPr>
          <w:rFonts w:hAnsi="宋体" w:cs="宋体"/>
          <w:kern w:val="0"/>
          <w:sz w:val="28"/>
          <w:szCs w:val="28"/>
        </w:rPr>
      </w:pPr>
      <w:r>
        <w:rPr>
          <w:rFonts w:hint="eastAsia" w:hAnsi="宋体" w:cs="宋体"/>
          <w:kern w:val="0"/>
          <w:sz w:val="28"/>
          <w:szCs w:val="28"/>
        </w:rPr>
        <w:t xml:space="preserve">日期： </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rPr>
      </w:pPr>
    </w:p>
    <w:p>
      <w:pPr>
        <w:pStyle w:val="22"/>
        <w:snapToGrid w:val="0"/>
        <w:spacing w:line="340" w:lineRule="atLeast"/>
        <w:rPr>
          <w:rFonts w:hAnsi="宋体" w:cs="宋体"/>
          <w:kern w:val="0"/>
          <w:sz w:val="28"/>
          <w:szCs w:val="28"/>
        </w:rPr>
      </w:pPr>
    </w:p>
    <w:p>
      <w:pPr>
        <w:pStyle w:val="22"/>
        <w:snapToGrid w:val="0"/>
        <w:spacing w:line="340" w:lineRule="atLeast"/>
        <w:rPr>
          <w:rFonts w:hAnsi="宋体" w:cs="宋体"/>
          <w:kern w:val="0"/>
          <w:sz w:val="28"/>
          <w:szCs w:val="28"/>
        </w:rPr>
      </w:pPr>
    </w:p>
    <w:p>
      <w:pPr>
        <w:pStyle w:val="22"/>
        <w:snapToGrid w:val="0"/>
        <w:spacing w:line="340" w:lineRule="atLeast"/>
        <w:rPr>
          <w:rFonts w:hAnsi="宋体" w:cs="宋体"/>
          <w:kern w:val="0"/>
          <w:sz w:val="28"/>
          <w:szCs w:val="28"/>
        </w:rPr>
      </w:pPr>
      <w:r>
        <w:rPr>
          <w:rFonts w:hint="eastAsia" w:hAnsi="宋体" w:cs="宋体"/>
          <w:kern w:val="0"/>
          <w:sz w:val="28"/>
          <w:szCs w:val="28"/>
        </w:rPr>
        <w:t>格式1-1</w:t>
      </w:r>
      <w:r>
        <w:rPr>
          <w:rFonts w:hint="eastAsia" w:hAnsi="宋体" w:cs="宋体"/>
          <w:kern w:val="0"/>
          <w:sz w:val="28"/>
          <w:szCs w:val="28"/>
          <w:lang w:val="en-US" w:eastAsia="zh-CN"/>
        </w:rPr>
        <w:t>0</w:t>
      </w:r>
      <w:r>
        <w:rPr>
          <w:rFonts w:hint="eastAsia" w:hAnsi="宋体" w:cs="宋体"/>
          <w:kern w:val="0"/>
          <w:sz w:val="28"/>
          <w:szCs w:val="28"/>
        </w:rPr>
        <w:t>、（一）中小企业声明函</w:t>
      </w:r>
      <w:r>
        <w:rPr>
          <w:rFonts w:hAnsi="宋体" w:cs="宋体"/>
          <w:kern w:val="0"/>
          <w:sz w:val="28"/>
          <w:szCs w:val="28"/>
        </w:rPr>
        <w:t xml:space="preserve"> </w:t>
      </w:r>
    </w:p>
    <w:p>
      <w:pPr>
        <w:pStyle w:val="22"/>
        <w:adjustRightInd w:val="0"/>
        <w:snapToGrid w:val="0"/>
        <w:spacing w:line="340" w:lineRule="atLeast"/>
        <w:rPr>
          <w:rFonts w:hAnsi="宋体" w:cs="宋体"/>
          <w:kern w:val="0"/>
          <w:sz w:val="28"/>
          <w:szCs w:val="28"/>
        </w:rPr>
      </w:pPr>
    </w:p>
    <w:p>
      <w:pPr>
        <w:widowControl/>
        <w:snapToGrid w:val="0"/>
        <w:spacing w:line="360" w:lineRule="auto"/>
        <w:jc w:val="center"/>
        <w:rPr>
          <w:rFonts w:hint="eastAsia" w:ascii="仿宋" w:hAnsi="仿宋" w:eastAsia="仿宋" w:cs="仿宋"/>
          <w:b/>
          <w:color w:val="000000"/>
          <w:kern w:val="0"/>
          <w:sz w:val="28"/>
          <w:szCs w:val="28"/>
          <w:lang w:eastAsia="zh-CN"/>
        </w:rPr>
      </w:pPr>
      <w:r>
        <w:rPr>
          <w:rFonts w:hint="eastAsia" w:ascii="仿宋" w:hAnsi="仿宋" w:eastAsia="仿宋" w:cs="仿宋"/>
          <w:b/>
          <w:color w:val="000000"/>
          <w:kern w:val="0"/>
          <w:sz w:val="28"/>
          <w:szCs w:val="28"/>
        </w:rPr>
        <w:t>中小企业声明函</w:t>
      </w:r>
      <w:r>
        <w:rPr>
          <w:rFonts w:hint="eastAsia" w:ascii="仿宋" w:hAnsi="仿宋" w:eastAsia="仿宋" w:cs="仿宋"/>
          <w:b/>
          <w:color w:val="000000"/>
          <w:kern w:val="0"/>
          <w:sz w:val="28"/>
          <w:szCs w:val="28"/>
          <w:lang w:eastAsia="zh-CN"/>
        </w:rPr>
        <w:t>（工程、服务）</w:t>
      </w:r>
    </w:p>
    <w:p>
      <w:pPr>
        <w:pStyle w:val="53"/>
        <w:rPr>
          <w:rFonts w:hint="eastAsia"/>
        </w:rPr>
      </w:pPr>
    </w:p>
    <w:p>
      <w:pPr>
        <w:widowControl/>
        <w:snapToGrid w:val="0"/>
        <w:spacing w:line="360" w:lineRule="auto"/>
        <w:ind w:firstLine="480" w:firstLineChars="200"/>
        <w:jc w:val="left"/>
        <w:rPr>
          <w:rFonts w:hint="eastAsia" w:ascii="仿宋" w:hAnsi="仿宋" w:eastAsia="仿宋" w:cs="仿宋"/>
          <w:b w:val="0"/>
          <w:bCs/>
          <w:color w:val="000000"/>
          <w:kern w:val="0"/>
          <w:sz w:val="24"/>
        </w:rPr>
      </w:pPr>
      <w:r>
        <w:rPr>
          <w:rFonts w:hint="eastAsia" w:ascii="仿宋" w:hAnsi="仿宋" w:eastAsia="仿宋" w:cs="仿宋"/>
          <w:b w:val="0"/>
          <w:bCs/>
          <w:color w:val="000000"/>
          <w:kern w:val="0"/>
          <w:sz w:val="24"/>
        </w:rPr>
        <w:t>本公司</w:t>
      </w:r>
      <w:r>
        <w:rPr>
          <w:rFonts w:hint="eastAsia" w:ascii="仿宋" w:hAnsi="仿宋" w:eastAsia="仿宋" w:cs="仿宋"/>
          <w:b w:val="0"/>
          <w:bCs/>
          <w:color w:val="000000"/>
          <w:kern w:val="0"/>
          <w:sz w:val="24"/>
          <w:lang w:eastAsia="zh-CN"/>
        </w:rPr>
        <w:t>（联合体）</w:t>
      </w:r>
      <w:r>
        <w:rPr>
          <w:rFonts w:hint="eastAsia" w:ascii="仿宋" w:hAnsi="仿宋" w:eastAsia="仿宋" w:cs="仿宋"/>
          <w:b w:val="0"/>
          <w:bCs/>
          <w:color w:val="000000"/>
          <w:kern w:val="0"/>
          <w:sz w:val="24"/>
        </w:rPr>
        <w:t>郑重声明，根据《政府采购促进中小企业发展管理办法》（财库[20</w:t>
      </w:r>
      <w:r>
        <w:rPr>
          <w:rFonts w:hint="eastAsia" w:ascii="仿宋" w:hAnsi="仿宋" w:eastAsia="仿宋" w:cs="仿宋"/>
          <w:b w:val="0"/>
          <w:bCs/>
          <w:color w:val="000000"/>
          <w:kern w:val="0"/>
          <w:sz w:val="24"/>
          <w:lang w:val="en-US" w:eastAsia="zh-CN"/>
        </w:rPr>
        <w:t>20</w:t>
      </w:r>
      <w:r>
        <w:rPr>
          <w:rFonts w:hint="eastAsia" w:ascii="仿宋" w:hAnsi="仿宋" w:eastAsia="仿宋" w:cs="仿宋"/>
          <w:b w:val="0"/>
          <w:bCs/>
          <w:color w:val="000000"/>
          <w:kern w:val="0"/>
          <w:sz w:val="24"/>
        </w:rPr>
        <w:t>]</w:t>
      </w:r>
      <w:r>
        <w:rPr>
          <w:rFonts w:hint="eastAsia" w:ascii="仿宋" w:hAnsi="仿宋" w:eastAsia="仿宋" w:cs="仿宋"/>
          <w:b w:val="0"/>
          <w:bCs/>
          <w:color w:val="000000"/>
          <w:kern w:val="0"/>
          <w:sz w:val="24"/>
          <w:lang w:val="en-US" w:eastAsia="zh-CN"/>
        </w:rPr>
        <w:t>46</w:t>
      </w:r>
      <w:r>
        <w:rPr>
          <w:rFonts w:hint="eastAsia" w:ascii="仿宋" w:hAnsi="仿宋" w:eastAsia="仿宋" w:cs="仿宋"/>
          <w:b w:val="0"/>
          <w:bCs/>
          <w:color w:val="000000"/>
          <w:kern w:val="0"/>
          <w:sz w:val="24"/>
        </w:rPr>
        <w:t>号）的规定，本公司</w:t>
      </w:r>
      <w:r>
        <w:rPr>
          <w:rFonts w:hint="eastAsia" w:ascii="仿宋" w:hAnsi="仿宋" w:eastAsia="仿宋" w:cs="仿宋"/>
          <w:b w:val="0"/>
          <w:bCs/>
          <w:color w:val="000000"/>
          <w:kern w:val="0"/>
          <w:sz w:val="24"/>
          <w:lang w:eastAsia="zh-CN"/>
        </w:rPr>
        <w:t>（联合体）参加</w:t>
      </w:r>
      <w:r>
        <w:rPr>
          <w:rFonts w:hint="eastAsia" w:ascii="仿宋" w:hAnsi="仿宋" w:eastAsia="仿宋" w:cs="仿宋"/>
          <w:b w:val="0"/>
          <w:bCs/>
          <w:color w:val="000000"/>
          <w:kern w:val="0"/>
          <w:sz w:val="24"/>
          <w:u w:val="single"/>
          <w:lang w:val="en-US" w:eastAsia="zh-CN"/>
        </w:rPr>
        <w:t xml:space="preserve"> </w:t>
      </w:r>
      <w:r>
        <w:rPr>
          <w:rFonts w:hint="eastAsia" w:ascii="仿宋" w:hAnsi="仿宋" w:eastAsia="仿宋" w:cs="仿宋"/>
          <w:b w:val="0"/>
          <w:bCs/>
          <w:i/>
          <w:iCs/>
          <w:color w:val="000000"/>
          <w:kern w:val="0"/>
          <w:sz w:val="24"/>
          <w:u w:val="single"/>
          <w:lang w:val="en-US" w:eastAsia="zh-CN"/>
        </w:rPr>
        <w:t>（单位名称）</w:t>
      </w:r>
      <w:r>
        <w:rPr>
          <w:rFonts w:hint="eastAsia" w:ascii="仿宋" w:hAnsi="仿宋" w:eastAsia="仿宋" w:cs="仿宋"/>
          <w:b w:val="0"/>
          <w:bCs/>
          <w:color w:val="000000"/>
          <w:kern w:val="0"/>
          <w:sz w:val="24"/>
          <w:u w:val="single"/>
          <w:lang w:val="en-US" w:eastAsia="zh-CN"/>
        </w:rPr>
        <w:t xml:space="preserve"> </w:t>
      </w:r>
      <w:r>
        <w:rPr>
          <w:rFonts w:hint="eastAsia" w:ascii="仿宋" w:hAnsi="仿宋" w:eastAsia="仿宋" w:cs="仿宋"/>
          <w:b w:val="0"/>
          <w:bCs/>
          <w:color w:val="000000"/>
          <w:kern w:val="0"/>
          <w:sz w:val="24"/>
        </w:rPr>
        <w:t>的</w:t>
      </w:r>
      <w:r>
        <w:rPr>
          <w:rFonts w:hint="eastAsia" w:ascii="仿宋" w:hAnsi="仿宋" w:eastAsia="仿宋" w:cs="仿宋"/>
          <w:b w:val="0"/>
          <w:bCs/>
          <w:i/>
          <w:iCs/>
          <w:color w:val="000000"/>
          <w:kern w:val="0"/>
          <w:sz w:val="24"/>
          <w:u w:val="single"/>
          <w:lang w:eastAsia="zh-CN"/>
        </w:rPr>
        <w:t>（项目名称）</w:t>
      </w:r>
      <w:r>
        <w:rPr>
          <w:rFonts w:hint="eastAsia" w:ascii="仿宋" w:hAnsi="仿宋" w:eastAsia="仿宋" w:cs="仿宋"/>
          <w:b w:val="0"/>
          <w:bCs/>
          <w:color w:val="000000"/>
          <w:kern w:val="0"/>
          <w:sz w:val="24"/>
          <w:u w:val="none"/>
          <w:lang w:eastAsia="zh-CN"/>
        </w:rPr>
        <w:t>采购活动，服务全部由符合政策要求的中小企业承接。相关企业（含联合体中的中小企业、签订分包意向协议的中小企业）的具体情况如下：</w:t>
      </w:r>
    </w:p>
    <w:p>
      <w:pPr>
        <w:widowControl/>
        <w:snapToGrid w:val="0"/>
        <w:spacing w:line="360" w:lineRule="auto"/>
        <w:ind w:firstLine="480" w:firstLineChars="200"/>
        <w:jc w:val="left"/>
        <w:rPr>
          <w:rFonts w:hint="eastAsia" w:ascii="仿宋" w:hAnsi="仿宋" w:eastAsia="仿宋" w:cs="仿宋"/>
          <w:b w:val="0"/>
          <w:bCs/>
          <w:color w:val="000000"/>
          <w:kern w:val="0"/>
          <w:sz w:val="24"/>
          <w:u w:val="single"/>
          <w:lang w:eastAsia="zh-CN"/>
        </w:rPr>
      </w:pPr>
      <w:r>
        <w:rPr>
          <w:rFonts w:hint="eastAsia" w:ascii="仿宋" w:hAnsi="仿宋" w:eastAsia="仿宋" w:cs="仿宋"/>
          <w:b w:val="0"/>
          <w:bCs/>
          <w:color w:val="000000"/>
          <w:kern w:val="0"/>
          <w:sz w:val="24"/>
        </w:rPr>
        <w:t>1、</w:t>
      </w:r>
      <w:r>
        <w:rPr>
          <w:rFonts w:hint="eastAsia" w:ascii="仿宋" w:hAnsi="仿宋" w:eastAsia="仿宋" w:cs="仿宋"/>
          <w:b w:val="0"/>
          <w:bCs/>
          <w:i/>
          <w:iCs/>
          <w:color w:val="000000"/>
          <w:kern w:val="0"/>
          <w:sz w:val="24"/>
          <w:u w:val="single"/>
          <w:lang w:eastAsia="zh-CN"/>
        </w:rPr>
        <w:t>（标的名称）</w:t>
      </w:r>
      <w:r>
        <w:rPr>
          <w:rFonts w:hint="eastAsia" w:ascii="仿宋" w:hAnsi="仿宋" w:eastAsia="仿宋" w:cs="仿宋"/>
          <w:b w:val="0"/>
          <w:bCs/>
          <w:color w:val="000000"/>
          <w:kern w:val="0"/>
          <w:sz w:val="24"/>
          <w:u w:val="none"/>
          <w:lang w:eastAsia="zh-CN"/>
        </w:rPr>
        <w:t>，属于</w:t>
      </w:r>
      <w:r>
        <w:rPr>
          <w:rFonts w:hint="eastAsia" w:ascii="仿宋" w:hAnsi="仿宋" w:eastAsia="仿宋" w:cs="仿宋"/>
          <w:b w:val="0"/>
          <w:bCs/>
          <w:i/>
          <w:iCs/>
          <w:color w:val="000000"/>
          <w:kern w:val="0"/>
          <w:sz w:val="24"/>
          <w:u w:val="single"/>
          <w:lang w:eastAsia="zh-CN"/>
        </w:rPr>
        <w:t>（采购文件中明确的所属行业）</w:t>
      </w:r>
      <w:r>
        <w:rPr>
          <w:rFonts w:hint="eastAsia" w:ascii="仿宋" w:hAnsi="仿宋" w:eastAsia="仿宋" w:cs="仿宋"/>
          <w:b w:val="0"/>
          <w:bCs/>
          <w:color w:val="000000"/>
          <w:kern w:val="0"/>
          <w:sz w:val="24"/>
          <w:u w:val="none"/>
          <w:lang w:eastAsia="zh-CN"/>
        </w:rPr>
        <w:t>；承建（承接）企业为</w:t>
      </w:r>
      <w:r>
        <w:rPr>
          <w:rFonts w:hint="eastAsia" w:ascii="仿宋" w:hAnsi="仿宋" w:eastAsia="仿宋" w:cs="仿宋"/>
          <w:b w:val="0"/>
          <w:bCs/>
          <w:i/>
          <w:iCs/>
          <w:color w:val="000000"/>
          <w:kern w:val="0"/>
          <w:sz w:val="24"/>
          <w:u w:val="single"/>
          <w:lang w:eastAsia="zh-CN"/>
        </w:rPr>
        <w:t>（企业名称）</w:t>
      </w:r>
      <w:r>
        <w:rPr>
          <w:rFonts w:hint="eastAsia" w:ascii="仿宋" w:hAnsi="仿宋" w:eastAsia="仿宋" w:cs="仿宋"/>
          <w:b w:val="0"/>
          <w:bCs/>
          <w:color w:val="000000"/>
          <w:kern w:val="0"/>
          <w:sz w:val="24"/>
          <w:u w:val="none"/>
          <w:lang w:eastAsia="zh-CN"/>
        </w:rPr>
        <w:t>，从业人员</w:t>
      </w:r>
      <w:r>
        <w:rPr>
          <w:rFonts w:hint="eastAsia" w:ascii="仿宋" w:hAnsi="仿宋" w:eastAsia="仿宋" w:cs="仿宋"/>
          <w:b w:val="0"/>
          <w:bCs/>
          <w:color w:val="000000"/>
          <w:kern w:val="0"/>
          <w:sz w:val="24"/>
          <w:u w:val="single"/>
          <w:lang w:val="en-US" w:eastAsia="zh-CN"/>
        </w:rPr>
        <w:t xml:space="preserve">     </w:t>
      </w:r>
      <w:r>
        <w:rPr>
          <w:rFonts w:hint="eastAsia" w:ascii="仿宋" w:hAnsi="仿宋" w:eastAsia="仿宋" w:cs="仿宋"/>
          <w:b w:val="0"/>
          <w:bCs/>
          <w:color w:val="000000"/>
          <w:kern w:val="0"/>
          <w:sz w:val="24"/>
          <w:u w:val="none"/>
          <w:lang w:eastAsia="zh-CN"/>
        </w:rPr>
        <w:t>人，营业收入为</w:t>
      </w:r>
      <w:r>
        <w:rPr>
          <w:rFonts w:hint="eastAsia" w:ascii="仿宋" w:hAnsi="仿宋" w:eastAsia="仿宋" w:cs="仿宋"/>
          <w:b w:val="0"/>
          <w:bCs/>
          <w:color w:val="000000"/>
          <w:kern w:val="0"/>
          <w:sz w:val="24"/>
          <w:u w:val="single"/>
          <w:lang w:val="en-US" w:eastAsia="zh-CN"/>
        </w:rPr>
        <w:t xml:space="preserve">     </w:t>
      </w:r>
      <w:r>
        <w:rPr>
          <w:rFonts w:hint="eastAsia" w:ascii="仿宋" w:hAnsi="仿宋" w:eastAsia="仿宋" w:cs="仿宋"/>
          <w:b w:val="0"/>
          <w:bCs/>
          <w:color w:val="000000"/>
          <w:kern w:val="0"/>
          <w:sz w:val="24"/>
          <w:u w:val="none"/>
          <w:lang w:eastAsia="zh-CN"/>
        </w:rPr>
        <w:t>万元，资产总额为</w:t>
      </w:r>
      <w:r>
        <w:rPr>
          <w:rFonts w:hint="eastAsia" w:ascii="仿宋" w:hAnsi="仿宋" w:eastAsia="仿宋" w:cs="仿宋"/>
          <w:b w:val="0"/>
          <w:bCs/>
          <w:color w:val="000000"/>
          <w:kern w:val="0"/>
          <w:sz w:val="24"/>
          <w:u w:val="single"/>
          <w:lang w:val="en-US" w:eastAsia="zh-CN"/>
        </w:rPr>
        <w:t xml:space="preserve">     </w:t>
      </w:r>
      <w:r>
        <w:rPr>
          <w:rFonts w:hint="eastAsia" w:ascii="仿宋" w:hAnsi="仿宋" w:eastAsia="仿宋" w:cs="仿宋"/>
          <w:b w:val="0"/>
          <w:bCs/>
          <w:color w:val="000000"/>
          <w:kern w:val="0"/>
          <w:sz w:val="24"/>
          <w:u w:val="none"/>
          <w:lang w:val="en-US" w:eastAsia="zh-CN"/>
        </w:rPr>
        <w:t>万元¹，属于</w:t>
      </w:r>
      <w:r>
        <w:rPr>
          <w:rFonts w:hint="eastAsia" w:ascii="仿宋" w:hAnsi="仿宋" w:eastAsia="仿宋" w:cs="仿宋"/>
          <w:b w:val="0"/>
          <w:bCs/>
          <w:i/>
          <w:iCs/>
          <w:color w:val="000000"/>
          <w:kern w:val="0"/>
          <w:sz w:val="24"/>
          <w:u w:val="single"/>
          <w:lang w:val="en-US" w:eastAsia="zh-CN"/>
        </w:rPr>
        <w:t>（中型企业、小型企业、微型企业）</w:t>
      </w:r>
      <w:r>
        <w:rPr>
          <w:rFonts w:hint="eastAsia" w:ascii="仿宋" w:hAnsi="仿宋" w:eastAsia="仿宋" w:cs="仿宋"/>
          <w:b w:val="0"/>
          <w:bCs/>
          <w:color w:val="000000"/>
          <w:kern w:val="0"/>
          <w:sz w:val="24"/>
          <w:u w:val="none"/>
          <w:lang w:val="en-US" w:eastAsia="zh-CN"/>
        </w:rPr>
        <w:t>；</w:t>
      </w:r>
    </w:p>
    <w:p>
      <w:pPr>
        <w:widowControl/>
        <w:snapToGrid w:val="0"/>
        <w:spacing w:line="360" w:lineRule="auto"/>
        <w:ind w:firstLine="480" w:firstLineChars="200"/>
        <w:jc w:val="left"/>
        <w:rPr>
          <w:rFonts w:hint="eastAsia" w:ascii="仿宋" w:hAnsi="仿宋" w:eastAsia="仿宋" w:cs="仿宋"/>
          <w:b w:val="0"/>
          <w:bCs/>
          <w:color w:val="000000"/>
          <w:kern w:val="0"/>
          <w:sz w:val="24"/>
          <w:u w:val="single"/>
          <w:lang w:eastAsia="zh-CN"/>
        </w:rPr>
      </w:pPr>
      <w:r>
        <w:rPr>
          <w:rFonts w:hint="eastAsia" w:ascii="仿宋" w:hAnsi="仿宋" w:eastAsia="仿宋" w:cs="仿宋"/>
          <w:b w:val="0"/>
          <w:bCs/>
          <w:color w:val="000000"/>
          <w:kern w:val="0"/>
          <w:sz w:val="24"/>
        </w:rPr>
        <w:t>2、</w:t>
      </w:r>
      <w:r>
        <w:rPr>
          <w:rFonts w:hint="eastAsia" w:ascii="仿宋" w:hAnsi="仿宋" w:eastAsia="仿宋" w:cs="仿宋"/>
          <w:b w:val="0"/>
          <w:bCs/>
          <w:i/>
          <w:iCs/>
          <w:color w:val="000000"/>
          <w:kern w:val="0"/>
          <w:sz w:val="24"/>
          <w:u w:val="single"/>
          <w:lang w:eastAsia="zh-CN"/>
        </w:rPr>
        <w:t>（标的名称）</w:t>
      </w:r>
      <w:r>
        <w:rPr>
          <w:rFonts w:hint="eastAsia" w:ascii="仿宋" w:hAnsi="仿宋" w:eastAsia="仿宋" w:cs="仿宋"/>
          <w:b w:val="0"/>
          <w:bCs/>
          <w:color w:val="000000"/>
          <w:kern w:val="0"/>
          <w:sz w:val="24"/>
          <w:u w:val="none"/>
          <w:lang w:eastAsia="zh-CN"/>
        </w:rPr>
        <w:t>，属于</w:t>
      </w:r>
      <w:r>
        <w:rPr>
          <w:rFonts w:hint="eastAsia" w:ascii="仿宋" w:hAnsi="仿宋" w:eastAsia="仿宋" w:cs="仿宋"/>
          <w:b w:val="0"/>
          <w:bCs/>
          <w:i/>
          <w:iCs/>
          <w:color w:val="000000"/>
          <w:kern w:val="0"/>
          <w:sz w:val="24"/>
          <w:u w:val="single"/>
          <w:lang w:eastAsia="zh-CN"/>
        </w:rPr>
        <w:t>（采购文件中明确的所属行业）</w:t>
      </w:r>
      <w:r>
        <w:rPr>
          <w:rFonts w:hint="eastAsia" w:ascii="仿宋" w:hAnsi="仿宋" w:eastAsia="仿宋" w:cs="仿宋"/>
          <w:b w:val="0"/>
          <w:bCs/>
          <w:color w:val="000000"/>
          <w:kern w:val="0"/>
          <w:sz w:val="24"/>
          <w:u w:val="none"/>
          <w:lang w:eastAsia="zh-CN"/>
        </w:rPr>
        <w:t>；承建（承接）企业为</w:t>
      </w:r>
      <w:r>
        <w:rPr>
          <w:rFonts w:hint="eastAsia" w:ascii="仿宋" w:hAnsi="仿宋" w:eastAsia="仿宋" w:cs="仿宋"/>
          <w:b w:val="0"/>
          <w:bCs/>
          <w:i/>
          <w:iCs/>
          <w:color w:val="000000"/>
          <w:kern w:val="0"/>
          <w:sz w:val="24"/>
          <w:u w:val="single"/>
          <w:lang w:eastAsia="zh-CN"/>
        </w:rPr>
        <w:t>（企业名称）</w:t>
      </w:r>
      <w:r>
        <w:rPr>
          <w:rFonts w:hint="eastAsia" w:ascii="仿宋" w:hAnsi="仿宋" w:eastAsia="仿宋" w:cs="仿宋"/>
          <w:b w:val="0"/>
          <w:bCs/>
          <w:color w:val="000000"/>
          <w:kern w:val="0"/>
          <w:sz w:val="24"/>
          <w:u w:val="none"/>
          <w:lang w:eastAsia="zh-CN"/>
        </w:rPr>
        <w:t>，从业人员</w:t>
      </w:r>
      <w:r>
        <w:rPr>
          <w:rFonts w:hint="eastAsia" w:ascii="仿宋" w:hAnsi="仿宋" w:eastAsia="仿宋" w:cs="仿宋"/>
          <w:b w:val="0"/>
          <w:bCs/>
          <w:color w:val="000000"/>
          <w:kern w:val="0"/>
          <w:sz w:val="24"/>
          <w:u w:val="single"/>
          <w:lang w:val="en-US" w:eastAsia="zh-CN"/>
        </w:rPr>
        <w:t xml:space="preserve">     </w:t>
      </w:r>
      <w:r>
        <w:rPr>
          <w:rFonts w:hint="eastAsia" w:ascii="仿宋" w:hAnsi="仿宋" w:eastAsia="仿宋" w:cs="仿宋"/>
          <w:b w:val="0"/>
          <w:bCs/>
          <w:color w:val="000000"/>
          <w:kern w:val="0"/>
          <w:sz w:val="24"/>
          <w:u w:val="none"/>
          <w:lang w:eastAsia="zh-CN"/>
        </w:rPr>
        <w:t>人，营业收入为</w:t>
      </w:r>
      <w:r>
        <w:rPr>
          <w:rFonts w:hint="eastAsia" w:ascii="仿宋" w:hAnsi="仿宋" w:eastAsia="仿宋" w:cs="仿宋"/>
          <w:b w:val="0"/>
          <w:bCs/>
          <w:color w:val="000000"/>
          <w:kern w:val="0"/>
          <w:sz w:val="24"/>
          <w:u w:val="single"/>
          <w:lang w:val="en-US" w:eastAsia="zh-CN"/>
        </w:rPr>
        <w:t xml:space="preserve">     </w:t>
      </w:r>
      <w:r>
        <w:rPr>
          <w:rFonts w:hint="eastAsia" w:ascii="仿宋" w:hAnsi="仿宋" w:eastAsia="仿宋" w:cs="仿宋"/>
          <w:b w:val="0"/>
          <w:bCs/>
          <w:color w:val="000000"/>
          <w:kern w:val="0"/>
          <w:sz w:val="24"/>
          <w:u w:val="none"/>
          <w:lang w:eastAsia="zh-CN"/>
        </w:rPr>
        <w:t>万元，资产总额为</w:t>
      </w:r>
      <w:r>
        <w:rPr>
          <w:rFonts w:hint="eastAsia" w:ascii="仿宋" w:hAnsi="仿宋" w:eastAsia="仿宋" w:cs="仿宋"/>
          <w:b w:val="0"/>
          <w:bCs/>
          <w:color w:val="000000"/>
          <w:kern w:val="0"/>
          <w:sz w:val="24"/>
          <w:u w:val="single"/>
          <w:lang w:val="en-US" w:eastAsia="zh-CN"/>
        </w:rPr>
        <w:t xml:space="preserve">     </w:t>
      </w:r>
      <w:r>
        <w:rPr>
          <w:rFonts w:hint="eastAsia" w:ascii="仿宋" w:hAnsi="仿宋" w:eastAsia="仿宋" w:cs="仿宋"/>
          <w:b w:val="0"/>
          <w:bCs/>
          <w:color w:val="000000"/>
          <w:kern w:val="0"/>
          <w:sz w:val="24"/>
          <w:u w:val="none"/>
          <w:lang w:val="en-US" w:eastAsia="zh-CN"/>
        </w:rPr>
        <w:t>万元¹，属于</w:t>
      </w:r>
      <w:r>
        <w:rPr>
          <w:rFonts w:hint="eastAsia" w:ascii="仿宋" w:hAnsi="仿宋" w:eastAsia="仿宋" w:cs="仿宋"/>
          <w:b w:val="0"/>
          <w:bCs/>
          <w:i/>
          <w:iCs/>
          <w:color w:val="000000"/>
          <w:kern w:val="0"/>
          <w:sz w:val="24"/>
          <w:u w:val="single"/>
          <w:lang w:val="en-US" w:eastAsia="zh-CN"/>
        </w:rPr>
        <w:t>（中型企业、小型企业、微型企业）</w:t>
      </w:r>
      <w:r>
        <w:rPr>
          <w:rFonts w:hint="eastAsia" w:ascii="仿宋" w:hAnsi="仿宋" w:eastAsia="仿宋" w:cs="仿宋"/>
          <w:b w:val="0"/>
          <w:bCs/>
          <w:color w:val="000000"/>
          <w:kern w:val="0"/>
          <w:sz w:val="24"/>
          <w:u w:val="none"/>
          <w:lang w:val="en-US" w:eastAsia="zh-CN"/>
        </w:rPr>
        <w:t>；</w:t>
      </w:r>
    </w:p>
    <w:p>
      <w:pPr>
        <w:widowControl/>
        <w:snapToGrid w:val="0"/>
        <w:spacing w:line="360" w:lineRule="auto"/>
        <w:ind w:firstLine="480" w:firstLineChars="200"/>
        <w:jc w:val="left"/>
        <w:rPr>
          <w:rFonts w:hint="eastAsia" w:ascii="仿宋" w:hAnsi="仿宋" w:eastAsia="仿宋" w:cs="仿宋"/>
          <w:b w:val="0"/>
          <w:bCs/>
          <w:color w:val="000000"/>
          <w:kern w:val="0"/>
          <w:sz w:val="24"/>
          <w:lang w:eastAsia="zh-CN"/>
        </w:rPr>
      </w:pPr>
      <w:r>
        <w:rPr>
          <w:rFonts w:hint="eastAsia" w:ascii="仿宋" w:hAnsi="仿宋" w:eastAsia="仿宋" w:cs="仿宋"/>
          <w:b w:val="0"/>
          <w:bCs/>
          <w:color w:val="000000"/>
          <w:kern w:val="0"/>
          <w:sz w:val="24"/>
          <w:lang w:eastAsia="zh-CN"/>
        </w:rPr>
        <w:t>……</w:t>
      </w:r>
    </w:p>
    <w:p>
      <w:pPr>
        <w:widowControl/>
        <w:snapToGrid w:val="0"/>
        <w:spacing w:line="360" w:lineRule="auto"/>
        <w:ind w:firstLine="480" w:firstLineChars="200"/>
        <w:jc w:val="left"/>
        <w:rPr>
          <w:rFonts w:hint="eastAsia" w:ascii="仿宋" w:hAnsi="仿宋" w:eastAsia="仿宋" w:cs="仿宋"/>
          <w:b w:val="0"/>
          <w:bCs/>
          <w:color w:val="000000"/>
          <w:kern w:val="0"/>
          <w:sz w:val="24"/>
          <w:lang w:eastAsia="zh-CN"/>
        </w:rPr>
      </w:pPr>
      <w:r>
        <w:rPr>
          <w:rFonts w:hint="eastAsia" w:ascii="仿宋" w:hAnsi="仿宋" w:eastAsia="仿宋" w:cs="仿宋"/>
          <w:b w:val="0"/>
          <w:bCs/>
          <w:color w:val="000000"/>
          <w:kern w:val="0"/>
          <w:sz w:val="24"/>
          <w:lang w:eastAsia="zh-CN"/>
        </w:rPr>
        <w:t>以上企业，不属于大企业的分支机构，不存在控股股东为大企业的情形，也不存在与大企业的负责人为同一人的情形。</w:t>
      </w:r>
    </w:p>
    <w:p>
      <w:pPr>
        <w:widowControl/>
        <w:snapToGrid w:val="0"/>
        <w:spacing w:line="360" w:lineRule="auto"/>
        <w:ind w:firstLine="480" w:firstLineChars="200"/>
        <w:jc w:val="left"/>
        <w:rPr>
          <w:rFonts w:hint="eastAsia" w:ascii="仿宋" w:hAnsi="仿宋" w:eastAsia="仿宋" w:cs="仿宋"/>
          <w:b w:val="0"/>
          <w:bCs/>
          <w:color w:val="000000"/>
          <w:kern w:val="0"/>
          <w:sz w:val="24"/>
        </w:rPr>
      </w:pPr>
      <w:r>
        <w:rPr>
          <w:rFonts w:hint="eastAsia" w:ascii="仿宋" w:hAnsi="仿宋" w:eastAsia="仿宋" w:cs="仿宋"/>
          <w:b w:val="0"/>
          <w:bCs/>
          <w:color w:val="000000"/>
          <w:kern w:val="0"/>
          <w:sz w:val="24"/>
        </w:rPr>
        <w:t>本</w:t>
      </w:r>
      <w:r>
        <w:rPr>
          <w:rFonts w:hint="eastAsia" w:ascii="仿宋" w:hAnsi="仿宋" w:eastAsia="仿宋" w:cs="仿宋"/>
          <w:b w:val="0"/>
          <w:bCs/>
          <w:color w:val="000000"/>
          <w:kern w:val="0"/>
          <w:sz w:val="24"/>
          <w:lang w:eastAsia="zh-CN"/>
        </w:rPr>
        <w:t>企业</w:t>
      </w:r>
      <w:r>
        <w:rPr>
          <w:rFonts w:hint="eastAsia" w:ascii="仿宋" w:hAnsi="仿宋" w:eastAsia="仿宋" w:cs="仿宋"/>
          <w:b w:val="0"/>
          <w:bCs/>
          <w:color w:val="000000"/>
          <w:kern w:val="0"/>
          <w:sz w:val="24"/>
        </w:rPr>
        <w:t>对上述声明</w:t>
      </w:r>
      <w:r>
        <w:rPr>
          <w:rFonts w:hint="eastAsia" w:ascii="仿宋" w:hAnsi="仿宋" w:eastAsia="仿宋" w:cs="仿宋"/>
          <w:b w:val="0"/>
          <w:bCs/>
          <w:color w:val="000000"/>
          <w:kern w:val="0"/>
          <w:sz w:val="24"/>
          <w:lang w:eastAsia="zh-CN"/>
        </w:rPr>
        <w:t>内容</w:t>
      </w:r>
      <w:r>
        <w:rPr>
          <w:rFonts w:hint="eastAsia" w:ascii="仿宋" w:hAnsi="仿宋" w:eastAsia="仿宋" w:cs="仿宋"/>
          <w:b w:val="0"/>
          <w:bCs/>
          <w:color w:val="000000"/>
          <w:kern w:val="0"/>
          <w:sz w:val="24"/>
        </w:rPr>
        <w:t>的真实性负责。如有虚假，将依法承担相应责任。</w:t>
      </w:r>
    </w:p>
    <w:p>
      <w:pPr>
        <w:widowControl/>
        <w:snapToGrid w:val="0"/>
        <w:spacing w:line="360" w:lineRule="auto"/>
        <w:ind w:firstLine="480" w:firstLineChars="200"/>
        <w:jc w:val="left"/>
        <w:rPr>
          <w:rFonts w:hint="eastAsia" w:ascii="仿宋" w:hAnsi="仿宋" w:eastAsia="仿宋" w:cs="仿宋"/>
          <w:b w:val="0"/>
          <w:bCs/>
          <w:color w:val="000000"/>
          <w:kern w:val="0"/>
          <w:sz w:val="24"/>
        </w:rPr>
      </w:pPr>
    </w:p>
    <w:p>
      <w:pPr>
        <w:widowControl/>
        <w:snapToGrid w:val="0"/>
        <w:spacing w:line="360" w:lineRule="auto"/>
        <w:ind w:firstLine="480" w:firstLineChars="200"/>
        <w:jc w:val="center"/>
        <w:rPr>
          <w:rFonts w:hint="eastAsia" w:ascii="仿宋" w:hAnsi="仿宋" w:eastAsia="仿宋" w:cs="仿宋"/>
          <w:b w:val="0"/>
          <w:bCs/>
          <w:color w:val="000000"/>
          <w:kern w:val="0"/>
          <w:sz w:val="24"/>
        </w:rPr>
      </w:pPr>
      <w:r>
        <w:rPr>
          <w:rFonts w:hint="eastAsia" w:ascii="仿宋" w:hAnsi="仿宋" w:eastAsia="仿宋" w:cs="仿宋"/>
          <w:b w:val="0"/>
          <w:bCs/>
          <w:color w:val="000000"/>
          <w:kern w:val="0"/>
          <w:sz w:val="24"/>
          <w:lang w:val="en-US" w:eastAsia="zh-CN"/>
        </w:rPr>
        <w:t xml:space="preserve">                                 </w:t>
      </w:r>
      <w:r>
        <w:rPr>
          <w:rFonts w:hint="eastAsia" w:ascii="仿宋" w:hAnsi="仿宋" w:eastAsia="仿宋" w:cs="仿宋"/>
          <w:b w:val="0"/>
          <w:bCs/>
          <w:color w:val="000000"/>
          <w:kern w:val="0"/>
          <w:sz w:val="24"/>
          <w:lang w:eastAsia="zh-CN"/>
        </w:rPr>
        <w:t>企业</w:t>
      </w:r>
      <w:r>
        <w:rPr>
          <w:rFonts w:hint="eastAsia" w:ascii="仿宋" w:hAnsi="仿宋" w:eastAsia="仿宋" w:cs="仿宋"/>
          <w:b w:val="0"/>
          <w:bCs/>
          <w:color w:val="000000"/>
          <w:kern w:val="0"/>
          <w:sz w:val="24"/>
        </w:rPr>
        <w:t>名称（盖章）：</w:t>
      </w:r>
    </w:p>
    <w:p>
      <w:pPr>
        <w:widowControl/>
        <w:snapToGrid w:val="0"/>
        <w:spacing w:line="360" w:lineRule="auto"/>
        <w:ind w:firstLine="480" w:firstLineChars="200"/>
        <w:jc w:val="center"/>
        <w:rPr>
          <w:rFonts w:hint="eastAsia" w:ascii="仿宋" w:hAnsi="仿宋" w:eastAsia="仿宋" w:cs="仿宋"/>
          <w:color w:val="000000"/>
          <w:kern w:val="0"/>
          <w:sz w:val="24"/>
        </w:rPr>
      </w:pPr>
      <w:r>
        <w:rPr>
          <w:rFonts w:hint="eastAsia" w:ascii="仿宋" w:hAnsi="仿宋" w:eastAsia="仿宋" w:cs="仿宋"/>
          <w:b w:val="0"/>
          <w:bCs/>
          <w:color w:val="000000"/>
          <w:kern w:val="0"/>
          <w:sz w:val="24"/>
          <w:lang w:val="en-US" w:eastAsia="zh-CN"/>
        </w:rPr>
        <w:t xml:space="preserve">                     </w:t>
      </w:r>
      <w:r>
        <w:rPr>
          <w:rFonts w:hint="eastAsia" w:ascii="仿宋" w:hAnsi="仿宋" w:eastAsia="仿宋" w:cs="仿宋"/>
          <w:b w:val="0"/>
          <w:bCs/>
          <w:color w:val="000000"/>
          <w:kern w:val="0"/>
          <w:sz w:val="24"/>
        </w:rPr>
        <w:t xml:space="preserve">日期： </w:t>
      </w:r>
      <w:r>
        <w:rPr>
          <w:rFonts w:hint="eastAsia" w:ascii="仿宋" w:hAnsi="仿宋" w:eastAsia="仿宋" w:cs="仿宋"/>
          <w:color w:val="000000"/>
          <w:kern w:val="0"/>
          <w:sz w:val="24"/>
        </w:rPr>
        <w:t xml:space="preserve">  </w:t>
      </w:r>
    </w:p>
    <w:p>
      <w:pPr>
        <w:widowControl/>
        <w:snapToGrid w:val="0"/>
        <w:spacing w:line="360" w:lineRule="auto"/>
        <w:ind w:firstLine="480" w:firstLineChars="200"/>
        <w:jc w:val="center"/>
        <w:rPr>
          <w:rFonts w:hint="eastAsia" w:ascii="仿宋" w:hAnsi="仿宋" w:eastAsia="仿宋" w:cs="仿宋"/>
          <w:color w:val="000000"/>
          <w:kern w:val="0"/>
          <w:sz w:val="24"/>
        </w:rPr>
      </w:pPr>
    </w:p>
    <w:p>
      <w:pPr>
        <w:widowControl/>
        <w:snapToGrid w:val="0"/>
        <w:spacing w:line="360" w:lineRule="auto"/>
        <w:ind w:firstLine="480" w:firstLineChars="20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 xml:space="preserve"> </w:t>
      </w:r>
    </w:p>
    <w:p>
      <w:pPr>
        <w:widowControl/>
        <w:pBdr>
          <w:bottom w:val="single" w:color="auto" w:sz="6" w:space="1"/>
        </w:pBdr>
        <w:snapToGrid w:val="0"/>
        <w:spacing w:line="360" w:lineRule="auto"/>
        <w:ind w:firstLine="480" w:firstLineChars="200"/>
        <w:jc w:val="left"/>
        <w:rPr>
          <w:rFonts w:hint="eastAsia" w:ascii="仿宋" w:hAnsi="仿宋" w:eastAsia="仿宋" w:cs="仿宋"/>
          <w:color w:val="000000"/>
          <w:kern w:val="0"/>
          <w:sz w:val="24"/>
        </w:rPr>
      </w:pPr>
    </w:p>
    <w:p>
      <w:pPr>
        <w:pStyle w:val="2"/>
        <w:ind w:left="0" w:leftChars="0" w:firstLine="0" w:firstLineChars="0"/>
        <w:rPr>
          <w:rFonts w:hint="eastAsia"/>
        </w:rPr>
      </w:pPr>
      <w:r>
        <w:rPr>
          <w:rFonts w:hint="eastAsia" w:ascii="仿宋" w:hAnsi="仿宋" w:eastAsia="仿宋" w:cs="仿宋"/>
          <w:color w:val="000000"/>
          <w:kern w:val="0"/>
          <w:sz w:val="24"/>
          <w:u w:val="none"/>
          <w:lang w:val="en-US" w:eastAsia="zh-CN"/>
        </w:rPr>
        <w:t>¹从业人员、营业收入、资产总额填报上一年度数据，无上一年度数据的新企业可不填报。</w:t>
      </w:r>
    </w:p>
    <w:p>
      <w:pPr>
        <w:rPr>
          <w:rFonts w:hint="eastAsia"/>
        </w:rPr>
      </w:pPr>
    </w:p>
    <w:p>
      <w:pPr>
        <w:widowControl/>
        <w:snapToGrid w:val="0"/>
        <w:spacing w:line="360" w:lineRule="auto"/>
        <w:ind w:firstLine="482" w:firstLineChars="200"/>
        <w:jc w:val="left"/>
        <w:rPr>
          <w:rFonts w:hint="eastAsia" w:ascii="仿宋" w:hAnsi="仿宋" w:eastAsia="仿宋" w:cs="仿宋"/>
          <w:b/>
          <w:bCs/>
          <w:color w:val="000000"/>
          <w:kern w:val="0"/>
          <w:sz w:val="24"/>
        </w:rPr>
      </w:pPr>
    </w:p>
    <w:p>
      <w:pPr>
        <w:widowControl/>
        <w:snapToGrid w:val="0"/>
        <w:spacing w:line="360" w:lineRule="auto"/>
        <w:ind w:firstLine="482" w:firstLineChars="200"/>
        <w:jc w:val="left"/>
        <w:rPr>
          <w:rFonts w:hint="eastAsia" w:ascii="仿宋" w:hAnsi="仿宋" w:eastAsia="仿宋" w:cs="仿宋"/>
          <w:b/>
          <w:bCs/>
          <w:color w:val="000000"/>
          <w:kern w:val="0"/>
          <w:sz w:val="24"/>
        </w:rPr>
      </w:pPr>
      <w:r>
        <w:rPr>
          <w:rFonts w:hint="eastAsia" w:ascii="仿宋" w:hAnsi="仿宋" w:eastAsia="仿宋" w:cs="仿宋"/>
          <w:b/>
          <w:bCs/>
          <w:color w:val="000000"/>
          <w:kern w:val="0"/>
          <w:sz w:val="24"/>
        </w:rPr>
        <w:t>▲投标供应商提供的中小企业声明函与实际情况不符的，视为投标供应商提供虚假材料投标的，投标无效。</w:t>
      </w:r>
    </w:p>
    <w:p>
      <w:pPr>
        <w:autoSpaceDE w:val="0"/>
        <w:autoSpaceDN w:val="0"/>
        <w:adjustRightInd w:val="0"/>
        <w:spacing w:line="460" w:lineRule="exact"/>
        <w:jc w:val="left"/>
        <w:rPr>
          <w:rFonts w:ascii="宋体" w:hAnsi="宋体"/>
          <w:sz w:val="24"/>
        </w:rPr>
      </w:pPr>
    </w:p>
    <w:p>
      <w:pPr>
        <w:autoSpaceDE w:val="0"/>
        <w:autoSpaceDN w:val="0"/>
        <w:adjustRightInd w:val="0"/>
        <w:jc w:val="left"/>
        <w:rPr>
          <w:rFonts w:hint="eastAsia"/>
          <w:sz w:val="24"/>
        </w:rPr>
      </w:pPr>
    </w:p>
    <w:p>
      <w:pPr>
        <w:autoSpaceDE w:val="0"/>
        <w:autoSpaceDN w:val="0"/>
        <w:adjustRightInd w:val="0"/>
        <w:jc w:val="left"/>
        <w:rPr>
          <w:rFonts w:hint="eastAsia"/>
          <w:sz w:val="24"/>
        </w:rPr>
      </w:pPr>
    </w:p>
    <w:p>
      <w:pPr>
        <w:widowControl/>
        <w:snapToGrid w:val="0"/>
        <w:spacing w:line="360" w:lineRule="auto"/>
        <w:jc w:val="center"/>
        <w:rPr>
          <w:rFonts w:hint="eastAsia" w:ascii="仿宋" w:hAnsi="仿宋" w:eastAsia="仿宋" w:cs="仿宋"/>
          <w:b/>
          <w:color w:val="000000"/>
          <w:kern w:val="0"/>
          <w:sz w:val="24"/>
        </w:rPr>
      </w:pPr>
      <w:r>
        <w:rPr>
          <w:rFonts w:hint="eastAsia" w:ascii="仿宋" w:hAnsi="仿宋" w:eastAsia="仿宋" w:cs="仿宋"/>
          <w:b/>
          <w:color w:val="000000"/>
          <w:kern w:val="0"/>
          <w:sz w:val="24"/>
          <w:lang w:eastAsia="zh-CN"/>
        </w:rPr>
        <w:t>（二）</w:t>
      </w:r>
      <w:r>
        <w:rPr>
          <w:rFonts w:hint="eastAsia" w:ascii="仿宋" w:hAnsi="仿宋" w:eastAsia="仿宋" w:cs="仿宋"/>
          <w:b/>
          <w:color w:val="000000"/>
          <w:kern w:val="0"/>
          <w:sz w:val="24"/>
        </w:rPr>
        <w:t>监狱企业声明函</w:t>
      </w:r>
    </w:p>
    <w:p>
      <w:pPr>
        <w:widowControl/>
        <w:snapToGrid w:val="0"/>
        <w:spacing w:line="360" w:lineRule="auto"/>
        <w:ind w:firstLine="480" w:firstLineChars="200"/>
        <w:jc w:val="center"/>
        <w:rPr>
          <w:rFonts w:hint="eastAsia" w:ascii="仿宋" w:hAnsi="仿宋" w:eastAsia="仿宋" w:cs="仿宋"/>
          <w:b w:val="0"/>
          <w:bCs/>
          <w:color w:val="000000"/>
          <w:kern w:val="0"/>
          <w:sz w:val="24"/>
        </w:rPr>
      </w:pPr>
      <w:r>
        <w:rPr>
          <w:rFonts w:hint="eastAsia" w:ascii="仿宋" w:hAnsi="仿宋" w:eastAsia="仿宋" w:cs="仿宋"/>
          <w:b w:val="0"/>
          <w:bCs/>
          <w:color w:val="000000"/>
          <w:kern w:val="0"/>
          <w:sz w:val="24"/>
        </w:rPr>
        <w:t>【不属于监狱企业的无需填写、递交】</w:t>
      </w:r>
    </w:p>
    <w:p>
      <w:pPr>
        <w:widowControl/>
        <w:snapToGrid w:val="0"/>
        <w:spacing w:line="360" w:lineRule="auto"/>
        <w:ind w:firstLine="480" w:firstLineChars="200"/>
        <w:jc w:val="left"/>
        <w:rPr>
          <w:rFonts w:hint="eastAsia" w:ascii="仿宋" w:hAnsi="仿宋" w:eastAsia="仿宋" w:cs="仿宋"/>
          <w:b w:val="0"/>
          <w:bCs/>
          <w:color w:val="000000"/>
          <w:kern w:val="0"/>
          <w:sz w:val="24"/>
        </w:rPr>
      </w:pPr>
      <w:r>
        <w:rPr>
          <w:rFonts w:hint="eastAsia" w:ascii="仿宋" w:hAnsi="仿宋" w:eastAsia="仿宋" w:cs="仿宋"/>
          <w:b w:val="0"/>
          <w:bCs/>
          <w:color w:val="000000"/>
          <w:kern w:val="0"/>
          <w:sz w:val="24"/>
        </w:rPr>
        <w:t>本公司郑重声明，根据《关于政府采购支持监狱企业发展有关问题的通知》 （财库[2014]68 号）的规定，本公司为</w:t>
      </w:r>
      <w:r>
        <w:rPr>
          <w:rFonts w:hint="eastAsia" w:ascii="仿宋" w:hAnsi="仿宋" w:eastAsia="仿宋" w:cs="仿宋"/>
          <w:b w:val="0"/>
          <w:bCs/>
          <w:color w:val="000000"/>
          <w:kern w:val="0"/>
          <w:sz w:val="24"/>
          <w:u w:val="single"/>
        </w:rPr>
        <w:t>监狱企业</w:t>
      </w:r>
      <w:r>
        <w:rPr>
          <w:rFonts w:hint="eastAsia" w:ascii="仿宋" w:hAnsi="仿宋" w:eastAsia="仿宋" w:cs="仿宋"/>
          <w:b w:val="0"/>
          <w:bCs/>
          <w:color w:val="000000"/>
          <w:kern w:val="0"/>
          <w:sz w:val="24"/>
        </w:rPr>
        <w:t>。</w:t>
      </w:r>
    </w:p>
    <w:p>
      <w:pPr>
        <w:widowControl/>
        <w:snapToGrid w:val="0"/>
        <w:spacing w:line="360" w:lineRule="auto"/>
        <w:ind w:firstLine="480" w:firstLineChars="200"/>
        <w:jc w:val="left"/>
        <w:rPr>
          <w:rFonts w:hint="eastAsia" w:ascii="仿宋" w:hAnsi="仿宋" w:eastAsia="仿宋" w:cs="仿宋"/>
          <w:b w:val="0"/>
          <w:bCs/>
          <w:color w:val="000000"/>
          <w:kern w:val="0"/>
          <w:sz w:val="24"/>
        </w:rPr>
      </w:pPr>
      <w:r>
        <w:rPr>
          <w:rFonts w:hint="eastAsia" w:ascii="仿宋" w:hAnsi="仿宋" w:eastAsia="仿宋" w:cs="仿宋"/>
          <w:b w:val="0"/>
          <w:bCs/>
          <w:color w:val="000000"/>
          <w:kern w:val="0"/>
          <w:sz w:val="24"/>
        </w:rPr>
        <w:t>根据上述标准，我公司属于监狱企业的理由为：</w:t>
      </w:r>
      <w:r>
        <w:rPr>
          <w:rFonts w:hint="eastAsia" w:ascii="仿宋" w:hAnsi="仿宋" w:eastAsia="仿宋" w:cs="仿宋"/>
          <w:b w:val="0"/>
          <w:bCs/>
          <w:color w:val="000000"/>
          <w:kern w:val="0"/>
          <w:sz w:val="24"/>
          <w:u w:val="single"/>
        </w:rPr>
        <w:t xml:space="preserve">         </w:t>
      </w:r>
      <w:r>
        <w:rPr>
          <w:rFonts w:hint="eastAsia" w:ascii="仿宋" w:hAnsi="仿宋" w:eastAsia="仿宋" w:cs="仿宋"/>
          <w:b w:val="0"/>
          <w:bCs/>
          <w:color w:val="000000"/>
          <w:kern w:val="0"/>
          <w:sz w:val="24"/>
        </w:rPr>
        <w:t>。</w:t>
      </w:r>
    </w:p>
    <w:p>
      <w:pPr>
        <w:widowControl/>
        <w:snapToGrid w:val="0"/>
        <w:spacing w:line="360" w:lineRule="auto"/>
        <w:ind w:firstLine="480" w:firstLineChars="200"/>
        <w:jc w:val="left"/>
        <w:rPr>
          <w:rFonts w:hint="eastAsia" w:ascii="仿宋" w:hAnsi="仿宋" w:eastAsia="仿宋" w:cs="仿宋"/>
          <w:b w:val="0"/>
          <w:bCs/>
          <w:color w:val="000000"/>
          <w:kern w:val="0"/>
          <w:sz w:val="24"/>
        </w:rPr>
      </w:pPr>
      <w:r>
        <w:rPr>
          <w:rFonts w:hint="eastAsia" w:ascii="仿宋" w:hAnsi="仿宋" w:eastAsia="仿宋" w:cs="仿宋"/>
          <w:b w:val="0"/>
          <w:bCs/>
          <w:color w:val="000000"/>
          <w:kern w:val="0"/>
          <w:sz w:val="24"/>
        </w:rPr>
        <w:t>本公司为参加（</w:t>
      </w:r>
      <w:r>
        <w:rPr>
          <w:rFonts w:hint="eastAsia" w:ascii="仿宋" w:hAnsi="仿宋" w:eastAsia="仿宋" w:cs="仿宋"/>
          <w:b w:val="0"/>
          <w:bCs/>
          <w:color w:val="000000"/>
          <w:kern w:val="0"/>
          <w:sz w:val="24"/>
          <w:u w:val="single"/>
        </w:rPr>
        <w:t xml:space="preserve">    项目名称    </w:t>
      </w:r>
      <w:r>
        <w:rPr>
          <w:rFonts w:hint="eastAsia" w:ascii="仿宋" w:hAnsi="仿宋" w:eastAsia="仿宋" w:cs="仿宋"/>
          <w:b w:val="0"/>
          <w:bCs/>
          <w:color w:val="000000"/>
          <w:kern w:val="0"/>
          <w:sz w:val="24"/>
        </w:rPr>
        <w:t>） （项目编号：</w:t>
      </w:r>
      <w:r>
        <w:rPr>
          <w:rFonts w:hint="eastAsia" w:ascii="仿宋" w:hAnsi="仿宋" w:eastAsia="仿宋" w:cs="仿宋"/>
          <w:b w:val="0"/>
          <w:bCs/>
          <w:color w:val="000000"/>
          <w:kern w:val="0"/>
          <w:sz w:val="24"/>
          <w:u w:val="single"/>
        </w:rPr>
        <w:t xml:space="preserve">      </w:t>
      </w:r>
      <w:r>
        <w:rPr>
          <w:rFonts w:hint="eastAsia" w:ascii="仿宋" w:hAnsi="仿宋" w:eastAsia="仿宋" w:cs="仿宋"/>
          <w:b w:val="0"/>
          <w:bCs/>
          <w:color w:val="000000"/>
          <w:kern w:val="0"/>
          <w:sz w:val="24"/>
        </w:rPr>
        <w:t>）采购活动提供本企业提供服务。</w:t>
      </w:r>
    </w:p>
    <w:p>
      <w:pPr>
        <w:widowControl/>
        <w:snapToGrid w:val="0"/>
        <w:spacing w:line="360" w:lineRule="auto"/>
        <w:ind w:firstLine="480" w:firstLineChars="200"/>
        <w:jc w:val="left"/>
        <w:rPr>
          <w:rFonts w:hint="eastAsia" w:ascii="仿宋" w:hAnsi="仿宋" w:eastAsia="仿宋" w:cs="仿宋"/>
          <w:b w:val="0"/>
          <w:bCs/>
          <w:color w:val="000000"/>
          <w:kern w:val="0"/>
          <w:sz w:val="24"/>
        </w:rPr>
      </w:pPr>
      <w:r>
        <w:rPr>
          <w:rFonts w:hint="eastAsia" w:ascii="仿宋" w:hAnsi="仿宋" w:eastAsia="仿宋" w:cs="仿宋"/>
          <w:b w:val="0"/>
          <w:bCs/>
          <w:color w:val="000000"/>
          <w:kern w:val="0"/>
          <w:sz w:val="24"/>
        </w:rPr>
        <w:t>本公司对上述声明的真实性负责。如有虚假，将依法承担相应责任。</w:t>
      </w:r>
    </w:p>
    <w:p>
      <w:pPr>
        <w:widowControl/>
        <w:snapToGrid w:val="0"/>
        <w:spacing w:line="360" w:lineRule="auto"/>
        <w:ind w:firstLine="480" w:firstLineChars="200"/>
        <w:jc w:val="left"/>
        <w:rPr>
          <w:rFonts w:hint="eastAsia" w:ascii="仿宋" w:hAnsi="仿宋" w:eastAsia="仿宋" w:cs="仿宋"/>
          <w:b w:val="0"/>
          <w:bCs/>
          <w:color w:val="000000"/>
          <w:kern w:val="0"/>
          <w:sz w:val="24"/>
        </w:rPr>
      </w:pPr>
    </w:p>
    <w:p>
      <w:pPr>
        <w:widowControl/>
        <w:snapToGrid w:val="0"/>
        <w:spacing w:line="360" w:lineRule="auto"/>
        <w:ind w:firstLine="480" w:firstLineChars="200"/>
        <w:jc w:val="left"/>
        <w:rPr>
          <w:rFonts w:hint="eastAsia" w:ascii="仿宋" w:hAnsi="仿宋" w:eastAsia="仿宋" w:cs="仿宋"/>
          <w:b w:val="0"/>
          <w:bCs/>
          <w:color w:val="000000"/>
          <w:kern w:val="0"/>
          <w:sz w:val="24"/>
        </w:rPr>
      </w:pPr>
      <w:r>
        <w:rPr>
          <w:rFonts w:hint="eastAsia" w:ascii="仿宋" w:hAnsi="仿宋" w:eastAsia="仿宋" w:cs="仿宋"/>
          <w:b w:val="0"/>
          <w:bCs/>
          <w:color w:val="000000"/>
          <w:kern w:val="0"/>
          <w:sz w:val="24"/>
        </w:rPr>
        <w:t>投标供应商名称（盖章）：</w:t>
      </w:r>
    </w:p>
    <w:p>
      <w:pPr>
        <w:widowControl/>
        <w:snapToGrid w:val="0"/>
        <w:spacing w:line="360" w:lineRule="auto"/>
        <w:ind w:firstLine="480" w:firstLineChars="200"/>
        <w:jc w:val="left"/>
        <w:rPr>
          <w:rFonts w:hint="eastAsia" w:ascii="仿宋" w:hAnsi="仿宋" w:eastAsia="仿宋" w:cs="仿宋"/>
          <w:b w:val="0"/>
          <w:bCs/>
          <w:color w:val="000000"/>
          <w:kern w:val="0"/>
          <w:sz w:val="24"/>
        </w:rPr>
      </w:pPr>
      <w:r>
        <w:rPr>
          <w:rFonts w:hint="eastAsia" w:ascii="仿宋" w:hAnsi="仿宋" w:eastAsia="仿宋" w:cs="仿宋"/>
          <w:b w:val="0"/>
          <w:bCs/>
          <w:color w:val="000000"/>
          <w:kern w:val="0"/>
          <w:sz w:val="24"/>
        </w:rPr>
        <w:t>日期：    年  月  日</w:t>
      </w: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lang w:eastAsia="zh-CN"/>
        </w:rPr>
      </w:pPr>
    </w:p>
    <w:p>
      <w:pPr>
        <w:widowControl/>
        <w:snapToGrid w:val="0"/>
        <w:spacing w:line="360" w:lineRule="auto"/>
        <w:jc w:val="center"/>
        <w:rPr>
          <w:rFonts w:hint="eastAsia" w:ascii="仿宋" w:hAnsi="仿宋" w:eastAsia="仿宋" w:cs="仿宋"/>
          <w:b/>
          <w:color w:val="000000"/>
          <w:spacing w:val="6"/>
          <w:sz w:val="24"/>
        </w:rPr>
      </w:pPr>
      <w:r>
        <w:rPr>
          <w:rFonts w:hint="eastAsia" w:ascii="仿宋" w:hAnsi="仿宋" w:eastAsia="仿宋" w:cs="仿宋"/>
          <w:b/>
          <w:color w:val="000000"/>
          <w:spacing w:val="6"/>
          <w:sz w:val="24"/>
          <w:lang w:eastAsia="zh-CN"/>
        </w:rPr>
        <w:t>（三）</w:t>
      </w:r>
      <w:r>
        <w:rPr>
          <w:rFonts w:hint="eastAsia" w:ascii="仿宋" w:hAnsi="仿宋" w:eastAsia="仿宋" w:cs="仿宋"/>
          <w:b/>
          <w:color w:val="000000"/>
          <w:spacing w:val="6"/>
          <w:sz w:val="24"/>
        </w:rPr>
        <w:t>残疾人福利性单位声明函</w:t>
      </w:r>
    </w:p>
    <w:p>
      <w:pPr>
        <w:snapToGrid w:val="0"/>
        <w:spacing w:line="360" w:lineRule="auto"/>
        <w:ind w:firstLine="480" w:firstLineChars="200"/>
        <w:rPr>
          <w:rFonts w:hint="eastAsia" w:ascii="仿宋" w:hAnsi="仿宋" w:eastAsia="仿宋" w:cs="仿宋"/>
          <w:b w:val="0"/>
          <w:bCs/>
          <w:color w:val="000000"/>
          <w:sz w:val="24"/>
        </w:rPr>
      </w:pPr>
      <w:r>
        <w:rPr>
          <w:rFonts w:hint="eastAsia" w:ascii="仿宋" w:hAnsi="仿宋" w:eastAsia="仿宋" w:cs="仿宋"/>
          <w:b w:val="0"/>
          <w:bCs/>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仿宋" w:hAnsi="仿宋" w:eastAsia="仿宋" w:cs="仿宋"/>
          <w:b w:val="0"/>
          <w:bCs/>
          <w:color w:val="000000"/>
          <w:sz w:val="24"/>
        </w:rPr>
      </w:pPr>
      <w:r>
        <w:rPr>
          <w:rFonts w:hint="eastAsia" w:ascii="仿宋" w:hAnsi="仿宋" w:eastAsia="仿宋" w:cs="仿宋"/>
          <w:b w:val="0"/>
          <w:bCs/>
          <w:color w:val="000000"/>
          <w:sz w:val="24"/>
        </w:rPr>
        <w:t>本单位对上述声明的真实性负责。如有虚假，将依法承担相应责任。</w:t>
      </w:r>
    </w:p>
    <w:p>
      <w:pPr>
        <w:snapToGrid w:val="0"/>
        <w:spacing w:line="360" w:lineRule="auto"/>
        <w:ind w:firstLine="480" w:firstLineChars="200"/>
        <w:rPr>
          <w:rFonts w:hint="eastAsia" w:ascii="仿宋" w:hAnsi="仿宋" w:eastAsia="仿宋" w:cs="仿宋"/>
          <w:b w:val="0"/>
          <w:bCs/>
          <w:color w:val="000000"/>
          <w:sz w:val="24"/>
        </w:rPr>
      </w:pPr>
    </w:p>
    <w:p>
      <w:pPr>
        <w:snapToGrid w:val="0"/>
        <w:spacing w:line="360" w:lineRule="auto"/>
        <w:ind w:firstLine="480" w:firstLineChars="200"/>
        <w:rPr>
          <w:rFonts w:hint="eastAsia" w:ascii="仿宋" w:hAnsi="仿宋" w:eastAsia="仿宋" w:cs="仿宋"/>
          <w:b w:val="0"/>
          <w:bCs/>
          <w:color w:val="000000"/>
          <w:sz w:val="24"/>
        </w:rPr>
      </w:pPr>
    </w:p>
    <w:p>
      <w:pPr>
        <w:tabs>
          <w:tab w:val="left" w:pos="4860"/>
        </w:tabs>
        <w:snapToGrid w:val="0"/>
        <w:spacing w:line="360" w:lineRule="auto"/>
        <w:ind w:right="1560" w:firstLine="480" w:firstLineChars="200"/>
        <w:jc w:val="left"/>
        <w:rPr>
          <w:rFonts w:hint="eastAsia" w:ascii="仿宋" w:hAnsi="仿宋" w:eastAsia="仿宋" w:cs="仿宋"/>
          <w:b w:val="0"/>
          <w:bCs/>
          <w:color w:val="000000"/>
          <w:sz w:val="24"/>
        </w:rPr>
      </w:pPr>
      <w:r>
        <w:rPr>
          <w:rFonts w:hint="eastAsia" w:ascii="仿宋" w:hAnsi="仿宋" w:eastAsia="仿宋" w:cs="仿宋"/>
          <w:b w:val="0"/>
          <w:bCs/>
          <w:color w:val="000000"/>
          <w:sz w:val="24"/>
        </w:rPr>
        <w:t xml:space="preserve">       单位名称（盖章）：</w:t>
      </w:r>
    </w:p>
    <w:p>
      <w:pPr>
        <w:tabs>
          <w:tab w:val="left" w:pos="4860"/>
        </w:tabs>
        <w:snapToGrid w:val="0"/>
        <w:spacing w:line="360" w:lineRule="auto"/>
        <w:ind w:right="1560" w:firstLine="480" w:firstLineChars="200"/>
        <w:jc w:val="left"/>
        <w:rPr>
          <w:rFonts w:hint="eastAsia" w:ascii="仿宋" w:hAnsi="仿宋" w:eastAsia="仿宋" w:cs="仿宋"/>
          <w:b w:val="0"/>
          <w:bCs/>
          <w:color w:val="000000"/>
          <w:sz w:val="24"/>
        </w:rPr>
      </w:pPr>
      <w:r>
        <w:rPr>
          <w:rFonts w:hint="eastAsia" w:ascii="仿宋" w:hAnsi="仿宋" w:eastAsia="仿宋" w:cs="仿宋"/>
          <w:b w:val="0"/>
          <w:bCs/>
          <w:color w:val="000000"/>
          <w:sz w:val="24"/>
        </w:rPr>
        <w:t xml:space="preserve">       日  期：</w:t>
      </w:r>
    </w:p>
    <w:p>
      <w:pPr>
        <w:pStyle w:val="125"/>
        <w:snapToGrid w:val="0"/>
        <w:spacing w:line="360" w:lineRule="auto"/>
        <w:ind w:left="360" w:firstLine="0" w:firstLineChars="0"/>
        <w:rPr>
          <w:rFonts w:hint="eastAsia" w:ascii="仿宋" w:hAnsi="仿宋" w:eastAsia="仿宋" w:cs="仿宋"/>
          <w:color w:val="000000"/>
          <w:sz w:val="24"/>
          <w:szCs w:val="24"/>
        </w:rPr>
      </w:pPr>
    </w:p>
    <w:p>
      <w:pPr>
        <w:pStyle w:val="125"/>
        <w:snapToGrid w:val="0"/>
        <w:spacing w:line="360" w:lineRule="auto"/>
        <w:ind w:left="360" w:firstLine="0" w:firstLineChars="0"/>
        <w:rPr>
          <w:rFonts w:hint="eastAsia" w:ascii="仿宋" w:hAnsi="仿宋" w:eastAsia="仿宋" w:cs="仿宋"/>
          <w:color w:val="000000"/>
          <w:sz w:val="24"/>
          <w:szCs w:val="24"/>
        </w:rPr>
      </w:pPr>
    </w:p>
    <w:p>
      <w:pPr>
        <w:pStyle w:val="125"/>
        <w:snapToGrid w:val="0"/>
        <w:spacing w:line="360" w:lineRule="auto"/>
        <w:ind w:left="360" w:firstLine="0" w:firstLineChars="0"/>
        <w:rPr>
          <w:rFonts w:hint="eastAsia" w:ascii="仿宋" w:hAnsi="仿宋" w:eastAsia="仿宋" w:cs="仿宋"/>
          <w:color w:val="000000"/>
          <w:sz w:val="24"/>
          <w:szCs w:val="24"/>
        </w:rPr>
      </w:pPr>
      <w:r>
        <w:rPr>
          <w:rFonts w:hint="eastAsia" w:ascii="仿宋" w:hAnsi="仿宋" w:eastAsia="仿宋" w:cs="仿宋"/>
          <w:color w:val="000000"/>
          <w:sz w:val="24"/>
          <w:szCs w:val="24"/>
        </w:rPr>
        <w:t>扶持政策说明：</w:t>
      </w:r>
    </w:p>
    <w:p>
      <w:pPr>
        <w:pStyle w:val="125"/>
        <w:snapToGrid w:val="0"/>
        <w:spacing w:line="36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1、根据财政部、工业和信息化部制定的《政府采购促进中小企业发展管理办法》（财库[20</w:t>
      </w:r>
      <w:r>
        <w:rPr>
          <w:rFonts w:hint="eastAsia" w:ascii="仿宋" w:hAnsi="仿宋" w:eastAsia="仿宋" w:cs="仿宋"/>
          <w:color w:val="000000"/>
          <w:sz w:val="24"/>
          <w:szCs w:val="24"/>
          <w:lang w:val="en-US" w:eastAsia="zh-CN"/>
        </w:rPr>
        <w:t>20</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46</w:t>
      </w:r>
      <w:r>
        <w:rPr>
          <w:rFonts w:hint="eastAsia" w:ascii="仿宋" w:hAnsi="仿宋" w:eastAsia="仿宋" w:cs="仿宋"/>
          <w:color w:val="000000"/>
          <w:sz w:val="24"/>
          <w:szCs w:val="24"/>
        </w:rPr>
        <w:t>号）相关规定，对小型或微型企业的投标报价给予</w:t>
      </w:r>
      <w:r>
        <w:rPr>
          <w:rFonts w:hint="eastAsia" w:ascii="仿宋" w:hAnsi="仿宋" w:eastAsia="仿宋" w:cs="仿宋"/>
          <w:color w:val="000000"/>
          <w:sz w:val="24"/>
          <w:szCs w:val="24"/>
          <w:u w:val="single"/>
          <w:lang w:val="en-US" w:eastAsia="zh-CN"/>
        </w:rPr>
        <w:t>3</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的扣除，并用扣除后的价格计算价格评分。</w:t>
      </w:r>
    </w:p>
    <w:p>
      <w:pPr>
        <w:snapToGrid w:val="0"/>
        <w:spacing w:line="360" w:lineRule="auto"/>
        <w:ind w:firstLine="240" w:firstLineChars="100"/>
        <w:rPr>
          <w:rFonts w:hint="eastAsia" w:ascii="仿宋" w:hAnsi="仿宋" w:eastAsia="仿宋" w:cs="仿宋"/>
          <w:color w:val="000000"/>
          <w:sz w:val="24"/>
        </w:rPr>
      </w:pPr>
      <w:r>
        <w:rPr>
          <w:rFonts w:hint="eastAsia" w:ascii="仿宋" w:hAnsi="仿宋" w:eastAsia="仿宋" w:cs="仿宋"/>
          <w:color w:val="000000"/>
          <w:sz w:val="24"/>
        </w:rPr>
        <w:t>2、监狱企业视同小微企业，参加本项目投标的，享受小微企业同等的价格扣除。【注：提供《监狱企业声明函》及其相关的充分的证明材料】。</w:t>
      </w:r>
    </w:p>
    <w:p>
      <w:pPr>
        <w:pStyle w:val="125"/>
        <w:snapToGrid w:val="0"/>
        <w:spacing w:line="360" w:lineRule="auto"/>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3、残疾人福利性单位参加投标【提供《残疾人福利性单位声明函》】，视为小型、微型企业，享受小微企业政策扶持。</w:t>
      </w:r>
    </w:p>
    <w:p>
      <w:pPr>
        <w:pStyle w:val="40"/>
      </w:pPr>
    </w:p>
    <w:p>
      <w:pPr>
        <w:pStyle w:val="22"/>
        <w:snapToGrid w:val="0"/>
        <w:spacing w:line="340" w:lineRule="atLeast"/>
        <w:rPr>
          <w:rFonts w:hint="eastAsia" w:hAnsi="宋体" w:cs="宋体"/>
          <w:kern w:val="0"/>
          <w:sz w:val="28"/>
          <w:szCs w:val="28"/>
        </w:rPr>
      </w:pPr>
    </w:p>
    <w:p>
      <w:pPr>
        <w:pStyle w:val="22"/>
        <w:snapToGrid w:val="0"/>
        <w:spacing w:line="340" w:lineRule="atLeast"/>
        <w:rPr>
          <w:rFonts w:hint="eastAsia" w:hAnsi="宋体" w:cs="宋体"/>
          <w:kern w:val="0"/>
          <w:sz w:val="28"/>
          <w:szCs w:val="28"/>
        </w:rPr>
      </w:pPr>
    </w:p>
    <w:p>
      <w:pPr>
        <w:pStyle w:val="22"/>
        <w:snapToGrid w:val="0"/>
        <w:spacing w:line="340" w:lineRule="atLeast"/>
        <w:rPr>
          <w:rFonts w:hint="eastAsia" w:hAnsi="宋体" w:cs="宋体"/>
          <w:kern w:val="0"/>
          <w:sz w:val="28"/>
          <w:szCs w:val="28"/>
        </w:rPr>
      </w:pPr>
    </w:p>
    <w:p>
      <w:pPr>
        <w:pStyle w:val="22"/>
        <w:snapToGrid w:val="0"/>
        <w:spacing w:line="340" w:lineRule="atLeast"/>
        <w:rPr>
          <w:rFonts w:hint="eastAsia" w:hAnsi="宋体" w:cs="宋体"/>
          <w:kern w:val="0"/>
          <w:sz w:val="28"/>
          <w:szCs w:val="28"/>
        </w:rPr>
      </w:pPr>
    </w:p>
    <w:p>
      <w:pPr>
        <w:pStyle w:val="22"/>
        <w:snapToGrid w:val="0"/>
        <w:spacing w:line="340" w:lineRule="atLeast"/>
        <w:rPr>
          <w:rFonts w:hint="eastAsia" w:hAnsi="宋体" w:cs="宋体"/>
          <w:kern w:val="0"/>
          <w:sz w:val="28"/>
          <w:szCs w:val="28"/>
        </w:rPr>
      </w:pPr>
    </w:p>
    <w:p>
      <w:pPr>
        <w:pStyle w:val="22"/>
        <w:snapToGrid w:val="0"/>
        <w:spacing w:line="340" w:lineRule="atLeast"/>
        <w:rPr>
          <w:rFonts w:hint="eastAsia" w:hAnsi="宋体" w:cs="宋体"/>
          <w:kern w:val="0"/>
          <w:sz w:val="28"/>
          <w:szCs w:val="28"/>
        </w:rPr>
      </w:pPr>
    </w:p>
    <w:p>
      <w:pPr>
        <w:pStyle w:val="22"/>
        <w:snapToGrid w:val="0"/>
        <w:spacing w:line="340" w:lineRule="atLeast"/>
        <w:rPr>
          <w:rFonts w:hint="eastAsia" w:hAnsi="宋体" w:cs="宋体"/>
          <w:kern w:val="0"/>
          <w:sz w:val="28"/>
          <w:szCs w:val="28"/>
        </w:rPr>
      </w:pPr>
    </w:p>
    <w:p>
      <w:pPr>
        <w:pStyle w:val="22"/>
        <w:snapToGrid w:val="0"/>
        <w:spacing w:line="340" w:lineRule="atLeast"/>
        <w:rPr>
          <w:rFonts w:hint="eastAsia" w:hAnsi="宋体" w:cs="宋体"/>
          <w:kern w:val="0"/>
          <w:sz w:val="28"/>
          <w:szCs w:val="28"/>
        </w:rPr>
      </w:pPr>
    </w:p>
    <w:p>
      <w:pPr>
        <w:pStyle w:val="22"/>
        <w:snapToGrid w:val="0"/>
        <w:spacing w:line="340" w:lineRule="atLeast"/>
        <w:rPr>
          <w:rFonts w:hint="eastAsia" w:hAnsi="宋体" w:eastAsia="宋体" w:cs="宋体"/>
          <w:kern w:val="0"/>
          <w:sz w:val="28"/>
          <w:szCs w:val="28"/>
          <w:lang w:eastAsia="zh-CN"/>
        </w:rPr>
      </w:pPr>
      <w:r>
        <w:rPr>
          <w:rFonts w:hint="eastAsia" w:hAnsi="宋体" w:cs="宋体"/>
          <w:kern w:val="0"/>
          <w:sz w:val="28"/>
          <w:szCs w:val="28"/>
        </w:rPr>
        <w:t>格式1-1</w:t>
      </w:r>
      <w:r>
        <w:rPr>
          <w:rFonts w:hint="eastAsia" w:hAnsi="宋体" w:cs="宋体"/>
          <w:kern w:val="0"/>
          <w:sz w:val="28"/>
          <w:szCs w:val="28"/>
          <w:lang w:val="en-US" w:eastAsia="zh-CN"/>
        </w:rPr>
        <w:t>1</w:t>
      </w:r>
      <w:r>
        <w:rPr>
          <w:rFonts w:hint="eastAsia" w:hAnsi="宋体" w:cs="宋体"/>
          <w:kern w:val="0"/>
          <w:sz w:val="28"/>
          <w:szCs w:val="28"/>
        </w:rPr>
        <w:t>、</w:t>
      </w:r>
      <w:r>
        <w:rPr>
          <w:rFonts w:hint="eastAsia" w:hAnsi="宋体" w:cs="宋体"/>
          <w:kern w:val="0"/>
          <w:sz w:val="28"/>
          <w:szCs w:val="28"/>
          <w:lang w:eastAsia="zh-CN"/>
        </w:rPr>
        <w:t>拟投入车辆设备</w:t>
      </w:r>
    </w:p>
    <w:p>
      <w:pPr>
        <w:pStyle w:val="22"/>
        <w:snapToGrid w:val="0"/>
        <w:spacing w:line="340" w:lineRule="atLeast"/>
        <w:rPr>
          <w:rFonts w:hint="eastAsia" w:hAnsi="宋体" w:cs="宋体"/>
          <w:kern w:val="0"/>
          <w:sz w:val="28"/>
          <w:szCs w:val="28"/>
        </w:rPr>
      </w:pPr>
    </w:p>
    <w:p>
      <w:pPr>
        <w:spacing w:after="120" w:afterLines="50" w:line="360" w:lineRule="auto"/>
        <w:rPr>
          <w:rFonts w:ascii="宋体" w:cs="Arial"/>
          <w:sz w:val="22"/>
          <w:szCs w:val="22"/>
        </w:rPr>
      </w:pPr>
      <w:r>
        <w:rPr>
          <w:rFonts w:ascii="宋体" w:cs="Arial"/>
          <w:sz w:val="22"/>
          <w:szCs w:val="22"/>
        </w:rPr>
        <w:t xml:space="preserve">项目名称：                       </w:t>
      </w:r>
      <w:r>
        <w:rPr>
          <w:rFonts w:hint="eastAsia" w:ascii="宋体" w:cs="Arial"/>
          <w:sz w:val="22"/>
          <w:szCs w:val="22"/>
        </w:rPr>
        <w:t xml:space="preserve">                       </w:t>
      </w:r>
      <w:r>
        <w:rPr>
          <w:rFonts w:ascii="宋体" w:cs="Arial"/>
          <w:sz w:val="22"/>
          <w:szCs w:val="22"/>
        </w:rPr>
        <w:t xml:space="preserve">   </w:t>
      </w:r>
      <w:r>
        <w:rPr>
          <w:rFonts w:hint="eastAsia" w:ascii="宋体" w:cs="Arial"/>
          <w:sz w:val="22"/>
          <w:szCs w:val="22"/>
        </w:rPr>
        <w:t>项目</w:t>
      </w:r>
      <w:r>
        <w:rPr>
          <w:rFonts w:ascii="宋体" w:cs="Arial"/>
          <w:sz w:val="22"/>
          <w:szCs w:val="22"/>
        </w:rPr>
        <w:t xml:space="preserve">编号： </w:t>
      </w:r>
    </w:p>
    <w:tbl>
      <w:tblPr>
        <w:tblStyle w:val="43"/>
        <w:tblW w:w="0" w:type="auto"/>
        <w:tblInd w:w="-25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265"/>
        <w:gridCol w:w="2011"/>
        <w:gridCol w:w="1772"/>
        <w:gridCol w:w="1325"/>
        <w:gridCol w:w="14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930" w:type="dxa"/>
            <w:tcBorders>
              <w:top w:val="single" w:color="auto" w:sz="12" w:space="0"/>
              <w:bottom w:val="single" w:color="auto" w:sz="4" w:space="0"/>
            </w:tcBorders>
            <w:noWrap w:val="0"/>
            <w:vAlign w:val="center"/>
          </w:tcPr>
          <w:p>
            <w:pPr>
              <w:spacing w:line="360" w:lineRule="auto"/>
              <w:jc w:val="center"/>
              <w:rPr>
                <w:rFonts w:ascii="宋体" w:cs="Arial"/>
                <w:b/>
                <w:bCs/>
                <w:sz w:val="24"/>
                <w:szCs w:val="24"/>
              </w:rPr>
            </w:pPr>
            <w:r>
              <w:rPr>
                <w:rFonts w:ascii="宋体" w:cs="Arial"/>
                <w:b/>
                <w:bCs/>
                <w:sz w:val="24"/>
                <w:szCs w:val="24"/>
              </w:rPr>
              <w:t>序号</w:t>
            </w:r>
          </w:p>
        </w:tc>
        <w:tc>
          <w:tcPr>
            <w:tcW w:w="2265" w:type="dxa"/>
            <w:tcBorders>
              <w:top w:val="single" w:color="auto" w:sz="12" w:space="0"/>
              <w:bottom w:val="single" w:color="auto" w:sz="4" w:space="0"/>
            </w:tcBorders>
            <w:noWrap w:val="0"/>
            <w:vAlign w:val="center"/>
          </w:tcPr>
          <w:p>
            <w:pPr>
              <w:spacing w:line="360" w:lineRule="auto"/>
              <w:jc w:val="center"/>
              <w:rPr>
                <w:rFonts w:ascii="宋体" w:cs="Arial"/>
                <w:b/>
                <w:bCs/>
                <w:sz w:val="24"/>
                <w:szCs w:val="24"/>
              </w:rPr>
            </w:pPr>
            <w:r>
              <w:rPr>
                <w:rFonts w:ascii="宋体" w:cs="Arial"/>
                <w:b/>
                <w:bCs/>
                <w:sz w:val="24"/>
                <w:szCs w:val="24"/>
              </w:rPr>
              <w:t>设备/</w:t>
            </w:r>
            <w:r>
              <w:rPr>
                <w:rFonts w:hint="eastAsia" w:ascii="宋体" w:cs="Arial"/>
                <w:b/>
                <w:bCs/>
                <w:sz w:val="24"/>
                <w:szCs w:val="24"/>
                <w:lang w:eastAsia="zh-CN"/>
              </w:rPr>
              <w:t>车辆</w:t>
            </w:r>
            <w:r>
              <w:rPr>
                <w:rFonts w:ascii="宋体" w:cs="Arial"/>
                <w:b/>
                <w:bCs/>
                <w:sz w:val="24"/>
                <w:szCs w:val="24"/>
              </w:rPr>
              <w:t>名称</w:t>
            </w:r>
          </w:p>
        </w:tc>
        <w:tc>
          <w:tcPr>
            <w:tcW w:w="2011" w:type="dxa"/>
            <w:tcBorders>
              <w:top w:val="single" w:color="auto" w:sz="12" w:space="0"/>
              <w:bottom w:val="single" w:color="auto" w:sz="4" w:space="0"/>
            </w:tcBorders>
            <w:noWrap w:val="0"/>
            <w:vAlign w:val="center"/>
          </w:tcPr>
          <w:p>
            <w:pPr>
              <w:spacing w:line="360" w:lineRule="auto"/>
              <w:jc w:val="center"/>
              <w:rPr>
                <w:rFonts w:ascii="宋体" w:cs="Arial"/>
                <w:b/>
                <w:bCs/>
                <w:sz w:val="24"/>
                <w:szCs w:val="24"/>
              </w:rPr>
            </w:pPr>
            <w:r>
              <w:rPr>
                <w:rFonts w:ascii="宋体" w:cs="Arial"/>
                <w:b/>
                <w:bCs/>
                <w:sz w:val="24"/>
                <w:szCs w:val="24"/>
              </w:rPr>
              <w:t>型号规格</w:t>
            </w:r>
          </w:p>
        </w:tc>
        <w:tc>
          <w:tcPr>
            <w:tcW w:w="1772" w:type="dxa"/>
            <w:tcBorders>
              <w:top w:val="single" w:color="auto" w:sz="12" w:space="0"/>
              <w:bottom w:val="single" w:color="auto" w:sz="4" w:space="0"/>
            </w:tcBorders>
            <w:noWrap w:val="0"/>
            <w:vAlign w:val="center"/>
          </w:tcPr>
          <w:p>
            <w:pPr>
              <w:spacing w:line="360" w:lineRule="auto"/>
              <w:jc w:val="center"/>
              <w:rPr>
                <w:rFonts w:ascii="宋体" w:cs="Arial"/>
                <w:b/>
                <w:bCs/>
                <w:sz w:val="24"/>
                <w:szCs w:val="24"/>
              </w:rPr>
            </w:pPr>
            <w:r>
              <w:rPr>
                <w:rFonts w:ascii="宋体" w:cs="Arial"/>
                <w:b/>
                <w:bCs/>
                <w:sz w:val="24"/>
                <w:szCs w:val="24"/>
              </w:rPr>
              <w:t>品牌/产地</w:t>
            </w:r>
          </w:p>
        </w:tc>
        <w:tc>
          <w:tcPr>
            <w:tcW w:w="1325" w:type="dxa"/>
            <w:tcBorders>
              <w:top w:val="single" w:color="auto" w:sz="12" w:space="0"/>
              <w:bottom w:val="single" w:color="auto" w:sz="4" w:space="0"/>
            </w:tcBorders>
            <w:noWrap w:val="0"/>
            <w:vAlign w:val="center"/>
          </w:tcPr>
          <w:p>
            <w:pPr>
              <w:spacing w:line="360" w:lineRule="auto"/>
              <w:jc w:val="center"/>
              <w:rPr>
                <w:rFonts w:ascii="宋体" w:cs="Arial"/>
                <w:b/>
                <w:bCs/>
                <w:sz w:val="24"/>
                <w:szCs w:val="24"/>
              </w:rPr>
            </w:pPr>
            <w:r>
              <w:rPr>
                <w:rFonts w:ascii="宋体" w:cs="Arial"/>
                <w:b/>
                <w:bCs/>
                <w:sz w:val="24"/>
                <w:szCs w:val="24"/>
              </w:rPr>
              <w:t>数量</w:t>
            </w:r>
          </w:p>
        </w:tc>
        <w:tc>
          <w:tcPr>
            <w:tcW w:w="1400" w:type="dxa"/>
            <w:tcBorders>
              <w:top w:val="single" w:color="auto" w:sz="12" w:space="0"/>
              <w:bottom w:val="single" w:color="auto" w:sz="4" w:space="0"/>
            </w:tcBorders>
            <w:noWrap w:val="0"/>
            <w:vAlign w:val="center"/>
          </w:tcPr>
          <w:p>
            <w:pPr>
              <w:spacing w:line="360" w:lineRule="auto"/>
              <w:jc w:val="center"/>
              <w:rPr>
                <w:rFonts w:ascii="宋体" w:cs="Arial"/>
                <w:b/>
                <w:bCs/>
                <w:sz w:val="24"/>
                <w:szCs w:val="24"/>
              </w:rPr>
            </w:pPr>
            <w:r>
              <w:rPr>
                <w:rFonts w:ascii="宋体" w:cs="Arial"/>
                <w:b/>
                <w:bCs/>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30" w:type="dxa"/>
            <w:tcBorders>
              <w:top w:val="single" w:color="auto" w:sz="4" w:space="0"/>
              <w:bottom w:val="single" w:color="auto" w:sz="4" w:space="0"/>
            </w:tcBorders>
            <w:noWrap w:val="0"/>
            <w:vAlign w:val="center"/>
          </w:tcPr>
          <w:p>
            <w:pPr>
              <w:spacing w:line="360" w:lineRule="auto"/>
              <w:ind w:firstLine="592"/>
              <w:jc w:val="center"/>
              <w:rPr>
                <w:rFonts w:ascii="宋体" w:cs="Arial"/>
              </w:rPr>
            </w:pPr>
          </w:p>
        </w:tc>
        <w:tc>
          <w:tcPr>
            <w:tcW w:w="2265" w:type="dxa"/>
            <w:tcBorders>
              <w:top w:val="single" w:color="auto" w:sz="4" w:space="0"/>
              <w:bottom w:val="single" w:color="auto" w:sz="4" w:space="0"/>
            </w:tcBorders>
            <w:noWrap w:val="0"/>
            <w:vAlign w:val="center"/>
          </w:tcPr>
          <w:p>
            <w:pPr>
              <w:spacing w:line="360" w:lineRule="auto"/>
              <w:ind w:firstLine="592"/>
              <w:jc w:val="center"/>
              <w:rPr>
                <w:rFonts w:ascii="宋体" w:cs="Arial"/>
              </w:rPr>
            </w:pPr>
          </w:p>
        </w:tc>
        <w:tc>
          <w:tcPr>
            <w:tcW w:w="2011" w:type="dxa"/>
            <w:tcBorders>
              <w:top w:val="single" w:color="auto" w:sz="4" w:space="0"/>
              <w:bottom w:val="single" w:color="auto" w:sz="4" w:space="0"/>
            </w:tcBorders>
            <w:noWrap w:val="0"/>
            <w:vAlign w:val="center"/>
          </w:tcPr>
          <w:p>
            <w:pPr>
              <w:spacing w:line="360" w:lineRule="auto"/>
              <w:ind w:firstLine="592"/>
              <w:jc w:val="center"/>
              <w:rPr>
                <w:rFonts w:ascii="宋体" w:cs="Arial"/>
              </w:rPr>
            </w:pPr>
          </w:p>
        </w:tc>
        <w:tc>
          <w:tcPr>
            <w:tcW w:w="1772" w:type="dxa"/>
            <w:tcBorders>
              <w:top w:val="single" w:color="auto" w:sz="4" w:space="0"/>
              <w:bottom w:val="single" w:color="auto" w:sz="4" w:space="0"/>
            </w:tcBorders>
            <w:noWrap w:val="0"/>
            <w:vAlign w:val="center"/>
          </w:tcPr>
          <w:p>
            <w:pPr>
              <w:spacing w:line="360" w:lineRule="auto"/>
              <w:ind w:firstLine="592"/>
              <w:jc w:val="center"/>
              <w:rPr>
                <w:rFonts w:ascii="宋体" w:cs="Arial"/>
              </w:rPr>
            </w:pPr>
          </w:p>
        </w:tc>
        <w:tc>
          <w:tcPr>
            <w:tcW w:w="1325" w:type="dxa"/>
            <w:tcBorders>
              <w:top w:val="single" w:color="auto" w:sz="4" w:space="0"/>
              <w:bottom w:val="single" w:color="auto" w:sz="4" w:space="0"/>
            </w:tcBorders>
            <w:noWrap w:val="0"/>
            <w:vAlign w:val="center"/>
          </w:tcPr>
          <w:p>
            <w:pPr>
              <w:spacing w:line="360" w:lineRule="auto"/>
              <w:ind w:firstLine="592"/>
              <w:jc w:val="center"/>
              <w:rPr>
                <w:rFonts w:ascii="宋体" w:cs="Arial"/>
              </w:rPr>
            </w:pPr>
          </w:p>
        </w:tc>
        <w:tc>
          <w:tcPr>
            <w:tcW w:w="1400" w:type="dxa"/>
            <w:tcBorders>
              <w:top w:val="single" w:color="auto" w:sz="4" w:space="0"/>
              <w:bottom w:val="single" w:color="auto" w:sz="4" w:space="0"/>
            </w:tcBorders>
            <w:noWrap w:val="0"/>
            <w:vAlign w:val="center"/>
          </w:tcPr>
          <w:p>
            <w:pPr>
              <w:spacing w:line="360" w:lineRule="auto"/>
              <w:ind w:firstLine="592"/>
              <w:jc w:val="center"/>
              <w:rPr>
                <w:rFonts w:ascii="宋体"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30" w:type="dxa"/>
            <w:tcBorders>
              <w:top w:val="single" w:color="auto" w:sz="4" w:space="0"/>
            </w:tcBorders>
            <w:noWrap w:val="0"/>
            <w:vAlign w:val="center"/>
          </w:tcPr>
          <w:p>
            <w:pPr>
              <w:spacing w:line="360" w:lineRule="auto"/>
              <w:ind w:firstLine="592"/>
              <w:jc w:val="center"/>
              <w:rPr>
                <w:rFonts w:ascii="宋体" w:cs="Arial"/>
              </w:rPr>
            </w:pPr>
          </w:p>
        </w:tc>
        <w:tc>
          <w:tcPr>
            <w:tcW w:w="2265" w:type="dxa"/>
            <w:tcBorders>
              <w:top w:val="single" w:color="auto" w:sz="4" w:space="0"/>
            </w:tcBorders>
            <w:noWrap w:val="0"/>
            <w:vAlign w:val="center"/>
          </w:tcPr>
          <w:p>
            <w:pPr>
              <w:spacing w:line="360" w:lineRule="auto"/>
              <w:ind w:firstLine="592"/>
              <w:jc w:val="center"/>
              <w:rPr>
                <w:rFonts w:ascii="宋体" w:cs="Arial"/>
              </w:rPr>
            </w:pPr>
          </w:p>
        </w:tc>
        <w:tc>
          <w:tcPr>
            <w:tcW w:w="2011" w:type="dxa"/>
            <w:tcBorders>
              <w:top w:val="single" w:color="auto" w:sz="4" w:space="0"/>
            </w:tcBorders>
            <w:noWrap w:val="0"/>
            <w:vAlign w:val="center"/>
          </w:tcPr>
          <w:p>
            <w:pPr>
              <w:spacing w:line="360" w:lineRule="auto"/>
              <w:ind w:firstLine="592"/>
              <w:jc w:val="center"/>
              <w:rPr>
                <w:rFonts w:ascii="宋体" w:cs="Arial"/>
              </w:rPr>
            </w:pPr>
          </w:p>
        </w:tc>
        <w:tc>
          <w:tcPr>
            <w:tcW w:w="1772" w:type="dxa"/>
            <w:tcBorders>
              <w:top w:val="single" w:color="auto" w:sz="4" w:space="0"/>
            </w:tcBorders>
            <w:noWrap w:val="0"/>
            <w:vAlign w:val="center"/>
          </w:tcPr>
          <w:p>
            <w:pPr>
              <w:spacing w:line="360" w:lineRule="auto"/>
              <w:ind w:firstLine="592"/>
              <w:jc w:val="center"/>
              <w:rPr>
                <w:rFonts w:ascii="宋体" w:cs="Arial"/>
              </w:rPr>
            </w:pPr>
          </w:p>
        </w:tc>
        <w:tc>
          <w:tcPr>
            <w:tcW w:w="1325" w:type="dxa"/>
            <w:tcBorders>
              <w:top w:val="single" w:color="auto" w:sz="4" w:space="0"/>
            </w:tcBorders>
            <w:noWrap w:val="0"/>
            <w:vAlign w:val="center"/>
          </w:tcPr>
          <w:p>
            <w:pPr>
              <w:spacing w:line="360" w:lineRule="auto"/>
              <w:ind w:firstLine="592"/>
              <w:jc w:val="center"/>
              <w:rPr>
                <w:rFonts w:ascii="宋体" w:cs="Arial"/>
              </w:rPr>
            </w:pPr>
          </w:p>
        </w:tc>
        <w:tc>
          <w:tcPr>
            <w:tcW w:w="1400" w:type="dxa"/>
            <w:tcBorders>
              <w:top w:val="single" w:color="auto" w:sz="4" w:space="0"/>
            </w:tcBorders>
            <w:noWrap w:val="0"/>
            <w:vAlign w:val="center"/>
          </w:tcPr>
          <w:p>
            <w:pPr>
              <w:spacing w:line="360" w:lineRule="auto"/>
              <w:ind w:firstLine="592"/>
              <w:jc w:val="center"/>
              <w:rPr>
                <w:rFonts w:ascii="宋体"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30" w:type="dxa"/>
            <w:noWrap w:val="0"/>
            <w:vAlign w:val="center"/>
          </w:tcPr>
          <w:p>
            <w:pPr>
              <w:spacing w:line="360" w:lineRule="auto"/>
              <w:ind w:firstLine="592"/>
              <w:jc w:val="center"/>
              <w:rPr>
                <w:rFonts w:ascii="宋体" w:cs="Arial"/>
              </w:rPr>
            </w:pPr>
          </w:p>
        </w:tc>
        <w:tc>
          <w:tcPr>
            <w:tcW w:w="2265" w:type="dxa"/>
            <w:noWrap w:val="0"/>
            <w:vAlign w:val="center"/>
          </w:tcPr>
          <w:p>
            <w:pPr>
              <w:spacing w:line="360" w:lineRule="auto"/>
              <w:ind w:firstLine="592"/>
              <w:jc w:val="center"/>
              <w:rPr>
                <w:rFonts w:ascii="宋体" w:cs="Arial"/>
              </w:rPr>
            </w:pPr>
          </w:p>
        </w:tc>
        <w:tc>
          <w:tcPr>
            <w:tcW w:w="2011" w:type="dxa"/>
            <w:noWrap w:val="0"/>
            <w:vAlign w:val="center"/>
          </w:tcPr>
          <w:p>
            <w:pPr>
              <w:spacing w:line="360" w:lineRule="auto"/>
              <w:ind w:firstLine="592"/>
              <w:jc w:val="center"/>
              <w:rPr>
                <w:rFonts w:ascii="宋体" w:cs="Arial"/>
              </w:rPr>
            </w:pPr>
          </w:p>
        </w:tc>
        <w:tc>
          <w:tcPr>
            <w:tcW w:w="1772" w:type="dxa"/>
            <w:noWrap w:val="0"/>
            <w:vAlign w:val="center"/>
          </w:tcPr>
          <w:p>
            <w:pPr>
              <w:spacing w:line="360" w:lineRule="auto"/>
              <w:ind w:firstLine="592"/>
              <w:jc w:val="center"/>
              <w:rPr>
                <w:rFonts w:ascii="宋体" w:cs="Arial"/>
              </w:rPr>
            </w:pPr>
          </w:p>
        </w:tc>
        <w:tc>
          <w:tcPr>
            <w:tcW w:w="1325" w:type="dxa"/>
            <w:noWrap w:val="0"/>
            <w:vAlign w:val="center"/>
          </w:tcPr>
          <w:p>
            <w:pPr>
              <w:spacing w:line="360" w:lineRule="auto"/>
              <w:ind w:firstLine="592"/>
              <w:jc w:val="center"/>
              <w:rPr>
                <w:rFonts w:ascii="宋体" w:cs="Arial"/>
              </w:rPr>
            </w:pPr>
          </w:p>
        </w:tc>
        <w:tc>
          <w:tcPr>
            <w:tcW w:w="1400" w:type="dxa"/>
            <w:noWrap w:val="0"/>
            <w:vAlign w:val="center"/>
          </w:tcPr>
          <w:p>
            <w:pPr>
              <w:spacing w:line="360" w:lineRule="auto"/>
              <w:ind w:firstLine="592"/>
              <w:jc w:val="center"/>
              <w:rPr>
                <w:rFonts w:ascii="宋体"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30" w:type="dxa"/>
            <w:noWrap w:val="0"/>
            <w:vAlign w:val="center"/>
          </w:tcPr>
          <w:p>
            <w:pPr>
              <w:spacing w:line="360" w:lineRule="auto"/>
              <w:ind w:firstLine="592"/>
              <w:jc w:val="center"/>
              <w:rPr>
                <w:rFonts w:ascii="宋体" w:cs="Arial"/>
              </w:rPr>
            </w:pPr>
          </w:p>
        </w:tc>
        <w:tc>
          <w:tcPr>
            <w:tcW w:w="2265" w:type="dxa"/>
            <w:noWrap w:val="0"/>
            <w:vAlign w:val="center"/>
          </w:tcPr>
          <w:p>
            <w:pPr>
              <w:spacing w:line="360" w:lineRule="auto"/>
              <w:ind w:firstLine="592"/>
              <w:jc w:val="center"/>
              <w:rPr>
                <w:rFonts w:ascii="宋体" w:cs="Arial"/>
              </w:rPr>
            </w:pPr>
          </w:p>
        </w:tc>
        <w:tc>
          <w:tcPr>
            <w:tcW w:w="2011" w:type="dxa"/>
            <w:noWrap w:val="0"/>
            <w:vAlign w:val="center"/>
          </w:tcPr>
          <w:p>
            <w:pPr>
              <w:spacing w:line="360" w:lineRule="auto"/>
              <w:ind w:firstLine="592"/>
              <w:jc w:val="center"/>
              <w:rPr>
                <w:rFonts w:ascii="宋体" w:cs="Arial"/>
              </w:rPr>
            </w:pPr>
          </w:p>
        </w:tc>
        <w:tc>
          <w:tcPr>
            <w:tcW w:w="1772" w:type="dxa"/>
            <w:noWrap w:val="0"/>
            <w:vAlign w:val="center"/>
          </w:tcPr>
          <w:p>
            <w:pPr>
              <w:spacing w:line="360" w:lineRule="auto"/>
              <w:ind w:firstLine="592"/>
              <w:jc w:val="center"/>
              <w:rPr>
                <w:rFonts w:ascii="宋体" w:cs="Arial"/>
              </w:rPr>
            </w:pPr>
          </w:p>
        </w:tc>
        <w:tc>
          <w:tcPr>
            <w:tcW w:w="1325" w:type="dxa"/>
            <w:noWrap w:val="0"/>
            <w:vAlign w:val="center"/>
          </w:tcPr>
          <w:p>
            <w:pPr>
              <w:spacing w:line="360" w:lineRule="auto"/>
              <w:ind w:firstLine="592"/>
              <w:jc w:val="center"/>
              <w:rPr>
                <w:rFonts w:ascii="宋体" w:cs="Arial"/>
              </w:rPr>
            </w:pPr>
          </w:p>
        </w:tc>
        <w:tc>
          <w:tcPr>
            <w:tcW w:w="1400" w:type="dxa"/>
            <w:noWrap w:val="0"/>
            <w:vAlign w:val="center"/>
          </w:tcPr>
          <w:p>
            <w:pPr>
              <w:spacing w:line="360" w:lineRule="auto"/>
              <w:ind w:firstLine="592"/>
              <w:jc w:val="center"/>
              <w:rPr>
                <w:rFonts w:ascii="宋体"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30" w:type="dxa"/>
            <w:noWrap w:val="0"/>
            <w:vAlign w:val="center"/>
          </w:tcPr>
          <w:p>
            <w:pPr>
              <w:spacing w:line="360" w:lineRule="auto"/>
              <w:ind w:firstLine="592"/>
              <w:jc w:val="center"/>
              <w:rPr>
                <w:rFonts w:ascii="宋体" w:cs="Arial"/>
              </w:rPr>
            </w:pPr>
          </w:p>
        </w:tc>
        <w:tc>
          <w:tcPr>
            <w:tcW w:w="2265" w:type="dxa"/>
            <w:noWrap w:val="0"/>
            <w:vAlign w:val="center"/>
          </w:tcPr>
          <w:p>
            <w:pPr>
              <w:spacing w:line="360" w:lineRule="auto"/>
              <w:ind w:firstLine="592"/>
              <w:jc w:val="center"/>
              <w:rPr>
                <w:rFonts w:ascii="宋体" w:cs="Arial"/>
              </w:rPr>
            </w:pPr>
          </w:p>
        </w:tc>
        <w:tc>
          <w:tcPr>
            <w:tcW w:w="2011" w:type="dxa"/>
            <w:noWrap w:val="0"/>
            <w:vAlign w:val="center"/>
          </w:tcPr>
          <w:p>
            <w:pPr>
              <w:spacing w:line="360" w:lineRule="auto"/>
              <w:ind w:firstLine="592"/>
              <w:jc w:val="center"/>
              <w:rPr>
                <w:rFonts w:ascii="宋体" w:cs="Arial"/>
              </w:rPr>
            </w:pPr>
          </w:p>
        </w:tc>
        <w:tc>
          <w:tcPr>
            <w:tcW w:w="1772" w:type="dxa"/>
            <w:noWrap w:val="0"/>
            <w:vAlign w:val="center"/>
          </w:tcPr>
          <w:p>
            <w:pPr>
              <w:spacing w:line="360" w:lineRule="auto"/>
              <w:ind w:firstLine="592"/>
              <w:jc w:val="center"/>
              <w:rPr>
                <w:rFonts w:ascii="宋体" w:cs="Arial"/>
              </w:rPr>
            </w:pPr>
          </w:p>
        </w:tc>
        <w:tc>
          <w:tcPr>
            <w:tcW w:w="1325" w:type="dxa"/>
            <w:noWrap w:val="0"/>
            <w:vAlign w:val="center"/>
          </w:tcPr>
          <w:p>
            <w:pPr>
              <w:spacing w:line="360" w:lineRule="auto"/>
              <w:ind w:firstLine="592"/>
              <w:jc w:val="center"/>
              <w:rPr>
                <w:rFonts w:ascii="宋体" w:cs="Arial"/>
              </w:rPr>
            </w:pPr>
          </w:p>
        </w:tc>
        <w:tc>
          <w:tcPr>
            <w:tcW w:w="1400" w:type="dxa"/>
            <w:noWrap w:val="0"/>
            <w:vAlign w:val="center"/>
          </w:tcPr>
          <w:p>
            <w:pPr>
              <w:spacing w:line="360" w:lineRule="auto"/>
              <w:ind w:firstLine="592"/>
              <w:jc w:val="center"/>
              <w:rPr>
                <w:rFonts w:ascii="宋体"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30" w:type="dxa"/>
            <w:noWrap w:val="0"/>
            <w:vAlign w:val="center"/>
          </w:tcPr>
          <w:p>
            <w:pPr>
              <w:spacing w:line="360" w:lineRule="auto"/>
              <w:ind w:firstLine="592"/>
              <w:jc w:val="center"/>
              <w:rPr>
                <w:rFonts w:ascii="宋体" w:cs="Arial"/>
              </w:rPr>
            </w:pPr>
          </w:p>
        </w:tc>
        <w:tc>
          <w:tcPr>
            <w:tcW w:w="2265" w:type="dxa"/>
            <w:noWrap w:val="0"/>
            <w:vAlign w:val="center"/>
          </w:tcPr>
          <w:p>
            <w:pPr>
              <w:spacing w:line="360" w:lineRule="auto"/>
              <w:ind w:firstLine="592"/>
              <w:jc w:val="center"/>
              <w:rPr>
                <w:rFonts w:ascii="宋体" w:cs="Arial"/>
              </w:rPr>
            </w:pPr>
          </w:p>
        </w:tc>
        <w:tc>
          <w:tcPr>
            <w:tcW w:w="2011" w:type="dxa"/>
            <w:noWrap w:val="0"/>
            <w:vAlign w:val="center"/>
          </w:tcPr>
          <w:p>
            <w:pPr>
              <w:spacing w:line="360" w:lineRule="auto"/>
              <w:ind w:firstLine="592"/>
              <w:jc w:val="center"/>
              <w:rPr>
                <w:rFonts w:ascii="宋体" w:cs="Arial"/>
              </w:rPr>
            </w:pPr>
          </w:p>
        </w:tc>
        <w:tc>
          <w:tcPr>
            <w:tcW w:w="1772" w:type="dxa"/>
            <w:noWrap w:val="0"/>
            <w:vAlign w:val="center"/>
          </w:tcPr>
          <w:p>
            <w:pPr>
              <w:spacing w:line="360" w:lineRule="auto"/>
              <w:ind w:firstLine="592"/>
              <w:jc w:val="center"/>
              <w:rPr>
                <w:rFonts w:ascii="宋体" w:cs="Arial"/>
              </w:rPr>
            </w:pPr>
          </w:p>
        </w:tc>
        <w:tc>
          <w:tcPr>
            <w:tcW w:w="1325" w:type="dxa"/>
            <w:noWrap w:val="0"/>
            <w:vAlign w:val="center"/>
          </w:tcPr>
          <w:p>
            <w:pPr>
              <w:spacing w:line="360" w:lineRule="auto"/>
              <w:ind w:firstLine="592"/>
              <w:jc w:val="center"/>
              <w:rPr>
                <w:rFonts w:ascii="宋体" w:cs="Arial"/>
              </w:rPr>
            </w:pPr>
          </w:p>
        </w:tc>
        <w:tc>
          <w:tcPr>
            <w:tcW w:w="1400" w:type="dxa"/>
            <w:noWrap w:val="0"/>
            <w:vAlign w:val="center"/>
          </w:tcPr>
          <w:p>
            <w:pPr>
              <w:spacing w:line="360" w:lineRule="auto"/>
              <w:ind w:firstLine="592"/>
              <w:jc w:val="center"/>
              <w:rPr>
                <w:rFonts w:ascii="宋体"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30" w:type="dxa"/>
            <w:noWrap w:val="0"/>
            <w:vAlign w:val="center"/>
          </w:tcPr>
          <w:p>
            <w:pPr>
              <w:spacing w:line="360" w:lineRule="auto"/>
              <w:ind w:firstLine="592"/>
              <w:jc w:val="center"/>
              <w:rPr>
                <w:rFonts w:ascii="宋体" w:cs="Arial"/>
              </w:rPr>
            </w:pPr>
          </w:p>
        </w:tc>
        <w:tc>
          <w:tcPr>
            <w:tcW w:w="2265" w:type="dxa"/>
            <w:noWrap w:val="0"/>
            <w:vAlign w:val="center"/>
          </w:tcPr>
          <w:p>
            <w:pPr>
              <w:spacing w:line="360" w:lineRule="auto"/>
              <w:ind w:firstLine="592"/>
              <w:jc w:val="center"/>
              <w:rPr>
                <w:rFonts w:ascii="宋体" w:cs="Arial"/>
              </w:rPr>
            </w:pPr>
          </w:p>
        </w:tc>
        <w:tc>
          <w:tcPr>
            <w:tcW w:w="2011" w:type="dxa"/>
            <w:noWrap w:val="0"/>
            <w:vAlign w:val="center"/>
          </w:tcPr>
          <w:p>
            <w:pPr>
              <w:spacing w:line="360" w:lineRule="auto"/>
              <w:ind w:firstLine="592"/>
              <w:jc w:val="center"/>
              <w:rPr>
                <w:rFonts w:ascii="宋体" w:cs="Arial"/>
              </w:rPr>
            </w:pPr>
          </w:p>
        </w:tc>
        <w:tc>
          <w:tcPr>
            <w:tcW w:w="1772" w:type="dxa"/>
            <w:noWrap w:val="0"/>
            <w:vAlign w:val="center"/>
          </w:tcPr>
          <w:p>
            <w:pPr>
              <w:spacing w:line="360" w:lineRule="auto"/>
              <w:ind w:firstLine="592"/>
              <w:jc w:val="center"/>
              <w:rPr>
                <w:rFonts w:ascii="宋体" w:cs="Arial"/>
              </w:rPr>
            </w:pPr>
          </w:p>
        </w:tc>
        <w:tc>
          <w:tcPr>
            <w:tcW w:w="1325" w:type="dxa"/>
            <w:noWrap w:val="0"/>
            <w:vAlign w:val="center"/>
          </w:tcPr>
          <w:p>
            <w:pPr>
              <w:spacing w:line="360" w:lineRule="auto"/>
              <w:ind w:firstLine="592"/>
              <w:jc w:val="center"/>
              <w:rPr>
                <w:rFonts w:ascii="宋体" w:cs="Arial"/>
              </w:rPr>
            </w:pPr>
          </w:p>
        </w:tc>
        <w:tc>
          <w:tcPr>
            <w:tcW w:w="1400" w:type="dxa"/>
            <w:noWrap w:val="0"/>
            <w:vAlign w:val="center"/>
          </w:tcPr>
          <w:p>
            <w:pPr>
              <w:spacing w:line="360" w:lineRule="auto"/>
              <w:ind w:firstLine="592"/>
              <w:jc w:val="center"/>
              <w:rPr>
                <w:rFonts w:ascii="宋体"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30" w:type="dxa"/>
            <w:noWrap w:val="0"/>
            <w:vAlign w:val="center"/>
          </w:tcPr>
          <w:p>
            <w:pPr>
              <w:spacing w:line="360" w:lineRule="auto"/>
              <w:ind w:firstLine="592"/>
              <w:jc w:val="center"/>
              <w:rPr>
                <w:rFonts w:ascii="宋体" w:cs="Arial"/>
              </w:rPr>
            </w:pPr>
          </w:p>
        </w:tc>
        <w:tc>
          <w:tcPr>
            <w:tcW w:w="2265" w:type="dxa"/>
            <w:noWrap w:val="0"/>
            <w:vAlign w:val="center"/>
          </w:tcPr>
          <w:p>
            <w:pPr>
              <w:spacing w:line="360" w:lineRule="auto"/>
              <w:ind w:firstLine="592"/>
              <w:jc w:val="center"/>
              <w:rPr>
                <w:rFonts w:ascii="宋体" w:cs="Arial"/>
              </w:rPr>
            </w:pPr>
          </w:p>
        </w:tc>
        <w:tc>
          <w:tcPr>
            <w:tcW w:w="2011" w:type="dxa"/>
            <w:noWrap w:val="0"/>
            <w:vAlign w:val="center"/>
          </w:tcPr>
          <w:p>
            <w:pPr>
              <w:spacing w:line="360" w:lineRule="auto"/>
              <w:ind w:firstLine="592"/>
              <w:jc w:val="center"/>
              <w:rPr>
                <w:rFonts w:ascii="宋体" w:cs="Arial"/>
              </w:rPr>
            </w:pPr>
          </w:p>
        </w:tc>
        <w:tc>
          <w:tcPr>
            <w:tcW w:w="1772" w:type="dxa"/>
            <w:noWrap w:val="0"/>
            <w:vAlign w:val="center"/>
          </w:tcPr>
          <w:p>
            <w:pPr>
              <w:spacing w:line="360" w:lineRule="auto"/>
              <w:ind w:firstLine="592"/>
              <w:jc w:val="center"/>
              <w:rPr>
                <w:rFonts w:ascii="宋体" w:cs="Arial"/>
              </w:rPr>
            </w:pPr>
          </w:p>
        </w:tc>
        <w:tc>
          <w:tcPr>
            <w:tcW w:w="1325" w:type="dxa"/>
            <w:noWrap w:val="0"/>
            <w:vAlign w:val="center"/>
          </w:tcPr>
          <w:p>
            <w:pPr>
              <w:spacing w:line="360" w:lineRule="auto"/>
              <w:ind w:firstLine="592"/>
              <w:jc w:val="center"/>
              <w:rPr>
                <w:rFonts w:ascii="宋体" w:cs="Arial"/>
              </w:rPr>
            </w:pPr>
          </w:p>
        </w:tc>
        <w:tc>
          <w:tcPr>
            <w:tcW w:w="1400" w:type="dxa"/>
            <w:noWrap w:val="0"/>
            <w:vAlign w:val="center"/>
          </w:tcPr>
          <w:p>
            <w:pPr>
              <w:spacing w:line="360" w:lineRule="auto"/>
              <w:ind w:firstLine="592"/>
              <w:jc w:val="center"/>
              <w:rPr>
                <w:rFonts w:ascii="宋体"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30" w:type="dxa"/>
            <w:noWrap w:val="0"/>
            <w:vAlign w:val="center"/>
          </w:tcPr>
          <w:p>
            <w:pPr>
              <w:spacing w:line="360" w:lineRule="auto"/>
              <w:ind w:firstLine="592"/>
              <w:jc w:val="center"/>
              <w:rPr>
                <w:rFonts w:ascii="宋体" w:cs="Arial"/>
              </w:rPr>
            </w:pPr>
          </w:p>
        </w:tc>
        <w:tc>
          <w:tcPr>
            <w:tcW w:w="2265" w:type="dxa"/>
            <w:noWrap w:val="0"/>
            <w:vAlign w:val="center"/>
          </w:tcPr>
          <w:p>
            <w:pPr>
              <w:spacing w:line="360" w:lineRule="auto"/>
              <w:ind w:firstLine="592"/>
              <w:jc w:val="center"/>
              <w:rPr>
                <w:rFonts w:ascii="宋体" w:cs="Arial"/>
              </w:rPr>
            </w:pPr>
          </w:p>
        </w:tc>
        <w:tc>
          <w:tcPr>
            <w:tcW w:w="2011" w:type="dxa"/>
            <w:noWrap w:val="0"/>
            <w:vAlign w:val="center"/>
          </w:tcPr>
          <w:p>
            <w:pPr>
              <w:spacing w:line="360" w:lineRule="auto"/>
              <w:ind w:firstLine="592"/>
              <w:jc w:val="center"/>
              <w:rPr>
                <w:rFonts w:ascii="宋体" w:cs="Arial"/>
              </w:rPr>
            </w:pPr>
          </w:p>
        </w:tc>
        <w:tc>
          <w:tcPr>
            <w:tcW w:w="1772" w:type="dxa"/>
            <w:noWrap w:val="0"/>
            <w:vAlign w:val="center"/>
          </w:tcPr>
          <w:p>
            <w:pPr>
              <w:spacing w:line="360" w:lineRule="auto"/>
              <w:ind w:firstLine="592"/>
              <w:jc w:val="center"/>
              <w:rPr>
                <w:rFonts w:ascii="宋体" w:cs="Arial"/>
              </w:rPr>
            </w:pPr>
          </w:p>
        </w:tc>
        <w:tc>
          <w:tcPr>
            <w:tcW w:w="1325" w:type="dxa"/>
            <w:noWrap w:val="0"/>
            <w:vAlign w:val="center"/>
          </w:tcPr>
          <w:p>
            <w:pPr>
              <w:spacing w:line="360" w:lineRule="auto"/>
              <w:ind w:firstLine="592"/>
              <w:jc w:val="center"/>
              <w:rPr>
                <w:rFonts w:ascii="宋体" w:cs="Arial"/>
              </w:rPr>
            </w:pPr>
          </w:p>
        </w:tc>
        <w:tc>
          <w:tcPr>
            <w:tcW w:w="1400" w:type="dxa"/>
            <w:noWrap w:val="0"/>
            <w:vAlign w:val="center"/>
          </w:tcPr>
          <w:p>
            <w:pPr>
              <w:spacing w:line="360" w:lineRule="auto"/>
              <w:ind w:firstLine="592"/>
              <w:jc w:val="center"/>
              <w:rPr>
                <w:rFonts w:ascii="宋体"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30" w:type="dxa"/>
            <w:noWrap w:val="0"/>
            <w:vAlign w:val="center"/>
          </w:tcPr>
          <w:p>
            <w:pPr>
              <w:spacing w:line="360" w:lineRule="auto"/>
              <w:ind w:firstLine="592"/>
              <w:jc w:val="center"/>
              <w:rPr>
                <w:rFonts w:ascii="宋体" w:cs="Arial"/>
              </w:rPr>
            </w:pPr>
          </w:p>
        </w:tc>
        <w:tc>
          <w:tcPr>
            <w:tcW w:w="2265" w:type="dxa"/>
            <w:noWrap w:val="0"/>
            <w:vAlign w:val="center"/>
          </w:tcPr>
          <w:p>
            <w:pPr>
              <w:spacing w:line="360" w:lineRule="auto"/>
              <w:ind w:firstLine="592"/>
              <w:jc w:val="center"/>
              <w:rPr>
                <w:rFonts w:ascii="宋体" w:cs="Arial"/>
              </w:rPr>
            </w:pPr>
          </w:p>
        </w:tc>
        <w:tc>
          <w:tcPr>
            <w:tcW w:w="2011" w:type="dxa"/>
            <w:noWrap w:val="0"/>
            <w:vAlign w:val="center"/>
          </w:tcPr>
          <w:p>
            <w:pPr>
              <w:spacing w:line="360" w:lineRule="auto"/>
              <w:ind w:firstLine="592"/>
              <w:jc w:val="center"/>
              <w:rPr>
                <w:rFonts w:ascii="宋体" w:cs="Arial"/>
              </w:rPr>
            </w:pPr>
          </w:p>
        </w:tc>
        <w:tc>
          <w:tcPr>
            <w:tcW w:w="1772" w:type="dxa"/>
            <w:noWrap w:val="0"/>
            <w:vAlign w:val="center"/>
          </w:tcPr>
          <w:p>
            <w:pPr>
              <w:spacing w:line="360" w:lineRule="auto"/>
              <w:ind w:firstLine="592"/>
              <w:jc w:val="center"/>
              <w:rPr>
                <w:rFonts w:ascii="宋体" w:cs="Arial"/>
              </w:rPr>
            </w:pPr>
          </w:p>
        </w:tc>
        <w:tc>
          <w:tcPr>
            <w:tcW w:w="1325" w:type="dxa"/>
            <w:noWrap w:val="0"/>
            <w:vAlign w:val="center"/>
          </w:tcPr>
          <w:p>
            <w:pPr>
              <w:spacing w:line="360" w:lineRule="auto"/>
              <w:ind w:firstLine="592"/>
              <w:jc w:val="center"/>
              <w:rPr>
                <w:rFonts w:ascii="宋体" w:cs="Arial"/>
              </w:rPr>
            </w:pPr>
          </w:p>
        </w:tc>
        <w:tc>
          <w:tcPr>
            <w:tcW w:w="1400" w:type="dxa"/>
            <w:noWrap w:val="0"/>
            <w:vAlign w:val="center"/>
          </w:tcPr>
          <w:p>
            <w:pPr>
              <w:spacing w:line="360" w:lineRule="auto"/>
              <w:ind w:firstLine="592"/>
              <w:jc w:val="center"/>
              <w:rPr>
                <w:rFonts w:ascii="宋体"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30" w:type="dxa"/>
            <w:noWrap w:val="0"/>
            <w:vAlign w:val="center"/>
          </w:tcPr>
          <w:p>
            <w:pPr>
              <w:spacing w:line="360" w:lineRule="auto"/>
              <w:ind w:firstLine="592"/>
              <w:jc w:val="center"/>
              <w:rPr>
                <w:rFonts w:ascii="宋体" w:cs="Arial"/>
              </w:rPr>
            </w:pPr>
          </w:p>
        </w:tc>
        <w:tc>
          <w:tcPr>
            <w:tcW w:w="2265" w:type="dxa"/>
            <w:noWrap w:val="0"/>
            <w:vAlign w:val="center"/>
          </w:tcPr>
          <w:p>
            <w:pPr>
              <w:spacing w:line="360" w:lineRule="auto"/>
              <w:ind w:firstLine="592"/>
              <w:jc w:val="center"/>
              <w:rPr>
                <w:rFonts w:ascii="宋体" w:cs="Arial"/>
              </w:rPr>
            </w:pPr>
          </w:p>
        </w:tc>
        <w:tc>
          <w:tcPr>
            <w:tcW w:w="2011" w:type="dxa"/>
            <w:noWrap w:val="0"/>
            <w:vAlign w:val="center"/>
          </w:tcPr>
          <w:p>
            <w:pPr>
              <w:spacing w:line="360" w:lineRule="auto"/>
              <w:ind w:firstLine="592"/>
              <w:jc w:val="center"/>
              <w:rPr>
                <w:rFonts w:ascii="宋体" w:cs="Arial"/>
              </w:rPr>
            </w:pPr>
          </w:p>
        </w:tc>
        <w:tc>
          <w:tcPr>
            <w:tcW w:w="1772" w:type="dxa"/>
            <w:noWrap w:val="0"/>
            <w:vAlign w:val="center"/>
          </w:tcPr>
          <w:p>
            <w:pPr>
              <w:spacing w:line="360" w:lineRule="auto"/>
              <w:ind w:firstLine="592"/>
              <w:jc w:val="center"/>
              <w:rPr>
                <w:rFonts w:ascii="宋体" w:cs="Arial"/>
              </w:rPr>
            </w:pPr>
          </w:p>
        </w:tc>
        <w:tc>
          <w:tcPr>
            <w:tcW w:w="1325" w:type="dxa"/>
            <w:noWrap w:val="0"/>
            <w:vAlign w:val="center"/>
          </w:tcPr>
          <w:p>
            <w:pPr>
              <w:spacing w:line="360" w:lineRule="auto"/>
              <w:ind w:firstLine="592"/>
              <w:jc w:val="center"/>
              <w:rPr>
                <w:rFonts w:ascii="宋体" w:cs="Arial"/>
              </w:rPr>
            </w:pPr>
          </w:p>
        </w:tc>
        <w:tc>
          <w:tcPr>
            <w:tcW w:w="1400" w:type="dxa"/>
            <w:noWrap w:val="0"/>
            <w:vAlign w:val="center"/>
          </w:tcPr>
          <w:p>
            <w:pPr>
              <w:spacing w:line="360" w:lineRule="auto"/>
              <w:ind w:firstLine="592"/>
              <w:jc w:val="center"/>
              <w:rPr>
                <w:rFonts w:ascii="宋体"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30" w:type="dxa"/>
            <w:noWrap w:val="0"/>
            <w:vAlign w:val="center"/>
          </w:tcPr>
          <w:p>
            <w:pPr>
              <w:spacing w:line="360" w:lineRule="auto"/>
              <w:ind w:firstLine="592"/>
              <w:jc w:val="center"/>
              <w:rPr>
                <w:rFonts w:ascii="宋体" w:cs="Arial"/>
              </w:rPr>
            </w:pPr>
          </w:p>
        </w:tc>
        <w:tc>
          <w:tcPr>
            <w:tcW w:w="2265" w:type="dxa"/>
            <w:noWrap w:val="0"/>
            <w:vAlign w:val="center"/>
          </w:tcPr>
          <w:p>
            <w:pPr>
              <w:spacing w:line="360" w:lineRule="auto"/>
              <w:ind w:firstLine="592"/>
              <w:jc w:val="center"/>
              <w:rPr>
                <w:rFonts w:ascii="宋体" w:cs="Arial"/>
              </w:rPr>
            </w:pPr>
          </w:p>
        </w:tc>
        <w:tc>
          <w:tcPr>
            <w:tcW w:w="2011" w:type="dxa"/>
            <w:noWrap w:val="0"/>
            <w:vAlign w:val="center"/>
          </w:tcPr>
          <w:p>
            <w:pPr>
              <w:spacing w:line="360" w:lineRule="auto"/>
              <w:ind w:firstLine="592"/>
              <w:jc w:val="center"/>
              <w:rPr>
                <w:rFonts w:ascii="宋体" w:cs="Arial"/>
              </w:rPr>
            </w:pPr>
          </w:p>
        </w:tc>
        <w:tc>
          <w:tcPr>
            <w:tcW w:w="1772" w:type="dxa"/>
            <w:noWrap w:val="0"/>
            <w:vAlign w:val="center"/>
          </w:tcPr>
          <w:p>
            <w:pPr>
              <w:spacing w:line="360" w:lineRule="auto"/>
              <w:ind w:firstLine="592"/>
              <w:jc w:val="center"/>
              <w:rPr>
                <w:rFonts w:ascii="宋体" w:cs="Arial"/>
              </w:rPr>
            </w:pPr>
          </w:p>
        </w:tc>
        <w:tc>
          <w:tcPr>
            <w:tcW w:w="1325" w:type="dxa"/>
            <w:noWrap w:val="0"/>
            <w:vAlign w:val="center"/>
          </w:tcPr>
          <w:p>
            <w:pPr>
              <w:spacing w:line="360" w:lineRule="auto"/>
              <w:ind w:firstLine="592"/>
              <w:jc w:val="center"/>
              <w:rPr>
                <w:rFonts w:ascii="宋体" w:cs="Arial"/>
              </w:rPr>
            </w:pPr>
          </w:p>
        </w:tc>
        <w:tc>
          <w:tcPr>
            <w:tcW w:w="1400" w:type="dxa"/>
            <w:noWrap w:val="0"/>
            <w:vAlign w:val="center"/>
          </w:tcPr>
          <w:p>
            <w:pPr>
              <w:spacing w:line="360" w:lineRule="auto"/>
              <w:ind w:firstLine="592"/>
              <w:jc w:val="center"/>
              <w:rPr>
                <w:rFonts w:ascii="宋体"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30" w:type="dxa"/>
            <w:noWrap w:val="0"/>
            <w:vAlign w:val="center"/>
          </w:tcPr>
          <w:p>
            <w:pPr>
              <w:spacing w:line="360" w:lineRule="auto"/>
              <w:ind w:firstLine="592"/>
              <w:jc w:val="center"/>
              <w:rPr>
                <w:rFonts w:ascii="宋体" w:cs="Arial"/>
              </w:rPr>
            </w:pPr>
          </w:p>
        </w:tc>
        <w:tc>
          <w:tcPr>
            <w:tcW w:w="2265" w:type="dxa"/>
            <w:noWrap w:val="0"/>
            <w:vAlign w:val="center"/>
          </w:tcPr>
          <w:p>
            <w:pPr>
              <w:spacing w:line="360" w:lineRule="auto"/>
              <w:ind w:firstLine="592"/>
              <w:jc w:val="center"/>
              <w:rPr>
                <w:rFonts w:ascii="宋体" w:cs="Arial"/>
              </w:rPr>
            </w:pPr>
          </w:p>
        </w:tc>
        <w:tc>
          <w:tcPr>
            <w:tcW w:w="2011" w:type="dxa"/>
            <w:noWrap w:val="0"/>
            <w:vAlign w:val="center"/>
          </w:tcPr>
          <w:p>
            <w:pPr>
              <w:spacing w:line="360" w:lineRule="auto"/>
              <w:ind w:firstLine="592"/>
              <w:jc w:val="center"/>
              <w:rPr>
                <w:rFonts w:ascii="宋体" w:cs="Arial"/>
              </w:rPr>
            </w:pPr>
          </w:p>
        </w:tc>
        <w:tc>
          <w:tcPr>
            <w:tcW w:w="1772" w:type="dxa"/>
            <w:noWrap w:val="0"/>
            <w:vAlign w:val="center"/>
          </w:tcPr>
          <w:p>
            <w:pPr>
              <w:spacing w:line="360" w:lineRule="auto"/>
              <w:ind w:firstLine="592"/>
              <w:jc w:val="center"/>
              <w:rPr>
                <w:rFonts w:ascii="宋体" w:cs="Arial"/>
              </w:rPr>
            </w:pPr>
          </w:p>
        </w:tc>
        <w:tc>
          <w:tcPr>
            <w:tcW w:w="1325" w:type="dxa"/>
            <w:noWrap w:val="0"/>
            <w:vAlign w:val="center"/>
          </w:tcPr>
          <w:p>
            <w:pPr>
              <w:spacing w:line="360" w:lineRule="auto"/>
              <w:ind w:firstLine="592"/>
              <w:jc w:val="center"/>
              <w:rPr>
                <w:rFonts w:ascii="宋体" w:cs="Arial"/>
              </w:rPr>
            </w:pPr>
          </w:p>
        </w:tc>
        <w:tc>
          <w:tcPr>
            <w:tcW w:w="1400" w:type="dxa"/>
            <w:noWrap w:val="0"/>
            <w:vAlign w:val="center"/>
          </w:tcPr>
          <w:p>
            <w:pPr>
              <w:spacing w:line="360" w:lineRule="auto"/>
              <w:ind w:firstLine="592"/>
              <w:jc w:val="center"/>
              <w:rPr>
                <w:rFonts w:ascii="宋体" w:cs="Arial"/>
              </w:rPr>
            </w:pPr>
          </w:p>
        </w:tc>
      </w:tr>
    </w:tbl>
    <w:p>
      <w:pPr>
        <w:pStyle w:val="8"/>
        <w:spacing w:line="360" w:lineRule="auto"/>
        <w:jc w:val="left"/>
        <w:rPr>
          <w:rFonts w:hint="eastAsia" w:ascii="宋体" w:cs="Arial"/>
        </w:rPr>
      </w:pPr>
    </w:p>
    <w:p>
      <w:pPr>
        <w:pStyle w:val="8"/>
        <w:spacing w:line="360" w:lineRule="auto"/>
        <w:jc w:val="left"/>
        <w:rPr>
          <w:rFonts w:hint="eastAsia" w:ascii="宋体" w:cs="Arial"/>
          <w:sz w:val="24"/>
          <w:szCs w:val="24"/>
        </w:rPr>
      </w:pPr>
      <w:r>
        <w:rPr>
          <w:rFonts w:hint="eastAsia" w:ascii="宋体" w:cs="Arial"/>
          <w:sz w:val="24"/>
          <w:szCs w:val="24"/>
        </w:rPr>
        <w:t>附注：1. 本表所列为供应商拟投入的</w:t>
      </w:r>
      <w:r>
        <w:rPr>
          <w:rFonts w:hint="eastAsia" w:ascii="宋体" w:cs="Arial"/>
          <w:sz w:val="24"/>
          <w:szCs w:val="24"/>
          <w:lang w:eastAsia="zh-CN"/>
        </w:rPr>
        <w:t>车辆设备</w:t>
      </w:r>
      <w:r>
        <w:rPr>
          <w:rFonts w:hint="eastAsia" w:ascii="宋体" w:cs="Arial"/>
          <w:sz w:val="24"/>
          <w:szCs w:val="24"/>
        </w:rPr>
        <w:t>。</w:t>
      </w:r>
    </w:p>
    <w:p>
      <w:pPr>
        <w:pStyle w:val="8"/>
        <w:spacing w:line="360" w:lineRule="auto"/>
        <w:ind w:firstLine="1200" w:firstLineChars="500"/>
        <w:jc w:val="left"/>
        <w:rPr>
          <w:rFonts w:hint="eastAsia" w:ascii="宋体" w:cs="Arial"/>
          <w:sz w:val="24"/>
          <w:szCs w:val="24"/>
        </w:rPr>
      </w:pPr>
      <w:r>
        <w:rPr>
          <w:rFonts w:hint="eastAsia" w:ascii="宋体" w:cs="Arial"/>
          <w:sz w:val="24"/>
          <w:szCs w:val="24"/>
        </w:rPr>
        <w:t>2. 此表仅提供了表格形式，供应商应根据需要准备足够数量的表格来填写。</w:t>
      </w:r>
    </w:p>
    <w:p>
      <w:pPr>
        <w:pStyle w:val="234"/>
        <w:widowControl w:val="0"/>
        <w:pBdr>
          <w:left w:val="none" w:color="auto" w:sz="0" w:space="0"/>
          <w:bottom w:val="none" w:color="auto" w:sz="0" w:space="0"/>
          <w:right w:val="none" w:color="auto" w:sz="0" w:space="0"/>
        </w:pBdr>
        <w:spacing w:before="0" w:beforeAutospacing="0" w:after="0" w:afterAutospacing="0" w:line="360" w:lineRule="auto"/>
        <w:textAlignment w:val="auto"/>
        <w:rPr>
          <w:rFonts w:ascii="宋体" w:hAnsi="宋体" w:eastAsia="宋体" w:cs="Arial"/>
          <w:kern w:val="2"/>
          <w:sz w:val="24"/>
          <w:szCs w:val="24"/>
        </w:rPr>
      </w:pPr>
    </w:p>
    <w:p>
      <w:pPr>
        <w:spacing w:line="360" w:lineRule="auto"/>
        <w:rPr>
          <w:rFonts w:ascii="宋体"/>
          <w:sz w:val="24"/>
          <w:szCs w:val="24"/>
        </w:rPr>
      </w:pPr>
      <w:r>
        <w:rPr>
          <w:rFonts w:hint="eastAsia" w:ascii="宋体"/>
          <w:sz w:val="24"/>
          <w:szCs w:val="24"/>
        </w:rPr>
        <w:t>供应商</w:t>
      </w:r>
      <w:r>
        <w:rPr>
          <w:rFonts w:ascii="宋体"/>
          <w:sz w:val="24"/>
          <w:szCs w:val="24"/>
        </w:rPr>
        <w:t>全称（盖章）：</w:t>
      </w:r>
    </w:p>
    <w:p>
      <w:pPr>
        <w:spacing w:line="360" w:lineRule="auto"/>
        <w:rPr>
          <w:rFonts w:ascii="宋体"/>
          <w:sz w:val="24"/>
          <w:szCs w:val="24"/>
        </w:rPr>
      </w:pPr>
      <w:r>
        <w:rPr>
          <w:rFonts w:ascii="宋体"/>
          <w:sz w:val="24"/>
          <w:szCs w:val="24"/>
        </w:rPr>
        <w:t>法定代表人或授权代表（盖章或签字）：</w:t>
      </w:r>
    </w:p>
    <w:p>
      <w:pPr>
        <w:spacing w:line="360" w:lineRule="auto"/>
        <w:rPr>
          <w:rFonts w:ascii="宋体"/>
          <w:sz w:val="24"/>
          <w:szCs w:val="24"/>
        </w:rPr>
      </w:pPr>
      <w:r>
        <w:rPr>
          <w:rFonts w:ascii="宋体"/>
          <w:sz w:val="24"/>
          <w:szCs w:val="24"/>
        </w:rPr>
        <w:t>日期：</w:t>
      </w:r>
    </w:p>
    <w:p>
      <w:pPr>
        <w:pStyle w:val="22"/>
        <w:snapToGrid w:val="0"/>
        <w:spacing w:line="340" w:lineRule="atLeast"/>
        <w:rPr>
          <w:rFonts w:hint="eastAsia" w:hAnsi="宋体" w:cs="宋体"/>
          <w:kern w:val="0"/>
          <w:sz w:val="28"/>
          <w:szCs w:val="28"/>
        </w:rPr>
      </w:pPr>
    </w:p>
    <w:p>
      <w:pPr>
        <w:pStyle w:val="22"/>
        <w:snapToGrid w:val="0"/>
        <w:spacing w:line="340" w:lineRule="atLeast"/>
        <w:rPr>
          <w:rFonts w:hint="eastAsia" w:hAnsi="宋体" w:cs="宋体"/>
          <w:kern w:val="0"/>
          <w:sz w:val="28"/>
          <w:szCs w:val="28"/>
        </w:rPr>
      </w:pPr>
    </w:p>
    <w:p>
      <w:pPr>
        <w:pStyle w:val="22"/>
        <w:snapToGrid w:val="0"/>
        <w:spacing w:line="340" w:lineRule="atLeast"/>
        <w:rPr>
          <w:rFonts w:hint="eastAsia" w:hAnsi="宋体" w:cs="宋体"/>
          <w:kern w:val="0"/>
          <w:sz w:val="28"/>
          <w:szCs w:val="28"/>
        </w:rPr>
      </w:pPr>
    </w:p>
    <w:p>
      <w:pPr>
        <w:pStyle w:val="22"/>
        <w:snapToGrid w:val="0"/>
        <w:spacing w:line="340" w:lineRule="atLeast"/>
        <w:rPr>
          <w:rFonts w:hint="eastAsia" w:hAnsi="宋体" w:cs="宋体"/>
          <w:kern w:val="0"/>
          <w:sz w:val="28"/>
          <w:szCs w:val="28"/>
        </w:rPr>
      </w:pPr>
    </w:p>
    <w:p>
      <w:pPr>
        <w:pStyle w:val="22"/>
        <w:snapToGrid w:val="0"/>
        <w:spacing w:line="340" w:lineRule="atLeast"/>
        <w:rPr>
          <w:rFonts w:hAnsi="宋体" w:cs="宋体"/>
          <w:kern w:val="0"/>
          <w:sz w:val="28"/>
          <w:szCs w:val="28"/>
        </w:rPr>
      </w:pPr>
      <w:r>
        <w:rPr>
          <w:rFonts w:hint="eastAsia" w:hAnsi="宋体" w:cs="宋体"/>
          <w:kern w:val="0"/>
          <w:sz w:val="28"/>
          <w:szCs w:val="28"/>
        </w:rPr>
        <w:t>格式1-1</w:t>
      </w:r>
      <w:r>
        <w:rPr>
          <w:rFonts w:hint="eastAsia" w:hAnsi="宋体" w:cs="宋体"/>
          <w:kern w:val="0"/>
          <w:sz w:val="28"/>
          <w:szCs w:val="28"/>
          <w:lang w:val="en-US" w:eastAsia="zh-CN"/>
        </w:rPr>
        <w:t>2</w:t>
      </w:r>
      <w:r>
        <w:rPr>
          <w:rFonts w:hint="eastAsia" w:hAnsi="宋体" w:cs="宋体"/>
          <w:kern w:val="0"/>
          <w:sz w:val="28"/>
          <w:szCs w:val="28"/>
        </w:rPr>
        <w:t>、《投标供应商拟派项目管理团队汇总表》</w:t>
      </w:r>
      <w:r>
        <w:rPr>
          <w:rFonts w:hAnsi="宋体" w:cs="宋体"/>
          <w:kern w:val="0"/>
          <w:sz w:val="28"/>
          <w:szCs w:val="28"/>
        </w:rPr>
        <w:t xml:space="preserve"> </w:t>
      </w:r>
    </w:p>
    <w:p>
      <w:pPr>
        <w:autoSpaceDE w:val="0"/>
        <w:autoSpaceDN w:val="0"/>
        <w:adjustRightInd w:val="0"/>
        <w:jc w:val="left"/>
        <w:rPr>
          <w:kern w:val="0"/>
          <w:sz w:val="24"/>
        </w:rPr>
      </w:pPr>
    </w:p>
    <w:p>
      <w:pPr>
        <w:autoSpaceDE w:val="0"/>
        <w:autoSpaceDN w:val="0"/>
        <w:adjustRightInd w:val="0"/>
        <w:ind w:firstLine="1446" w:firstLineChars="400"/>
        <w:jc w:val="left"/>
        <w:rPr>
          <w:b/>
          <w:kern w:val="0"/>
          <w:sz w:val="24"/>
        </w:rPr>
      </w:pPr>
      <w:r>
        <w:rPr>
          <w:rFonts w:hint="eastAsia" w:ascii="宋体" w:hAnsi="宋体" w:cs="宋体"/>
          <w:b/>
          <w:kern w:val="0"/>
          <w:sz w:val="36"/>
          <w:szCs w:val="36"/>
        </w:rPr>
        <w:t>投标供应商拟派项目管理团队汇总表</w:t>
      </w:r>
    </w:p>
    <w:p>
      <w:pPr>
        <w:autoSpaceDE w:val="0"/>
        <w:autoSpaceDN w:val="0"/>
        <w:adjustRightInd w:val="0"/>
        <w:jc w:val="left"/>
        <w:rPr>
          <w:kern w:val="0"/>
          <w:sz w:val="24"/>
        </w:rPr>
      </w:pPr>
    </w:p>
    <w:p>
      <w:pPr>
        <w:pStyle w:val="22"/>
        <w:adjustRightInd w:val="0"/>
        <w:snapToGrid w:val="0"/>
        <w:spacing w:line="340" w:lineRule="atLeast"/>
        <w:rPr>
          <w:rFonts w:hAnsi="宋体" w:cs="宋体"/>
          <w:kern w:val="0"/>
          <w:sz w:val="24"/>
          <w:szCs w:val="24"/>
        </w:rPr>
      </w:pPr>
      <w:r>
        <w:rPr>
          <w:rFonts w:hint="eastAsia" w:hAnsi="宋体" w:cs="宋体"/>
          <w:kern w:val="0"/>
          <w:sz w:val="24"/>
          <w:szCs w:val="24"/>
        </w:rPr>
        <w:t>项目名称：</w:t>
      </w:r>
      <w:r>
        <w:rPr>
          <w:rFonts w:hint="eastAsia" w:hAnsi="宋体" w:cs="宋体"/>
          <w:kern w:val="0"/>
          <w:sz w:val="24"/>
          <w:szCs w:val="24"/>
          <w:lang w:eastAsia="zh-CN"/>
        </w:rPr>
        <w:t>苍南县宜山镇道路照明提升工程设计、采购及安装项目</w:t>
      </w:r>
    </w:p>
    <w:p>
      <w:pPr>
        <w:autoSpaceDE w:val="0"/>
        <w:autoSpaceDN w:val="0"/>
        <w:adjustRightInd w:val="0"/>
        <w:jc w:val="left"/>
        <w:rPr>
          <w:rFonts w:hint="eastAsia" w:ascii="宋体" w:hAnsi="宋体" w:eastAsia="宋体" w:cs="宋体"/>
          <w:kern w:val="0"/>
          <w:sz w:val="24"/>
          <w:lang w:eastAsia="zh-CN"/>
        </w:rPr>
      </w:pPr>
      <w:r>
        <w:rPr>
          <w:rFonts w:hint="eastAsia" w:ascii="宋体" w:hAnsi="宋体" w:cs="宋体"/>
          <w:kern w:val="0"/>
          <w:sz w:val="24"/>
        </w:rPr>
        <w:t>项目编号：</w:t>
      </w:r>
      <w:r>
        <w:rPr>
          <w:rFonts w:hint="eastAsia" w:ascii="宋体" w:hAnsi="宋体" w:cs="宋体"/>
          <w:kern w:val="0"/>
          <w:sz w:val="24"/>
          <w:lang w:eastAsia="zh-CN"/>
        </w:rPr>
        <w:t>CNDL2021446</w:t>
      </w:r>
    </w:p>
    <w:p>
      <w:pPr>
        <w:autoSpaceDE w:val="0"/>
        <w:autoSpaceDN w:val="0"/>
        <w:adjustRightInd w:val="0"/>
        <w:jc w:val="left"/>
        <w:rPr>
          <w:rFonts w:ascii="宋体" w:hAnsi="宋体" w:cs="宋体"/>
          <w:kern w:val="0"/>
          <w:sz w:val="24"/>
        </w:rPr>
      </w:pPr>
    </w:p>
    <w:tbl>
      <w:tblPr>
        <w:tblStyle w:val="43"/>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218"/>
        <w:gridCol w:w="739"/>
        <w:gridCol w:w="1870"/>
        <w:gridCol w:w="1276"/>
        <w:gridCol w:w="1432"/>
        <w:gridCol w:w="1225"/>
        <w:gridCol w:w="122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82" w:hRule="atLeast"/>
        </w:trPr>
        <w:tc>
          <w:tcPr>
            <w:tcW w:w="817" w:type="dxa"/>
            <w:vAlign w:val="center"/>
          </w:tcPr>
          <w:p>
            <w:pPr>
              <w:autoSpaceDE w:val="0"/>
              <w:autoSpaceDN w:val="0"/>
              <w:adjustRightInd w:val="0"/>
              <w:jc w:val="center"/>
              <w:rPr>
                <w:kern w:val="0"/>
                <w:sz w:val="24"/>
              </w:rPr>
            </w:pPr>
            <w:r>
              <w:rPr>
                <w:rFonts w:hint="eastAsia"/>
                <w:kern w:val="0"/>
                <w:sz w:val="24"/>
              </w:rPr>
              <w:t>序号</w:t>
            </w:r>
          </w:p>
        </w:tc>
        <w:tc>
          <w:tcPr>
            <w:tcW w:w="1218" w:type="dxa"/>
            <w:vAlign w:val="center"/>
          </w:tcPr>
          <w:p>
            <w:pPr>
              <w:autoSpaceDE w:val="0"/>
              <w:autoSpaceDN w:val="0"/>
              <w:adjustRightInd w:val="0"/>
              <w:jc w:val="center"/>
              <w:rPr>
                <w:kern w:val="0"/>
                <w:sz w:val="24"/>
              </w:rPr>
            </w:pPr>
            <w:r>
              <w:rPr>
                <w:rFonts w:hint="eastAsia"/>
                <w:kern w:val="0"/>
                <w:sz w:val="24"/>
              </w:rPr>
              <w:t>姓名</w:t>
            </w:r>
          </w:p>
        </w:tc>
        <w:tc>
          <w:tcPr>
            <w:tcW w:w="739" w:type="dxa"/>
            <w:vAlign w:val="center"/>
          </w:tcPr>
          <w:p>
            <w:pPr>
              <w:autoSpaceDE w:val="0"/>
              <w:autoSpaceDN w:val="0"/>
              <w:adjustRightInd w:val="0"/>
              <w:jc w:val="center"/>
              <w:rPr>
                <w:kern w:val="0"/>
                <w:sz w:val="24"/>
              </w:rPr>
            </w:pPr>
            <w:r>
              <w:rPr>
                <w:rFonts w:hint="eastAsia"/>
                <w:kern w:val="0"/>
                <w:sz w:val="24"/>
              </w:rPr>
              <w:t>性别</w:t>
            </w:r>
          </w:p>
        </w:tc>
        <w:tc>
          <w:tcPr>
            <w:tcW w:w="1870" w:type="dxa"/>
            <w:vAlign w:val="center"/>
          </w:tcPr>
          <w:p>
            <w:pPr>
              <w:autoSpaceDE w:val="0"/>
              <w:autoSpaceDN w:val="0"/>
              <w:adjustRightInd w:val="0"/>
              <w:jc w:val="center"/>
              <w:rPr>
                <w:kern w:val="0"/>
                <w:sz w:val="24"/>
              </w:rPr>
            </w:pPr>
            <w:r>
              <w:rPr>
                <w:rFonts w:hint="eastAsia"/>
                <w:kern w:val="0"/>
                <w:sz w:val="24"/>
              </w:rPr>
              <w:t>身份证号</w:t>
            </w:r>
          </w:p>
        </w:tc>
        <w:tc>
          <w:tcPr>
            <w:tcW w:w="1276" w:type="dxa"/>
            <w:vAlign w:val="center"/>
          </w:tcPr>
          <w:p>
            <w:pPr>
              <w:autoSpaceDE w:val="0"/>
              <w:autoSpaceDN w:val="0"/>
              <w:adjustRightInd w:val="0"/>
              <w:jc w:val="center"/>
              <w:rPr>
                <w:kern w:val="0"/>
                <w:sz w:val="24"/>
              </w:rPr>
            </w:pPr>
            <w:r>
              <w:rPr>
                <w:rFonts w:hint="eastAsia"/>
                <w:kern w:val="0"/>
                <w:sz w:val="24"/>
              </w:rPr>
              <w:t>出生年月</w:t>
            </w:r>
          </w:p>
        </w:tc>
        <w:tc>
          <w:tcPr>
            <w:tcW w:w="1432" w:type="dxa"/>
            <w:vAlign w:val="center"/>
          </w:tcPr>
          <w:p>
            <w:pPr>
              <w:autoSpaceDE w:val="0"/>
              <w:autoSpaceDN w:val="0"/>
              <w:adjustRightInd w:val="0"/>
              <w:jc w:val="center"/>
              <w:rPr>
                <w:kern w:val="0"/>
                <w:sz w:val="24"/>
              </w:rPr>
            </w:pPr>
            <w:r>
              <w:rPr>
                <w:rFonts w:hint="eastAsia"/>
                <w:kern w:val="0"/>
                <w:sz w:val="24"/>
              </w:rPr>
              <w:t>本单位社保缴纳起始时间</w:t>
            </w:r>
          </w:p>
        </w:tc>
        <w:tc>
          <w:tcPr>
            <w:tcW w:w="1225" w:type="dxa"/>
            <w:vAlign w:val="center"/>
          </w:tcPr>
          <w:p>
            <w:pPr>
              <w:autoSpaceDE w:val="0"/>
              <w:autoSpaceDN w:val="0"/>
              <w:adjustRightInd w:val="0"/>
              <w:jc w:val="center"/>
              <w:rPr>
                <w:kern w:val="0"/>
                <w:sz w:val="24"/>
              </w:rPr>
            </w:pPr>
            <w:r>
              <w:rPr>
                <w:rFonts w:hint="eastAsia"/>
                <w:kern w:val="0"/>
                <w:sz w:val="24"/>
              </w:rPr>
              <w:t>拟任岗位</w:t>
            </w:r>
          </w:p>
        </w:tc>
        <w:tc>
          <w:tcPr>
            <w:tcW w:w="1225" w:type="dxa"/>
            <w:vAlign w:val="center"/>
          </w:tcPr>
          <w:p>
            <w:pPr>
              <w:autoSpaceDE w:val="0"/>
              <w:autoSpaceDN w:val="0"/>
              <w:adjustRightInd w:val="0"/>
              <w:jc w:val="center"/>
              <w:rPr>
                <w:kern w:val="0"/>
                <w:sz w:val="24"/>
              </w:rPr>
            </w:pPr>
            <w:r>
              <w:rPr>
                <w:rFonts w:hint="eastAsia"/>
                <w:kern w:val="0"/>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817" w:type="dxa"/>
            <w:vAlign w:val="center"/>
          </w:tcPr>
          <w:p>
            <w:pPr>
              <w:autoSpaceDE w:val="0"/>
              <w:autoSpaceDN w:val="0"/>
              <w:adjustRightInd w:val="0"/>
              <w:jc w:val="center"/>
              <w:rPr>
                <w:kern w:val="0"/>
                <w:sz w:val="24"/>
              </w:rPr>
            </w:pPr>
          </w:p>
        </w:tc>
        <w:tc>
          <w:tcPr>
            <w:tcW w:w="1218" w:type="dxa"/>
            <w:vAlign w:val="center"/>
          </w:tcPr>
          <w:p>
            <w:pPr>
              <w:autoSpaceDE w:val="0"/>
              <w:autoSpaceDN w:val="0"/>
              <w:adjustRightInd w:val="0"/>
              <w:jc w:val="center"/>
              <w:rPr>
                <w:kern w:val="0"/>
                <w:sz w:val="24"/>
              </w:rPr>
            </w:pPr>
          </w:p>
        </w:tc>
        <w:tc>
          <w:tcPr>
            <w:tcW w:w="739" w:type="dxa"/>
            <w:vAlign w:val="center"/>
          </w:tcPr>
          <w:p>
            <w:pPr>
              <w:autoSpaceDE w:val="0"/>
              <w:autoSpaceDN w:val="0"/>
              <w:adjustRightInd w:val="0"/>
              <w:jc w:val="center"/>
              <w:rPr>
                <w:kern w:val="0"/>
                <w:sz w:val="24"/>
              </w:rPr>
            </w:pPr>
          </w:p>
        </w:tc>
        <w:tc>
          <w:tcPr>
            <w:tcW w:w="1870"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1432" w:type="dxa"/>
            <w:vAlign w:val="center"/>
          </w:tcPr>
          <w:p>
            <w:pPr>
              <w:autoSpaceDE w:val="0"/>
              <w:autoSpaceDN w:val="0"/>
              <w:adjustRightInd w:val="0"/>
              <w:jc w:val="center"/>
              <w:rPr>
                <w:kern w:val="0"/>
                <w:sz w:val="24"/>
              </w:rPr>
            </w:pPr>
          </w:p>
        </w:tc>
        <w:tc>
          <w:tcPr>
            <w:tcW w:w="1225" w:type="dxa"/>
            <w:vAlign w:val="center"/>
          </w:tcPr>
          <w:p>
            <w:pPr>
              <w:autoSpaceDE w:val="0"/>
              <w:autoSpaceDN w:val="0"/>
              <w:adjustRightInd w:val="0"/>
              <w:jc w:val="center"/>
              <w:rPr>
                <w:kern w:val="0"/>
                <w:sz w:val="24"/>
              </w:rPr>
            </w:pPr>
          </w:p>
        </w:tc>
        <w:tc>
          <w:tcPr>
            <w:tcW w:w="1225"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817" w:type="dxa"/>
            <w:vAlign w:val="center"/>
          </w:tcPr>
          <w:p>
            <w:pPr>
              <w:autoSpaceDE w:val="0"/>
              <w:autoSpaceDN w:val="0"/>
              <w:adjustRightInd w:val="0"/>
              <w:jc w:val="center"/>
              <w:rPr>
                <w:kern w:val="0"/>
                <w:sz w:val="24"/>
              </w:rPr>
            </w:pPr>
          </w:p>
        </w:tc>
        <w:tc>
          <w:tcPr>
            <w:tcW w:w="1218" w:type="dxa"/>
            <w:vAlign w:val="center"/>
          </w:tcPr>
          <w:p>
            <w:pPr>
              <w:autoSpaceDE w:val="0"/>
              <w:autoSpaceDN w:val="0"/>
              <w:adjustRightInd w:val="0"/>
              <w:jc w:val="center"/>
              <w:rPr>
                <w:kern w:val="0"/>
                <w:sz w:val="24"/>
              </w:rPr>
            </w:pPr>
          </w:p>
        </w:tc>
        <w:tc>
          <w:tcPr>
            <w:tcW w:w="739" w:type="dxa"/>
            <w:vAlign w:val="center"/>
          </w:tcPr>
          <w:p>
            <w:pPr>
              <w:autoSpaceDE w:val="0"/>
              <w:autoSpaceDN w:val="0"/>
              <w:adjustRightInd w:val="0"/>
              <w:jc w:val="center"/>
              <w:rPr>
                <w:kern w:val="0"/>
                <w:sz w:val="24"/>
              </w:rPr>
            </w:pPr>
          </w:p>
        </w:tc>
        <w:tc>
          <w:tcPr>
            <w:tcW w:w="1870"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1432" w:type="dxa"/>
            <w:vAlign w:val="center"/>
          </w:tcPr>
          <w:p>
            <w:pPr>
              <w:autoSpaceDE w:val="0"/>
              <w:autoSpaceDN w:val="0"/>
              <w:adjustRightInd w:val="0"/>
              <w:jc w:val="center"/>
              <w:rPr>
                <w:kern w:val="0"/>
                <w:sz w:val="24"/>
              </w:rPr>
            </w:pPr>
          </w:p>
        </w:tc>
        <w:tc>
          <w:tcPr>
            <w:tcW w:w="1225" w:type="dxa"/>
            <w:vAlign w:val="center"/>
          </w:tcPr>
          <w:p>
            <w:pPr>
              <w:autoSpaceDE w:val="0"/>
              <w:autoSpaceDN w:val="0"/>
              <w:adjustRightInd w:val="0"/>
              <w:jc w:val="center"/>
              <w:rPr>
                <w:kern w:val="0"/>
                <w:sz w:val="24"/>
              </w:rPr>
            </w:pPr>
          </w:p>
        </w:tc>
        <w:tc>
          <w:tcPr>
            <w:tcW w:w="1225"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817" w:type="dxa"/>
            <w:vAlign w:val="center"/>
          </w:tcPr>
          <w:p>
            <w:pPr>
              <w:autoSpaceDE w:val="0"/>
              <w:autoSpaceDN w:val="0"/>
              <w:adjustRightInd w:val="0"/>
              <w:jc w:val="center"/>
              <w:rPr>
                <w:kern w:val="0"/>
                <w:sz w:val="24"/>
              </w:rPr>
            </w:pPr>
          </w:p>
        </w:tc>
        <w:tc>
          <w:tcPr>
            <w:tcW w:w="1218" w:type="dxa"/>
            <w:vAlign w:val="center"/>
          </w:tcPr>
          <w:p>
            <w:pPr>
              <w:autoSpaceDE w:val="0"/>
              <w:autoSpaceDN w:val="0"/>
              <w:adjustRightInd w:val="0"/>
              <w:jc w:val="center"/>
              <w:rPr>
                <w:kern w:val="0"/>
                <w:sz w:val="24"/>
              </w:rPr>
            </w:pPr>
          </w:p>
        </w:tc>
        <w:tc>
          <w:tcPr>
            <w:tcW w:w="739" w:type="dxa"/>
            <w:vAlign w:val="center"/>
          </w:tcPr>
          <w:p>
            <w:pPr>
              <w:autoSpaceDE w:val="0"/>
              <w:autoSpaceDN w:val="0"/>
              <w:adjustRightInd w:val="0"/>
              <w:jc w:val="center"/>
              <w:rPr>
                <w:kern w:val="0"/>
                <w:sz w:val="24"/>
              </w:rPr>
            </w:pPr>
          </w:p>
        </w:tc>
        <w:tc>
          <w:tcPr>
            <w:tcW w:w="1870"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1432" w:type="dxa"/>
            <w:vAlign w:val="center"/>
          </w:tcPr>
          <w:p>
            <w:pPr>
              <w:autoSpaceDE w:val="0"/>
              <w:autoSpaceDN w:val="0"/>
              <w:adjustRightInd w:val="0"/>
              <w:jc w:val="center"/>
              <w:rPr>
                <w:kern w:val="0"/>
                <w:sz w:val="24"/>
              </w:rPr>
            </w:pPr>
          </w:p>
        </w:tc>
        <w:tc>
          <w:tcPr>
            <w:tcW w:w="1225" w:type="dxa"/>
            <w:vAlign w:val="center"/>
          </w:tcPr>
          <w:p>
            <w:pPr>
              <w:autoSpaceDE w:val="0"/>
              <w:autoSpaceDN w:val="0"/>
              <w:adjustRightInd w:val="0"/>
              <w:jc w:val="center"/>
              <w:rPr>
                <w:kern w:val="0"/>
                <w:sz w:val="24"/>
              </w:rPr>
            </w:pPr>
          </w:p>
        </w:tc>
        <w:tc>
          <w:tcPr>
            <w:tcW w:w="1225"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817" w:type="dxa"/>
            <w:vAlign w:val="center"/>
          </w:tcPr>
          <w:p>
            <w:pPr>
              <w:autoSpaceDE w:val="0"/>
              <w:autoSpaceDN w:val="0"/>
              <w:adjustRightInd w:val="0"/>
              <w:jc w:val="center"/>
              <w:rPr>
                <w:kern w:val="0"/>
                <w:sz w:val="24"/>
              </w:rPr>
            </w:pPr>
          </w:p>
        </w:tc>
        <w:tc>
          <w:tcPr>
            <w:tcW w:w="1218" w:type="dxa"/>
            <w:vAlign w:val="center"/>
          </w:tcPr>
          <w:p>
            <w:pPr>
              <w:autoSpaceDE w:val="0"/>
              <w:autoSpaceDN w:val="0"/>
              <w:adjustRightInd w:val="0"/>
              <w:jc w:val="center"/>
              <w:rPr>
                <w:kern w:val="0"/>
                <w:sz w:val="24"/>
              </w:rPr>
            </w:pPr>
          </w:p>
        </w:tc>
        <w:tc>
          <w:tcPr>
            <w:tcW w:w="739" w:type="dxa"/>
            <w:vAlign w:val="center"/>
          </w:tcPr>
          <w:p>
            <w:pPr>
              <w:autoSpaceDE w:val="0"/>
              <w:autoSpaceDN w:val="0"/>
              <w:adjustRightInd w:val="0"/>
              <w:jc w:val="center"/>
              <w:rPr>
                <w:kern w:val="0"/>
                <w:sz w:val="24"/>
              </w:rPr>
            </w:pPr>
          </w:p>
        </w:tc>
        <w:tc>
          <w:tcPr>
            <w:tcW w:w="1870"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1432" w:type="dxa"/>
            <w:vAlign w:val="center"/>
          </w:tcPr>
          <w:p>
            <w:pPr>
              <w:autoSpaceDE w:val="0"/>
              <w:autoSpaceDN w:val="0"/>
              <w:adjustRightInd w:val="0"/>
              <w:jc w:val="center"/>
              <w:rPr>
                <w:kern w:val="0"/>
                <w:sz w:val="24"/>
              </w:rPr>
            </w:pPr>
          </w:p>
        </w:tc>
        <w:tc>
          <w:tcPr>
            <w:tcW w:w="1225" w:type="dxa"/>
            <w:vAlign w:val="center"/>
          </w:tcPr>
          <w:p>
            <w:pPr>
              <w:autoSpaceDE w:val="0"/>
              <w:autoSpaceDN w:val="0"/>
              <w:adjustRightInd w:val="0"/>
              <w:jc w:val="center"/>
              <w:rPr>
                <w:kern w:val="0"/>
                <w:sz w:val="24"/>
              </w:rPr>
            </w:pPr>
          </w:p>
        </w:tc>
        <w:tc>
          <w:tcPr>
            <w:tcW w:w="1225"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817" w:type="dxa"/>
            <w:vAlign w:val="center"/>
          </w:tcPr>
          <w:p>
            <w:pPr>
              <w:autoSpaceDE w:val="0"/>
              <w:autoSpaceDN w:val="0"/>
              <w:adjustRightInd w:val="0"/>
              <w:jc w:val="center"/>
              <w:rPr>
                <w:kern w:val="0"/>
                <w:sz w:val="24"/>
              </w:rPr>
            </w:pPr>
          </w:p>
        </w:tc>
        <w:tc>
          <w:tcPr>
            <w:tcW w:w="1218" w:type="dxa"/>
            <w:vAlign w:val="center"/>
          </w:tcPr>
          <w:p>
            <w:pPr>
              <w:autoSpaceDE w:val="0"/>
              <w:autoSpaceDN w:val="0"/>
              <w:adjustRightInd w:val="0"/>
              <w:jc w:val="center"/>
              <w:rPr>
                <w:kern w:val="0"/>
                <w:sz w:val="24"/>
              </w:rPr>
            </w:pPr>
          </w:p>
        </w:tc>
        <w:tc>
          <w:tcPr>
            <w:tcW w:w="739" w:type="dxa"/>
            <w:vAlign w:val="center"/>
          </w:tcPr>
          <w:p>
            <w:pPr>
              <w:autoSpaceDE w:val="0"/>
              <w:autoSpaceDN w:val="0"/>
              <w:adjustRightInd w:val="0"/>
              <w:jc w:val="center"/>
              <w:rPr>
                <w:kern w:val="0"/>
                <w:sz w:val="24"/>
              </w:rPr>
            </w:pPr>
          </w:p>
        </w:tc>
        <w:tc>
          <w:tcPr>
            <w:tcW w:w="1870"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1432" w:type="dxa"/>
            <w:vAlign w:val="center"/>
          </w:tcPr>
          <w:p>
            <w:pPr>
              <w:autoSpaceDE w:val="0"/>
              <w:autoSpaceDN w:val="0"/>
              <w:adjustRightInd w:val="0"/>
              <w:jc w:val="center"/>
              <w:rPr>
                <w:kern w:val="0"/>
                <w:sz w:val="24"/>
              </w:rPr>
            </w:pPr>
          </w:p>
        </w:tc>
        <w:tc>
          <w:tcPr>
            <w:tcW w:w="1225" w:type="dxa"/>
            <w:vAlign w:val="center"/>
          </w:tcPr>
          <w:p>
            <w:pPr>
              <w:autoSpaceDE w:val="0"/>
              <w:autoSpaceDN w:val="0"/>
              <w:adjustRightInd w:val="0"/>
              <w:jc w:val="center"/>
              <w:rPr>
                <w:kern w:val="0"/>
                <w:sz w:val="24"/>
              </w:rPr>
            </w:pPr>
          </w:p>
        </w:tc>
        <w:tc>
          <w:tcPr>
            <w:tcW w:w="1225"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817" w:type="dxa"/>
            <w:vAlign w:val="center"/>
          </w:tcPr>
          <w:p>
            <w:pPr>
              <w:autoSpaceDE w:val="0"/>
              <w:autoSpaceDN w:val="0"/>
              <w:adjustRightInd w:val="0"/>
              <w:jc w:val="center"/>
              <w:rPr>
                <w:kern w:val="0"/>
                <w:sz w:val="24"/>
              </w:rPr>
            </w:pPr>
          </w:p>
        </w:tc>
        <w:tc>
          <w:tcPr>
            <w:tcW w:w="1218" w:type="dxa"/>
            <w:vAlign w:val="center"/>
          </w:tcPr>
          <w:p>
            <w:pPr>
              <w:autoSpaceDE w:val="0"/>
              <w:autoSpaceDN w:val="0"/>
              <w:adjustRightInd w:val="0"/>
              <w:jc w:val="center"/>
              <w:rPr>
                <w:kern w:val="0"/>
                <w:sz w:val="24"/>
              </w:rPr>
            </w:pPr>
          </w:p>
        </w:tc>
        <w:tc>
          <w:tcPr>
            <w:tcW w:w="739" w:type="dxa"/>
            <w:vAlign w:val="center"/>
          </w:tcPr>
          <w:p>
            <w:pPr>
              <w:autoSpaceDE w:val="0"/>
              <w:autoSpaceDN w:val="0"/>
              <w:adjustRightInd w:val="0"/>
              <w:jc w:val="center"/>
              <w:rPr>
                <w:kern w:val="0"/>
                <w:sz w:val="24"/>
              </w:rPr>
            </w:pPr>
          </w:p>
        </w:tc>
        <w:tc>
          <w:tcPr>
            <w:tcW w:w="1870"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1432" w:type="dxa"/>
            <w:vAlign w:val="center"/>
          </w:tcPr>
          <w:p>
            <w:pPr>
              <w:autoSpaceDE w:val="0"/>
              <w:autoSpaceDN w:val="0"/>
              <w:adjustRightInd w:val="0"/>
              <w:jc w:val="center"/>
              <w:rPr>
                <w:kern w:val="0"/>
                <w:sz w:val="24"/>
              </w:rPr>
            </w:pPr>
          </w:p>
        </w:tc>
        <w:tc>
          <w:tcPr>
            <w:tcW w:w="1225" w:type="dxa"/>
            <w:vAlign w:val="center"/>
          </w:tcPr>
          <w:p>
            <w:pPr>
              <w:autoSpaceDE w:val="0"/>
              <w:autoSpaceDN w:val="0"/>
              <w:adjustRightInd w:val="0"/>
              <w:jc w:val="center"/>
              <w:rPr>
                <w:kern w:val="0"/>
                <w:sz w:val="24"/>
              </w:rPr>
            </w:pPr>
          </w:p>
        </w:tc>
        <w:tc>
          <w:tcPr>
            <w:tcW w:w="1225" w:type="dxa"/>
            <w:vAlign w:val="center"/>
          </w:tcPr>
          <w:p>
            <w:pPr>
              <w:autoSpaceDE w:val="0"/>
              <w:autoSpaceDN w:val="0"/>
              <w:adjustRightInd w:val="0"/>
              <w:jc w:val="center"/>
              <w:rPr>
                <w:kern w:val="0"/>
                <w:sz w:val="24"/>
              </w:rPr>
            </w:pPr>
          </w:p>
        </w:tc>
      </w:tr>
    </w:tbl>
    <w:p>
      <w:pPr>
        <w:autoSpaceDE w:val="0"/>
        <w:autoSpaceDN w:val="0"/>
        <w:adjustRightInd w:val="0"/>
        <w:jc w:val="left"/>
        <w:rPr>
          <w:kern w:val="0"/>
          <w:sz w:val="24"/>
        </w:rPr>
      </w:pPr>
    </w:p>
    <w:p>
      <w:pPr>
        <w:autoSpaceDE w:val="0"/>
        <w:autoSpaceDN w:val="0"/>
        <w:adjustRightInd w:val="0"/>
        <w:spacing w:line="460" w:lineRule="exact"/>
        <w:jc w:val="left"/>
        <w:rPr>
          <w:b/>
          <w:kern w:val="0"/>
          <w:sz w:val="24"/>
        </w:rPr>
      </w:pPr>
      <w:r>
        <w:rPr>
          <w:rFonts w:hint="eastAsia" w:ascii="宋体" w:hAnsi="宋体" w:cs="宋体"/>
          <w:b/>
          <w:kern w:val="0"/>
          <w:sz w:val="24"/>
        </w:rPr>
        <w:t>备注：</w:t>
      </w:r>
      <w:r>
        <w:rPr>
          <w:rFonts w:ascii="宋体" w:hAnsi="宋体" w:cs="宋体"/>
          <w:b/>
          <w:kern w:val="0"/>
          <w:sz w:val="24"/>
        </w:rPr>
        <w:t xml:space="preserve"> </w:t>
      </w:r>
    </w:p>
    <w:p>
      <w:pPr>
        <w:autoSpaceDE w:val="0"/>
        <w:autoSpaceDN w:val="0"/>
        <w:adjustRightInd w:val="0"/>
        <w:spacing w:line="460" w:lineRule="exact"/>
        <w:ind w:firstLine="241" w:firstLineChars="100"/>
        <w:jc w:val="left"/>
        <w:rPr>
          <w:b/>
          <w:kern w:val="0"/>
          <w:sz w:val="24"/>
        </w:rPr>
      </w:pPr>
      <w:r>
        <w:rPr>
          <w:rFonts w:hint="eastAsia" w:ascii="宋体" w:hAnsi="宋体" w:cs="宋体"/>
          <w:b/>
          <w:kern w:val="0"/>
          <w:sz w:val="24"/>
        </w:rPr>
        <w:t>（</w:t>
      </w:r>
      <w:r>
        <w:rPr>
          <w:rFonts w:ascii="宋体" w:hAnsi="宋体" w:cs="宋体"/>
          <w:b/>
          <w:kern w:val="0"/>
          <w:sz w:val="24"/>
        </w:rPr>
        <w:t>1</w:t>
      </w:r>
      <w:r>
        <w:rPr>
          <w:rFonts w:hint="eastAsia" w:ascii="宋体" w:hAnsi="宋体" w:cs="宋体"/>
          <w:b/>
          <w:kern w:val="0"/>
          <w:sz w:val="24"/>
        </w:rPr>
        <w:t>）所有拟派管理人员社保缴纳证明及其他证明材料附后；</w:t>
      </w:r>
      <w:r>
        <w:rPr>
          <w:rFonts w:ascii="宋体" w:hAnsi="宋体" w:cs="宋体"/>
          <w:b/>
          <w:kern w:val="0"/>
          <w:sz w:val="24"/>
        </w:rPr>
        <w:t xml:space="preserve"> </w:t>
      </w:r>
    </w:p>
    <w:p>
      <w:pPr>
        <w:autoSpaceDE w:val="0"/>
        <w:autoSpaceDN w:val="0"/>
        <w:adjustRightInd w:val="0"/>
        <w:jc w:val="left"/>
        <w:rPr>
          <w:kern w:val="0"/>
          <w:sz w:val="24"/>
        </w:rPr>
      </w:pPr>
    </w:p>
    <w:p>
      <w:pPr>
        <w:pStyle w:val="22"/>
        <w:adjustRightInd w:val="0"/>
        <w:snapToGrid w:val="0"/>
        <w:spacing w:line="460" w:lineRule="exact"/>
        <w:rPr>
          <w:rFonts w:hAnsi="宋体" w:cs="宋体"/>
          <w:kern w:val="0"/>
          <w:sz w:val="28"/>
          <w:szCs w:val="28"/>
        </w:rPr>
      </w:pPr>
    </w:p>
    <w:p>
      <w:pPr>
        <w:pStyle w:val="22"/>
        <w:adjustRightInd w:val="0"/>
        <w:snapToGrid w:val="0"/>
        <w:spacing w:line="460" w:lineRule="exact"/>
        <w:rPr>
          <w:rFonts w:hAnsi="宋体" w:cs="宋体"/>
          <w:kern w:val="0"/>
          <w:sz w:val="28"/>
          <w:szCs w:val="28"/>
        </w:rPr>
      </w:pPr>
      <w:r>
        <w:rPr>
          <w:rFonts w:hint="eastAsia" w:hAnsi="宋体" w:cs="宋体"/>
          <w:kern w:val="0"/>
          <w:sz w:val="28"/>
          <w:szCs w:val="28"/>
        </w:rPr>
        <w:t>投标供应商名称（盖章）：</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u w:val="single"/>
        </w:rPr>
      </w:pPr>
      <w:r>
        <w:rPr>
          <w:rFonts w:hint="eastAsia" w:hAnsi="宋体" w:cs="宋体"/>
          <w:kern w:val="0"/>
          <w:sz w:val="28"/>
          <w:szCs w:val="28"/>
        </w:rPr>
        <w:t>法定代表人或其授权代表（签字或盖章）：</w:t>
      </w:r>
      <w:r>
        <w:rPr>
          <w:rFonts w:hint="eastAsia" w:hAnsi="宋体" w:cs="宋体"/>
          <w:kern w:val="0"/>
          <w:sz w:val="28"/>
          <w:szCs w:val="28"/>
          <w:u w:val="single"/>
        </w:rPr>
        <w:t xml:space="preserve">              </w:t>
      </w:r>
    </w:p>
    <w:p>
      <w:pPr>
        <w:pStyle w:val="22"/>
        <w:adjustRightInd w:val="0"/>
        <w:snapToGrid w:val="0"/>
        <w:spacing w:line="460" w:lineRule="exact"/>
        <w:rPr>
          <w:rFonts w:hAnsi="宋体" w:cs="宋体"/>
          <w:kern w:val="0"/>
          <w:sz w:val="28"/>
          <w:szCs w:val="28"/>
        </w:rPr>
      </w:pPr>
      <w:r>
        <w:rPr>
          <w:rFonts w:hint="eastAsia" w:hAnsi="宋体" w:cs="宋体"/>
          <w:kern w:val="0"/>
          <w:sz w:val="28"/>
          <w:szCs w:val="28"/>
        </w:rPr>
        <w:t xml:space="preserve">日期： </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snapToGrid w:val="0"/>
        <w:spacing w:line="340" w:lineRule="atLeast"/>
        <w:rPr>
          <w:rFonts w:hAnsi="宋体" w:cs="宋体"/>
          <w:kern w:val="0"/>
          <w:sz w:val="28"/>
          <w:szCs w:val="28"/>
        </w:rPr>
      </w:pPr>
    </w:p>
    <w:p>
      <w:pPr>
        <w:pStyle w:val="22"/>
        <w:snapToGrid w:val="0"/>
        <w:spacing w:line="340" w:lineRule="atLeast"/>
        <w:rPr>
          <w:rFonts w:hAnsi="宋体" w:cs="宋体"/>
          <w:kern w:val="0"/>
          <w:sz w:val="28"/>
          <w:szCs w:val="28"/>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pStyle w:val="22"/>
        <w:snapToGrid w:val="0"/>
        <w:spacing w:line="340" w:lineRule="atLeast"/>
        <w:rPr>
          <w:rFonts w:hAnsi="宋体" w:cs="宋体"/>
          <w:kern w:val="0"/>
          <w:sz w:val="28"/>
          <w:szCs w:val="28"/>
        </w:rPr>
      </w:pPr>
    </w:p>
    <w:p>
      <w:pPr>
        <w:pStyle w:val="22"/>
        <w:snapToGrid w:val="0"/>
        <w:spacing w:line="340" w:lineRule="atLeast"/>
        <w:rPr>
          <w:rFonts w:hAnsi="宋体" w:cs="宋体"/>
          <w:kern w:val="0"/>
          <w:sz w:val="28"/>
          <w:szCs w:val="28"/>
        </w:rPr>
      </w:pPr>
      <w:r>
        <w:rPr>
          <w:rFonts w:hint="eastAsia" w:hAnsi="宋体" w:cs="宋体"/>
          <w:kern w:val="0"/>
          <w:sz w:val="28"/>
          <w:szCs w:val="28"/>
        </w:rPr>
        <w:t>格式1-1</w:t>
      </w:r>
      <w:r>
        <w:rPr>
          <w:rFonts w:hint="eastAsia" w:hAnsi="宋体" w:cs="宋体"/>
          <w:kern w:val="0"/>
          <w:sz w:val="28"/>
          <w:szCs w:val="28"/>
          <w:lang w:val="en-US" w:eastAsia="zh-CN"/>
        </w:rPr>
        <w:t>3</w:t>
      </w:r>
      <w:r>
        <w:rPr>
          <w:rFonts w:hint="eastAsia" w:hAnsi="宋体" w:cs="宋体"/>
          <w:kern w:val="0"/>
          <w:sz w:val="28"/>
          <w:szCs w:val="28"/>
        </w:rPr>
        <w:t>、《投标供应商类似项目业绩表》</w:t>
      </w:r>
      <w:r>
        <w:rPr>
          <w:rFonts w:hAnsi="宋体" w:cs="宋体"/>
          <w:kern w:val="0"/>
          <w:sz w:val="28"/>
          <w:szCs w:val="28"/>
        </w:rPr>
        <w:t xml:space="preserve"> </w:t>
      </w:r>
    </w:p>
    <w:p>
      <w:pPr>
        <w:autoSpaceDE w:val="0"/>
        <w:autoSpaceDN w:val="0"/>
        <w:adjustRightInd w:val="0"/>
        <w:jc w:val="left"/>
        <w:rPr>
          <w:kern w:val="0"/>
          <w:sz w:val="24"/>
        </w:rPr>
      </w:pPr>
    </w:p>
    <w:p>
      <w:pPr>
        <w:autoSpaceDE w:val="0"/>
        <w:autoSpaceDN w:val="0"/>
        <w:adjustRightInd w:val="0"/>
        <w:jc w:val="center"/>
        <w:rPr>
          <w:b/>
          <w:kern w:val="0"/>
          <w:sz w:val="24"/>
        </w:rPr>
      </w:pPr>
      <w:r>
        <w:rPr>
          <w:rFonts w:hint="eastAsia" w:ascii="宋体" w:hAnsi="宋体" w:cs="宋体"/>
          <w:b/>
          <w:kern w:val="0"/>
          <w:sz w:val="36"/>
          <w:szCs w:val="36"/>
        </w:rPr>
        <w:t>投标供应商类似项目业绩表</w:t>
      </w:r>
    </w:p>
    <w:p>
      <w:pPr>
        <w:autoSpaceDE w:val="0"/>
        <w:autoSpaceDN w:val="0"/>
        <w:adjustRightInd w:val="0"/>
        <w:jc w:val="left"/>
        <w:rPr>
          <w:kern w:val="0"/>
          <w:sz w:val="24"/>
        </w:rPr>
      </w:pPr>
    </w:p>
    <w:p>
      <w:pPr>
        <w:pStyle w:val="22"/>
        <w:adjustRightInd w:val="0"/>
        <w:snapToGrid w:val="0"/>
        <w:spacing w:line="340" w:lineRule="atLeast"/>
        <w:rPr>
          <w:rFonts w:hAnsi="宋体" w:cs="宋体"/>
          <w:kern w:val="0"/>
          <w:sz w:val="24"/>
          <w:szCs w:val="24"/>
        </w:rPr>
      </w:pPr>
      <w:r>
        <w:rPr>
          <w:rFonts w:hint="eastAsia" w:hAnsi="宋体" w:cs="宋体"/>
          <w:kern w:val="0"/>
          <w:sz w:val="24"/>
          <w:szCs w:val="24"/>
        </w:rPr>
        <w:t>项目名称：</w:t>
      </w:r>
      <w:r>
        <w:rPr>
          <w:rFonts w:hint="eastAsia" w:hAnsi="宋体" w:cs="宋体"/>
          <w:kern w:val="0"/>
          <w:sz w:val="24"/>
          <w:szCs w:val="24"/>
          <w:lang w:eastAsia="zh-CN"/>
        </w:rPr>
        <w:t>苍南县宜山镇道路照明提升工程设计、采购及安装项目</w:t>
      </w:r>
    </w:p>
    <w:p>
      <w:pPr>
        <w:autoSpaceDE w:val="0"/>
        <w:autoSpaceDN w:val="0"/>
        <w:adjustRightInd w:val="0"/>
        <w:jc w:val="left"/>
        <w:rPr>
          <w:rFonts w:hint="eastAsia" w:ascii="宋体" w:hAnsi="宋体" w:eastAsia="宋体" w:cs="宋体"/>
          <w:kern w:val="0"/>
          <w:sz w:val="24"/>
          <w:lang w:eastAsia="zh-CN"/>
        </w:rPr>
      </w:pPr>
      <w:r>
        <w:rPr>
          <w:rFonts w:hint="eastAsia" w:ascii="宋体" w:hAnsi="宋体" w:cs="宋体"/>
          <w:kern w:val="0"/>
          <w:sz w:val="24"/>
        </w:rPr>
        <w:t>项目编号：</w:t>
      </w:r>
      <w:r>
        <w:rPr>
          <w:rFonts w:hint="eastAsia" w:ascii="宋体" w:hAnsi="宋体" w:cs="宋体"/>
          <w:kern w:val="0"/>
          <w:sz w:val="24"/>
          <w:lang w:eastAsia="zh-CN"/>
        </w:rPr>
        <w:t>CNDL2021446</w:t>
      </w:r>
    </w:p>
    <w:p>
      <w:pPr>
        <w:autoSpaceDE w:val="0"/>
        <w:autoSpaceDN w:val="0"/>
        <w:adjustRightInd w:val="0"/>
        <w:jc w:val="left"/>
        <w:rPr>
          <w:rFonts w:ascii="宋体" w:hAnsi="宋体" w:cs="宋体"/>
          <w:kern w:val="0"/>
          <w:sz w:val="24"/>
        </w:rPr>
      </w:pPr>
    </w:p>
    <w:tbl>
      <w:tblPr>
        <w:tblStyle w:val="43"/>
        <w:tblW w:w="963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276"/>
        <w:gridCol w:w="1276"/>
        <w:gridCol w:w="2551"/>
        <w:gridCol w:w="993"/>
        <w:gridCol w:w="1275"/>
        <w:gridCol w:w="159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87" w:hRule="atLeast"/>
        </w:trPr>
        <w:tc>
          <w:tcPr>
            <w:tcW w:w="675" w:type="dxa"/>
            <w:vAlign w:val="center"/>
          </w:tcPr>
          <w:p>
            <w:pPr>
              <w:autoSpaceDE w:val="0"/>
              <w:autoSpaceDN w:val="0"/>
              <w:adjustRightInd w:val="0"/>
              <w:jc w:val="center"/>
              <w:rPr>
                <w:kern w:val="0"/>
                <w:sz w:val="24"/>
              </w:rPr>
            </w:pPr>
            <w:r>
              <w:rPr>
                <w:rFonts w:hint="eastAsia"/>
                <w:kern w:val="0"/>
                <w:sz w:val="24"/>
              </w:rPr>
              <w:t>序号</w:t>
            </w:r>
          </w:p>
        </w:tc>
        <w:tc>
          <w:tcPr>
            <w:tcW w:w="1276" w:type="dxa"/>
            <w:vAlign w:val="center"/>
          </w:tcPr>
          <w:p>
            <w:pPr>
              <w:autoSpaceDE w:val="0"/>
              <w:autoSpaceDN w:val="0"/>
              <w:adjustRightInd w:val="0"/>
              <w:jc w:val="center"/>
              <w:rPr>
                <w:kern w:val="0"/>
                <w:sz w:val="24"/>
              </w:rPr>
            </w:pPr>
            <w:r>
              <w:rPr>
                <w:rFonts w:hint="eastAsia"/>
                <w:kern w:val="0"/>
                <w:sz w:val="24"/>
              </w:rPr>
              <w:t>甲方单位</w:t>
            </w:r>
          </w:p>
        </w:tc>
        <w:tc>
          <w:tcPr>
            <w:tcW w:w="1276" w:type="dxa"/>
            <w:vAlign w:val="center"/>
          </w:tcPr>
          <w:p>
            <w:pPr>
              <w:autoSpaceDE w:val="0"/>
              <w:autoSpaceDN w:val="0"/>
              <w:adjustRightInd w:val="0"/>
              <w:jc w:val="center"/>
              <w:rPr>
                <w:kern w:val="0"/>
                <w:sz w:val="24"/>
              </w:rPr>
            </w:pPr>
            <w:r>
              <w:rPr>
                <w:rFonts w:hint="eastAsia"/>
                <w:kern w:val="0"/>
                <w:sz w:val="24"/>
              </w:rPr>
              <w:t>项目名称</w:t>
            </w:r>
          </w:p>
        </w:tc>
        <w:tc>
          <w:tcPr>
            <w:tcW w:w="2551" w:type="dxa"/>
            <w:tcBorders>
              <w:right w:val="single" w:color="auto" w:sz="4" w:space="0"/>
            </w:tcBorders>
            <w:vAlign w:val="center"/>
          </w:tcPr>
          <w:p>
            <w:pPr>
              <w:autoSpaceDE w:val="0"/>
              <w:autoSpaceDN w:val="0"/>
              <w:adjustRightInd w:val="0"/>
              <w:jc w:val="center"/>
              <w:rPr>
                <w:kern w:val="0"/>
                <w:sz w:val="24"/>
              </w:rPr>
            </w:pPr>
            <w:r>
              <w:rPr>
                <w:rFonts w:hint="eastAsia"/>
                <w:kern w:val="0"/>
                <w:sz w:val="24"/>
              </w:rPr>
              <w:t>单个年度合同金额</w:t>
            </w:r>
          </w:p>
        </w:tc>
        <w:tc>
          <w:tcPr>
            <w:tcW w:w="993" w:type="dxa"/>
            <w:tcBorders>
              <w:left w:val="single" w:color="auto" w:sz="4" w:space="0"/>
            </w:tcBorders>
            <w:vAlign w:val="center"/>
          </w:tcPr>
          <w:p>
            <w:pPr>
              <w:autoSpaceDE w:val="0"/>
              <w:autoSpaceDN w:val="0"/>
              <w:adjustRightInd w:val="0"/>
              <w:jc w:val="center"/>
              <w:rPr>
                <w:kern w:val="0"/>
                <w:sz w:val="24"/>
              </w:rPr>
            </w:pPr>
            <w:r>
              <w:rPr>
                <w:rFonts w:hint="eastAsia"/>
                <w:kern w:val="0"/>
                <w:sz w:val="24"/>
              </w:rPr>
              <w:t>合同主要内容</w:t>
            </w:r>
          </w:p>
        </w:tc>
        <w:tc>
          <w:tcPr>
            <w:tcW w:w="1275" w:type="dxa"/>
            <w:vAlign w:val="center"/>
          </w:tcPr>
          <w:p>
            <w:pPr>
              <w:autoSpaceDE w:val="0"/>
              <w:autoSpaceDN w:val="0"/>
              <w:adjustRightInd w:val="0"/>
              <w:jc w:val="center"/>
              <w:rPr>
                <w:kern w:val="0"/>
                <w:sz w:val="24"/>
              </w:rPr>
            </w:pPr>
            <w:r>
              <w:rPr>
                <w:rFonts w:hint="eastAsia"/>
                <w:kern w:val="0"/>
                <w:sz w:val="24"/>
              </w:rPr>
              <w:t>合同讫止时间</w:t>
            </w:r>
          </w:p>
        </w:tc>
        <w:tc>
          <w:tcPr>
            <w:tcW w:w="1591" w:type="dxa"/>
            <w:vAlign w:val="center"/>
          </w:tcPr>
          <w:p>
            <w:pPr>
              <w:autoSpaceDE w:val="0"/>
              <w:autoSpaceDN w:val="0"/>
              <w:adjustRightInd w:val="0"/>
              <w:jc w:val="center"/>
              <w:rPr>
                <w:kern w:val="0"/>
                <w:sz w:val="24"/>
              </w:rPr>
            </w:pPr>
            <w:r>
              <w:rPr>
                <w:rFonts w:hint="eastAsia"/>
                <w:kern w:val="0"/>
                <w:sz w:val="24"/>
              </w:rPr>
              <w:t>甲方联系人及联系电话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trPr>
        <w:tc>
          <w:tcPr>
            <w:tcW w:w="675"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2551" w:type="dxa"/>
            <w:tcBorders>
              <w:right w:val="single" w:color="auto" w:sz="4" w:space="0"/>
            </w:tcBorders>
            <w:vAlign w:val="center"/>
          </w:tcPr>
          <w:p>
            <w:pPr>
              <w:autoSpaceDE w:val="0"/>
              <w:autoSpaceDN w:val="0"/>
              <w:adjustRightInd w:val="0"/>
              <w:jc w:val="center"/>
              <w:rPr>
                <w:kern w:val="0"/>
                <w:sz w:val="24"/>
              </w:rPr>
            </w:pPr>
          </w:p>
        </w:tc>
        <w:tc>
          <w:tcPr>
            <w:tcW w:w="993" w:type="dxa"/>
            <w:tcBorders>
              <w:left w:val="single" w:color="auto" w:sz="4" w:space="0"/>
            </w:tcBorders>
            <w:vAlign w:val="center"/>
          </w:tcPr>
          <w:p>
            <w:pPr>
              <w:autoSpaceDE w:val="0"/>
              <w:autoSpaceDN w:val="0"/>
              <w:adjustRightInd w:val="0"/>
              <w:jc w:val="center"/>
              <w:rPr>
                <w:kern w:val="0"/>
                <w:sz w:val="24"/>
              </w:rPr>
            </w:pPr>
          </w:p>
        </w:tc>
        <w:tc>
          <w:tcPr>
            <w:tcW w:w="1275" w:type="dxa"/>
            <w:vAlign w:val="center"/>
          </w:tcPr>
          <w:p>
            <w:pPr>
              <w:autoSpaceDE w:val="0"/>
              <w:autoSpaceDN w:val="0"/>
              <w:adjustRightInd w:val="0"/>
              <w:jc w:val="center"/>
              <w:rPr>
                <w:kern w:val="0"/>
                <w:sz w:val="24"/>
              </w:rPr>
            </w:pPr>
          </w:p>
        </w:tc>
        <w:tc>
          <w:tcPr>
            <w:tcW w:w="1591"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trPr>
        <w:tc>
          <w:tcPr>
            <w:tcW w:w="675"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2551" w:type="dxa"/>
            <w:tcBorders>
              <w:right w:val="single" w:color="auto" w:sz="4" w:space="0"/>
            </w:tcBorders>
            <w:vAlign w:val="center"/>
          </w:tcPr>
          <w:p>
            <w:pPr>
              <w:autoSpaceDE w:val="0"/>
              <w:autoSpaceDN w:val="0"/>
              <w:adjustRightInd w:val="0"/>
              <w:jc w:val="center"/>
              <w:rPr>
                <w:kern w:val="0"/>
                <w:sz w:val="24"/>
              </w:rPr>
            </w:pPr>
          </w:p>
        </w:tc>
        <w:tc>
          <w:tcPr>
            <w:tcW w:w="993" w:type="dxa"/>
            <w:tcBorders>
              <w:left w:val="single" w:color="auto" w:sz="4" w:space="0"/>
            </w:tcBorders>
            <w:vAlign w:val="center"/>
          </w:tcPr>
          <w:p>
            <w:pPr>
              <w:autoSpaceDE w:val="0"/>
              <w:autoSpaceDN w:val="0"/>
              <w:adjustRightInd w:val="0"/>
              <w:jc w:val="center"/>
              <w:rPr>
                <w:kern w:val="0"/>
                <w:sz w:val="24"/>
              </w:rPr>
            </w:pPr>
          </w:p>
        </w:tc>
        <w:tc>
          <w:tcPr>
            <w:tcW w:w="1275" w:type="dxa"/>
            <w:vAlign w:val="center"/>
          </w:tcPr>
          <w:p>
            <w:pPr>
              <w:autoSpaceDE w:val="0"/>
              <w:autoSpaceDN w:val="0"/>
              <w:adjustRightInd w:val="0"/>
              <w:jc w:val="center"/>
              <w:rPr>
                <w:kern w:val="0"/>
                <w:sz w:val="24"/>
              </w:rPr>
            </w:pPr>
          </w:p>
        </w:tc>
        <w:tc>
          <w:tcPr>
            <w:tcW w:w="1591"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trPr>
        <w:tc>
          <w:tcPr>
            <w:tcW w:w="675"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2551" w:type="dxa"/>
            <w:tcBorders>
              <w:right w:val="single" w:color="auto" w:sz="4" w:space="0"/>
            </w:tcBorders>
            <w:vAlign w:val="center"/>
          </w:tcPr>
          <w:p>
            <w:pPr>
              <w:autoSpaceDE w:val="0"/>
              <w:autoSpaceDN w:val="0"/>
              <w:adjustRightInd w:val="0"/>
              <w:jc w:val="center"/>
              <w:rPr>
                <w:kern w:val="0"/>
                <w:sz w:val="24"/>
              </w:rPr>
            </w:pPr>
          </w:p>
        </w:tc>
        <w:tc>
          <w:tcPr>
            <w:tcW w:w="993" w:type="dxa"/>
            <w:tcBorders>
              <w:left w:val="single" w:color="auto" w:sz="4" w:space="0"/>
            </w:tcBorders>
            <w:vAlign w:val="center"/>
          </w:tcPr>
          <w:p>
            <w:pPr>
              <w:autoSpaceDE w:val="0"/>
              <w:autoSpaceDN w:val="0"/>
              <w:adjustRightInd w:val="0"/>
              <w:jc w:val="center"/>
              <w:rPr>
                <w:kern w:val="0"/>
                <w:sz w:val="24"/>
              </w:rPr>
            </w:pPr>
          </w:p>
        </w:tc>
        <w:tc>
          <w:tcPr>
            <w:tcW w:w="1275" w:type="dxa"/>
            <w:vAlign w:val="center"/>
          </w:tcPr>
          <w:p>
            <w:pPr>
              <w:autoSpaceDE w:val="0"/>
              <w:autoSpaceDN w:val="0"/>
              <w:adjustRightInd w:val="0"/>
              <w:jc w:val="center"/>
              <w:rPr>
                <w:kern w:val="0"/>
                <w:sz w:val="24"/>
              </w:rPr>
            </w:pPr>
          </w:p>
        </w:tc>
        <w:tc>
          <w:tcPr>
            <w:tcW w:w="1591"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trPr>
        <w:tc>
          <w:tcPr>
            <w:tcW w:w="675"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2551" w:type="dxa"/>
            <w:tcBorders>
              <w:right w:val="single" w:color="auto" w:sz="4" w:space="0"/>
            </w:tcBorders>
            <w:vAlign w:val="center"/>
          </w:tcPr>
          <w:p>
            <w:pPr>
              <w:autoSpaceDE w:val="0"/>
              <w:autoSpaceDN w:val="0"/>
              <w:adjustRightInd w:val="0"/>
              <w:jc w:val="center"/>
              <w:rPr>
                <w:kern w:val="0"/>
                <w:sz w:val="24"/>
              </w:rPr>
            </w:pPr>
          </w:p>
        </w:tc>
        <w:tc>
          <w:tcPr>
            <w:tcW w:w="993" w:type="dxa"/>
            <w:tcBorders>
              <w:left w:val="single" w:color="auto" w:sz="4" w:space="0"/>
            </w:tcBorders>
            <w:vAlign w:val="center"/>
          </w:tcPr>
          <w:p>
            <w:pPr>
              <w:autoSpaceDE w:val="0"/>
              <w:autoSpaceDN w:val="0"/>
              <w:adjustRightInd w:val="0"/>
              <w:jc w:val="center"/>
              <w:rPr>
                <w:kern w:val="0"/>
                <w:sz w:val="24"/>
              </w:rPr>
            </w:pPr>
          </w:p>
        </w:tc>
        <w:tc>
          <w:tcPr>
            <w:tcW w:w="1275" w:type="dxa"/>
            <w:vAlign w:val="center"/>
          </w:tcPr>
          <w:p>
            <w:pPr>
              <w:autoSpaceDE w:val="0"/>
              <w:autoSpaceDN w:val="0"/>
              <w:adjustRightInd w:val="0"/>
              <w:jc w:val="center"/>
              <w:rPr>
                <w:kern w:val="0"/>
                <w:sz w:val="24"/>
              </w:rPr>
            </w:pPr>
          </w:p>
        </w:tc>
        <w:tc>
          <w:tcPr>
            <w:tcW w:w="1591"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trPr>
        <w:tc>
          <w:tcPr>
            <w:tcW w:w="675"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1276" w:type="dxa"/>
            <w:vAlign w:val="center"/>
          </w:tcPr>
          <w:p>
            <w:pPr>
              <w:autoSpaceDE w:val="0"/>
              <w:autoSpaceDN w:val="0"/>
              <w:adjustRightInd w:val="0"/>
              <w:jc w:val="center"/>
              <w:rPr>
                <w:kern w:val="0"/>
                <w:sz w:val="24"/>
              </w:rPr>
            </w:pPr>
          </w:p>
        </w:tc>
        <w:tc>
          <w:tcPr>
            <w:tcW w:w="2551" w:type="dxa"/>
            <w:tcBorders>
              <w:right w:val="single" w:color="auto" w:sz="4" w:space="0"/>
            </w:tcBorders>
            <w:vAlign w:val="center"/>
          </w:tcPr>
          <w:p>
            <w:pPr>
              <w:autoSpaceDE w:val="0"/>
              <w:autoSpaceDN w:val="0"/>
              <w:adjustRightInd w:val="0"/>
              <w:jc w:val="center"/>
              <w:rPr>
                <w:kern w:val="0"/>
                <w:sz w:val="24"/>
              </w:rPr>
            </w:pPr>
          </w:p>
        </w:tc>
        <w:tc>
          <w:tcPr>
            <w:tcW w:w="993" w:type="dxa"/>
            <w:tcBorders>
              <w:left w:val="single" w:color="auto" w:sz="4" w:space="0"/>
            </w:tcBorders>
            <w:vAlign w:val="center"/>
          </w:tcPr>
          <w:p>
            <w:pPr>
              <w:autoSpaceDE w:val="0"/>
              <w:autoSpaceDN w:val="0"/>
              <w:adjustRightInd w:val="0"/>
              <w:jc w:val="center"/>
              <w:rPr>
                <w:kern w:val="0"/>
                <w:sz w:val="24"/>
              </w:rPr>
            </w:pPr>
          </w:p>
        </w:tc>
        <w:tc>
          <w:tcPr>
            <w:tcW w:w="1275" w:type="dxa"/>
            <w:vAlign w:val="center"/>
          </w:tcPr>
          <w:p>
            <w:pPr>
              <w:autoSpaceDE w:val="0"/>
              <w:autoSpaceDN w:val="0"/>
              <w:adjustRightInd w:val="0"/>
              <w:jc w:val="center"/>
              <w:rPr>
                <w:kern w:val="0"/>
                <w:sz w:val="24"/>
              </w:rPr>
            </w:pPr>
          </w:p>
        </w:tc>
        <w:tc>
          <w:tcPr>
            <w:tcW w:w="1591" w:type="dxa"/>
            <w:vAlign w:val="center"/>
          </w:tcPr>
          <w:p>
            <w:pPr>
              <w:autoSpaceDE w:val="0"/>
              <w:autoSpaceDN w:val="0"/>
              <w:adjustRightInd w:val="0"/>
              <w:jc w:val="center"/>
              <w:rPr>
                <w:kern w:val="0"/>
                <w:sz w:val="24"/>
              </w:rPr>
            </w:pPr>
          </w:p>
        </w:tc>
      </w:tr>
    </w:tbl>
    <w:p>
      <w:pPr>
        <w:autoSpaceDE w:val="0"/>
        <w:autoSpaceDN w:val="0"/>
        <w:adjustRightInd w:val="0"/>
        <w:jc w:val="left"/>
        <w:rPr>
          <w:kern w:val="0"/>
          <w:sz w:val="24"/>
        </w:rPr>
      </w:pPr>
    </w:p>
    <w:p>
      <w:pPr>
        <w:autoSpaceDE w:val="0"/>
        <w:autoSpaceDN w:val="0"/>
        <w:adjustRightInd w:val="0"/>
        <w:spacing w:line="460" w:lineRule="exact"/>
        <w:ind w:firstLine="241" w:firstLineChars="100"/>
        <w:jc w:val="left"/>
        <w:rPr>
          <w:rFonts w:ascii="宋体" w:hAnsi="宋体" w:cs="宋体"/>
          <w:b/>
          <w:kern w:val="0"/>
          <w:sz w:val="24"/>
        </w:rPr>
      </w:pPr>
      <w:r>
        <w:rPr>
          <w:rFonts w:hint="eastAsia" w:ascii="宋体" w:hAnsi="宋体" w:cs="宋体"/>
          <w:b/>
          <w:kern w:val="0"/>
          <w:sz w:val="24"/>
        </w:rPr>
        <w:t>备注：</w:t>
      </w:r>
    </w:p>
    <w:p>
      <w:pPr>
        <w:autoSpaceDE w:val="0"/>
        <w:autoSpaceDN w:val="0"/>
        <w:adjustRightInd w:val="0"/>
        <w:spacing w:line="460" w:lineRule="exact"/>
        <w:ind w:firstLine="361" w:firstLineChars="150"/>
        <w:jc w:val="left"/>
        <w:rPr>
          <w:rFonts w:ascii="宋体" w:hAnsi="宋体" w:cs="宋体"/>
          <w:b/>
          <w:kern w:val="0"/>
          <w:sz w:val="24"/>
        </w:rPr>
      </w:pPr>
      <w:r>
        <w:rPr>
          <w:rFonts w:hint="eastAsia" w:ascii="宋体" w:hAnsi="宋体" w:cs="宋体"/>
          <w:b/>
          <w:kern w:val="0"/>
          <w:sz w:val="24"/>
        </w:rPr>
        <w:t xml:space="preserve">（1）后附证明材料，详见第三部分 </w:t>
      </w:r>
      <w:r>
        <w:rPr>
          <w:rFonts w:ascii="宋体" w:hAnsi="宋体" w:cs="宋体"/>
          <w:b/>
          <w:kern w:val="0"/>
          <w:sz w:val="24"/>
        </w:rPr>
        <w:t xml:space="preserve"> </w:t>
      </w:r>
      <w:r>
        <w:rPr>
          <w:rFonts w:hint="eastAsia" w:ascii="宋体" w:hAnsi="宋体" w:cs="宋体"/>
          <w:b/>
          <w:kern w:val="0"/>
          <w:sz w:val="24"/>
        </w:rPr>
        <w:t>评审办法及评分标准。</w:t>
      </w:r>
      <w:r>
        <w:rPr>
          <w:rFonts w:ascii="宋体" w:hAnsi="宋体" w:cs="宋体"/>
          <w:b/>
          <w:kern w:val="0"/>
          <w:sz w:val="24"/>
        </w:rPr>
        <w:t xml:space="preserve"> </w:t>
      </w:r>
    </w:p>
    <w:p>
      <w:pPr>
        <w:pStyle w:val="22"/>
        <w:adjustRightInd w:val="0"/>
        <w:snapToGrid w:val="0"/>
        <w:spacing w:line="460" w:lineRule="exact"/>
        <w:ind w:firstLine="361" w:firstLineChars="150"/>
        <w:rPr>
          <w:rFonts w:hAnsi="宋体" w:cs="宋体"/>
          <w:b/>
          <w:kern w:val="0"/>
          <w:sz w:val="24"/>
          <w:szCs w:val="24"/>
        </w:rPr>
      </w:pPr>
      <w:r>
        <w:rPr>
          <w:rFonts w:hint="eastAsia" w:hAnsi="宋体" w:cs="宋体"/>
          <w:b/>
          <w:kern w:val="0"/>
          <w:sz w:val="24"/>
          <w:szCs w:val="24"/>
        </w:rPr>
        <w:t>（2）没有类似业绩的，此表可以不提供。</w:t>
      </w:r>
    </w:p>
    <w:p>
      <w:pPr>
        <w:pStyle w:val="22"/>
        <w:adjustRightInd w:val="0"/>
        <w:snapToGrid w:val="0"/>
        <w:spacing w:line="460" w:lineRule="exact"/>
        <w:ind w:firstLine="482" w:firstLineChars="200"/>
        <w:rPr>
          <w:rFonts w:hAnsi="宋体" w:cs="宋体"/>
          <w:b/>
          <w:kern w:val="0"/>
          <w:sz w:val="24"/>
          <w:szCs w:val="24"/>
        </w:rPr>
      </w:pPr>
    </w:p>
    <w:p>
      <w:pPr>
        <w:pStyle w:val="22"/>
        <w:adjustRightInd w:val="0"/>
        <w:snapToGrid w:val="0"/>
        <w:spacing w:line="460" w:lineRule="exact"/>
        <w:ind w:firstLine="482" w:firstLineChars="200"/>
        <w:rPr>
          <w:rFonts w:hAnsi="宋体" w:cs="宋体"/>
          <w:b/>
          <w:kern w:val="0"/>
          <w:sz w:val="24"/>
          <w:szCs w:val="24"/>
        </w:rPr>
      </w:pPr>
    </w:p>
    <w:p>
      <w:pPr>
        <w:pStyle w:val="22"/>
        <w:adjustRightInd w:val="0"/>
        <w:snapToGrid w:val="0"/>
        <w:spacing w:line="460" w:lineRule="exact"/>
        <w:rPr>
          <w:rFonts w:hAnsi="宋体" w:cs="宋体"/>
          <w:kern w:val="0"/>
          <w:sz w:val="28"/>
          <w:szCs w:val="28"/>
        </w:rPr>
      </w:pPr>
      <w:r>
        <w:rPr>
          <w:rFonts w:hint="eastAsia" w:hAnsi="宋体" w:cs="宋体"/>
          <w:kern w:val="0"/>
          <w:sz w:val="28"/>
          <w:szCs w:val="28"/>
        </w:rPr>
        <w:t>投标供应商名称（盖章）：</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u w:val="single"/>
        </w:rPr>
      </w:pPr>
      <w:r>
        <w:rPr>
          <w:rFonts w:hint="eastAsia" w:hAnsi="宋体" w:cs="宋体"/>
          <w:kern w:val="0"/>
          <w:sz w:val="28"/>
          <w:szCs w:val="28"/>
        </w:rPr>
        <w:t>法定代表人或其授权代表（签字或盖章）：</w:t>
      </w:r>
      <w:r>
        <w:rPr>
          <w:rFonts w:hint="eastAsia" w:hAnsi="宋体" w:cs="宋体"/>
          <w:kern w:val="0"/>
          <w:sz w:val="28"/>
          <w:szCs w:val="28"/>
          <w:u w:val="single"/>
        </w:rPr>
        <w:t xml:space="preserve">              </w:t>
      </w:r>
    </w:p>
    <w:p>
      <w:pPr>
        <w:pStyle w:val="22"/>
        <w:adjustRightInd w:val="0"/>
        <w:snapToGrid w:val="0"/>
        <w:spacing w:line="460" w:lineRule="exact"/>
        <w:rPr>
          <w:rFonts w:hAnsi="宋体" w:cs="宋体"/>
          <w:kern w:val="0"/>
          <w:sz w:val="28"/>
          <w:szCs w:val="28"/>
        </w:rPr>
      </w:pPr>
      <w:r>
        <w:rPr>
          <w:rFonts w:hint="eastAsia" w:hAnsi="宋体" w:cs="宋体"/>
          <w:kern w:val="0"/>
          <w:sz w:val="28"/>
          <w:szCs w:val="28"/>
        </w:rPr>
        <w:t xml:space="preserve">日期： </w:t>
      </w:r>
      <w:r>
        <w:rPr>
          <w:rFonts w:hint="eastAsia" w:hAnsi="宋体" w:cs="宋体"/>
          <w:kern w:val="0"/>
          <w:sz w:val="28"/>
          <w:szCs w:val="28"/>
          <w:u w:val="single"/>
        </w:rPr>
        <w:t xml:space="preserve">                 </w:t>
      </w:r>
      <w:r>
        <w:rPr>
          <w:rFonts w:hint="eastAsia" w:hAnsi="宋体" w:cs="宋体"/>
          <w:kern w:val="0"/>
          <w:sz w:val="28"/>
          <w:szCs w:val="28"/>
        </w:rPr>
        <w:t xml:space="preserve">        </w:t>
      </w: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pStyle w:val="22"/>
        <w:snapToGrid w:val="0"/>
        <w:spacing w:line="340" w:lineRule="atLeast"/>
        <w:rPr>
          <w:rFonts w:hAnsi="宋体" w:cs="宋体"/>
          <w:kern w:val="0"/>
          <w:sz w:val="28"/>
          <w:szCs w:val="28"/>
        </w:rPr>
      </w:pPr>
    </w:p>
    <w:p>
      <w:pPr>
        <w:pStyle w:val="22"/>
        <w:snapToGrid w:val="0"/>
        <w:spacing w:line="340" w:lineRule="atLeast"/>
        <w:rPr>
          <w:rFonts w:hAnsi="宋体" w:cs="宋体"/>
          <w:kern w:val="0"/>
          <w:sz w:val="28"/>
          <w:szCs w:val="28"/>
        </w:rPr>
      </w:pPr>
    </w:p>
    <w:p>
      <w:pPr>
        <w:pStyle w:val="22"/>
        <w:snapToGrid w:val="0"/>
        <w:spacing w:line="340" w:lineRule="atLeast"/>
        <w:rPr>
          <w:rFonts w:hAnsi="宋体" w:cs="宋体"/>
          <w:kern w:val="0"/>
          <w:sz w:val="28"/>
          <w:szCs w:val="28"/>
        </w:rPr>
      </w:pPr>
      <w:r>
        <w:rPr>
          <w:rFonts w:hint="eastAsia" w:hAnsi="宋体" w:cs="宋体"/>
          <w:kern w:val="0"/>
          <w:sz w:val="28"/>
          <w:szCs w:val="28"/>
        </w:rPr>
        <w:t>格式1-1</w:t>
      </w:r>
      <w:r>
        <w:rPr>
          <w:rFonts w:hint="eastAsia" w:hAnsi="宋体" w:cs="宋体"/>
          <w:kern w:val="0"/>
          <w:sz w:val="28"/>
          <w:szCs w:val="28"/>
          <w:lang w:val="en-US" w:eastAsia="zh-CN"/>
        </w:rPr>
        <w:t>4</w:t>
      </w:r>
      <w:r>
        <w:rPr>
          <w:rFonts w:hint="eastAsia" w:hAnsi="宋体" w:cs="宋体"/>
          <w:kern w:val="0"/>
          <w:sz w:val="28"/>
          <w:szCs w:val="28"/>
        </w:rPr>
        <w:t>、《拟派项目管理团队人员全程在岗承诺书》</w:t>
      </w:r>
      <w:r>
        <w:rPr>
          <w:rFonts w:hAnsi="宋体" w:cs="宋体"/>
          <w:kern w:val="0"/>
          <w:sz w:val="28"/>
          <w:szCs w:val="28"/>
        </w:rPr>
        <w:t xml:space="preserve"> </w:t>
      </w:r>
    </w:p>
    <w:p>
      <w:pPr>
        <w:autoSpaceDE w:val="0"/>
        <w:autoSpaceDN w:val="0"/>
        <w:adjustRightInd w:val="0"/>
        <w:jc w:val="left"/>
        <w:rPr>
          <w:kern w:val="0"/>
          <w:sz w:val="24"/>
        </w:rPr>
      </w:pPr>
    </w:p>
    <w:p>
      <w:pPr>
        <w:autoSpaceDE w:val="0"/>
        <w:autoSpaceDN w:val="0"/>
        <w:adjustRightInd w:val="0"/>
        <w:jc w:val="center"/>
        <w:rPr>
          <w:b/>
          <w:kern w:val="0"/>
          <w:sz w:val="24"/>
        </w:rPr>
      </w:pPr>
      <w:r>
        <w:rPr>
          <w:rFonts w:hint="eastAsia" w:ascii="宋体" w:hAnsi="宋体" w:cs="宋体"/>
          <w:b/>
          <w:kern w:val="0"/>
          <w:sz w:val="36"/>
          <w:szCs w:val="36"/>
        </w:rPr>
        <w:t>拟派项目管理团队人员全程在岗承诺书</w:t>
      </w:r>
    </w:p>
    <w:p>
      <w:pPr>
        <w:autoSpaceDE w:val="0"/>
        <w:autoSpaceDN w:val="0"/>
        <w:adjustRightInd w:val="0"/>
        <w:jc w:val="left"/>
        <w:rPr>
          <w:kern w:val="0"/>
          <w:sz w:val="24"/>
        </w:rPr>
      </w:pPr>
    </w:p>
    <w:p>
      <w:pPr>
        <w:autoSpaceDE w:val="0"/>
        <w:autoSpaceDN w:val="0"/>
        <w:adjustRightInd w:val="0"/>
        <w:jc w:val="left"/>
        <w:rPr>
          <w:rFonts w:ascii="宋体" w:hAnsi="宋体" w:cs="宋体"/>
          <w:b/>
          <w:kern w:val="0"/>
          <w:sz w:val="28"/>
          <w:szCs w:val="28"/>
        </w:rPr>
      </w:pPr>
      <w:r>
        <w:rPr>
          <w:rFonts w:hint="eastAsia" w:ascii="宋体" w:hAnsi="宋体" w:cs="宋体"/>
          <w:b/>
          <w:kern w:val="0"/>
          <w:sz w:val="28"/>
          <w:szCs w:val="28"/>
          <w:lang w:eastAsia="zh-CN"/>
        </w:rPr>
        <w:t>苍南县宜山镇人民政府</w:t>
      </w:r>
      <w:r>
        <w:rPr>
          <w:rFonts w:hint="eastAsia" w:ascii="宋体" w:hAnsi="宋体" w:cs="宋体"/>
          <w:b/>
          <w:kern w:val="0"/>
          <w:sz w:val="28"/>
          <w:szCs w:val="28"/>
        </w:rPr>
        <w:t>：</w:t>
      </w:r>
    </w:p>
    <w:p>
      <w:pPr>
        <w:autoSpaceDE w:val="0"/>
        <w:autoSpaceDN w:val="0"/>
        <w:adjustRightInd w:val="0"/>
        <w:jc w:val="left"/>
        <w:rPr>
          <w:rFonts w:ascii="宋体" w:hAnsi="宋体" w:cs="宋体"/>
          <w:b/>
          <w:kern w:val="0"/>
          <w:sz w:val="28"/>
          <w:szCs w:val="28"/>
        </w:rPr>
      </w:pPr>
    </w:p>
    <w:p>
      <w:pPr>
        <w:autoSpaceDE w:val="0"/>
        <w:autoSpaceDN w:val="0"/>
        <w:adjustRightInd w:val="0"/>
        <w:spacing w:line="460" w:lineRule="exact"/>
        <w:ind w:firstLine="700" w:firstLineChars="250"/>
        <w:jc w:val="left"/>
        <w:rPr>
          <w:kern w:val="0"/>
          <w:sz w:val="28"/>
          <w:szCs w:val="28"/>
        </w:rPr>
      </w:pPr>
      <w:r>
        <w:rPr>
          <w:rFonts w:hint="eastAsia" w:ascii="宋体" w:hAnsi="宋体" w:cs="宋体"/>
          <w:kern w:val="0"/>
          <w:sz w:val="28"/>
          <w:szCs w:val="28"/>
        </w:rPr>
        <w:t>根据</w:t>
      </w:r>
      <w:r>
        <w:rPr>
          <w:rFonts w:hint="eastAsia" w:ascii="宋体" w:hAnsi="宋体" w:cs="宋体"/>
          <w:kern w:val="0"/>
          <w:sz w:val="28"/>
          <w:szCs w:val="28"/>
          <w:u w:val="single"/>
          <w:lang w:eastAsia="zh-CN"/>
        </w:rPr>
        <w:t>苍南县宜山镇道路照明提升工程设计、采购及安装项目</w:t>
      </w:r>
      <w:r>
        <w:rPr>
          <w:rFonts w:hint="eastAsia" w:ascii="宋体" w:hAnsi="宋体" w:cs="宋体"/>
          <w:kern w:val="0"/>
          <w:sz w:val="28"/>
          <w:szCs w:val="28"/>
          <w:u w:val="single"/>
        </w:rPr>
        <w:t>（项目编号：</w:t>
      </w:r>
      <w:r>
        <w:rPr>
          <w:rFonts w:hint="eastAsia" w:ascii="宋体" w:hAnsi="宋体" w:cs="宋体"/>
          <w:kern w:val="0"/>
          <w:sz w:val="28"/>
          <w:szCs w:val="28"/>
          <w:u w:val="single"/>
          <w:lang w:eastAsia="zh-CN"/>
        </w:rPr>
        <w:t>CNDL2021446</w:t>
      </w:r>
      <w:r>
        <w:rPr>
          <w:rFonts w:hint="eastAsia" w:ascii="宋体" w:hAnsi="宋体" w:cs="宋体"/>
          <w:kern w:val="0"/>
          <w:sz w:val="28"/>
          <w:szCs w:val="28"/>
          <w:u w:val="single"/>
        </w:rPr>
        <w:t>）</w:t>
      </w:r>
      <w:r>
        <w:rPr>
          <w:rFonts w:hint="eastAsia" w:ascii="宋体" w:hAnsi="宋体" w:cs="宋体"/>
          <w:kern w:val="0"/>
          <w:sz w:val="28"/>
          <w:szCs w:val="28"/>
          <w:lang w:eastAsia="zh-CN"/>
        </w:rPr>
        <w:t>采购</w:t>
      </w:r>
      <w:r>
        <w:rPr>
          <w:rFonts w:hint="eastAsia" w:ascii="宋体" w:hAnsi="宋体" w:cs="宋体"/>
          <w:kern w:val="0"/>
          <w:sz w:val="28"/>
          <w:szCs w:val="28"/>
        </w:rPr>
        <w:t>文件的相关要求，我公司郑重承诺：</w:t>
      </w:r>
      <w:r>
        <w:rPr>
          <w:rFonts w:hint="eastAsia" w:ascii="宋体" w:hAnsi="宋体" w:cs="宋体"/>
          <w:b/>
          <w:kern w:val="0"/>
          <w:sz w:val="28"/>
          <w:szCs w:val="28"/>
        </w:rPr>
        <w:t>如中标，我公司</w:t>
      </w:r>
      <w:r>
        <w:rPr>
          <w:rFonts w:hint="eastAsia" w:ascii="宋体" w:hAnsi="宋体" w:cs="宋体"/>
          <w:b/>
          <w:kern w:val="0"/>
          <w:sz w:val="28"/>
          <w:szCs w:val="28"/>
          <w:lang w:eastAsia="zh-CN"/>
        </w:rPr>
        <w:t>磋商响应文件</w:t>
      </w:r>
      <w:r>
        <w:rPr>
          <w:rFonts w:hint="eastAsia" w:ascii="宋体" w:hAnsi="宋体" w:cs="宋体"/>
          <w:b/>
          <w:kern w:val="0"/>
          <w:sz w:val="28"/>
          <w:szCs w:val="28"/>
        </w:rPr>
        <w:t>所列拟派项目管理团队所有人员自合同签订之日起至合同履行完毕止全程在岗（在岗率</w:t>
      </w:r>
      <w:r>
        <w:rPr>
          <w:rFonts w:ascii="宋体" w:hAnsi="宋体" w:cs="宋体"/>
          <w:b/>
          <w:kern w:val="0"/>
          <w:sz w:val="28"/>
          <w:szCs w:val="28"/>
        </w:rPr>
        <w:t>100%</w:t>
      </w:r>
      <w:r>
        <w:rPr>
          <w:rFonts w:hint="eastAsia" w:ascii="宋体" w:hAnsi="宋体" w:cs="宋体"/>
          <w:b/>
          <w:kern w:val="0"/>
          <w:sz w:val="28"/>
          <w:szCs w:val="28"/>
        </w:rPr>
        <w:t>），并无其他在管项目。</w:t>
      </w:r>
      <w:r>
        <w:rPr>
          <w:rFonts w:hint="eastAsia" w:ascii="宋体" w:hAnsi="宋体" w:cs="宋体"/>
          <w:kern w:val="0"/>
          <w:sz w:val="28"/>
          <w:szCs w:val="28"/>
        </w:rPr>
        <w:t>如有违反，愿承担一切后果。</w:t>
      </w:r>
      <w:r>
        <w:rPr>
          <w:rFonts w:ascii="宋体" w:hAnsi="宋体" w:cs="宋体"/>
          <w:kern w:val="0"/>
          <w:sz w:val="28"/>
          <w:szCs w:val="28"/>
        </w:rPr>
        <w:t xml:space="preserve"> </w:t>
      </w:r>
    </w:p>
    <w:p>
      <w:pPr>
        <w:autoSpaceDE w:val="0"/>
        <w:autoSpaceDN w:val="0"/>
        <w:adjustRightInd w:val="0"/>
        <w:spacing w:line="460" w:lineRule="exact"/>
        <w:jc w:val="left"/>
        <w:rPr>
          <w:kern w:val="0"/>
          <w:sz w:val="28"/>
          <w:szCs w:val="28"/>
        </w:rPr>
      </w:pPr>
      <w:r>
        <w:rPr>
          <w:rFonts w:hint="eastAsia" w:ascii="宋体" w:hAnsi="宋体" w:cs="宋体"/>
          <w:kern w:val="0"/>
          <w:sz w:val="28"/>
          <w:szCs w:val="28"/>
        </w:rPr>
        <w:t>特此承诺</w:t>
      </w:r>
      <w:r>
        <w:rPr>
          <w:rFonts w:ascii="宋体" w:hAnsi="宋体" w:cs="宋体"/>
          <w:kern w:val="0"/>
          <w:sz w:val="28"/>
          <w:szCs w:val="28"/>
        </w:rPr>
        <w:t xml:space="preserve"> </w:t>
      </w:r>
    </w:p>
    <w:p>
      <w:pPr>
        <w:autoSpaceDE w:val="0"/>
        <w:autoSpaceDN w:val="0"/>
        <w:adjustRightInd w:val="0"/>
        <w:spacing w:line="460" w:lineRule="exact"/>
        <w:jc w:val="left"/>
        <w:rPr>
          <w:kern w:val="0"/>
          <w:sz w:val="28"/>
          <w:szCs w:val="28"/>
        </w:rPr>
      </w:pPr>
    </w:p>
    <w:p>
      <w:pPr>
        <w:autoSpaceDE w:val="0"/>
        <w:autoSpaceDN w:val="0"/>
        <w:adjustRightInd w:val="0"/>
        <w:jc w:val="left"/>
        <w:rPr>
          <w:kern w:val="0"/>
          <w:sz w:val="24"/>
        </w:rPr>
      </w:pPr>
    </w:p>
    <w:p>
      <w:pPr>
        <w:pStyle w:val="22"/>
        <w:adjustRightInd w:val="0"/>
        <w:snapToGrid w:val="0"/>
        <w:spacing w:line="460" w:lineRule="exact"/>
        <w:ind w:firstLine="482" w:firstLineChars="200"/>
        <w:rPr>
          <w:rFonts w:hAnsi="宋体" w:cs="宋体"/>
          <w:b/>
          <w:kern w:val="0"/>
          <w:sz w:val="24"/>
          <w:szCs w:val="24"/>
        </w:rPr>
      </w:pPr>
    </w:p>
    <w:p>
      <w:pPr>
        <w:pStyle w:val="22"/>
        <w:adjustRightInd w:val="0"/>
        <w:snapToGrid w:val="0"/>
        <w:spacing w:line="460" w:lineRule="exact"/>
        <w:rPr>
          <w:rFonts w:hAnsi="宋体" w:cs="宋体"/>
          <w:kern w:val="0"/>
          <w:sz w:val="28"/>
          <w:szCs w:val="28"/>
        </w:rPr>
      </w:pPr>
      <w:r>
        <w:rPr>
          <w:rFonts w:hint="eastAsia" w:hAnsi="宋体" w:cs="宋体"/>
          <w:kern w:val="0"/>
          <w:sz w:val="28"/>
          <w:szCs w:val="28"/>
        </w:rPr>
        <w:t>投标供应商名称（盖章）：</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u w:val="single"/>
        </w:rPr>
      </w:pPr>
      <w:r>
        <w:rPr>
          <w:rFonts w:hint="eastAsia" w:hAnsi="宋体" w:cs="宋体"/>
          <w:kern w:val="0"/>
          <w:sz w:val="28"/>
          <w:szCs w:val="28"/>
        </w:rPr>
        <w:t>法定代表人或其授权代表（签字或盖章）：</w:t>
      </w:r>
      <w:r>
        <w:rPr>
          <w:rFonts w:hint="eastAsia" w:hAnsi="宋体" w:cs="宋体"/>
          <w:kern w:val="0"/>
          <w:sz w:val="28"/>
          <w:szCs w:val="28"/>
          <w:u w:val="single"/>
        </w:rPr>
        <w:t xml:space="preserve">              </w:t>
      </w:r>
    </w:p>
    <w:p>
      <w:pPr>
        <w:pStyle w:val="22"/>
        <w:adjustRightInd w:val="0"/>
        <w:snapToGrid w:val="0"/>
        <w:spacing w:line="460" w:lineRule="exact"/>
        <w:rPr>
          <w:rFonts w:hAnsi="宋体" w:cs="宋体"/>
          <w:kern w:val="0"/>
          <w:sz w:val="28"/>
          <w:szCs w:val="28"/>
        </w:rPr>
      </w:pPr>
      <w:r>
        <w:rPr>
          <w:rFonts w:hint="eastAsia" w:hAnsi="宋体" w:cs="宋体"/>
          <w:kern w:val="0"/>
          <w:sz w:val="28"/>
          <w:szCs w:val="28"/>
        </w:rPr>
        <w:t xml:space="preserve">日期： </w:t>
      </w:r>
      <w:r>
        <w:rPr>
          <w:rFonts w:hint="eastAsia" w:hAnsi="宋体" w:cs="宋体"/>
          <w:kern w:val="0"/>
          <w:sz w:val="28"/>
          <w:szCs w:val="28"/>
          <w:u w:val="single"/>
        </w:rPr>
        <w:t xml:space="preserve">                 </w:t>
      </w:r>
      <w:r>
        <w:rPr>
          <w:rFonts w:hint="eastAsia" w:hAnsi="宋体" w:cs="宋体"/>
          <w:kern w:val="0"/>
          <w:sz w:val="28"/>
          <w:szCs w:val="28"/>
        </w:rPr>
        <w:t xml:space="preserve">        </w:t>
      </w: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格式1-1</w:t>
      </w:r>
      <w:r>
        <w:rPr>
          <w:rFonts w:hint="eastAsia" w:hAnsi="宋体" w:cs="宋体"/>
          <w:kern w:val="0"/>
          <w:sz w:val="28"/>
          <w:szCs w:val="28"/>
          <w:lang w:val="en-US" w:eastAsia="zh-CN"/>
        </w:rPr>
        <w:t>5</w:t>
      </w:r>
      <w:r>
        <w:rPr>
          <w:rFonts w:hint="eastAsia" w:hAnsi="宋体" w:cs="宋体"/>
          <w:kern w:val="0"/>
          <w:sz w:val="28"/>
          <w:szCs w:val="28"/>
        </w:rPr>
        <w:t>、《技术响应表》</w:t>
      </w:r>
    </w:p>
    <w:p>
      <w:pPr>
        <w:pStyle w:val="22"/>
        <w:adjustRightInd w:val="0"/>
        <w:snapToGrid w:val="0"/>
        <w:spacing w:line="340" w:lineRule="atLeast"/>
        <w:rPr>
          <w:rFonts w:hAnsi="宋体" w:cs="宋体"/>
          <w:kern w:val="0"/>
          <w:sz w:val="28"/>
          <w:szCs w:val="28"/>
        </w:rPr>
      </w:pPr>
    </w:p>
    <w:p>
      <w:pPr>
        <w:autoSpaceDE w:val="0"/>
        <w:autoSpaceDN w:val="0"/>
        <w:adjustRightInd w:val="0"/>
        <w:jc w:val="center"/>
        <w:rPr>
          <w:kern w:val="0"/>
          <w:sz w:val="44"/>
          <w:szCs w:val="44"/>
        </w:rPr>
      </w:pPr>
      <w:r>
        <w:rPr>
          <w:rFonts w:hint="eastAsia" w:ascii="宋体" w:hAnsi="宋体" w:cs="宋体"/>
          <w:kern w:val="0"/>
          <w:sz w:val="44"/>
          <w:szCs w:val="44"/>
        </w:rPr>
        <w:t>技术响应表</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4"/>
          <w:szCs w:val="24"/>
        </w:rPr>
      </w:pPr>
      <w:r>
        <w:rPr>
          <w:rFonts w:hint="eastAsia" w:hAnsi="宋体" w:cs="宋体"/>
          <w:kern w:val="0"/>
          <w:sz w:val="24"/>
          <w:szCs w:val="24"/>
        </w:rPr>
        <w:t>项目名称：</w:t>
      </w:r>
      <w:r>
        <w:rPr>
          <w:rFonts w:hint="eastAsia" w:hAnsi="宋体" w:cs="宋体"/>
          <w:kern w:val="0"/>
          <w:sz w:val="24"/>
          <w:szCs w:val="24"/>
          <w:lang w:eastAsia="zh-CN"/>
        </w:rPr>
        <w:t>苍南县宜山镇道路照明提升工程设计、采购及安装项目</w:t>
      </w:r>
    </w:p>
    <w:p>
      <w:pPr>
        <w:autoSpaceDE w:val="0"/>
        <w:autoSpaceDN w:val="0"/>
        <w:adjustRightInd w:val="0"/>
        <w:jc w:val="left"/>
        <w:rPr>
          <w:rFonts w:hint="eastAsia" w:ascii="宋体" w:hAnsi="宋体" w:eastAsia="宋体" w:cs="宋体"/>
          <w:kern w:val="0"/>
          <w:sz w:val="24"/>
          <w:lang w:eastAsia="zh-CN"/>
        </w:rPr>
      </w:pPr>
      <w:r>
        <w:rPr>
          <w:rFonts w:hint="eastAsia" w:ascii="宋体" w:hAnsi="宋体" w:cs="宋体"/>
          <w:kern w:val="0"/>
          <w:sz w:val="24"/>
        </w:rPr>
        <w:t>项目编号：</w:t>
      </w:r>
      <w:r>
        <w:rPr>
          <w:rFonts w:hint="eastAsia" w:ascii="宋体" w:hAnsi="宋体" w:cs="宋体"/>
          <w:kern w:val="0"/>
          <w:sz w:val="24"/>
          <w:lang w:eastAsia="zh-CN"/>
        </w:rPr>
        <w:t>CNDL2021446</w:t>
      </w:r>
    </w:p>
    <w:p>
      <w:pPr>
        <w:autoSpaceDE w:val="0"/>
        <w:autoSpaceDN w:val="0"/>
        <w:adjustRightInd w:val="0"/>
        <w:jc w:val="left"/>
        <w:rPr>
          <w:rFonts w:ascii="宋体" w:hAnsi="宋体" w:cs="宋体"/>
          <w:kern w:val="0"/>
          <w:sz w:val="24"/>
        </w:rPr>
      </w:pPr>
    </w:p>
    <w:tbl>
      <w:tblPr>
        <w:tblStyle w:val="43"/>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0"/>
        <w:gridCol w:w="2808"/>
        <w:gridCol w:w="2217"/>
        <w:gridCol w:w="1880"/>
        <w:gridCol w:w="180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9" w:hRule="atLeast"/>
        </w:trPr>
        <w:tc>
          <w:tcPr>
            <w:tcW w:w="1000" w:type="dxa"/>
            <w:vAlign w:val="center"/>
          </w:tcPr>
          <w:p>
            <w:pPr>
              <w:autoSpaceDE w:val="0"/>
              <w:autoSpaceDN w:val="0"/>
              <w:adjustRightInd w:val="0"/>
              <w:jc w:val="center"/>
              <w:rPr>
                <w:kern w:val="0"/>
                <w:sz w:val="24"/>
              </w:rPr>
            </w:pPr>
            <w:r>
              <w:rPr>
                <w:rFonts w:hint="eastAsia"/>
                <w:kern w:val="0"/>
                <w:sz w:val="24"/>
              </w:rPr>
              <w:t>序号</w:t>
            </w:r>
          </w:p>
        </w:tc>
        <w:tc>
          <w:tcPr>
            <w:tcW w:w="2808" w:type="dxa"/>
            <w:vAlign w:val="center"/>
          </w:tcPr>
          <w:p>
            <w:pPr>
              <w:autoSpaceDE w:val="0"/>
              <w:autoSpaceDN w:val="0"/>
              <w:adjustRightInd w:val="0"/>
              <w:jc w:val="center"/>
              <w:rPr>
                <w:kern w:val="0"/>
                <w:sz w:val="24"/>
              </w:rPr>
            </w:pPr>
            <w:r>
              <w:rPr>
                <w:rFonts w:hint="eastAsia"/>
                <w:kern w:val="0"/>
                <w:sz w:val="24"/>
              </w:rPr>
              <w:t>招标要求</w:t>
            </w:r>
          </w:p>
        </w:tc>
        <w:tc>
          <w:tcPr>
            <w:tcW w:w="2217" w:type="dxa"/>
            <w:vAlign w:val="center"/>
          </w:tcPr>
          <w:p>
            <w:pPr>
              <w:autoSpaceDE w:val="0"/>
              <w:autoSpaceDN w:val="0"/>
              <w:adjustRightInd w:val="0"/>
              <w:jc w:val="center"/>
              <w:rPr>
                <w:kern w:val="0"/>
                <w:sz w:val="24"/>
              </w:rPr>
            </w:pPr>
            <w:r>
              <w:rPr>
                <w:rFonts w:hint="eastAsia"/>
                <w:kern w:val="0"/>
                <w:sz w:val="24"/>
              </w:rPr>
              <w:t>投标响应</w:t>
            </w:r>
          </w:p>
        </w:tc>
        <w:tc>
          <w:tcPr>
            <w:tcW w:w="1880" w:type="dxa"/>
            <w:vAlign w:val="center"/>
          </w:tcPr>
          <w:p>
            <w:pPr>
              <w:autoSpaceDE w:val="0"/>
              <w:autoSpaceDN w:val="0"/>
              <w:adjustRightInd w:val="0"/>
              <w:jc w:val="center"/>
              <w:rPr>
                <w:kern w:val="0"/>
                <w:sz w:val="24"/>
              </w:rPr>
            </w:pPr>
            <w:r>
              <w:rPr>
                <w:rFonts w:hint="eastAsia"/>
                <w:kern w:val="0"/>
                <w:sz w:val="24"/>
              </w:rPr>
              <w:t>偏离情况</w:t>
            </w:r>
          </w:p>
        </w:tc>
        <w:tc>
          <w:tcPr>
            <w:tcW w:w="1806" w:type="dxa"/>
            <w:vAlign w:val="center"/>
          </w:tcPr>
          <w:p>
            <w:pPr>
              <w:autoSpaceDE w:val="0"/>
              <w:autoSpaceDN w:val="0"/>
              <w:adjustRightInd w:val="0"/>
              <w:jc w:val="center"/>
              <w:rPr>
                <w:kern w:val="0"/>
                <w:sz w:val="24"/>
              </w:rPr>
            </w:pPr>
            <w:r>
              <w:rPr>
                <w:rFonts w:hint="eastAsia"/>
                <w:kern w:val="0"/>
                <w:sz w:val="24"/>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1000" w:type="dxa"/>
            <w:vAlign w:val="center"/>
          </w:tcPr>
          <w:p>
            <w:pPr>
              <w:autoSpaceDE w:val="0"/>
              <w:autoSpaceDN w:val="0"/>
              <w:adjustRightInd w:val="0"/>
              <w:jc w:val="center"/>
              <w:rPr>
                <w:kern w:val="0"/>
                <w:sz w:val="24"/>
              </w:rPr>
            </w:pPr>
          </w:p>
        </w:tc>
        <w:tc>
          <w:tcPr>
            <w:tcW w:w="2808" w:type="dxa"/>
            <w:vAlign w:val="center"/>
          </w:tcPr>
          <w:p>
            <w:pPr>
              <w:autoSpaceDE w:val="0"/>
              <w:autoSpaceDN w:val="0"/>
              <w:adjustRightInd w:val="0"/>
              <w:jc w:val="center"/>
              <w:rPr>
                <w:kern w:val="0"/>
                <w:sz w:val="24"/>
              </w:rPr>
            </w:pPr>
          </w:p>
        </w:tc>
        <w:tc>
          <w:tcPr>
            <w:tcW w:w="2217" w:type="dxa"/>
            <w:vAlign w:val="center"/>
          </w:tcPr>
          <w:p>
            <w:pPr>
              <w:autoSpaceDE w:val="0"/>
              <w:autoSpaceDN w:val="0"/>
              <w:adjustRightInd w:val="0"/>
              <w:jc w:val="center"/>
              <w:rPr>
                <w:kern w:val="0"/>
                <w:sz w:val="24"/>
              </w:rPr>
            </w:pPr>
          </w:p>
        </w:tc>
        <w:tc>
          <w:tcPr>
            <w:tcW w:w="1880" w:type="dxa"/>
            <w:vAlign w:val="center"/>
          </w:tcPr>
          <w:p>
            <w:pPr>
              <w:autoSpaceDE w:val="0"/>
              <w:autoSpaceDN w:val="0"/>
              <w:adjustRightInd w:val="0"/>
              <w:jc w:val="center"/>
              <w:rPr>
                <w:kern w:val="0"/>
                <w:sz w:val="24"/>
              </w:rPr>
            </w:pPr>
          </w:p>
        </w:tc>
        <w:tc>
          <w:tcPr>
            <w:tcW w:w="1806"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1000" w:type="dxa"/>
            <w:vAlign w:val="center"/>
          </w:tcPr>
          <w:p>
            <w:pPr>
              <w:autoSpaceDE w:val="0"/>
              <w:autoSpaceDN w:val="0"/>
              <w:adjustRightInd w:val="0"/>
              <w:jc w:val="center"/>
              <w:rPr>
                <w:kern w:val="0"/>
                <w:sz w:val="24"/>
              </w:rPr>
            </w:pPr>
          </w:p>
        </w:tc>
        <w:tc>
          <w:tcPr>
            <w:tcW w:w="2808" w:type="dxa"/>
            <w:vAlign w:val="center"/>
          </w:tcPr>
          <w:p>
            <w:pPr>
              <w:autoSpaceDE w:val="0"/>
              <w:autoSpaceDN w:val="0"/>
              <w:adjustRightInd w:val="0"/>
              <w:jc w:val="center"/>
              <w:rPr>
                <w:kern w:val="0"/>
                <w:sz w:val="24"/>
              </w:rPr>
            </w:pPr>
          </w:p>
        </w:tc>
        <w:tc>
          <w:tcPr>
            <w:tcW w:w="2217" w:type="dxa"/>
            <w:vAlign w:val="center"/>
          </w:tcPr>
          <w:p>
            <w:pPr>
              <w:autoSpaceDE w:val="0"/>
              <w:autoSpaceDN w:val="0"/>
              <w:adjustRightInd w:val="0"/>
              <w:jc w:val="center"/>
              <w:rPr>
                <w:kern w:val="0"/>
                <w:sz w:val="24"/>
              </w:rPr>
            </w:pPr>
          </w:p>
        </w:tc>
        <w:tc>
          <w:tcPr>
            <w:tcW w:w="1880" w:type="dxa"/>
            <w:vAlign w:val="center"/>
          </w:tcPr>
          <w:p>
            <w:pPr>
              <w:autoSpaceDE w:val="0"/>
              <w:autoSpaceDN w:val="0"/>
              <w:adjustRightInd w:val="0"/>
              <w:jc w:val="center"/>
              <w:rPr>
                <w:kern w:val="0"/>
                <w:sz w:val="24"/>
              </w:rPr>
            </w:pPr>
          </w:p>
        </w:tc>
        <w:tc>
          <w:tcPr>
            <w:tcW w:w="1806"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1000" w:type="dxa"/>
            <w:vAlign w:val="center"/>
          </w:tcPr>
          <w:p>
            <w:pPr>
              <w:autoSpaceDE w:val="0"/>
              <w:autoSpaceDN w:val="0"/>
              <w:adjustRightInd w:val="0"/>
              <w:jc w:val="center"/>
              <w:rPr>
                <w:kern w:val="0"/>
                <w:sz w:val="24"/>
              </w:rPr>
            </w:pPr>
          </w:p>
        </w:tc>
        <w:tc>
          <w:tcPr>
            <w:tcW w:w="2808" w:type="dxa"/>
            <w:vAlign w:val="center"/>
          </w:tcPr>
          <w:p>
            <w:pPr>
              <w:autoSpaceDE w:val="0"/>
              <w:autoSpaceDN w:val="0"/>
              <w:adjustRightInd w:val="0"/>
              <w:jc w:val="center"/>
              <w:rPr>
                <w:kern w:val="0"/>
                <w:sz w:val="24"/>
              </w:rPr>
            </w:pPr>
          </w:p>
        </w:tc>
        <w:tc>
          <w:tcPr>
            <w:tcW w:w="2217" w:type="dxa"/>
            <w:vAlign w:val="center"/>
          </w:tcPr>
          <w:p>
            <w:pPr>
              <w:autoSpaceDE w:val="0"/>
              <w:autoSpaceDN w:val="0"/>
              <w:adjustRightInd w:val="0"/>
              <w:jc w:val="center"/>
              <w:rPr>
                <w:kern w:val="0"/>
                <w:sz w:val="24"/>
              </w:rPr>
            </w:pPr>
          </w:p>
        </w:tc>
        <w:tc>
          <w:tcPr>
            <w:tcW w:w="1880" w:type="dxa"/>
            <w:vAlign w:val="center"/>
          </w:tcPr>
          <w:p>
            <w:pPr>
              <w:autoSpaceDE w:val="0"/>
              <w:autoSpaceDN w:val="0"/>
              <w:adjustRightInd w:val="0"/>
              <w:jc w:val="center"/>
              <w:rPr>
                <w:kern w:val="0"/>
                <w:sz w:val="24"/>
              </w:rPr>
            </w:pPr>
          </w:p>
        </w:tc>
        <w:tc>
          <w:tcPr>
            <w:tcW w:w="1806"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1000" w:type="dxa"/>
            <w:vAlign w:val="center"/>
          </w:tcPr>
          <w:p>
            <w:pPr>
              <w:autoSpaceDE w:val="0"/>
              <w:autoSpaceDN w:val="0"/>
              <w:adjustRightInd w:val="0"/>
              <w:jc w:val="center"/>
              <w:rPr>
                <w:kern w:val="0"/>
                <w:sz w:val="24"/>
              </w:rPr>
            </w:pPr>
          </w:p>
        </w:tc>
        <w:tc>
          <w:tcPr>
            <w:tcW w:w="2808" w:type="dxa"/>
            <w:vAlign w:val="center"/>
          </w:tcPr>
          <w:p>
            <w:pPr>
              <w:autoSpaceDE w:val="0"/>
              <w:autoSpaceDN w:val="0"/>
              <w:adjustRightInd w:val="0"/>
              <w:jc w:val="center"/>
              <w:rPr>
                <w:kern w:val="0"/>
                <w:sz w:val="24"/>
              </w:rPr>
            </w:pPr>
          </w:p>
        </w:tc>
        <w:tc>
          <w:tcPr>
            <w:tcW w:w="2217" w:type="dxa"/>
            <w:vAlign w:val="center"/>
          </w:tcPr>
          <w:p>
            <w:pPr>
              <w:autoSpaceDE w:val="0"/>
              <w:autoSpaceDN w:val="0"/>
              <w:adjustRightInd w:val="0"/>
              <w:jc w:val="center"/>
              <w:rPr>
                <w:kern w:val="0"/>
                <w:sz w:val="24"/>
              </w:rPr>
            </w:pPr>
          </w:p>
        </w:tc>
        <w:tc>
          <w:tcPr>
            <w:tcW w:w="1880" w:type="dxa"/>
            <w:vAlign w:val="center"/>
          </w:tcPr>
          <w:p>
            <w:pPr>
              <w:autoSpaceDE w:val="0"/>
              <w:autoSpaceDN w:val="0"/>
              <w:adjustRightInd w:val="0"/>
              <w:jc w:val="center"/>
              <w:rPr>
                <w:kern w:val="0"/>
                <w:sz w:val="24"/>
              </w:rPr>
            </w:pPr>
          </w:p>
        </w:tc>
        <w:tc>
          <w:tcPr>
            <w:tcW w:w="1806"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1000" w:type="dxa"/>
            <w:vAlign w:val="center"/>
          </w:tcPr>
          <w:p>
            <w:pPr>
              <w:autoSpaceDE w:val="0"/>
              <w:autoSpaceDN w:val="0"/>
              <w:adjustRightInd w:val="0"/>
              <w:jc w:val="center"/>
              <w:rPr>
                <w:kern w:val="0"/>
                <w:sz w:val="24"/>
              </w:rPr>
            </w:pPr>
          </w:p>
        </w:tc>
        <w:tc>
          <w:tcPr>
            <w:tcW w:w="2808" w:type="dxa"/>
            <w:vAlign w:val="center"/>
          </w:tcPr>
          <w:p>
            <w:pPr>
              <w:autoSpaceDE w:val="0"/>
              <w:autoSpaceDN w:val="0"/>
              <w:adjustRightInd w:val="0"/>
              <w:jc w:val="center"/>
              <w:rPr>
                <w:kern w:val="0"/>
                <w:sz w:val="24"/>
              </w:rPr>
            </w:pPr>
          </w:p>
        </w:tc>
        <w:tc>
          <w:tcPr>
            <w:tcW w:w="2217" w:type="dxa"/>
            <w:vAlign w:val="center"/>
          </w:tcPr>
          <w:p>
            <w:pPr>
              <w:autoSpaceDE w:val="0"/>
              <w:autoSpaceDN w:val="0"/>
              <w:adjustRightInd w:val="0"/>
              <w:jc w:val="center"/>
              <w:rPr>
                <w:kern w:val="0"/>
                <w:sz w:val="24"/>
              </w:rPr>
            </w:pPr>
          </w:p>
        </w:tc>
        <w:tc>
          <w:tcPr>
            <w:tcW w:w="1880" w:type="dxa"/>
            <w:vAlign w:val="center"/>
          </w:tcPr>
          <w:p>
            <w:pPr>
              <w:autoSpaceDE w:val="0"/>
              <w:autoSpaceDN w:val="0"/>
              <w:adjustRightInd w:val="0"/>
              <w:jc w:val="center"/>
              <w:rPr>
                <w:kern w:val="0"/>
                <w:sz w:val="24"/>
              </w:rPr>
            </w:pPr>
          </w:p>
        </w:tc>
        <w:tc>
          <w:tcPr>
            <w:tcW w:w="1806"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9711" w:type="dxa"/>
            <w:gridSpan w:val="5"/>
            <w:vAlign w:val="center"/>
          </w:tcPr>
          <w:p>
            <w:pPr>
              <w:autoSpaceDE w:val="0"/>
              <w:autoSpaceDN w:val="0"/>
              <w:adjustRightInd w:val="0"/>
              <w:jc w:val="left"/>
              <w:rPr>
                <w:rFonts w:ascii="宋体" w:hAnsi="宋体" w:cs="宋体"/>
                <w:kern w:val="0"/>
                <w:sz w:val="24"/>
              </w:rPr>
            </w:pPr>
            <w:r>
              <w:rPr>
                <w:rFonts w:hint="eastAsia" w:ascii="宋体" w:hAnsi="宋体" w:cs="宋体"/>
                <w:kern w:val="0"/>
                <w:sz w:val="24"/>
              </w:rPr>
              <w:t>对招标要求条款的拒绝声明（有拒绝响应条款的，请在此处如实说明；没有的，请填“无”）：</w:t>
            </w:r>
            <w:r>
              <w:rPr>
                <w:rFonts w:ascii="宋体" w:hAnsi="宋体" w:cs="宋体"/>
                <w:kern w:val="0"/>
                <w:sz w:val="24"/>
              </w:rPr>
              <w:t xml:space="preserve"> </w:t>
            </w: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center"/>
              <w:rPr>
                <w:kern w:val="0"/>
                <w:sz w:val="24"/>
              </w:rPr>
            </w:pPr>
          </w:p>
        </w:tc>
      </w:tr>
    </w:tbl>
    <w:p>
      <w:pPr>
        <w:autoSpaceDE w:val="0"/>
        <w:autoSpaceDN w:val="0"/>
        <w:adjustRightInd w:val="0"/>
        <w:spacing w:line="460" w:lineRule="exact"/>
        <w:jc w:val="left"/>
        <w:rPr>
          <w:b/>
          <w:kern w:val="0"/>
          <w:sz w:val="24"/>
        </w:rPr>
      </w:pPr>
      <w:r>
        <w:rPr>
          <w:rFonts w:hint="eastAsia" w:ascii="宋体" w:hAnsi="宋体" w:cs="宋体"/>
          <w:b/>
          <w:kern w:val="0"/>
          <w:sz w:val="24"/>
        </w:rPr>
        <w:t>注：（</w:t>
      </w:r>
      <w:r>
        <w:rPr>
          <w:rFonts w:ascii="宋体" w:hAnsi="宋体" w:cs="宋体"/>
          <w:b/>
          <w:kern w:val="0"/>
          <w:sz w:val="24"/>
        </w:rPr>
        <w:t>1</w:t>
      </w:r>
      <w:r>
        <w:rPr>
          <w:rFonts w:hint="eastAsia" w:ascii="宋体" w:hAnsi="宋体" w:cs="宋体"/>
          <w:b/>
          <w:kern w:val="0"/>
          <w:sz w:val="24"/>
        </w:rPr>
        <w:t>）招标要求详见《第二章</w:t>
      </w:r>
      <w:r>
        <w:rPr>
          <w:rFonts w:ascii="宋体" w:hAnsi="宋体" w:cs="宋体"/>
          <w:b/>
          <w:kern w:val="0"/>
          <w:sz w:val="24"/>
        </w:rPr>
        <w:t xml:space="preserve"> </w:t>
      </w:r>
      <w:r>
        <w:rPr>
          <w:rFonts w:hint="eastAsia" w:ascii="宋体" w:hAnsi="宋体" w:cs="宋体"/>
          <w:b/>
          <w:kern w:val="0"/>
          <w:sz w:val="24"/>
        </w:rPr>
        <w:t>招标需求》；（</w:t>
      </w:r>
      <w:r>
        <w:rPr>
          <w:rFonts w:ascii="宋体" w:hAnsi="宋体" w:cs="宋体"/>
          <w:b/>
          <w:kern w:val="0"/>
          <w:sz w:val="24"/>
        </w:rPr>
        <w:t>2</w:t>
      </w:r>
      <w:r>
        <w:rPr>
          <w:rFonts w:hint="eastAsia" w:ascii="宋体" w:hAnsi="宋体" w:cs="宋体"/>
          <w:b/>
          <w:kern w:val="0"/>
          <w:sz w:val="24"/>
        </w:rPr>
        <w:t>）</w:t>
      </w:r>
      <w:r>
        <w:rPr>
          <w:rFonts w:ascii="宋体" w:hAnsi="宋体" w:cs="宋体"/>
          <w:b/>
          <w:kern w:val="0"/>
          <w:sz w:val="24"/>
        </w:rPr>
        <w:t>▲</w:t>
      </w:r>
      <w:r>
        <w:rPr>
          <w:rFonts w:hint="eastAsia" w:ascii="宋体" w:hAnsi="宋体" w:cs="宋体"/>
          <w:b/>
          <w:kern w:val="0"/>
          <w:sz w:val="24"/>
        </w:rPr>
        <w:t>投标供应商必须提供本表，否则投标无效。投标供应商没有逐一响应的，视为完全响应</w:t>
      </w:r>
      <w:r>
        <w:rPr>
          <w:rFonts w:hint="eastAsia" w:ascii="宋体" w:hAnsi="宋体" w:cs="宋体"/>
          <w:b/>
          <w:kern w:val="0"/>
          <w:sz w:val="24"/>
          <w:lang w:eastAsia="zh-CN"/>
        </w:rPr>
        <w:t>采购</w:t>
      </w:r>
      <w:r>
        <w:rPr>
          <w:rFonts w:hint="eastAsia" w:ascii="宋体" w:hAnsi="宋体" w:cs="宋体"/>
          <w:b/>
          <w:kern w:val="0"/>
          <w:sz w:val="24"/>
        </w:rPr>
        <w:t>文件要求；（</w:t>
      </w:r>
      <w:r>
        <w:rPr>
          <w:rFonts w:ascii="宋体" w:hAnsi="宋体" w:cs="宋体"/>
          <w:b/>
          <w:kern w:val="0"/>
          <w:sz w:val="24"/>
        </w:rPr>
        <w:t>3</w:t>
      </w:r>
      <w:r>
        <w:rPr>
          <w:rFonts w:hint="eastAsia" w:ascii="宋体" w:hAnsi="宋体" w:cs="宋体"/>
          <w:b/>
          <w:kern w:val="0"/>
          <w:sz w:val="24"/>
        </w:rPr>
        <w:t>）“偏离情况”栏填写：“正偏离”或“负偏离”或“无偏离”。</w:t>
      </w:r>
      <w:r>
        <w:rPr>
          <w:rFonts w:ascii="宋体" w:hAnsi="宋体" w:cs="宋体"/>
          <w:b/>
          <w:kern w:val="0"/>
          <w:sz w:val="24"/>
        </w:rPr>
        <w:t xml:space="preserve"> </w:t>
      </w:r>
    </w:p>
    <w:p>
      <w:pPr>
        <w:autoSpaceDE w:val="0"/>
        <w:autoSpaceDN w:val="0"/>
        <w:adjustRightInd w:val="0"/>
        <w:jc w:val="left"/>
        <w:rPr>
          <w:kern w:val="0"/>
          <w:sz w:val="24"/>
        </w:rPr>
      </w:pPr>
    </w:p>
    <w:p>
      <w:pPr>
        <w:pStyle w:val="22"/>
        <w:adjustRightInd w:val="0"/>
        <w:snapToGrid w:val="0"/>
        <w:spacing w:line="460" w:lineRule="exact"/>
        <w:rPr>
          <w:rFonts w:hAnsi="宋体" w:cs="宋体"/>
          <w:b/>
          <w:kern w:val="0"/>
          <w:sz w:val="24"/>
          <w:szCs w:val="24"/>
        </w:rPr>
      </w:pPr>
    </w:p>
    <w:p>
      <w:pPr>
        <w:pStyle w:val="22"/>
        <w:adjustRightInd w:val="0"/>
        <w:snapToGrid w:val="0"/>
        <w:spacing w:line="460" w:lineRule="exact"/>
        <w:rPr>
          <w:rFonts w:hAnsi="宋体" w:cs="宋体"/>
          <w:kern w:val="0"/>
          <w:sz w:val="28"/>
          <w:szCs w:val="28"/>
        </w:rPr>
      </w:pPr>
      <w:r>
        <w:rPr>
          <w:rFonts w:hint="eastAsia" w:hAnsi="宋体" w:cs="宋体"/>
          <w:kern w:val="0"/>
          <w:sz w:val="28"/>
          <w:szCs w:val="28"/>
        </w:rPr>
        <w:t>投标供应商名称（盖章）：</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u w:val="single"/>
        </w:rPr>
      </w:pPr>
      <w:r>
        <w:rPr>
          <w:rFonts w:hint="eastAsia" w:hAnsi="宋体" w:cs="宋体"/>
          <w:kern w:val="0"/>
          <w:sz w:val="28"/>
          <w:szCs w:val="28"/>
        </w:rPr>
        <w:t>法定代表人或其授权代表（签字或盖章）：</w:t>
      </w:r>
      <w:r>
        <w:rPr>
          <w:rFonts w:hint="eastAsia" w:hAnsi="宋体" w:cs="宋体"/>
          <w:kern w:val="0"/>
          <w:sz w:val="28"/>
          <w:szCs w:val="28"/>
          <w:u w:val="single"/>
        </w:rPr>
        <w:t xml:space="preserve">              </w:t>
      </w: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 xml:space="preserve">日期： </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格式1-1</w:t>
      </w:r>
      <w:r>
        <w:rPr>
          <w:rFonts w:hint="eastAsia" w:hAnsi="宋体" w:cs="宋体"/>
          <w:kern w:val="0"/>
          <w:sz w:val="28"/>
          <w:szCs w:val="28"/>
          <w:lang w:val="en-US" w:eastAsia="zh-CN"/>
        </w:rPr>
        <w:t>6</w:t>
      </w:r>
      <w:r>
        <w:rPr>
          <w:rFonts w:hint="eastAsia" w:hAnsi="宋体" w:cs="宋体"/>
          <w:kern w:val="0"/>
          <w:sz w:val="28"/>
          <w:szCs w:val="28"/>
        </w:rPr>
        <w:t>、《商务响应表》</w:t>
      </w:r>
    </w:p>
    <w:p>
      <w:pPr>
        <w:pStyle w:val="22"/>
        <w:adjustRightInd w:val="0"/>
        <w:snapToGrid w:val="0"/>
        <w:spacing w:line="340" w:lineRule="atLeast"/>
        <w:rPr>
          <w:rFonts w:hAnsi="宋体" w:cs="宋体"/>
          <w:kern w:val="0"/>
          <w:sz w:val="28"/>
          <w:szCs w:val="28"/>
        </w:rPr>
      </w:pPr>
    </w:p>
    <w:p>
      <w:pPr>
        <w:autoSpaceDE w:val="0"/>
        <w:autoSpaceDN w:val="0"/>
        <w:adjustRightInd w:val="0"/>
        <w:jc w:val="center"/>
        <w:rPr>
          <w:kern w:val="0"/>
          <w:sz w:val="44"/>
          <w:szCs w:val="44"/>
        </w:rPr>
      </w:pPr>
      <w:r>
        <w:rPr>
          <w:rFonts w:hint="eastAsia" w:ascii="宋体" w:hAnsi="宋体" w:cs="宋体"/>
          <w:kern w:val="0"/>
          <w:sz w:val="44"/>
          <w:szCs w:val="44"/>
        </w:rPr>
        <w:t>商务响应表</w:t>
      </w:r>
    </w:p>
    <w:p>
      <w:pPr>
        <w:pStyle w:val="22"/>
        <w:adjustRightInd w:val="0"/>
        <w:snapToGrid w:val="0"/>
        <w:spacing w:line="340" w:lineRule="atLeast"/>
        <w:rPr>
          <w:rFonts w:hAnsi="宋体" w:cs="宋体"/>
          <w:kern w:val="0"/>
          <w:sz w:val="24"/>
          <w:szCs w:val="24"/>
        </w:rPr>
      </w:pPr>
      <w:r>
        <w:rPr>
          <w:rFonts w:hint="eastAsia" w:hAnsi="宋体" w:cs="宋体"/>
          <w:kern w:val="0"/>
          <w:sz w:val="24"/>
          <w:szCs w:val="24"/>
        </w:rPr>
        <w:t>项目名称：</w:t>
      </w:r>
      <w:r>
        <w:rPr>
          <w:rFonts w:hint="eastAsia" w:hAnsi="宋体" w:cs="宋体"/>
          <w:kern w:val="0"/>
          <w:sz w:val="24"/>
          <w:szCs w:val="24"/>
          <w:lang w:eastAsia="zh-CN"/>
        </w:rPr>
        <w:t>苍南县宜山镇道路照明提升工程设计、采购及安装项目</w:t>
      </w:r>
    </w:p>
    <w:p>
      <w:pPr>
        <w:autoSpaceDE w:val="0"/>
        <w:autoSpaceDN w:val="0"/>
        <w:adjustRightInd w:val="0"/>
        <w:jc w:val="left"/>
        <w:rPr>
          <w:rFonts w:hint="eastAsia" w:ascii="宋体" w:hAnsi="宋体" w:eastAsia="宋体" w:cs="宋体"/>
          <w:kern w:val="0"/>
          <w:sz w:val="24"/>
          <w:lang w:eastAsia="zh-CN"/>
        </w:rPr>
      </w:pPr>
      <w:r>
        <w:rPr>
          <w:rFonts w:hint="eastAsia" w:ascii="宋体" w:hAnsi="宋体" w:cs="宋体"/>
          <w:kern w:val="0"/>
          <w:sz w:val="24"/>
        </w:rPr>
        <w:t>项目编号：</w:t>
      </w:r>
      <w:r>
        <w:rPr>
          <w:rFonts w:hint="eastAsia" w:ascii="宋体" w:hAnsi="宋体" w:cs="宋体"/>
          <w:kern w:val="0"/>
          <w:sz w:val="24"/>
          <w:lang w:eastAsia="zh-CN"/>
        </w:rPr>
        <w:t>CNDL2021446</w:t>
      </w:r>
    </w:p>
    <w:tbl>
      <w:tblPr>
        <w:tblStyle w:val="43"/>
        <w:tblW w:w="9897" w:type="dxa"/>
        <w:tblInd w:w="-17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62"/>
        <w:gridCol w:w="717"/>
        <w:gridCol w:w="4817"/>
        <w:gridCol w:w="2060"/>
        <w:gridCol w:w="953"/>
        <w:gridCol w:w="7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1" w:hRule="atLeast"/>
        </w:trPr>
        <w:tc>
          <w:tcPr>
            <w:tcW w:w="562" w:type="dxa"/>
            <w:vAlign w:val="center"/>
          </w:tcPr>
          <w:p>
            <w:pPr>
              <w:autoSpaceDE w:val="0"/>
              <w:autoSpaceDN w:val="0"/>
              <w:adjustRightInd w:val="0"/>
              <w:jc w:val="center"/>
              <w:rPr>
                <w:kern w:val="0"/>
                <w:sz w:val="24"/>
              </w:rPr>
            </w:pPr>
            <w:r>
              <w:rPr>
                <w:rFonts w:hint="eastAsia"/>
                <w:kern w:val="0"/>
                <w:sz w:val="24"/>
              </w:rPr>
              <w:t>序号</w:t>
            </w:r>
          </w:p>
        </w:tc>
        <w:tc>
          <w:tcPr>
            <w:tcW w:w="5534" w:type="dxa"/>
            <w:gridSpan w:val="2"/>
            <w:vAlign w:val="center"/>
          </w:tcPr>
          <w:p>
            <w:pPr>
              <w:autoSpaceDE w:val="0"/>
              <w:autoSpaceDN w:val="0"/>
              <w:adjustRightInd w:val="0"/>
              <w:jc w:val="center"/>
              <w:rPr>
                <w:kern w:val="0"/>
                <w:sz w:val="24"/>
              </w:rPr>
            </w:pPr>
            <w:r>
              <w:rPr>
                <w:rFonts w:hint="eastAsia"/>
                <w:kern w:val="0"/>
                <w:sz w:val="24"/>
              </w:rPr>
              <w:t>招标要求</w:t>
            </w:r>
          </w:p>
        </w:tc>
        <w:tc>
          <w:tcPr>
            <w:tcW w:w="2060" w:type="dxa"/>
            <w:vAlign w:val="center"/>
          </w:tcPr>
          <w:p>
            <w:pPr>
              <w:autoSpaceDE w:val="0"/>
              <w:autoSpaceDN w:val="0"/>
              <w:adjustRightInd w:val="0"/>
              <w:jc w:val="center"/>
              <w:rPr>
                <w:kern w:val="0"/>
                <w:sz w:val="24"/>
              </w:rPr>
            </w:pPr>
            <w:r>
              <w:rPr>
                <w:rFonts w:hint="eastAsia"/>
                <w:kern w:val="0"/>
                <w:sz w:val="24"/>
              </w:rPr>
              <w:t>投标响应</w:t>
            </w:r>
          </w:p>
        </w:tc>
        <w:tc>
          <w:tcPr>
            <w:tcW w:w="953" w:type="dxa"/>
            <w:vAlign w:val="center"/>
          </w:tcPr>
          <w:p>
            <w:pPr>
              <w:autoSpaceDE w:val="0"/>
              <w:autoSpaceDN w:val="0"/>
              <w:adjustRightInd w:val="0"/>
              <w:jc w:val="center"/>
              <w:rPr>
                <w:kern w:val="0"/>
                <w:sz w:val="24"/>
              </w:rPr>
            </w:pPr>
            <w:r>
              <w:rPr>
                <w:rFonts w:hint="eastAsia"/>
                <w:kern w:val="0"/>
                <w:sz w:val="24"/>
              </w:rPr>
              <w:t>偏离情况</w:t>
            </w:r>
          </w:p>
        </w:tc>
        <w:tc>
          <w:tcPr>
            <w:tcW w:w="788" w:type="dxa"/>
            <w:vAlign w:val="center"/>
          </w:tcPr>
          <w:p>
            <w:pPr>
              <w:autoSpaceDE w:val="0"/>
              <w:autoSpaceDN w:val="0"/>
              <w:adjustRightInd w:val="0"/>
              <w:jc w:val="center"/>
              <w:rPr>
                <w:kern w:val="0"/>
                <w:sz w:val="24"/>
              </w:rPr>
            </w:pPr>
            <w:r>
              <w:rPr>
                <w:rFonts w:hint="eastAsia"/>
                <w:kern w:val="0"/>
                <w:sz w:val="24"/>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1" w:hRule="atLeast"/>
        </w:trPr>
        <w:tc>
          <w:tcPr>
            <w:tcW w:w="562" w:type="dxa"/>
            <w:vAlign w:val="center"/>
          </w:tcPr>
          <w:p>
            <w:pPr>
              <w:autoSpaceDE w:val="0"/>
              <w:autoSpaceDN w:val="0"/>
              <w:adjustRightInd w:val="0"/>
              <w:jc w:val="center"/>
              <w:rPr>
                <w:kern w:val="0"/>
                <w:sz w:val="24"/>
              </w:rPr>
            </w:pPr>
            <w:r>
              <w:rPr>
                <w:rFonts w:hint="eastAsia"/>
                <w:kern w:val="0"/>
                <w:sz w:val="24"/>
              </w:rPr>
              <w:t>1</w:t>
            </w:r>
          </w:p>
        </w:tc>
        <w:tc>
          <w:tcPr>
            <w:tcW w:w="717" w:type="dxa"/>
            <w:vAlign w:val="center"/>
          </w:tcPr>
          <w:p>
            <w:pPr>
              <w:spacing w:line="320" w:lineRule="exact"/>
              <w:jc w:val="left"/>
              <w:rPr>
                <w:rFonts w:ascii="宋体" w:hAnsi="宋体" w:cs="宋体"/>
                <w:b/>
              </w:rPr>
            </w:pPr>
            <w:r>
              <w:rPr>
                <w:rFonts w:hint="eastAsia" w:ascii="宋体" w:hAnsi="宋体" w:cs="宋体"/>
                <w:b/>
              </w:rPr>
              <w:t>服务期限</w:t>
            </w:r>
          </w:p>
        </w:tc>
        <w:tc>
          <w:tcPr>
            <w:tcW w:w="4817" w:type="dxa"/>
            <w:vAlign w:val="center"/>
          </w:tcPr>
          <w:p>
            <w:pPr>
              <w:autoSpaceDE w:val="0"/>
              <w:autoSpaceDN w:val="0"/>
              <w:adjustRightInd w:val="0"/>
              <w:jc w:val="left"/>
              <w:rPr>
                <w:kern w:val="0"/>
                <w:sz w:val="24"/>
              </w:rPr>
            </w:pPr>
          </w:p>
        </w:tc>
        <w:tc>
          <w:tcPr>
            <w:tcW w:w="2060" w:type="dxa"/>
            <w:vAlign w:val="center"/>
          </w:tcPr>
          <w:p>
            <w:pPr>
              <w:autoSpaceDE w:val="0"/>
              <w:autoSpaceDN w:val="0"/>
              <w:adjustRightInd w:val="0"/>
              <w:jc w:val="left"/>
              <w:rPr>
                <w:kern w:val="0"/>
                <w:sz w:val="24"/>
              </w:rPr>
            </w:pPr>
          </w:p>
        </w:tc>
        <w:tc>
          <w:tcPr>
            <w:tcW w:w="953" w:type="dxa"/>
            <w:vAlign w:val="center"/>
          </w:tcPr>
          <w:p>
            <w:pPr>
              <w:autoSpaceDE w:val="0"/>
              <w:autoSpaceDN w:val="0"/>
              <w:adjustRightInd w:val="0"/>
              <w:jc w:val="center"/>
              <w:rPr>
                <w:kern w:val="0"/>
                <w:sz w:val="24"/>
              </w:rPr>
            </w:pPr>
          </w:p>
        </w:tc>
        <w:tc>
          <w:tcPr>
            <w:tcW w:w="788"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1" w:hRule="atLeast"/>
        </w:trPr>
        <w:tc>
          <w:tcPr>
            <w:tcW w:w="562" w:type="dxa"/>
            <w:vAlign w:val="center"/>
          </w:tcPr>
          <w:p>
            <w:pPr>
              <w:autoSpaceDE w:val="0"/>
              <w:autoSpaceDN w:val="0"/>
              <w:adjustRightInd w:val="0"/>
              <w:jc w:val="center"/>
              <w:rPr>
                <w:kern w:val="0"/>
                <w:sz w:val="24"/>
              </w:rPr>
            </w:pPr>
            <w:r>
              <w:rPr>
                <w:rFonts w:hint="eastAsia"/>
                <w:kern w:val="0"/>
                <w:sz w:val="24"/>
              </w:rPr>
              <w:t>2</w:t>
            </w:r>
          </w:p>
        </w:tc>
        <w:tc>
          <w:tcPr>
            <w:tcW w:w="717" w:type="dxa"/>
            <w:vAlign w:val="center"/>
          </w:tcPr>
          <w:p>
            <w:pPr>
              <w:spacing w:line="320" w:lineRule="exact"/>
              <w:jc w:val="left"/>
              <w:rPr>
                <w:rFonts w:ascii="宋体" w:hAnsi="宋体" w:cs="宋体"/>
                <w:b/>
              </w:rPr>
            </w:pPr>
            <w:r>
              <w:rPr>
                <w:rFonts w:hint="eastAsia" w:ascii="宋体" w:hAnsi="宋体" w:cs="宋体"/>
                <w:b/>
              </w:rPr>
              <w:t>付款方式</w:t>
            </w:r>
          </w:p>
        </w:tc>
        <w:tc>
          <w:tcPr>
            <w:tcW w:w="4817" w:type="dxa"/>
            <w:vAlign w:val="center"/>
          </w:tcPr>
          <w:p>
            <w:pPr>
              <w:spacing w:line="320" w:lineRule="exact"/>
              <w:jc w:val="left"/>
              <w:rPr>
                <w:rFonts w:ascii="宋体" w:hAnsi="宋体" w:cs="宋体"/>
                <w:b/>
              </w:rPr>
            </w:pPr>
          </w:p>
        </w:tc>
        <w:tc>
          <w:tcPr>
            <w:tcW w:w="2060" w:type="dxa"/>
            <w:vAlign w:val="center"/>
          </w:tcPr>
          <w:p>
            <w:pPr>
              <w:autoSpaceDE w:val="0"/>
              <w:autoSpaceDN w:val="0"/>
              <w:adjustRightInd w:val="0"/>
              <w:jc w:val="left"/>
              <w:rPr>
                <w:kern w:val="0"/>
                <w:sz w:val="24"/>
              </w:rPr>
            </w:pPr>
          </w:p>
        </w:tc>
        <w:tc>
          <w:tcPr>
            <w:tcW w:w="953" w:type="dxa"/>
            <w:vAlign w:val="center"/>
          </w:tcPr>
          <w:p>
            <w:pPr>
              <w:autoSpaceDE w:val="0"/>
              <w:autoSpaceDN w:val="0"/>
              <w:adjustRightInd w:val="0"/>
              <w:jc w:val="center"/>
              <w:rPr>
                <w:kern w:val="0"/>
                <w:sz w:val="24"/>
              </w:rPr>
            </w:pPr>
          </w:p>
        </w:tc>
        <w:tc>
          <w:tcPr>
            <w:tcW w:w="788"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1" w:hRule="atLeast"/>
        </w:trPr>
        <w:tc>
          <w:tcPr>
            <w:tcW w:w="562" w:type="dxa"/>
            <w:vAlign w:val="center"/>
          </w:tcPr>
          <w:p>
            <w:pPr>
              <w:autoSpaceDE w:val="0"/>
              <w:autoSpaceDN w:val="0"/>
              <w:adjustRightInd w:val="0"/>
              <w:jc w:val="center"/>
              <w:rPr>
                <w:kern w:val="0"/>
                <w:sz w:val="24"/>
              </w:rPr>
            </w:pPr>
            <w:r>
              <w:rPr>
                <w:rFonts w:hint="eastAsia"/>
                <w:kern w:val="0"/>
                <w:sz w:val="24"/>
              </w:rPr>
              <w:t>3</w:t>
            </w:r>
          </w:p>
        </w:tc>
        <w:tc>
          <w:tcPr>
            <w:tcW w:w="717" w:type="dxa"/>
            <w:vAlign w:val="center"/>
          </w:tcPr>
          <w:p>
            <w:pPr>
              <w:spacing w:line="320" w:lineRule="exact"/>
              <w:jc w:val="left"/>
              <w:rPr>
                <w:rFonts w:ascii="宋体" w:hAnsi="宋体" w:cs="宋体"/>
                <w:b/>
              </w:rPr>
            </w:pPr>
            <w:r>
              <w:rPr>
                <w:rFonts w:hint="eastAsia" w:ascii="宋体" w:hAnsi="宋体" w:cs="宋体"/>
                <w:b/>
              </w:rPr>
              <w:t>质量标准</w:t>
            </w:r>
          </w:p>
        </w:tc>
        <w:tc>
          <w:tcPr>
            <w:tcW w:w="4817" w:type="dxa"/>
            <w:vAlign w:val="center"/>
          </w:tcPr>
          <w:p>
            <w:pPr>
              <w:spacing w:line="320" w:lineRule="exact"/>
              <w:jc w:val="left"/>
              <w:rPr>
                <w:rFonts w:ascii="宋体" w:hAnsi="宋体" w:cs="宋体"/>
                <w:b/>
              </w:rPr>
            </w:pPr>
          </w:p>
        </w:tc>
        <w:tc>
          <w:tcPr>
            <w:tcW w:w="2060" w:type="dxa"/>
            <w:vAlign w:val="center"/>
          </w:tcPr>
          <w:p>
            <w:pPr>
              <w:autoSpaceDE w:val="0"/>
              <w:autoSpaceDN w:val="0"/>
              <w:adjustRightInd w:val="0"/>
              <w:jc w:val="left"/>
              <w:rPr>
                <w:kern w:val="0"/>
                <w:sz w:val="24"/>
              </w:rPr>
            </w:pPr>
          </w:p>
        </w:tc>
        <w:tc>
          <w:tcPr>
            <w:tcW w:w="953" w:type="dxa"/>
            <w:vAlign w:val="center"/>
          </w:tcPr>
          <w:p>
            <w:pPr>
              <w:autoSpaceDE w:val="0"/>
              <w:autoSpaceDN w:val="0"/>
              <w:adjustRightInd w:val="0"/>
              <w:jc w:val="center"/>
              <w:rPr>
                <w:kern w:val="0"/>
                <w:sz w:val="24"/>
              </w:rPr>
            </w:pPr>
          </w:p>
        </w:tc>
        <w:tc>
          <w:tcPr>
            <w:tcW w:w="788" w:type="dxa"/>
            <w:vAlign w:val="center"/>
          </w:tcPr>
          <w:p>
            <w:pPr>
              <w:autoSpaceDE w:val="0"/>
              <w:autoSpaceDN w:val="0"/>
              <w:adjustRightInd w:val="0"/>
              <w:jc w:val="center"/>
              <w:rPr>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1" w:hRule="atLeast"/>
        </w:trPr>
        <w:tc>
          <w:tcPr>
            <w:tcW w:w="562" w:type="dxa"/>
            <w:vAlign w:val="center"/>
          </w:tcPr>
          <w:p>
            <w:pPr>
              <w:autoSpaceDE w:val="0"/>
              <w:autoSpaceDN w:val="0"/>
              <w:adjustRightInd w:val="0"/>
              <w:jc w:val="center"/>
              <w:rPr>
                <w:kern w:val="0"/>
                <w:sz w:val="24"/>
              </w:rPr>
            </w:pPr>
            <w:r>
              <w:rPr>
                <w:rFonts w:hint="eastAsia"/>
                <w:kern w:val="0"/>
                <w:sz w:val="24"/>
              </w:rPr>
              <w:t>4</w:t>
            </w:r>
          </w:p>
        </w:tc>
        <w:tc>
          <w:tcPr>
            <w:tcW w:w="717" w:type="dxa"/>
            <w:vAlign w:val="center"/>
          </w:tcPr>
          <w:p>
            <w:pPr>
              <w:spacing w:line="320" w:lineRule="exact"/>
              <w:jc w:val="left"/>
              <w:rPr>
                <w:rFonts w:hint="default" w:ascii="宋体" w:hAnsi="宋体" w:eastAsia="宋体" w:cs="宋体"/>
                <w:b/>
                <w:lang w:val="en-US" w:eastAsia="zh-CN"/>
              </w:rPr>
            </w:pPr>
            <w:r>
              <w:rPr>
                <w:rFonts w:hint="eastAsia" w:ascii="宋体" w:hAnsi="宋体" w:cs="宋体"/>
                <w:b/>
                <w:lang w:val="en-US" w:eastAsia="zh-CN"/>
              </w:rPr>
              <w:t>...</w:t>
            </w:r>
          </w:p>
        </w:tc>
        <w:tc>
          <w:tcPr>
            <w:tcW w:w="4817" w:type="dxa"/>
            <w:vAlign w:val="center"/>
          </w:tcPr>
          <w:p>
            <w:pPr>
              <w:spacing w:line="320" w:lineRule="exact"/>
              <w:ind w:firstLine="422" w:firstLineChars="200"/>
              <w:jc w:val="left"/>
              <w:rPr>
                <w:rFonts w:hint="default" w:ascii="宋体" w:hAnsi="宋体" w:eastAsia="宋体" w:cs="宋体"/>
                <w:b/>
                <w:lang w:val="en-US" w:eastAsia="zh-CN"/>
              </w:rPr>
            </w:pPr>
          </w:p>
        </w:tc>
        <w:tc>
          <w:tcPr>
            <w:tcW w:w="2060" w:type="dxa"/>
            <w:vAlign w:val="center"/>
          </w:tcPr>
          <w:p>
            <w:pPr>
              <w:autoSpaceDE w:val="0"/>
              <w:autoSpaceDN w:val="0"/>
              <w:adjustRightInd w:val="0"/>
              <w:jc w:val="left"/>
              <w:rPr>
                <w:kern w:val="0"/>
                <w:sz w:val="24"/>
              </w:rPr>
            </w:pPr>
          </w:p>
        </w:tc>
        <w:tc>
          <w:tcPr>
            <w:tcW w:w="953" w:type="dxa"/>
            <w:vAlign w:val="center"/>
          </w:tcPr>
          <w:p>
            <w:pPr>
              <w:autoSpaceDE w:val="0"/>
              <w:autoSpaceDN w:val="0"/>
              <w:adjustRightInd w:val="0"/>
              <w:jc w:val="center"/>
              <w:rPr>
                <w:kern w:val="0"/>
                <w:sz w:val="24"/>
              </w:rPr>
            </w:pPr>
          </w:p>
        </w:tc>
        <w:tc>
          <w:tcPr>
            <w:tcW w:w="788" w:type="dxa"/>
            <w:vAlign w:val="center"/>
          </w:tcPr>
          <w:p>
            <w:pPr>
              <w:autoSpaceDE w:val="0"/>
              <w:autoSpaceDN w:val="0"/>
              <w:adjustRightInd w:val="0"/>
              <w:jc w:val="center"/>
              <w:rPr>
                <w:kern w:val="0"/>
                <w:sz w:val="24"/>
              </w:rPr>
            </w:pPr>
          </w:p>
        </w:tc>
      </w:tr>
    </w:tbl>
    <w:p>
      <w:pPr>
        <w:autoSpaceDE w:val="0"/>
        <w:autoSpaceDN w:val="0"/>
        <w:adjustRightInd w:val="0"/>
        <w:spacing w:line="400" w:lineRule="exact"/>
        <w:jc w:val="left"/>
        <w:rPr>
          <w:b/>
          <w:kern w:val="0"/>
          <w:sz w:val="24"/>
        </w:rPr>
      </w:pPr>
      <w:r>
        <w:rPr>
          <w:rFonts w:hint="eastAsia" w:ascii="宋体" w:hAnsi="宋体" w:cs="宋体"/>
          <w:b/>
          <w:kern w:val="0"/>
          <w:sz w:val="24"/>
        </w:rPr>
        <w:t>注：（</w:t>
      </w:r>
      <w:r>
        <w:rPr>
          <w:rFonts w:ascii="宋体" w:hAnsi="宋体" w:cs="宋体"/>
          <w:b/>
          <w:kern w:val="0"/>
          <w:sz w:val="24"/>
        </w:rPr>
        <w:t>1</w:t>
      </w:r>
      <w:r>
        <w:rPr>
          <w:rFonts w:hint="eastAsia" w:ascii="宋体" w:hAnsi="宋体" w:cs="宋体"/>
          <w:b/>
          <w:kern w:val="0"/>
          <w:sz w:val="24"/>
        </w:rPr>
        <w:t>）招标要求详见《前附表和招标内容》（</w:t>
      </w:r>
      <w:r>
        <w:rPr>
          <w:rFonts w:ascii="宋体" w:hAnsi="宋体" w:cs="宋体"/>
          <w:b/>
          <w:kern w:val="0"/>
          <w:sz w:val="24"/>
        </w:rPr>
        <w:t>2</w:t>
      </w:r>
      <w:r>
        <w:rPr>
          <w:rFonts w:hint="eastAsia" w:ascii="宋体" w:hAnsi="宋体" w:cs="宋体"/>
          <w:b/>
          <w:kern w:val="0"/>
          <w:sz w:val="24"/>
        </w:rPr>
        <w:t>）</w:t>
      </w:r>
      <w:r>
        <w:rPr>
          <w:rFonts w:ascii="宋体" w:hAnsi="宋体" w:cs="宋体"/>
          <w:b/>
          <w:kern w:val="0"/>
          <w:sz w:val="24"/>
        </w:rPr>
        <w:t>▲</w:t>
      </w:r>
      <w:r>
        <w:rPr>
          <w:rFonts w:hint="eastAsia" w:ascii="宋体" w:hAnsi="宋体" w:cs="宋体"/>
          <w:b/>
          <w:kern w:val="0"/>
          <w:sz w:val="24"/>
        </w:rPr>
        <w:t>投标供应商必须提供本表，否则投标无效。投标供应商没有逐一响应的，视为完全响应</w:t>
      </w:r>
      <w:r>
        <w:rPr>
          <w:rFonts w:hint="eastAsia" w:ascii="宋体" w:hAnsi="宋体" w:cs="宋体"/>
          <w:b/>
          <w:kern w:val="0"/>
          <w:sz w:val="24"/>
          <w:lang w:eastAsia="zh-CN"/>
        </w:rPr>
        <w:t>采购</w:t>
      </w:r>
      <w:r>
        <w:rPr>
          <w:rFonts w:hint="eastAsia" w:ascii="宋体" w:hAnsi="宋体" w:cs="宋体"/>
          <w:b/>
          <w:kern w:val="0"/>
          <w:sz w:val="24"/>
        </w:rPr>
        <w:t>文件要求；（</w:t>
      </w:r>
      <w:r>
        <w:rPr>
          <w:rFonts w:ascii="宋体" w:hAnsi="宋体" w:cs="宋体"/>
          <w:b/>
          <w:kern w:val="0"/>
          <w:sz w:val="24"/>
        </w:rPr>
        <w:t>3</w:t>
      </w:r>
      <w:r>
        <w:rPr>
          <w:rFonts w:hint="eastAsia" w:ascii="宋体" w:hAnsi="宋体" w:cs="宋体"/>
          <w:b/>
          <w:kern w:val="0"/>
          <w:sz w:val="24"/>
        </w:rPr>
        <w:t>）“偏离情况”栏填写：“正偏离”或“负偏离”或“无偏离”。</w:t>
      </w:r>
      <w:r>
        <w:rPr>
          <w:rFonts w:ascii="宋体" w:hAnsi="宋体" w:cs="宋体"/>
          <w:b/>
          <w:kern w:val="0"/>
          <w:sz w:val="24"/>
        </w:rPr>
        <w:t xml:space="preserve"> </w:t>
      </w:r>
    </w:p>
    <w:p>
      <w:pPr>
        <w:pStyle w:val="22"/>
        <w:adjustRightInd w:val="0"/>
        <w:snapToGrid w:val="0"/>
        <w:spacing w:line="460" w:lineRule="exact"/>
        <w:rPr>
          <w:rFonts w:hAnsi="宋体" w:cs="宋体"/>
          <w:kern w:val="0"/>
          <w:sz w:val="28"/>
          <w:szCs w:val="28"/>
        </w:rPr>
      </w:pPr>
      <w:r>
        <w:rPr>
          <w:rFonts w:hint="eastAsia" w:hAnsi="宋体" w:cs="宋体"/>
          <w:kern w:val="0"/>
          <w:sz w:val="28"/>
          <w:szCs w:val="28"/>
        </w:rPr>
        <w:t>投标供应商名称（盖章）：</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u w:val="single"/>
        </w:rPr>
      </w:pPr>
      <w:r>
        <w:rPr>
          <w:rFonts w:hint="eastAsia" w:hAnsi="宋体" w:cs="宋体"/>
          <w:kern w:val="0"/>
          <w:sz w:val="28"/>
          <w:szCs w:val="28"/>
        </w:rPr>
        <w:t>法定代表人或其授权代表（签字或盖章）：</w:t>
      </w:r>
      <w:r>
        <w:rPr>
          <w:rFonts w:hint="eastAsia" w:hAnsi="宋体" w:cs="宋体"/>
          <w:kern w:val="0"/>
          <w:sz w:val="28"/>
          <w:szCs w:val="28"/>
          <w:u w:val="single"/>
        </w:rPr>
        <w:t xml:space="preserve">              </w:t>
      </w: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 xml:space="preserve">日期： </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格式1-1</w:t>
      </w:r>
      <w:r>
        <w:rPr>
          <w:rFonts w:hint="eastAsia" w:hAnsi="宋体" w:cs="宋体"/>
          <w:kern w:val="0"/>
          <w:sz w:val="28"/>
          <w:szCs w:val="28"/>
          <w:lang w:val="en-US" w:eastAsia="zh-CN"/>
        </w:rPr>
        <w:t>7</w:t>
      </w:r>
      <w:r>
        <w:rPr>
          <w:rFonts w:hint="eastAsia" w:hAnsi="宋体" w:cs="宋体"/>
          <w:kern w:val="0"/>
          <w:sz w:val="28"/>
          <w:szCs w:val="28"/>
        </w:rPr>
        <w:t>、承包人设计方案</w:t>
      </w:r>
    </w:p>
    <w:p>
      <w:pPr>
        <w:pStyle w:val="22"/>
        <w:adjustRightInd w:val="0"/>
        <w:snapToGrid w:val="0"/>
        <w:spacing w:line="340" w:lineRule="atLeast"/>
        <w:rPr>
          <w:rFonts w:hAnsi="宋体" w:cs="宋体"/>
          <w:kern w:val="0"/>
          <w:sz w:val="28"/>
          <w:szCs w:val="28"/>
        </w:rPr>
      </w:pPr>
    </w:p>
    <w:p>
      <w:pPr>
        <w:autoSpaceDE w:val="0"/>
        <w:autoSpaceDN w:val="0"/>
        <w:adjustRightInd w:val="0"/>
        <w:jc w:val="center"/>
        <w:rPr>
          <w:kern w:val="0"/>
          <w:sz w:val="44"/>
          <w:szCs w:val="44"/>
        </w:rPr>
      </w:pPr>
      <w:r>
        <w:rPr>
          <w:rFonts w:hint="eastAsia" w:ascii="宋体" w:hAnsi="宋体" w:cs="宋体"/>
          <w:kern w:val="0"/>
          <w:sz w:val="44"/>
          <w:szCs w:val="44"/>
        </w:rPr>
        <w:t>承包人设计方案</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4"/>
          <w:szCs w:val="24"/>
        </w:rPr>
      </w:pPr>
      <w:r>
        <w:rPr>
          <w:rFonts w:hint="eastAsia" w:hAnsi="宋体" w:cs="宋体"/>
          <w:kern w:val="0"/>
          <w:sz w:val="24"/>
          <w:szCs w:val="24"/>
        </w:rPr>
        <w:t>项目名称：</w:t>
      </w:r>
      <w:r>
        <w:rPr>
          <w:rFonts w:hint="eastAsia" w:hAnsi="宋体" w:cs="宋体"/>
          <w:kern w:val="0"/>
          <w:sz w:val="24"/>
          <w:szCs w:val="24"/>
          <w:lang w:eastAsia="zh-CN"/>
        </w:rPr>
        <w:t>苍南县宜山镇道路照明提升工程设计、采购及安装项目</w:t>
      </w:r>
    </w:p>
    <w:p>
      <w:pPr>
        <w:autoSpaceDE w:val="0"/>
        <w:autoSpaceDN w:val="0"/>
        <w:adjustRightInd w:val="0"/>
        <w:jc w:val="left"/>
        <w:rPr>
          <w:rFonts w:hint="eastAsia" w:ascii="宋体" w:hAnsi="宋体" w:eastAsia="宋体" w:cs="宋体"/>
          <w:kern w:val="0"/>
          <w:sz w:val="24"/>
          <w:lang w:eastAsia="zh-CN"/>
        </w:rPr>
      </w:pPr>
      <w:r>
        <w:rPr>
          <w:rFonts w:hint="eastAsia" w:ascii="宋体" w:hAnsi="宋体" w:cs="宋体"/>
          <w:kern w:val="0"/>
          <w:sz w:val="24"/>
        </w:rPr>
        <w:t>项目编号：</w:t>
      </w:r>
      <w:r>
        <w:rPr>
          <w:rFonts w:hint="eastAsia" w:ascii="宋体" w:hAnsi="宋体" w:cs="宋体"/>
          <w:kern w:val="0"/>
          <w:sz w:val="24"/>
          <w:lang w:eastAsia="zh-CN"/>
        </w:rPr>
        <w:t>CNDL2021446</w:t>
      </w:r>
    </w:p>
    <w:p>
      <w:pPr>
        <w:autoSpaceDE w:val="0"/>
        <w:autoSpaceDN w:val="0"/>
        <w:adjustRightInd w:val="0"/>
        <w:jc w:val="left"/>
        <w:rPr>
          <w:rFonts w:ascii="宋体" w:hAnsi="宋体" w:cs="宋体"/>
          <w:kern w:val="0"/>
          <w:sz w:val="24"/>
        </w:rPr>
      </w:pPr>
    </w:p>
    <w:tbl>
      <w:tblPr>
        <w:tblStyle w:val="43"/>
        <w:tblW w:w="0" w:type="auto"/>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623"/>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783" w:hRule="atLeast"/>
        </w:trPr>
        <w:tc>
          <w:tcPr>
            <w:tcW w:w="9623" w:type="dxa"/>
          </w:tcPr>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spacing w:line="460" w:lineRule="exact"/>
              <w:jc w:val="center"/>
              <w:rPr>
                <w:rFonts w:ascii="宋体" w:hAnsi="宋体" w:cs="宋体"/>
                <w:kern w:val="0"/>
                <w:sz w:val="24"/>
              </w:rPr>
            </w:pPr>
          </w:p>
        </w:tc>
      </w:tr>
    </w:tbl>
    <w:p>
      <w:pPr>
        <w:pStyle w:val="22"/>
        <w:adjustRightInd w:val="0"/>
        <w:snapToGrid w:val="0"/>
        <w:spacing w:line="460" w:lineRule="exact"/>
        <w:rPr>
          <w:rFonts w:hAnsi="宋体" w:cs="宋体"/>
          <w:b/>
          <w:kern w:val="0"/>
          <w:sz w:val="24"/>
          <w:szCs w:val="24"/>
        </w:rPr>
      </w:pPr>
    </w:p>
    <w:p>
      <w:pPr>
        <w:pStyle w:val="22"/>
        <w:adjustRightInd w:val="0"/>
        <w:snapToGrid w:val="0"/>
        <w:spacing w:line="460" w:lineRule="exact"/>
        <w:rPr>
          <w:rFonts w:hAnsi="宋体" w:cs="宋体"/>
          <w:kern w:val="0"/>
          <w:sz w:val="28"/>
          <w:szCs w:val="28"/>
        </w:rPr>
      </w:pPr>
      <w:r>
        <w:rPr>
          <w:rFonts w:hint="eastAsia" w:hAnsi="宋体" w:cs="宋体"/>
          <w:kern w:val="0"/>
          <w:sz w:val="28"/>
          <w:szCs w:val="28"/>
        </w:rPr>
        <w:t>投标供应商名称（盖章）：</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u w:val="single"/>
        </w:rPr>
      </w:pPr>
      <w:r>
        <w:rPr>
          <w:rFonts w:hint="eastAsia" w:hAnsi="宋体" w:cs="宋体"/>
          <w:kern w:val="0"/>
          <w:sz w:val="28"/>
          <w:szCs w:val="28"/>
        </w:rPr>
        <w:t>法定代表人或其授权代表（签字或盖章）：</w:t>
      </w:r>
      <w:r>
        <w:rPr>
          <w:rFonts w:hint="eastAsia" w:hAnsi="宋体" w:cs="宋体"/>
          <w:kern w:val="0"/>
          <w:sz w:val="28"/>
          <w:szCs w:val="28"/>
          <w:u w:val="single"/>
        </w:rPr>
        <w:t xml:space="preserve">              </w:t>
      </w: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 xml:space="preserve">日期： </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格式1-1</w:t>
      </w:r>
      <w:r>
        <w:rPr>
          <w:rFonts w:hint="eastAsia" w:hAnsi="宋体" w:cs="宋体"/>
          <w:kern w:val="0"/>
          <w:sz w:val="28"/>
          <w:szCs w:val="28"/>
          <w:lang w:val="en-US" w:eastAsia="zh-CN"/>
        </w:rPr>
        <w:t>8</w:t>
      </w:r>
      <w:r>
        <w:rPr>
          <w:rFonts w:hint="eastAsia" w:hAnsi="宋体" w:cs="宋体"/>
          <w:kern w:val="0"/>
          <w:sz w:val="28"/>
          <w:szCs w:val="28"/>
        </w:rPr>
        <w:t>、承包人实施方案</w:t>
      </w:r>
    </w:p>
    <w:p>
      <w:pPr>
        <w:pStyle w:val="22"/>
        <w:adjustRightInd w:val="0"/>
        <w:snapToGrid w:val="0"/>
        <w:spacing w:line="340" w:lineRule="atLeast"/>
        <w:rPr>
          <w:rFonts w:hAnsi="宋体" w:cs="宋体"/>
          <w:kern w:val="0"/>
          <w:sz w:val="28"/>
          <w:szCs w:val="28"/>
        </w:rPr>
      </w:pPr>
    </w:p>
    <w:p>
      <w:pPr>
        <w:autoSpaceDE w:val="0"/>
        <w:autoSpaceDN w:val="0"/>
        <w:adjustRightInd w:val="0"/>
        <w:jc w:val="center"/>
        <w:rPr>
          <w:kern w:val="0"/>
          <w:sz w:val="44"/>
          <w:szCs w:val="44"/>
        </w:rPr>
      </w:pPr>
      <w:r>
        <w:rPr>
          <w:rFonts w:hint="eastAsia" w:ascii="宋体" w:hAnsi="宋体" w:cs="宋体"/>
          <w:kern w:val="0"/>
          <w:sz w:val="44"/>
          <w:szCs w:val="44"/>
        </w:rPr>
        <w:t>承包人实施方案</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4"/>
          <w:szCs w:val="24"/>
        </w:rPr>
      </w:pPr>
      <w:r>
        <w:rPr>
          <w:rFonts w:hint="eastAsia" w:hAnsi="宋体" w:cs="宋体"/>
          <w:kern w:val="0"/>
          <w:sz w:val="24"/>
          <w:szCs w:val="24"/>
        </w:rPr>
        <w:t>项目名称：</w:t>
      </w:r>
      <w:r>
        <w:rPr>
          <w:rFonts w:hint="eastAsia" w:hAnsi="宋体" w:cs="宋体"/>
          <w:kern w:val="0"/>
          <w:sz w:val="24"/>
          <w:szCs w:val="24"/>
          <w:lang w:eastAsia="zh-CN"/>
        </w:rPr>
        <w:t>苍南县宜山镇道路照明提升工程设计、采购及安装项目</w:t>
      </w:r>
    </w:p>
    <w:p>
      <w:pPr>
        <w:autoSpaceDE w:val="0"/>
        <w:autoSpaceDN w:val="0"/>
        <w:adjustRightInd w:val="0"/>
        <w:jc w:val="left"/>
        <w:rPr>
          <w:rFonts w:hint="eastAsia" w:ascii="宋体" w:hAnsi="宋体" w:eastAsia="宋体" w:cs="宋体"/>
          <w:kern w:val="0"/>
          <w:sz w:val="24"/>
          <w:lang w:eastAsia="zh-CN"/>
        </w:rPr>
      </w:pPr>
      <w:r>
        <w:rPr>
          <w:rFonts w:hint="eastAsia" w:ascii="宋体" w:hAnsi="宋体" w:cs="宋体"/>
          <w:kern w:val="0"/>
          <w:sz w:val="24"/>
        </w:rPr>
        <w:t>项目编号：</w:t>
      </w:r>
      <w:r>
        <w:rPr>
          <w:rFonts w:hint="eastAsia" w:ascii="宋体" w:hAnsi="宋体" w:cs="宋体"/>
          <w:kern w:val="0"/>
          <w:sz w:val="24"/>
          <w:lang w:eastAsia="zh-CN"/>
        </w:rPr>
        <w:t>CNDL2021446</w:t>
      </w:r>
    </w:p>
    <w:p>
      <w:pPr>
        <w:autoSpaceDE w:val="0"/>
        <w:autoSpaceDN w:val="0"/>
        <w:adjustRightInd w:val="0"/>
        <w:jc w:val="left"/>
        <w:rPr>
          <w:rFonts w:ascii="宋体" w:hAnsi="宋体" w:cs="宋体"/>
          <w:kern w:val="0"/>
          <w:sz w:val="24"/>
        </w:rPr>
      </w:pPr>
    </w:p>
    <w:tbl>
      <w:tblPr>
        <w:tblStyle w:val="43"/>
        <w:tblW w:w="0" w:type="auto"/>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623"/>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783" w:hRule="atLeast"/>
        </w:trPr>
        <w:tc>
          <w:tcPr>
            <w:tcW w:w="9623" w:type="dxa"/>
          </w:tcPr>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spacing w:line="460" w:lineRule="exact"/>
              <w:jc w:val="center"/>
              <w:rPr>
                <w:rFonts w:ascii="宋体" w:hAnsi="宋体" w:cs="宋体"/>
                <w:kern w:val="0"/>
                <w:sz w:val="24"/>
              </w:rPr>
            </w:pPr>
          </w:p>
        </w:tc>
      </w:tr>
    </w:tbl>
    <w:p>
      <w:pPr>
        <w:autoSpaceDE w:val="0"/>
        <w:autoSpaceDN w:val="0"/>
        <w:adjustRightInd w:val="0"/>
        <w:jc w:val="left"/>
        <w:rPr>
          <w:kern w:val="0"/>
          <w:sz w:val="24"/>
        </w:rPr>
      </w:pPr>
      <w:r>
        <w:rPr>
          <w:rFonts w:ascii="宋体" w:hAnsi="宋体" w:cs="宋体"/>
          <w:kern w:val="0"/>
          <w:sz w:val="24"/>
        </w:rPr>
        <w:t xml:space="preserve"> </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460" w:lineRule="exact"/>
        <w:ind w:firstLine="482" w:firstLineChars="200"/>
        <w:rPr>
          <w:rFonts w:hAnsi="宋体" w:cs="宋体"/>
          <w:b/>
          <w:kern w:val="0"/>
          <w:sz w:val="24"/>
          <w:szCs w:val="24"/>
        </w:rPr>
      </w:pPr>
    </w:p>
    <w:p>
      <w:pPr>
        <w:pStyle w:val="22"/>
        <w:adjustRightInd w:val="0"/>
        <w:snapToGrid w:val="0"/>
        <w:spacing w:line="460" w:lineRule="exact"/>
        <w:rPr>
          <w:rFonts w:hAnsi="宋体" w:cs="宋体"/>
          <w:kern w:val="0"/>
          <w:sz w:val="28"/>
          <w:szCs w:val="28"/>
        </w:rPr>
      </w:pPr>
      <w:r>
        <w:rPr>
          <w:rFonts w:hint="eastAsia" w:hAnsi="宋体" w:cs="宋体"/>
          <w:kern w:val="0"/>
          <w:sz w:val="28"/>
          <w:szCs w:val="28"/>
        </w:rPr>
        <w:t>投标供应商名称（盖章）：</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u w:val="single"/>
        </w:rPr>
      </w:pPr>
      <w:r>
        <w:rPr>
          <w:rFonts w:hint="eastAsia" w:hAnsi="宋体" w:cs="宋体"/>
          <w:kern w:val="0"/>
          <w:sz w:val="28"/>
          <w:szCs w:val="28"/>
        </w:rPr>
        <w:t>法定代表人或其授权代表（签字或盖章）：</w:t>
      </w:r>
      <w:r>
        <w:rPr>
          <w:rFonts w:hint="eastAsia" w:hAnsi="宋体" w:cs="宋体"/>
          <w:kern w:val="0"/>
          <w:sz w:val="28"/>
          <w:szCs w:val="28"/>
          <w:u w:val="single"/>
        </w:rPr>
        <w:t xml:space="preserve">              </w:t>
      </w: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 xml:space="preserve">日期： </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格式1-</w:t>
      </w:r>
      <w:r>
        <w:rPr>
          <w:rFonts w:hint="eastAsia" w:hAnsi="宋体" w:cs="宋体"/>
          <w:kern w:val="0"/>
          <w:sz w:val="28"/>
          <w:szCs w:val="28"/>
          <w:lang w:val="en-US" w:eastAsia="zh-CN"/>
        </w:rPr>
        <w:t>19</w:t>
      </w:r>
      <w:r>
        <w:rPr>
          <w:rFonts w:hint="eastAsia" w:hAnsi="宋体" w:cs="宋体"/>
          <w:kern w:val="0"/>
          <w:sz w:val="28"/>
          <w:szCs w:val="28"/>
        </w:rPr>
        <w:t>、承包人实施方案</w:t>
      </w:r>
    </w:p>
    <w:p>
      <w:pPr>
        <w:pStyle w:val="22"/>
        <w:adjustRightInd w:val="0"/>
        <w:snapToGrid w:val="0"/>
        <w:spacing w:line="340" w:lineRule="atLeast"/>
        <w:rPr>
          <w:rFonts w:hAnsi="宋体" w:cs="宋体"/>
          <w:kern w:val="0"/>
          <w:sz w:val="28"/>
          <w:szCs w:val="28"/>
        </w:rPr>
      </w:pPr>
    </w:p>
    <w:p>
      <w:pPr>
        <w:autoSpaceDE w:val="0"/>
        <w:autoSpaceDN w:val="0"/>
        <w:adjustRightInd w:val="0"/>
        <w:jc w:val="center"/>
        <w:rPr>
          <w:kern w:val="0"/>
          <w:sz w:val="44"/>
          <w:szCs w:val="44"/>
        </w:rPr>
      </w:pPr>
      <w:r>
        <w:rPr>
          <w:rFonts w:hint="eastAsia" w:ascii="宋体" w:hAnsi="宋体" w:cs="宋体"/>
          <w:kern w:val="0"/>
          <w:sz w:val="44"/>
          <w:szCs w:val="44"/>
        </w:rPr>
        <w:t>项目所投产品阐述</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4"/>
          <w:szCs w:val="24"/>
        </w:rPr>
      </w:pPr>
      <w:r>
        <w:rPr>
          <w:rFonts w:hint="eastAsia" w:hAnsi="宋体" w:cs="宋体"/>
          <w:kern w:val="0"/>
          <w:sz w:val="24"/>
          <w:szCs w:val="24"/>
        </w:rPr>
        <w:t>项目名称：</w:t>
      </w:r>
      <w:r>
        <w:rPr>
          <w:rFonts w:hint="eastAsia" w:hAnsi="宋体" w:cs="宋体"/>
          <w:kern w:val="0"/>
          <w:sz w:val="24"/>
          <w:szCs w:val="24"/>
          <w:lang w:eastAsia="zh-CN"/>
        </w:rPr>
        <w:t>苍南县宜山镇道路照明提升工程设计、采购及安装项目</w:t>
      </w:r>
    </w:p>
    <w:p>
      <w:pPr>
        <w:autoSpaceDE w:val="0"/>
        <w:autoSpaceDN w:val="0"/>
        <w:adjustRightInd w:val="0"/>
        <w:jc w:val="left"/>
        <w:rPr>
          <w:rFonts w:hint="eastAsia" w:ascii="宋体" w:hAnsi="宋体" w:eastAsia="宋体" w:cs="宋体"/>
          <w:kern w:val="0"/>
          <w:sz w:val="24"/>
          <w:lang w:eastAsia="zh-CN"/>
        </w:rPr>
      </w:pPr>
      <w:r>
        <w:rPr>
          <w:rFonts w:hint="eastAsia" w:ascii="宋体" w:hAnsi="宋体" w:cs="宋体"/>
          <w:kern w:val="0"/>
          <w:sz w:val="24"/>
        </w:rPr>
        <w:t>项目编号：</w:t>
      </w:r>
      <w:r>
        <w:rPr>
          <w:rFonts w:hint="eastAsia" w:ascii="宋体" w:hAnsi="宋体" w:cs="宋体"/>
          <w:kern w:val="0"/>
          <w:sz w:val="24"/>
          <w:lang w:eastAsia="zh-CN"/>
        </w:rPr>
        <w:t>CNDL2021446</w:t>
      </w:r>
    </w:p>
    <w:p>
      <w:pPr>
        <w:autoSpaceDE w:val="0"/>
        <w:autoSpaceDN w:val="0"/>
        <w:adjustRightInd w:val="0"/>
        <w:jc w:val="left"/>
        <w:rPr>
          <w:rFonts w:ascii="宋体" w:hAnsi="宋体" w:cs="宋体"/>
          <w:kern w:val="0"/>
          <w:sz w:val="24"/>
        </w:rPr>
      </w:pPr>
    </w:p>
    <w:tbl>
      <w:tblPr>
        <w:tblStyle w:val="43"/>
        <w:tblW w:w="0" w:type="auto"/>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623"/>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783" w:hRule="atLeast"/>
        </w:trPr>
        <w:tc>
          <w:tcPr>
            <w:tcW w:w="9623" w:type="dxa"/>
          </w:tcPr>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r>
              <w:rPr>
                <w:rFonts w:hint="eastAsia" w:ascii="宋体" w:hAnsi="宋体" w:cs="宋体"/>
                <w:kern w:val="0"/>
                <w:sz w:val="24"/>
              </w:rPr>
              <w:t>如产品组成部分、品牌等情况</w:t>
            </w: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jc w:val="left"/>
              <w:rPr>
                <w:rFonts w:ascii="宋体" w:hAnsi="宋体" w:cs="宋体"/>
                <w:kern w:val="0"/>
                <w:sz w:val="24"/>
              </w:rPr>
            </w:pPr>
          </w:p>
          <w:p>
            <w:pPr>
              <w:autoSpaceDE w:val="0"/>
              <w:autoSpaceDN w:val="0"/>
              <w:adjustRightInd w:val="0"/>
              <w:spacing w:line="460" w:lineRule="exact"/>
              <w:jc w:val="center"/>
              <w:rPr>
                <w:rFonts w:ascii="宋体" w:hAnsi="宋体" w:cs="宋体"/>
                <w:kern w:val="0"/>
                <w:sz w:val="24"/>
              </w:rPr>
            </w:pPr>
          </w:p>
        </w:tc>
      </w:tr>
    </w:tbl>
    <w:p>
      <w:pPr>
        <w:autoSpaceDE w:val="0"/>
        <w:autoSpaceDN w:val="0"/>
        <w:adjustRightInd w:val="0"/>
        <w:jc w:val="left"/>
        <w:rPr>
          <w:kern w:val="0"/>
          <w:sz w:val="24"/>
        </w:rPr>
      </w:pPr>
      <w:r>
        <w:rPr>
          <w:rFonts w:ascii="宋体" w:hAnsi="宋体" w:cs="宋体"/>
          <w:kern w:val="0"/>
          <w:sz w:val="24"/>
        </w:rPr>
        <w:t xml:space="preserve"> </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460" w:lineRule="exact"/>
        <w:ind w:firstLine="482" w:firstLineChars="200"/>
        <w:rPr>
          <w:rFonts w:hAnsi="宋体" w:cs="宋体"/>
          <w:b/>
          <w:kern w:val="0"/>
          <w:sz w:val="24"/>
          <w:szCs w:val="24"/>
        </w:rPr>
      </w:pPr>
    </w:p>
    <w:p>
      <w:pPr>
        <w:pStyle w:val="22"/>
        <w:adjustRightInd w:val="0"/>
        <w:snapToGrid w:val="0"/>
        <w:spacing w:line="460" w:lineRule="exact"/>
        <w:rPr>
          <w:rFonts w:hAnsi="宋体" w:cs="宋体"/>
          <w:kern w:val="0"/>
          <w:sz w:val="28"/>
          <w:szCs w:val="28"/>
        </w:rPr>
      </w:pPr>
      <w:r>
        <w:rPr>
          <w:rFonts w:hint="eastAsia" w:hAnsi="宋体" w:cs="宋体"/>
          <w:kern w:val="0"/>
          <w:sz w:val="28"/>
          <w:szCs w:val="28"/>
        </w:rPr>
        <w:t>投标供应商名称（盖章）：</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u w:val="single"/>
        </w:rPr>
      </w:pPr>
      <w:r>
        <w:rPr>
          <w:rFonts w:hint="eastAsia" w:hAnsi="宋体" w:cs="宋体"/>
          <w:kern w:val="0"/>
          <w:sz w:val="28"/>
          <w:szCs w:val="28"/>
        </w:rPr>
        <w:t>法定代表人或其授权代表（签字或盖章）：</w:t>
      </w:r>
      <w:r>
        <w:rPr>
          <w:rFonts w:hint="eastAsia" w:hAnsi="宋体" w:cs="宋体"/>
          <w:kern w:val="0"/>
          <w:sz w:val="28"/>
          <w:szCs w:val="28"/>
          <w:u w:val="single"/>
        </w:rPr>
        <w:t xml:space="preserve">              </w:t>
      </w: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 xml:space="preserve">日期： </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340" w:lineRule="atLeast"/>
        <w:rPr>
          <w:rFonts w:hint="eastAsia" w:hAnsi="宋体" w:cs="宋体"/>
          <w:kern w:val="0"/>
          <w:sz w:val="28"/>
          <w:szCs w:val="28"/>
        </w:rPr>
      </w:pPr>
    </w:p>
    <w:p>
      <w:pPr>
        <w:pStyle w:val="22"/>
        <w:adjustRightInd w:val="0"/>
        <w:snapToGrid w:val="0"/>
        <w:spacing w:line="340" w:lineRule="atLeast"/>
        <w:rPr>
          <w:rFonts w:hint="eastAsia" w:hAnsi="宋体" w:cs="宋体"/>
          <w:kern w:val="0"/>
          <w:sz w:val="28"/>
          <w:szCs w:val="28"/>
        </w:rPr>
      </w:pP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格式1-2</w:t>
      </w:r>
      <w:r>
        <w:rPr>
          <w:rFonts w:hint="eastAsia" w:hAnsi="宋体" w:cs="宋体"/>
          <w:kern w:val="0"/>
          <w:sz w:val="28"/>
          <w:szCs w:val="28"/>
          <w:lang w:val="en-US" w:eastAsia="zh-CN"/>
        </w:rPr>
        <w:t>0</w:t>
      </w:r>
      <w:r>
        <w:rPr>
          <w:rFonts w:hint="eastAsia" w:hAnsi="宋体" w:cs="宋体"/>
          <w:kern w:val="0"/>
          <w:sz w:val="28"/>
          <w:szCs w:val="28"/>
        </w:rPr>
        <w:t>、其他材料</w:t>
      </w: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left"/>
        <w:rPr>
          <w:kern w:val="0"/>
          <w:sz w:val="24"/>
        </w:rPr>
      </w:pPr>
    </w:p>
    <w:p>
      <w:pPr>
        <w:tabs>
          <w:tab w:val="left" w:pos="7457"/>
        </w:tabs>
        <w:autoSpaceDE w:val="0"/>
        <w:autoSpaceDN w:val="0"/>
        <w:adjustRightInd w:val="0"/>
        <w:jc w:val="center"/>
        <w:rPr>
          <w:b/>
          <w:kern w:val="0"/>
          <w:sz w:val="40"/>
        </w:rPr>
      </w:pPr>
      <w:r>
        <w:rPr>
          <w:rFonts w:hint="eastAsia"/>
          <w:b/>
          <w:kern w:val="0"/>
          <w:sz w:val="40"/>
        </w:rPr>
        <w:t>其他供应商认为需要提交的材料</w:t>
      </w:r>
    </w:p>
    <w:p>
      <w:pPr>
        <w:tabs>
          <w:tab w:val="left" w:pos="7457"/>
        </w:tabs>
        <w:autoSpaceDE w:val="0"/>
        <w:autoSpaceDN w:val="0"/>
        <w:adjustRightInd w:val="0"/>
        <w:jc w:val="left"/>
        <w:rPr>
          <w:kern w:val="0"/>
          <w:sz w:val="24"/>
        </w:rPr>
      </w:pPr>
      <w:r>
        <w:rPr>
          <w:kern w:val="0"/>
          <w:sz w:val="24"/>
        </w:rPr>
        <w:br w:type="page"/>
      </w:r>
      <w:r>
        <w:rPr>
          <w:rFonts w:hint="eastAsia" w:ascii="宋体" w:hAnsi="宋体" w:cs="宋体"/>
          <w:kern w:val="0"/>
          <w:sz w:val="28"/>
          <w:szCs w:val="28"/>
        </w:rPr>
        <w:t>二、“报价文件”部分格式</w:t>
      </w:r>
    </w:p>
    <w:p>
      <w:pPr>
        <w:tabs>
          <w:tab w:val="left" w:pos="7457"/>
        </w:tabs>
        <w:autoSpaceDE w:val="0"/>
        <w:autoSpaceDN w:val="0"/>
        <w:adjustRightInd w:val="0"/>
        <w:jc w:val="left"/>
        <w:rPr>
          <w:kern w:val="0"/>
          <w:sz w:val="28"/>
          <w:szCs w:val="28"/>
        </w:rPr>
      </w:pPr>
      <w:r>
        <w:rPr>
          <w:rFonts w:hint="eastAsia" w:ascii="宋体" w:hAnsi="宋体" w:cs="宋体"/>
          <w:kern w:val="0"/>
          <w:sz w:val="28"/>
          <w:szCs w:val="28"/>
        </w:rPr>
        <w:t>格式2-1、“报价文件”封面</w:t>
      </w:r>
      <w:r>
        <w:rPr>
          <w:rFonts w:ascii="宋体" w:hAnsi="宋体" w:cs="宋体"/>
          <w:kern w:val="0"/>
          <w:sz w:val="28"/>
          <w:szCs w:val="28"/>
        </w:rPr>
        <w:t xml:space="preserve"> </w:t>
      </w:r>
      <w:r>
        <w:rPr>
          <w:rFonts w:ascii="宋体" w:hAnsi="宋体" w:cs="宋体"/>
          <w:kern w:val="0"/>
          <w:sz w:val="28"/>
          <w:szCs w:val="28"/>
        </w:rPr>
        <w:tab/>
      </w:r>
    </w:p>
    <w:p>
      <w:pPr>
        <w:autoSpaceDE w:val="0"/>
        <w:autoSpaceDN w:val="0"/>
        <w:adjustRightInd w:val="0"/>
        <w:jc w:val="right"/>
        <w:rPr>
          <w:rFonts w:ascii="宋体" w:hAnsi="宋体" w:cs="宋体"/>
          <w:kern w:val="0"/>
          <w:sz w:val="46"/>
          <w:szCs w:val="46"/>
        </w:rPr>
      </w:pPr>
      <w:r>
        <w:rPr>
          <w:rFonts w:ascii="宋体" w:hAnsi="宋体" w:cs="宋体"/>
          <w:kern w:val="0"/>
          <w:sz w:val="46"/>
          <w:szCs w:val="46"/>
        </w:rPr>
        <w:t xml:space="preserve"> </w:t>
      </w:r>
    </w:p>
    <w:p>
      <w:pPr>
        <w:autoSpaceDE w:val="0"/>
        <w:autoSpaceDN w:val="0"/>
        <w:adjustRightInd w:val="0"/>
        <w:jc w:val="right"/>
        <w:rPr>
          <w:rFonts w:ascii="宋体" w:hAnsi="宋体" w:cs="宋体"/>
          <w:kern w:val="0"/>
          <w:sz w:val="46"/>
          <w:szCs w:val="46"/>
        </w:rPr>
      </w:pPr>
    </w:p>
    <w:p>
      <w:pPr>
        <w:autoSpaceDE w:val="0"/>
        <w:autoSpaceDN w:val="0"/>
        <w:adjustRightInd w:val="0"/>
        <w:jc w:val="right"/>
        <w:rPr>
          <w:rFonts w:ascii="宋体" w:hAnsi="宋体" w:cs="宋体"/>
          <w:kern w:val="0"/>
          <w:sz w:val="46"/>
          <w:szCs w:val="46"/>
        </w:rPr>
      </w:pPr>
    </w:p>
    <w:p>
      <w:pPr>
        <w:autoSpaceDE w:val="0"/>
        <w:autoSpaceDN w:val="0"/>
        <w:adjustRightInd w:val="0"/>
        <w:jc w:val="right"/>
        <w:rPr>
          <w:rFonts w:ascii="宋体" w:hAnsi="宋体" w:cs="宋体"/>
          <w:kern w:val="0"/>
          <w:sz w:val="46"/>
          <w:szCs w:val="46"/>
        </w:rPr>
      </w:pPr>
    </w:p>
    <w:p>
      <w:pPr>
        <w:autoSpaceDE w:val="0"/>
        <w:autoSpaceDN w:val="0"/>
        <w:adjustRightInd w:val="0"/>
        <w:jc w:val="center"/>
        <w:rPr>
          <w:rFonts w:ascii="宋体" w:hAnsi="宋体" w:cs="宋体"/>
          <w:spacing w:val="-4"/>
          <w:kern w:val="0"/>
          <w:sz w:val="42"/>
          <w:szCs w:val="42"/>
        </w:rPr>
      </w:pPr>
      <w:r>
        <w:rPr>
          <w:rFonts w:hint="eastAsia" w:ascii="宋体" w:hAnsi="宋体" w:cs="宋体"/>
          <w:spacing w:val="-4"/>
          <w:kern w:val="0"/>
          <w:sz w:val="42"/>
          <w:szCs w:val="42"/>
          <w:lang w:eastAsia="zh-CN"/>
        </w:rPr>
        <w:t>苍南县宜山镇道路照明提升工程设计、采购及安装项目</w:t>
      </w:r>
    </w:p>
    <w:p>
      <w:pPr>
        <w:autoSpaceDE w:val="0"/>
        <w:autoSpaceDN w:val="0"/>
        <w:adjustRightInd w:val="0"/>
        <w:jc w:val="center"/>
        <w:rPr>
          <w:kern w:val="0"/>
          <w:sz w:val="44"/>
          <w:szCs w:val="44"/>
        </w:rPr>
      </w:pPr>
    </w:p>
    <w:p>
      <w:pPr>
        <w:autoSpaceDE w:val="0"/>
        <w:autoSpaceDN w:val="0"/>
        <w:adjustRightInd w:val="0"/>
        <w:jc w:val="center"/>
        <w:rPr>
          <w:b/>
          <w:kern w:val="0"/>
          <w:sz w:val="48"/>
          <w:szCs w:val="48"/>
        </w:rPr>
      </w:pPr>
      <w:r>
        <w:rPr>
          <w:rFonts w:hint="eastAsia"/>
          <w:b/>
          <w:kern w:val="0"/>
          <w:sz w:val="48"/>
          <w:szCs w:val="48"/>
        </w:rPr>
        <w:t>投 标 文 件</w:t>
      </w:r>
    </w:p>
    <w:p>
      <w:pPr>
        <w:autoSpaceDE w:val="0"/>
        <w:autoSpaceDN w:val="0"/>
        <w:adjustRightInd w:val="0"/>
        <w:jc w:val="center"/>
        <w:rPr>
          <w:kern w:val="0"/>
          <w:sz w:val="44"/>
          <w:szCs w:val="44"/>
        </w:rPr>
      </w:pPr>
    </w:p>
    <w:p>
      <w:pPr>
        <w:jc w:val="center"/>
        <w:rPr>
          <w:rFonts w:ascii="宋体" w:hAnsi="宋体" w:cs="宋体"/>
          <w:kern w:val="0"/>
          <w:sz w:val="44"/>
          <w:szCs w:val="44"/>
        </w:rPr>
      </w:pPr>
      <w:r>
        <w:rPr>
          <w:rFonts w:hint="eastAsia" w:ascii="宋体" w:hAnsi="宋体" w:cs="宋体"/>
          <w:kern w:val="0"/>
          <w:sz w:val="44"/>
          <w:szCs w:val="44"/>
        </w:rPr>
        <w:t>（报价文件）</w:t>
      </w:r>
    </w:p>
    <w:p>
      <w:pPr>
        <w:jc w:val="center"/>
        <w:rPr>
          <w:rFonts w:ascii="宋体" w:hAnsi="宋体" w:cs="宋体"/>
          <w:kern w:val="0"/>
          <w:sz w:val="40"/>
          <w:szCs w:val="40"/>
        </w:rPr>
      </w:pPr>
    </w:p>
    <w:p>
      <w:pPr>
        <w:jc w:val="center"/>
        <w:rPr>
          <w:rFonts w:ascii="宋体" w:hAnsi="宋体" w:cs="宋体"/>
          <w:kern w:val="0"/>
          <w:sz w:val="68"/>
          <w:szCs w:val="68"/>
        </w:rPr>
      </w:pPr>
    </w:p>
    <w:p>
      <w:pPr>
        <w:spacing w:line="360" w:lineRule="auto"/>
        <w:rPr>
          <w:rFonts w:ascii="宋体" w:hAnsi="宋体" w:cs="宋体"/>
          <w:kern w:val="0"/>
          <w:sz w:val="32"/>
          <w:szCs w:val="32"/>
        </w:rPr>
      </w:pPr>
      <w:r>
        <w:rPr>
          <w:rFonts w:hint="eastAsia" w:ascii="宋体" w:hAnsi="宋体" w:cs="宋体"/>
          <w:kern w:val="0"/>
          <w:sz w:val="32"/>
          <w:szCs w:val="32"/>
        </w:rPr>
        <w:t>项目编号：</w:t>
      </w:r>
      <w:r>
        <w:rPr>
          <w:rFonts w:hint="eastAsia" w:ascii="宋体" w:hAnsi="宋体" w:cs="宋体"/>
          <w:kern w:val="0"/>
          <w:sz w:val="32"/>
          <w:szCs w:val="32"/>
          <w:u w:val="single"/>
        </w:rPr>
        <w:t xml:space="preserve">               </w:t>
      </w:r>
      <w:r>
        <w:rPr>
          <w:rFonts w:hint="eastAsia" w:ascii="宋体" w:hAnsi="宋体" w:cs="宋体"/>
          <w:kern w:val="0"/>
          <w:sz w:val="32"/>
          <w:szCs w:val="32"/>
          <w:u w:val="single"/>
          <w:lang w:eastAsia="zh-CN"/>
        </w:rPr>
        <w:t>CNDL2021446</w:t>
      </w:r>
      <w:r>
        <w:rPr>
          <w:rFonts w:hint="eastAsia" w:ascii="宋体" w:hAnsi="宋体" w:cs="宋体"/>
          <w:kern w:val="0"/>
          <w:sz w:val="32"/>
          <w:szCs w:val="32"/>
          <w:u w:val="single"/>
        </w:rPr>
        <w:t xml:space="preserve">         </w:t>
      </w:r>
      <w:r>
        <w:rPr>
          <w:rFonts w:ascii="宋体" w:hAnsi="宋体" w:cs="宋体"/>
          <w:kern w:val="0"/>
          <w:sz w:val="32"/>
          <w:szCs w:val="32"/>
          <w:u w:val="single"/>
        </w:rPr>
        <w:t xml:space="preserve">      </w:t>
      </w:r>
    </w:p>
    <w:p>
      <w:pPr>
        <w:spacing w:line="360" w:lineRule="auto"/>
        <w:rPr>
          <w:rFonts w:ascii="宋体" w:hAnsi="宋体" w:cs="宋体"/>
          <w:kern w:val="0"/>
          <w:sz w:val="32"/>
          <w:szCs w:val="32"/>
          <w:u w:val="single"/>
        </w:rPr>
      </w:pPr>
      <w:r>
        <w:rPr>
          <w:rFonts w:hint="eastAsia" w:ascii="宋体" w:hAnsi="宋体" w:cs="宋体"/>
          <w:kern w:val="0"/>
          <w:sz w:val="32"/>
          <w:szCs w:val="32"/>
        </w:rPr>
        <w:t>供应商名称（盖章）：</w:t>
      </w:r>
      <w:r>
        <w:rPr>
          <w:rFonts w:ascii="宋体" w:hAnsi="宋体" w:cs="宋体"/>
          <w:kern w:val="0"/>
          <w:sz w:val="32"/>
          <w:szCs w:val="32"/>
        </w:rPr>
        <w:t xml:space="preserve"> </w:t>
      </w:r>
      <w:r>
        <w:rPr>
          <w:rFonts w:ascii="宋体" w:hAnsi="宋体" w:cs="宋体"/>
          <w:kern w:val="0"/>
          <w:sz w:val="32"/>
          <w:szCs w:val="32"/>
          <w:u w:val="single"/>
        </w:rPr>
        <w:t xml:space="preserve">  </w:t>
      </w:r>
      <w:r>
        <w:rPr>
          <w:rFonts w:hint="eastAsia" w:ascii="宋体" w:hAnsi="宋体" w:cs="宋体"/>
          <w:kern w:val="0"/>
          <w:sz w:val="32"/>
          <w:szCs w:val="32"/>
          <w:u w:val="single"/>
        </w:rPr>
        <w:t xml:space="preserve">                        </w:t>
      </w:r>
      <w:r>
        <w:rPr>
          <w:rFonts w:ascii="宋体" w:hAnsi="宋体" w:cs="宋体"/>
          <w:kern w:val="0"/>
          <w:sz w:val="32"/>
          <w:szCs w:val="32"/>
          <w:u w:val="single"/>
        </w:rPr>
        <w:t xml:space="preserve">     </w:t>
      </w:r>
    </w:p>
    <w:p>
      <w:pPr>
        <w:spacing w:line="360" w:lineRule="auto"/>
        <w:rPr>
          <w:rFonts w:ascii="宋体" w:hAnsi="宋体" w:cs="宋体"/>
          <w:kern w:val="0"/>
          <w:sz w:val="32"/>
          <w:szCs w:val="32"/>
          <w:u w:val="single"/>
        </w:rPr>
      </w:pPr>
      <w:r>
        <w:rPr>
          <w:rFonts w:hint="eastAsia" w:ascii="宋体" w:hAnsi="宋体" w:cs="宋体"/>
          <w:kern w:val="0"/>
          <w:sz w:val="32"/>
          <w:szCs w:val="32"/>
        </w:rPr>
        <w:t>地址：</w:t>
      </w:r>
      <w:r>
        <w:rPr>
          <w:rFonts w:hint="eastAsia" w:ascii="宋体" w:hAnsi="宋体" w:cs="宋体"/>
          <w:kern w:val="0"/>
          <w:sz w:val="32"/>
          <w:szCs w:val="32"/>
          <w:u w:val="single"/>
        </w:rPr>
        <w:t xml:space="preserve">                                              </w:t>
      </w:r>
    </w:p>
    <w:p>
      <w:pPr>
        <w:spacing w:line="360" w:lineRule="auto"/>
        <w:rPr>
          <w:rFonts w:ascii="宋体" w:hAnsi="宋体" w:cs="宋体"/>
          <w:kern w:val="0"/>
          <w:sz w:val="32"/>
          <w:szCs w:val="32"/>
        </w:rPr>
      </w:pPr>
      <w:r>
        <w:rPr>
          <w:rFonts w:hint="eastAsia" w:ascii="宋体" w:hAnsi="宋体" w:cs="宋体"/>
          <w:kern w:val="0"/>
          <w:sz w:val="32"/>
          <w:szCs w:val="32"/>
        </w:rPr>
        <w:t>联系人：</w:t>
      </w:r>
      <w:r>
        <w:rPr>
          <w:rFonts w:ascii="宋体" w:hAnsi="宋体" w:cs="宋体"/>
          <w:kern w:val="0"/>
          <w:sz w:val="32"/>
          <w:szCs w:val="32"/>
          <w:u w:val="single"/>
        </w:rPr>
        <w:t xml:space="preserve"> </w:t>
      </w:r>
      <w:r>
        <w:rPr>
          <w:rFonts w:hint="eastAsia" w:ascii="宋体" w:hAnsi="宋体" w:cs="宋体"/>
          <w:kern w:val="0"/>
          <w:sz w:val="32"/>
          <w:szCs w:val="32"/>
          <w:u w:val="single"/>
        </w:rPr>
        <w:t xml:space="preserve">                                          </w:t>
      </w:r>
      <w:r>
        <w:rPr>
          <w:rFonts w:ascii="宋体" w:hAnsi="宋体" w:cs="宋体"/>
          <w:kern w:val="0"/>
          <w:sz w:val="32"/>
          <w:szCs w:val="32"/>
          <w:u w:val="single"/>
        </w:rPr>
        <w:t xml:space="preserve"> </w:t>
      </w:r>
      <w:r>
        <w:rPr>
          <w:rFonts w:ascii="宋体" w:hAnsi="宋体" w:cs="宋体"/>
          <w:kern w:val="0"/>
          <w:sz w:val="32"/>
          <w:szCs w:val="32"/>
        </w:rPr>
        <w:t xml:space="preserve">  </w:t>
      </w:r>
    </w:p>
    <w:p>
      <w:pPr>
        <w:spacing w:line="360" w:lineRule="auto"/>
        <w:rPr>
          <w:rFonts w:ascii="宋体" w:hAnsi="宋体" w:cs="宋体"/>
          <w:kern w:val="0"/>
          <w:sz w:val="32"/>
          <w:szCs w:val="32"/>
        </w:rPr>
      </w:pPr>
      <w:r>
        <w:rPr>
          <w:rFonts w:hint="eastAsia" w:ascii="宋体" w:hAnsi="宋体" w:cs="宋体"/>
          <w:kern w:val="0"/>
          <w:sz w:val="32"/>
          <w:szCs w:val="32"/>
        </w:rPr>
        <w:t>日期：</w:t>
      </w:r>
      <w:r>
        <w:rPr>
          <w:rFonts w:ascii="宋体" w:hAnsi="宋体" w:cs="宋体"/>
          <w:kern w:val="0"/>
          <w:sz w:val="32"/>
          <w:szCs w:val="32"/>
          <w:u w:val="single"/>
        </w:rPr>
        <w:t xml:space="preserve">   </w:t>
      </w:r>
      <w:r>
        <w:rPr>
          <w:rFonts w:hint="eastAsia" w:ascii="宋体" w:hAnsi="宋体" w:cs="宋体"/>
          <w:kern w:val="0"/>
          <w:sz w:val="32"/>
          <w:szCs w:val="32"/>
          <w:u w:val="single"/>
        </w:rPr>
        <w:t xml:space="preserve">                                         </w:t>
      </w:r>
      <w:r>
        <w:rPr>
          <w:rFonts w:ascii="宋体" w:hAnsi="宋体" w:cs="宋体"/>
          <w:kern w:val="0"/>
          <w:sz w:val="32"/>
          <w:szCs w:val="32"/>
          <w:u w:val="single"/>
        </w:rPr>
        <w:t xml:space="preserve">  </w:t>
      </w:r>
    </w:p>
    <w:p>
      <w:pPr>
        <w:autoSpaceDE w:val="0"/>
        <w:autoSpaceDN w:val="0"/>
        <w:adjustRightInd w:val="0"/>
        <w:spacing w:line="360" w:lineRule="auto"/>
        <w:jc w:val="center"/>
        <w:rPr>
          <w:rFonts w:ascii="宋体" w:hAnsi="宋体" w:cs="宋体"/>
          <w:kern w:val="0"/>
          <w:sz w:val="36"/>
          <w:szCs w:val="36"/>
        </w:rPr>
      </w:pPr>
      <w:r>
        <w:rPr>
          <w:rFonts w:hint="eastAsia" w:ascii="宋体" w:hAnsi="宋体" w:cs="宋体"/>
          <w:kern w:val="0"/>
          <w:sz w:val="36"/>
          <w:szCs w:val="36"/>
        </w:rPr>
        <w:t xml:space="preserve"> </w:t>
      </w:r>
    </w:p>
    <w:p>
      <w:pPr>
        <w:autoSpaceDE w:val="0"/>
        <w:autoSpaceDN w:val="0"/>
        <w:adjustRightInd w:val="0"/>
        <w:jc w:val="center"/>
        <w:rPr>
          <w:rFonts w:ascii="宋体" w:hAnsi="宋体" w:cs="宋体"/>
          <w:kern w:val="0"/>
          <w:sz w:val="36"/>
          <w:szCs w:val="36"/>
        </w:rPr>
      </w:pPr>
    </w:p>
    <w:p>
      <w:pPr>
        <w:autoSpaceDE w:val="0"/>
        <w:autoSpaceDN w:val="0"/>
        <w:adjustRightInd w:val="0"/>
        <w:jc w:val="center"/>
        <w:rPr>
          <w:rFonts w:ascii="宋体" w:hAnsi="宋体" w:cs="宋体"/>
          <w:kern w:val="0"/>
          <w:sz w:val="36"/>
          <w:szCs w:val="36"/>
        </w:rPr>
      </w:pPr>
    </w:p>
    <w:p>
      <w:pPr>
        <w:autoSpaceDE w:val="0"/>
        <w:autoSpaceDN w:val="0"/>
        <w:adjustRightInd w:val="0"/>
        <w:rPr>
          <w:rFonts w:ascii="宋体" w:hAnsi="宋体" w:cs="宋体"/>
          <w:kern w:val="0"/>
          <w:sz w:val="36"/>
          <w:szCs w:val="36"/>
        </w:rPr>
      </w:pPr>
    </w:p>
    <w:p>
      <w:pPr>
        <w:pStyle w:val="22"/>
        <w:adjustRightInd w:val="0"/>
        <w:snapToGrid w:val="0"/>
        <w:spacing w:line="340" w:lineRule="atLeast"/>
        <w:rPr>
          <w:rFonts w:hAnsi="宋体" w:cs="宋体"/>
          <w:kern w:val="0"/>
          <w:sz w:val="28"/>
          <w:szCs w:val="28"/>
        </w:rPr>
      </w:pPr>
      <w:r>
        <w:rPr>
          <w:kern w:val="0"/>
          <w:sz w:val="24"/>
        </w:rPr>
        <w:br w:type="page"/>
      </w:r>
      <w:r>
        <w:rPr>
          <w:rFonts w:hint="eastAsia" w:hAnsi="宋体" w:cs="宋体"/>
          <w:kern w:val="0"/>
          <w:sz w:val="28"/>
          <w:szCs w:val="28"/>
        </w:rPr>
        <w:t>格式</w:t>
      </w:r>
      <w:r>
        <w:rPr>
          <w:rFonts w:hint="eastAsia" w:hAnsi="宋体" w:cs="宋体"/>
          <w:kern w:val="0"/>
          <w:sz w:val="28"/>
          <w:szCs w:val="28"/>
          <w:lang w:val="en-US" w:eastAsia="zh-CN"/>
        </w:rPr>
        <w:t>2</w:t>
      </w:r>
      <w:r>
        <w:rPr>
          <w:rFonts w:hint="eastAsia" w:hAnsi="宋体" w:cs="宋体"/>
          <w:kern w:val="0"/>
          <w:sz w:val="28"/>
          <w:szCs w:val="28"/>
        </w:rPr>
        <w:t>-2、开标一览表</w:t>
      </w:r>
    </w:p>
    <w:p>
      <w:pPr>
        <w:pStyle w:val="22"/>
        <w:adjustRightInd w:val="0"/>
        <w:snapToGrid w:val="0"/>
        <w:spacing w:line="460" w:lineRule="atLeast"/>
        <w:jc w:val="center"/>
        <w:rPr>
          <w:rFonts w:hAnsi="宋体"/>
          <w:b/>
          <w:bCs/>
          <w:sz w:val="32"/>
          <w:szCs w:val="32"/>
        </w:rPr>
      </w:pPr>
    </w:p>
    <w:p>
      <w:pPr>
        <w:pStyle w:val="22"/>
        <w:adjustRightInd w:val="0"/>
        <w:snapToGrid w:val="0"/>
        <w:spacing w:line="460" w:lineRule="atLeast"/>
        <w:jc w:val="center"/>
        <w:rPr>
          <w:rFonts w:hAnsi="宋体" w:cs="宋体"/>
          <w:b/>
          <w:kern w:val="0"/>
          <w:sz w:val="44"/>
          <w:szCs w:val="44"/>
        </w:rPr>
      </w:pPr>
      <w:r>
        <w:rPr>
          <w:rFonts w:hint="eastAsia" w:hAnsi="宋体" w:cs="宋体"/>
          <w:b/>
          <w:kern w:val="0"/>
          <w:sz w:val="44"/>
          <w:szCs w:val="44"/>
        </w:rPr>
        <w:t>开标一览表</w:t>
      </w:r>
    </w:p>
    <w:p>
      <w:pPr>
        <w:pStyle w:val="22"/>
        <w:adjustRightInd w:val="0"/>
        <w:snapToGrid w:val="0"/>
        <w:spacing w:line="340" w:lineRule="atLeast"/>
        <w:rPr>
          <w:rFonts w:hAnsi="宋体" w:cs="宋体"/>
          <w:kern w:val="0"/>
          <w:sz w:val="24"/>
          <w:szCs w:val="24"/>
        </w:rPr>
      </w:pPr>
      <w:r>
        <w:rPr>
          <w:rFonts w:hint="eastAsia" w:hAnsi="宋体" w:cs="宋体"/>
          <w:kern w:val="0"/>
          <w:sz w:val="24"/>
          <w:szCs w:val="24"/>
        </w:rPr>
        <w:t>项目名称：</w:t>
      </w:r>
      <w:r>
        <w:rPr>
          <w:rFonts w:hint="eastAsia" w:hAnsi="宋体" w:cs="宋体"/>
          <w:kern w:val="0"/>
          <w:sz w:val="24"/>
          <w:szCs w:val="24"/>
          <w:lang w:eastAsia="zh-CN"/>
        </w:rPr>
        <w:t>苍南县宜山镇道路照明提升工程设计、采购及安装项目</w:t>
      </w:r>
    </w:p>
    <w:p>
      <w:pPr>
        <w:autoSpaceDE w:val="0"/>
        <w:autoSpaceDN w:val="0"/>
        <w:adjustRightInd w:val="0"/>
        <w:jc w:val="left"/>
        <w:rPr>
          <w:rFonts w:hint="eastAsia" w:ascii="宋体" w:hAnsi="宋体" w:cs="宋体"/>
          <w:kern w:val="0"/>
          <w:sz w:val="24"/>
          <w:lang w:eastAsia="zh-CN"/>
        </w:rPr>
      </w:pPr>
      <w:r>
        <w:rPr>
          <w:rFonts w:hint="eastAsia" w:ascii="宋体" w:hAnsi="宋体" w:cs="宋体"/>
          <w:kern w:val="0"/>
          <w:sz w:val="24"/>
        </w:rPr>
        <w:t>项目编号：</w:t>
      </w:r>
      <w:r>
        <w:rPr>
          <w:rFonts w:hint="eastAsia" w:ascii="宋体" w:hAnsi="宋体" w:cs="宋体"/>
          <w:kern w:val="0"/>
          <w:sz w:val="24"/>
          <w:lang w:eastAsia="zh-CN"/>
        </w:rPr>
        <w:t>CNDL2021446</w:t>
      </w:r>
    </w:p>
    <w:p>
      <w:pPr>
        <w:pStyle w:val="54"/>
        <w:rPr>
          <w:rFonts w:hint="eastAsia"/>
          <w:b/>
          <w:bCs/>
          <w:lang w:eastAsia="zh-CN"/>
        </w:rPr>
      </w:pPr>
      <w:r>
        <w:rPr>
          <w:rFonts w:hint="eastAsia" w:ascii="宋体" w:hAnsi="宋体" w:cs="宋体"/>
          <w:b/>
          <w:bCs/>
          <w:kern w:val="0"/>
          <w:sz w:val="24"/>
          <w:lang w:eastAsia="zh-CN"/>
        </w:rPr>
        <w:t>单位：人民币元</w:t>
      </w:r>
    </w:p>
    <w:p>
      <w:pPr>
        <w:autoSpaceDE w:val="0"/>
        <w:autoSpaceDN w:val="0"/>
        <w:adjustRightInd w:val="0"/>
        <w:spacing w:line="240" w:lineRule="exact"/>
        <w:jc w:val="left"/>
        <w:rPr>
          <w:rFonts w:ascii="宋体" w:hAnsi="宋体" w:cs="宋体"/>
          <w:kern w:val="0"/>
          <w:sz w:val="24"/>
        </w:rPr>
      </w:pPr>
    </w:p>
    <w:tbl>
      <w:tblPr>
        <w:tblStyle w:val="43"/>
        <w:tblW w:w="8963"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9"/>
        <w:gridCol w:w="2194"/>
        <w:gridCol w:w="60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709" w:type="dxa"/>
            <w:tcBorders>
              <w:bottom w:val="single" w:color="auto" w:sz="4" w:space="0"/>
            </w:tcBorders>
            <w:vAlign w:val="center"/>
          </w:tcPr>
          <w:p>
            <w:pPr>
              <w:pStyle w:val="22"/>
              <w:adjustRightInd w:val="0"/>
              <w:snapToGrid w:val="0"/>
              <w:spacing w:line="460" w:lineRule="atLeast"/>
              <w:jc w:val="center"/>
              <w:rPr>
                <w:rFonts w:hint="eastAsia" w:hAnsi="宋体" w:eastAsia="宋体" w:cs="宋体"/>
                <w:b/>
                <w:kern w:val="0"/>
                <w:sz w:val="24"/>
                <w:szCs w:val="24"/>
                <w:lang w:eastAsia="zh-CN"/>
              </w:rPr>
            </w:pPr>
            <w:r>
              <w:rPr>
                <w:rFonts w:hint="eastAsia" w:hAnsi="宋体" w:cs="宋体"/>
                <w:b/>
                <w:kern w:val="0"/>
                <w:sz w:val="24"/>
                <w:szCs w:val="24"/>
                <w:lang w:eastAsia="zh-CN"/>
              </w:rPr>
              <w:t>序号</w:t>
            </w:r>
          </w:p>
        </w:tc>
        <w:tc>
          <w:tcPr>
            <w:tcW w:w="2194" w:type="dxa"/>
            <w:tcBorders>
              <w:bottom w:val="single" w:color="auto" w:sz="4" w:space="0"/>
            </w:tcBorders>
            <w:vAlign w:val="center"/>
          </w:tcPr>
          <w:p>
            <w:pPr>
              <w:pStyle w:val="22"/>
              <w:adjustRightInd w:val="0"/>
              <w:snapToGrid w:val="0"/>
              <w:spacing w:line="460" w:lineRule="atLeast"/>
              <w:jc w:val="center"/>
              <w:rPr>
                <w:rFonts w:hAnsi="宋体" w:cs="宋体"/>
                <w:b/>
                <w:kern w:val="0"/>
                <w:sz w:val="24"/>
                <w:szCs w:val="24"/>
              </w:rPr>
            </w:pPr>
            <w:r>
              <w:rPr>
                <w:rFonts w:hint="eastAsia" w:hAnsi="宋体" w:cs="宋体"/>
                <w:b/>
                <w:kern w:val="0"/>
                <w:sz w:val="24"/>
                <w:szCs w:val="24"/>
              </w:rPr>
              <w:t>项目名称</w:t>
            </w:r>
          </w:p>
        </w:tc>
        <w:tc>
          <w:tcPr>
            <w:tcW w:w="6060" w:type="dxa"/>
            <w:vAlign w:val="center"/>
          </w:tcPr>
          <w:p>
            <w:pPr>
              <w:pStyle w:val="22"/>
              <w:adjustRightInd w:val="0"/>
              <w:snapToGrid w:val="0"/>
              <w:spacing w:line="340" w:lineRule="atLeast"/>
              <w:jc w:val="center"/>
              <w:rPr>
                <w:rFonts w:hAnsi="宋体" w:cs="宋体"/>
                <w:b/>
                <w:kern w:val="0"/>
                <w:sz w:val="24"/>
                <w:szCs w:val="24"/>
              </w:rPr>
            </w:pPr>
            <w:r>
              <w:rPr>
                <w:rFonts w:hint="eastAsia" w:hAnsi="宋体" w:cs="宋体"/>
                <w:b/>
                <w:kern w:val="0"/>
                <w:sz w:val="24"/>
                <w:szCs w:val="24"/>
                <w:lang w:eastAsia="zh-CN"/>
              </w:rPr>
              <w:t>苍南县宜山镇道路照明提升工程设计、采购及安装项目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8" w:hRule="atLeast"/>
        </w:trPr>
        <w:tc>
          <w:tcPr>
            <w:tcW w:w="709" w:type="dxa"/>
            <w:vMerge w:val="restart"/>
            <w:vAlign w:val="center"/>
          </w:tcPr>
          <w:p>
            <w:pPr>
              <w:pStyle w:val="22"/>
              <w:adjustRightInd w:val="0"/>
              <w:snapToGrid w:val="0"/>
              <w:spacing w:line="460" w:lineRule="atLeast"/>
              <w:jc w:val="center"/>
              <w:rPr>
                <w:rFonts w:hint="eastAsia" w:hAnsi="宋体" w:eastAsia="宋体" w:cs="宋体"/>
                <w:b/>
                <w:kern w:val="0"/>
                <w:sz w:val="24"/>
                <w:szCs w:val="24"/>
                <w:lang w:val="en-US" w:eastAsia="zh-CN"/>
              </w:rPr>
            </w:pPr>
            <w:r>
              <w:rPr>
                <w:rFonts w:hint="eastAsia" w:hAnsi="宋体" w:cs="宋体"/>
                <w:b/>
                <w:kern w:val="0"/>
                <w:sz w:val="24"/>
                <w:szCs w:val="24"/>
                <w:lang w:val="en-US" w:eastAsia="zh-CN"/>
              </w:rPr>
              <w:t>1</w:t>
            </w:r>
          </w:p>
        </w:tc>
        <w:tc>
          <w:tcPr>
            <w:tcW w:w="2194" w:type="dxa"/>
            <w:vMerge w:val="restart"/>
            <w:vAlign w:val="center"/>
          </w:tcPr>
          <w:p>
            <w:pPr>
              <w:pStyle w:val="22"/>
              <w:adjustRightInd w:val="0"/>
              <w:snapToGrid w:val="0"/>
              <w:spacing w:line="460" w:lineRule="atLeast"/>
              <w:jc w:val="center"/>
              <w:rPr>
                <w:rFonts w:hAnsi="宋体" w:cs="宋体"/>
                <w:b/>
                <w:kern w:val="0"/>
                <w:sz w:val="24"/>
                <w:szCs w:val="24"/>
              </w:rPr>
            </w:pPr>
            <w:r>
              <w:rPr>
                <w:rFonts w:hint="eastAsia" w:hAnsi="宋体" w:cs="宋体"/>
                <w:b/>
                <w:kern w:val="0"/>
                <w:sz w:val="24"/>
                <w:szCs w:val="24"/>
              </w:rPr>
              <w:t>投标总价</w:t>
            </w:r>
          </w:p>
        </w:tc>
        <w:tc>
          <w:tcPr>
            <w:tcW w:w="6060" w:type="dxa"/>
            <w:vAlign w:val="center"/>
          </w:tcPr>
          <w:p>
            <w:pPr>
              <w:pStyle w:val="22"/>
              <w:adjustRightInd w:val="0"/>
              <w:snapToGrid w:val="0"/>
              <w:spacing w:line="460" w:lineRule="atLeast"/>
              <w:rPr>
                <w:rFonts w:hAnsi="宋体" w:cs="宋体"/>
                <w:b/>
                <w:kern w:val="0"/>
                <w:sz w:val="24"/>
                <w:szCs w:val="24"/>
              </w:rPr>
            </w:pPr>
            <w:r>
              <w:rPr>
                <w:rFonts w:hint="eastAsia" w:hAnsi="宋体" w:cs="宋体"/>
                <w:b/>
                <w:kern w:val="0"/>
                <w:sz w:val="24"/>
                <w:szCs w:val="24"/>
              </w:rPr>
              <w:t>小写：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8" w:hRule="atLeast"/>
        </w:trPr>
        <w:tc>
          <w:tcPr>
            <w:tcW w:w="709" w:type="dxa"/>
            <w:vMerge w:val="continue"/>
            <w:vAlign w:val="center"/>
          </w:tcPr>
          <w:p>
            <w:pPr>
              <w:pStyle w:val="22"/>
              <w:adjustRightInd w:val="0"/>
              <w:snapToGrid w:val="0"/>
              <w:spacing w:line="460" w:lineRule="atLeast"/>
              <w:jc w:val="center"/>
              <w:rPr>
                <w:rFonts w:hAnsi="宋体" w:cs="宋体"/>
                <w:kern w:val="0"/>
                <w:sz w:val="24"/>
                <w:szCs w:val="24"/>
              </w:rPr>
            </w:pPr>
          </w:p>
        </w:tc>
        <w:tc>
          <w:tcPr>
            <w:tcW w:w="2194" w:type="dxa"/>
            <w:vMerge w:val="continue"/>
            <w:vAlign w:val="center"/>
          </w:tcPr>
          <w:p>
            <w:pPr>
              <w:pStyle w:val="22"/>
              <w:adjustRightInd w:val="0"/>
              <w:snapToGrid w:val="0"/>
              <w:spacing w:line="460" w:lineRule="atLeast"/>
              <w:jc w:val="center"/>
              <w:rPr>
                <w:rFonts w:hAnsi="宋体" w:cs="宋体"/>
                <w:kern w:val="0"/>
                <w:sz w:val="24"/>
                <w:szCs w:val="24"/>
              </w:rPr>
            </w:pPr>
          </w:p>
        </w:tc>
        <w:tc>
          <w:tcPr>
            <w:tcW w:w="6060" w:type="dxa"/>
            <w:vAlign w:val="center"/>
          </w:tcPr>
          <w:p>
            <w:pPr>
              <w:pStyle w:val="22"/>
              <w:adjustRightInd w:val="0"/>
              <w:snapToGrid w:val="0"/>
              <w:spacing w:line="460" w:lineRule="atLeast"/>
              <w:rPr>
                <w:rFonts w:hAnsi="宋体" w:cs="宋体"/>
                <w:b/>
                <w:kern w:val="0"/>
                <w:sz w:val="24"/>
                <w:szCs w:val="24"/>
              </w:rPr>
            </w:pPr>
            <w:r>
              <w:rPr>
                <w:rFonts w:hint="eastAsia" w:hAnsi="宋体" w:cs="宋体"/>
                <w:b/>
                <w:kern w:val="0"/>
                <w:sz w:val="24"/>
                <w:szCs w:val="24"/>
              </w:rPr>
              <w:t>大写：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709" w:type="dxa"/>
            <w:vAlign w:val="center"/>
          </w:tcPr>
          <w:p>
            <w:pPr>
              <w:pStyle w:val="22"/>
              <w:adjustRightInd w:val="0"/>
              <w:snapToGrid w:val="0"/>
              <w:spacing w:line="460" w:lineRule="atLeast"/>
              <w:jc w:val="center"/>
              <w:rPr>
                <w:rFonts w:hint="default" w:hAnsi="宋体" w:eastAsia="宋体" w:cs="宋体"/>
                <w:b/>
                <w:kern w:val="0"/>
                <w:sz w:val="24"/>
                <w:szCs w:val="24"/>
                <w:lang w:val="en-US" w:eastAsia="zh-CN"/>
              </w:rPr>
            </w:pPr>
            <w:r>
              <w:rPr>
                <w:rFonts w:hint="eastAsia" w:hAnsi="宋体" w:cs="宋体"/>
                <w:b/>
                <w:kern w:val="0"/>
                <w:sz w:val="24"/>
                <w:szCs w:val="24"/>
                <w:lang w:val="en-US" w:eastAsia="zh-CN"/>
              </w:rPr>
              <w:t>1.1</w:t>
            </w:r>
          </w:p>
        </w:tc>
        <w:tc>
          <w:tcPr>
            <w:tcW w:w="2194" w:type="dxa"/>
            <w:vAlign w:val="center"/>
          </w:tcPr>
          <w:p>
            <w:pPr>
              <w:pStyle w:val="22"/>
              <w:adjustRightInd w:val="0"/>
              <w:snapToGrid w:val="0"/>
              <w:spacing w:line="460" w:lineRule="atLeast"/>
              <w:jc w:val="center"/>
              <w:rPr>
                <w:rFonts w:hint="eastAsia" w:ascii="宋体" w:hAnsi="宋体" w:eastAsia="宋体" w:cs="宋体"/>
                <w:b/>
                <w:kern w:val="0"/>
                <w:sz w:val="24"/>
                <w:szCs w:val="24"/>
                <w:lang w:val="en-US" w:eastAsia="zh-CN" w:bidi="ar-SA"/>
              </w:rPr>
            </w:pPr>
            <w:r>
              <w:rPr>
                <w:rFonts w:hint="eastAsia" w:hAnsi="宋体" w:cs="宋体"/>
                <w:b/>
                <w:kern w:val="0"/>
                <w:sz w:val="24"/>
                <w:szCs w:val="24"/>
              </w:rPr>
              <w:t>设计费</w:t>
            </w:r>
            <w:r>
              <w:rPr>
                <w:rFonts w:hint="eastAsia" w:hAnsi="宋体" w:cs="宋体"/>
                <w:b/>
                <w:kern w:val="0"/>
                <w:sz w:val="24"/>
                <w:szCs w:val="24"/>
                <w:lang w:eastAsia="zh-CN"/>
              </w:rPr>
              <w:t>用</w:t>
            </w:r>
          </w:p>
        </w:tc>
        <w:tc>
          <w:tcPr>
            <w:tcW w:w="6060" w:type="dxa"/>
            <w:vAlign w:val="center"/>
          </w:tcPr>
          <w:p>
            <w:pPr>
              <w:pStyle w:val="22"/>
              <w:adjustRightInd w:val="0"/>
              <w:snapToGrid w:val="0"/>
              <w:spacing w:line="460" w:lineRule="atLeast"/>
              <w:jc w:val="center"/>
              <w:rPr>
                <w:rFonts w:hAnsi="宋体"/>
                <w:b/>
                <w:bCs/>
                <w:spacing w:val="20"/>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709" w:type="dxa"/>
            <w:vAlign w:val="center"/>
          </w:tcPr>
          <w:p>
            <w:pPr>
              <w:pStyle w:val="22"/>
              <w:adjustRightInd w:val="0"/>
              <w:snapToGrid w:val="0"/>
              <w:spacing w:line="460" w:lineRule="atLeast"/>
              <w:jc w:val="center"/>
              <w:rPr>
                <w:rFonts w:hint="default" w:hAnsi="宋体" w:cs="宋体"/>
                <w:b/>
                <w:kern w:val="0"/>
                <w:sz w:val="24"/>
                <w:szCs w:val="24"/>
                <w:lang w:val="en-US" w:eastAsia="zh-CN"/>
              </w:rPr>
            </w:pPr>
            <w:r>
              <w:rPr>
                <w:rFonts w:hint="eastAsia" w:hAnsi="宋体" w:cs="宋体"/>
                <w:b/>
                <w:kern w:val="0"/>
                <w:sz w:val="24"/>
                <w:szCs w:val="24"/>
                <w:lang w:val="en-US" w:eastAsia="zh-CN"/>
              </w:rPr>
              <w:t>1.2</w:t>
            </w:r>
          </w:p>
        </w:tc>
        <w:tc>
          <w:tcPr>
            <w:tcW w:w="2194" w:type="dxa"/>
            <w:vAlign w:val="center"/>
          </w:tcPr>
          <w:p>
            <w:pPr>
              <w:pStyle w:val="22"/>
              <w:adjustRightInd w:val="0"/>
              <w:snapToGrid w:val="0"/>
              <w:spacing w:line="460" w:lineRule="atLeast"/>
              <w:jc w:val="center"/>
              <w:rPr>
                <w:rFonts w:hint="eastAsia" w:ascii="宋体" w:hAnsi="宋体" w:eastAsia="宋体" w:cs="宋体"/>
                <w:b/>
                <w:kern w:val="0"/>
                <w:sz w:val="24"/>
                <w:szCs w:val="24"/>
                <w:lang w:val="en-US" w:eastAsia="zh-CN" w:bidi="ar-SA"/>
              </w:rPr>
            </w:pPr>
            <w:r>
              <w:rPr>
                <w:rFonts w:hint="eastAsia" w:hAnsi="宋体" w:cs="宋体"/>
                <w:b/>
                <w:kern w:val="0"/>
                <w:sz w:val="24"/>
                <w:szCs w:val="24"/>
                <w:lang w:eastAsia="zh-CN"/>
              </w:rPr>
              <w:t>材料</w:t>
            </w:r>
            <w:r>
              <w:rPr>
                <w:rFonts w:hint="eastAsia" w:hAnsi="宋体" w:cs="宋体"/>
                <w:b/>
                <w:kern w:val="0"/>
                <w:sz w:val="24"/>
                <w:szCs w:val="24"/>
              </w:rPr>
              <w:t>设备采购</w:t>
            </w:r>
            <w:r>
              <w:rPr>
                <w:rFonts w:hint="eastAsia" w:hAnsi="宋体" w:cs="宋体"/>
                <w:b/>
                <w:kern w:val="0"/>
                <w:sz w:val="24"/>
                <w:szCs w:val="24"/>
                <w:lang w:eastAsia="zh-CN"/>
              </w:rPr>
              <w:t>费用</w:t>
            </w:r>
          </w:p>
        </w:tc>
        <w:tc>
          <w:tcPr>
            <w:tcW w:w="6060" w:type="dxa"/>
            <w:vAlign w:val="center"/>
          </w:tcPr>
          <w:p>
            <w:pPr>
              <w:pStyle w:val="22"/>
              <w:adjustRightInd w:val="0"/>
              <w:snapToGrid w:val="0"/>
              <w:spacing w:line="460" w:lineRule="atLeast"/>
              <w:jc w:val="center"/>
              <w:rPr>
                <w:rFonts w:hAnsi="宋体"/>
                <w:b/>
                <w:bCs/>
                <w:spacing w:val="20"/>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709" w:type="dxa"/>
            <w:vAlign w:val="center"/>
          </w:tcPr>
          <w:p>
            <w:pPr>
              <w:pStyle w:val="22"/>
              <w:adjustRightInd w:val="0"/>
              <w:snapToGrid w:val="0"/>
              <w:spacing w:line="460" w:lineRule="atLeast"/>
              <w:jc w:val="center"/>
              <w:rPr>
                <w:rFonts w:hint="default" w:hAnsi="宋体" w:eastAsia="宋体" w:cs="宋体"/>
                <w:b/>
                <w:kern w:val="0"/>
                <w:sz w:val="24"/>
                <w:szCs w:val="24"/>
                <w:lang w:val="en-US" w:eastAsia="zh-CN"/>
              </w:rPr>
            </w:pPr>
            <w:r>
              <w:rPr>
                <w:rFonts w:hint="eastAsia" w:hAnsi="宋体" w:cs="宋体"/>
                <w:b/>
                <w:kern w:val="0"/>
                <w:sz w:val="24"/>
                <w:szCs w:val="24"/>
                <w:lang w:val="en-US" w:eastAsia="zh-CN"/>
              </w:rPr>
              <w:t>1.3</w:t>
            </w:r>
          </w:p>
        </w:tc>
        <w:tc>
          <w:tcPr>
            <w:tcW w:w="2194" w:type="dxa"/>
            <w:vAlign w:val="center"/>
          </w:tcPr>
          <w:p>
            <w:pPr>
              <w:pStyle w:val="22"/>
              <w:adjustRightInd w:val="0"/>
              <w:snapToGrid w:val="0"/>
              <w:spacing w:line="460" w:lineRule="atLeast"/>
              <w:jc w:val="center"/>
              <w:rPr>
                <w:rFonts w:hint="eastAsia" w:ascii="宋体" w:hAnsi="宋体" w:eastAsia="宋体" w:cs="宋体"/>
                <w:b/>
                <w:kern w:val="0"/>
                <w:sz w:val="24"/>
                <w:szCs w:val="24"/>
                <w:lang w:val="en-US" w:eastAsia="zh-CN" w:bidi="ar-SA"/>
              </w:rPr>
            </w:pPr>
            <w:r>
              <w:rPr>
                <w:rFonts w:hint="eastAsia" w:hAnsi="宋体" w:cs="宋体"/>
                <w:b/>
                <w:kern w:val="0"/>
                <w:sz w:val="24"/>
                <w:szCs w:val="24"/>
              </w:rPr>
              <w:t>施工工程费用</w:t>
            </w:r>
          </w:p>
        </w:tc>
        <w:tc>
          <w:tcPr>
            <w:tcW w:w="6060" w:type="dxa"/>
            <w:vAlign w:val="center"/>
          </w:tcPr>
          <w:p>
            <w:pPr>
              <w:pStyle w:val="22"/>
              <w:adjustRightInd w:val="0"/>
              <w:snapToGrid w:val="0"/>
              <w:spacing w:line="460" w:lineRule="atLeast"/>
              <w:jc w:val="center"/>
              <w:rPr>
                <w:rFonts w:hAnsi="宋体"/>
                <w:b/>
                <w:bCs/>
                <w:spacing w:val="20"/>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4" w:hRule="atLeast"/>
        </w:trPr>
        <w:tc>
          <w:tcPr>
            <w:tcW w:w="2903" w:type="dxa"/>
            <w:gridSpan w:val="2"/>
            <w:vAlign w:val="center"/>
          </w:tcPr>
          <w:p>
            <w:pPr>
              <w:pStyle w:val="22"/>
              <w:adjustRightInd w:val="0"/>
              <w:snapToGrid w:val="0"/>
              <w:spacing w:line="460" w:lineRule="atLeast"/>
              <w:jc w:val="center"/>
              <w:rPr>
                <w:rFonts w:hAnsi="宋体" w:cs="宋体"/>
                <w:b/>
                <w:kern w:val="0"/>
                <w:sz w:val="24"/>
                <w:szCs w:val="24"/>
              </w:rPr>
            </w:pPr>
            <w:r>
              <w:rPr>
                <w:rFonts w:hint="eastAsia" w:hAnsi="宋体" w:cs="宋体"/>
                <w:b/>
                <w:kern w:val="0"/>
                <w:sz w:val="24"/>
                <w:szCs w:val="24"/>
              </w:rPr>
              <w:t>备注</w:t>
            </w:r>
          </w:p>
        </w:tc>
        <w:tc>
          <w:tcPr>
            <w:tcW w:w="6060" w:type="dxa"/>
            <w:vAlign w:val="center"/>
          </w:tcPr>
          <w:p>
            <w:pPr>
              <w:pStyle w:val="22"/>
              <w:adjustRightInd w:val="0"/>
              <w:snapToGrid w:val="0"/>
              <w:spacing w:line="460" w:lineRule="atLeast"/>
              <w:jc w:val="left"/>
              <w:rPr>
                <w:rFonts w:hAnsi="宋体"/>
                <w:b/>
                <w:bCs/>
                <w:spacing w:val="20"/>
                <w:sz w:val="32"/>
                <w:szCs w:val="32"/>
              </w:rPr>
            </w:pPr>
            <w:r>
              <w:rPr>
                <w:rFonts w:hint="eastAsia" w:ascii="宋体" w:hAnsi="宋体"/>
                <w:sz w:val="24"/>
              </w:rPr>
              <w:t>本企业□是/□否小型、微型企业</w:t>
            </w:r>
          </w:p>
        </w:tc>
      </w:tr>
    </w:tbl>
    <w:p>
      <w:pPr>
        <w:autoSpaceDE w:val="0"/>
        <w:autoSpaceDN w:val="0"/>
        <w:adjustRightInd w:val="0"/>
        <w:spacing w:line="460" w:lineRule="exact"/>
        <w:jc w:val="left"/>
        <w:rPr>
          <w:rFonts w:ascii="宋体" w:hAnsi="宋体" w:cs="宋体"/>
          <w:b/>
          <w:kern w:val="0"/>
          <w:sz w:val="24"/>
          <w:szCs w:val="24"/>
        </w:rPr>
      </w:pPr>
      <w:r>
        <w:rPr>
          <w:rFonts w:hint="eastAsia" w:ascii="宋体" w:hAnsi="宋体" w:cs="宋体"/>
          <w:b/>
          <w:kern w:val="0"/>
          <w:sz w:val="24"/>
          <w:szCs w:val="24"/>
        </w:rPr>
        <w:t>注：</w:t>
      </w:r>
      <w:r>
        <w:rPr>
          <w:rFonts w:ascii="宋体" w:hAnsi="宋体" w:cs="宋体"/>
          <w:b/>
          <w:kern w:val="0"/>
          <w:sz w:val="24"/>
          <w:szCs w:val="24"/>
        </w:rPr>
        <w:t>1</w:t>
      </w:r>
      <w:r>
        <w:rPr>
          <w:rFonts w:hint="eastAsia" w:ascii="宋体" w:hAnsi="宋体" w:cs="宋体"/>
          <w:b/>
          <w:kern w:val="0"/>
          <w:sz w:val="24"/>
          <w:szCs w:val="24"/>
        </w:rPr>
        <w:t>、</w:t>
      </w:r>
      <w:r>
        <w:rPr>
          <w:rFonts w:ascii="宋体" w:hAnsi="宋体" w:cs="宋体"/>
          <w:b/>
          <w:kern w:val="0"/>
          <w:sz w:val="24"/>
          <w:szCs w:val="24"/>
        </w:rPr>
        <w:t>▲</w:t>
      </w:r>
      <w:r>
        <w:rPr>
          <w:rFonts w:hint="eastAsia" w:ascii="宋体" w:hAnsi="宋体" w:cs="宋体"/>
          <w:b/>
          <w:kern w:val="0"/>
          <w:sz w:val="24"/>
          <w:szCs w:val="24"/>
        </w:rPr>
        <w:t>本表按</w:t>
      </w:r>
      <w:r>
        <w:rPr>
          <w:rFonts w:hint="eastAsia" w:ascii="宋体" w:hAnsi="宋体" w:cs="宋体"/>
          <w:b/>
          <w:kern w:val="0"/>
          <w:sz w:val="24"/>
          <w:szCs w:val="24"/>
          <w:lang w:eastAsia="zh-CN"/>
        </w:rPr>
        <w:t>采购</w:t>
      </w:r>
      <w:r>
        <w:rPr>
          <w:rFonts w:hint="eastAsia" w:ascii="宋体" w:hAnsi="宋体" w:cs="宋体"/>
          <w:b/>
          <w:kern w:val="0"/>
          <w:sz w:val="24"/>
          <w:szCs w:val="24"/>
        </w:rPr>
        <w:t>文件要求制作。报价一经涂改，应在涂改处加盖单位公章或者由法定代表人或授权委托人签字或盖章，否则其投标作无效标处理。</w:t>
      </w:r>
    </w:p>
    <w:p>
      <w:pPr>
        <w:autoSpaceDE w:val="0"/>
        <w:autoSpaceDN w:val="0"/>
        <w:adjustRightInd w:val="0"/>
        <w:spacing w:line="460" w:lineRule="exact"/>
        <w:jc w:val="left"/>
        <w:rPr>
          <w:b/>
          <w:kern w:val="0"/>
          <w:sz w:val="24"/>
          <w:szCs w:val="24"/>
        </w:rPr>
      </w:pPr>
      <w:r>
        <w:rPr>
          <w:rFonts w:ascii="宋体" w:hAnsi="宋体" w:cs="宋体"/>
          <w:b/>
          <w:kern w:val="0"/>
          <w:sz w:val="24"/>
          <w:szCs w:val="24"/>
        </w:rPr>
        <w:t>2</w:t>
      </w:r>
      <w:r>
        <w:rPr>
          <w:rFonts w:hint="eastAsia" w:ascii="宋体" w:hAnsi="宋体" w:cs="宋体"/>
          <w:b/>
          <w:kern w:val="0"/>
          <w:sz w:val="24"/>
          <w:szCs w:val="24"/>
        </w:rPr>
        <w:t>、本表报价大小写不一致以大写为准；本表总价和投标明细表总价不一致以本表为准。</w:t>
      </w:r>
    </w:p>
    <w:p>
      <w:pPr>
        <w:autoSpaceDE w:val="0"/>
        <w:autoSpaceDN w:val="0"/>
        <w:adjustRightInd w:val="0"/>
        <w:spacing w:line="460" w:lineRule="exact"/>
        <w:jc w:val="left"/>
        <w:rPr>
          <w:b/>
          <w:kern w:val="0"/>
          <w:sz w:val="24"/>
          <w:szCs w:val="24"/>
        </w:rPr>
      </w:pPr>
      <w:r>
        <w:rPr>
          <w:rFonts w:ascii="宋体" w:hAnsi="宋体" w:cs="宋体"/>
          <w:b/>
          <w:kern w:val="0"/>
          <w:sz w:val="24"/>
          <w:szCs w:val="24"/>
        </w:rPr>
        <w:t>3</w:t>
      </w:r>
      <w:r>
        <w:rPr>
          <w:rFonts w:hint="eastAsia" w:ascii="宋体" w:hAnsi="宋体" w:cs="宋体"/>
          <w:b/>
          <w:kern w:val="0"/>
          <w:sz w:val="24"/>
          <w:szCs w:val="24"/>
        </w:rPr>
        <w:t>、</w:t>
      </w:r>
      <w:r>
        <w:rPr>
          <w:rFonts w:ascii="宋体" w:hAnsi="宋体" w:cs="宋体"/>
          <w:b/>
          <w:kern w:val="0"/>
          <w:sz w:val="24"/>
          <w:szCs w:val="24"/>
        </w:rPr>
        <w:t>▲</w:t>
      </w:r>
      <w:r>
        <w:rPr>
          <w:rFonts w:hint="eastAsia" w:ascii="宋体" w:hAnsi="宋体" w:cs="宋体"/>
          <w:b/>
          <w:kern w:val="0"/>
          <w:sz w:val="24"/>
          <w:szCs w:val="24"/>
        </w:rPr>
        <w:t>此表不得自行增减内容，不提供此表格将被视为没有实质性响应</w:t>
      </w:r>
      <w:r>
        <w:rPr>
          <w:rFonts w:hint="eastAsia" w:ascii="宋体" w:hAnsi="宋体" w:cs="宋体"/>
          <w:b/>
          <w:kern w:val="0"/>
          <w:sz w:val="24"/>
          <w:szCs w:val="24"/>
          <w:lang w:eastAsia="zh-CN"/>
        </w:rPr>
        <w:t>采购</w:t>
      </w:r>
      <w:r>
        <w:rPr>
          <w:rFonts w:hint="eastAsia" w:ascii="宋体" w:hAnsi="宋体" w:cs="宋体"/>
          <w:b/>
          <w:kern w:val="0"/>
          <w:sz w:val="24"/>
          <w:szCs w:val="24"/>
        </w:rPr>
        <w:t>文件，其</w:t>
      </w:r>
      <w:r>
        <w:rPr>
          <w:rFonts w:hint="eastAsia" w:ascii="宋体" w:hAnsi="宋体" w:cs="宋体"/>
          <w:b/>
          <w:kern w:val="0"/>
          <w:sz w:val="24"/>
          <w:szCs w:val="24"/>
          <w:lang w:eastAsia="zh-CN"/>
        </w:rPr>
        <w:t>磋商响应文件</w:t>
      </w:r>
      <w:r>
        <w:rPr>
          <w:rFonts w:hint="eastAsia" w:ascii="宋体" w:hAnsi="宋体" w:cs="宋体"/>
          <w:b/>
          <w:kern w:val="0"/>
          <w:sz w:val="24"/>
          <w:szCs w:val="24"/>
        </w:rPr>
        <w:t>将被拒绝。</w:t>
      </w:r>
      <w:r>
        <w:rPr>
          <w:rFonts w:ascii="宋体" w:hAnsi="宋体" w:cs="宋体"/>
          <w:b/>
          <w:kern w:val="0"/>
          <w:sz w:val="24"/>
          <w:szCs w:val="24"/>
        </w:rPr>
        <w:t xml:space="preserve"> </w:t>
      </w:r>
    </w:p>
    <w:p>
      <w:pPr>
        <w:autoSpaceDE w:val="0"/>
        <w:autoSpaceDN w:val="0"/>
        <w:adjustRightInd w:val="0"/>
        <w:jc w:val="left"/>
        <w:rPr>
          <w:kern w:val="0"/>
          <w:sz w:val="24"/>
        </w:rPr>
      </w:pPr>
    </w:p>
    <w:p>
      <w:pPr>
        <w:autoSpaceDE w:val="0"/>
        <w:autoSpaceDN w:val="0"/>
        <w:adjustRightInd w:val="0"/>
        <w:jc w:val="left"/>
        <w:rPr>
          <w:kern w:val="0"/>
          <w:sz w:val="24"/>
        </w:rPr>
      </w:pPr>
    </w:p>
    <w:p>
      <w:pPr>
        <w:pStyle w:val="22"/>
        <w:adjustRightInd w:val="0"/>
        <w:snapToGrid w:val="0"/>
        <w:spacing w:line="460" w:lineRule="exact"/>
        <w:rPr>
          <w:rFonts w:hAnsi="宋体" w:cs="宋体"/>
          <w:kern w:val="0"/>
          <w:sz w:val="28"/>
          <w:szCs w:val="28"/>
        </w:rPr>
      </w:pPr>
    </w:p>
    <w:p>
      <w:pPr>
        <w:pStyle w:val="22"/>
        <w:adjustRightInd w:val="0"/>
        <w:snapToGrid w:val="0"/>
        <w:spacing w:line="460" w:lineRule="exact"/>
        <w:rPr>
          <w:rFonts w:hAnsi="宋体" w:cs="宋体"/>
          <w:kern w:val="0"/>
          <w:sz w:val="28"/>
          <w:szCs w:val="28"/>
        </w:rPr>
      </w:pPr>
      <w:r>
        <w:rPr>
          <w:rFonts w:hint="eastAsia" w:hAnsi="宋体" w:cs="宋体"/>
          <w:kern w:val="0"/>
          <w:sz w:val="28"/>
          <w:szCs w:val="28"/>
        </w:rPr>
        <w:t>投标供应商名称（盖章）：</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u w:val="single"/>
        </w:rPr>
      </w:pPr>
      <w:r>
        <w:rPr>
          <w:rFonts w:hint="eastAsia" w:hAnsi="宋体" w:cs="宋体"/>
          <w:kern w:val="0"/>
          <w:sz w:val="28"/>
          <w:szCs w:val="28"/>
        </w:rPr>
        <w:t>法定代表人或其授权代表（签字或盖章）：</w:t>
      </w:r>
      <w:r>
        <w:rPr>
          <w:rFonts w:hint="eastAsia" w:hAnsi="宋体" w:cs="宋体"/>
          <w:kern w:val="0"/>
          <w:sz w:val="28"/>
          <w:szCs w:val="28"/>
          <w:u w:val="single"/>
        </w:rPr>
        <w:t xml:space="preserve">              </w:t>
      </w: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 xml:space="preserve">日期： </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3"/>
        <w:rPr>
          <w:rFonts w:hAnsi="宋体" w:cs="宋体"/>
          <w:kern w:val="0"/>
          <w:sz w:val="28"/>
          <w:szCs w:val="28"/>
        </w:rPr>
      </w:pPr>
    </w:p>
    <w:p/>
    <w:p>
      <w:pPr>
        <w:pStyle w:val="22"/>
        <w:adjustRightInd w:val="0"/>
        <w:snapToGrid w:val="0"/>
        <w:spacing w:line="340" w:lineRule="atLeast"/>
        <w:rPr>
          <w:rFonts w:hint="eastAsia" w:hAnsi="宋体" w:cs="宋体"/>
          <w:kern w:val="0"/>
          <w:sz w:val="28"/>
          <w:szCs w:val="28"/>
        </w:rPr>
      </w:pP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格式</w:t>
      </w:r>
      <w:r>
        <w:rPr>
          <w:rFonts w:hint="eastAsia" w:hAnsi="宋体" w:cs="宋体"/>
          <w:kern w:val="0"/>
          <w:sz w:val="28"/>
          <w:szCs w:val="28"/>
          <w:lang w:val="en-US" w:eastAsia="zh-CN"/>
        </w:rPr>
        <w:t>2</w:t>
      </w:r>
      <w:r>
        <w:rPr>
          <w:rFonts w:hint="eastAsia" w:hAnsi="宋体" w:cs="宋体"/>
          <w:kern w:val="0"/>
          <w:sz w:val="28"/>
          <w:szCs w:val="28"/>
        </w:rPr>
        <w:t>-</w:t>
      </w:r>
      <w:r>
        <w:rPr>
          <w:rFonts w:hint="eastAsia" w:hAnsi="宋体" w:cs="宋体"/>
          <w:kern w:val="0"/>
          <w:sz w:val="28"/>
          <w:szCs w:val="28"/>
          <w:lang w:val="en-US" w:eastAsia="zh-CN"/>
        </w:rPr>
        <w:t>3</w:t>
      </w:r>
      <w:r>
        <w:rPr>
          <w:rFonts w:hint="eastAsia" w:hAnsi="宋体" w:cs="宋体"/>
          <w:kern w:val="0"/>
          <w:sz w:val="28"/>
          <w:szCs w:val="28"/>
        </w:rPr>
        <w:t>、投标报价组成明细表及附表</w:t>
      </w:r>
    </w:p>
    <w:p>
      <w:pPr>
        <w:pStyle w:val="22"/>
        <w:adjustRightInd w:val="0"/>
        <w:snapToGrid w:val="0"/>
        <w:spacing w:line="460" w:lineRule="atLeast"/>
        <w:jc w:val="center"/>
        <w:rPr>
          <w:rFonts w:hAnsi="宋体"/>
          <w:b/>
          <w:bCs/>
          <w:sz w:val="32"/>
          <w:szCs w:val="32"/>
        </w:rPr>
      </w:pPr>
    </w:p>
    <w:p>
      <w:pPr>
        <w:pStyle w:val="22"/>
        <w:adjustRightInd w:val="0"/>
        <w:snapToGrid w:val="0"/>
        <w:spacing w:line="460" w:lineRule="atLeast"/>
        <w:jc w:val="center"/>
        <w:rPr>
          <w:rFonts w:hAnsi="宋体" w:cs="宋体"/>
          <w:b/>
          <w:kern w:val="0"/>
          <w:sz w:val="44"/>
          <w:szCs w:val="44"/>
        </w:rPr>
      </w:pPr>
      <w:r>
        <w:rPr>
          <w:rFonts w:hint="eastAsia" w:hAnsi="宋体" w:cs="宋体"/>
          <w:b/>
          <w:kern w:val="0"/>
          <w:sz w:val="44"/>
          <w:szCs w:val="44"/>
        </w:rPr>
        <w:t>（一）设计费投标报价组成明细表</w:t>
      </w:r>
    </w:p>
    <w:p>
      <w:pPr>
        <w:pStyle w:val="22"/>
        <w:adjustRightInd w:val="0"/>
        <w:snapToGrid w:val="0"/>
        <w:spacing w:line="340" w:lineRule="atLeast"/>
        <w:rPr>
          <w:rFonts w:hAnsi="宋体" w:cs="宋体"/>
          <w:kern w:val="0"/>
          <w:sz w:val="24"/>
          <w:szCs w:val="24"/>
        </w:rPr>
      </w:pPr>
      <w:r>
        <w:rPr>
          <w:rFonts w:hint="eastAsia" w:hAnsi="宋体" w:cs="宋体"/>
          <w:kern w:val="0"/>
          <w:sz w:val="24"/>
          <w:szCs w:val="24"/>
        </w:rPr>
        <w:t>项目名称：</w:t>
      </w:r>
      <w:r>
        <w:rPr>
          <w:rFonts w:hint="eastAsia" w:hAnsi="宋体" w:cs="宋体"/>
          <w:kern w:val="0"/>
          <w:sz w:val="24"/>
          <w:szCs w:val="24"/>
          <w:lang w:eastAsia="zh-CN"/>
        </w:rPr>
        <w:t>苍南县宜山镇道路照明提升工程设计、采购及安装项目</w:t>
      </w:r>
    </w:p>
    <w:p>
      <w:pPr>
        <w:autoSpaceDE w:val="0"/>
        <w:autoSpaceDN w:val="0"/>
        <w:adjustRightInd w:val="0"/>
        <w:jc w:val="left"/>
        <w:rPr>
          <w:rFonts w:hint="eastAsia" w:ascii="宋体" w:hAnsi="宋体" w:eastAsia="宋体" w:cs="宋体"/>
          <w:kern w:val="0"/>
          <w:sz w:val="24"/>
          <w:lang w:eastAsia="zh-CN"/>
        </w:rPr>
      </w:pPr>
      <w:r>
        <w:rPr>
          <w:rFonts w:hint="eastAsia" w:ascii="宋体" w:hAnsi="宋体" w:cs="宋体"/>
          <w:kern w:val="0"/>
          <w:sz w:val="24"/>
        </w:rPr>
        <w:t>项目编号：</w:t>
      </w:r>
      <w:r>
        <w:rPr>
          <w:rFonts w:hint="eastAsia" w:ascii="宋体" w:hAnsi="宋体" w:cs="宋体"/>
          <w:kern w:val="0"/>
          <w:sz w:val="24"/>
          <w:lang w:eastAsia="zh-CN"/>
        </w:rPr>
        <w:t>CNDL2021446</w:t>
      </w:r>
    </w:p>
    <w:p>
      <w:pPr>
        <w:autoSpaceDE w:val="0"/>
        <w:autoSpaceDN w:val="0"/>
        <w:adjustRightInd w:val="0"/>
        <w:jc w:val="left"/>
        <w:rPr>
          <w:kern w:val="0"/>
          <w:sz w:val="24"/>
        </w:rPr>
      </w:pPr>
    </w:p>
    <w:tbl>
      <w:tblPr>
        <w:tblStyle w:val="43"/>
        <w:tblW w:w="9919" w:type="dxa"/>
        <w:tblInd w:w="-17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87"/>
        <w:gridCol w:w="5310"/>
        <w:gridCol w:w="2574"/>
        <w:gridCol w:w="6"/>
        <w:gridCol w:w="84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bottom w:val="single" w:color="auto" w:sz="4" w:space="0"/>
              <w:right w:val="single" w:color="auto" w:sz="4" w:space="0"/>
            </w:tcBorders>
            <w:vAlign w:val="center"/>
          </w:tcPr>
          <w:p>
            <w:pPr>
              <w:jc w:val="center"/>
              <w:rPr>
                <w:b/>
                <w:szCs w:val="21"/>
              </w:rPr>
            </w:pPr>
            <w:r>
              <w:rPr>
                <w:rFonts w:hint="eastAsia"/>
                <w:b/>
                <w:szCs w:val="21"/>
              </w:rPr>
              <w:t>序号</w:t>
            </w:r>
          </w:p>
        </w:tc>
        <w:tc>
          <w:tcPr>
            <w:tcW w:w="5310" w:type="dxa"/>
            <w:tcBorders>
              <w:left w:val="single" w:color="auto" w:sz="4" w:space="0"/>
              <w:bottom w:val="single" w:color="auto" w:sz="4" w:space="0"/>
              <w:right w:val="single" w:color="auto" w:sz="4" w:space="0"/>
            </w:tcBorders>
            <w:vAlign w:val="center"/>
          </w:tcPr>
          <w:p>
            <w:pPr>
              <w:jc w:val="center"/>
              <w:rPr>
                <w:b/>
                <w:szCs w:val="21"/>
              </w:rPr>
            </w:pPr>
            <w:r>
              <w:rPr>
                <w:rFonts w:hint="eastAsia"/>
                <w:b/>
                <w:sz w:val="24"/>
              </w:rPr>
              <w:t>项目名称及工作描述</w:t>
            </w:r>
          </w:p>
        </w:tc>
        <w:tc>
          <w:tcPr>
            <w:tcW w:w="2580" w:type="dxa"/>
            <w:gridSpan w:val="2"/>
            <w:tcBorders>
              <w:left w:val="single" w:color="auto" w:sz="4" w:space="0"/>
              <w:bottom w:val="single" w:color="auto" w:sz="4" w:space="0"/>
              <w:right w:val="single" w:color="auto" w:sz="4" w:space="0"/>
            </w:tcBorders>
            <w:vAlign w:val="center"/>
          </w:tcPr>
          <w:p>
            <w:pPr>
              <w:jc w:val="center"/>
              <w:rPr>
                <w:b/>
                <w:szCs w:val="21"/>
              </w:rPr>
            </w:pPr>
            <w:r>
              <w:rPr>
                <w:rFonts w:hint="eastAsia"/>
                <w:b/>
                <w:szCs w:val="21"/>
              </w:rPr>
              <w:t>报价</w:t>
            </w:r>
          </w:p>
          <w:p>
            <w:pPr>
              <w:jc w:val="center"/>
              <w:rPr>
                <w:b/>
                <w:szCs w:val="21"/>
              </w:rPr>
            </w:pPr>
            <w:r>
              <w:rPr>
                <w:rFonts w:hint="eastAsia"/>
                <w:b/>
                <w:szCs w:val="21"/>
              </w:rPr>
              <w:t>（元）</w:t>
            </w:r>
          </w:p>
        </w:tc>
        <w:tc>
          <w:tcPr>
            <w:tcW w:w="842" w:type="dxa"/>
            <w:tcBorders>
              <w:left w:val="single" w:color="auto" w:sz="4" w:space="0"/>
              <w:bottom w:val="single" w:color="auto" w:sz="4" w:space="0"/>
            </w:tcBorders>
            <w:vAlign w:val="center"/>
          </w:tcPr>
          <w:p>
            <w:pPr>
              <w:jc w:val="center"/>
              <w:rPr>
                <w:b/>
                <w:szCs w:val="21"/>
              </w:rPr>
            </w:pPr>
            <w:r>
              <w:rPr>
                <w:rFonts w:hint="eastAsia"/>
                <w:b/>
                <w:szCs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bottom w:val="single" w:color="auto" w:sz="4" w:space="0"/>
              <w:right w:val="single" w:color="auto" w:sz="4" w:space="0"/>
            </w:tcBorders>
            <w:vAlign w:val="center"/>
          </w:tcPr>
          <w:p>
            <w:pPr>
              <w:jc w:val="center"/>
              <w:rPr>
                <w:b/>
                <w:szCs w:val="21"/>
              </w:rPr>
            </w:pPr>
            <w:r>
              <w:rPr>
                <w:rFonts w:hint="eastAsia"/>
                <w:b/>
                <w:szCs w:val="21"/>
              </w:rPr>
              <w:t>1</w:t>
            </w:r>
          </w:p>
        </w:tc>
        <w:tc>
          <w:tcPr>
            <w:tcW w:w="5310"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2580" w:type="dxa"/>
            <w:gridSpan w:val="2"/>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842" w:type="dxa"/>
            <w:tcBorders>
              <w:top w:val="single" w:color="auto" w:sz="4" w:space="0"/>
              <w:left w:val="single" w:color="auto" w:sz="4" w:space="0"/>
              <w:bottom w:val="single" w:color="auto" w:sz="4" w:space="0"/>
            </w:tcBorders>
            <w:vAlign w:val="center"/>
          </w:tcPr>
          <w:p>
            <w:pPr>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bottom w:val="single" w:color="auto" w:sz="4" w:space="0"/>
              <w:right w:val="single" w:color="auto" w:sz="4" w:space="0"/>
            </w:tcBorders>
            <w:vAlign w:val="center"/>
          </w:tcPr>
          <w:p>
            <w:pPr>
              <w:jc w:val="center"/>
              <w:rPr>
                <w:b/>
                <w:szCs w:val="21"/>
              </w:rPr>
            </w:pPr>
            <w:r>
              <w:rPr>
                <w:rFonts w:hint="eastAsia"/>
                <w:b/>
                <w:szCs w:val="21"/>
              </w:rPr>
              <w:t>2</w:t>
            </w:r>
          </w:p>
        </w:tc>
        <w:tc>
          <w:tcPr>
            <w:tcW w:w="5310"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2580" w:type="dxa"/>
            <w:gridSpan w:val="2"/>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842" w:type="dxa"/>
            <w:tcBorders>
              <w:top w:val="single" w:color="auto" w:sz="4" w:space="0"/>
              <w:left w:val="single" w:color="auto" w:sz="4" w:space="0"/>
              <w:bottom w:val="single" w:color="auto" w:sz="4" w:space="0"/>
            </w:tcBorders>
            <w:vAlign w:val="center"/>
          </w:tcPr>
          <w:p>
            <w:pPr>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bottom w:val="single" w:color="auto" w:sz="4" w:space="0"/>
              <w:right w:val="single" w:color="auto" w:sz="4" w:space="0"/>
            </w:tcBorders>
            <w:vAlign w:val="center"/>
          </w:tcPr>
          <w:p>
            <w:pPr>
              <w:jc w:val="center"/>
              <w:rPr>
                <w:b/>
                <w:szCs w:val="21"/>
              </w:rPr>
            </w:pPr>
            <w:r>
              <w:rPr>
                <w:rFonts w:hint="eastAsia"/>
                <w:b/>
                <w:szCs w:val="21"/>
              </w:rPr>
              <w:t>3</w:t>
            </w:r>
          </w:p>
        </w:tc>
        <w:tc>
          <w:tcPr>
            <w:tcW w:w="5310"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2580" w:type="dxa"/>
            <w:gridSpan w:val="2"/>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842" w:type="dxa"/>
            <w:tcBorders>
              <w:top w:val="single" w:color="auto" w:sz="4" w:space="0"/>
              <w:left w:val="single" w:color="auto" w:sz="4" w:space="0"/>
              <w:bottom w:val="single" w:color="auto" w:sz="4" w:space="0"/>
            </w:tcBorders>
            <w:vAlign w:val="center"/>
          </w:tcPr>
          <w:p>
            <w:pPr>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right w:val="single" w:color="auto" w:sz="4" w:space="0"/>
            </w:tcBorders>
            <w:vAlign w:val="center"/>
          </w:tcPr>
          <w:p>
            <w:pPr>
              <w:jc w:val="center"/>
              <w:rPr>
                <w:b/>
                <w:szCs w:val="21"/>
              </w:rPr>
            </w:pPr>
            <w:r>
              <w:rPr>
                <w:rFonts w:hint="eastAsia"/>
                <w:b/>
                <w:szCs w:val="21"/>
              </w:rPr>
              <w:t>4</w:t>
            </w:r>
          </w:p>
        </w:tc>
        <w:tc>
          <w:tcPr>
            <w:tcW w:w="5310" w:type="dxa"/>
            <w:tcBorders>
              <w:top w:val="single" w:color="auto" w:sz="4" w:space="0"/>
              <w:left w:val="single" w:color="auto" w:sz="4" w:space="0"/>
              <w:right w:val="single" w:color="auto" w:sz="4" w:space="0"/>
            </w:tcBorders>
            <w:vAlign w:val="center"/>
          </w:tcPr>
          <w:p>
            <w:pPr>
              <w:jc w:val="center"/>
              <w:rPr>
                <w:b/>
                <w:szCs w:val="21"/>
              </w:rPr>
            </w:pPr>
          </w:p>
        </w:tc>
        <w:tc>
          <w:tcPr>
            <w:tcW w:w="2580" w:type="dxa"/>
            <w:gridSpan w:val="2"/>
            <w:tcBorders>
              <w:top w:val="single" w:color="auto" w:sz="4" w:space="0"/>
              <w:left w:val="single" w:color="auto" w:sz="4" w:space="0"/>
              <w:right w:val="single" w:color="auto" w:sz="4" w:space="0"/>
            </w:tcBorders>
            <w:vAlign w:val="center"/>
          </w:tcPr>
          <w:p>
            <w:pPr>
              <w:jc w:val="center"/>
              <w:rPr>
                <w:b/>
                <w:szCs w:val="21"/>
              </w:rPr>
            </w:pPr>
          </w:p>
        </w:tc>
        <w:tc>
          <w:tcPr>
            <w:tcW w:w="842" w:type="dxa"/>
            <w:tcBorders>
              <w:top w:val="single" w:color="auto" w:sz="4" w:space="0"/>
              <w:left w:val="single" w:color="auto" w:sz="4" w:space="0"/>
            </w:tcBorders>
            <w:vAlign w:val="center"/>
          </w:tcPr>
          <w:p>
            <w:pPr>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right w:val="single" w:color="auto" w:sz="4" w:space="0"/>
            </w:tcBorders>
            <w:vAlign w:val="center"/>
          </w:tcPr>
          <w:p>
            <w:pPr>
              <w:jc w:val="center"/>
              <w:rPr>
                <w:b/>
                <w:szCs w:val="21"/>
              </w:rPr>
            </w:pPr>
            <w:r>
              <w:rPr>
                <w:b/>
                <w:szCs w:val="21"/>
              </w:rPr>
              <w:t>…</w:t>
            </w:r>
          </w:p>
        </w:tc>
        <w:tc>
          <w:tcPr>
            <w:tcW w:w="5310" w:type="dxa"/>
            <w:tcBorders>
              <w:top w:val="single" w:color="auto" w:sz="4" w:space="0"/>
              <w:left w:val="single" w:color="auto" w:sz="4" w:space="0"/>
              <w:right w:val="single" w:color="auto" w:sz="4" w:space="0"/>
            </w:tcBorders>
            <w:vAlign w:val="center"/>
          </w:tcPr>
          <w:p>
            <w:pPr>
              <w:jc w:val="center"/>
              <w:rPr>
                <w:b/>
                <w:szCs w:val="21"/>
              </w:rPr>
            </w:pPr>
            <w:r>
              <w:rPr>
                <w:b/>
                <w:szCs w:val="21"/>
              </w:rPr>
              <w:t>…</w:t>
            </w:r>
          </w:p>
        </w:tc>
        <w:tc>
          <w:tcPr>
            <w:tcW w:w="2580" w:type="dxa"/>
            <w:gridSpan w:val="2"/>
            <w:tcBorders>
              <w:top w:val="single" w:color="auto" w:sz="4" w:space="0"/>
              <w:left w:val="single" w:color="auto" w:sz="4" w:space="0"/>
              <w:right w:val="single" w:color="auto" w:sz="4" w:space="0"/>
            </w:tcBorders>
            <w:vAlign w:val="center"/>
          </w:tcPr>
          <w:p>
            <w:pPr>
              <w:jc w:val="center"/>
              <w:rPr>
                <w:b/>
                <w:szCs w:val="21"/>
              </w:rPr>
            </w:pPr>
            <w:r>
              <w:rPr>
                <w:b/>
                <w:szCs w:val="21"/>
              </w:rPr>
              <w:t>…</w:t>
            </w:r>
          </w:p>
        </w:tc>
        <w:tc>
          <w:tcPr>
            <w:tcW w:w="842" w:type="dxa"/>
            <w:tcBorders>
              <w:top w:val="single" w:color="auto" w:sz="4" w:space="0"/>
              <w:left w:val="single" w:color="auto" w:sz="4" w:space="0"/>
            </w:tcBorders>
            <w:vAlign w:val="center"/>
          </w:tcPr>
          <w:p>
            <w:pPr>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right w:val="single" w:color="auto" w:sz="4" w:space="0"/>
            </w:tcBorders>
            <w:vAlign w:val="bottom"/>
          </w:tcPr>
          <w:p>
            <w:pPr>
              <w:spacing w:line="360" w:lineRule="auto"/>
              <w:jc w:val="center"/>
              <w:rPr>
                <w:rFonts w:ascii="宋体" w:hAnsi="宋体" w:cs="宋体"/>
                <w:b/>
              </w:rPr>
            </w:pPr>
            <w:r>
              <w:rPr>
                <w:rFonts w:hint="eastAsia" w:ascii="宋体" w:hAnsi="宋体" w:cs="宋体"/>
                <w:b/>
              </w:rPr>
              <w:t>合计</w:t>
            </w:r>
          </w:p>
        </w:tc>
        <w:tc>
          <w:tcPr>
            <w:tcW w:w="7884" w:type="dxa"/>
            <w:gridSpan w:val="2"/>
            <w:tcBorders>
              <w:left w:val="single" w:color="auto" w:sz="4" w:space="0"/>
              <w:right w:val="single" w:color="auto" w:sz="4" w:space="0"/>
            </w:tcBorders>
            <w:vAlign w:val="bottom"/>
          </w:tcPr>
          <w:p>
            <w:pPr>
              <w:spacing w:line="360" w:lineRule="auto"/>
              <w:jc w:val="center"/>
              <w:rPr>
                <w:rFonts w:ascii="宋体" w:hAnsi="宋体" w:cs="宋体"/>
                <w:b/>
              </w:rPr>
            </w:pPr>
            <w:r>
              <w:rPr>
                <w:rFonts w:hint="eastAsia" w:ascii="宋体" w:hAnsi="宋体" w:cs="宋体"/>
                <w:b/>
              </w:rPr>
              <w:t>小写：</w:t>
            </w:r>
            <w:r>
              <w:rPr>
                <w:rFonts w:hint="eastAsia" w:ascii="宋体" w:hAnsi="宋体" w:cs="宋体"/>
                <w:b/>
                <w:u w:val="single"/>
              </w:rPr>
              <w:t xml:space="preserve">                     </w:t>
            </w:r>
            <w:r>
              <w:rPr>
                <w:rFonts w:hint="eastAsia" w:ascii="宋体" w:hAnsi="宋体" w:cs="宋体"/>
                <w:b/>
              </w:rPr>
              <w:t>元   大写：</w:t>
            </w:r>
            <w:r>
              <w:rPr>
                <w:rFonts w:hint="eastAsia" w:ascii="宋体" w:hAnsi="宋体" w:cs="宋体"/>
                <w:b/>
                <w:u w:val="single"/>
              </w:rPr>
              <w:t xml:space="preserve">                     </w:t>
            </w:r>
            <w:r>
              <w:rPr>
                <w:rFonts w:hint="eastAsia" w:ascii="宋体" w:hAnsi="宋体" w:cs="宋体"/>
                <w:b/>
              </w:rPr>
              <w:t>元</w:t>
            </w:r>
          </w:p>
        </w:tc>
        <w:tc>
          <w:tcPr>
            <w:tcW w:w="848" w:type="dxa"/>
            <w:gridSpan w:val="2"/>
            <w:tcBorders>
              <w:left w:val="single" w:color="auto" w:sz="4" w:space="0"/>
            </w:tcBorders>
            <w:vAlign w:val="center"/>
          </w:tcPr>
          <w:p>
            <w:pPr>
              <w:spacing w:line="360" w:lineRule="auto"/>
              <w:jc w:val="center"/>
              <w:rPr>
                <w:rFonts w:ascii="宋体" w:hAnsi="宋体" w:cs="宋体"/>
                <w:b/>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9919" w:type="dxa"/>
            <w:gridSpan w:val="5"/>
            <w:vAlign w:val="center"/>
          </w:tcPr>
          <w:p>
            <w:pPr>
              <w:spacing w:line="400" w:lineRule="exact"/>
              <w:rPr>
                <w:rFonts w:ascii="宋体" w:hAnsi="宋体" w:cs="宋体"/>
                <w:b/>
              </w:rPr>
            </w:pPr>
            <w:r>
              <w:rPr>
                <w:rFonts w:hint="eastAsia" w:ascii="宋体" w:hAnsi="宋体" w:cs="宋体"/>
                <w:b/>
              </w:rPr>
              <w:t>说明：此表可延伸</w:t>
            </w:r>
          </w:p>
        </w:tc>
      </w:tr>
    </w:tbl>
    <w:p>
      <w:pPr>
        <w:pStyle w:val="22"/>
        <w:adjustRightInd w:val="0"/>
        <w:snapToGrid w:val="0"/>
        <w:spacing w:line="460" w:lineRule="exact"/>
        <w:rPr>
          <w:rFonts w:hAnsi="宋体" w:cs="宋体"/>
          <w:kern w:val="0"/>
          <w:sz w:val="28"/>
          <w:szCs w:val="28"/>
        </w:rPr>
      </w:pPr>
      <w:r>
        <w:rPr>
          <w:rFonts w:hint="eastAsia" w:hAnsi="宋体" w:cs="宋体"/>
          <w:kern w:val="0"/>
          <w:sz w:val="28"/>
          <w:szCs w:val="28"/>
        </w:rPr>
        <w:t>投标供应商名称（盖章）：</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u w:val="single"/>
        </w:rPr>
      </w:pPr>
      <w:r>
        <w:rPr>
          <w:rFonts w:hint="eastAsia" w:hAnsi="宋体" w:cs="宋体"/>
          <w:kern w:val="0"/>
          <w:sz w:val="28"/>
          <w:szCs w:val="28"/>
        </w:rPr>
        <w:t>法定代表人或其授权代表（签字或盖章）：</w:t>
      </w:r>
      <w:r>
        <w:rPr>
          <w:rFonts w:hint="eastAsia" w:hAnsi="宋体" w:cs="宋体"/>
          <w:kern w:val="0"/>
          <w:sz w:val="28"/>
          <w:szCs w:val="28"/>
          <w:u w:val="single"/>
        </w:rPr>
        <w:t xml:space="preserve">              </w:t>
      </w: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 xml:space="preserve">日期： </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460" w:lineRule="atLeast"/>
        <w:jc w:val="center"/>
        <w:rPr>
          <w:rFonts w:hAnsi="宋体" w:cs="宋体"/>
          <w:b/>
          <w:kern w:val="0"/>
          <w:sz w:val="44"/>
          <w:szCs w:val="44"/>
        </w:rPr>
      </w:pPr>
      <w:r>
        <w:rPr>
          <w:rFonts w:hint="eastAsia" w:hAnsi="宋体" w:cs="宋体"/>
          <w:b/>
          <w:kern w:val="0"/>
          <w:sz w:val="44"/>
          <w:szCs w:val="44"/>
        </w:rPr>
        <w:t>（二）照明设备</w:t>
      </w:r>
    </w:p>
    <w:p>
      <w:pPr>
        <w:pStyle w:val="22"/>
        <w:adjustRightInd w:val="0"/>
        <w:snapToGrid w:val="0"/>
        <w:spacing w:line="460" w:lineRule="atLeast"/>
        <w:jc w:val="center"/>
        <w:rPr>
          <w:rFonts w:hAnsi="宋体" w:cs="宋体"/>
          <w:b/>
          <w:kern w:val="0"/>
          <w:sz w:val="44"/>
          <w:szCs w:val="44"/>
        </w:rPr>
      </w:pPr>
      <w:r>
        <w:rPr>
          <w:rFonts w:hint="eastAsia" w:hAnsi="宋体" w:cs="宋体"/>
          <w:b/>
          <w:kern w:val="0"/>
          <w:sz w:val="44"/>
          <w:szCs w:val="44"/>
        </w:rPr>
        <w:t>投标报价组成明细表</w:t>
      </w:r>
    </w:p>
    <w:p>
      <w:pPr>
        <w:pStyle w:val="22"/>
        <w:adjustRightInd w:val="0"/>
        <w:snapToGrid w:val="0"/>
        <w:spacing w:line="340" w:lineRule="atLeast"/>
        <w:rPr>
          <w:rFonts w:hAnsi="宋体" w:cs="宋体"/>
          <w:kern w:val="0"/>
          <w:sz w:val="24"/>
          <w:szCs w:val="24"/>
        </w:rPr>
      </w:pPr>
      <w:r>
        <w:rPr>
          <w:rFonts w:hint="eastAsia" w:hAnsi="宋体" w:cs="宋体"/>
          <w:kern w:val="0"/>
          <w:sz w:val="24"/>
          <w:szCs w:val="24"/>
        </w:rPr>
        <w:t>项目名称：</w:t>
      </w:r>
      <w:r>
        <w:rPr>
          <w:rFonts w:hint="eastAsia" w:hAnsi="宋体" w:cs="宋体"/>
          <w:kern w:val="0"/>
          <w:sz w:val="24"/>
          <w:szCs w:val="24"/>
          <w:lang w:eastAsia="zh-CN"/>
        </w:rPr>
        <w:t>苍南县宜山镇道路照明提升工程设计、采购及安装项目</w:t>
      </w:r>
    </w:p>
    <w:p>
      <w:pPr>
        <w:autoSpaceDE w:val="0"/>
        <w:autoSpaceDN w:val="0"/>
        <w:adjustRightInd w:val="0"/>
        <w:jc w:val="left"/>
        <w:rPr>
          <w:rFonts w:hint="eastAsia" w:ascii="宋体" w:hAnsi="宋体" w:eastAsia="宋体" w:cs="宋体"/>
          <w:kern w:val="0"/>
          <w:sz w:val="24"/>
          <w:lang w:eastAsia="zh-CN"/>
        </w:rPr>
      </w:pPr>
      <w:r>
        <w:rPr>
          <w:rFonts w:hint="eastAsia" w:ascii="宋体" w:hAnsi="宋体" w:cs="宋体"/>
          <w:kern w:val="0"/>
          <w:sz w:val="24"/>
        </w:rPr>
        <w:t>项目编号：</w:t>
      </w:r>
      <w:r>
        <w:rPr>
          <w:rFonts w:hint="eastAsia" w:ascii="宋体" w:hAnsi="宋体" w:cs="宋体"/>
          <w:kern w:val="0"/>
          <w:sz w:val="24"/>
          <w:lang w:eastAsia="zh-CN"/>
        </w:rPr>
        <w:t>CNDL2021446</w:t>
      </w:r>
    </w:p>
    <w:p>
      <w:pPr>
        <w:autoSpaceDE w:val="0"/>
        <w:autoSpaceDN w:val="0"/>
        <w:adjustRightInd w:val="0"/>
        <w:jc w:val="left"/>
        <w:rPr>
          <w:kern w:val="0"/>
          <w:sz w:val="24"/>
        </w:rPr>
      </w:pPr>
    </w:p>
    <w:tbl>
      <w:tblPr>
        <w:tblStyle w:val="43"/>
        <w:tblW w:w="9919" w:type="dxa"/>
        <w:tblInd w:w="-17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87"/>
        <w:gridCol w:w="1275"/>
        <w:gridCol w:w="3776"/>
        <w:gridCol w:w="992"/>
        <w:gridCol w:w="992"/>
        <w:gridCol w:w="849"/>
        <w:gridCol w:w="6"/>
        <w:gridCol w:w="84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bottom w:val="single" w:color="auto" w:sz="4" w:space="0"/>
              <w:right w:val="single" w:color="auto" w:sz="4" w:space="0"/>
            </w:tcBorders>
            <w:vAlign w:val="center"/>
          </w:tcPr>
          <w:p>
            <w:pPr>
              <w:jc w:val="center"/>
              <w:rPr>
                <w:b/>
                <w:szCs w:val="21"/>
              </w:rPr>
            </w:pPr>
            <w:r>
              <w:rPr>
                <w:rFonts w:hint="eastAsia"/>
                <w:b/>
                <w:szCs w:val="21"/>
              </w:rPr>
              <w:t>序号</w:t>
            </w:r>
          </w:p>
        </w:tc>
        <w:tc>
          <w:tcPr>
            <w:tcW w:w="1275" w:type="dxa"/>
            <w:tcBorders>
              <w:left w:val="single" w:color="auto" w:sz="4" w:space="0"/>
              <w:bottom w:val="single" w:color="auto" w:sz="4" w:space="0"/>
              <w:right w:val="single" w:color="auto" w:sz="4" w:space="0"/>
            </w:tcBorders>
            <w:vAlign w:val="center"/>
          </w:tcPr>
          <w:p>
            <w:pPr>
              <w:jc w:val="center"/>
              <w:rPr>
                <w:b/>
                <w:szCs w:val="21"/>
              </w:rPr>
            </w:pPr>
            <w:r>
              <w:rPr>
                <w:rFonts w:hint="eastAsia"/>
                <w:b/>
                <w:szCs w:val="21"/>
              </w:rPr>
              <w:t>名称</w:t>
            </w:r>
          </w:p>
        </w:tc>
        <w:tc>
          <w:tcPr>
            <w:tcW w:w="3776" w:type="dxa"/>
            <w:tcBorders>
              <w:left w:val="single" w:color="auto" w:sz="4" w:space="0"/>
              <w:bottom w:val="single" w:color="auto" w:sz="4" w:space="0"/>
              <w:right w:val="single" w:color="auto" w:sz="4" w:space="0"/>
            </w:tcBorders>
            <w:vAlign w:val="center"/>
          </w:tcPr>
          <w:p>
            <w:pPr>
              <w:jc w:val="center"/>
              <w:rPr>
                <w:b/>
                <w:szCs w:val="21"/>
              </w:rPr>
            </w:pPr>
            <w:r>
              <w:rPr>
                <w:rFonts w:hint="eastAsia"/>
                <w:b/>
                <w:szCs w:val="21"/>
              </w:rPr>
              <w:t>参数及要求</w:t>
            </w:r>
          </w:p>
        </w:tc>
        <w:tc>
          <w:tcPr>
            <w:tcW w:w="992" w:type="dxa"/>
            <w:tcBorders>
              <w:left w:val="single" w:color="auto" w:sz="4" w:space="0"/>
              <w:bottom w:val="single" w:color="auto" w:sz="4" w:space="0"/>
              <w:right w:val="single" w:color="auto" w:sz="4" w:space="0"/>
            </w:tcBorders>
            <w:vAlign w:val="center"/>
          </w:tcPr>
          <w:p>
            <w:pPr>
              <w:jc w:val="center"/>
              <w:rPr>
                <w:b/>
                <w:szCs w:val="21"/>
              </w:rPr>
            </w:pPr>
            <w:r>
              <w:rPr>
                <w:rFonts w:hint="eastAsia"/>
                <w:b/>
                <w:szCs w:val="21"/>
              </w:rPr>
              <w:t>单价</w:t>
            </w:r>
          </w:p>
          <w:p>
            <w:pPr>
              <w:jc w:val="center"/>
              <w:rPr>
                <w:b/>
                <w:szCs w:val="21"/>
              </w:rPr>
            </w:pPr>
            <w:r>
              <w:rPr>
                <w:rFonts w:hint="eastAsia"/>
                <w:b/>
                <w:szCs w:val="21"/>
              </w:rPr>
              <w:t>（元）</w:t>
            </w:r>
          </w:p>
        </w:tc>
        <w:tc>
          <w:tcPr>
            <w:tcW w:w="992" w:type="dxa"/>
            <w:tcBorders>
              <w:left w:val="single" w:color="auto" w:sz="4" w:space="0"/>
              <w:bottom w:val="single" w:color="auto" w:sz="4" w:space="0"/>
              <w:right w:val="single" w:color="auto" w:sz="4" w:space="0"/>
            </w:tcBorders>
            <w:vAlign w:val="center"/>
          </w:tcPr>
          <w:p>
            <w:pPr>
              <w:jc w:val="center"/>
              <w:rPr>
                <w:b/>
                <w:szCs w:val="21"/>
              </w:rPr>
            </w:pPr>
            <w:r>
              <w:rPr>
                <w:rFonts w:hint="eastAsia"/>
                <w:b/>
                <w:szCs w:val="21"/>
              </w:rPr>
              <w:t>数量</w:t>
            </w:r>
          </w:p>
        </w:tc>
        <w:tc>
          <w:tcPr>
            <w:tcW w:w="855" w:type="dxa"/>
            <w:gridSpan w:val="2"/>
            <w:tcBorders>
              <w:left w:val="single" w:color="auto" w:sz="4" w:space="0"/>
              <w:bottom w:val="single" w:color="auto" w:sz="4" w:space="0"/>
              <w:right w:val="single" w:color="auto" w:sz="4" w:space="0"/>
            </w:tcBorders>
            <w:vAlign w:val="center"/>
          </w:tcPr>
          <w:p>
            <w:pPr>
              <w:jc w:val="center"/>
              <w:rPr>
                <w:b/>
                <w:szCs w:val="21"/>
              </w:rPr>
            </w:pPr>
            <w:r>
              <w:rPr>
                <w:rFonts w:hint="eastAsia"/>
                <w:b/>
                <w:szCs w:val="21"/>
              </w:rPr>
              <w:t>小计</w:t>
            </w:r>
          </w:p>
          <w:p>
            <w:pPr>
              <w:jc w:val="center"/>
              <w:rPr>
                <w:b/>
                <w:szCs w:val="21"/>
              </w:rPr>
            </w:pPr>
            <w:r>
              <w:rPr>
                <w:rFonts w:hint="eastAsia"/>
                <w:b/>
                <w:szCs w:val="21"/>
              </w:rPr>
              <w:t>（元）</w:t>
            </w:r>
          </w:p>
        </w:tc>
        <w:tc>
          <w:tcPr>
            <w:tcW w:w="842" w:type="dxa"/>
            <w:tcBorders>
              <w:left w:val="single" w:color="auto" w:sz="4" w:space="0"/>
              <w:bottom w:val="single" w:color="auto" w:sz="4" w:space="0"/>
            </w:tcBorders>
            <w:vAlign w:val="center"/>
          </w:tcPr>
          <w:p>
            <w:pPr>
              <w:jc w:val="center"/>
              <w:rPr>
                <w:b/>
                <w:szCs w:val="21"/>
              </w:rPr>
            </w:pPr>
            <w:r>
              <w:rPr>
                <w:rFonts w:hint="eastAsia"/>
                <w:b/>
                <w:szCs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bottom w:val="single" w:color="auto" w:sz="4" w:space="0"/>
              <w:right w:val="single" w:color="auto" w:sz="4" w:space="0"/>
            </w:tcBorders>
            <w:vAlign w:val="center"/>
          </w:tcPr>
          <w:p>
            <w:pPr>
              <w:jc w:val="center"/>
              <w:rPr>
                <w:b/>
                <w:szCs w:val="21"/>
              </w:rPr>
            </w:pPr>
            <w:r>
              <w:rPr>
                <w:rFonts w:hint="eastAsia"/>
                <w:b/>
                <w:szCs w:val="21"/>
              </w:rPr>
              <w:t>1</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3776"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855" w:type="dxa"/>
            <w:gridSpan w:val="2"/>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842" w:type="dxa"/>
            <w:tcBorders>
              <w:top w:val="single" w:color="auto" w:sz="4" w:space="0"/>
              <w:left w:val="single" w:color="auto" w:sz="4" w:space="0"/>
              <w:bottom w:val="single" w:color="auto" w:sz="4" w:space="0"/>
            </w:tcBorders>
            <w:vAlign w:val="center"/>
          </w:tcPr>
          <w:p>
            <w:pPr>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bottom w:val="single" w:color="auto" w:sz="4" w:space="0"/>
              <w:right w:val="single" w:color="auto" w:sz="4" w:space="0"/>
            </w:tcBorders>
            <w:vAlign w:val="center"/>
          </w:tcPr>
          <w:p>
            <w:pPr>
              <w:jc w:val="center"/>
              <w:rPr>
                <w:b/>
                <w:szCs w:val="21"/>
              </w:rPr>
            </w:pPr>
            <w:r>
              <w:rPr>
                <w:rFonts w:hint="eastAsia"/>
                <w:b/>
                <w:szCs w:val="21"/>
              </w:rPr>
              <w:t>2</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3776"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855" w:type="dxa"/>
            <w:gridSpan w:val="2"/>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842" w:type="dxa"/>
            <w:tcBorders>
              <w:top w:val="single" w:color="auto" w:sz="4" w:space="0"/>
              <w:left w:val="single" w:color="auto" w:sz="4" w:space="0"/>
              <w:bottom w:val="single" w:color="auto" w:sz="4" w:space="0"/>
            </w:tcBorders>
            <w:vAlign w:val="center"/>
          </w:tcPr>
          <w:p>
            <w:pPr>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right w:val="single" w:color="auto" w:sz="4" w:space="0"/>
            </w:tcBorders>
            <w:vAlign w:val="center"/>
          </w:tcPr>
          <w:p>
            <w:pPr>
              <w:jc w:val="center"/>
              <w:rPr>
                <w:b/>
                <w:szCs w:val="21"/>
              </w:rPr>
            </w:pPr>
            <w:r>
              <w:rPr>
                <w:rFonts w:hint="eastAsia"/>
                <w:b/>
                <w:szCs w:val="21"/>
              </w:rPr>
              <w:t>3</w:t>
            </w:r>
          </w:p>
        </w:tc>
        <w:tc>
          <w:tcPr>
            <w:tcW w:w="1275" w:type="dxa"/>
            <w:tcBorders>
              <w:top w:val="single" w:color="auto" w:sz="4" w:space="0"/>
              <w:left w:val="single" w:color="auto" w:sz="4" w:space="0"/>
              <w:right w:val="single" w:color="auto" w:sz="4" w:space="0"/>
            </w:tcBorders>
            <w:vAlign w:val="center"/>
          </w:tcPr>
          <w:p>
            <w:pPr>
              <w:jc w:val="center"/>
              <w:rPr>
                <w:b/>
                <w:szCs w:val="21"/>
              </w:rPr>
            </w:pPr>
          </w:p>
        </w:tc>
        <w:tc>
          <w:tcPr>
            <w:tcW w:w="3776" w:type="dxa"/>
            <w:tcBorders>
              <w:top w:val="single" w:color="auto" w:sz="4" w:space="0"/>
              <w:left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right w:val="single" w:color="auto" w:sz="4" w:space="0"/>
            </w:tcBorders>
            <w:vAlign w:val="center"/>
          </w:tcPr>
          <w:p>
            <w:pPr>
              <w:jc w:val="center"/>
              <w:rPr>
                <w:b/>
                <w:szCs w:val="21"/>
              </w:rPr>
            </w:pPr>
          </w:p>
        </w:tc>
        <w:tc>
          <w:tcPr>
            <w:tcW w:w="855" w:type="dxa"/>
            <w:gridSpan w:val="2"/>
            <w:tcBorders>
              <w:top w:val="single" w:color="auto" w:sz="4" w:space="0"/>
              <w:left w:val="single" w:color="auto" w:sz="4" w:space="0"/>
              <w:right w:val="single" w:color="auto" w:sz="4" w:space="0"/>
            </w:tcBorders>
            <w:vAlign w:val="center"/>
          </w:tcPr>
          <w:p>
            <w:pPr>
              <w:jc w:val="center"/>
              <w:rPr>
                <w:b/>
                <w:szCs w:val="21"/>
              </w:rPr>
            </w:pPr>
          </w:p>
        </w:tc>
        <w:tc>
          <w:tcPr>
            <w:tcW w:w="842" w:type="dxa"/>
            <w:tcBorders>
              <w:top w:val="single" w:color="auto" w:sz="4" w:space="0"/>
              <w:left w:val="single" w:color="auto" w:sz="4" w:space="0"/>
            </w:tcBorders>
            <w:vAlign w:val="center"/>
          </w:tcPr>
          <w:p>
            <w:pPr>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right w:val="single" w:color="auto" w:sz="4" w:space="0"/>
            </w:tcBorders>
            <w:vAlign w:val="center"/>
          </w:tcPr>
          <w:p>
            <w:pPr>
              <w:jc w:val="center"/>
              <w:rPr>
                <w:b/>
                <w:szCs w:val="21"/>
              </w:rPr>
            </w:pPr>
            <w:r>
              <w:rPr>
                <w:rFonts w:hint="eastAsia"/>
                <w:b/>
                <w:szCs w:val="21"/>
              </w:rPr>
              <w:t>4</w:t>
            </w:r>
          </w:p>
        </w:tc>
        <w:tc>
          <w:tcPr>
            <w:tcW w:w="1275" w:type="dxa"/>
            <w:tcBorders>
              <w:top w:val="single" w:color="auto" w:sz="4" w:space="0"/>
              <w:left w:val="single" w:color="auto" w:sz="4" w:space="0"/>
              <w:right w:val="single" w:color="auto" w:sz="4" w:space="0"/>
            </w:tcBorders>
            <w:vAlign w:val="center"/>
          </w:tcPr>
          <w:p>
            <w:pPr>
              <w:jc w:val="center"/>
              <w:rPr>
                <w:b/>
                <w:szCs w:val="21"/>
              </w:rPr>
            </w:pPr>
          </w:p>
        </w:tc>
        <w:tc>
          <w:tcPr>
            <w:tcW w:w="3776" w:type="dxa"/>
            <w:tcBorders>
              <w:top w:val="single" w:color="auto" w:sz="4" w:space="0"/>
              <w:left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right w:val="single" w:color="auto" w:sz="4" w:space="0"/>
            </w:tcBorders>
            <w:vAlign w:val="center"/>
          </w:tcPr>
          <w:p>
            <w:pPr>
              <w:jc w:val="center"/>
              <w:rPr>
                <w:b/>
                <w:szCs w:val="21"/>
              </w:rPr>
            </w:pPr>
          </w:p>
        </w:tc>
        <w:tc>
          <w:tcPr>
            <w:tcW w:w="855" w:type="dxa"/>
            <w:gridSpan w:val="2"/>
            <w:tcBorders>
              <w:top w:val="single" w:color="auto" w:sz="4" w:space="0"/>
              <w:left w:val="single" w:color="auto" w:sz="4" w:space="0"/>
              <w:right w:val="single" w:color="auto" w:sz="4" w:space="0"/>
            </w:tcBorders>
            <w:vAlign w:val="center"/>
          </w:tcPr>
          <w:p>
            <w:pPr>
              <w:jc w:val="center"/>
              <w:rPr>
                <w:b/>
                <w:szCs w:val="21"/>
              </w:rPr>
            </w:pPr>
          </w:p>
        </w:tc>
        <w:tc>
          <w:tcPr>
            <w:tcW w:w="842" w:type="dxa"/>
            <w:tcBorders>
              <w:top w:val="single" w:color="auto" w:sz="4" w:space="0"/>
              <w:left w:val="single" w:color="auto" w:sz="4" w:space="0"/>
            </w:tcBorders>
            <w:vAlign w:val="center"/>
          </w:tcPr>
          <w:p>
            <w:pPr>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right w:val="single" w:color="auto" w:sz="4" w:space="0"/>
            </w:tcBorders>
            <w:vAlign w:val="center"/>
          </w:tcPr>
          <w:p>
            <w:pPr>
              <w:jc w:val="center"/>
              <w:rPr>
                <w:b/>
                <w:szCs w:val="21"/>
              </w:rPr>
            </w:pPr>
            <w:r>
              <w:rPr>
                <w:b/>
                <w:szCs w:val="21"/>
              </w:rPr>
              <w:t>…</w:t>
            </w:r>
          </w:p>
        </w:tc>
        <w:tc>
          <w:tcPr>
            <w:tcW w:w="1275" w:type="dxa"/>
            <w:tcBorders>
              <w:top w:val="single" w:color="auto" w:sz="4" w:space="0"/>
              <w:left w:val="single" w:color="auto" w:sz="4" w:space="0"/>
              <w:right w:val="single" w:color="auto" w:sz="4" w:space="0"/>
            </w:tcBorders>
            <w:vAlign w:val="center"/>
          </w:tcPr>
          <w:p>
            <w:pPr>
              <w:jc w:val="center"/>
              <w:rPr>
                <w:b/>
                <w:szCs w:val="21"/>
              </w:rPr>
            </w:pPr>
          </w:p>
        </w:tc>
        <w:tc>
          <w:tcPr>
            <w:tcW w:w="3776" w:type="dxa"/>
            <w:tcBorders>
              <w:top w:val="single" w:color="auto" w:sz="4" w:space="0"/>
              <w:left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right w:val="single" w:color="auto" w:sz="4" w:space="0"/>
            </w:tcBorders>
            <w:vAlign w:val="center"/>
          </w:tcPr>
          <w:p>
            <w:pPr>
              <w:jc w:val="center"/>
              <w:rPr>
                <w:b/>
                <w:szCs w:val="21"/>
              </w:rPr>
            </w:pPr>
          </w:p>
        </w:tc>
        <w:tc>
          <w:tcPr>
            <w:tcW w:w="855" w:type="dxa"/>
            <w:gridSpan w:val="2"/>
            <w:tcBorders>
              <w:top w:val="single" w:color="auto" w:sz="4" w:space="0"/>
              <w:left w:val="single" w:color="auto" w:sz="4" w:space="0"/>
              <w:right w:val="single" w:color="auto" w:sz="4" w:space="0"/>
            </w:tcBorders>
            <w:vAlign w:val="center"/>
          </w:tcPr>
          <w:p>
            <w:pPr>
              <w:jc w:val="center"/>
              <w:rPr>
                <w:b/>
                <w:szCs w:val="21"/>
              </w:rPr>
            </w:pPr>
          </w:p>
        </w:tc>
        <w:tc>
          <w:tcPr>
            <w:tcW w:w="842" w:type="dxa"/>
            <w:tcBorders>
              <w:top w:val="single" w:color="auto" w:sz="4" w:space="0"/>
              <w:left w:val="single" w:color="auto" w:sz="4" w:space="0"/>
            </w:tcBorders>
            <w:vAlign w:val="center"/>
          </w:tcPr>
          <w:p>
            <w:pPr>
              <w:jc w:val="center"/>
              <w:rPr>
                <w:b/>
                <w:szCs w:val="21"/>
              </w:rPr>
            </w:pPr>
            <w:r>
              <w:rPr>
                <w:b/>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10" w:hRule="atLeast"/>
        </w:trPr>
        <w:tc>
          <w:tcPr>
            <w:tcW w:w="1187" w:type="dxa"/>
            <w:tcBorders>
              <w:right w:val="single" w:color="auto" w:sz="4" w:space="0"/>
            </w:tcBorders>
            <w:vAlign w:val="bottom"/>
          </w:tcPr>
          <w:p>
            <w:pPr>
              <w:spacing w:line="360" w:lineRule="auto"/>
              <w:jc w:val="center"/>
              <w:rPr>
                <w:rFonts w:ascii="宋体" w:hAnsi="宋体" w:cs="宋体"/>
                <w:b/>
              </w:rPr>
            </w:pPr>
            <w:r>
              <w:rPr>
                <w:rFonts w:hint="eastAsia" w:ascii="宋体" w:hAnsi="宋体" w:cs="宋体"/>
                <w:b/>
              </w:rPr>
              <w:t>合计</w:t>
            </w:r>
          </w:p>
        </w:tc>
        <w:tc>
          <w:tcPr>
            <w:tcW w:w="7884" w:type="dxa"/>
            <w:gridSpan w:val="5"/>
            <w:tcBorders>
              <w:left w:val="single" w:color="auto" w:sz="4" w:space="0"/>
              <w:right w:val="single" w:color="auto" w:sz="4" w:space="0"/>
            </w:tcBorders>
            <w:vAlign w:val="bottom"/>
          </w:tcPr>
          <w:p>
            <w:pPr>
              <w:spacing w:line="360" w:lineRule="auto"/>
              <w:jc w:val="center"/>
              <w:rPr>
                <w:rFonts w:ascii="宋体" w:hAnsi="宋体" w:cs="宋体"/>
                <w:b/>
              </w:rPr>
            </w:pPr>
            <w:r>
              <w:rPr>
                <w:rFonts w:hint="eastAsia" w:ascii="宋体" w:hAnsi="宋体" w:cs="宋体"/>
                <w:b/>
              </w:rPr>
              <w:t>小写：</w:t>
            </w:r>
            <w:r>
              <w:rPr>
                <w:rFonts w:hint="eastAsia" w:ascii="宋体" w:hAnsi="宋体" w:cs="宋体"/>
                <w:b/>
                <w:u w:val="single"/>
              </w:rPr>
              <w:t xml:space="preserve">                     </w:t>
            </w:r>
            <w:r>
              <w:rPr>
                <w:rFonts w:hint="eastAsia" w:ascii="宋体" w:hAnsi="宋体" w:cs="宋体"/>
                <w:b/>
              </w:rPr>
              <w:t>元  大写：</w:t>
            </w:r>
            <w:r>
              <w:rPr>
                <w:rFonts w:hint="eastAsia" w:ascii="宋体" w:hAnsi="宋体" w:cs="宋体"/>
                <w:b/>
                <w:u w:val="single"/>
              </w:rPr>
              <w:t xml:space="preserve">                     </w:t>
            </w:r>
            <w:r>
              <w:rPr>
                <w:rFonts w:hint="eastAsia" w:ascii="宋体" w:hAnsi="宋体" w:cs="宋体"/>
                <w:b/>
              </w:rPr>
              <w:t>元</w:t>
            </w:r>
          </w:p>
        </w:tc>
        <w:tc>
          <w:tcPr>
            <w:tcW w:w="848" w:type="dxa"/>
            <w:gridSpan w:val="2"/>
            <w:tcBorders>
              <w:left w:val="single" w:color="auto" w:sz="4" w:space="0"/>
            </w:tcBorders>
            <w:vAlign w:val="center"/>
          </w:tcPr>
          <w:p>
            <w:pPr>
              <w:spacing w:line="360" w:lineRule="auto"/>
              <w:jc w:val="center"/>
              <w:rPr>
                <w:rFonts w:ascii="宋体" w:hAnsi="宋体" w:cs="宋体"/>
                <w:b/>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2" w:hRule="atLeast"/>
        </w:trPr>
        <w:tc>
          <w:tcPr>
            <w:tcW w:w="9919" w:type="dxa"/>
            <w:gridSpan w:val="8"/>
            <w:vAlign w:val="center"/>
          </w:tcPr>
          <w:p>
            <w:pPr>
              <w:spacing w:line="400" w:lineRule="exact"/>
              <w:rPr>
                <w:rFonts w:ascii="宋体" w:hAnsi="宋体" w:cs="宋体"/>
                <w:b/>
              </w:rPr>
            </w:pPr>
            <w:r>
              <w:rPr>
                <w:rFonts w:hint="eastAsia" w:ascii="宋体" w:hAnsi="宋体" w:cs="宋体"/>
                <w:b/>
              </w:rPr>
              <w:t>说明：此表可延伸。</w:t>
            </w:r>
          </w:p>
        </w:tc>
      </w:tr>
    </w:tbl>
    <w:p>
      <w:pPr>
        <w:pStyle w:val="22"/>
        <w:adjustRightInd w:val="0"/>
        <w:snapToGrid w:val="0"/>
        <w:spacing w:line="460" w:lineRule="exact"/>
        <w:rPr>
          <w:rFonts w:hAnsi="宋体" w:cs="宋体"/>
          <w:kern w:val="0"/>
          <w:sz w:val="28"/>
          <w:szCs w:val="28"/>
        </w:rPr>
      </w:pPr>
      <w:r>
        <w:rPr>
          <w:rFonts w:hint="eastAsia" w:hAnsi="宋体" w:cs="宋体"/>
          <w:kern w:val="0"/>
          <w:sz w:val="28"/>
          <w:szCs w:val="28"/>
        </w:rPr>
        <w:t>投标供应商名称（盖章）：</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u w:val="single"/>
        </w:rPr>
      </w:pPr>
      <w:r>
        <w:rPr>
          <w:rFonts w:hint="eastAsia" w:hAnsi="宋体" w:cs="宋体"/>
          <w:kern w:val="0"/>
          <w:sz w:val="28"/>
          <w:szCs w:val="28"/>
        </w:rPr>
        <w:t>法定代表人或其授权代表（签字或盖章）：</w:t>
      </w:r>
      <w:r>
        <w:rPr>
          <w:rFonts w:hint="eastAsia" w:hAnsi="宋体" w:cs="宋体"/>
          <w:kern w:val="0"/>
          <w:sz w:val="28"/>
          <w:szCs w:val="28"/>
          <w:u w:val="single"/>
        </w:rPr>
        <w:t xml:space="preserve">              </w:t>
      </w: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 xml:space="preserve">日期： </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340" w:lineRule="atLeast"/>
        <w:rPr>
          <w:rFonts w:hAnsi="宋体" w:cs="宋体"/>
          <w:kern w:val="0"/>
          <w:sz w:val="28"/>
          <w:szCs w:val="28"/>
        </w:rPr>
      </w:pPr>
    </w:p>
    <w:p>
      <w:pPr>
        <w:pStyle w:val="22"/>
        <w:adjustRightInd w:val="0"/>
        <w:snapToGrid w:val="0"/>
        <w:spacing w:line="460" w:lineRule="atLeast"/>
        <w:jc w:val="center"/>
        <w:rPr>
          <w:rFonts w:hAnsi="宋体" w:cs="宋体"/>
          <w:b/>
          <w:kern w:val="0"/>
          <w:sz w:val="44"/>
          <w:szCs w:val="44"/>
        </w:rPr>
      </w:pPr>
      <w:r>
        <w:rPr>
          <w:rFonts w:hint="eastAsia" w:hAnsi="宋体" w:cs="宋体"/>
          <w:b/>
          <w:kern w:val="0"/>
          <w:sz w:val="44"/>
          <w:szCs w:val="44"/>
        </w:rPr>
        <w:t>（三）施工费用投标报价组成明细表</w:t>
      </w:r>
    </w:p>
    <w:p>
      <w:pPr>
        <w:pStyle w:val="22"/>
        <w:adjustRightInd w:val="0"/>
        <w:snapToGrid w:val="0"/>
        <w:spacing w:line="340" w:lineRule="atLeast"/>
        <w:rPr>
          <w:rFonts w:hAnsi="宋体" w:cs="宋体"/>
          <w:kern w:val="0"/>
          <w:sz w:val="24"/>
          <w:szCs w:val="24"/>
        </w:rPr>
      </w:pPr>
      <w:r>
        <w:rPr>
          <w:rFonts w:hint="eastAsia" w:hAnsi="宋体" w:cs="宋体"/>
          <w:kern w:val="0"/>
          <w:sz w:val="24"/>
          <w:szCs w:val="24"/>
        </w:rPr>
        <w:t>项目名称：</w:t>
      </w:r>
      <w:r>
        <w:rPr>
          <w:rFonts w:hint="eastAsia" w:hAnsi="宋体" w:cs="宋体"/>
          <w:kern w:val="0"/>
          <w:sz w:val="24"/>
          <w:szCs w:val="24"/>
          <w:lang w:eastAsia="zh-CN"/>
        </w:rPr>
        <w:t>苍南县宜山镇道路照明提升工程设计、采购及安装项目</w:t>
      </w:r>
    </w:p>
    <w:p>
      <w:pPr>
        <w:autoSpaceDE w:val="0"/>
        <w:autoSpaceDN w:val="0"/>
        <w:adjustRightInd w:val="0"/>
        <w:jc w:val="left"/>
        <w:rPr>
          <w:rFonts w:hint="eastAsia" w:ascii="宋体" w:hAnsi="宋体" w:eastAsia="宋体" w:cs="宋体"/>
          <w:kern w:val="0"/>
          <w:sz w:val="24"/>
          <w:lang w:eastAsia="zh-CN"/>
        </w:rPr>
      </w:pPr>
      <w:r>
        <w:rPr>
          <w:rFonts w:hint="eastAsia" w:ascii="宋体" w:hAnsi="宋体" w:cs="宋体"/>
          <w:kern w:val="0"/>
          <w:sz w:val="24"/>
        </w:rPr>
        <w:t>项目编号：</w:t>
      </w:r>
      <w:r>
        <w:rPr>
          <w:rFonts w:hint="eastAsia" w:ascii="宋体" w:hAnsi="宋体" w:cs="宋体"/>
          <w:kern w:val="0"/>
          <w:sz w:val="24"/>
          <w:lang w:eastAsia="zh-CN"/>
        </w:rPr>
        <w:t>CNDL2021446</w:t>
      </w:r>
    </w:p>
    <w:p>
      <w:pPr>
        <w:autoSpaceDE w:val="0"/>
        <w:autoSpaceDN w:val="0"/>
        <w:adjustRightInd w:val="0"/>
        <w:jc w:val="left"/>
        <w:rPr>
          <w:kern w:val="0"/>
          <w:sz w:val="24"/>
        </w:rPr>
      </w:pPr>
    </w:p>
    <w:tbl>
      <w:tblPr>
        <w:tblStyle w:val="43"/>
        <w:tblW w:w="9919" w:type="dxa"/>
        <w:tblInd w:w="-17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87"/>
        <w:gridCol w:w="1275"/>
        <w:gridCol w:w="3776"/>
        <w:gridCol w:w="992"/>
        <w:gridCol w:w="992"/>
        <w:gridCol w:w="849"/>
        <w:gridCol w:w="6"/>
        <w:gridCol w:w="84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bottom w:val="single" w:color="auto" w:sz="4" w:space="0"/>
              <w:right w:val="single" w:color="auto" w:sz="4" w:space="0"/>
            </w:tcBorders>
            <w:vAlign w:val="center"/>
          </w:tcPr>
          <w:p>
            <w:pPr>
              <w:jc w:val="center"/>
              <w:rPr>
                <w:b/>
                <w:szCs w:val="21"/>
              </w:rPr>
            </w:pPr>
            <w:r>
              <w:rPr>
                <w:rFonts w:hint="eastAsia"/>
                <w:b/>
                <w:szCs w:val="21"/>
              </w:rPr>
              <w:t>序号</w:t>
            </w:r>
          </w:p>
        </w:tc>
        <w:tc>
          <w:tcPr>
            <w:tcW w:w="1275" w:type="dxa"/>
            <w:tcBorders>
              <w:left w:val="single" w:color="auto" w:sz="4" w:space="0"/>
              <w:bottom w:val="single" w:color="auto" w:sz="4" w:space="0"/>
              <w:right w:val="single" w:color="auto" w:sz="4" w:space="0"/>
            </w:tcBorders>
            <w:vAlign w:val="center"/>
          </w:tcPr>
          <w:p>
            <w:pPr>
              <w:jc w:val="center"/>
              <w:rPr>
                <w:b/>
                <w:szCs w:val="21"/>
              </w:rPr>
            </w:pPr>
            <w:r>
              <w:rPr>
                <w:rFonts w:hint="eastAsia"/>
                <w:b/>
                <w:szCs w:val="21"/>
              </w:rPr>
              <w:t>名称</w:t>
            </w:r>
          </w:p>
        </w:tc>
        <w:tc>
          <w:tcPr>
            <w:tcW w:w="3776" w:type="dxa"/>
            <w:tcBorders>
              <w:left w:val="single" w:color="auto" w:sz="4" w:space="0"/>
              <w:bottom w:val="single" w:color="auto" w:sz="4" w:space="0"/>
              <w:right w:val="single" w:color="auto" w:sz="4" w:space="0"/>
            </w:tcBorders>
            <w:vAlign w:val="center"/>
          </w:tcPr>
          <w:p>
            <w:pPr>
              <w:jc w:val="center"/>
              <w:rPr>
                <w:b/>
                <w:szCs w:val="21"/>
              </w:rPr>
            </w:pPr>
            <w:r>
              <w:rPr>
                <w:rFonts w:hint="eastAsia"/>
                <w:b/>
                <w:szCs w:val="21"/>
              </w:rPr>
              <w:t>工作内容（主材、工艺等）</w:t>
            </w:r>
          </w:p>
        </w:tc>
        <w:tc>
          <w:tcPr>
            <w:tcW w:w="992" w:type="dxa"/>
            <w:tcBorders>
              <w:left w:val="single" w:color="auto" w:sz="4" w:space="0"/>
              <w:bottom w:val="single" w:color="auto" w:sz="4" w:space="0"/>
              <w:right w:val="single" w:color="auto" w:sz="4" w:space="0"/>
            </w:tcBorders>
            <w:vAlign w:val="center"/>
          </w:tcPr>
          <w:p>
            <w:pPr>
              <w:jc w:val="center"/>
              <w:rPr>
                <w:b/>
                <w:szCs w:val="21"/>
              </w:rPr>
            </w:pPr>
            <w:r>
              <w:rPr>
                <w:rFonts w:hint="eastAsia"/>
                <w:b/>
                <w:szCs w:val="21"/>
              </w:rPr>
              <w:t>单价</w:t>
            </w:r>
          </w:p>
          <w:p>
            <w:pPr>
              <w:jc w:val="center"/>
              <w:rPr>
                <w:b/>
                <w:szCs w:val="21"/>
              </w:rPr>
            </w:pPr>
            <w:r>
              <w:rPr>
                <w:rFonts w:hint="eastAsia"/>
                <w:b/>
                <w:szCs w:val="21"/>
              </w:rPr>
              <w:t>（元）</w:t>
            </w:r>
          </w:p>
        </w:tc>
        <w:tc>
          <w:tcPr>
            <w:tcW w:w="992" w:type="dxa"/>
            <w:tcBorders>
              <w:left w:val="single" w:color="auto" w:sz="4" w:space="0"/>
              <w:bottom w:val="single" w:color="auto" w:sz="4" w:space="0"/>
              <w:right w:val="single" w:color="auto" w:sz="4" w:space="0"/>
            </w:tcBorders>
            <w:vAlign w:val="center"/>
          </w:tcPr>
          <w:p>
            <w:pPr>
              <w:jc w:val="center"/>
              <w:rPr>
                <w:b/>
                <w:szCs w:val="21"/>
              </w:rPr>
            </w:pPr>
            <w:r>
              <w:rPr>
                <w:rFonts w:hint="eastAsia"/>
                <w:b/>
                <w:szCs w:val="21"/>
              </w:rPr>
              <w:t>数量</w:t>
            </w:r>
          </w:p>
        </w:tc>
        <w:tc>
          <w:tcPr>
            <w:tcW w:w="855" w:type="dxa"/>
            <w:gridSpan w:val="2"/>
            <w:tcBorders>
              <w:left w:val="single" w:color="auto" w:sz="4" w:space="0"/>
              <w:bottom w:val="single" w:color="auto" w:sz="4" w:space="0"/>
              <w:right w:val="single" w:color="auto" w:sz="4" w:space="0"/>
            </w:tcBorders>
            <w:vAlign w:val="center"/>
          </w:tcPr>
          <w:p>
            <w:pPr>
              <w:jc w:val="center"/>
              <w:rPr>
                <w:b/>
                <w:szCs w:val="21"/>
              </w:rPr>
            </w:pPr>
            <w:r>
              <w:rPr>
                <w:rFonts w:hint="eastAsia"/>
                <w:b/>
                <w:szCs w:val="21"/>
              </w:rPr>
              <w:t>小计</w:t>
            </w:r>
          </w:p>
          <w:p>
            <w:pPr>
              <w:jc w:val="center"/>
              <w:rPr>
                <w:b/>
                <w:szCs w:val="21"/>
              </w:rPr>
            </w:pPr>
            <w:r>
              <w:rPr>
                <w:rFonts w:hint="eastAsia"/>
                <w:b/>
                <w:szCs w:val="21"/>
              </w:rPr>
              <w:t>（元）</w:t>
            </w:r>
          </w:p>
        </w:tc>
        <w:tc>
          <w:tcPr>
            <w:tcW w:w="842" w:type="dxa"/>
            <w:tcBorders>
              <w:left w:val="single" w:color="auto" w:sz="4" w:space="0"/>
              <w:bottom w:val="single" w:color="auto" w:sz="4" w:space="0"/>
            </w:tcBorders>
            <w:vAlign w:val="center"/>
          </w:tcPr>
          <w:p>
            <w:pPr>
              <w:jc w:val="center"/>
              <w:rPr>
                <w:b/>
                <w:szCs w:val="21"/>
              </w:rPr>
            </w:pPr>
            <w:r>
              <w:rPr>
                <w:rFonts w:hint="eastAsia"/>
                <w:b/>
                <w:szCs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bottom w:val="single" w:color="auto" w:sz="4" w:space="0"/>
              <w:right w:val="single" w:color="auto" w:sz="4" w:space="0"/>
            </w:tcBorders>
            <w:vAlign w:val="center"/>
          </w:tcPr>
          <w:p>
            <w:pPr>
              <w:jc w:val="center"/>
              <w:rPr>
                <w:b/>
                <w:szCs w:val="21"/>
              </w:rPr>
            </w:pPr>
            <w:r>
              <w:rPr>
                <w:rFonts w:hint="eastAsia"/>
                <w:b/>
                <w:szCs w:val="21"/>
              </w:rPr>
              <w:t>1</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3776"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855" w:type="dxa"/>
            <w:gridSpan w:val="2"/>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842" w:type="dxa"/>
            <w:tcBorders>
              <w:top w:val="single" w:color="auto" w:sz="4" w:space="0"/>
              <w:left w:val="single" w:color="auto" w:sz="4" w:space="0"/>
              <w:bottom w:val="single" w:color="auto" w:sz="4" w:space="0"/>
            </w:tcBorders>
            <w:vAlign w:val="center"/>
          </w:tcPr>
          <w:p>
            <w:pPr>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bottom w:val="single" w:color="auto" w:sz="4" w:space="0"/>
              <w:right w:val="single" w:color="auto" w:sz="4" w:space="0"/>
            </w:tcBorders>
            <w:vAlign w:val="center"/>
          </w:tcPr>
          <w:p>
            <w:pPr>
              <w:jc w:val="center"/>
              <w:rPr>
                <w:b/>
                <w:szCs w:val="21"/>
              </w:rPr>
            </w:pPr>
            <w:r>
              <w:rPr>
                <w:rFonts w:hint="eastAsia"/>
                <w:b/>
                <w:szCs w:val="21"/>
              </w:rPr>
              <w:t>2</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3776"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855" w:type="dxa"/>
            <w:gridSpan w:val="2"/>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842" w:type="dxa"/>
            <w:tcBorders>
              <w:top w:val="single" w:color="auto" w:sz="4" w:space="0"/>
              <w:left w:val="single" w:color="auto" w:sz="4" w:space="0"/>
              <w:bottom w:val="single" w:color="auto" w:sz="4" w:space="0"/>
            </w:tcBorders>
            <w:vAlign w:val="center"/>
          </w:tcPr>
          <w:p>
            <w:pPr>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right w:val="single" w:color="auto" w:sz="4" w:space="0"/>
            </w:tcBorders>
            <w:vAlign w:val="center"/>
          </w:tcPr>
          <w:p>
            <w:pPr>
              <w:jc w:val="center"/>
              <w:rPr>
                <w:b/>
                <w:szCs w:val="21"/>
              </w:rPr>
            </w:pPr>
            <w:r>
              <w:rPr>
                <w:rFonts w:hint="eastAsia"/>
                <w:b/>
                <w:szCs w:val="21"/>
              </w:rPr>
              <w:t>3</w:t>
            </w:r>
          </w:p>
        </w:tc>
        <w:tc>
          <w:tcPr>
            <w:tcW w:w="1275" w:type="dxa"/>
            <w:tcBorders>
              <w:top w:val="single" w:color="auto" w:sz="4" w:space="0"/>
              <w:left w:val="single" w:color="auto" w:sz="4" w:space="0"/>
              <w:right w:val="single" w:color="auto" w:sz="4" w:space="0"/>
            </w:tcBorders>
            <w:vAlign w:val="center"/>
          </w:tcPr>
          <w:p>
            <w:pPr>
              <w:jc w:val="center"/>
              <w:rPr>
                <w:b/>
                <w:szCs w:val="21"/>
              </w:rPr>
            </w:pPr>
          </w:p>
        </w:tc>
        <w:tc>
          <w:tcPr>
            <w:tcW w:w="3776" w:type="dxa"/>
            <w:tcBorders>
              <w:top w:val="single" w:color="auto" w:sz="4" w:space="0"/>
              <w:left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right w:val="single" w:color="auto" w:sz="4" w:space="0"/>
            </w:tcBorders>
            <w:vAlign w:val="center"/>
          </w:tcPr>
          <w:p>
            <w:pPr>
              <w:jc w:val="center"/>
              <w:rPr>
                <w:b/>
                <w:szCs w:val="21"/>
              </w:rPr>
            </w:pPr>
          </w:p>
        </w:tc>
        <w:tc>
          <w:tcPr>
            <w:tcW w:w="855" w:type="dxa"/>
            <w:gridSpan w:val="2"/>
            <w:tcBorders>
              <w:top w:val="single" w:color="auto" w:sz="4" w:space="0"/>
              <w:left w:val="single" w:color="auto" w:sz="4" w:space="0"/>
              <w:right w:val="single" w:color="auto" w:sz="4" w:space="0"/>
            </w:tcBorders>
            <w:vAlign w:val="center"/>
          </w:tcPr>
          <w:p>
            <w:pPr>
              <w:jc w:val="center"/>
              <w:rPr>
                <w:b/>
                <w:szCs w:val="21"/>
              </w:rPr>
            </w:pPr>
          </w:p>
        </w:tc>
        <w:tc>
          <w:tcPr>
            <w:tcW w:w="842" w:type="dxa"/>
            <w:tcBorders>
              <w:top w:val="single" w:color="auto" w:sz="4" w:space="0"/>
              <w:left w:val="single" w:color="auto" w:sz="4" w:space="0"/>
            </w:tcBorders>
            <w:vAlign w:val="center"/>
          </w:tcPr>
          <w:p>
            <w:pPr>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right w:val="single" w:color="auto" w:sz="4" w:space="0"/>
            </w:tcBorders>
            <w:vAlign w:val="center"/>
          </w:tcPr>
          <w:p>
            <w:pPr>
              <w:jc w:val="center"/>
              <w:rPr>
                <w:b/>
                <w:szCs w:val="21"/>
              </w:rPr>
            </w:pPr>
            <w:r>
              <w:rPr>
                <w:rFonts w:hint="eastAsia"/>
                <w:b/>
                <w:szCs w:val="21"/>
              </w:rPr>
              <w:t>4</w:t>
            </w:r>
          </w:p>
        </w:tc>
        <w:tc>
          <w:tcPr>
            <w:tcW w:w="1275" w:type="dxa"/>
            <w:tcBorders>
              <w:top w:val="single" w:color="auto" w:sz="4" w:space="0"/>
              <w:left w:val="single" w:color="auto" w:sz="4" w:space="0"/>
              <w:right w:val="single" w:color="auto" w:sz="4" w:space="0"/>
            </w:tcBorders>
            <w:vAlign w:val="center"/>
          </w:tcPr>
          <w:p>
            <w:pPr>
              <w:jc w:val="center"/>
              <w:rPr>
                <w:b/>
                <w:szCs w:val="21"/>
              </w:rPr>
            </w:pPr>
          </w:p>
        </w:tc>
        <w:tc>
          <w:tcPr>
            <w:tcW w:w="3776" w:type="dxa"/>
            <w:tcBorders>
              <w:top w:val="single" w:color="auto" w:sz="4" w:space="0"/>
              <w:left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right w:val="single" w:color="auto" w:sz="4" w:space="0"/>
            </w:tcBorders>
            <w:vAlign w:val="center"/>
          </w:tcPr>
          <w:p>
            <w:pPr>
              <w:jc w:val="center"/>
              <w:rPr>
                <w:b/>
                <w:szCs w:val="21"/>
              </w:rPr>
            </w:pPr>
          </w:p>
        </w:tc>
        <w:tc>
          <w:tcPr>
            <w:tcW w:w="855" w:type="dxa"/>
            <w:gridSpan w:val="2"/>
            <w:tcBorders>
              <w:top w:val="single" w:color="auto" w:sz="4" w:space="0"/>
              <w:left w:val="single" w:color="auto" w:sz="4" w:space="0"/>
              <w:right w:val="single" w:color="auto" w:sz="4" w:space="0"/>
            </w:tcBorders>
            <w:vAlign w:val="center"/>
          </w:tcPr>
          <w:p>
            <w:pPr>
              <w:jc w:val="center"/>
              <w:rPr>
                <w:b/>
                <w:szCs w:val="21"/>
              </w:rPr>
            </w:pPr>
          </w:p>
        </w:tc>
        <w:tc>
          <w:tcPr>
            <w:tcW w:w="842" w:type="dxa"/>
            <w:tcBorders>
              <w:top w:val="single" w:color="auto" w:sz="4" w:space="0"/>
              <w:left w:val="single" w:color="auto" w:sz="4" w:space="0"/>
            </w:tcBorders>
            <w:vAlign w:val="center"/>
          </w:tcPr>
          <w:p>
            <w:pPr>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187" w:type="dxa"/>
            <w:tcBorders>
              <w:top w:val="single" w:color="auto" w:sz="4" w:space="0"/>
              <w:right w:val="single" w:color="auto" w:sz="4" w:space="0"/>
            </w:tcBorders>
            <w:vAlign w:val="center"/>
          </w:tcPr>
          <w:p>
            <w:pPr>
              <w:jc w:val="center"/>
              <w:rPr>
                <w:b/>
                <w:szCs w:val="21"/>
              </w:rPr>
            </w:pPr>
            <w:r>
              <w:rPr>
                <w:b/>
                <w:szCs w:val="21"/>
              </w:rPr>
              <w:t>…</w:t>
            </w:r>
          </w:p>
        </w:tc>
        <w:tc>
          <w:tcPr>
            <w:tcW w:w="1275" w:type="dxa"/>
            <w:tcBorders>
              <w:top w:val="single" w:color="auto" w:sz="4" w:space="0"/>
              <w:left w:val="single" w:color="auto" w:sz="4" w:space="0"/>
              <w:right w:val="single" w:color="auto" w:sz="4" w:space="0"/>
            </w:tcBorders>
            <w:vAlign w:val="center"/>
          </w:tcPr>
          <w:p>
            <w:pPr>
              <w:jc w:val="center"/>
              <w:rPr>
                <w:b/>
                <w:szCs w:val="21"/>
              </w:rPr>
            </w:pPr>
          </w:p>
        </w:tc>
        <w:tc>
          <w:tcPr>
            <w:tcW w:w="3776" w:type="dxa"/>
            <w:tcBorders>
              <w:top w:val="single" w:color="auto" w:sz="4" w:space="0"/>
              <w:left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right w:val="single" w:color="auto" w:sz="4" w:space="0"/>
            </w:tcBorders>
            <w:vAlign w:val="center"/>
          </w:tcPr>
          <w:p>
            <w:pPr>
              <w:jc w:val="center"/>
              <w:rPr>
                <w:b/>
                <w:szCs w:val="21"/>
              </w:rPr>
            </w:pPr>
          </w:p>
        </w:tc>
        <w:tc>
          <w:tcPr>
            <w:tcW w:w="992" w:type="dxa"/>
            <w:tcBorders>
              <w:top w:val="single" w:color="auto" w:sz="4" w:space="0"/>
              <w:left w:val="single" w:color="auto" w:sz="4" w:space="0"/>
              <w:right w:val="single" w:color="auto" w:sz="4" w:space="0"/>
            </w:tcBorders>
            <w:vAlign w:val="center"/>
          </w:tcPr>
          <w:p>
            <w:pPr>
              <w:jc w:val="center"/>
              <w:rPr>
                <w:b/>
                <w:szCs w:val="21"/>
              </w:rPr>
            </w:pPr>
          </w:p>
        </w:tc>
        <w:tc>
          <w:tcPr>
            <w:tcW w:w="855" w:type="dxa"/>
            <w:gridSpan w:val="2"/>
            <w:tcBorders>
              <w:top w:val="single" w:color="auto" w:sz="4" w:space="0"/>
              <w:left w:val="single" w:color="auto" w:sz="4" w:space="0"/>
              <w:right w:val="single" w:color="auto" w:sz="4" w:space="0"/>
            </w:tcBorders>
            <w:vAlign w:val="center"/>
          </w:tcPr>
          <w:p>
            <w:pPr>
              <w:jc w:val="center"/>
              <w:rPr>
                <w:b/>
                <w:szCs w:val="21"/>
              </w:rPr>
            </w:pPr>
          </w:p>
        </w:tc>
        <w:tc>
          <w:tcPr>
            <w:tcW w:w="842" w:type="dxa"/>
            <w:tcBorders>
              <w:top w:val="single" w:color="auto" w:sz="4" w:space="0"/>
              <w:left w:val="single" w:color="auto" w:sz="4" w:space="0"/>
            </w:tcBorders>
            <w:vAlign w:val="center"/>
          </w:tcPr>
          <w:p>
            <w:pPr>
              <w:jc w:val="center"/>
              <w:rPr>
                <w:b/>
                <w:szCs w:val="21"/>
              </w:rPr>
            </w:pPr>
            <w:r>
              <w:rPr>
                <w:b/>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10" w:hRule="atLeast"/>
        </w:trPr>
        <w:tc>
          <w:tcPr>
            <w:tcW w:w="1187" w:type="dxa"/>
            <w:tcBorders>
              <w:right w:val="single" w:color="auto" w:sz="4" w:space="0"/>
            </w:tcBorders>
            <w:vAlign w:val="bottom"/>
          </w:tcPr>
          <w:p>
            <w:pPr>
              <w:spacing w:line="360" w:lineRule="auto"/>
              <w:jc w:val="center"/>
              <w:rPr>
                <w:rFonts w:ascii="宋体" w:hAnsi="宋体" w:cs="宋体"/>
                <w:b/>
              </w:rPr>
            </w:pPr>
            <w:r>
              <w:rPr>
                <w:rFonts w:hint="eastAsia" w:ascii="宋体" w:hAnsi="宋体" w:cs="宋体"/>
                <w:b/>
              </w:rPr>
              <w:t>合计</w:t>
            </w:r>
          </w:p>
        </w:tc>
        <w:tc>
          <w:tcPr>
            <w:tcW w:w="7884" w:type="dxa"/>
            <w:gridSpan w:val="5"/>
            <w:tcBorders>
              <w:left w:val="single" w:color="auto" w:sz="4" w:space="0"/>
              <w:right w:val="single" w:color="auto" w:sz="4" w:space="0"/>
            </w:tcBorders>
            <w:vAlign w:val="bottom"/>
          </w:tcPr>
          <w:p>
            <w:pPr>
              <w:spacing w:line="360" w:lineRule="auto"/>
              <w:jc w:val="center"/>
              <w:rPr>
                <w:rFonts w:ascii="宋体" w:hAnsi="宋体" w:cs="宋体"/>
                <w:b/>
              </w:rPr>
            </w:pPr>
            <w:r>
              <w:rPr>
                <w:rFonts w:hint="eastAsia" w:ascii="宋体" w:hAnsi="宋体" w:cs="宋体"/>
                <w:b/>
              </w:rPr>
              <w:t>小写：</w:t>
            </w:r>
            <w:r>
              <w:rPr>
                <w:rFonts w:hint="eastAsia" w:ascii="宋体" w:hAnsi="宋体" w:cs="宋体"/>
                <w:b/>
                <w:u w:val="single"/>
              </w:rPr>
              <w:t xml:space="preserve">                     </w:t>
            </w:r>
            <w:r>
              <w:rPr>
                <w:rFonts w:hint="eastAsia" w:ascii="宋体" w:hAnsi="宋体" w:cs="宋体"/>
                <w:b/>
              </w:rPr>
              <w:t>元  大写：</w:t>
            </w:r>
            <w:r>
              <w:rPr>
                <w:rFonts w:hint="eastAsia" w:ascii="宋体" w:hAnsi="宋体" w:cs="宋体"/>
                <w:b/>
                <w:u w:val="single"/>
              </w:rPr>
              <w:t xml:space="preserve">                     </w:t>
            </w:r>
            <w:r>
              <w:rPr>
                <w:rFonts w:hint="eastAsia" w:ascii="宋体" w:hAnsi="宋体" w:cs="宋体"/>
                <w:b/>
              </w:rPr>
              <w:t>元</w:t>
            </w:r>
          </w:p>
        </w:tc>
        <w:tc>
          <w:tcPr>
            <w:tcW w:w="848" w:type="dxa"/>
            <w:gridSpan w:val="2"/>
            <w:tcBorders>
              <w:left w:val="single" w:color="auto" w:sz="4" w:space="0"/>
            </w:tcBorders>
            <w:vAlign w:val="center"/>
          </w:tcPr>
          <w:p>
            <w:pPr>
              <w:spacing w:line="360" w:lineRule="auto"/>
              <w:jc w:val="center"/>
              <w:rPr>
                <w:rFonts w:ascii="宋体" w:hAnsi="宋体" w:cs="宋体"/>
                <w:b/>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2" w:hRule="atLeast"/>
        </w:trPr>
        <w:tc>
          <w:tcPr>
            <w:tcW w:w="9919" w:type="dxa"/>
            <w:gridSpan w:val="8"/>
            <w:vAlign w:val="center"/>
          </w:tcPr>
          <w:p>
            <w:pPr>
              <w:spacing w:line="400" w:lineRule="exact"/>
              <w:rPr>
                <w:rFonts w:ascii="宋体" w:hAnsi="宋体" w:cs="宋体"/>
                <w:b/>
              </w:rPr>
            </w:pPr>
            <w:r>
              <w:rPr>
                <w:rFonts w:hint="eastAsia" w:ascii="宋体" w:hAnsi="宋体" w:cs="宋体"/>
                <w:b/>
              </w:rPr>
              <w:t>说明：此表可延伸。</w:t>
            </w:r>
          </w:p>
        </w:tc>
      </w:tr>
    </w:tbl>
    <w:p>
      <w:pPr>
        <w:pStyle w:val="22"/>
        <w:adjustRightInd w:val="0"/>
        <w:snapToGrid w:val="0"/>
        <w:spacing w:line="460" w:lineRule="exact"/>
        <w:rPr>
          <w:rFonts w:hAnsi="宋体" w:cs="宋体"/>
          <w:kern w:val="0"/>
          <w:sz w:val="28"/>
          <w:szCs w:val="28"/>
        </w:rPr>
      </w:pPr>
      <w:r>
        <w:rPr>
          <w:rFonts w:hint="eastAsia" w:hAnsi="宋体" w:cs="宋体"/>
          <w:kern w:val="0"/>
          <w:sz w:val="28"/>
          <w:szCs w:val="28"/>
        </w:rPr>
        <w:t>投标供应商名称（盖章）：</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460" w:lineRule="exact"/>
        <w:rPr>
          <w:rFonts w:hAnsi="宋体" w:cs="宋体"/>
          <w:kern w:val="0"/>
          <w:sz w:val="28"/>
          <w:szCs w:val="28"/>
          <w:u w:val="single"/>
        </w:rPr>
      </w:pPr>
      <w:r>
        <w:rPr>
          <w:rFonts w:hint="eastAsia" w:hAnsi="宋体" w:cs="宋体"/>
          <w:kern w:val="0"/>
          <w:sz w:val="28"/>
          <w:szCs w:val="28"/>
        </w:rPr>
        <w:t>法定代表人或其授权代表（签字或盖章）：</w:t>
      </w:r>
      <w:r>
        <w:rPr>
          <w:rFonts w:hint="eastAsia" w:hAnsi="宋体" w:cs="宋体"/>
          <w:kern w:val="0"/>
          <w:sz w:val="28"/>
          <w:szCs w:val="28"/>
          <w:u w:val="single"/>
        </w:rPr>
        <w:t xml:space="preserve">              </w:t>
      </w:r>
    </w:p>
    <w:p>
      <w:pPr>
        <w:pStyle w:val="22"/>
        <w:adjustRightInd w:val="0"/>
        <w:snapToGrid w:val="0"/>
        <w:spacing w:line="340" w:lineRule="atLeast"/>
        <w:rPr>
          <w:rFonts w:hAnsi="宋体" w:cs="宋体"/>
          <w:kern w:val="0"/>
          <w:sz w:val="28"/>
          <w:szCs w:val="28"/>
        </w:rPr>
      </w:pPr>
      <w:r>
        <w:rPr>
          <w:rFonts w:hint="eastAsia" w:hAnsi="宋体" w:cs="宋体"/>
          <w:kern w:val="0"/>
          <w:sz w:val="28"/>
          <w:szCs w:val="28"/>
        </w:rPr>
        <w:t xml:space="preserve">日期： </w:t>
      </w:r>
      <w:r>
        <w:rPr>
          <w:rFonts w:hint="eastAsia" w:hAnsi="宋体" w:cs="宋体"/>
          <w:kern w:val="0"/>
          <w:sz w:val="28"/>
          <w:szCs w:val="28"/>
          <w:u w:val="single"/>
        </w:rPr>
        <w:t xml:space="preserve">                 </w:t>
      </w:r>
      <w:r>
        <w:rPr>
          <w:rFonts w:hint="eastAsia" w:hAnsi="宋体" w:cs="宋体"/>
          <w:kern w:val="0"/>
          <w:sz w:val="28"/>
          <w:szCs w:val="28"/>
        </w:rPr>
        <w:t xml:space="preserve">    </w:t>
      </w:r>
    </w:p>
    <w:p>
      <w:pPr>
        <w:pStyle w:val="22"/>
        <w:adjustRightInd w:val="0"/>
        <w:snapToGrid w:val="0"/>
        <w:spacing w:line="340" w:lineRule="atLeast"/>
        <w:rPr>
          <w:rFonts w:hAnsi="宋体" w:cs="宋体"/>
          <w:kern w:val="0"/>
          <w:sz w:val="28"/>
          <w:szCs w:val="28"/>
        </w:rPr>
        <w:sectPr>
          <w:headerReference r:id="rId7" w:type="first"/>
          <w:headerReference r:id="rId6" w:type="default"/>
          <w:footerReference r:id="rId8" w:type="default"/>
          <w:footerReference r:id="rId9" w:type="even"/>
          <w:pgSz w:w="11906" w:h="16838"/>
          <w:pgMar w:top="1440" w:right="1106" w:bottom="1440" w:left="1622" w:header="851" w:footer="992" w:gutter="0"/>
          <w:cols w:space="720" w:num="1"/>
          <w:docGrid w:linePitch="312" w:charSpace="0"/>
        </w:sectPr>
      </w:pPr>
    </w:p>
    <w:p>
      <w:pPr>
        <w:pStyle w:val="22"/>
        <w:adjustRightInd w:val="0"/>
        <w:snapToGrid w:val="0"/>
        <w:spacing w:line="400" w:lineRule="exact"/>
        <w:jc w:val="center"/>
        <w:rPr>
          <w:rFonts w:hAnsi="宋体" w:eastAsia="新宋体"/>
          <w:b/>
          <w:sz w:val="18"/>
          <w:szCs w:val="18"/>
        </w:rPr>
      </w:pPr>
      <w:r>
        <w:rPr>
          <w:rFonts w:hint="eastAsia" w:hAnsi="宋体" w:eastAsia="新宋体"/>
          <w:b/>
          <w:sz w:val="28"/>
          <w:szCs w:val="28"/>
        </w:rPr>
        <w:t>评分项索引表（参考）</w:t>
      </w:r>
    </w:p>
    <w:p>
      <w:pPr>
        <w:pStyle w:val="22"/>
        <w:adjustRightInd w:val="0"/>
        <w:snapToGrid w:val="0"/>
        <w:spacing w:line="400" w:lineRule="exact"/>
        <w:rPr>
          <w:rFonts w:hAnsi="宋体"/>
          <w:b/>
          <w:sz w:val="24"/>
          <w:lang w:val="zh-CN"/>
        </w:rPr>
      </w:pPr>
      <w:r>
        <w:rPr>
          <w:rFonts w:hAnsi="宋体"/>
          <w:b/>
          <w:sz w:val="24"/>
          <w:lang w:val="zh-CN"/>
        </w:rPr>
        <w:t xml:space="preserve">供应商名称：  </w:t>
      </w:r>
    </w:p>
    <w:p>
      <w:pPr>
        <w:pStyle w:val="22"/>
        <w:adjustRightInd w:val="0"/>
        <w:snapToGrid w:val="0"/>
        <w:spacing w:line="400" w:lineRule="exact"/>
        <w:rPr>
          <w:rFonts w:hAnsi="宋体"/>
          <w:b/>
          <w:sz w:val="24"/>
          <w:lang w:val="zh-CN"/>
        </w:rPr>
      </w:pPr>
      <w:r>
        <w:rPr>
          <w:rFonts w:hAnsi="宋体"/>
          <w:b/>
          <w:sz w:val="24"/>
        </w:rPr>
        <w:t>项目</w:t>
      </w:r>
      <w:r>
        <w:rPr>
          <w:rFonts w:hint="eastAsia" w:hAnsi="宋体"/>
          <w:b/>
          <w:sz w:val="24"/>
        </w:rPr>
        <w:t>名称：</w:t>
      </w:r>
      <w:r>
        <w:rPr>
          <w:rFonts w:hAnsi="宋体"/>
          <w:b/>
          <w:sz w:val="24"/>
          <w:lang w:val="zh-CN"/>
        </w:rPr>
        <w:t xml:space="preserve">  </w:t>
      </w:r>
      <w:r>
        <w:rPr>
          <w:rFonts w:hint="eastAsia" w:hAnsi="宋体"/>
          <w:b/>
          <w:sz w:val="24"/>
          <w:lang w:val="zh-CN"/>
        </w:rPr>
        <w:t xml:space="preserve">                        </w:t>
      </w:r>
      <w:r>
        <w:rPr>
          <w:rFonts w:hAnsi="宋体"/>
          <w:b/>
          <w:sz w:val="24"/>
          <w:lang w:val="zh-CN"/>
        </w:rPr>
        <w:t xml:space="preserve">        </w:t>
      </w:r>
    </w:p>
    <w:p>
      <w:pPr>
        <w:pStyle w:val="22"/>
        <w:adjustRightInd w:val="0"/>
        <w:snapToGrid w:val="0"/>
        <w:spacing w:line="400" w:lineRule="exact"/>
        <w:rPr>
          <w:rFonts w:hAnsi="宋体" w:eastAsia="新宋体"/>
          <w:b/>
          <w:sz w:val="18"/>
          <w:szCs w:val="18"/>
        </w:rPr>
      </w:pPr>
      <w:r>
        <w:rPr>
          <w:rFonts w:hAnsi="宋体"/>
          <w:b/>
          <w:sz w:val="24"/>
        </w:rPr>
        <w:t>项目编号：</w:t>
      </w:r>
    </w:p>
    <w:tbl>
      <w:tblPr>
        <w:tblStyle w:val="43"/>
        <w:tblW w:w="0" w:type="auto"/>
        <w:tblInd w:w="0" w:type="dxa"/>
        <w:tblLayout w:type="fixed"/>
        <w:tblCellMar>
          <w:top w:w="0" w:type="dxa"/>
          <w:left w:w="108" w:type="dxa"/>
          <w:bottom w:w="0" w:type="dxa"/>
          <w:right w:w="108" w:type="dxa"/>
        </w:tblCellMar>
      </w:tblPr>
      <w:tblGrid>
        <w:gridCol w:w="1242"/>
        <w:gridCol w:w="2268"/>
        <w:gridCol w:w="3402"/>
        <w:gridCol w:w="2410"/>
      </w:tblGrid>
      <w:tr>
        <w:tblPrEx>
          <w:tblCellMar>
            <w:top w:w="0" w:type="dxa"/>
            <w:left w:w="108" w:type="dxa"/>
            <w:bottom w:w="0" w:type="dxa"/>
            <w:right w:w="108" w:type="dxa"/>
          </w:tblCellMar>
        </w:tblPrEx>
        <w:trPr>
          <w:trHeight w:val="466"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pStyle w:val="35"/>
              <w:ind w:firstLine="0" w:firstLineChars="0"/>
              <w:jc w:val="center"/>
              <w:rPr>
                <w:rFonts w:ascii="宋体" w:hAnsi="宋体" w:eastAsia="宋体"/>
                <w:b/>
                <w:color w:val="auto"/>
                <w:kern w:val="1"/>
              </w:rPr>
            </w:pPr>
            <w:r>
              <w:rPr>
                <w:rFonts w:ascii="宋体" w:hAnsi="宋体" w:eastAsia="宋体"/>
                <w:b/>
                <w:color w:val="auto"/>
                <w:kern w:val="1"/>
              </w:rPr>
              <w:t>序号</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35"/>
              <w:ind w:firstLine="0" w:firstLineChars="0"/>
              <w:rPr>
                <w:rFonts w:ascii="宋体" w:hAnsi="宋体" w:eastAsia="宋体"/>
                <w:b/>
                <w:color w:val="auto"/>
                <w:kern w:val="1"/>
              </w:rPr>
            </w:pPr>
            <w:r>
              <w:rPr>
                <w:rFonts w:ascii="宋体" w:hAnsi="宋体" w:eastAsia="宋体"/>
                <w:b/>
                <w:color w:val="auto"/>
                <w:kern w:val="1"/>
              </w:rPr>
              <w:t>评审内容</w:t>
            </w: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35"/>
              <w:ind w:firstLine="0" w:firstLineChars="0"/>
              <w:jc w:val="center"/>
              <w:rPr>
                <w:rFonts w:ascii="宋体" w:hAnsi="宋体" w:eastAsia="宋体"/>
                <w:b/>
                <w:color w:val="auto"/>
                <w:kern w:val="1"/>
              </w:rPr>
            </w:pPr>
            <w:r>
              <w:rPr>
                <w:rFonts w:ascii="宋体" w:hAnsi="宋体" w:eastAsia="宋体"/>
                <w:b/>
                <w:color w:val="auto"/>
                <w:kern w:val="1"/>
              </w:rPr>
              <w:t>评分标准</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35"/>
              <w:ind w:firstLine="0" w:firstLineChars="0"/>
              <w:jc w:val="center"/>
              <w:rPr>
                <w:rFonts w:ascii="宋体" w:hAnsi="宋体" w:eastAsia="宋体"/>
                <w:b/>
                <w:color w:val="auto"/>
                <w:kern w:val="1"/>
              </w:rPr>
            </w:pPr>
            <w:r>
              <w:rPr>
                <w:rFonts w:ascii="宋体" w:hAnsi="宋体" w:eastAsia="宋体"/>
                <w:b/>
                <w:color w:val="auto"/>
                <w:kern w:val="1"/>
              </w:rPr>
              <w:t>页码</w:t>
            </w:r>
          </w:p>
        </w:tc>
      </w:tr>
      <w:tr>
        <w:tblPrEx>
          <w:tblCellMar>
            <w:top w:w="0" w:type="dxa"/>
            <w:left w:w="108" w:type="dxa"/>
            <w:bottom w:w="0" w:type="dxa"/>
            <w:right w:w="108" w:type="dxa"/>
          </w:tblCellMar>
        </w:tblPrEx>
        <w:trPr>
          <w:trHeight w:val="430"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pStyle w:val="35"/>
              <w:ind w:firstLine="0" w:firstLineChars="0"/>
              <w:rPr>
                <w:rFonts w:ascii="宋体" w:hAnsi="宋体" w:eastAsia="宋体"/>
                <w:b/>
                <w:color w:val="auto"/>
                <w:kern w:val="1"/>
              </w:rPr>
            </w:pPr>
            <w:r>
              <w:rPr>
                <w:rFonts w:ascii="宋体" w:hAnsi="宋体" w:eastAsia="宋体"/>
                <w:b/>
                <w:color w:val="auto"/>
                <w:kern w:val="1"/>
              </w:rPr>
              <w:t xml:space="preserve"> 一</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35"/>
              <w:ind w:firstLine="0" w:firstLineChars="0"/>
              <w:rPr>
                <w:rFonts w:ascii="宋体" w:hAnsi="宋体" w:eastAsia="宋体"/>
                <w:b/>
                <w:color w:val="auto"/>
                <w:kern w:val="1"/>
              </w:rPr>
            </w:pPr>
            <w:r>
              <w:rPr>
                <w:rFonts w:ascii="宋体" w:hAnsi="宋体" w:eastAsia="宋体"/>
                <w:b/>
                <w:color w:val="auto"/>
                <w:kern w:val="1"/>
              </w:rPr>
              <w:t>技术分</w:t>
            </w: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35"/>
              <w:ind w:left="422" w:firstLine="482"/>
              <w:jc w:val="center"/>
              <w:rPr>
                <w:rFonts w:ascii="宋体" w:hAnsi="宋体" w:eastAsia="宋体"/>
                <w:b/>
                <w:color w:val="auto"/>
                <w:kern w:val="1"/>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35"/>
              <w:ind w:left="422" w:firstLine="482"/>
              <w:jc w:val="center"/>
              <w:rPr>
                <w:rFonts w:ascii="宋体" w:hAnsi="宋体" w:eastAsia="宋体"/>
                <w:b/>
                <w:color w:val="auto"/>
                <w:kern w:val="1"/>
              </w:rPr>
            </w:pPr>
          </w:p>
        </w:tc>
      </w:tr>
      <w:tr>
        <w:tblPrEx>
          <w:tblCellMar>
            <w:top w:w="0" w:type="dxa"/>
            <w:left w:w="108" w:type="dxa"/>
            <w:bottom w:w="0" w:type="dxa"/>
            <w:right w:w="108" w:type="dxa"/>
          </w:tblCellMar>
        </w:tblPrEx>
        <w:trPr>
          <w:cantSplit/>
          <w:trHeight w:val="575"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sz w:val="24"/>
              </w:rPr>
            </w:pPr>
            <w:r>
              <w:rPr>
                <w:rFonts w:ascii="宋体" w:hAnsi="宋体"/>
                <w:b/>
                <w:sz w:val="24"/>
              </w:rPr>
              <w:t>1</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p>
        </w:tc>
        <w:tc>
          <w:tcPr>
            <w:tcW w:w="3402" w:type="dxa"/>
            <w:tcBorders>
              <w:top w:val="single" w:color="000000" w:sz="4" w:space="0"/>
              <w:left w:val="single" w:color="000000" w:sz="4" w:space="0"/>
              <w:right w:val="single" w:color="000000" w:sz="4" w:space="0"/>
            </w:tcBorders>
            <w:vAlign w:val="center"/>
          </w:tcPr>
          <w:p>
            <w:pPr>
              <w:jc w:val="center"/>
              <w:rPr>
                <w:rFonts w:ascii="宋体" w:hAnsi="宋体"/>
                <w:b/>
                <w:sz w:val="24"/>
              </w:rPr>
            </w:pPr>
          </w:p>
        </w:tc>
        <w:tc>
          <w:tcPr>
            <w:tcW w:w="2410" w:type="dxa"/>
            <w:tcBorders>
              <w:top w:val="single" w:color="000000" w:sz="4" w:space="0"/>
              <w:left w:val="single" w:color="000000" w:sz="4" w:space="0"/>
              <w:right w:val="single" w:color="000000" w:sz="4" w:space="0"/>
            </w:tcBorders>
            <w:vAlign w:val="center"/>
          </w:tcPr>
          <w:p>
            <w:pPr>
              <w:jc w:val="center"/>
              <w:rPr>
                <w:rFonts w:ascii="宋体" w:hAnsi="宋体"/>
                <w:b/>
                <w:sz w:val="24"/>
              </w:rPr>
            </w:pPr>
            <w:r>
              <w:rPr>
                <w:rFonts w:ascii="宋体" w:hAnsi="宋体"/>
                <w:b/>
                <w:sz w:val="24"/>
              </w:rPr>
              <w:t>详见技术文件第几页</w:t>
            </w:r>
          </w:p>
        </w:tc>
      </w:tr>
      <w:tr>
        <w:tblPrEx>
          <w:tblCellMar>
            <w:top w:w="0" w:type="dxa"/>
            <w:left w:w="108" w:type="dxa"/>
            <w:bottom w:w="0" w:type="dxa"/>
            <w:right w:w="108" w:type="dxa"/>
          </w:tblCellMar>
        </w:tblPrEx>
        <w:trPr>
          <w:cantSplit/>
          <w:trHeight w:val="1047"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sz w:val="24"/>
              </w:rPr>
            </w:pPr>
            <w:r>
              <w:rPr>
                <w:rFonts w:ascii="宋体" w:hAnsi="宋体"/>
                <w:b/>
                <w:sz w:val="24"/>
              </w:rPr>
              <w:t>2</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b/>
                <w:sz w:val="24"/>
              </w:rPr>
            </w:pPr>
          </w:p>
        </w:tc>
        <w:tc>
          <w:tcPr>
            <w:tcW w:w="3402" w:type="dxa"/>
            <w:tcBorders>
              <w:top w:val="single" w:color="000000" w:sz="4" w:space="0"/>
              <w:left w:val="single" w:color="000000" w:sz="4" w:space="0"/>
              <w:right w:val="single" w:color="000000" w:sz="4" w:space="0"/>
            </w:tcBorders>
            <w:vAlign w:val="center"/>
          </w:tcPr>
          <w:p>
            <w:pPr>
              <w:widowControl/>
              <w:jc w:val="center"/>
              <w:rPr>
                <w:rFonts w:ascii="宋体" w:hAnsi="宋体"/>
                <w:b/>
                <w:sz w:val="24"/>
              </w:rPr>
            </w:pPr>
          </w:p>
        </w:tc>
        <w:tc>
          <w:tcPr>
            <w:tcW w:w="2410" w:type="dxa"/>
            <w:tcBorders>
              <w:top w:val="single" w:color="000000" w:sz="4" w:space="0"/>
              <w:left w:val="single" w:color="000000" w:sz="4" w:space="0"/>
              <w:right w:val="single" w:color="000000" w:sz="4" w:space="0"/>
            </w:tcBorders>
            <w:vAlign w:val="center"/>
          </w:tcPr>
          <w:p>
            <w:pPr>
              <w:jc w:val="center"/>
              <w:rPr>
                <w:rFonts w:ascii="宋体" w:hAnsi="宋体"/>
                <w:b/>
                <w:sz w:val="24"/>
              </w:rPr>
            </w:pPr>
            <w:r>
              <w:rPr>
                <w:rFonts w:ascii="宋体" w:hAnsi="宋体"/>
                <w:b/>
                <w:sz w:val="24"/>
              </w:rPr>
              <w:t>……</w:t>
            </w:r>
          </w:p>
        </w:tc>
      </w:tr>
      <w:tr>
        <w:tblPrEx>
          <w:tblCellMar>
            <w:top w:w="0" w:type="dxa"/>
            <w:left w:w="108" w:type="dxa"/>
            <w:bottom w:w="0" w:type="dxa"/>
            <w:right w:w="108" w:type="dxa"/>
          </w:tblCellMar>
        </w:tblPrEx>
        <w:trPr>
          <w:cantSplit/>
          <w:trHeight w:val="763" w:hRule="atLeast"/>
        </w:trPr>
        <w:tc>
          <w:tcPr>
            <w:tcW w:w="1242" w:type="dxa"/>
            <w:tcBorders>
              <w:left w:val="single" w:color="000000" w:sz="4" w:space="0"/>
              <w:bottom w:val="single" w:color="000000" w:sz="4" w:space="0"/>
              <w:right w:val="single" w:color="000000" w:sz="4" w:space="0"/>
            </w:tcBorders>
            <w:vAlign w:val="center"/>
          </w:tcPr>
          <w:p>
            <w:pPr>
              <w:widowControl/>
              <w:jc w:val="center"/>
              <w:rPr>
                <w:rFonts w:ascii="宋体" w:hAnsi="宋体"/>
                <w:b/>
                <w:sz w:val="24"/>
              </w:rPr>
            </w:pPr>
            <w:r>
              <w:rPr>
                <w:rFonts w:ascii="宋体" w:hAnsi="宋体"/>
                <w:b/>
                <w:sz w:val="24"/>
              </w:rPr>
              <w:t>……</w:t>
            </w:r>
          </w:p>
        </w:tc>
        <w:tc>
          <w:tcPr>
            <w:tcW w:w="2268" w:type="dxa"/>
            <w:tcBorders>
              <w:left w:val="single" w:color="000000" w:sz="4" w:space="0"/>
              <w:bottom w:val="single" w:color="000000" w:sz="4" w:space="0"/>
              <w:right w:val="single" w:color="000000" w:sz="4" w:space="0"/>
            </w:tcBorders>
            <w:vAlign w:val="center"/>
          </w:tcPr>
          <w:p>
            <w:pPr>
              <w:widowControl/>
              <w:jc w:val="center"/>
              <w:rPr>
                <w:rFonts w:ascii="宋体" w:hAnsi="宋体"/>
                <w:b/>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ind w:left="55"/>
              <w:jc w:val="center"/>
              <w:rPr>
                <w:rFonts w:ascii="宋体" w:hAnsi="宋体"/>
                <w:b/>
                <w:sz w:val="24"/>
              </w:rPr>
            </w:pP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p>
        </w:tc>
      </w:tr>
      <w:tr>
        <w:tblPrEx>
          <w:tblCellMar>
            <w:top w:w="0" w:type="dxa"/>
            <w:left w:w="108" w:type="dxa"/>
            <w:bottom w:w="0" w:type="dxa"/>
            <w:right w:w="108" w:type="dxa"/>
          </w:tblCellMar>
        </w:tblPrEx>
        <w:trPr>
          <w:cantSplit/>
          <w:trHeight w:val="488"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35"/>
              <w:ind w:left="422" w:firstLine="482"/>
              <w:jc w:val="center"/>
              <w:rPr>
                <w:rFonts w:ascii="宋体" w:hAnsi="宋体" w:eastAsia="宋体"/>
                <w:b/>
                <w:color w:val="auto"/>
                <w:kern w:val="1"/>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35"/>
              <w:ind w:left="422" w:firstLine="482"/>
              <w:jc w:val="center"/>
              <w:rPr>
                <w:rFonts w:ascii="宋体" w:hAnsi="宋体" w:eastAsia="宋体"/>
                <w:b/>
                <w:color w:val="auto"/>
                <w:kern w:val="1"/>
              </w:rPr>
            </w:pPr>
          </w:p>
        </w:tc>
      </w:tr>
      <w:tr>
        <w:tblPrEx>
          <w:tblCellMar>
            <w:top w:w="0" w:type="dxa"/>
            <w:left w:w="108" w:type="dxa"/>
            <w:bottom w:w="0" w:type="dxa"/>
            <w:right w:w="108" w:type="dxa"/>
          </w:tblCellMar>
        </w:tblPrEx>
        <w:trPr>
          <w:cantSplit/>
          <w:trHeight w:val="551"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b/>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b/>
                <w:sz w:val="24"/>
              </w:rPr>
            </w:pP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
                <w:sz w:val="24"/>
              </w:rPr>
            </w:pPr>
          </w:p>
        </w:tc>
      </w:tr>
      <w:tr>
        <w:tblPrEx>
          <w:tblCellMar>
            <w:top w:w="0" w:type="dxa"/>
            <w:left w:w="108" w:type="dxa"/>
            <w:bottom w:w="0" w:type="dxa"/>
            <w:right w:w="108" w:type="dxa"/>
          </w:tblCellMar>
        </w:tblPrEx>
        <w:trPr>
          <w:cantSplit/>
          <w:trHeight w:val="606"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35"/>
              <w:ind w:left="422" w:firstLine="482"/>
              <w:jc w:val="center"/>
              <w:rPr>
                <w:rFonts w:ascii="宋体" w:hAnsi="宋体" w:eastAsia="宋体"/>
                <w:b/>
                <w:color w:val="auto"/>
                <w:kern w:val="1"/>
              </w:rPr>
            </w:pPr>
          </w:p>
        </w:tc>
      </w:tr>
      <w:tr>
        <w:tblPrEx>
          <w:tblCellMar>
            <w:top w:w="0" w:type="dxa"/>
            <w:left w:w="108" w:type="dxa"/>
            <w:bottom w:w="0" w:type="dxa"/>
            <w:right w:w="108" w:type="dxa"/>
          </w:tblCellMar>
        </w:tblPrEx>
        <w:trPr>
          <w:cantSplit/>
          <w:trHeight w:val="606"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35"/>
              <w:ind w:left="422" w:firstLine="482"/>
              <w:jc w:val="center"/>
              <w:rPr>
                <w:rFonts w:ascii="宋体" w:hAnsi="宋体" w:eastAsia="宋体"/>
                <w:b/>
                <w:color w:val="auto"/>
                <w:kern w:val="1"/>
              </w:rPr>
            </w:pPr>
          </w:p>
        </w:tc>
      </w:tr>
      <w:tr>
        <w:tblPrEx>
          <w:tblCellMar>
            <w:top w:w="0" w:type="dxa"/>
            <w:left w:w="108" w:type="dxa"/>
            <w:bottom w:w="0" w:type="dxa"/>
            <w:right w:w="108" w:type="dxa"/>
          </w:tblCellMar>
        </w:tblPrEx>
        <w:trPr>
          <w:cantSplit/>
          <w:trHeight w:val="623" w:hRule="atLeast"/>
        </w:trPr>
        <w:tc>
          <w:tcPr>
            <w:tcW w:w="1242" w:type="dxa"/>
            <w:tcBorders>
              <w:left w:val="single" w:color="000000" w:sz="4" w:space="0"/>
              <w:bottom w:val="single" w:color="000000" w:sz="4" w:space="0"/>
              <w:right w:val="single" w:color="000000" w:sz="4" w:space="0"/>
            </w:tcBorders>
            <w:vAlign w:val="center"/>
          </w:tcPr>
          <w:p>
            <w:pPr>
              <w:widowControl/>
              <w:jc w:val="center"/>
              <w:rPr>
                <w:rFonts w:ascii="宋体" w:hAnsi="宋体"/>
                <w:b/>
                <w:sz w:val="24"/>
              </w:rPr>
            </w:pPr>
          </w:p>
        </w:tc>
        <w:tc>
          <w:tcPr>
            <w:tcW w:w="2268" w:type="dxa"/>
            <w:tcBorders>
              <w:left w:val="single" w:color="000000" w:sz="4" w:space="0"/>
              <w:bottom w:val="single" w:color="000000" w:sz="4" w:space="0"/>
              <w:right w:val="single" w:color="000000" w:sz="4" w:space="0"/>
            </w:tcBorders>
            <w:vAlign w:val="center"/>
          </w:tcPr>
          <w:p>
            <w:pPr>
              <w:widowControl/>
              <w:jc w:val="center"/>
              <w:rPr>
                <w:rFonts w:ascii="宋体" w:hAnsi="宋体"/>
                <w:b/>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35"/>
              <w:ind w:left="422" w:firstLine="482"/>
              <w:jc w:val="center"/>
              <w:rPr>
                <w:rFonts w:ascii="宋体" w:hAnsi="宋体" w:eastAsia="宋体"/>
                <w:b/>
                <w:color w:val="auto"/>
                <w:kern w:val="1"/>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sz w:val="24"/>
              </w:rPr>
            </w:pPr>
          </w:p>
        </w:tc>
      </w:tr>
      <w:tr>
        <w:tblPrEx>
          <w:tblCellMar>
            <w:top w:w="0" w:type="dxa"/>
            <w:left w:w="108" w:type="dxa"/>
            <w:bottom w:w="0" w:type="dxa"/>
            <w:right w:w="108" w:type="dxa"/>
          </w:tblCellMar>
        </w:tblPrEx>
        <w:trPr>
          <w:cantSplit/>
          <w:trHeight w:val="529" w:hRule="atLeast"/>
        </w:trPr>
        <w:tc>
          <w:tcPr>
            <w:tcW w:w="1242" w:type="dxa"/>
            <w:tcBorders>
              <w:left w:val="single" w:color="000000" w:sz="4" w:space="0"/>
              <w:bottom w:val="single" w:color="000000" w:sz="4" w:space="0"/>
              <w:right w:val="single" w:color="000000" w:sz="4" w:space="0"/>
            </w:tcBorders>
            <w:vAlign w:val="center"/>
          </w:tcPr>
          <w:p>
            <w:pPr>
              <w:widowControl/>
              <w:jc w:val="center"/>
              <w:rPr>
                <w:rFonts w:ascii="宋体" w:hAnsi="宋体"/>
                <w:b/>
                <w:sz w:val="24"/>
              </w:rPr>
            </w:pPr>
          </w:p>
        </w:tc>
        <w:tc>
          <w:tcPr>
            <w:tcW w:w="2268" w:type="dxa"/>
            <w:tcBorders>
              <w:left w:val="single" w:color="000000" w:sz="4" w:space="0"/>
              <w:bottom w:val="single" w:color="000000" w:sz="4" w:space="0"/>
              <w:right w:val="single" w:color="000000" w:sz="4" w:space="0"/>
            </w:tcBorders>
            <w:vAlign w:val="center"/>
          </w:tcPr>
          <w:p>
            <w:pPr>
              <w:spacing w:line="320" w:lineRule="exact"/>
              <w:jc w:val="center"/>
              <w:rPr>
                <w:rFonts w:ascii="宋体" w:hAnsi="宋体"/>
                <w:b/>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p>
        </w:tc>
      </w:tr>
      <w:tr>
        <w:tblPrEx>
          <w:tblCellMar>
            <w:top w:w="0" w:type="dxa"/>
            <w:left w:w="108" w:type="dxa"/>
            <w:bottom w:w="0" w:type="dxa"/>
            <w:right w:w="108" w:type="dxa"/>
          </w:tblCellMar>
        </w:tblPrEx>
        <w:trPr>
          <w:cantSplit/>
          <w:trHeight w:val="529"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b/>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p>
        </w:tc>
      </w:tr>
      <w:tr>
        <w:tblPrEx>
          <w:tblCellMar>
            <w:top w:w="0" w:type="dxa"/>
            <w:left w:w="108" w:type="dxa"/>
            <w:bottom w:w="0" w:type="dxa"/>
            <w:right w:w="108" w:type="dxa"/>
          </w:tblCellMar>
        </w:tblPrEx>
        <w:trPr>
          <w:cantSplit/>
          <w:trHeight w:val="529"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b/>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p>
        </w:tc>
      </w:tr>
    </w:tbl>
    <w:p>
      <w:pPr>
        <w:pStyle w:val="6"/>
        <w:tabs>
          <w:tab w:val="left" w:pos="864"/>
        </w:tabs>
        <w:rPr>
          <w:rFonts w:hint="eastAsia" w:ascii="宋体" w:hAnsi="宋体" w:eastAsia="宋体" w:cs="宋体"/>
          <w:lang w:val="en-US" w:eastAsia="zh-CN"/>
        </w:rPr>
      </w:pPr>
    </w:p>
    <w:p>
      <w:pPr>
        <w:rPr>
          <w:rFonts w:hint="eastAsia" w:ascii="宋体" w:hAnsi="宋体" w:eastAsia="宋体" w:cs="宋体"/>
          <w:lang w:val="en-US" w:eastAsia="zh-CN"/>
        </w:rPr>
      </w:pPr>
    </w:p>
    <w:p>
      <w:pPr>
        <w:pStyle w:val="17"/>
        <w:rPr>
          <w:rFonts w:hint="eastAsia" w:ascii="宋体" w:hAnsi="宋体" w:eastAsia="宋体" w:cs="宋体"/>
          <w:lang w:val="en-US" w:eastAsia="zh-CN"/>
        </w:rPr>
      </w:pPr>
    </w:p>
    <w:p>
      <w:pPr>
        <w:pStyle w:val="18"/>
        <w:rPr>
          <w:rFonts w:hint="eastAsia" w:ascii="宋体" w:hAnsi="宋体" w:eastAsia="宋体" w:cs="宋体"/>
          <w:lang w:val="en-US" w:eastAsia="zh-CN"/>
        </w:rPr>
      </w:pPr>
    </w:p>
    <w:p>
      <w:pPr>
        <w:pStyle w:val="19"/>
        <w:rPr>
          <w:rFonts w:hint="eastAsia" w:ascii="宋体" w:hAnsi="宋体" w:eastAsia="宋体" w:cs="宋体"/>
          <w:lang w:val="en-US" w:eastAsia="zh-CN"/>
        </w:rPr>
      </w:pPr>
    </w:p>
    <w:p>
      <w:pPr>
        <w:rPr>
          <w:rFonts w:hint="eastAsia" w:ascii="宋体" w:hAnsi="宋体" w:eastAsia="宋体" w:cs="宋体"/>
          <w:lang w:val="en-US" w:eastAsia="zh-CN"/>
        </w:rPr>
      </w:pPr>
    </w:p>
    <w:p>
      <w:pPr>
        <w:pStyle w:val="17"/>
        <w:rPr>
          <w:rFonts w:hint="eastAsia" w:ascii="宋体" w:hAnsi="宋体" w:eastAsia="宋体" w:cs="宋体"/>
          <w:lang w:val="en-US" w:eastAsia="zh-CN"/>
        </w:rPr>
      </w:pPr>
    </w:p>
    <w:p>
      <w:pPr>
        <w:pStyle w:val="18"/>
        <w:rPr>
          <w:rFonts w:hint="eastAsia" w:ascii="宋体" w:hAnsi="宋体" w:eastAsia="宋体" w:cs="宋体"/>
          <w:lang w:val="en-US" w:eastAsia="zh-CN"/>
        </w:rPr>
      </w:pPr>
    </w:p>
    <w:p>
      <w:pPr>
        <w:pStyle w:val="19"/>
        <w:rPr>
          <w:rFonts w:hint="eastAsia" w:ascii="宋体" w:hAnsi="宋体" w:eastAsia="宋体" w:cs="宋体"/>
          <w:lang w:val="en-US" w:eastAsia="zh-CN"/>
        </w:rPr>
      </w:pPr>
    </w:p>
    <w:p>
      <w:pPr>
        <w:rPr>
          <w:rFonts w:hint="eastAsia" w:ascii="宋体" w:hAnsi="宋体" w:eastAsia="宋体" w:cs="宋体"/>
          <w:lang w:val="en-US" w:eastAsia="zh-CN"/>
        </w:rPr>
      </w:pPr>
    </w:p>
    <w:p>
      <w:pPr>
        <w:pStyle w:val="17"/>
        <w:rPr>
          <w:rFonts w:hint="eastAsia" w:ascii="宋体" w:hAnsi="宋体" w:eastAsia="宋体" w:cs="宋体"/>
          <w:lang w:val="en-US" w:eastAsia="zh-CN"/>
        </w:rPr>
      </w:pPr>
    </w:p>
    <w:p>
      <w:pPr>
        <w:pStyle w:val="18"/>
        <w:rPr>
          <w:rFonts w:hint="eastAsia"/>
          <w:lang w:val="en-US" w:eastAsia="zh-CN"/>
        </w:rPr>
      </w:pPr>
    </w:p>
    <w:p>
      <w:pPr>
        <w:pStyle w:val="232"/>
        <w:widowControl w:val="0"/>
        <w:snapToGrid w:val="0"/>
        <w:spacing w:line="500" w:lineRule="exact"/>
        <w:jc w:val="left"/>
        <w:rPr>
          <w:rFonts w:hint="default" w:ascii="宋体" w:hAnsi="宋体" w:eastAsia="宋体" w:cs="宋体"/>
          <w:color w:val="000000"/>
          <w:kern w:val="0"/>
          <w:sz w:val="28"/>
          <w:lang w:val="en-US" w:eastAsia="zh-CN"/>
        </w:rPr>
      </w:pPr>
      <w:r>
        <w:rPr>
          <w:rFonts w:hint="eastAsia" w:hAnsi="宋体" w:cs="宋体"/>
          <w:color w:val="000000"/>
          <w:kern w:val="0"/>
          <w:sz w:val="28"/>
          <w:lang w:eastAsia="zh-CN"/>
        </w:rPr>
        <w:t>附件</w:t>
      </w:r>
      <w:r>
        <w:rPr>
          <w:rFonts w:hint="eastAsia" w:hAnsi="宋体" w:cs="宋体"/>
          <w:color w:val="000000"/>
          <w:kern w:val="0"/>
          <w:sz w:val="28"/>
          <w:lang w:val="en-US" w:eastAsia="zh-CN"/>
        </w:rPr>
        <w:t>1</w:t>
      </w:r>
    </w:p>
    <w:p>
      <w:pPr>
        <w:pStyle w:val="232"/>
        <w:widowControl w:val="0"/>
        <w:snapToGrid w:val="0"/>
        <w:spacing w:line="500" w:lineRule="exact"/>
        <w:jc w:val="center"/>
        <w:rPr>
          <w:rFonts w:hint="eastAsia" w:ascii="宋体" w:hAnsi="宋体" w:eastAsia="宋体" w:cs="宋体"/>
          <w:color w:val="000000"/>
          <w:kern w:val="0"/>
          <w:sz w:val="28"/>
        </w:rPr>
      </w:pPr>
      <w:r>
        <w:rPr>
          <w:rFonts w:hint="eastAsia" w:ascii="宋体" w:hAnsi="宋体" w:eastAsia="宋体" w:cs="宋体"/>
          <w:color w:val="000000"/>
          <w:kern w:val="0"/>
          <w:sz w:val="28"/>
        </w:rPr>
        <w:t>政府采购活动现场确认声明书</w:t>
      </w:r>
    </w:p>
    <w:p>
      <w:pPr>
        <w:pStyle w:val="232"/>
        <w:widowControl w:val="0"/>
        <w:snapToGrid w:val="0"/>
        <w:spacing w:line="500" w:lineRule="exact"/>
        <w:jc w:val="center"/>
        <w:rPr>
          <w:rFonts w:hint="eastAsia" w:ascii="宋体" w:hAnsi="宋体" w:eastAsia="宋体" w:cs="宋体"/>
          <w:color w:val="000000"/>
          <w:kern w:val="0"/>
          <w:sz w:val="28"/>
        </w:rPr>
      </w:pPr>
    </w:p>
    <w:p>
      <w:pPr>
        <w:pStyle w:val="232"/>
        <w:widowControl w:val="0"/>
        <w:snapToGrid w:val="0"/>
        <w:spacing w:line="480" w:lineRule="auto"/>
        <w:jc w:val="both"/>
        <w:rPr>
          <w:rFonts w:hint="eastAsia" w:ascii="宋体" w:hAnsi="宋体" w:eastAsia="宋体" w:cs="宋体"/>
          <w:b/>
          <w:color w:val="000000"/>
          <w:szCs w:val="21"/>
        </w:rPr>
      </w:pPr>
      <w:r>
        <w:rPr>
          <w:rFonts w:hint="eastAsia" w:ascii="宋体" w:hAnsi="宋体" w:eastAsia="宋体" w:cs="宋体"/>
          <w:color w:val="000000"/>
          <w:kern w:val="0"/>
          <w:sz w:val="28"/>
        </w:rPr>
        <w:t xml:space="preserve"> </w:t>
      </w:r>
      <w:r>
        <w:rPr>
          <w:rFonts w:hint="eastAsia" w:hAnsi="宋体" w:cs="宋体"/>
          <w:color w:val="000000"/>
          <w:kern w:val="0"/>
          <w:szCs w:val="21"/>
          <w:u w:val="single"/>
          <w:lang w:eastAsia="zh-CN"/>
        </w:rPr>
        <w:t>浙江东瓯工程造价咨询有限公司</w:t>
      </w:r>
      <w:r>
        <w:rPr>
          <w:rFonts w:hint="eastAsia" w:ascii="宋体" w:hAnsi="宋体" w:eastAsia="宋体" w:cs="宋体"/>
          <w:color w:val="000000"/>
          <w:kern w:val="0"/>
          <w:szCs w:val="21"/>
        </w:rPr>
        <w:t>：</w:t>
      </w:r>
    </w:p>
    <w:p>
      <w:pPr>
        <w:pStyle w:val="232"/>
        <w:widowControl w:val="0"/>
        <w:snapToGrid w:val="0"/>
        <w:spacing w:line="480" w:lineRule="auto"/>
        <w:jc w:val="both"/>
        <w:rPr>
          <w:rFonts w:hint="eastAsia" w:ascii="宋体" w:hAnsi="宋体" w:eastAsia="宋体" w:cs="宋体"/>
          <w:color w:val="000000"/>
          <w:spacing w:val="6"/>
          <w:sz w:val="20"/>
          <w:szCs w:val="20"/>
        </w:rPr>
      </w:pPr>
      <w:r>
        <w:rPr>
          <w:rFonts w:hint="eastAsia" w:ascii="宋体" w:hAnsi="宋体" w:eastAsia="宋体" w:cs="宋体"/>
          <w:color w:val="000000"/>
          <w:spacing w:val="6"/>
          <w:szCs w:val="21"/>
        </w:rPr>
        <w:t xml:space="preserve">   </w:t>
      </w:r>
      <w:r>
        <w:rPr>
          <w:rFonts w:hint="eastAsia" w:ascii="宋体" w:hAnsi="宋体" w:eastAsia="宋体" w:cs="宋体"/>
          <w:color w:val="000000"/>
          <w:spacing w:val="6"/>
          <w:sz w:val="20"/>
          <w:szCs w:val="20"/>
        </w:rPr>
        <w:t xml:space="preserve"> 本人经由</w:t>
      </w:r>
      <w:r>
        <w:rPr>
          <w:rFonts w:hint="eastAsia" w:ascii="宋体" w:hAnsi="宋体" w:eastAsia="宋体" w:cs="宋体"/>
          <w:color w:val="000000"/>
          <w:spacing w:val="6"/>
          <w:sz w:val="20"/>
          <w:szCs w:val="20"/>
          <w:u w:val="single"/>
        </w:rPr>
        <w:t xml:space="preserve">      (填投标供应商名称）        </w:t>
      </w:r>
      <w:r>
        <w:rPr>
          <w:rFonts w:hint="eastAsia" w:ascii="宋体" w:hAnsi="宋体" w:eastAsia="宋体" w:cs="宋体"/>
          <w:color w:val="000000"/>
          <w:spacing w:val="6"/>
          <w:sz w:val="20"/>
          <w:szCs w:val="20"/>
        </w:rPr>
        <w:t>负责人</w:t>
      </w:r>
      <w:r>
        <w:rPr>
          <w:rFonts w:hint="eastAsia" w:ascii="宋体" w:hAnsi="宋体" w:eastAsia="宋体" w:cs="宋体"/>
          <w:color w:val="000000"/>
          <w:spacing w:val="6"/>
          <w:sz w:val="20"/>
          <w:szCs w:val="20"/>
          <w:u w:val="single"/>
        </w:rPr>
        <w:t xml:space="preserve">   （填法人名字）  </w:t>
      </w:r>
      <w:r>
        <w:rPr>
          <w:rFonts w:hint="eastAsia" w:ascii="宋体" w:hAnsi="宋体" w:eastAsia="宋体" w:cs="宋体"/>
          <w:color w:val="000000"/>
          <w:spacing w:val="6"/>
          <w:sz w:val="20"/>
          <w:szCs w:val="20"/>
        </w:rPr>
        <w:t>合法授权参加</w:t>
      </w:r>
      <w:r>
        <w:rPr>
          <w:rFonts w:hint="eastAsia" w:ascii="宋体" w:hAnsi="宋体" w:eastAsia="宋体" w:cs="宋体"/>
          <w:color w:val="000000"/>
          <w:spacing w:val="6"/>
          <w:sz w:val="20"/>
          <w:szCs w:val="20"/>
          <w:u w:val="single"/>
        </w:rPr>
        <w:t xml:space="preserve"> （</w:t>
      </w:r>
      <w:r>
        <w:rPr>
          <w:rFonts w:hint="eastAsia" w:ascii="宋体" w:hAnsi="宋体" w:eastAsia="宋体" w:cs="宋体"/>
          <w:bCs/>
          <w:sz w:val="20"/>
          <w:szCs w:val="20"/>
          <w:u w:val="single"/>
        </w:rPr>
        <w:t>投标项目名称）</w:t>
      </w:r>
      <w:r>
        <w:rPr>
          <w:rFonts w:hint="eastAsia" w:ascii="宋体" w:hAnsi="宋体" w:eastAsia="宋体" w:cs="宋体"/>
          <w:color w:val="000000"/>
          <w:spacing w:val="6"/>
          <w:sz w:val="20"/>
          <w:szCs w:val="20"/>
          <w:u w:val="single"/>
        </w:rPr>
        <w:t>（采购编号）</w:t>
      </w:r>
      <w:r>
        <w:rPr>
          <w:rFonts w:hint="eastAsia" w:ascii="宋体" w:hAnsi="宋体" w:eastAsia="宋体" w:cs="宋体"/>
          <w:color w:val="000000"/>
          <w:spacing w:val="6"/>
          <w:sz w:val="20"/>
          <w:szCs w:val="20"/>
        </w:rPr>
        <w:t xml:space="preserve">政府采购活动。经与本单位法人代表（负责人）联系确认，现就有关公平竞争事项郑重声明如下： </w:t>
      </w:r>
    </w:p>
    <w:p>
      <w:pPr>
        <w:pStyle w:val="233"/>
        <w:widowControl/>
        <w:numPr>
          <w:ilvl w:val="0"/>
          <w:numId w:val="12"/>
        </w:numPr>
        <w:snapToGrid w:val="0"/>
        <w:spacing w:line="480" w:lineRule="auto"/>
        <w:ind w:firstLine="378" w:firstLineChars="18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本单位与采购人之间 □不存在利害关系 □存在下列利害关系</w:t>
      </w:r>
      <w:r>
        <w:rPr>
          <w:rFonts w:hint="eastAsia" w:ascii="宋体" w:hAnsi="宋体" w:eastAsia="宋体" w:cs="宋体"/>
          <w:color w:val="000000"/>
          <w:kern w:val="0"/>
          <w:sz w:val="20"/>
          <w:szCs w:val="20"/>
          <w:u w:val="single"/>
        </w:rPr>
        <w:t xml:space="preserve">           </w:t>
      </w:r>
      <w:r>
        <w:rPr>
          <w:rFonts w:hint="eastAsia" w:ascii="宋体" w:hAnsi="宋体" w:eastAsia="宋体" w:cs="宋体"/>
          <w:color w:val="000000"/>
          <w:kern w:val="0"/>
          <w:sz w:val="20"/>
          <w:szCs w:val="20"/>
        </w:rPr>
        <w:t>：</w:t>
      </w:r>
    </w:p>
    <w:p>
      <w:pPr>
        <w:pStyle w:val="233"/>
        <w:widowControl/>
        <w:snapToGrid w:val="0"/>
        <w:spacing w:line="480" w:lineRule="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A.投资关系    B.行政隶属关系    C.业务指导关系</w:t>
      </w:r>
    </w:p>
    <w:p>
      <w:pPr>
        <w:pStyle w:val="233"/>
        <w:widowControl/>
        <w:snapToGrid w:val="0"/>
        <w:spacing w:line="480" w:lineRule="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D.其他可能</w:t>
      </w:r>
      <w:r>
        <w:rPr>
          <w:rFonts w:hint="eastAsia" w:ascii="宋体" w:hAnsi="宋体" w:eastAsia="宋体" w:cs="宋体"/>
          <w:color w:val="000000"/>
          <w:sz w:val="20"/>
          <w:szCs w:val="20"/>
        </w:rPr>
        <w:t>影响采购公正的</w:t>
      </w:r>
      <w:r>
        <w:rPr>
          <w:rFonts w:hint="eastAsia" w:ascii="宋体" w:hAnsi="宋体" w:eastAsia="宋体" w:cs="宋体"/>
          <w:color w:val="000000"/>
          <w:kern w:val="0"/>
          <w:sz w:val="20"/>
          <w:szCs w:val="20"/>
        </w:rPr>
        <w:t>利害关系</w:t>
      </w:r>
      <w:r>
        <w:rPr>
          <w:rFonts w:hint="eastAsia" w:ascii="宋体" w:hAnsi="宋体" w:eastAsia="宋体" w:cs="宋体"/>
          <w:color w:val="000000"/>
          <w:kern w:val="0"/>
          <w:sz w:val="20"/>
          <w:szCs w:val="20"/>
          <w:u w:val="single"/>
        </w:rPr>
        <w:t xml:space="preserve">（如有，请如实说明）                                   </w:t>
      </w:r>
      <w:r>
        <w:rPr>
          <w:rFonts w:hint="eastAsia" w:ascii="宋体" w:hAnsi="宋体" w:eastAsia="宋体" w:cs="宋体"/>
          <w:color w:val="000000"/>
          <w:kern w:val="0"/>
          <w:sz w:val="20"/>
          <w:szCs w:val="20"/>
        </w:rPr>
        <w:t>。</w:t>
      </w:r>
    </w:p>
    <w:p>
      <w:pPr>
        <w:pStyle w:val="233"/>
        <w:widowControl/>
        <w:snapToGrid w:val="0"/>
        <w:spacing w:line="480" w:lineRule="auto"/>
        <w:rPr>
          <w:rFonts w:hint="eastAsia" w:ascii="宋体" w:hAnsi="宋体" w:eastAsia="宋体" w:cs="宋体"/>
          <w:color w:val="000000"/>
          <w:kern w:val="0"/>
          <w:sz w:val="20"/>
          <w:szCs w:val="20"/>
        </w:rPr>
      </w:pPr>
      <w:r>
        <w:rPr>
          <w:rFonts w:hint="eastAsia" w:ascii="宋体" w:hAnsi="宋体" w:eastAsia="宋体" w:cs="宋体"/>
          <w:color w:val="000000"/>
          <w:spacing w:val="6"/>
          <w:sz w:val="20"/>
          <w:szCs w:val="20"/>
        </w:rPr>
        <w:t xml:space="preserve">  二、</w:t>
      </w:r>
      <w:r>
        <w:rPr>
          <w:rFonts w:hint="eastAsia" w:ascii="宋体" w:hAnsi="宋体" w:eastAsia="宋体" w:cs="宋体"/>
          <w:color w:val="000000"/>
          <w:kern w:val="0"/>
          <w:sz w:val="20"/>
          <w:szCs w:val="20"/>
        </w:rPr>
        <w:t>现已清楚知道参加本项目采购活动的其他所有供应商名称，本单位 □与其他所有供应商之间均不存在利害关系 □与</w:t>
      </w:r>
      <w:r>
        <w:rPr>
          <w:rFonts w:hint="eastAsia" w:ascii="宋体" w:hAnsi="宋体" w:eastAsia="宋体" w:cs="宋体"/>
          <w:color w:val="000000"/>
          <w:kern w:val="0"/>
          <w:sz w:val="20"/>
          <w:szCs w:val="20"/>
          <w:u w:val="single"/>
        </w:rPr>
        <w:t xml:space="preserve">                                        </w:t>
      </w:r>
      <w:r>
        <w:rPr>
          <w:rFonts w:hint="eastAsia" w:ascii="宋体" w:hAnsi="宋体" w:eastAsia="宋体" w:cs="宋体"/>
          <w:color w:val="000000"/>
          <w:kern w:val="0"/>
          <w:sz w:val="20"/>
          <w:szCs w:val="20"/>
        </w:rPr>
        <w:t>之间存在下列利害关系</w:t>
      </w:r>
      <w:r>
        <w:rPr>
          <w:rFonts w:hint="eastAsia" w:ascii="宋体" w:hAnsi="宋体" w:eastAsia="宋体" w:cs="宋体"/>
          <w:color w:val="000000"/>
          <w:kern w:val="0"/>
          <w:sz w:val="20"/>
          <w:szCs w:val="20"/>
          <w:u w:val="single"/>
        </w:rPr>
        <w:t xml:space="preserve">      </w:t>
      </w:r>
      <w:r>
        <w:rPr>
          <w:rFonts w:hint="eastAsia" w:ascii="宋体" w:hAnsi="宋体" w:eastAsia="宋体" w:cs="宋体"/>
          <w:color w:val="000000"/>
          <w:kern w:val="0"/>
          <w:sz w:val="20"/>
          <w:szCs w:val="20"/>
        </w:rPr>
        <w:t>：</w:t>
      </w:r>
    </w:p>
    <w:p>
      <w:pPr>
        <w:pStyle w:val="232"/>
        <w:widowControl w:val="0"/>
        <w:snapToGrid w:val="0"/>
        <w:spacing w:line="480" w:lineRule="auto"/>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A.法定代表人或负责人或实际控制人是同一人</w:t>
      </w:r>
    </w:p>
    <w:p>
      <w:pPr>
        <w:pStyle w:val="232"/>
        <w:widowControl w:val="0"/>
        <w:snapToGrid w:val="0"/>
        <w:spacing w:line="480" w:lineRule="auto"/>
        <w:jc w:val="both"/>
        <w:rPr>
          <w:rFonts w:hint="eastAsia" w:ascii="宋体" w:hAnsi="宋体" w:eastAsia="宋体" w:cs="宋体"/>
          <w:color w:val="000000"/>
          <w:spacing w:val="6"/>
          <w:sz w:val="20"/>
          <w:szCs w:val="20"/>
        </w:rPr>
      </w:pPr>
      <w:r>
        <w:rPr>
          <w:rFonts w:hint="eastAsia" w:ascii="宋体" w:hAnsi="宋体" w:eastAsia="宋体" w:cs="宋体"/>
          <w:color w:val="000000"/>
          <w:kern w:val="0"/>
          <w:sz w:val="20"/>
          <w:szCs w:val="20"/>
        </w:rPr>
        <w:t xml:space="preserve">  B.法定代表人或负责人或实际控制人是夫妻关系</w:t>
      </w:r>
    </w:p>
    <w:p>
      <w:pPr>
        <w:pStyle w:val="232"/>
        <w:widowControl w:val="0"/>
        <w:snapToGrid w:val="0"/>
        <w:spacing w:line="480" w:lineRule="auto"/>
        <w:jc w:val="both"/>
        <w:rPr>
          <w:rFonts w:hint="eastAsia" w:ascii="宋体" w:hAnsi="宋体" w:eastAsia="宋体" w:cs="宋体"/>
          <w:color w:val="000000"/>
          <w:spacing w:val="6"/>
          <w:sz w:val="20"/>
          <w:szCs w:val="20"/>
        </w:rPr>
      </w:pPr>
      <w:r>
        <w:rPr>
          <w:rFonts w:hint="eastAsia" w:ascii="宋体" w:hAnsi="宋体" w:eastAsia="宋体" w:cs="宋体"/>
          <w:color w:val="000000"/>
          <w:kern w:val="0"/>
          <w:sz w:val="20"/>
          <w:szCs w:val="20"/>
        </w:rPr>
        <w:t xml:space="preserve">  C.法定代表人或负责人或实际控制人是直系血亲关系</w:t>
      </w:r>
    </w:p>
    <w:p>
      <w:pPr>
        <w:pStyle w:val="232"/>
        <w:widowControl w:val="0"/>
        <w:snapToGrid w:val="0"/>
        <w:spacing w:line="480" w:lineRule="auto"/>
        <w:jc w:val="both"/>
        <w:rPr>
          <w:rFonts w:hint="eastAsia" w:ascii="宋体" w:hAnsi="宋体" w:eastAsia="宋体" w:cs="宋体"/>
          <w:color w:val="000000"/>
          <w:spacing w:val="6"/>
          <w:sz w:val="20"/>
          <w:szCs w:val="20"/>
        </w:rPr>
      </w:pPr>
      <w:r>
        <w:rPr>
          <w:rFonts w:hint="eastAsia" w:ascii="宋体" w:hAnsi="宋体" w:eastAsia="宋体" w:cs="宋体"/>
          <w:color w:val="000000"/>
          <w:kern w:val="0"/>
          <w:sz w:val="20"/>
          <w:szCs w:val="20"/>
        </w:rPr>
        <w:t xml:space="preserve">  D.法定代表人或负责人或实际控制人存在三代以内旁系血亲关系</w:t>
      </w:r>
    </w:p>
    <w:p>
      <w:pPr>
        <w:pStyle w:val="232"/>
        <w:widowControl w:val="0"/>
        <w:snapToGrid w:val="0"/>
        <w:spacing w:line="480" w:lineRule="auto"/>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E.法定代表人或负责人或实际控制人存在近姻亲关系</w:t>
      </w:r>
    </w:p>
    <w:p>
      <w:pPr>
        <w:pStyle w:val="232"/>
        <w:widowControl w:val="0"/>
        <w:snapToGrid w:val="0"/>
        <w:spacing w:line="480" w:lineRule="auto"/>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F.法定代表人或负责人或实际控制人存在股份控制或实际控制关系</w:t>
      </w:r>
    </w:p>
    <w:p>
      <w:pPr>
        <w:pStyle w:val="232"/>
        <w:widowControl w:val="0"/>
        <w:snapToGrid w:val="0"/>
        <w:spacing w:line="480" w:lineRule="auto"/>
        <w:jc w:val="both"/>
        <w:outlineLvl w:val="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G.存在共同直接或间接投资设立子公司、联营企业和合营企业情况</w:t>
      </w:r>
    </w:p>
    <w:p>
      <w:pPr>
        <w:pStyle w:val="232"/>
        <w:widowControl w:val="0"/>
        <w:snapToGrid w:val="0"/>
        <w:spacing w:line="480" w:lineRule="auto"/>
        <w:jc w:val="both"/>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H.存在分级代理或代销关系、同一生产制造商关系、</w:t>
      </w:r>
      <w:r>
        <w:rPr>
          <w:rFonts w:hint="eastAsia" w:ascii="宋体" w:hAnsi="宋体" w:eastAsia="宋体" w:cs="宋体"/>
          <w:color w:val="000000"/>
          <w:sz w:val="20"/>
          <w:szCs w:val="20"/>
        </w:rPr>
        <w:t>管理关系、重要业务（占主营业务收入50%以上）或重要财务往来关系（如融资）等其他实质性控制关系</w:t>
      </w:r>
    </w:p>
    <w:p>
      <w:pPr>
        <w:pStyle w:val="232"/>
        <w:widowControl w:val="0"/>
        <w:snapToGrid w:val="0"/>
        <w:spacing w:line="480" w:lineRule="auto"/>
        <w:ind w:firstLine="400" w:firstLineChars="200"/>
        <w:jc w:val="both"/>
        <w:outlineLvl w:val="0"/>
        <w:rPr>
          <w:rFonts w:hint="eastAsia" w:ascii="宋体" w:hAnsi="宋体" w:eastAsia="宋体" w:cs="宋体"/>
          <w:color w:val="000000"/>
          <w:spacing w:val="6"/>
          <w:sz w:val="20"/>
          <w:szCs w:val="20"/>
        </w:rPr>
      </w:pPr>
      <w:r>
        <w:rPr>
          <w:rFonts w:hint="eastAsia" w:ascii="宋体" w:hAnsi="宋体" w:eastAsia="宋体" w:cs="宋体"/>
          <w:color w:val="000000"/>
          <w:sz w:val="20"/>
          <w:szCs w:val="20"/>
        </w:rPr>
        <w:t>I</w:t>
      </w:r>
      <w:r>
        <w:rPr>
          <w:rFonts w:hint="eastAsia" w:ascii="宋体" w:hAnsi="宋体" w:eastAsia="宋体" w:cs="宋体"/>
          <w:color w:val="000000"/>
          <w:kern w:val="0"/>
          <w:sz w:val="20"/>
          <w:szCs w:val="20"/>
        </w:rPr>
        <w:t>.</w:t>
      </w:r>
      <w:r>
        <w:rPr>
          <w:rFonts w:hint="eastAsia" w:ascii="宋体" w:hAnsi="宋体" w:eastAsia="宋体" w:cs="宋体"/>
          <w:color w:val="000000"/>
          <w:sz w:val="20"/>
          <w:szCs w:val="20"/>
        </w:rPr>
        <w:t>其他利害关系情况</w:t>
      </w:r>
      <w:r>
        <w:rPr>
          <w:rFonts w:hint="eastAsia" w:ascii="宋体" w:hAnsi="宋体" w:eastAsia="宋体" w:cs="宋体"/>
          <w:color w:val="000000"/>
          <w:sz w:val="20"/>
          <w:szCs w:val="20"/>
          <w:u w:val="single"/>
        </w:rPr>
        <w:t xml:space="preserve">                                                      </w:t>
      </w:r>
      <w:r>
        <w:rPr>
          <w:rFonts w:hint="eastAsia" w:ascii="宋体" w:hAnsi="宋体" w:eastAsia="宋体" w:cs="宋体"/>
          <w:color w:val="000000"/>
          <w:kern w:val="0"/>
          <w:sz w:val="20"/>
          <w:szCs w:val="20"/>
        </w:rPr>
        <w:t>。</w:t>
      </w:r>
    </w:p>
    <w:p>
      <w:pPr>
        <w:pStyle w:val="233"/>
        <w:widowControl/>
        <w:numPr>
          <w:ilvl w:val="0"/>
          <w:numId w:val="13"/>
        </w:numPr>
        <w:snapToGrid w:val="0"/>
        <w:spacing w:line="480" w:lineRule="auto"/>
        <w:ind w:firstLine="378" w:firstLineChars="189"/>
        <w:rPr>
          <w:rFonts w:hint="eastAsia" w:ascii="宋体" w:hAnsi="宋体" w:eastAsia="宋体" w:cs="宋体"/>
          <w:color w:val="000000"/>
          <w:kern w:val="0"/>
          <w:sz w:val="20"/>
          <w:szCs w:val="20"/>
        </w:rPr>
      </w:pPr>
      <w:r>
        <w:rPr>
          <w:rFonts w:hint="eastAsia" w:ascii="宋体" w:hAnsi="宋体" w:eastAsia="宋体" w:cs="宋体"/>
          <w:color w:val="000000"/>
          <w:sz w:val="20"/>
          <w:szCs w:val="20"/>
        </w:rPr>
        <w:t>现已清楚知道并</w:t>
      </w:r>
      <w:r>
        <w:rPr>
          <w:rFonts w:hint="eastAsia" w:ascii="宋体" w:hAnsi="宋体" w:eastAsia="宋体" w:cs="宋体"/>
          <w:color w:val="000000"/>
          <w:kern w:val="0"/>
          <w:sz w:val="20"/>
          <w:szCs w:val="20"/>
        </w:rPr>
        <w:t>严格遵守政府采购法律法规和现场纪律。</w:t>
      </w:r>
    </w:p>
    <w:p>
      <w:pPr>
        <w:pStyle w:val="233"/>
        <w:widowControl/>
        <w:numPr>
          <w:ilvl w:val="0"/>
          <w:numId w:val="13"/>
        </w:numPr>
        <w:snapToGrid w:val="0"/>
        <w:spacing w:line="480" w:lineRule="auto"/>
        <w:ind w:firstLine="378" w:firstLineChars="189"/>
        <w:rPr>
          <w:rFonts w:hint="eastAsia" w:ascii="宋体" w:hAnsi="宋体" w:eastAsia="宋体" w:cs="宋体"/>
          <w:color w:val="000000"/>
          <w:sz w:val="20"/>
          <w:szCs w:val="20"/>
        </w:rPr>
      </w:pPr>
      <w:r>
        <w:rPr>
          <w:rFonts w:hint="eastAsia" w:ascii="宋体" w:hAnsi="宋体" w:eastAsia="宋体" w:cs="宋体"/>
          <w:color w:val="000000"/>
          <w:kern w:val="0"/>
          <w:sz w:val="20"/>
          <w:szCs w:val="20"/>
        </w:rPr>
        <w:t>我发现</w:t>
      </w:r>
      <w:r>
        <w:rPr>
          <w:rFonts w:hint="eastAsia" w:ascii="宋体" w:hAnsi="宋体" w:eastAsia="宋体" w:cs="宋体"/>
          <w:color w:val="000000"/>
          <w:kern w:val="0"/>
          <w:sz w:val="20"/>
          <w:szCs w:val="20"/>
          <w:u w:val="single"/>
        </w:rPr>
        <w:t xml:space="preserve">                                                                   </w:t>
      </w:r>
      <w:r>
        <w:rPr>
          <w:rFonts w:hint="eastAsia" w:ascii="宋体" w:hAnsi="宋体" w:eastAsia="宋体" w:cs="宋体"/>
          <w:color w:val="000000"/>
          <w:kern w:val="0"/>
          <w:sz w:val="20"/>
          <w:szCs w:val="20"/>
        </w:rPr>
        <w:t>供应商之间存在或可能存在上述第二条第</w:t>
      </w:r>
      <w:r>
        <w:rPr>
          <w:rFonts w:hint="eastAsia" w:ascii="宋体" w:hAnsi="宋体" w:eastAsia="宋体" w:cs="宋体"/>
          <w:color w:val="000000"/>
          <w:kern w:val="0"/>
          <w:sz w:val="20"/>
          <w:szCs w:val="20"/>
          <w:u w:val="single"/>
        </w:rPr>
        <w:t xml:space="preserve">        </w:t>
      </w:r>
      <w:r>
        <w:rPr>
          <w:rFonts w:hint="eastAsia" w:ascii="宋体" w:hAnsi="宋体" w:eastAsia="宋体" w:cs="宋体"/>
          <w:color w:val="000000"/>
          <w:kern w:val="0"/>
          <w:sz w:val="20"/>
          <w:szCs w:val="20"/>
        </w:rPr>
        <w:t>项利害关系。</w:t>
      </w:r>
      <w:r>
        <w:rPr>
          <w:rFonts w:hint="eastAsia" w:ascii="宋体" w:hAnsi="宋体" w:eastAsia="宋体" w:cs="宋体"/>
          <w:color w:val="000000"/>
          <w:sz w:val="20"/>
          <w:szCs w:val="20"/>
        </w:rPr>
        <w:t xml:space="preserve">                            </w:t>
      </w:r>
    </w:p>
    <w:p>
      <w:pPr>
        <w:pStyle w:val="232"/>
        <w:widowControl w:val="0"/>
        <w:snapToGrid w:val="0"/>
        <w:spacing w:line="480" w:lineRule="auto"/>
        <w:ind w:firstLine="5400" w:firstLineChars="2700"/>
        <w:jc w:val="both"/>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hAnsi="宋体" w:cs="宋体"/>
          <w:color w:val="000000"/>
          <w:sz w:val="20"/>
          <w:szCs w:val="20"/>
          <w:lang w:val="en-US" w:eastAsia="zh-CN"/>
        </w:rPr>
        <w:t xml:space="preserve">    </w:t>
      </w:r>
      <w:r>
        <w:rPr>
          <w:rFonts w:hint="eastAsia" w:ascii="宋体" w:hAnsi="宋体" w:eastAsia="宋体" w:cs="宋体"/>
          <w:color w:val="000000"/>
          <w:sz w:val="20"/>
          <w:szCs w:val="20"/>
        </w:rPr>
        <w:t>供应商代表（签名）：</w:t>
      </w:r>
    </w:p>
    <w:p>
      <w:pPr>
        <w:pStyle w:val="40"/>
        <w:jc w:val="both"/>
        <w:rPr>
          <w:rFonts w:hint="eastAsia" w:ascii="宋体" w:hAnsi="宋体" w:eastAsia="宋体" w:cs="宋体"/>
          <w:b w:val="0"/>
          <w:bCs/>
          <w:color w:val="000000"/>
          <w:sz w:val="32"/>
          <w:szCs w:val="32"/>
          <w:lang w:val="en-US" w:eastAsia="zh-CN" w:bidi="ar-SA"/>
        </w:rPr>
      </w:pPr>
    </w:p>
    <w:p>
      <w:pPr>
        <w:pStyle w:val="232"/>
        <w:widowControl w:val="0"/>
        <w:snapToGrid w:val="0"/>
        <w:spacing w:line="500" w:lineRule="exact"/>
        <w:jc w:val="left"/>
        <w:rPr>
          <w:rFonts w:hint="eastAsia" w:ascii="宋体" w:hAnsi="宋体" w:eastAsia="宋体" w:cs="宋体"/>
          <w:b w:val="0"/>
          <w:bCs/>
          <w:color w:val="000000"/>
          <w:sz w:val="32"/>
          <w:szCs w:val="32"/>
          <w:lang w:val="en-US" w:eastAsia="zh-CN" w:bidi="ar-SA"/>
        </w:rPr>
      </w:pPr>
      <w:r>
        <w:rPr>
          <w:rFonts w:hint="eastAsia" w:hAnsi="宋体" w:cs="宋体"/>
          <w:color w:val="000000"/>
          <w:kern w:val="0"/>
          <w:sz w:val="28"/>
          <w:lang w:eastAsia="zh-CN"/>
        </w:rPr>
        <w:t>附件</w:t>
      </w:r>
      <w:r>
        <w:rPr>
          <w:rFonts w:hint="eastAsia" w:hAnsi="宋体" w:cs="宋体"/>
          <w:color w:val="000000"/>
          <w:kern w:val="0"/>
          <w:sz w:val="28"/>
          <w:lang w:val="en-US" w:eastAsia="zh-CN"/>
        </w:rPr>
        <w:t xml:space="preserve">2 </w:t>
      </w:r>
      <w:r>
        <w:rPr>
          <w:rFonts w:hint="eastAsia" w:ascii="宋体" w:hAnsi="宋体" w:eastAsia="宋体" w:cs="宋体"/>
          <w:b w:val="0"/>
          <w:bCs/>
          <w:color w:val="000000"/>
          <w:sz w:val="32"/>
          <w:szCs w:val="32"/>
          <w:lang w:val="en-US" w:eastAsia="zh-CN" w:bidi="ar-SA"/>
        </w:rPr>
        <w:t>中小企业政府采购信用融资材料</w:t>
      </w:r>
    </w:p>
    <w:p>
      <w:pPr>
        <w:jc w:val="center"/>
        <w:rPr>
          <w:rFonts w:hint="eastAsia"/>
          <w:sz w:val="36"/>
          <w:szCs w:val="36"/>
        </w:rPr>
      </w:pPr>
    </w:p>
    <w:p>
      <w:pPr>
        <w:jc w:val="center"/>
        <w:rPr>
          <w:rFonts w:hint="eastAsia" w:ascii="仿宋" w:hAnsi="仿宋" w:eastAsia="仿宋" w:cs="仿宋"/>
          <w:b w:val="0"/>
          <w:bCs/>
          <w:sz w:val="36"/>
          <w:szCs w:val="36"/>
        </w:rPr>
      </w:pPr>
      <w:r>
        <w:rPr>
          <w:rFonts w:hint="eastAsia" w:ascii="仿宋" w:hAnsi="仿宋" w:eastAsia="仿宋" w:cs="仿宋"/>
          <w:b w:val="0"/>
          <w:bCs/>
          <w:sz w:val="36"/>
          <w:szCs w:val="36"/>
        </w:rPr>
        <w:t>温州市政府采购信用融资意向银行选择表</w:t>
      </w:r>
    </w:p>
    <w:p>
      <w:pPr>
        <w:jc w:val="center"/>
        <w:rPr>
          <w:rFonts w:hint="eastAsia" w:ascii="仿宋" w:hAnsi="仿宋" w:eastAsia="仿宋" w:cs="仿宋"/>
          <w:b w:val="0"/>
          <w:bCs/>
          <w:sz w:val="36"/>
          <w:szCs w:val="36"/>
        </w:rPr>
      </w:pPr>
      <w:r>
        <w:rPr>
          <w:rFonts w:hint="eastAsia" w:ascii="仿宋" w:hAnsi="仿宋" w:eastAsia="仿宋" w:cs="仿宋"/>
          <w:b w:val="0"/>
          <w:bCs/>
          <w:sz w:val="32"/>
          <w:szCs w:val="32"/>
        </w:rPr>
        <w:t>（温州市供应商填写）</w:t>
      </w:r>
    </w:p>
    <w:tbl>
      <w:tblPr>
        <w:tblStyle w:val="44"/>
        <w:tblW w:w="9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851"/>
        <w:gridCol w:w="1559"/>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noWrap w:val="0"/>
            <w:vAlign w:val="top"/>
          </w:tcPr>
          <w:p>
            <w:pPr>
              <w:pStyle w:val="230"/>
              <w:spacing w:line="360" w:lineRule="auto"/>
              <w:ind w:firstLine="0" w:firstLineChars="0"/>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企业名称</w:t>
            </w:r>
          </w:p>
        </w:tc>
        <w:tc>
          <w:tcPr>
            <w:tcW w:w="7794" w:type="dxa"/>
            <w:gridSpan w:val="5"/>
            <w:noWrap w:val="0"/>
            <w:vAlign w:val="top"/>
          </w:tcPr>
          <w:p>
            <w:pPr>
              <w:pStyle w:val="230"/>
              <w:spacing w:line="360" w:lineRule="auto"/>
              <w:ind w:firstLine="0" w:firstLineChars="0"/>
              <w:jc w:val="center"/>
              <w:rPr>
                <w:rFonts w:hint="eastAsia" w:ascii="仿宋" w:hAnsi="仿宋" w:eastAsia="仿宋" w:cs="仿宋"/>
                <w:b w:val="0"/>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noWrap w:val="0"/>
            <w:vAlign w:val="top"/>
          </w:tcPr>
          <w:p>
            <w:pPr>
              <w:pStyle w:val="230"/>
              <w:spacing w:line="360" w:lineRule="auto"/>
              <w:ind w:firstLine="0" w:firstLineChars="0"/>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企业注册地</w:t>
            </w:r>
          </w:p>
        </w:tc>
        <w:tc>
          <w:tcPr>
            <w:tcW w:w="3685" w:type="dxa"/>
            <w:gridSpan w:val="2"/>
            <w:noWrap w:val="0"/>
            <w:vAlign w:val="top"/>
          </w:tcPr>
          <w:p>
            <w:pPr>
              <w:pStyle w:val="230"/>
              <w:spacing w:line="360" w:lineRule="auto"/>
              <w:ind w:firstLine="0" w:firstLineChars="0"/>
              <w:jc w:val="center"/>
              <w:rPr>
                <w:rFonts w:hint="eastAsia" w:ascii="仿宋" w:hAnsi="仿宋" w:eastAsia="仿宋" w:cs="仿宋"/>
                <w:b w:val="0"/>
                <w:bCs/>
                <w:color w:val="000000"/>
                <w:kern w:val="0"/>
                <w:sz w:val="28"/>
                <w:szCs w:val="28"/>
              </w:rPr>
            </w:pPr>
          </w:p>
        </w:tc>
        <w:tc>
          <w:tcPr>
            <w:tcW w:w="2410" w:type="dxa"/>
            <w:gridSpan w:val="2"/>
            <w:noWrap w:val="0"/>
            <w:vAlign w:val="top"/>
          </w:tcPr>
          <w:p>
            <w:pPr>
              <w:pStyle w:val="230"/>
              <w:spacing w:line="360" w:lineRule="auto"/>
              <w:ind w:firstLine="0" w:firstLineChars="0"/>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是否有融资意向</w:t>
            </w:r>
          </w:p>
        </w:tc>
        <w:tc>
          <w:tcPr>
            <w:tcW w:w="1699" w:type="dxa"/>
            <w:noWrap w:val="0"/>
            <w:vAlign w:val="top"/>
          </w:tcPr>
          <w:p>
            <w:pPr>
              <w:pStyle w:val="230"/>
              <w:spacing w:line="360" w:lineRule="auto"/>
              <w:ind w:firstLine="0" w:firstLineChars="0"/>
              <w:jc w:val="center"/>
              <w:rPr>
                <w:rFonts w:hint="eastAsia" w:ascii="仿宋" w:hAnsi="仿宋" w:eastAsia="仿宋" w:cs="仿宋"/>
                <w:b w:val="0"/>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668" w:type="dxa"/>
            <w:noWrap w:val="0"/>
            <w:vAlign w:val="top"/>
          </w:tcPr>
          <w:p>
            <w:pPr>
              <w:pStyle w:val="230"/>
              <w:spacing w:line="360" w:lineRule="auto"/>
              <w:ind w:firstLine="0" w:firstLineChars="0"/>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融资联系人</w:t>
            </w:r>
          </w:p>
        </w:tc>
        <w:tc>
          <w:tcPr>
            <w:tcW w:w="2268" w:type="dxa"/>
            <w:noWrap w:val="0"/>
            <w:vAlign w:val="top"/>
          </w:tcPr>
          <w:p>
            <w:pPr>
              <w:pStyle w:val="230"/>
              <w:spacing w:line="360" w:lineRule="auto"/>
              <w:ind w:firstLine="0" w:firstLineChars="0"/>
              <w:jc w:val="center"/>
              <w:rPr>
                <w:rFonts w:hint="eastAsia" w:ascii="仿宋" w:hAnsi="仿宋" w:eastAsia="仿宋" w:cs="仿宋"/>
                <w:b w:val="0"/>
                <w:bCs/>
                <w:color w:val="000000"/>
                <w:kern w:val="0"/>
                <w:sz w:val="28"/>
                <w:szCs w:val="28"/>
              </w:rPr>
            </w:pPr>
          </w:p>
        </w:tc>
        <w:tc>
          <w:tcPr>
            <w:tcW w:w="2268" w:type="dxa"/>
            <w:gridSpan w:val="2"/>
            <w:noWrap w:val="0"/>
            <w:vAlign w:val="top"/>
          </w:tcPr>
          <w:p>
            <w:pPr>
              <w:pStyle w:val="230"/>
              <w:spacing w:line="360" w:lineRule="auto"/>
              <w:ind w:firstLine="0" w:firstLineChars="0"/>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联系方式</w:t>
            </w:r>
          </w:p>
        </w:tc>
        <w:tc>
          <w:tcPr>
            <w:tcW w:w="3258" w:type="dxa"/>
            <w:gridSpan w:val="2"/>
            <w:noWrap w:val="0"/>
            <w:vAlign w:val="top"/>
          </w:tcPr>
          <w:p>
            <w:pPr>
              <w:pStyle w:val="230"/>
              <w:spacing w:line="360" w:lineRule="auto"/>
              <w:ind w:firstLine="0" w:firstLineChars="0"/>
              <w:jc w:val="center"/>
              <w:rPr>
                <w:rFonts w:hint="eastAsia" w:ascii="仿宋" w:hAnsi="仿宋" w:eastAsia="仿宋" w:cs="仿宋"/>
                <w:b w:val="0"/>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noWrap w:val="0"/>
            <w:vAlign w:val="center"/>
          </w:tcPr>
          <w:p>
            <w:pPr>
              <w:pStyle w:val="230"/>
              <w:spacing w:line="360" w:lineRule="auto"/>
              <w:ind w:firstLine="0" w:firstLineChars="0"/>
              <w:jc w:val="center"/>
              <w:rPr>
                <w:rFonts w:hint="eastAsia" w:ascii="仿宋" w:hAnsi="仿宋" w:eastAsia="仿宋" w:cs="仿宋"/>
                <w:b w:val="0"/>
                <w:bCs/>
                <w:color w:val="000000"/>
                <w:kern w:val="0"/>
                <w:sz w:val="30"/>
                <w:szCs w:val="30"/>
              </w:rPr>
            </w:pPr>
            <w:r>
              <w:rPr>
                <w:rFonts w:hint="eastAsia" w:ascii="仿宋" w:hAnsi="仿宋" w:eastAsia="仿宋" w:cs="仿宋"/>
                <w:b w:val="0"/>
                <w:bCs/>
                <w:color w:val="000000"/>
                <w:kern w:val="0"/>
                <w:sz w:val="30"/>
                <w:szCs w:val="30"/>
              </w:rPr>
              <w:t>温州市政府采购信用融资合作银行</w:t>
            </w:r>
          </w:p>
        </w:tc>
        <w:tc>
          <w:tcPr>
            <w:tcW w:w="3258" w:type="dxa"/>
            <w:gridSpan w:val="2"/>
            <w:noWrap w:val="0"/>
            <w:vAlign w:val="top"/>
          </w:tcPr>
          <w:p>
            <w:pPr>
              <w:pStyle w:val="230"/>
              <w:spacing w:line="360" w:lineRule="auto"/>
              <w:ind w:firstLine="0" w:firstLineChars="0"/>
              <w:jc w:val="center"/>
              <w:rPr>
                <w:rFonts w:hint="eastAsia" w:ascii="仿宋" w:hAnsi="仿宋" w:eastAsia="仿宋" w:cs="仿宋"/>
                <w:b w:val="0"/>
                <w:bCs/>
                <w:color w:val="000000"/>
                <w:kern w:val="0"/>
                <w:sz w:val="30"/>
                <w:szCs w:val="30"/>
              </w:rPr>
            </w:pPr>
            <w:r>
              <w:rPr>
                <w:rFonts w:hint="eastAsia" w:ascii="仿宋" w:hAnsi="仿宋" w:eastAsia="仿宋" w:cs="仿宋"/>
                <w:b w:val="0"/>
                <w:bCs/>
                <w:color w:val="000000"/>
                <w:kern w:val="0"/>
                <w:sz w:val="30"/>
                <w:szCs w:val="30"/>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noWrap w:val="0"/>
            <w:vAlign w:val="top"/>
          </w:tcPr>
          <w:p>
            <w:pPr>
              <w:pStyle w:val="230"/>
              <w:spacing w:line="360" w:lineRule="auto"/>
              <w:ind w:firstLine="0" w:firstLineChars="0"/>
              <w:rPr>
                <w:rFonts w:hint="eastAsia" w:ascii="仿宋" w:hAnsi="仿宋" w:eastAsia="仿宋" w:cs="仿宋"/>
                <w:b w:val="0"/>
                <w:bCs/>
                <w:color w:val="000000"/>
                <w:kern w:val="0"/>
                <w:sz w:val="30"/>
                <w:szCs w:val="30"/>
              </w:rPr>
            </w:pPr>
            <w:r>
              <w:rPr>
                <w:rFonts w:hint="eastAsia" w:ascii="仿宋" w:hAnsi="仿宋" w:eastAsia="仿宋" w:cs="仿宋"/>
                <w:b w:val="0"/>
                <w:bCs/>
                <w:color w:val="000000"/>
                <w:kern w:val="0"/>
                <w:sz w:val="30"/>
                <w:szCs w:val="30"/>
              </w:rPr>
              <w:t>温州银行股份有限公司温州分行</w:t>
            </w:r>
          </w:p>
        </w:tc>
        <w:tc>
          <w:tcPr>
            <w:tcW w:w="3258" w:type="dxa"/>
            <w:gridSpan w:val="2"/>
            <w:noWrap w:val="0"/>
            <w:vAlign w:val="top"/>
          </w:tcPr>
          <w:p>
            <w:pPr>
              <w:pStyle w:val="230"/>
              <w:spacing w:line="360" w:lineRule="auto"/>
              <w:ind w:firstLine="0" w:firstLineChars="0"/>
              <w:rPr>
                <w:rFonts w:hint="eastAsia" w:ascii="仿宋" w:hAnsi="仿宋" w:eastAsia="仿宋" w:cs="仿宋"/>
                <w:b w:val="0"/>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noWrap w:val="0"/>
            <w:vAlign w:val="top"/>
          </w:tcPr>
          <w:p>
            <w:pPr>
              <w:pStyle w:val="230"/>
              <w:spacing w:line="360" w:lineRule="auto"/>
              <w:ind w:firstLine="0" w:firstLineChars="0"/>
              <w:rPr>
                <w:rFonts w:hint="eastAsia" w:ascii="仿宋" w:hAnsi="仿宋" w:eastAsia="仿宋" w:cs="仿宋"/>
                <w:b w:val="0"/>
                <w:bCs/>
                <w:color w:val="000000"/>
                <w:kern w:val="0"/>
                <w:sz w:val="30"/>
                <w:szCs w:val="30"/>
              </w:rPr>
            </w:pPr>
            <w:r>
              <w:rPr>
                <w:rFonts w:hint="eastAsia" w:ascii="仿宋" w:hAnsi="仿宋" w:eastAsia="仿宋" w:cs="仿宋"/>
                <w:b w:val="0"/>
                <w:bCs/>
                <w:color w:val="000000"/>
                <w:kern w:val="0"/>
                <w:sz w:val="30"/>
                <w:szCs w:val="30"/>
              </w:rPr>
              <w:t>温州银行股份有限公司鹿城分行</w:t>
            </w:r>
          </w:p>
        </w:tc>
        <w:tc>
          <w:tcPr>
            <w:tcW w:w="3258" w:type="dxa"/>
            <w:gridSpan w:val="2"/>
            <w:noWrap w:val="0"/>
            <w:vAlign w:val="top"/>
          </w:tcPr>
          <w:p>
            <w:pPr>
              <w:pStyle w:val="230"/>
              <w:spacing w:line="360" w:lineRule="auto"/>
              <w:ind w:firstLine="0" w:firstLineChars="0"/>
              <w:rPr>
                <w:rFonts w:hint="eastAsia" w:ascii="仿宋" w:hAnsi="仿宋" w:eastAsia="仿宋" w:cs="仿宋"/>
                <w:b w:val="0"/>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中国工商银行股份有限公司温州分行</w:t>
            </w:r>
          </w:p>
        </w:tc>
        <w:tc>
          <w:tcPr>
            <w:tcW w:w="3258" w:type="dxa"/>
            <w:gridSpan w:val="2"/>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204" w:type="dxa"/>
            <w:gridSpan w:val="4"/>
            <w:noWrap w:val="0"/>
            <w:vAlign w:val="top"/>
          </w:tcPr>
          <w:p>
            <w:pP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中国建设银行股份有限公司温州分行</w:t>
            </w:r>
          </w:p>
        </w:tc>
        <w:tc>
          <w:tcPr>
            <w:tcW w:w="3258" w:type="dxa"/>
            <w:gridSpan w:val="2"/>
            <w:noWrap w:val="0"/>
            <w:vAlign w:val="top"/>
          </w:tcPr>
          <w:p>
            <w:pPr>
              <w:rPr>
                <w:rFonts w:hint="eastAsia" w:ascii="仿宋" w:hAnsi="仿宋" w:eastAsia="仿宋" w:cs="仿宋"/>
                <w:b w:val="0"/>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中国邮政储蓄银行股份有限公司温州市分行</w:t>
            </w:r>
          </w:p>
        </w:tc>
        <w:tc>
          <w:tcPr>
            <w:tcW w:w="3258" w:type="dxa"/>
            <w:gridSpan w:val="2"/>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中国民生银行股份有限公司温州分行</w:t>
            </w:r>
          </w:p>
        </w:tc>
        <w:tc>
          <w:tcPr>
            <w:tcW w:w="3258" w:type="dxa"/>
            <w:gridSpan w:val="2"/>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宁波银行股份有限公司温州分行</w:t>
            </w:r>
          </w:p>
        </w:tc>
        <w:tc>
          <w:tcPr>
            <w:tcW w:w="3258" w:type="dxa"/>
            <w:gridSpan w:val="2"/>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杭州银行股份有限公司温州分行</w:t>
            </w:r>
          </w:p>
        </w:tc>
        <w:tc>
          <w:tcPr>
            <w:tcW w:w="3258" w:type="dxa"/>
            <w:gridSpan w:val="2"/>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招商银行股份有限公司温州分行</w:t>
            </w:r>
          </w:p>
        </w:tc>
        <w:tc>
          <w:tcPr>
            <w:tcW w:w="3258" w:type="dxa"/>
            <w:gridSpan w:val="2"/>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兴业银行股份有限公司温州分行</w:t>
            </w:r>
          </w:p>
        </w:tc>
        <w:tc>
          <w:tcPr>
            <w:tcW w:w="3258" w:type="dxa"/>
            <w:gridSpan w:val="2"/>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交通银行股份有限公司温州分行</w:t>
            </w:r>
          </w:p>
        </w:tc>
        <w:tc>
          <w:tcPr>
            <w:tcW w:w="3258" w:type="dxa"/>
            <w:gridSpan w:val="2"/>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204" w:type="dxa"/>
            <w:gridSpan w:val="4"/>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上海浦东发展银行股份有限公司温州分行</w:t>
            </w:r>
          </w:p>
        </w:tc>
        <w:tc>
          <w:tcPr>
            <w:tcW w:w="3258" w:type="dxa"/>
            <w:gridSpan w:val="2"/>
            <w:noWrap w:val="0"/>
            <w:vAlign w:val="top"/>
          </w:tcPr>
          <w:p>
            <w:pPr>
              <w:pStyle w:val="230"/>
              <w:spacing w:line="360" w:lineRule="auto"/>
              <w:ind w:firstLine="0" w:firstLineChars="0"/>
              <w:rPr>
                <w:rFonts w:hint="eastAsia" w:ascii="仿宋" w:hAnsi="仿宋" w:eastAsia="仿宋" w:cs="仿宋"/>
                <w:b w:val="0"/>
                <w:bCs/>
                <w:color w:val="000000"/>
                <w:kern w:val="0"/>
                <w:sz w:val="28"/>
                <w:szCs w:val="28"/>
              </w:rPr>
            </w:pPr>
          </w:p>
        </w:tc>
      </w:tr>
    </w:tbl>
    <w:p>
      <w:pPr>
        <w:rPr>
          <w:rFonts w:hint="eastAsia" w:ascii="仿宋" w:hAnsi="仿宋" w:eastAsia="仿宋" w:cs="仿宋"/>
          <w:b w:val="0"/>
          <w:bCs/>
          <w:sz w:val="24"/>
          <w:szCs w:val="24"/>
        </w:rPr>
      </w:pPr>
      <w:r>
        <w:rPr>
          <w:rFonts w:hint="eastAsia" w:ascii="仿宋" w:hAnsi="仿宋" w:eastAsia="仿宋" w:cs="仿宋"/>
          <w:b w:val="0"/>
          <w:bCs/>
          <w:sz w:val="24"/>
          <w:szCs w:val="24"/>
        </w:rPr>
        <w:t>注：1、本表填写对象为注册地在温州市域内的供应商。</w:t>
      </w:r>
    </w:p>
    <w:p>
      <w:pPr>
        <w:ind w:firstLine="480" w:firstLineChars="200"/>
        <w:rPr>
          <w:rFonts w:hint="eastAsia" w:ascii="仿宋" w:hAnsi="仿宋" w:eastAsia="仿宋" w:cs="仿宋"/>
          <w:sz w:val="24"/>
          <w:szCs w:val="24"/>
        </w:rPr>
      </w:pPr>
      <w:r>
        <w:rPr>
          <w:rFonts w:hint="eastAsia" w:ascii="仿宋" w:hAnsi="仿宋" w:eastAsia="仿宋" w:cs="仿宋"/>
          <w:b w:val="0"/>
          <w:bCs/>
          <w:sz w:val="24"/>
          <w:szCs w:val="24"/>
        </w:rPr>
        <w:t>2、财政部门根据企业自行选择，将本表及企业相关信息推送至相对应的融资意向银行经办人。</w:t>
      </w:r>
    </w:p>
    <w:p>
      <w:pPr>
        <w:pStyle w:val="40"/>
        <w:jc w:val="center"/>
        <w:rPr>
          <w:rFonts w:hint="eastAsia" w:ascii="仿宋" w:hAnsi="仿宋" w:eastAsia="仿宋" w:cs="仿宋"/>
        </w:rPr>
        <w:sectPr>
          <w:headerReference r:id="rId10" w:type="default"/>
          <w:footerReference r:id="rId11" w:type="default"/>
          <w:pgSz w:w="11907" w:h="16840"/>
          <w:pgMar w:top="1247" w:right="1281" w:bottom="1440" w:left="1287" w:header="624" w:footer="992" w:gutter="0"/>
          <w:pgBorders w:offsetFrom="page">
            <w:top w:val="none" w:sz="0" w:space="0"/>
            <w:left w:val="none" w:sz="0" w:space="0"/>
            <w:bottom w:val="none" w:sz="0" w:space="0"/>
            <w:right w:val="none" w:sz="0" w:space="0"/>
          </w:pgBorders>
          <w:pgNumType w:fmt="decimal"/>
          <w:cols w:space="720" w:num="1"/>
          <w:titlePg/>
          <w:docGrid w:linePitch="287" w:charSpace="0"/>
        </w:sect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7"/>
        <w:gridCol w:w="5497"/>
        <w:gridCol w:w="155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noWrap w:val="0"/>
            <w:vAlign w:val="top"/>
          </w:tcPr>
          <w:p>
            <w:pPr>
              <w:jc w:val="center"/>
              <w:rPr>
                <w:b w:val="0"/>
                <w:bCs/>
                <w:sz w:val="28"/>
                <w:szCs w:val="28"/>
              </w:rPr>
            </w:pPr>
            <w:r>
              <w:rPr>
                <w:rFonts w:hint="eastAsia" w:ascii="微软雅黑" w:hAnsi="微软雅黑" w:eastAsia="微软雅黑"/>
                <w:b w:val="0"/>
                <w:bCs/>
                <w:color w:val="333333"/>
                <w:sz w:val="33"/>
                <w:szCs w:val="33"/>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277" w:type="dxa"/>
            <w:noWrap w:val="0"/>
            <w:vAlign w:val="center"/>
          </w:tcPr>
          <w:p>
            <w:pPr>
              <w:pStyle w:val="230"/>
              <w:spacing w:line="240" w:lineRule="auto"/>
              <w:ind w:firstLine="0" w:firstLineChars="0"/>
              <w:jc w:val="center"/>
              <w:rPr>
                <w:rFonts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银行名称</w:t>
            </w:r>
          </w:p>
        </w:tc>
        <w:tc>
          <w:tcPr>
            <w:tcW w:w="5497" w:type="dxa"/>
            <w:noWrap w:val="0"/>
            <w:vAlign w:val="center"/>
          </w:tcPr>
          <w:p>
            <w:pPr>
              <w:pStyle w:val="230"/>
              <w:spacing w:line="240" w:lineRule="auto"/>
              <w:ind w:firstLine="0" w:firstLineChars="0"/>
              <w:jc w:val="center"/>
              <w:rPr>
                <w:rFonts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产品特点（不超过120字）</w:t>
            </w:r>
          </w:p>
        </w:tc>
        <w:tc>
          <w:tcPr>
            <w:tcW w:w="1559" w:type="dxa"/>
            <w:noWrap w:val="0"/>
            <w:vAlign w:val="center"/>
          </w:tcPr>
          <w:p>
            <w:pPr>
              <w:pStyle w:val="230"/>
              <w:spacing w:line="240" w:lineRule="auto"/>
              <w:ind w:firstLine="0" w:firstLineChars="0"/>
              <w:jc w:val="center"/>
              <w:rPr>
                <w:rFonts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经办人</w:t>
            </w:r>
          </w:p>
        </w:tc>
        <w:tc>
          <w:tcPr>
            <w:tcW w:w="2841" w:type="dxa"/>
            <w:noWrap w:val="0"/>
            <w:vAlign w:val="center"/>
          </w:tcPr>
          <w:p>
            <w:pPr>
              <w:spacing w:line="240" w:lineRule="auto"/>
              <w:jc w:val="center"/>
              <w:rPr>
                <w:rFonts w:ascii="宋体" w:hAnsi="宋体" w:cs="宋体"/>
                <w:b w:val="0"/>
                <w:bCs/>
                <w:color w:val="000000"/>
                <w:kern w:val="0"/>
                <w:sz w:val="28"/>
                <w:szCs w:val="28"/>
              </w:rPr>
            </w:pPr>
            <w:r>
              <w:rPr>
                <w:rFonts w:hint="eastAsia" w:ascii="宋体" w:hAnsi="宋体" w:cs="宋体"/>
                <w:b w:val="0"/>
                <w:bCs/>
                <w:color w:val="000000"/>
                <w:kern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30"/>
              <w:spacing w:line="360" w:lineRule="auto"/>
              <w:ind w:firstLine="0" w:firstLineChars="0"/>
              <w:jc w:val="center"/>
              <w:rPr>
                <w:rFonts w:ascii="宋体" w:hAnsi="宋体" w:eastAsia="宋体" w:cs="宋体"/>
                <w:b w:val="0"/>
                <w:bCs/>
                <w:color w:val="000000"/>
                <w:kern w:val="0"/>
                <w:sz w:val="21"/>
              </w:rPr>
            </w:pPr>
            <w:r>
              <w:rPr>
                <w:rFonts w:hint="eastAsia" w:ascii="宋体" w:hAnsi="宋体" w:eastAsia="宋体" w:cs="宋体"/>
                <w:b w:val="0"/>
                <w:bCs/>
                <w:color w:val="000000"/>
                <w:kern w:val="0"/>
                <w:sz w:val="21"/>
              </w:rPr>
              <w:t>中国工商银行股份有限公司温州分行</w:t>
            </w:r>
          </w:p>
        </w:tc>
        <w:tc>
          <w:tcPr>
            <w:tcW w:w="5497" w:type="dxa"/>
            <w:noWrap w:val="0"/>
            <w:vAlign w:val="top"/>
          </w:tcPr>
          <w:p>
            <w:pPr>
              <w:rPr>
                <w:b w:val="0"/>
                <w:bCs/>
              </w:rPr>
            </w:pPr>
            <w:r>
              <w:rPr>
                <w:rFonts w:hint="eastAsia"/>
                <w:b w:val="0"/>
                <w:bCs/>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559" w:type="dxa"/>
            <w:noWrap w:val="0"/>
            <w:vAlign w:val="center"/>
          </w:tcPr>
          <w:p>
            <w:pPr>
              <w:pStyle w:val="230"/>
              <w:spacing w:line="240" w:lineRule="auto"/>
              <w:ind w:firstLine="0" w:firstLineChars="0"/>
              <w:jc w:val="center"/>
              <w:rPr>
                <w:rFonts w:ascii="宋体" w:hAnsi="宋体" w:eastAsia="宋体" w:cs="宋体"/>
                <w:b w:val="0"/>
                <w:bCs/>
                <w:color w:val="000000"/>
                <w:kern w:val="0"/>
                <w:sz w:val="21"/>
                <w:szCs w:val="28"/>
              </w:rPr>
            </w:pPr>
            <w:r>
              <w:rPr>
                <w:rFonts w:hint="eastAsia" w:ascii="宋体" w:hAnsi="宋体" w:eastAsia="宋体" w:cs="宋体"/>
                <w:b w:val="0"/>
                <w:bCs/>
                <w:color w:val="000000"/>
                <w:kern w:val="0"/>
                <w:sz w:val="21"/>
                <w:szCs w:val="28"/>
              </w:rPr>
              <w:t>王经理</w:t>
            </w:r>
          </w:p>
        </w:tc>
        <w:tc>
          <w:tcPr>
            <w:tcW w:w="2841" w:type="dxa"/>
            <w:noWrap w:val="0"/>
            <w:vAlign w:val="center"/>
          </w:tcPr>
          <w:p>
            <w:pPr>
              <w:spacing w:line="240" w:lineRule="auto"/>
              <w:jc w:val="center"/>
              <w:rPr>
                <w:rFonts w:ascii="宋体" w:hAnsi="宋体"/>
                <w:b w:val="0"/>
                <w:bCs/>
                <w:kern w:val="0"/>
              </w:rPr>
            </w:pPr>
            <w:r>
              <w:rPr>
                <w:rFonts w:hint="eastAsia" w:ascii="宋体" w:hAnsi="宋体"/>
                <w:b w:val="0"/>
                <w:bCs/>
                <w:kern w:val="0"/>
              </w:rPr>
              <w:t>0577-88186626</w:t>
            </w:r>
          </w:p>
          <w:p>
            <w:pPr>
              <w:spacing w:line="240" w:lineRule="auto"/>
              <w:jc w:val="center"/>
              <w:rPr>
                <w:rFonts w:ascii="宋体" w:hAnsi="宋体" w:eastAsia="宋体"/>
                <w:b w:val="0"/>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277" w:type="dxa"/>
            <w:noWrap w:val="0"/>
            <w:vAlign w:val="center"/>
          </w:tcPr>
          <w:p>
            <w:pPr>
              <w:jc w:val="center"/>
              <w:rPr>
                <w:b w:val="0"/>
                <w:bCs/>
                <w:color w:val="000000"/>
                <w:szCs w:val="24"/>
              </w:rPr>
            </w:pPr>
            <w:r>
              <w:rPr>
                <w:rFonts w:hint="eastAsia" w:ascii="宋体" w:hAnsi="宋体" w:cs="宋体"/>
                <w:b w:val="0"/>
                <w:bCs/>
                <w:color w:val="000000"/>
                <w:kern w:val="0"/>
                <w:szCs w:val="24"/>
              </w:rPr>
              <w:t>中国建设银行股份有限公司温州分行</w:t>
            </w:r>
          </w:p>
        </w:tc>
        <w:tc>
          <w:tcPr>
            <w:tcW w:w="5497" w:type="dxa"/>
            <w:noWrap w:val="0"/>
            <w:vAlign w:val="top"/>
          </w:tcPr>
          <w:p>
            <w:pPr>
              <w:rPr>
                <w:b w:val="0"/>
                <w:bCs/>
              </w:rPr>
            </w:pPr>
            <w:r>
              <w:rPr>
                <w:rFonts w:hint="eastAsia"/>
                <w:b w:val="0"/>
                <w:bCs/>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559" w:type="dxa"/>
            <w:noWrap w:val="0"/>
            <w:vAlign w:val="center"/>
          </w:tcPr>
          <w:p>
            <w:pPr>
              <w:spacing w:line="240" w:lineRule="auto"/>
              <w:jc w:val="center"/>
              <w:rPr>
                <w:rFonts w:ascii="宋体" w:hAnsi="宋体" w:eastAsia="宋体" w:cs="宋体"/>
                <w:b w:val="0"/>
                <w:bCs/>
                <w:color w:val="000000"/>
                <w:kern w:val="0"/>
                <w:szCs w:val="28"/>
              </w:rPr>
            </w:pPr>
            <w:r>
              <w:rPr>
                <w:rFonts w:hint="eastAsia" w:ascii="宋体" w:hAnsi="宋体" w:eastAsia="宋体" w:cs="宋体"/>
                <w:b w:val="0"/>
                <w:bCs/>
                <w:color w:val="000000"/>
                <w:kern w:val="0"/>
                <w:szCs w:val="28"/>
              </w:rPr>
              <w:t>张经理</w:t>
            </w:r>
          </w:p>
        </w:tc>
        <w:tc>
          <w:tcPr>
            <w:tcW w:w="2841" w:type="dxa"/>
            <w:noWrap w:val="0"/>
            <w:vAlign w:val="center"/>
          </w:tcPr>
          <w:p>
            <w:pPr>
              <w:spacing w:line="240" w:lineRule="auto"/>
              <w:jc w:val="center"/>
              <w:rPr>
                <w:rFonts w:ascii="宋体" w:hAnsi="宋体" w:eastAsia="宋体" w:cs="宋体"/>
                <w:b w:val="0"/>
                <w:bCs/>
                <w:color w:val="000000"/>
                <w:kern w:val="0"/>
                <w:szCs w:val="28"/>
              </w:rPr>
            </w:pPr>
            <w:r>
              <w:rPr>
                <w:rFonts w:hint="eastAsia" w:ascii="宋体" w:hAnsi="宋体" w:eastAsia="宋体" w:cs="宋体"/>
                <w:b w:val="0"/>
                <w:bCs/>
                <w:color w:val="000000"/>
                <w:kern w:val="0"/>
                <w:szCs w:val="28"/>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30"/>
              <w:spacing w:line="360" w:lineRule="auto"/>
              <w:ind w:firstLine="0" w:firstLineChars="0"/>
              <w:jc w:val="center"/>
              <w:rPr>
                <w:rFonts w:ascii="宋体" w:hAnsi="宋体" w:eastAsia="宋体" w:cs="宋体"/>
                <w:b w:val="0"/>
                <w:bCs/>
                <w:color w:val="000000"/>
                <w:kern w:val="0"/>
                <w:sz w:val="21"/>
              </w:rPr>
            </w:pPr>
            <w:r>
              <w:rPr>
                <w:rFonts w:hint="eastAsia" w:ascii="宋体" w:hAnsi="宋体" w:eastAsia="宋体" w:cs="宋体"/>
                <w:b w:val="0"/>
                <w:bCs/>
                <w:color w:val="000000"/>
                <w:kern w:val="0"/>
                <w:sz w:val="21"/>
              </w:rPr>
              <w:t>中国邮政储蓄银行股份有限公司温州市分行</w:t>
            </w:r>
          </w:p>
        </w:tc>
        <w:tc>
          <w:tcPr>
            <w:tcW w:w="5497" w:type="dxa"/>
            <w:noWrap w:val="0"/>
            <w:vAlign w:val="center"/>
          </w:tcPr>
          <w:p>
            <w:pPr>
              <w:rPr>
                <w:b w:val="0"/>
                <w:bCs/>
                <w:szCs w:val="28"/>
              </w:rPr>
            </w:pPr>
            <w:r>
              <w:rPr>
                <w:rFonts w:hint="eastAsia"/>
                <w:b w:val="0"/>
                <w:bCs/>
                <w:szCs w:val="28"/>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559" w:type="dxa"/>
            <w:noWrap w:val="0"/>
            <w:vAlign w:val="center"/>
          </w:tcPr>
          <w:p>
            <w:pPr>
              <w:spacing w:line="240" w:lineRule="auto"/>
              <w:jc w:val="center"/>
              <w:rPr>
                <w:b w:val="0"/>
                <w:bCs/>
                <w:szCs w:val="28"/>
              </w:rPr>
            </w:pPr>
            <w:r>
              <w:rPr>
                <w:rFonts w:hint="eastAsia"/>
                <w:b w:val="0"/>
                <w:bCs/>
                <w:szCs w:val="28"/>
              </w:rPr>
              <w:t>郑经理</w:t>
            </w:r>
          </w:p>
        </w:tc>
        <w:tc>
          <w:tcPr>
            <w:tcW w:w="2841" w:type="dxa"/>
            <w:noWrap w:val="0"/>
            <w:vAlign w:val="center"/>
          </w:tcPr>
          <w:p>
            <w:pPr>
              <w:spacing w:line="240" w:lineRule="auto"/>
              <w:jc w:val="center"/>
              <w:rPr>
                <w:rFonts w:ascii="宋体" w:hAnsi="宋体"/>
                <w:b w:val="0"/>
                <w:bCs/>
                <w:kern w:val="0"/>
              </w:rPr>
            </w:pPr>
            <w:r>
              <w:rPr>
                <w:rFonts w:hint="eastAsia" w:ascii="宋体" w:hAnsi="宋体"/>
                <w:b w:val="0"/>
                <w:bCs/>
                <w:kern w:val="0"/>
              </w:rPr>
              <w:t>0577-88193910</w:t>
            </w:r>
          </w:p>
          <w:p>
            <w:pPr>
              <w:spacing w:line="240" w:lineRule="auto"/>
              <w:jc w:val="center"/>
              <w:rPr>
                <w:rFonts w:ascii="宋体" w:hAnsi="宋体"/>
                <w:b w:val="0"/>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30"/>
              <w:spacing w:line="360" w:lineRule="auto"/>
              <w:ind w:firstLine="0" w:firstLineChars="0"/>
              <w:jc w:val="center"/>
              <w:rPr>
                <w:rFonts w:ascii="宋体" w:hAnsi="宋体" w:eastAsia="宋体" w:cs="宋体"/>
                <w:b w:val="0"/>
                <w:bCs/>
                <w:color w:val="000000"/>
                <w:kern w:val="0"/>
                <w:sz w:val="21"/>
              </w:rPr>
            </w:pPr>
            <w:r>
              <w:rPr>
                <w:rFonts w:hint="eastAsia" w:ascii="宋体" w:hAnsi="宋体" w:eastAsia="宋体" w:cs="宋体"/>
                <w:b w:val="0"/>
                <w:bCs/>
                <w:color w:val="000000"/>
                <w:kern w:val="0"/>
                <w:sz w:val="21"/>
              </w:rPr>
              <w:t>中国民生银行股份有限公司温州分行</w:t>
            </w:r>
          </w:p>
        </w:tc>
        <w:tc>
          <w:tcPr>
            <w:tcW w:w="5497" w:type="dxa"/>
            <w:noWrap w:val="0"/>
            <w:vAlign w:val="top"/>
          </w:tcPr>
          <w:p>
            <w:pPr>
              <w:jc w:val="left"/>
              <w:rPr>
                <w:b w:val="0"/>
                <w:bCs/>
                <w:szCs w:val="28"/>
              </w:rPr>
            </w:pPr>
            <w:r>
              <w:rPr>
                <w:rFonts w:hint="eastAsia" w:ascii="宋体" w:hAnsi="宋体" w:eastAsia="宋体" w:cs="宋体"/>
                <w:b w:val="0"/>
                <w:bCs/>
                <w:color w:val="000000"/>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559" w:type="dxa"/>
            <w:noWrap w:val="0"/>
            <w:vAlign w:val="center"/>
          </w:tcPr>
          <w:p>
            <w:pPr>
              <w:spacing w:line="240" w:lineRule="auto"/>
              <w:jc w:val="center"/>
              <w:rPr>
                <w:b w:val="0"/>
                <w:bCs/>
                <w:szCs w:val="28"/>
              </w:rPr>
            </w:pPr>
            <w:r>
              <w:rPr>
                <w:rFonts w:hint="eastAsia"/>
                <w:b w:val="0"/>
                <w:bCs/>
                <w:szCs w:val="28"/>
              </w:rPr>
              <w:t>项经理</w:t>
            </w:r>
          </w:p>
        </w:tc>
        <w:tc>
          <w:tcPr>
            <w:tcW w:w="2841" w:type="dxa"/>
            <w:noWrap w:val="0"/>
            <w:vAlign w:val="center"/>
          </w:tcPr>
          <w:p>
            <w:pPr>
              <w:spacing w:line="240" w:lineRule="auto"/>
              <w:jc w:val="center"/>
              <w:rPr>
                <w:rFonts w:ascii="宋体" w:hAnsi="宋体"/>
                <w:b w:val="0"/>
                <w:bCs/>
                <w:kern w:val="0"/>
              </w:rPr>
            </w:pPr>
            <w:r>
              <w:rPr>
                <w:rFonts w:hint="eastAsia" w:ascii="宋体" w:hAnsi="宋体"/>
                <w:b w:val="0"/>
                <w:bCs/>
                <w:kern w:val="0"/>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30"/>
              <w:spacing w:line="360" w:lineRule="auto"/>
              <w:ind w:firstLine="0" w:firstLineChars="0"/>
              <w:jc w:val="center"/>
              <w:rPr>
                <w:rFonts w:ascii="宋体" w:hAnsi="宋体" w:eastAsia="宋体" w:cs="宋体"/>
                <w:b w:val="0"/>
                <w:bCs/>
                <w:color w:val="000000"/>
                <w:kern w:val="0"/>
                <w:sz w:val="21"/>
              </w:rPr>
            </w:pPr>
            <w:r>
              <w:rPr>
                <w:rFonts w:hint="eastAsia" w:ascii="宋体" w:hAnsi="宋体" w:eastAsia="宋体" w:cs="宋体"/>
                <w:b w:val="0"/>
                <w:bCs/>
                <w:color w:val="000000"/>
                <w:kern w:val="0"/>
                <w:sz w:val="21"/>
              </w:rPr>
              <w:t>宁波银行股份有限公司温州分行</w:t>
            </w:r>
          </w:p>
        </w:tc>
        <w:tc>
          <w:tcPr>
            <w:tcW w:w="5497" w:type="dxa"/>
            <w:noWrap w:val="0"/>
            <w:vAlign w:val="top"/>
          </w:tcPr>
          <w:p>
            <w:pPr>
              <w:rPr>
                <w:b w:val="0"/>
                <w:bCs/>
                <w:szCs w:val="28"/>
              </w:rPr>
            </w:pPr>
            <w:r>
              <w:rPr>
                <w:rFonts w:ascii="宋体" w:hAnsi="宋体" w:eastAsia="宋体" w:cs="宋体"/>
                <w:b w:val="0"/>
                <w:bCs/>
                <w:color w:val="000000"/>
                <w:kern w:val="0"/>
                <w:szCs w:val="28"/>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hint="eastAsia" w:ascii="宋体" w:hAnsi="宋体" w:cs="宋体"/>
                <w:b w:val="0"/>
                <w:bCs/>
                <w:color w:val="000000"/>
                <w:kern w:val="0"/>
                <w:szCs w:val="28"/>
              </w:rPr>
              <w:t>，最大金额不超过</w:t>
            </w:r>
            <w:r>
              <w:rPr>
                <w:rFonts w:ascii="宋体" w:hAnsi="宋体" w:cs="宋体"/>
                <w:b w:val="0"/>
                <w:bCs/>
                <w:color w:val="000000"/>
                <w:kern w:val="0"/>
                <w:szCs w:val="28"/>
              </w:rPr>
              <w:t>2000</w:t>
            </w:r>
            <w:r>
              <w:rPr>
                <w:rFonts w:hint="eastAsia" w:ascii="宋体" w:hAnsi="宋体" w:cs="宋体"/>
                <w:b w:val="0"/>
                <w:bCs/>
                <w:color w:val="000000"/>
                <w:kern w:val="0"/>
                <w:szCs w:val="28"/>
              </w:rPr>
              <w:t>万元。</w:t>
            </w:r>
          </w:p>
        </w:tc>
        <w:tc>
          <w:tcPr>
            <w:tcW w:w="1559" w:type="dxa"/>
            <w:noWrap w:val="0"/>
            <w:vAlign w:val="center"/>
          </w:tcPr>
          <w:p>
            <w:pPr>
              <w:spacing w:line="240" w:lineRule="auto"/>
              <w:jc w:val="center"/>
              <w:rPr>
                <w:b w:val="0"/>
                <w:bCs/>
                <w:szCs w:val="28"/>
              </w:rPr>
            </w:pPr>
            <w:r>
              <w:rPr>
                <w:rFonts w:hint="eastAsia"/>
                <w:b w:val="0"/>
                <w:bCs/>
                <w:szCs w:val="28"/>
              </w:rPr>
              <w:t>陈经理</w:t>
            </w:r>
          </w:p>
        </w:tc>
        <w:tc>
          <w:tcPr>
            <w:tcW w:w="2841" w:type="dxa"/>
            <w:noWrap w:val="0"/>
            <w:vAlign w:val="center"/>
          </w:tcPr>
          <w:p>
            <w:pPr>
              <w:spacing w:line="240" w:lineRule="auto"/>
              <w:jc w:val="center"/>
              <w:rPr>
                <w:rFonts w:ascii="宋体" w:hAnsi="宋体"/>
                <w:b w:val="0"/>
                <w:bCs/>
                <w:kern w:val="0"/>
              </w:rPr>
            </w:pPr>
            <w:r>
              <w:rPr>
                <w:rFonts w:ascii="宋体" w:hAnsi="宋体"/>
                <w:b w:val="0"/>
                <w:bCs/>
                <w:kern w:val="0"/>
              </w:rPr>
              <w:t>0577－88007377</w:t>
            </w:r>
          </w:p>
          <w:p>
            <w:pPr>
              <w:spacing w:line="240" w:lineRule="auto"/>
              <w:jc w:val="center"/>
              <w:rPr>
                <w:rFonts w:ascii="宋体" w:hAnsi="宋体"/>
                <w:b w:val="0"/>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30"/>
              <w:spacing w:line="360" w:lineRule="auto"/>
              <w:ind w:firstLine="0" w:firstLineChars="0"/>
              <w:jc w:val="center"/>
              <w:rPr>
                <w:rFonts w:ascii="宋体" w:hAnsi="宋体" w:eastAsia="宋体" w:cs="宋体"/>
                <w:b w:val="0"/>
                <w:bCs/>
                <w:color w:val="000000"/>
                <w:kern w:val="0"/>
                <w:sz w:val="21"/>
              </w:rPr>
            </w:pPr>
            <w:r>
              <w:rPr>
                <w:rFonts w:hint="eastAsia" w:ascii="宋体" w:hAnsi="宋体" w:eastAsia="宋体" w:cs="宋体"/>
                <w:b w:val="0"/>
                <w:bCs/>
                <w:color w:val="000000"/>
                <w:kern w:val="0"/>
                <w:sz w:val="21"/>
              </w:rPr>
              <w:t>杭州银行股份有限公司温州分行</w:t>
            </w:r>
          </w:p>
        </w:tc>
        <w:tc>
          <w:tcPr>
            <w:tcW w:w="5497" w:type="dxa"/>
            <w:noWrap w:val="0"/>
            <w:vAlign w:val="top"/>
          </w:tcPr>
          <w:p>
            <w:pPr>
              <w:rPr>
                <w:b w:val="0"/>
                <w:bCs/>
              </w:rPr>
            </w:pPr>
            <w:r>
              <w:rPr>
                <w:b w:val="0"/>
                <w:bCs/>
              </w:rPr>
              <w:t>门槛低：</w:t>
            </w:r>
            <w:r>
              <w:rPr>
                <w:rFonts w:hint="eastAsia"/>
                <w:b w:val="0"/>
                <w:bCs/>
              </w:rPr>
              <w:t>纯</w:t>
            </w:r>
            <w:r>
              <w:rPr>
                <w:b w:val="0"/>
                <w:bCs/>
              </w:rPr>
              <w:t>信用，</w:t>
            </w:r>
            <w:r>
              <w:rPr>
                <w:rFonts w:hint="eastAsia"/>
                <w:b w:val="0"/>
                <w:bCs/>
              </w:rPr>
              <w:t>平台</w:t>
            </w:r>
            <w:r>
              <w:rPr>
                <w:b w:val="0"/>
                <w:bCs/>
              </w:rPr>
              <w:t>注册入库并取得采购合同即可申请</w:t>
            </w:r>
          </w:p>
          <w:p>
            <w:pPr>
              <w:rPr>
                <w:b w:val="0"/>
                <w:bCs/>
              </w:rPr>
            </w:pPr>
            <w:r>
              <w:rPr>
                <w:rFonts w:hint="eastAsia"/>
                <w:b w:val="0"/>
                <w:bCs/>
              </w:rPr>
              <w:t>手续简</w:t>
            </w:r>
            <w:r>
              <w:rPr>
                <w:b w:val="0"/>
                <w:bCs/>
              </w:rPr>
              <w:t>：</w:t>
            </w:r>
            <w:r>
              <w:rPr>
                <w:rFonts w:hint="eastAsia"/>
                <w:b w:val="0"/>
                <w:bCs/>
              </w:rPr>
              <w:t>线上申请</w:t>
            </w:r>
            <w:r>
              <w:rPr>
                <w:b w:val="0"/>
                <w:bCs/>
              </w:rPr>
              <w:t>+</w:t>
            </w:r>
            <w:r>
              <w:rPr>
                <w:rFonts w:hint="eastAsia"/>
                <w:b w:val="0"/>
                <w:bCs/>
              </w:rPr>
              <w:t>线上</w:t>
            </w:r>
            <w:r>
              <w:rPr>
                <w:b w:val="0"/>
                <w:bCs/>
              </w:rPr>
              <w:t>签约，</w:t>
            </w:r>
            <w:r>
              <w:rPr>
                <w:rFonts w:hint="eastAsia"/>
                <w:b w:val="0"/>
                <w:bCs/>
              </w:rPr>
              <w:t>足不</w:t>
            </w:r>
            <w:r>
              <w:rPr>
                <w:b w:val="0"/>
                <w:bCs/>
              </w:rPr>
              <w:t>出</w:t>
            </w:r>
            <w:r>
              <w:rPr>
                <w:rFonts w:hint="eastAsia"/>
                <w:b w:val="0"/>
                <w:bCs/>
              </w:rPr>
              <w:t>户</w:t>
            </w:r>
          </w:p>
          <w:p>
            <w:pPr>
              <w:rPr>
                <w:b w:val="0"/>
                <w:bCs/>
              </w:rPr>
            </w:pPr>
            <w:r>
              <w:rPr>
                <w:rFonts w:hint="eastAsia"/>
                <w:b w:val="0"/>
                <w:bCs/>
              </w:rPr>
              <w:t>利率</w:t>
            </w:r>
            <w:r>
              <w:rPr>
                <w:b w:val="0"/>
                <w:bCs/>
              </w:rPr>
              <w:t>优：</w:t>
            </w:r>
            <w:r>
              <w:rPr>
                <w:rFonts w:hint="eastAsia"/>
                <w:b w:val="0"/>
                <w:bCs/>
              </w:rPr>
              <w:t>按</w:t>
            </w:r>
            <w:r>
              <w:rPr>
                <w:b w:val="0"/>
                <w:bCs/>
              </w:rPr>
              <w:t>优于一般中小企业</w:t>
            </w:r>
            <w:r>
              <w:rPr>
                <w:rFonts w:hint="eastAsia"/>
                <w:b w:val="0"/>
                <w:bCs/>
              </w:rPr>
              <w:t>贷款</w:t>
            </w:r>
            <w:r>
              <w:rPr>
                <w:b w:val="0"/>
                <w:bCs/>
              </w:rPr>
              <w:t>利率执行</w:t>
            </w:r>
          </w:p>
          <w:p>
            <w:pPr>
              <w:rPr>
                <w:b w:val="0"/>
                <w:bCs/>
                <w:szCs w:val="28"/>
              </w:rPr>
            </w:pPr>
            <w:r>
              <w:rPr>
                <w:rFonts w:hint="eastAsia"/>
                <w:b w:val="0"/>
                <w:bCs/>
              </w:rPr>
              <w:t>额度高</w:t>
            </w:r>
            <w:r>
              <w:rPr>
                <w:b w:val="0"/>
                <w:bCs/>
              </w:rPr>
              <w:t>：</w:t>
            </w:r>
            <w:r>
              <w:rPr>
                <w:rFonts w:hint="eastAsia"/>
                <w:b w:val="0"/>
                <w:bCs/>
              </w:rPr>
              <w:t>最高为</w:t>
            </w:r>
            <w:r>
              <w:rPr>
                <w:b w:val="0"/>
                <w:bCs/>
              </w:rPr>
              <w:t>合同金额的80%</w:t>
            </w:r>
          </w:p>
        </w:tc>
        <w:tc>
          <w:tcPr>
            <w:tcW w:w="1559" w:type="dxa"/>
            <w:noWrap w:val="0"/>
            <w:vAlign w:val="center"/>
          </w:tcPr>
          <w:p>
            <w:pPr>
              <w:spacing w:line="240" w:lineRule="auto"/>
              <w:jc w:val="center"/>
              <w:rPr>
                <w:b w:val="0"/>
                <w:bCs/>
                <w:szCs w:val="28"/>
              </w:rPr>
            </w:pPr>
            <w:r>
              <w:rPr>
                <w:b w:val="0"/>
                <w:bCs/>
                <w:szCs w:val="28"/>
              </w:rPr>
              <w:t>叶</w:t>
            </w:r>
            <w:r>
              <w:rPr>
                <w:rFonts w:hint="eastAsia"/>
                <w:b w:val="0"/>
                <w:bCs/>
                <w:szCs w:val="28"/>
              </w:rPr>
              <w:t>经理</w:t>
            </w:r>
          </w:p>
        </w:tc>
        <w:tc>
          <w:tcPr>
            <w:tcW w:w="2841" w:type="dxa"/>
            <w:noWrap w:val="0"/>
            <w:vAlign w:val="center"/>
          </w:tcPr>
          <w:p>
            <w:pPr>
              <w:spacing w:line="240" w:lineRule="auto"/>
              <w:jc w:val="center"/>
              <w:rPr>
                <w:rFonts w:ascii="宋体" w:hAnsi="宋体"/>
                <w:b w:val="0"/>
                <w:bCs/>
                <w:kern w:val="0"/>
              </w:rPr>
            </w:pPr>
            <w:r>
              <w:rPr>
                <w:rFonts w:hint="eastAsia" w:ascii="宋体" w:hAnsi="宋体"/>
                <w:b w:val="0"/>
                <w:bCs/>
                <w:kern w:val="0"/>
              </w:rPr>
              <w:t>0577-</w:t>
            </w:r>
            <w:r>
              <w:rPr>
                <w:rFonts w:ascii="宋体" w:hAnsi="宋体"/>
                <w:b w:val="0"/>
                <w:bCs/>
                <w:kern w:val="0"/>
              </w:rPr>
              <w:t>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30"/>
              <w:spacing w:line="360" w:lineRule="auto"/>
              <w:ind w:firstLine="0" w:firstLineChars="0"/>
              <w:jc w:val="center"/>
              <w:rPr>
                <w:rFonts w:ascii="宋体" w:hAnsi="宋体" w:eastAsia="宋体" w:cs="宋体"/>
                <w:b w:val="0"/>
                <w:bCs/>
                <w:color w:val="000000"/>
                <w:kern w:val="0"/>
                <w:sz w:val="21"/>
              </w:rPr>
            </w:pPr>
            <w:r>
              <w:rPr>
                <w:rFonts w:hint="eastAsia" w:ascii="宋体" w:hAnsi="宋体" w:eastAsia="宋体" w:cs="宋体"/>
                <w:b w:val="0"/>
                <w:bCs/>
                <w:color w:val="000000"/>
                <w:kern w:val="0"/>
                <w:sz w:val="21"/>
              </w:rPr>
              <w:t>招商银行股份有限公司温州分行</w:t>
            </w:r>
          </w:p>
        </w:tc>
        <w:tc>
          <w:tcPr>
            <w:tcW w:w="5497" w:type="dxa"/>
            <w:noWrap w:val="0"/>
            <w:vAlign w:val="top"/>
          </w:tcPr>
          <w:p>
            <w:pPr>
              <w:rPr>
                <w:b w:val="0"/>
                <w:bCs/>
                <w:szCs w:val="28"/>
              </w:rPr>
            </w:pPr>
            <w:r>
              <w:rPr>
                <w:rFonts w:hint="eastAsia"/>
                <w:b w:val="0"/>
                <w:bCs/>
                <w:szCs w:val="28"/>
              </w:rPr>
              <w:t>政采贷是招商银行针对政府采购招投标中标供应商，以政府采购合同项下未来应收账款为第一还款来源的融资业务，无需抵质押物。额度最高可达2</w:t>
            </w:r>
            <w:r>
              <w:rPr>
                <w:b w:val="0"/>
                <w:bCs/>
                <w:szCs w:val="28"/>
              </w:rPr>
              <w:t>000</w:t>
            </w:r>
            <w:r>
              <w:rPr>
                <w:rFonts w:hint="eastAsia"/>
                <w:b w:val="0"/>
                <w:bCs/>
                <w:szCs w:val="28"/>
              </w:rPr>
              <w:t>万，同时可开通自助贷款直通功能，自助贷款额度最高可达1</w:t>
            </w:r>
            <w:r>
              <w:rPr>
                <w:b w:val="0"/>
                <w:bCs/>
                <w:szCs w:val="28"/>
              </w:rPr>
              <w:t>000</w:t>
            </w:r>
            <w:r>
              <w:rPr>
                <w:rFonts w:hint="eastAsia"/>
                <w:b w:val="0"/>
                <w:bCs/>
                <w:szCs w:val="28"/>
              </w:rPr>
              <w:t>万，支持线上申请、随借随还。</w:t>
            </w:r>
          </w:p>
        </w:tc>
        <w:tc>
          <w:tcPr>
            <w:tcW w:w="1559" w:type="dxa"/>
            <w:noWrap w:val="0"/>
            <w:vAlign w:val="center"/>
          </w:tcPr>
          <w:p>
            <w:pPr>
              <w:spacing w:line="240" w:lineRule="auto"/>
              <w:jc w:val="center"/>
              <w:rPr>
                <w:b w:val="0"/>
                <w:bCs/>
                <w:szCs w:val="28"/>
              </w:rPr>
            </w:pPr>
            <w:r>
              <w:rPr>
                <w:rFonts w:hint="eastAsia"/>
                <w:b w:val="0"/>
                <w:bCs/>
                <w:szCs w:val="28"/>
              </w:rPr>
              <w:t>陈经理</w:t>
            </w:r>
          </w:p>
        </w:tc>
        <w:tc>
          <w:tcPr>
            <w:tcW w:w="2841" w:type="dxa"/>
            <w:noWrap w:val="0"/>
            <w:vAlign w:val="center"/>
          </w:tcPr>
          <w:p>
            <w:pPr>
              <w:spacing w:line="240" w:lineRule="auto"/>
              <w:jc w:val="center"/>
              <w:rPr>
                <w:rFonts w:ascii="宋体" w:hAnsi="宋体"/>
                <w:b w:val="0"/>
                <w:bCs/>
                <w:kern w:val="0"/>
              </w:rPr>
            </w:pPr>
            <w:r>
              <w:rPr>
                <w:rFonts w:hint="eastAsia" w:ascii="宋体" w:hAnsi="宋体"/>
                <w:b w:val="0"/>
                <w:bCs/>
                <w:kern w:val="0"/>
              </w:rPr>
              <w:t>0577-8</w:t>
            </w:r>
            <w:r>
              <w:rPr>
                <w:rFonts w:ascii="宋体" w:hAnsi="宋体"/>
                <w:b w:val="0"/>
                <w:bCs/>
                <w:kern w:val="0"/>
              </w:rPr>
              <w:t>8056876</w:t>
            </w:r>
          </w:p>
          <w:p>
            <w:pPr>
              <w:spacing w:line="240" w:lineRule="auto"/>
              <w:jc w:val="center"/>
              <w:rPr>
                <w:rFonts w:ascii="宋体" w:hAnsi="宋体"/>
                <w:b w:val="0"/>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30"/>
              <w:spacing w:line="360" w:lineRule="auto"/>
              <w:ind w:firstLine="0" w:firstLineChars="0"/>
              <w:jc w:val="center"/>
              <w:rPr>
                <w:rFonts w:ascii="宋体" w:hAnsi="宋体" w:eastAsia="宋体" w:cs="宋体"/>
                <w:b w:val="0"/>
                <w:bCs/>
                <w:color w:val="000000"/>
                <w:kern w:val="0"/>
                <w:sz w:val="21"/>
              </w:rPr>
            </w:pPr>
            <w:r>
              <w:rPr>
                <w:rFonts w:hint="eastAsia" w:ascii="宋体" w:hAnsi="宋体" w:eastAsia="宋体" w:cs="宋体"/>
                <w:b w:val="0"/>
                <w:bCs/>
                <w:color w:val="000000"/>
                <w:kern w:val="0"/>
                <w:sz w:val="21"/>
              </w:rPr>
              <w:t>兴业银行股份有限公司温州分行</w:t>
            </w:r>
          </w:p>
        </w:tc>
        <w:tc>
          <w:tcPr>
            <w:tcW w:w="5497" w:type="dxa"/>
            <w:noWrap w:val="0"/>
            <w:vAlign w:val="center"/>
          </w:tcPr>
          <w:p>
            <w:pPr>
              <w:pStyle w:val="230"/>
              <w:spacing w:line="240" w:lineRule="auto"/>
              <w:ind w:firstLine="0" w:firstLineChars="0"/>
              <w:jc w:val="both"/>
              <w:rPr>
                <w:rFonts w:ascii="宋体" w:hAnsi="宋体" w:eastAsia="宋体" w:cs="宋体"/>
                <w:b w:val="0"/>
                <w:bCs/>
                <w:color w:val="000000"/>
                <w:kern w:val="0"/>
                <w:sz w:val="21"/>
              </w:rPr>
            </w:pPr>
            <w:r>
              <w:rPr>
                <w:rFonts w:hint="eastAsia" w:ascii="宋体" w:hAnsi="宋体" w:eastAsia="宋体" w:cs="宋体"/>
                <w:b w:val="0"/>
                <w:bCs/>
                <w:color w:val="000000"/>
                <w:kern w:val="0"/>
                <w:sz w:val="21"/>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559" w:type="dxa"/>
            <w:noWrap w:val="0"/>
            <w:vAlign w:val="center"/>
          </w:tcPr>
          <w:p>
            <w:pPr>
              <w:spacing w:line="240" w:lineRule="auto"/>
              <w:jc w:val="center"/>
              <w:rPr>
                <w:b w:val="0"/>
                <w:bCs/>
                <w:szCs w:val="28"/>
              </w:rPr>
            </w:pPr>
            <w:r>
              <w:rPr>
                <w:rFonts w:hint="eastAsia"/>
                <w:b w:val="0"/>
                <w:bCs/>
                <w:szCs w:val="28"/>
              </w:rPr>
              <w:t>张经理</w:t>
            </w:r>
          </w:p>
          <w:p>
            <w:pPr>
              <w:spacing w:line="240" w:lineRule="auto"/>
              <w:jc w:val="center"/>
              <w:rPr>
                <w:b w:val="0"/>
                <w:bCs/>
                <w:szCs w:val="28"/>
              </w:rPr>
            </w:pPr>
            <w:r>
              <w:rPr>
                <w:rFonts w:hint="eastAsia"/>
                <w:b w:val="0"/>
                <w:bCs/>
                <w:szCs w:val="28"/>
              </w:rPr>
              <w:t>陈经理</w:t>
            </w:r>
          </w:p>
        </w:tc>
        <w:tc>
          <w:tcPr>
            <w:tcW w:w="2841" w:type="dxa"/>
            <w:noWrap w:val="0"/>
            <w:vAlign w:val="center"/>
          </w:tcPr>
          <w:p>
            <w:pPr>
              <w:pStyle w:val="230"/>
              <w:spacing w:line="240" w:lineRule="auto"/>
              <w:ind w:firstLine="0" w:firstLineChars="0"/>
              <w:jc w:val="center"/>
              <w:rPr>
                <w:rFonts w:ascii="宋体" w:hAnsi="宋体" w:eastAsia="宋体" w:cs="Times New Roman"/>
                <w:b w:val="0"/>
                <w:bCs/>
                <w:kern w:val="0"/>
                <w:sz w:val="21"/>
                <w:szCs w:val="22"/>
              </w:rPr>
            </w:pPr>
            <w:r>
              <w:rPr>
                <w:rFonts w:hint="eastAsia" w:ascii="宋体" w:hAnsi="宋体" w:eastAsia="宋体" w:cs="Times New Roman"/>
                <w:b w:val="0"/>
                <w:bCs/>
                <w:kern w:val="0"/>
                <w:sz w:val="21"/>
                <w:szCs w:val="22"/>
              </w:rPr>
              <w:t>0577-</w:t>
            </w:r>
            <w:r>
              <w:rPr>
                <w:rFonts w:ascii="宋体" w:hAnsi="宋体" w:eastAsia="宋体" w:cs="Times New Roman"/>
                <w:b w:val="0"/>
                <w:bCs/>
                <w:kern w:val="0"/>
                <w:sz w:val="21"/>
                <w:szCs w:val="22"/>
              </w:rPr>
              <w:t>88369368</w:t>
            </w:r>
            <w:r>
              <w:rPr>
                <w:rFonts w:hint="eastAsia" w:ascii="宋体" w:hAnsi="宋体" w:eastAsia="宋体" w:cs="Times New Roman"/>
                <w:b w:val="0"/>
                <w:bCs/>
                <w:kern w:val="0"/>
                <w:sz w:val="21"/>
                <w:szCs w:val="22"/>
              </w:rPr>
              <w:t>/13857713118</w:t>
            </w:r>
          </w:p>
          <w:p>
            <w:pPr>
              <w:pStyle w:val="230"/>
              <w:spacing w:line="240" w:lineRule="auto"/>
              <w:ind w:firstLine="0" w:firstLineChars="0"/>
              <w:jc w:val="center"/>
              <w:rPr>
                <w:rFonts w:ascii="宋体" w:hAnsi="宋体" w:eastAsia="宋体" w:cs="Times New Roman"/>
                <w:b w:val="0"/>
                <w:bCs/>
                <w:kern w:val="0"/>
                <w:sz w:val="21"/>
                <w:szCs w:val="22"/>
              </w:rPr>
            </w:pPr>
            <w:r>
              <w:rPr>
                <w:rFonts w:hint="eastAsia" w:ascii="宋体" w:hAnsi="宋体" w:eastAsia="宋体" w:cs="Times New Roman"/>
                <w:b w:val="0"/>
                <w:bCs/>
                <w:kern w:val="0"/>
                <w:sz w:val="21"/>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30"/>
              <w:spacing w:line="360" w:lineRule="auto"/>
              <w:ind w:firstLine="0" w:firstLineChars="0"/>
              <w:jc w:val="center"/>
              <w:rPr>
                <w:rFonts w:ascii="宋体" w:hAnsi="宋体" w:eastAsia="宋体" w:cs="宋体"/>
                <w:b w:val="0"/>
                <w:bCs/>
                <w:color w:val="000000"/>
                <w:kern w:val="0"/>
                <w:sz w:val="21"/>
              </w:rPr>
            </w:pPr>
            <w:r>
              <w:rPr>
                <w:rFonts w:hint="eastAsia" w:ascii="宋体" w:hAnsi="宋体" w:eastAsia="宋体" w:cs="宋体"/>
                <w:b w:val="0"/>
                <w:bCs/>
                <w:color w:val="000000"/>
                <w:kern w:val="0"/>
                <w:sz w:val="21"/>
              </w:rPr>
              <w:t>温州银行股份有限公司温州分行</w:t>
            </w:r>
          </w:p>
        </w:tc>
        <w:tc>
          <w:tcPr>
            <w:tcW w:w="5497" w:type="dxa"/>
            <w:noWrap w:val="0"/>
            <w:vAlign w:val="top"/>
          </w:tcPr>
          <w:p>
            <w:pPr>
              <w:rPr>
                <w:rFonts w:ascii="宋体" w:hAnsi="宋体" w:cs="宋体"/>
                <w:b w:val="0"/>
                <w:bCs/>
                <w:color w:val="000000"/>
                <w:kern w:val="0"/>
                <w:szCs w:val="24"/>
              </w:rPr>
            </w:pPr>
            <w:r>
              <w:rPr>
                <w:rFonts w:hint="eastAsia" w:ascii="宋体" w:hAnsi="宋体" w:cs="宋体"/>
                <w:b w:val="0"/>
                <w:bCs/>
                <w:color w:val="000000"/>
                <w:kern w:val="0"/>
                <w:szCs w:val="24"/>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559" w:type="dxa"/>
            <w:noWrap w:val="0"/>
            <w:vAlign w:val="center"/>
          </w:tcPr>
          <w:p>
            <w:pPr>
              <w:spacing w:line="240" w:lineRule="auto"/>
              <w:jc w:val="center"/>
              <w:rPr>
                <w:rFonts w:ascii="宋体" w:hAnsi="宋体" w:cs="宋体"/>
                <w:b w:val="0"/>
                <w:bCs/>
                <w:color w:val="000000"/>
                <w:kern w:val="0"/>
                <w:szCs w:val="24"/>
              </w:rPr>
            </w:pPr>
            <w:r>
              <w:rPr>
                <w:rFonts w:hint="eastAsia" w:ascii="宋体" w:hAnsi="宋体" w:cs="宋体"/>
                <w:b w:val="0"/>
                <w:bCs/>
                <w:color w:val="000000"/>
                <w:kern w:val="0"/>
                <w:szCs w:val="24"/>
              </w:rPr>
              <w:t>陈经理</w:t>
            </w:r>
          </w:p>
        </w:tc>
        <w:tc>
          <w:tcPr>
            <w:tcW w:w="2841" w:type="dxa"/>
            <w:noWrap w:val="0"/>
            <w:vAlign w:val="center"/>
          </w:tcPr>
          <w:p>
            <w:pPr>
              <w:spacing w:line="240" w:lineRule="auto"/>
              <w:jc w:val="center"/>
              <w:rPr>
                <w:rFonts w:ascii="宋体" w:hAnsi="宋体"/>
                <w:b w:val="0"/>
                <w:bCs/>
                <w:kern w:val="0"/>
              </w:rPr>
            </w:pPr>
            <w:r>
              <w:rPr>
                <w:rFonts w:hint="eastAsia" w:ascii="宋体" w:hAnsi="宋体"/>
                <w:b w:val="0"/>
                <w:bCs/>
                <w:kern w:val="0"/>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30"/>
              <w:spacing w:line="360" w:lineRule="auto"/>
              <w:ind w:firstLine="0" w:firstLineChars="0"/>
              <w:jc w:val="center"/>
              <w:rPr>
                <w:rFonts w:ascii="宋体" w:hAnsi="宋体" w:eastAsia="宋体" w:cs="宋体"/>
                <w:b w:val="0"/>
                <w:bCs/>
                <w:color w:val="000000"/>
                <w:kern w:val="0"/>
                <w:sz w:val="21"/>
              </w:rPr>
            </w:pPr>
            <w:r>
              <w:rPr>
                <w:rFonts w:hint="eastAsia" w:ascii="宋体" w:hAnsi="宋体" w:eastAsia="宋体" w:cs="宋体"/>
                <w:b w:val="0"/>
                <w:bCs/>
                <w:color w:val="000000"/>
                <w:kern w:val="0"/>
                <w:sz w:val="21"/>
              </w:rPr>
              <w:t>温州银行股份有限公司鹿城分行</w:t>
            </w:r>
          </w:p>
        </w:tc>
        <w:tc>
          <w:tcPr>
            <w:tcW w:w="5497" w:type="dxa"/>
            <w:noWrap w:val="0"/>
            <w:vAlign w:val="top"/>
          </w:tcPr>
          <w:p>
            <w:pPr>
              <w:rPr>
                <w:b w:val="0"/>
                <w:bCs/>
                <w:szCs w:val="28"/>
              </w:rPr>
            </w:pPr>
            <w:r>
              <w:rPr>
                <w:rFonts w:hint="eastAsia"/>
                <w:b w:val="0"/>
                <w:bCs/>
                <w:szCs w:val="28"/>
              </w:rPr>
              <w:t>政采</w:t>
            </w:r>
            <w:r>
              <w:rPr>
                <w:b w:val="0"/>
                <w:bCs/>
                <w:szCs w:val="28"/>
              </w:rPr>
              <w:t>订单贷：</w:t>
            </w:r>
            <w:r>
              <w:rPr>
                <w:rFonts w:hint="eastAsia"/>
                <w:b w:val="0"/>
                <w:bCs/>
                <w:szCs w:val="28"/>
              </w:rPr>
              <w:t>1、面向政府采购项目供应商，满足供应商资金周转需求，凭中标通知书即可申请，2、秒知额高，最高可贷500万元，单笔业务金额可贷中标金额的80%，</w:t>
            </w:r>
          </w:p>
          <w:p>
            <w:pPr>
              <w:pStyle w:val="125"/>
              <w:ind w:left="5" w:firstLine="0" w:firstLineChars="0"/>
              <w:rPr>
                <w:b w:val="0"/>
                <w:bCs/>
                <w:szCs w:val="28"/>
              </w:rPr>
            </w:pPr>
            <w:r>
              <w:rPr>
                <w:rFonts w:hint="eastAsia"/>
                <w:b w:val="0"/>
                <w:bCs/>
                <w:szCs w:val="28"/>
              </w:rPr>
              <w:t>最长期限可贷1年。信保贷：1、额度最高可达500万元</w:t>
            </w:r>
          </w:p>
          <w:p>
            <w:pPr>
              <w:rPr>
                <w:b w:val="0"/>
                <w:bCs/>
                <w:szCs w:val="28"/>
              </w:rPr>
            </w:pPr>
            <w:r>
              <w:rPr>
                <w:rFonts w:hint="eastAsia"/>
                <w:b w:val="0"/>
                <w:bCs/>
                <w:szCs w:val="28"/>
              </w:rPr>
              <w:t>2、担保灵活，信用贷款3、贷款年利率至少可享受本单位一般性中小企业信用贷款利率基础上下浮10 %</w:t>
            </w:r>
          </w:p>
        </w:tc>
        <w:tc>
          <w:tcPr>
            <w:tcW w:w="1559" w:type="dxa"/>
            <w:noWrap w:val="0"/>
            <w:vAlign w:val="center"/>
          </w:tcPr>
          <w:p>
            <w:pPr>
              <w:spacing w:line="240" w:lineRule="auto"/>
              <w:jc w:val="center"/>
              <w:rPr>
                <w:rFonts w:ascii="宋体" w:hAnsi="宋体"/>
                <w:b w:val="0"/>
                <w:bCs/>
                <w:kern w:val="0"/>
              </w:rPr>
            </w:pPr>
            <w:r>
              <w:rPr>
                <w:rFonts w:hint="eastAsia" w:ascii="宋体" w:hAnsi="宋体"/>
                <w:b w:val="0"/>
                <w:bCs/>
                <w:kern w:val="0"/>
              </w:rPr>
              <w:t>戴经理</w:t>
            </w:r>
          </w:p>
        </w:tc>
        <w:tc>
          <w:tcPr>
            <w:tcW w:w="2841" w:type="dxa"/>
            <w:noWrap w:val="0"/>
            <w:vAlign w:val="center"/>
          </w:tcPr>
          <w:p>
            <w:pPr>
              <w:spacing w:line="240" w:lineRule="auto"/>
              <w:jc w:val="center"/>
              <w:rPr>
                <w:rFonts w:ascii="宋体" w:hAnsi="宋体"/>
                <w:b w:val="0"/>
                <w:bCs/>
                <w:kern w:val="0"/>
              </w:rPr>
            </w:pPr>
            <w:r>
              <w:rPr>
                <w:rFonts w:hint="eastAsia" w:ascii="宋体" w:hAnsi="宋体"/>
                <w:b w:val="0"/>
                <w:bCs/>
                <w:kern w:val="0"/>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230"/>
              <w:spacing w:line="360" w:lineRule="auto"/>
              <w:ind w:firstLine="0" w:firstLineChars="0"/>
              <w:jc w:val="center"/>
              <w:rPr>
                <w:rFonts w:ascii="宋体" w:hAnsi="宋体" w:eastAsia="宋体" w:cs="宋体"/>
                <w:b w:val="0"/>
                <w:bCs/>
                <w:color w:val="000000"/>
                <w:kern w:val="0"/>
                <w:sz w:val="21"/>
              </w:rPr>
            </w:pPr>
            <w:r>
              <w:rPr>
                <w:rFonts w:hint="eastAsia" w:ascii="宋体" w:hAnsi="宋体" w:eastAsia="宋体" w:cs="宋体"/>
                <w:b w:val="0"/>
                <w:bCs/>
                <w:color w:val="000000"/>
                <w:kern w:val="0"/>
                <w:sz w:val="21"/>
              </w:rPr>
              <w:t>交通银行股份有限公司温州分行</w:t>
            </w:r>
          </w:p>
        </w:tc>
        <w:tc>
          <w:tcPr>
            <w:tcW w:w="5497" w:type="dxa"/>
            <w:noWrap w:val="0"/>
            <w:vAlign w:val="top"/>
          </w:tcPr>
          <w:p>
            <w:pPr>
              <w:autoSpaceDE w:val="0"/>
              <w:autoSpaceDN w:val="0"/>
              <w:adjustRightInd w:val="0"/>
              <w:jc w:val="left"/>
              <w:rPr>
                <w:rFonts w:ascii="宋体" w:hAnsi="宋体" w:cs="宋体"/>
                <w:b w:val="0"/>
                <w:bCs/>
                <w:color w:val="000000"/>
                <w:kern w:val="0"/>
                <w:szCs w:val="24"/>
              </w:rPr>
            </w:pPr>
            <w:r>
              <w:rPr>
                <w:rFonts w:hint="eastAsia" w:ascii="宋体" w:hAnsi="宋体" w:cs="宋体"/>
                <w:b w:val="0"/>
                <w:bCs/>
                <w:color w:val="000000"/>
                <w:kern w:val="0"/>
                <w:szCs w:val="24"/>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559" w:type="dxa"/>
            <w:noWrap w:val="0"/>
            <w:vAlign w:val="center"/>
          </w:tcPr>
          <w:p>
            <w:pPr>
              <w:spacing w:line="240" w:lineRule="auto"/>
              <w:jc w:val="center"/>
              <w:rPr>
                <w:b w:val="0"/>
                <w:bCs/>
                <w:szCs w:val="28"/>
              </w:rPr>
            </w:pPr>
            <w:r>
              <w:rPr>
                <w:rFonts w:hint="eastAsia"/>
                <w:b w:val="0"/>
                <w:bCs/>
                <w:szCs w:val="28"/>
              </w:rPr>
              <w:t>缪经理</w:t>
            </w:r>
          </w:p>
        </w:tc>
        <w:tc>
          <w:tcPr>
            <w:tcW w:w="2841" w:type="dxa"/>
            <w:noWrap w:val="0"/>
            <w:vAlign w:val="center"/>
          </w:tcPr>
          <w:p>
            <w:pPr>
              <w:spacing w:line="240" w:lineRule="auto"/>
              <w:jc w:val="center"/>
              <w:rPr>
                <w:b w:val="0"/>
                <w:bCs/>
                <w:szCs w:val="28"/>
              </w:rPr>
            </w:pPr>
            <w:r>
              <w:rPr>
                <w:rFonts w:hint="eastAsia" w:ascii="宋体" w:hAnsi="宋体"/>
                <w:b w:val="0"/>
                <w:bCs/>
                <w:kern w:val="0"/>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77" w:type="dxa"/>
            <w:noWrap w:val="0"/>
            <w:vAlign w:val="center"/>
          </w:tcPr>
          <w:p>
            <w:pPr>
              <w:pStyle w:val="230"/>
              <w:spacing w:line="360" w:lineRule="auto"/>
              <w:ind w:firstLine="0" w:firstLineChars="0"/>
              <w:jc w:val="center"/>
              <w:rPr>
                <w:rFonts w:ascii="宋体" w:hAnsi="宋体" w:eastAsia="宋体" w:cs="宋体"/>
                <w:b w:val="0"/>
                <w:bCs/>
                <w:color w:val="000000"/>
                <w:kern w:val="0"/>
                <w:sz w:val="21"/>
              </w:rPr>
            </w:pPr>
            <w:r>
              <w:rPr>
                <w:rFonts w:hint="eastAsia" w:ascii="宋体" w:hAnsi="宋体" w:eastAsia="宋体" w:cs="宋体"/>
                <w:b w:val="0"/>
                <w:bCs/>
                <w:color w:val="000000"/>
                <w:kern w:val="0"/>
                <w:sz w:val="21"/>
              </w:rPr>
              <w:t>上海浦东发展银行股份有限公司温州分行</w:t>
            </w:r>
          </w:p>
        </w:tc>
        <w:tc>
          <w:tcPr>
            <w:tcW w:w="5497" w:type="dxa"/>
            <w:noWrap w:val="0"/>
            <w:vAlign w:val="top"/>
          </w:tcPr>
          <w:p>
            <w:pPr>
              <w:jc w:val="left"/>
              <w:rPr>
                <w:rFonts w:ascii="宋体" w:hAnsi="宋体" w:cs="宋体"/>
                <w:b w:val="0"/>
                <w:bCs/>
                <w:color w:val="000000"/>
                <w:kern w:val="0"/>
                <w:szCs w:val="24"/>
              </w:rPr>
            </w:pPr>
            <w:r>
              <w:rPr>
                <w:rFonts w:hint="eastAsia" w:ascii="宋体" w:hAnsi="宋体" w:cs="宋体"/>
                <w:b w:val="0"/>
                <w:bCs/>
                <w:color w:val="000000"/>
                <w:kern w:val="0"/>
                <w:szCs w:val="24"/>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jc w:val="left"/>
              <w:rPr>
                <w:b w:val="0"/>
                <w:bCs/>
                <w:szCs w:val="28"/>
              </w:rPr>
            </w:pPr>
            <w:r>
              <w:rPr>
                <w:rFonts w:hint="eastAsia" w:ascii="宋体" w:hAnsi="宋体" w:cs="宋体"/>
                <w:b w:val="0"/>
                <w:bCs/>
                <w:color w:val="000000"/>
                <w:kern w:val="0"/>
                <w:szCs w:val="24"/>
              </w:rPr>
              <w:t>所需材料：企业基础证件、相关中标文件（中标通知书 、采购合同等）、其他必要文件</w:t>
            </w:r>
          </w:p>
        </w:tc>
        <w:tc>
          <w:tcPr>
            <w:tcW w:w="1559" w:type="dxa"/>
            <w:noWrap w:val="0"/>
            <w:vAlign w:val="center"/>
          </w:tcPr>
          <w:p>
            <w:pPr>
              <w:spacing w:line="240" w:lineRule="auto"/>
              <w:jc w:val="center"/>
              <w:rPr>
                <w:rFonts w:ascii="宋体" w:hAnsi="宋体" w:cs="宋体"/>
                <w:b w:val="0"/>
                <w:bCs/>
                <w:color w:val="000000"/>
                <w:kern w:val="0"/>
                <w:szCs w:val="24"/>
              </w:rPr>
            </w:pPr>
            <w:r>
              <w:rPr>
                <w:rFonts w:hint="eastAsia" w:ascii="宋体" w:hAnsi="宋体" w:cs="宋体"/>
                <w:b w:val="0"/>
                <w:bCs/>
                <w:color w:val="000000"/>
                <w:kern w:val="0"/>
                <w:szCs w:val="24"/>
              </w:rPr>
              <w:t>叶经理</w:t>
            </w:r>
          </w:p>
        </w:tc>
        <w:tc>
          <w:tcPr>
            <w:tcW w:w="2841" w:type="dxa"/>
            <w:noWrap w:val="0"/>
            <w:vAlign w:val="center"/>
          </w:tcPr>
          <w:p>
            <w:pPr>
              <w:spacing w:line="240" w:lineRule="auto"/>
              <w:jc w:val="center"/>
              <w:rPr>
                <w:rFonts w:ascii="宋体" w:hAnsi="宋体"/>
                <w:b w:val="0"/>
                <w:bCs/>
                <w:kern w:val="0"/>
              </w:rPr>
            </w:pPr>
            <w:r>
              <w:rPr>
                <w:rFonts w:hint="eastAsia" w:ascii="宋体" w:hAnsi="宋体"/>
                <w:b w:val="0"/>
                <w:bCs/>
                <w:kern w:val="0"/>
              </w:rPr>
              <w:t>0577-55570829</w:t>
            </w:r>
          </w:p>
          <w:p>
            <w:pPr>
              <w:spacing w:line="240" w:lineRule="auto"/>
              <w:jc w:val="center"/>
              <w:rPr>
                <w:rFonts w:ascii="宋体" w:hAnsi="宋体"/>
                <w:b w:val="0"/>
                <w:bCs/>
                <w:kern w:val="0"/>
              </w:rPr>
            </w:pPr>
          </w:p>
        </w:tc>
      </w:tr>
    </w:tbl>
    <w:p>
      <w:pPr>
        <w:autoSpaceDE w:val="0"/>
        <w:autoSpaceDN w:val="0"/>
        <w:adjustRightInd w:val="0"/>
        <w:snapToGrid w:val="0"/>
        <w:spacing w:line="360" w:lineRule="atLeast"/>
        <w:textAlignment w:val="bottom"/>
        <w:rPr>
          <w:rFonts w:ascii="宋体"/>
          <w:b/>
          <w:sz w:val="22"/>
          <w:szCs w:val="22"/>
        </w:rPr>
      </w:pPr>
    </w:p>
    <w:sectPr>
      <w:footerReference r:id="rId14" w:type="first"/>
      <w:headerReference r:id="rId12" w:type="default"/>
      <w:footerReference r:id="rId13" w:type="default"/>
      <w:pgSz w:w="16838" w:h="11906" w:orient="landscape"/>
      <w:pgMar w:top="1797" w:right="1440" w:bottom="1274"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CS?o｡ﾀ?">
    <w:altName w:val="MS Mincho"/>
    <w:panose1 w:val="00000000000000000000"/>
    <w:charset w:val="80"/>
    <w:family w:val="modern"/>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separate"/>
    </w:r>
    <w:r>
      <w:rPr>
        <w:rStyle w:val="47"/>
      </w:rPr>
      <w:t>170</w: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separate"/>
    </w:r>
    <w:r>
      <w:rPr>
        <w:rStyle w:val="47"/>
      </w:rPr>
      <w:t>20</w: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Fonts w:ascii="宋体"/>
      </w:rPr>
    </w:pPr>
    <w:r>
      <w:rPr>
        <w:rFonts w:ascii="宋体"/>
      </w:rPr>
      <w:fldChar w:fldCharType="begin"/>
    </w:r>
    <w:r>
      <w:rPr>
        <w:rStyle w:val="47"/>
        <w:rFonts w:ascii="宋体"/>
      </w:rPr>
      <w:instrText xml:space="preserve">PAGE  </w:instrText>
    </w:r>
    <w:r>
      <w:rPr>
        <w:rFonts w:ascii="宋体"/>
      </w:rPr>
      <w:fldChar w:fldCharType="separate"/>
    </w:r>
    <w:r>
      <w:rPr>
        <w:rStyle w:val="47"/>
        <w:rFonts w:ascii="宋体"/>
      </w:rPr>
      <w:t>82</w:t>
    </w:r>
    <w:r>
      <w:rPr>
        <w:rFonts w:ascii="宋体"/>
      </w:rPr>
      <w:fldChar w:fldCharType="end"/>
    </w:r>
  </w:p>
  <w:p>
    <w:pPr>
      <w:pStyle w:val="28"/>
      <w:ind w:right="720"/>
      <w:rPr>
        <w:rFonts w:ascii="宋体"/>
      </w:rPr>
    </w:pPr>
    <w:r>
      <w:rPr>
        <w:rStyle w:val="47"/>
        <w:rFonts w:hint="eastAsia"/>
      </w:rPr>
      <w:t xml:space="preserve">                                                             </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end"/>
    </w:r>
  </w:p>
  <w:p>
    <w:pPr>
      <w:pStyle w:val="2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5220"/>
        <w:tab w:val="clear" w:pos="4153"/>
        <w:tab w:val="clear" w:pos="8306"/>
      </w:tabs>
      <w:ind w:right="108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44</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fISs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ip8hKyQEAAJkDAAAOAAAAAAAAAAEAIAAAAB4BAABkcnMvZTJvRG9j&#10;LnhtbFBLBQYAAAAABgAGAFkBAABZBQAAAAA=&#10;">
              <v:fill on="f" focussize="0,0"/>
              <v:stroke on="f"/>
              <v:imagedata o:title=""/>
              <o:lock v:ext="edit" aspectratio="f"/>
              <v:textbox inset="0mm,0mm,0mm,0mm" style="mso-fit-shape-to-text:t;">
                <w:txbxContent>
                  <w:p>
                    <w:pPr>
                      <w:pStyle w:val="2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44</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2628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wps:spPr>
                    <wps:txbx>
                      <w:txbxContent>
                        <w:p>
                          <w:pPr>
                            <w:pStyle w:val="28"/>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83</w:t>
                          </w:r>
                          <w:r>
                            <w:rPr>
                              <w:kern w:val="0"/>
                              <w:szCs w:val="21"/>
                            </w:rPr>
                            <w:fldChar w:fldCharType="end"/>
                          </w:r>
                          <w:r>
                            <w:rPr>
                              <w:kern w:val="0"/>
                              <w:szCs w:val="21"/>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0.7pt;width:19.5pt;mso-position-horizontal:center;mso-position-horizontal-relative:margin;mso-wrap-style:none;z-index:251659264;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glE0NEAAAADAQAADwAAAAAAAAABACAAAAAiAAAAZHJzL2Rv&#10;d25yZXYueG1sUEsBAhQAFAAAAAgAh07iQHKCQ8LPAQAAlwMAAA4AAAAAAAAAAQAgAAAAIAEAAGRy&#10;cy9lMm9Eb2MueG1sUEsFBgAAAAAGAAYAWQEAAGEFAAAAAA==&#10;">
              <v:fill on="f" focussize="0,0"/>
              <v:stroke on="f"/>
              <v:imagedata o:title=""/>
              <o:lock v:ext="edit" aspectratio="f"/>
              <v:textbox inset="0mm,0mm,0mm,0mm" style="mso-fit-shape-to-text:t;">
                <w:txbxContent>
                  <w:p>
                    <w:pPr>
                      <w:pStyle w:val="28"/>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83</w:t>
                    </w:r>
                    <w:r>
                      <w:rPr>
                        <w:kern w:val="0"/>
                        <w:szCs w:val="21"/>
                      </w:rPr>
                      <w:fldChar w:fldCharType="end"/>
                    </w:r>
                    <w:r>
                      <w:rPr>
                        <w:kern w:val="0"/>
                        <w:szCs w:val="21"/>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7650" cy="2628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wps:spPr>
                    <wps:txbx>
                      <w:txbxContent>
                        <w:p>
                          <w:pPr>
                            <w:pStyle w:val="28"/>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48</w:t>
                          </w:r>
                          <w:r>
                            <w:rPr>
                              <w:kern w:val="0"/>
                              <w:szCs w:val="21"/>
                            </w:rPr>
                            <w:fldChar w:fldCharType="end"/>
                          </w:r>
                          <w:r>
                            <w:rPr>
                              <w:kern w:val="0"/>
                              <w:szCs w:val="21"/>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0.7pt;width:19.5pt;mso-position-horizontal:center;mso-position-horizontal-relative:margin;mso-wrap-style:none;z-index:251660288;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UTQ0QAAAAMBAAAPAAAAAAAAAAEAIAAAACIAAABkcnMvZG93&#10;bnJldi54bWxQSwECFAAUAAAACACHTuJAk7yVLc4BAACXAwAADgAAAAAAAAABACAAAAAgAQAAZHJz&#10;L2Uyb0RvYy54bWxQSwUGAAAAAAYABgBZAQAAYAUAAAAA&#10;">
              <v:fill on="f" focussize="0,0"/>
              <v:stroke on="f"/>
              <v:imagedata o:title=""/>
              <o:lock v:ext="edit" aspectratio="f"/>
              <v:textbox inset="0mm,0mm,0mm,0mm" style="mso-fit-shape-to-text:t;">
                <w:txbxContent>
                  <w:p>
                    <w:pPr>
                      <w:pStyle w:val="28"/>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48</w:t>
                    </w:r>
                    <w:r>
                      <w:rPr>
                        <w:kern w:val="0"/>
                        <w:szCs w:val="21"/>
                      </w:rPr>
                      <w:fldChar w:fldCharType="end"/>
                    </w:r>
                    <w:r>
                      <w:rPr>
                        <w:kern w:val="0"/>
                        <w:szCs w:val="21"/>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_GB2312" w:hAnsi="宋体" w:eastAsia="楷体_GB2312"/>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hint="eastAsia" w:ascii="宋体" w:eastAsia="宋体"/>
        <w:b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101D7"/>
    <w:multiLevelType w:val="singleLevel"/>
    <w:tmpl w:val="816101D7"/>
    <w:lvl w:ilvl="0" w:tentative="0">
      <w:start w:val="1"/>
      <w:numFmt w:val="decimal"/>
      <w:suff w:val="nothing"/>
      <w:lvlText w:val="%1、"/>
      <w:lvlJc w:val="left"/>
    </w:lvl>
  </w:abstractNum>
  <w:abstractNum w:abstractNumId="1">
    <w:nsid w:val="826CFFAF"/>
    <w:multiLevelType w:val="singleLevel"/>
    <w:tmpl w:val="826CFFAF"/>
    <w:lvl w:ilvl="0" w:tentative="0">
      <w:start w:val="5"/>
      <w:numFmt w:val="chineseCounting"/>
      <w:suff w:val="nothing"/>
      <w:lvlText w:val="%1、"/>
      <w:lvlJc w:val="left"/>
      <w:rPr>
        <w:rFonts w:hint="eastAsia"/>
      </w:rPr>
    </w:lvl>
  </w:abstractNum>
  <w:abstractNum w:abstractNumId="2">
    <w:nsid w:val="99BF390D"/>
    <w:multiLevelType w:val="singleLevel"/>
    <w:tmpl w:val="99BF390D"/>
    <w:lvl w:ilvl="0" w:tentative="0">
      <w:start w:val="7"/>
      <w:numFmt w:val="decimal"/>
      <w:suff w:val="nothing"/>
      <w:lvlText w:val="%1、"/>
      <w:lvlJc w:val="left"/>
    </w:lvl>
  </w:abstractNum>
  <w:abstractNum w:abstractNumId="3">
    <w:nsid w:val="B1E3876B"/>
    <w:multiLevelType w:val="singleLevel"/>
    <w:tmpl w:val="B1E3876B"/>
    <w:lvl w:ilvl="0" w:tentative="0">
      <w:start w:val="3"/>
      <w:numFmt w:val="decimal"/>
      <w:suff w:val="nothing"/>
      <w:lvlText w:val="%1、"/>
      <w:lvlJc w:val="left"/>
      <w:rPr>
        <w:rFonts w:hint="default"/>
        <w:b/>
        <w:bCs/>
      </w:rPr>
    </w:lvl>
  </w:abstractNum>
  <w:abstractNum w:abstractNumId="4">
    <w:nsid w:val="BF1C59CB"/>
    <w:multiLevelType w:val="singleLevel"/>
    <w:tmpl w:val="BF1C59CB"/>
    <w:lvl w:ilvl="0" w:tentative="0">
      <w:start w:val="1"/>
      <w:numFmt w:val="decimal"/>
      <w:lvlText w:val="%1."/>
      <w:lvlJc w:val="left"/>
      <w:pPr>
        <w:tabs>
          <w:tab w:val="left" w:pos="312"/>
        </w:tabs>
      </w:pPr>
    </w:lvl>
  </w:abstractNum>
  <w:abstractNum w:abstractNumId="5">
    <w:nsid w:val="CC228B87"/>
    <w:multiLevelType w:val="singleLevel"/>
    <w:tmpl w:val="CC228B87"/>
    <w:lvl w:ilvl="0" w:tentative="0">
      <w:start w:val="13"/>
      <w:numFmt w:val="chineseCounting"/>
      <w:suff w:val="nothing"/>
      <w:lvlText w:val="（%1）"/>
      <w:lvlJc w:val="left"/>
      <w:rPr>
        <w:rFonts w:hint="eastAsia"/>
      </w:rPr>
    </w:lvl>
  </w:abstractNum>
  <w:abstractNum w:abstractNumId="6">
    <w:nsid w:val="F25EB4A1"/>
    <w:multiLevelType w:val="singleLevel"/>
    <w:tmpl w:val="F25EB4A1"/>
    <w:lvl w:ilvl="0" w:tentative="0">
      <w:start w:val="1"/>
      <w:numFmt w:val="decimal"/>
      <w:suff w:val="space"/>
      <w:lvlText w:val="（%1)"/>
      <w:lvlJc w:val="left"/>
    </w:lvl>
  </w:abstractNum>
  <w:abstractNum w:abstractNumId="7">
    <w:nsid w:val="F8EA69D4"/>
    <w:multiLevelType w:val="singleLevel"/>
    <w:tmpl w:val="F8EA69D4"/>
    <w:lvl w:ilvl="0" w:tentative="0">
      <w:start w:val="1"/>
      <w:numFmt w:val="upperLetter"/>
      <w:suff w:val="nothing"/>
      <w:lvlText w:val="%1、"/>
      <w:lvlJc w:val="left"/>
    </w:lvl>
  </w:abstractNum>
  <w:abstractNum w:abstractNumId="8">
    <w:nsid w:val="FAEF7EEC"/>
    <w:multiLevelType w:val="singleLevel"/>
    <w:tmpl w:val="FAEF7EEC"/>
    <w:lvl w:ilvl="0" w:tentative="0">
      <w:start w:val="3"/>
      <w:numFmt w:val="chineseCounting"/>
      <w:suff w:val="nothing"/>
      <w:lvlText w:val="%1、"/>
      <w:lvlJc w:val="left"/>
      <w:rPr>
        <w:rFonts w:hint="eastAsia"/>
      </w:rPr>
    </w:lvl>
  </w:abstractNum>
  <w:abstractNum w:abstractNumId="9">
    <w:nsid w:val="00000008"/>
    <w:multiLevelType w:val="singleLevel"/>
    <w:tmpl w:val="00000008"/>
    <w:lvl w:ilvl="0" w:tentative="0">
      <w:start w:val="1"/>
      <w:numFmt w:val="chineseCounting"/>
      <w:suff w:val="nothing"/>
      <w:lvlText w:val="%1、"/>
      <w:lvlJc w:val="left"/>
    </w:lvl>
  </w:abstractNum>
  <w:abstractNum w:abstractNumId="10">
    <w:nsid w:val="00000009"/>
    <w:multiLevelType w:val="singleLevel"/>
    <w:tmpl w:val="00000009"/>
    <w:lvl w:ilvl="0" w:tentative="0">
      <w:start w:val="3"/>
      <w:numFmt w:val="chineseCounting"/>
      <w:suff w:val="nothing"/>
      <w:lvlText w:val="%1、"/>
      <w:lvlJc w:val="left"/>
    </w:lvl>
  </w:abstractNum>
  <w:abstractNum w:abstractNumId="11">
    <w:nsid w:val="4A2C4BC1"/>
    <w:multiLevelType w:val="singleLevel"/>
    <w:tmpl w:val="4A2C4BC1"/>
    <w:lvl w:ilvl="0" w:tentative="0">
      <w:start w:val="7"/>
      <w:numFmt w:val="japaneseCounting"/>
      <w:lvlText w:val="第%1条"/>
      <w:lvlJc w:val="left"/>
      <w:pPr>
        <w:tabs>
          <w:tab w:val="left" w:pos="1485"/>
        </w:tabs>
        <w:ind w:left="1485" w:hanging="1005"/>
      </w:pPr>
      <w:rPr>
        <w:rFonts w:hint="eastAsia"/>
      </w:rPr>
    </w:lvl>
  </w:abstractNum>
  <w:abstractNum w:abstractNumId="12">
    <w:nsid w:val="7BA23B36"/>
    <w:multiLevelType w:val="singleLevel"/>
    <w:tmpl w:val="7BA23B36"/>
    <w:lvl w:ilvl="0" w:tentative="0">
      <w:start w:val="3"/>
      <w:numFmt w:val="japaneseCounting"/>
      <w:lvlText w:val="第%1条"/>
      <w:lvlJc w:val="left"/>
      <w:pPr>
        <w:tabs>
          <w:tab w:val="left" w:pos="1440"/>
        </w:tabs>
        <w:ind w:left="1440" w:hanging="960"/>
      </w:pPr>
      <w:rPr>
        <w:rFonts w:hint="eastAsia"/>
      </w:rPr>
    </w:lvl>
  </w:abstractNum>
  <w:num w:numId="1">
    <w:abstractNumId w:val="1"/>
  </w:num>
  <w:num w:numId="2">
    <w:abstractNumId w:val="4"/>
  </w:num>
  <w:num w:numId="3">
    <w:abstractNumId w:val="7"/>
  </w:num>
  <w:num w:numId="4">
    <w:abstractNumId w:val="6"/>
  </w:num>
  <w:num w:numId="5">
    <w:abstractNumId w:val="5"/>
  </w:num>
  <w:num w:numId="6">
    <w:abstractNumId w:val="3"/>
  </w:num>
  <w:num w:numId="7">
    <w:abstractNumId w:val="2"/>
  </w:num>
  <w:num w:numId="8">
    <w:abstractNumId w:val="8"/>
  </w:num>
  <w:num w:numId="9">
    <w:abstractNumId w:val="0"/>
  </w:num>
  <w:num w:numId="10">
    <w:abstractNumId w:val="12"/>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0C"/>
    <w:rsid w:val="00000040"/>
    <w:rsid w:val="0000024A"/>
    <w:rsid w:val="0000037D"/>
    <w:rsid w:val="0000052D"/>
    <w:rsid w:val="0000073A"/>
    <w:rsid w:val="00000BEF"/>
    <w:rsid w:val="00001077"/>
    <w:rsid w:val="000010ED"/>
    <w:rsid w:val="0000134C"/>
    <w:rsid w:val="000015D0"/>
    <w:rsid w:val="00001637"/>
    <w:rsid w:val="000023EF"/>
    <w:rsid w:val="00002439"/>
    <w:rsid w:val="0000298A"/>
    <w:rsid w:val="00002ADE"/>
    <w:rsid w:val="00002EBF"/>
    <w:rsid w:val="00002F06"/>
    <w:rsid w:val="00002FBF"/>
    <w:rsid w:val="000030DC"/>
    <w:rsid w:val="00003243"/>
    <w:rsid w:val="00003BD1"/>
    <w:rsid w:val="00003F8F"/>
    <w:rsid w:val="000042D7"/>
    <w:rsid w:val="00004414"/>
    <w:rsid w:val="0000541E"/>
    <w:rsid w:val="0000553B"/>
    <w:rsid w:val="00005B22"/>
    <w:rsid w:val="00005EC4"/>
    <w:rsid w:val="00006C6C"/>
    <w:rsid w:val="0001088D"/>
    <w:rsid w:val="00010A2B"/>
    <w:rsid w:val="00010BDC"/>
    <w:rsid w:val="00011249"/>
    <w:rsid w:val="000112F3"/>
    <w:rsid w:val="00011FFD"/>
    <w:rsid w:val="000120ED"/>
    <w:rsid w:val="00012493"/>
    <w:rsid w:val="00012E8C"/>
    <w:rsid w:val="0001317E"/>
    <w:rsid w:val="00014414"/>
    <w:rsid w:val="00014983"/>
    <w:rsid w:val="00014B2E"/>
    <w:rsid w:val="00014CA4"/>
    <w:rsid w:val="00014E5A"/>
    <w:rsid w:val="000152C6"/>
    <w:rsid w:val="0001556E"/>
    <w:rsid w:val="00015631"/>
    <w:rsid w:val="00015675"/>
    <w:rsid w:val="00015680"/>
    <w:rsid w:val="00015A0B"/>
    <w:rsid w:val="000162ED"/>
    <w:rsid w:val="000170CB"/>
    <w:rsid w:val="00017984"/>
    <w:rsid w:val="00021188"/>
    <w:rsid w:val="00021475"/>
    <w:rsid w:val="0002153A"/>
    <w:rsid w:val="00022766"/>
    <w:rsid w:val="00022B07"/>
    <w:rsid w:val="00022D86"/>
    <w:rsid w:val="00022DBB"/>
    <w:rsid w:val="000231D4"/>
    <w:rsid w:val="0002435F"/>
    <w:rsid w:val="000249AB"/>
    <w:rsid w:val="00024BC4"/>
    <w:rsid w:val="00025A50"/>
    <w:rsid w:val="00025BE2"/>
    <w:rsid w:val="00025C24"/>
    <w:rsid w:val="00025D7D"/>
    <w:rsid w:val="00025DBE"/>
    <w:rsid w:val="00025E08"/>
    <w:rsid w:val="00025E19"/>
    <w:rsid w:val="000262E6"/>
    <w:rsid w:val="00026D69"/>
    <w:rsid w:val="000276A0"/>
    <w:rsid w:val="00027943"/>
    <w:rsid w:val="00027B93"/>
    <w:rsid w:val="000300F6"/>
    <w:rsid w:val="000301E8"/>
    <w:rsid w:val="000303DF"/>
    <w:rsid w:val="0003058E"/>
    <w:rsid w:val="0003074D"/>
    <w:rsid w:val="0003144F"/>
    <w:rsid w:val="00031641"/>
    <w:rsid w:val="00031C96"/>
    <w:rsid w:val="00032638"/>
    <w:rsid w:val="00032678"/>
    <w:rsid w:val="00033293"/>
    <w:rsid w:val="00033A18"/>
    <w:rsid w:val="00033AC1"/>
    <w:rsid w:val="00033AE0"/>
    <w:rsid w:val="00033B5A"/>
    <w:rsid w:val="00033D4E"/>
    <w:rsid w:val="00033D5F"/>
    <w:rsid w:val="000341E3"/>
    <w:rsid w:val="000345C7"/>
    <w:rsid w:val="00034A4E"/>
    <w:rsid w:val="00034B2E"/>
    <w:rsid w:val="0003526A"/>
    <w:rsid w:val="00035AB1"/>
    <w:rsid w:val="00035FC6"/>
    <w:rsid w:val="0003631F"/>
    <w:rsid w:val="00036617"/>
    <w:rsid w:val="00036619"/>
    <w:rsid w:val="00036D01"/>
    <w:rsid w:val="0003750D"/>
    <w:rsid w:val="00037AEE"/>
    <w:rsid w:val="00037F52"/>
    <w:rsid w:val="00040242"/>
    <w:rsid w:val="0004060B"/>
    <w:rsid w:val="00040B24"/>
    <w:rsid w:val="00040D48"/>
    <w:rsid w:val="000410D4"/>
    <w:rsid w:val="00041E11"/>
    <w:rsid w:val="00041EFB"/>
    <w:rsid w:val="00041FF0"/>
    <w:rsid w:val="00042342"/>
    <w:rsid w:val="000427ED"/>
    <w:rsid w:val="00042D04"/>
    <w:rsid w:val="00042FA6"/>
    <w:rsid w:val="0004342F"/>
    <w:rsid w:val="00043AD3"/>
    <w:rsid w:val="0004411A"/>
    <w:rsid w:val="00044314"/>
    <w:rsid w:val="00044495"/>
    <w:rsid w:val="0004451D"/>
    <w:rsid w:val="00044E23"/>
    <w:rsid w:val="000454F1"/>
    <w:rsid w:val="00045AB8"/>
    <w:rsid w:val="00045CF6"/>
    <w:rsid w:val="00046351"/>
    <w:rsid w:val="000463A4"/>
    <w:rsid w:val="00046543"/>
    <w:rsid w:val="000468A3"/>
    <w:rsid w:val="00047232"/>
    <w:rsid w:val="000479A7"/>
    <w:rsid w:val="00047B15"/>
    <w:rsid w:val="00047DC8"/>
    <w:rsid w:val="00047FE1"/>
    <w:rsid w:val="000500C9"/>
    <w:rsid w:val="000502E0"/>
    <w:rsid w:val="00050907"/>
    <w:rsid w:val="00050B3B"/>
    <w:rsid w:val="00050C27"/>
    <w:rsid w:val="0005109C"/>
    <w:rsid w:val="0005135C"/>
    <w:rsid w:val="000519A7"/>
    <w:rsid w:val="00051F0C"/>
    <w:rsid w:val="00052070"/>
    <w:rsid w:val="0005258E"/>
    <w:rsid w:val="00052CBE"/>
    <w:rsid w:val="00052FA5"/>
    <w:rsid w:val="00053275"/>
    <w:rsid w:val="00053E25"/>
    <w:rsid w:val="000540E6"/>
    <w:rsid w:val="00054DD5"/>
    <w:rsid w:val="0005529B"/>
    <w:rsid w:val="0005591F"/>
    <w:rsid w:val="00056160"/>
    <w:rsid w:val="00056840"/>
    <w:rsid w:val="00056B9B"/>
    <w:rsid w:val="00056F9D"/>
    <w:rsid w:val="00057528"/>
    <w:rsid w:val="00057BE2"/>
    <w:rsid w:val="00057E65"/>
    <w:rsid w:val="0006013F"/>
    <w:rsid w:val="00060360"/>
    <w:rsid w:val="00060793"/>
    <w:rsid w:val="00060DB8"/>
    <w:rsid w:val="00061017"/>
    <w:rsid w:val="00062484"/>
    <w:rsid w:val="000627E3"/>
    <w:rsid w:val="00062F17"/>
    <w:rsid w:val="000633B1"/>
    <w:rsid w:val="000633DC"/>
    <w:rsid w:val="000634F8"/>
    <w:rsid w:val="00063B4E"/>
    <w:rsid w:val="00063C82"/>
    <w:rsid w:val="00063E70"/>
    <w:rsid w:val="00064684"/>
    <w:rsid w:val="00064756"/>
    <w:rsid w:val="00064A4B"/>
    <w:rsid w:val="00065908"/>
    <w:rsid w:val="00065DBB"/>
    <w:rsid w:val="0006612C"/>
    <w:rsid w:val="000661E6"/>
    <w:rsid w:val="000663C4"/>
    <w:rsid w:val="000665DB"/>
    <w:rsid w:val="00066AA1"/>
    <w:rsid w:val="00066F13"/>
    <w:rsid w:val="00066F6A"/>
    <w:rsid w:val="00067032"/>
    <w:rsid w:val="0006725F"/>
    <w:rsid w:val="00067766"/>
    <w:rsid w:val="000678D6"/>
    <w:rsid w:val="00067B89"/>
    <w:rsid w:val="00067F9E"/>
    <w:rsid w:val="0007044A"/>
    <w:rsid w:val="000704C9"/>
    <w:rsid w:val="0007093B"/>
    <w:rsid w:val="00071C15"/>
    <w:rsid w:val="00072692"/>
    <w:rsid w:val="00072695"/>
    <w:rsid w:val="00072828"/>
    <w:rsid w:val="00072E3D"/>
    <w:rsid w:val="00072FE4"/>
    <w:rsid w:val="0007342B"/>
    <w:rsid w:val="00073973"/>
    <w:rsid w:val="00073AA9"/>
    <w:rsid w:val="00073BC7"/>
    <w:rsid w:val="00073C11"/>
    <w:rsid w:val="00073CB5"/>
    <w:rsid w:val="00073D70"/>
    <w:rsid w:val="0007469C"/>
    <w:rsid w:val="00074775"/>
    <w:rsid w:val="00074B8E"/>
    <w:rsid w:val="00075404"/>
    <w:rsid w:val="00075407"/>
    <w:rsid w:val="000756D2"/>
    <w:rsid w:val="00075B92"/>
    <w:rsid w:val="00075E17"/>
    <w:rsid w:val="00076C8E"/>
    <w:rsid w:val="00077114"/>
    <w:rsid w:val="00077913"/>
    <w:rsid w:val="00077F08"/>
    <w:rsid w:val="000807A5"/>
    <w:rsid w:val="00080EB8"/>
    <w:rsid w:val="00081A06"/>
    <w:rsid w:val="000829ED"/>
    <w:rsid w:val="00082B0E"/>
    <w:rsid w:val="00082C89"/>
    <w:rsid w:val="00082CAE"/>
    <w:rsid w:val="00082E32"/>
    <w:rsid w:val="00083B67"/>
    <w:rsid w:val="00083BE0"/>
    <w:rsid w:val="00083BE7"/>
    <w:rsid w:val="0008412C"/>
    <w:rsid w:val="00084AA5"/>
    <w:rsid w:val="000851C3"/>
    <w:rsid w:val="00085262"/>
    <w:rsid w:val="000854F6"/>
    <w:rsid w:val="00085813"/>
    <w:rsid w:val="000858C1"/>
    <w:rsid w:val="00085C15"/>
    <w:rsid w:val="0008758C"/>
    <w:rsid w:val="00087606"/>
    <w:rsid w:val="0008798C"/>
    <w:rsid w:val="000901AE"/>
    <w:rsid w:val="00090580"/>
    <w:rsid w:val="00090919"/>
    <w:rsid w:val="00090E5A"/>
    <w:rsid w:val="0009144B"/>
    <w:rsid w:val="0009180A"/>
    <w:rsid w:val="00091C6E"/>
    <w:rsid w:val="0009266D"/>
    <w:rsid w:val="000928A4"/>
    <w:rsid w:val="00092E1D"/>
    <w:rsid w:val="00094355"/>
    <w:rsid w:val="000944A5"/>
    <w:rsid w:val="000946A1"/>
    <w:rsid w:val="000952B8"/>
    <w:rsid w:val="00095C41"/>
    <w:rsid w:val="0009628D"/>
    <w:rsid w:val="00096385"/>
    <w:rsid w:val="000965F6"/>
    <w:rsid w:val="000966D8"/>
    <w:rsid w:val="00096955"/>
    <w:rsid w:val="0009699C"/>
    <w:rsid w:val="00096AD1"/>
    <w:rsid w:val="00096D3A"/>
    <w:rsid w:val="00096D4D"/>
    <w:rsid w:val="00096FBD"/>
    <w:rsid w:val="00097BED"/>
    <w:rsid w:val="000A0137"/>
    <w:rsid w:val="000A07DD"/>
    <w:rsid w:val="000A0E77"/>
    <w:rsid w:val="000A18ED"/>
    <w:rsid w:val="000A19A1"/>
    <w:rsid w:val="000A1C0C"/>
    <w:rsid w:val="000A1EDD"/>
    <w:rsid w:val="000A1F30"/>
    <w:rsid w:val="000A263D"/>
    <w:rsid w:val="000A2A40"/>
    <w:rsid w:val="000A2FD6"/>
    <w:rsid w:val="000A3530"/>
    <w:rsid w:val="000A3877"/>
    <w:rsid w:val="000A39FD"/>
    <w:rsid w:val="000A41DA"/>
    <w:rsid w:val="000A45FD"/>
    <w:rsid w:val="000A4653"/>
    <w:rsid w:val="000A4AC4"/>
    <w:rsid w:val="000A5101"/>
    <w:rsid w:val="000A5190"/>
    <w:rsid w:val="000A5CDB"/>
    <w:rsid w:val="000A6652"/>
    <w:rsid w:val="000A694C"/>
    <w:rsid w:val="000A6E87"/>
    <w:rsid w:val="000A6EBA"/>
    <w:rsid w:val="000A7785"/>
    <w:rsid w:val="000B02DB"/>
    <w:rsid w:val="000B079B"/>
    <w:rsid w:val="000B0A5F"/>
    <w:rsid w:val="000B0E0C"/>
    <w:rsid w:val="000B0EAE"/>
    <w:rsid w:val="000B10BE"/>
    <w:rsid w:val="000B133D"/>
    <w:rsid w:val="000B1626"/>
    <w:rsid w:val="000B1B6E"/>
    <w:rsid w:val="000B1F04"/>
    <w:rsid w:val="000B22CD"/>
    <w:rsid w:val="000B2854"/>
    <w:rsid w:val="000B2C65"/>
    <w:rsid w:val="000B36C8"/>
    <w:rsid w:val="000B3F0E"/>
    <w:rsid w:val="000B40DB"/>
    <w:rsid w:val="000B44E7"/>
    <w:rsid w:val="000B470C"/>
    <w:rsid w:val="000B47A8"/>
    <w:rsid w:val="000B4829"/>
    <w:rsid w:val="000B53B2"/>
    <w:rsid w:val="000B5879"/>
    <w:rsid w:val="000B5F32"/>
    <w:rsid w:val="000B6795"/>
    <w:rsid w:val="000B6F6C"/>
    <w:rsid w:val="000B7674"/>
    <w:rsid w:val="000B7784"/>
    <w:rsid w:val="000B7FA3"/>
    <w:rsid w:val="000C102C"/>
    <w:rsid w:val="000C1161"/>
    <w:rsid w:val="000C1283"/>
    <w:rsid w:val="000C1451"/>
    <w:rsid w:val="000C28C4"/>
    <w:rsid w:val="000C28CA"/>
    <w:rsid w:val="000C33E8"/>
    <w:rsid w:val="000C33F9"/>
    <w:rsid w:val="000C3A3D"/>
    <w:rsid w:val="000C3C85"/>
    <w:rsid w:val="000C3CFC"/>
    <w:rsid w:val="000C3E9E"/>
    <w:rsid w:val="000C4605"/>
    <w:rsid w:val="000C4674"/>
    <w:rsid w:val="000C4692"/>
    <w:rsid w:val="000C46EC"/>
    <w:rsid w:val="000C49BE"/>
    <w:rsid w:val="000C4CC8"/>
    <w:rsid w:val="000C578F"/>
    <w:rsid w:val="000C628C"/>
    <w:rsid w:val="000C64FA"/>
    <w:rsid w:val="000C658F"/>
    <w:rsid w:val="000C6DA6"/>
    <w:rsid w:val="000C7CF0"/>
    <w:rsid w:val="000C7DD9"/>
    <w:rsid w:val="000C7E59"/>
    <w:rsid w:val="000D029E"/>
    <w:rsid w:val="000D058A"/>
    <w:rsid w:val="000D0EB3"/>
    <w:rsid w:val="000D12B4"/>
    <w:rsid w:val="000D158B"/>
    <w:rsid w:val="000D165E"/>
    <w:rsid w:val="000D2BCF"/>
    <w:rsid w:val="000D34A1"/>
    <w:rsid w:val="000D34FC"/>
    <w:rsid w:val="000D3557"/>
    <w:rsid w:val="000D3654"/>
    <w:rsid w:val="000D3B16"/>
    <w:rsid w:val="000D3B45"/>
    <w:rsid w:val="000D3E89"/>
    <w:rsid w:val="000D3E98"/>
    <w:rsid w:val="000D47BE"/>
    <w:rsid w:val="000D4BCF"/>
    <w:rsid w:val="000D5025"/>
    <w:rsid w:val="000D5101"/>
    <w:rsid w:val="000D5590"/>
    <w:rsid w:val="000D59B4"/>
    <w:rsid w:val="000D5D55"/>
    <w:rsid w:val="000D60D6"/>
    <w:rsid w:val="000D653B"/>
    <w:rsid w:val="000D6770"/>
    <w:rsid w:val="000D7404"/>
    <w:rsid w:val="000D7FF7"/>
    <w:rsid w:val="000E0024"/>
    <w:rsid w:val="000E0212"/>
    <w:rsid w:val="000E1A4B"/>
    <w:rsid w:val="000E20F6"/>
    <w:rsid w:val="000E2457"/>
    <w:rsid w:val="000E274B"/>
    <w:rsid w:val="000E2A01"/>
    <w:rsid w:val="000E2AD1"/>
    <w:rsid w:val="000E2C15"/>
    <w:rsid w:val="000E2ECD"/>
    <w:rsid w:val="000E32B2"/>
    <w:rsid w:val="000E3558"/>
    <w:rsid w:val="000E3BF6"/>
    <w:rsid w:val="000E3D70"/>
    <w:rsid w:val="000E449E"/>
    <w:rsid w:val="000E466D"/>
    <w:rsid w:val="000E4D2A"/>
    <w:rsid w:val="000E5545"/>
    <w:rsid w:val="000E5A23"/>
    <w:rsid w:val="000E5EB8"/>
    <w:rsid w:val="000E6614"/>
    <w:rsid w:val="000E6853"/>
    <w:rsid w:val="000E6B95"/>
    <w:rsid w:val="000E6BD2"/>
    <w:rsid w:val="000E6C22"/>
    <w:rsid w:val="000E755C"/>
    <w:rsid w:val="000E780F"/>
    <w:rsid w:val="000E7966"/>
    <w:rsid w:val="000F0035"/>
    <w:rsid w:val="000F0466"/>
    <w:rsid w:val="000F0584"/>
    <w:rsid w:val="000F0761"/>
    <w:rsid w:val="000F0BF0"/>
    <w:rsid w:val="000F159E"/>
    <w:rsid w:val="000F172C"/>
    <w:rsid w:val="000F1A58"/>
    <w:rsid w:val="000F1D2F"/>
    <w:rsid w:val="000F2090"/>
    <w:rsid w:val="000F21BF"/>
    <w:rsid w:val="000F247C"/>
    <w:rsid w:val="000F27EC"/>
    <w:rsid w:val="000F2B53"/>
    <w:rsid w:val="000F2B60"/>
    <w:rsid w:val="000F2D1E"/>
    <w:rsid w:val="000F361B"/>
    <w:rsid w:val="000F383E"/>
    <w:rsid w:val="000F3B41"/>
    <w:rsid w:val="000F4289"/>
    <w:rsid w:val="000F443F"/>
    <w:rsid w:val="000F4996"/>
    <w:rsid w:val="000F4FAA"/>
    <w:rsid w:val="000F50A6"/>
    <w:rsid w:val="000F58D2"/>
    <w:rsid w:val="000F5BB3"/>
    <w:rsid w:val="000F5C91"/>
    <w:rsid w:val="000F637C"/>
    <w:rsid w:val="000F6529"/>
    <w:rsid w:val="000F6937"/>
    <w:rsid w:val="000F7750"/>
    <w:rsid w:val="000F77B6"/>
    <w:rsid w:val="000F7A8B"/>
    <w:rsid w:val="00100301"/>
    <w:rsid w:val="00100568"/>
    <w:rsid w:val="001013D0"/>
    <w:rsid w:val="00101549"/>
    <w:rsid w:val="001019EC"/>
    <w:rsid w:val="00101A84"/>
    <w:rsid w:val="0010220E"/>
    <w:rsid w:val="00103560"/>
    <w:rsid w:val="00103695"/>
    <w:rsid w:val="001036E6"/>
    <w:rsid w:val="00103AC1"/>
    <w:rsid w:val="00103BFE"/>
    <w:rsid w:val="0010489A"/>
    <w:rsid w:val="00105460"/>
    <w:rsid w:val="00106045"/>
    <w:rsid w:val="001060B8"/>
    <w:rsid w:val="00106F14"/>
    <w:rsid w:val="001072AC"/>
    <w:rsid w:val="001076D8"/>
    <w:rsid w:val="00107824"/>
    <w:rsid w:val="00110138"/>
    <w:rsid w:val="001104D2"/>
    <w:rsid w:val="001111F5"/>
    <w:rsid w:val="00111575"/>
    <w:rsid w:val="0011188F"/>
    <w:rsid w:val="00111B87"/>
    <w:rsid w:val="00111C13"/>
    <w:rsid w:val="00112057"/>
    <w:rsid w:val="0011213A"/>
    <w:rsid w:val="001127AB"/>
    <w:rsid w:val="0011319E"/>
    <w:rsid w:val="001134D4"/>
    <w:rsid w:val="0011387E"/>
    <w:rsid w:val="00113D8F"/>
    <w:rsid w:val="00113E23"/>
    <w:rsid w:val="00114341"/>
    <w:rsid w:val="00114875"/>
    <w:rsid w:val="00114BA7"/>
    <w:rsid w:val="00114C93"/>
    <w:rsid w:val="00114CD9"/>
    <w:rsid w:val="00114E5C"/>
    <w:rsid w:val="001150D7"/>
    <w:rsid w:val="0011599B"/>
    <w:rsid w:val="00115D32"/>
    <w:rsid w:val="0011601D"/>
    <w:rsid w:val="00117283"/>
    <w:rsid w:val="00117497"/>
    <w:rsid w:val="001177F5"/>
    <w:rsid w:val="00117855"/>
    <w:rsid w:val="00117D9B"/>
    <w:rsid w:val="00120126"/>
    <w:rsid w:val="00120376"/>
    <w:rsid w:val="00120725"/>
    <w:rsid w:val="00120A16"/>
    <w:rsid w:val="00121016"/>
    <w:rsid w:val="00121434"/>
    <w:rsid w:val="0012173F"/>
    <w:rsid w:val="001218E4"/>
    <w:rsid w:val="00121A6F"/>
    <w:rsid w:val="00121D3A"/>
    <w:rsid w:val="00121D9F"/>
    <w:rsid w:val="001221A6"/>
    <w:rsid w:val="001222FF"/>
    <w:rsid w:val="00122602"/>
    <w:rsid w:val="00122ACC"/>
    <w:rsid w:val="00123C7A"/>
    <w:rsid w:val="001241F2"/>
    <w:rsid w:val="0012423A"/>
    <w:rsid w:val="00124B09"/>
    <w:rsid w:val="001254AD"/>
    <w:rsid w:val="001261D4"/>
    <w:rsid w:val="001263F0"/>
    <w:rsid w:val="001269EA"/>
    <w:rsid w:val="00126B57"/>
    <w:rsid w:val="00126C36"/>
    <w:rsid w:val="00126C8A"/>
    <w:rsid w:val="00126FAA"/>
    <w:rsid w:val="00127129"/>
    <w:rsid w:val="00127485"/>
    <w:rsid w:val="0012751D"/>
    <w:rsid w:val="00127649"/>
    <w:rsid w:val="00127700"/>
    <w:rsid w:val="001278A8"/>
    <w:rsid w:val="00127D95"/>
    <w:rsid w:val="00127DE9"/>
    <w:rsid w:val="00127E0C"/>
    <w:rsid w:val="001301A8"/>
    <w:rsid w:val="001303EB"/>
    <w:rsid w:val="00130808"/>
    <w:rsid w:val="00130E90"/>
    <w:rsid w:val="0013174E"/>
    <w:rsid w:val="00131E6E"/>
    <w:rsid w:val="00131E75"/>
    <w:rsid w:val="00132493"/>
    <w:rsid w:val="00132747"/>
    <w:rsid w:val="001331D0"/>
    <w:rsid w:val="00133802"/>
    <w:rsid w:val="001339B2"/>
    <w:rsid w:val="00134803"/>
    <w:rsid w:val="00134D88"/>
    <w:rsid w:val="00135362"/>
    <w:rsid w:val="00135432"/>
    <w:rsid w:val="001358A1"/>
    <w:rsid w:val="00135B6D"/>
    <w:rsid w:val="00136A3D"/>
    <w:rsid w:val="00136BDD"/>
    <w:rsid w:val="00136C34"/>
    <w:rsid w:val="00136D77"/>
    <w:rsid w:val="0013756D"/>
    <w:rsid w:val="001378C7"/>
    <w:rsid w:val="00137AC4"/>
    <w:rsid w:val="00137C62"/>
    <w:rsid w:val="0014045F"/>
    <w:rsid w:val="0014106B"/>
    <w:rsid w:val="00141228"/>
    <w:rsid w:val="0014137B"/>
    <w:rsid w:val="00141616"/>
    <w:rsid w:val="001424C0"/>
    <w:rsid w:val="00142F41"/>
    <w:rsid w:val="00143439"/>
    <w:rsid w:val="0014343B"/>
    <w:rsid w:val="0014379C"/>
    <w:rsid w:val="00143E5B"/>
    <w:rsid w:val="00144AD9"/>
    <w:rsid w:val="00145444"/>
    <w:rsid w:val="00145695"/>
    <w:rsid w:val="00145B27"/>
    <w:rsid w:val="00145F17"/>
    <w:rsid w:val="001463FF"/>
    <w:rsid w:val="00146B75"/>
    <w:rsid w:val="00146CFC"/>
    <w:rsid w:val="00147170"/>
    <w:rsid w:val="00147282"/>
    <w:rsid w:val="001472AC"/>
    <w:rsid w:val="0014766D"/>
    <w:rsid w:val="00147C2E"/>
    <w:rsid w:val="00150945"/>
    <w:rsid w:val="00151303"/>
    <w:rsid w:val="00151E2A"/>
    <w:rsid w:val="00152397"/>
    <w:rsid w:val="001524B5"/>
    <w:rsid w:val="0015277B"/>
    <w:rsid w:val="001527EB"/>
    <w:rsid w:val="00152E78"/>
    <w:rsid w:val="00153313"/>
    <w:rsid w:val="00153453"/>
    <w:rsid w:val="00153A97"/>
    <w:rsid w:val="00153C65"/>
    <w:rsid w:val="001550A2"/>
    <w:rsid w:val="0015513B"/>
    <w:rsid w:val="00155248"/>
    <w:rsid w:val="001561A0"/>
    <w:rsid w:val="001569EF"/>
    <w:rsid w:val="00156D62"/>
    <w:rsid w:val="00156DE8"/>
    <w:rsid w:val="00157C65"/>
    <w:rsid w:val="00157E2B"/>
    <w:rsid w:val="001609BD"/>
    <w:rsid w:val="00161065"/>
    <w:rsid w:val="0016109D"/>
    <w:rsid w:val="001610A2"/>
    <w:rsid w:val="001612EA"/>
    <w:rsid w:val="00161359"/>
    <w:rsid w:val="00161780"/>
    <w:rsid w:val="00161DA9"/>
    <w:rsid w:val="00161FAD"/>
    <w:rsid w:val="001623FA"/>
    <w:rsid w:val="001636A6"/>
    <w:rsid w:val="00163B0C"/>
    <w:rsid w:val="00163BF5"/>
    <w:rsid w:val="00163F50"/>
    <w:rsid w:val="001648A9"/>
    <w:rsid w:val="00164994"/>
    <w:rsid w:val="00164DD0"/>
    <w:rsid w:val="001652AD"/>
    <w:rsid w:val="00165734"/>
    <w:rsid w:val="00166288"/>
    <w:rsid w:val="001663B1"/>
    <w:rsid w:val="0016646C"/>
    <w:rsid w:val="00166708"/>
    <w:rsid w:val="00166A87"/>
    <w:rsid w:val="00166FFB"/>
    <w:rsid w:val="001670A3"/>
    <w:rsid w:val="00167335"/>
    <w:rsid w:val="001673C2"/>
    <w:rsid w:val="0016775D"/>
    <w:rsid w:val="00167A71"/>
    <w:rsid w:val="00167C05"/>
    <w:rsid w:val="001700A6"/>
    <w:rsid w:val="0017036A"/>
    <w:rsid w:val="00170403"/>
    <w:rsid w:val="00170B22"/>
    <w:rsid w:val="001710CF"/>
    <w:rsid w:val="0017181F"/>
    <w:rsid w:val="001719DD"/>
    <w:rsid w:val="00171C35"/>
    <w:rsid w:val="00171F34"/>
    <w:rsid w:val="001720BD"/>
    <w:rsid w:val="00172536"/>
    <w:rsid w:val="0017358B"/>
    <w:rsid w:val="0017433B"/>
    <w:rsid w:val="001748C1"/>
    <w:rsid w:val="001749B4"/>
    <w:rsid w:val="00174F09"/>
    <w:rsid w:val="001753B2"/>
    <w:rsid w:val="001756AE"/>
    <w:rsid w:val="00175BBF"/>
    <w:rsid w:val="00175E6D"/>
    <w:rsid w:val="0017647F"/>
    <w:rsid w:val="00176871"/>
    <w:rsid w:val="00177618"/>
    <w:rsid w:val="0017766E"/>
    <w:rsid w:val="00177852"/>
    <w:rsid w:val="00177BEF"/>
    <w:rsid w:val="00177D58"/>
    <w:rsid w:val="00177DDC"/>
    <w:rsid w:val="00180523"/>
    <w:rsid w:val="001805A3"/>
    <w:rsid w:val="00180AB0"/>
    <w:rsid w:val="00180C23"/>
    <w:rsid w:val="00180D13"/>
    <w:rsid w:val="00180E00"/>
    <w:rsid w:val="00181AE0"/>
    <w:rsid w:val="00181F3E"/>
    <w:rsid w:val="00182185"/>
    <w:rsid w:val="0018255A"/>
    <w:rsid w:val="00182D5F"/>
    <w:rsid w:val="001838AC"/>
    <w:rsid w:val="0018395B"/>
    <w:rsid w:val="00183C69"/>
    <w:rsid w:val="00184518"/>
    <w:rsid w:val="001847AB"/>
    <w:rsid w:val="001847EB"/>
    <w:rsid w:val="00184C47"/>
    <w:rsid w:val="00184C48"/>
    <w:rsid w:val="0018512A"/>
    <w:rsid w:val="00185401"/>
    <w:rsid w:val="001854E2"/>
    <w:rsid w:val="001855E7"/>
    <w:rsid w:val="00185BE7"/>
    <w:rsid w:val="00185F4D"/>
    <w:rsid w:val="0018691E"/>
    <w:rsid w:val="00186B70"/>
    <w:rsid w:val="00186D12"/>
    <w:rsid w:val="0018702C"/>
    <w:rsid w:val="001872FF"/>
    <w:rsid w:val="001874B2"/>
    <w:rsid w:val="00187557"/>
    <w:rsid w:val="001878A1"/>
    <w:rsid w:val="00187A2D"/>
    <w:rsid w:val="00187C86"/>
    <w:rsid w:val="00187F67"/>
    <w:rsid w:val="001916A7"/>
    <w:rsid w:val="0019204C"/>
    <w:rsid w:val="00192177"/>
    <w:rsid w:val="00192E16"/>
    <w:rsid w:val="00192EEB"/>
    <w:rsid w:val="0019302F"/>
    <w:rsid w:val="001936FA"/>
    <w:rsid w:val="001937E4"/>
    <w:rsid w:val="00193824"/>
    <w:rsid w:val="00193EB8"/>
    <w:rsid w:val="001945B7"/>
    <w:rsid w:val="00194FC3"/>
    <w:rsid w:val="001951DE"/>
    <w:rsid w:val="001953FA"/>
    <w:rsid w:val="00195747"/>
    <w:rsid w:val="001958B4"/>
    <w:rsid w:val="00195D8C"/>
    <w:rsid w:val="00195DDB"/>
    <w:rsid w:val="00195FAA"/>
    <w:rsid w:val="0019680C"/>
    <w:rsid w:val="00196A27"/>
    <w:rsid w:val="00196EAF"/>
    <w:rsid w:val="0019720B"/>
    <w:rsid w:val="00197415"/>
    <w:rsid w:val="00197AB6"/>
    <w:rsid w:val="00197B57"/>
    <w:rsid w:val="00197EEB"/>
    <w:rsid w:val="001A01A9"/>
    <w:rsid w:val="001A0217"/>
    <w:rsid w:val="001A06DF"/>
    <w:rsid w:val="001A09E0"/>
    <w:rsid w:val="001A0B5E"/>
    <w:rsid w:val="001A0E12"/>
    <w:rsid w:val="001A1050"/>
    <w:rsid w:val="001A269D"/>
    <w:rsid w:val="001A2849"/>
    <w:rsid w:val="001A31E9"/>
    <w:rsid w:val="001A3205"/>
    <w:rsid w:val="001A420B"/>
    <w:rsid w:val="001A430F"/>
    <w:rsid w:val="001A485B"/>
    <w:rsid w:val="001A4D91"/>
    <w:rsid w:val="001A4F89"/>
    <w:rsid w:val="001A5976"/>
    <w:rsid w:val="001A74F7"/>
    <w:rsid w:val="001A79CC"/>
    <w:rsid w:val="001A7B72"/>
    <w:rsid w:val="001A7C88"/>
    <w:rsid w:val="001A7E81"/>
    <w:rsid w:val="001B01DE"/>
    <w:rsid w:val="001B0368"/>
    <w:rsid w:val="001B072E"/>
    <w:rsid w:val="001B12D0"/>
    <w:rsid w:val="001B139C"/>
    <w:rsid w:val="001B181F"/>
    <w:rsid w:val="001B1D02"/>
    <w:rsid w:val="001B29C6"/>
    <w:rsid w:val="001B2A7C"/>
    <w:rsid w:val="001B2B71"/>
    <w:rsid w:val="001B2F8E"/>
    <w:rsid w:val="001B381D"/>
    <w:rsid w:val="001B3983"/>
    <w:rsid w:val="001B3EB5"/>
    <w:rsid w:val="001B3EE2"/>
    <w:rsid w:val="001B472F"/>
    <w:rsid w:val="001B47B4"/>
    <w:rsid w:val="001B4805"/>
    <w:rsid w:val="001B48C8"/>
    <w:rsid w:val="001B4994"/>
    <w:rsid w:val="001B5083"/>
    <w:rsid w:val="001B57E6"/>
    <w:rsid w:val="001B5877"/>
    <w:rsid w:val="001B65FE"/>
    <w:rsid w:val="001B6766"/>
    <w:rsid w:val="001B692C"/>
    <w:rsid w:val="001B6C66"/>
    <w:rsid w:val="001B6DE8"/>
    <w:rsid w:val="001B71C8"/>
    <w:rsid w:val="001B7308"/>
    <w:rsid w:val="001B74D5"/>
    <w:rsid w:val="001B7777"/>
    <w:rsid w:val="001B782F"/>
    <w:rsid w:val="001B7E7E"/>
    <w:rsid w:val="001C03C2"/>
    <w:rsid w:val="001C11B6"/>
    <w:rsid w:val="001C11BD"/>
    <w:rsid w:val="001C11DD"/>
    <w:rsid w:val="001C1809"/>
    <w:rsid w:val="001C1912"/>
    <w:rsid w:val="001C1AC5"/>
    <w:rsid w:val="001C1B75"/>
    <w:rsid w:val="001C21F3"/>
    <w:rsid w:val="001C2257"/>
    <w:rsid w:val="001C22B9"/>
    <w:rsid w:val="001C2C39"/>
    <w:rsid w:val="001C2EB1"/>
    <w:rsid w:val="001C3A4C"/>
    <w:rsid w:val="001C4210"/>
    <w:rsid w:val="001C4337"/>
    <w:rsid w:val="001C45DD"/>
    <w:rsid w:val="001C47E3"/>
    <w:rsid w:val="001C550E"/>
    <w:rsid w:val="001C62E4"/>
    <w:rsid w:val="001C64A5"/>
    <w:rsid w:val="001C6A30"/>
    <w:rsid w:val="001C71C6"/>
    <w:rsid w:val="001C7B1C"/>
    <w:rsid w:val="001C7E74"/>
    <w:rsid w:val="001D0D40"/>
    <w:rsid w:val="001D2999"/>
    <w:rsid w:val="001D2C85"/>
    <w:rsid w:val="001D3846"/>
    <w:rsid w:val="001D389A"/>
    <w:rsid w:val="001D3AE7"/>
    <w:rsid w:val="001D4190"/>
    <w:rsid w:val="001D56DF"/>
    <w:rsid w:val="001D5ABD"/>
    <w:rsid w:val="001D5CA8"/>
    <w:rsid w:val="001D5DBE"/>
    <w:rsid w:val="001D5E18"/>
    <w:rsid w:val="001D62CA"/>
    <w:rsid w:val="001D66FE"/>
    <w:rsid w:val="001D6D05"/>
    <w:rsid w:val="001D6DBA"/>
    <w:rsid w:val="001D754F"/>
    <w:rsid w:val="001D77B8"/>
    <w:rsid w:val="001D794A"/>
    <w:rsid w:val="001D7952"/>
    <w:rsid w:val="001D7D2B"/>
    <w:rsid w:val="001E0641"/>
    <w:rsid w:val="001E17A8"/>
    <w:rsid w:val="001E1888"/>
    <w:rsid w:val="001E1C41"/>
    <w:rsid w:val="001E1DE9"/>
    <w:rsid w:val="001E25EC"/>
    <w:rsid w:val="001E2817"/>
    <w:rsid w:val="001E2D91"/>
    <w:rsid w:val="001E35B6"/>
    <w:rsid w:val="001E37F9"/>
    <w:rsid w:val="001E3ADD"/>
    <w:rsid w:val="001E3DDA"/>
    <w:rsid w:val="001E46D3"/>
    <w:rsid w:val="001E4CBD"/>
    <w:rsid w:val="001E4FE9"/>
    <w:rsid w:val="001E5041"/>
    <w:rsid w:val="001E5102"/>
    <w:rsid w:val="001E557D"/>
    <w:rsid w:val="001E58B3"/>
    <w:rsid w:val="001E5C50"/>
    <w:rsid w:val="001E609B"/>
    <w:rsid w:val="001E6406"/>
    <w:rsid w:val="001E6497"/>
    <w:rsid w:val="001E71BA"/>
    <w:rsid w:val="001E7429"/>
    <w:rsid w:val="001E77E1"/>
    <w:rsid w:val="001E7AD4"/>
    <w:rsid w:val="001E7D38"/>
    <w:rsid w:val="001F01F3"/>
    <w:rsid w:val="001F08BB"/>
    <w:rsid w:val="001F095F"/>
    <w:rsid w:val="001F0A2F"/>
    <w:rsid w:val="001F0AD8"/>
    <w:rsid w:val="001F0C29"/>
    <w:rsid w:val="001F12EC"/>
    <w:rsid w:val="001F15E6"/>
    <w:rsid w:val="001F2112"/>
    <w:rsid w:val="001F2D4C"/>
    <w:rsid w:val="001F2E1D"/>
    <w:rsid w:val="001F2F61"/>
    <w:rsid w:val="001F31FA"/>
    <w:rsid w:val="001F342C"/>
    <w:rsid w:val="001F34CF"/>
    <w:rsid w:val="001F39EB"/>
    <w:rsid w:val="001F3D6B"/>
    <w:rsid w:val="001F4028"/>
    <w:rsid w:val="001F4165"/>
    <w:rsid w:val="001F49E2"/>
    <w:rsid w:val="001F4C1C"/>
    <w:rsid w:val="001F4C67"/>
    <w:rsid w:val="001F55C9"/>
    <w:rsid w:val="001F5707"/>
    <w:rsid w:val="001F5844"/>
    <w:rsid w:val="001F59C0"/>
    <w:rsid w:val="001F61B0"/>
    <w:rsid w:val="001F63A8"/>
    <w:rsid w:val="001F64C4"/>
    <w:rsid w:val="001F6A2A"/>
    <w:rsid w:val="001F6AB5"/>
    <w:rsid w:val="001F703B"/>
    <w:rsid w:val="001F7978"/>
    <w:rsid w:val="001F7A66"/>
    <w:rsid w:val="001F7B2D"/>
    <w:rsid w:val="001F7DF6"/>
    <w:rsid w:val="00200F5D"/>
    <w:rsid w:val="002010E3"/>
    <w:rsid w:val="002016F2"/>
    <w:rsid w:val="002018ED"/>
    <w:rsid w:val="00201C9F"/>
    <w:rsid w:val="00201F04"/>
    <w:rsid w:val="00201F7F"/>
    <w:rsid w:val="00202509"/>
    <w:rsid w:val="00203063"/>
    <w:rsid w:val="00203209"/>
    <w:rsid w:val="002034B1"/>
    <w:rsid w:val="00203922"/>
    <w:rsid w:val="00203B07"/>
    <w:rsid w:val="0020458B"/>
    <w:rsid w:val="0020490C"/>
    <w:rsid w:val="00204E90"/>
    <w:rsid w:val="002052AD"/>
    <w:rsid w:val="002053EA"/>
    <w:rsid w:val="0020540C"/>
    <w:rsid w:val="00206227"/>
    <w:rsid w:val="002062F3"/>
    <w:rsid w:val="00206757"/>
    <w:rsid w:val="00206C78"/>
    <w:rsid w:val="00207E85"/>
    <w:rsid w:val="0021091B"/>
    <w:rsid w:val="00210C81"/>
    <w:rsid w:val="00210CB8"/>
    <w:rsid w:val="0021101D"/>
    <w:rsid w:val="002110D3"/>
    <w:rsid w:val="00211130"/>
    <w:rsid w:val="0021146B"/>
    <w:rsid w:val="00212A97"/>
    <w:rsid w:val="00212B0F"/>
    <w:rsid w:val="00212B6C"/>
    <w:rsid w:val="00212CFC"/>
    <w:rsid w:val="00212DF3"/>
    <w:rsid w:val="00213078"/>
    <w:rsid w:val="00213665"/>
    <w:rsid w:val="002139F6"/>
    <w:rsid w:val="00214347"/>
    <w:rsid w:val="002144EC"/>
    <w:rsid w:val="00214662"/>
    <w:rsid w:val="0021494B"/>
    <w:rsid w:val="00214FCA"/>
    <w:rsid w:val="002151EC"/>
    <w:rsid w:val="002157EE"/>
    <w:rsid w:val="00215A25"/>
    <w:rsid w:val="00215BF3"/>
    <w:rsid w:val="00215C33"/>
    <w:rsid w:val="00215FA0"/>
    <w:rsid w:val="00216268"/>
    <w:rsid w:val="002162AE"/>
    <w:rsid w:val="00216B48"/>
    <w:rsid w:val="00216D97"/>
    <w:rsid w:val="00216F19"/>
    <w:rsid w:val="00217017"/>
    <w:rsid w:val="002172B3"/>
    <w:rsid w:val="00217353"/>
    <w:rsid w:val="00217B88"/>
    <w:rsid w:val="00217BA7"/>
    <w:rsid w:val="0022017E"/>
    <w:rsid w:val="0022113B"/>
    <w:rsid w:val="00221941"/>
    <w:rsid w:val="00221BE7"/>
    <w:rsid w:val="00222238"/>
    <w:rsid w:val="00222AEF"/>
    <w:rsid w:val="0022317E"/>
    <w:rsid w:val="0022337D"/>
    <w:rsid w:val="00223715"/>
    <w:rsid w:val="00223834"/>
    <w:rsid w:val="002243C5"/>
    <w:rsid w:val="00224836"/>
    <w:rsid w:val="00225229"/>
    <w:rsid w:val="002253B1"/>
    <w:rsid w:val="002258F6"/>
    <w:rsid w:val="00225F63"/>
    <w:rsid w:val="00226658"/>
    <w:rsid w:val="00227080"/>
    <w:rsid w:val="0022770A"/>
    <w:rsid w:val="00227717"/>
    <w:rsid w:val="002278FF"/>
    <w:rsid w:val="00227A13"/>
    <w:rsid w:val="00230682"/>
    <w:rsid w:val="00230A30"/>
    <w:rsid w:val="00230C1F"/>
    <w:rsid w:val="002311F3"/>
    <w:rsid w:val="00231326"/>
    <w:rsid w:val="0023205E"/>
    <w:rsid w:val="002330E0"/>
    <w:rsid w:val="00233424"/>
    <w:rsid w:val="002339D6"/>
    <w:rsid w:val="00233A62"/>
    <w:rsid w:val="0023409C"/>
    <w:rsid w:val="00234290"/>
    <w:rsid w:val="00234F76"/>
    <w:rsid w:val="00235443"/>
    <w:rsid w:val="002358E1"/>
    <w:rsid w:val="002358E9"/>
    <w:rsid w:val="00235B36"/>
    <w:rsid w:val="00235D81"/>
    <w:rsid w:val="002362C8"/>
    <w:rsid w:val="00236836"/>
    <w:rsid w:val="002369EC"/>
    <w:rsid w:val="002371AD"/>
    <w:rsid w:val="002372B1"/>
    <w:rsid w:val="002376DC"/>
    <w:rsid w:val="00237E22"/>
    <w:rsid w:val="002402F2"/>
    <w:rsid w:val="0024049F"/>
    <w:rsid w:val="00240DB8"/>
    <w:rsid w:val="002411FB"/>
    <w:rsid w:val="00241A1F"/>
    <w:rsid w:val="00242125"/>
    <w:rsid w:val="002424F3"/>
    <w:rsid w:val="002426A5"/>
    <w:rsid w:val="002426F1"/>
    <w:rsid w:val="00242767"/>
    <w:rsid w:val="00242EE0"/>
    <w:rsid w:val="002435DF"/>
    <w:rsid w:val="00243830"/>
    <w:rsid w:val="00243FBE"/>
    <w:rsid w:val="00245065"/>
    <w:rsid w:val="0024519D"/>
    <w:rsid w:val="00245698"/>
    <w:rsid w:val="00245E36"/>
    <w:rsid w:val="002461B3"/>
    <w:rsid w:val="002464B4"/>
    <w:rsid w:val="002468F0"/>
    <w:rsid w:val="0024713F"/>
    <w:rsid w:val="002473DC"/>
    <w:rsid w:val="00247ED7"/>
    <w:rsid w:val="0025002F"/>
    <w:rsid w:val="002504C3"/>
    <w:rsid w:val="002508CF"/>
    <w:rsid w:val="002508FB"/>
    <w:rsid w:val="00250C19"/>
    <w:rsid w:val="00250D61"/>
    <w:rsid w:val="0025148D"/>
    <w:rsid w:val="00251A5C"/>
    <w:rsid w:val="00252296"/>
    <w:rsid w:val="0025258A"/>
    <w:rsid w:val="00252C18"/>
    <w:rsid w:val="00252EA6"/>
    <w:rsid w:val="0025325E"/>
    <w:rsid w:val="00253BAA"/>
    <w:rsid w:val="00253FDC"/>
    <w:rsid w:val="00254E2E"/>
    <w:rsid w:val="00255426"/>
    <w:rsid w:val="002554DC"/>
    <w:rsid w:val="00255E32"/>
    <w:rsid w:val="00256E8B"/>
    <w:rsid w:val="00256E9A"/>
    <w:rsid w:val="0025709B"/>
    <w:rsid w:val="002573A2"/>
    <w:rsid w:val="002574A6"/>
    <w:rsid w:val="0025786E"/>
    <w:rsid w:val="00257887"/>
    <w:rsid w:val="00257CD8"/>
    <w:rsid w:val="00257D49"/>
    <w:rsid w:val="002606A3"/>
    <w:rsid w:val="002607E2"/>
    <w:rsid w:val="00260E11"/>
    <w:rsid w:val="002610D4"/>
    <w:rsid w:val="0026210E"/>
    <w:rsid w:val="00262FFD"/>
    <w:rsid w:val="00263621"/>
    <w:rsid w:val="00263D20"/>
    <w:rsid w:val="00263D34"/>
    <w:rsid w:val="00263D69"/>
    <w:rsid w:val="00263F3F"/>
    <w:rsid w:val="002644EC"/>
    <w:rsid w:val="002650E4"/>
    <w:rsid w:val="0026537A"/>
    <w:rsid w:val="00265477"/>
    <w:rsid w:val="002656F0"/>
    <w:rsid w:val="00265DEB"/>
    <w:rsid w:val="0026600C"/>
    <w:rsid w:val="00266429"/>
    <w:rsid w:val="0026651E"/>
    <w:rsid w:val="002667B5"/>
    <w:rsid w:val="002671DB"/>
    <w:rsid w:val="00267A17"/>
    <w:rsid w:val="00267DD8"/>
    <w:rsid w:val="0027001D"/>
    <w:rsid w:val="00270354"/>
    <w:rsid w:val="00270393"/>
    <w:rsid w:val="00270C0E"/>
    <w:rsid w:val="00271D29"/>
    <w:rsid w:val="00271E3B"/>
    <w:rsid w:val="00272053"/>
    <w:rsid w:val="00272709"/>
    <w:rsid w:val="002728FA"/>
    <w:rsid w:val="00272FCA"/>
    <w:rsid w:val="0027300D"/>
    <w:rsid w:val="002733F2"/>
    <w:rsid w:val="00273DD3"/>
    <w:rsid w:val="00273F02"/>
    <w:rsid w:val="002742B8"/>
    <w:rsid w:val="002743D2"/>
    <w:rsid w:val="0027458C"/>
    <w:rsid w:val="002746B9"/>
    <w:rsid w:val="00274D33"/>
    <w:rsid w:val="00275323"/>
    <w:rsid w:val="00275763"/>
    <w:rsid w:val="00275A73"/>
    <w:rsid w:val="00276032"/>
    <w:rsid w:val="002768DE"/>
    <w:rsid w:val="002769B8"/>
    <w:rsid w:val="00276AE3"/>
    <w:rsid w:val="00277211"/>
    <w:rsid w:val="002772DA"/>
    <w:rsid w:val="00277C14"/>
    <w:rsid w:val="002801A9"/>
    <w:rsid w:val="002801CB"/>
    <w:rsid w:val="0028075A"/>
    <w:rsid w:val="00280805"/>
    <w:rsid w:val="00280996"/>
    <w:rsid w:val="00280ACB"/>
    <w:rsid w:val="002814EF"/>
    <w:rsid w:val="00281A21"/>
    <w:rsid w:val="00281D1B"/>
    <w:rsid w:val="00281F42"/>
    <w:rsid w:val="002828D0"/>
    <w:rsid w:val="00282EC9"/>
    <w:rsid w:val="00282F93"/>
    <w:rsid w:val="00283129"/>
    <w:rsid w:val="0028324C"/>
    <w:rsid w:val="00283455"/>
    <w:rsid w:val="00283BEE"/>
    <w:rsid w:val="00283E34"/>
    <w:rsid w:val="002851FD"/>
    <w:rsid w:val="00285B69"/>
    <w:rsid w:val="0028604D"/>
    <w:rsid w:val="0028665D"/>
    <w:rsid w:val="00286998"/>
    <w:rsid w:val="00286D0D"/>
    <w:rsid w:val="002871B1"/>
    <w:rsid w:val="002903C8"/>
    <w:rsid w:val="00290622"/>
    <w:rsid w:val="0029073E"/>
    <w:rsid w:val="00290954"/>
    <w:rsid w:val="00290AEA"/>
    <w:rsid w:val="002927E5"/>
    <w:rsid w:val="00292AB2"/>
    <w:rsid w:val="0029357F"/>
    <w:rsid w:val="00293AAC"/>
    <w:rsid w:val="00293E3C"/>
    <w:rsid w:val="00294145"/>
    <w:rsid w:val="002950E1"/>
    <w:rsid w:val="00295408"/>
    <w:rsid w:val="00295FD6"/>
    <w:rsid w:val="00295FF7"/>
    <w:rsid w:val="002962AF"/>
    <w:rsid w:val="00297134"/>
    <w:rsid w:val="00297424"/>
    <w:rsid w:val="0029765B"/>
    <w:rsid w:val="00297A12"/>
    <w:rsid w:val="00297CEC"/>
    <w:rsid w:val="002A0350"/>
    <w:rsid w:val="002A0884"/>
    <w:rsid w:val="002A10AA"/>
    <w:rsid w:val="002A1233"/>
    <w:rsid w:val="002A194A"/>
    <w:rsid w:val="002A1A36"/>
    <w:rsid w:val="002A1C0F"/>
    <w:rsid w:val="002A1F71"/>
    <w:rsid w:val="002A2358"/>
    <w:rsid w:val="002A250D"/>
    <w:rsid w:val="002A328B"/>
    <w:rsid w:val="002A33CE"/>
    <w:rsid w:val="002A3689"/>
    <w:rsid w:val="002A38D9"/>
    <w:rsid w:val="002A3ACA"/>
    <w:rsid w:val="002A3C95"/>
    <w:rsid w:val="002A40A9"/>
    <w:rsid w:val="002A45F6"/>
    <w:rsid w:val="002A474C"/>
    <w:rsid w:val="002A4B04"/>
    <w:rsid w:val="002A4E5B"/>
    <w:rsid w:val="002A5104"/>
    <w:rsid w:val="002A57A9"/>
    <w:rsid w:val="002A57D1"/>
    <w:rsid w:val="002A5B83"/>
    <w:rsid w:val="002A5C8D"/>
    <w:rsid w:val="002A5E90"/>
    <w:rsid w:val="002A60EE"/>
    <w:rsid w:val="002A6A0F"/>
    <w:rsid w:val="002A7076"/>
    <w:rsid w:val="002A7C5F"/>
    <w:rsid w:val="002B057A"/>
    <w:rsid w:val="002B08D8"/>
    <w:rsid w:val="002B1101"/>
    <w:rsid w:val="002B1320"/>
    <w:rsid w:val="002B17AC"/>
    <w:rsid w:val="002B234D"/>
    <w:rsid w:val="002B234E"/>
    <w:rsid w:val="002B24C2"/>
    <w:rsid w:val="002B24E2"/>
    <w:rsid w:val="002B2B06"/>
    <w:rsid w:val="002B3127"/>
    <w:rsid w:val="002B3A8F"/>
    <w:rsid w:val="002B4555"/>
    <w:rsid w:val="002B49D7"/>
    <w:rsid w:val="002B4DA2"/>
    <w:rsid w:val="002B6A05"/>
    <w:rsid w:val="002B6AB2"/>
    <w:rsid w:val="002B6AED"/>
    <w:rsid w:val="002B6CBE"/>
    <w:rsid w:val="002B7631"/>
    <w:rsid w:val="002B768F"/>
    <w:rsid w:val="002B794B"/>
    <w:rsid w:val="002B7FD0"/>
    <w:rsid w:val="002C00F8"/>
    <w:rsid w:val="002C07D8"/>
    <w:rsid w:val="002C0FAC"/>
    <w:rsid w:val="002C1856"/>
    <w:rsid w:val="002C18AD"/>
    <w:rsid w:val="002C1961"/>
    <w:rsid w:val="002C2ACD"/>
    <w:rsid w:val="002C2F98"/>
    <w:rsid w:val="002C2FA0"/>
    <w:rsid w:val="002C3BE0"/>
    <w:rsid w:val="002C3D01"/>
    <w:rsid w:val="002C403C"/>
    <w:rsid w:val="002C49C0"/>
    <w:rsid w:val="002C4B2A"/>
    <w:rsid w:val="002C4ED2"/>
    <w:rsid w:val="002C5DC6"/>
    <w:rsid w:val="002C6035"/>
    <w:rsid w:val="002C60DF"/>
    <w:rsid w:val="002C650F"/>
    <w:rsid w:val="002C663E"/>
    <w:rsid w:val="002C6A45"/>
    <w:rsid w:val="002C70F9"/>
    <w:rsid w:val="002C7312"/>
    <w:rsid w:val="002D0824"/>
    <w:rsid w:val="002D09BA"/>
    <w:rsid w:val="002D0AB4"/>
    <w:rsid w:val="002D0C13"/>
    <w:rsid w:val="002D0E92"/>
    <w:rsid w:val="002D1177"/>
    <w:rsid w:val="002D1920"/>
    <w:rsid w:val="002D24B8"/>
    <w:rsid w:val="002D24DD"/>
    <w:rsid w:val="002D2556"/>
    <w:rsid w:val="002D264D"/>
    <w:rsid w:val="002D2C1D"/>
    <w:rsid w:val="002D2D7A"/>
    <w:rsid w:val="002D3214"/>
    <w:rsid w:val="002D34B2"/>
    <w:rsid w:val="002D3ED3"/>
    <w:rsid w:val="002D441C"/>
    <w:rsid w:val="002D4428"/>
    <w:rsid w:val="002D59A1"/>
    <w:rsid w:val="002D625B"/>
    <w:rsid w:val="002D652C"/>
    <w:rsid w:val="002D65EA"/>
    <w:rsid w:val="002D675F"/>
    <w:rsid w:val="002D67C2"/>
    <w:rsid w:val="002D69A9"/>
    <w:rsid w:val="002D6F6B"/>
    <w:rsid w:val="002D77A4"/>
    <w:rsid w:val="002D77AD"/>
    <w:rsid w:val="002D7AD9"/>
    <w:rsid w:val="002E0717"/>
    <w:rsid w:val="002E0BBD"/>
    <w:rsid w:val="002E11E4"/>
    <w:rsid w:val="002E12F6"/>
    <w:rsid w:val="002E179C"/>
    <w:rsid w:val="002E2756"/>
    <w:rsid w:val="002E2758"/>
    <w:rsid w:val="002E349A"/>
    <w:rsid w:val="002E3617"/>
    <w:rsid w:val="002E39E1"/>
    <w:rsid w:val="002E3B42"/>
    <w:rsid w:val="002E434E"/>
    <w:rsid w:val="002E46C1"/>
    <w:rsid w:val="002E4CED"/>
    <w:rsid w:val="002E4F45"/>
    <w:rsid w:val="002E54E2"/>
    <w:rsid w:val="002E5CC3"/>
    <w:rsid w:val="002E60FB"/>
    <w:rsid w:val="002E6342"/>
    <w:rsid w:val="002E6847"/>
    <w:rsid w:val="002E6A77"/>
    <w:rsid w:val="002E6F62"/>
    <w:rsid w:val="002E73B8"/>
    <w:rsid w:val="002E7728"/>
    <w:rsid w:val="002E783F"/>
    <w:rsid w:val="002E7D04"/>
    <w:rsid w:val="002F0207"/>
    <w:rsid w:val="002F09E0"/>
    <w:rsid w:val="002F165E"/>
    <w:rsid w:val="002F16B7"/>
    <w:rsid w:val="002F1B45"/>
    <w:rsid w:val="002F2D27"/>
    <w:rsid w:val="002F333C"/>
    <w:rsid w:val="002F374F"/>
    <w:rsid w:val="002F3867"/>
    <w:rsid w:val="002F3D6C"/>
    <w:rsid w:val="002F428B"/>
    <w:rsid w:val="002F42A6"/>
    <w:rsid w:val="002F4BF6"/>
    <w:rsid w:val="002F4E71"/>
    <w:rsid w:val="002F4F52"/>
    <w:rsid w:val="002F4F89"/>
    <w:rsid w:val="002F5338"/>
    <w:rsid w:val="002F5460"/>
    <w:rsid w:val="002F65FB"/>
    <w:rsid w:val="002F6B05"/>
    <w:rsid w:val="002F6CCB"/>
    <w:rsid w:val="002F7D4E"/>
    <w:rsid w:val="00300159"/>
    <w:rsid w:val="00300AEE"/>
    <w:rsid w:val="00300CBD"/>
    <w:rsid w:val="003014BF"/>
    <w:rsid w:val="00301544"/>
    <w:rsid w:val="00301B79"/>
    <w:rsid w:val="00301F87"/>
    <w:rsid w:val="003022F0"/>
    <w:rsid w:val="00302917"/>
    <w:rsid w:val="00302BF9"/>
    <w:rsid w:val="00302C90"/>
    <w:rsid w:val="00302FDF"/>
    <w:rsid w:val="003034E3"/>
    <w:rsid w:val="00303760"/>
    <w:rsid w:val="003038C2"/>
    <w:rsid w:val="00303907"/>
    <w:rsid w:val="00303A54"/>
    <w:rsid w:val="00303B2A"/>
    <w:rsid w:val="00304F92"/>
    <w:rsid w:val="00306120"/>
    <w:rsid w:val="003064B9"/>
    <w:rsid w:val="00306720"/>
    <w:rsid w:val="003068B1"/>
    <w:rsid w:val="00306E2B"/>
    <w:rsid w:val="00306E5A"/>
    <w:rsid w:val="00306FAB"/>
    <w:rsid w:val="00307004"/>
    <w:rsid w:val="0030705D"/>
    <w:rsid w:val="003079C5"/>
    <w:rsid w:val="00307E93"/>
    <w:rsid w:val="00310C3F"/>
    <w:rsid w:val="00311B29"/>
    <w:rsid w:val="00312099"/>
    <w:rsid w:val="003120F1"/>
    <w:rsid w:val="0031248F"/>
    <w:rsid w:val="003124C6"/>
    <w:rsid w:val="0031258B"/>
    <w:rsid w:val="00312EAF"/>
    <w:rsid w:val="00312F3C"/>
    <w:rsid w:val="003134E7"/>
    <w:rsid w:val="00313920"/>
    <w:rsid w:val="00313D5B"/>
    <w:rsid w:val="00313DBB"/>
    <w:rsid w:val="0031458B"/>
    <w:rsid w:val="00315176"/>
    <w:rsid w:val="00315582"/>
    <w:rsid w:val="00315EF5"/>
    <w:rsid w:val="003162C7"/>
    <w:rsid w:val="0031696B"/>
    <w:rsid w:val="00316CCD"/>
    <w:rsid w:val="00316F05"/>
    <w:rsid w:val="003171D7"/>
    <w:rsid w:val="0031732C"/>
    <w:rsid w:val="00317366"/>
    <w:rsid w:val="00317828"/>
    <w:rsid w:val="00317D28"/>
    <w:rsid w:val="00320298"/>
    <w:rsid w:val="003204D9"/>
    <w:rsid w:val="003205AB"/>
    <w:rsid w:val="00320AC1"/>
    <w:rsid w:val="00321279"/>
    <w:rsid w:val="00322AFE"/>
    <w:rsid w:val="00322F4A"/>
    <w:rsid w:val="00323615"/>
    <w:rsid w:val="00323B49"/>
    <w:rsid w:val="00324125"/>
    <w:rsid w:val="00324482"/>
    <w:rsid w:val="00325765"/>
    <w:rsid w:val="00325B28"/>
    <w:rsid w:val="00325D5A"/>
    <w:rsid w:val="00326296"/>
    <w:rsid w:val="003262CB"/>
    <w:rsid w:val="00326599"/>
    <w:rsid w:val="003265DA"/>
    <w:rsid w:val="00326B6B"/>
    <w:rsid w:val="00326E6C"/>
    <w:rsid w:val="00327AC9"/>
    <w:rsid w:val="003301B8"/>
    <w:rsid w:val="003306FC"/>
    <w:rsid w:val="00330DBF"/>
    <w:rsid w:val="00330EF8"/>
    <w:rsid w:val="003312BD"/>
    <w:rsid w:val="00331F94"/>
    <w:rsid w:val="00332EFA"/>
    <w:rsid w:val="00332F86"/>
    <w:rsid w:val="003331D9"/>
    <w:rsid w:val="0033338A"/>
    <w:rsid w:val="0033386B"/>
    <w:rsid w:val="003342F6"/>
    <w:rsid w:val="00334C00"/>
    <w:rsid w:val="003355B0"/>
    <w:rsid w:val="00335847"/>
    <w:rsid w:val="00335AAC"/>
    <w:rsid w:val="00335C1E"/>
    <w:rsid w:val="00335EBE"/>
    <w:rsid w:val="00335EFC"/>
    <w:rsid w:val="003361C4"/>
    <w:rsid w:val="0033637A"/>
    <w:rsid w:val="00337005"/>
    <w:rsid w:val="0034024F"/>
    <w:rsid w:val="003402F1"/>
    <w:rsid w:val="003409BC"/>
    <w:rsid w:val="00340B42"/>
    <w:rsid w:val="003416E5"/>
    <w:rsid w:val="003418CD"/>
    <w:rsid w:val="00341E05"/>
    <w:rsid w:val="003420C7"/>
    <w:rsid w:val="00342134"/>
    <w:rsid w:val="00343A43"/>
    <w:rsid w:val="00343A67"/>
    <w:rsid w:val="00343C56"/>
    <w:rsid w:val="00343F47"/>
    <w:rsid w:val="00344DB2"/>
    <w:rsid w:val="00344F2F"/>
    <w:rsid w:val="00344FDC"/>
    <w:rsid w:val="003451EE"/>
    <w:rsid w:val="0034558B"/>
    <w:rsid w:val="00345A1E"/>
    <w:rsid w:val="00345A84"/>
    <w:rsid w:val="0034611B"/>
    <w:rsid w:val="003462A8"/>
    <w:rsid w:val="0034632C"/>
    <w:rsid w:val="003463B2"/>
    <w:rsid w:val="00346463"/>
    <w:rsid w:val="003467A0"/>
    <w:rsid w:val="00346B2B"/>
    <w:rsid w:val="00346DD4"/>
    <w:rsid w:val="00346E8E"/>
    <w:rsid w:val="00346F02"/>
    <w:rsid w:val="00347031"/>
    <w:rsid w:val="0034704D"/>
    <w:rsid w:val="0034706E"/>
    <w:rsid w:val="00347C1C"/>
    <w:rsid w:val="00347F52"/>
    <w:rsid w:val="0035028C"/>
    <w:rsid w:val="0035037B"/>
    <w:rsid w:val="0035050B"/>
    <w:rsid w:val="00350615"/>
    <w:rsid w:val="00350654"/>
    <w:rsid w:val="003508A4"/>
    <w:rsid w:val="003508D6"/>
    <w:rsid w:val="00350903"/>
    <w:rsid w:val="00350DF0"/>
    <w:rsid w:val="003510E1"/>
    <w:rsid w:val="00351C99"/>
    <w:rsid w:val="00351E7D"/>
    <w:rsid w:val="00351EB1"/>
    <w:rsid w:val="00352389"/>
    <w:rsid w:val="003523E1"/>
    <w:rsid w:val="003527CF"/>
    <w:rsid w:val="00352AF4"/>
    <w:rsid w:val="00352F32"/>
    <w:rsid w:val="003530CE"/>
    <w:rsid w:val="003532B5"/>
    <w:rsid w:val="00353378"/>
    <w:rsid w:val="003533C0"/>
    <w:rsid w:val="00353593"/>
    <w:rsid w:val="00353DCF"/>
    <w:rsid w:val="00353F01"/>
    <w:rsid w:val="00354153"/>
    <w:rsid w:val="00354469"/>
    <w:rsid w:val="00354CE6"/>
    <w:rsid w:val="00354D6F"/>
    <w:rsid w:val="003556D6"/>
    <w:rsid w:val="003558A4"/>
    <w:rsid w:val="00355A42"/>
    <w:rsid w:val="00355B14"/>
    <w:rsid w:val="00355E52"/>
    <w:rsid w:val="00356A75"/>
    <w:rsid w:val="003578A4"/>
    <w:rsid w:val="00357E94"/>
    <w:rsid w:val="00360A0F"/>
    <w:rsid w:val="00360D01"/>
    <w:rsid w:val="00360D9D"/>
    <w:rsid w:val="00360DBB"/>
    <w:rsid w:val="00361633"/>
    <w:rsid w:val="00361B97"/>
    <w:rsid w:val="00361DFF"/>
    <w:rsid w:val="00361F76"/>
    <w:rsid w:val="00362046"/>
    <w:rsid w:val="00362558"/>
    <w:rsid w:val="00362B44"/>
    <w:rsid w:val="00362DDE"/>
    <w:rsid w:val="00362FCC"/>
    <w:rsid w:val="003635E1"/>
    <w:rsid w:val="003638B8"/>
    <w:rsid w:val="0036416D"/>
    <w:rsid w:val="00364285"/>
    <w:rsid w:val="0036477E"/>
    <w:rsid w:val="003652CE"/>
    <w:rsid w:val="003653E8"/>
    <w:rsid w:val="00365884"/>
    <w:rsid w:val="00365A2F"/>
    <w:rsid w:val="00365F0F"/>
    <w:rsid w:val="0036717E"/>
    <w:rsid w:val="00367336"/>
    <w:rsid w:val="00367BB9"/>
    <w:rsid w:val="00370019"/>
    <w:rsid w:val="003700BF"/>
    <w:rsid w:val="0037044A"/>
    <w:rsid w:val="00370D8A"/>
    <w:rsid w:val="00370DAA"/>
    <w:rsid w:val="003710AF"/>
    <w:rsid w:val="003715C5"/>
    <w:rsid w:val="00371AE4"/>
    <w:rsid w:val="0037293F"/>
    <w:rsid w:val="003729CB"/>
    <w:rsid w:val="003736F7"/>
    <w:rsid w:val="0037498C"/>
    <w:rsid w:val="00374F90"/>
    <w:rsid w:val="00375684"/>
    <w:rsid w:val="003758C9"/>
    <w:rsid w:val="00375B68"/>
    <w:rsid w:val="00375F6E"/>
    <w:rsid w:val="0037620F"/>
    <w:rsid w:val="003763E2"/>
    <w:rsid w:val="00376D80"/>
    <w:rsid w:val="003770E2"/>
    <w:rsid w:val="003772BA"/>
    <w:rsid w:val="003772BD"/>
    <w:rsid w:val="00380047"/>
    <w:rsid w:val="0038087D"/>
    <w:rsid w:val="00380B1B"/>
    <w:rsid w:val="00380CFC"/>
    <w:rsid w:val="00380E92"/>
    <w:rsid w:val="0038146D"/>
    <w:rsid w:val="00381A6E"/>
    <w:rsid w:val="00382CB6"/>
    <w:rsid w:val="00382DA2"/>
    <w:rsid w:val="00383584"/>
    <w:rsid w:val="003835AB"/>
    <w:rsid w:val="00383E7D"/>
    <w:rsid w:val="003841CD"/>
    <w:rsid w:val="00384411"/>
    <w:rsid w:val="0038462A"/>
    <w:rsid w:val="00384B80"/>
    <w:rsid w:val="00384D48"/>
    <w:rsid w:val="00385142"/>
    <w:rsid w:val="0038534C"/>
    <w:rsid w:val="0038604E"/>
    <w:rsid w:val="00386117"/>
    <w:rsid w:val="0038671D"/>
    <w:rsid w:val="00386E40"/>
    <w:rsid w:val="003871DE"/>
    <w:rsid w:val="00387242"/>
    <w:rsid w:val="00387576"/>
    <w:rsid w:val="003903AE"/>
    <w:rsid w:val="00390875"/>
    <w:rsid w:val="00391D9E"/>
    <w:rsid w:val="003921D5"/>
    <w:rsid w:val="0039231F"/>
    <w:rsid w:val="003925FF"/>
    <w:rsid w:val="00392803"/>
    <w:rsid w:val="00392D20"/>
    <w:rsid w:val="00393403"/>
    <w:rsid w:val="00393416"/>
    <w:rsid w:val="00393B67"/>
    <w:rsid w:val="00393F88"/>
    <w:rsid w:val="00394204"/>
    <w:rsid w:val="00394612"/>
    <w:rsid w:val="00394D44"/>
    <w:rsid w:val="00394F2B"/>
    <w:rsid w:val="0039510C"/>
    <w:rsid w:val="0039616A"/>
    <w:rsid w:val="00396245"/>
    <w:rsid w:val="003963FF"/>
    <w:rsid w:val="003965DD"/>
    <w:rsid w:val="00396B0B"/>
    <w:rsid w:val="00396D4B"/>
    <w:rsid w:val="00396FBE"/>
    <w:rsid w:val="0039728C"/>
    <w:rsid w:val="003976AD"/>
    <w:rsid w:val="0039775D"/>
    <w:rsid w:val="00397798"/>
    <w:rsid w:val="00397EBC"/>
    <w:rsid w:val="00397F50"/>
    <w:rsid w:val="00397F80"/>
    <w:rsid w:val="003A006E"/>
    <w:rsid w:val="003A1306"/>
    <w:rsid w:val="003A13B1"/>
    <w:rsid w:val="003A254A"/>
    <w:rsid w:val="003A2D7E"/>
    <w:rsid w:val="003A2EA2"/>
    <w:rsid w:val="003A310E"/>
    <w:rsid w:val="003A3208"/>
    <w:rsid w:val="003A396B"/>
    <w:rsid w:val="003A4051"/>
    <w:rsid w:val="003A4163"/>
    <w:rsid w:val="003A4210"/>
    <w:rsid w:val="003A4D7E"/>
    <w:rsid w:val="003A5531"/>
    <w:rsid w:val="003A560B"/>
    <w:rsid w:val="003A56FA"/>
    <w:rsid w:val="003A60C9"/>
    <w:rsid w:val="003A65DD"/>
    <w:rsid w:val="003A66F2"/>
    <w:rsid w:val="003A71AF"/>
    <w:rsid w:val="003A7302"/>
    <w:rsid w:val="003B05D9"/>
    <w:rsid w:val="003B076A"/>
    <w:rsid w:val="003B0CFD"/>
    <w:rsid w:val="003B129B"/>
    <w:rsid w:val="003B2233"/>
    <w:rsid w:val="003B2344"/>
    <w:rsid w:val="003B2608"/>
    <w:rsid w:val="003B2C7B"/>
    <w:rsid w:val="003B390E"/>
    <w:rsid w:val="003B3987"/>
    <w:rsid w:val="003B3A44"/>
    <w:rsid w:val="003B3C12"/>
    <w:rsid w:val="003B3C7F"/>
    <w:rsid w:val="003B443D"/>
    <w:rsid w:val="003B4835"/>
    <w:rsid w:val="003B4C3D"/>
    <w:rsid w:val="003B4EAE"/>
    <w:rsid w:val="003B557D"/>
    <w:rsid w:val="003B6149"/>
    <w:rsid w:val="003B62F0"/>
    <w:rsid w:val="003B6787"/>
    <w:rsid w:val="003B6EE2"/>
    <w:rsid w:val="003B708E"/>
    <w:rsid w:val="003B71FE"/>
    <w:rsid w:val="003B7617"/>
    <w:rsid w:val="003B776D"/>
    <w:rsid w:val="003B7B65"/>
    <w:rsid w:val="003C00D8"/>
    <w:rsid w:val="003C0493"/>
    <w:rsid w:val="003C0520"/>
    <w:rsid w:val="003C0857"/>
    <w:rsid w:val="003C0A68"/>
    <w:rsid w:val="003C0D76"/>
    <w:rsid w:val="003C1247"/>
    <w:rsid w:val="003C34D7"/>
    <w:rsid w:val="003C39B8"/>
    <w:rsid w:val="003C39C9"/>
    <w:rsid w:val="003C4840"/>
    <w:rsid w:val="003C4D8A"/>
    <w:rsid w:val="003C4E4D"/>
    <w:rsid w:val="003C592E"/>
    <w:rsid w:val="003C5E33"/>
    <w:rsid w:val="003C66AF"/>
    <w:rsid w:val="003C68A2"/>
    <w:rsid w:val="003C6A5B"/>
    <w:rsid w:val="003C6EAE"/>
    <w:rsid w:val="003C6ED1"/>
    <w:rsid w:val="003C71DE"/>
    <w:rsid w:val="003C757A"/>
    <w:rsid w:val="003C7FDE"/>
    <w:rsid w:val="003D02EF"/>
    <w:rsid w:val="003D0417"/>
    <w:rsid w:val="003D05E3"/>
    <w:rsid w:val="003D0C78"/>
    <w:rsid w:val="003D0D77"/>
    <w:rsid w:val="003D1479"/>
    <w:rsid w:val="003D172C"/>
    <w:rsid w:val="003D28A4"/>
    <w:rsid w:val="003D3F86"/>
    <w:rsid w:val="003D4001"/>
    <w:rsid w:val="003D429E"/>
    <w:rsid w:val="003D4346"/>
    <w:rsid w:val="003D48B1"/>
    <w:rsid w:val="003D518F"/>
    <w:rsid w:val="003D561E"/>
    <w:rsid w:val="003D5AE6"/>
    <w:rsid w:val="003D5B59"/>
    <w:rsid w:val="003D5ED3"/>
    <w:rsid w:val="003D6FD2"/>
    <w:rsid w:val="003D799E"/>
    <w:rsid w:val="003D7B43"/>
    <w:rsid w:val="003E0C5B"/>
    <w:rsid w:val="003E151A"/>
    <w:rsid w:val="003E2337"/>
    <w:rsid w:val="003E24D7"/>
    <w:rsid w:val="003E25B6"/>
    <w:rsid w:val="003E2E28"/>
    <w:rsid w:val="003E2F86"/>
    <w:rsid w:val="003E3756"/>
    <w:rsid w:val="003E3F3B"/>
    <w:rsid w:val="003E3FFF"/>
    <w:rsid w:val="003E45ED"/>
    <w:rsid w:val="003E480D"/>
    <w:rsid w:val="003E4CDB"/>
    <w:rsid w:val="003E5052"/>
    <w:rsid w:val="003E5F45"/>
    <w:rsid w:val="003E63AE"/>
    <w:rsid w:val="003E66D9"/>
    <w:rsid w:val="003E6AF2"/>
    <w:rsid w:val="003E713D"/>
    <w:rsid w:val="003E766A"/>
    <w:rsid w:val="003E7B50"/>
    <w:rsid w:val="003E7C77"/>
    <w:rsid w:val="003E7D73"/>
    <w:rsid w:val="003F056D"/>
    <w:rsid w:val="003F0BDD"/>
    <w:rsid w:val="003F1539"/>
    <w:rsid w:val="003F1A86"/>
    <w:rsid w:val="003F1BA3"/>
    <w:rsid w:val="003F2510"/>
    <w:rsid w:val="003F2635"/>
    <w:rsid w:val="003F2BEF"/>
    <w:rsid w:val="003F408E"/>
    <w:rsid w:val="003F44C0"/>
    <w:rsid w:val="003F49BA"/>
    <w:rsid w:val="003F4E3E"/>
    <w:rsid w:val="003F53DA"/>
    <w:rsid w:val="003F56F8"/>
    <w:rsid w:val="003F57D3"/>
    <w:rsid w:val="003F5804"/>
    <w:rsid w:val="003F5B35"/>
    <w:rsid w:val="003F5B36"/>
    <w:rsid w:val="003F5C04"/>
    <w:rsid w:val="003F5C62"/>
    <w:rsid w:val="003F5D2B"/>
    <w:rsid w:val="003F6AB7"/>
    <w:rsid w:val="004005C9"/>
    <w:rsid w:val="00400701"/>
    <w:rsid w:val="00400902"/>
    <w:rsid w:val="00401039"/>
    <w:rsid w:val="004011EB"/>
    <w:rsid w:val="004014DE"/>
    <w:rsid w:val="004014E4"/>
    <w:rsid w:val="00401781"/>
    <w:rsid w:val="0040194E"/>
    <w:rsid w:val="00401A0F"/>
    <w:rsid w:val="00402250"/>
    <w:rsid w:val="00402C63"/>
    <w:rsid w:val="00402DDC"/>
    <w:rsid w:val="00402F6D"/>
    <w:rsid w:val="00403475"/>
    <w:rsid w:val="00403516"/>
    <w:rsid w:val="004039C7"/>
    <w:rsid w:val="00403C09"/>
    <w:rsid w:val="0040445B"/>
    <w:rsid w:val="0040463A"/>
    <w:rsid w:val="0040539C"/>
    <w:rsid w:val="004059A0"/>
    <w:rsid w:val="004061EE"/>
    <w:rsid w:val="0040631D"/>
    <w:rsid w:val="00406681"/>
    <w:rsid w:val="00406695"/>
    <w:rsid w:val="00406864"/>
    <w:rsid w:val="0040711F"/>
    <w:rsid w:val="00407140"/>
    <w:rsid w:val="004078DC"/>
    <w:rsid w:val="00407D98"/>
    <w:rsid w:val="00407E35"/>
    <w:rsid w:val="0041038F"/>
    <w:rsid w:val="004107CA"/>
    <w:rsid w:val="00410D35"/>
    <w:rsid w:val="00411096"/>
    <w:rsid w:val="00411BB2"/>
    <w:rsid w:val="00411DD2"/>
    <w:rsid w:val="00411EFE"/>
    <w:rsid w:val="0041203C"/>
    <w:rsid w:val="0041221B"/>
    <w:rsid w:val="0041235F"/>
    <w:rsid w:val="004127E1"/>
    <w:rsid w:val="00413078"/>
    <w:rsid w:val="0041333E"/>
    <w:rsid w:val="00414451"/>
    <w:rsid w:val="0041449C"/>
    <w:rsid w:val="00415372"/>
    <w:rsid w:val="00416374"/>
    <w:rsid w:val="0041673C"/>
    <w:rsid w:val="00416965"/>
    <w:rsid w:val="00416A4B"/>
    <w:rsid w:val="0042098D"/>
    <w:rsid w:val="0042125D"/>
    <w:rsid w:val="00421E45"/>
    <w:rsid w:val="00422247"/>
    <w:rsid w:val="0042224B"/>
    <w:rsid w:val="004223DB"/>
    <w:rsid w:val="00422782"/>
    <w:rsid w:val="00422F8D"/>
    <w:rsid w:val="004231C3"/>
    <w:rsid w:val="004231D3"/>
    <w:rsid w:val="0042356F"/>
    <w:rsid w:val="00423E14"/>
    <w:rsid w:val="004246DA"/>
    <w:rsid w:val="00424FFF"/>
    <w:rsid w:val="0042539E"/>
    <w:rsid w:val="00425B2B"/>
    <w:rsid w:val="00425B62"/>
    <w:rsid w:val="00425F61"/>
    <w:rsid w:val="00426303"/>
    <w:rsid w:val="004266A5"/>
    <w:rsid w:val="00426B60"/>
    <w:rsid w:val="004273B0"/>
    <w:rsid w:val="004276A4"/>
    <w:rsid w:val="00427CE2"/>
    <w:rsid w:val="00427D40"/>
    <w:rsid w:val="00430604"/>
    <w:rsid w:val="004306FE"/>
    <w:rsid w:val="0043083A"/>
    <w:rsid w:val="0043107C"/>
    <w:rsid w:val="00431181"/>
    <w:rsid w:val="00431F6D"/>
    <w:rsid w:val="00431FE0"/>
    <w:rsid w:val="0043282E"/>
    <w:rsid w:val="004329B5"/>
    <w:rsid w:val="0043353B"/>
    <w:rsid w:val="0043368B"/>
    <w:rsid w:val="004336CA"/>
    <w:rsid w:val="0043370B"/>
    <w:rsid w:val="00434392"/>
    <w:rsid w:val="00434B21"/>
    <w:rsid w:val="00435096"/>
    <w:rsid w:val="00435308"/>
    <w:rsid w:val="004354F5"/>
    <w:rsid w:val="00435D5E"/>
    <w:rsid w:val="00435D6E"/>
    <w:rsid w:val="00435FC1"/>
    <w:rsid w:val="0043604B"/>
    <w:rsid w:val="00436091"/>
    <w:rsid w:val="00436193"/>
    <w:rsid w:val="00436195"/>
    <w:rsid w:val="0043631F"/>
    <w:rsid w:val="00436893"/>
    <w:rsid w:val="00436AB1"/>
    <w:rsid w:val="00436D86"/>
    <w:rsid w:val="00436E65"/>
    <w:rsid w:val="00436F76"/>
    <w:rsid w:val="004370EB"/>
    <w:rsid w:val="004372B5"/>
    <w:rsid w:val="004372BA"/>
    <w:rsid w:val="004377C8"/>
    <w:rsid w:val="0043790F"/>
    <w:rsid w:val="00437BD5"/>
    <w:rsid w:val="00437CCC"/>
    <w:rsid w:val="00437F4C"/>
    <w:rsid w:val="0044012A"/>
    <w:rsid w:val="00440595"/>
    <w:rsid w:val="00440625"/>
    <w:rsid w:val="00440856"/>
    <w:rsid w:val="00440981"/>
    <w:rsid w:val="0044116D"/>
    <w:rsid w:val="0044131D"/>
    <w:rsid w:val="00441EED"/>
    <w:rsid w:val="00441F0A"/>
    <w:rsid w:val="00442623"/>
    <w:rsid w:val="00442657"/>
    <w:rsid w:val="004431CB"/>
    <w:rsid w:val="0044326F"/>
    <w:rsid w:val="00443302"/>
    <w:rsid w:val="00443332"/>
    <w:rsid w:val="0044367B"/>
    <w:rsid w:val="004436EE"/>
    <w:rsid w:val="00443BF1"/>
    <w:rsid w:val="00444060"/>
    <w:rsid w:val="00444413"/>
    <w:rsid w:val="004444A2"/>
    <w:rsid w:val="004445A9"/>
    <w:rsid w:val="00444816"/>
    <w:rsid w:val="00444871"/>
    <w:rsid w:val="00444C8B"/>
    <w:rsid w:val="004453E2"/>
    <w:rsid w:val="0044638F"/>
    <w:rsid w:val="0044689A"/>
    <w:rsid w:val="00446C9E"/>
    <w:rsid w:val="00446F57"/>
    <w:rsid w:val="004470DD"/>
    <w:rsid w:val="004475DC"/>
    <w:rsid w:val="004476E9"/>
    <w:rsid w:val="00447F17"/>
    <w:rsid w:val="00450004"/>
    <w:rsid w:val="004501A7"/>
    <w:rsid w:val="004514D3"/>
    <w:rsid w:val="0045159B"/>
    <w:rsid w:val="00452E8A"/>
    <w:rsid w:val="004531FF"/>
    <w:rsid w:val="004537EB"/>
    <w:rsid w:val="00454162"/>
    <w:rsid w:val="00454FB3"/>
    <w:rsid w:val="004556FF"/>
    <w:rsid w:val="00455769"/>
    <w:rsid w:val="0045591E"/>
    <w:rsid w:val="00455C69"/>
    <w:rsid w:val="00455D2E"/>
    <w:rsid w:val="00455E1F"/>
    <w:rsid w:val="00455E25"/>
    <w:rsid w:val="00456C62"/>
    <w:rsid w:val="00456F68"/>
    <w:rsid w:val="0045778A"/>
    <w:rsid w:val="004606A4"/>
    <w:rsid w:val="00460C43"/>
    <w:rsid w:val="00460E97"/>
    <w:rsid w:val="0046101D"/>
    <w:rsid w:val="00461159"/>
    <w:rsid w:val="00461269"/>
    <w:rsid w:val="00461B96"/>
    <w:rsid w:val="00462352"/>
    <w:rsid w:val="00462558"/>
    <w:rsid w:val="0046297E"/>
    <w:rsid w:val="00462A3C"/>
    <w:rsid w:val="00462C2A"/>
    <w:rsid w:val="00462E22"/>
    <w:rsid w:val="00463315"/>
    <w:rsid w:val="004639A4"/>
    <w:rsid w:val="00463AC9"/>
    <w:rsid w:val="00463BE1"/>
    <w:rsid w:val="00463FCB"/>
    <w:rsid w:val="0046489C"/>
    <w:rsid w:val="00464FD3"/>
    <w:rsid w:val="00465021"/>
    <w:rsid w:val="0046540E"/>
    <w:rsid w:val="00465A27"/>
    <w:rsid w:val="00466538"/>
    <w:rsid w:val="004673E2"/>
    <w:rsid w:val="00467519"/>
    <w:rsid w:val="0046786D"/>
    <w:rsid w:val="0046797E"/>
    <w:rsid w:val="00467AEC"/>
    <w:rsid w:val="00467E5F"/>
    <w:rsid w:val="004708B9"/>
    <w:rsid w:val="00470E9B"/>
    <w:rsid w:val="00471271"/>
    <w:rsid w:val="00471363"/>
    <w:rsid w:val="004716AA"/>
    <w:rsid w:val="004716D4"/>
    <w:rsid w:val="00471B33"/>
    <w:rsid w:val="00472234"/>
    <w:rsid w:val="00472A00"/>
    <w:rsid w:val="004734A4"/>
    <w:rsid w:val="00473503"/>
    <w:rsid w:val="00473554"/>
    <w:rsid w:val="00473778"/>
    <w:rsid w:val="00473E65"/>
    <w:rsid w:val="004746F7"/>
    <w:rsid w:val="00474A7F"/>
    <w:rsid w:val="00474CEB"/>
    <w:rsid w:val="00474EA4"/>
    <w:rsid w:val="0047530B"/>
    <w:rsid w:val="00475523"/>
    <w:rsid w:val="00475577"/>
    <w:rsid w:val="00475F20"/>
    <w:rsid w:val="0047630C"/>
    <w:rsid w:val="0047639D"/>
    <w:rsid w:val="004765F6"/>
    <w:rsid w:val="004766E3"/>
    <w:rsid w:val="004769B6"/>
    <w:rsid w:val="00476B0E"/>
    <w:rsid w:val="00477F3F"/>
    <w:rsid w:val="0048046E"/>
    <w:rsid w:val="00480A25"/>
    <w:rsid w:val="00480EE5"/>
    <w:rsid w:val="00481424"/>
    <w:rsid w:val="00481775"/>
    <w:rsid w:val="00481EAC"/>
    <w:rsid w:val="00482AA3"/>
    <w:rsid w:val="00482E45"/>
    <w:rsid w:val="00482F12"/>
    <w:rsid w:val="00482F8F"/>
    <w:rsid w:val="00483364"/>
    <w:rsid w:val="00483765"/>
    <w:rsid w:val="004838B4"/>
    <w:rsid w:val="004839F3"/>
    <w:rsid w:val="00483CA2"/>
    <w:rsid w:val="00484330"/>
    <w:rsid w:val="004847CF"/>
    <w:rsid w:val="00484A06"/>
    <w:rsid w:val="00484C1B"/>
    <w:rsid w:val="00484CCB"/>
    <w:rsid w:val="00484F62"/>
    <w:rsid w:val="004850D0"/>
    <w:rsid w:val="00485145"/>
    <w:rsid w:val="004853DE"/>
    <w:rsid w:val="00485446"/>
    <w:rsid w:val="00485AAD"/>
    <w:rsid w:val="004860E6"/>
    <w:rsid w:val="004860FB"/>
    <w:rsid w:val="004861B3"/>
    <w:rsid w:val="0048629F"/>
    <w:rsid w:val="00486EF7"/>
    <w:rsid w:val="004871D3"/>
    <w:rsid w:val="00487236"/>
    <w:rsid w:val="00487687"/>
    <w:rsid w:val="004878E1"/>
    <w:rsid w:val="00487E97"/>
    <w:rsid w:val="00487EBA"/>
    <w:rsid w:val="00491AF2"/>
    <w:rsid w:val="00491BB7"/>
    <w:rsid w:val="00491C4E"/>
    <w:rsid w:val="004921CB"/>
    <w:rsid w:val="00492948"/>
    <w:rsid w:val="00492A71"/>
    <w:rsid w:val="00492D39"/>
    <w:rsid w:val="00492D77"/>
    <w:rsid w:val="00492F6B"/>
    <w:rsid w:val="004934A1"/>
    <w:rsid w:val="004942C3"/>
    <w:rsid w:val="004949C7"/>
    <w:rsid w:val="00494ADD"/>
    <w:rsid w:val="00494C57"/>
    <w:rsid w:val="00494EE9"/>
    <w:rsid w:val="00494F10"/>
    <w:rsid w:val="004950DB"/>
    <w:rsid w:val="00495512"/>
    <w:rsid w:val="00495A41"/>
    <w:rsid w:val="00495C8C"/>
    <w:rsid w:val="00495F14"/>
    <w:rsid w:val="00496547"/>
    <w:rsid w:val="004967C8"/>
    <w:rsid w:val="00496846"/>
    <w:rsid w:val="00496873"/>
    <w:rsid w:val="00496A4B"/>
    <w:rsid w:val="00496A8E"/>
    <w:rsid w:val="004970F5"/>
    <w:rsid w:val="00497162"/>
    <w:rsid w:val="00497423"/>
    <w:rsid w:val="00497565"/>
    <w:rsid w:val="00497871"/>
    <w:rsid w:val="004A06DE"/>
    <w:rsid w:val="004A0756"/>
    <w:rsid w:val="004A11DA"/>
    <w:rsid w:val="004A1863"/>
    <w:rsid w:val="004A18F7"/>
    <w:rsid w:val="004A27C3"/>
    <w:rsid w:val="004A31FA"/>
    <w:rsid w:val="004A320D"/>
    <w:rsid w:val="004A3343"/>
    <w:rsid w:val="004A3B6D"/>
    <w:rsid w:val="004A3F33"/>
    <w:rsid w:val="004A3FCB"/>
    <w:rsid w:val="004A43E0"/>
    <w:rsid w:val="004A486F"/>
    <w:rsid w:val="004A4D5C"/>
    <w:rsid w:val="004A4F69"/>
    <w:rsid w:val="004A51AA"/>
    <w:rsid w:val="004A5E0D"/>
    <w:rsid w:val="004A64BD"/>
    <w:rsid w:val="004A6766"/>
    <w:rsid w:val="004B0696"/>
    <w:rsid w:val="004B0727"/>
    <w:rsid w:val="004B0800"/>
    <w:rsid w:val="004B0A6B"/>
    <w:rsid w:val="004B0C07"/>
    <w:rsid w:val="004B0E0C"/>
    <w:rsid w:val="004B102B"/>
    <w:rsid w:val="004B1D4F"/>
    <w:rsid w:val="004B1FEA"/>
    <w:rsid w:val="004B21CD"/>
    <w:rsid w:val="004B2593"/>
    <w:rsid w:val="004B2E48"/>
    <w:rsid w:val="004B3047"/>
    <w:rsid w:val="004B380F"/>
    <w:rsid w:val="004B3FAE"/>
    <w:rsid w:val="004B401C"/>
    <w:rsid w:val="004B5127"/>
    <w:rsid w:val="004B551F"/>
    <w:rsid w:val="004B5801"/>
    <w:rsid w:val="004B5A48"/>
    <w:rsid w:val="004B5C57"/>
    <w:rsid w:val="004B645B"/>
    <w:rsid w:val="004B672C"/>
    <w:rsid w:val="004B6D71"/>
    <w:rsid w:val="004B71E6"/>
    <w:rsid w:val="004B7517"/>
    <w:rsid w:val="004B75CB"/>
    <w:rsid w:val="004B7663"/>
    <w:rsid w:val="004B791E"/>
    <w:rsid w:val="004C0049"/>
    <w:rsid w:val="004C00AD"/>
    <w:rsid w:val="004C044E"/>
    <w:rsid w:val="004C1794"/>
    <w:rsid w:val="004C1A03"/>
    <w:rsid w:val="004C1FD1"/>
    <w:rsid w:val="004C23F0"/>
    <w:rsid w:val="004C240E"/>
    <w:rsid w:val="004C266E"/>
    <w:rsid w:val="004C2B62"/>
    <w:rsid w:val="004C2C5E"/>
    <w:rsid w:val="004C31FD"/>
    <w:rsid w:val="004C41AF"/>
    <w:rsid w:val="004C4B7A"/>
    <w:rsid w:val="004C5230"/>
    <w:rsid w:val="004C5373"/>
    <w:rsid w:val="004C5B2C"/>
    <w:rsid w:val="004C5EAF"/>
    <w:rsid w:val="004C600A"/>
    <w:rsid w:val="004C6EF8"/>
    <w:rsid w:val="004C7134"/>
    <w:rsid w:val="004C736B"/>
    <w:rsid w:val="004C7385"/>
    <w:rsid w:val="004C743E"/>
    <w:rsid w:val="004D0144"/>
    <w:rsid w:val="004D014C"/>
    <w:rsid w:val="004D090E"/>
    <w:rsid w:val="004D09E7"/>
    <w:rsid w:val="004D0EBF"/>
    <w:rsid w:val="004D1AF5"/>
    <w:rsid w:val="004D2C54"/>
    <w:rsid w:val="004D31A3"/>
    <w:rsid w:val="004D456D"/>
    <w:rsid w:val="004D45F0"/>
    <w:rsid w:val="004D4923"/>
    <w:rsid w:val="004D4E3B"/>
    <w:rsid w:val="004D53F4"/>
    <w:rsid w:val="004D545D"/>
    <w:rsid w:val="004D573A"/>
    <w:rsid w:val="004D5870"/>
    <w:rsid w:val="004D5B8F"/>
    <w:rsid w:val="004D5F44"/>
    <w:rsid w:val="004D616C"/>
    <w:rsid w:val="004D61F7"/>
    <w:rsid w:val="004D621D"/>
    <w:rsid w:val="004D6264"/>
    <w:rsid w:val="004D667C"/>
    <w:rsid w:val="004D678F"/>
    <w:rsid w:val="004D68D5"/>
    <w:rsid w:val="004D690C"/>
    <w:rsid w:val="004D69C9"/>
    <w:rsid w:val="004D6C85"/>
    <w:rsid w:val="004D721B"/>
    <w:rsid w:val="004D73D9"/>
    <w:rsid w:val="004D7484"/>
    <w:rsid w:val="004D75BF"/>
    <w:rsid w:val="004E0359"/>
    <w:rsid w:val="004E05BE"/>
    <w:rsid w:val="004E05CF"/>
    <w:rsid w:val="004E11B4"/>
    <w:rsid w:val="004E1638"/>
    <w:rsid w:val="004E1B7A"/>
    <w:rsid w:val="004E1BC4"/>
    <w:rsid w:val="004E1DAF"/>
    <w:rsid w:val="004E1FB4"/>
    <w:rsid w:val="004E22F5"/>
    <w:rsid w:val="004E25FF"/>
    <w:rsid w:val="004E28F2"/>
    <w:rsid w:val="004E3258"/>
    <w:rsid w:val="004E3BDC"/>
    <w:rsid w:val="004E3FA5"/>
    <w:rsid w:val="004E405C"/>
    <w:rsid w:val="004E406B"/>
    <w:rsid w:val="004E5785"/>
    <w:rsid w:val="004E5AD8"/>
    <w:rsid w:val="004E68EB"/>
    <w:rsid w:val="004E6F9E"/>
    <w:rsid w:val="004E702C"/>
    <w:rsid w:val="004E73F2"/>
    <w:rsid w:val="004E7C66"/>
    <w:rsid w:val="004F0550"/>
    <w:rsid w:val="004F0AC7"/>
    <w:rsid w:val="004F0D03"/>
    <w:rsid w:val="004F0F6C"/>
    <w:rsid w:val="004F1884"/>
    <w:rsid w:val="004F1DAE"/>
    <w:rsid w:val="004F2801"/>
    <w:rsid w:val="004F2B52"/>
    <w:rsid w:val="004F2C0E"/>
    <w:rsid w:val="004F3566"/>
    <w:rsid w:val="004F3715"/>
    <w:rsid w:val="004F3865"/>
    <w:rsid w:val="004F459E"/>
    <w:rsid w:val="004F46C9"/>
    <w:rsid w:val="004F4AD5"/>
    <w:rsid w:val="004F4D08"/>
    <w:rsid w:val="004F50DD"/>
    <w:rsid w:val="004F55E6"/>
    <w:rsid w:val="004F648A"/>
    <w:rsid w:val="004F68F1"/>
    <w:rsid w:val="004F6915"/>
    <w:rsid w:val="004F6981"/>
    <w:rsid w:val="004F6AB0"/>
    <w:rsid w:val="004F6FB7"/>
    <w:rsid w:val="004F7193"/>
    <w:rsid w:val="004F7E0C"/>
    <w:rsid w:val="00500D7C"/>
    <w:rsid w:val="00501354"/>
    <w:rsid w:val="005015C5"/>
    <w:rsid w:val="00501724"/>
    <w:rsid w:val="00501E7C"/>
    <w:rsid w:val="00502593"/>
    <w:rsid w:val="00502E00"/>
    <w:rsid w:val="00503855"/>
    <w:rsid w:val="00504328"/>
    <w:rsid w:val="00505170"/>
    <w:rsid w:val="00505709"/>
    <w:rsid w:val="005058D3"/>
    <w:rsid w:val="00505BC7"/>
    <w:rsid w:val="00505CD4"/>
    <w:rsid w:val="00506646"/>
    <w:rsid w:val="005067B2"/>
    <w:rsid w:val="00506DC5"/>
    <w:rsid w:val="005071A7"/>
    <w:rsid w:val="00507961"/>
    <w:rsid w:val="0050798A"/>
    <w:rsid w:val="00507D17"/>
    <w:rsid w:val="00507EA6"/>
    <w:rsid w:val="00507FED"/>
    <w:rsid w:val="005107D0"/>
    <w:rsid w:val="00510A37"/>
    <w:rsid w:val="00510BC8"/>
    <w:rsid w:val="00511223"/>
    <w:rsid w:val="0051176D"/>
    <w:rsid w:val="0051195B"/>
    <w:rsid w:val="00512165"/>
    <w:rsid w:val="005122FA"/>
    <w:rsid w:val="005127E6"/>
    <w:rsid w:val="00512E9C"/>
    <w:rsid w:val="0051362C"/>
    <w:rsid w:val="00513638"/>
    <w:rsid w:val="00513674"/>
    <w:rsid w:val="005136A0"/>
    <w:rsid w:val="005136F4"/>
    <w:rsid w:val="005137AE"/>
    <w:rsid w:val="00513D10"/>
    <w:rsid w:val="005141E6"/>
    <w:rsid w:val="005142C1"/>
    <w:rsid w:val="005143A3"/>
    <w:rsid w:val="00514A26"/>
    <w:rsid w:val="00514DF6"/>
    <w:rsid w:val="00515854"/>
    <w:rsid w:val="00515B9E"/>
    <w:rsid w:val="00516154"/>
    <w:rsid w:val="005162C4"/>
    <w:rsid w:val="005165FA"/>
    <w:rsid w:val="00516658"/>
    <w:rsid w:val="005169DB"/>
    <w:rsid w:val="0051707F"/>
    <w:rsid w:val="0051741C"/>
    <w:rsid w:val="00517786"/>
    <w:rsid w:val="00517D21"/>
    <w:rsid w:val="00517E3D"/>
    <w:rsid w:val="0052079F"/>
    <w:rsid w:val="00521216"/>
    <w:rsid w:val="005214DD"/>
    <w:rsid w:val="00521DF8"/>
    <w:rsid w:val="005223DF"/>
    <w:rsid w:val="005227A3"/>
    <w:rsid w:val="005232A6"/>
    <w:rsid w:val="00523D34"/>
    <w:rsid w:val="00524051"/>
    <w:rsid w:val="00525096"/>
    <w:rsid w:val="005251C1"/>
    <w:rsid w:val="00525295"/>
    <w:rsid w:val="00525865"/>
    <w:rsid w:val="00525E28"/>
    <w:rsid w:val="00526021"/>
    <w:rsid w:val="00526577"/>
    <w:rsid w:val="00526604"/>
    <w:rsid w:val="0052665A"/>
    <w:rsid w:val="0052690A"/>
    <w:rsid w:val="00526A12"/>
    <w:rsid w:val="00526F1A"/>
    <w:rsid w:val="0052718C"/>
    <w:rsid w:val="00527418"/>
    <w:rsid w:val="00527B27"/>
    <w:rsid w:val="005307E8"/>
    <w:rsid w:val="00530804"/>
    <w:rsid w:val="00530EE5"/>
    <w:rsid w:val="005318FF"/>
    <w:rsid w:val="00532057"/>
    <w:rsid w:val="00532919"/>
    <w:rsid w:val="00532A95"/>
    <w:rsid w:val="00532BF0"/>
    <w:rsid w:val="00532D57"/>
    <w:rsid w:val="00532E67"/>
    <w:rsid w:val="005334F2"/>
    <w:rsid w:val="00533984"/>
    <w:rsid w:val="00533C7C"/>
    <w:rsid w:val="005343ED"/>
    <w:rsid w:val="00534831"/>
    <w:rsid w:val="005355BF"/>
    <w:rsid w:val="00535D6A"/>
    <w:rsid w:val="00536CF7"/>
    <w:rsid w:val="00536D52"/>
    <w:rsid w:val="005375B3"/>
    <w:rsid w:val="00540227"/>
    <w:rsid w:val="0054046D"/>
    <w:rsid w:val="005404EF"/>
    <w:rsid w:val="005405BE"/>
    <w:rsid w:val="00540636"/>
    <w:rsid w:val="005409B0"/>
    <w:rsid w:val="00540D21"/>
    <w:rsid w:val="00540F32"/>
    <w:rsid w:val="00541D34"/>
    <w:rsid w:val="0054211C"/>
    <w:rsid w:val="00542633"/>
    <w:rsid w:val="005435CC"/>
    <w:rsid w:val="00543602"/>
    <w:rsid w:val="0054384C"/>
    <w:rsid w:val="00543C29"/>
    <w:rsid w:val="00543EE7"/>
    <w:rsid w:val="005442AC"/>
    <w:rsid w:val="0054447B"/>
    <w:rsid w:val="005445AA"/>
    <w:rsid w:val="00544966"/>
    <w:rsid w:val="00544A45"/>
    <w:rsid w:val="00544DB7"/>
    <w:rsid w:val="00545291"/>
    <w:rsid w:val="00545527"/>
    <w:rsid w:val="00545784"/>
    <w:rsid w:val="00545823"/>
    <w:rsid w:val="00545982"/>
    <w:rsid w:val="00545E33"/>
    <w:rsid w:val="00546E52"/>
    <w:rsid w:val="00546EA7"/>
    <w:rsid w:val="00546EC6"/>
    <w:rsid w:val="00546F4D"/>
    <w:rsid w:val="00546F8D"/>
    <w:rsid w:val="00547305"/>
    <w:rsid w:val="0054746E"/>
    <w:rsid w:val="00547939"/>
    <w:rsid w:val="00547D40"/>
    <w:rsid w:val="0055009A"/>
    <w:rsid w:val="00550137"/>
    <w:rsid w:val="005502D1"/>
    <w:rsid w:val="0055045B"/>
    <w:rsid w:val="0055061A"/>
    <w:rsid w:val="005506CF"/>
    <w:rsid w:val="005507FA"/>
    <w:rsid w:val="00550BE2"/>
    <w:rsid w:val="0055136B"/>
    <w:rsid w:val="005515C2"/>
    <w:rsid w:val="005515E6"/>
    <w:rsid w:val="00551675"/>
    <w:rsid w:val="00551811"/>
    <w:rsid w:val="00551CB5"/>
    <w:rsid w:val="005523A8"/>
    <w:rsid w:val="005524E9"/>
    <w:rsid w:val="0055300F"/>
    <w:rsid w:val="00553312"/>
    <w:rsid w:val="005538F1"/>
    <w:rsid w:val="00553976"/>
    <w:rsid w:val="00553CE0"/>
    <w:rsid w:val="00553ED8"/>
    <w:rsid w:val="00553F0E"/>
    <w:rsid w:val="00553FEF"/>
    <w:rsid w:val="00554597"/>
    <w:rsid w:val="005548F3"/>
    <w:rsid w:val="00554F90"/>
    <w:rsid w:val="00555261"/>
    <w:rsid w:val="005552C3"/>
    <w:rsid w:val="0055558F"/>
    <w:rsid w:val="005557AD"/>
    <w:rsid w:val="005558E6"/>
    <w:rsid w:val="00555AF2"/>
    <w:rsid w:val="00555B12"/>
    <w:rsid w:val="0055689A"/>
    <w:rsid w:val="0055701A"/>
    <w:rsid w:val="00557D3E"/>
    <w:rsid w:val="00560249"/>
    <w:rsid w:val="005602F8"/>
    <w:rsid w:val="0056095F"/>
    <w:rsid w:val="00560E0C"/>
    <w:rsid w:val="005613BB"/>
    <w:rsid w:val="00561473"/>
    <w:rsid w:val="005631AB"/>
    <w:rsid w:val="00563551"/>
    <w:rsid w:val="0056360D"/>
    <w:rsid w:val="00563940"/>
    <w:rsid w:val="00563BFB"/>
    <w:rsid w:val="0056400E"/>
    <w:rsid w:val="0056404F"/>
    <w:rsid w:val="005647E7"/>
    <w:rsid w:val="00564927"/>
    <w:rsid w:val="00564C9E"/>
    <w:rsid w:val="00565465"/>
    <w:rsid w:val="0056669D"/>
    <w:rsid w:val="00567032"/>
    <w:rsid w:val="00567503"/>
    <w:rsid w:val="00567667"/>
    <w:rsid w:val="00567C84"/>
    <w:rsid w:val="00570483"/>
    <w:rsid w:val="00570C7C"/>
    <w:rsid w:val="00570FB0"/>
    <w:rsid w:val="00571002"/>
    <w:rsid w:val="005711DC"/>
    <w:rsid w:val="00571E81"/>
    <w:rsid w:val="00571F28"/>
    <w:rsid w:val="00572088"/>
    <w:rsid w:val="005720DE"/>
    <w:rsid w:val="00573138"/>
    <w:rsid w:val="00573166"/>
    <w:rsid w:val="005734E3"/>
    <w:rsid w:val="0057353A"/>
    <w:rsid w:val="005735E0"/>
    <w:rsid w:val="00573B90"/>
    <w:rsid w:val="0057438D"/>
    <w:rsid w:val="00574825"/>
    <w:rsid w:val="00574869"/>
    <w:rsid w:val="005748D0"/>
    <w:rsid w:val="005757B8"/>
    <w:rsid w:val="00575849"/>
    <w:rsid w:val="00575AC9"/>
    <w:rsid w:val="00576A20"/>
    <w:rsid w:val="005771ED"/>
    <w:rsid w:val="0057724F"/>
    <w:rsid w:val="00577C0F"/>
    <w:rsid w:val="005808ED"/>
    <w:rsid w:val="005809DD"/>
    <w:rsid w:val="00580A05"/>
    <w:rsid w:val="00580A7C"/>
    <w:rsid w:val="00580E9C"/>
    <w:rsid w:val="00580F0C"/>
    <w:rsid w:val="00580F3D"/>
    <w:rsid w:val="00580FD9"/>
    <w:rsid w:val="00581B90"/>
    <w:rsid w:val="00581C0F"/>
    <w:rsid w:val="005820B0"/>
    <w:rsid w:val="00582203"/>
    <w:rsid w:val="0058246E"/>
    <w:rsid w:val="00583F8B"/>
    <w:rsid w:val="00584B85"/>
    <w:rsid w:val="00587F4F"/>
    <w:rsid w:val="00590152"/>
    <w:rsid w:val="00590584"/>
    <w:rsid w:val="00590A98"/>
    <w:rsid w:val="00590AD3"/>
    <w:rsid w:val="00590AD4"/>
    <w:rsid w:val="00590EDC"/>
    <w:rsid w:val="00590FF8"/>
    <w:rsid w:val="00591419"/>
    <w:rsid w:val="005915B6"/>
    <w:rsid w:val="00592484"/>
    <w:rsid w:val="00592540"/>
    <w:rsid w:val="00592C1E"/>
    <w:rsid w:val="00592D5A"/>
    <w:rsid w:val="00593594"/>
    <w:rsid w:val="0059387B"/>
    <w:rsid w:val="005942B3"/>
    <w:rsid w:val="00594462"/>
    <w:rsid w:val="00594AB3"/>
    <w:rsid w:val="005951B1"/>
    <w:rsid w:val="0059548D"/>
    <w:rsid w:val="00595B27"/>
    <w:rsid w:val="0059610B"/>
    <w:rsid w:val="00596701"/>
    <w:rsid w:val="005967E0"/>
    <w:rsid w:val="005969AB"/>
    <w:rsid w:val="00596BE6"/>
    <w:rsid w:val="00596DE9"/>
    <w:rsid w:val="00597202"/>
    <w:rsid w:val="005972B5"/>
    <w:rsid w:val="0059743C"/>
    <w:rsid w:val="005975F9"/>
    <w:rsid w:val="0059768B"/>
    <w:rsid w:val="005A002A"/>
    <w:rsid w:val="005A026D"/>
    <w:rsid w:val="005A02C6"/>
    <w:rsid w:val="005A0C7E"/>
    <w:rsid w:val="005A0CB7"/>
    <w:rsid w:val="005A113B"/>
    <w:rsid w:val="005A121B"/>
    <w:rsid w:val="005A15DB"/>
    <w:rsid w:val="005A1B55"/>
    <w:rsid w:val="005A2954"/>
    <w:rsid w:val="005A30EC"/>
    <w:rsid w:val="005A312D"/>
    <w:rsid w:val="005A32A2"/>
    <w:rsid w:val="005A3475"/>
    <w:rsid w:val="005A3638"/>
    <w:rsid w:val="005A39CF"/>
    <w:rsid w:val="005A4FBB"/>
    <w:rsid w:val="005A5166"/>
    <w:rsid w:val="005A5568"/>
    <w:rsid w:val="005A597D"/>
    <w:rsid w:val="005A67C5"/>
    <w:rsid w:val="005A6ACD"/>
    <w:rsid w:val="005A6CAE"/>
    <w:rsid w:val="005A7016"/>
    <w:rsid w:val="005A7987"/>
    <w:rsid w:val="005A7A10"/>
    <w:rsid w:val="005A7E09"/>
    <w:rsid w:val="005B04E8"/>
    <w:rsid w:val="005B0CB6"/>
    <w:rsid w:val="005B0D3A"/>
    <w:rsid w:val="005B101A"/>
    <w:rsid w:val="005B115B"/>
    <w:rsid w:val="005B1546"/>
    <w:rsid w:val="005B18FC"/>
    <w:rsid w:val="005B1A26"/>
    <w:rsid w:val="005B1C9A"/>
    <w:rsid w:val="005B25A8"/>
    <w:rsid w:val="005B25BC"/>
    <w:rsid w:val="005B29EC"/>
    <w:rsid w:val="005B35BE"/>
    <w:rsid w:val="005B376C"/>
    <w:rsid w:val="005B39E2"/>
    <w:rsid w:val="005B3EF9"/>
    <w:rsid w:val="005B44BC"/>
    <w:rsid w:val="005B495E"/>
    <w:rsid w:val="005B4D56"/>
    <w:rsid w:val="005B4F50"/>
    <w:rsid w:val="005B5099"/>
    <w:rsid w:val="005B600F"/>
    <w:rsid w:val="005B6192"/>
    <w:rsid w:val="005B658B"/>
    <w:rsid w:val="005B660E"/>
    <w:rsid w:val="005B6810"/>
    <w:rsid w:val="005B7000"/>
    <w:rsid w:val="005B734F"/>
    <w:rsid w:val="005C024E"/>
    <w:rsid w:val="005C04C3"/>
    <w:rsid w:val="005C09DB"/>
    <w:rsid w:val="005C0D10"/>
    <w:rsid w:val="005C1F65"/>
    <w:rsid w:val="005C22D7"/>
    <w:rsid w:val="005C2DCB"/>
    <w:rsid w:val="005C3201"/>
    <w:rsid w:val="005C38E5"/>
    <w:rsid w:val="005C39F6"/>
    <w:rsid w:val="005C3DB7"/>
    <w:rsid w:val="005C3F4D"/>
    <w:rsid w:val="005C458C"/>
    <w:rsid w:val="005C45E2"/>
    <w:rsid w:val="005C474E"/>
    <w:rsid w:val="005C4F80"/>
    <w:rsid w:val="005C4FBD"/>
    <w:rsid w:val="005C52D5"/>
    <w:rsid w:val="005C5531"/>
    <w:rsid w:val="005C55E5"/>
    <w:rsid w:val="005C5759"/>
    <w:rsid w:val="005C59CB"/>
    <w:rsid w:val="005C5CDF"/>
    <w:rsid w:val="005C62BB"/>
    <w:rsid w:val="005C64F3"/>
    <w:rsid w:val="005C6588"/>
    <w:rsid w:val="005C6DBC"/>
    <w:rsid w:val="005C6FF2"/>
    <w:rsid w:val="005C7032"/>
    <w:rsid w:val="005C7474"/>
    <w:rsid w:val="005C7A96"/>
    <w:rsid w:val="005D0005"/>
    <w:rsid w:val="005D032C"/>
    <w:rsid w:val="005D0756"/>
    <w:rsid w:val="005D08DA"/>
    <w:rsid w:val="005D0EC6"/>
    <w:rsid w:val="005D120C"/>
    <w:rsid w:val="005D139E"/>
    <w:rsid w:val="005D13A0"/>
    <w:rsid w:val="005D19EA"/>
    <w:rsid w:val="005D1AC6"/>
    <w:rsid w:val="005D1EF1"/>
    <w:rsid w:val="005D2039"/>
    <w:rsid w:val="005D2732"/>
    <w:rsid w:val="005D29C8"/>
    <w:rsid w:val="005D2AEE"/>
    <w:rsid w:val="005D2B17"/>
    <w:rsid w:val="005D2B7B"/>
    <w:rsid w:val="005D3053"/>
    <w:rsid w:val="005D346D"/>
    <w:rsid w:val="005D3665"/>
    <w:rsid w:val="005D4193"/>
    <w:rsid w:val="005D45F0"/>
    <w:rsid w:val="005D4CFF"/>
    <w:rsid w:val="005D52DD"/>
    <w:rsid w:val="005D5616"/>
    <w:rsid w:val="005D5EE2"/>
    <w:rsid w:val="005D63F7"/>
    <w:rsid w:val="005D6479"/>
    <w:rsid w:val="005D69FC"/>
    <w:rsid w:val="005D7391"/>
    <w:rsid w:val="005D75CD"/>
    <w:rsid w:val="005D78F2"/>
    <w:rsid w:val="005D7EE5"/>
    <w:rsid w:val="005D7FC7"/>
    <w:rsid w:val="005E1265"/>
    <w:rsid w:val="005E1782"/>
    <w:rsid w:val="005E185D"/>
    <w:rsid w:val="005E1A2F"/>
    <w:rsid w:val="005E1BFD"/>
    <w:rsid w:val="005E1D81"/>
    <w:rsid w:val="005E1DDB"/>
    <w:rsid w:val="005E2079"/>
    <w:rsid w:val="005E2507"/>
    <w:rsid w:val="005E3454"/>
    <w:rsid w:val="005E3CB1"/>
    <w:rsid w:val="005E3F10"/>
    <w:rsid w:val="005E3FFD"/>
    <w:rsid w:val="005E4378"/>
    <w:rsid w:val="005E4927"/>
    <w:rsid w:val="005E49C0"/>
    <w:rsid w:val="005E4C15"/>
    <w:rsid w:val="005E4E28"/>
    <w:rsid w:val="005E4E90"/>
    <w:rsid w:val="005E55EA"/>
    <w:rsid w:val="005E58A3"/>
    <w:rsid w:val="005E63E3"/>
    <w:rsid w:val="005E6474"/>
    <w:rsid w:val="005E7126"/>
    <w:rsid w:val="005E743B"/>
    <w:rsid w:val="005E7695"/>
    <w:rsid w:val="005E785C"/>
    <w:rsid w:val="005F0030"/>
    <w:rsid w:val="005F00D5"/>
    <w:rsid w:val="005F0358"/>
    <w:rsid w:val="005F0431"/>
    <w:rsid w:val="005F048A"/>
    <w:rsid w:val="005F0EAE"/>
    <w:rsid w:val="005F0F0E"/>
    <w:rsid w:val="005F1802"/>
    <w:rsid w:val="005F1DF2"/>
    <w:rsid w:val="005F227B"/>
    <w:rsid w:val="005F2C9B"/>
    <w:rsid w:val="005F371C"/>
    <w:rsid w:val="005F39AA"/>
    <w:rsid w:val="005F39D1"/>
    <w:rsid w:val="005F3CF7"/>
    <w:rsid w:val="005F3D92"/>
    <w:rsid w:val="005F46D4"/>
    <w:rsid w:val="005F4CB7"/>
    <w:rsid w:val="005F4D77"/>
    <w:rsid w:val="005F4DD5"/>
    <w:rsid w:val="005F5095"/>
    <w:rsid w:val="005F5166"/>
    <w:rsid w:val="005F5509"/>
    <w:rsid w:val="005F597E"/>
    <w:rsid w:val="005F60DA"/>
    <w:rsid w:val="005F6680"/>
    <w:rsid w:val="005F6AB2"/>
    <w:rsid w:val="005F71EE"/>
    <w:rsid w:val="005F74DC"/>
    <w:rsid w:val="006001C0"/>
    <w:rsid w:val="00600341"/>
    <w:rsid w:val="006007DC"/>
    <w:rsid w:val="0060109F"/>
    <w:rsid w:val="006015C4"/>
    <w:rsid w:val="00602109"/>
    <w:rsid w:val="0060237C"/>
    <w:rsid w:val="006023CA"/>
    <w:rsid w:val="00602840"/>
    <w:rsid w:val="00602F35"/>
    <w:rsid w:val="006037DD"/>
    <w:rsid w:val="00603C6F"/>
    <w:rsid w:val="00603D68"/>
    <w:rsid w:val="00603FFF"/>
    <w:rsid w:val="00604564"/>
    <w:rsid w:val="006048FE"/>
    <w:rsid w:val="00604908"/>
    <w:rsid w:val="00604D29"/>
    <w:rsid w:val="00604E6E"/>
    <w:rsid w:val="006052F0"/>
    <w:rsid w:val="00605497"/>
    <w:rsid w:val="006054CA"/>
    <w:rsid w:val="0060574D"/>
    <w:rsid w:val="00606128"/>
    <w:rsid w:val="0060669B"/>
    <w:rsid w:val="00606903"/>
    <w:rsid w:val="00606B78"/>
    <w:rsid w:val="00606C3C"/>
    <w:rsid w:val="00606E90"/>
    <w:rsid w:val="006076A8"/>
    <w:rsid w:val="0060781B"/>
    <w:rsid w:val="006109F5"/>
    <w:rsid w:val="00610F19"/>
    <w:rsid w:val="006115AC"/>
    <w:rsid w:val="006117FD"/>
    <w:rsid w:val="00612193"/>
    <w:rsid w:val="0061252D"/>
    <w:rsid w:val="006127DD"/>
    <w:rsid w:val="00612C06"/>
    <w:rsid w:val="00612E5C"/>
    <w:rsid w:val="00613000"/>
    <w:rsid w:val="006131B6"/>
    <w:rsid w:val="0061331D"/>
    <w:rsid w:val="00613920"/>
    <w:rsid w:val="00613D69"/>
    <w:rsid w:val="00614236"/>
    <w:rsid w:val="006143BB"/>
    <w:rsid w:val="0061449A"/>
    <w:rsid w:val="00614545"/>
    <w:rsid w:val="0061478B"/>
    <w:rsid w:val="006147FA"/>
    <w:rsid w:val="00614C60"/>
    <w:rsid w:val="00614D77"/>
    <w:rsid w:val="00615880"/>
    <w:rsid w:val="006159DD"/>
    <w:rsid w:val="00615CAF"/>
    <w:rsid w:val="00615D6A"/>
    <w:rsid w:val="00615E0F"/>
    <w:rsid w:val="00616C35"/>
    <w:rsid w:val="00616D70"/>
    <w:rsid w:val="00617525"/>
    <w:rsid w:val="006175D1"/>
    <w:rsid w:val="006175E9"/>
    <w:rsid w:val="006179F4"/>
    <w:rsid w:val="00617B2B"/>
    <w:rsid w:val="006205A0"/>
    <w:rsid w:val="006218E7"/>
    <w:rsid w:val="00621C9F"/>
    <w:rsid w:val="00621CDB"/>
    <w:rsid w:val="006231FD"/>
    <w:rsid w:val="00623245"/>
    <w:rsid w:val="00623512"/>
    <w:rsid w:val="006239EF"/>
    <w:rsid w:val="00623D2C"/>
    <w:rsid w:val="00624400"/>
    <w:rsid w:val="00624611"/>
    <w:rsid w:val="00624AD6"/>
    <w:rsid w:val="00624C50"/>
    <w:rsid w:val="00624D5D"/>
    <w:rsid w:val="00625946"/>
    <w:rsid w:val="00625BC2"/>
    <w:rsid w:val="00626488"/>
    <w:rsid w:val="0062658E"/>
    <w:rsid w:val="00626A7D"/>
    <w:rsid w:val="00626B3D"/>
    <w:rsid w:val="00626E47"/>
    <w:rsid w:val="00627E76"/>
    <w:rsid w:val="00627FCD"/>
    <w:rsid w:val="00630130"/>
    <w:rsid w:val="00630184"/>
    <w:rsid w:val="0063020D"/>
    <w:rsid w:val="006302C8"/>
    <w:rsid w:val="00630408"/>
    <w:rsid w:val="006304CF"/>
    <w:rsid w:val="00630FC5"/>
    <w:rsid w:val="006313C5"/>
    <w:rsid w:val="0063160F"/>
    <w:rsid w:val="00631C83"/>
    <w:rsid w:val="00631E0A"/>
    <w:rsid w:val="006321C7"/>
    <w:rsid w:val="0063224B"/>
    <w:rsid w:val="00632334"/>
    <w:rsid w:val="006324B3"/>
    <w:rsid w:val="006325BB"/>
    <w:rsid w:val="00632A7C"/>
    <w:rsid w:val="00632DC1"/>
    <w:rsid w:val="00632DE0"/>
    <w:rsid w:val="00633517"/>
    <w:rsid w:val="006335C4"/>
    <w:rsid w:val="0063364F"/>
    <w:rsid w:val="0063365C"/>
    <w:rsid w:val="00633808"/>
    <w:rsid w:val="00633AF3"/>
    <w:rsid w:val="00634362"/>
    <w:rsid w:val="00634880"/>
    <w:rsid w:val="00634E53"/>
    <w:rsid w:val="00634EBF"/>
    <w:rsid w:val="00635029"/>
    <w:rsid w:val="0063540A"/>
    <w:rsid w:val="0063567B"/>
    <w:rsid w:val="00635744"/>
    <w:rsid w:val="00635CB3"/>
    <w:rsid w:val="00635E0D"/>
    <w:rsid w:val="00635E4A"/>
    <w:rsid w:val="00635F54"/>
    <w:rsid w:val="006360FA"/>
    <w:rsid w:val="00636B4A"/>
    <w:rsid w:val="00636F36"/>
    <w:rsid w:val="00637BED"/>
    <w:rsid w:val="00640BB7"/>
    <w:rsid w:val="00640D42"/>
    <w:rsid w:val="00641968"/>
    <w:rsid w:val="00641B7C"/>
    <w:rsid w:val="00641CD8"/>
    <w:rsid w:val="006426B4"/>
    <w:rsid w:val="00642C10"/>
    <w:rsid w:val="00642DA2"/>
    <w:rsid w:val="00642EB7"/>
    <w:rsid w:val="00642F81"/>
    <w:rsid w:val="006430C1"/>
    <w:rsid w:val="00643EEF"/>
    <w:rsid w:val="006441CD"/>
    <w:rsid w:val="00644448"/>
    <w:rsid w:val="00644C4D"/>
    <w:rsid w:val="00644DA6"/>
    <w:rsid w:val="00645B37"/>
    <w:rsid w:val="006461AF"/>
    <w:rsid w:val="0064688D"/>
    <w:rsid w:val="006474E7"/>
    <w:rsid w:val="00647942"/>
    <w:rsid w:val="00650255"/>
    <w:rsid w:val="006509E2"/>
    <w:rsid w:val="00650A9F"/>
    <w:rsid w:val="00650B22"/>
    <w:rsid w:val="00650C2E"/>
    <w:rsid w:val="00650CBD"/>
    <w:rsid w:val="00651853"/>
    <w:rsid w:val="00651B17"/>
    <w:rsid w:val="00651C68"/>
    <w:rsid w:val="00652135"/>
    <w:rsid w:val="00652392"/>
    <w:rsid w:val="00652B9B"/>
    <w:rsid w:val="00652DF9"/>
    <w:rsid w:val="00653730"/>
    <w:rsid w:val="006542F7"/>
    <w:rsid w:val="00654545"/>
    <w:rsid w:val="0065525A"/>
    <w:rsid w:val="00655F75"/>
    <w:rsid w:val="006562E4"/>
    <w:rsid w:val="00656BEA"/>
    <w:rsid w:val="006571CF"/>
    <w:rsid w:val="00657837"/>
    <w:rsid w:val="00657B71"/>
    <w:rsid w:val="00657B91"/>
    <w:rsid w:val="006602C9"/>
    <w:rsid w:val="006606C5"/>
    <w:rsid w:val="006608DB"/>
    <w:rsid w:val="00660F41"/>
    <w:rsid w:val="00661330"/>
    <w:rsid w:val="0066150B"/>
    <w:rsid w:val="0066185B"/>
    <w:rsid w:val="00661BAE"/>
    <w:rsid w:val="006623B9"/>
    <w:rsid w:val="0066271A"/>
    <w:rsid w:val="00662C9B"/>
    <w:rsid w:val="00662DB9"/>
    <w:rsid w:val="00662DF7"/>
    <w:rsid w:val="00662FEC"/>
    <w:rsid w:val="006631C9"/>
    <w:rsid w:val="0066366B"/>
    <w:rsid w:val="006637EA"/>
    <w:rsid w:val="0066391A"/>
    <w:rsid w:val="00663B7D"/>
    <w:rsid w:val="00663FD3"/>
    <w:rsid w:val="006647A2"/>
    <w:rsid w:val="0066482E"/>
    <w:rsid w:val="00664C6B"/>
    <w:rsid w:val="00664E38"/>
    <w:rsid w:val="006654A4"/>
    <w:rsid w:val="0066559A"/>
    <w:rsid w:val="00665E83"/>
    <w:rsid w:val="00665F09"/>
    <w:rsid w:val="00666012"/>
    <w:rsid w:val="00666233"/>
    <w:rsid w:val="00666470"/>
    <w:rsid w:val="00666FA3"/>
    <w:rsid w:val="006674F8"/>
    <w:rsid w:val="0066758D"/>
    <w:rsid w:val="00667777"/>
    <w:rsid w:val="00667829"/>
    <w:rsid w:val="00667941"/>
    <w:rsid w:val="00667D24"/>
    <w:rsid w:val="00667F98"/>
    <w:rsid w:val="00670429"/>
    <w:rsid w:val="006713F1"/>
    <w:rsid w:val="006715A5"/>
    <w:rsid w:val="00671613"/>
    <w:rsid w:val="00671D68"/>
    <w:rsid w:val="00671FF7"/>
    <w:rsid w:val="00672062"/>
    <w:rsid w:val="006721C0"/>
    <w:rsid w:val="00672C3F"/>
    <w:rsid w:val="00673481"/>
    <w:rsid w:val="006734DC"/>
    <w:rsid w:val="00673779"/>
    <w:rsid w:val="00673A20"/>
    <w:rsid w:val="00673C92"/>
    <w:rsid w:val="00673D8A"/>
    <w:rsid w:val="00674441"/>
    <w:rsid w:val="0067447B"/>
    <w:rsid w:val="0067514F"/>
    <w:rsid w:val="006757C8"/>
    <w:rsid w:val="00675980"/>
    <w:rsid w:val="00675A61"/>
    <w:rsid w:val="00675D82"/>
    <w:rsid w:val="00675E39"/>
    <w:rsid w:val="00675F73"/>
    <w:rsid w:val="006766AD"/>
    <w:rsid w:val="00676DAE"/>
    <w:rsid w:val="0068042D"/>
    <w:rsid w:val="0068046D"/>
    <w:rsid w:val="006805EB"/>
    <w:rsid w:val="006807D4"/>
    <w:rsid w:val="00680DF0"/>
    <w:rsid w:val="00681226"/>
    <w:rsid w:val="006814C5"/>
    <w:rsid w:val="006816E1"/>
    <w:rsid w:val="006817A2"/>
    <w:rsid w:val="00681B44"/>
    <w:rsid w:val="00681E68"/>
    <w:rsid w:val="00682462"/>
    <w:rsid w:val="00682468"/>
    <w:rsid w:val="00682A1A"/>
    <w:rsid w:val="00683007"/>
    <w:rsid w:val="0068315E"/>
    <w:rsid w:val="00683662"/>
    <w:rsid w:val="00683A75"/>
    <w:rsid w:val="00684741"/>
    <w:rsid w:val="0068556B"/>
    <w:rsid w:val="006856F2"/>
    <w:rsid w:val="00685AD3"/>
    <w:rsid w:val="00685AF3"/>
    <w:rsid w:val="00685AFB"/>
    <w:rsid w:val="00685B43"/>
    <w:rsid w:val="00685F3E"/>
    <w:rsid w:val="0068687E"/>
    <w:rsid w:val="00686B8F"/>
    <w:rsid w:val="00686F22"/>
    <w:rsid w:val="00686F3B"/>
    <w:rsid w:val="006878F5"/>
    <w:rsid w:val="00687E8F"/>
    <w:rsid w:val="00690C59"/>
    <w:rsid w:val="00691B82"/>
    <w:rsid w:val="00691CF5"/>
    <w:rsid w:val="0069249A"/>
    <w:rsid w:val="0069296F"/>
    <w:rsid w:val="00692AF1"/>
    <w:rsid w:val="00692E45"/>
    <w:rsid w:val="0069306B"/>
    <w:rsid w:val="00693B1C"/>
    <w:rsid w:val="006942A9"/>
    <w:rsid w:val="00694A2E"/>
    <w:rsid w:val="00694C0D"/>
    <w:rsid w:val="00694ED8"/>
    <w:rsid w:val="006954CC"/>
    <w:rsid w:val="00695CA6"/>
    <w:rsid w:val="00696259"/>
    <w:rsid w:val="00696353"/>
    <w:rsid w:val="00696639"/>
    <w:rsid w:val="006969A0"/>
    <w:rsid w:val="00696BC5"/>
    <w:rsid w:val="00696DB9"/>
    <w:rsid w:val="00697887"/>
    <w:rsid w:val="006A0060"/>
    <w:rsid w:val="006A027D"/>
    <w:rsid w:val="006A03D5"/>
    <w:rsid w:val="006A04B6"/>
    <w:rsid w:val="006A0B24"/>
    <w:rsid w:val="006A14A6"/>
    <w:rsid w:val="006A1A2C"/>
    <w:rsid w:val="006A1DFE"/>
    <w:rsid w:val="006A1F58"/>
    <w:rsid w:val="006A2737"/>
    <w:rsid w:val="006A2BA0"/>
    <w:rsid w:val="006A3B51"/>
    <w:rsid w:val="006A4E2B"/>
    <w:rsid w:val="006A4E80"/>
    <w:rsid w:val="006A5009"/>
    <w:rsid w:val="006A6167"/>
    <w:rsid w:val="006A65F7"/>
    <w:rsid w:val="006A6803"/>
    <w:rsid w:val="006A6B72"/>
    <w:rsid w:val="006B0670"/>
    <w:rsid w:val="006B0731"/>
    <w:rsid w:val="006B079F"/>
    <w:rsid w:val="006B097F"/>
    <w:rsid w:val="006B0AD2"/>
    <w:rsid w:val="006B0F8A"/>
    <w:rsid w:val="006B114B"/>
    <w:rsid w:val="006B1A95"/>
    <w:rsid w:val="006B1C0C"/>
    <w:rsid w:val="006B201E"/>
    <w:rsid w:val="006B2EF7"/>
    <w:rsid w:val="006B30C6"/>
    <w:rsid w:val="006B30EC"/>
    <w:rsid w:val="006B329A"/>
    <w:rsid w:val="006B3A73"/>
    <w:rsid w:val="006B3FA2"/>
    <w:rsid w:val="006B444D"/>
    <w:rsid w:val="006B5117"/>
    <w:rsid w:val="006B54FF"/>
    <w:rsid w:val="006B557C"/>
    <w:rsid w:val="006B5E26"/>
    <w:rsid w:val="006B644D"/>
    <w:rsid w:val="006B66BB"/>
    <w:rsid w:val="006B6A90"/>
    <w:rsid w:val="006B6BB7"/>
    <w:rsid w:val="006B6DCF"/>
    <w:rsid w:val="006B6FAA"/>
    <w:rsid w:val="006B70CE"/>
    <w:rsid w:val="006B71C0"/>
    <w:rsid w:val="006B7235"/>
    <w:rsid w:val="006B74A8"/>
    <w:rsid w:val="006B75C1"/>
    <w:rsid w:val="006B781A"/>
    <w:rsid w:val="006B7C9D"/>
    <w:rsid w:val="006C01E4"/>
    <w:rsid w:val="006C0270"/>
    <w:rsid w:val="006C07C3"/>
    <w:rsid w:val="006C0CB5"/>
    <w:rsid w:val="006C121C"/>
    <w:rsid w:val="006C1800"/>
    <w:rsid w:val="006C187A"/>
    <w:rsid w:val="006C2502"/>
    <w:rsid w:val="006C2F44"/>
    <w:rsid w:val="006C3267"/>
    <w:rsid w:val="006C33DA"/>
    <w:rsid w:val="006C49D5"/>
    <w:rsid w:val="006C529E"/>
    <w:rsid w:val="006C557E"/>
    <w:rsid w:val="006C58B4"/>
    <w:rsid w:val="006C58E4"/>
    <w:rsid w:val="006C5FD1"/>
    <w:rsid w:val="006C6D10"/>
    <w:rsid w:val="006C6F44"/>
    <w:rsid w:val="006C70BD"/>
    <w:rsid w:val="006C72AF"/>
    <w:rsid w:val="006C795D"/>
    <w:rsid w:val="006C7C49"/>
    <w:rsid w:val="006D04E5"/>
    <w:rsid w:val="006D0C55"/>
    <w:rsid w:val="006D0DE5"/>
    <w:rsid w:val="006D0E15"/>
    <w:rsid w:val="006D10BF"/>
    <w:rsid w:val="006D1311"/>
    <w:rsid w:val="006D152E"/>
    <w:rsid w:val="006D1BD1"/>
    <w:rsid w:val="006D280E"/>
    <w:rsid w:val="006D2C69"/>
    <w:rsid w:val="006D2E2C"/>
    <w:rsid w:val="006D374A"/>
    <w:rsid w:val="006D3B0F"/>
    <w:rsid w:val="006D3D72"/>
    <w:rsid w:val="006D402D"/>
    <w:rsid w:val="006D4505"/>
    <w:rsid w:val="006D4DB5"/>
    <w:rsid w:val="006D5142"/>
    <w:rsid w:val="006D566C"/>
    <w:rsid w:val="006D5721"/>
    <w:rsid w:val="006D5B5C"/>
    <w:rsid w:val="006D6056"/>
    <w:rsid w:val="006D6576"/>
    <w:rsid w:val="006D6973"/>
    <w:rsid w:val="006D7103"/>
    <w:rsid w:val="006D7ACF"/>
    <w:rsid w:val="006D7BA7"/>
    <w:rsid w:val="006D7C64"/>
    <w:rsid w:val="006D7F14"/>
    <w:rsid w:val="006D7F85"/>
    <w:rsid w:val="006E00C1"/>
    <w:rsid w:val="006E0151"/>
    <w:rsid w:val="006E0699"/>
    <w:rsid w:val="006E0C9D"/>
    <w:rsid w:val="006E17CD"/>
    <w:rsid w:val="006E1C65"/>
    <w:rsid w:val="006E288B"/>
    <w:rsid w:val="006E29AA"/>
    <w:rsid w:val="006E3032"/>
    <w:rsid w:val="006E31FA"/>
    <w:rsid w:val="006E390A"/>
    <w:rsid w:val="006E4493"/>
    <w:rsid w:val="006E477B"/>
    <w:rsid w:val="006E4872"/>
    <w:rsid w:val="006E4D26"/>
    <w:rsid w:val="006E56F2"/>
    <w:rsid w:val="006E57E1"/>
    <w:rsid w:val="006E5820"/>
    <w:rsid w:val="006E5882"/>
    <w:rsid w:val="006E5D0B"/>
    <w:rsid w:val="006E60E4"/>
    <w:rsid w:val="006E643E"/>
    <w:rsid w:val="006E6972"/>
    <w:rsid w:val="006E6DC0"/>
    <w:rsid w:val="006E7088"/>
    <w:rsid w:val="006E765F"/>
    <w:rsid w:val="006E7BB3"/>
    <w:rsid w:val="006F0349"/>
    <w:rsid w:val="006F15EE"/>
    <w:rsid w:val="006F19B4"/>
    <w:rsid w:val="006F1B6A"/>
    <w:rsid w:val="006F1CCA"/>
    <w:rsid w:val="006F2823"/>
    <w:rsid w:val="006F2BB4"/>
    <w:rsid w:val="006F2C06"/>
    <w:rsid w:val="006F2EE0"/>
    <w:rsid w:val="006F3C2E"/>
    <w:rsid w:val="006F3D36"/>
    <w:rsid w:val="006F3EEC"/>
    <w:rsid w:val="006F453A"/>
    <w:rsid w:val="006F4C0B"/>
    <w:rsid w:val="006F4F4F"/>
    <w:rsid w:val="006F5295"/>
    <w:rsid w:val="006F56EE"/>
    <w:rsid w:val="006F593A"/>
    <w:rsid w:val="006F5D29"/>
    <w:rsid w:val="006F5FC0"/>
    <w:rsid w:val="006F61E3"/>
    <w:rsid w:val="006F62DD"/>
    <w:rsid w:val="006F653A"/>
    <w:rsid w:val="006F7335"/>
    <w:rsid w:val="006F760B"/>
    <w:rsid w:val="006F7DBB"/>
    <w:rsid w:val="006F7E3F"/>
    <w:rsid w:val="006F7E52"/>
    <w:rsid w:val="00700564"/>
    <w:rsid w:val="007005B8"/>
    <w:rsid w:val="007005CE"/>
    <w:rsid w:val="007009C9"/>
    <w:rsid w:val="00700E2D"/>
    <w:rsid w:val="00700E3C"/>
    <w:rsid w:val="00701191"/>
    <w:rsid w:val="00702230"/>
    <w:rsid w:val="00702248"/>
    <w:rsid w:val="0070228E"/>
    <w:rsid w:val="00702D17"/>
    <w:rsid w:val="00702DDF"/>
    <w:rsid w:val="00702EFE"/>
    <w:rsid w:val="0070329E"/>
    <w:rsid w:val="00703D18"/>
    <w:rsid w:val="00703F72"/>
    <w:rsid w:val="0070445D"/>
    <w:rsid w:val="007044F3"/>
    <w:rsid w:val="00704D81"/>
    <w:rsid w:val="00704EA4"/>
    <w:rsid w:val="0070549A"/>
    <w:rsid w:val="007064AB"/>
    <w:rsid w:val="00706829"/>
    <w:rsid w:val="007068EC"/>
    <w:rsid w:val="00706F21"/>
    <w:rsid w:val="00707168"/>
    <w:rsid w:val="0070763B"/>
    <w:rsid w:val="007105F6"/>
    <w:rsid w:val="007108EC"/>
    <w:rsid w:val="00710CC6"/>
    <w:rsid w:val="00711588"/>
    <w:rsid w:val="0071190F"/>
    <w:rsid w:val="007119F7"/>
    <w:rsid w:val="00711A43"/>
    <w:rsid w:val="00711ECD"/>
    <w:rsid w:val="0071223F"/>
    <w:rsid w:val="00712591"/>
    <w:rsid w:val="0071279E"/>
    <w:rsid w:val="007129E4"/>
    <w:rsid w:val="00712F11"/>
    <w:rsid w:val="007130BD"/>
    <w:rsid w:val="00713208"/>
    <w:rsid w:val="00713389"/>
    <w:rsid w:val="0071370B"/>
    <w:rsid w:val="007137D2"/>
    <w:rsid w:val="0071388A"/>
    <w:rsid w:val="0071390F"/>
    <w:rsid w:val="007147BA"/>
    <w:rsid w:val="00714A21"/>
    <w:rsid w:val="00714D65"/>
    <w:rsid w:val="00715171"/>
    <w:rsid w:val="00716079"/>
    <w:rsid w:val="00716091"/>
    <w:rsid w:val="007161AB"/>
    <w:rsid w:val="007164BD"/>
    <w:rsid w:val="007164F1"/>
    <w:rsid w:val="007167D7"/>
    <w:rsid w:val="00717765"/>
    <w:rsid w:val="00717ADB"/>
    <w:rsid w:val="00717CFE"/>
    <w:rsid w:val="00720070"/>
    <w:rsid w:val="00720663"/>
    <w:rsid w:val="007208A3"/>
    <w:rsid w:val="00720B4A"/>
    <w:rsid w:val="00720ED4"/>
    <w:rsid w:val="00721061"/>
    <w:rsid w:val="00721DA4"/>
    <w:rsid w:val="00721EC7"/>
    <w:rsid w:val="00722596"/>
    <w:rsid w:val="00722BB6"/>
    <w:rsid w:val="00723134"/>
    <w:rsid w:val="00723627"/>
    <w:rsid w:val="00723746"/>
    <w:rsid w:val="00723801"/>
    <w:rsid w:val="0072395C"/>
    <w:rsid w:val="00723A89"/>
    <w:rsid w:val="00724393"/>
    <w:rsid w:val="007243EF"/>
    <w:rsid w:val="00724523"/>
    <w:rsid w:val="007248FE"/>
    <w:rsid w:val="00724F71"/>
    <w:rsid w:val="007257BA"/>
    <w:rsid w:val="00725A71"/>
    <w:rsid w:val="0072689A"/>
    <w:rsid w:val="00726D4F"/>
    <w:rsid w:val="0072736C"/>
    <w:rsid w:val="00727939"/>
    <w:rsid w:val="007279FC"/>
    <w:rsid w:val="00727D54"/>
    <w:rsid w:val="00730C01"/>
    <w:rsid w:val="00730C9E"/>
    <w:rsid w:val="00731590"/>
    <w:rsid w:val="0073180B"/>
    <w:rsid w:val="00731D64"/>
    <w:rsid w:val="00732992"/>
    <w:rsid w:val="0073323B"/>
    <w:rsid w:val="00733595"/>
    <w:rsid w:val="00733851"/>
    <w:rsid w:val="007339ED"/>
    <w:rsid w:val="00733DEC"/>
    <w:rsid w:val="007349D8"/>
    <w:rsid w:val="007349DD"/>
    <w:rsid w:val="00734C22"/>
    <w:rsid w:val="0073511A"/>
    <w:rsid w:val="007356F4"/>
    <w:rsid w:val="00735C61"/>
    <w:rsid w:val="007361AA"/>
    <w:rsid w:val="00736658"/>
    <w:rsid w:val="007368C9"/>
    <w:rsid w:val="00737CD2"/>
    <w:rsid w:val="00740263"/>
    <w:rsid w:val="007406CC"/>
    <w:rsid w:val="007408F9"/>
    <w:rsid w:val="00741E85"/>
    <w:rsid w:val="00741F16"/>
    <w:rsid w:val="00742157"/>
    <w:rsid w:val="0074227F"/>
    <w:rsid w:val="0074236A"/>
    <w:rsid w:val="00742532"/>
    <w:rsid w:val="0074255B"/>
    <w:rsid w:val="0074280A"/>
    <w:rsid w:val="007429D6"/>
    <w:rsid w:val="00743149"/>
    <w:rsid w:val="00743274"/>
    <w:rsid w:val="007433F7"/>
    <w:rsid w:val="00743E59"/>
    <w:rsid w:val="00743E8E"/>
    <w:rsid w:val="007447CB"/>
    <w:rsid w:val="007463D5"/>
    <w:rsid w:val="007466B6"/>
    <w:rsid w:val="0074692C"/>
    <w:rsid w:val="00746AB1"/>
    <w:rsid w:val="007471FB"/>
    <w:rsid w:val="0074742E"/>
    <w:rsid w:val="00747707"/>
    <w:rsid w:val="0075031D"/>
    <w:rsid w:val="007505D0"/>
    <w:rsid w:val="00750DD8"/>
    <w:rsid w:val="00751AC7"/>
    <w:rsid w:val="00751B93"/>
    <w:rsid w:val="007520BE"/>
    <w:rsid w:val="00753215"/>
    <w:rsid w:val="007532E2"/>
    <w:rsid w:val="007536B2"/>
    <w:rsid w:val="0075420A"/>
    <w:rsid w:val="00754F4E"/>
    <w:rsid w:val="007556CE"/>
    <w:rsid w:val="0075588B"/>
    <w:rsid w:val="007559AB"/>
    <w:rsid w:val="007564AA"/>
    <w:rsid w:val="00756903"/>
    <w:rsid w:val="00756942"/>
    <w:rsid w:val="00756A53"/>
    <w:rsid w:val="00756A93"/>
    <w:rsid w:val="00757433"/>
    <w:rsid w:val="00757622"/>
    <w:rsid w:val="00757BAD"/>
    <w:rsid w:val="00757BE3"/>
    <w:rsid w:val="007605CD"/>
    <w:rsid w:val="00760781"/>
    <w:rsid w:val="00760922"/>
    <w:rsid w:val="007609E0"/>
    <w:rsid w:val="00760B25"/>
    <w:rsid w:val="00760FC4"/>
    <w:rsid w:val="00761168"/>
    <w:rsid w:val="00761AD1"/>
    <w:rsid w:val="00761CDE"/>
    <w:rsid w:val="0076221C"/>
    <w:rsid w:val="0076242C"/>
    <w:rsid w:val="00762916"/>
    <w:rsid w:val="007636DC"/>
    <w:rsid w:val="00763BCC"/>
    <w:rsid w:val="0076435D"/>
    <w:rsid w:val="00764A2A"/>
    <w:rsid w:val="00765316"/>
    <w:rsid w:val="00765512"/>
    <w:rsid w:val="0076552C"/>
    <w:rsid w:val="007659BA"/>
    <w:rsid w:val="00765C86"/>
    <w:rsid w:val="00765FB9"/>
    <w:rsid w:val="007661F3"/>
    <w:rsid w:val="00766216"/>
    <w:rsid w:val="00766F4E"/>
    <w:rsid w:val="00766FB1"/>
    <w:rsid w:val="00767F3B"/>
    <w:rsid w:val="007700BA"/>
    <w:rsid w:val="0077078A"/>
    <w:rsid w:val="007708FB"/>
    <w:rsid w:val="00770A92"/>
    <w:rsid w:val="00770FC3"/>
    <w:rsid w:val="00772318"/>
    <w:rsid w:val="0077257F"/>
    <w:rsid w:val="007730AD"/>
    <w:rsid w:val="0077329C"/>
    <w:rsid w:val="00773FF2"/>
    <w:rsid w:val="0077429F"/>
    <w:rsid w:val="00774675"/>
    <w:rsid w:val="007747AB"/>
    <w:rsid w:val="00774B06"/>
    <w:rsid w:val="00774CBF"/>
    <w:rsid w:val="00774DB0"/>
    <w:rsid w:val="00774E8C"/>
    <w:rsid w:val="007750D5"/>
    <w:rsid w:val="007756C7"/>
    <w:rsid w:val="0077640C"/>
    <w:rsid w:val="00776809"/>
    <w:rsid w:val="00776D2D"/>
    <w:rsid w:val="00780DE3"/>
    <w:rsid w:val="0078146C"/>
    <w:rsid w:val="0078180A"/>
    <w:rsid w:val="0078199F"/>
    <w:rsid w:val="00781DCF"/>
    <w:rsid w:val="00782078"/>
    <w:rsid w:val="00782C6E"/>
    <w:rsid w:val="007832AA"/>
    <w:rsid w:val="0078353F"/>
    <w:rsid w:val="00783901"/>
    <w:rsid w:val="00783E47"/>
    <w:rsid w:val="00783FF8"/>
    <w:rsid w:val="007840B1"/>
    <w:rsid w:val="007846B2"/>
    <w:rsid w:val="007848AD"/>
    <w:rsid w:val="00784A69"/>
    <w:rsid w:val="007851E0"/>
    <w:rsid w:val="0078548A"/>
    <w:rsid w:val="00786AAF"/>
    <w:rsid w:val="007879CE"/>
    <w:rsid w:val="00790239"/>
    <w:rsid w:val="007902B0"/>
    <w:rsid w:val="0079100F"/>
    <w:rsid w:val="0079164F"/>
    <w:rsid w:val="007918A0"/>
    <w:rsid w:val="007919FA"/>
    <w:rsid w:val="00791EA2"/>
    <w:rsid w:val="00792A2E"/>
    <w:rsid w:val="00793186"/>
    <w:rsid w:val="0079333F"/>
    <w:rsid w:val="00793502"/>
    <w:rsid w:val="00794124"/>
    <w:rsid w:val="00794438"/>
    <w:rsid w:val="00794520"/>
    <w:rsid w:val="007947A4"/>
    <w:rsid w:val="007948AB"/>
    <w:rsid w:val="00794B6F"/>
    <w:rsid w:val="00794DC5"/>
    <w:rsid w:val="00794E51"/>
    <w:rsid w:val="00794EE4"/>
    <w:rsid w:val="0079564B"/>
    <w:rsid w:val="00795894"/>
    <w:rsid w:val="00796F07"/>
    <w:rsid w:val="0079724F"/>
    <w:rsid w:val="0079769D"/>
    <w:rsid w:val="00797CE3"/>
    <w:rsid w:val="007A0483"/>
    <w:rsid w:val="007A09DC"/>
    <w:rsid w:val="007A0B2E"/>
    <w:rsid w:val="007A0C26"/>
    <w:rsid w:val="007A11A0"/>
    <w:rsid w:val="007A134F"/>
    <w:rsid w:val="007A3451"/>
    <w:rsid w:val="007A4712"/>
    <w:rsid w:val="007A4D7B"/>
    <w:rsid w:val="007A566D"/>
    <w:rsid w:val="007A6162"/>
    <w:rsid w:val="007A66E8"/>
    <w:rsid w:val="007A67F2"/>
    <w:rsid w:val="007A69F7"/>
    <w:rsid w:val="007A6BA2"/>
    <w:rsid w:val="007A7A31"/>
    <w:rsid w:val="007A7D65"/>
    <w:rsid w:val="007A7E76"/>
    <w:rsid w:val="007A7E7D"/>
    <w:rsid w:val="007B0430"/>
    <w:rsid w:val="007B0524"/>
    <w:rsid w:val="007B0BF6"/>
    <w:rsid w:val="007B14C4"/>
    <w:rsid w:val="007B160F"/>
    <w:rsid w:val="007B18B4"/>
    <w:rsid w:val="007B1C56"/>
    <w:rsid w:val="007B1ED0"/>
    <w:rsid w:val="007B1F86"/>
    <w:rsid w:val="007B323C"/>
    <w:rsid w:val="007B3C3B"/>
    <w:rsid w:val="007B3FB2"/>
    <w:rsid w:val="007B3FDB"/>
    <w:rsid w:val="007B4265"/>
    <w:rsid w:val="007B437A"/>
    <w:rsid w:val="007B45EB"/>
    <w:rsid w:val="007B47D4"/>
    <w:rsid w:val="007B526F"/>
    <w:rsid w:val="007B54A6"/>
    <w:rsid w:val="007B56CD"/>
    <w:rsid w:val="007B587D"/>
    <w:rsid w:val="007B5ADD"/>
    <w:rsid w:val="007B5BB7"/>
    <w:rsid w:val="007B5BCA"/>
    <w:rsid w:val="007B6869"/>
    <w:rsid w:val="007B686F"/>
    <w:rsid w:val="007B6ABC"/>
    <w:rsid w:val="007B7264"/>
    <w:rsid w:val="007B7283"/>
    <w:rsid w:val="007B74EB"/>
    <w:rsid w:val="007B7D07"/>
    <w:rsid w:val="007C001A"/>
    <w:rsid w:val="007C11CA"/>
    <w:rsid w:val="007C159E"/>
    <w:rsid w:val="007C1B1B"/>
    <w:rsid w:val="007C1DF9"/>
    <w:rsid w:val="007C2644"/>
    <w:rsid w:val="007C2B96"/>
    <w:rsid w:val="007C2BC2"/>
    <w:rsid w:val="007C2F8F"/>
    <w:rsid w:val="007C306C"/>
    <w:rsid w:val="007C30A7"/>
    <w:rsid w:val="007C332B"/>
    <w:rsid w:val="007C3C95"/>
    <w:rsid w:val="007C44B8"/>
    <w:rsid w:val="007C4E99"/>
    <w:rsid w:val="007C4F9C"/>
    <w:rsid w:val="007C51CC"/>
    <w:rsid w:val="007C548E"/>
    <w:rsid w:val="007C568A"/>
    <w:rsid w:val="007C5A2F"/>
    <w:rsid w:val="007C6148"/>
    <w:rsid w:val="007C622C"/>
    <w:rsid w:val="007C695B"/>
    <w:rsid w:val="007C6A16"/>
    <w:rsid w:val="007C6A22"/>
    <w:rsid w:val="007C6B42"/>
    <w:rsid w:val="007C6BBE"/>
    <w:rsid w:val="007C785B"/>
    <w:rsid w:val="007C7EE4"/>
    <w:rsid w:val="007D02E6"/>
    <w:rsid w:val="007D03AB"/>
    <w:rsid w:val="007D063A"/>
    <w:rsid w:val="007D06D4"/>
    <w:rsid w:val="007D0848"/>
    <w:rsid w:val="007D0B9F"/>
    <w:rsid w:val="007D1AEB"/>
    <w:rsid w:val="007D1EE0"/>
    <w:rsid w:val="007D2084"/>
    <w:rsid w:val="007D2A76"/>
    <w:rsid w:val="007D3209"/>
    <w:rsid w:val="007D3725"/>
    <w:rsid w:val="007D4081"/>
    <w:rsid w:val="007D4BCF"/>
    <w:rsid w:val="007D6B4E"/>
    <w:rsid w:val="007D7817"/>
    <w:rsid w:val="007D7E0D"/>
    <w:rsid w:val="007E0CE3"/>
    <w:rsid w:val="007E0D4D"/>
    <w:rsid w:val="007E21B9"/>
    <w:rsid w:val="007E23BA"/>
    <w:rsid w:val="007E2491"/>
    <w:rsid w:val="007E287D"/>
    <w:rsid w:val="007E311A"/>
    <w:rsid w:val="007E372F"/>
    <w:rsid w:val="007E3EBE"/>
    <w:rsid w:val="007E466B"/>
    <w:rsid w:val="007E5341"/>
    <w:rsid w:val="007E53F5"/>
    <w:rsid w:val="007E545B"/>
    <w:rsid w:val="007E576A"/>
    <w:rsid w:val="007E57A0"/>
    <w:rsid w:val="007E6236"/>
    <w:rsid w:val="007E6AB4"/>
    <w:rsid w:val="007E6D7B"/>
    <w:rsid w:val="007E72F5"/>
    <w:rsid w:val="007E76FE"/>
    <w:rsid w:val="007F08EB"/>
    <w:rsid w:val="007F09D1"/>
    <w:rsid w:val="007F1BAA"/>
    <w:rsid w:val="007F24AA"/>
    <w:rsid w:val="007F25A5"/>
    <w:rsid w:val="007F2D8F"/>
    <w:rsid w:val="007F2E5B"/>
    <w:rsid w:val="007F3158"/>
    <w:rsid w:val="007F3473"/>
    <w:rsid w:val="007F4950"/>
    <w:rsid w:val="007F49C9"/>
    <w:rsid w:val="007F4FBF"/>
    <w:rsid w:val="007F517E"/>
    <w:rsid w:val="007F5304"/>
    <w:rsid w:val="007F559F"/>
    <w:rsid w:val="007F5789"/>
    <w:rsid w:val="007F5C33"/>
    <w:rsid w:val="007F5CAC"/>
    <w:rsid w:val="007F644F"/>
    <w:rsid w:val="007F669C"/>
    <w:rsid w:val="007F67ED"/>
    <w:rsid w:val="007F6B25"/>
    <w:rsid w:val="0080018D"/>
    <w:rsid w:val="00800B96"/>
    <w:rsid w:val="00800C48"/>
    <w:rsid w:val="00800D66"/>
    <w:rsid w:val="00800FC3"/>
    <w:rsid w:val="008013FC"/>
    <w:rsid w:val="008018FF"/>
    <w:rsid w:val="00801D17"/>
    <w:rsid w:val="00801D2F"/>
    <w:rsid w:val="00802077"/>
    <w:rsid w:val="008020FF"/>
    <w:rsid w:val="00802C03"/>
    <w:rsid w:val="0080300F"/>
    <w:rsid w:val="008033D1"/>
    <w:rsid w:val="00803492"/>
    <w:rsid w:val="008034C7"/>
    <w:rsid w:val="00803657"/>
    <w:rsid w:val="008036BA"/>
    <w:rsid w:val="008039B9"/>
    <w:rsid w:val="00803F2D"/>
    <w:rsid w:val="008044FD"/>
    <w:rsid w:val="00804520"/>
    <w:rsid w:val="00805C5E"/>
    <w:rsid w:val="00805D2B"/>
    <w:rsid w:val="0080620E"/>
    <w:rsid w:val="00806C32"/>
    <w:rsid w:val="00807011"/>
    <w:rsid w:val="00807269"/>
    <w:rsid w:val="008075CE"/>
    <w:rsid w:val="00807D27"/>
    <w:rsid w:val="00810258"/>
    <w:rsid w:val="0081035D"/>
    <w:rsid w:val="00810360"/>
    <w:rsid w:val="00810512"/>
    <w:rsid w:val="00810905"/>
    <w:rsid w:val="00810AB6"/>
    <w:rsid w:val="00810B53"/>
    <w:rsid w:val="00811390"/>
    <w:rsid w:val="00811F1C"/>
    <w:rsid w:val="00812DF9"/>
    <w:rsid w:val="0081325D"/>
    <w:rsid w:val="00814622"/>
    <w:rsid w:val="0081491E"/>
    <w:rsid w:val="00814A91"/>
    <w:rsid w:val="00815101"/>
    <w:rsid w:val="008152C2"/>
    <w:rsid w:val="008159F0"/>
    <w:rsid w:val="00815BD1"/>
    <w:rsid w:val="00815D84"/>
    <w:rsid w:val="00815FE9"/>
    <w:rsid w:val="008165BA"/>
    <w:rsid w:val="00816A3A"/>
    <w:rsid w:val="00816C2F"/>
    <w:rsid w:val="00816F6D"/>
    <w:rsid w:val="008170D6"/>
    <w:rsid w:val="008173D7"/>
    <w:rsid w:val="00817AEB"/>
    <w:rsid w:val="00817C08"/>
    <w:rsid w:val="00820030"/>
    <w:rsid w:val="00820A11"/>
    <w:rsid w:val="00821517"/>
    <w:rsid w:val="008219FF"/>
    <w:rsid w:val="00821A25"/>
    <w:rsid w:val="00821C1A"/>
    <w:rsid w:val="0082314A"/>
    <w:rsid w:val="00823482"/>
    <w:rsid w:val="008238CD"/>
    <w:rsid w:val="00823E28"/>
    <w:rsid w:val="00824339"/>
    <w:rsid w:val="00824558"/>
    <w:rsid w:val="00824594"/>
    <w:rsid w:val="00824DBE"/>
    <w:rsid w:val="00825253"/>
    <w:rsid w:val="0082646D"/>
    <w:rsid w:val="0082669C"/>
    <w:rsid w:val="00826922"/>
    <w:rsid w:val="00826BF9"/>
    <w:rsid w:val="00826D6B"/>
    <w:rsid w:val="008271EC"/>
    <w:rsid w:val="008277A3"/>
    <w:rsid w:val="00830D0D"/>
    <w:rsid w:val="0083100A"/>
    <w:rsid w:val="0083119D"/>
    <w:rsid w:val="0083236D"/>
    <w:rsid w:val="0083255C"/>
    <w:rsid w:val="00832918"/>
    <w:rsid w:val="00832BA9"/>
    <w:rsid w:val="00832E64"/>
    <w:rsid w:val="00832EA8"/>
    <w:rsid w:val="008331E8"/>
    <w:rsid w:val="0083378A"/>
    <w:rsid w:val="008338C6"/>
    <w:rsid w:val="00833BB4"/>
    <w:rsid w:val="0083401A"/>
    <w:rsid w:val="00834195"/>
    <w:rsid w:val="008349EB"/>
    <w:rsid w:val="00834BAB"/>
    <w:rsid w:val="00834E3C"/>
    <w:rsid w:val="00834F01"/>
    <w:rsid w:val="00834FB4"/>
    <w:rsid w:val="008350D2"/>
    <w:rsid w:val="00835210"/>
    <w:rsid w:val="008358FD"/>
    <w:rsid w:val="00835A85"/>
    <w:rsid w:val="00835AB1"/>
    <w:rsid w:val="008361C4"/>
    <w:rsid w:val="0083649E"/>
    <w:rsid w:val="0083691E"/>
    <w:rsid w:val="00836B95"/>
    <w:rsid w:val="00837444"/>
    <w:rsid w:val="008375FC"/>
    <w:rsid w:val="00837C79"/>
    <w:rsid w:val="00840060"/>
    <w:rsid w:val="0084060B"/>
    <w:rsid w:val="00841470"/>
    <w:rsid w:val="00842006"/>
    <w:rsid w:val="00842375"/>
    <w:rsid w:val="00842632"/>
    <w:rsid w:val="0084264F"/>
    <w:rsid w:val="00842876"/>
    <w:rsid w:val="00843064"/>
    <w:rsid w:val="00843301"/>
    <w:rsid w:val="00843980"/>
    <w:rsid w:val="00843BA4"/>
    <w:rsid w:val="00843DD1"/>
    <w:rsid w:val="00843ECC"/>
    <w:rsid w:val="00844887"/>
    <w:rsid w:val="00844C57"/>
    <w:rsid w:val="00844CA1"/>
    <w:rsid w:val="0084588A"/>
    <w:rsid w:val="0084599D"/>
    <w:rsid w:val="00845C0E"/>
    <w:rsid w:val="00845CF0"/>
    <w:rsid w:val="00845D41"/>
    <w:rsid w:val="00845D42"/>
    <w:rsid w:val="00845FEA"/>
    <w:rsid w:val="00846120"/>
    <w:rsid w:val="008468FC"/>
    <w:rsid w:val="00846F01"/>
    <w:rsid w:val="00847735"/>
    <w:rsid w:val="00850370"/>
    <w:rsid w:val="00850AC1"/>
    <w:rsid w:val="00850D08"/>
    <w:rsid w:val="00850F49"/>
    <w:rsid w:val="00850FFA"/>
    <w:rsid w:val="00851176"/>
    <w:rsid w:val="008513F2"/>
    <w:rsid w:val="008515AD"/>
    <w:rsid w:val="00851894"/>
    <w:rsid w:val="00851B0F"/>
    <w:rsid w:val="00852438"/>
    <w:rsid w:val="00853923"/>
    <w:rsid w:val="0085498A"/>
    <w:rsid w:val="00854A26"/>
    <w:rsid w:val="00855215"/>
    <w:rsid w:val="00855711"/>
    <w:rsid w:val="008559AB"/>
    <w:rsid w:val="00855CEB"/>
    <w:rsid w:val="008562D1"/>
    <w:rsid w:val="008566E5"/>
    <w:rsid w:val="0085704B"/>
    <w:rsid w:val="00857071"/>
    <w:rsid w:val="0085711E"/>
    <w:rsid w:val="0085726B"/>
    <w:rsid w:val="008572C8"/>
    <w:rsid w:val="00857822"/>
    <w:rsid w:val="00857918"/>
    <w:rsid w:val="00857968"/>
    <w:rsid w:val="00857B7B"/>
    <w:rsid w:val="00860078"/>
    <w:rsid w:val="00860354"/>
    <w:rsid w:val="00860E39"/>
    <w:rsid w:val="008612F9"/>
    <w:rsid w:val="00861708"/>
    <w:rsid w:val="00861FB8"/>
    <w:rsid w:val="00862585"/>
    <w:rsid w:val="008631A6"/>
    <w:rsid w:val="0086337E"/>
    <w:rsid w:val="0086354B"/>
    <w:rsid w:val="0086385C"/>
    <w:rsid w:val="00863B4F"/>
    <w:rsid w:val="00864092"/>
    <w:rsid w:val="008642A0"/>
    <w:rsid w:val="008642C0"/>
    <w:rsid w:val="00864660"/>
    <w:rsid w:val="008647D5"/>
    <w:rsid w:val="008648C4"/>
    <w:rsid w:val="0086498E"/>
    <w:rsid w:val="008649BD"/>
    <w:rsid w:val="00864A2A"/>
    <w:rsid w:val="0086520C"/>
    <w:rsid w:val="00865408"/>
    <w:rsid w:val="00865897"/>
    <w:rsid w:val="008658FC"/>
    <w:rsid w:val="00866038"/>
    <w:rsid w:val="008669F3"/>
    <w:rsid w:val="00866EA1"/>
    <w:rsid w:val="008675D8"/>
    <w:rsid w:val="00867BC2"/>
    <w:rsid w:val="00870121"/>
    <w:rsid w:val="00870800"/>
    <w:rsid w:val="00870BA8"/>
    <w:rsid w:val="00870BEA"/>
    <w:rsid w:val="00870CD8"/>
    <w:rsid w:val="0087109A"/>
    <w:rsid w:val="0087139D"/>
    <w:rsid w:val="0087164D"/>
    <w:rsid w:val="00871E8F"/>
    <w:rsid w:val="00871FC1"/>
    <w:rsid w:val="008722CC"/>
    <w:rsid w:val="0087230E"/>
    <w:rsid w:val="008737EB"/>
    <w:rsid w:val="00873B9E"/>
    <w:rsid w:val="00873E60"/>
    <w:rsid w:val="00873FFD"/>
    <w:rsid w:val="00874880"/>
    <w:rsid w:val="00874AB5"/>
    <w:rsid w:val="00874FCD"/>
    <w:rsid w:val="00875175"/>
    <w:rsid w:val="00875619"/>
    <w:rsid w:val="00875F40"/>
    <w:rsid w:val="00876306"/>
    <w:rsid w:val="008763AF"/>
    <w:rsid w:val="0087660B"/>
    <w:rsid w:val="00877259"/>
    <w:rsid w:val="008774BE"/>
    <w:rsid w:val="008778B8"/>
    <w:rsid w:val="00877D10"/>
    <w:rsid w:val="00880243"/>
    <w:rsid w:val="00880771"/>
    <w:rsid w:val="00880812"/>
    <w:rsid w:val="008808CC"/>
    <w:rsid w:val="00880ABC"/>
    <w:rsid w:val="00880BC8"/>
    <w:rsid w:val="00880E54"/>
    <w:rsid w:val="008812C5"/>
    <w:rsid w:val="0088154B"/>
    <w:rsid w:val="00881AD2"/>
    <w:rsid w:val="00882345"/>
    <w:rsid w:val="0088257C"/>
    <w:rsid w:val="00883524"/>
    <w:rsid w:val="008835A2"/>
    <w:rsid w:val="008835DB"/>
    <w:rsid w:val="00884702"/>
    <w:rsid w:val="00884B2C"/>
    <w:rsid w:val="00885537"/>
    <w:rsid w:val="00885637"/>
    <w:rsid w:val="008857C7"/>
    <w:rsid w:val="00885B56"/>
    <w:rsid w:val="00885BA1"/>
    <w:rsid w:val="00885D17"/>
    <w:rsid w:val="0088647A"/>
    <w:rsid w:val="00886B29"/>
    <w:rsid w:val="00886C4D"/>
    <w:rsid w:val="008900F7"/>
    <w:rsid w:val="0089087B"/>
    <w:rsid w:val="00890D3E"/>
    <w:rsid w:val="00891078"/>
    <w:rsid w:val="00891A19"/>
    <w:rsid w:val="00891BE6"/>
    <w:rsid w:val="00891D76"/>
    <w:rsid w:val="00891DAF"/>
    <w:rsid w:val="00892009"/>
    <w:rsid w:val="00892239"/>
    <w:rsid w:val="00892D9A"/>
    <w:rsid w:val="00892EC1"/>
    <w:rsid w:val="00892F1F"/>
    <w:rsid w:val="008937F4"/>
    <w:rsid w:val="00893A33"/>
    <w:rsid w:val="008941B0"/>
    <w:rsid w:val="0089422D"/>
    <w:rsid w:val="008943BE"/>
    <w:rsid w:val="00894CA2"/>
    <w:rsid w:val="00895419"/>
    <w:rsid w:val="0089591C"/>
    <w:rsid w:val="00895A94"/>
    <w:rsid w:val="00895CB7"/>
    <w:rsid w:val="00895FC9"/>
    <w:rsid w:val="008968C6"/>
    <w:rsid w:val="00897558"/>
    <w:rsid w:val="00897686"/>
    <w:rsid w:val="00897DA9"/>
    <w:rsid w:val="00897FD9"/>
    <w:rsid w:val="008A020B"/>
    <w:rsid w:val="008A0AF3"/>
    <w:rsid w:val="008A0D02"/>
    <w:rsid w:val="008A0F48"/>
    <w:rsid w:val="008A102C"/>
    <w:rsid w:val="008A16F6"/>
    <w:rsid w:val="008A19AD"/>
    <w:rsid w:val="008A1A4E"/>
    <w:rsid w:val="008A1B20"/>
    <w:rsid w:val="008A1C38"/>
    <w:rsid w:val="008A301C"/>
    <w:rsid w:val="008A3169"/>
    <w:rsid w:val="008A3A2B"/>
    <w:rsid w:val="008A41FF"/>
    <w:rsid w:val="008A4643"/>
    <w:rsid w:val="008A488B"/>
    <w:rsid w:val="008A4C88"/>
    <w:rsid w:val="008A50FE"/>
    <w:rsid w:val="008A5468"/>
    <w:rsid w:val="008A560B"/>
    <w:rsid w:val="008A57F8"/>
    <w:rsid w:val="008A5B0C"/>
    <w:rsid w:val="008A6218"/>
    <w:rsid w:val="008A65D9"/>
    <w:rsid w:val="008A67F4"/>
    <w:rsid w:val="008A6D58"/>
    <w:rsid w:val="008A6D8A"/>
    <w:rsid w:val="008A6F48"/>
    <w:rsid w:val="008A7109"/>
    <w:rsid w:val="008A71C6"/>
    <w:rsid w:val="008A743C"/>
    <w:rsid w:val="008A74BE"/>
    <w:rsid w:val="008A795A"/>
    <w:rsid w:val="008A7A70"/>
    <w:rsid w:val="008A7B33"/>
    <w:rsid w:val="008B0329"/>
    <w:rsid w:val="008B0361"/>
    <w:rsid w:val="008B12C6"/>
    <w:rsid w:val="008B1DF2"/>
    <w:rsid w:val="008B2C25"/>
    <w:rsid w:val="008B31C9"/>
    <w:rsid w:val="008B3677"/>
    <w:rsid w:val="008B373E"/>
    <w:rsid w:val="008B37DF"/>
    <w:rsid w:val="008B3C22"/>
    <w:rsid w:val="008B4662"/>
    <w:rsid w:val="008B4CBE"/>
    <w:rsid w:val="008B4F0E"/>
    <w:rsid w:val="008B50D8"/>
    <w:rsid w:val="008B52C3"/>
    <w:rsid w:val="008B5735"/>
    <w:rsid w:val="008B6BB8"/>
    <w:rsid w:val="008B6F63"/>
    <w:rsid w:val="008B780C"/>
    <w:rsid w:val="008B7B1B"/>
    <w:rsid w:val="008B7BD3"/>
    <w:rsid w:val="008B7E38"/>
    <w:rsid w:val="008C019D"/>
    <w:rsid w:val="008C03A6"/>
    <w:rsid w:val="008C05E9"/>
    <w:rsid w:val="008C10A6"/>
    <w:rsid w:val="008C11C3"/>
    <w:rsid w:val="008C15FC"/>
    <w:rsid w:val="008C1940"/>
    <w:rsid w:val="008C1BED"/>
    <w:rsid w:val="008C1E2D"/>
    <w:rsid w:val="008C21CD"/>
    <w:rsid w:val="008C2448"/>
    <w:rsid w:val="008C253F"/>
    <w:rsid w:val="008C2E53"/>
    <w:rsid w:val="008C2F98"/>
    <w:rsid w:val="008C372D"/>
    <w:rsid w:val="008C3783"/>
    <w:rsid w:val="008C39F9"/>
    <w:rsid w:val="008C3AA6"/>
    <w:rsid w:val="008C3D33"/>
    <w:rsid w:val="008C3E79"/>
    <w:rsid w:val="008C4C5C"/>
    <w:rsid w:val="008C5FB3"/>
    <w:rsid w:val="008C697A"/>
    <w:rsid w:val="008C70B3"/>
    <w:rsid w:val="008C7860"/>
    <w:rsid w:val="008C798E"/>
    <w:rsid w:val="008C7E60"/>
    <w:rsid w:val="008D0259"/>
    <w:rsid w:val="008D0C0C"/>
    <w:rsid w:val="008D0DD4"/>
    <w:rsid w:val="008D133E"/>
    <w:rsid w:val="008D1407"/>
    <w:rsid w:val="008D1B8D"/>
    <w:rsid w:val="008D1D38"/>
    <w:rsid w:val="008D21E3"/>
    <w:rsid w:val="008D37EB"/>
    <w:rsid w:val="008D3DD9"/>
    <w:rsid w:val="008D3E5B"/>
    <w:rsid w:val="008D46AD"/>
    <w:rsid w:val="008D4F2D"/>
    <w:rsid w:val="008D5032"/>
    <w:rsid w:val="008D51A1"/>
    <w:rsid w:val="008D5314"/>
    <w:rsid w:val="008D5656"/>
    <w:rsid w:val="008D5C4D"/>
    <w:rsid w:val="008D6136"/>
    <w:rsid w:val="008D647E"/>
    <w:rsid w:val="008D684C"/>
    <w:rsid w:val="008D6897"/>
    <w:rsid w:val="008D6B58"/>
    <w:rsid w:val="008D73FE"/>
    <w:rsid w:val="008D7613"/>
    <w:rsid w:val="008D784F"/>
    <w:rsid w:val="008E0039"/>
    <w:rsid w:val="008E0431"/>
    <w:rsid w:val="008E05EA"/>
    <w:rsid w:val="008E063B"/>
    <w:rsid w:val="008E1154"/>
    <w:rsid w:val="008E14B6"/>
    <w:rsid w:val="008E22BA"/>
    <w:rsid w:val="008E287D"/>
    <w:rsid w:val="008E2A93"/>
    <w:rsid w:val="008E2BEC"/>
    <w:rsid w:val="008E32FC"/>
    <w:rsid w:val="008E3C65"/>
    <w:rsid w:val="008E4020"/>
    <w:rsid w:val="008E4522"/>
    <w:rsid w:val="008E4618"/>
    <w:rsid w:val="008E4889"/>
    <w:rsid w:val="008E4906"/>
    <w:rsid w:val="008E4A9B"/>
    <w:rsid w:val="008E4E8F"/>
    <w:rsid w:val="008E5105"/>
    <w:rsid w:val="008E511D"/>
    <w:rsid w:val="008E51B2"/>
    <w:rsid w:val="008E53DF"/>
    <w:rsid w:val="008E54BE"/>
    <w:rsid w:val="008E5CE3"/>
    <w:rsid w:val="008E6450"/>
    <w:rsid w:val="008E6C8D"/>
    <w:rsid w:val="008E6CE5"/>
    <w:rsid w:val="008E737E"/>
    <w:rsid w:val="008E744D"/>
    <w:rsid w:val="008E78CC"/>
    <w:rsid w:val="008E7B3E"/>
    <w:rsid w:val="008E7E73"/>
    <w:rsid w:val="008F00B5"/>
    <w:rsid w:val="008F0164"/>
    <w:rsid w:val="008F0893"/>
    <w:rsid w:val="008F12D9"/>
    <w:rsid w:val="008F248C"/>
    <w:rsid w:val="008F277C"/>
    <w:rsid w:val="008F2921"/>
    <w:rsid w:val="008F2B15"/>
    <w:rsid w:val="008F2CF4"/>
    <w:rsid w:val="008F2D09"/>
    <w:rsid w:val="008F35CE"/>
    <w:rsid w:val="008F3C72"/>
    <w:rsid w:val="008F4342"/>
    <w:rsid w:val="008F454E"/>
    <w:rsid w:val="008F4917"/>
    <w:rsid w:val="008F4C49"/>
    <w:rsid w:val="008F4F68"/>
    <w:rsid w:val="008F529D"/>
    <w:rsid w:val="008F557D"/>
    <w:rsid w:val="008F5609"/>
    <w:rsid w:val="008F5878"/>
    <w:rsid w:val="008F5915"/>
    <w:rsid w:val="008F5AE0"/>
    <w:rsid w:val="008F5D80"/>
    <w:rsid w:val="008F5DDE"/>
    <w:rsid w:val="008F5E25"/>
    <w:rsid w:val="008F61A0"/>
    <w:rsid w:val="008F6462"/>
    <w:rsid w:val="008F6747"/>
    <w:rsid w:val="008F716A"/>
    <w:rsid w:val="008F7347"/>
    <w:rsid w:val="008F75F7"/>
    <w:rsid w:val="008F78D5"/>
    <w:rsid w:val="008F7BBE"/>
    <w:rsid w:val="0090047E"/>
    <w:rsid w:val="00900DF7"/>
    <w:rsid w:val="009016D4"/>
    <w:rsid w:val="00901882"/>
    <w:rsid w:val="00901E5B"/>
    <w:rsid w:val="00902478"/>
    <w:rsid w:val="00902962"/>
    <w:rsid w:val="009029B5"/>
    <w:rsid w:val="00902A03"/>
    <w:rsid w:val="00902CAD"/>
    <w:rsid w:val="009035A9"/>
    <w:rsid w:val="00903D73"/>
    <w:rsid w:val="00904F69"/>
    <w:rsid w:val="00904FBC"/>
    <w:rsid w:val="00905538"/>
    <w:rsid w:val="00905689"/>
    <w:rsid w:val="00907AEB"/>
    <w:rsid w:val="009100B2"/>
    <w:rsid w:val="00910E69"/>
    <w:rsid w:val="009112F1"/>
    <w:rsid w:val="0091163B"/>
    <w:rsid w:val="009119A9"/>
    <w:rsid w:val="00911B80"/>
    <w:rsid w:val="00911F25"/>
    <w:rsid w:val="00911FBC"/>
    <w:rsid w:val="0091282D"/>
    <w:rsid w:val="009128F1"/>
    <w:rsid w:val="0091318D"/>
    <w:rsid w:val="00913801"/>
    <w:rsid w:val="00913870"/>
    <w:rsid w:val="00913DAD"/>
    <w:rsid w:val="00913E08"/>
    <w:rsid w:val="009144C7"/>
    <w:rsid w:val="00914841"/>
    <w:rsid w:val="00914964"/>
    <w:rsid w:val="00915123"/>
    <w:rsid w:val="009155B4"/>
    <w:rsid w:val="00915C9C"/>
    <w:rsid w:val="00916201"/>
    <w:rsid w:val="009168AD"/>
    <w:rsid w:val="009168AF"/>
    <w:rsid w:val="00916BDA"/>
    <w:rsid w:val="00916C9D"/>
    <w:rsid w:val="0091757A"/>
    <w:rsid w:val="00917682"/>
    <w:rsid w:val="009179A7"/>
    <w:rsid w:val="00920157"/>
    <w:rsid w:val="00920195"/>
    <w:rsid w:val="0092047A"/>
    <w:rsid w:val="0092049D"/>
    <w:rsid w:val="0092054B"/>
    <w:rsid w:val="0092063E"/>
    <w:rsid w:val="00920ABC"/>
    <w:rsid w:val="00921651"/>
    <w:rsid w:val="00921FE6"/>
    <w:rsid w:val="0092229E"/>
    <w:rsid w:val="009223A7"/>
    <w:rsid w:val="00922628"/>
    <w:rsid w:val="009234BA"/>
    <w:rsid w:val="00923617"/>
    <w:rsid w:val="00923762"/>
    <w:rsid w:val="00924661"/>
    <w:rsid w:val="00924AF0"/>
    <w:rsid w:val="00924C5B"/>
    <w:rsid w:val="00925EF8"/>
    <w:rsid w:val="00925EFE"/>
    <w:rsid w:val="00926620"/>
    <w:rsid w:val="00927044"/>
    <w:rsid w:val="009279A0"/>
    <w:rsid w:val="00927D25"/>
    <w:rsid w:val="0093028A"/>
    <w:rsid w:val="0093076E"/>
    <w:rsid w:val="00930828"/>
    <w:rsid w:val="00931370"/>
    <w:rsid w:val="00931498"/>
    <w:rsid w:val="00931B2D"/>
    <w:rsid w:val="00931B6B"/>
    <w:rsid w:val="00931BC8"/>
    <w:rsid w:val="00931D13"/>
    <w:rsid w:val="00932859"/>
    <w:rsid w:val="00932B83"/>
    <w:rsid w:val="00932EC3"/>
    <w:rsid w:val="0093359C"/>
    <w:rsid w:val="009335ED"/>
    <w:rsid w:val="00933601"/>
    <w:rsid w:val="009336EC"/>
    <w:rsid w:val="0093383D"/>
    <w:rsid w:val="00933C59"/>
    <w:rsid w:val="0093490D"/>
    <w:rsid w:val="00934A83"/>
    <w:rsid w:val="00934CB6"/>
    <w:rsid w:val="009352C6"/>
    <w:rsid w:val="0093548A"/>
    <w:rsid w:val="0093569C"/>
    <w:rsid w:val="0093590A"/>
    <w:rsid w:val="00935DD9"/>
    <w:rsid w:val="00935E3D"/>
    <w:rsid w:val="00935F62"/>
    <w:rsid w:val="00935FCC"/>
    <w:rsid w:val="00936113"/>
    <w:rsid w:val="009364AD"/>
    <w:rsid w:val="00936662"/>
    <w:rsid w:val="00936D2E"/>
    <w:rsid w:val="00937A9B"/>
    <w:rsid w:val="00937B06"/>
    <w:rsid w:val="00940A81"/>
    <w:rsid w:val="00940CDE"/>
    <w:rsid w:val="00941096"/>
    <w:rsid w:val="0094197E"/>
    <w:rsid w:val="00941A25"/>
    <w:rsid w:val="00941A79"/>
    <w:rsid w:val="00941D64"/>
    <w:rsid w:val="009426B7"/>
    <w:rsid w:val="00942B4B"/>
    <w:rsid w:val="00942DA4"/>
    <w:rsid w:val="00942FBF"/>
    <w:rsid w:val="009432AB"/>
    <w:rsid w:val="009432D2"/>
    <w:rsid w:val="009434DB"/>
    <w:rsid w:val="00943B43"/>
    <w:rsid w:val="00944251"/>
    <w:rsid w:val="009444AD"/>
    <w:rsid w:val="0094450A"/>
    <w:rsid w:val="00944A3E"/>
    <w:rsid w:val="00944D05"/>
    <w:rsid w:val="00944E68"/>
    <w:rsid w:val="0094549E"/>
    <w:rsid w:val="00945A29"/>
    <w:rsid w:val="00945A4F"/>
    <w:rsid w:val="00945D9C"/>
    <w:rsid w:val="00945FBC"/>
    <w:rsid w:val="00947022"/>
    <w:rsid w:val="00947178"/>
    <w:rsid w:val="009471F1"/>
    <w:rsid w:val="0094737B"/>
    <w:rsid w:val="00947BC1"/>
    <w:rsid w:val="00950569"/>
    <w:rsid w:val="00950830"/>
    <w:rsid w:val="00950F82"/>
    <w:rsid w:val="00951089"/>
    <w:rsid w:val="0095115A"/>
    <w:rsid w:val="00951F9E"/>
    <w:rsid w:val="009521F6"/>
    <w:rsid w:val="009524D9"/>
    <w:rsid w:val="00952542"/>
    <w:rsid w:val="009525C8"/>
    <w:rsid w:val="00952C35"/>
    <w:rsid w:val="00952EAD"/>
    <w:rsid w:val="00953157"/>
    <w:rsid w:val="009531B9"/>
    <w:rsid w:val="0095339E"/>
    <w:rsid w:val="009536D8"/>
    <w:rsid w:val="00953CD0"/>
    <w:rsid w:val="00954D5B"/>
    <w:rsid w:val="009550CB"/>
    <w:rsid w:val="009554C9"/>
    <w:rsid w:val="00955556"/>
    <w:rsid w:val="00955CCB"/>
    <w:rsid w:val="0095608E"/>
    <w:rsid w:val="0095697B"/>
    <w:rsid w:val="00957359"/>
    <w:rsid w:val="00957C79"/>
    <w:rsid w:val="00957E52"/>
    <w:rsid w:val="0096039E"/>
    <w:rsid w:val="009611DF"/>
    <w:rsid w:val="00961487"/>
    <w:rsid w:val="00961982"/>
    <w:rsid w:val="009619F2"/>
    <w:rsid w:val="00962378"/>
    <w:rsid w:val="009626A9"/>
    <w:rsid w:val="00962DF5"/>
    <w:rsid w:val="00963425"/>
    <w:rsid w:val="00963521"/>
    <w:rsid w:val="00964ADF"/>
    <w:rsid w:val="00964D7E"/>
    <w:rsid w:val="00964E8D"/>
    <w:rsid w:val="0096577F"/>
    <w:rsid w:val="009664C4"/>
    <w:rsid w:val="009665EC"/>
    <w:rsid w:val="009672B4"/>
    <w:rsid w:val="009672DA"/>
    <w:rsid w:val="00967572"/>
    <w:rsid w:val="00967883"/>
    <w:rsid w:val="00967A67"/>
    <w:rsid w:val="00967A9A"/>
    <w:rsid w:val="0097034A"/>
    <w:rsid w:val="009704C0"/>
    <w:rsid w:val="00970CB9"/>
    <w:rsid w:val="00971552"/>
    <w:rsid w:val="0097235B"/>
    <w:rsid w:val="00972A53"/>
    <w:rsid w:val="00972BB4"/>
    <w:rsid w:val="00972C0B"/>
    <w:rsid w:val="00972E2C"/>
    <w:rsid w:val="0097302D"/>
    <w:rsid w:val="00973257"/>
    <w:rsid w:val="00973871"/>
    <w:rsid w:val="00973A01"/>
    <w:rsid w:val="00973BB0"/>
    <w:rsid w:val="00973E64"/>
    <w:rsid w:val="00974494"/>
    <w:rsid w:val="00974554"/>
    <w:rsid w:val="00974633"/>
    <w:rsid w:val="009753E9"/>
    <w:rsid w:val="00975743"/>
    <w:rsid w:val="00975995"/>
    <w:rsid w:val="00976C8C"/>
    <w:rsid w:val="00976FAD"/>
    <w:rsid w:val="00980218"/>
    <w:rsid w:val="00980222"/>
    <w:rsid w:val="0098032D"/>
    <w:rsid w:val="00980D9F"/>
    <w:rsid w:val="009821E0"/>
    <w:rsid w:val="00982521"/>
    <w:rsid w:val="0098265D"/>
    <w:rsid w:val="009827F3"/>
    <w:rsid w:val="00982DFA"/>
    <w:rsid w:val="009834DE"/>
    <w:rsid w:val="00983716"/>
    <w:rsid w:val="00983E46"/>
    <w:rsid w:val="00983E81"/>
    <w:rsid w:val="00983FC5"/>
    <w:rsid w:val="009848D6"/>
    <w:rsid w:val="00985219"/>
    <w:rsid w:val="009852CA"/>
    <w:rsid w:val="00985449"/>
    <w:rsid w:val="00985A67"/>
    <w:rsid w:val="00985ABD"/>
    <w:rsid w:val="00985E89"/>
    <w:rsid w:val="009869C2"/>
    <w:rsid w:val="00987A1B"/>
    <w:rsid w:val="009901A2"/>
    <w:rsid w:val="0099032A"/>
    <w:rsid w:val="009903B2"/>
    <w:rsid w:val="009906F7"/>
    <w:rsid w:val="00990728"/>
    <w:rsid w:val="00991083"/>
    <w:rsid w:val="00991B2C"/>
    <w:rsid w:val="009921EE"/>
    <w:rsid w:val="0099223A"/>
    <w:rsid w:val="009924CC"/>
    <w:rsid w:val="00993024"/>
    <w:rsid w:val="0099364A"/>
    <w:rsid w:val="00993747"/>
    <w:rsid w:val="00993FE4"/>
    <w:rsid w:val="00995171"/>
    <w:rsid w:val="0099526E"/>
    <w:rsid w:val="0099542D"/>
    <w:rsid w:val="0099569A"/>
    <w:rsid w:val="00995CBE"/>
    <w:rsid w:val="00995CDE"/>
    <w:rsid w:val="0099677E"/>
    <w:rsid w:val="00996AF9"/>
    <w:rsid w:val="00996FB3"/>
    <w:rsid w:val="0099725A"/>
    <w:rsid w:val="009976CE"/>
    <w:rsid w:val="0099790B"/>
    <w:rsid w:val="00997A07"/>
    <w:rsid w:val="009A007F"/>
    <w:rsid w:val="009A00BB"/>
    <w:rsid w:val="009A0161"/>
    <w:rsid w:val="009A0289"/>
    <w:rsid w:val="009A02AC"/>
    <w:rsid w:val="009A048B"/>
    <w:rsid w:val="009A0633"/>
    <w:rsid w:val="009A0713"/>
    <w:rsid w:val="009A0FD5"/>
    <w:rsid w:val="009A18AD"/>
    <w:rsid w:val="009A1F85"/>
    <w:rsid w:val="009A2F70"/>
    <w:rsid w:val="009A3064"/>
    <w:rsid w:val="009A3F4B"/>
    <w:rsid w:val="009A47C6"/>
    <w:rsid w:val="009A4A84"/>
    <w:rsid w:val="009A4ECA"/>
    <w:rsid w:val="009A5B9E"/>
    <w:rsid w:val="009A5FC1"/>
    <w:rsid w:val="009A6248"/>
    <w:rsid w:val="009A6658"/>
    <w:rsid w:val="009A7252"/>
    <w:rsid w:val="009A7805"/>
    <w:rsid w:val="009A7C64"/>
    <w:rsid w:val="009A7D52"/>
    <w:rsid w:val="009B07EB"/>
    <w:rsid w:val="009B0C79"/>
    <w:rsid w:val="009B0E10"/>
    <w:rsid w:val="009B1626"/>
    <w:rsid w:val="009B17CE"/>
    <w:rsid w:val="009B1A0C"/>
    <w:rsid w:val="009B2C50"/>
    <w:rsid w:val="009B354C"/>
    <w:rsid w:val="009B4195"/>
    <w:rsid w:val="009B47A6"/>
    <w:rsid w:val="009B5E5A"/>
    <w:rsid w:val="009B6467"/>
    <w:rsid w:val="009B6683"/>
    <w:rsid w:val="009B6859"/>
    <w:rsid w:val="009B691C"/>
    <w:rsid w:val="009B7790"/>
    <w:rsid w:val="009B78D0"/>
    <w:rsid w:val="009B79A0"/>
    <w:rsid w:val="009C026E"/>
    <w:rsid w:val="009C04B0"/>
    <w:rsid w:val="009C0A96"/>
    <w:rsid w:val="009C0C23"/>
    <w:rsid w:val="009C0CE4"/>
    <w:rsid w:val="009C0CFC"/>
    <w:rsid w:val="009C0F4F"/>
    <w:rsid w:val="009C1827"/>
    <w:rsid w:val="009C1DBE"/>
    <w:rsid w:val="009C1EA6"/>
    <w:rsid w:val="009C24E6"/>
    <w:rsid w:val="009C3125"/>
    <w:rsid w:val="009C31AC"/>
    <w:rsid w:val="009C3840"/>
    <w:rsid w:val="009C3BCF"/>
    <w:rsid w:val="009C4432"/>
    <w:rsid w:val="009C4575"/>
    <w:rsid w:val="009C4589"/>
    <w:rsid w:val="009C494B"/>
    <w:rsid w:val="009C4960"/>
    <w:rsid w:val="009C53BD"/>
    <w:rsid w:val="009C5A21"/>
    <w:rsid w:val="009C5D1F"/>
    <w:rsid w:val="009C6085"/>
    <w:rsid w:val="009C62F5"/>
    <w:rsid w:val="009C68C3"/>
    <w:rsid w:val="009C6CFC"/>
    <w:rsid w:val="009C7977"/>
    <w:rsid w:val="009C7C0E"/>
    <w:rsid w:val="009D0024"/>
    <w:rsid w:val="009D02DF"/>
    <w:rsid w:val="009D06FE"/>
    <w:rsid w:val="009D0BC6"/>
    <w:rsid w:val="009D1641"/>
    <w:rsid w:val="009D1D2A"/>
    <w:rsid w:val="009D20AE"/>
    <w:rsid w:val="009D219D"/>
    <w:rsid w:val="009D35CB"/>
    <w:rsid w:val="009D35E3"/>
    <w:rsid w:val="009D36F0"/>
    <w:rsid w:val="009D383F"/>
    <w:rsid w:val="009D3A80"/>
    <w:rsid w:val="009D439E"/>
    <w:rsid w:val="009D4676"/>
    <w:rsid w:val="009D4E4F"/>
    <w:rsid w:val="009D5303"/>
    <w:rsid w:val="009D5369"/>
    <w:rsid w:val="009D5776"/>
    <w:rsid w:val="009D6013"/>
    <w:rsid w:val="009D6150"/>
    <w:rsid w:val="009D68FB"/>
    <w:rsid w:val="009D69FA"/>
    <w:rsid w:val="009D6E91"/>
    <w:rsid w:val="009D70B1"/>
    <w:rsid w:val="009D73BD"/>
    <w:rsid w:val="009D78D0"/>
    <w:rsid w:val="009D795E"/>
    <w:rsid w:val="009E030A"/>
    <w:rsid w:val="009E07ED"/>
    <w:rsid w:val="009E1420"/>
    <w:rsid w:val="009E15F2"/>
    <w:rsid w:val="009E1756"/>
    <w:rsid w:val="009E1BA7"/>
    <w:rsid w:val="009E21ED"/>
    <w:rsid w:val="009E236A"/>
    <w:rsid w:val="009E23E0"/>
    <w:rsid w:val="009E2B96"/>
    <w:rsid w:val="009E2DE8"/>
    <w:rsid w:val="009E3005"/>
    <w:rsid w:val="009E321F"/>
    <w:rsid w:val="009E35BC"/>
    <w:rsid w:val="009E35FA"/>
    <w:rsid w:val="009E3BC9"/>
    <w:rsid w:val="009E42D7"/>
    <w:rsid w:val="009E4F30"/>
    <w:rsid w:val="009E5467"/>
    <w:rsid w:val="009E5727"/>
    <w:rsid w:val="009E58DD"/>
    <w:rsid w:val="009E5AAB"/>
    <w:rsid w:val="009E6161"/>
    <w:rsid w:val="009E617A"/>
    <w:rsid w:val="009E7207"/>
    <w:rsid w:val="009E732D"/>
    <w:rsid w:val="009E7F39"/>
    <w:rsid w:val="009F01DD"/>
    <w:rsid w:val="009F04AB"/>
    <w:rsid w:val="009F112C"/>
    <w:rsid w:val="009F1448"/>
    <w:rsid w:val="009F17C6"/>
    <w:rsid w:val="009F188A"/>
    <w:rsid w:val="009F2177"/>
    <w:rsid w:val="009F2341"/>
    <w:rsid w:val="009F2909"/>
    <w:rsid w:val="009F2B08"/>
    <w:rsid w:val="009F31D2"/>
    <w:rsid w:val="009F3782"/>
    <w:rsid w:val="009F3B1E"/>
    <w:rsid w:val="009F42B3"/>
    <w:rsid w:val="009F4B09"/>
    <w:rsid w:val="009F4C4C"/>
    <w:rsid w:val="009F4D7C"/>
    <w:rsid w:val="009F53FB"/>
    <w:rsid w:val="009F5448"/>
    <w:rsid w:val="009F55B5"/>
    <w:rsid w:val="009F5CE6"/>
    <w:rsid w:val="009F62DE"/>
    <w:rsid w:val="009F6692"/>
    <w:rsid w:val="009F67DC"/>
    <w:rsid w:val="009F6A01"/>
    <w:rsid w:val="009F6B39"/>
    <w:rsid w:val="009F7170"/>
    <w:rsid w:val="009F72B2"/>
    <w:rsid w:val="009F7A24"/>
    <w:rsid w:val="009F7A93"/>
    <w:rsid w:val="009F7AEC"/>
    <w:rsid w:val="009F7B56"/>
    <w:rsid w:val="00A00319"/>
    <w:rsid w:val="00A01366"/>
    <w:rsid w:val="00A01F38"/>
    <w:rsid w:val="00A02343"/>
    <w:rsid w:val="00A02C6F"/>
    <w:rsid w:val="00A02DD3"/>
    <w:rsid w:val="00A02F5E"/>
    <w:rsid w:val="00A02F85"/>
    <w:rsid w:val="00A03AE4"/>
    <w:rsid w:val="00A03C3D"/>
    <w:rsid w:val="00A03E7D"/>
    <w:rsid w:val="00A03F6F"/>
    <w:rsid w:val="00A04810"/>
    <w:rsid w:val="00A04915"/>
    <w:rsid w:val="00A049FF"/>
    <w:rsid w:val="00A04C09"/>
    <w:rsid w:val="00A04C41"/>
    <w:rsid w:val="00A0582D"/>
    <w:rsid w:val="00A05B5C"/>
    <w:rsid w:val="00A05CE5"/>
    <w:rsid w:val="00A05E38"/>
    <w:rsid w:val="00A05F7F"/>
    <w:rsid w:val="00A0640C"/>
    <w:rsid w:val="00A0660B"/>
    <w:rsid w:val="00A06EB9"/>
    <w:rsid w:val="00A07038"/>
    <w:rsid w:val="00A07331"/>
    <w:rsid w:val="00A0744F"/>
    <w:rsid w:val="00A0789F"/>
    <w:rsid w:val="00A079A1"/>
    <w:rsid w:val="00A07BC6"/>
    <w:rsid w:val="00A07F90"/>
    <w:rsid w:val="00A10741"/>
    <w:rsid w:val="00A1151A"/>
    <w:rsid w:val="00A1153C"/>
    <w:rsid w:val="00A11C72"/>
    <w:rsid w:val="00A121A4"/>
    <w:rsid w:val="00A122D6"/>
    <w:rsid w:val="00A125D0"/>
    <w:rsid w:val="00A125ED"/>
    <w:rsid w:val="00A12A03"/>
    <w:rsid w:val="00A12A69"/>
    <w:rsid w:val="00A13233"/>
    <w:rsid w:val="00A13662"/>
    <w:rsid w:val="00A14659"/>
    <w:rsid w:val="00A14718"/>
    <w:rsid w:val="00A1476C"/>
    <w:rsid w:val="00A148E3"/>
    <w:rsid w:val="00A14F46"/>
    <w:rsid w:val="00A163BF"/>
    <w:rsid w:val="00A1655D"/>
    <w:rsid w:val="00A16719"/>
    <w:rsid w:val="00A168C0"/>
    <w:rsid w:val="00A178D6"/>
    <w:rsid w:val="00A179C3"/>
    <w:rsid w:val="00A17E77"/>
    <w:rsid w:val="00A2039F"/>
    <w:rsid w:val="00A20504"/>
    <w:rsid w:val="00A2097B"/>
    <w:rsid w:val="00A20A5C"/>
    <w:rsid w:val="00A20B15"/>
    <w:rsid w:val="00A20DFB"/>
    <w:rsid w:val="00A21CA2"/>
    <w:rsid w:val="00A226E5"/>
    <w:rsid w:val="00A22864"/>
    <w:rsid w:val="00A23224"/>
    <w:rsid w:val="00A2325B"/>
    <w:rsid w:val="00A232BB"/>
    <w:rsid w:val="00A2336E"/>
    <w:rsid w:val="00A2343E"/>
    <w:rsid w:val="00A23873"/>
    <w:rsid w:val="00A23E39"/>
    <w:rsid w:val="00A23F34"/>
    <w:rsid w:val="00A24578"/>
    <w:rsid w:val="00A24A94"/>
    <w:rsid w:val="00A24C64"/>
    <w:rsid w:val="00A24D63"/>
    <w:rsid w:val="00A25229"/>
    <w:rsid w:val="00A2545F"/>
    <w:rsid w:val="00A25918"/>
    <w:rsid w:val="00A259DB"/>
    <w:rsid w:val="00A25AFC"/>
    <w:rsid w:val="00A25B35"/>
    <w:rsid w:val="00A25E0A"/>
    <w:rsid w:val="00A25F63"/>
    <w:rsid w:val="00A26058"/>
    <w:rsid w:val="00A266A0"/>
    <w:rsid w:val="00A26A11"/>
    <w:rsid w:val="00A26BEE"/>
    <w:rsid w:val="00A273D4"/>
    <w:rsid w:val="00A275F7"/>
    <w:rsid w:val="00A279ED"/>
    <w:rsid w:val="00A27EEF"/>
    <w:rsid w:val="00A30622"/>
    <w:rsid w:val="00A30A13"/>
    <w:rsid w:val="00A30B1F"/>
    <w:rsid w:val="00A310DF"/>
    <w:rsid w:val="00A31CD7"/>
    <w:rsid w:val="00A31D4A"/>
    <w:rsid w:val="00A31EF3"/>
    <w:rsid w:val="00A31F87"/>
    <w:rsid w:val="00A31FF8"/>
    <w:rsid w:val="00A3200A"/>
    <w:rsid w:val="00A3202D"/>
    <w:rsid w:val="00A32F42"/>
    <w:rsid w:val="00A33F9C"/>
    <w:rsid w:val="00A34772"/>
    <w:rsid w:val="00A34DB5"/>
    <w:rsid w:val="00A350CF"/>
    <w:rsid w:val="00A35B6C"/>
    <w:rsid w:val="00A36938"/>
    <w:rsid w:val="00A36DB0"/>
    <w:rsid w:val="00A36E7F"/>
    <w:rsid w:val="00A3703A"/>
    <w:rsid w:val="00A371D6"/>
    <w:rsid w:val="00A372E6"/>
    <w:rsid w:val="00A37C60"/>
    <w:rsid w:val="00A40791"/>
    <w:rsid w:val="00A410A2"/>
    <w:rsid w:val="00A41B74"/>
    <w:rsid w:val="00A41D5C"/>
    <w:rsid w:val="00A41F2E"/>
    <w:rsid w:val="00A41FD7"/>
    <w:rsid w:val="00A421EF"/>
    <w:rsid w:val="00A42260"/>
    <w:rsid w:val="00A42A8A"/>
    <w:rsid w:val="00A43085"/>
    <w:rsid w:val="00A431E5"/>
    <w:rsid w:val="00A43638"/>
    <w:rsid w:val="00A4454F"/>
    <w:rsid w:val="00A449F9"/>
    <w:rsid w:val="00A44A31"/>
    <w:rsid w:val="00A44A8C"/>
    <w:rsid w:val="00A44B05"/>
    <w:rsid w:val="00A44F4B"/>
    <w:rsid w:val="00A45128"/>
    <w:rsid w:val="00A45541"/>
    <w:rsid w:val="00A45A09"/>
    <w:rsid w:val="00A45BC2"/>
    <w:rsid w:val="00A45C5A"/>
    <w:rsid w:val="00A46B40"/>
    <w:rsid w:val="00A47063"/>
    <w:rsid w:val="00A47247"/>
    <w:rsid w:val="00A478BA"/>
    <w:rsid w:val="00A500CF"/>
    <w:rsid w:val="00A50504"/>
    <w:rsid w:val="00A50727"/>
    <w:rsid w:val="00A50CA8"/>
    <w:rsid w:val="00A5111B"/>
    <w:rsid w:val="00A5193C"/>
    <w:rsid w:val="00A52496"/>
    <w:rsid w:val="00A52684"/>
    <w:rsid w:val="00A52CEC"/>
    <w:rsid w:val="00A532EB"/>
    <w:rsid w:val="00A538DB"/>
    <w:rsid w:val="00A5471D"/>
    <w:rsid w:val="00A54861"/>
    <w:rsid w:val="00A54A10"/>
    <w:rsid w:val="00A54B24"/>
    <w:rsid w:val="00A55813"/>
    <w:rsid w:val="00A55A3C"/>
    <w:rsid w:val="00A5675A"/>
    <w:rsid w:val="00A57136"/>
    <w:rsid w:val="00A5731E"/>
    <w:rsid w:val="00A57E17"/>
    <w:rsid w:val="00A57E6A"/>
    <w:rsid w:val="00A60AF7"/>
    <w:rsid w:val="00A60DB8"/>
    <w:rsid w:val="00A6104A"/>
    <w:rsid w:val="00A610F8"/>
    <w:rsid w:val="00A61B71"/>
    <w:rsid w:val="00A61D46"/>
    <w:rsid w:val="00A6203C"/>
    <w:rsid w:val="00A62335"/>
    <w:rsid w:val="00A624BA"/>
    <w:rsid w:val="00A627B5"/>
    <w:rsid w:val="00A6319D"/>
    <w:rsid w:val="00A6332D"/>
    <w:rsid w:val="00A648FC"/>
    <w:rsid w:val="00A64B6B"/>
    <w:rsid w:val="00A64CF1"/>
    <w:rsid w:val="00A64FFF"/>
    <w:rsid w:val="00A65593"/>
    <w:rsid w:val="00A65C29"/>
    <w:rsid w:val="00A6629E"/>
    <w:rsid w:val="00A664D1"/>
    <w:rsid w:val="00A66BAC"/>
    <w:rsid w:val="00A66CDF"/>
    <w:rsid w:val="00A67698"/>
    <w:rsid w:val="00A67883"/>
    <w:rsid w:val="00A67BC9"/>
    <w:rsid w:val="00A67BF3"/>
    <w:rsid w:val="00A67BFF"/>
    <w:rsid w:val="00A7047B"/>
    <w:rsid w:val="00A70580"/>
    <w:rsid w:val="00A70DC2"/>
    <w:rsid w:val="00A71444"/>
    <w:rsid w:val="00A71570"/>
    <w:rsid w:val="00A71728"/>
    <w:rsid w:val="00A72885"/>
    <w:rsid w:val="00A72E19"/>
    <w:rsid w:val="00A73346"/>
    <w:rsid w:val="00A737AC"/>
    <w:rsid w:val="00A73C47"/>
    <w:rsid w:val="00A74028"/>
    <w:rsid w:val="00A742BA"/>
    <w:rsid w:val="00A7439A"/>
    <w:rsid w:val="00A74467"/>
    <w:rsid w:val="00A749B8"/>
    <w:rsid w:val="00A74A2B"/>
    <w:rsid w:val="00A75053"/>
    <w:rsid w:val="00A754D8"/>
    <w:rsid w:val="00A7583C"/>
    <w:rsid w:val="00A7596E"/>
    <w:rsid w:val="00A760CE"/>
    <w:rsid w:val="00A77377"/>
    <w:rsid w:val="00A7739A"/>
    <w:rsid w:val="00A7739F"/>
    <w:rsid w:val="00A77CDE"/>
    <w:rsid w:val="00A80715"/>
    <w:rsid w:val="00A80AD5"/>
    <w:rsid w:val="00A80D8A"/>
    <w:rsid w:val="00A80F09"/>
    <w:rsid w:val="00A8115B"/>
    <w:rsid w:val="00A812D3"/>
    <w:rsid w:val="00A81CB3"/>
    <w:rsid w:val="00A81F6B"/>
    <w:rsid w:val="00A81F81"/>
    <w:rsid w:val="00A82A6C"/>
    <w:rsid w:val="00A82D9F"/>
    <w:rsid w:val="00A82FD5"/>
    <w:rsid w:val="00A83581"/>
    <w:rsid w:val="00A836D0"/>
    <w:rsid w:val="00A8371D"/>
    <w:rsid w:val="00A83C75"/>
    <w:rsid w:val="00A83F0A"/>
    <w:rsid w:val="00A840C0"/>
    <w:rsid w:val="00A845B1"/>
    <w:rsid w:val="00A84D41"/>
    <w:rsid w:val="00A84F91"/>
    <w:rsid w:val="00A850DA"/>
    <w:rsid w:val="00A85305"/>
    <w:rsid w:val="00A853E6"/>
    <w:rsid w:val="00A85511"/>
    <w:rsid w:val="00A85593"/>
    <w:rsid w:val="00A85883"/>
    <w:rsid w:val="00A8594B"/>
    <w:rsid w:val="00A85BD1"/>
    <w:rsid w:val="00A861D3"/>
    <w:rsid w:val="00A86377"/>
    <w:rsid w:val="00A8639E"/>
    <w:rsid w:val="00A86483"/>
    <w:rsid w:val="00A8648E"/>
    <w:rsid w:val="00A87110"/>
    <w:rsid w:val="00A87234"/>
    <w:rsid w:val="00A87761"/>
    <w:rsid w:val="00A87E36"/>
    <w:rsid w:val="00A90332"/>
    <w:rsid w:val="00A905F4"/>
    <w:rsid w:val="00A90620"/>
    <w:rsid w:val="00A90E24"/>
    <w:rsid w:val="00A91643"/>
    <w:rsid w:val="00A925F2"/>
    <w:rsid w:val="00A9268E"/>
    <w:rsid w:val="00A927CF"/>
    <w:rsid w:val="00A93A23"/>
    <w:rsid w:val="00A93AA2"/>
    <w:rsid w:val="00A93CB3"/>
    <w:rsid w:val="00A93E7F"/>
    <w:rsid w:val="00A940B2"/>
    <w:rsid w:val="00A9417F"/>
    <w:rsid w:val="00A94246"/>
    <w:rsid w:val="00A946AD"/>
    <w:rsid w:val="00A94758"/>
    <w:rsid w:val="00A94772"/>
    <w:rsid w:val="00A94CA6"/>
    <w:rsid w:val="00A9501E"/>
    <w:rsid w:val="00A95565"/>
    <w:rsid w:val="00A95E96"/>
    <w:rsid w:val="00A960DE"/>
    <w:rsid w:val="00A9619E"/>
    <w:rsid w:val="00A963AB"/>
    <w:rsid w:val="00A9664D"/>
    <w:rsid w:val="00A96759"/>
    <w:rsid w:val="00A969F5"/>
    <w:rsid w:val="00A96A90"/>
    <w:rsid w:val="00A96C6A"/>
    <w:rsid w:val="00A96EFD"/>
    <w:rsid w:val="00A9712B"/>
    <w:rsid w:val="00A971FE"/>
    <w:rsid w:val="00A97D16"/>
    <w:rsid w:val="00AA068B"/>
    <w:rsid w:val="00AA06F0"/>
    <w:rsid w:val="00AA0B5B"/>
    <w:rsid w:val="00AA102F"/>
    <w:rsid w:val="00AA13A5"/>
    <w:rsid w:val="00AA149D"/>
    <w:rsid w:val="00AA16A5"/>
    <w:rsid w:val="00AA1BE4"/>
    <w:rsid w:val="00AA1C9F"/>
    <w:rsid w:val="00AA2416"/>
    <w:rsid w:val="00AA26F7"/>
    <w:rsid w:val="00AA27EF"/>
    <w:rsid w:val="00AA3341"/>
    <w:rsid w:val="00AA3547"/>
    <w:rsid w:val="00AA3607"/>
    <w:rsid w:val="00AA36E9"/>
    <w:rsid w:val="00AA3847"/>
    <w:rsid w:val="00AA3AEA"/>
    <w:rsid w:val="00AA3C3C"/>
    <w:rsid w:val="00AA3C58"/>
    <w:rsid w:val="00AA4181"/>
    <w:rsid w:val="00AA4592"/>
    <w:rsid w:val="00AA4746"/>
    <w:rsid w:val="00AA4790"/>
    <w:rsid w:val="00AA4DD1"/>
    <w:rsid w:val="00AA5409"/>
    <w:rsid w:val="00AA5B02"/>
    <w:rsid w:val="00AA5C1B"/>
    <w:rsid w:val="00AA6FCD"/>
    <w:rsid w:val="00AA703D"/>
    <w:rsid w:val="00AA7082"/>
    <w:rsid w:val="00AA7473"/>
    <w:rsid w:val="00AA75CF"/>
    <w:rsid w:val="00AB0750"/>
    <w:rsid w:val="00AB087D"/>
    <w:rsid w:val="00AB0CEA"/>
    <w:rsid w:val="00AB0DEB"/>
    <w:rsid w:val="00AB10AC"/>
    <w:rsid w:val="00AB1482"/>
    <w:rsid w:val="00AB1E4B"/>
    <w:rsid w:val="00AB1F61"/>
    <w:rsid w:val="00AB2164"/>
    <w:rsid w:val="00AB2226"/>
    <w:rsid w:val="00AB2245"/>
    <w:rsid w:val="00AB27CB"/>
    <w:rsid w:val="00AB2B15"/>
    <w:rsid w:val="00AB2C8B"/>
    <w:rsid w:val="00AB2F1D"/>
    <w:rsid w:val="00AB3D52"/>
    <w:rsid w:val="00AB3D65"/>
    <w:rsid w:val="00AB3F6F"/>
    <w:rsid w:val="00AB4521"/>
    <w:rsid w:val="00AB52E2"/>
    <w:rsid w:val="00AB5B15"/>
    <w:rsid w:val="00AB5F81"/>
    <w:rsid w:val="00AB6C3C"/>
    <w:rsid w:val="00AB74A1"/>
    <w:rsid w:val="00AB781E"/>
    <w:rsid w:val="00AC11C4"/>
    <w:rsid w:val="00AC1339"/>
    <w:rsid w:val="00AC1559"/>
    <w:rsid w:val="00AC1912"/>
    <w:rsid w:val="00AC1A81"/>
    <w:rsid w:val="00AC21BC"/>
    <w:rsid w:val="00AC23C3"/>
    <w:rsid w:val="00AC33BF"/>
    <w:rsid w:val="00AC3CA3"/>
    <w:rsid w:val="00AC421B"/>
    <w:rsid w:val="00AC473F"/>
    <w:rsid w:val="00AC4BBD"/>
    <w:rsid w:val="00AC4E7D"/>
    <w:rsid w:val="00AC5099"/>
    <w:rsid w:val="00AC53B7"/>
    <w:rsid w:val="00AC5997"/>
    <w:rsid w:val="00AC5C27"/>
    <w:rsid w:val="00AC5D3A"/>
    <w:rsid w:val="00AC5F14"/>
    <w:rsid w:val="00AC623F"/>
    <w:rsid w:val="00AC633B"/>
    <w:rsid w:val="00AC7586"/>
    <w:rsid w:val="00AC77A3"/>
    <w:rsid w:val="00AC77AA"/>
    <w:rsid w:val="00AC7912"/>
    <w:rsid w:val="00AC79B3"/>
    <w:rsid w:val="00AD03EB"/>
    <w:rsid w:val="00AD0C54"/>
    <w:rsid w:val="00AD27A4"/>
    <w:rsid w:val="00AD28D2"/>
    <w:rsid w:val="00AD2D3E"/>
    <w:rsid w:val="00AD349E"/>
    <w:rsid w:val="00AD3670"/>
    <w:rsid w:val="00AD3999"/>
    <w:rsid w:val="00AD3C07"/>
    <w:rsid w:val="00AD3C18"/>
    <w:rsid w:val="00AD3F85"/>
    <w:rsid w:val="00AD4116"/>
    <w:rsid w:val="00AD4320"/>
    <w:rsid w:val="00AD46F9"/>
    <w:rsid w:val="00AD5406"/>
    <w:rsid w:val="00AD570A"/>
    <w:rsid w:val="00AD5A03"/>
    <w:rsid w:val="00AD6757"/>
    <w:rsid w:val="00AD6ACE"/>
    <w:rsid w:val="00AD6CFF"/>
    <w:rsid w:val="00AE015E"/>
    <w:rsid w:val="00AE01A7"/>
    <w:rsid w:val="00AE0797"/>
    <w:rsid w:val="00AE0DDD"/>
    <w:rsid w:val="00AE0E3F"/>
    <w:rsid w:val="00AE161C"/>
    <w:rsid w:val="00AE1C70"/>
    <w:rsid w:val="00AE24CD"/>
    <w:rsid w:val="00AE2970"/>
    <w:rsid w:val="00AE2EC7"/>
    <w:rsid w:val="00AE314B"/>
    <w:rsid w:val="00AE3E82"/>
    <w:rsid w:val="00AE4039"/>
    <w:rsid w:val="00AE4914"/>
    <w:rsid w:val="00AE4B05"/>
    <w:rsid w:val="00AE529A"/>
    <w:rsid w:val="00AE53F1"/>
    <w:rsid w:val="00AE5910"/>
    <w:rsid w:val="00AE593F"/>
    <w:rsid w:val="00AE6A0E"/>
    <w:rsid w:val="00AE6FB3"/>
    <w:rsid w:val="00AE70B1"/>
    <w:rsid w:val="00AE7139"/>
    <w:rsid w:val="00AE71FA"/>
    <w:rsid w:val="00AE7338"/>
    <w:rsid w:val="00AE7830"/>
    <w:rsid w:val="00AE7A41"/>
    <w:rsid w:val="00AE7C25"/>
    <w:rsid w:val="00AF0CCF"/>
    <w:rsid w:val="00AF16DC"/>
    <w:rsid w:val="00AF1C62"/>
    <w:rsid w:val="00AF202B"/>
    <w:rsid w:val="00AF23AE"/>
    <w:rsid w:val="00AF2AEE"/>
    <w:rsid w:val="00AF2BDE"/>
    <w:rsid w:val="00AF2E61"/>
    <w:rsid w:val="00AF3126"/>
    <w:rsid w:val="00AF31C9"/>
    <w:rsid w:val="00AF36E8"/>
    <w:rsid w:val="00AF3779"/>
    <w:rsid w:val="00AF38CC"/>
    <w:rsid w:val="00AF38D7"/>
    <w:rsid w:val="00AF3E60"/>
    <w:rsid w:val="00AF3F4E"/>
    <w:rsid w:val="00AF4491"/>
    <w:rsid w:val="00AF46E8"/>
    <w:rsid w:val="00AF49BF"/>
    <w:rsid w:val="00AF4CDB"/>
    <w:rsid w:val="00AF52B0"/>
    <w:rsid w:val="00AF5EC7"/>
    <w:rsid w:val="00AF5EDD"/>
    <w:rsid w:val="00AF651C"/>
    <w:rsid w:val="00AF690B"/>
    <w:rsid w:val="00AF6A66"/>
    <w:rsid w:val="00AF6E8D"/>
    <w:rsid w:val="00AF6F4D"/>
    <w:rsid w:val="00AF778E"/>
    <w:rsid w:val="00AF79FC"/>
    <w:rsid w:val="00AF7C58"/>
    <w:rsid w:val="00AF7FBB"/>
    <w:rsid w:val="00AF7FFB"/>
    <w:rsid w:val="00B00D2A"/>
    <w:rsid w:val="00B0164B"/>
    <w:rsid w:val="00B0167E"/>
    <w:rsid w:val="00B01836"/>
    <w:rsid w:val="00B01AF2"/>
    <w:rsid w:val="00B01B42"/>
    <w:rsid w:val="00B01E1B"/>
    <w:rsid w:val="00B02841"/>
    <w:rsid w:val="00B03012"/>
    <w:rsid w:val="00B03182"/>
    <w:rsid w:val="00B03228"/>
    <w:rsid w:val="00B03DA1"/>
    <w:rsid w:val="00B03F40"/>
    <w:rsid w:val="00B04194"/>
    <w:rsid w:val="00B04A52"/>
    <w:rsid w:val="00B04A8E"/>
    <w:rsid w:val="00B05864"/>
    <w:rsid w:val="00B05BC8"/>
    <w:rsid w:val="00B05C45"/>
    <w:rsid w:val="00B0684B"/>
    <w:rsid w:val="00B06998"/>
    <w:rsid w:val="00B07003"/>
    <w:rsid w:val="00B075FE"/>
    <w:rsid w:val="00B07751"/>
    <w:rsid w:val="00B078D9"/>
    <w:rsid w:val="00B07CFD"/>
    <w:rsid w:val="00B1043F"/>
    <w:rsid w:val="00B1058C"/>
    <w:rsid w:val="00B106A9"/>
    <w:rsid w:val="00B13325"/>
    <w:rsid w:val="00B1371D"/>
    <w:rsid w:val="00B13AE1"/>
    <w:rsid w:val="00B13FCB"/>
    <w:rsid w:val="00B14D18"/>
    <w:rsid w:val="00B14E0D"/>
    <w:rsid w:val="00B153AD"/>
    <w:rsid w:val="00B1540E"/>
    <w:rsid w:val="00B1577F"/>
    <w:rsid w:val="00B1585A"/>
    <w:rsid w:val="00B15DD9"/>
    <w:rsid w:val="00B16000"/>
    <w:rsid w:val="00B160D7"/>
    <w:rsid w:val="00B161A3"/>
    <w:rsid w:val="00B16A62"/>
    <w:rsid w:val="00B16F4B"/>
    <w:rsid w:val="00B1709D"/>
    <w:rsid w:val="00B175A7"/>
    <w:rsid w:val="00B17900"/>
    <w:rsid w:val="00B20007"/>
    <w:rsid w:val="00B2065F"/>
    <w:rsid w:val="00B20E03"/>
    <w:rsid w:val="00B20ED6"/>
    <w:rsid w:val="00B21019"/>
    <w:rsid w:val="00B2165E"/>
    <w:rsid w:val="00B21B08"/>
    <w:rsid w:val="00B221AF"/>
    <w:rsid w:val="00B2221C"/>
    <w:rsid w:val="00B2234B"/>
    <w:rsid w:val="00B22767"/>
    <w:rsid w:val="00B22CDE"/>
    <w:rsid w:val="00B22CEC"/>
    <w:rsid w:val="00B23361"/>
    <w:rsid w:val="00B238E3"/>
    <w:rsid w:val="00B242EA"/>
    <w:rsid w:val="00B24336"/>
    <w:rsid w:val="00B252E5"/>
    <w:rsid w:val="00B258F9"/>
    <w:rsid w:val="00B25BF9"/>
    <w:rsid w:val="00B25F5C"/>
    <w:rsid w:val="00B25FAD"/>
    <w:rsid w:val="00B2635D"/>
    <w:rsid w:val="00B272F0"/>
    <w:rsid w:val="00B2745F"/>
    <w:rsid w:val="00B275D6"/>
    <w:rsid w:val="00B278FB"/>
    <w:rsid w:val="00B2799A"/>
    <w:rsid w:val="00B30409"/>
    <w:rsid w:val="00B3061A"/>
    <w:rsid w:val="00B30FD6"/>
    <w:rsid w:val="00B31A6D"/>
    <w:rsid w:val="00B32835"/>
    <w:rsid w:val="00B3295F"/>
    <w:rsid w:val="00B32C9E"/>
    <w:rsid w:val="00B32EB9"/>
    <w:rsid w:val="00B3314F"/>
    <w:rsid w:val="00B33689"/>
    <w:rsid w:val="00B33DAD"/>
    <w:rsid w:val="00B3487A"/>
    <w:rsid w:val="00B34AC2"/>
    <w:rsid w:val="00B35101"/>
    <w:rsid w:val="00B359A1"/>
    <w:rsid w:val="00B36D35"/>
    <w:rsid w:val="00B37E7F"/>
    <w:rsid w:val="00B37EE4"/>
    <w:rsid w:val="00B4010C"/>
    <w:rsid w:val="00B4053B"/>
    <w:rsid w:val="00B41EE5"/>
    <w:rsid w:val="00B42545"/>
    <w:rsid w:val="00B42808"/>
    <w:rsid w:val="00B429E0"/>
    <w:rsid w:val="00B43FEA"/>
    <w:rsid w:val="00B44693"/>
    <w:rsid w:val="00B44806"/>
    <w:rsid w:val="00B44CED"/>
    <w:rsid w:val="00B44FBE"/>
    <w:rsid w:val="00B45440"/>
    <w:rsid w:val="00B456A4"/>
    <w:rsid w:val="00B45A5A"/>
    <w:rsid w:val="00B46499"/>
    <w:rsid w:val="00B4672E"/>
    <w:rsid w:val="00B46A55"/>
    <w:rsid w:val="00B46DE9"/>
    <w:rsid w:val="00B4700F"/>
    <w:rsid w:val="00B50312"/>
    <w:rsid w:val="00B50543"/>
    <w:rsid w:val="00B5057F"/>
    <w:rsid w:val="00B51666"/>
    <w:rsid w:val="00B51D71"/>
    <w:rsid w:val="00B52BE0"/>
    <w:rsid w:val="00B530AC"/>
    <w:rsid w:val="00B53290"/>
    <w:rsid w:val="00B53B19"/>
    <w:rsid w:val="00B53CED"/>
    <w:rsid w:val="00B53DB7"/>
    <w:rsid w:val="00B547D1"/>
    <w:rsid w:val="00B5535D"/>
    <w:rsid w:val="00B5588C"/>
    <w:rsid w:val="00B574B0"/>
    <w:rsid w:val="00B57833"/>
    <w:rsid w:val="00B57DB5"/>
    <w:rsid w:val="00B57E13"/>
    <w:rsid w:val="00B60D0C"/>
    <w:rsid w:val="00B6103C"/>
    <w:rsid w:val="00B6175D"/>
    <w:rsid w:val="00B61766"/>
    <w:rsid w:val="00B62106"/>
    <w:rsid w:val="00B62623"/>
    <w:rsid w:val="00B626F5"/>
    <w:rsid w:val="00B62E76"/>
    <w:rsid w:val="00B634B7"/>
    <w:rsid w:val="00B63B4F"/>
    <w:rsid w:val="00B63B70"/>
    <w:rsid w:val="00B640F5"/>
    <w:rsid w:val="00B64A15"/>
    <w:rsid w:val="00B64C75"/>
    <w:rsid w:val="00B65020"/>
    <w:rsid w:val="00B65673"/>
    <w:rsid w:val="00B659FF"/>
    <w:rsid w:val="00B65BF3"/>
    <w:rsid w:val="00B65D54"/>
    <w:rsid w:val="00B65D63"/>
    <w:rsid w:val="00B65F93"/>
    <w:rsid w:val="00B663A2"/>
    <w:rsid w:val="00B66498"/>
    <w:rsid w:val="00B66962"/>
    <w:rsid w:val="00B66E60"/>
    <w:rsid w:val="00B674CC"/>
    <w:rsid w:val="00B67B6E"/>
    <w:rsid w:val="00B67CD0"/>
    <w:rsid w:val="00B67D72"/>
    <w:rsid w:val="00B67EB5"/>
    <w:rsid w:val="00B706CD"/>
    <w:rsid w:val="00B70A81"/>
    <w:rsid w:val="00B71578"/>
    <w:rsid w:val="00B715AA"/>
    <w:rsid w:val="00B71994"/>
    <w:rsid w:val="00B71C0E"/>
    <w:rsid w:val="00B727DF"/>
    <w:rsid w:val="00B72A94"/>
    <w:rsid w:val="00B72BC6"/>
    <w:rsid w:val="00B73517"/>
    <w:rsid w:val="00B73626"/>
    <w:rsid w:val="00B737BB"/>
    <w:rsid w:val="00B73C0B"/>
    <w:rsid w:val="00B744AC"/>
    <w:rsid w:val="00B748B8"/>
    <w:rsid w:val="00B74922"/>
    <w:rsid w:val="00B74EEE"/>
    <w:rsid w:val="00B75600"/>
    <w:rsid w:val="00B75908"/>
    <w:rsid w:val="00B75BF9"/>
    <w:rsid w:val="00B76162"/>
    <w:rsid w:val="00B761F9"/>
    <w:rsid w:val="00B764C3"/>
    <w:rsid w:val="00B7652B"/>
    <w:rsid w:val="00B767A4"/>
    <w:rsid w:val="00B76BFD"/>
    <w:rsid w:val="00B76C37"/>
    <w:rsid w:val="00B77C11"/>
    <w:rsid w:val="00B804CB"/>
    <w:rsid w:val="00B8070D"/>
    <w:rsid w:val="00B80BA5"/>
    <w:rsid w:val="00B80CA6"/>
    <w:rsid w:val="00B812B7"/>
    <w:rsid w:val="00B81524"/>
    <w:rsid w:val="00B81B87"/>
    <w:rsid w:val="00B82014"/>
    <w:rsid w:val="00B826A6"/>
    <w:rsid w:val="00B82962"/>
    <w:rsid w:val="00B82980"/>
    <w:rsid w:val="00B83228"/>
    <w:rsid w:val="00B836B4"/>
    <w:rsid w:val="00B84088"/>
    <w:rsid w:val="00B84094"/>
    <w:rsid w:val="00B843F5"/>
    <w:rsid w:val="00B84463"/>
    <w:rsid w:val="00B8473F"/>
    <w:rsid w:val="00B849B3"/>
    <w:rsid w:val="00B84CB5"/>
    <w:rsid w:val="00B84EF5"/>
    <w:rsid w:val="00B8660F"/>
    <w:rsid w:val="00B8685F"/>
    <w:rsid w:val="00B869AF"/>
    <w:rsid w:val="00B86A83"/>
    <w:rsid w:val="00B86E4B"/>
    <w:rsid w:val="00B874EB"/>
    <w:rsid w:val="00B907A6"/>
    <w:rsid w:val="00B90A21"/>
    <w:rsid w:val="00B90E20"/>
    <w:rsid w:val="00B91379"/>
    <w:rsid w:val="00B918BE"/>
    <w:rsid w:val="00B91EDD"/>
    <w:rsid w:val="00B92889"/>
    <w:rsid w:val="00B92D1F"/>
    <w:rsid w:val="00B930AF"/>
    <w:rsid w:val="00B9336C"/>
    <w:rsid w:val="00B9346B"/>
    <w:rsid w:val="00B93C57"/>
    <w:rsid w:val="00B94A45"/>
    <w:rsid w:val="00B94B6F"/>
    <w:rsid w:val="00B94E31"/>
    <w:rsid w:val="00B95B90"/>
    <w:rsid w:val="00B95C9B"/>
    <w:rsid w:val="00B963DF"/>
    <w:rsid w:val="00B9698E"/>
    <w:rsid w:val="00B969D9"/>
    <w:rsid w:val="00B96B62"/>
    <w:rsid w:val="00B97DBF"/>
    <w:rsid w:val="00BA0533"/>
    <w:rsid w:val="00BA056C"/>
    <w:rsid w:val="00BA0720"/>
    <w:rsid w:val="00BA0C31"/>
    <w:rsid w:val="00BA0E27"/>
    <w:rsid w:val="00BA15B3"/>
    <w:rsid w:val="00BA2322"/>
    <w:rsid w:val="00BA26D8"/>
    <w:rsid w:val="00BA28D6"/>
    <w:rsid w:val="00BA2BC8"/>
    <w:rsid w:val="00BA2C01"/>
    <w:rsid w:val="00BA3203"/>
    <w:rsid w:val="00BA4306"/>
    <w:rsid w:val="00BA4730"/>
    <w:rsid w:val="00BA489B"/>
    <w:rsid w:val="00BA496E"/>
    <w:rsid w:val="00BA54F8"/>
    <w:rsid w:val="00BA565B"/>
    <w:rsid w:val="00BA5E33"/>
    <w:rsid w:val="00BA6BAF"/>
    <w:rsid w:val="00BA6F95"/>
    <w:rsid w:val="00BA7050"/>
    <w:rsid w:val="00BA714A"/>
    <w:rsid w:val="00BA7235"/>
    <w:rsid w:val="00BA77DB"/>
    <w:rsid w:val="00BA77DF"/>
    <w:rsid w:val="00BA79A6"/>
    <w:rsid w:val="00BA7C0E"/>
    <w:rsid w:val="00BA7CE1"/>
    <w:rsid w:val="00BA7E52"/>
    <w:rsid w:val="00BB01FE"/>
    <w:rsid w:val="00BB0347"/>
    <w:rsid w:val="00BB0B5D"/>
    <w:rsid w:val="00BB0EFD"/>
    <w:rsid w:val="00BB14F8"/>
    <w:rsid w:val="00BB248B"/>
    <w:rsid w:val="00BB3D7D"/>
    <w:rsid w:val="00BB4154"/>
    <w:rsid w:val="00BB43F0"/>
    <w:rsid w:val="00BB4B4E"/>
    <w:rsid w:val="00BB4EE9"/>
    <w:rsid w:val="00BB4F2F"/>
    <w:rsid w:val="00BB5731"/>
    <w:rsid w:val="00BB5735"/>
    <w:rsid w:val="00BB5F7E"/>
    <w:rsid w:val="00BB60B7"/>
    <w:rsid w:val="00BB695A"/>
    <w:rsid w:val="00BB6C3F"/>
    <w:rsid w:val="00BB6E62"/>
    <w:rsid w:val="00BB75A3"/>
    <w:rsid w:val="00BB77DC"/>
    <w:rsid w:val="00BB7808"/>
    <w:rsid w:val="00BB7BCC"/>
    <w:rsid w:val="00BB7C9F"/>
    <w:rsid w:val="00BC046D"/>
    <w:rsid w:val="00BC0D10"/>
    <w:rsid w:val="00BC0D3F"/>
    <w:rsid w:val="00BC0E2D"/>
    <w:rsid w:val="00BC146B"/>
    <w:rsid w:val="00BC1935"/>
    <w:rsid w:val="00BC1AA7"/>
    <w:rsid w:val="00BC1EC7"/>
    <w:rsid w:val="00BC1F7A"/>
    <w:rsid w:val="00BC2EFF"/>
    <w:rsid w:val="00BC30F4"/>
    <w:rsid w:val="00BC36FD"/>
    <w:rsid w:val="00BC38DB"/>
    <w:rsid w:val="00BC3BF3"/>
    <w:rsid w:val="00BC3C92"/>
    <w:rsid w:val="00BC4064"/>
    <w:rsid w:val="00BC417B"/>
    <w:rsid w:val="00BC4C08"/>
    <w:rsid w:val="00BC50D7"/>
    <w:rsid w:val="00BC530D"/>
    <w:rsid w:val="00BC5482"/>
    <w:rsid w:val="00BC5748"/>
    <w:rsid w:val="00BC5D73"/>
    <w:rsid w:val="00BC5DE4"/>
    <w:rsid w:val="00BC6536"/>
    <w:rsid w:val="00BC6812"/>
    <w:rsid w:val="00BC74B4"/>
    <w:rsid w:val="00BC7554"/>
    <w:rsid w:val="00BC762C"/>
    <w:rsid w:val="00BC77D0"/>
    <w:rsid w:val="00BC7884"/>
    <w:rsid w:val="00BC7F3A"/>
    <w:rsid w:val="00BD007A"/>
    <w:rsid w:val="00BD008F"/>
    <w:rsid w:val="00BD034E"/>
    <w:rsid w:val="00BD03F9"/>
    <w:rsid w:val="00BD0EB3"/>
    <w:rsid w:val="00BD0EDC"/>
    <w:rsid w:val="00BD0EDF"/>
    <w:rsid w:val="00BD16AE"/>
    <w:rsid w:val="00BD16EA"/>
    <w:rsid w:val="00BD1E46"/>
    <w:rsid w:val="00BD2279"/>
    <w:rsid w:val="00BD2BED"/>
    <w:rsid w:val="00BD2C91"/>
    <w:rsid w:val="00BD30AD"/>
    <w:rsid w:val="00BD3278"/>
    <w:rsid w:val="00BD36ED"/>
    <w:rsid w:val="00BD3985"/>
    <w:rsid w:val="00BD3C46"/>
    <w:rsid w:val="00BD3FEF"/>
    <w:rsid w:val="00BD4928"/>
    <w:rsid w:val="00BD493D"/>
    <w:rsid w:val="00BD49A9"/>
    <w:rsid w:val="00BD4B11"/>
    <w:rsid w:val="00BD5130"/>
    <w:rsid w:val="00BD5E52"/>
    <w:rsid w:val="00BD5E9E"/>
    <w:rsid w:val="00BD65D0"/>
    <w:rsid w:val="00BD65FB"/>
    <w:rsid w:val="00BD692B"/>
    <w:rsid w:val="00BD703A"/>
    <w:rsid w:val="00BD7D78"/>
    <w:rsid w:val="00BD7F10"/>
    <w:rsid w:val="00BD7F73"/>
    <w:rsid w:val="00BE1222"/>
    <w:rsid w:val="00BE1274"/>
    <w:rsid w:val="00BE1870"/>
    <w:rsid w:val="00BE18BD"/>
    <w:rsid w:val="00BE1909"/>
    <w:rsid w:val="00BE1C09"/>
    <w:rsid w:val="00BE26B2"/>
    <w:rsid w:val="00BE350C"/>
    <w:rsid w:val="00BE3B94"/>
    <w:rsid w:val="00BE3C7B"/>
    <w:rsid w:val="00BE427C"/>
    <w:rsid w:val="00BE4540"/>
    <w:rsid w:val="00BE463E"/>
    <w:rsid w:val="00BE57B5"/>
    <w:rsid w:val="00BE5CD2"/>
    <w:rsid w:val="00BE5D31"/>
    <w:rsid w:val="00BE5E16"/>
    <w:rsid w:val="00BE6907"/>
    <w:rsid w:val="00BE6FE5"/>
    <w:rsid w:val="00BE71E8"/>
    <w:rsid w:val="00BE75CE"/>
    <w:rsid w:val="00BE7664"/>
    <w:rsid w:val="00BE7BDB"/>
    <w:rsid w:val="00BE7BF9"/>
    <w:rsid w:val="00BF0B8E"/>
    <w:rsid w:val="00BF10D2"/>
    <w:rsid w:val="00BF182C"/>
    <w:rsid w:val="00BF1B50"/>
    <w:rsid w:val="00BF1CE0"/>
    <w:rsid w:val="00BF2682"/>
    <w:rsid w:val="00BF2AF4"/>
    <w:rsid w:val="00BF2C43"/>
    <w:rsid w:val="00BF35B9"/>
    <w:rsid w:val="00BF3988"/>
    <w:rsid w:val="00BF3A29"/>
    <w:rsid w:val="00BF3C3F"/>
    <w:rsid w:val="00BF3C78"/>
    <w:rsid w:val="00BF40A7"/>
    <w:rsid w:val="00BF4331"/>
    <w:rsid w:val="00BF482A"/>
    <w:rsid w:val="00BF48CA"/>
    <w:rsid w:val="00BF4E8D"/>
    <w:rsid w:val="00BF5051"/>
    <w:rsid w:val="00BF5AC6"/>
    <w:rsid w:val="00BF63C2"/>
    <w:rsid w:val="00BF6605"/>
    <w:rsid w:val="00BF6761"/>
    <w:rsid w:val="00BF6AAF"/>
    <w:rsid w:val="00BF6B3A"/>
    <w:rsid w:val="00BF6BA2"/>
    <w:rsid w:val="00BF79BE"/>
    <w:rsid w:val="00BF7E07"/>
    <w:rsid w:val="00BF7F08"/>
    <w:rsid w:val="00C001A8"/>
    <w:rsid w:val="00C00E7D"/>
    <w:rsid w:val="00C01470"/>
    <w:rsid w:val="00C01690"/>
    <w:rsid w:val="00C02A47"/>
    <w:rsid w:val="00C02CE6"/>
    <w:rsid w:val="00C02CEC"/>
    <w:rsid w:val="00C02D80"/>
    <w:rsid w:val="00C03097"/>
    <w:rsid w:val="00C031C1"/>
    <w:rsid w:val="00C034C5"/>
    <w:rsid w:val="00C0373E"/>
    <w:rsid w:val="00C037EA"/>
    <w:rsid w:val="00C03824"/>
    <w:rsid w:val="00C03981"/>
    <w:rsid w:val="00C0401F"/>
    <w:rsid w:val="00C04440"/>
    <w:rsid w:val="00C04B08"/>
    <w:rsid w:val="00C04DB5"/>
    <w:rsid w:val="00C04F09"/>
    <w:rsid w:val="00C05535"/>
    <w:rsid w:val="00C05DD5"/>
    <w:rsid w:val="00C06201"/>
    <w:rsid w:val="00C069DE"/>
    <w:rsid w:val="00C069FE"/>
    <w:rsid w:val="00C06D8E"/>
    <w:rsid w:val="00C0797E"/>
    <w:rsid w:val="00C07A07"/>
    <w:rsid w:val="00C10166"/>
    <w:rsid w:val="00C10F8F"/>
    <w:rsid w:val="00C118B2"/>
    <w:rsid w:val="00C11C98"/>
    <w:rsid w:val="00C1223B"/>
    <w:rsid w:val="00C124CF"/>
    <w:rsid w:val="00C1288C"/>
    <w:rsid w:val="00C129D9"/>
    <w:rsid w:val="00C12E67"/>
    <w:rsid w:val="00C12FEB"/>
    <w:rsid w:val="00C132F6"/>
    <w:rsid w:val="00C1361D"/>
    <w:rsid w:val="00C13E5D"/>
    <w:rsid w:val="00C13E63"/>
    <w:rsid w:val="00C140C0"/>
    <w:rsid w:val="00C14FBB"/>
    <w:rsid w:val="00C15497"/>
    <w:rsid w:val="00C1569E"/>
    <w:rsid w:val="00C1616B"/>
    <w:rsid w:val="00C16395"/>
    <w:rsid w:val="00C16799"/>
    <w:rsid w:val="00C170B9"/>
    <w:rsid w:val="00C173BD"/>
    <w:rsid w:val="00C175D2"/>
    <w:rsid w:val="00C17825"/>
    <w:rsid w:val="00C20099"/>
    <w:rsid w:val="00C201DF"/>
    <w:rsid w:val="00C20478"/>
    <w:rsid w:val="00C2067C"/>
    <w:rsid w:val="00C206E4"/>
    <w:rsid w:val="00C20F43"/>
    <w:rsid w:val="00C21009"/>
    <w:rsid w:val="00C21748"/>
    <w:rsid w:val="00C22C98"/>
    <w:rsid w:val="00C22CD3"/>
    <w:rsid w:val="00C22E7E"/>
    <w:rsid w:val="00C23412"/>
    <w:rsid w:val="00C23541"/>
    <w:rsid w:val="00C23776"/>
    <w:rsid w:val="00C23928"/>
    <w:rsid w:val="00C23AC5"/>
    <w:rsid w:val="00C23D17"/>
    <w:rsid w:val="00C243EC"/>
    <w:rsid w:val="00C2453B"/>
    <w:rsid w:val="00C24957"/>
    <w:rsid w:val="00C2501C"/>
    <w:rsid w:val="00C25316"/>
    <w:rsid w:val="00C253BE"/>
    <w:rsid w:val="00C2608F"/>
    <w:rsid w:val="00C26FAD"/>
    <w:rsid w:val="00C270F5"/>
    <w:rsid w:val="00C27C62"/>
    <w:rsid w:val="00C27E9A"/>
    <w:rsid w:val="00C27F1F"/>
    <w:rsid w:val="00C27F21"/>
    <w:rsid w:val="00C3011A"/>
    <w:rsid w:val="00C301E4"/>
    <w:rsid w:val="00C3184D"/>
    <w:rsid w:val="00C319A2"/>
    <w:rsid w:val="00C3225B"/>
    <w:rsid w:val="00C3246E"/>
    <w:rsid w:val="00C32E37"/>
    <w:rsid w:val="00C32EEE"/>
    <w:rsid w:val="00C3347D"/>
    <w:rsid w:val="00C3350E"/>
    <w:rsid w:val="00C33A9E"/>
    <w:rsid w:val="00C33D2D"/>
    <w:rsid w:val="00C33DB6"/>
    <w:rsid w:val="00C33F90"/>
    <w:rsid w:val="00C34019"/>
    <w:rsid w:val="00C346AD"/>
    <w:rsid w:val="00C3508E"/>
    <w:rsid w:val="00C351A0"/>
    <w:rsid w:val="00C35629"/>
    <w:rsid w:val="00C35EE6"/>
    <w:rsid w:val="00C360DA"/>
    <w:rsid w:val="00C36251"/>
    <w:rsid w:val="00C364D7"/>
    <w:rsid w:val="00C366FB"/>
    <w:rsid w:val="00C36873"/>
    <w:rsid w:val="00C36B8C"/>
    <w:rsid w:val="00C36E26"/>
    <w:rsid w:val="00C375AE"/>
    <w:rsid w:val="00C37AC1"/>
    <w:rsid w:val="00C400E3"/>
    <w:rsid w:val="00C406C6"/>
    <w:rsid w:val="00C409ED"/>
    <w:rsid w:val="00C40ABC"/>
    <w:rsid w:val="00C40DC8"/>
    <w:rsid w:val="00C415F9"/>
    <w:rsid w:val="00C41844"/>
    <w:rsid w:val="00C425EF"/>
    <w:rsid w:val="00C4284E"/>
    <w:rsid w:val="00C42E0E"/>
    <w:rsid w:val="00C4334A"/>
    <w:rsid w:val="00C43612"/>
    <w:rsid w:val="00C43CBC"/>
    <w:rsid w:val="00C44113"/>
    <w:rsid w:val="00C4418F"/>
    <w:rsid w:val="00C4499F"/>
    <w:rsid w:val="00C44C01"/>
    <w:rsid w:val="00C44E77"/>
    <w:rsid w:val="00C451B8"/>
    <w:rsid w:val="00C4526F"/>
    <w:rsid w:val="00C452F8"/>
    <w:rsid w:val="00C4576A"/>
    <w:rsid w:val="00C45D7B"/>
    <w:rsid w:val="00C45EFC"/>
    <w:rsid w:val="00C45FC8"/>
    <w:rsid w:val="00C4613C"/>
    <w:rsid w:val="00C46DBE"/>
    <w:rsid w:val="00C4795E"/>
    <w:rsid w:val="00C47E4D"/>
    <w:rsid w:val="00C504DC"/>
    <w:rsid w:val="00C50B97"/>
    <w:rsid w:val="00C50C04"/>
    <w:rsid w:val="00C50E18"/>
    <w:rsid w:val="00C515EE"/>
    <w:rsid w:val="00C517B0"/>
    <w:rsid w:val="00C51C49"/>
    <w:rsid w:val="00C51D93"/>
    <w:rsid w:val="00C51F1D"/>
    <w:rsid w:val="00C5255F"/>
    <w:rsid w:val="00C52762"/>
    <w:rsid w:val="00C52A9C"/>
    <w:rsid w:val="00C52EAD"/>
    <w:rsid w:val="00C52ED2"/>
    <w:rsid w:val="00C53157"/>
    <w:rsid w:val="00C53722"/>
    <w:rsid w:val="00C543C4"/>
    <w:rsid w:val="00C54FDB"/>
    <w:rsid w:val="00C553AB"/>
    <w:rsid w:val="00C556D6"/>
    <w:rsid w:val="00C562D0"/>
    <w:rsid w:val="00C56789"/>
    <w:rsid w:val="00C5685E"/>
    <w:rsid w:val="00C5716D"/>
    <w:rsid w:val="00C573D4"/>
    <w:rsid w:val="00C57417"/>
    <w:rsid w:val="00C57FB6"/>
    <w:rsid w:val="00C6070A"/>
    <w:rsid w:val="00C60924"/>
    <w:rsid w:val="00C60941"/>
    <w:rsid w:val="00C609DC"/>
    <w:rsid w:val="00C61AA1"/>
    <w:rsid w:val="00C61E07"/>
    <w:rsid w:val="00C6269F"/>
    <w:rsid w:val="00C628B0"/>
    <w:rsid w:val="00C62DD7"/>
    <w:rsid w:val="00C6302F"/>
    <w:rsid w:val="00C63111"/>
    <w:rsid w:val="00C6346B"/>
    <w:rsid w:val="00C63731"/>
    <w:rsid w:val="00C63903"/>
    <w:rsid w:val="00C644E6"/>
    <w:rsid w:val="00C64647"/>
    <w:rsid w:val="00C64F0A"/>
    <w:rsid w:val="00C65298"/>
    <w:rsid w:val="00C65524"/>
    <w:rsid w:val="00C65772"/>
    <w:rsid w:val="00C65AC4"/>
    <w:rsid w:val="00C65AE6"/>
    <w:rsid w:val="00C65F46"/>
    <w:rsid w:val="00C666E2"/>
    <w:rsid w:val="00C66E2F"/>
    <w:rsid w:val="00C67237"/>
    <w:rsid w:val="00C67337"/>
    <w:rsid w:val="00C67997"/>
    <w:rsid w:val="00C67C1C"/>
    <w:rsid w:val="00C701BC"/>
    <w:rsid w:val="00C70BCD"/>
    <w:rsid w:val="00C70F01"/>
    <w:rsid w:val="00C7130B"/>
    <w:rsid w:val="00C72116"/>
    <w:rsid w:val="00C7211C"/>
    <w:rsid w:val="00C7256A"/>
    <w:rsid w:val="00C725E1"/>
    <w:rsid w:val="00C7374A"/>
    <w:rsid w:val="00C73D2D"/>
    <w:rsid w:val="00C74473"/>
    <w:rsid w:val="00C74D30"/>
    <w:rsid w:val="00C74DCC"/>
    <w:rsid w:val="00C757E9"/>
    <w:rsid w:val="00C7596C"/>
    <w:rsid w:val="00C75A3C"/>
    <w:rsid w:val="00C75DCE"/>
    <w:rsid w:val="00C76085"/>
    <w:rsid w:val="00C7617A"/>
    <w:rsid w:val="00C7646C"/>
    <w:rsid w:val="00C76E28"/>
    <w:rsid w:val="00C77146"/>
    <w:rsid w:val="00C772F3"/>
    <w:rsid w:val="00C773F0"/>
    <w:rsid w:val="00C7785D"/>
    <w:rsid w:val="00C778AA"/>
    <w:rsid w:val="00C778E3"/>
    <w:rsid w:val="00C77A03"/>
    <w:rsid w:val="00C77E82"/>
    <w:rsid w:val="00C77EE6"/>
    <w:rsid w:val="00C77F9E"/>
    <w:rsid w:val="00C803DA"/>
    <w:rsid w:val="00C8048B"/>
    <w:rsid w:val="00C8067A"/>
    <w:rsid w:val="00C8097B"/>
    <w:rsid w:val="00C80C88"/>
    <w:rsid w:val="00C80CAB"/>
    <w:rsid w:val="00C81080"/>
    <w:rsid w:val="00C813AA"/>
    <w:rsid w:val="00C819B8"/>
    <w:rsid w:val="00C828B4"/>
    <w:rsid w:val="00C82ADC"/>
    <w:rsid w:val="00C82B6C"/>
    <w:rsid w:val="00C82D49"/>
    <w:rsid w:val="00C832B7"/>
    <w:rsid w:val="00C832BF"/>
    <w:rsid w:val="00C8360A"/>
    <w:rsid w:val="00C83D9C"/>
    <w:rsid w:val="00C83DC4"/>
    <w:rsid w:val="00C83EA2"/>
    <w:rsid w:val="00C83F12"/>
    <w:rsid w:val="00C841D1"/>
    <w:rsid w:val="00C84394"/>
    <w:rsid w:val="00C843A3"/>
    <w:rsid w:val="00C84456"/>
    <w:rsid w:val="00C84B67"/>
    <w:rsid w:val="00C857C2"/>
    <w:rsid w:val="00C85866"/>
    <w:rsid w:val="00C85AD3"/>
    <w:rsid w:val="00C864ED"/>
    <w:rsid w:val="00C8657E"/>
    <w:rsid w:val="00C867C8"/>
    <w:rsid w:val="00C87114"/>
    <w:rsid w:val="00C87648"/>
    <w:rsid w:val="00C87A24"/>
    <w:rsid w:val="00C90093"/>
    <w:rsid w:val="00C904A7"/>
    <w:rsid w:val="00C90FC1"/>
    <w:rsid w:val="00C914AC"/>
    <w:rsid w:val="00C92040"/>
    <w:rsid w:val="00C927B8"/>
    <w:rsid w:val="00C9383A"/>
    <w:rsid w:val="00C94620"/>
    <w:rsid w:val="00C94D99"/>
    <w:rsid w:val="00C95074"/>
    <w:rsid w:val="00C9523F"/>
    <w:rsid w:val="00C95B4A"/>
    <w:rsid w:val="00C960B3"/>
    <w:rsid w:val="00C96A38"/>
    <w:rsid w:val="00C971F9"/>
    <w:rsid w:val="00C97542"/>
    <w:rsid w:val="00C975A2"/>
    <w:rsid w:val="00C978B8"/>
    <w:rsid w:val="00CA0913"/>
    <w:rsid w:val="00CA09D6"/>
    <w:rsid w:val="00CA0ADE"/>
    <w:rsid w:val="00CA0E4E"/>
    <w:rsid w:val="00CA110C"/>
    <w:rsid w:val="00CA1412"/>
    <w:rsid w:val="00CA1565"/>
    <w:rsid w:val="00CA15A9"/>
    <w:rsid w:val="00CA1F8F"/>
    <w:rsid w:val="00CA2670"/>
    <w:rsid w:val="00CA27F8"/>
    <w:rsid w:val="00CA29B3"/>
    <w:rsid w:val="00CA2B77"/>
    <w:rsid w:val="00CA3739"/>
    <w:rsid w:val="00CA3A02"/>
    <w:rsid w:val="00CA3AAB"/>
    <w:rsid w:val="00CA3CD9"/>
    <w:rsid w:val="00CA3E0D"/>
    <w:rsid w:val="00CA5039"/>
    <w:rsid w:val="00CA58CC"/>
    <w:rsid w:val="00CA5EC0"/>
    <w:rsid w:val="00CA5FFF"/>
    <w:rsid w:val="00CA62C6"/>
    <w:rsid w:val="00CA636E"/>
    <w:rsid w:val="00CA67DD"/>
    <w:rsid w:val="00CA6943"/>
    <w:rsid w:val="00CA75D1"/>
    <w:rsid w:val="00CA7B77"/>
    <w:rsid w:val="00CA7E4D"/>
    <w:rsid w:val="00CB0277"/>
    <w:rsid w:val="00CB083C"/>
    <w:rsid w:val="00CB08EF"/>
    <w:rsid w:val="00CB0A80"/>
    <w:rsid w:val="00CB0D8A"/>
    <w:rsid w:val="00CB0DF4"/>
    <w:rsid w:val="00CB1540"/>
    <w:rsid w:val="00CB1B54"/>
    <w:rsid w:val="00CB1DF6"/>
    <w:rsid w:val="00CB20E7"/>
    <w:rsid w:val="00CB20F7"/>
    <w:rsid w:val="00CB226E"/>
    <w:rsid w:val="00CB250B"/>
    <w:rsid w:val="00CB323D"/>
    <w:rsid w:val="00CB33F1"/>
    <w:rsid w:val="00CB3D82"/>
    <w:rsid w:val="00CB3E57"/>
    <w:rsid w:val="00CB4F12"/>
    <w:rsid w:val="00CB5C06"/>
    <w:rsid w:val="00CB60E0"/>
    <w:rsid w:val="00CB6169"/>
    <w:rsid w:val="00CB6176"/>
    <w:rsid w:val="00CB642F"/>
    <w:rsid w:val="00CB6918"/>
    <w:rsid w:val="00CB6D3F"/>
    <w:rsid w:val="00CB6DC6"/>
    <w:rsid w:val="00CB74B7"/>
    <w:rsid w:val="00CB77A0"/>
    <w:rsid w:val="00CB77A9"/>
    <w:rsid w:val="00CB7D39"/>
    <w:rsid w:val="00CB7E97"/>
    <w:rsid w:val="00CB7EBD"/>
    <w:rsid w:val="00CC00A3"/>
    <w:rsid w:val="00CC00F9"/>
    <w:rsid w:val="00CC01F3"/>
    <w:rsid w:val="00CC05D5"/>
    <w:rsid w:val="00CC095D"/>
    <w:rsid w:val="00CC0A00"/>
    <w:rsid w:val="00CC101B"/>
    <w:rsid w:val="00CC1392"/>
    <w:rsid w:val="00CC19D8"/>
    <w:rsid w:val="00CC1BF8"/>
    <w:rsid w:val="00CC2014"/>
    <w:rsid w:val="00CC2763"/>
    <w:rsid w:val="00CC2C25"/>
    <w:rsid w:val="00CC2DB4"/>
    <w:rsid w:val="00CC2E2E"/>
    <w:rsid w:val="00CC3503"/>
    <w:rsid w:val="00CC3597"/>
    <w:rsid w:val="00CC36E6"/>
    <w:rsid w:val="00CC377A"/>
    <w:rsid w:val="00CC39E8"/>
    <w:rsid w:val="00CC44DF"/>
    <w:rsid w:val="00CC44E9"/>
    <w:rsid w:val="00CC47E8"/>
    <w:rsid w:val="00CC5504"/>
    <w:rsid w:val="00CC5BF3"/>
    <w:rsid w:val="00CC5D43"/>
    <w:rsid w:val="00CC6176"/>
    <w:rsid w:val="00CC7433"/>
    <w:rsid w:val="00CD062F"/>
    <w:rsid w:val="00CD07BE"/>
    <w:rsid w:val="00CD11DD"/>
    <w:rsid w:val="00CD15B2"/>
    <w:rsid w:val="00CD18D8"/>
    <w:rsid w:val="00CD1968"/>
    <w:rsid w:val="00CD25CB"/>
    <w:rsid w:val="00CD29ED"/>
    <w:rsid w:val="00CD2D58"/>
    <w:rsid w:val="00CD3FD2"/>
    <w:rsid w:val="00CD4272"/>
    <w:rsid w:val="00CD46E1"/>
    <w:rsid w:val="00CD49F5"/>
    <w:rsid w:val="00CD4ED2"/>
    <w:rsid w:val="00CD4FCB"/>
    <w:rsid w:val="00CD55AF"/>
    <w:rsid w:val="00CD586F"/>
    <w:rsid w:val="00CD58AB"/>
    <w:rsid w:val="00CD5A10"/>
    <w:rsid w:val="00CD63C0"/>
    <w:rsid w:val="00CD6D0B"/>
    <w:rsid w:val="00CD7175"/>
    <w:rsid w:val="00CD748E"/>
    <w:rsid w:val="00CD7620"/>
    <w:rsid w:val="00CD7CA9"/>
    <w:rsid w:val="00CD7F27"/>
    <w:rsid w:val="00CE0032"/>
    <w:rsid w:val="00CE025F"/>
    <w:rsid w:val="00CE0EAE"/>
    <w:rsid w:val="00CE102D"/>
    <w:rsid w:val="00CE1D21"/>
    <w:rsid w:val="00CE1F4F"/>
    <w:rsid w:val="00CE1F5A"/>
    <w:rsid w:val="00CE209A"/>
    <w:rsid w:val="00CE2174"/>
    <w:rsid w:val="00CE21D9"/>
    <w:rsid w:val="00CE2A09"/>
    <w:rsid w:val="00CE2AA7"/>
    <w:rsid w:val="00CE31A7"/>
    <w:rsid w:val="00CE42E1"/>
    <w:rsid w:val="00CE443B"/>
    <w:rsid w:val="00CE494C"/>
    <w:rsid w:val="00CE52B1"/>
    <w:rsid w:val="00CE5BB8"/>
    <w:rsid w:val="00CE5E7C"/>
    <w:rsid w:val="00CE5ED5"/>
    <w:rsid w:val="00CE60DF"/>
    <w:rsid w:val="00CE67D2"/>
    <w:rsid w:val="00CE6E03"/>
    <w:rsid w:val="00CE6E6E"/>
    <w:rsid w:val="00CE75B1"/>
    <w:rsid w:val="00CE7791"/>
    <w:rsid w:val="00CE7B95"/>
    <w:rsid w:val="00CF09FC"/>
    <w:rsid w:val="00CF0A54"/>
    <w:rsid w:val="00CF0CFE"/>
    <w:rsid w:val="00CF0E4B"/>
    <w:rsid w:val="00CF107B"/>
    <w:rsid w:val="00CF112E"/>
    <w:rsid w:val="00CF125D"/>
    <w:rsid w:val="00CF14C8"/>
    <w:rsid w:val="00CF1523"/>
    <w:rsid w:val="00CF1E90"/>
    <w:rsid w:val="00CF1FC7"/>
    <w:rsid w:val="00CF2002"/>
    <w:rsid w:val="00CF2370"/>
    <w:rsid w:val="00CF2E62"/>
    <w:rsid w:val="00CF3914"/>
    <w:rsid w:val="00CF3DB7"/>
    <w:rsid w:val="00CF4771"/>
    <w:rsid w:val="00CF47F2"/>
    <w:rsid w:val="00CF4BAA"/>
    <w:rsid w:val="00CF4C29"/>
    <w:rsid w:val="00CF5601"/>
    <w:rsid w:val="00CF599D"/>
    <w:rsid w:val="00CF5AC7"/>
    <w:rsid w:val="00CF64CE"/>
    <w:rsid w:val="00CF64F7"/>
    <w:rsid w:val="00CF661A"/>
    <w:rsid w:val="00CF6D59"/>
    <w:rsid w:val="00CF745A"/>
    <w:rsid w:val="00CF74D9"/>
    <w:rsid w:val="00CF7643"/>
    <w:rsid w:val="00CF778F"/>
    <w:rsid w:val="00CF7AC6"/>
    <w:rsid w:val="00D00178"/>
    <w:rsid w:val="00D004EA"/>
    <w:rsid w:val="00D013CB"/>
    <w:rsid w:val="00D017AB"/>
    <w:rsid w:val="00D02CFD"/>
    <w:rsid w:val="00D02EA9"/>
    <w:rsid w:val="00D038FF"/>
    <w:rsid w:val="00D03EB6"/>
    <w:rsid w:val="00D0451F"/>
    <w:rsid w:val="00D04BA1"/>
    <w:rsid w:val="00D04FAA"/>
    <w:rsid w:val="00D05E48"/>
    <w:rsid w:val="00D06017"/>
    <w:rsid w:val="00D0681F"/>
    <w:rsid w:val="00D06D5D"/>
    <w:rsid w:val="00D06E6B"/>
    <w:rsid w:val="00D076C6"/>
    <w:rsid w:val="00D102D7"/>
    <w:rsid w:val="00D10860"/>
    <w:rsid w:val="00D10C5F"/>
    <w:rsid w:val="00D10F11"/>
    <w:rsid w:val="00D11275"/>
    <w:rsid w:val="00D1143B"/>
    <w:rsid w:val="00D1159F"/>
    <w:rsid w:val="00D11D2B"/>
    <w:rsid w:val="00D12036"/>
    <w:rsid w:val="00D124F0"/>
    <w:rsid w:val="00D1257A"/>
    <w:rsid w:val="00D1259C"/>
    <w:rsid w:val="00D12866"/>
    <w:rsid w:val="00D130B1"/>
    <w:rsid w:val="00D1319F"/>
    <w:rsid w:val="00D135B0"/>
    <w:rsid w:val="00D13788"/>
    <w:rsid w:val="00D137C3"/>
    <w:rsid w:val="00D1386D"/>
    <w:rsid w:val="00D13A89"/>
    <w:rsid w:val="00D140BD"/>
    <w:rsid w:val="00D14314"/>
    <w:rsid w:val="00D1433A"/>
    <w:rsid w:val="00D14536"/>
    <w:rsid w:val="00D1508B"/>
    <w:rsid w:val="00D152D9"/>
    <w:rsid w:val="00D156E9"/>
    <w:rsid w:val="00D1593E"/>
    <w:rsid w:val="00D15D93"/>
    <w:rsid w:val="00D15EB2"/>
    <w:rsid w:val="00D15FAF"/>
    <w:rsid w:val="00D163C0"/>
    <w:rsid w:val="00D16B3D"/>
    <w:rsid w:val="00D174A1"/>
    <w:rsid w:val="00D179DE"/>
    <w:rsid w:val="00D17C19"/>
    <w:rsid w:val="00D17D15"/>
    <w:rsid w:val="00D17D47"/>
    <w:rsid w:val="00D17F02"/>
    <w:rsid w:val="00D20A2C"/>
    <w:rsid w:val="00D210DA"/>
    <w:rsid w:val="00D21744"/>
    <w:rsid w:val="00D21EE4"/>
    <w:rsid w:val="00D2291C"/>
    <w:rsid w:val="00D22C5F"/>
    <w:rsid w:val="00D22F9B"/>
    <w:rsid w:val="00D234DC"/>
    <w:rsid w:val="00D234FF"/>
    <w:rsid w:val="00D23BB0"/>
    <w:rsid w:val="00D24054"/>
    <w:rsid w:val="00D24127"/>
    <w:rsid w:val="00D24691"/>
    <w:rsid w:val="00D246D1"/>
    <w:rsid w:val="00D24BA0"/>
    <w:rsid w:val="00D251FB"/>
    <w:rsid w:val="00D2542D"/>
    <w:rsid w:val="00D2592F"/>
    <w:rsid w:val="00D26D5B"/>
    <w:rsid w:val="00D26DEB"/>
    <w:rsid w:val="00D26F9E"/>
    <w:rsid w:val="00D272F7"/>
    <w:rsid w:val="00D27319"/>
    <w:rsid w:val="00D278C2"/>
    <w:rsid w:val="00D27AC5"/>
    <w:rsid w:val="00D27E1E"/>
    <w:rsid w:val="00D27EAB"/>
    <w:rsid w:val="00D305DF"/>
    <w:rsid w:val="00D30D0F"/>
    <w:rsid w:val="00D30F88"/>
    <w:rsid w:val="00D30F89"/>
    <w:rsid w:val="00D31D55"/>
    <w:rsid w:val="00D31ECE"/>
    <w:rsid w:val="00D31F00"/>
    <w:rsid w:val="00D320B0"/>
    <w:rsid w:val="00D32223"/>
    <w:rsid w:val="00D328B2"/>
    <w:rsid w:val="00D32D4E"/>
    <w:rsid w:val="00D32DE0"/>
    <w:rsid w:val="00D32F38"/>
    <w:rsid w:val="00D330B8"/>
    <w:rsid w:val="00D33117"/>
    <w:rsid w:val="00D33532"/>
    <w:rsid w:val="00D33929"/>
    <w:rsid w:val="00D3413F"/>
    <w:rsid w:val="00D342C9"/>
    <w:rsid w:val="00D342FB"/>
    <w:rsid w:val="00D3463E"/>
    <w:rsid w:val="00D34FBC"/>
    <w:rsid w:val="00D35246"/>
    <w:rsid w:val="00D35B27"/>
    <w:rsid w:val="00D36050"/>
    <w:rsid w:val="00D36855"/>
    <w:rsid w:val="00D36A61"/>
    <w:rsid w:val="00D36DA6"/>
    <w:rsid w:val="00D37182"/>
    <w:rsid w:val="00D37C65"/>
    <w:rsid w:val="00D40127"/>
    <w:rsid w:val="00D408E0"/>
    <w:rsid w:val="00D40BB3"/>
    <w:rsid w:val="00D40BD2"/>
    <w:rsid w:val="00D4114C"/>
    <w:rsid w:val="00D41523"/>
    <w:rsid w:val="00D41776"/>
    <w:rsid w:val="00D41799"/>
    <w:rsid w:val="00D41816"/>
    <w:rsid w:val="00D41879"/>
    <w:rsid w:val="00D41EE9"/>
    <w:rsid w:val="00D41FB4"/>
    <w:rsid w:val="00D42070"/>
    <w:rsid w:val="00D420A6"/>
    <w:rsid w:val="00D420D4"/>
    <w:rsid w:val="00D420D9"/>
    <w:rsid w:val="00D42827"/>
    <w:rsid w:val="00D428D2"/>
    <w:rsid w:val="00D42A1D"/>
    <w:rsid w:val="00D43133"/>
    <w:rsid w:val="00D43617"/>
    <w:rsid w:val="00D436AF"/>
    <w:rsid w:val="00D43D34"/>
    <w:rsid w:val="00D43F1A"/>
    <w:rsid w:val="00D43F23"/>
    <w:rsid w:val="00D44434"/>
    <w:rsid w:val="00D4471D"/>
    <w:rsid w:val="00D448BA"/>
    <w:rsid w:val="00D44B26"/>
    <w:rsid w:val="00D45FAE"/>
    <w:rsid w:val="00D4600B"/>
    <w:rsid w:val="00D464E4"/>
    <w:rsid w:val="00D46B4E"/>
    <w:rsid w:val="00D46B58"/>
    <w:rsid w:val="00D46C05"/>
    <w:rsid w:val="00D46DA7"/>
    <w:rsid w:val="00D4701B"/>
    <w:rsid w:val="00D47214"/>
    <w:rsid w:val="00D5101B"/>
    <w:rsid w:val="00D515C2"/>
    <w:rsid w:val="00D51764"/>
    <w:rsid w:val="00D51983"/>
    <w:rsid w:val="00D51F78"/>
    <w:rsid w:val="00D52056"/>
    <w:rsid w:val="00D529A1"/>
    <w:rsid w:val="00D529DD"/>
    <w:rsid w:val="00D52AB7"/>
    <w:rsid w:val="00D53209"/>
    <w:rsid w:val="00D53212"/>
    <w:rsid w:val="00D53939"/>
    <w:rsid w:val="00D53981"/>
    <w:rsid w:val="00D541BF"/>
    <w:rsid w:val="00D545AA"/>
    <w:rsid w:val="00D546BD"/>
    <w:rsid w:val="00D547A3"/>
    <w:rsid w:val="00D549A7"/>
    <w:rsid w:val="00D552A1"/>
    <w:rsid w:val="00D55824"/>
    <w:rsid w:val="00D55C30"/>
    <w:rsid w:val="00D5635A"/>
    <w:rsid w:val="00D5687A"/>
    <w:rsid w:val="00D573C9"/>
    <w:rsid w:val="00D575D2"/>
    <w:rsid w:val="00D57DA2"/>
    <w:rsid w:val="00D57DDD"/>
    <w:rsid w:val="00D6051E"/>
    <w:rsid w:val="00D606D5"/>
    <w:rsid w:val="00D6186D"/>
    <w:rsid w:val="00D618CF"/>
    <w:rsid w:val="00D61D41"/>
    <w:rsid w:val="00D62B1E"/>
    <w:rsid w:val="00D62DEE"/>
    <w:rsid w:val="00D62ED6"/>
    <w:rsid w:val="00D63089"/>
    <w:rsid w:val="00D63C07"/>
    <w:rsid w:val="00D64132"/>
    <w:rsid w:val="00D64229"/>
    <w:rsid w:val="00D643B0"/>
    <w:rsid w:val="00D646F0"/>
    <w:rsid w:val="00D65175"/>
    <w:rsid w:val="00D65EB9"/>
    <w:rsid w:val="00D6606B"/>
    <w:rsid w:val="00D661F0"/>
    <w:rsid w:val="00D66478"/>
    <w:rsid w:val="00D66C2B"/>
    <w:rsid w:val="00D67172"/>
    <w:rsid w:val="00D67A32"/>
    <w:rsid w:val="00D67CBB"/>
    <w:rsid w:val="00D702EE"/>
    <w:rsid w:val="00D70597"/>
    <w:rsid w:val="00D708FA"/>
    <w:rsid w:val="00D709CF"/>
    <w:rsid w:val="00D709D2"/>
    <w:rsid w:val="00D70D04"/>
    <w:rsid w:val="00D70FA0"/>
    <w:rsid w:val="00D716D1"/>
    <w:rsid w:val="00D7236A"/>
    <w:rsid w:val="00D727B0"/>
    <w:rsid w:val="00D72B23"/>
    <w:rsid w:val="00D72BDF"/>
    <w:rsid w:val="00D72D45"/>
    <w:rsid w:val="00D742FD"/>
    <w:rsid w:val="00D74415"/>
    <w:rsid w:val="00D74697"/>
    <w:rsid w:val="00D7481E"/>
    <w:rsid w:val="00D74A44"/>
    <w:rsid w:val="00D74FB3"/>
    <w:rsid w:val="00D75041"/>
    <w:rsid w:val="00D75042"/>
    <w:rsid w:val="00D7521C"/>
    <w:rsid w:val="00D758A2"/>
    <w:rsid w:val="00D75A1D"/>
    <w:rsid w:val="00D75BFD"/>
    <w:rsid w:val="00D7646B"/>
    <w:rsid w:val="00D76E22"/>
    <w:rsid w:val="00D77020"/>
    <w:rsid w:val="00D77495"/>
    <w:rsid w:val="00D77623"/>
    <w:rsid w:val="00D77F65"/>
    <w:rsid w:val="00D77FAE"/>
    <w:rsid w:val="00D8024C"/>
    <w:rsid w:val="00D80EF4"/>
    <w:rsid w:val="00D81711"/>
    <w:rsid w:val="00D81828"/>
    <w:rsid w:val="00D818AC"/>
    <w:rsid w:val="00D819C2"/>
    <w:rsid w:val="00D81F4F"/>
    <w:rsid w:val="00D821F6"/>
    <w:rsid w:val="00D82309"/>
    <w:rsid w:val="00D8348C"/>
    <w:rsid w:val="00D83FC2"/>
    <w:rsid w:val="00D84574"/>
    <w:rsid w:val="00D848F0"/>
    <w:rsid w:val="00D84DDA"/>
    <w:rsid w:val="00D8559D"/>
    <w:rsid w:val="00D85999"/>
    <w:rsid w:val="00D85A5B"/>
    <w:rsid w:val="00D85F59"/>
    <w:rsid w:val="00D86248"/>
    <w:rsid w:val="00D863E2"/>
    <w:rsid w:val="00D86AFB"/>
    <w:rsid w:val="00D86FB8"/>
    <w:rsid w:val="00D8746C"/>
    <w:rsid w:val="00D87AC3"/>
    <w:rsid w:val="00D902A9"/>
    <w:rsid w:val="00D90350"/>
    <w:rsid w:val="00D904C4"/>
    <w:rsid w:val="00D9086F"/>
    <w:rsid w:val="00D909B0"/>
    <w:rsid w:val="00D90C7B"/>
    <w:rsid w:val="00D912F2"/>
    <w:rsid w:val="00D91518"/>
    <w:rsid w:val="00D9217E"/>
    <w:rsid w:val="00D92E5A"/>
    <w:rsid w:val="00D932EB"/>
    <w:rsid w:val="00D9365B"/>
    <w:rsid w:val="00D93913"/>
    <w:rsid w:val="00D93D08"/>
    <w:rsid w:val="00D93D65"/>
    <w:rsid w:val="00D94576"/>
    <w:rsid w:val="00D945BB"/>
    <w:rsid w:val="00D9461F"/>
    <w:rsid w:val="00D94702"/>
    <w:rsid w:val="00D94D57"/>
    <w:rsid w:val="00D94ECD"/>
    <w:rsid w:val="00D955F2"/>
    <w:rsid w:val="00D95611"/>
    <w:rsid w:val="00D95719"/>
    <w:rsid w:val="00D95DE2"/>
    <w:rsid w:val="00D95E23"/>
    <w:rsid w:val="00D9643F"/>
    <w:rsid w:val="00D96B8D"/>
    <w:rsid w:val="00D96E69"/>
    <w:rsid w:val="00D975B3"/>
    <w:rsid w:val="00D976EE"/>
    <w:rsid w:val="00D97C0B"/>
    <w:rsid w:val="00DA021B"/>
    <w:rsid w:val="00DA0E28"/>
    <w:rsid w:val="00DA0E44"/>
    <w:rsid w:val="00DA11D2"/>
    <w:rsid w:val="00DA1D24"/>
    <w:rsid w:val="00DA1D59"/>
    <w:rsid w:val="00DA1DC7"/>
    <w:rsid w:val="00DA1FC1"/>
    <w:rsid w:val="00DA287D"/>
    <w:rsid w:val="00DA2E28"/>
    <w:rsid w:val="00DA36B9"/>
    <w:rsid w:val="00DA3A5E"/>
    <w:rsid w:val="00DA47BF"/>
    <w:rsid w:val="00DA48A9"/>
    <w:rsid w:val="00DA541F"/>
    <w:rsid w:val="00DA56A5"/>
    <w:rsid w:val="00DA5D81"/>
    <w:rsid w:val="00DA5DC8"/>
    <w:rsid w:val="00DA5E7E"/>
    <w:rsid w:val="00DA6098"/>
    <w:rsid w:val="00DA6429"/>
    <w:rsid w:val="00DA6BD3"/>
    <w:rsid w:val="00DA70C0"/>
    <w:rsid w:val="00DA70EA"/>
    <w:rsid w:val="00DA7178"/>
    <w:rsid w:val="00DA735B"/>
    <w:rsid w:val="00DA77A3"/>
    <w:rsid w:val="00DA7B28"/>
    <w:rsid w:val="00DA7C54"/>
    <w:rsid w:val="00DB0B91"/>
    <w:rsid w:val="00DB1355"/>
    <w:rsid w:val="00DB17A6"/>
    <w:rsid w:val="00DB236B"/>
    <w:rsid w:val="00DB2DB4"/>
    <w:rsid w:val="00DB2F94"/>
    <w:rsid w:val="00DB3118"/>
    <w:rsid w:val="00DB37DB"/>
    <w:rsid w:val="00DB484E"/>
    <w:rsid w:val="00DB48D1"/>
    <w:rsid w:val="00DB4CA2"/>
    <w:rsid w:val="00DB5B39"/>
    <w:rsid w:val="00DB5C60"/>
    <w:rsid w:val="00DB6B05"/>
    <w:rsid w:val="00DB6EE6"/>
    <w:rsid w:val="00DB702E"/>
    <w:rsid w:val="00DB70B9"/>
    <w:rsid w:val="00DB70DD"/>
    <w:rsid w:val="00DB739D"/>
    <w:rsid w:val="00DB74E9"/>
    <w:rsid w:val="00DB7AC7"/>
    <w:rsid w:val="00DB7EF3"/>
    <w:rsid w:val="00DC04E2"/>
    <w:rsid w:val="00DC0BFE"/>
    <w:rsid w:val="00DC0E9D"/>
    <w:rsid w:val="00DC164C"/>
    <w:rsid w:val="00DC1845"/>
    <w:rsid w:val="00DC1A2B"/>
    <w:rsid w:val="00DC1B68"/>
    <w:rsid w:val="00DC2BAD"/>
    <w:rsid w:val="00DC2C0D"/>
    <w:rsid w:val="00DC30D5"/>
    <w:rsid w:val="00DC3947"/>
    <w:rsid w:val="00DC3A69"/>
    <w:rsid w:val="00DC3EC8"/>
    <w:rsid w:val="00DC3EEC"/>
    <w:rsid w:val="00DC4271"/>
    <w:rsid w:val="00DC45F5"/>
    <w:rsid w:val="00DC53A5"/>
    <w:rsid w:val="00DC5BE2"/>
    <w:rsid w:val="00DC5EE7"/>
    <w:rsid w:val="00DC6701"/>
    <w:rsid w:val="00DC6845"/>
    <w:rsid w:val="00DC7089"/>
    <w:rsid w:val="00DC731B"/>
    <w:rsid w:val="00DC785C"/>
    <w:rsid w:val="00DD02C5"/>
    <w:rsid w:val="00DD041A"/>
    <w:rsid w:val="00DD159E"/>
    <w:rsid w:val="00DD1CA4"/>
    <w:rsid w:val="00DD2341"/>
    <w:rsid w:val="00DD2B0B"/>
    <w:rsid w:val="00DD2C85"/>
    <w:rsid w:val="00DD317E"/>
    <w:rsid w:val="00DD31D9"/>
    <w:rsid w:val="00DD3AA9"/>
    <w:rsid w:val="00DD4DA9"/>
    <w:rsid w:val="00DD5402"/>
    <w:rsid w:val="00DD566C"/>
    <w:rsid w:val="00DD5A7C"/>
    <w:rsid w:val="00DD5EBA"/>
    <w:rsid w:val="00DD6081"/>
    <w:rsid w:val="00DD66CE"/>
    <w:rsid w:val="00DD6981"/>
    <w:rsid w:val="00DD7299"/>
    <w:rsid w:val="00DD781D"/>
    <w:rsid w:val="00DD7873"/>
    <w:rsid w:val="00DD79A1"/>
    <w:rsid w:val="00DE046B"/>
    <w:rsid w:val="00DE04BB"/>
    <w:rsid w:val="00DE09B0"/>
    <w:rsid w:val="00DE101D"/>
    <w:rsid w:val="00DE17C5"/>
    <w:rsid w:val="00DE1AD5"/>
    <w:rsid w:val="00DE2204"/>
    <w:rsid w:val="00DE2AA4"/>
    <w:rsid w:val="00DE2C34"/>
    <w:rsid w:val="00DE2D53"/>
    <w:rsid w:val="00DE2F80"/>
    <w:rsid w:val="00DE33A1"/>
    <w:rsid w:val="00DE33B7"/>
    <w:rsid w:val="00DE372D"/>
    <w:rsid w:val="00DE3962"/>
    <w:rsid w:val="00DE39A5"/>
    <w:rsid w:val="00DE4375"/>
    <w:rsid w:val="00DE4386"/>
    <w:rsid w:val="00DE454D"/>
    <w:rsid w:val="00DE47A4"/>
    <w:rsid w:val="00DE508F"/>
    <w:rsid w:val="00DE63D1"/>
    <w:rsid w:val="00DE68C1"/>
    <w:rsid w:val="00DE6CE1"/>
    <w:rsid w:val="00DE6E9C"/>
    <w:rsid w:val="00DE6FFD"/>
    <w:rsid w:val="00DE7336"/>
    <w:rsid w:val="00DE7842"/>
    <w:rsid w:val="00DE7D50"/>
    <w:rsid w:val="00DF0074"/>
    <w:rsid w:val="00DF0D1D"/>
    <w:rsid w:val="00DF0F84"/>
    <w:rsid w:val="00DF1A03"/>
    <w:rsid w:val="00DF1BB8"/>
    <w:rsid w:val="00DF21D4"/>
    <w:rsid w:val="00DF25E4"/>
    <w:rsid w:val="00DF2BDD"/>
    <w:rsid w:val="00DF30D0"/>
    <w:rsid w:val="00DF340A"/>
    <w:rsid w:val="00DF3450"/>
    <w:rsid w:val="00DF393D"/>
    <w:rsid w:val="00DF3CDF"/>
    <w:rsid w:val="00DF3CF0"/>
    <w:rsid w:val="00DF4AA1"/>
    <w:rsid w:val="00DF5076"/>
    <w:rsid w:val="00DF529A"/>
    <w:rsid w:val="00DF5470"/>
    <w:rsid w:val="00DF5B3B"/>
    <w:rsid w:val="00DF5D8C"/>
    <w:rsid w:val="00DF5EFB"/>
    <w:rsid w:val="00DF6285"/>
    <w:rsid w:val="00DF6538"/>
    <w:rsid w:val="00DF6772"/>
    <w:rsid w:val="00DF6AA4"/>
    <w:rsid w:val="00DF6AE7"/>
    <w:rsid w:val="00DF7072"/>
    <w:rsid w:val="00DF70A7"/>
    <w:rsid w:val="00DF777F"/>
    <w:rsid w:val="00DF77A5"/>
    <w:rsid w:val="00DF7B86"/>
    <w:rsid w:val="00E00924"/>
    <w:rsid w:val="00E00AFF"/>
    <w:rsid w:val="00E012A5"/>
    <w:rsid w:val="00E0196C"/>
    <w:rsid w:val="00E01DE5"/>
    <w:rsid w:val="00E02066"/>
    <w:rsid w:val="00E0255D"/>
    <w:rsid w:val="00E03820"/>
    <w:rsid w:val="00E03AD8"/>
    <w:rsid w:val="00E03E18"/>
    <w:rsid w:val="00E03F95"/>
    <w:rsid w:val="00E04594"/>
    <w:rsid w:val="00E05E67"/>
    <w:rsid w:val="00E062FD"/>
    <w:rsid w:val="00E06EEF"/>
    <w:rsid w:val="00E07D91"/>
    <w:rsid w:val="00E105A5"/>
    <w:rsid w:val="00E10799"/>
    <w:rsid w:val="00E10CE2"/>
    <w:rsid w:val="00E1103D"/>
    <w:rsid w:val="00E113B2"/>
    <w:rsid w:val="00E1152D"/>
    <w:rsid w:val="00E11641"/>
    <w:rsid w:val="00E11AB0"/>
    <w:rsid w:val="00E12512"/>
    <w:rsid w:val="00E12914"/>
    <w:rsid w:val="00E12B46"/>
    <w:rsid w:val="00E12B65"/>
    <w:rsid w:val="00E12B87"/>
    <w:rsid w:val="00E13130"/>
    <w:rsid w:val="00E13CDC"/>
    <w:rsid w:val="00E13DD9"/>
    <w:rsid w:val="00E14046"/>
    <w:rsid w:val="00E14A09"/>
    <w:rsid w:val="00E14BAA"/>
    <w:rsid w:val="00E14F57"/>
    <w:rsid w:val="00E15077"/>
    <w:rsid w:val="00E153C4"/>
    <w:rsid w:val="00E15A99"/>
    <w:rsid w:val="00E1607C"/>
    <w:rsid w:val="00E164F1"/>
    <w:rsid w:val="00E1654C"/>
    <w:rsid w:val="00E16D5D"/>
    <w:rsid w:val="00E1715D"/>
    <w:rsid w:val="00E2086E"/>
    <w:rsid w:val="00E20B07"/>
    <w:rsid w:val="00E20E79"/>
    <w:rsid w:val="00E210E2"/>
    <w:rsid w:val="00E21E55"/>
    <w:rsid w:val="00E2254C"/>
    <w:rsid w:val="00E22A2F"/>
    <w:rsid w:val="00E22CC9"/>
    <w:rsid w:val="00E22DAC"/>
    <w:rsid w:val="00E23955"/>
    <w:rsid w:val="00E23D76"/>
    <w:rsid w:val="00E241F3"/>
    <w:rsid w:val="00E2421E"/>
    <w:rsid w:val="00E24333"/>
    <w:rsid w:val="00E24927"/>
    <w:rsid w:val="00E24CAB"/>
    <w:rsid w:val="00E255A5"/>
    <w:rsid w:val="00E25C04"/>
    <w:rsid w:val="00E2604D"/>
    <w:rsid w:val="00E26133"/>
    <w:rsid w:val="00E26AD3"/>
    <w:rsid w:val="00E26D60"/>
    <w:rsid w:val="00E315F5"/>
    <w:rsid w:val="00E31679"/>
    <w:rsid w:val="00E32514"/>
    <w:rsid w:val="00E326AD"/>
    <w:rsid w:val="00E32EEE"/>
    <w:rsid w:val="00E331CE"/>
    <w:rsid w:val="00E332AA"/>
    <w:rsid w:val="00E332E3"/>
    <w:rsid w:val="00E3392D"/>
    <w:rsid w:val="00E3395E"/>
    <w:rsid w:val="00E34598"/>
    <w:rsid w:val="00E34B4F"/>
    <w:rsid w:val="00E357F9"/>
    <w:rsid w:val="00E359C0"/>
    <w:rsid w:val="00E35A32"/>
    <w:rsid w:val="00E35ABE"/>
    <w:rsid w:val="00E35D12"/>
    <w:rsid w:val="00E35F96"/>
    <w:rsid w:val="00E3612B"/>
    <w:rsid w:val="00E37799"/>
    <w:rsid w:val="00E402E1"/>
    <w:rsid w:val="00E408AB"/>
    <w:rsid w:val="00E40A38"/>
    <w:rsid w:val="00E41111"/>
    <w:rsid w:val="00E413DA"/>
    <w:rsid w:val="00E42A52"/>
    <w:rsid w:val="00E42C4A"/>
    <w:rsid w:val="00E4370B"/>
    <w:rsid w:val="00E43A5C"/>
    <w:rsid w:val="00E43EA2"/>
    <w:rsid w:val="00E44164"/>
    <w:rsid w:val="00E441D8"/>
    <w:rsid w:val="00E4489D"/>
    <w:rsid w:val="00E44D21"/>
    <w:rsid w:val="00E44F8B"/>
    <w:rsid w:val="00E451DD"/>
    <w:rsid w:val="00E454AD"/>
    <w:rsid w:val="00E455C9"/>
    <w:rsid w:val="00E45926"/>
    <w:rsid w:val="00E459A0"/>
    <w:rsid w:val="00E45F9A"/>
    <w:rsid w:val="00E4656C"/>
    <w:rsid w:val="00E46711"/>
    <w:rsid w:val="00E4692A"/>
    <w:rsid w:val="00E46AFE"/>
    <w:rsid w:val="00E46C15"/>
    <w:rsid w:val="00E46CC2"/>
    <w:rsid w:val="00E46F80"/>
    <w:rsid w:val="00E470EB"/>
    <w:rsid w:val="00E472F8"/>
    <w:rsid w:val="00E475D8"/>
    <w:rsid w:val="00E47858"/>
    <w:rsid w:val="00E4796C"/>
    <w:rsid w:val="00E506AF"/>
    <w:rsid w:val="00E50F59"/>
    <w:rsid w:val="00E5147A"/>
    <w:rsid w:val="00E515AA"/>
    <w:rsid w:val="00E516A8"/>
    <w:rsid w:val="00E51A54"/>
    <w:rsid w:val="00E51E8C"/>
    <w:rsid w:val="00E52A4E"/>
    <w:rsid w:val="00E52BA8"/>
    <w:rsid w:val="00E53617"/>
    <w:rsid w:val="00E539D2"/>
    <w:rsid w:val="00E53B5D"/>
    <w:rsid w:val="00E53EB4"/>
    <w:rsid w:val="00E542D5"/>
    <w:rsid w:val="00E54567"/>
    <w:rsid w:val="00E5493E"/>
    <w:rsid w:val="00E5499E"/>
    <w:rsid w:val="00E54A30"/>
    <w:rsid w:val="00E54BA2"/>
    <w:rsid w:val="00E54FD1"/>
    <w:rsid w:val="00E5511B"/>
    <w:rsid w:val="00E554EC"/>
    <w:rsid w:val="00E559D4"/>
    <w:rsid w:val="00E55B65"/>
    <w:rsid w:val="00E56741"/>
    <w:rsid w:val="00E5689D"/>
    <w:rsid w:val="00E57084"/>
    <w:rsid w:val="00E5723C"/>
    <w:rsid w:val="00E572F1"/>
    <w:rsid w:val="00E60ACE"/>
    <w:rsid w:val="00E60D31"/>
    <w:rsid w:val="00E60ED7"/>
    <w:rsid w:val="00E6133C"/>
    <w:rsid w:val="00E614CC"/>
    <w:rsid w:val="00E616CF"/>
    <w:rsid w:val="00E62AE2"/>
    <w:rsid w:val="00E62F19"/>
    <w:rsid w:val="00E62F5F"/>
    <w:rsid w:val="00E63033"/>
    <w:rsid w:val="00E63471"/>
    <w:rsid w:val="00E63477"/>
    <w:rsid w:val="00E63AED"/>
    <w:rsid w:val="00E63FEA"/>
    <w:rsid w:val="00E6448A"/>
    <w:rsid w:val="00E645A7"/>
    <w:rsid w:val="00E64BD8"/>
    <w:rsid w:val="00E64FAB"/>
    <w:rsid w:val="00E650AE"/>
    <w:rsid w:val="00E65715"/>
    <w:rsid w:val="00E65987"/>
    <w:rsid w:val="00E65EF1"/>
    <w:rsid w:val="00E662A1"/>
    <w:rsid w:val="00E668B7"/>
    <w:rsid w:val="00E66902"/>
    <w:rsid w:val="00E675BE"/>
    <w:rsid w:val="00E67979"/>
    <w:rsid w:val="00E67F3E"/>
    <w:rsid w:val="00E71393"/>
    <w:rsid w:val="00E715AC"/>
    <w:rsid w:val="00E71C64"/>
    <w:rsid w:val="00E7205F"/>
    <w:rsid w:val="00E73A5F"/>
    <w:rsid w:val="00E741CD"/>
    <w:rsid w:val="00E7474C"/>
    <w:rsid w:val="00E749E1"/>
    <w:rsid w:val="00E74F01"/>
    <w:rsid w:val="00E75534"/>
    <w:rsid w:val="00E75CF1"/>
    <w:rsid w:val="00E76009"/>
    <w:rsid w:val="00E760BE"/>
    <w:rsid w:val="00E76155"/>
    <w:rsid w:val="00E763A3"/>
    <w:rsid w:val="00E766E8"/>
    <w:rsid w:val="00E76796"/>
    <w:rsid w:val="00E7714D"/>
    <w:rsid w:val="00E7758E"/>
    <w:rsid w:val="00E77957"/>
    <w:rsid w:val="00E77D63"/>
    <w:rsid w:val="00E802C5"/>
    <w:rsid w:val="00E80453"/>
    <w:rsid w:val="00E80E30"/>
    <w:rsid w:val="00E8146B"/>
    <w:rsid w:val="00E81B4E"/>
    <w:rsid w:val="00E81C2F"/>
    <w:rsid w:val="00E82459"/>
    <w:rsid w:val="00E824AC"/>
    <w:rsid w:val="00E82DE8"/>
    <w:rsid w:val="00E8349C"/>
    <w:rsid w:val="00E8356D"/>
    <w:rsid w:val="00E83EDA"/>
    <w:rsid w:val="00E8408B"/>
    <w:rsid w:val="00E843B9"/>
    <w:rsid w:val="00E84517"/>
    <w:rsid w:val="00E84AE1"/>
    <w:rsid w:val="00E84BE3"/>
    <w:rsid w:val="00E85007"/>
    <w:rsid w:val="00E850A9"/>
    <w:rsid w:val="00E852FB"/>
    <w:rsid w:val="00E85977"/>
    <w:rsid w:val="00E85B67"/>
    <w:rsid w:val="00E86122"/>
    <w:rsid w:val="00E865B5"/>
    <w:rsid w:val="00E8663B"/>
    <w:rsid w:val="00E86CE5"/>
    <w:rsid w:val="00E86F20"/>
    <w:rsid w:val="00E86FE1"/>
    <w:rsid w:val="00E873BB"/>
    <w:rsid w:val="00E87409"/>
    <w:rsid w:val="00E877F8"/>
    <w:rsid w:val="00E87A03"/>
    <w:rsid w:val="00E90760"/>
    <w:rsid w:val="00E910F2"/>
    <w:rsid w:val="00E91450"/>
    <w:rsid w:val="00E91471"/>
    <w:rsid w:val="00E9180E"/>
    <w:rsid w:val="00E918AF"/>
    <w:rsid w:val="00E91B95"/>
    <w:rsid w:val="00E91FFA"/>
    <w:rsid w:val="00E92048"/>
    <w:rsid w:val="00E92708"/>
    <w:rsid w:val="00E9278A"/>
    <w:rsid w:val="00E92830"/>
    <w:rsid w:val="00E92D11"/>
    <w:rsid w:val="00E92FCC"/>
    <w:rsid w:val="00E935BE"/>
    <w:rsid w:val="00E941C0"/>
    <w:rsid w:val="00E944E5"/>
    <w:rsid w:val="00E95085"/>
    <w:rsid w:val="00E951F3"/>
    <w:rsid w:val="00E95222"/>
    <w:rsid w:val="00E95AC3"/>
    <w:rsid w:val="00E9603B"/>
    <w:rsid w:val="00E9661D"/>
    <w:rsid w:val="00E96AD6"/>
    <w:rsid w:val="00E9714C"/>
    <w:rsid w:val="00E976AC"/>
    <w:rsid w:val="00EA03D7"/>
    <w:rsid w:val="00EA09A4"/>
    <w:rsid w:val="00EA103D"/>
    <w:rsid w:val="00EA14C5"/>
    <w:rsid w:val="00EA162A"/>
    <w:rsid w:val="00EA1CA5"/>
    <w:rsid w:val="00EA1CE3"/>
    <w:rsid w:val="00EA2727"/>
    <w:rsid w:val="00EA2E43"/>
    <w:rsid w:val="00EA2F63"/>
    <w:rsid w:val="00EA3ADB"/>
    <w:rsid w:val="00EA3D0B"/>
    <w:rsid w:val="00EA45D6"/>
    <w:rsid w:val="00EA5233"/>
    <w:rsid w:val="00EA53F1"/>
    <w:rsid w:val="00EA5625"/>
    <w:rsid w:val="00EA683D"/>
    <w:rsid w:val="00EA7070"/>
    <w:rsid w:val="00EA7086"/>
    <w:rsid w:val="00EA738B"/>
    <w:rsid w:val="00EB0CEB"/>
    <w:rsid w:val="00EB14F5"/>
    <w:rsid w:val="00EB1C04"/>
    <w:rsid w:val="00EB23C4"/>
    <w:rsid w:val="00EB2E60"/>
    <w:rsid w:val="00EB3B20"/>
    <w:rsid w:val="00EB3B65"/>
    <w:rsid w:val="00EB3C9C"/>
    <w:rsid w:val="00EB42FA"/>
    <w:rsid w:val="00EB4DD2"/>
    <w:rsid w:val="00EB5F92"/>
    <w:rsid w:val="00EB621A"/>
    <w:rsid w:val="00EB6852"/>
    <w:rsid w:val="00EB6BAE"/>
    <w:rsid w:val="00EB6F4E"/>
    <w:rsid w:val="00EB71A5"/>
    <w:rsid w:val="00EB72F6"/>
    <w:rsid w:val="00EB753C"/>
    <w:rsid w:val="00EB77E0"/>
    <w:rsid w:val="00EB7AC2"/>
    <w:rsid w:val="00EC0002"/>
    <w:rsid w:val="00EC00DC"/>
    <w:rsid w:val="00EC00F4"/>
    <w:rsid w:val="00EC0548"/>
    <w:rsid w:val="00EC153D"/>
    <w:rsid w:val="00EC162E"/>
    <w:rsid w:val="00EC1A34"/>
    <w:rsid w:val="00EC2211"/>
    <w:rsid w:val="00EC2A91"/>
    <w:rsid w:val="00EC2ADD"/>
    <w:rsid w:val="00EC2F30"/>
    <w:rsid w:val="00EC33B8"/>
    <w:rsid w:val="00EC33DA"/>
    <w:rsid w:val="00EC34C4"/>
    <w:rsid w:val="00EC35C6"/>
    <w:rsid w:val="00EC36BA"/>
    <w:rsid w:val="00EC3924"/>
    <w:rsid w:val="00EC3B62"/>
    <w:rsid w:val="00EC4169"/>
    <w:rsid w:val="00EC4175"/>
    <w:rsid w:val="00EC44CB"/>
    <w:rsid w:val="00EC4D96"/>
    <w:rsid w:val="00EC56FF"/>
    <w:rsid w:val="00EC62ED"/>
    <w:rsid w:val="00EC6481"/>
    <w:rsid w:val="00EC6540"/>
    <w:rsid w:val="00EC6A00"/>
    <w:rsid w:val="00EC6BC6"/>
    <w:rsid w:val="00EC6DAE"/>
    <w:rsid w:val="00EC7AA2"/>
    <w:rsid w:val="00ED0494"/>
    <w:rsid w:val="00ED06BF"/>
    <w:rsid w:val="00ED0E68"/>
    <w:rsid w:val="00ED147B"/>
    <w:rsid w:val="00ED187E"/>
    <w:rsid w:val="00ED1A38"/>
    <w:rsid w:val="00ED1AEF"/>
    <w:rsid w:val="00ED213F"/>
    <w:rsid w:val="00ED2154"/>
    <w:rsid w:val="00ED2DFE"/>
    <w:rsid w:val="00ED34FC"/>
    <w:rsid w:val="00ED3710"/>
    <w:rsid w:val="00ED43C5"/>
    <w:rsid w:val="00ED43DB"/>
    <w:rsid w:val="00ED444C"/>
    <w:rsid w:val="00ED4741"/>
    <w:rsid w:val="00ED4A30"/>
    <w:rsid w:val="00ED4AA4"/>
    <w:rsid w:val="00ED4B13"/>
    <w:rsid w:val="00ED4FC7"/>
    <w:rsid w:val="00ED50B2"/>
    <w:rsid w:val="00ED5106"/>
    <w:rsid w:val="00ED535B"/>
    <w:rsid w:val="00ED586A"/>
    <w:rsid w:val="00ED5AA8"/>
    <w:rsid w:val="00ED63B2"/>
    <w:rsid w:val="00ED6809"/>
    <w:rsid w:val="00ED6EEE"/>
    <w:rsid w:val="00ED7E42"/>
    <w:rsid w:val="00ED7F6F"/>
    <w:rsid w:val="00ED7FFD"/>
    <w:rsid w:val="00EE0584"/>
    <w:rsid w:val="00EE0889"/>
    <w:rsid w:val="00EE0CBB"/>
    <w:rsid w:val="00EE1626"/>
    <w:rsid w:val="00EE1913"/>
    <w:rsid w:val="00EE1959"/>
    <w:rsid w:val="00EE19A3"/>
    <w:rsid w:val="00EE1C29"/>
    <w:rsid w:val="00EE1FA8"/>
    <w:rsid w:val="00EE2084"/>
    <w:rsid w:val="00EE28C9"/>
    <w:rsid w:val="00EE2FCE"/>
    <w:rsid w:val="00EE42DF"/>
    <w:rsid w:val="00EE4732"/>
    <w:rsid w:val="00EE4899"/>
    <w:rsid w:val="00EE49A8"/>
    <w:rsid w:val="00EE4AB8"/>
    <w:rsid w:val="00EE5192"/>
    <w:rsid w:val="00EE59A9"/>
    <w:rsid w:val="00EE59DA"/>
    <w:rsid w:val="00EE61E1"/>
    <w:rsid w:val="00EE6A93"/>
    <w:rsid w:val="00EE7A63"/>
    <w:rsid w:val="00EE7AFC"/>
    <w:rsid w:val="00EE7E9F"/>
    <w:rsid w:val="00EF02E5"/>
    <w:rsid w:val="00EF04E3"/>
    <w:rsid w:val="00EF067C"/>
    <w:rsid w:val="00EF0811"/>
    <w:rsid w:val="00EF0969"/>
    <w:rsid w:val="00EF0BDE"/>
    <w:rsid w:val="00EF1829"/>
    <w:rsid w:val="00EF192C"/>
    <w:rsid w:val="00EF1C7A"/>
    <w:rsid w:val="00EF1DC6"/>
    <w:rsid w:val="00EF24AF"/>
    <w:rsid w:val="00EF24FB"/>
    <w:rsid w:val="00EF27B7"/>
    <w:rsid w:val="00EF29E2"/>
    <w:rsid w:val="00EF2F25"/>
    <w:rsid w:val="00EF3A1C"/>
    <w:rsid w:val="00EF3C97"/>
    <w:rsid w:val="00EF3FD9"/>
    <w:rsid w:val="00EF44A3"/>
    <w:rsid w:val="00EF4E33"/>
    <w:rsid w:val="00EF4F2C"/>
    <w:rsid w:val="00EF5326"/>
    <w:rsid w:val="00EF537C"/>
    <w:rsid w:val="00EF55E3"/>
    <w:rsid w:val="00EF5641"/>
    <w:rsid w:val="00EF5D84"/>
    <w:rsid w:val="00EF6D8C"/>
    <w:rsid w:val="00EF7007"/>
    <w:rsid w:val="00EF729C"/>
    <w:rsid w:val="00EF75E3"/>
    <w:rsid w:val="00EF762E"/>
    <w:rsid w:val="00EF7C0C"/>
    <w:rsid w:val="00F000CD"/>
    <w:rsid w:val="00F00185"/>
    <w:rsid w:val="00F0031B"/>
    <w:rsid w:val="00F003B2"/>
    <w:rsid w:val="00F00561"/>
    <w:rsid w:val="00F0065C"/>
    <w:rsid w:val="00F0068D"/>
    <w:rsid w:val="00F008EC"/>
    <w:rsid w:val="00F009CE"/>
    <w:rsid w:val="00F0113B"/>
    <w:rsid w:val="00F01AC6"/>
    <w:rsid w:val="00F01F20"/>
    <w:rsid w:val="00F01F91"/>
    <w:rsid w:val="00F02090"/>
    <w:rsid w:val="00F029BD"/>
    <w:rsid w:val="00F02B55"/>
    <w:rsid w:val="00F02BB4"/>
    <w:rsid w:val="00F03A40"/>
    <w:rsid w:val="00F0420B"/>
    <w:rsid w:val="00F04825"/>
    <w:rsid w:val="00F04B3D"/>
    <w:rsid w:val="00F04E74"/>
    <w:rsid w:val="00F052B9"/>
    <w:rsid w:val="00F0580A"/>
    <w:rsid w:val="00F05B41"/>
    <w:rsid w:val="00F05C31"/>
    <w:rsid w:val="00F05E0C"/>
    <w:rsid w:val="00F060D1"/>
    <w:rsid w:val="00F062F9"/>
    <w:rsid w:val="00F06478"/>
    <w:rsid w:val="00F07BF2"/>
    <w:rsid w:val="00F07C9C"/>
    <w:rsid w:val="00F10249"/>
    <w:rsid w:val="00F105E5"/>
    <w:rsid w:val="00F1067B"/>
    <w:rsid w:val="00F1086A"/>
    <w:rsid w:val="00F109C5"/>
    <w:rsid w:val="00F11471"/>
    <w:rsid w:val="00F11713"/>
    <w:rsid w:val="00F120BC"/>
    <w:rsid w:val="00F1298C"/>
    <w:rsid w:val="00F12AEC"/>
    <w:rsid w:val="00F12CB1"/>
    <w:rsid w:val="00F12D9F"/>
    <w:rsid w:val="00F131ED"/>
    <w:rsid w:val="00F134F9"/>
    <w:rsid w:val="00F1353E"/>
    <w:rsid w:val="00F13933"/>
    <w:rsid w:val="00F14033"/>
    <w:rsid w:val="00F141CE"/>
    <w:rsid w:val="00F1437A"/>
    <w:rsid w:val="00F15052"/>
    <w:rsid w:val="00F158FE"/>
    <w:rsid w:val="00F15C99"/>
    <w:rsid w:val="00F15F6F"/>
    <w:rsid w:val="00F16630"/>
    <w:rsid w:val="00F16B3B"/>
    <w:rsid w:val="00F16D19"/>
    <w:rsid w:val="00F173EF"/>
    <w:rsid w:val="00F17E8A"/>
    <w:rsid w:val="00F17ED9"/>
    <w:rsid w:val="00F20143"/>
    <w:rsid w:val="00F20215"/>
    <w:rsid w:val="00F2031B"/>
    <w:rsid w:val="00F20535"/>
    <w:rsid w:val="00F20B52"/>
    <w:rsid w:val="00F20FCD"/>
    <w:rsid w:val="00F210F3"/>
    <w:rsid w:val="00F212BA"/>
    <w:rsid w:val="00F2134E"/>
    <w:rsid w:val="00F21F1F"/>
    <w:rsid w:val="00F22475"/>
    <w:rsid w:val="00F224E0"/>
    <w:rsid w:val="00F22BDF"/>
    <w:rsid w:val="00F2349B"/>
    <w:rsid w:val="00F23573"/>
    <w:rsid w:val="00F23575"/>
    <w:rsid w:val="00F2386D"/>
    <w:rsid w:val="00F23D89"/>
    <w:rsid w:val="00F23DE8"/>
    <w:rsid w:val="00F246A4"/>
    <w:rsid w:val="00F24B66"/>
    <w:rsid w:val="00F24B8A"/>
    <w:rsid w:val="00F24F4B"/>
    <w:rsid w:val="00F24FD2"/>
    <w:rsid w:val="00F255BE"/>
    <w:rsid w:val="00F25631"/>
    <w:rsid w:val="00F25CA9"/>
    <w:rsid w:val="00F264D4"/>
    <w:rsid w:val="00F267B9"/>
    <w:rsid w:val="00F267D1"/>
    <w:rsid w:val="00F26ADC"/>
    <w:rsid w:val="00F26B34"/>
    <w:rsid w:val="00F26F49"/>
    <w:rsid w:val="00F2725E"/>
    <w:rsid w:val="00F2747C"/>
    <w:rsid w:val="00F274E2"/>
    <w:rsid w:val="00F30654"/>
    <w:rsid w:val="00F3130F"/>
    <w:rsid w:val="00F316FB"/>
    <w:rsid w:val="00F31B59"/>
    <w:rsid w:val="00F3239A"/>
    <w:rsid w:val="00F323C9"/>
    <w:rsid w:val="00F339CD"/>
    <w:rsid w:val="00F33DE1"/>
    <w:rsid w:val="00F341D6"/>
    <w:rsid w:val="00F347DB"/>
    <w:rsid w:val="00F347F3"/>
    <w:rsid w:val="00F348F8"/>
    <w:rsid w:val="00F34A35"/>
    <w:rsid w:val="00F34A36"/>
    <w:rsid w:val="00F35283"/>
    <w:rsid w:val="00F3560E"/>
    <w:rsid w:val="00F35B6A"/>
    <w:rsid w:val="00F36236"/>
    <w:rsid w:val="00F368D3"/>
    <w:rsid w:val="00F36918"/>
    <w:rsid w:val="00F36B28"/>
    <w:rsid w:val="00F36C11"/>
    <w:rsid w:val="00F3739B"/>
    <w:rsid w:val="00F37804"/>
    <w:rsid w:val="00F37D69"/>
    <w:rsid w:val="00F40340"/>
    <w:rsid w:val="00F41094"/>
    <w:rsid w:val="00F4116E"/>
    <w:rsid w:val="00F4134D"/>
    <w:rsid w:val="00F414BD"/>
    <w:rsid w:val="00F41572"/>
    <w:rsid w:val="00F415F4"/>
    <w:rsid w:val="00F41C74"/>
    <w:rsid w:val="00F42DC6"/>
    <w:rsid w:val="00F42E1E"/>
    <w:rsid w:val="00F4320A"/>
    <w:rsid w:val="00F438AB"/>
    <w:rsid w:val="00F43D73"/>
    <w:rsid w:val="00F452E1"/>
    <w:rsid w:val="00F45343"/>
    <w:rsid w:val="00F45385"/>
    <w:rsid w:val="00F45710"/>
    <w:rsid w:val="00F46DF2"/>
    <w:rsid w:val="00F474C2"/>
    <w:rsid w:val="00F47994"/>
    <w:rsid w:val="00F501CA"/>
    <w:rsid w:val="00F505D7"/>
    <w:rsid w:val="00F50A00"/>
    <w:rsid w:val="00F50A46"/>
    <w:rsid w:val="00F50ADE"/>
    <w:rsid w:val="00F50B3B"/>
    <w:rsid w:val="00F50C61"/>
    <w:rsid w:val="00F50E1D"/>
    <w:rsid w:val="00F50F20"/>
    <w:rsid w:val="00F513A9"/>
    <w:rsid w:val="00F514EA"/>
    <w:rsid w:val="00F51690"/>
    <w:rsid w:val="00F52288"/>
    <w:rsid w:val="00F52332"/>
    <w:rsid w:val="00F52530"/>
    <w:rsid w:val="00F529C1"/>
    <w:rsid w:val="00F52D9F"/>
    <w:rsid w:val="00F5310F"/>
    <w:rsid w:val="00F5313C"/>
    <w:rsid w:val="00F53184"/>
    <w:rsid w:val="00F53298"/>
    <w:rsid w:val="00F53392"/>
    <w:rsid w:val="00F533A8"/>
    <w:rsid w:val="00F535E0"/>
    <w:rsid w:val="00F53CF4"/>
    <w:rsid w:val="00F53D9D"/>
    <w:rsid w:val="00F53F7D"/>
    <w:rsid w:val="00F542BD"/>
    <w:rsid w:val="00F54335"/>
    <w:rsid w:val="00F54EAB"/>
    <w:rsid w:val="00F54F16"/>
    <w:rsid w:val="00F54F25"/>
    <w:rsid w:val="00F561E3"/>
    <w:rsid w:val="00F566FB"/>
    <w:rsid w:val="00F56E29"/>
    <w:rsid w:val="00F56E90"/>
    <w:rsid w:val="00F577CB"/>
    <w:rsid w:val="00F57B66"/>
    <w:rsid w:val="00F57F81"/>
    <w:rsid w:val="00F60269"/>
    <w:rsid w:val="00F6034E"/>
    <w:rsid w:val="00F60535"/>
    <w:rsid w:val="00F60663"/>
    <w:rsid w:val="00F606DA"/>
    <w:rsid w:val="00F607C1"/>
    <w:rsid w:val="00F60A63"/>
    <w:rsid w:val="00F610B5"/>
    <w:rsid w:val="00F61652"/>
    <w:rsid w:val="00F61825"/>
    <w:rsid w:val="00F61CF3"/>
    <w:rsid w:val="00F62150"/>
    <w:rsid w:val="00F62339"/>
    <w:rsid w:val="00F62422"/>
    <w:rsid w:val="00F62B38"/>
    <w:rsid w:val="00F63B18"/>
    <w:rsid w:val="00F63B2A"/>
    <w:rsid w:val="00F64527"/>
    <w:rsid w:val="00F6472F"/>
    <w:rsid w:val="00F64B75"/>
    <w:rsid w:val="00F64F58"/>
    <w:rsid w:val="00F65507"/>
    <w:rsid w:val="00F65EE0"/>
    <w:rsid w:val="00F663EA"/>
    <w:rsid w:val="00F66B9D"/>
    <w:rsid w:val="00F672D8"/>
    <w:rsid w:val="00F67388"/>
    <w:rsid w:val="00F67DA7"/>
    <w:rsid w:val="00F67FF1"/>
    <w:rsid w:val="00F70352"/>
    <w:rsid w:val="00F70563"/>
    <w:rsid w:val="00F7073A"/>
    <w:rsid w:val="00F7196A"/>
    <w:rsid w:val="00F71CE4"/>
    <w:rsid w:val="00F726BC"/>
    <w:rsid w:val="00F7322D"/>
    <w:rsid w:val="00F73352"/>
    <w:rsid w:val="00F73EE4"/>
    <w:rsid w:val="00F73F0B"/>
    <w:rsid w:val="00F73FDB"/>
    <w:rsid w:val="00F74165"/>
    <w:rsid w:val="00F741F2"/>
    <w:rsid w:val="00F743AE"/>
    <w:rsid w:val="00F74B7A"/>
    <w:rsid w:val="00F74BD3"/>
    <w:rsid w:val="00F7585F"/>
    <w:rsid w:val="00F75D68"/>
    <w:rsid w:val="00F75F69"/>
    <w:rsid w:val="00F75F6C"/>
    <w:rsid w:val="00F76ADD"/>
    <w:rsid w:val="00F76C91"/>
    <w:rsid w:val="00F80840"/>
    <w:rsid w:val="00F811DD"/>
    <w:rsid w:val="00F813FA"/>
    <w:rsid w:val="00F814F5"/>
    <w:rsid w:val="00F819CB"/>
    <w:rsid w:val="00F8231C"/>
    <w:rsid w:val="00F82461"/>
    <w:rsid w:val="00F8268C"/>
    <w:rsid w:val="00F83321"/>
    <w:rsid w:val="00F83478"/>
    <w:rsid w:val="00F834B3"/>
    <w:rsid w:val="00F836A9"/>
    <w:rsid w:val="00F83BF5"/>
    <w:rsid w:val="00F83C6F"/>
    <w:rsid w:val="00F83DA8"/>
    <w:rsid w:val="00F83DE6"/>
    <w:rsid w:val="00F842FB"/>
    <w:rsid w:val="00F84D59"/>
    <w:rsid w:val="00F84D5C"/>
    <w:rsid w:val="00F84E18"/>
    <w:rsid w:val="00F84EC7"/>
    <w:rsid w:val="00F857E1"/>
    <w:rsid w:val="00F85DBF"/>
    <w:rsid w:val="00F85F67"/>
    <w:rsid w:val="00F86882"/>
    <w:rsid w:val="00F877A1"/>
    <w:rsid w:val="00F878FA"/>
    <w:rsid w:val="00F87AF7"/>
    <w:rsid w:val="00F87EEB"/>
    <w:rsid w:val="00F904BC"/>
    <w:rsid w:val="00F9053A"/>
    <w:rsid w:val="00F905C8"/>
    <w:rsid w:val="00F90FA7"/>
    <w:rsid w:val="00F912F4"/>
    <w:rsid w:val="00F91C9F"/>
    <w:rsid w:val="00F91DED"/>
    <w:rsid w:val="00F91E1E"/>
    <w:rsid w:val="00F9293B"/>
    <w:rsid w:val="00F9294B"/>
    <w:rsid w:val="00F92AAD"/>
    <w:rsid w:val="00F92B91"/>
    <w:rsid w:val="00F935A7"/>
    <w:rsid w:val="00F93626"/>
    <w:rsid w:val="00F93AA1"/>
    <w:rsid w:val="00F93B49"/>
    <w:rsid w:val="00F93E7C"/>
    <w:rsid w:val="00F93FAE"/>
    <w:rsid w:val="00F943F0"/>
    <w:rsid w:val="00F9488E"/>
    <w:rsid w:val="00F949BA"/>
    <w:rsid w:val="00F951AB"/>
    <w:rsid w:val="00F95231"/>
    <w:rsid w:val="00F955E6"/>
    <w:rsid w:val="00F96236"/>
    <w:rsid w:val="00F96BFC"/>
    <w:rsid w:val="00F96C55"/>
    <w:rsid w:val="00F96E5A"/>
    <w:rsid w:val="00F96EC0"/>
    <w:rsid w:val="00F96F19"/>
    <w:rsid w:val="00F970DC"/>
    <w:rsid w:val="00F975B5"/>
    <w:rsid w:val="00F976E9"/>
    <w:rsid w:val="00F97F19"/>
    <w:rsid w:val="00FA0CE9"/>
    <w:rsid w:val="00FA117C"/>
    <w:rsid w:val="00FA125F"/>
    <w:rsid w:val="00FA1522"/>
    <w:rsid w:val="00FA1795"/>
    <w:rsid w:val="00FA18A4"/>
    <w:rsid w:val="00FA1F44"/>
    <w:rsid w:val="00FA20DA"/>
    <w:rsid w:val="00FA2D38"/>
    <w:rsid w:val="00FA2EBB"/>
    <w:rsid w:val="00FA367C"/>
    <w:rsid w:val="00FA439D"/>
    <w:rsid w:val="00FA4B18"/>
    <w:rsid w:val="00FA4DD6"/>
    <w:rsid w:val="00FA4F90"/>
    <w:rsid w:val="00FA4F9D"/>
    <w:rsid w:val="00FA5EFF"/>
    <w:rsid w:val="00FA665F"/>
    <w:rsid w:val="00FA6E37"/>
    <w:rsid w:val="00FA743B"/>
    <w:rsid w:val="00FA7794"/>
    <w:rsid w:val="00FA7862"/>
    <w:rsid w:val="00FA7D23"/>
    <w:rsid w:val="00FB0049"/>
    <w:rsid w:val="00FB037E"/>
    <w:rsid w:val="00FB0E0C"/>
    <w:rsid w:val="00FB1091"/>
    <w:rsid w:val="00FB1724"/>
    <w:rsid w:val="00FB1D3B"/>
    <w:rsid w:val="00FB211E"/>
    <w:rsid w:val="00FB2364"/>
    <w:rsid w:val="00FB2CA7"/>
    <w:rsid w:val="00FB3030"/>
    <w:rsid w:val="00FB3037"/>
    <w:rsid w:val="00FB30AE"/>
    <w:rsid w:val="00FB331C"/>
    <w:rsid w:val="00FB3595"/>
    <w:rsid w:val="00FB37EC"/>
    <w:rsid w:val="00FB3B6B"/>
    <w:rsid w:val="00FB4097"/>
    <w:rsid w:val="00FB4F03"/>
    <w:rsid w:val="00FB5287"/>
    <w:rsid w:val="00FB55D3"/>
    <w:rsid w:val="00FB589A"/>
    <w:rsid w:val="00FB5E86"/>
    <w:rsid w:val="00FB63DD"/>
    <w:rsid w:val="00FB6F13"/>
    <w:rsid w:val="00FB71DF"/>
    <w:rsid w:val="00FB752D"/>
    <w:rsid w:val="00FB784F"/>
    <w:rsid w:val="00FB7F05"/>
    <w:rsid w:val="00FC0030"/>
    <w:rsid w:val="00FC011C"/>
    <w:rsid w:val="00FC015E"/>
    <w:rsid w:val="00FC0664"/>
    <w:rsid w:val="00FC0A04"/>
    <w:rsid w:val="00FC1C14"/>
    <w:rsid w:val="00FC27AC"/>
    <w:rsid w:val="00FC2913"/>
    <w:rsid w:val="00FC2BBC"/>
    <w:rsid w:val="00FC33A8"/>
    <w:rsid w:val="00FC3878"/>
    <w:rsid w:val="00FC3D82"/>
    <w:rsid w:val="00FC4143"/>
    <w:rsid w:val="00FC428D"/>
    <w:rsid w:val="00FC43C4"/>
    <w:rsid w:val="00FC44A3"/>
    <w:rsid w:val="00FC49DF"/>
    <w:rsid w:val="00FC4B38"/>
    <w:rsid w:val="00FC5137"/>
    <w:rsid w:val="00FC555B"/>
    <w:rsid w:val="00FC562C"/>
    <w:rsid w:val="00FC5867"/>
    <w:rsid w:val="00FC5BB4"/>
    <w:rsid w:val="00FC5FE6"/>
    <w:rsid w:val="00FC6361"/>
    <w:rsid w:val="00FC6A8E"/>
    <w:rsid w:val="00FC6FF5"/>
    <w:rsid w:val="00FC7115"/>
    <w:rsid w:val="00FC7F6E"/>
    <w:rsid w:val="00FD0920"/>
    <w:rsid w:val="00FD11B5"/>
    <w:rsid w:val="00FD1269"/>
    <w:rsid w:val="00FD1495"/>
    <w:rsid w:val="00FD1589"/>
    <w:rsid w:val="00FD1A4E"/>
    <w:rsid w:val="00FD1F92"/>
    <w:rsid w:val="00FD232E"/>
    <w:rsid w:val="00FD2643"/>
    <w:rsid w:val="00FD282D"/>
    <w:rsid w:val="00FD2894"/>
    <w:rsid w:val="00FD297B"/>
    <w:rsid w:val="00FD2ED4"/>
    <w:rsid w:val="00FD2FA3"/>
    <w:rsid w:val="00FD3085"/>
    <w:rsid w:val="00FD3A2C"/>
    <w:rsid w:val="00FD3F53"/>
    <w:rsid w:val="00FD493D"/>
    <w:rsid w:val="00FD4AF5"/>
    <w:rsid w:val="00FD4FB3"/>
    <w:rsid w:val="00FD6548"/>
    <w:rsid w:val="00FD75B0"/>
    <w:rsid w:val="00FE0345"/>
    <w:rsid w:val="00FE04E0"/>
    <w:rsid w:val="00FE06C4"/>
    <w:rsid w:val="00FE06CD"/>
    <w:rsid w:val="00FE09CE"/>
    <w:rsid w:val="00FE0EE4"/>
    <w:rsid w:val="00FE13DA"/>
    <w:rsid w:val="00FE15F7"/>
    <w:rsid w:val="00FE16D0"/>
    <w:rsid w:val="00FE2022"/>
    <w:rsid w:val="00FE2029"/>
    <w:rsid w:val="00FE2522"/>
    <w:rsid w:val="00FE2687"/>
    <w:rsid w:val="00FE278D"/>
    <w:rsid w:val="00FE3609"/>
    <w:rsid w:val="00FE3B31"/>
    <w:rsid w:val="00FE3F73"/>
    <w:rsid w:val="00FE4042"/>
    <w:rsid w:val="00FE4176"/>
    <w:rsid w:val="00FE4936"/>
    <w:rsid w:val="00FE4B29"/>
    <w:rsid w:val="00FE4C5D"/>
    <w:rsid w:val="00FE507F"/>
    <w:rsid w:val="00FE5262"/>
    <w:rsid w:val="00FE5624"/>
    <w:rsid w:val="00FE6364"/>
    <w:rsid w:val="00FE6912"/>
    <w:rsid w:val="00FE694D"/>
    <w:rsid w:val="00FE69CD"/>
    <w:rsid w:val="00FE7009"/>
    <w:rsid w:val="00FF03EA"/>
    <w:rsid w:val="00FF05D7"/>
    <w:rsid w:val="00FF15C4"/>
    <w:rsid w:val="00FF18CE"/>
    <w:rsid w:val="00FF1BBA"/>
    <w:rsid w:val="00FF1F55"/>
    <w:rsid w:val="00FF2D42"/>
    <w:rsid w:val="00FF3939"/>
    <w:rsid w:val="00FF3943"/>
    <w:rsid w:val="00FF3B89"/>
    <w:rsid w:val="00FF3E33"/>
    <w:rsid w:val="00FF3FC9"/>
    <w:rsid w:val="00FF4696"/>
    <w:rsid w:val="00FF4737"/>
    <w:rsid w:val="00FF4D20"/>
    <w:rsid w:val="00FF4D97"/>
    <w:rsid w:val="00FF5114"/>
    <w:rsid w:val="00FF51AD"/>
    <w:rsid w:val="00FF5B84"/>
    <w:rsid w:val="00FF5F58"/>
    <w:rsid w:val="00FF604E"/>
    <w:rsid w:val="00FF6902"/>
    <w:rsid w:val="00FF717F"/>
    <w:rsid w:val="00FF740D"/>
    <w:rsid w:val="00FF7A36"/>
    <w:rsid w:val="00FF7AEC"/>
    <w:rsid w:val="00FF7E55"/>
    <w:rsid w:val="01A379CA"/>
    <w:rsid w:val="01F549EE"/>
    <w:rsid w:val="020C6F14"/>
    <w:rsid w:val="02401F87"/>
    <w:rsid w:val="029D6B7E"/>
    <w:rsid w:val="03CC4452"/>
    <w:rsid w:val="0401326A"/>
    <w:rsid w:val="043543E4"/>
    <w:rsid w:val="04AE6431"/>
    <w:rsid w:val="063920E4"/>
    <w:rsid w:val="069F2848"/>
    <w:rsid w:val="077A3EB5"/>
    <w:rsid w:val="079C58A2"/>
    <w:rsid w:val="07EF4DA4"/>
    <w:rsid w:val="08135D89"/>
    <w:rsid w:val="08815C8B"/>
    <w:rsid w:val="09303D04"/>
    <w:rsid w:val="095442F6"/>
    <w:rsid w:val="09B47774"/>
    <w:rsid w:val="09DA6E9B"/>
    <w:rsid w:val="09F7259D"/>
    <w:rsid w:val="0A327B40"/>
    <w:rsid w:val="0A4C2C48"/>
    <w:rsid w:val="0AB248D0"/>
    <w:rsid w:val="0C701E1D"/>
    <w:rsid w:val="0CB45955"/>
    <w:rsid w:val="0F5C57D0"/>
    <w:rsid w:val="0FCB227A"/>
    <w:rsid w:val="0FE05D87"/>
    <w:rsid w:val="11185AA2"/>
    <w:rsid w:val="11AC6A9D"/>
    <w:rsid w:val="134D2CC3"/>
    <w:rsid w:val="13597212"/>
    <w:rsid w:val="13E25AF7"/>
    <w:rsid w:val="14337750"/>
    <w:rsid w:val="14400F86"/>
    <w:rsid w:val="14525212"/>
    <w:rsid w:val="14AB2C7C"/>
    <w:rsid w:val="162C141A"/>
    <w:rsid w:val="169154B3"/>
    <w:rsid w:val="16C51BE4"/>
    <w:rsid w:val="176626DB"/>
    <w:rsid w:val="17DE3024"/>
    <w:rsid w:val="183B37C5"/>
    <w:rsid w:val="18D66DB8"/>
    <w:rsid w:val="18F9509F"/>
    <w:rsid w:val="18F97CF4"/>
    <w:rsid w:val="19B36436"/>
    <w:rsid w:val="19ED3298"/>
    <w:rsid w:val="1A1067FE"/>
    <w:rsid w:val="1A7B11C5"/>
    <w:rsid w:val="1AF24F43"/>
    <w:rsid w:val="1AF80449"/>
    <w:rsid w:val="1B0444C9"/>
    <w:rsid w:val="1CA85B93"/>
    <w:rsid w:val="1CD511EE"/>
    <w:rsid w:val="1D1E6EE6"/>
    <w:rsid w:val="1D5373B0"/>
    <w:rsid w:val="1F192C38"/>
    <w:rsid w:val="1F775350"/>
    <w:rsid w:val="1FE11566"/>
    <w:rsid w:val="1FEE7D6D"/>
    <w:rsid w:val="207665A1"/>
    <w:rsid w:val="208659DB"/>
    <w:rsid w:val="22B41F4D"/>
    <w:rsid w:val="23B85FF0"/>
    <w:rsid w:val="253311F2"/>
    <w:rsid w:val="256836B2"/>
    <w:rsid w:val="25746B05"/>
    <w:rsid w:val="257E6CCB"/>
    <w:rsid w:val="25920FFE"/>
    <w:rsid w:val="267378CD"/>
    <w:rsid w:val="279C2D84"/>
    <w:rsid w:val="27B76ABF"/>
    <w:rsid w:val="27CD6FF3"/>
    <w:rsid w:val="28932843"/>
    <w:rsid w:val="28EE3320"/>
    <w:rsid w:val="2973738D"/>
    <w:rsid w:val="29F348ED"/>
    <w:rsid w:val="2AD17B87"/>
    <w:rsid w:val="2B21408E"/>
    <w:rsid w:val="2B361285"/>
    <w:rsid w:val="2D632A41"/>
    <w:rsid w:val="2D7A108A"/>
    <w:rsid w:val="2E690276"/>
    <w:rsid w:val="2F7E1DE7"/>
    <w:rsid w:val="301D2EFB"/>
    <w:rsid w:val="305562B1"/>
    <w:rsid w:val="30956E28"/>
    <w:rsid w:val="30BF75B1"/>
    <w:rsid w:val="30CC3FE5"/>
    <w:rsid w:val="31123AA6"/>
    <w:rsid w:val="313C1802"/>
    <w:rsid w:val="31C27CCD"/>
    <w:rsid w:val="33DB1B67"/>
    <w:rsid w:val="34AD4666"/>
    <w:rsid w:val="351E163B"/>
    <w:rsid w:val="3616729E"/>
    <w:rsid w:val="365635A1"/>
    <w:rsid w:val="36AE49A3"/>
    <w:rsid w:val="36E80253"/>
    <w:rsid w:val="37007B82"/>
    <w:rsid w:val="37F93EFE"/>
    <w:rsid w:val="389D51D9"/>
    <w:rsid w:val="3954014A"/>
    <w:rsid w:val="397B1105"/>
    <w:rsid w:val="39CC5546"/>
    <w:rsid w:val="39EB443A"/>
    <w:rsid w:val="3A01155C"/>
    <w:rsid w:val="3A3A545A"/>
    <w:rsid w:val="3BB17FC5"/>
    <w:rsid w:val="3BF45282"/>
    <w:rsid w:val="3E645C64"/>
    <w:rsid w:val="3E7E717E"/>
    <w:rsid w:val="3F64768F"/>
    <w:rsid w:val="400C101A"/>
    <w:rsid w:val="402245BF"/>
    <w:rsid w:val="408A329A"/>
    <w:rsid w:val="41D65043"/>
    <w:rsid w:val="42205A3E"/>
    <w:rsid w:val="440E6AB1"/>
    <w:rsid w:val="443B64FA"/>
    <w:rsid w:val="456D534F"/>
    <w:rsid w:val="471463D8"/>
    <w:rsid w:val="471C2F11"/>
    <w:rsid w:val="47501578"/>
    <w:rsid w:val="47A0243F"/>
    <w:rsid w:val="47FB6D3C"/>
    <w:rsid w:val="483656E9"/>
    <w:rsid w:val="488B0881"/>
    <w:rsid w:val="497D1899"/>
    <w:rsid w:val="49C9070D"/>
    <w:rsid w:val="49ED78D6"/>
    <w:rsid w:val="4A0F335D"/>
    <w:rsid w:val="4C29180E"/>
    <w:rsid w:val="4C3E3ACE"/>
    <w:rsid w:val="4DE0659B"/>
    <w:rsid w:val="4E1801A4"/>
    <w:rsid w:val="4E1D360A"/>
    <w:rsid w:val="4E224BB8"/>
    <w:rsid w:val="4E6579BF"/>
    <w:rsid w:val="4E6B14BE"/>
    <w:rsid w:val="4E9E3CDA"/>
    <w:rsid w:val="4F255420"/>
    <w:rsid w:val="4F3C79B3"/>
    <w:rsid w:val="4FD90C2B"/>
    <w:rsid w:val="50435405"/>
    <w:rsid w:val="50CB6FBF"/>
    <w:rsid w:val="50EE77D1"/>
    <w:rsid w:val="519A31DE"/>
    <w:rsid w:val="522A4A31"/>
    <w:rsid w:val="526F0F81"/>
    <w:rsid w:val="527D26F3"/>
    <w:rsid w:val="52E17D6B"/>
    <w:rsid w:val="531645A8"/>
    <w:rsid w:val="534F68D4"/>
    <w:rsid w:val="53634104"/>
    <w:rsid w:val="53AA49C3"/>
    <w:rsid w:val="53BD3F39"/>
    <w:rsid w:val="540D3A61"/>
    <w:rsid w:val="543F67D1"/>
    <w:rsid w:val="54FC51A2"/>
    <w:rsid w:val="552D518D"/>
    <w:rsid w:val="558139AA"/>
    <w:rsid w:val="5606246E"/>
    <w:rsid w:val="57916107"/>
    <w:rsid w:val="58E43D8B"/>
    <w:rsid w:val="59AC60D5"/>
    <w:rsid w:val="59CE3B2A"/>
    <w:rsid w:val="5A4B4A1D"/>
    <w:rsid w:val="5A7679B1"/>
    <w:rsid w:val="5A996921"/>
    <w:rsid w:val="5B746422"/>
    <w:rsid w:val="5D0B2939"/>
    <w:rsid w:val="5DC639B3"/>
    <w:rsid w:val="5F286094"/>
    <w:rsid w:val="60312BDD"/>
    <w:rsid w:val="61696750"/>
    <w:rsid w:val="619D4BA7"/>
    <w:rsid w:val="62CA45B1"/>
    <w:rsid w:val="62D97A40"/>
    <w:rsid w:val="63775F87"/>
    <w:rsid w:val="63806CF4"/>
    <w:rsid w:val="638B0AA9"/>
    <w:rsid w:val="63E33B87"/>
    <w:rsid w:val="63ED39BC"/>
    <w:rsid w:val="64237583"/>
    <w:rsid w:val="65496B6D"/>
    <w:rsid w:val="65925244"/>
    <w:rsid w:val="65BA67A9"/>
    <w:rsid w:val="65C83BB1"/>
    <w:rsid w:val="65FD02DB"/>
    <w:rsid w:val="66F35E77"/>
    <w:rsid w:val="67CA7835"/>
    <w:rsid w:val="67DA5A47"/>
    <w:rsid w:val="680D52C0"/>
    <w:rsid w:val="68950B5E"/>
    <w:rsid w:val="689E365D"/>
    <w:rsid w:val="694011A8"/>
    <w:rsid w:val="6AB07C05"/>
    <w:rsid w:val="6BA91D29"/>
    <w:rsid w:val="6D0C4356"/>
    <w:rsid w:val="6D2C31C7"/>
    <w:rsid w:val="6D9E39B0"/>
    <w:rsid w:val="6EA35951"/>
    <w:rsid w:val="6FF52D14"/>
    <w:rsid w:val="704A7429"/>
    <w:rsid w:val="711A6E35"/>
    <w:rsid w:val="73E6113B"/>
    <w:rsid w:val="7437251C"/>
    <w:rsid w:val="745C422F"/>
    <w:rsid w:val="746E30C9"/>
    <w:rsid w:val="74E54A39"/>
    <w:rsid w:val="76130C8C"/>
    <w:rsid w:val="76584A57"/>
    <w:rsid w:val="7840718A"/>
    <w:rsid w:val="78427E2F"/>
    <w:rsid w:val="78A57AD3"/>
    <w:rsid w:val="79781A35"/>
    <w:rsid w:val="7A672FDC"/>
    <w:rsid w:val="7C1D7C2D"/>
    <w:rsid w:val="7D74265F"/>
    <w:rsid w:val="7DE90751"/>
    <w:rsid w:val="7E832261"/>
    <w:rsid w:val="7F0350A3"/>
    <w:rsid w:val="7FA73222"/>
    <w:rsid w:val="7FB1539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qFormat="1" w:uiPriority="99"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9"/>
    <w:pPr>
      <w:keepNext/>
      <w:jc w:val="center"/>
      <w:outlineLvl w:val="0"/>
    </w:pPr>
    <w:rPr>
      <w:sz w:val="28"/>
    </w:rPr>
  </w:style>
  <w:style w:type="paragraph" w:styleId="4">
    <w:name w:val="heading 2"/>
    <w:basedOn w:val="1"/>
    <w:next w:val="1"/>
    <w:link w:val="5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7"/>
    <w:qFormat/>
    <w:uiPriority w:val="0"/>
    <w:pPr>
      <w:keepNext/>
      <w:keepLines/>
      <w:spacing w:before="260" w:after="260" w:line="416" w:lineRule="auto"/>
      <w:outlineLvl w:val="2"/>
    </w:pPr>
    <w:rPr>
      <w:b/>
      <w:bCs/>
      <w:sz w:val="32"/>
      <w:szCs w:val="32"/>
    </w:rPr>
  </w:style>
  <w:style w:type="paragraph" w:styleId="6">
    <w:name w:val="heading 4"/>
    <w:basedOn w:val="1"/>
    <w:next w:val="1"/>
    <w:link w:val="58"/>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8"/>
    <w:link w:val="60"/>
    <w:qFormat/>
    <w:uiPriority w:val="0"/>
    <w:pPr>
      <w:keepNext/>
      <w:keepLines/>
      <w:tabs>
        <w:tab w:val="left" w:pos="1152"/>
      </w:tabs>
      <w:spacing w:before="240" w:after="64" w:line="320" w:lineRule="auto"/>
      <w:ind w:left="2950" w:hanging="420"/>
      <w:jc w:val="left"/>
      <w:outlineLvl w:val="5"/>
    </w:pPr>
    <w:rPr>
      <w:rFonts w:ascii="Arial" w:hAnsi="Arial" w:eastAsia="黑体"/>
      <w:b/>
      <w:bCs/>
      <w:spacing w:val="6"/>
      <w:sz w:val="24"/>
    </w:rPr>
  </w:style>
  <w:style w:type="paragraph" w:styleId="9">
    <w:name w:val="heading 7"/>
    <w:basedOn w:val="1"/>
    <w:next w:val="8"/>
    <w:link w:val="61"/>
    <w:qFormat/>
    <w:uiPriority w:val="0"/>
    <w:pPr>
      <w:keepNext/>
      <w:keepLines/>
      <w:tabs>
        <w:tab w:val="left" w:pos="1296"/>
      </w:tabs>
      <w:spacing w:before="240" w:after="64" w:line="320" w:lineRule="auto"/>
      <w:ind w:left="3370" w:hanging="420"/>
      <w:jc w:val="left"/>
      <w:outlineLvl w:val="6"/>
    </w:pPr>
    <w:rPr>
      <w:b/>
      <w:bCs/>
      <w:spacing w:val="6"/>
      <w:sz w:val="24"/>
    </w:rPr>
  </w:style>
  <w:style w:type="paragraph" w:styleId="10">
    <w:name w:val="heading 8"/>
    <w:basedOn w:val="1"/>
    <w:next w:val="8"/>
    <w:link w:val="62"/>
    <w:qFormat/>
    <w:uiPriority w:val="0"/>
    <w:pPr>
      <w:keepNext/>
      <w:keepLines/>
      <w:tabs>
        <w:tab w:val="left" w:pos="1440"/>
      </w:tabs>
      <w:spacing w:before="240" w:after="64" w:line="320" w:lineRule="auto"/>
      <w:ind w:left="3790" w:hanging="420"/>
      <w:jc w:val="left"/>
      <w:outlineLvl w:val="7"/>
    </w:pPr>
    <w:rPr>
      <w:rFonts w:ascii="Arial" w:hAnsi="Arial" w:eastAsia="黑体"/>
      <w:spacing w:val="6"/>
      <w:sz w:val="24"/>
    </w:rPr>
  </w:style>
  <w:style w:type="paragraph" w:styleId="11">
    <w:name w:val="heading 9"/>
    <w:basedOn w:val="1"/>
    <w:next w:val="8"/>
    <w:link w:val="63"/>
    <w:qFormat/>
    <w:uiPriority w:val="0"/>
    <w:pPr>
      <w:keepNext/>
      <w:keepLines/>
      <w:tabs>
        <w:tab w:val="left" w:pos="1584"/>
      </w:tabs>
      <w:spacing w:before="240" w:after="64" w:line="320" w:lineRule="auto"/>
      <w:ind w:left="4210" w:hanging="420"/>
      <w:jc w:val="left"/>
      <w:outlineLvl w:val="8"/>
    </w:pPr>
    <w:rPr>
      <w:rFonts w:ascii="Arial" w:hAnsi="Arial" w:eastAsia="黑体"/>
      <w:spacing w:val="6"/>
      <w:sz w:val="24"/>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100"/>
    <w:qFormat/>
    <w:uiPriority w:val="0"/>
    <w:pPr>
      <w:spacing w:after="120"/>
      <w:ind w:left="420" w:leftChars="200"/>
    </w:pPr>
  </w:style>
  <w:style w:type="paragraph" w:styleId="8">
    <w:name w:val="Normal Indent"/>
    <w:basedOn w:val="1"/>
    <w:link w:val="59"/>
    <w:qFormat/>
    <w:uiPriority w:val="0"/>
    <w:pPr>
      <w:ind w:firstLine="420" w:firstLineChars="200"/>
    </w:pPr>
    <w:rPr>
      <w:rFonts w:ascii="Calibri" w:hAnsi="Calibri"/>
    </w:rPr>
  </w:style>
  <w:style w:type="paragraph" w:styleId="12">
    <w:name w:val="toc 7"/>
    <w:basedOn w:val="1"/>
    <w:next w:val="1"/>
    <w:qFormat/>
    <w:uiPriority w:val="39"/>
    <w:pPr>
      <w:ind w:left="1260"/>
      <w:jc w:val="left"/>
    </w:pPr>
    <w:rPr>
      <w:sz w:val="18"/>
      <w:szCs w:val="18"/>
    </w:rPr>
  </w:style>
  <w:style w:type="paragraph" w:styleId="13">
    <w:name w:val="Document Map"/>
    <w:basedOn w:val="1"/>
    <w:link w:val="103"/>
    <w:qFormat/>
    <w:uiPriority w:val="0"/>
    <w:pPr>
      <w:shd w:val="clear" w:color="auto" w:fill="000080"/>
    </w:pPr>
  </w:style>
  <w:style w:type="paragraph" w:styleId="14">
    <w:name w:val="toa heading"/>
    <w:basedOn w:val="1"/>
    <w:next w:val="1"/>
    <w:qFormat/>
    <w:uiPriority w:val="0"/>
    <w:pPr>
      <w:spacing w:before="120"/>
    </w:pPr>
    <w:rPr>
      <w:rFonts w:ascii="Arial" w:hAnsi="Arial" w:cs="Arial"/>
      <w:sz w:val="24"/>
    </w:rPr>
  </w:style>
  <w:style w:type="paragraph" w:styleId="15">
    <w:name w:val="annotation text"/>
    <w:basedOn w:val="1"/>
    <w:link w:val="101"/>
    <w:qFormat/>
    <w:uiPriority w:val="99"/>
    <w:pPr>
      <w:jc w:val="left"/>
    </w:pPr>
  </w:style>
  <w:style w:type="paragraph" w:styleId="16">
    <w:name w:val="Body Text 3"/>
    <w:basedOn w:val="1"/>
    <w:link w:val="188"/>
    <w:qFormat/>
    <w:uiPriority w:val="0"/>
    <w:rPr>
      <w:rFonts w:ascii="宋体"/>
      <w:kern w:val="0"/>
      <w:sz w:val="24"/>
      <w:szCs w:val="20"/>
    </w:rPr>
  </w:style>
  <w:style w:type="paragraph" w:styleId="17">
    <w:name w:val="Body Text"/>
    <w:basedOn w:val="1"/>
    <w:next w:val="18"/>
    <w:link w:val="76"/>
    <w:qFormat/>
    <w:uiPriority w:val="0"/>
    <w:rPr>
      <w:rFonts w:ascii="Arial" w:hAnsi="Arial"/>
      <w:bCs/>
      <w:sz w:val="24"/>
    </w:rPr>
  </w:style>
  <w:style w:type="paragraph" w:styleId="18">
    <w:name w:val="Body Text First Indent"/>
    <w:basedOn w:val="17"/>
    <w:next w:val="19"/>
    <w:link w:val="185"/>
    <w:qFormat/>
    <w:uiPriority w:val="99"/>
    <w:pPr>
      <w:spacing w:line="312" w:lineRule="auto"/>
      <w:ind w:firstLine="420"/>
    </w:pPr>
  </w:style>
  <w:style w:type="paragraph" w:styleId="19">
    <w:name w:val="toc 6"/>
    <w:basedOn w:val="1"/>
    <w:next w:val="1"/>
    <w:qFormat/>
    <w:uiPriority w:val="39"/>
    <w:pPr>
      <w:ind w:left="1050"/>
      <w:jc w:val="left"/>
    </w:pPr>
    <w:rPr>
      <w:sz w:val="18"/>
      <w:szCs w:val="18"/>
    </w:rPr>
  </w:style>
  <w:style w:type="paragraph" w:styleId="20">
    <w:name w:val="toc 5"/>
    <w:basedOn w:val="1"/>
    <w:next w:val="1"/>
    <w:qFormat/>
    <w:uiPriority w:val="39"/>
    <w:pPr>
      <w:spacing w:line="280" w:lineRule="exact"/>
      <w:jc w:val="right"/>
    </w:pPr>
  </w:style>
  <w:style w:type="paragraph" w:styleId="21">
    <w:name w:val="toc 3"/>
    <w:basedOn w:val="1"/>
    <w:next w:val="1"/>
    <w:qFormat/>
    <w:uiPriority w:val="39"/>
    <w:pPr>
      <w:ind w:left="420"/>
      <w:jc w:val="left"/>
    </w:pPr>
    <w:rPr>
      <w:iCs/>
      <w:sz w:val="20"/>
      <w:szCs w:val="20"/>
    </w:rPr>
  </w:style>
  <w:style w:type="paragraph" w:styleId="22">
    <w:name w:val="Plain Text"/>
    <w:basedOn w:val="1"/>
    <w:next w:val="23"/>
    <w:link w:val="92"/>
    <w:qFormat/>
    <w:uiPriority w:val="0"/>
    <w:rPr>
      <w:rFonts w:ascii="宋体" w:hAnsi="Courier New"/>
      <w:szCs w:val="20"/>
    </w:rPr>
  </w:style>
  <w:style w:type="paragraph" w:styleId="23">
    <w:name w:val="toc 2"/>
    <w:basedOn w:val="1"/>
    <w:next w:val="1"/>
    <w:qFormat/>
    <w:uiPriority w:val="39"/>
    <w:pPr>
      <w:ind w:left="210"/>
      <w:jc w:val="left"/>
    </w:pPr>
    <w:rPr>
      <w:smallCaps/>
      <w:sz w:val="20"/>
      <w:szCs w:val="20"/>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109"/>
    <w:qFormat/>
    <w:uiPriority w:val="0"/>
    <w:pPr>
      <w:ind w:left="100" w:leftChars="2500"/>
    </w:pPr>
    <w:rPr>
      <w:color w:val="000000"/>
      <w:sz w:val="24"/>
    </w:rPr>
  </w:style>
  <w:style w:type="paragraph" w:styleId="26">
    <w:name w:val="Body Text Indent 2"/>
    <w:basedOn w:val="1"/>
    <w:link w:val="96"/>
    <w:qFormat/>
    <w:uiPriority w:val="0"/>
    <w:pPr>
      <w:widowControl/>
      <w:spacing w:line="480" w:lineRule="atLeast"/>
      <w:ind w:firstLine="480"/>
    </w:pPr>
    <w:rPr>
      <w:rFonts w:ascii="宋体" w:hAnsi="Calibri"/>
      <w:kern w:val="0"/>
      <w:sz w:val="24"/>
      <w:szCs w:val="20"/>
    </w:rPr>
  </w:style>
  <w:style w:type="paragraph" w:styleId="27">
    <w:name w:val="Balloon Text"/>
    <w:basedOn w:val="1"/>
    <w:link w:val="107"/>
    <w:qFormat/>
    <w:uiPriority w:val="0"/>
    <w:rPr>
      <w:sz w:val="18"/>
      <w:szCs w:val="18"/>
    </w:rPr>
  </w:style>
  <w:style w:type="paragraph" w:styleId="28">
    <w:name w:val="footer"/>
    <w:basedOn w:val="1"/>
    <w:link w:val="75"/>
    <w:unhideWhenUsed/>
    <w:qFormat/>
    <w:uiPriority w:val="99"/>
    <w:pPr>
      <w:tabs>
        <w:tab w:val="center" w:pos="4153"/>
        <w:tab w:val="right" w:pos="8306"/>
      </w:tabs>
      <w:snapToGrid w:val="0"/>
      <w:jc w:val="left"/>
    </w:pPr>
    <w:rPr>
      <w:sz w:val="18"/>
      <w:szCs w:val="18"/>
    </w:rPr>
  </w:style>
  <w:style w:type="paragraph" w:styleId="29">
    <w:name w:val="header"/>
    <w:basedOn w:val="1"/>
    <w:link w:val="69"/>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spacing w:before="120" w:after="120"/>
      <w:jc w:val="left"/>
    </w:pPr>
    <w:rPr>
      <w:b/>
      <w:bCs/>
      <w:caps/>
      <w:sz w:val="20"/>
      <w:szCs w:val="20"/>
    </w:rPr>
  </w:style>
  <w:style w:type="paragraph" w:styleId="31">
    <w:name w:val="toc 4"/>
    <w:basedOn w:val="1"/>
    <w:next w:val="1"/>
    <w:qFormat/>
    <w:uiPriority w:val="0"/>
    <w:pPr>
      <w:ind w:left="630"/>
      <w:jc w:val="left"/>
    </w:pPr>
    <w:rPr>
      <w:sz w:val="18"/>
      <w:szCs w:val="18"/>
    </w:rPr>
  </w:style>
  <w:style w:type="paragraph" w:styleId="32">
    <w:name w:val="index heading"/>
    <w:next w:val="33"/>
    <w:unhideWhenUsed/>
    <w:qFormat/>
    <w:uiPriority w:val="99"/>
    <w:rPr>
      <w:rFonts w:ascii="Times New Roman" w:hAnsi="Times New Roman" w:eastAsia="宋体" w:cs="Times New Roman"/>
      <w:szCs w:val="24"/>
      <w:lang w:val="en-US" w:eastAsia="zh-CN" w:bidi="ar-SA"/>
    </w:rPr>
  </w:style>
  <w:style w:type="paragraph" w:styleId="33">
    <w:name w:val="index 1"/>
    <w:basedOn w:val="1"/>
    <w:next w:val="1"/>
    <w:unhideWhenUsed/>
    <w:qFormat/>
    <w:uiPriority w:val="99"/>
  </w:style>
  <w:style w:type="paragraph" w:styleId="34">
    <w:name w:val="List"/>
    <w:basedOn w:val="1"/>
    <w:qFormat/>
    <w:uiPriority w:val="0"/>
    <w:pPr>
      <w:ind w:left="200" w:hanging="200" w:hangingChars="200"/>
    </w:pPr>
    <w:rPr>
      <w:sz w:val="28"/>
    </w:rPr>
  </w:style>
  <w:style w:type="paragraph" w:styleId="35">
    <w:name w:val="Body Text Indent 3"/>
    <w:basedOn w:val="1"/>
    <w:link w:val="91"/>
    <w:qFormat/>
    <w:uiPriority w:val="0"/>
    <w:pPr>
      <w:autoSpaceDE w:val="0"/>
      <w:autoSpaceDN w:val="0"/>
      <w:spacing w:line="400" w:lineRule="atLeast"/>
      <w:ind w:firstLine="443" w:firstLineChars="200"/>
      <w:textAlignment w:val="bottom"/>
    </w:pPr>
    <w:rPr>
      <w:rFonts w:ascii="Calibri" w:hAnsi="Calibri" w:eastAsia="黑体"/>
      <w:color w:val="000000"/>
      <w:sz w:val="24"/>
    </w:rPr>
  </w:style>
  <w:style w:type="paragraph" w:styleId="36">
    <w:name w:val="toc 9"/>
    <w:basedOn w:val="1"/>
    <w:next w:val="1"/>
    <w:qFormat/>
    <w:uiPriority w:val="39"/>
    <w:pPr>
      <w:ind w:left="1680"/>
      <w:jc w:val="left"/>
    </w:pPr>
    <w:rPr>
      <w:sz w:val="18"/>
      <w:szCs w:val="18"/>
    </w:rPr>
  </w:style>
  <w:style w:type="paragraph" w:styleId="37">
    <w:name w:val="Body Text 2"/>
    <w:basedOn w:val="1"/>
    <w:link w:val="111"/>
    <w:qFormat/>
    <w:uiPriority w:val="0"/>
    <w:pPr>
      <w:spacing w:after="120" w:line="480" w:lineRule="auto"/>
    </w:pPr>
  </w:style>
  <w:style w:type="paragraph" w:styleId="38">
    <w:name w:val="HTML Preformatted"/>
    <w:basedOn w:val="1"/>
    <w:link w:val="11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9">
    <w:name w:val="Normal (Web)"/>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styleId="40">
    <w:name w:val="Title"/>
    <w:basedOn w:val="1"/>
    <w:next w:val="1"/>
    <w:link w:val="73"/>
    <w:qFormat/>
    <w:uiPriority w:val="0"/>
    <w:pPr>
      <w:spacing w:before="240" w:after="60"/>
      <w:jc w:val="center"/>
      <w:outlineLvl w:val="0"/>
    </w:pPr>
    <w:rPr>
      <w:rFonts w:ascii="Arial" w:hAnsi="Arial"/>
      <w:sz w:val="32"/>
      <w:szCs w:val="32"/>
    </w:rPr>
  </w:style>
  <w:style w:type="paragraph" w:styleId="41">
    <w:name w:val="annotation subject"/>
    <w:basedOn w:val="15"/>
    <w:next w:val="15"/>
    <w:link w:val="104"/>
    <w:qFormat/>
    <w:uiPriority w:val="0"/>
    <w:rPr>
      <w:b/>
      <w:bCs/>
    </w:rPr>
  </w:style>
  <w:style w:type="paragraph" w:styleId="42">
    <w:name w:val="Body Text First Indent 2"/>
    <w:basedOn w:val="2"/>
    <w:unhideWhenUsed/>
    <w:qFormat/>
    <w:uiPriority w:val="99"/>
    <w:pPr>
      <w:ind w:firstLine="420" w:firstLineChars="200"/>
    </w:pPr>
  </w:style>
  <w:style w:type="table" w:styleId="44">
    <w:name w:val="Table Grid"/>
    <w:basedOn w:val="4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qFormat/>
    <w:uiPriority w:val="22"/>
    <w:rPr>
      <w:b/>
      <w:bCs/>
    </w:rPr>
  </w:style>
  <w:style w:type="character" w:styleId="47">
    <w:name w:val="page number"/>
    <w:basedOn w:val="45"/>
    <w:qFormat/>
    <w:uiPriority w:val="99"/>
  </w:style>
  <w:style w:type="character" w:styleId="48">
    <w:name w:val="FollowedHyperlink"/>
    <w:basedOn w:val="45"/>
    <w:qFormat/>
    <w:uiPriority w:val="99"/>
    <w:rPr>
      <w:color w:val="4A4A4A"/>
      <w:u w:val="none"/>
    </w:rPr>
  </w:style>
  <w:style w:type="character" w:styleId="49">
    <w:name w:val="Emphasis"/>
    <w:qFormat/>
    <w:uiPriority w:val="20"/>
    <w:rPr>
      <w:i/>
      <w:iCs/>
    </w:rPr>
  </w:style>
  <w:style w:type="character" w:styleId="50">
    <w:name w:val="Hyperlink"/>
    <w:basedOn w:val="45"/>
    <w:qFormat/>
    <w:uiPriority w:val="99"/>
    <w:rPr>
      <w:color w:val="4A4A4A"/>
      <w:u w:val="none"/>
    </w:rPr>
  </w:style>
  <w:style w:type="character" w:styleId="51">
    <w:name w:val="annotation reference"/>
    <w:qFormat/>
    <w:uiPriority w:val="0"/>
    <w:rPr>
      <w:sz w:val="21"/>
      <w:szCs w:val="21"/>
    </w:rPr>
  </w:style>
  <w:style w:type="character" w:styleId="52">
    <w:name w:val="footnote reference"/>
    <w:qFormat/>
    <w:uiPriority w:val="0"/>
    <w:rPr>
      <w:vertAlign w:val="superscript"/>
    </w:rPr>
  </w:style>
  <w:style w:type="paragraph" w:customStyle="1" w:styleId="53">
    <w:name w:val="_Style 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
    <w:name w:val="表格文字"/>
    <w:basedOn w:val="1"/>
    <w:next w:val="17"/>
    <w:qFormat/>
    <w:uiPriority w:val="0"/>
    <w:pPr>
      <w:jc w:val="left"/>
      <w:textAlignment w:val="top"/>
    </w:pPr>
    <w:rPr>
      <w:sz w:val="18"/>
    </w:rPr>
  </w:style>
  <w:style w:type="character" w:customStyle="1" w:styleId="55">
    <w:name w:val="标题 1 Char"/>
    <w:link w:val="3"/>
    <w:qFormat/>
    <w:uiPriority w:val="9"/>
    <w:rPr>
      <w:rFonts w:ascii="Times New Roman" w:hAnsi="Times New Roman"/>
      <w:kern w:val="2"/>
      <w:sz w:val="28"/>
      <w:szCs w:val="24"/>
    </w:rPr>
  </w:style>
  <w:style w:type="character" w:customStyle="1" w:styleId="56">
    <w:name w:val="标题 2 Char1"/>
    <w:link w:val="4"/>
    <w:qFormat/>
    <w:uiPriority w:val="0"/>
    <w:rPr>
      <w:rFonts w:ascii="Arial" w:hAnsi="Arial" w:eastAsia="黑体"/>
      <w:b/>
      <w:bCs/>
      <w:kern w:val="2"/>
      <w:sz w:val="32"/>
      <w:szCs w:val="32"/>
    </w:rPr>
  </w:style>
  <w:style w:type="character" w:customStyle="1" w:styleId="57">
    <w:name w:val="标题 3 Char"/>
    <w:link w:val="5"/>
    <w:qFormat/>
    <w:uiPriority w:val="0"/>
    <w:rPr>
      <w:rFonts w:ascii="Times New Roman" w:hAnsi="Times New Roman"/>
      <w:b/>
      <w:bCs/>
      <w:kern w:val="2"/>
      <w:sz w:val="32"/>
      <w:szCs w:val="32"/>
    </w:rPr>
  </w:style>
  <w:style w:type="character" w:customStyle="1" w:styleId="58">
    <w:name w:val="标题 4 Char"/>
    <w:link w:val="6"/>
    <w:qFormat/>
    <w:uiPriority w:val="0"/>
    <w:rPr>
      <w:rFonts w:ascii="Arial" w:hAnsi="Arial" w:eastAsia="黑体"/>
      <w:b/>
      <w:bCs/>
      <w:kern w:val="2"/>
      <w:sz w:val="28"/>
      <w:szCs w:val="28"/>
    </w:rPr>
  </w:style>
  <w:style w:type="character" w:customStyle="1" w:styleId="59">
    <w:name w:val="正文缩进 Char"/>
    <w:link w:val="8"/>
    <w:qFormat/>
    <w:uiPriority w:val="0"/>
    <w:rPr>
      <w:kern w:val="2"/>
      <w:sz w:val="21"/>
      <w:szCs w:val="24"/>
    </w:rPr>
  </w:style>
  <w:style w:type="character" w:customStyle="1" w:styleId="60">
    <w:name w:val="标题 6 Char"/>
    <w:link w:val="7"/>
    <w:qFormat/>
    <w:uiPriority w:val="0"/>
    <w:rPr>
      <w:rFonts w:ascii="Arial" w:hAnsi="Arial" w:eastAsia="黑体"/>
      <w:b/>
      <w:bCs/>
      <w:spacing w:val="6"/>
      <w:kern w:val="2"/>
      <w:sz w:val="24"/>
      <w:szCs w:val="24"/>
    </w:rPr>
  </w:style>
  <w:style w:type="character" w:customStyle="1" w:styleId="61">
    <w:name w:val="标题 7 Char"/>
    <w:link w:val="9"/>
    <w:qFormat/>
    <w:uiPriority w:val="0"/>
    <w:rPr>
      <w:rFonts w:ascii="Times New Roman" w:hAnsi="Times New Roman"/>
      <w:b/>
      <w:bCs/>
      <w:spacing w:val="6"/>
      <w:kern w:val="2"/>
      <w:sz w:val="24"/>
      <w:szCs w:val="24"/>
    </w:rPr>
  </w:style>
  <w:style w:type="character" w:customStyle="1" w:styleId="62">
    <w:name w:val="标题 8 Char"/>
    <w:link w:val="10"/>
    <w:qFormat/>
    <w:uiPriority w:val="0"/>
    <w:rPr>
      <w:rFonts w:ascii="Arial" w:hAnsi="Arial" w:eastAsia="黑体"/>
      <w:spacing w:val="6"/>
      <w:kern w:val="2"/>
      <w:sz w:val="24"/>
      <w:szCs w:val="24"/>
    </w:rPr>
  </w:style>
  <w:style w:type="character" w:customStyle="1" w:styleId="63">
    <w:name w:val="标题 9 Char"/>
    <w:link w:val="11"/>
    <w:qFormat/>
    <w:uiPriority w:val="0"/>
    <w:rPr>
      <w:rFonts w:ascii="Arial" w:hAnsi="Arial" w:eastAsia="黑体"/>
      <w:spacing w:val="6"/>
      <w:kern w:val="2"/>
      <w:sz w:val="24"/>
      <w:szCs w:val="24"/>
    </w:rPr>
  </w:style>
  <w:style w:type="character" w:customStyle="1" w:styleId="64">
    <w:name w:val="标题 2 Char"/>
    <w:qFormat/>
    <w:uiPriority w:val="0"/>
    <w:rPr>
      <w:rFonts w:ascii="Cambria" w:hAnsi="Cambria" w:eastAsia="宋体" w:cs="Times New Roman"/>
      <w:b/>
      <w:bCs/>
      <w:kern w:val="2"/>
      <w:sz w:val="32"/>
      <w:szCs w:val="32"/>
    </w:rPr>
  </w:style>
  <w:style w:type="character" w:customStyle="1" w:styleId="65">
    <w:name w:val="font3"/>
    <w:basedOn w:val="45"/>
    <w:qFormat/>
    <w:uiPriority w:val="0"/>
  </w:style>
  <w:style w:type="character" w:customStyle="1" w:styleId="66">
    <w:name w:val="第一层条 Char Char"/>
    <w:qFormat/>
    <w:uiPriority w:val="0"/>
    <w:rPr>
      <w:rFonts w:ascii="Arial" w:hAnsi="Arial" w:eastAsia="黑体"/>
      <w:b/>
      <w:bCs/>
      <w:kern w:val="2"/>
      <w:sz w:val="32"/>
      <w:szCs w:val="32"/>
    </w:rPr>
  </w:style>
  <w:style w:type="character" w:customStyle="1" w:styleId="67">
    <w:name w:val="hang1"/>
    <w:basedOn w:val="45"/>
    <w:qFormat/>
    <w:uiPriority w:val="0"/>
  </w:style>
  <w:style w:type="character" w:customStyle="1" w:styleId="68">
    <w:name w:val="普通文字 Char Char1"/>
    <w:qFormat/>
    <w:uiPriority w:val="0"/>
    <w:rPr>
      <w:rFonts w:ascii="宋体" w:hAnsi="Courier New" w:eastAsia="宋体"/>
      <w:kern w:val="2"/>
      <w:sz w:val="21"/>
      <w:lang w:val="en-US" w:eastAsia="zh-CN" w:bidi="ar-SA"/>
    </w:rPr>
  </w:style>
  <w:style w:type="character" w:customStyle="1" w:styleId="69">
    <w:name w:val="页眉 Char"/>
    <w:link w:val="29"/>
    <w:qFormat/>
    <w:uiPriority w:val="99"/>
    <w:rPr>
      <w:rFonts w:ascii="Times New Roman" w:hAnsi="Times New Roman"/>
      <w:kern w:val="2"/>
      <w:sz w:val="18"/>
      <w:szCs w:val="18"/>
    </w:rPr>
  </w:style>
  <w:style w:type="character" w:customStyle="1" w:styleId="70">
    <w:name w:val="font11"/>
    <w:qFormat/>
    <w:uiPriority w:val="0"/>
    <w:rPr>
      <w:rFonts w:hint="default" w:ascii="Times New Roman" w:hAnsi="Times New Roman" w:cs="Times New Roman"/>
      <w:color w:val="000000"/>
      <w:sz w:val="24"/>
      <w:szCs w:val="24"/>
      <w:u w:val="none"/>
    </w:rPr>
  </w:style>
  <w:style w:type="character" w:customStyle="1" w:styleId="71">
    <w:name w:val="style551"/>
    <w:qFormat/>
    <w:uiPriority w:val="0"/>
    <w:rPr>
      <w:rFonts w:hint="default" w:ascii="Arial" w:hAnsi="Arial" w:cs="Arial"/>
      <w:color w:val="333333"/>
      <w:sz w:val="24"/>
      <w:szCs w:val="24"/>
    </w:rPr>
  </w:style>
  <w:style w:type="character" w:customStyle="1" w:styleId="72">
    <w:name w:val="font21"/>
    <w:qFormat/>
    <w:uiPriority w:val="0"/>
    <w:rPr>
      <w:rFonts w:hint="eastAsia" w:ascii="宋体" w:hAnsi="宋体" w:eastAsia="宋体" w:cs="宋体"/>
      <w:color w:val="000000"/>
      <w:sz w:val="24"/>
      <w:szCs w:val="24"/>
      <w:u w:val="none"/>
    </w:rPr>
  </w:style>
  <w:style w:type="character" w:customStyle="1" w:styleId="73">
    <w:name w:val="标题 Char1"/>
    <w:link w:val="40"/>
    <w:qFormat/>
    <w:uiPriority w:val="0"/>
    <w:rPr>
      <w:rFonts w:ascii="Arial" w:hAnsi="Arial" w:cs="Arial"/>
      <w:kern w:val="2"/>
      <w:sz w:val="32"/>
      <w:szCs w:val="32"/>
    </w:rPr>
  </w:style>
  <w:style w:type="character" w:customStyle="1" w:styleId="74">
    <w:name w:val="标题 Char"/>
    <w:qFormat/>
    <w:uiPriority w:val="0"/>
    <w:rPr>
      <w:rFonts w:ascii="Cambria" w:hAnsi="Cambria" w:cs="Times New Roman"/>
      <w:b/>
      <w:bCs/>
      <w:kern w:val="2"/>
      <w:sz w:val="32"/>
      <w:szCs w:val="32"/>
    </w:rPr>
  </w:style>
  <w:style w:type="character" w:customStyle="1" w:styleId="75">
    <w:name w:val="页脚 Char"/>
    <w:link w:val="28"/>
    <w:qFormat/>
    <w:uiPriority w:val="99"/>
    <w:rPr>
      <w:rFonts w:ascii="Times New Roman" w:hAnsi="Times New Roman"/>
      <w:kern w:val="2"/>
      <w:sz w:val="18"/>
      <w:szCs w:val="18"/>
    </w:rPr>
  </w:style>
  <w:style w:type="character" w:customStyle="1" w:styleId="76">
    <w:name w:val="正文文本 Char"/>
    <w:link w:val="17"/>
    <w:qFormat/>
    <w:uiPriority w:val="0"/>
    <w:rPr>
      <w:rFonts w:ascii="Arial" w:hAnsi="Arial"/>
      <w:bCs/>
      <w:kern w:val="2"/>
      <w:sz w:val="24"/>
      <w:szCs w:val="24"/>
    </w:rPr>
  </w:style>
  <w:style w:type="character" w:customStyle="1" w:styleId="77">
    <w:name w:val="mark11"/>
    <w:basedOn w:val="45"/>
    <w:qFormat/>
    <w:uiPriority w:val="0"/>
  </w:style>
  <w:style w:type="character" w:customStyle="1" w:styleId="78">
    <w:name w:val="unnamed51"/>
    <w:qFormat/>
    <w:uiPriority w:val="0"/>
    <w:rPr>
      <w:sz w:val="22"/>
      <w:szCs w:val="22"/>
    </w:rPr>
  </w:style>
  <w:style w:type="character" w:customStyle="1" w:styleId="79">
    <w:name w:val="普通文字 Char Char2"/>
    <w:qFormat/>
    <w:uiPriority w:val="0"/>
    <w:rPr>
      <w:rFonts w:ascii="宋体" w:hAnsi="Courier New" w:eastAsia="宋体"/>
      <w:kern w:val="2"/>
      <w:sz w:val="21"/>
      <w:lang w:val="en-US" w:eastAsia="zh-CN" w:bidi="ar-SA"/>
    </w:rPr>
  </w:style>
  <w:style w:type="character" w:customStyle="1" w:styleId="80">
    <w:name w:val="Footer1 Char"/>
    <w:qFormat/>
    <w:uiPriority w:val="0"/>
    <w:rPr>
      <w:rFonts w:eastAsia="宋体"/>
      <w:kern w:val="2"/>
      <w:sz w:val="18"/>
      <w:szCs w:val="18"/>
      <w:lang w:val="en-US" w:eastAsia="zh-CN" w:bidi="ar-SA"/>
    </w:rPr>
  </w:style>
  <w:style w:type="character" w:customStyle="1" w:styleId="81">
    <w:name w:val="style661"/>
    <w:qFormat/>
    <w:uiPriority w:val="0"/>
    <w:rPr>
      <w:color w:val="000000"/>
      <w:sz w:val="18"/>
      <w:szCs w:val="18"/>
    </w:rPr>
  </w:style>
  <w:style w:type="character" w:customStyle="1" w:styleId="82">
    <w:name w:val="apple-converted-space"/>
    <w:basedOn w:val="45"/>
    <w:qFormat/>
    <w:uiPriority w:val="0"/>
  </w:style>
  <w:style w:type="character" w:customStyle="1" w:styleId="83">
    <w:name w:val="apple-style-span"/>
    <w:basedOn w:val="45"/>
    <w:qFormat/>
    <w:uiPriority w:val="0"/>
  </w:style>
  <w:style w:type="character" w:customStyle="1" w:styleId="84">
    <w:name w:val="b titlename wangputoptitle"/>
    <w:basedOn w:val="45"/>
    <w:qFormat/>
    <w:uiPriority w:val="0"/>
  </w:style>
  <w:style w:type="character" w:customStyle="1" w:styleId="85">
    <w:name w:val="普通文字 Char Char"/>
    <w:qFormat/>
    <w:uiPriority w:val="0"/>
    <w:rPr>
      <w:rFonts w:ascii="宋体" w:hAnsi="Courier New" w:eastAsia="宋体"/>
      <w:kern w:val="2"/>
      <w:sz w:val="21"/>
      <w:lang w:val="en-US" w:eastAsia="zh-CN" w:bidi="ar-SA"/>
    </w:rPr>
  </w:style>
  <w:style w:type="character" w:customStyle="1" w:styleId="86">
    <w:name w:val="Char Char Char"/>
    <w:qFormat/>
    <w:uiPriority w:val="0"/>
    <w:rPr>
      <w:rFonts w:ascii="宋体" w:hAnsi="Courier New" w:eastAsia="宋体"/>
      <w:kern w:val="2"/>
      <w:sz w:val="21"/>
      <w:lang w:val="en-US" w:eastAsia="zh-CN" w:bidi="ar-SA"/>
    </w:rPr>
  </w:style>
  <w:style w:type="character" w:customStyle="1" w:styleId="87">
    <w:name w:val="content1"/>
    <w:qFormat/>
    <w:uiPriority w:val="0"/>
    <w:rPr>
      <w:rFonts w:hint="default" w:ascii="ˎ̥" w:hAnsi="ˎ̥"/>
      <w:color w:val="000000"/>
      <w:sz w:val="22"/>
      <w:szCs w:val="22"/>
      <w:u w:val="none"/>
    </w:rPr>
  </w:style>
  <w:style w:type="character" w:customStyle="1" w:styleId="88">
    <w:name w:val="批注文字 Char"/>
    <w:qFormat/>
    <w:uiPriority w:val="0"/>
    <w:rPr>
      <w:rFonts w:eastAsia="宋体"/>
      <w:kern w:val="2"/>
      <w:sz w:val="21"/>
      <w:szCs w:val="24"/>
      <w:lang w:val="en-US" w:eastAsia="zh-CN" w:bidi="ar-SA"/>
    </w:rPr>
  </w:style>
  <w:style w:type="character" w:customStyle="1" w:styleId="89">
    <w:name w:val="样式 宋体 小四"/>
    <w:qFormat/>
    <w:uiPriority w:val="0"/>
    <w:rPr>
      <w:rFonts w:ascii="宋体" w:hAnsi="宋体"/>
      <w:spacing w:val="6"/>
      <w:sz w:val="24"/>
      <w:szCs w:val="24"/>
    </w:rPr>
  </w:style>
  <w:style w:type="character" w:customStyle="1" w:styleId="90">
    <w:name w:val="Char Char5"/>
    <w:qFormat/>
    <w:uiPriority w:val="0"/>
    <w:rPr>
      <w:rFonts w:ascii="Arial" w:hAnsi="Arial" w:eastAsia="宋体" w:cs="Arial"/>
      <w:kern w:val="2"/>
      <w:sz w:val="32"/>
      <w:szCs w:val="32"/>
      <w:lang w:val="en-US" w:eastAsia="zh-CN" w:bidi="ar-SA"/>
    </w:rPr>
  </w:style>
  <w:style w:type="character" w:customStyle="1" w:styleId="91">
    <w:name w:val="正文文本缩进 3 Char"/>
    <w:link w:val="35"/>
    <w:qFormat/>
    <w:uiPriority w:val="0"/>
    <w:rPr>
      <w:rFonts w:eastAsia="黑体"/>
      <w:color w:val="000000"/>
      <w:kern w:val="2"/>
      <w:sz w:val="24"/>
      <w:szCs w:val="24"/>
    </w:rPr>
  </w:style>
  <w:style w:type="character" w:customStyle="1" w:styleId="92">
    <w:name w:val="纯文本 Char"/>
    <w:link w:val="22"/>
    <w:qFormat/>
    <w:uiPriority w:val="0"/>
    <w:rPr>
      <w:rFonts w:ascii="宋体" w:hAnsi="Courier New"/>
      <w:kern w:val="2"/>
      <w:sz w:val="21"/>
    </w:rPr>
  </w:style>
  <w:style w:type="character" w:customStyle="1" w:styleId="93">
    <w:name w:val="金保标题2 Char"/>
    <w:link w:val="94"/>
    <w:qFormat/>
    <w:uiPriority w:val="0"/>
    <w:rPr>
      <w:rFonts w:eastAsia="黑体"/>
      <w:b/>
      <w:bCs/>
      <w:kern w:val="2"/>
      <w:sz w:val="28"/>
      <w:szCs w:val="28"/>
    </w:rPr>
  </w:style>
  <w:style w:type="paragraph" w:customStyle="1" w:styleId="94">
    <w:name w:val="金保标题2"/>
    <w:basedOn w:val="4"/>
    <w:next w:val="1"/>
    <w:link w:val="93"/>
    <w:qFormat/>
    <w:uiPriority w:val="0"/>
    <w:pPr>
      <w:tabs>
        <w:tab w:val="left" w:pos="576"/>
      </w:tabs>
      <w:spacing w:line="360" w:lineRule="auto"/>
      <w:ind w:left="576" w:hanging="576"/>
    </w:pPr>
    <w:rPr>
      <w:rFonts w:ascii="Calibri" w:hAnsi="Calibri"/>
      <w:sz w:val="28"/>
      <w:szCs w:val="28"/>
    </w:rPr>
  </w:style>
  <w:style w:type="character" w:customStyle="1" w:styleId="95">
    <w:name w:val="wj1"/>
    <w:qFormat/>
    <w:uiPriority w:val="0"/>
    <w:rPr>
      <w:color w:val="000000"/>
      <w:sz w:val="18"/>
      <w:szCs w:val="18"/>
      <w:u w:val="none"/>
    </w:rPr>
  </w:style>
  <w:style w:type="character" w:customStyle="1" w:styleId="96">
    <w:name w:val="正文文本缩进 2 Char"/>
    <w:link w:val="26"/>
    <w:qFormat/>
    <w:uiPriority w:val="0"/>
    <w:rPr>
      <w:rFonts w:ascii="宋体"/>
      <w:sz w:val="24"/>
    </w:rPr>
  </w:style>
  <w:style w:type="character" w:customStyle="1" w:styleId="97">
    <w:name w:val="font31"/>
    <w:qFormat/>
    <w:uiPriority w:val="0"/>
    <w:rPr>
      <w:rFonts w:hint="default" w:ascii="Arial" w:hAnsi="Arial" w:cs="Arial"/>
      <w:color w:val="000000"/>
      <w:sz w:val="16"/>
      <w:szCs w:val="16"/>
      <w:u w:val="none"/>
    </w:rPr>
  </w:style>
  <w:style w:type="character" w:customStyle="1" w:styleId="98">
    <w:name w:val="Char Char6"/>
    <w:qFormat/>
    <w:uiPriority w:val="0"/>
    <w:rPr>
      <w:rFonts w:eastAsia="宋体"/>
      <w:kern w:val="2"/>
      <w:sz w:val="18"/>
      <w:szCs w:val="18"/>
      <w:lang w:val="en-US" w:eastAsia="zh-CN" w:bidi="ar-SA"/>
    </w:rPr>
  </w:style>
  <w:style w:type="character" w:customStyle="1" w:styleId="99">
    <w:name w:val="12blk1"/>
    <w:qFormat/>
    <w:uiPriority w:val="0"/>
    <w:rPr>
      <w:rFonts w:hint="default"/>
      <w:color w:val="000000"/>
      <w:sz w:val="24"/>
      <w:szCs w:val="24"/>
      <w:u w:val="none"/>
    </w:rPr>
  </w:style>
  <w:style w:type="character" w:customStyle="1" w:styleId="100">
    <w:name w:val="正文文本缩进 Char"/>
    <w:link w:val="2"/>
    <w:qFormat/>
    <w:uiPriority w:val="0"/>
    <w:rPr>
      <w:rFonts w:ascii="Times New Roman" w:hAnsi="Times New Roman"/>
      <w:kern w:val="2"/>
      <w:sz w:val="21"/>
      <w:szCs w:val="24"/>
    </w:rPr>
  </w:style>
  <w:style w:type="character" w:customStyle="1" w:styleId="101">
    <w:name w:val="批注文字 Char1"/>
    <w:link w:val="15"/>
    <w:qFormat/>
    <w:uiPriority w:val="99"/>
    <w:rPr>
      <w:rFonts w:ascii="Times New Roman" w:hAnsi="Times New Roman"/>
      <w:kern w:val="2"/>
      <w:sz w:val="21"/>
      <w:szCs w:val="24"/>
    </w:rPr>
  </w:style>
  <w:style w:type="character" w:customStyle="1" w:styleId="102">
    <w:name w:val="正文文本 Char1"/>
    <w:semiHidden/>
    <w:qFormat/>
    <w:uiPriority w:val="99"/>
    <w:rPr>
      <w:rFonts w:ascii="Times New Roman" w:hAnsi="Times New Roman"/>
      <w:kern w:val="2"/>
      <w:sz w:val="21"/>
      <w:szCs w:val="24"/>
    </w:rPr>
  </w:style>
  <w:style w:type="character" w:customStyle="1" w:styleId="103">
    <w:name w:val="文档结构图 Char"/>
    <w:link w:val="13"/>
    <w:qFormat/>
    <w:uiPriority w:val="0"/>
    <w:rPr>
      <w:rFonts w:ascii="Times New Roman" w:hAnsi="Times New Roman"/>
      <w:kern w:val="2"/>
      <w:sz w:val="21"/>
      <w:szCs w:val="24"/>
      <w:shd w:val="clear" w:color="auto" w:fill="000080"/>
    </w:rPr>
  </w:style>
  <w:style w:type="character" w:customStyle="1" w:styleId="104">
    <w:name w:val="批注主题 Char"/>
    <w:link w:val="41"/>
    <w:qFormat/>
    <w:uiPriority w:val="0"/>
    <w:rPr>
      <w:rFonts w:ascii="Times New Roman" w:hAnsi="Times New Roman"/>
      <w:b/>
      <w:bCs/>
      <w:kern w:val="2"/>
      <w:sz w:val="21"/>
      <w:szCs w:val="24"/>
    </w:rPr>
  </w:style>
  <w:style w:type="character" w:customStyle="1" w:styleId="105">
    <w:name w:val="正文文本缩进 2 Char1"/>
    <w:semiHidden/>
    <w:qFormat/>
    <w:uiPriority w:val="99"/>
    <w:rPr>
      <w:rFonts w:ascii="Times New Roman" w:hAnsi="Times New Roman"/>
      <w:kern w:val="2"/>
      <w:sz w:val="21"/>
      <w:szCs w:val="24"/>
    </w:rPr>
  </w:style>
  <w:style w:type="character" w:customStyle="1" w:styleId="106">
    <w:name w:val="纯文本 Char1"/>
    <w:qFormat/>
    <w:uiPriority w:val="0"/>
    <w:rPr>
      <w:rFonts w:ascii="宋体" w:hAnsi="Courier New" w:cs="Courier New"/>
      <w:kern w:val="2"/>
      <w:sz w:val="21"/>
      <w:szCs w:val="21"/>
    </w:rPr>
  </w:style>
  <w:style w:type="character" w:customStyle="1" w:styleId="107">
    <w:name w:val="批注框文本 Char"/>
    <w:link w:val="27"/>
    <w:qFormat/>
    <w:uiPriority w:val="0"/>
    <w:rPr>
      <w:rFonts w:ascii="Times New Roman" w:hAnsi="Times New Roman"/>
      <w:kern w:val="2"/>
      <w:sz w:val="18"/>
      <w:szCs w:val="18"/>
    </w:rPr>
  </w:style>
  <w:style w:type="character" w:customStyle="1" w:styleId="108">
    <w:name w:val="正文文本缩进 3 Char1"/>
    <w:semiHidden/>
    <w:qFormat/>
    <w:uiPriority w:val="99"/>
    <w:rPr>
      <w:rFonts w:ascii="Times New Roman" w:hAnsi="Times New Roman"/>
      <w:kern w:val="2"/>
      <w:sz w:val="16"/>
      <w:szCs w:val="16"/>
    </w:rPr>
  </w:style>
  <w:style w:type="character" w:customStyle="1" w:styleId="109">
    <w:name w:val="日期 Char"/>
    <w:link w:val="25"/>
    <w:qFormat/>
    <w:uiPriority w:val="0"/>
    <w:rPr>
      <w:rFonts w:ascii="Times New Roman" w:hAnsi="Times New Roman"/>
      <w:color w:val="000000"/>
      <w:kern w:val="2"/>
      <w:sz w:val="24"/>
      <w:szCs w:val="24"/>
    </w:rPr>
  </w:style>
  <w:style w:type="character" w:customStyle="1" w:styleId="110">
    <w:name w:val="HTML 预设格式 Char"/>
    <w:link w:val="38"/>
    <w:qFormat/>
    <w:uiPriority w:val="99"/>
    <w:rPr>
      <w:rFonts w:ascii="宋体" w:hAnsi="宋体" w:cs="宋体"/>
      <w:sz w:val="24"/>
      <w:szCs w:val="24"/>
    </w:rPr>
  </w:style>
  <w:style w:type="character" w:customStyle="1" w:styleId="111">
    <w:name w:val="正文文本 2 Char"/>
    <w:link w:val="37"/>
    <w:qFormat/>
    <w:uiPriority w:val="0"/>
    <w:rPr>
      <w:rFonts w:ascii="Times New Roman" w:hAnsi="Times New Roman"/>
      <w:kern w:val="2"/>
      <w:sz w:val="21"/>
      <w:szCs w:val="24"/>
    </w:rPr>
  </w:style>
  <w:style w:type="paragraph" w:customStyle="1" w:styleId="112">
    <w:name w:val="Char Char5 Char"/>
    <w:basedOn w:val="13"/>
    <w:qFormat/>
    <w:uiPriority w:val="0"/>
    <w:rPr>
      <w:rFonts w:ascii="Tahoma" w:hAnsi="Tahoma"/>
      <w:sz w:val="24"/>
    </w:rPr>
  </w:style>
  <w:style w:type="paragraph" w:customStyle="1" w:styleId="113">
    <w:name w:val="xl132"/>
    <w:basedOn w:val="1"/>
    <w:qFormat/>
    <w:uiPriority w:val="0"/>
    <w:pPr>
      <w:widowControl/>
      <w:spacing w:before="100" w:beforeAutospacing="1" w:after="100" w:afterAutospacing="1"/>
      <w:jc w:val="left"/>
    </w:pPr>
    <w:rPr>
      <w:rFonts w:ascii="宋体" w:hAnsi="宋体" w:cs="宋体"/>
      <w:kern w:val="0"/>
      <w:sz w:val="24"/>
    </w:rPr>
  </w:style>
  <w:style w:type="paragraph" w:customStyle="1" w:styleId="114">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
    <w:name w:val="Char Char"/>
    <w:basedOn w:val="1"/>
    <w:qFormat/>
    <w:uiPriority w:val="0"/>
    <w:rPr>
      <w:rFonts w:ascii="仿宋_GB2312" w:eastAsia="仿宋_GB2312"/>
      <w:b/>
      <w:sz w:val="32"/>
      <w:szCs w:val="32"/>
    </w:rPr>
  </w:style>
  <w:style w:type="paragraph" w:customStyle="1" w:styleId="116">
    <w:name w:val="xl137"/>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117">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18">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9">
    <w:name w:val="SANGFOR_6_正文"/>
    <w:basedOn w:val="1"/>
    <w:qFormat/>
    <w:uiPriority w:val="0"/>
    <w:pPr>
      <w:spacing w:line="360" w:lineRule="auto"/>
      <w:ind w:firstLine="200" w:firstLineChars="200"/>
    </w:pPr>
  </w:style>
  <w:style w:type="paragraph" w:customStyle="1" w:styleId="120">
    <w:name w:val="xl141"/>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121">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2">
    <w:name w:val="xl124"/>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123">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24">
    <w:name w:val="正文－恩普"/>
    <w:basedOn w:val="8"/>
    <w:qFormat/>
    <w:uiPriority w:val="0"/>
    <w:pPr>
      <w:spacing w:line="360" w:lineRule="auto"/>
      <w:ind w:firstLine="200"/>
    </w:pPr>
  </w:style>
  <w:style w:type="paragraph" w:styleId="125">
    <w:name w:val="List Paragraph"/>
    <w:basedOn w:val="1"/>
    <w:qFormat/>
    <w:uiPriority w:val="34"/>
    <w:pPr>
      <w:ind w:firstLine="420" w:firstLineChars="200"/>
    </w:pPr>
    <w:rPr>
      <w:rFonts w:ascii="Calibri" w:hAnsi="Calibri"/>
      <w:szCs w:val="22"/>
    </w:rPr>
  </w:style>
  <w:style w:type="paragraph" w:customStyle="1" w:styleId="126">
    <w:name w:val="Char1"/>
    <w:basedOn w:val="1"/>
    <w:qFormat/>
    <w:uiPriority w:val="0"/>
    <w:pPr>
      <w:widowControl/>
      <w:spacing w:after="160" w:line="240" w:lineRule="exact"/>
      <w:jc w:val="left"/>
    </w:pPr>
    <w:rPr>
      <w:rFonts w:ascii="Verdana" w:hAnsi="Verdana"/>
      <w:kern w:val="0"/>
      <w:szCs w:val="20"/>
      <w:lang w:eastAsia="en-US"/>
    </w:rPr>
  </w:style>
  <w:style w:type="paragraph" w:customStyle="1" w:styleId="127">
    <w:name w:val="表格标题"/>
    <w:basedOn w:val="1"/>
    <w:qFormat/>
    <w:uiPriority w:val="0"/>
    <w:pPr>
      <w:jc w:val="center"/>
    </w:pPr>
    <w:rPr>
      <w:b/>
    </w:rPr>
  </w:style>
  <w:style w:type="paragraph" w:customStyle="1" w:styleId="128">
    <w:name w:val="_Style 9"/>
    <w:basedOn w:val="1"/>
    <w:qFormat/>
    <w:uiPriority w:val="0"/>
  </w:style>
  <w:style w:type="paragraph" w:customStyle="1" w:styleId="12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0">
    <w:name w:val="mod_selection1"/>
    <w:basedOn w:val="1"/>
    <w:qFormat/>
    <w:uiPriority w:val="0"/>
    <w:pPr>
      <w:widowControl/>
      <w:ind w:left="75"/>
      <w:jc w:val="left"/>
    </w:pPr>
    <w:rPr>
      <w:rFonts w:ascii="Arial" w:hAnsi="Arial" w:cs="Arial"/>
      <w:b/>
      <w:bCs/>
      <w:kern w:val="0"/>
      <w:sz w:val="20"/>
      <w:szCs w:val="20"/>
    </w:rPr>
  </w:style>
  <w:style w:type="paragraph" w:customStyle="1" w:styleId="131">
    <w:name w:val="Body Text(ch)"/>
    <w:basedOn w:val="1"/>
    <w:next w:val="17"/>
    <w:qFormat/>
    <w:uiPriority w:val="0"/>
    <w:pPr>
      <w:spacing w:line="500" w:lineRule="exact"/>
      <w:jc w:val="center"/>
    </w:pPr>
  </w:style>
  <w:style w:type="paragraph" w:customStyle="1" w:styleId="132">
    <w:name w:val="金保标题1"/>
    <w:basedOn w:val="3"/>
    <w:next w:val="1"/>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133">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4">
    <w:name w:val="Table Text Char"/>
    <w:qFormat/>
    <w:uiPriority w:val="0"/>
    <w:pPr>
      <w:snapToGrid w:val="0"/>
      <w:spacing w:before="80" w:after="80"/>
    </w:pPr>
    <w:rPr>
      <w:rFonts w:ascii="Arial" w:hAnsi="Arial" w:eastAsia="宋体" w:cs="Arial"/>
      <w:sz w:val="18"/>
      <w:szCs w:val="18"/>
      <w:lang w:val="en-US" w:eastAsia="zh-CN" w:bidi="ar-SA"/>
    </w:rPr>
  </w:style>
  <w:style w:type="paragraph" w:customStyle="1" w:styleId="135">
    <w:name w:val="Char Char Char Char1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37">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38">
    <w:name w:val="xl136"/>
    <w:basedOn w:val="1"/>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13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14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1">
    <w:name w:val="Char Char Char1"/>
    <w:basedOn w:val="1"/>
    <w:qFormat/>
    <w:uiPriority w:val="0"/>
  </w:style>
  <w:style w:type="paragraph" w:customStyle="1" w:styleId="142">
    <w:name w:val="Char2"/>
    <w:basedOn w:val="1"/>
    <w:qFormat/>
    <w:uiPriority w:val="0"/>
    <w:rPr>
      <w:rFonts w:ascii="仿宋_GB2312" w:eastAsia="仿宋_GB2312"/>
      <w:b/>
      <w:sz w:val="32"/>
      <w:szCs w:val="32"/>
    </w:rPr>
  </w:style>
  <w:style w:type="paragraph" w:customStyle="1" w:styleId="14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4">
    <w:name w:val="xl123"/>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145">
    <w:name w:val="Table Text"/>
    <w:basedOn w:val="1"/>
    <w:qFormat/>
    <w:uiPriority w:val="0"/>
    <w:rPr>
      <w:sz w:val="18"/>
    </w:rPr>
  </w:style>
  <w:style w:type="paragraph" w:customStyle="1" w:styleId="146">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7">
    <w:name w:val="_Style 23"/>
    <w:basedOn w:val="1"/>
    <w:qFormat/>
    <w:uiPriority w:val="0"/>
  </w:style>
  <w:style w:type="paragraph" w:customStyle="1" w:styleId="148">
    <w:name w:val="Char3"/>
    <w:basedOn w:val="1"/>
    <w:qFormat/>
    <w:uiPriority w:val="0"/>
    <w:rPr>
      <w:rFonts w:ascii="仿宋_GB2312" w:eastAsia="仿宋_GB2312"/>
      <w:b/>
      <w:sz w:val="32"/>
      <w:szCs w:val="32"/>
    </w:rPr>
  </w:style>
  <w:style w:type="paragraph" w:customStyle="1" w:styleId="149">
    <w:name w:val="px12l140"/>
    <w:basedOn w:val="1"/>
    <w:qFormat/>
    <w:uiPriority w:val="0"/>
    <w:pPr>
      <w:widowControl/>
      <w:spacing w:before="100" w:beforeAutospacing="1" w:after="100" w:afterAutospacing="1" w:line="336" w:lineRule="auto"/>
      <w:jc w:val="left"/>
    </w:pPr>
    <w:rPr>
      <w:kern w:val="0"/>
      <w:sz w:val="20"/>
      <w:szCs w:val="20"/>
    </w:rPr>
  </w:style>
  <w:style w:type="paragraph" w:customStyle="1" w:styleId="150">
    <w:name w:val="Char Char Char Char Char Char Char"/>
    <w:basedOn w:val="1"/>
    <w:qFormat/>
    <w:uiPriority w:val="0"/>
    <w:rPr>
      <w:rFonts w:ascii="仿宋_GB2312" w:eastAsia="仿宋_GB2312"/>
      <w:b/>
      <w:sz w:val="32"/>
      <w:szCs w:val="32"/>
    </w:rPr>
  </w:style>
  <w:style w:type="paragraph" w:customStyle="1" w:styleId="151">
    <w:name w:val="xl125"/>
    <w:basedOn w:val="1"/>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152">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3">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4">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55">
    <w:name w:val="样式 正文首行缩进 + 首行缩进:  1 字符"/>
    <w:basedOn w:val="1"/>
    <w:next w:val="123"/>
    <w:qFormat/>
    <w:uiPriority w:val="0"/>
    <w:pPr>
      <w:spacing w:line="360" w:lineRule="auto"/>
      <w:ind w:firstLine="200" w:firstLineChars="200"/>
    </w:pPr>
    <w:rPr>
      <w:rFonts w:cs="宋体"/>
      <w:sz w:val="24"/>
      <w:szCs w:val="20"/>
    </w:rPr>
  </w:style>
  <w:style w:type="paragraph" w:customStyle="1" w:styleId="156">
    <w:name w:val="Char Char9"/>
    <w:basedOn w:val="1"/>
    <w:qFormat/>
    <w:uiPriority w:val="0"/>
    <w:rPr>
      <w:rFonts w:ascii="宋体" w:hAnsi="宋体" w:cs="宋体"/>
      <w:b/>
      <w:bCs/>
      <w:color w:val="000000"/>
      <w:sz w:val="22"/>
      <w:szCs w:val="22"/>
    </w:rPr>
  </w:style>
  <w:style w:type="paragraph" w:customStyle="1" w:styleId="157">
    <w:name w:val="金保首页2"/>
    <w:basedOn w:val="1"/>
    <w:next w:val="1"/>
    <w:qFormat/>
    <w:uiPriority w:val="0"/>
    <w:pPr>
      <w:jc w:val="center"/>
    </w:pPr>
    <w:rPr>
      <w:rFonts w:ascii="Tahoma" w:hAnsi="Tahoma" w:eastAsia="黑体"/>
      <w:b/>
      <w:bCs/>
      <w:sz w:val="72"/>
      <w:szCs w:val="72"/>
    </w:rPr>
  </w:style>
  <w:style w:type="paragraph" w:customStyle="1" w:styleId="158">
    <w:name w:val="说正文文字"/>
    <w:basedOn w:val="17"/>
    <w:qFormat/>
    <w:uiPriority w:val="0"/>
    <w:pPr>
      <w:widowControl/>
      <w:spacing w:line="360" w:lineRule="auto"/>
      <w:ind w:left="320" w:leftChars="200" w:firstLine="460" w:firstLineChars="200"/>
    </w:pPr>
    <w:rPr>
      <w:rFonts w:ascii="宋体" w:hAnsi="宋体"/>
      <w:bCs w:val="0"/>
      <w:spacing w:val="-5"/>
      <w:kern w:val="0"/>
    </w:rPr>
  </w:style>
  <w:style w:type="paragraph" w:customStyle="1" w:styleId="159">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60">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1">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16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3">
    <w:name w:val="Char1 Char Char Char Char Char Char"/>
    <w:basedOn w:val="1"/>
    <w:qFormat/>
    <w:uiPriority w:val="0"/>
    <w:rPr>
      <w:rFonts w:ascii="Tahoma" w:hAnsi="Tahoma"/>
      <w:sz w:val="24"/>
      <w:szCs w:val="20"/>
    </w:rPr>
  </w:style>
  <w:style w:type="paragraph" w:customStyle="1" w:styleId="16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5">
    <w:name w:val="表内文字"/>
    <w:basedOn w:val="1"/>
    <w:qFormat/>
    <w:uiPriority w:val="0"/>
    <w:pPr>
      <w:spacing w:line="500" w:lineRule="atLeast"/>
      <w:jc w:val="center"/>
    </w:pPr>
    <w:rPr>
      <w:rFonts w:ascii="Arial" w:hAnsi="Arial" w:eastAsia="楷体_GB2312" w:cs="Arial"/>
      <w:sz w:val="28"/>
    </w:rPr>
  </w:style>
  <w:style w:type="paragraph" w:customStyle="1" w:styleId="166">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167">
    <w:name w:val="Char Char Char Char Char Char Char Char Char1 Char"/>
    <w:basedOn w:val="1"/>
    <w:qFormat/>
    <w:uiPriority w:val="0"/>
    <w:rPr>
      <w:rFonts w:ascii="仿宋_GB2312" w:eastAsia="仿宋_GB2312"/>
      <w:b/>
      <w:sz w:val="32"/>
      <w:szCs w:val="32"/>
    </w:rPr>
  </w:style>
  <w:style w:type="paragraph" w:customStyle="1" w:styleId="168">
    <w:name w:val="p0"/>
    <w:basedOn w:val="1"/>
    <w:qFormat/>
    <w:uiPriority w:val="0"/>
    <w:pPr>
      <w:widowControl/>
    </w:pPr>
    <w:rPr>
      <w:kern w:val="0"/>
      <w:szCs w:val="21"/>
    </w:rPr>
  </w:style>
  <w:style w:type="paragraph" w:customStyle="1" w:styleId="169">
    <w:name w:val="xl142"/>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170">
    <w:name w:val="Char1 Char Char Char"/>
    <w:basedOn w:val="1"/>
    <w:qFormat/>
    <w:uiPriority w:val="0"/>
    <w:rPr>
      <w:rFonts w:ascii="Tahoma" w:hAnsi="Tahoma"/>
      <w:sz w:val="24"/>
      <w:szCs w:val="20"/>
    </w:rPr>
  </w:style>
  <w:style w:type="paragraph" w:customStyle="1" w:styleId="171">
    <w:name w:val="Char Char Char Char Char Char Char Char Char Char Char Char Char"/>
    <w:basedOn w:val="1"/>
    <w:qFormat/>
    <w:uiPriority w:val="0"/>
    <w:rPr>
      <w:rFonts w:ascii="Tahoma" w:hAnsi="Tahoma"/>
      <w:sz w:val="24"/>
      <w:szCs w:val="20"/>
    </w:rPr>
  </w:style>
  <w:style w:type="paragraph" w:customStyle="1" w:styleId="172">
    <w:name w:val="xl143"/>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17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74">
    <w:name w:val="小点说明"/>
    <w:basedOn w:val="1"/>
    <w:qFormat/>
    <w:uiPriority w:val="0"/>
    <w:pPr>
      <w:adjustRightInd w:val="0"/>
      <w:snapToGrid w:val="0"/>
    </w:pPr>
    <w:rPr>
      <w:rFonts w:ascii="仿宋_GB2312" w:eastAsia="仿宋_GB2312"/>
      <w:color w:val="000000"/>
      <w:szCs w:val="18"/>
    </w:rPr>
  </w:style>
  <w:style w:type="paragraph" w:customStyle="1" w:styleId="17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76">
    <w:name w:val="Char Char1 Char Char Char Char Char Char"/>
    <w:basedOn w:val="1"/>
    <w:qFormat/>
    <w:uiPriority w:val="0"/>
    <w:pPr>
      <w:widowControl/>
      <w:jc w:val="left"/>
    </w:pPr>
    <w:rPr>
      <w:rFonts w:ascii="Verdana" w:hAnsi="Verdana" w:eastAsia="仿宋_GB2312"/>
      <w:kern w:val="0"/>
      <w:sz w:val="28"/>
      <w:szCs w:val="20"/>
      <w:lang w:eastAsia="en-US"/>
    </w:rPr>
  </w:style>
  <w:style w:type="paragraph" w:customStyle="1" w:styleId="177">
    <w:name w:val="Char1 Char Char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7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79">
    <w:name w:val="Char Char1"/>
    <w:basedOn w:val="1"/>
    <w:qFormat/>
    <w:uiPriority w:val="0"/>
  </w:style>
  <w:style w:type="paragraph" w:customStyle="1" w:styleId="180">
    <w:name w:val="Char Char Char Char"/>
    <w:basedOn w:val="13"/>
    <w:qFormat/>
    <w:uiPriority w:val="0"/>
    <w:pPr>
      <w:adjustRightInd w:val="0"/>
      <w:snapToGrid w:val="0"/>
      <w:spacing w:line="360" w:lineRule="auto"/>
    </w:pPr>
    <w:rPr>
      <w:szCs w:val="20"/>
    </w:rPr>
  </w:style>
  <w:style w:type="character" w:customStyle="1" w:styleId="181">
    <w:name w:val="HTML 预设格式 Char1"/>
    <w:semiHidden/>
    <w:qFormat/>
    <w:uiPriority w:val="99"/>
    <w:rPr>
      <w:rFonts w:ascii="Courier New" w:hAnsi="Courier New" w:cs="Courier New"/>
      <w:kern w:val="2"/>
    </w:rPr>
  </w:style>
  <w:style w:type="character" w:customStyle="1" w:styleId="182">
    <w:name w:val="样式 正文文本 Char Char"/>
    <w:link w:val="183"/>
    <w:qFormat/>
    <w:uiPriority w:val="0"/>
    <w:rPr>
      <w:rFonts w:ascii="Arial" w:hAnsi="Arial" w:cs="宋体"/>
      <w:color w:val="000000"/>
      <w:kern w:val="2"/>
      <w:sz w:val="21"/>
    </w:rPr>
  </w:style>
  <w:style w:type="paragraph" w:customStyle="1" w:styleId="183">
    <w:name w:val="样式 正文文本"/>
    <w:basedOn w:val="1"/>
    <w:link w:val="182"/>
    <w:qFormat/>
    <w:uiPriority w:val="0"/>
    <w:pPr>
      <w:adjustRightInd w:val="0"/>
      <w:snapToGrid w:val="0"/>
      <w:spacing w:line="400" w:lineRule="exact"/>
      <w:ind w:firstLine="200" w:firstLineChars="200"/>
    </w:pPr>
    <w:rPr>
      <w:rFonts w:ascii="Arial" w:hAnsi="Arial"/>
      <w:color w:val="000000"/>
      <w:szCs w:val="20"/>
    </w:rPr>
  </w:style>
  <w:style w:type="character" w:customStyle="1" w:styleId="184">
    <w:name w:val="纯文本 Char2"/>
    <w:qFormat/>
    <w:uiPriority w:val="0"/>
    <w:rPr>
      <w:rFonts w:ascii="宋体" w:hAnsi="Courier New"/>
      <w:kern w:val="2"/>
      <w:sz w:val="21"/>
    </w:rPr>
  </w:style>
  <w:style w:type="character" w:customStyle="1" w:styleId="185">
    <w:name w:val="正文首行缩进 Char1"/>
    <w:link w:val="18"/>
    <w:qFormat/>
    <w:uiPriority w:val="99"/>
    <w:rPr>
      <w:rFonts w:ascii="Times New Roman" w:hAnsi="Times New Roman"/>
      <w:kern w:val="2"/>
      <w:sz w:val="21"/>
      <w:szCs w:val="24"/>
    </w:rPr>
  </w:style>
  <w:style w:type="character" w:customStyle="1" w:styleId="186">
    <w:name w:val="font161"/>
    <w:qFormat/>
    <w:uiPriority w:val="0"/>
    <w:rPr>
      <w:b/>
      <w:bCs/>
      <w:sz w:val="32"/>
      <w:szCs w:val="32"/>
    </w:rPr>
  </w:style>
  <w:style w:type="character" w:customStyle="1" w:styleId="187">
    <w:name w:val="正文首行缩进 Char"/>
    <w:qFormat/>
    <w:uiPriority w:val="0"/>
    <w:rPr>
      <w:rFonts w:ascii="Arial" w:hAnsi="Arial" w:eastAsia="宋体"/>
      <w:bCs/>
      <w:kern w:val="2"/>
      <w:sz w:val="21"/>
      <w:szCs w:val="24"/>
      <w:lang w:val="en-US" w:eastAsia="zh-CN" w:bidi="ar-SA"/>
    </w:rPr>
  </w:style>
  <w:style w:type="character" w:customStyle="1" w:styleId="188">
    <w:name w:val="正文文本 3 Char"/>
    <w:link w:val="16"/>
    <w:qFormat/>
    <w:uiPriority w:val="0"/>
    <w:rPr>
      <w:rFonts w:ascii="宋体" w:hAnsi="Times New Roman"/>
      <w:sz w:val="24"/>
    </w:rPr>
  </w:style>
  <w:style w:type="character" w:customStyle="1" w:styleId="189">
    <w:name w:val="zbggmain style9"/>
    <w:basedOn w:val="45"/>
    <w:qFormat/>
    <w:uiPriority w:val="0"/>
  </w:style>
  <w:style w:type="character" w:customStyle="1" w:styleId="190">
    <w:name w:val="Char Char8"/>
    <w:qFormat/>
    <w:uiPriority w:val="0"/>
    <w:rPr>
      <w:rFonts w:ascii="Tahoma" w:hAnsi="Tahoma" w:eastAsia="宋体"/>
      <w:kern w:val="2"/>
      <w:sz w:val="18"/>
      <w:szCs w:val="18"/>
      <w:lang w:val="en-US" w:eastAsia="zh-CN" w:bidi="ar-SA"/>
    </w:rPr>
  </w:style>
  <w:style w:type="character" w:customStyle="1" w:styleId="191">
    <w:name w:val="页脚 Char1"/>
    <w:qFormat/>
    <w:uiPriority w:val="99"/>
    <w:rPr>
      <w:rFonts w:ascii="Times New Roman" w:hAnsi="Times New Roman" w:eastAsia="宋体" w:cs="Times New Roman"/>
      <w:sz w:val="18"/>
      <w:szCs w:val="18"/>
    </w:rPr>
  </w:style>
  <w:style w:type="character" w:customStyle="1" w:styleId="192">
    <w:name w:val="Char Char18"/>
    <w:qFormat/>
    <w:uiPriority w:val="0"/>
    <w:rPr>
      <w:rFonts w:ascii="Tahoma" w:hAnsi="Tahoma" w:eastAsia="宋体"/>
      <w:kern w:val="2"/>
      <w:sz w:val="18"/>
      <w:szCs w:val="18"/>
      <w:lang w:val="en-US" w:eastAsia="zh-CN" w:bidi="ar-SA"/>
    </w:rPr>
  </w:style>
  <w:style w:type="character" w:customStyle="1" w:styleId="193">
    <w:name w:val="Keyboard"/>
    <w:qFormat/>
    <w:uiPriority w:val="0"/>
    <w:rPr>
      <w:rFonts w:ascii="Courier New" w:hAnsi="Courier New"/>
      <w:b/>
      <w:sz w:val="20"/>
    </w:rPr>
  </w:style>
  <w:style w:type="character" w:customStyle="1" w:styleId="194">
    <w:name w:val="正文首行缩进 Char2"/>
    <w:semiHidden/>
    <w:qFormat/>
    <w:uiPriority w:val="99"/>
    <w:rPr>
      <w:rFonts w:ascii="Times New Roman" w:hAnsi="Times New Roman"/>
      <w:bCs/>
      <w:kern w:val="2"/>
      <w:sz w:val="21"/>
      <w:szCs w:val="24"/>
    </w:rPr>
  </w:style>
  <w:style w:type="character" w:customStyle="1" w:styleId="195">
    <w:name w:val="正文文本 3 Char1"/>
    <w:semiHidden/>
    <w:qFormat/>
    <w:uiPriority w:val="99"/>
    <w:rPr>
      <w:rFonts w:ascii="Times New Roman" w:hAnsi="Times New Roman"/>
      <w:kern w:val="2"/>
      <w:sz w:val="16"/>
      <w:szCs w:val="16"/>
    </w:rPr>
  </w:style>
  <w:style w:type="paragraph" w:customStyle="1" w:styleId="196">
    <w:name w:val="表格"/>
    <w:basedOn w:val="1"/>
    <w:qFormat/>
    <w:uiPriority w:val="0"/>
    <w:pPr>
      <w:jc w:val="center"/>
      <w:textAlignment w:val="center"/>
    </w:pPr>
    <w:rPr>
      <w:rFonts w:ascii="华文细黑" w:hAnsi="华文细黑"/>
      <w:kern w:val="0"/>
      <w:szCs w:val="20"/>
    </w:rPr>
  </w:style>
  <w:style w:type="paragraph" w:customStyle="1" w:styleId="197">
    <w:name w:val="修订1"/>
    <w:qFormat/>
    <w:uiPriority w:val="0"/>
    <w:rPr>
      <w:rFonts w:ascii="Times New Roman" w:hAnsi="Times New Roman" w:eastAsia="宋体" w:cs="Times New Roman"/>
      <w:kern w:val="2"/>
      <w:sz w:val="21"/>
      <w:szCs w:val="24"/>
      <w:lang w:val="en-US" w:eastAsia="zh-CN" w:bidi="ar-SA"/>
    </w:rPr>
  </w:style>
  <w:style w:type="paragraph" w:customStyle="1" w:styleId="198">
    <w:name w:val="Char Char11"/>
    <w:basedOn w:val="1"/>
    <w:qFormat/>
    <w:uiPriority w:val="0"/>
    <w:rPr>
      <w:rFonts w:ascii="Tahoma" w:hAnsi="Tahoma"/>
      <w:sz w:val="24"/>
      <w:szCs w:val="20"/>
    </w:rPr>
  </w:style>
  <w:style w:type="paragraph" w:customStyle="1" w:styleId="199">
    <w:name w:val="样式 标题 1 + 黑体 三号 非加粗 居中 段前: 6 磅 段后: 6 磅 行距: 固定值 20 磅"/>
    <w:basedOn w:val="3"/>
    <w:qFormat/>
    <w:uiPriority w:val="0"/>
    <w:pPr>
      <w:keepLines/>
      <w:spacing w:before="120" w:after="120" w:line="400" w:lineRule="exact"/>
    </w:pPr>
    <w:rPr>
      <w:rFonts w:ascii="黑体" w:hAnsi="黑体" w:eastAsia="黑体" w:cs="宋体"/>
      <w:kern w:val="44"/>
      <w:sz w:val="32"/>
      <w:szCs w:val="20"/>
    </w:rPr>
  </w:style>
  <w:style w:type="paragraph" w:customStyle="1" w:styleId="200">
    <w:name w:val="标准"/>
    <w:basedOn w:val="1"/>
    <w:qFormat/>
    <w:uiPriority w:val="0"/>
    <w:pPr>
      <w:adjustRightInd w:val="0"/>
      <w:spacing w:line="312" w:lineRule="atLeast"/>
      <w:textAlignment w:val="baseline"/>
    </w:pPr>
    <w:rPr>
      <w:rFonts w:ascii="宋体"/>
      <w:kern w:val="0"/>
      <w:position w:val="-6"/>
      <w:sz w:val="32"/>
      <w:szCs w:val="20"/>
    </w:rPr>
  </w:style>
  <w:style w:type="paragraph" w:customStyle="1" w:styleId="201">
    <w:name w:val="_Style 18"/>
    <w:basedOn w:val="1"/>
    <w:qFormat/>
    <w:uiPriority w:val="0"/>
    <w:rPr>
      <w:rFonts w:ascii="仿宋_GB2312" w:eastAsia="仿宋_GB2312"/>
      <w:b/>
      <w:sz w:val="32"/>
      <w:szCs w:val="32"/>
    </w:rPr>
  </w:style>
  <w:style w:type="paragraph" w:customStyle="1" w:styleId="202">
    <w:name w:val="msonormal paragraphindent"/>
    <w:basedOn w:val="1"/>
    <w:qFormat/>
    <w:uiPriority w:val="0"/>
    <w:pPr>
      <w:widowControl/>
      <w:spacing w:before="100" w:beforeAutospacing="1" w:after="100" w:afterAutospacing="1"/>
      <w:jc w:val="left"/>
    </w:pPr>
    <w:rPr>
      <w:rFonts w:ascii="宋体" w:hAnsi="宋体" w:cs="宋体"/>
      <w:kern w:val="0"/>
      <w:sz w:val="24"/>
    </w:rPr>
  </w:style>
  <w:style w:type="paragraph" w:customStyle="1" w:styleId="20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0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5">
    <w:name w:val="无间隔1"/>
    <w:basedOn w:val="1"/>
    <w:qFormat/>
    <w:uiPriority w:val="0"/>
    <w:pPr>
      <w:widowControl/>
      <w:spacing w:line="460" w:lineRule="exact"/>
      <w:ind w:firstLine="200" w:firstLineChars="200"/>
      <w:jc w:val="left"/>
    </w:pPr>
    <w:rPr>
      <w:rFonts w:ascii="Calibri" w:hAnsi="Calibri"/>
      <w:kern w:val="0"/>
      <w:position w:val="-6"/>
      <w:sz w:val="24"/>
      <w:szCs w:val="32"/>
    </w:rPr>
  </w:style>
  <w:style w:type="paragraph" w:customStyle="1" w:styleId="206">
    <w:name w:val="样式 标题 3 + (中文) 黑体 小四 非加粗 段前: 7.8 磅 段后: 0 磅 行距: 固定值 20 磅"/>
    <w:basedOn w:val="5"/>
    <w:qFormat/>
    <w:uiPriority w:val="0"/>
    <w:pPr>
      <w:spacing w:before="0" w:after="0" w:line="400" w:lineRule="exact"/>
      <w:ind w:firstLine="137" w:firstLineChars="49"/>
    </w:pPr>
    <w:rPr>
      <w:rFonts w:ascii="黑体" w:hAnsi="宋体" w:eastAsia="黑体" w:cs="宋体"/>
      <w:b w:val="0"/>
      <w:bCs w:val="0"/>
      <w:sz w:val="24"/>
      <w:szCs w:val="20"/>
    </w:rPr>
  </w:style>
  <w:style w:type="paragraph" w:customStyle="1" w:styleId="20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208">
    <w:name w:val="样式2"/>
    <w:basedOn w:val="5"/>
    <w:qFormat/>
    <w:uiPriority w:val="0"/>
    <w:pPr>
      <w:spacing w:line="415" w:lineRule="auto"/>
      <w:ind w:firstLine="137" w:firstLineChars="49"/>
    </w:pPr>
    <w:rPr>
      <w:rFonts w:ascii="黑体" w:hAnsi="宋体" w:eastAsia="黑体"/>
      <w:b w:val="0"/>
      <w:i/>
      <w:sz w:val="28"/>
      <w:szCs w:val="28"/>
    </w:rPr>
  </w:style>
  <w:style w:type="paragraph" w:customStyle="1" w:styleId="209">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210">
    <w:name w:val="标题 1_0"/>
    <w:basedOn w:val="1"/>
    <w:next w:val="1"/>
    <w:qFormat/>
    <w:uiPriority w:val="0"/>
    <w:pPr>
      <w:keepNext/>
      <w:keepLines/>
      <w:spacing w:before="340" w:after="330" w:line="576" w:lineRule="auto"/>
      <w:outlineLvl w:val="0"/>
    </w:pPr>
    <w:rPr>
      <w:b/>
      <w:kern w:val="44"/>
      <w:sz w:val="44"/>
      <w:szCs w:val="20"/>
    </w:rPr>
  </w:style>
  <w:style w:type="paragraph" w:customStyle="1" w:styleId="211">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12">
    <w:name w:val="样式1"/>
    <w:basedOn w:val="1"/>
    <w:next w:val="6"/>
    <w:qFormat/>
    <w:uiPriority w:val="0"/>
    <w:pPr>
      <w:spacing w:line="360" w:lineRule="auto"/>
      <w:ind w:firstLine="420" w:firstLineChars="200"/>
    </w:pPr>
    <w:rPr>
      <w:rFonts w:ascii="宋体" w:hAnsi="宋体"/>
      <w:szCs w:val="21"/>
    </w:rPr>
  </w:style>
  <w:style w:type="paragraph" w:customStyle="1" w:styleId="213">
    <w:name w:val="Char Char2 Char Char Char Char"/>
    <w:basedOn w:val="1"/>
    <w:qFormat/>
    <w:uiPriority w:val="0"/>
  </w:style>
  <w:style w:type="paragraph" w:customStyle="1" w:styleId="214">
    <w:name w:val="Default_0"/>
    <w:basedOn w:val="1"/>
    <w:qFormat/>
    <w:uiPriority w:val="0"/>
    <w:pPr>
      <w:autoSpaceDE w:val="0"/>
      <w:autoSpaceDN w:val="0"/>
      <w:adjustRightInd w:val="0"/>
      <w:jc w:val="left"/>
    </w:pPr>
    <w:rPr>
      <w:rFonts w:ascii="宋体" w:hAnsi="Calibri" w:cs="宋体"/>
      <w:color w:val="000000"/>
      <w:kern w:val="0"/>
      <w:sz w:val="24"/>
    </w:rPr>
  </w:style>
  <w:style w:type="paragraph" w:customStyle="1" w:styleId="215">
    <w:name w:val="列出段落1"/>
    <w:basedOn w:val="1"/>
    <w:qFormat/>
    <w:uiPriority w:val="0"/>
    <w:pPr>
      <w:ind w:firstLine="420" w:firstLineChars="200"/>
    </w:pPr>
    <w:rPr>
      <w:rFonts w:ascii="Calibri" w:hAnsi="Calibri"/>
      <w:szCs w:val="22"/>
    </w:rPr>
  </w:style>
  <w:style w:type="paragraph" w:customStyle="1" w:styleId="216">
    <w:name w:val="Char Char Char Char Char Char Char Char Char Char Char Char Char Char Char Char Char Char Char Char Char Char Char Char Char Char Char Char Char Char Char Char Char"/>
    <w:basedOn w:val="1"/>
    <w:qFormat/>
    <w:uiPriority w:val="0"/>
    <w:pPr>
      <w:widowControl/>
      <w:adjustRightInd w:val="0"/>
      <w:snapToGrid w:val="0"/>
      <w:spacing w:after="160" w:line="320" w:lineRule="exact"/>
      <w:jc w:val="left"/>
    </w:pPr>
    <w:rPr>
      <w:rFonts w:ascii="宋体" w:hAnsi="宋体" w:cs="Verdana"/>
      <w:kern w:val="0"/>
      <w:szCs w:val="21"/>
      <w:lang w:eastAsia="en-US"/>
    </w:rPr>
  </w:style>
  <w:style w:type="paragraph" w:customStyle="1" w:styleId="217">
    <w:name w:val="_Style 13"/>
    <w:basedOn w:val="1"/>
    <w:qFormat/>
    <w:uiPriority w:val="0"/>
    <w:pPr>
      <w:widowControl/>
      <w:spacing w:after="160" w:line="240" w:lineRule="exact"/>
      <w:jc w:val="left"/>
    </w:pPr>
    <w:rPr>
      <w:kern w:val="0"/>
      <w:sz w:val="22"/>
      <w:szCs w:val="22"/>
      <w:lang w:eastAsia="en-US" w:bidi="en-US"/>
    </w:rPr>
  </w:style>
  <w:style w:type="paragraph" w:customStyle="1" w:styleId="21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
    <w:name w:val="Char3 Char Char Char"/>
    <w:basedOn w:val="1"/>
    <w:qFormat/>
    <w:uiPriority w:val="0"/>
    <w:rPr>
      <w:rFonts w:ascii="Tahoma" w:hAnsi="Tahoma"/>
      <w:sz w:val="24"/>
      <w:szCs w:val="20"/>
    </w:rPr>
  </w:style>
  <w:style w:type="paragraph" w:customStyle="1" w:styleId="220">
    <w:name w:val="样式 正文（首行缩进两字） + 加粗 首行缩进:  2 字符"/>
    <w:basedOn w:val="8"/>
    <w:qFormat/>
    <w:uiPriority w:val="0"/>
    <w:pPr>
      <w:spacing w:line="360" w:lineRule="auto"/>
    </w:pPr>
    <w:rPr>
      <w:rFonts w:ascii="Times New Roman" w:hAnsi="Times New Roman" w:cs="宋体"/>
      <w:b/>
      <w:bCs/>
      <w:position w:val="-6"/>
      <w:szCs w:val="20"/>
    </w:rPr>
  </w:style>
  <w:style w:type="paragraph" w:customStyle="1" w:styleId="22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22">
    <w:name w:val="1"/>
    <w:basedOn w:val="1"/>
    <w:qFormat/>
    <w:uiPriority w:val="0"/>
  </w:style>
  <w:style w:type="paragraph" w:customStyle="1" w:styleId="223">
    <w:name w:val="Char11"/>
    <w:basedOn w:val="1"/>
    <w:qFormat/>
    <w:uiPriority w:val="0"/>
    <w:pPr>
      <w:tabs>
        <w:tab w:val="left" w:pos="360"/>
      </w:tabs>
    </w:pPr>
    <w:rPr>
      <w:sz w:val="24"/>
    </w:rPr>
  </w:style>
  <w:style w:type="paragraph" w:customStyle="1" w:styleId="224">
    <w:name w:val="Char1 Char Char Char Char Char"/>
    <w:basedOn w:val="1"/>
    <w:qFormat/>
    <w:uiPriority w:val="0"/>
    <w:rPr>
      <w:rFonts w:ascii="Tahoma" w:hAnsi="Tahoma"/>
      <w:sz w:val="24"/>
      <w:szCs w:val="20"/>
    </w:rPr>
  </w:style>
  <w:style w:type="paragraph" w:customStyle="1" w:styleId="225">
    <w:name w:val="目录文字"/>
    <w:basedOn w:val="1"/>
    <w:qFormat/>
    <w:uiPriority w:val="0"/>
    <w:pPr>
      <w:widowControl/>
      <w:spacing w:line="480" w:lineRule="auto"/>
      <w:jc w:val="left"/>
    </w:pPr>
    <w:rPr>
      <w:rFonts w:ascii="宋体" w:hAnsi="宋体"/>
      <w:kern w:val="0"/>
      <w:sz w:val="24"/>
      <w:szCs w:val="20"/>
    </w:rPr>
  </w:style>
  <w:style w:type="paragraph" w:customStyle="1" w:styleId="22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Char Char Char Char Char Char Char1 Char"/>
    <w:basedOn w:val="1"/>
    <w:qFormat/>
    <w:uiPriority w:val="0"/>
    <w:rPr>
      <w:rFonts w:ascii="Tahoma" w:hAnsi="Tahoma"/>
      <w:sz w:val="24"/>
      <w:szCs w:val="22"/>
    </w:rPr>
  </w:style>
  <w:style w:type="paragraph" w:customStyle="1" w:styleId="228">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29">
    <w:name w:val="Table Paragraph"/>
    <w:basedOn w:val="1"/>
    <w:qFormat/>
    <w:uiPriority w:val="1"/>
    <w:pPr>
      <w:jc w:val="left"/>
    </w:pPr>
    <w:rPr>
      <w:rFonts w:asciiTheme="minorHAnsi" w:hAnsiTheme="minorHAnsi" w:eastAsiaTheme="minorEastAsia" w:cstheme="minorBidi"/>
      <w:kern w:val="0"/>
      <w:sz w:val="22"/>
      <w:szCs w:val="22"/>
      <w:lang w:eastAsia="en-US"/>
    </w:rPr>
  </w:style>
  <w:style w:type="paragraph" w:customStyle="1" w:styleId="230">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23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232">
    <w:name w:val="Plain Text"/>
    <w:basedOn w:val="233"/>
    <w:qFormat/>
    <w:uiPriority w:val="0"/>
    <w:pPr>
      <w:widowControl/>
      <w:jc w:val="left"/>
    </w:pPr>
    <w:rPr>
      <w:rFonts w:hint="eastAsia" w:ascii="宋体" w:hAnsi="Courier New" w:eastAsia="宋体" w:cs="Times New Roman"/>
    </w:rPr>
  </w:style>
  <w:style w:type="paragraph" w:customStyle="1" w:styleId="233">
    <w:name w:val="Normal"/>
    <w:qFormat/>
    <w:uiPriority w:val="0"/>
    <w:pPr>
      <w:widowControl w:val="0"/>
      <w:jc w:val="both"/>
    </w:pPr>
    <w:rPr>
      <w:rFonts w:hint="eastAsia" w:ascii="Calibri" w:hAnsi="Calibri" w:eastAsia="宋体" w:cs="Times New Roman"/>
      <w:kern w:val="2"/>
      <w:sz w:val="21"/>
      <w:szCs w:val="22"/>
      <w:lang w:val="en-US" w:eastAsia="zh-CN" w:bidi="ar-SA"/>
    </w:rPr>
  </w:style>
  <w:style w:type="paragraph" w:customStyle="1" w:styleId="23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CFD2EB-2DED-4DAB-A1D8-9EC46FF168D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83</Pages>
  <Words>7993</Words>
  <Characters>45563</Characters>
  <Lines>379</Lines>
  <Paragraphs>106</Paragraphs>
  <TotalTime>4</TotalTime>
  <ScaleCrop>false</ScaleCrop>
  <LinksUpToDate>false</LinksUpToDate>
  <CharactersWithSpaces>53450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2018-10-16T16:02:00Z</dcterms:created>
  <dc:creator>FTD.Pokerface.com</dc:creator>
  <cp:lastModifiedBy>WPS_1482030924</cp:lastModifiedBy>
  <cp:lastPrinted>2021-10-19T01:26:00Z</cp:lastPrinted>
  <dcterms:modified xsi:type="dcterms:W3CDTF">2021-11-05T06:37:38Z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B80B4102B739416BB5E35AAA010655A7</vt:lpwstr>
  </property>
</Properties>
</file>