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苍 南 县 国 企 采 购</w:t>
      </w:r>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招 标 文 件</w:t>
      </w:r>
    </w:p>
    <w:p>
      <w:pPr>
        <w:spacing w:line="440" w:lineRule="exact"/>
        <w:rPr>
          <w:rFonts w:hint="eastAsia" w:ascii="宋体" w:hAnsi="宋体" w:eastAsia="宋体" w:cs="宋体"/>
          <w:b/>
          <w:color w:val="auto"/>
          <w:sz w:val="30"/>
          <w:szCs w:val="30"/>
          <w:highlight w:val="none"/>
        </w:rPr>
      </w:pPr>
    </w:p>
    <w:p>
      <w:pPr>
        <w:pStyle w:val="2"/>
        <w:jc w:val="both"/>
        <w:rPr>
          <w:rFonts w:hint="eastAsia" w:ascii="宋体" w:hAnsi="宋体" w:eastAsia="宋体" w:cs="宋体"/>
          <w:color w:val="auto"/>
          <w:sz w:val="22"/>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苍南县政务无人机一体化平台项目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采购方式：公开招标（线上电子招投标）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cs="宋体"/>
          <w:b/>
          <w:color w:val="auto"/>
          <w:sz w:val="22"/>
          <w:szCs w:val="22"/>
          <w:highlight w:val="none"/>
          <w:lang w:eastAsia="zh-CN"/>
        </w:rPr>
      </w:pPr>
    </w:p>
    <w:p>
      <w:pPr>
        <w:pStyle w:val="16"/>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采 </w:t>
      </w:r>
      <w:r>
        <w:rPr>
          <w:rFonts w:hint="eastAsia" w:ascii="宋体" w:hAnsi="宋体" w:eastAsia="宋体" w:cs="宋体"/>
          <w:b/>
          <w:color w:val="auto"/>
          <w:sz w:val="30"/>
          <w:szCs w:val="30"/>
          <w:highlight w:val="none"/>
        </w:rPr>
        <w:t>购 人：</w:t>
      </w:r>
      <w:r>
        <w:rPr>
          <w:rFonts w:hint="eastAsia" w:ascii="宋体" w:hAnsi="宋体" w:cs="宋体"/>
          <w:b/>
          <w:color w:val="auto"/>
          <w:sz w:val="30"/>
          <w:szCs w:val="30"/>
          <w:highlight w:val="none"/>
          <w:lang w:eastAsia="zh-CN"/>
        </w:rPr>
        <w:t>苍南县数据管理发展有限公司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 系 人：</w:t>
      </w:r>
      <w:r>
        <w:rPr>
          <w:rFonts w:hint="eastAsia" w:ascii="宋体" w:hAnsi="宋体" w:cs="宋体"/>
          <w:b/>
          <w:color w:val="auto"/>
          <w:sz w:val="30"/>
          <w:szCs w:val="30"/>
          <w:highlight w:val="none"/>
          <w:lang w:val="en-US" w:eastAsia="zh-CN"/>
        </w:rPr>
        <w:t>苏先生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代理机构：</w:t>
      </w:r>
      <w:r>
        <w:rPr>
          <w:rFonts w:hint="eastAsia" w:ascii="宋体" w:hAnsi="宋体" w:cs="宋体"/>
          <w:b/>
          <w:color w:val="auto"/>
          <w:sz w:val="30"/>
          <w:szCs w:val="30"/>
          <w:highlight w:val="none"/>
          <w:lang w:eastAsia="zh-CN"/>
        </w:rPr>
        <w:t>温州同筑工程管理有限公司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联 系 人：</w:t>
      </w:r>
      <w:r>
        <w:rPr>
          <w:rFonts w:hint="eastAsia" w:ascii="宋体" w:hAnsi="宋体" w:cs="宋体"/>
          <w:b/>
          <w:color w:val="auto"/>
          <w:sz w:val="30"/>
          <w:szCs w:val="30"/>
          <w:highlight w:val="none"/>
          <w:lang w:eastAsia="zh-CN"/>
        </w:rPr>
        <w:t>郭先生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联系电话：0577-</w:t>
      </w:r>
      <w:r>
        <w:rPr>
          <w:rFonts w:hint="eastAsia" w:ascii="宋体" w:hAnsi="宋体" w:cs="宋体"/>
          <w:b/>
          <w:color w:val="auto"/>
          <w:sz w:val="30"/>
          <w:szCs w:val="30"/>
          <w:highlight w:val="none"/>
          <w:lang w:eastAsia="zh-CN"/>
        </w:rPr>
        <w:t>64795111</w:t>
      </w:r>
      <w:r>
        <w:rPr>
          <w:rFonts w:hint="eastAsia" w:ascii="宋体" w:hAnsi="宋体" w:eastAsia="宋体" w:cs="宋体"/>
          <w:b/>
          <w:color w:val="auto"/>
          <w:sz w:val="30"/>
          <w:szCs w:val="30"/>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138" w:firstLineChars="378"/>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备案机构：</w:t>
      </w:r>
      <w:r>
        <w:rPr>
          <w:rFonts w:hint="eastAsia" w:ascii="宋体" w:hAnsi="宋体" w:cs="宋体"/>
          <w:b/>
          <w:color w:val="auto"/>
          <w:sz w:val="30"/>
          <w:szCs w:val="30"/>
          <w:highlight w:val="none"/>
          <w:lang w:eastAsia="zh-CN"/>
        </w:rPr>
        <w:t>苍南县公共事业投资集团有限公司</w:t>
      </w:r>
    </w:p>
    <w:p>
      <w:pPr>
        <w:spacing w:line="440" w:lineRule="exact"/>
        <w:rPr>
          <w:rFonts w:hint="eastAsia" w:ascii="宋体" w:hAnsi="宋体" w:eastAsia="宋体" w:cs="宋体"/>
          <w:b/>
          <w:color w:val="auto"/>
          <w:sz w:val="30"/>
          <w:szCs w:val="30"/>
          <w:highlight w:val="none"/>
        </w:rPr>
      </w:pPr>
    </w:p>
    <w:p>
      <w:pPr>
        <w:spacing w:line="6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二○二</w:t>
      </w:r>
      <w:r>
        <w:rPr>
          <w:rFonts w:hint="eastAsia" w:ascii="宋体" w:hAnsi="宋体" w:eastAsia="宋体" w:cs="宋体"/>
          <w:b/>
          <w:color w:val="auto"/>
          <w:sz w:val="30"/>
          <w:szCs w:val="30"/>
          <w:highlight w:val="none"/>
          <w:lang w:val="en-US" w:eastAsia="zh-CN"/>
        </w:rPr>
        <w:t>三</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十二</w:t>
      </w:r>
      <w:r>
        <w:rPr>
          <w:rFonts w:hint="eastAsia" w:ascii="宋体" w:hAnsi="宋体" w:eastAsia="宋体" w:cs="宋体"/>
          <w:b/>
          <w:color w:val="auto"/>
          <w:sz w:val="30"/>
          <w:szCs w:val="30"/>
          <w:highlight w:val="none"/>
        </w:rPr>
        <w:t>月</w:t>
      </w:r>
    </w:p>
    <w:p>
      <w:pPr>
        <w:pageBreakBefore/>
        <w:shd w:val="clear" w:color="auto" w:fill="FFFFFF"/>
        <w:snapToGrid w:val="0"/>
        <w:spacing w:line="360" w:lineRule="auto"/>
        <w:jc w:val="center"/>
        <w:rPr>
          <w:rFonts w:hint="eastAsia" w:ascii="宋体" w:hAnsi="宋体" w:eastAsia="宋体" w:cs="宋体"/>
          <w:b/>
          <w:bCs/>
          <w:color w:val="auto"/>
          <w:sz w:val="24"/>
          <w:highlight w:val="none"/>
        </w:rPr>
        <w:sectPr>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start="1"/>
          <w:cols w:space="720" w:num="1"/>
          <w:docGrid w:linePitch="312" w:charSpace="0"/>
        </w:sectPr>
      </w:pPr>
    </w:p>
    <w:p>
      <w:pPr>
        <w:pageBreakBefore/>
        <w:shd w:val="clear" w:color="auto" w:fill="FFFFFF"/>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  录</w:t>
      </w:r>
    </w:p>
    <w:p>
      <w:pPr>
        <w:pStyle w:val="15"/>
        <w:rPr>
          <w:rFonts w:hint="eastAsia" w:ascii="宋体" w:hAnsi="宋体" w:eastAsia="宋体" w:cs="宋体"/>
          <w:color w:val="auto"/>
          <w:highlight w:val="none"/>
        </w:rPr>
      </w:pPr>
    </w:p>
    <w:p>
      <w:pPr>
        <w:pStyle w:val="12"/>
        <w:tabs>
          <w:tab w:val="right" w:leader="dot" w:pos="8948"/>
        </w:tabs>
        <w:spacing w:line="360" w:lineRule="auto"/>
        <w:rPr>
          <w:rFonts w:hint="eastAsia" w:ascii="宋体" w:hAnsi="宋体" w:eastAsia="宋体" w:cs="宋体"/>
          <w:b w:val="0"/>
          <w:bCs w:val="0"/>
          <w:caps w:val="0"/>
          <w:color w:val="auto"/>
          <w:sz w:val="24"/>
          <w:szCs w:val="24"/>
          <w:highlight w:val="none"/>
        </w:rPr>
      </w:pPr>
      <w:r>
        <w:rPr>
          <w:rFonts w:hint="eastAsia" w:ascii="宋体" w:hAnsi="宋体" w:eastAsia="宋体" w:cs="宋体"/>
          <w:b w:val="0"/>
          <w:caps w:val="0"/>
          <w:smallCaps/>
          <w:color w:val="auto"/>
          <w:sz w:val="24"/>
          <w:szCs w:val="24"/>
          <w:highlight w:val="none"/>
        </w:rPr>
        <w:fldChar w:fldCharType="begin"/>
      </w:r>
      <w:r>
        <w:rPr>
          <w:rFonts w:hint="eastAsia" w:ascii="宋体" w:hAnsi="宋体" w:eastAsia="宋体" w:cs="宋体"/>
          <w:b w:val="0"/>
          <w:caps w:val="0"/>
          <w:smallCaps/>
          <w:color w:val="auto"/>
          <w:sz w:val="24"/>
          <w:szCs w:val="24"/>
          <w:highlight w:val="none"/>
        </w:rPr>
        <w:instrText xml:space="preserve"> TOC \o "1-2" \h \z \u </w:instrText>
      </w:r>
      <w:r>
        <w:rPr>
          <w:rFonts w:hint="eastAsia" w:ascii="宋体" w:hAnsi="宋体" w:eastAsia="宋体" w:cs="宋体"/>
          <w:b w:val="0"/>
          <w:caps w:val="0"/>
          <w:smallCaps/>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"_Toc33194385"</w:instrText>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p>
    <w:p>
      <w:pPr>
        <w:pStyle w:val="12"/>
        <w:tabs>
          <w:tab w:val="right" w:leader="dot" w:pos="8948"/>
        </w:tabs>
        <w:spacing w:line="360" w:lineRule="auto"/>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"_Toc33194386"</w:instrText>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rPr>
        <w:t>第二部分  编制和提交投标文件须知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p>
    <w:p>
      <w:pPr>
        <w:pStyle w:val="12"/>
        <w:tabs>
          <w:tab w:val="right" w:leader="dot" w:pos="8948"/>
        </w:tabs>
        <w:spacing w:line="360" w:lineRule="auto"/>
        <w:rPr>
          <w:rFonts w:hint="eastAsia" w:ascii="宋体" w:hAnsi="宋体" w:eastAsia="宋体" w:cs="宋体"/>
          <w:b w:val="0"/>
          <w:bCs w:val="0"/>
          <w:caps w:val="0"/>
          <w:color w:val="auto"/>
          <w:sz w:val="24"/>
          <w:szCs w:val="24"/>
          <w:highlight w:val="none"/>
          <w:lang w:eastAsia="zh-CN"/>
        </w:rPr>
      </w:pPr>
      <w:r>
        <w:rPr>
          <w:rFonts w:hint="eastAsia" w:ascii="宋体" w:hAnsi="宋体" w:eastAsia="宋体" w:cs="宋体"/>
          <w:color w:val="auto"/>
          <w:sz w:val="24"/>
          <w:szCs w:val="24"/>
          <w:highlight w:val="none"/>
        </w:rPr>
        <w:fldChar w:fldCharType="begin"/>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"_Toc33194400"</w:instrText>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rPr>
        <w:t>第三部分  项目技术规范和服务要求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pPr>
        <w:pStyle w:val="12"/>
        <w:tabs>
          <w:tab w:val="right" w:leader="dot" w:pos="8948"/>
        </w:tabs>
        <w:spacing w:line="360" w:lineRule="auto"/>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"_Toc33194401"</w:instrText>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rPr>
        <w:t>第四部分  合同主要条款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2</w:t>
      </w:r>
    </w:p>
    <w:p>
      <w:pPr>
        <w:pStyle w:val="12"/>
        <w:tabs>
          <w:tab w:val="right" w:leader="dot" w:pos="8948"/>
        </w:tabs>
        <w:spacing w:line="360" w:lineRule="auto"/>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"_Toc33194402"</w:instrText>
      </w:r>
      <w:r>
        <w:rPr>
          <w:rStyle w:val="21"/>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rPr>
        <w:t>第五部分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6</w:t>
      </w:r>
    </w:p>
    <w:p>
      <w:pPr>
        <w:pStyle w:val="8"/>
        <w:tabs>
          <w:tab w:val="right" w:leader="dot" w:pos="8958"/>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end"/>
      </w:r>
    </w:p>
    <w:p>
      <w:pPr>
        <w:shd w:val="clear" w:color="auto" w:fill="FFFFFF"/>
        <w:tabs>
          <w:tab w:val="right" w:leader="dot" w:pos="8296"/>
        </w:tabs>
        <w:snapToGrid w:val="0"/>
        <w:spacing w:line="360" w:lineRule="auto"/>
        <w:jc w:val="center"/>
        <w:rPr>
          <w:rFonts w:hint="eastAsia" w:ascii="宋体" w:hAnsi="宋体" w:eastAsia="宋体" w:cs="宋体"/>
          <w:color w:val="auto"/>
          <w:sz w:val="24"/>
          <w:highlight w:val="none"/>
        </w:rPr>
      </w:pPr>
    </w:p>
    <w:p>
      <w:pPr>
        <w:pageBreakBefore/>
        <w:shd w:val="clear" w:color="auto" w:fill="FFFFFF"/>
        <w:snapToGrid w:val="0"/>
        <w:spacing w:line="360" w:lineRule="auto"/>
        <w:jc w:val="center"/>
        <w:outlineLvl w:val="0"/>
        <w:rPr>
          <w:rFonts w:hint="eastAsia" w:ascii="宋体" w:hAnsi="宋体" w:eastAsia="宋体" w:cs="宋体"/>
          <w:color w:val="auto"/>
          <w:sz w:val="28"/>
          <w:szCs w:val="28"/>
          <w:highlight w:val="none"/>
        </w:rPr>
      </w:pPr>
      <w:bookmarkStart w:id="0" w:name="_Toc354996693"/>
      <w:bookmarkStart w:id="1" w:name="_Toc33194385"/>
      <w:r>
        <w:rPr>
          <w:rFonts w:hint="eastAsia" w:ascii="宋体" w:hAnsi="宋体" w:eastAsia="宋体" w:cs="宋体"/>
          <w:b/>
          <w:bCs/>
          <w:color w:val="auto"/>
          <w:sz w:val="28"/>
          <w:szCs w:val="28"/>
          <w:highlight w:val="none"/>
        </w:rPr>
        <w:t>第一部分  招标公告</w:t>
      </w:r>
      <w:bookmarkEnd w:id="0"/>
      <w:bookmarkEnd w:id="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189" w:type="dxa"/>
            <w:noWrap w:val="0"/>
            <w:vAlign w:val="top"/>
          </w:tcPr>
          <w:p>
            <w:pPr>
              <w:pStyle w:val="1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项目概况：</w:t>
            </w:r>
          </w:p>
          <w:p>
            <w:pPr>
              <w:pStyle w:val="15"/>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Cs w:val="24"/>
                <w:highlight w:val="none"/>
              </w:rPr>
            </w:pPr>
            <w:r>
              <w:rPr>
                <w:rFonts w:hint="eastAsia" w:hAnsi="宋体" w:cs="宋体"/>
                <w:color w:val="auto"/>
                <w:szCs w:val="24"/>
                <w:highlight w:val="none"/>
                <w:u w:val="single"/>
                <w:lang w:eastAsia="zh-CN"/>
              </w:rPr>
              <w:t>苍南县政务无人机一体化平台项目</w:t>
            </w:r>
            <w:r>
              <w:rPr>
                <w:rFonts w:hint="eastAsia" w:ascii="宋体" w:hAnsi="宋体" w:eastAsia="宋体" w:cs="宋体"/>
                <w:color w:val="auto"/>
                <w:szCs w:val="24"/>
                <w:highlight w:val="none"/>
              </w:rPr>
              <w:t>招标项目的潜在投标人应在</w:t>
            </w:r>
            <w:r>
              <w:rPr>
                <w:rFonts w:hint="eastAsia" w:ascii="宋体" w:hAnsi="宋体" w:eastAsia="宋体" w:cs="宋体"/>
                <w:color w:val="auto"/>
                <w:szCs w:val="24"/>
                <w:highlight w:val="none"/>
                <w:lang w:eastAsia="zh-CN"/>
              </w:rPr>
              <w:t>乐采云平台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https://www.lecaiyun.com</w:t>
            </w:r>
            <w:r>
              <w:rPr>
                <w:rFonts w:hint="eastAsia" w:ascii="宋体" w:hAnsi="宋体" w:eastAsia="宋体" w:cs="宋体"/>
                <w:color w:val="auto"/>
                <w:szCs w:val="24"/>
                <w:highlight w:val="none"/>
              </w:rPr>
              <w:t>）获取（下载）招标文件，并于</w:t>
            </w:r>
            <w:r>
              <w:rPr>
                <w:rFonts w:hint="eastAsia" w:hAnsi="宋体" w:cs="宋体"/>
                <w:color w:val="auto"/>
                <w:szCs w:val="24"/>
                <w:highlight w:val="none"/>
                <w:lang w:val="en-US" w:eastAsia="zh-CN"/>
              </w:rPr>
              <w:t>2023年12月  日</w:t>
            </w: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点</w:t>
            </w:r>
            <w:r>
              <w:rPr>
                <w:rFonts w:hint="eastAsia" w:hAnsi="宋体" w:cs="宋体"/>
                <w:color w:val="auto"/>
                <w:szCs w:val="24"/>
                <w:highlight w:val="none"/>
                <w:lang w:val="en-US" w:eastAsia="zh-CN"/>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分（北京时间）前递交（</w:t>
            </w:r>
            <w:r>
              <w:rPr>
                <w:rFonts w:hint="eastAsia" w:ascii="宋体" w:hAnsi="宋体" w:eastAsia="宋体" w:cs="宋体"/>
                <w:color w:val="auto"/>
                <w:szCs w:val="24"/>
                <w:highlight w:val="none"/>
                <w:lang w:val="en-US"/>
              </w:rPr>
              <w:t>上传</w:t>
            </w:r>
            <w:r>
              <w:rPr>
                <w:rFonts w:hint="eastAsia" w:ascii="宋体" w:hAnsi="宋体" w:eastAsia="宋体" w:cs="宋体"/>
                <w:color w:val="auto"/>
                <w:szCs w:val="24"/>
                <w:highlight w:val="none"/>
              </w:rPr>
              <w:t>）投标文件。</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采购组织类型：国企采购（非政府采购）</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资金来源：自筹资金</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项目编号：</w:t>
      </w:r>
      <w:r>
        <w:rPr>
          <w:rFonts w:hint="eastAsia" w:ascii="宋体" w:hAnsi="宋体" w:eastAsia="宋体" w:cs="宋体"/>
          <w:color w:val="auto"/>
          <w:highlight w:val="none"/>
          <w:shd w:val="clear" w:color="auto" w:fill="FFFFFF"/>
          <w:lang w:val="en-US" w:eastAsia="zh-CN"/>
        </w:rPr>
        <w:t xml:space="preserve">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项目名称：</w:t>
      </w:r>
      <w:r>
        <w:rPr>
          <w:rFonts w:hint="eastAsia" w:ascii="宋体" w:hAnsi="宋体" w:eastAsia="宋体" w:cs="宋体"/>
          <w:color w:val="auto"/>
          <w:highlight w:val="none"/>
          <w:shd w:val="clear" w:color="auto" w:fill="FFFFFF"/>
          <w:lang w:eastAsia="zh-CN"/>
        </w:rPr>
        <w:t>苍南县政务无人机一体化平台项目</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预算金额（元）：</w:t>
      </w:r>
      <w:r>
        <w:rPr>
          <w:rFonts w:hint="eastAsia" w:ascii="宋体" w:hAnsi="宋体" w:eastAsia="宋体" w:cs="宋体"/>
          <w:color w:val="auto"/>
          <w:highlight w:val="none"/>
          <w:shd w:val="clear" w:color="auto" w:fill="FFFFFF"/>
          <w:lang w:val="en-US" w:eastAsia="zh-CN"/>
        </w:rPr>
        <w:t>9369600</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最高限价（元）：</w:t>
      </w:r>
      <w:r>
        <w:rPr>
          <w:rFonts w:hint="eastAsia" w:ascii="宋体" w:hAnsi="宋体" w:eastAsia="宋体" w:cs="宋体"/>
          <w:color w:val="auto"/>
          <w:highlight w:val="none"/>
          <w:shd w:val="clear" w:color="auto" w:fill="FFFFFF"/>
          <w:lang w:val="en-US" w:eastAsia="zh-CN"/>
        </w:rPr>
        <w:t>8901120</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采购需求：</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标项一</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标项名称：</w:t>
      </w:r>
      <w:r>
        <w:rPr>
          <w:rFonts w:hint="eastAsia" w:ascii="宋体" w:hAnsi="宋体" w:eastAsia="宋体" w:cs="宋体"/>
          <w:color w:val="auto"/>
          <w:highlight w:val="none"/>
          <w:shd w:val="clear" w:color="auto" w:fill="FFFFFF"/>
          <w:lang w:eastAsia="zh-CN"/>
        </w:rPr>
        <w:t>苍南县政务无人机一体化平台项目</w:t>
      </w:r>
      <w:r>
        <w:rPr>
          <w:rFonts w:hint="eastAsia" w:ascii="宋体" w:hAnsi="宋体" w:eastAsia="宋体" w:cs="宋体"/>
          <w:color w:val="auto"/>
          <w:highlight w:val="none"/>
          <w:shd w:val="clear" w:color="auto" w:fill="FFFFFF"/>
        </w:rPr>
        <w:t xml:space="preserve">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数量:1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预算金额（元）：</w:t>
      </w:r>
      <w:r>
        <w:rPr>
          <w:rFonts w:hint="eastAsia" w:ascii="宋体" w:hAnsi="宋体" w:eastAsia="宋体" w:cs="宋体"/>
          <w:color w:val="auto"/>
          <w:highlight w:val="none"/>
          <w:shd w:val="clear" w:color="auto" w:fill="FFFFFF"/>
          <w:lang w:val="en-US" w:eastAsia="zh-CN"/>
        </w:rPr>
        <w:t>9369600</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简要规格描述或项目基本概况介绍、用途：详见</w:t>
      </w:r>
      <w:r>
        <w:rPr>
          <w:rFonts w:hint="eastAsia" w:ascii="宋体" w:hAnsi="宋体" w:eastAsia="宋体" w:cs="宋体"/>
          <w:color w:val="auto"/>
          <w:highlight w:val="none"/>
          <w:shd w:val="clear" w:color="auto" w:fill="FFFFFF"/>
          <w:lang w:eastAsia="zh-CN"/>
        </w:rPr>
        <w:t>采购</w:t>
      </w:r>
      <w:r>
        <w:rPr>
          <w:rFonts w:hint="eastAsia" w:ascii="宋体" w:hAnsi="宋体" w:eastAsia="宋体" w:cs="宋体"/>
          <w:color w:val="auto"/>
          <w:highlight w:val="none"/>
          <w:shd w:val="clear" w:color="auto" w:fill="FFFFFF"/>
        </w:rPr>
        <w:t xml:space="preserve">文件第三部分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 xml:space="preserve">备注：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合同履约期限：标项 1，详见</w:t>
      </w:r>
      <w:r>
        <w:rPr>
          <w:rFonts w:hint="eastAsia" w:ascii="宋体" w:hAnsi="宋体" w:eastAsia="宋体" w:cs="宋体"/>
          <w:color w:val="auto"/>
          <w:highlight w:val="none"/>
          <w:shd w:val="clear" w:color="auto" w:fill="FFFFFF"/>
          <w:lang w:eastAsia="zh-CN"/>
        </w:rPr>
        <w:t>采购</w:t>
      </w:r>
      <w:r>
        <w:rPr>
          <w:rFonts w:hint="eastAsia" w:ascii="宋体" w:hAnsi="宋体" w:eastAsia="宋体" w:cs="宋体"/>
          <w:color w:val="auto"/>
          <w:highlight w:val="none"/>
          <w:shd w:val="clear" w:color="auto" w:fill="FFFFFF"/>
        </w:rPr>
        <w:t xml:space="preserve">文件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rPr>
        <w:t>（一）投标人参加国有企业采购活动应当具备下列条件</w:t>
      </w:r>
      <w:r>
        <w:rPr>
          <w:rFonts w:hint="eastAsia" w:ascii="宋体" w:hAnsi="宋体" w:eastAsia="宋体" w:cs="宋体"/>
          <w:color w:val="auto"/>
          <w:highlight w:val="none"/>
          <w:shd w:val="clear" w:color="auto" w:fill="FFFFFF"/>
          <w:lang w:eastAsia="zh-CN"/>
        </w:rPr>
        <w:t>：</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1.具有独立承担民事责任的能力；</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2.具有良好的商业信誉和健全的财务会计制度；</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3.具有履行合同所必需的设备和专业技术、售后保障等能力；</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4.有依法缴纳税收和社会保障资金的良好记录；</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r>
        <w:rPr>
          <w:rFonts w:hint="eastAsia" w:ascii="宋体" w:hAnsi="宋体" w:eastAsia="宋体" w:cs="宋体"/>
          <w:color w:val="auto"/>
          <w:highlight w:val="none"/>
          <w:shd w:val="clear" w:color="auto" w:fill="FFFFFF"/>
          <w:lang w:eastAsia="zh-CN"/>
        </w:rPr>
        <w:t>；</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6.法律、行政法规规定的其他条件。</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（二）单位负责人为同一人或者存在直接控股、管理关系的不同供应商，不得参加同一合同项下的国企采购活动；</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（三）本项目不接受联合体投标。</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三、获取招标文件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时间：/</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eastAsia="zh-CN"/>
        </w:rPr>
        <w:t>2023年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地点（网址）：</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rPr>
        <w:t xml:space="preserve">） </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方式：线上获取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售价（元）：0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1、投标截止时间：</w:t>
      </w:r>
      <w:r>
        <w:rPr>
          <w:rFonts w:hint="eastAsia" w:ascii="宋体" w:hAnsi="宋体" w:eastAsia="宋体" w:cs="宋体"/>
          <w:color w:val="auto"/>
          <w:highlight w:val="none"/>
          <w:shd w:val="clear" w:color="auto" w:fill="FFFFFF"/>
          <w:lang w:eastAsia="zh-CN"/>
        </w:rPr>
        <w:t>2023年</w:t>
      </w:r>
      <w:r>
        <w:rPr>
          <w:rFonts w:hint="eastAsia" w:ascii="宋体" w:hAnsi="宋体" w:eastAsia="宋体" w:cs="宋体"/>
          <w:color w:val="auto"/>
          <w:highlight w:val="none"/>
          <w:shd w:val="clear" w:color="auto" w:fill="FFFFFF"/>
          <w:lang w:val="en-US" w:eastAsia="zh-CN"/>
        </w:rPr>
        <w:t>12</w:t>
      </w:r>
      <w:r>
        <w:rPr>
          <w:rFonts w:hint="eastAsia" w:ascii="宋体" w:hAnsi="宋体" w:eastAsia="宋体" w:cs="宋体"/>
          <w:color w:val="auto"/>
          <w:highlight w:val="none"/>
          <w:shd w:val="clear" w:color="auto" w:fill="FFFFFF"/>
          <w:lang w:eastAsia="zh-CN"/>
        </w:rPr>
        <w:t>月</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lang w:eastAsia="zh-CN"/>
        </w:rPr>
        <w:t>日</w:t>
      </w:r>
      <w:r>
        <w:rPr>
          <w:rFonts w:hint="eastAsia" w:ascii="宋体" w:hAnsi="宋体" w:eastAsia="宋体" w:cs="宋体"/>
          <w:color w:val="auto"/>
          <w:highlight w:val="none"/>
          <w:shd w:val="clear" w:color="auto" w:fill="FFFFFF"/>
          <w:lang w:val="en-US" w:eastAsia="zh-CN"/>
        </w:rPr>
        <w:t>14</w:t>
      </w:r>
      <w:r>
        <w:rPr>
          <w:rFonts w:hint="eastAsia" w:ascii="宋体" w:hAnsi="宋体" w:eastAsia="宋体" w:cs="宋体"/>
          <w:color w:val="auto"/>
          <w:highlight w:val="none"/>
          <w:shd w:val="clear" w:color="auto" w:fill="FFFFFF"/>
        </w:rPr>
        <w:t>点</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0分（北京时间）</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bookmarkStart w:id="2" w:name="_Toc35393794"/>
      <w:bookmarkStart w:id="3" w:name="_Toc28359084"/>
      <w:bookmarkStart w:id="4" w:name="_Toc28359007"/>
      <w:bookmarkStart w:id="5" w:name="_Toc35393625"/>
      <w:r>
        <w:rPr>
          <w:rFonts w:hint="eastAsia" w:ascii="宋体" w:hAnsi="宋体" w:eastAsia="宋体" w:cs="宋体"/>
          <w:color w:val="auto"/>
          <w:highlight w:val="none"/>
          <w:shd w:val="clear" w:color="auto" w:fill="FFFFFF"/>
        </w:rPr>
        <w:t>2、投标地点(网址）：“</w:t>
      </w:r>
      <w:r>
        <w:rPr>
          <w:rFonts w:hint="eastAsia" w:ascii="宋体" w:hAnsi="宋体" w:eastAsia="宋体" w:cs="宋体"/>
          <w:color w:val="auto"/>
          <w:highlight w:val="none"/>
          <w:shd w:val="clear" w:color="auto" w:fill="FFFFFF"/>
          <w:lang w:eastAsia="zh-CN"/>
        </w:rPr>
        <w:t>乐采云平台</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https://www.lecaiyun.com</w:t>
      </w:r>
      <w:r>
        <w:rPr>
          <w:rFonts w:hint="eastAsia" w:ascii="宋体" w:hAnsi="宋体" w:eastAsia="宋体" w:cs="宋体"/>
          <w:color w:val="auto"/>
          <w:highlight w:val="none"/>
          <w:shd w:val="clear" w:color="auto" w:fill="FFFFFF"/>
        </w:rPr>
        <w:t>）”实行在线投标响应</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3、开标时间：</w:t>
      </w:r>
      <w:r>
        <w:rPr>
          <w:rFonts w:hint="eastAsia" w:ascii="宋体" w:hAnsi="宋体" w:eastAsia="宋体" w:cs="宋体"/>
          <w:color w:val="auto"/>
          <w:highlight w:val="none"/>
          <w:shd w:val="clear" w:color="auto" w:fill="FFFFFF"/>
          <w:lang w:eastAsia="zh-CN"/>
        </w:rPr>
        <w:t>2023年</w:t>
      </w:r>
      <w:r>
        <w:rPr>
          <w:rFonts w:hint="eastAsia" w:ascii="宋体" w:hAnsi="宋体" w:eastAsia="宋体" w:cs="宋体"/>
          <w:color w:val="auto"/>
          <w:highlight w:val="none"/>
          <w:shd w:val="clear" w:color="auto" w:fill="FFFFFF"/>
          <w:lang w:val="en-US" w:eastAsia="zh-CN"/>
        </w:rPr>
        <w:t>12</w:t>
      </w:r>
      <w:r>
        <w:rPr>
          <w:rFonts w:hint="eastAsia" w:ascii="宋体" w:hAnsi="宋体" w:eastAsia="宋体" w:cs="宋体"/>
          <w:color w:val="auto"/>
          <w:highlight w:val="none"/>
          <w:shd w:val="clear" w:color="auto" w:fill="FFFFFF"/>
          <w:lang w:eastAsia="zh-CN"/>
        </w:rPr>
        <w:t>月</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lang w:eastAsia="zh-CN"/>
        </w:rPr>
        <w:t>日</w:t>
      </w:r>
      <w:r>
        <w:rPr>
          <w:rFonts w:hint="eastAsia" w:ascii="宋体" w:hAnsi="宋体" w:eastAsia="宋体" w:cs="宋体"/>
          <w:color w:val="auto"/>
          <w:highlight w:val="none"/>
          <w:shd w:val="clear" w:color="auto" w:fill="FFFFFF"/>
          <w:lang w:val="en-US" w:eastAsia="zh-CN"/>
        </w:rPr>
        <w:t>14</w:t>
      </w:r>
      <w:r>
        <w:rPr>
          <w:rFonts w:hint="eastAsia" w:ascii="宋体" w:hAnsi="宋体" w:eastAsia="宋体" w:cs="宋体"/>
          <w:color w:val="auto"/>
          <w:highlight w:val="none"/>
          <w:shd w:val="clear" w:color="auto" w:fill="FFFFFF"/>
          <w:lang w:eastAsia="zh-CN"/>
        </w:rPr>
        <w:t>点</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eastAsia="zh-CN"/>
        </w:rPr>
        <w:t>0分</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sz w:val="22"/>
          <w:szCs w:val="22"/>
          <w:highlight w:val="none"/>
        </w:rPr>
      </w:pPr>
      <w:r>
        <w:rPr>
          <w:rFonts w:hint="eastAsia" w:ascii="宋体" w:hAnsi="宋体" w:eastAsia="宋体" w:cs="宋体"/>
          <w:color w:val="auto"/>
          <w:highlight w:val="none"/>
          <w:shd w:val="clear" w:color="auto" w:fill="FFFFFF"/>
        </w:rPr>
        <w:t>4、开评标地点（网址）：苍南县灵溪镇春晖路公投大厦--苍南县公共资源交易中心/“</w:t>
      </w:r>
      <w:r>
        <w:rPr>
          <w:rFonts w:hint="eastAsia" w:ascii="宋体" w:hAnsi="宋体" w:eastAsia="宋体" w:cs="宋体"/>
          <w:color w:val="auto"/>
          <w:highlight w:val="none"/>
          <w:shd w:val="clear" w:color="auto" w:fill="FFFFFF"/>
          <w:lang w:eastAsia="zh-CN"/>
        </w:rPr>
        <w:t>乐采云平台</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https://www.lecaiyun.com</w:t>
      </w:r>
      <w:r>
        <w:rPr>
          <w:rFonts w:hint="eastAsia" w:ascii="宋体" w:hAnsi="宋体" w:eastAsia="宋体" w:cs="宋体"/>
          <w:color w:val="auto"/>
          <w:highlight w:val="none"/>
          <w:shd w:val="clear" w:color="auto" w:fill="FFFFFF"/>
        </w:rPr>
        <w:t>）”</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
      <w:bookmarkEnd w:id="3"/>
      <w:bookmarkEnd w:id="4"/>
      <w:bookmarkEnd w:id="5"/>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自本公告发布之日起5个工作日。</w:t>
      </w:r>
    </w:p>
    <w:p>
      <w:pPr>
        <w:spacing w:line="360" w:lineRule="auto"/>
        <w:rPr>
          <w:rFonts w:hint="eastAsia" w:ascii="宋体" w:hAnsi="宋体" w:eastAsia="宋体" w:cs="宋体"/>
          <w:b/>
          <w:bCs/>
          <w:color w:val="auto"/>
          <w:sz w:val="24"/>
          <w:szCs w:val="24"/>
          <w:highlight w:val="none"/>
        </w:rPr>
      </w:pPr>
      <w:bookmarkStart w:id="6" w:name="_Toc35393795"/>
      <w:bookmarkStart w:id="7" w:name="_Toc35393626"/>
      <w:r>
        <w:rPr>
          <w:rFonts w:hint="eastAsia" w:ascii="宋体" w:hAnsi="宋体" w:eastAsia="宋体" w:cs="宋体"/>
          <w:b/>
          <w:bCs/>
          <w:color w:val="auto"/>
          <w:sz w:val="24"/>
          <w:szCs w:val="24"/>
          <w:highlight w:val="none"/>
        </w:rPr>
        <w:t>六、其他补充事宜</w:t>
      </w:r>
      <w:bookmarkEnd w:id="6"/>
      <w:bookmarkEnd w:id="7"/>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bookmarkStart w:id="8" w:name="_Toc35393796"/>
      <w:bookmarkStart w:id="9" w:name="_Toc35393627"/>
      <w:bookmarkStart w:id="10" w:name="_Toc28359085"/>
      <w:bookmarkStart w:id="11" w:name="_Toc28359008"/>
      <w:r>
        <w:rPr>
          <w:rFonts w:hint="eastAsia" w:ascii="宋体" w:hAnsi="宋体" w:eastAsia="宋体" w:cs="宋体"/>
          <w:color w:val="auto"/>
          <w:highlight w:val="none"/>
          <w:shd w:val="clear" w:color="auto" w:fill="FFFFFF"/>
          <w:lang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人民法院提起诉讼。</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 xml:space="preserve">2.其他事项：投标供应商无需缴纳投标保证金。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eastAsia="zh-CN"/>
        </w:rPr>
        <w:t>本项目为</w:t>
      </w:r>
      <w:r>
        <w:rPr>
          <w:rFonts w:hint="eastAsia" w:ascii="宋体" w:hAnsi="宋体" w:eastAsia="宋体" w:cs="宋体"/>
          <w:color w:val="auto"/>
          <w:highlight w:val="none"/>
          <w:shd w:val="clear" w:color="auto" w:fill="FFFFFF"/>
          <w:lang w:val="en-US" w:eastAsia="zh-CN"/>
        </w:rPr>
        <w:t>非政府</w:t>
      </w:r>
      <w:r>
        <w:rPr>
          <w:rFonts w:hint="eastAsia" w:ascii="宋体" w:hAnsi="宋体" w:eastAsia="宋体" w:cs="宋体"/>
          <w:color w:val="auto"/>
          <w:highlight w:val="none"/>
          <w:shd w:val="clear" w:color="auto" w:fill="FFFFFF"/>
          <w:lang w:eastAsia="zh-CN"/>
        </w:rPr>
        <w:t>采购，参照相关规定执行，如与</w:t>
      </w:r>
      <w:r>
        <w:rPr>
          <w:rFonts w:hint="eastAsia" w:ascii="宋体" w:hAnsi="宋体" w:eastAsia="宋体" w:cs="宋体"/>
          <w:color w:val="auto"/>
          <w:highlight w:val="none"/>
          <w:shd w:val="clear" w:color="auto" w:fill="FFFFFF"/>
          <w:lang w:val="en-US" w:eastAsia="zh-CN"/>
        </w:rPr>
        <w:t>政府采购法等</w:t>
      </w:r>
      <w:r>
        <w:rPr>
          <w:rFonts w:hint="eastAsia" w:ascii="宋体" w:hAnsi="宋体" w:eastAsia="宋体" w:cs="宋体"/>
          <w:color w:val="auto"/>
          <w:highlight w:val="none"/>
          <w:shd w:val="clear" w:color="auto" w:fill="FFFFFF"/>
          <w:lang w:eastAsia="zh-CN"/>
        </w:rPr>
        <w:t>相关规定不一致以本采购文件为准。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bookmarkEnd w:id="8"/>
      <w:bookmarkEnd w:id="9"/>
      <w:bookmarkEnd w:id="10"/>
      <w:bookmarkEnd w:id="11"/>
      <w:r>
        <w:rPr>
          <w:rFonts w:hint="eastAsia" w:ascii="宋体" w:hAnsi="宋体" w:eastAsia="宋体" w:cs="宋体"/>
          <w:b/>
          <w:bCs/>
          <w:color w:val="auto"/>
          <w:sz w:val="24"/>
          <w:szCs w:val="24"/>
          <w:highlight w:val="none"/>
        </w:rPr>
        <w:t>对本次采购提出询问、质疑，请按以下方式联系</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1.采购人信息</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名   称：苍南县数据管理发展有限公司</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地   址：苍南县灵溪镇公投大厦</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传   </w:t>
      </w:r>
      <w:r>
        <w:rPr>
          <w:rFonts w:hint="eastAsia" w:ascii="宋体" w:hAnsi="宋体" w:eastAsia="宋体" w:cs="宋体"/>
          <w:color w:val="auto"/>
          <w:highlight w:val="none"/>
          <w:shd w:val="clear" w:color="auto" w:fill="FFFFFF"/>
          <w:lang w:val="en-US" w:eastAsia="zh-CN"/>
        </w:rPr>
        <w:t xml:space="preserve"> </w:t>
      </w:r>
      <w:r>
        <w:rPr>
          <w:rFonts w:hint="eastAsia" w:ascii="宋体" w:hAnsi="宋体" w:eastAsia="宋体" w:cs="宋体"/>
          <w:color w:val="auto"/>
          <w:highlight w:val="none"/>
          <w:shd w:val="clear" w:color="auto" w:fill="FFFFFF"/>
          <w:lang w:eastAsia="zh-CN"/>
        </w:rPr>
        <w:t>真：/</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eastAsia="zh-CN"/>
        </w:rPr>
        <w:t>项目联系人（询问）：</w:t>
      </w:r>
      <w:r>
        <w:rPr>
          <w:rFonts w:hint="eastAsia" w:ascii="宋体" w:hAnsi="宋体" w:eastAsia="宋体" w:cs="宋体"/>
          <w:color w:val="auto"/>
          <w:highlight w:val="none"/>
          <w:shd w:val="clear" w:color="auto" w:fill="FFFFFF"/>
          <w:lang w:val="en-US" w:eastAsia="zh-CN"/>
        </w:rPr>
        <w:t>苏先生</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项目联系方式（询问）：0577-59867708</w:t>
      </w:r>
      <w:r>
        <w:rPr>
          <w:rFonts w:hint="eastAsia" w:ascii="宋体" w:hAnsi="宋体" w:eastAsia="宋体" w:cs="宋体"/>
          <w:i w:val="0"/>
          <w:iCs w:val="0"/>
          <w:caps w:val="0"/>
          <w:color w:val="000000"/>
          <w:spacing w:val="0"/>
          <w:sz w:val="24"/>
          <w:szCs w:val="24"/>
          <w:lang w:val="en-US" w:eastAsia="zh-CN"/>
        </w:rPr>
        <w:t xml:space="preserve">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2.采购代理机构信息</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名   称：温州同筑工程管理有限公司</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地   址：苍南县灵溪镇府后小区5栋1单元201室</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传    真：</w:t>
      </w:r>
      <w:r>
        <w:rPr>
          <w:rFonts w:hint="eastAsia" w:ascii="宋体" w:hAnsi="宋体" w:eastAsia="宋体" w:cs="宋体"/>
          <w:color w:val="auto"/>
          <w:highlight w:val="none"/>
          <w:shd w:val="clear" w:color="auto" w:fill="FFFFFF"/>
          <w:lang w:val="en-US" w:eastAsia="zh-CN"/>
        </w:rPr>
        <w:t>/</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项目联系人（询问）：郭先生</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eastAsia="zh-CN"/>
        </w:rPr>
        <w:t>项目联系方式（询问）：0577-64795111</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eastAsia="zh-CN"/>
        </w:rPr>
        <w:t>质疑联系人：</w:t>
      </w:r>
      <w:r>
        <w:rPr>
          <w:rFonts w:hint="eastAsia" w:ascii="宋体" w:hAnsi="宋体" w:eastAsia="宋体" w:cs="宋体"/>
          <w:color w:val="auto"/>
          <w:highlight w:val="none"/>
          <w:shd w:val="clear" w:color="auto" w:fill="FFFFFF"/>
          <w:lang w:val="en-US" w:eastAsia="zh-CN"/>
        </w:rPr>
        <w:t>林先生</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eastAsia="zh-CN"/>
        </w:rPr>
        <w:t>质疑联系方式：</w:t>
      </w:r>
      <w:r>
        <w:rPr>
          <w:rFonts w:hint="eastAsia" w:ascii="宋体" w:hAnsi="宋体" w:eastAsia="宋体" w:cs="宋体"/>
          <w:color w:val="auto"/>
          <w:highlight w:val="none"/>
          <w:shd w:val="clear" w:color="auto" w:fill="FFFFFF"/>
          <w:lang w:val="en-US" w:eastAsia="zh-CN"/>
        </w:rPr>
        <w:t>13656500633</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3、备案机构信息</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名   称：苍南县公共事业投资集团有限公司</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地   址：</w:t>
      </w:r>
      <w:r>
        <w:rPr>
          <w:rFonts w:hint="eastAsia" w:ascii="宋体" w:hAnsi="宋体" w:eastAsia="宋体" w:cs="宋体"/>
          <w:color w:val="auto"/>
          <w:highlight w:val="none"/>
          <w:shd w:val="clear" w:color="auto" w:fill="FFFFFF"/>
          <w:lang w:eastAsia="zh-CN"/>
        </w:rPr>
        <w:t>苍南县灵溪镇公投大厦</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传   真：/</w:t>
      </w:r>
    </w:p>
    <w:p>
      <w:pPr>
        <w:pStyle w:val="14"/>
        <w:shd w:val="clear" w:color="auto" w:fill="FFFFFF"/>
        <w:spacing w:before="60" w:beforeAutospacing="0" w:after="6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 xml:space="preserve">联 系 人：陈先生 </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联系电话：</w:t>
      </w:r>
      <w:bookmarkStart w:id="12" w:name="_Toc33194386"/>
      <w:bookmarkStart w:id="13" w:name="_Toc354996694"/>
      <w:bookmarkStart w:id="14" w:name="_Toc225840107"/>
      <w:r>
        <w:rPr>
          <w:rFonts w:hint="eastAsia" w:ascii="宋体" w:hAnsi="宋体" w:eastAsia="宋体" w:cs="宋体"/>
          <w:color w:val="auto"/>
          <w:highlight w:val="none"/>
          <w:shd w:val="clear" w:color="auto" w:fill="FFFFFF"/>
          <w:lang w:val="en-US" w:eastAsia="zh-CN"/>
        </w:rPr>
        <w:t xml:space="preserve">13587809955 </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8"/>
          <w:szCs w:val="28"/>
          <w:highlight w:val="none"/>
        </w:rPr>
        <w:t>第二部分  编制和提交投标文件须知</w:t>
      </w:r>
      <w:bookmarkEnd w:id="12"/>
      <w:bookmarkEnd w:id="13"/>
    </w:p>
    <w:p>
      <w:pPr>
        <w:keepNext/>
        <w:keepLines/>
        <w:shd w:val="clear" w:color="auto" w:fill="FFFFFF"/>
        <w:tabs>
          <w:tab w:val="left" w:pos="706"/>
        </w:tabs>
        <w:snapToGrid w:val="0"/>
        <w:spacing w:line="360" w:lineRule="auto"/>
        <w:ind w:left="560" w:firstLine="454"/>
        <w:jc w:val="center"/>
        <w:outlineLvl w:val="1"/>
        <w:rPr>
          <w:rFonts w:hint="eastAsia" w:ascii="宋体" w:hAnsi="宋体" w:eastAsia="宋体" w:cs="宋体"/>
          <w:b/>
          <w:bCs/>
          <w:color w:val="auto"/>
          <w:sz w:val="24"/>
          <w:highlight w:val="none"/>
        </w:rPr>
      </w:pPr>
      <w:bookmarkStart w:id="15" w:name="_Toc354996695"/>
      <w:bookmarkStart w:id="16" w:name="_Toc233618971"/>
      <w:bookmarkStart w:id="17" w:name="_Toc33194387"/>
      <w:r>
        <w:rPr>
          <w:rFonts w:hint="eastAsia" w:ascii="宋体" w:hAnsi="宋体" w:eastAsia="宋体" w:cs="宋体"/>
          <w:b/>
          <w:bCs/>
          <w:color w:val="auto"/>
          <w:sz w:val="24"/>
          <w:highlight w:val="none"/>
        </w:rPr>
        <w:t>前 附 表</w:t>
      </w:r>
      <w:bookmarkEnd w:id="15"/>
      <w:bookmarkEnd w:id="16"/>
      <w:bookmarkEnd w:id="17"/>
    </w:p>
    <w:tbl>
      <w:tblPr>
        <w:tblStyle w:val="17"/>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4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9"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条款</w:t>
            </w:r>
          </w:p>
        </w:tc>
        <w:tc>
          <w:tcPr>
            <w:tcW w:w="8438" w:type="dxa"/>
            <w:tcBorders>
              <w:top w:val="single" w:color="000000" w:sz="8"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项目说明</w:t>
            </w:r>
          </w:p>
          <w:p>
            <w:pPr>
              <w:tabs>
                <w:tab w:val="left" w:pos="3780"/>
              </w:tabs>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一、项目名称：</w:t>
            </w:r>
            <w:r>
              <w:rPr>
                <w:rFonts w:hint="eastAsia" w:ascii="宋体" w:hAnsi="宋体" w:cs="宋体"/>
                <w:bCs/>
                <w:color w:val="auto"/>
                <w:spacing w:val="-5"/>
                <w:kern w:val="20"/>
                <w:sz w:val="24"/>
                <w:highlight w:val="none"/>
                <w:lang w:eastAsia="zh-CN"/>
              </w:rPr>
              <w:t>苍南县政务无人机一体化平台项目</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bookmarkStart w:id="18" w:name="_Hlt75139851"/>
            <w:bookmarkEnd w:id="18"/>
            <w:r>
              <w:rPr>
                <w:rFonts w:hint="eastAsia" w:ascii="宋体" w:hAnsi="宋体" w:eastAsia="宋体" w:cs="宋体"/>
                <w:b/>
                <w:color w:val="auto"/>
                <w:sz w:val="24"/>
                <w:highlight w:val="none"/>
              </w:rPr>
              <w:t>二、项目实施地点：</w:t>
            </w:r>
            <w:r>
              <w:rPr>
                <w:rFonts w:hint="eastAsia" w:ascii="宋体" w:hAnsi="宋体" w:cs="宋体"/>
                <w:b w:val="0"/>
                <w:bCs w:val="0"/>
                <w:color w:val="auto"/>
                <w:spacing w:val="-5"/>
                <w:kern w:val="20"/>
                <w:sz w:val="24"/>
                <w:highlight w:val="none"/>
                <w:lang w:eastAsia="zh-CN"/>
              </w:rPr>
              <w:t>苍南县数据管理发展有限公司</w:t>
            </w:r>
            <w:r>
              <w:rPr>
                <w:rFonts w:hint="eastAsia" w:ascii="宋体" w:hAnsi="宋体" w:eastAsia="宋体" w:cs="宋体"/>
                <w:b w:val="0"/>
                <w:bCs w:val="0"/>
                <w:color w:val="auto"/>
                <w:sz w:val="24"/>
                <w:highlight w:val="none"/>
              </w:rPr>
              <w:t>及其指定地点。</w:t>
            </w:r>
          </w:p>
          <w:p>
            <w:pPr>
              <w:autoSpaceDE w:val="0"/>
              <w:autoSpaceDN w:val="0"/>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三、主要功能和性能要求：</w:t>
            </w:r>
            <w:r>
              <w:rPr>
                <w:rFonts w:hint="eastAsia" w:ascii="宋体" w:hAnsi="宋体" w:eastAsia="宋体" w:cs="宋体"/>
                <w:color w:val="auto"/>
                <w:sz w:val="24"/>
                <w:highlight w:val="none"/>
              </w:rPr>
              <w:t>详见第三部分——项目技术规范和服务要求。</w:t>
            </w: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四、供货期：▲1、项目自开工申请批复后60天内完成硬件设备交付，开工申请批复后90天内完成平台交付，进入3个月试运行期。</w:t>
            </w:r>
            <w:bookmarkStart w:id="140" w:name="_GoBack"/>
            <w:bookmarkEnd w:id="140"/>
          </w:p>
          <w:p>
            <w:pPr>
              <w:autoSpaceDE w:val="0"/>
              <w:autoSpaceDN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val="zh-CN"/>
              </w:rPr>
              <w:t>采购预算</w:t>
            </w:r>
            <w:r>
              <w:rPr>
                <w:rFonts w:hint="eastAsia" w:ascii="宋体" w:hAnsi="宋体" w:eastAsia="宋体" w:cs="宋体"/>
                <w:b/>
                <w:color w:val="auto"/>
                <w:sz w:val="24"/>
                <w:highlight w:val="none"/>
              </w:rPr>
              <w:t>金额</w:t>
            </w:r>
            <w:r>
              <w:rPr>
                <w:rFonts w:hint="eastAsia" w:ascii="宋体" w:hAnsi="宋体" w:eastAsia="宋体" w:cs="宋体"/>
                <w:b/>
                <w:color w:val="auto"/>
                <w:sz w:val="24"/>
                <w:highlight w:val="none"/>
                <w:lang w:val="zh-CN"/>
              </w:rPr>
              <w:t>：</w:t>
            </w:r>
            <w:r>
              <w:rPr>
                <w:rFonts w:hint="eastAsia" w:ascii="宋体" w:hAnsi="宋体" w:eastAsia="宋体" w:cs="宋体"/>
                <w:b/>
                <w:bCs/>
                <w:color w:val="auto"/>
                <w:sz w:val="24"/>
                <w:highlight w:val="none"/>
                <w:lang w:val="zh-CN"/>
              </w:rPr>
              <w:t>人民币</w:t>
            </w:r>
            <w:r>
              <w:rPr>
                <w:rFonts w:hint="eastAsia" w:ascii="宋体" w:hAnsi="宋体" w:cs="宋体"/>
                <w:b/>
                <w:bCs/>
                <w:color w:val="auto"/>
                <w:sz w:val="24"/>
                <w:highlight w:val="none"/>
                <w:u w:val="single"/>
                <w:lang w:val="zh-CN"/>
              </w:rPr>
              <w:t>9369600</w:t>
            </w:r>
            <w:r>
              <w:rPr>
                <w:rFonts w:hint="eastAsia" w:ascii="宋体" w:hAnsi="宋体" w:eastAsia="宋体" w:cs="宋体"/>
                <w:b/>
                <w:bCs/>
                <w:color w:val="auto"/>
                <w:sz w:val="24"/>
                <w:highlight w:val="none"/>
                <w:lang w:val="zh-CN"/>
              </w:rPr>
              <w:t>元，</w:t>
            </w:r>
            <w:r>
              <w:rPr>
                <w:rFonts w:hint="eastAsia" w:ascii="宋体" w:hAnsi="宋体" w:eastAsia="宋体" w:cs="宋体"/>
                <w:b/>
                <w:bCs/>
                <w:color w:val="auto"/>
                <w:sz w:val="24"/>
                <w:highlight w:val="none"/>
              </w:rPr>
              <w:t>最高限价：</w:t>
            </w:r>
            <w:r>
              <w:rPr>
                <w:rFonts w:hint="eastAsia" w:ascii="宋体" w:hAnsi="宋体" w:eastAsia="宋体" w:cs="宋体"/>
                <w:b/>
                <w:bCs/>
                <w:color w:val="auto"/>
                <w:sz w:val="24"/>
                <w:highlight w:val="none"/>
                <w:lang w:val="zh-CN"/>
              </w:rPr>
              <w:t>人民币</w:t>
            </w:r>
            <w:r>
              <w:rPr>
                <w:rFonts w:hint="eastAsia" w:ascii="宋体" w:hAnsi="宋体" w:cs="宋体"/>
                <w:b/>
                <w:bCs/>
                <w:color w:val="auto"/>
                <w:sz w:val="24"/>
                <w:highlight w:val="none"/>
                <w:u w:val="single"/>
                <w:lang w:val="en-US" w:eastAsia="zh-CN"/>
              </w:rPr>
              <w:t>8901120</w:t>
            </w:r>
            <w:r>
              <w:rPr>
                <w:rFonts w:hint="eastAsia" w:ascii="宋体" w:hAnsi="宋体" w:eastAsia="宋体" w:cs="宋体"/>
                <w:b/>
                <w:bCs/>
                <w:color w:val="auto"/>
                <w:sz w:val="24"/>
                <w:highlight w:val="none"/>
                <w:u w:val="single"/>
              </w:rPr>
              <w:t>元</w:t>
            </w:r>
            <w:r>
              <w:rPr>
                <w:rFonts w:hint="eastAsia" w:ascii="宋体" w:hAnsi="宋体" w:eastAsia="宋体" w:cs="宋体"/>
                <w:color w:val="auto"/>
                <w:sz w:val="24"/>
                <w:highlight w:val="none"/>
                <w:lang w:val="zh-CN"/>
              </w:rPr>
              <w:t>。</w:t>
            </w:r>
            <w:r>
              <w:rPr>
                <w:rFonts w:hint="eastAsia" w:ascii="宋体" w:hAnsi="宋体" w:eastAsia="宋体" w:cs="宋体"/>
                <w:b/>
                <w:bCs/>
                <w:color w:val="auto"/>
                <w:sz w:val="24"/>
                <w:highlight w:val="none"/>
              </w:rPr>
              <w:t>如供应商的投标报价超过最高限价的，其投标文件作无效标处理</w:t>
            </w:r>
            <w:r>
              <w:rPr>
                <w:rFonts w:hint="eastAsia" w:ascii="宋体" w:hAnsi="宋体" w:cs="宋体"/>
                <w:b/>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2"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投标</w:t>
            </w:r>
            <w:r>
              <w:rPr>
                <w:rFonts w:hint="eastAsia" w:ascii="宋体" w:hAnsi="宋体" w:eastAsia="宋体" w:cs="宋体"/>
                <w:b/>
                <w:bCs/>
                <w:color w:val="auto"/>
                <w:sz w:val="24"/>
                <w:highlight w:val="none"/>
              </w:rPr>
              <w:t>有效期：</w:t>
            </w:r>
            <w:r>
              <w:rPr>
                <w:rFonts w:hint="eastAsia" w:ascii="宋体" w:hAnsi="宋体" w:eastAsia="宋体" w:cs="宋体"/>
                <w:color w:val="auto"/>
                <w:sz w:val="24"/>
                <w:highlight w:val="none"/>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4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投标保证金数额：</w:t>
            </w:r>
            <w:r>
              <w:rPr>
                <w:rFonts w:hint="eastAsia" w:ascii="宋体" w:hAnsi="宋体" w:eastAsia="宋体" w:cs="宋体"/>
                <w:color w:val="auto"/>
                <w:sz w:val="22"/>
                <w:szCs w:val="22"/>
                <w:highlight w:val="none"/>
              </w:rPr>
              <w:t>投标供应商无需缴纳投标保证金。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widowControl/>
              <w:spacing w:before="99" w:after="99" w:line="360" w:lineRule="auto"/>
              <w:ind w:right="96"/>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4"/>
                <w:highlight w:val="none"/>
              </w:rPr>
              <w:t>招标服务费：</w:t>
            </w:r>
            <w:r>
              <w:rPr>
                <w:rFonts w:hint="eastAsia" w:ascii="宋体" w:hAnsi="宋体" w:eastAsia="宋体" w:cs="宋体"/>
                <w:b/>
                <w:color w:val="auto"/>
                <w:sz w:val="22"/>
                <w:szCs w:val="22"/>
                <w:highlight w:val="none"/>
                <w:u w:val="single"/>
              </w:rPr>
              <w:t>采购代理服务费向中标供应商收取，（招标代理服务收费</w:t>
            </w:r>
            <w:r>
              <w:rPr>
                <w:rFonts w:hint="eastAsia" w:ascii="宋体" w:hAnsi="宋体" w:eastAsia="宋体" w:cs="宋体"/>
                <w:b/>
                <w:color w:val="auto"/>
                <w:sz w:val="22"/>
                <w:szCs w:val="22"/>
                <w:highlight w:val="none"/>
                <w:u w:val="single"/>
                <w:lang w:eastAsia="zh-CN"/>
              </w:rPr>
              <w:t>以预算为计价基数，参照国家收费标准计价格[2002]1980号文件</w:t>
            </w:r>
            <w:r>
              <w:rPr>
                <w:rFonts w:hint="eastAsia" w:ascii="宋体" w:hAnsi="宋体" w:cs="宋体"/>
                <w:b/>
                <w:color w:val="auto"/>
                <w:sz w:val="22"/>
                <w:szCs w:val="22"/>
                <w:highlight w:val="none"/>
                <w:u w:val="single"/>
                <w:lang w:val="en-US" w:eastAsia="zh-CN"/>
              </w:rPr>
              <w:t>收取90200</w:t>
            </w:r>
            <w:r>
              <w:rPr>
                <w:rFonts w:hint="eastAsia" w:ascii="宋体" w:hAnsi="宋体" w:eastAsia="宋体" w:cs="宋体"/>
                <w:b/>
                <w:color w:val="auto"/>
                <w:sz w:val="22"/>
                <w:szCs w:val="22"/>
                <w:highlight w:val="none"/>
                <w:u w:val="single"/>
              </w:rPr>
              <w:t>元包干</w:t>
            </w:r>
            <w:r>
              <w:rPr>
                <w:rFonts w:hint="eastAsia" w:ascii="宋体" w:hAnsi="宋体" w:eastAsia="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rPr>
              <w:t>含平台服务费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lang w:val="en-US" w:eastAsia="zh-CN"/>
              </w:rPr>
              <w:t>平台费以实际为准，由中标单位支付给平台</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）。供应商在报价时须将采购代理服务费综合考虑在内。</w:t>
            </w:r>
          </w:p>
          <w:p>
            <w:pPr>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招标代理服务费汇入以下帐号：</w:t>
            </w:r>
          </w:p>
          <w:p>
            <w:pPr>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开户银行：浙江苍南农村商业银行股份有限公司营业部</w:t>
            </w:r>
          </w:p>
          <w:p>
            <w:pPr>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开户名称：温州同筑工程管理有限公司         </w:t>
            </w:r>
          </w:p>
          <w:p>
            <w:pPr>
              <w:autoSpaceDE w:val="0"/>
              <w:autoSpaceDN w:val="0"/>
              <w:adjustRightInd w:val="0"/>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sz w:val="22"/>
                <w:szCs w:val="22"/>
                <w:highlight w:val="none"/>
              </w:rPr>
              <w:t>开户帐号：201000294167835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投标文件的组成：</w:t>
            </w:r>
            <w:r>
              <w:rPr>
                <w:rFonts w:hint="eastAsia" w:ascii="宋体" w:hAnsi="宋体" w:eastAsia="宋体" w:cs="宋体"/>
                <w:color w:val="auto"/>
                <w:sz w:val="24"/>
                <w:highlight w:val="none"/>
                <w:lang w:bidi="ar"/>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9"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both"/>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投标文件的编制：</w:t>
            </w:r>
            <w:r>
              <w:rPr>
                <w:rFonts w:hint="eastAsia" w:ascii="宋体" w:hAnsi="宋体" w:eastAsia="宋体" w:cs="宋体"/>
                <w:color w:val="auto"/>
                <w:sz w:val="24"/>
                <w:highlight w:val="none"/>
                <w:lang w:bidi="ar"/>
              </w:rPr>
              <w:t>供应商应先安装“</w:t>
            </w:r>
            <w:r>
              <w:rPr>
                <w:rFonts w:hint="eastAsia" w:ascii="宋体" w:hAnsi="宋体" w:eastAsia="宋体" w:cs="宋体"/>
                <w:color w:val="auto"/>
                <w:sz w:val="24"/>
                <w:highlight w:val="none"/>
                <w:lang w:eastAsia="zh-CN" w:bidi="ar"/>
              </w:rPr>
              <w:t>乐采云电子交易客户端</w:t>
            </w:r>
            <w:r>
              <w:rPr>
                <w:rFonts w:hint="eastAsia" w:ascii="宋体" w:hAnsi="宋体" w:eastAsia="宋体" w:cs="宋体"/>
                <w:color w:val="auto"/>
                <w:sz w:val="24"/>
                <w:highlight w:val="none"/>
                <w:lang w:bidi="ar"/>
              </w:rPr>
              <w:t>”，并按照本招标文件和“</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”的要求，通过“</w:t>
            </w:r>
            <w:r>
              <w:rPr>
                <w:rFonts w:hint="eastAsia" w:ascii="宋体" w:hAnsi="宋体" w:eastAsia="宋体" w:cs="宋体"/>
                <w:color w:val="auto"/>
                <w:sz w:val="24"/>
                <w:highlight w:val="none"/>
                <w:lang w:eastAsia="zh-CN" w:bidi="ar"/>
              </w:rPr>
              <w:t>乐采云电子交易客户端</w:t>
            </w:r>
            <w:r>
              <w:rPr>
                <w:rFonts w:hint="eastAsia" w:ascii="宋体" w:hAnsi="宋体" w:eastAsia="宋体" w:cs="宋体"/>
                <w:color w:val="auto"/>
                <w:sz w:val="24"/>
                <w:highlight w:val="none"/>
                <w:lang w:bidi="ar"/>
              </w:rPr>
              <w:t>”编制并加密投标文件。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在线投标响应（电子投标）说明：</w:t>
            </w:r>
          </w:p>
          <w:p>
            <w:pPr>
              <w:spacing w:line="360" w:lineRule="auto"/>
              <w:ind w:firstLine="424" w:firstLineChars="1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u w:val="single"/>
              </w:rPr>
              <w:t>本项目通过“采购云平台（</w:t>
            </w:r>
            <w:r>
              <w:rPr>
                <w:rFonts w:hint="eastAsia" w:ascii="宋体" w:hAnsi="宋体" w:eastAsia="宋体" w:cs="宋体"/>
                <w:b/>
                <w:color w:val="auto"/>
                <w:sz w:val="24"/>
                <w:highlight w:val="none"/>
                <w:u w:val="single"/>
                <w:lang w:eastAsia="zh-CN"/>
              </w:rPr>
              <w:t>https://www.lecaiyun.com</w:t>
            </w:r>
            <w:r>
              <w:rPr>
                <w:rFonts w:hint="eastAsia" w:ascii="宋体" w:hAnsi="宋体" w:eastAsia="宋体" w:cs="宋体"/>
                <w:b/>
                <w:color w:val="auto"/>
                <w:sz w:val="24"/>
                <w:highlight w:val="none"/>
                <w:u w:val="single"/>
              </w:rPr>
              <w:t>）”实行在线投标响应（电子投标），供应商应先安装“</w:t>
            </w:r>
            <w:r>
              <w:rPr>
                <w:rFonts w:hint="eastAsia" w:ascii="宋体" w:hAnsi="宋体" w:eastAsia="宋体" w:cs="宋体"/>
                <w:b/>
                <w:color w:val="auto"/>
                <w:sz w:val="24"/>
                <w:highlight w:val="none"/>
                <w:u w:val="single"/>
                <w:lang w:eastAsia="zh-CN"/>
              </w:rPr>
              <w:t>乐采云电子交易客户端</w:t>
            </w:r>
            <w:r>
              <w:rPr>
                <w:rFonts w:hint="eastAsia" w:ascii="宋体" w:hAnsi="宋体" w:eastAsia="宋体" w:cs="宋体"/>
                <w:b/>
                <w:color w:val="auto"/>
                <w:sz w:val="24"/>
                <w:highlight w:val="none"/>
                <w:u w:val="single"/>
              </w:rPr>
              <w:t>”，并按照本招标文件和“</w:t>
            </w:r>
            <w:r>
              <w:rPr>
                <w:rFonts w:hint="eastAsia" w:ascii="宋体" w:hAnsi="宋体" w:eastAsia="宋体" w:cs="宋体"/>
                <w:b/>
                <w:color w:val="auto"/>
                <w:sz w:val="24"/>
                <w:highlight w:val="none"/>
                <w:u w:val="single"/>
                <w:lang w:eastAsia="zh-CN"/>
              </w:rPr>
              <w:t>乐采云平台</w:t>
            </w:r>
            <w:r>
              <w:rPr>
                <w:rFonts w:hint="eastAsia" w:ascii="宋体" w:hAnsi="宋体" w:eastAsia="宋体" w:cs="宋体"/>
                <w:b/>
                <w:color w:val="auto"/>
                <w:sz w:val="24"/>
                <w:highlight w:val="none"/>
                <w:u w:val="single"/>
              </w:rPr>
              <w:t>”的要求，通过“</w:t>
            </w:r>
            <w:r>
              <w:rPr>
                <w:rFonts w:hint="eastAsia" w:ascii="宋体" w:hAnsi="宋体" w:eastAsia="宋体" w:cs="宋体"/>
                <w:b/>
                <w:color w:val="auto"/>
                <w:sz w:val="24"/>
                <w:highlight w:val="none"/>
                <w:u w:val="single"/>
                <w:lang w:eastAsia="zh-CN"/>
              </w:rPr>
              <w:t>乐采云电子交易客户端</w:t>
            </w:r>
            <w:r>
              <w:rPr>
                <w:rFonts w:hint="eastAsia" w:ascii="宋体" w:hAnsi="宋体" w:eastAsia="宋体" w:cs="宋体"/>
                <w:b/>
                <w:color w:val="auto"/>
                <w:sz w:val="24"/>
                <w:highlight w:val="none"/>
                <w:u w:val="single"/>
              </w:rPr>
              <w:t>”编制并加密投标文件。供应商未按规定加密的投标文件，“</w:t>
            </w:r>
            <w:r>
              <w:rPr>
                <w:rFonts w:hint="eastAsia" w:ascii="宋体" w:hAnsi="宋体" w:eastAsia="宋体" w:cs="宋体"/>
                <w:b/>
                <w:color w:val="auto"/>
                <w:sz w:val="24"/>
                <w:highlight w:val="none"/>
                <w:u w:val="single"/>
                <w:lang w:eastAsia="zh-CN"/>
              </w:rPr>
              <w:t>乐采云平台</w:t>
            </w:r>
            <w:r>
              <w:rPr>
                <w:rFonts w:hint="eastAsia" w:ascii="宋体" w:hAnsi="宋体" w:eastAsia="宋体" w:cs="宋体"/>
                <w:b/>
                <w:color w:val="auto"/>
                <w:sz w:val="24"/>
                <w:highlight w:val="none"/>
                <w:u w:val="single"/>
              </w:rPr>
              <w:t>”将予以拒收</w:t>
            </w:r>
            <w:r>
              <w:rPr>
                <w:rFonts w:hint="eastAsia" w:ascii="宋体" w:hAnsi="宋体" w:eastAsia="宋体" w:cs="宋体"/>
                <w:b/>
                <w:color w:val="auto"/>
                <w:sz w:val="24"/>
                <w:highlight w:val="none"/>
              </w:rPr>
              <w:t>。</w:t>
            </w:r>
          </w:p>
          <w:p>
            <w:pPr>
              <w:spacing w:line="360" w:lineRule="auto"/>
              <w:ind w:firstLine="424" w:firstLineChars="176"/>
              <w:rPr>
                <w:rFonts w:hint="eastAsia" w:ascii="宋体" w:hAnsi="宋体" w:eastAsia="宋体" w:cs="宋体"/>
                <w:b/>
                <w:color w:val="auto"/>
                <w:sz w:val="24"/>
                <w:highlight w:val="none"/>
                <w:u w:val="singl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乐采云电子交易客户端</w:t>
            </w:r>
            <w:r>
              <w:rPr>
                <w:rFonts w:hint="eastAsia" w:ascii="宋体" w:hAnsi="宋体" w:eastAsia="宋体" w:cs="宋体"/>
                <w:b/>
                <w:bCs/>
                <w:color w:val="auto"/>
                <w:sz w:val="24"/>
                <w:highlight w:val="none"/>
              </w:rPr>
              <w:t>”请自行前往“浙江政府采购网-下载专区-电子交易客户端”进行下载；电子投标具体操作流程详见本公告附件《供应商项目采购-电子招投标操作指南》；</w:t>
            </w:r>
            <w:r>
              <w:rPr>
                <w:rFonts w:hint="eastAsia" w:ascii="宋体" w:hAnsi="宋体" w:eastAsia="宋体" w:cs="宋体"/>
                <w:b/>
                <w:color w:val="auto"/>
                <w:sz w:val="24"/>
                <w:highlight w:val="none"/>
              </w:rPr>
              <w:t>通过“</w:t>
            </w:r>
            <w:r>
              <w:rPr>
                <w:rFonts w:hint="eastAsia" w:ascii="宋体" w:hAnsi="宋体" w:eastAsia="宋体" w:cs="宋体"/>
                <w:b/>
                <w:color w:val="auto"/>
                <w:sz w:val="24"/>
                <w:highlight w:val="none"/>
                <w:lang w:eastAsia="zh-CN"/>
              </w:rPr>
              <w:t>乐采云平台</w:t>
            </w:r>
            <w:r>
              <w:rPr>
                <w:rFonts w:hint="eastAsia" w:ascii="宋体" w:hAnsi="宋体" w:eastAsia="宋体" w:cs="宋体"/>
                <w:b/>
                <w:color w:val="auto"/>
                <w:sz w:val="24"/>
                <w:highlight w:val="none"/>
              </w:rPr>
              <w:t>”参与在线投标时如遇平台技术问题详询400-881-7190。</w:t>
            </w:r>
          </w:p>
          <w:p>
            <w:pPr>
              <w:numPr>
                <w:ilvl w:val="0"/>
                <w:numId w:val="3"/>
              </w:numPr>
              <w:spacing w:line="360" w:lineRule="auto"/>
              <w:ind w:firstLine="424" w:firstLineChars="176"/>
              <w:rPr>
                <w:rFonts w:hint="eastAsia" w:ascii="宋体" w:hAnsi="宋体" w:eastAsia="宋体" w:cs="宋体"/>
                <w:b/>
                <w:bCs/>
                <w:color w:val="auto"/>
                <w:sz w:val="24"/>
                <w:highlight w:val="none"/>
              </w:rPr>
            </w:pPr>
            <w:r>
              <w:rPr>
                <w:rFonts w:hint="eastAsia" w:ascii="宋体" w:hAnsi="宋体" w:eastAsia="宋体" w:cs="宋体"/>
                <w:b/>
                <w:color w:val="auto"/>
                <w:sz w:val="24"/>
                <w:highlight w:val="none"/>
                <w:u w:val="single"/>
              </w:rPr>
              <w:t>为确保网上操作合法、有效和安全，投标供应商应当在投标截止时间前完成在“</w:t>
            </w:r>
            <w:r>
              <w:rPr>
                <w:rFonts w:hint="eastAsia" w:ascii="宋体" w:hAnsi="宋体" w:eastAsia="宋体" w:cs="宋体"/>
                <w:b/>
                <w:color w:val="auto"/>
                <w:sz w:val="24"/>
                <w:highlight w:val="none"/>
                <w:u w:val="single"/>
                <w:lang w:eastAsia="zh-CN"/>
              </w:rPr>
              <w:t>乐采云平台</w:t>
            </w:r>
            <w:r>
              <w:rPr>
                <w:rFonts w:hint="eastAsia" w:ascii="宋体" w:hAnsi="宋体" w:eastAsia="宋体" w:cs="宋体"/>
                <w:b/>
                <w:color w:val="auto"/>
                <w:sz w:val="24"/>
                <w:highlight w:val="none"/>
                <w:u w:val="single"/>
              </w:rPr>
              <w:t>”的身份认证，确保在电子投标过程中能够对相关数据电文进行加密和使用电子签章</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使用“</w:t>
            </w:r>
            <w:r>
              <w:rPr>
                <w:rFonts w:hint="eastAsia" w:ascii="宋体" w:hAnsi="宋体" w:eastAsia="宋体" w:cs="宋体"/>
                <w:b/>
                <w:bCs/>
                <w:color w:val="auto"/>
                <w:sz w:val="24"/>
                <w:highlight w:val="none"/>
                <w:lang w:eastAsia="zh-CN"/>
              </w:rPr>
              <w:t>乐采云电子交易客户端</w:t>
            </w:r>
            <w:r>
              <w:rPr>
                <w:rFonts w:hint="eastAsia" w:ascii="宋体" w:hAnsi="宋体" w:eastAsia="宋体" w:cs="宋体"/>
                <w:b/>
                <w:bCs/>
                <w:color w:val="auto"/>
                <w:sz w:val="24"/>
                <w:highlight w:val="none"/>
              </w:rPr>
              <w:t>”需要提前申领CA数字证书，申领流程请自行前往“浙江政府采购网-下载专区-电子交易客户端-</w:t>
            </w: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 HYPERLINK "http://www.zjzfcg.gov.cn/bidClientTemplate/2019-05-27/12945.html" \o "CA驱动和申领流程" \t "_blank" </w:instrText>
            </w:r>
            <w:r>
              <w:rPr>
                <w:rFonts w:hint="eastAsia" w:ascii="宋体" w:hAnsi="宋体" w:eastAsia="宋体" w:cs="宋体"/>
                <w:b/>
                <w:bCs/>
                <w:color w:val="auto"/>
                <w:sz w:val="24"/>
                <w:highlight w:val="none"/>
              </w:rPr>
              <w:fldChar w:fldCharType="separate"/>
            </w:r>
            <w:r>
              <w:rPr>
                <w:rFonts w:hint="eastAsia" w:ascii="宋体" w:hAnsi="宋体" w:eastAsia="宋体" w:cs="宋体"/>
                <w:b/>
                <w:bCs/>
                <w:color w:val="auto"/>
                <w:sz w:val="24"/>
                <w:highlight w:val="none"/>
              </w:rPr>
              <w:t>CA驱动和申领流程</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”进行查阅；</w:t>
            </w:r>
          </w:p>
          <w:p>
            <w:pPr>
              <w:numPr>
                <w:ilvl w:val="0"/>
                <w:numId w:val="3"/>
              </w:numPr>
              <w:spacing w:line="360" w:lineRule="auto"/>
              <w:ind w:firstLine="424" w:firstLineChars="176"/>
              <w:rPr>
                <w:rFonts w:hint="eastAsia" w:ascii="宋体" w:hAnsi="宋体" w:eastAsia="宋体" w:cs="宋体"/>
                <w:b/>
                <w:bCs/>
                <w:color w:val="auto"/>
                <w:sz w:val="24"/>
                <w:highlight w:val="none"/>
                <w:lang w:bidi="ar"/>
              </w:rPr>
            </w:pPr>
            <w:r>
              <w:rPr>
                <w:rFonts w:hint="eastAsia" w:ascii="宋体" w:hAnsi="宋体" w:eastAsia="宋体" w:cs="宋体"/>
                <w:b/>
                <w:color w:val="auto"/>
                <w:sz w:val="24"/>
                <w:highlight w:val="none"/>
              </w:rPr>
              <w:t>◆注意：投标供应商在编制电子投标文件和上传文件时需确保“</w:t>
            </w:r>
            <w:r>
              <w:rPr>
                <w:rFonts w:hint="eastAsia" w:ascii="宋体" w:hAnsi="宋体" w:eastAsia="宋体" w:cs="宋体"/>
                <w:b/>
                <w:color w:val="auto"/>
                <w:sz w:val="24"/>
                <w:highlight w:val="none"/>
                <w:lang w:eastAsia="zh-CN"/>
              </w:rPr>
              <w:t>乐采云电子交易客户端</w:t>
            </w:r>
            <w:r>
              <w:rPr>
                <w:rFonts w:hint="eastAsia" w:ascii="宋体" w:hAnsi="宋体" w:eastAsia="宋体" w:cs="宋体"/>
                <w:b/>
                <w:color w:val="auto"/>
                <w:sz w:val="24"/>
                <w:highlight w:val="none"/>
              </w:rPr>
              <w:t>”和“CA驱动端”为最新版本，请各投标供应商及时查看更新。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投标文件的签章：</w:t>
            </w:r>
            <w:r>
              <w:rPr>
                <w:rFonts w:hint="eastAsia" w:ascii="宋体" w:hAnsi="宋体" w:eastAsia="宋体" w:cs="宋体"/>
                <w:color w:val="auto"/>
                <w:sz w:val="24"/>
                <w:highlight w:val="none"/>
                <w:lang w:bidi="ar"/>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投标文件的形式：</w:t>
            </w:r>
            <w:r>
              <w:rPr>
                <w:rFonts w:hint="eastAsia" w:ascii="宋体" w:hAnsi="宋体" w:eastAsia="宋体" w:cs="宋体"/>
                <w:color w:val="auto"/>
                <w:sz w:val="24"/>
                <w:highlight w:val="none"/>
                <w:lang w:bidi="ar"/>
              </w:rPr>
              <w:t>☑电子投标文件（包括“电子加密投标文件”和“备份投标文件”，在投标文件编制完成后同时生成）；</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（1）“电子加密投标文件”是指通过“</w:t>
            </w:r>
            <w:r>
              <w:rPr>
                <w:rFonts w:hint="eastAsia" w:ascii="宋体" w:hAnsi="宋体" w:eastAsia="宋体" w:cs="宋体"/>
                <w:color w:val="auto"/>
                <w:sz w:val="24"/>
                <w:highlight w:val="none"/>
                <w:lang w:eastAsia="zh-CN" w:bidi="ar"/>
              </w:rPr>
              <w:t>乐采云电子交易客户端</w:t>
            </w:r>
            <w:r>
              <w:rPr>
                <w:rFonts w:hint="eastAsia" w:ascii="宋体" w:hAnsi="宋体" w:eastAsia="宋体" w:cs="宋体"/>
                <w:color w:val="auto"/>
                <w:sz w:val="24"/>
                <w:highlight w:val="none"/>
                <w:lang w:bidi="ar"/>
              </w:rPr>
              <w:t>”完成投标文件编制后生成并加密的数据电文形式的投标文件。</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投标文件份数：</w:t>
            </w:r>
            <w:r>
              <w:rPr>
                <w:rFonts w:hint="eastAsia" w:ascii="宋体" w:hAnsi="宋体" w:eastAsia="宋体" w:cs="宋体"/>
                <w:color w:val="auto"/>
                <w:sz w:val="24"/>
                <w:highlight w:val="none"/>
                <w:lang w:bidi="ar"/>
              </w:rPr>
              <w:t>（1）“电子加密投标文件”：在线上传递交、一份。（2）“备份投标文件”：密封包装后（EMS或顺丰邮寄形式）投标截止时间前递交、一份（邮寄地址：</w:t>
            </w:r>
            <w:r>
              <w:rPr>
                <w:rFonts w:hint="eastAsia" w:ascii="宋体" w:hAnsi="宋体" w:cs="宋体"/>
                <w:color w:val="auto"/>
                <w:sz w:val="24"/>
                <w:highlight w:val="none"/>
                <w:lang w:eastAsia="zh-CN" w:bidi="ar"/>
              </w:rPr>
              <w:t>苍南县灵溪镇府后小区5栋1单元201室郭先生</w:t>
            </w:r>
            <w:r>
              <w:rPr>
                <w:rFonts w:hint="eastAsia" w:ascii="宋体" w:hAnsi="宋体" w:eastAsia="宋体" w:cs="宋体"/>
                <w:color w:val="auto"/>
                <w:sz w:val="24"/>
                <w:highlight w:val="none"/>
                <w:lang w:eastAsia="zh-CN" w:bidi="ar"/>
              </w:rPr>
              <w:t>、</w:t>
            </w:r>
            <w:r>
              <w:rPr>
                <w:rFonts w:hint="eastAsia" w:ascii="宋体" w:hAnsi="宋体" w:cs="宋体"/>
                <w:color w:val="auto"/>
                <w:sz w:val="24"/>
                <w:highlight w:val="none"/>
                <w:lang w:val="en-US" w:eastAsia="zh-CN" w:bidi="ar"/>
              </w:rPr>
              <w:t>13656500633</w:t>
            </w:r>
            <w:r>
              <w:rPr>
                <w:rFonts w:hint="eastAsia" w:ascii="宋体" w:hAnsi="宋体" w:eastAsia="宋体" w:cs="宋体"/>
                <w:color w:val="auto"/>
                <w:sz w:val="24"/>
                <w:highlight w:val="none"/>
                <w:lang w:bidi="ar"/>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投标文件的上传和递交：</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（1）“电子加密投标文件”的上传、递交：</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a.投标供应商应在投标截止时间前将“电子加密投标文件”成功上传递交至“</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”，否则投标无效。</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b.“电子加密投标文件”成功上传递交后，供应商可自行打印投标文件接收回执。</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（2）“备份投标文件”的密封包装、递交：</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a.投标供应商在“</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”完成“电子加密投标文件”的上传递交后，还可以（EMS或顺丰邮寄形式）在投标截止时间前递交以介质（U盘）存储的 “备份投标文件”（一份）；</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b.“备份投标文件”应当密封包装，并在包装上标注投标项目名称、投标单位名称并加盖公章。没有密封包装或者逾期邮寄送达至投标地点的“备份投标文件”将不予接收；</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c.通过“</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电子加密投标文件的解密和异常情况处理：</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（1）开标后，采购组织机构将向各投标供应商发出“电子加密投标文件”的解密通知，各投标供应商代表应当在接到解密通知后30分钟内自行完成“电子加密投标文件”的在线解密。</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（2）通过“</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”操作规范将“备份投标文件”上传至“</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”，上传成功后，“电子加密投标文件”自动失效），否则视为投标文件撤回。</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（3）投标截止时间前，投标供应商仅递交了“备份投标文件”而未将电子加密投标文件上传至“</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投标截止时间：</w:t>
            </w:r>
            <w:r>
              <w:rPr>
                <w:rFonts w:hint="eastAsia" w:ascii="宋体" w:hAnsi="宋体" w:cs="宋体"/>
                <w:b/>
                <w:bCs/>
                <w:color w:val="auto"/>
                <w:sz w:val="24"/>
                <w:highlight w:val="none"/>
                <w:lang w:eastAsia="zh-CN" w:bidi="ar"/>
              </w:rPr>
              <w:t>2023年</w:t>
            </w:r>
            <w:r>
              <w:rPr>
                <w:rFonts w:hint="eastAsia" w:ascii="宋体" w:hAnsi="宋体" w:cs="宋体"/>
                <w:b/>
                <w:bCs/>
                <w:color w:val="auto"/>
                <w:sz w:val="24"/>
                <w:highlight w:val="none"/>
                <w:lang w:val="en-US" w:eastAsia="zh-CN" w:bidi="ar"/>
              </w:rPr>
              <w:t xml:space="preserve">  </w:t>
            </w:r>
            <w:r>
              <w:rPr>
                <w:rFonts w:hint="eastAsia" w:ascii="宋体" w:hAnsi="宋体" w:cs="宋体"/>
                <w:b/>
                <w:bCs/>
                <w:color w:val="auto"/>
                <w:sz w:val="24"/>
                <w:highlight w:val="none"/>
                <w:lang w:eastAsia="zh-CN" w:bidi="ar"/>
              </w:rPr>
              <w:t>月</w:t>
            </w:r>
            <w:r>
              <w:rPr>
                <w:rFonts w:hint="eastAsia" w:ascii="宋体" w:hAnsi="宋体" w:cs="宋体"/>
                <w:b/>
                <w:bCs/>
                <w:color w:val="auto"/>
                <w:sz w:val="24"/>
                <w:highlight w:val="none"/>
                <w:lang w:val="en-US" w:eastAsia="zh-CN" w:bidi="ar"/>
              </w:rPr>
              <w:t xml:space="preserve">  </w:t>
            </w:r>
            <w:r>
              <w:rPr>
                <w:rFonts w:hint="eastAsia" w:ascii="宋体" w:hAnsi="宋体" w:cs="宋体"/>
                <w:b/>
                <w:bCs/>
                <w:color w:val="auto"/>
                <w:sz w:val="24"/>
                <w:highlight w:val="none"/>
                <w:lang w:eastAsia="zh-CN" w:bidi="ar"/>
              </w:rPr>
              <w:t>日</w:t>
            </w:r>
            <w:r>
              <w:rPr>
                <w:rFonts w:hint="eastAsia" w:ascii="宋体" w:hAnsi="宋体" w:eastAsia="宋体" w:cs="宋体"/>
                <w:b/>
                <w:bCs/>
                <w:color w:val="auto"/>
                <w:sz w:val="24"/>
                <w:highlight w:val="none"/>
                <w:lang w:val="en-US" w:eastAsia="zh-CN" w:bidi="ar"/>
              </w:rPr>
              <w:t>14</w:t>
            </w:r>
            <w:r>
              <w:rPr>
                <w:rFonts w:hint="eastAsia" w:ascii="宋体" w:hAnsi="宋体" w:eastAsia="宋体" w:cs="宋体"/>
                <w:b/>
                <w:bCs/>
                <w:color w:val="auto"/>
                <w:sz w:val="24"/>
                <w:highlight w:val="none"/>
                <w:lang w:bidi="ar"/>
              </w:rPr>
              <w:t>点</w:t>
            </w:r>
            <w:r>
              <w:rPr>
                <w:rFonts w:hint="eastAsia" w:ascii="宋体" w:hAnsi="宋体" w:cs="宋体"/>
                <w:b/>
                <w:bCs/>
                <w:color w:val="auto"/>
                <w:sz w:val="24"/>
                <w:highlight w:val="none"/>
                <w:lang w:val="en-US" w:eastAsia="zh-CN" w:bidi="ar"/>
              </w:rPr>
              <w:t>3</w:t>
            </w:r>
            <w:r>
              <w:rPr>
                <w:rFonts w:hint="eastAsia" w:ascii="宋体" w:hAnsi="宋体" w:eastAsia="宋体" w:cs="宋体"/>
                <w:b/>
                <w:bCs/>
                <w:color w:val="auto"/>
                <w:sz w:val="24"/>
                <w:highlight w:val="none"/>
                <w:lang w:bidi="ar"/>
              </w:rPr>
              <w:t>0分</w:t>
            </w:r>
            <w:r>
              <w:rPr>
                <w:rFonts w:hint="eastAsia" w:ascii="宋体" w:hAnsi="宋体" w:eastAsia="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60" w:lineRule="auto"/>
              <w:jc w:val="left"/>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投标地点：</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eastAsia="zh-CN"/>
              </w:rPr>
              <w:t>乐采云平台</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eastAsia="zh-CN"/>
              </w:rPr>
              <w:t>https://www.lecaiyun.com</w:t>
            </w:r>
            <w:r>
              <w:rPr>
                <w:rFonts w:hint="eastAsia" w:ascii="宋体" w:hAnsi="宋体" w:eastAsia="宋体" w:cs="宋体"/>
                <w:b/>
                <w:color w:val="auto"/>
                <w:kern w:val="0"/>
                <w:sz w:val="24"/>
                <w:highlight w:val="none"/>
              </w:rPr>
              <w:t>）”实行在线投标响应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p>
        </w:tc>
        <w:tc>
          <w:tcPr>
            <w:tcW w:w="8438" w:type="dxa"/>
            <w:tcBorders>
              <w:top w:val="single" w:color="000000" w:sz="2"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eastAsia="宋体" w:cs="宋体"/>
                <w:color w:val="auto"/>
                <w:sz w:val="24"/>
                <w:highlight w:val="none"/>
                <w:lang w:bidi="ar"/>
              </w:rPr>
            </w:pPr>
            <w:r>
              <w:rPr>
                <w:rFonts w:hint="eastAsia" w:ascii="宋体" w:hAnsi="宋体" w:eastAsia="宋体" w:cs="宋体"/>
                <w:b/>
                <w:bCs/>
                <w:color w:val="auto"/>
                <w:sz w:val="24"/>
                <w:highlight w:val="none"/>
                <w:lang w:bidi="ar"/>
              </w:rPr>
              <w:t>开标时间和地点（网址）：</w:t>
            </w:r>
            <w:r>
              <w:rPr>
                <w:rFonts w:hint="eastAsia" w:ascii="宋体" w:hAnsi="宋体" w:cs="宋体"/>
                <w:b/>
                <w:bCs/>
                <w:color w:val="auto"/>
                <w:sz w:val="24"/>
                <w:highlight w:val="none"/>
                <w:lang w:eastAsia="zh-CN" w:bidi="ar"/>
              </w:rPr>
              <w:t>2023年</w:t>
            </w:r>
            <w:r>
              <w:rPr>
                <w:rFonts w:hint="eastAsia" w:ascii="宋体" w:hAnsi="宋体" w:cs="宋体"/>
                <w:b/>
                <w:bCs/>
                <w:color w:val="auto"/>
                <w:sz w:val="24"/>
                <w:highlight w:val="none"/>
                <w:lang w:val="en-US" w:eastAsia="zh-CN" w:bidi="ar"/>
              </w:rPr>
              <w:t>11</w:t>
            </w:r>
            <w:r>
              <w:rPr>
                <w:rFonts w:hint="eastAsia" w:ascii="宋体" w:hAnsi="宋体" w:cs="宋体"/>
                <w:b/>
                <w:bCs/>
                <w:color w:val="auto"/>
                <w:sz w:val="24"/>
                <w:highlight w:val="none"/>
                <w:lang w:eastAsia="zh-CN" w:bidi="ar"/>
              </w:rPr>
              <w:t>月</w:t>
            </w:r>
            <w:r>
              <w:rPr>
                <w:rFonts w:hint="eastAsia" w:ascii="宋体" w:hAnsi="宋体" w:cs="宋体"/>
                <w:b/>
                <w:bCs/>
                <w:color w:val="auto"/>
                <w:sz w:val="24"/>
                <w:highlight w:val="none"/>
                <w:lang w:val="en-US" w:eastAsia="zh-CN" w:bidi="ar"/>
              </w:rPr>
              <w:t>9</w:t>
            </w:r>
            <w:r>
              <w:rPr>
                <w:rFonts w:hint="eastAsia" w:ascii="宋体" w:hAnsi="宋体" w:cs="宋体"/>
                <w:b/>
                <w:bCs/>
                <w:color w:val="auto"/>
                <w:sz w:val="24"/>
                <w:highlight w:val="none"/>
                <w:lang w:eastAsia="zh-CN" w:bidi="ar"/>
              </w:rPr>
              <w:t>日</w:t>
            </w:r>
            <w:r>
              <w:rPr>
                <w:rFonts w:hint="eastAsia" w:ascii="宋体" w:hAnsi="宋体" w:eastAsia="宋体" w:cs="宋体"/>
                <w:b/>
                <w:bCs/>
                <w:color w:val="auto"/>
                <w:sz w:val="24"/>
                <w:highlight w:val="none"/>
                <w:lang w:val="en-US" w:eastAsia="zh-CN" w:bidi="ar"/>
              </w:rPr>
              <w:t>14</w:t>
            </w:r>
            <w:r>
              <w:rPr>
                <w:rFonts w:hint="eastAsia" w:ascii="宋体" w:hAnsi="宋体" w:eastAsia="宋体" w:cs="宋体"/>
                <w:b/>
                <w:bCs/>
                <w:color w:val="auto"/>
                <w:sz w:val="24"/>
                <w:highlight w:val="none"/>
                <w:lang w:bidi="ar"/>
              </w:rPr>
              <w:t>点</w:t>
            </w:r>
            <w:r>
              <w:rPr>
                <w:rFonts w:hint="eastAsia" w:ascii="宋体" w:hAnsi="宋体" w:cs="宋体"/>
                <w:b/>
                <w:bCs/>
                <w:color w:val="auto"/>
                <w:sz w:val="24"/>
                <w:highlight w:val="none"/>
                <w:lang w:val="en-US" w:eastAsia="zh-CN" w:bidi="ar"/>
              </w:rPr>
              <w:t>3</w:t>
            </w:r>
            <w:r>
              <w:rPr>
                <w:rFonts w:hint="eastAsia" w:ascii="宋体" w:hAnsi="宋体" w:eastAsia="宋体" w:cs="宋体"/>
                <w:b/>
                <w:bCs/>
                <w:color w:val="auto"/>
                <w:sz w:val="24"/>
                <w:highlight w:val="none"/>
                <w:lang w:bidi="ar"/>
              </w:rPr>
              <w:t>0分</w:t>
            </w:r>
            <w:r>
              <w:rPr>
                <w:rFonts w:hint="eastAsia" w:ascii="宋体" w:hAnsi="宋体" w:eastAsia="宋体" w:cs="宋体"/>
                <w:color w:val="auto"/>
                <w:sz w:val="24"/>
                <w:highlight w:val="none"/>
                <w:lang w:bidi="ar"/>
              </w:rPr>
              <w:t>。苍南县灵溪镇春晖路公投大厦--苍南县公共资源交易中心/“</w:t>
            </w:r>
            <w:r>
              <w:rPr>
                <w:rFonts w:hint="eastAsia" w:ascii="宋体" w:hAnsi="宋体" w:eastAsia="宋体" w:cs="宋体"/>
                <w:color w:val="auto"/>
                <w:sz w:val="24"/>
                <w:highlight w:val="none"/>
                <w:lang w:eastAsia="zh-CN" w:bidi="ar"/>
              </w:rPr>
              <w:t>乐采云平台</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lang w:eastAsia="zh-CN" w:bidi="ar"/>
              </w:rPr>
              <w:t>https://www.lecaiyun.com</w:t>
            </w:r>
            <w:r>
              <w:rPr>
                <w:rFonts w:hint="eastAsia" w:ascii="宋体" w:hAnsi="宋体" w:eastAsia="宋体" w:cs="宋体"/>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w:t>
            </w:r>
          </w:p>
        </w:tc>
        <w:tc>
          <w:tcPr>
            <w:tcW w:w="8438"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17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10"/>
                <w:sz w:val="24"/>
                <w:highlight w:val="none"/>
              </w:rPr>
              <w:t>潜在供应商需在浙江政府采购网</w:t>
            </w:r>
            <w:r>
              <w:rPr>
                <w:rFonts w:hint="eastAsia" w:ascii="宋体" w:hAnsi="宋体" w:eastAsia="宋体" w:cs="宋体"/>
                <w:b/>
                <w:color w:val="auto"/>
                <w:kern w:val="10"/>
                <w:sz w:val="24"/>
                <w:highlight w:val="none"/>
              </w:rPr>
              <w:fldChar w:fldCharType="begin"/>
            </w:r>
            <w:r>
              <w:rPr>
                <w:rFonts w:hint="eastAsia" w:ascii="宋体" w:hAnsi="宋体" w:eastAsia="宋体" w:cs="宋体"/>
                <w:b/>
                <w:color w:val="auto"/>
                <w:kern w:val="10"/>
                <w:sz w:val="24"/>
                <w:highlight w:val="none"/>
              </w:rPr>
              <w:instrText xml:space="preserve"> INCLUDEPICTURE "D:\\Program Files (x86)\\Tencent\\WeChat\\WeChat Files\\Administrator.SKY-20181128UGH\\Documents\\Tencent Files\\731289318\\Documents\\Tencent Files\\807561008\\Documents\\Tencent Files\\807561008\\Documents\\Tencent Files\\731289318\\Documents\\tencent%20files\\QIYUAN~1\\AppData\\Local\\Temp\\%2525W@GJ$ACOF(TYDYECOKVDYB.png" \* MERGEFORMAT \d </w:instrText>
            </w:r>
            <w:r>
              <w:rPr>
                <w:rFonts w:hint="eastAsia" w:ascii="宋体" w:hAnsi="宋体" w:eastAsia="宋体" w:cs="宋体"/>
                <w:b/>
                <w:color w:val="auto"/>
                <w:kern w:val="10"/>
                <w:sz w:val="24"/>
                <w:highlight w:val="none"/>
              </w:rPr>
              <w:fldChar w:fldCharType="separate"/>
            </w:r>
            <w:r>
              <w:rPr>
                <w:rFonts w:hint="eastAsia" w:ascii="宋体" w:hAnsi="宋体" w:eastAsia="宋体" w:cs="宋体"/>
                <w:b/>
                <w:color w:val="auto"/>
                <w:kern w:val="10"/>
                <w:sz w:val="24"/>
                <w:highlight w:val="none"/>
              </w:rPr>
              <w:drawing>
                <wp:inline distT="0" distB="0" distL="114300" distR="114300">
                  <wp:extent cx="189865" cy="142240"/>
                  <wp:effectExtent l="0" t="0" r="635" b="10160"/>
                  <wp:docPr id="259"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 descr="IMG_257"/>
                          <pic:cNvPicPr>
                            <a:picLocks noChangeAspect="1"/>
                          </pic:cNvPicPr>
                        </pic:nvPicPr>
                        <pic:blipFill>
                          <a:blip r:embed="rId9"/>
                          <a:stretch>
                            <a:fillRect/>
                          </a:stretch>
                        </pic:blipFill>
                        <pic:spPr>
                          <a:xfrm>
                            <a:off x="0" y="0"/>
                            <a:ext cx="189865" cy="142240"/>
                          </a:xfrm>
                          <a:prstGeom prst="rect">
                            <a:avLst/>
                          </a:prstGeom>
                          <a:noFill/>
                          <a:ln>
                            <a:noFill/>
                          </a:ln>
                        </pic:spPr>
                      </pic:pic>
                    </a:graphicData>
                  </a:graphic>
                </wp:inline>
              </w:drawing>
            </w:r>
            <w:r>
              <w:rPr>
                <w:rFonts w:hint="eastAsia" w:ascii="宋体" w:hAnsi="宋体" w:eastAsia="宋体" w:cs="宋体"/>
                <w:b/>
                <w:color w:val="auto"/>
                <w:kern w:val="10"/>
                <w:sz w:val="24"/>
                <w:highlight w:val="none"/>
              </w:rPr>
              <w:fldChar w:fldCharType="end"/>
            </w:r>
            <w:r>
              <w:rPr>
                <w:rFonts w:hint="eastAsia" w:ascii="宋体" w:hAnsi="宋体" w:eastAsia="宋体" w:cs="宋体"/>
                <w:b/>
                <w:color w:val="auto"/>
                <w:kern w:val="10"/>
                <w:sz w:val="24"/>
                <w:highlight w:val="none"/>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18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不符合以下情况的，其投标将被拒绝。</w:t>
            </w:r>
          </w:p>
          <w:p>
            <w:pPr>
              <w:pStyle w:val="14"/>
              <w:shd w:val="clear" w:color="auto" w:fill="FFFFFF"/>
              <w:spacing w:before="48" w:beforeAutospacing="0" w:after="48" w:afterAutospacing="0" w:line="360" w:lineRule="auto"/>
              <w:ind w:right="45"/>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（一）投标人参加国有企业采购活动应当具备下列条件:</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1.具有独立承担民事责任的能力；</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2.具有良好的商业信誉和健全的财务会计制度；</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3.具有履行合同所必需的设备和专业技术、售后保障等能力；</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4.有依法缴纳税收和社会保障资金的良好记录；</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p>
          <w:p>
            <w:pPr>
              <w:pStyle w:val="14"/>
              <w:shd w:val="clear" w:color="auto" w:fill="FFFFFF"/>
              <w:spacing w:before="60" w:beforeAutospacing="0" w:after="6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6.法律、行政法规规定的其他条件。</w:t>
            </w:r>
          </w:p>
          <w:p>
            <w:pPr>
              <w:pStyle w:val="14"/>
              <w:shd w:val="clear" w:color="auto" w:fill="FFFFFF"/>
              <w:spacing w:before="60" w:beforeAutospacing="0" w:after="60" w:afterAutospacing="0" w:line="360" w:lineRule="auto"/>
              <w:ind w:firstLine="240" w:firstLineChars="1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（二）单位负责人为同一人或者存在直接控股、管理关系的不同供应商，不得参加同一合同项下的国企采购活动；</w:t>
            </w:r>
          </w:p>
          <w:p>
            <w:pPr>
              <w:pStyle w:val="14"/>
              <w:shd w:val="clear" w:color="auto" w:fill="FFFFFF"/>
              <w:spacing w:before="48" w:beforeAutospacing="0" w:after="48" w:afterAutospacing="0" w:line="360" w:lineRule="auto"/>
              <w:ind w:right="45" w:firstLine="240" w:firstLineChars="100"/>
              <w:rPr>
                <w:rFonts w:hint="eastAsia" w:ascii="宋体" w:hAnsi="宋体" w:eastAsia="宋体" w:cs="宋体"/>
                <w:b/>
                <w:color w:val="auto"/>
                <w:kern w:val="10"/>
                <w:highlight w:val="none"/>
              </w:rPr>
            </w:pPr>
            <w:r>
              <w:rPr>
                <w:rFonts w:hint="eastAsia" w:ascii="宋体" w:hAnsi="宋体" w:eastAsia="宋体" w:cs="宋体"/>
                <w:color w:val="auto"/>
                <w:highlight w:val="none"/>
                <w:shd w:val="clear" w:color="auto" w:fill="FFFFFF"/>
              </w:rPr>
              <w:t>（三）本项目不接受联合体投标。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19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1、中标供应商须在中标通知书发出之日起</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日历天内与采购人签订合同。</w:t>
            </w:r>
          </w:p>
        </w:tc>
      </w:tr>
    </w:tbl>
    <w:p>
      <w:pPr>
        <w:shd w:val="clear" w:color="auto" w:fill="FFFFFF"/>
        <w:snapToGrid w:val="0"/>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br w:type="page"/>
      </w:r>
      <w:bookmarkEnd w:id="14"/>
      <w:bookmarkStart w:id="19" w:name="_Toc354996696"/>
      <w:bookmarkStart w:id="20" w:name="_Toc33194388"/>
      <w:bookmarkStart w:id="21" w:name="_Toc233618972"/>
      <w:bookmarkStart w:id="22" w:name="_Toc226521904"/>
      <w:bookmarkStart w:id="23" w:name="_Toc226106516"/>
      <w:bookmarkStart w:id="24" w:name="_Toc225840109"/>
      <w:bookmarkStart w:id="25" w:name="_Toc226106467"/>
      <w:r>
        <w:rPr>
          <w:rFonts w:hint="eastAsia" w:ascii="宋体" w:hAnsi="宋体" w:eastAsia="宋体" w:cs="宋体"/>
          <w:b/>
          <w:bCs/>
          <w:color w:val="auto"/>
          <w:sz w:val="28"/>
          <w:szCs w:val="28"/>
          <w:highlight w:val="none"/>
        </w:rPr>
        <w:t>一、总 则</w:t>
      </w:r>
      <w:bookmarkEnd w:id="19"/>
      <w:bookmarkEnd w:id="20"/>
      <w:bookmarkEnd w:id="21"/>
    </w:p>
    <w:p>
      <w:pPr>
        <w:snapToGrid w:val="0"/>
        <w:spacing w:line="360" w:lineRule="auto"/>
        <w:rPr>
          <w:rFonts w:hint="eastAsia" w:ascii="宋体" w:hAnsi="宋体" w:eastAsia="宋体" w:cs="宋体"/>
          <w:b/>
          <w:color w:val="auto"/>
          <w:sz w:val="24"/>
          <w:highlight w:val="none"/>
        </w:rPr>
      </w:pPr>
      <w:bookmarkStart w:id="26" w:name="_Toc91899872"/>
      <w:bookmarkStart w:id="27" w:name="_Hlt74730208"/>
      <w:bookmarkStart w:id="28" w:name="_Hlt74730112"/>
      <w:bookmarkStart w:id="29" w:name="_Toc233618973"/>
      <w:bookmarkStart w:id="30" w:name="_Toc354996697"/>
      <w:r>
        <w:rPr>
          <w:rFonts w:hint="eastAsia" w:ascii="宋体" w:hAnsi="宋体" w:eastAsia="宋体" w:cs="宋体"/>
          <w:b/>
          <w:color w:val="auto"/>
          <w:sz w:val="24"/>
          <w:highlight w:val="none"/>
        </w:rPr>
        <w:t>（一）项目说明</w:t>
      </w:r>
      <w:bookmarkEnd w:id="26"/>
    </w:p>
    <w:p>
      <w:pPr>
        <w:pStyle w:val="25"/>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1、项目说明见投标须知前附表(以下称“前附表”)第1项所述。</w:t>
      </w:r>
    </w:p>
    <w:p>
      <w:pPr>
        <w:pStyle w:val="25"/>
        <w:tabs>
          <w:tab w:val="left" w:pos="651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2、采购单位</w:t>
      </w:r>
      <w:r>
        <w:rPr>
          <w:rFonts w:hint="eastAsia" w:cs="宋体"/>
          <w:color w:val="auto"/>
          <w:highlight w:val="none"/>
          <w:lang w:eastAsia="zh-CN"/>
        </w:rPr>
        <w:t>苍南县数据管理发展有限公司</w:t>
      </w:r>
      <w:r>
        <w:rPr>
          <w:rFonts w:hint="eastAsia" w:ascii="宋体" w:hAnsi="宋体" w:eastAsia="宋体" w:cs="宋体"/>
          <w:color w:val="auto"/>
          <w:highlight w:val="none"/>
        </w:rPr>
        <w:t>为本项目的采购人（合同中的甲方），</w:t>
      </w:r>
      <w:r>
        <w:rPr>
          <w:rFonts w:hint="eastAsia" w:cs="宋体"/>
          <w:color w:val="auto"/>
          <w:highlight w:val="none"/>
          <w:lang w:eastAsia="zh-CN"/>
        </w:rPr>
        <w:t>温州同筑工程管理有限公司</w:t>
      </w:r>
      <w:r>
        <w:rPr>
          <w:rFonts w:hint="eastAsia" w:ascii="宋体" w:hAnsi="宋体" w:eastAsia="宋体" w:cs="宋体"/>
          <w:color w:val="auto"/>
          <w:highlight w:val="none"/>
        </w:rPr>
        <w:t>为采购代理机构，</w:t>
      </w:r>
      <w:r>
        <w:rPr>
          <w:rFonts w:hint="eastAsia" w:cs="宋体"/>
          <w:color w:val="auto"/>
          <w:highlight w:val="none"/>
          <w:lang w:eastAsia="zh-CN"/>
        </w:rPr>
        <w:t>苍南县公共事业投资集团有限公司</w:t>
      </w:r>
      <w:r>
        <w:rPr>
          <w:rFonts w:hint="eastAsia" w:ascii="宋体" w:hAnsi="宋体" w:eastAsia="宋体" w:cs="宋体"/>
          <w:color w:val="auto"/>
          <w:highlight w:val="none"/>
        </w:rPr>
        <w:t>为国企采购备案机构，自愿参加本次项目投标的法人、其他组织为投标供应商，经评审产生并经批准的投标供应商为中标供应商，签订合同后的中标供应商为供应商(合同中的乙方)。</w:t>
      </w:r>
    </w:p>
    <w:p>
      <w:pPr>
        <w:pStyle w:val="25"/>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3、投标供应商一旦参与本次招标活动，即被视为接受了本招标文件的所有内容，如有任何异议，均已在答疑截止时间前提出。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sz w:val="24"/>
          <w:highlight w:val="none"/>
        </w:rPr>
        <w:t>应承担相应后果，</w:t>
      </w:r>
      <w:r>
        <w:rPr>
          <w:rFonts w:hint="eastAsia" w:ascii="宋体" w:hAnsi="宋体" w:eastAsia="宋体" w:cs="宋体"/>
          <w:color w:val="auto"/>
          <w:kern w:val="0"/>
          <w:sz w:val="24"/>
          <w:highlight w:val="none"/>
          <w:lang w:val="zh-CN"/>
        </w:rPr>
        <w:t>并负责赔偿。</w:t>
      </w:r>
      <w:r>
        <w:rPr>
          <w:rFonts w:hint="eastAsia" w:ascii="宋体" w:hAnsi="宋体" w:eastAsia="宋体" w:cs="宋体"/>
          <w:color w:val="auto"/>
          <w:sz w:val="24"/>
          <w:highlight w:val="none"/>
        </w:rPr>
        <w:t>供应商为执行本项目合同而提供的技术资料等归采购人所有。</w:t>
      </w:r>
      <w:bookmarkStart w:id="31" w:name="_Toc91899873"/>
    </w:p>
    <w:p>
      <w:pPr>
        <w:tabs>
          <w:tab w:val="left" w:pos="378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（二）采购方式</w:t>
      </w:r>
      <w:bookmarkEnd w:id="31"/>
    </w:p>
    <w:p>
      <w:pPr>
        <w:pStyle w:val="25"/>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公开招标。</w:t>
      </w:r>
      <w:bookmarkEnd w:id="27"/>
      <w:bookmarkEnd w:id="28"/>
      <w:bookmarkStart w:id="32" w:name="_Hlt68516771"/>
      <w:bookmarkEnd w:id="32"/>
      <w:bookmarkStart w:id="33" w:name="_Hlt74388212"/>
      <w:bookmarkEnd w:id="33"/>
    </w:p>
    <w:p>
      <w:pPr>
        <w:snapToGrid w:val="0"/>
        <w:spacing w:line="360" w:lineRule="auto"/>
        <w:rPr>
          <w:rFonts w:hint="eastAsia" w:ascii="宋体" w:hAnsi="宋体" w:eastAsia="宋体" w:cs="宋体"/>
          <w:b/>
          <w:color w:val="auto"/>
          <w:sz w:val="24"/>
          <w:highlight w:val="none"/>
        </w:rPr>
      </w:pPr>
      <w:bookmarkStart w:id="34" w:name="_Hlt74730303"/>
      <w:bookmarkStart w:id="35"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pPr>
        <w:snapToGrid w:val="0"/>
        <w:spacing w:line="360" w:lineRule="auto"/>
        <w:ind w:firstLine="481"/>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1、合格的投标供应商应具备的资格要求，</w:t>
      </w:r>
      <w:r>
        <w:rPr>
          <w:rFonts w:hint="eastAsia" w:ascii="宋体" w:hAnsi="宋体" w:eastAsia="宋体" w:cs="宋体"/>
          <w:color w:val="auto"/>
          <w:kern w:val="0"/>
          <w:sz w:val="24"/>
          <w:highlight w:val="none"/>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2、内容</w:t>
      </w:r>
    </w:p>
    <w:p>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详见第三部分——项目技术规范和服务要求。</w:t>
      </w:r>
    </w:p>
    <w:p>
      <w:pPr>
        <w:pStyle w:val="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pPr>
        <w:snapToGrid w:val="0"/>
        <w:spacing w:line="360" w:lineRule="auto"/>
        <w:ind w:firstLine="523" w:firstLineChars="218"/>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投标供应商需自行承担涉及投标的一切税、费用</w:t>
      </w:r>
      <w:r>
        <w:rPr>
          <w:rFonts w:hint="eastAsia" w:ascii="宋体" w:hAnsi="宋体" w:eastAsia="宋体" w:cs="宋体"/>
          <w:color w:val="auto"/>
          <w:sz w:val="24"/>
          <w:highlight w:val="none"/>
          <w:lang w:val="zh-CN"/>
        </w:rPr>
        <w:t>。</w:t>
      </w:r>
    </w:p>
    <w:p>
      <w:pPr>
        <w:pStyle w:val="7"/>
        <w:snapToGrid w:val="0"/>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zh-CN"/>
        </w:rPr>
        <w:t>）特别说明：</w:t>
      </w:r>
    </w:p>
    <w:p>
      <w:pPr>
        <w:pStyle w:val="7"/>
        <w:snapToGrid w:val="0"/>
        <w:spacing w:line="48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napToGrid w:val="0"/>
        <w:spacing w:line="48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pPr>
        <w:pStyle w:val="7"/>
        <w:snapToGrid w:val="0"/>
        <w:spacing w:line="48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bookmarkEnd w:id="34"/>
    <w:bookmarkEnd w:id="35"/>
    <w:p>
      <w:pPr>
        <w:snapToGrid w:val="0"/>
        <w:spacing w:line="360" w:lineRule="auto"/>
        <w:ind w:firstLine="523" w:firstLineChars="218"/>
        <w:rPr>
          <w:rFonts w:hint="eastAsia" w:ascii="宋体" w:hAnsi="宋体" w:eastAsia="宋体" w:cs="宋体"/>
          <w:color w:val="auto"/>
          <w:sz w:val="24"/>
          <w:highlight w:val="none"/>
          <w:lang w:val="zh-CN"/>
        </w:rPr>
      </w:pPr>
    </w:p>
    <w:p>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36" w:name="_Toc33194389"/>
      <w:r>
        <w:rPr>
          <w:rFonts w:hint="eastAsia" w:ascii="宋体" w:hAnsi="宋体" w:eastAsia="宋体" w:cs="宋体"/>
          <w:b/>
          <w:bCs/>
          <w:color w:val="auto"/>
          <w:sz w:val="24"/>
          <w:highlight w:val="none"/>
        </w:rPr>
        <w:t>二、招标文件</w:t>
      </w:r>
      <w:bookmarkEnd w:id="29"/>
      <w:bookmarkEnd w:id="30"/>
      <w:bookmarkEnd w:id="36"/>
    </w:p>
    <w:p>
      <w:pPr>
        <w:shd w:val="clear" w:color="auto" w:fill="FFFFFF"/>
        <w:snapToGrid w:val="0"/>
        <w:spacing w:line="360" w:lineRule="auto"/>
        <w:rPr>
          <w:rFonts w:hint="eastAsia" w:ascii="宋体" w:hAnsi="宋体" w:eastAsia="宋体" w:cs="宋体"/>
          <w:b/>
          <w:bCs/>
          <w:color w:val="auto"/>
          <w:sz w:val="24"/>
          <w:highlight w:val="none"/>
        </w:rPr>
      </w:pPr>
      <w:bookmarkStart w:id="37" w:name="_Toc91899880"/>
      <w:bookmarkStart w:id="38" w:name="_Hlt74730307"/>
      <w:r>
        <w:rPr>
          <w:rFonts w:hint="eastAsia" w:ascii="宋体" w:hAnsi="宋体" w:eastAsia="宋体" w:cs="宋体"/>
          <w:b/>
          <w:bCs/>
          <w:color w:val="auto"/>
          <w:sz w:val="24"/>
          <w:highlight w:val="none"/>
        </w:rPr>
        <w:t>（一）招标文件的构成</w:t>
      </w:r>
      <w:bookmarkEnd w:id="37"/>
    </w:p>
    <w:bookmarkEnd w:id="38"/>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1、招标文件包括下列文件及附件</w:t>
      </w:r>
    </w:p>
    <w:p>
      <w:pPr>
        <w:numPr>
          <w:ilvl w:val="0"/>
          <w:numId w:val="4"/>
        </w:numPr>
        <w:shd w:val="clear" w:color="auto" w:fill="FFFFFF"/>
        <w:snapToGrid w:val="0"/>
        <w:spacing w:line="360" w:lineRule="auto"/>
        <w:ind w:left="90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第一部分  招标公告</w:t>
      </w:r>
    </w:p>
    <w:p>
      <w:pPr>
        <w:numPr>
          <w:ilvl w:val="0"/>
          <w:numId w:val="4"/>
        </w:numPr>
        <w:shd w:val="clear" w:color="auto" w:fill="FFFFFF"/>
        <w:snapToGrid w:val="0"/>
        <w:spacing w:line="360" w:lineRule="auto"/>
        <w:ind w:left="90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第二部分  编制和提交投标文件须知</w:t>
      </w:r>
    </w:p>
    <w:p>
      <w:pPr>
        <w:numPr>
          <w:ilvl w:val="0"/>
          <w:numId w:val="4"/>
        </w:numPr>
        <w:shd w:val="clear" w:color="auto" w:fill="FFFFFF"/>
        <w:snapToGrid w:val="0"/>
        <w:spacing w:line="360" w:lineRule="auto"/>
        <w:ind w:left="90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第三部分  项目技术规范和服务要求</w:t>
      </w:r>
    </w:p>
    <w:p>
      <w:pPr>
        <w:numPr>
          <w:ilvl w:val="0"/>
          <w:numId w:val="4"/>
        </w:numPr>
        <w:shd w:val="clear" w:color="auto" w:fill="FFFFFF"/>
        <w:snapToGrid w:val="0"/>
        <w:spacing w:line="360" w:lineRule="auto"/>
        <w:ind w:left="90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合同主要条款</w:t>
      </w:r>
    </w:p>
    <w:p>
      <w:pPr>
        <w:numPr>
          <w:ilvl w:val="0"/>
          <w:numId w:val="4"/>
        </w:numPr>
        <w:shd w:val="clear" w:color="auto" w:fill="FFFFFF"/>
        <w:snapToGrid w:val="0"/>
        <w:spacing w:line="360" w:lineRule="auto"/>
        <w:ind w:left="90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第五部分  应提交的有关格式范例</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认真审阅招标文件中所有的内容，包括编制和提交投标文件须知、项目技术规范和服务要求、采购合同主要条款、应提交的有关格式范例等。如果投标供应商编制的投标文件没有从实质上响应招标文件的要求，其投标文件将被拒绝。</w:t>
      </w:r>
    </w:p>
    <w:p>
      <w:pPr>
        <w:pStyle w:val="7"/>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（二）招标文件的澄清</w:t>
      </w:r>
    </w:p>
    <w:p>
      <w:pPr>
        <w:pStyle w:val="26"/>
        <w:snapToGrid w:val="0"/>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1、供应商认为招标文件使自己的权益受到损害的，可以自获取招标文件之日（获取截止日之后收到招标文件的，以获取截止日为准）起7个工作日内，以书面形式向采购人和采购代理机构提出质疑。</w:t>
      </w:r>
    </w:p>
    <w:p>
      <w:pPr>
        <w:pStyle w:val="26"/>
        <w:snapToGrid w:val="0"/>
        <w:spacing w:before="0"/>
        <w:ind w:left="0" w:leftChars="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2、投标供应商一旦参与本次采购活动，即被视为接受了本招标文件的所有内容，如有任何异议，均已在答疑截止时间前提出。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（三）招标文件的修改</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2、若有必要，采购代理机构将酌情延长递交投标文件的截止日期。</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（四）投标报价</w:t>
      </w:r>
    </w:p>
    <w:p>
      <w:pPr>
        <w:pStyle w:val="2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1、报价</w:t>
      </w:r>
    </w:p>
    <w:p>
      <w:pPr>
        <w:pStyle w:val="2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有关本项目所需的一切费用均计入报价。投标供应商应根据《开标一览表》填写相关内容。《开标一览表》是报价的唯一载体。</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2、其它费用处理</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招标文件未列明，而投标供应商认为必需的费用也需列入报价。投标供应商在投标报价中应充分考虑所有可能发生的费用，否则采购人将视投标总价中已包括所有费用。</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3、投标货币</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4、投标供应商对在合同执行中，除上述费用及招标文件规定的由中标供应商负责的工作范围以外需要采购人协调或提供便利的工作应当在投标文件中说明。</w:t>
      </w:r>
    </w:p>
    <w:p>
      <w:pPr>
        <w:tabs>
          <w:tab w:val="left" w:pos="37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5、其他注意事项：</w:t>
      </w:r>
    </w:p>
    <w:p>
      <w:pPr>
        <w:tabs>
          <w:tab w:val="left" w:pos="37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投标供应商在投标活动中提供任何虚假材料，其投标无效，并上报监管部门。</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39" w:name="_Toc33194390"/>
      <w:r>
        <w:rPr>
          <w:rFonts w:hint="eastAsia" w:ascii="宋体" w:hAnsi="宋体" w:eastAsia="宋体" w:cs="宋体"/>
          <w:b/>
          <w:bCs/>
          <w:color w:val="auto"/>
          <w:sz w:val="24"/>
          <w:highlight w:val="none"/>
        </w:rPr>
        <w:t>三、</w:t>
      </w:r>
      <w:bookmarkStart w:id="40" w:name="_Hlt75236011"/>
      <w:bookmarkEnd w:id="40"/>
      <w:bookmarkStart w:id="41" w:name="_Toc354996698"/>
      <w:bookmarkStart w:id="42" w:name="_Toc233618974"/>
      <w:bookmarkStart w:id="43" w:name="_Toc91899884"/>
      <w:r>
        <w:rPr>
          <w:rFonts w:hint="eastAsia" w:ascii="宋体" w:hAnsi="宋体" w:eastAsia="宋体" w:cs="宋体"/>
          <w:b/>
          <w:bCs/>
          <w:color w:val="auto"/>
          <w:sz w:val="24"/>
          <w:highlight w:val="none"/>
        </w:rPr>
        <w:t>投标文件</w:t>
      </w:r>
      <w:bookmarkEnd w:id="39"/>
      <w:bookmarkEnd w:id="41"/>
      <w:bookmarkEnd w:id="42"/>
      <w:bookmarkEnd w:id="43"/>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（一）投标文件的语言</w:t>
      </w:r>
    </w:p>
    <w:p>
      <w:pPr>
        <w:shd w:val="clear" w:color="auto" w:fill="FFFFFF"/>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投标文件及投标供应商与采购有关的来往通知、函件和文件均应使用中文。</w:t>
      </w:r>
    </w:p>
    <w:p>
      <w:pPr>
        <w:pStyle w:val="26"/>
        <w:snapToGrid w:val="0"/>
        <w:spacing w:before="0"/>
        <w:ind w:firstLine="0" w:firstLineChars="0"/>
        <w:rPr>
          <w:rFonts w:hint="eastAsia" w:ascii="宋体" w:hAnsi="宋体" w:eastAsia="宋体" w:cs="宋体"/>
          <w:b/>
          <w:color w:val="auto"/>
          <w:szCs w:val="24"/>
          <w:highlight w:val="none"/>
        </w:rPr>
      </w:pPr>
      <w:bookmarkStart w:id="44" w:name="_Toc91899887"/>
      <w:r>
        <w:rPr>
          <w:rFonts w:hint="eastAsia" w:ascii="宋体" w:hAnsi="宋体" w:eastAsia="宋体" w:cs="宋体"/>
          <w:b/>
          <w:color w:val="auto"/>
          <w:szCs w:val="24"/>
          <w:highlight w:val="none"/>
        </w:rPr>
        <w:t>（二）投标文件的组成</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投标</w:t>
      </w:r>
      <w:r>
        <w:rPr>
          <w:rFonts w:hint="eastAsia" w:ascii="宋体" w:hAnsi="宋体" w:eastAsia="宋体" w:cs="宋体"/>
          <w:color w:val="auto"/>
          <w:kern w:val="0"/>
          <w:sz w:val="24"/>
          <w:highlight w:val="none"/>
          <w:lang w:val="zh-CN"/>
        </w:rPr>
        <w:t>文件应当包括以下主要内容：资格文件、报价文件、商务技术文件。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1、投标供应商的</w:t>
      </w:r>
      <w:r>
        <w:rPr>
          <w:rFonts w:hint="eastAsia" w:ascii="宋体" w:hAnsi="宋体" w:eastAsia="宋体" w:cs="宋体"/>
          <w:b/>
          <w:bCs/>
          <w:color w:val="auto"/>
          <w:kern w:val="0"/>
          <w:sz w:val="24"/>
          <w:highlight w:val="none"/>
          <w:lang w:val="zh-CN"/>
        </w:rPr>
        <w:t>资格文件</w:t>
      </w:r>
      <w:r>
        <w:rPr>
          <w:rFonts w:hint="eastAsia" w:ascii="宋体" w:hAnsi="宋体" w:eastAsia="宋体" w:cs="宋体"/>
          <w:color w:val="auto"/>
          <w:sz w:val="24"/>
          <w:highlight w:val="none"/>
        </w:rPr>
        <w:t xml:space="preserve">至少应包括以下内容： </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shd w:val="clear" w:color="auto" w:fill="FFFFFF"/>
        </w:rPr>
        <w:t>（一）</w:t>
      </w:r>
      <w:r>
        <w:rPr>
          <w:rFonts w:hint="eastAsia" w:ascii="宋体" w:hAnsi="宋体" w:eastAsia="宋体" w:cs="宋体"/>
          <w:color w:val="auto"/>
          <w:sz w:val="24"/>
          <w:szCs w:val="21"/>
          <w:highlight w:val="none"/>
        </w:rPr>
        <w:t>基本资格条件审查材料：</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包括：</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b/>
          <w:color w:val="auto"/>
          <w:sz w:val="24"/>
          <w:szCs w:val="21"/>
          <w:highlight w:val="none"/>
        </w:rPr>
        <w:t>营业执照</w:t>
      </w:r>
      <w:r>
        <w:rPr>
          <w:rFonts w:hint="eastAsia" w:ascii="宋体" w:hAnsi="宋体" w:eastAsia="宋体" w:cs="宋体"/>
          <w:color w:val="auto"/>
          <w:sz w:val="24"/>
          <w:szCs w:val="21"/>
          <w:highlight w:val="none"/>
        </w:rPr>
        <w:t xml:space="preserve">(或事业法人登记证书或其它工商等登记证明材料；自然人参与国企采购，提供身份证)复印件； </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kern w:val="0"/>
          <w:sz w:val="24"/>
          <w:highlight w:val="none"/>
          <w:lang w:bidi="ar"/>
        </w:rPr>
        <w:t>具有良好的商业信誉和健全的财务会计制度的承诺函</w:t>
      </w:r>
      <w:r>
        <w:rPr>
          <w:rFonts w:hint="eastAsia" w:ascii="宋体" w:hAnsi="宋体" w:eastAsia="宋体" w:cs="宋体"/>
          <w:color w:val="auto"/>
          <w:sz w:val="24"/>
          <w:szCs w:val="21"/>
          <w:highlight w:val="none"/>
        </w:rPr>
        <w:t>；</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（3）具有履行合同所必需的场地、设备和专业技术能力的承诺函；</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（4）依法缴纳税收和社会保障资金的承诺函；</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（5）参加国企采购活动前3年内在经营活动中没有重大违法记录的声明函；</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（6）单位负责人为同一人或者存在直接控股、管理关系的不同供应商，不得参加同一合同项下的国企采购活动承诺函；</w:t>
      </w:r>
    </w:p>
    <w:p>
      <w:pPr>
        <w:snapToGrid w:val="0"/>
        <w:spacing w:line="360" w:lineRule="auto"/>
        <w:ind w:left="105" w:leftChars="5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（7）投标供应商没有失信记录承诺函；</w:t>
      </w:r>
    </w:p>
    <w:p>
      <w:pPr>
        <w:snapToGrid w:val="0"/>
        <w:spacing w:line="360" w:lineRule="auto"/>
        <w:ind w:left="105" w:leftChars="50"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上述资格条件审查材料有一项不提供的，视为资格审查不通过。</w:t>
      </w:r>
    </w:p>
    <w:p>
      <w:pPr>
        <w:snapToGrid w:val="0"/>
        <w:spacing w:line="360" w:lineRule="auto"/>
        <w:ind w:firstLine="480" w:firstLineChars="200"/>
        <w:rPr>
          <w:rFonts w:hint="eastAsia" w:ascii="宋体" w:hAnsi="宋体" w:eastAsia="宋体" w:cs="宋体"/>
          <w:color w:val="auto"/>
          <w:sz w:val="24"/>
          <w:highlight w:val="none"/>
          <w:u w:val="single"/>
          <w:lang w:val="zh-CN"/>
        </w:rPr>
      </w:pPr>
      <w:bookmarkStart w:id="45" w:name="_Toc500208478"/>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投标供应商的</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至少应包括以下内容：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投标响应函</w:t>
      </w:r>
      <w:r>
        <w:rPr>
          <w:rFonts w:hint="eastAsia" w:ascii="宋体" w:hAnsi="宋体" w:eastAsia="宋体" w:cs="宋体"/>
          <w:color w:val="auto"/>
          <w:sz w:val="24"/>
          <w:highlight w:val="none"/>
        </w:rPr>
        <w:t>；</w:t>
      </w:r>
    </w:p>
    <w:p>
      <w:pPr>
        <w:pStyle w:val="7"/>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w:t>
      </w:r>
    </w:p>
    <w:p>
      <w:pPr>
        <w:pStyle w:val="7"/>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（3）报价明细清单；</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3、投标供应商的</w:t>
      </w:r>
      <w:r>
        <w:rPr>
          <w:rFonts w:hint="eastAsia" w:ascii="宋体" w:hAnsi="宋体" w:eastAsia="宋体" w:cs="宋体"/>
          <w:b/>
          <w:bCs/>
          <w:color w:val="auto"/>
          <w:kern w:val="0"/>
          <w:sz w:val="24"/>
          <w:highlight w:val="none"/>
          <w:lang w:val="zh-CN"/>
        </w:rPr>
        <w:t>商务技术文件</w:t>
      </w:r>
      <w:r>
        <w:rPr>
          <w:rFonts w:hint="eastAsia" w:ascii="宋体" w:hAnsi="宋体" w:eastAsia="宋体" w:cs="宋体"/>
          <w:color w:val="auto"/>
          <w:kern w:val="0"/>
          <w:sz w:val="24"/>
          <w:highlight w:val="none"/>
          <w:lang w:val="zh-CN"/>
        </w:rPr>
        <w:t xml:space="preserve">至少应包括以下内容： </w:t>
      </w:r>
    </w:p>
    <w:bookmarkEnd w:id="45"/>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（1）法定代表人授权委托书；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（2）法定代表人及授权委托人的身份证(复印件加盖公章)；</w:t>
      </w:r>
    </w:p>
    <w:p>
      <w:pPr>
        <w:snapToGrid w:val="0"/>
        <w:spacing w:line="360" w:lineRule="auto"/>
        <w:ind w:firstLine="480" w:firstLineChars="200"/>
        <w:rPr>
          <w:rFonts w:hint="eastAsia" w:ascii="宋体" w:hAnsi="宋体" w:eastAsia="宋体" w:cs="宋体"/>
          <w:color w:val="auto"/>
          <w:sz w:val="24"/>
          <w:highlight w:val="none"/>
          <w:u w:val="none" w:color="000000"/>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none" w:color="000000"/>
        </w:rPr>
        <w:t>资质文件（如有）；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（4）投标产品配置表；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（5）商务技术偏离表；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（6）项目总负责人介绍，项目组成人员情况表（复印件加盖有效公章）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（7）投标供应商项目业绩一览表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（8）投标供应商针对本项目的方案</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（9）投标方案、优惠和承诺、维护方案、售后服务方案（格式自拟）；</w:t>
      </w:r>
    </w:p>
    <w:p>
      <w:pPr>
        <w:pStyle w:val="7"/>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（10）服务承诺；</w:t>
      </w:r>
    </w:p>
    <w:p>
      <w:pPr>
        <w:pStyle w:val="7"/>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（11）其他必要提供的资料。</w:t>
      </w:r>
    </w:p>
    <w:p>
      <w:pPr>
        <w:pStyle w:val="7"/>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（12）投标供应商认为需要的其他文件资料</w:t>
      </w:r>
    </w:p>
    <w:p>
      <w:pPr>
        <w:pStyle w:val="7"/>
        <w:snapToGrid w:val="0"/>
        <w:spacing w:line="36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投标文件中所需的各种证书、证件、证明资料如是复印件，须在复印件上加盖有效公章。</w:t>
      </w:r>
    </w:p>
    <w:p>
      <w:pPr>
        <w:pStyle w:val="7"/>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投标供应商的</w:t>
      </w:r>
      <w:r>
        <w:rPr>
          <w:rFonts w:hint="eastAsia" w:ascii="宋体" w:hAnsi="宋体" w:eastAsia="宋体" w:cs="宋体"/>
          <w:b/>
          <w:color w:val="auto"/>
          <w:sz w:val="24"/>
          <w:szCs w:val="24"/>
          <w:highlight w:val="none"/>
        </w:rPr>
        <w:t>投标文件必须按照招标文件要求制作</w:t>
      </w:r>
      <w:r>
        <w:rPr>
          <w:rFonts w:hint="eastAsia" w:ascii="宋体" w:hAnsi="宋体" w:eastAsia="宋体" w:cs="宋体"/>
          <w:b/>
          <w:bCs/>
          <w:color w:val="auto"/>
          <w:sz w:val="24"/>
          <w:szCs w:val="24"/>
          <w:highlight w:val="none"/>
        </w:rPr>
        <w:t>。</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（三）投标有效期</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2、在原定投标有效期之前，如果出现特殊情况，采购代理机构可以以书面形式通知投标供应商延长投标有效期。</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（四）投标保证金</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44"/>
      <w:bookmarkStart w:id="46" w:name="_Hlt68072998"/>
      <w:bookmarkEnd w:id="46"/>
      <w:bookmarkStart w:id="47" w:name="_Hlt68073093"/>
      <w:bookmarkEnd w:id="47"/>
      <w:bookmarkStart w:id="48" w:name="_Hlt68403820"/>
      <w:bookmarkEnd w:id="48"/>
      <w:bookmarkStart w:id="49" w:name="_Toc233618975"/>
      <w:bookmarkStart w:id="50" w:name="_Toc91899892"/>
      <w:bookmarkStart w:id="51" w:name="_Toc86216991"/>
      <w:r>
        <w:rPr>
          <w:rFonts w:hint="eastAsia" w:ascii="宋体" w:hAnsi="宋体" w:eastAsia="宋体" w:cs="宋体"/>
          <w:b/>
          <w:bCs/>
          <w:color w:val="auto"/>
          <w:sz w:val="24"/>
          <w:highlight w:val="none"/>
        </w:rPr>
        <w:t>投标文件编制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5.1</w:t>
      </w:r>
      <w:r>
        <w:rPr>
          <w:rFonts w:hint="eastAsia" w:ascii="宋体" w:hAnsi="宋体" w:eastAsia="宋体" w:cs="宋体"/>
          <w:b/>
          <w:color w:val="auto"/>
          <w:sz w:val="24"/>
          <w:highlight w:val="none"/>
        </w:rPr>
        <w:t>本项目通过“</w:t>
      </w:r>
      <w:r>
        <w:rPr>
          <w:rFonts w:hint="eastAsia" w:ascii="宋体" w:hAnsi="宋体" w:eastAsia="宋体" w:cs="宋体"/>
          <w:b/>
          <w:color w:val="auto"/>
          <w:sz w:val="24"/>
          <w:highlight w:val="none"/>
          <w:lang w:eastAsia="zh-CN"/>
        </w:rPr>
        <w:t>乐采云平台</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https://www.lecaiyun.com</w:t>
      </w:r>
      <w:r>
        <w:rPr>
          <w:rFonts w:hint="eastAsia" w:ascii="宋体" w:hAnsi="宋体" w:eastAsia="宋体" w:cs="宋体"/>
          <w:b/>
          <w:color w:val="auto"/>
          <w:sz w:val="24"/>
          <w:highlight w:val="none"/>
        </w:rPr>
        <w:t>）”实行在线投标响应（电子投标）。供应商应通过“</w:t>
      </w:r>
      <w:r>
        <w:rPr>
          <w:rFonts w:hint="eastAsia" w:ascii="宋体" w:hAnsi="宋体" w:eastAsia="宋体" w:cs="宋体"/>
          <w:b/>
          <w:color w:val="auto"/>
          <w:sz w:val="24"/>
          <w:highlight w:val="none"/>
          <w:lang w:eastAsia="zh-CN"/>
        </w:rPr>
        <w:t>乐采云电子交易客户端</w:t>
      </w:r>
      <w:r>
        <w:rPr>
          <w:rFonts w:hint="eastAsia" w:ascii="宋体" w:hAnsi="宋体" w:eastAsia="宋体" w:cs="宋体"/>
          <w:b/>
          <w:color w:val="auto"/>
          <w:sz w:val="24"/>
          <w:highlight w:val="none"/>
        </w:rPr>
        <w:t>”，并按照本招标文件和“</w:t>
      </w:r>
      <w:r>
        <w:rPr>
          <w:rFonts w:hint="eastAsia" w:ascii="宋体" w:hAnsi="宋体" w:eastAsia="宋体" w:cs="宋体"/>
          <w:b/>
          <w:color w:val="auto"/>
          <w:sz w:val="24"/>
          <w:highlight w:val="none"/>
          <w:lang w:eastAsia="zh-CN"/>
        </w:rPr>
        <w:t>乐采云平台</w:t>
      </w:r>
      <w:r>
        <w:rPr>
          <w:rFonts w:hint="eastAsia" w:ascii="宋体" w:hAnsi="宋体" w:eastAsia="宋体" w:cs="宋体"/>
          <w:b/>
          <w:color w:val="auto"/>
          <w:sz w:val="24"/>
          <w:highlight w:val="none"/>
        </w:rPr>
        <w:t>”的要求编制并加密投标文件。</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5.2投标供应商应当按照本章节 “投标文件组成”规定的内容及顺序在“</w:t>
      </w:r>
      <w:r>
        <w:rPr>
          <w:rFonts w:hint="eastAsia" w:ascii="宋体" w:hAnsi="宋体" w:eastAsia="宋体" w:cs="宋体"/>
          <w:b/>
          <w:color w:val="auto"/>
          <w:kern w:val="0"/>
          <w:sz w:val="24"/>
          <w:highlight w:val="none"/>
          <w:lang w:eastAsia="zh-CN"/>
        </w:rPr>
        <w:t>乐采云电子交易客户端</w:t>
      </w:r>
      <w:r>
        <w:rPr>
          <w:rFonts w:hint="eastAsia" w:ascii="宋体" w:hAnsi="宋体" w:eastAsia="宋体" w:cs="宋体"/>
          <w:b/>
          <w:color w:val="auto"/>
          <w:kern w:val="0"/>
          <w:sz w:val="24"/>
          <w:highlight w:val="none"/>
        </w:rPr>
        <w:t>”编制投标文件。其中《资格文件》和《商务技术文件》中不得出现本项目投标报价，如因投标供应商原因提前泄露投标报价，是投标供应商的责任。</w:t>
      </w:r>
    </w:p>
    <w:p>
      <w:pPr>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5.4《投标文件》内容不完整、编排混乱导致《投标文件》被误读、漏读或者查找不到相关内容的，是投标供应商的责任。</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5.5《投标文件》因字迹潦草或表达不清所引起的后果由投标供应商负责。</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（六）投标文件的签章</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6.1《投标文件》的签章：</w:t>
      </w:r>
      <w:r>
        <w:rPr>
          <w:rFonts w:hint="eastAsia" w:ascii="宋体" w:hAnsi="宋体" w:eastAsia="宋体" w:cs="宋体"/>
          <w:b/>
          <w:color w:val="auto"/>
          <w:sz w:val="24"/>
          <w:highlight w:val="none"/>
        </w:rPr>
        <w:t>见《前附表》；</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6.2《投标文件》应由投标供应商法定代表人或其授权代表签字（或盖章），并时加盖投标供应商公章。</w:t>
      </w:r>
    </w:p>
    <w:p>
      <w:pPr>
        <w:spacing w:line="360" w:lineRule="auto"/>
        <w:ind w:firstLine="424" w:firstLineChars="17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6.3电子签章操作指南详见采购公告附件</w:t>
      </w:r>
      <w:r>
        <w:rPr>
          <w:rFonts w:hint="eastAsia" w:ascii="宋体" w:hAnsi="宋体" w:eastAsia="宋体" w:cs="宋体"/>
          <w:b/>
          <w:color w:val="auto"/>
          <w:sz w:val="24"/>
          <w:highlight w:val="none"/>
        </w:rPr>
        <w:t>《供应商项目采购-电子招投标操作指南》</w:t>
      </w:r>
      <w:r>
        <w:rPr>
          <w:rFonts w:hint="eastAsia" w:ascii="宋体" w:hAnsi="宋体" w:eastAsia="宋体" w:cs="宋体"/>
          <w:color w:val="auto"/>
          <w:sz w:val="24"/>
          <w:highlight w:val="none"/>
        </w:rPr>
        <w:t>。</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（七）投标文件的形式</w:t>
      </w:r>
    </w:p>
    <w:p>
      <w:pPr>
        <w:spacing w:line="360" w:lineRule="auto"/>
        <w:ind w:firstLine="424" w:firstLineChars="176"/>
        <w:rPr>
          <w:rFonts w:hint="eastAsia" w:ascii="宋体" w:hAnsi="宋体" w:eastAsia="宋体" w:cs="宋体"/>
          <w:color w:val="auto"/>
          <w:sz w:val="24"/>
          <w:highlight w:val="none"/>
        </w:rPr>
      </w:pPr>
      <w:r>
        <w:rPr>
          <w:rFonts w:hint="eastAsia" w:ascii="宋体" w:hAnsi="宋体" w:eastAsia="宋体" w:cs="宋体"/>
          <w:b/>
          <w:color w:val="auto"/>
          <w:sz w:val="24"/>
          <w:highlight w:val="none"/>
        </w:rPr>
        <w:t>7.1投标文件的形式：见《前附表》；</w:t>
      </w:r>
    </w:p>
    <w:p>
      <w:pPr>
        <w:spacing w:line="360" w:lineRule="auto"/>
        <w:ind w:firstLine="424" w:firstLineChars="1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7.2“电子加密投标文件”：“电子加密投标文件”是指通过“</w:t>
      </w:r>
      <w:r>
        <w:rPr>
          <w:rFonts w:hint="eastAsia" w:ascii="宋体" w:hAnsi="宋体" w:eastAsia="宋体" w:cs="宋体"/>
          <w:b/>
          <w:color w:val="auto"/>
          <w:sz w:val="24"/>
          <w:highlight w:val="none"/>
          <w:lang w:eastAsia="zh-CN"/>
        </w:rPr>
        <w:t>乐采云电子交易客户端</w:t>
      </w:r>
      <w:r>
        <w:rPr>
          <w:rFonts w:hint="eastAsia" w:ascii="宋体" w:hAnsi="宋体" w:eastAsia="宋体" w:cs="宋体"/>
          <w:b/>
          <w:color w:val="auto"/>
          <w:sz w:val="24"/>
          <w:highlight w:val="none"/>
        </w:rPr>
        <w:t>”完成投标文件编制后生成并加密的数据电文形式的投标文件。</w:t>
      </w:r>
    </w:p>
    <w:p>
      <w:pPr>
        <w:spacing w:line="360" w:lineRule="auto"/>
        <w:ind w:firstLine="424" w:firstLineChars="1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7.3“备份投标文件”：“备份投标文件”是指与“电子加密投标文件”同时生成的数据电文形式的电子文件（备份标书），其他方式编制的“备份投标文件”视为无效的“备份投标文件”。</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（八）投标文件的份数</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8.1投标文件的份数：见《前附表》。</w:t>
      </w:r>
    </w:p>
    <w:p>
      <w:pPr>
        <w:shd w:val="clear" w:color="auto" w:fill="FFFFFF"/>
        <w:snapToGrid w:val="0"/>
        <w:spacing w:line="360" w:lineRule="auto"/>
        <w:rPr>
          <w:rFonts w:hint="eastAsia" w:ascii="宋体" w:hAnsi="宋体" w:eastAsia="宋体" w:cs="宋体"/>
          <w:b/>
          <w:bCs/>
          <w:color w:val="auto"/>
          <w:sz w:val="24"/>
          <w:highlight w:val="none"/>
        </w:rPr>
      </w:pPr>
    </w:p>
    <w:p>
      <w:pPr>
        <w:snapToGrid w:val="0"/>
        <w:spacing w:line="360" w:lineRule="auto"/>
        <w:jc w:val="center"/>
        <w:outlineLvl w:val="1"/>
        <w:rPr>
          <w:rFonts w:hint="eastAsia" w:ascii="宋体" w:hAnsi="宋体" w:eastAsia="宋体" w:cs="宋体"/>
          <w:b/>
          <w:color w:val="auto"/>
          <w:sz w:val="24"/>
          <w:highlight w:val="none"/>
        </w:rPr>
      </w:pPr>
      <w:bookmarkStart w:id="52" w:name="_Toc33194391"/>
      <w:bookmarkStart w:id="53" w:name="_Toc412730341"/>
      <w:bookmarkStart w:id="54" w:name="_Toc462229099"/>
      <w:bookmarkStart w:id="55" w:name="_Toc354996699"/>
      <w:r>
        <w:rPr>
          <w:rFonts w:hint="eastAsia" w:ascii="宋体" w:hAnsi="宋体" w:eastAsia="宋体" w:cs="宋体"/>
          <w:b/>
          <w:color w:val="auto"/>
          <w:sz w:val="24"/>
          <w:highlight w:val="none"/>
        </w:rPr>
        <w:t>四、投标</w:t>
      </w:r>
      <w:bookmarkEnd w:id="52"/>
      <w:bookmarkEnd w:id="53"/>
      <w:bookmarkEnd w:id="54"/>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（一）投标文件的上传和递交</w:t>
      </w:r>
    </w:p>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1.1“投标文件”的上传、递交：</w:t>
      </w:r>
      <w:r>
        <w:rPr>
          <w:rFonts w:hint="eastAsia" w:ascii="宋体" w:hAnsi="宋体" w:eastAsia="宋体" w:cs="宋体"/>
          <w:b/>
          <w:color w:val="auto"/>
          <w:sz w:val="24"/>
          <w:highlight w:val="none"/>
        </w:rPr>
        <w:t>见《前附表》。</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（二）“电子加密投标文件”解密和异常情况处理</w:t>
      </w:r>
    </w:p>
    <w:p>
      <w:pPr>
        <w:spacing w:line="360" w:lineRule="auto"/>
        <w:ind w:firstLine="426" w:firstLineChars="177"/>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2.1“电子加密投标文件”解密：</w:t>
      </w:r>
      <w:r>
        <w:rPr>
          <w:rFonts w:hint="eastAsia" w:ascii="宋体" w:hAnsi="宋体" w:eastAsia="宋体" w:cs="宋体"/>
          <w:b/>
          <w:color w:val="auto"/>
          <w:sz w:val="24"/>
          <w:highlight w:val="none"/>
        </w:rPr>
        <w:t>见《前附表》。</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（三）投标文件的补充、修改或撤回</w:t>
      </w:r>
    </w:p>
    <w:p>
      <w:pPr>
        <w:spacing w:line="360" w:lineRule="auto"/>
        <w:ind w:firstLine="426" w:firstLineChars="177"/>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
          <w:color w:val="auto"/>
          <w:kern w:val="0"/>
          <w:sz w:val="24"/>
          <w:highlight w:val="none"/>
          <w:lang w:eastAsia="zh-CN"/>
        </w:rPr>
        <w:t>乐采云平台</w:t>
      </w:r>
      <w:r>
        <w:rPr>
          <w:rFonts w:hint="eastAsia" w:ascii="宋体" w:hAnsi="宋体" w:eastAsia="宋体" w:cs="宋体"/>
          <w:b/>
          <w:color w:val="auto"/>
          <w:kern w:val="0"/>
          <w:sz w:val="24"/>
          <w:highlight w:val="none"/>
        </w:rPr>
        <w:t>”将予以拒收。</w:t>
      </w:r>
    </w:p>
    <w:p>
      <w:pPr>
        <w:spacing w:line="360" w:lineRule="auto"/>
        <w:ind w:firstLine="426" w:firstLineChars="17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3.2投标截止时间后，投标供应商不得撤回、修改《投标文件》。</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（四）投标文件的备选方案</w:t>
      </w:r>
    </w:p>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4.1投标供应商不得递交任何的</w:t>
      </w:r>
      <w:r>
        <w:rPr>
          <w:rFonts w:hint="eastAsia" w:ascii="宋体" w:hAnsi="宋体" w:eastAsia="宋体" w:cs="宋体"/>
          <w:b/>
          <w:color w:val="auto"/>
          <w:kern w:val="0"/>
          <w:sz w:val="24"/>
          <w:highlight w:val="none"/>
        </w:rPr>
        <w:t>投标备选（替代）方案</w:t>
      </w:r>
      <w:r>
        <w:rPr>
          <w:rFonts w:hint="eastAsia" w:ascii="宋体" w:hAnsi="宋体" w:eastAsia="宋体" w:cs="宋体"/>
          <w:b/>
          <w:color w:val="auto"/>
          <w:sz w:val="24"/>
          <w:highlight w:val="none"/>
        </w:rPr>
        <w:t>，否则其投标文件将作无效标处理。与“电子加密投标文件”同时生成的“备份投标文件”不是投标备选（替代）方案。</w:t>
      </w:r>
    </w:p>
    <w:p>
      <w:pPr>
        <w:pStyle w:val="26"/>
        <w:snapToGrid w:val="0"/>
        <w:spacing w:before="0" w:line="260" w:lineRule="exact"/>
        <w:ind w:firstLine="482"/>
        <w:rPr>
          <w:rFonts w:hint="eastAsia" w:ascii="宋体" w:hAnsi="宋体" w:eastAsia="宋体" w:cs="宋体"/>
          <w:b/>
          <w:color w:val="auto"/>
          <w:szCs w:val="24"/>
          <w:highlight w:val="none"/>
        </w:rPr>
      </w:pPr>
    </w:p>
    <w:p>
      <w:pPr>
        <w:snapToGrid w:val="0"/>
        <w:spacing w:line="360" w:lineRule="auto"/>
        <w:jc w:val="center"/>
        <w:outlineLvl w:val="1"/>
        <w:rPr>
          <w:rFonts w:hint="eastAsia" w:ascii="宋体" w:hAnsi="宋体" w:eastAsia="宋体" w:cs="宋体"/>
          <w:b/>
          <w:color w:val="auto"/>
          <w:sz w:val="24"/>
          <w:highlight w:val="none"/>
        </w:rPr>
      </w:pPr>
      <w:bookmarkStart w:id="56" w:name="_Toc33194392"/>
      <w:bookmarkStart w:id="57" w:name="_Toc462229100"/>
      <w:r>
        <w:rPr>
          <w:rFonts w:hint="eastAsia" w:ascii="宋体" w:hAnsi="宋体" w:eastAsia="宋体" w:cs="宋体"/>
          <w:b/>
          <w:color w:val="auto"/>
          <w:sz w:val="24"/>
          <w:highlight w:val="none"/>
        </w:rPr>
        <w:t>五、开 标</w:t>
      </w:r>
      <w:bookmarkEnd w:id="56"/>
      <w:bookmarkEnd w:id="57"/>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（一）开标形式</w:t>
      </w:r>
    </w:p>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采购组织机构将按照招标文件规定的时间通过“</w:t>
      </w:r>
      <w:r>
        <w:rPr>
          <w:rFonts w:hint="eastAsia" w:ascii="宋体" w:hAnsi="宋体" w:eastAsia="宋体" w:cs="宋体"/>
          <w:b/>
          <w:color w:val="auto"/>
          <w:sz w:val="24"/>
          <w:highlight w:val="none"/>
          <w:lang w:eastAsia="zh-CN"/>
        </w:rPr>
        <w:t>乐采云平台</w:t>
      </w:r>
      <w:r>
        <w:rPr>
          <w:rFonts w:hint="eastAsia" w:ascii="宋体" w:hAnsi="宋体" w:eastAsia="宋体" w:cs="宋体"/>
          <w:b/>
          <w:color w:val="auto"/>
          <w:sz w:val="24"/>
          <w:highlight w:val="none"/>
        </w:rPr>
        <w:t>”组织开标、开启投标文件，所有供应商均应当准时在线参加。</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开标准备</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2.1开标的准备工作由采购组织机构负责落实；</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w:t>
      </w:r>
      <w:r>
        <w:rPr>
          <w:rFonts w:hint="eastAsia" w:ascii="宋体" w:hAnsi="宋体" w:eastAsia="宋体" w:cs="宋体"/>
          <w:b/>
          <w:color w:val="auto"/>
          <w:sz w:val="24"/>
          <w:highlight w:val="none"/>
        </w:rPr>
        <w:t>采购组织机构将按照招标文件规定的时间通过“</w:t>
      </w:r>
      <w:r>
        <w:rPr>
          <w:rFonts w:hint="eastAsia" w:ascii="宋体" w:hAnsi="宋体" w:eastAsia="宋体" w:cs="宋体"/>
          <w:b/>
          <w:color w:val="auto"/>
          <w:sz w:val="24"/>
          <w:highlight w:val="none"/>
          <w:lang w:eastAsia="zh-CN"/>
        </w:rPr>
        <w:t>乐采云平台</w:t>
      </w:r>
      <w:r>
        <w:rPr>
          <w:rFonts w:hint="eastAsia" w:ascii="宋体" w:hAnsi="宋体" w:eastAsia="宋体" w:cs="宋体"/>
          <w:b/>
          <w:color w:val="auto"/>
          <w:sz w:val="24"/>
          <w:highlight w:val="none"/>
        </w:rPr>
        <w:t>”组织开标、开启投标文件，所有供应商均应当准时在线参加。</w:t>
      </w:r>
      <w:r>
        <w:rPr>
          <w:rFonts w:hint="eastAsia" w:ascii="宋体" w:hAnsi="宋体" w:eastAsia="宋体" w:cs="宋体"/>
          <w:b/>
          <w:color w:val="auto"/>
          <w:kern w:val="0"/>
          <w:sz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（三）开标流程（两阶段：通过“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szCs w:val="24"/>
          <w:highlight w:val="none"/>
        </w:rPr>
        <w:t>”按以下流程实施）</w:t>
      </w:r>
    </w:p>
    <w:p>
      <w:pPr>
        <w:spacing w:line="360" w:lineRule="auto"/>
        <w:ind w:firstLine="426"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3.1开标第一阶段</w:t>
      </w:r>
    </w:p>
    <w:p>
      <w:pPr>
        <w:spacing w:line="360" w:lineRule="auto"/>
        <w:ind w:firstLine="424" w:firstLineChars="177"/>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”操作规范将备份投标文件上传至“</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”，上传成功后，“电子加密投标文件”自动失效；</w:t>
      </w:r>
      <w:r>
        <w:rPr>
          <w:rFonts w:hint="eastAsia" w:ascii="宋体" w:hAnsi="宋体" w:eastAsia="宋体" w:cs="宋体"/>
          <w:b/>
          <w:bCs/>
          <w:color w:val="auto"/>
          <w:kern w:val="0"/>
          <w:sz w:val="24"/>
          <w:highlight w:val="none"/>
        </w:rPr>
        <w:t>注：提交的备份文件上传解密失败的将做无效标处理。</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（2）投标文件解密结束，通过在线询标形式发送各投标供应商组织签署《采购活动现场确认声明书》，未在规定时间内提交视为默认；</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（3）开启投标文件，进入资格审查；</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（4）开启资格审查通过的投标供应商的商务技术文件进入符合性审查、商务技术评审；</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（5）第一阶段开标结束。</w:t>
      </w:r>
    </w:p>
    <w:p>
      <w:pPr>
        <w:spacing w:line="480" w:lineRule="exact"/>
        <w:ind w:firstLine="426"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480" w:lineRule="exact"/>
        <w:ind w:firstLine="426"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3.2开标大会第二阶段</w:t>
      </w:r>
    </w:p>
    <w:p>
      <w:pPr>
        <w:spacing w:line="480" w:lineRule="exact"/>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（1）符合性审查、商务技术评审结束后，举行开标大会第二阶段会议。首先通过</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公布符合性审查、商务技术评审无效供应商名称及理由；公布经商务技术评审后有效投标供应商的名单，同时公布其商务技术部分得分情况。</w:t>
      </w:r>
    </w:p>
    <w:p>
      <w:pPr>
        <w:spacing w:line="480" w:lineRule="exact"/>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（2）开启有效投标供应商的《报价文件》，公布开标一览表有关内容，制作开标记录表，由供应商代表及相关人员进行确认（通过“</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在线确认”），供应商不予确认的应说明理由，否则视为无异议；</w:t>
      </w:r>
    </w:p>
    <w:p>
      <w:pPr>
        <w:spacing w:line="480" w:lineRule="exact"/>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（3）公布报价文件无效供应商名称及理由，公布有效投标供应商的报价得分； </w:t>
      </w:r>
    </w:p>
    <w:p>
      <w:pPr>
        <w:spacing w:line="480" w:lineRule="exact"/>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（4）公布评审结果、中标候选供应商名单及采购人最终确定中标或成交供应商 名单的时间和公告方式等。 </w:t>
      </w:r>
    </w:p>
    <w:p>
      <w:pPr>
        <w:spacing w:line="480" w:lineRule="exact"/>
        <w:ind w:firstLine="426"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特别说明：如遇“</w:t>
      </w:r>
      <w:r>
        <w:rPr>
          <w:rFonts w:hint="eastAsia" w:ascii="宋体" w:hAnsi="宋体" w:eastAsia="宋体" w:cs="宋体"/>
          <w:b/>
          <w:color w:val="auto"/>
          <w:kern w:val="0"/>
          <w:sz w:val="24"/>
          <w:highlight w:val="none"/>
          <w:lang w:eastAsia="zh-CN"/>
        </w:rPr>
        <w:t>乐采云平台</w:t>
      </w:r>
      <w:r>
        <w:rPr>
          <w:rFonts w:hint="eastAsia" w:ascii="宋体" w:hAnsi="宋体" w:eastAsia="宋体" w:cs="宋体"/>
          <w:b/>
          <w:color w:val="auto"/>
          <w:kern w:val="0"/>
          <w:sz w:val="24"/>
          <w:highlight w:val="none"/>
        </w:rPr>
        <w:t>”电子化开标或评审程序调整的，按调整后程序执行。</w:t>
      </w:r>
    </w:p>
    <w:p>
      <w:pPr>
        <w:pStyle w:val="3"/>
        <w:numPr>
          <w:ilvl w:val="0"/>
          <w:numId w:val="0"/>
        </w:numPr>
        <w:spacing w:line="480" w:lineRule="exact"/>
        <w:rPr>
          <w:rFonts w:hint="eastAsia" w:ascii="宋体" w:hAnsi="宋体" w:eastAsia="宋体" w:cs="宋体"/>
          <w:color w:val="auto"/>
          <w:sz w:val="24"/>
          <w:szCs w:val="24"/>
          <w:highlight w:val="none"/>
        </w:rPr>
      </w:pPr>
      <w:bookmarkStart w:id="58" w:name="_Toc24550037"/>
      <w:bookmarkStart w:id="59" w:name="_Toc33194393"/>
      <w:r>
        <w:rPr>
          <w:rFonts w:hint="eastAsia" w:ascii="宋体" w:hAnsi="宋体" w:eastAsia="宋体" w:cs="宋体"/>
          <w:color w:val="auto"/>
          <w:sz w:val="24"/>
          <w:szCs w:val="24"/>
          <w:highlight w:val="none"/>
        </w:rPr>
        <w:t>（四）投标供应商资格审查</w:t>
      </w:r>
      <w:bookmarkEnd w:id="58"/>
      <w:bookmarkEnd w:id="59"/>
    </w:p>
    <w:p>
      <w:pPr>
        <w:spacing w:line="480" w:lineRule="exact"/>
        <w:ind w:firstLine="426" w:firstLineChars="177"/>
        <w:rPr>
          <w:rFonts w:hint="eastAsia" w:ascii="宋体" w:hAnsi="宋体" w:eastAsia="宋体" w:cs="宋体"/>
          <w:color w:val="auto"/>
          <w:sz w:val="24"/>
          <w:highlight w:val="none"/>
        </w:rPr>
      </w:pPr>
      <w:r>
        <w:rPr>
          <w:rFonts w:hint="eastAsia" w:ascii="宋体" w:hAnsi="宋体" w:eastAsia="宋体" w:cs="宋体"/>
          <w:b/>
          <w:color w:val="auto"/>
          <w:sz w:val="24"/>
          <w:highlight w:val="none"/>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auto"/>
          <w:sz w:val="24"/>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80" w:lineRule="exact"/>
        <w:ind w:firstLine="426" w:firstLineChars="177"/>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4.2投标供应商提交的资格证明材料无法证明其符合招标文件规定的“投标供应商资格要求”的，采购人或采购代理机构</w:t>
      </w:r>
      <w:r>
        <w:rPr>
          <w:rFonts w:hint="eastAsia" w:ascii="宋体" w:hAnsi="宋体" w:eastAsia="宋体" w:cs="宋体"/>
          <w:b/>
          <w:color w:val="auto"/>
          <w:kern w:val="0"/>
          <w:sz w:val="24"/>
          <w:highlight w:val="none"/>
        </w:rPr>
        <w:t>将对其作资格审查不通过处理（无效投标），并不再将其投标提交评标委员会进行后续评审。</w:t>
      </w:r>
    </w:p>
    <w:p>
      <w:pPr>
        <w:spacing w:line="480" w:lineRule="exact"/>
        <w:ind w:firstLine="426" w:firstLineChars="177"/>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kern w:val="0"/>
          <w:sz w:val="24"/>
          <w:highlight w:val="none"/>
        </w:rPr>
        <w:t>.3单位负责人为同一人或者存在直接控股、管理关系的不同供应商参加同一合同项下的国企采购活动的，相关投标供应商均作资格无效处理。</w:t>
      </w:r>
    </w:p>
    <w:bookmarkEnd w:id="49"/>
    <w:bookmarkEnd w:id="50"/>
    <w:bookmarkEnd w:id="51"/>
    <w:bookmarkEnd w:id="55"/>
    <w:p>
      <w:pPr>
        <w:snapToGrid w:val="0"/>
        <w:spacing w:line="360" w:lineRule="auto"/>
        <w:jc w:val="center"/>
        <w:outlineLvl w:val="1"/>
        <w:rPr>
          <w:rFonts w:hint="eastAsia" w:ascii="宋体" w:hAnsi="宋体" w:eastAsia="宋体" w:cs="宋体"/>
          <w:b/>
          <w:color w:val="auto"/>
          <w:sz w:val="24"/>
          <w:highlight w:val="none"/>
        </w:rPr>
      </w:pPr>
      <w:bookmarkStart w:id="60" w:name="_Toc412730343"/>
      <w:bookmarkStart w:id="61" w:name="_Toc462229101"/>
      <w:bookmarkStart w:id="62" w:name="_Toc233618978"/>
      <w:bookmarkStart w:id="63" w:name="_Toc354996702"/>
      <w:bookmarkStart w:id="64" w:name="_Toc86216994"/>
    </w:p>
    <w:p>
      <w:pPr>
        <w:snapToGrid w:val="0"/>
        <w:spacing w:line="360" w:lineRule="auto"/>
        <w:jc w:val="center"/>
        <w:outlineLvl w:val="1"/>
        <w:rPr>
          <w:rFonts w:hint="eastAsia" w:ascii="宋体" w:hAnsi="宋体" w:eastAsia="宋体" w:cs="宋体"/>
          <w:b/>
          <w:color w:val="auto"/>
          <w:sz w:val="24"/>
          <w:highlight w:val="none"/>
        </w:rPr>
      </w:pPr>
      <w:bookmarkStart w:id="65" w:name="_Toc33194394"/>
    </w:p>
    <w:p>
      <w:pPr>
        <w:snapToGrid w:val="0"/>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六、评 标</w:t>
      </w:r>
      <w:bookmarkEnd w:id="60"/>
      <w:bookmarkEnd w:id="61"/>
      <w:bookmarkEnd w:id="65"/>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（一）评审工作的组织</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1.1采购人或采购代理机构负责组织本项目的评审工作。</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（二）评标委员会的组建</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2.1评标委员会由采购人或采购代理机构依法组建，成员包括采购人代表和评审专家，成员人数为</w:t>
      </w: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rPr>
        <w:t>人或以上单数，其中评审专家不少于成员总数的三分之二。</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2.2评标委员会成员名单在评审结果（采购结果）公告前保密。</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（三）评标委员会的职责</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3.1评标委员会负责具体评审事务，并独立履行下列职责：</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（1）审查、评价投标文件是否符合招标文件的商务、技术等实质性要求；</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（2）要求投标供应商对投标文件有关事项作出澄清或者说明；</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（3）对投标文件进行比较和评价；</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（4）确定中标候选人名单，以及根据采购人委托直接确定中标供应商；</w:t>
      </w:r>
    </w:p>
    <w:p>
      <w:pPr>
        <w:spacing w:line="360" w:lineRule="auto"/>
        <w:ind w:firstLine="422"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（5）向采购人、采购代理机构或者有关部门报告评审中发现的违法行为。</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（四）评审原则</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4.1评审原则：</w:t>
      </w:r>
      <w:r>
        <w:rPr>
          <w:rFonts w:hint="eastAsia" w:ascii="宋体" w:hAnsi="宋体" w:eastAsia="宋体" w:cs="宋体"/>
          <w:color w:val="auto"/>
          <w:kern w:val="0"/>
          <w:sz w:val="24"/>
          <w:highlight w:val="none"/>
        </w:rPr>
        <w:t>评标委员会</w:t>
      </w:r>
      <w:r>
        <w:rPr>
          <w:rFonts w:hint="eastAsia" w:ascii="宋体" w:hAnsi="宋体" w:eastAsia="宋体" w:cs="宋体"/>
          <w:color w:val="auto"/>
          <w:sz w:val="24"/>
          <w:highlight w:val="none"/>
        </w:rPr>
        <w:t>按照客观、公正、审慎、择优的原则，根据招标文件规定的评审程序、评审方法和评审标准进行独立评审。</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4.2评审工作将依据</w:t>
      </w:r>
      <w:r>
        <w:rPr>
          <w:rFonts w:hint="eastAsia" w:ascii="宋体" w:hAnsi="宋体" w:eastAsia="宋体" w:cs="宋体"/>
          <w:color w:val="auto"/>
          <w:kern w:val="0"/>
          <w:sz w:val="24"/>
          <w:highlight w:val="none"/>
        </w:rPr>
        <w:t>招标文件、投标文件及招标文件中事先已列明的内容进行（如现场方案讲解、演示等）。</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（五）评审意见的争议处理</w:t>
      </w:r>
    </w:p>
    <w:p>
      <w:pPr>
        <w:spacing w:line="360" w:lineRule="auto"/>
        <w:ind w:firstLine="424" w:firstLineChars="177"/>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5.1评标委员会成员对需要共同认定的事项存在争议的，按照少数服从多数的原则作出结论。持不同意见的评标委员会成员应当在评审报告上签署不同意见及理由，否则视为同意评审报告。</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（六）评委纪律</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评标委员会成员必须严格遵守保密规定，不得泄露评审的有关情况，任何单位和个人不得干扰、影响评标的正常进行，评标委员会成员不得私下与投标供应商接触，不得出现采购活动现场组织管理办法中规定的其他禁止行为。</w:t>
      </w:r>
    </w:p>
    <w:p>
      <w:pPr>
        <w:pStyle w:val="3"/>
        <w:numPr>
          <w:ilvl w:val="0"/>
          <w:numId w:val="0"/>
        </w:numPr>
        <w:rPr>
          <w:rFonts w:hint="eastAsia" w:ascii="宋体" w:hAnsi="宋体" w:eastAsia="宋体" w:cs="宋体"/>
          <w:color w:val="auto"/>
          <w:sz w:val="24"/>
          <w:szCs w:val="24"/>
          <w:highlight w:val="none"/>
        </w:rPr>
      </w:pPr>
      <w:bookmarkStart w:id="66" w:name="_Toc24550043"/>
      <w:bookmarkStart w:id="67" w:name="_Toc33194395"/>
      <w:r>
        <w:rPr>
          <w:rFonts w:hint="eastAsia" w:ascii="宋体" w:hAnsi="宋体" w:eastAsia="宋体" w:cs="宋体"/>
          <w:color w:val="auto"/>
          <w:sz w:val="24"/>
          <w:szCs w:val="24"/>
          <w:highlight w:val="none"/>
        </w:rPr>
        <w:t>（七）</w:t>
      </w:r>
      <w:bookmarkEnd w:id="66"/>
      <w:bookmarkStart w:id="68" w:name="_Toc24550044"/>
      <w:r>
        <w:rPr>
          <w:rFonts w:hint="eastAsia" w:ascii="宋体" w:hAnsi="宋体" w:eastAsia="宋体" w:cs="宋体"/>
          <w:color w:val="auto"/>
          <w:sz w:val="24"/>
          <w:szCs w:val="24"/>
          <w:highlight w:val="none"/>
        </w:rPr>
        <w:t>评审流程及内容</w:t>
      </w:r>
      <w:bookmarkEnd w:id="67"/>
      <w:bookmarkEnd w:id="68"/>
    </w:p>
    <w:p>
      <w:pPr>
        <w:spacing w:line="360" w:lineRule="auto"/>
        <w:ind w:firstLine="424" w:firstLineChars="17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本项目具体的评审事务由评标委员会负责，评审流程及内容如下：</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评审前准备</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7.1.1由评审专家推选评审小组组长，采购人代表不得担任评审小组组长。</w:t>
      </w:r>
    </w:p>
    <w:p>
      <w:pPr>
        <w:spacing w:line="360" w:lineRule="auto"/>
        <w:ind w:firstLine="424" w:firstLineChars="177"/>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7.2投标文件的初步审查、符合性审查</w:t>
      </w:r>
    </w:p>
    <w:p>
      <w:pPr>
        <w:spacing w:line="360" w:lineRule="auto"/>
        <w:ind w:firstLine="426" w:firstLineChars="17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pPr>
        <w:pStyle w:val="4"/>
        <w:numPr>
          <w:ilvl w:val="0"/>
          <w:numId w:val="0"/>
        </w:numPr>
        <w:spacing w:before="0"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投标文件的澄清、说明或补正</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7.3.1对于投标文件中含义不明确、同类问题表述不一致或者有明显文字和计算错误的内容，评标委员会将以书面形式（或通过“</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”在线询标）的形式要求投标供应商在规定的时间内作出必要的澄清、说明或者补正，投标供应商澄清、说明或补正时间为30分钟。</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7.3.2投标供应商的澄清、说明或者补正应当采用书面（或通过“</w:t>
      </w:r>
      <w:r>
        <w:rPr>
          <w:rFonts w:hint="eastAsia" w:ascii="宋体" w:hAnsi="宋体" w:eastAsia="宋体" w:cs="宋体"/>
          <w:color w:val="auto"/>
          <w:kern w:val="0"/>
          <w:sz w:val="24"/>
          <w:highlight w:val="none"/>
          <w:lang w:eastAsia="zh-CN"/>
        </w:rPr>
        <w:t>乐采云平台</w:t>
      </w:r>
      <w:r>
        <w:rPr>
          <w:rFonts w:hint="eastAsia" w:ascii="宋体" w:hAnsi="宋体" w:eastAsia="宋体" w:cs="宋体"/>
          <w:color w:val="auto"/>
          <w:kern w:val="0"/>
          <w:sz w:val="24"/>
          <w:highlight w:val="none"/>
        </w:rPr>
        <w:t>”在线答复）形式提交，并加盖公章，或者由法定代表人或其授权的代表签字。投标供应商的澄清、说明或者补正不得超出投标文件的范围或者改变投标文件的实质性内容。</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投标文件的错误修正</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7.4.1《投标文件》如果出现计算或表达上的错误，修正错误的原则如下：</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（1）投标文件中开标一览表（报价表）内容与投标文件中相应内容不一致的，以开标一览表（报价表）为准。</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（2）《投标文件》的大写金额和小写金额不一致的，以大写金额为准；</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（3）单价金额小数点或者百分比有明显错位的，应以开标一览表（报价表）的总价为准，并修改单价；</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（4）总价金额与按单价汇总金额不一致的，以单价金额计算结果为准。</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7.4.2对不同文字文本《投标文件》的解释发生异议的，以中文文本为准。</w:t>
      </w:r>
    </w:p>
    <w:p>
      <w:pPr>
        <w:pStyle w:val="27"/>
        <w:autoSpaceDE/>
        <w:adjustRightInd/>
        <w:snapToGrid w:val="0"/>
        <w:spacing w:before="0" w:line="360" w:lineRule="auto"/>
        <w:ind w:left="0"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（八）投标文件有下列情况之一者将视为无效：</w:t>
      </w:r>
    </w:p>
    <w:p>
      <w:pPr>
        <w:spacing w:line="360" w:lineRule="auto"/>
        <w:ind w:firstLine="424" w:firstLineChars="176"/>
        <w:rPr>
          <w:rFonts w:hint="eastAsia" w:ascii="宋体" w:hAnsi="宋体" w:eastAsia="宋体" w:cs="宋体"/>
          <w:b/>
          <w:color w:val="auto"/>
          <w:kern w:val="0"/>
          <w:sz w:val="24"/>
          <w:highlight w:val="none"/>
        </w:rPr>
      </w:pPr>
      <w:bookmarkStart w:id="69" w:name="_Hlk33211013"/>
      <w:r>
        <w:rPr>
          <w:rFonts w:hint="eastAsia" w:ascii="宋体" w:hAnsi="宋体" w:eastAsia="宋体" w:cs="宋体"/>
          <w:b/>
          <w:color w:val="auto"/>
          <w:kern w:val="0"/>
          <w:sz w:val="24"/>
          <w:highlight w:val="none"/>
        </w:rPr>
        <w:t>8.1商务、技术文件符合性审查中，存在下列情形之一的，经评标委员会认定后作无效标处理：</w:t>
      </w:r>
    </w:p>
    <w:p>
      <w:pPr>
        <w:spacing w:line="360" w:lineRule="auto"/>
        <w:ind w:firstLine="424" w:firstLineChars="176"/>
        <w:rPr>
          <w:rFonts w:hint="eastAsia" w:ascii="宋体" w:hAnsi="宋体" w:eastAsia="宋体" w:cs="宋体"/>
          <w:b/>
          <w:color w:val="auto"/>
          <w:kern w:val="0"/>
          <w:sz w:val="24"/>
          <w:highlight w:val="none"/>
        </w:rPr>
      </w:pPr>
      <w:bookmarkStart w:id="70" w:name="_Toc33194396"/>
      <w:r>
        <w:rPr>
          <w:rFonts w:hint="eastAsia" w:ascii="宋体" w:hAnsi="宋体" w:eastAsia="宋体" w:cs="宋体"/>
          <w:b/>
          <w:color w:val="auto"/>
          <w:kern w:val="0"/>
          <w:sz w:val="24"/>
          <w:highlight w:val="none"/>
        </w:rPr>
        <w:t>（1）投标文件未有效授权，法定代表人授权委托书等填写不完整或有涂改的；</w:t>
      </w:r>
      <w:bookmarkEnd w:id="70"/>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（2）投标文件没有对本招标文件作出实质性响应的，或不满足（不响应）本招标文件中标注“▲”的实质性要求条款的，或存在招标文件中明确规定的其他无效标情形的；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（3）投标文件存在一个或一个以上备选（替代）投标方案的；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（4）仅提交“备份投标文件”的；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（5）文件组成内容不齐全，本招标文件规定必须提供而未提供的（属于资格审查范围的除外）；</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（6）投标文件标注的响应或偏离情况与事实不符，或提供了虚假材料的；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（7）不响应或擅自改变本招标文件要求或投标文件有采购人不能接受的附加条件的；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（8）参加同一合同项下采购活动的不同供应商之间存在利害关系并且存在影响采购公平竞争行为的；</w:t>
      </w:r>
    </w:p>
    <w:p>
      <w:pPr>
        <w:spacing w:line="360" w:lineRule="auto"/>
        <w:ind w:firstLine="424" w:firstLineChars="176"/>
        <w:rPr>
          <w:rFonts w:hint="eastAsia" w:ascii="宋体" w:hAnsi="宋体" w:eastAsia="宋体" w:cs="宋体"/>
          <w:b/>
          <w:color w:val="auto"/>
          <w:kern w:val="0"/>
          <w:sz w:val="24"/>
          <w:highlight w:val="none"/>
        </w:rPr>
      </w:pPr>
      <w:bookmarkStart w:id="71" w:name="_Toc33194397"/>
      <w:r>
        <w:rPr>
          <w:rFonts w:hint="eastAsia" w:ascii="宋体" w:hAnsi="宋体" w:eastAsia="宋体" w:cs="宋体"/>
          <w:b/>
          <w:color w:val="auto"/>
          <w:kern w:val="0"/>
          <w:sz w:val="24"/>
          <w:highlight w:val="none"/>
        </w:rPr>
        <w:t>（9）</w:t>
      </w:r>
      <w:bookmarkEnd w:id="71"/>
      <w:r>
        <w:rPr>
          <w:rFonts w:hint="eastAsia" w:ascii="宋体" w:hAnsi="宋体" w:eastAsia="宋体" w:cs="宋体"/>
          <w:b/>
          <w:color w:val="auto"/>
          <w:kern w:val="0"/>
          <w:sz w:val="24"/>
          <w:highlight w:val="none"/>
        </w:rPr>
        <w:t>违反国家或政府部门相关法律、法规、文件规定的。</w:t>
      </w:r>
      <w:bookmarkEnd w:id="69"/>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8.2报价文件符合性审查中，存在下列情形之一的，经评标委员会认定后作无效标处理：</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（1）投标文件没有对本招标文件作出实质性响应的，或不满足（不响应）本招标文件中标注“▲”的实质性要求条款的，或存在招标文件中明确规定的其他无效标情形的；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（2）投标文件存在一个或一个以上备选（替代）投标方案的；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（3）未按照招标文件标明的币种报价的，或者投标报价涵盖的内容不符合招标文件要求的；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（4）《开标一览表》内容与《投标报价明细表》内容不一致且拒不接受修正的；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（5）投标报价具有选择性，唱标价格与《投标文件》承诺的优惠（折扣）后价格不一致的；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（6）投标报价超过采购预算（或最高限价）的；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（7）仅提交“备份投标文件”的；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（8）投标文件组成内容不齐全，本招标文件规定必须提供而未提供的（属于资格审查范围的除外）；</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（9）投标文件标注的响应或偏离情况与事实不符，或提供了虚假材料的；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（10）不响应或擅自改变本招标文件要求或投标文件有采购人不能接受的附加条件的；</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11）评审委员会认为供应商报价明显低于其他合格供应商的报价，有可能影响产品质量或者不能诚信履约的，应当要求其在合理时间内提供书面说明，必要时提供相关证明材料；投标供应商不能证明其报价合理性的，评审委员会应当将其作为无效投标或者无效响应处理；</w:t>
      </w:r>
    </w:p>
    <w:p>
      <w:pPr>
        <w:spacing w:line="360" w:lineRule="auto"/>
        <w:ind w:firstLine="424"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（12）违反国家或政府部门相关法律、法规、文件规定的。</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（九）投标文件的评估、比较、评分</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9.1评标委员会应当按照招标文件中规定的评审方法和标准，对符合性审查合格的投标文件进行商务和技术评估，综合比较与评价。评标时，评标委员会各成员将独立对每个投标供应商的投标文件进行评价，并汇总每个投标供应商的得分。评审细则详见本章第七款。</w:t>
      </w:r>
    </w:p>
    <w:p>
      <w:pPr>
        <w:spacing w:line="360" w:lineRule="auto"/>
        <w:ind w:firstLine="424" w:firstLineChars="17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（十）修改评审结果</w:t>
      </w:r>
    </w:p>
    <w:p>
      <w:pPr>
        <w:spacing w:line="360" w:lineRule="auto"/>
        <w:ind w:firstLine="487" w:firstLineChars="20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10.1评标结果汇总完成后，除下列情形外，任何人不得修改评标结果：</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（1）分值汇总计算错误的；</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（2）分项评分超出评分标准范围的；</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（3）评标委员会成员对客观评审因素评分不一致的；</w:t>
      </w:r>
    </w:p>
    <w:p>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（4）经评标委员会认定评分畸高、畸低的。</w:t>
      </w:r>
    </w:p>
    <w:p>
      <w:pPr>
        <w:spacing w:line="360" w:lineRule="auto"/>
        <w:ind w:firstLine="487" w:firstLineChars="20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10.2评标报告签署前，经复核发现存在以上情形之一的，评标委员会将当场修改评标结果，并在评标报告中记载。</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（十一）供应商排序及推荐中标（成交）候选供应商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评标委员会根据以下规定确定供应商排名并推荐中标（成交）候选供应商。</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11.1评标委员会根据各投标供应商的综合得分（商务技术分与报价得分之和）从高到低依次进行排名排序。特殊情形按以下原则处理：</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（1）综合得分相同的，按投标报价低的优先原则确定排名；</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（2）综合得分和投标报价均相同的，按技术资信得分从高到低确定排名；</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（3）综合得分、投标报价和技术资信得分均相同的，投标文件满足招标文件全部实质性要求，且按照评审因素的量化指标评审得分最高的投标人为排名第一的中标候选人。</w:t>
      </w:r>
    </w:p>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11.2根据最终得分排序，通过书面评审报告的形式，向采购人推荐</w:t>
      </w:r>
      <w:r>
        <w:rPr>
          <w:rFonts w:hint="eastAsia" w:ascii="宋体" w:hAnsi="宋体" w:eastAsia="宋体" w:cs="宋体"/>
          <w:b/>
          <w:color w:val="auto"/>
          <w:kern w:val="0"/>
          <w:sz w:val="24"/>
          <w:highlight w:val="none"/>
        </w:rPr>
        <w:t>排名第一的投标供应商为中标（成交）候选供应商</w:t>
      </w:r>
      <w:r>
        <w:rPr>
          <w:rFonts w:hint="eastAsia" w:ascii="宋体" w:hAnsi="宋体" w:eastAsia="宋体" w:cs="宋体"/>
          <w:b/>
          <w:color w:val="auto"/>
          <w:sz w:val="24"/>
          <w:highlight w:val="none"/>
        </w:rPr>
        <w:t>。</w:t>
      </w:r>
    </w:p>
    <w:p>
      <w:pPr>
        <w:pStyle w:val="4"/>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（十二）起草、签署评审报告</w:t>
      </w:r>
    </w:p>
    <w:p>
      <w:pPr>
        <w:spacing w:line="360" w:lineRule="auto"/>
        <w:ind w:firstLine="463" w:firstLineChars="193"/>
        <w:rPr>
          <w:rFonts w:hint="eastAsia" w:ascii="宋体" w:hAnsi="宋体" w:eastAsia="宋体" w:cs="宋体"/>
          <w:color w:val="auto"/>
          <w:sz w:val="24"/>
          <w:highlight w:val="none"/>
        </w:rPr>
      </w:pPr>
      <w:r>
        <w:rPr>
          <w:rFonts w:hint="eastAsia" w:ascii="宋体" w:hAnsi="宋体" w:eastAsia="宋体" w:cs="宋体"/>
          <w:color w:val="auto"/>
          <w:sz w:val="24"/>
          <w:highlight w:val="none"/>
        </w:rPr>
        <w:t>评审结束后，评标委员会将通过“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”起草评审报告，评标委员会成员应当在评审报告上签字，对自己的评审意见承担法律责任。对评审报告有异议的，应当在评审报告上签署不同意见，并说明理由，否则视为同意评审报告。</w:t>
      </w:r>
    </w:p>
    <w:p>
      <w:pPr>
        <w:pStyle w:val="7"/>
        <w:snapToGrid w:val="0"/>
        <w:spacing w:line="360" w:lineRule="auto"/>
        <w:rPr>
          <w:rFonts w:hint="eastAsia" w:ascii="宋体" w:hAnsi="宋体" w:eastAsia="宋体" w:cs="宋体"/>
          <w:b/>
          <w:color w:val="auto"/>
          <w:sz w:val="24"/>
          <w:szCs w:val="24"/>
          <w:highlight w:val="none"/>
        </w:rPr>
      </w:pPr>
      <w:bookmarkStart w:id="72" w:name="_Toc91899903"/>
      <w:r>
        <w:rPr>
          <w:rFonts w:hint="eastAsia" w:ascii="宋体" w:hAnsi="宋体" w:eastAsia="宋体" w:cs="宋体"/>
          <w:b/>
          <w:color w:val="auto"/>
          <w:sz w:val="24"/>
          <w:szCs w:val="24"/>
          <w:highlight w:val="none"/>
        </w:rPr>
        <w:t>（十三）评标办法</w:t>
      </w:r>
    </w:p>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本项目采用综合评分法</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总分为100分，其中商务、技术</w:t>
      </w:r>
      <w:r>
        <w:rPr>
          <w:rFonts w:hint="eastAsia" w:ascii="宋体" w:hAnsi="宋体" w:cs="宋体"/>
          <w:b/>
          <w:color w:val="auto"/>
          <w:sz w:val="24"/>
          <w:highlight w:val="none"/>
          <w:lang w:val="en-US" w:eastAsia="zh-CN"/>
        </w:rPr>
        <w:t>70</w:t>
      </w:r>
      <w:r>
        <w:rPr>
          <w:rFonts w:hint="eastAsia" w:ascii="宋体" w:hAnsi="宋体" w:eastAsia="宋体" w:cs="宋体"/>
          <w:b/>
          <w:color w:val="auto"/>
          <w:sz w:val="24"/>
          <w:highlight w:val="none"/>
        </w:rPr>
        <w:t>分，价格分</w:t>
      </w:r>
      <w:r>
        <w:rPr>
          <w:rFonts w:hint="eastAsia" w:ascii="宋体" w:hAnsi="宋体" w:cs="宋体"/>
          <w:b/>
          <w:color w:val="auto"/>
          <w:sz w:val="24"/>
          <w:highlight w:val="none"/>
          <w:lang w:val="en-US" w:eastAsia="zh-CN"/>
        </w:rPr>
        <w:t>30</w:t>
      </w:r>
      <w:r>
        <w:rPr>
          <w:rFonts w:hint="eastAsia" w:ascii="宋体" w:hAnsi="宋体" w:eastAsia="宋体" w:cs="宋体"/>
          <w:b/>
          <w:color w:val="auto"/>
          <w:sz w:val="24"/>
          <w:highlight w:val="none"/>
        </w:rPr>
        <w:t>分。</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商务、技术评标细则（</w:t>
      </w:r>
      <w:r>
        <w:rPr>
          <w:rFonts w:hint="eastAsia" w:ascii="宋体" w:hAnsi="宋体" w:cs="宋体"/>
          <w:color w:val="auto"/>
          <w:sz w:val="24"/>
          <w:highlight w:val="none"/>
          <w:lang w:val="en-US" w:eastAsia="zh-CN"/>
        </w:rPr>
        <w:t>70</w:t>
      </w:r>
      <w:r>
        <w:rPr>
          <w:rFonts w:hint="eastAsia" w:ascii="宋体" w:hAnsi="宋体" w:eastAsia="宋体" w:cs="宋体"/>
          <w:color w:val="auto"/>
          <w:sz w:val="24"/>
          <w:highlight w:val="none"/>
        </w:rPr>
        <w:t>分）</w:t>
      </w:r>
    </w:p>
    <w:tbl>
      <w:tblPr>
        <w:tblStyle w:val="1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6"/>
        <w:gridCol w:w="2035"/>
        <w:gridCol w:w="669"/>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0" w:type="auto"/>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序号</w:t>
            </w:r>
          </w:p>
        </w:tc>
        <w:tc>
          <w:tcPr>
            <w:tcW w:w="0" w:type="auto"/>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评分项目</w:t>
            </w:r>
          </w:p>
        </w:tc>
        <w:tc>
          <w:tcPr>
            <w:tcW w:w="669"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分值</w:t>
            </w:r>
          </w:p>
        </w:tc>
        <w:tc>
          <w:tcPr>
            <w:tcW w:w="6446" w:type="dxa"/>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投标人综合实力</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1、投标人具有信息安全管理体系认证证书（认证范围包含应用软件开发、信息系统集成、软硬件运维及安全服务等相关内容），得2分；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2、投标人具有职业健康安全管理体系认证证书（认证范围包含应用软件开发、信息系统集成、软硬件运维及安全服务等相关内容），得2分。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说明：响应文件中需提供有效证明材料扫描件并加盖公章，否则不得分。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37"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投入本项目人员评价</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0-13</w:t>
            </w:r>
          </w:p>
        </w:tc>
        <w:tc>
          <w:tcPr>
            <w:tcW w:w="6446" w:type="dxa"/>
            <w:shd w:val="clear" w:color="auto" w:fill="auto"/>
            <w:vAlign w:val="center"/>
          </w:tcPr>
          <w:p>
            <w:pPr>
              <w:keepNext w:val="0"/>
              <w:keepLines w:val="0"/>
              <w:widowControl/>
              <w:suppressLineNumbers w:val="0"/>
              <w:spacing w:line="240" w:lineRule="auto"/>
              <w:jc w:val="both"/>
              <w:textAlignment w:val="center"/>
              <w:rPr>
                <w:rStyle w:val="45"/>
                <w:lang w:val="en-US" w:eastAsia="zh-CN" w:bidi="ar"/>
              </w:rPr>
            </w:pPr>
            <w:r>
              <w:rPr>
                <w:rStyle w:val="45"/>
                <w:lang w:val="en-US" w:eastAsia="zh-CN" w:bidi="ar"/>
              </w:rPr>
              <w:t>（1）项目负责人（1人）具有信息系统项目管理师证书、高级软件设计师证书、信息安全管理证书的,每具备1本证书得1分，全部具备得4分，没有不得分。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45"/>
                <w:lang w:val="en-US" w:eastAsia="zh-CN" w:bidi="ar"/>
              </w:rPr>
              <w:t>（2）技术负责人（1人）具有系统规划与管理师证书、网络与信息安全工程师证书、通信工程师（数据通信）证书，每具备1本证书得1分，全部具备得4分，没有不得分。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45"/>
                <w:lang w:val="en-US" w:eastAsia="zh-CN" w:bidi="ar"/>
              </w:rPr>
              <w:t>（3）项目组中成员（除项目负责人、技术负责人外）具有软件评测师、信息系统运维管理工程师、硬件技术维护工程师、民用无人机驾驶员合格证、系统集成高级工程师，每具备1种证书得1分，最高得5分。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45"/>
                <w:lang w:val="en-US" w:eastAsia="zh-CN" w:bidi="ar"/>
              </w:rPr>
              <w:t>说明：项目负责人、技术负责人分别只能指定1人，不能同时兼任。响应文件中提供人员在本次投标单位近3个月缴纳社保的证明扫描件（社保缴纳证明资料可为社保收缴部门盖章证明资料、社保窗口打印资料或社保官网截图）、证书扫描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类似项目业绩</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0-2</w:t>
            </w:r>
          </w:p>
        </w:tc>
        <w:tc>
          <w:tcPr>
            <w:tcW w:w="6446" w:type="dxa"/>
            <w:shd w:val="clear" w:color="auto" w:fill="auto"/>
            <w:vAlign w:val="center"/>
          </w:tcPr>
          <w:p>
            <w:pPr>
              <w:keepNext w:val="0"/>
              <w:keepLines w:val="0"/>
              <w:widowControl/>
              <w:suppressLineNumbers w:val="0"/>
              <w:spacing w:line="240" w:lineRule="auto"/>
              <w:jc w:val="both"/>
              <w:textAlignment w:val="center"/>
              <w:rPr>
                <w:rStyle w:val="45"/>
                <w:lang w:val="en-US" w:eastAsia="zh-CN" w:bidi="ar"/>
              </w:rPr>
            </w:pPr>
            <w:r>
              <w:rPr>
                <w:rStyle w:val="45"/>
                <w:lang w:val="en-US" w:eastAsia="zh-CN" w:bidi="ar"/>
              </w:rPr>
              <w:t>投标人2020年1月1日至今含无人机或无人机系统的项目业绩，每个合同得1分，最高得2分。</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Style w:val="45"/>
                <w:lang w:val="en-US" w:eastAsia="zh-CN" w:bidi="ar"/>
              </w:rPr>
              <w:t>注：须提供合同复印件加盖公章，否则不得分。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1"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39"/>
                <w:lang w:val="en-US" w:eastAsia="zh-CN" w:bidi="ar"/>
              </w:rPr>
              <w:t>对本项目的需求理解方案</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Style w:val="37"/>
                <w:rFonts w:eastAsia="宋体"/>
                <w:lang w:val="en-US" w:eastAsia="zh-CN" w:bidi="ar"/>
              </w:rPr>
              <w:t>0-3</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对本项目建设背景、现状及要求的理解程度，对项目的总体认识；对苍南县社会治理、应急、交通、旅游、公安等部门日常巡查、应急处置工作的关键业务点现状需求情况的分析、项目建设重难点分析情况的掌握程度，是否能充分实现招标人对系统建设的预期设想情况进行综合评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1</w:t>
            </w:r>
            <w:r>
              <w:rPr>
                <w:rStyle w:val="42"/>
                <w:lang w:val="en-US" w:eastAsia="zh-CN" w:bidi="ar"/>
              </w:rPr>
              <w:t>）方案完整、合理可行的</w:t>
            </w:r>
            <w:r>
              <w:rPr>
                <w:rStyle w:val="38"/>
                <w:rFonts w:eastAsia="宋体"/>
                <w:lang w:val="en-US" w:eastAsia="zh-CN" w:bidi="ar"/>
              </w:rPr>
              <w:t>2-3</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2</w:t>
            </w:r>
            <w:r>
              <w:rPr>
                <w:rStyle w:val="42"/>
                <w:lang w:val="en-US" w:eastAsia="zh-CN" w:bidi="ar"/>
              </w:rPr>
              <w:t>）方案基本完整、相对合理可行的</w:t>
            </w:r>
            <w:r>
              <w:rPr>
                <w:rStyle w:val="38"/>
                <w:rFonts w:eastAsia="宋体"/>
                <w:lang w:val="en-US" w:eastAsia="zh-CN" w:bidi="ar"/>
              </w:rPr>
              <w:t>1-2</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3</w:t>
            </w:r>
            <w:r>
              <w:rPr>
                <w:rStyle w:val="42"/>
                <w:lang w:val="en-US" w:eastAsia="zh-CN" w:bidi="ar"/>
              </w:rPr>
              <w:t>）方案欠缺、具有一定可行性的</w:t>
            </w:r>
            <w:r>
              <w:rPr>
                <w:rStyle w:val="38"/>
                <w:rFonts w:eastAsia="宋体"/>
                <w:lang w:val="en-US" w:eastAsia="zh-CN" w:bidi="ar"/>
              </w:rPr>
              <w:t>0-1</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4</w:t>
            </w:r>
            <w:r>
              <w:rPr>
                <w:rStyle w:val="42"/>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总体技术方案</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Style w:val="37"/>
                <w:rFonts w:eastAsia="宋体"/>
                <w:lang w:val="en-US" w:eastAsia="zh-CN" w:bidi="ar"/>
              </w:rPr>
              <w:t>0-16</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一、低空无人机动态监测网建设：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采购人对低空无人机动态监测网建设的要求，对投标人政务无人机机巢系统选型及部署方案进行打分，从部署点位分析、机型选择、施工方案、配套设施方案、数据传输保证、通讯信号保证方面的完整性、技术符合性等方面进行打分。（0-3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1</w:t>
            </w:r>
            <w:r>
              <w:rPr>
                <w:rStyle w:val="42"/>
                <w:lang w:val="en-US" w:eastAsia="zh-CN" w:bidi="ar"/>
              </w:rPr>
              <w:t>）方案完整、合理可行的</w:t>
            </w:r>
            <w:r>
              <w:rPr>
                <w:rStyle w:val="38"/>
                <w:rFonts w:eastAsia="宋体"/>
                <w:lang w:val="en-US" w:eastAsia="zh-CN" w:bidi="ar"/>
              </w:rPr>
              <w:t>2-3</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2</w:t>
            </w:r>
            <w:r>
              <w:rPr>
                <w:rStyle w:val="42"/>
                <w:lang w:val="en-US" w:eastAsia="zh-CN" w:bidi="ar"/>
              </w:rPr>
              <w:t>）方案基本完整、相对合理可行的</w:t>
            </w:r>
            <w:r>
              <w:rPr>
                <w:rStyle w:val="38"/>
                <w:rFonts w:eastAsia="宋体"/>
                <w:lang w:val="en-US" w:eastAsia="zh-CN" w:bidi="ar"/>
              </w:rPr>
              <w:t>1-2</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3</w:t>
            </w:r>
            <w:r>
              <w:rPr>
                <w:rStyle w:val="42"/>
                <w:lang w:val="en-US" w:eastAsia="zh-CN" w:bidi="ar"/>
              </w:rPr>
              <w:t>）方案欠缺、具有一定可行性的</w:t>
            </w:r>
            <w:r>
              <w:rPr>
                <w:rStyle w:val="38"/>
                <w:rFonts w:eastAsia="宋体"/>
                <w:lang w:val="en-US" w:eastAsia="zh-CN" w:bidi="ar"/>
              </w:rPr>
              <w:t>0-1</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4"/>
                <w:szCs w:val="24"/>
                <w:u w:val="none"/>
              </w:rPr>
            </w:pPr>
            <w:r>
              <w:rPr>
                <w:rStyle w:val="46"/>
                <w:rFonts w:eastAsia="宋体"/>
                <w:lang w:val="en-US" w:eastAsia="zh-CN" w:bidi="ar"/>
              </w:rPr>
              <w:t>4</w:t>
            </w:r>
            <w:r>
              <w:rPr>
                <w:rStyle w:val="47"/>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6"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2、根据投标人对现有机动无人机的运用情况的分析，提出的机动无人机与基站无人机系统的软硬件方案、数据接入方式和组网应用方案，从方案完整性、技术符合性等方面进行打分。（0-3分）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1</w:t>
            </w:r>
            <w:r>
              <w:rPr>
                <w:rStyle w:val="42"/>
                <w:lang w:val="en-US" w:eastAsia="zh-CN" w:bidi="ar"/>
              </w:rPr>
              <w:t>）方案完整、合理可行的</w:t>
            </w:r>
            <w:r>
              <w:rPr>
                <w:rStyle w:val="38"/>
                <w:rFonts w:eastAsia="宋体"/>
                <w:lang w:val="en-US" w:eastAsia="zh-CN" w:bidi="ar"/>
              </w:rPr>
              <w:t>2-3</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2</w:t>
            </w:r>
            <w:r>
              <w:rPr>
                <w:rStyle w:val="42"/>
                <w:lang w:val="en-US" w:eastAsia="zh-CN" w:bidi="ar"/>
              </w:rPr>
              <w:t>）方案基本完整、相对合理可行的</w:t>
            </w:r>
            <w:r>
              <w:rPr>
                <w:rStyle w:val="38"/>
                <w:rFonts w:eastAsia="宋体"/>
                <w:lang w:val="en-US" w:eastAsia="zh-CN" w:bidi="ar"/>
              </w:rPr>
              <w:t>1-2</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3</w:t>
            </w:r>
            <w:r>
              <w:rPr>
                <w:rStyle w:val="42"/>
                <w:lang w:val="en-US" w:eastAsia="zh-CN" w:bidi="ar"/>
              </w:rPr>
              <w:t>）方案欠缺、具有一定可行性的</w:t>
            </w:r>
            <w:r>
              <w:rPr>
                <w:rStyle w:val="38"/>
                <w:rFonts w:eastAsia="宋体"/>
                <w:lang w:val="en-US" w:eastAsia="zh-CN" w:bidi="ar"/>
              </w:rPr>
              <w:t>0-1</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4"/>
                <w:szCs w:val="24"/>
                <w:u w:val="none"/>
              </w:rPr>
            </w:pPr>
            <w:r>
              <w:rPr>
                <w:rStyle w:val="46"/>
                <w:rFonts w:eastAsia="宋体"/>
                <w:lang w:val="en-US" w:eastAsia="zh-CN" w:bidi="ar"/>
              </w:rPr>
              <w:t>4</w:t>
            </w:r>
            <w:r>
              <w:rPr>
                <w:rStyle w:val="47"/>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二、系统功能总体设计：</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采购人需求及要求，提供系统功能总体设计方案：包括无人机数据中心、无人机集群指挥调度系统、低空航路网规划系统、低空遥感大数据管理系统、低空遥感大数据智能分析系统、无人机综合可视化管控系统、智慧专题应用系统等方案，根据方案内容的详细程度、合理性和可行性，应用功能是否紧扣采购人需求（结合招标需求和响应情况）等方面进行综合评价。（0-10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1</w:t>
            </w:r>
            <w:r>
              <w:rPr>
                <w:rStyle w:val="42"/>
                <w:lang w:val="en-US" w:eastAsia="zh-CN" w:bidi="ar"/>
              </w:rPr>
              <w:t>）方案完整、合理可行的</w:t>
            </w:r>
            <w:r>
              <w:rPr>
                <w:rStyle w:val="38"/>
                <w:rFonts w:eastAsia="宋体"/>
                <w:lang w:val="en-US" w:eastAsia="zh-CN" w:bidi="ar"/>
              </w:rPr>
              <w:t>7-10</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2</w:t>
            </w:r>
            <w:r>
              <w:rPr>
                <w:rStyle w:val="42"/>
                <w:lang w:val="en-US" w:eastAsia="zh-CN" w:bidi="ar"/>
              </w:rPr>
              <w:t>）方案基本完整、相对合理可行的</w:t>
            </w:r>
            <w:r>
              <w:rPr>
                <w:rStyle w:val="38"/>
                <w:rFonts w:eastAsia="宋体"/>
                <w:lang w:val="en-US" w:eastAsia="zh-CN" w:bidi="ar"/>
              </w:rPr>
              <w:t>3-7</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3</w:t>
            </w:r>
            <w:r>
              <w:rPr>
                <w:rStyle w:val="42"/>
                <w:lang w:val="en-US" w:eastAsia="zh-CN" w:bidi="ar"/>
              </w:rPr>
              <w:t>）方案欠缺、具有一定可行性的</w:t>
            </w:r>
            <w:r>
              <w:rPr>
                <w:rStyle w:val="38"/>
                <w:rFonts w:eastAsia="宋体"/>
                <w:lang w:val="en-US" w:eastAsia="zh-CN" w:bidi="ar"/>
              </w:rPr>
              <w:t>0-3</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4</w:t>
            </w:r>
            <w:r>
              <w:rPr>
                <w:rStyle w:val="42"/>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2" w:hRule="atLeast"/>
        </w:trPr>
        <w:tc>
          <w:tcPr>
            <w:tcW w:w="0" w:type="auto"/>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39"/>
                <w:lang w:val="en-US" w:eastAsia="zh-CN" w:bidi="ar"/>
              </w:rPr>
              <w:t>本项目实组织方案</w:t>
            </w:r>
          </w:p>
        </w:tc>
        <w:tc>
          <w:tcPr>
            <w:tcW w:w="669"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Style w:val="37"/>
                <w:rFonts w:eastAsia="宋体"/>
                <w:lang w:val="en-US" w:eastAsia="zh-CN" w:bidi="ar"/>
              </w:rPr>
              <w:t>0-</w:t>
            </w:r>
            <w:r>
              <w:rPr>
                <w:rStyle w:val="33"/>
                <w:lang w:val="en-US" w:eastAsia="zh-CN" w:bidi="ar"/>
              </w:rPr>
              <w:t>4</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提供的进度安排（项目管理、进度保证措施、系统测试、系统开发及部署是否具有针对性和可行性）、质量控制（质量的控制和检验手段是否科学、可靠）、其他方面的保障（突发事件应急保障措施的完善性）进行综合评分。无本项内容不得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1</w:t>
            </w:r>
            <w:r>
              <w:rPr>
                <w:rStyle w:val="42"/>
                <w:lang w:val="en-US" w:eastAsia="zh-CN" w:bidi="ar"/>
              </w:rPr>
              <w:t>）方案完整、合理可行的</w:t>
            </w:r>
            <w:r>
              <w:rPr>
                <w:rStyle w:val="38"/>
                <w:rFonts w:eastAsia="宋体"/>
                <w:lang w:val="en-US" w:eastAsia="zh-CN" w:bidi="ar"/>
              </w:rPr>
              <w:t>3-4</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2</w:t>
            </w:r>
            <w:r>
              <w:rPr>
                <w:rStyle w:val="42"/>
                <w:lang w:val="en-US" w:eastAsia="zh-CN" w:bidi="ar"/>
              </w:rPr>
              <w:t>）方案基本完整、相对合理可行的</w:t>
            </w:r>
            <w:r>
              <w:rPr>
                <w:rStyle w:val="38"/>
                <w:rFonts w:eastAsia="宋体"/>
                <w:lang w:val="en-US" w:eastAsia="zh-CN" w:bidi="ar"/>
              </w:rPr>
              <w:t>1-3</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38"/>
                <w:rFonts w:eastAsia="宋体"/>
                <w:lang w:val="en-US" w:eastAsia="zh-CN" w:bidi="ar"/>
              </w:rPr>
              <w:t>3</w:t>
            </w:r>
            <w:r>
              <w:rPr>
                <w:rStyle w:val="42"/>
                <w:lang w:val="en-US" w:eastAsia="zh-CN" w:bidi="ar"/>
              </w:rPr>
              <w:t>）方案欠缺、具有一定可行性的</w:t>
            </w:r>
            <w:r>
              <w:rPr>
                <w:rStyle w:val="38"/>
                <w:rFonts w:eastAsia="宋体"/>
                <w:lang w:val="en-US" w:eastAsia="zh-CN" w:bidi="ar"/>
              </w:rPr>
              <w:t>0-1</w:t>
            </w:r>
            <w:r>
              <w:rPr>
                <w:rStyle w:val="42"/>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46"/>
                <w:rFonts w:eastAsia="宋体"/>
                <w:lang w:val="en-US" w:eastAsia="zh-CN" w:bidi="ar"/>
              </w:rPr>
              <w:t>4</w:t>
            </w:r>
            <w:r>
              <w:rPr>
                <w:rStyle w:val="47"/>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0" w:type="auto"/>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39"/>
                <w:lang w:val="en-US" w:eastAsia="zh-CN" w:bidi="ar"/>
              </w:rPr>
              <w:t>投标产品参数符合性</w:t>
            </w:r>
          </w:p>
        </w:tc>
        <w:tc>
          <w:tcPr>
            <w:tcW w:w="669"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w:t>
            </w:r>
          </w:p>
        </w:tc>
        <w:tc>
          <w:tcPr>
            <w:tcW w:w="6446" w:type="dxa"/>
            <w:shd w:val="clear" w:color="auto" w:fill="auto"/>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作为设备重要的性能或软件功能要求，招标文件中所涉及到检测报告、功能截图等证明材料要求，均需供应商在投标时按要求提供可清晰识别的佐证材料。对于功能、技术要求中带有“★”标志的，供应商在投标时必须在标书响应中体现（如检测报告或相关证明材料），未提供或不符合要求或材料不能辨识的每一项扣2分，其他参数每负偏离一项，扣1分，扣完为止。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支撑保障体系</w:t>
            </w:r>
          </w:p>
        </w:tc>
        <w:tc>
          <w:tcPr>
            <w:tcW w:w="669" w:type="dxa"/>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1）投标人具有信息安全等级保护认证（政务云平台）三级及以上证书，得1分，无证书不得分；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2）根据投标人提供的本项目区域网络覆盖情况（需出具第三方证明资料），进行综合评分（0-2分），无本项内容不得分。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售后服务</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根据投标人对售后服务团队、售后保障能力、售后服务承诺、售后服务响应时间情况，售后服务整体方案可靠性、完整性，培训方案的详尽程度、培训内容等综合评价。</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1</w:t>
            </w:r>
            <w:r>
              <w:rPr>
                <w:rStyle w:val="45"/>
                <w:lang w:val="en-US" w:eastAsia="zh-CN" w:bidi="ar"/>
              </w:rPr>
              <w:t>）方案完整、合理可行的</w:t>
            </w:r>
            <w:r>
              <w:rPr>
                <w:rStyle w:val="41"/>
                <w:rFonts w:eastAsia="宋体"/>
                <w:lang w:val="en-US" w:eastAsia="zh-CN" w:bidi="ar"/>
              </w:rPr>
              <w:t>2-3</w:t>
            </w:r>
            <w:r>
              <w:rPr>
                <w:rStyle w:val="45"/>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2</w:t>
            </w:r>
            <w:r>
              <w:rPr>
                <w:rStyle w:val="45"/>
                <w:lang w:val="en-US" w:eastAsia="zh-CN" w:bidi="ar"/>
              </w:rPr>
              <w:t>）方案基本完整、相对合理可行的</w:t>
            </w:r>
            <w:r>
              <w:rPr>
                <w:rStyle w:val="41"/>
                <w:rFonts w:eastAsia="宋体"/>
                <w:lang w:val="en-US" w:eastAsia="zh-CN" w:bidi="ar"/>
              </w:rPr>
              <w:t>1-2</w:t>
            </w:r>
            <w:r>
              <w:rPr>
                <w:rStyle w:val="45"/>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3</w:t>
            </w:r>
            <w:r>
              <w:rPr>
                <w:rStyle w:val="45"/>
                <w:lang w:val="en-US" w:eastAsia="zh-CN" w:bidi="ar"/>
              </w:rPr>
              <w:t>）方案欠缺、具有一定可行性的</w:t>
            </w:r>
            <w:r>
              <w:rPr>
                <w:rStyle w:val="41"/>
                <w:rFonts w:eastAsia="宋体"/>
                <w:lang w:val="en-US" w:eastAsia="zh-CN" w:bidi="ar"/>
              </w:rPr>
              <w:t>0-1</w:t>
            </w:r>
            <w:r>
              <w:rPr>
                <w:rStyle w:val="45"/>
                <w:lang w:val="en-US" w:eastAsia="zh-CN" w:bidi="ar"/>
              </w:rPr>
              <w:t>分，</w:t>
            </w:r>
          </w:p>
          <w:p>
            <w:pPr>
              <w:keepNext w:val="0"/>
              <w:keepLines w:val="0"/>
              <w:widowControl/>
              <w:suppressLineNumbers w:val="0"/>
              <w:spacing w:line="240" w:lineRule="auto"/>
              <w:jc w:val="both"/>
              <w:textAlignment w:val="center"/>
              <w:rPr>
                <w:rFonts w:hint="default" w:ascii="Times New Roman" w:hAnsi="Times New Roman" w:eastAsia="宋体" w:cs="Times New Roman"/>
                <w:i w:val="0"/>
                <w:iCs w:val="0"/>
                <w:color w:val="000000"/>
                <w:sz w:val="22"/>
                <w:szCs w:val="22"/>
                <w:u w:val="none"/>
              </w:rPr>
            </w:pPr>
            <w:r>
              <w:rPr>
                <w:rStyle w:val="41"/>
                <w:rFonts w:eastAsia="宋体"/>
                <w:lang w:val="en-US" w:eastAsia="zh-CN" w:bidi="ar"/>
              </w:rPr>
              <w:t>4</w:t>
            </w:r>
            <w:r>
              <w:rPr>
                <w:rStyle w:val="45"/>
                <w:lang w:val="en-US" w:eastAsia="zh-CN" w:bidi="ar"/>
              </w:rPr>
              <w:t>）无方案不得分。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Style w:val="45"/>
                <w:lang w:val="en-US" w:eastAsia="zh-CN" w:bidi="ar"/>
              </w:rPr>
              <w:t>功能演示</w:t>
            </w:r>
          </w:p>
        </w:tc>
        <w:tc>
          <w:tcPr>
            <w:tcW w:w="669" w:type="dxa"/>
            <w:vMerge w:val="restart"/>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0-14</w:t>
            </w:r>
          </w:p>
        </w:tc>
        <w:tc>
          <w:tcPr>
            <w:tcW w:w="6446" w:type="dxa"/>
            <w:shd w:val="clear" w:color="auto" w:fill="auto"/>
            <w:vAlign w:val="center"/>
          </w:tcPr>
          <w:p>
            <w:pPr>
              <w:pStyle w:val="7"/>
              <w:adjustRightInd w:val="0"/>
              <w:snapToGrid w:val="0"/>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注：（1）投标供应商录制本次项目演示视频，并制作成U盘，投标人应于投标截止时间之前将投标文件密封以邮寄(建议采用EMS或顺丰)的方式送达至</w:t>
            </w:r>
            <w:r>
              <w:rPr>
                <w:rFonts w:hint="eastAsia" w:ascii="新宋体" w:hAnsi="新宋体" w:eastAsia="新宋体" w:cs="新宋体"/>
                <w:b/>
                <w:bCs/>
                <w:color w:val="auto"/>
                <w:sz w:val="22"/>
                <w:szCs w:val="22"/>
                <w:highlight w:val="none"/>
                <w:lang w:val="en-US" w:eastAsia="zh-CN"/>
              </w:rPr>
              <w:t>苍南县灵溪镇府后小区5栋1单元201室</w:t>
            </w:r>
            <w:r>
              <w:rPr>
                <w:rFonts w:hint="eastAsia" w:ascii="新宋体" w:hAnsi="新宋体" w:eastAsia="新宋体" w:cs="新宋体"/>
                <w:b/>
                <w:bCs/>
                <w:color w:val="auto"/>
                <w:sz w:val="22"/>
                <w:szCs w:val="22"/>
                <w:highlight w:val="none"/>
              </w:rPr>
              <w:t>，收件人：郭先生，联系电话13656500633 ，请寄件人在邮件外包装注明投标项目名称，投标供应商名称，被授权人姓名及联系电话, 接收邮寄快递包裹的时间为工作日9:00-17:00， 邮寄以签收时间为准，逾期送达或未按照招标文件要求密封将予以拒收。</w:t>
            </w:r>
          </w:p>
          <w:p>
            <w:pPr>
              <w:pStyle w:val="7"/>
              <w:adjustRightInd w:val="0"/>
              <w:snapToGrid w:val="0"/>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（2）也可现场递交U盘，投标人应于投标截止时间之前</w:t>
            </w:r>
            <w:r>
              <w:rPr>
                <w:rFonts w:hint="eastAsia" w:ascii="新宋体" w:hAnsi="新宋体" w:eastAsia="新宋体" w:cs="新宋体"/>
                <w:b/>
                <w:bCs/>
                <w:color w:val="auto"/>
                <w:sz w:val="22"/>
                <w:szCs w:val="22"/>
                <w:highlight w:val="none"/>
                <w:lang w:val="en-US" w:eastAsia="zh-CN"/>
              </w:rPr>
              <w:t>30分钟内</w:t>
            </w:r>
            <w:r>
              <w:rPr>
                <w:rFonts w:hint="eastAsia" w:ascii="新宋体" w:hAnsi="新宋体" w:eastAsia="新宋体" w:cs="新宋体"/>
                <w:b/>
                <w:bCs/>
                <w:color w:val="auto"/>
                <w:sz w:val="22"/>
                <w:szCs w:val="22"/>
                <w:highlight w:val="none"/>
              </w:rPr>
              <w:t>递交至</w:t>
            </w:r>
            <w:r>
              <w:rPr>
                <w:rFonts w:hint="eastAsia" w:ascii="新宋体" w:hAnsi="新宋体" w:eastAsia="新宋体" w:cs="新宋体"/>
                <w:b/>
                <w:bCs/>
                <w:color w:val="auto"/>
                <w:sz w:val="22"/>
                <w:szCs w:val="22"/>
                <w:highlight w:val="none"/>
                <w:lang w:val="en-US" w:eastAsia="zh-CN"/>
              </w:rPr>
              <w:t>苍南县</w:t>
            </w:r>
            <w:r>
              <w:rPr>
                <w:rFonts w:hint="eastAsia" w:ascii="新宋体" w:hAnsi="新宋体" w:eastAsia="新宋体" w:cs="新宋体"/>
                <w:b/>
                <w:bCs/>
                <w:color w:val="auto"/>
                <w:sz w:val="22"/>
                <w:szCs w:val="22"/>
                <w:highlight w:val="none"/>
              </w:rPr>
              <w:t>公共资源交易中心开标室，现场递交，应即交即走。</w:t>
            </w:r>
          </w:p>
          <w:p>
            <w:pPr>
              <w:pStyle w:val="7"/>
              <w:adjustRightInd w:val="0"/>
              <w:snapToGrid w:val="0"/>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（3）要求视频演讲时间控制在</w:t>
            </w: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分钟内。</w:t>
            </w:r>
          </w:p>
          <w:p>
            <w:pPr>
              <w:keepNext w:val="0"/>
              <w:keepLines w:val="0"/>
              <w:widowControl/>
              <w:suppressLineNumbers w:val="0"/>
              <w:spacing w:line="240" w:lineRule="auto"/>
              <w:jc w:val="left"/>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（4）请自行检查是否刻录成功，若评审现场无法读取视为0分。</w:t>
            </w:r>
          </w:p>
          <w:p>
            <w:pPr>
              <w:keepNext w:val="0"/>
              <w:keepLines w:val="0"/>
              <w:widowControl/>
              <w:suppressLineNumbers w:val="0"/>
              <w:spacing w:line="240" w:lineRule="auto"/>
              <w:jc w:val="left"/>
              <w:textAlignment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演示方式：以实际系统录屏演示，其他形式不得分；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1、演示基于地图的巡查网格自动生成及网格内航线自动生成能力。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过导入行政区域矢量图层，基于导入的矢量图层，设置网格边长（边长1-10公里），自动生成行政区域的巡查网格分布，可对巡查网格进行删除，可选择单个或多个地图网格分配对应管理单位，完成地图网格的生成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选择单个巡查网格，自动生成巡查网格的基础航线，航线具备起降高度、航线高度、照片重叠度、单次续航时间、测绘基准面参数调节面板，通过对以上参数调节，航线将自动适应调整的参数配置，生成对应参数的航线，完成航线参数设置后，将呈现该航线的巡检面积、预计拍照数、预计时间、任务长度、往返长度、总长等航线信息，完成地图网格的航线规划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每个功能得1分，满分2分，根据功能演示情况综合评分，无本项内容不得分。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2、演示创建任务航线及碰撞检测功能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础航线规划可选择本地航线、全景航线、线状巡视、航点飞行、动态航线、精细巡查、正射影像、倾斜摄影、变电站规划、环绕飞行等航线模式选择，可选择在2D/3D模式下，演示3D模式下，加载三维模型，设定规划航线的任意航点的飞行高度及参数调节，直至完成整个航线规划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2）对完成规划的航线，选择碰撞检测，选择具有高度的地表模型，设定警告阈值以及危险阈值，系统将对航线进行航线碰撞检测，如有问题则会提示具有可能碰撞的航线区域，没有问题将提供检测完成。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每个功能得2分，满分4分，根据功能演示情况综合评分，无本项内容不得分。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3、演示事件分析管理流程及分析模型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选择任意一台无人机智能基站，演示无人机飞行作业，在系统中传输实时直播视频，在直播视频中，可截取实时的直播画面，在截取的画面中，可框选疑似事件区域，并选择疑似事件的类型以及归属的单位或部门，录入基础信息，完成事件的快速分析及事件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无人机作业完成后，自动回收至基站内部，并自动上传无人机作业视频，在数据管理中，可以对上传完成的视频进行视频抽帧，可以自定义抽帧参数设定，设定完成后，视频将拆分成多张照片。对照片可以点击进入单张照片的人工分析，对照片进行判断，如发现有对应事件，可进行框选标注，录入事件说明。分析完成的事件，将定位至地图所在位置，可在事件台账中，快速定位至事件所所在位置，完成事件分析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无人机巡查数据，演示疑似违法建筑智能分析模型、乱搭乱建智能分析模型、疑似渣土乱倒智能分析模型、车辆乱停智能分析模型、人员聚集智能分析模型、烟雾着火智能分析模型、急速对比核实模型中至少一个AI分析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每个功能得2分，满分6分，根据功能演示情况综合评分，无本项内容不得分。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0" w:type="auto"/>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0" w:type="auto"/>
            <w:vMerge w:val="continue"/>
            <w:shd w:val="clear" w:color="auto" w:fill="auto"/>
            <w:vAlign w:val="center"/>
          </w:tcPr>
          <w:p>
            <w:pPr>
              <w:spacing w:line="240" w:lineRule="auto"/>
              <w:jc w:val="center"/>
              <w:rPr>
                <w:rFonts w:hint="eastAsia" w:ascii="宋体" w:hAnsi="宋体" w:eastAsia="宋体" w:cs="宋体"/>
                <w:i w:val="0"/>
                <w:iCs w:val="0"/>
                <w:color w:val="000000"/>
                <w:sz w:val="22"/>
                <w:szCs w:val="22"/>
                <w:u w:val="none"/>
              </w:rPr>
            </w:pPr>
          </w:p>
        </w:tc>
        <w:tc>
          <w:tcPr>
            <w:tcW w:w="669" w:type="dxa"/>
            <w:vMerge w:val="continue"/>
            <w:shd w:val="clear" w:color="auto" w:fill="auto"/>
            <w:vAlign w:val="center"/>
          </w:tcPr>
          <w:p>
            <w:pPr>
              <w:spacing w:line="240" w:lineRule="auto"/>
              <w:jc w:val="center"/>
              <w:rPr>
                <w:rFonts w:hint="default" w:ascii="Times New Roman" w:hAnsi="Times New Roman" w:eastAsia="宋体" w:cs="Times New Roman"/>
                <w:i w:val="0"/>
                <w:iCs w:val="0"/>
                <w:color w:val="000000"/>
                <w:sz w:val="22"/>
                <w:szCs w:val="22"/>
                <w:u w:val="none"/>
              </w:rPr>
            </w:pPr>
          </w:p>
        </w:tc>
        <w:tc>
          <w:tcPr>
            <w:tcW w:w="6446" w:type="dxa"/>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4、演示任务工单管理流程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创建任务工单，填写任务工单信息，包括工单名称、所属单位、工单类型、优先等级、巡查周期、巡查频次等信息，完成工单信息录入后，可发布为待签收工单。可对创建完成的工单进行查询确认，可查看工单流转节点，可查看工单关联的作业报告。本项演示2分，根据功能演示情况综合评分，无本项内容不得分。</w:t>
            </w:r>
          </w:p>
        </w:tc>
      </w:tr>
    </w:tbl>
    <w:p>
      <w:pPr>
        <w:spacing w:line="360" w:lineRule="auto"/>
        <w:jc w:val="center"/>
        <w:rPr>
          <w:rFonts w:hint="default" w:eastAsia="宋体" w:cs="Times New Roman"/>
          <w:color w:val="auto"/>
          <w:lang w:val="en-US" w:eastAsia="zh-CN"/>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en-US" w:eastAsia="zh-CN"/>
        </w:rPr>
        <w:t>①</w:t>
      </w:r>
      <w:r>
        <w:rPr>
          <w:rFonts w:hint="eastAsia" w:ascii="宋体" w:hAnsi="宋体" w:eastAsia="宋体" w:cs="宋体"/>
          <w:b/>
          <w:color w:val="auto"/>
          <w:sz w:val="24"/>
          <w:highlight w:val="none"/>
        </w:rPr>
        <w:t>上述资料</w:t>
      </w:r>
      <w:r>
        <w:rPr>
          <w:rFonts w:hint="eastAsia" w:ascii="宋体" w:hAnsi="宋体" w:eastAsia="宋体" w:cs="宋体"/>
          <w:b/>
          <w:bCs/>
          <w:color w:val="auto"/>
          <w:kern w:val="0"/>
          <w:sz w:val="24"/>
          <w:highlight w:val="none"/>
          <w:lang w:bidi="ar"/>
        </w:rPr>
        <w:t>若核实后有涉假的，将直接废标，并上报有关部门纳入诚信管理系统。</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3、商务、技术分=评标委员会所有成员评分合计数/评标委员会组成人员数</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4、价格分（</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分）采用低价优先法计算，即满足招标文件要求且投标价格最低的投标报价为评标基准价，其他投标供应商的价格分按照下列公式计算：</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价格分=（评标基准价/投标报价）×</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%×100</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5、投标供应商评标综合得分=价格分+商务、技术分</w:t>
      </w:r>
    </w:p>
    <w:p>
      <w:pPr>
        <w:pStyle w:val="25"/>
        <w:snapToGrid w:val="0"/>
        <w:ind w:left="48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注：以上所涉及的证明材料，需提供扫描件，未提供的不得分。</w:t>
      </w:r>
    </w:p>
    <w:p>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（十四）评标内容的保密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1、公开开标后，直到宣布中标单位止，凡属于审查、澄清、评价和比较投标的所有资料，都不应向投标供应商或与评标无关的其他人泄露。</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2、在投标文件的审查、澄清、评价和比较以及确定中标供应商过程中，投标供应商对采购人、采购代理机构和评标委员会施加影响的任何行为，都将导致取消资格。</w:t>
      </w:r>
    </w:p>
    <w:bookmarkEnd w:id="72"/>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（十五）废标</w:t>
      </w:r>
    </w:p>
    <w:p>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在采购中，出现下列情形之一的，应予废标：</w:t>
      </w:r>
    </w:p>
    <w:p>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(1)符合专业条件的供应商或者对招标文件作实质响应的供应商不足3家的；</w:t>
      </w:r>
    </w:p>
    <w:p>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(2)出现影响采购公正的违法、违规行为的；</w:t>
      </w:r>
    </w:p>
    <w:p>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(3)报价均超过预算，不能支付的；</w:t>
      </w:r>
    </w:p>
    <w:p>
      <w:pPr>
        <w:snapToGrid w:val="0"/>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(4)因重大变故，采购任务取消的。</w:t>
      </w:r>
    </w:p>
    <w:p>
      <w:pPr>
        <w:pStyle w:val="4"/>
        <w:numPr>
          <w:ilvl w:val="0"/>
          <w:numId w:val="0"/>
        </w:numPr>
        <w:spacing w:before="0"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（十六）可中止电子交易活动的情形</w:t>
      </w:r>
    </w:p>
    <w:p>
      <w:pPr>
        <w:spacing w:line="360" w:lineRule="auto"/>
        <w:ind w:firstLine="424" w:firstLineChars="176"/>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1、电子交易平台发生故障而无法登录访问的；</w:t>
      </w:r>
    </w:p>
    <w:p>
      <w:pPr>
        <w:spacing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2、电子交易平台应用或数据库出现错误，不能进行正常操作的；</w:t>
      </w:r>
    </w:p>
    <w:p>
      <w:pPr>
        <w:spacing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3、电子交易平台发现严重安全漏洞，有潜在泄密危险的；</w:t>
      </w:r>
    </w:p>
    <w:p>
      <w:pPr>
        <w:spacing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4、病毒发作导致不能进行正常操作的；</w:t>
      </w:r>
    </w:p>
    <w:p>
      <w:pPr>
        <w:spacing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5、其他无法保证电子交易的公平、公正和安全的情况。</w:t>
      </w:r>
    </w:p>
    <w:p>
      <w:pPr>
        <w:spacing w:line="360" w:lineRule="auto"/>
        <w:ind w:firstLine="424" w:firstLineChars="176"/>
        <w:rPr>
          <w:rFonts w:hint="eastAsia" w:ascii="宋体" w:hAnsi="宋体" w:eastAsia="宋体" w:cs="宋体"/>
          <w:color w:val="auto"/>
          <w:sz w:val="24"/>
          <w:highlight w:val="none"/>
        </w:rPr>
      </w:pPr>
      <w:r>
        <w:rPr>
          <w:rFonts w:hint="eastAsia" w:ascii="宋体" w:hAnsi="宋体" w:eastAsia="宋体" w:cs="宋体"/>
          <w:b/>
          <w:color w:val="auto"/>
          <w:sz w:val="24"/>
          <w:highlight w:val="none"/>
        </w:rPr>
        <w:t>出现前款规定情形，不影响采购公平、公正性的，采购组织机构可以待上述情形消除后继续组织电子交易活动；影响或可能影响采购公平、公正性的，应当重新采购。</w:t>
      </w:r>
    </w:p>
    <w:bookmarkEnd w:id="62"/>
    <w:bookmarkEnd w:id="63"/>
    <w:bookmarkEnd w:id="64"/>
    <w:p>
      <w:pPr>
        <w:rPr>
          <w:rFonts w:hint="eastAsia" w:ascii="宋体" w:hAnsi="宋体" w:eastAsia="宋体" w:cs="宋体"/>
          <w:b/>
          <w:bCs/>
          <w:color w:val="auto"/>
          <w:sz w:val="36"/>
          <w:szCs w:val="36"/>
          <w:highlight w:val="none"/>
        </w:rPr>
      </w:pPr>
      <w:bookmarkStart w:id="73" w:name="_Toc86216995"/>
      <w:bookmarkStart w:id="74" w:name="_Toc233618979"/>
      <w:bookmarkStart w:id="75" w:name="_Toc33194399"/>
      <w:bookmarkStart w:id="76" w:name="_Toc354996703"/>
      <w:bookmarkStart w:id="77" w:name="_Toc91899910"/>
      <w:r>
        <w:rPr>
          <w:rFonts w:hint="eastAsia" w:ascii="宋体" w:hAnsi="宋体" w:eastAsia="宋体" w:cs="宋体"/>
          <w:b/>
          <w:bCs/>
          <w:color w:val="auto"/>
          <w:sz w:val="36"/>
          <w:szCs w:val="36"/>
          <w:highlight w:val="none"/>
        </w:rPr>
        <w:br w:type="page"/>
      </w:r>
    </w:p>
    <w:p>
      <w:pPr>
        <w:keepNext w:val="0"/>
        <w:keepLines w:val="0"/>
        <w:pageBreakBefore w:val="0"/>
        <w:widowControl w:val="0"/>
        <w:shd w:val="clear" w:color="auto" w:fill="FFFFFF"/>
        <w:kinsoku/>
        <w:wordWrap/>
        <w:overflowPunct/>
        <w:topLinePunct w:val="0"/>
        <w:autoSpaceDE/>
        <w:autoSpaceDN/>
        <w:bidi w:val="0"/>
        <w:adjustRightInd/>
        <w:snapToGrid w:val="0"/>
        <w:spacing w:before="469" w:beforeLines="1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七、</w:t>
      </w:r>
      <w:bookmarkEnd w:id="73"/>
      <w:r>
        <w:rPr>
          <w:rFonts w:hint="eastAsia" w:ascii="宋体" w:hAnsi="宋体" w:eastAsia="宋体" w:cs="宋体"/>
          <w:b/>
          <w:bCs/>
          <w:color w:val="auto"/>
          <w:sz w:val="36"/>
          <w:szCs w:val="36"/>
          <w:highlight w:val="none"/>
        </w:rPr>
        <w:t>合同签订及其他</w:t>
      </w:r>
      <w:bookmarkEnd w:id="74"/>
      <w:bookmarkEnd w:id="75"/>
      <w:bookmarkEnd w:id="76"/>
    </w:p>
    <w:bookmarkEnd w:id="77"/>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（一）中标通知书</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1、确定中标供应商后，采购代理机构将在发布招标公告的网站上公布评标结果。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中标供应商拒绝承担中标的项目，或提出招标方不能接受的条件，致使合同无法签订，招标方将取消其中标资格，并根据评标委员会推荐的中标候选人先后顺序，将下一顺序的中标候选人作为预中标供应商进行公示，或由招标方组织评标委员会复议后提出重新组织采购等建议。</w:t>
      </w:r>
    </w:p>
    <w:p>
      <w:pPr>
        <w:shd w:val="clear" w:color="auto" w:fill="FFFFFF"/>
        <w:snapToGrid w:val="0"/>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3、在中标供应商签订合同并生效后，采购代理机构及时将未中标的结果通知其他投标供应商。</w:t>
      </w:r>
    </w:p>
    <w:p>
      <w:pPr>
        <w:shd w:val="clear" w:color="auto" w:fill="FFFFFF"/>
        <w:snapToGrid w:val="0"/>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4、如签订合同并生效后，供应商无故拒绝或延期，除按照合同条款处罚外，列入不良行为记录一次，并给予通报。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（二）合同的签订</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中标供应商按规定的日期、时间、地点，由法定代表人或授权代表人与采购人代表签订合同。</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（三）履约保证金</w:t>
      </w:r>
    </w:p>
    <w:p>
      <w:pPr>
        <w:shd w:val="clear" w:color="auto" w:fill="FFFFFF"/>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中标供应商应向采购人提交</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rPr>
        <w:t>的</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val="en-US"/>
        </w:rPr>
        <w:t>履约保证金可采用银行转账或银行、保险公司出具保函形式提交</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项目供货完成并</w:t>
      </w:r>
      <w:r>
        <w:rPr>
          <w:rFonts w:hint="eastAsia" w:ascii="宋体" w:hAnsi="宋体" w:cs="宋体"/>
          <w:color w:val="auto"/>
          <w:sz w:val="24"/>
          <w:szCs w:val="24"/>
          <w:lang w:val="en-US" w:eastAsia="zh-CN"/>
        </w:rPr>
        <w:t>最终</w:t>
      </w:r>
      <w:r>
        <w:rPr>
          <w:rFonts w:hint="eastAsia" w:ascii="宋体" w:hAnsi="宋体" w:eastAsia="宋体" w:cs="宋体"/>
          <w:color w:val="auto"/>
          <w:sz w:val="24"/>
          <w:szCs w:val="24"/>
          <w:lang w:val="en-US"/>
        </w:rPr>
        <w:t>验收合格后，</w:t>
      </w:r>
      <w:r>
        <w:rPr>
          <w:rFonts w:hint="eastAsia" w:ascii="宋体" w:hAnsi="宋体" w:eastAsia="宋体" w:cs="宋体"/>
          <w:color w:val="auto"/>
          <w:sz w:val="24"/>
          <w:szCs w:val="24"/>
          <w:lang w:val="en-US" w:eastAsia="zh-CN"/>
        </w:rPr>
        <w:t>15个工日内无息退还</w:t>
      </w:r>
      <w:r>
        <w:rPr>
          <w:rFonts w:hint="eastAsia" w:ascii="宋体" w:hAnsi="宋体" w:eastAsia="宋体" w:cs="宋体"/>
          <w:color w:val="auto"/>
          <w:sz w:val="24"/>
          <w:szCs w:val="24"/>
        </w:rPr>
        <w:t>。</w:t>
      </w:r>
    </w:p>
    <w:p>
      <w:pPr>
        <w:shd w:val="clear" w:color="auto" w:fill="FFFFFF"/>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、中标供应商如未按时交纳履约保证金，采购人有权</w:t>
      </w:r>
      <w:r>
        <w:rPr>
          <w:rFonts w:hint="eastAsia" w:ascii="宋体" w:hAnsi="宋体" w:eastAsia="宋体" w:cs="宋体"/>
          <w:color w:val="auto"/>
          <w:sz w:val="24"/>
          <w:szCs w:val="24"/>
          <w:lang w:val="en-US" w:eastAsia="zh-CN"/>
        </w:rPr>
        <w:t>解除合同</w:t>
      </w:r>
      <w:r>
        <w:rPr>
          <w:rFonts w:hint="eastAsia" w:ascii="宋体" w:hAnsi="宋体" w:eastAsia="宋体" w:cs="宋体"/>
          <w:color w:val="auto"/>
          <w:sz w:val="24"/>
          <w:szCs w:val="24"/>
        </w:rPr>
        <w:t>。</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（四）付款结算方式</w:t>
      </w:r>
    </w:p>
    <w:p>
      <w:pPr>
        <w:shd w:val="clear" w:color="auto" w:fill="FFFFFF"/>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（1）合同签订后，中标供应商办结投标所有手续、具备履约条件后7个工作日内支付合同金额的</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0%作为预付款，支付前中标供应商须提供等额正式</w:t>
      </w:r>
      <w:r>
        <w:rPr>
          <w:rFonts w:hint="eastAsia" w:ascii="宋体" w:hAnsi="宋体" w:cs="宋体"/>
          <w:color w:val="auto"/>
          <w:sz w:val="24"/>
          <w:szCs w:val="24"/>
          <w:lang w:val="en-US" w:eastAsia="zh-CN"/>
        </w:rPr>
        <w:t>增值税</w:t>
      </w:r>
      <w:r>
        <w:rPr>
          <w:rFonts w:hint="eastAsia" w:ascii="宋体" w:hAnsi="宋体" w:eastAsia="宋体" w:cs="宋体"/>
          <w:color w:val="auto"/>
          <w:sz w:val="24"/>
          <w:szCs w:val="24"/>
          <w:lang w:val="zh-CN"/>
        </w:rPr>
        <w:t>发票；</w:t>
      </w:r>
    </w:p>
    <w:p>
      <w:pPr>
        <w:shd w:val="clear" w:color="auto" w:fill="FFFFFF"/>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）项目初步验收合格后，</w:t>
      </w:r>
      <w:r>
        <w:rPr>
          <w:rFonts w:hint="eastAsia" w:ascii="宋体" w:hAnsi="宋体" w:cs="宋体"/>
          <w:color w:val="auto"/>
          <w:sz w:val="24"/>
          <w:szCs w:val="24"/>
          <w:lang w:val="en-US" w:eastAsia="zh-CN"/>
        </w:rPr>
        <w:t>支付</w:t>
      </w:r>
      <w:r>
        <w:rPr>
          <w:rFonts w:hint="eastAsia" w:ascii="宋体" w:hAnsi="宋体" w:eastAsia="宋体" w:cs="宋体"/>
          <w:color w:val="auto"/>
          <w:sz w:val="24"/>
          <w:szCs w:val="24"/>
          <w:lang w:val="zh-CN"/>
        </w:rPr>
        <w:t>合同金额的</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0%，支付前中标供应商须提供等额正式</w:t>
      </w:r>
      <w:r>
        <w:rPr>
          <w:rFonts w:hint="eastAsia" w:ascii="宋体" w:hAnsi="宋体" w:cs="宋体"/>
          <w:color w:val="auto"/>
          <w:sz w:val="24"/>
          <w:szCs w:val="24"/>
          <w:lang w:val="en-US" w:eastAsia="zh-CN"/>
        </w:rPr>
        <w:t>增值税</w:t>
      </w:r>
      <w:r>
        <w:rPr>
          <w:rFonts w:hint="eastAsia" w:ascii="宋体" w:hAnsi="宋体" w:eastAsia="宋体" w:cs="宋体"/>
          <w:color w:val="auto"/>
          <w:sz w:val="24"/>
          <w:szCs w:val="24"/>
          <w:lang w:val="zh-CN"/>
        </w:rPr>
        <w:t>发票。</w:t>
      </w:r>
    </w:p>
    <w:p>
      <w:pPr>
        <w:shd w:val="clear" w:color="auto" w:fill="FFFFFF"/>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）项目完成等保测评及竣工验收后，</w:t>
      </w:r>
      <w:r>
        <w:rPr>
          <w:rFonts w:hint="eastAsia" w:ascii="宋体" w:hAnsi="宋体" w:cs="宋体"/>
          <w:color w:val="auto"/>
          <w:sz w:val="24"/>
          <w:szCs w:val="24"/>
          <w:lang w:val="en-US" w:eastAsia="zh-CN"/>
        </w:rPr>
        <w:t>支付</w:t>
      </w:r>
      <w:r>
        <w:rPr>
          <w:rFonts w:hint="eastAsia" w:ascii="宋体" w:hAnsi="宋体" w:eastAsia="宋体" w:cs="宋体"/>
          <w:color w:val="auto"/>
          <w:sz w:val="24"/>
          <w:szCs w:val="24"/>
          <w:lang w:val="zh-CN"/>
        </w:rPr>
        <w:t>合同金额的20%，支付前中标供应商须提供等额正式</w:t>
      </w:r>
      <w:r>
        <w:rPr>
          <w:rFonts w:hint="eastAsia" w:ascii="宋体" w:hAnsi="宋体" w:cs="宋体"/>
          <w:color w:val="auto"/>
          <w:sz w:val="24"/>
          <w:szCs w:val="24"/>
          <w:lang w:val="en-US" w:eastAsia="zh-CN"/>
        </w:rPr>
        <w:t>增值税</w:t>
      </w:r>
      <w:r>
        <w:rPr>
          <w:rFonts w:hint="eastAsia" w:ascii="宋体" w:hAnsi="宋体" w:eastAsia="宋体" w:cs="宋体"/>
          <w:color w:val="auto"/>
          <w:sz w:val="24"/>
          <w:szCs w:val="24"/>
          <w:lang w:val="zh-CN"/>
        </w:rPr>
        <w:t>发票。</w:t>
      </w:r>
    </w:p>
    <w:p>
      <w:pPr>
        <w:shd w:val="clear" w:color="auto" w:fill="FFFFFF"/>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备注：采购人有权根据实际需求情况对部分产品的数量进行调整，单价以中标供应商所报单价为准。</w:t>
      </w:r>
    </w:p>
    <w:p>
      <w:pPr>
        <w:shd w:val="clear" w:color="auto" w:fill="FFFFFF"/>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（五）供货期</w:t>
      </w:r>
    </w:p>
    <w:p>
      <w:pPr>
        <w:shd w:val="clear" w:color="auto" w:fill="FFFFFF"/>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1、项目自开工申请批复后60天内完成硬件设备交付，开工申请批复后90天内完成平台交付，进入3个月试运行期。</w:t>
      </w:r>
    </w:p>
    <w:p>
      <w:pPr>
        <w:shd w:val="clear" w:color="auto" w:fill="FFFFFF"/>
        <w:snapToGrid w:val="0"/>
        <w:spacing w:line="360" w:lineRule="auto"/>
        <w:ind w:firstLine="482" w:firstLineChars="200"/>
        <w:rPr>
          <w:rFonts w:hint="eastAsia"/>
          <w:color w:val="auto"/>
          <w:lang w:val="en-US" w:eastAsia="zh-CN"/>
        </w:rPr>
      </w:pPr>
      <w:r>
        <w:rPr>
          <w:rFonts w:hint="eastAsia" w:ascii="宋体" w:hAnsi="宋体" w:eastAsia="宋体" w:cs="宋体"/>
          <w:b/>
          <w:bCs/>
          <w:color w:val="auto"/>
          <w:sz w:val="24"/>
          <w:highlight w:val="none"/>
          <w:lang w:val="en-US" w:eastAsia="zh-CN"/>
        </w:rPr>
        <w:t>2、质保期：验收合格后</w:t>
      </w: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lang w:val="en-US" w:eastAsia="zh-CN"/>
        </w:rPr>
        <w:t>年。</w:t>
      </w:r>
    </w:p>
    <w:p>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bCs/>
          <w:color w:val="auto"/>
          <w:sz w:val="24"/>
          <w:highlight w:val="none"/>
        </w:rPr>
        <w:t>（六）采购方式改变</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在符合资格的投标供应商不足规定数量或投标供应商提供的服务及其报价、服务承诺等不能满足采购人要求，以及招标过程中出现其他不正常情况时，经批准，采购代理机构</w:t>
      </w:r>
      <w:r>
        <w:rPr>
          <w:rFonts w:hint="eastAsia" w:ascii="宋体" w:hAnsi="宋体" w:eastAsia="宋体" w:cs="宋体"/>
          <w:color w:val="auto"/>
          <w:sz w:val="24"/>
          <w:highlight w:val="none"/>
          <w:lang w:val="zh-CN"/>
        </w:rPr>
        <w:t>将</w:t>
      </w:r>
      <w:r>
        <w:rPr>
          <w:rFonts w:hint="eastAsia" w:ascii="宋体" w:hAnsi="宋体" w:eastAsia="宋体" w:cs="宋体"/>
          <w:color w:val="auto"/>
          <w:sz w:val="24"/>
          <w:highlight w:val="none"/>
        </w:rPr>
        <w:t>重新选择合适的方式进行采购。</w:t>
      </w:r>
    </w:p>
    <w:p>
      <w:pPr>
        <w:shd w:val="clear" w:color="auto" w:fill="FFFFFF"/>
        <w:tabs>
          <w:tab w:val="left" w:pos="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（七）售后服务考核</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对供应商进行考核，发现弄虚作假，偷工减料，以次充好，达不到国家、行业有关标准和技术文件规定的，一经查实，采购人将视情况终止合同，并上报</w:t>
      </w: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（八）质疑</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投标供应商对采购活动事项有疑问的，可以向采购人和采购代理机构提出询问，采购人和采购代理机构应当及时作出答复，但答复的内容不得涉及商业秘密。  </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1、供应商认为招标文件、采购过程和成交、成交结果使自己的权益受到损害的，可以在知道或者应知其权益受到损害之日起七个工作日内，以书面形式向采购人、采购代理机构提出质疑。</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（1）对可以质疑的招标文件提出质疑的，为收到招标文件之日或者招标文件公告期限届满之日；</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（2）对采购过程提出质疑的，为各采购程序环节结束之日；</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（3）对成交结果提出质疑的，为成交结果公告期限届满之日。</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2、采购人或者采购代理机构应当在3个工作日内对供应商依法提出的询问作出答复。</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供应商提出的询问或者质疑超出采购人对采购代理机构委托授权范围的，采购代理机构应当告知供应商向采购人提出。</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3、质疑供应商对采购人、采购代理机构的答复不满意或者采购人、采购代理机构未在规定时间内作出答复的，可以在答复期满后十五个工作日内向人民法院提起诉讼。</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4、要求投标供应商在法定质疑期内一次性提出针对同一招标程序环节的质疑。</w:t>
      </w:r>
    </w:p>
    <w:p>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（九）</w:t>
      </w:r>
      <w:r>
        <w:rPr>
          <w:rFonts w:hint="eastAsia" w:ascii="宋体" w:hAnsi="宋体" w:eastAsia="宋体" w:cs="宋体"/>
          <w:b/>
          <w:bCs/>
          <w:color w:val="auto"/>
          <w:sz w:val="24"/>
          <w:highlight w:val="none"/>
        </w:rPr>
        <w:t>解释权</w:t>
      </w:r>
    </w:p>
    <w:p>
      <w:pPr>
        <w:shd w:val="clear" w:color="auto" w:fill="FFFFFF"/>
        <w:snapToGrid w:val="0"/>
        <w:spacing w:line="360" w:lineRule="auto"/>
        <w:ind w:firstLine="480" w:firstLineChars="200"/>
        <w:rPr>
          <w:rFonts w:hint="eastAsia" w:ascii="宋体" w:hAnsi="宋体" w:eastAsia="宋体" w:cs="宋体"/>
          <w:b/>
          <w:bCs/>
          <w:color w:val="auto"/>
          <w:sz w:val="28"/>
          <w:szCs w:val="28"/>
          <w:highlight w:val="none"/>
        </w:rPr>
        <w:sectPr>
          <w:footerReference r:id="rId4" w:type="default"/>
          <w:pgSz w:w="11906" w:h="16838"/>
          <w:pgMar w:top="1440" w:right="1106" w:bottom="1440" w:left="1134"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eastAsia="宋体" w:cs="宋体"/>
          <w:color w:val="auto"/>
          <w:sz w:val="24"/>
          <w:highlight w:val="none"/>
        </w:rPr>
        <w:t>招标文件的解释权均属于</w:t>
      </w: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和</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sz w:val="24"/>
          <w:highlight w:val="none"/>
        </w:rPr>
        <w:t>。</w:t>
      </w:r>
      <w:bookmarkStart w:id="78" w:name="_Toc33194400"/>
    </w:p>
    <w:p>
      <w:pPr>
        <w:pageBreakBefore/>
        <w:numPr>
          <w:ilvl w:val="0"/>
          <w:numId w:val="5"/>
        </w:numPr>
        <w:shd w:val="clear" w:color="auto" w:fill="FFFFFF"/>
        <w:snapToGrid w:val="0"/>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bookmarkEnd w:id="78"/>
      <w:r>
        <w:rPr>
          <w:rFonts w:hint="eastAsia" w:ascii="宋体" w:hAnsi="宋体" w:cs="宋体"/>
          <w:b/>
          <w:bCs/>
          <w:color w:val="auto"/>
          <w:sz w:val="32"/>
          <w:szCs w:val="32"/>
          <w:highlight w:val="none"/>
          <w:lang w:val="en-US" w:eastAsia="zh-CN"/>
        </w:rPr>
        <w:t>采购内容及要求</w:t>
      </w:r>
    </w:p>
    <w:p>
      <w:pPr>
        <w:pStyle w:val="2"/>
        <w:numPr>
          <w:ilvl w:val="0"/>
          <w:numId w:val="0"/>
        </w:numPr>
        <w:spacing w:before="120" w:after="120" w:line="360" w:lineRule="auto"/>
        <w:ind w:leftChars="0"/>
        <w:jc w:val="both"/>
        <w:rPr>
          <w:rFonts w:ascii="宋体" w:hAnsi="宋体" w:eastAsia="宋体"/>
          <w:sz w:val="24"/>
          <w:szCs w:val="24"/>
        </w:rPr>
      </w:pPr>
      <w:bookmarkStart w:id="79" w:name="_Toc22994"/>
      <w:r>
        <w:rPr>
          <w:rFonts w:hint="eastAsia" w:ascii="宋体" w:hAnsi="宋体" w:eastAsia="宋体"/>
          <w:sz w:val="24"/>
          <w:szCs w:val="24"/>
          <w:lang w:val="en-US" w:eastAsia="zh-CN"/>
        </w:rPr>
        <w:t>一、</w:t>
      </w:r>
      <w:r>
        <w:rPr>
          <w:rFonts w:hint="eastAsia" w:ascii="宋体" w:hAnsi="宋体" w:eastAsia="宋体"/>
          <w:sz w:val="24"/>
          <w:szCs w:val="24"/>
        </w:rPr>
        <w:t>项目概况</w:t>
      </w:r>
    </w:p>
    <w:p>
      <w:pPr>
        <w:spacing w:line="400" w:lineRule="exact"/>
        <w:ind w:firstLine="440" w:firstLineChars="200"/>
        <w:rPr>
          <w:rFonts w:ascii="宋体" w:hAnsi="宋体" w:eastAsia="宋体" w:cs="宋体"/>
          <w:sz w:val="22"/>
        </w:rPr>
      </w:pPr>
      <w:r>
        <w:rPr>
          <w:rFonts w:ascii="宋体" w:hAnsi="宋体" w:eastAsia="宋体" w:cs="宋体"/>
          <w:sz w:val="22"/>
        </w:rPr>
        <w:t>2021年2月，中共中央、国务院发布《国家综合立体交通网规划纲要》中首次提出发展低空经济，要求在构建新发展格局的大势下，大力发展低空经济。2023年6月28日，国务院、中央军委发布的《无人驾驶航空器飞行管理暂行条例》提出“鼓励无人驾驶航空器科研创新及其成果的推广应用，促进无人驾驶航空器与大数据、人工智能等新技术融合创新”，要求各级人民政府及其有关部门为无人驾驶航空器科研创新及其成果的推广应用提供支持。《“十四五”国家安全生产规划》提出要在特殊领域优先配备无人机等高科技执法装备，实现执法大数据多维分析、自助式</w:t>
      </w:r>
      <w:r>
        <w:rPr>
          <w:rFonts w:hint="eastAsia" w:ascii="宋体" w:hAnsi="宋体" w:eastAsia="宋体" w:cs="宋体"/>
          <w:sz w:val="22"/>
        </w:rPr>
        <w:t>分析、可视化展示功能，提升安全生产执法信息化水平。《“十四五”国家应急体系规划》中也要求针对地震、滑坡、泥石流、森林火灾等重大险情，加强无人机及其它轻量化、智能化、高机动性装备研发及使用，加大</w:t>
      </w:r>
      <w:r>
        <w:rPr>
          <w:rFonts w:ascii="宋体" w:hAnsi="宋体" w:eastAsia="宋体" w:cs="宋体"/>
          <w:sz w:val="22"/>
        </w:rPr>
        <w:t>5G、高通量卫星、无人机通信等先进技术应急通信装备的配备和应用力度。</w:t>
      </w:r>
    </w:p>
    <w:p>
      <w:pPr>
        <w:spacing w:line="400" w:lineRule="exact"/>
        <w:ind w:firstLine="440" w:firstLineChars="200"/>
        <w:rPr>
          <w:rFonts w:ascii="宋体" w:hAnsi="宋体" w:eastAsia="宋体" w:cs="宋体"/>
          <w:sz w:val="22"/>
        </w:rPr>
      </w:pPr>
      <w:r>
        <w:rPr>
          <w:rFonts w:hint="eastAsia" w:ascii="宋体" w:hAnsi="宋体" w:eastAsia="宋体" w:cs="宋体"/>
          <w:sz w:val="22"/>
        </w:rPr>
        <w:t>建设政务无人机一体化平台的目标是利用无人机低空动态采集技术与大数据、人工智能等新技术的融合创新，实现对各类城市事件的感知、分析和预警，并通过事件流转系统进行及时处置，形成闭环管理。实现城市管理的立体化、数据可视化、智能化、精细化管理，提升作业效率。</w:t>
      </w:r>
      <w:r>
        <w:rPr>
          <w:rFonts w:ascii="宋体" w:hAnsi="宋体" w:eastAsia="宋体" w:cs="宋体"/>
          <w:sz w:val="22"/>
        </w:rPr>
        <w:t xml:space="preserve"> 其主要意义包括：</w:t>
      </w:r>
    </w:p>
    <w:p>
      <w:pPr>
        <w:spacing w:line="400" w:lineRule="exact"/>
        <w:ind w:firstLine="440" w:firstLineChars="200"/>
        <w:rPr>
          <w:rFonts w:ascii="宋体" w:hAnsi="宋体" w:eastAsia="宋体" w:cs="宋体"/>
          <w:sz w:val="22"/>
        </w:rPr>
      </w:pPr>
      <w:r>
        <w:rPr>
          <w:rFonts w:hint="eastAsia" w:ascii="宋体" w:hAnsi="宋体" w:eastAsia="宋体" w:cs="宋体"/>
          <w:sz w:val="22"/>
        </w:rPr>
        <w:t>（一）提升城市安全管理能力：实时空地一体化收集和分析城市事件数据，快速识别和预警潜在的安全风险，从而提高城市的安全管理能力。</w:t>
      </w:r>
    </w:p>
    <w:p>
      <w:pPr>
        <w:spacing w:line="400" w:lineRule="exact"/>
        <w:ind w:firstLine="440" w:firstLineChars="200"/>
        <w:rPr>
          <w:rFonts w:ascii="宋体" w:hAnsi="宋体" w:eastAsia="宋体" w:cs="宋体"/>
          <w:sz w:val="22"/>
        </w:rPr>
      </w:pPr>
      <w:r>
        <w:rPr>
          <w:rFonts w:hint="eastAsia" w:ascii="宋体" w:hAnsi="宋体" w:eastAsia="宋体" w:cs="宋体"/>
          <w:sz w:val="22"/>
        </w:rPr>
        <w:t>（二）加强应急响应和处置能力：通过无人机和智能算法的协同作业，平台能够及时发现城市事件并进行准确的分析，有效提供实时的预警信息，使相关部门能够更迅速地做出应急响应和高效的处置。</w:t>
      </w:r>
    </w:p>
    <w:p>
      <w:pPr>
        <w:spacing w:line="400" w:lineRule="exact"/>
        <w:ind w:firstLine="440" w:firstLineChars="200"/>
        <w:rPr>
          <w:rFonts w:ascii="宋体" w:hAnsi="宋体" w:eastAsia="宋体" w:cs="宋体"/>
          <w:sz w:val="22"/>
        </w:rPr>
      </w:pPr>
      <w:r>
        <w:rPr>
          <w:rFonts w:hint="eastAsia" w:ascii="宋体" w:hAnsi="宋体" w:eastAsia="宋体" w:cs="宋体"/>
          <w:sz w:val="22"/>
        </w:rPr>
        <w:t>（三）实现精细化城市管理：全方位、多角度地监测城市，收集大量的数据，通过智能算法进行分析和挖掘，为城市管理部门提供决策支持，帮助实现精细化的城市管理和资源配置。</w:t>
      </w:r>
    </w:p>
    <w:p>
      <w:pPr>
        <w:spacing w:line="400" w:lineRule="exact"/>
        <w:ind w:firstLine="440" w:firstLineChars="200"/>
        <w:rPr>
          <w:rFonts w:ascii="宋体" w:hAnsi="宋体" w:eastAsia="宋体" w:cs="宋体"/>
          <w:sz w:val="22"/>
        </w:rPr>
      </w:pPr>
      <w:r>
        <w:rPr>
          <w:rFonts w:hint="eastAsia" w:ascii="宋体" w:hAnsi="宋体" w:eastAsia="宋体" w:cs="宋体"/>
          <w:sz w:val="22"/>
        </w:rPr>
        <w:t>（四）提高行政效能和服务质量：平台的实时预警和快速处置机制可以帮助政府部门更高效地处理城市事件，提升行政效能。同时，通过快速的数据分析和决策支持，能够提供更优质的公共服务，改善市民生活品质。</w:t>
      </w:r>
    </w:p>
    <w:p>
      <w:pPr>
        <w:spacing w:line="400" w:lineRule="exact"/>
        <w:ind w:firstLine="440" w:firstLineChars="200"/>
        <w:rPr>
          <w:rFonts w:ascii="宋体" w:hAnsi="宋体" w:eastAsia="宋体" w:cs="宋体"/>
          <w:sz w:val="22"/>
        </w:rPr>
      </w:pPr>
      <w:r>
        <w:rPr>
          <w:rFonts w:hint="eastAsia" w:ascii="宋体" w:hAnsi="宋体" w:eastAsia="宋体" w:cs="宋体"/>
          <w:sz w:val="22"/>
        </w:rPr>
        <w:t>（五）推动科技创新和发展：政务无人机一体化平台结合了无人机技术和智能算法，体现了科技创新在城市管理中的应用。通过推动平台的建设和发展，可以促进相关领域的科技创新，推动无人机和人工智能等技术的发展。</w:t>
      </w:r>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建设目标</w:t>
      </w:r>
    </w:p>
    <w:p>
      <w:pPr>
        <w:spacing w:line="400" w:lineRule="exact"/>
        <w:ind w:firstLine="440" w:firstLineChars="200"/>
        <w:rPr>
          <w:rFonts w:ascii="宋体" w:hAnsi="宋体" w:eastAsia="宋体" w:cs="宋体"/>
          <w:sz w:val="22"/>
        </w:rPr>
      </w:pPr>
      <w:r>
        <w:rPr>
          <w:rFonts w:hint="eastAsia" w:ascii="宋体" w:hAnsi="宋体" w:eastAsia="宋体" w:cs="宋体"/>
          <w:sz w:val="22"/>
        </w:rPr>
        <w:t>基于“慧治苍南”社会治理平台的“一屏知苍南、一数治苍南、一体安苍南”总体架构，按照“一体化、平台化、智能化、场景化”的建设理念，基于构建天空地一体化智能化感知体系的具体实施思路，打造一套理念先进、科技赋能、平战结合、统建共享的政务无人机一体化平台，统筹现有无人机和新增无人机，与无人机智能基站群组成一个统一的立体化感知网，利用无人机低空动态采集技术与大数据、人工智能等新技术的融合创新，实现对各类城市事件的感知、分析、预警和处置，不断提升苍南县城市管理、应急处置、行政效能与服务等能力，努力实现对县域的立体化、可视化、智能化、精细化管理，全面提升县域治理的现代化水平。</w:t>
      </w:r>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三、</w:t>
      </w:r>
      <w:r>
        <w:rPr>
          <w:rFonts w:hint="eastAsia" w:ascii="宋体" w:hAnsi="宋体" w:eastAsia="宋体"/>
          <w:sz w:val="24"/>
          <w:szCs w:val="24"/>
        </w:rPr>
        <w:t>建设内容</w:t>
      </w:r>
    </w:p>
    <w:p>
      <w:pPr>
        <w:spacing w:line="400" w:lineRule="exact"/>
        <w:ind w:firstLine="440" w:firstLineChars="200"/>
        <w:rPr>
          <w:rFonts w:ascii="宋体" w:hAnsi="宋体" w:eastAsia="宋体" w:cs="宋体"/>
          <w:sz w:val="22"/>
        </w:rPr>
      </w:pPr>
      <w:r>
        <w:rPr>
          <w:rFonts w:hint="eastAsia" w:ascii="宋体" w:hAnsi="宋体" w:eastAsia="宋体" w:cs="宋体"/>
          <w:sz w:val="22"/>
        </w:rPr>
        <w:t>依托政务外网及</w:t>
      </w:r>
      <w:r>
        <w:rPr>
          <w:rFonts w:ascii="宋体" w:hAnsi="宋体" w:eastAsia="宋体" w:cs="宋体"/>
          <w:sz w:val="22"/>
        </w:rPr>
        <w:t>5G</w:t>
      </w:r>
      <w:r>
        <w:rPr>
          <w:rFonts w:hint="eastAsia" w:ascii="宋体" w:hAnsi="宋体" w:eastAsia="宋体" w:cs="宋体"/>
          <w:sz w:val="22"/>
        </w:rPr>
        <w:t>网络建设，逐步建成覆盖苍南全域的低空无人机动态遥感网，建成低空无人机遥感网运营中心，建设N个应用场景，为苍南县乡镇、部门提供高频次、快响应、立体动态的无人机智能巡查与智能识别服务，即“一张网、一中心、N个应用”。</w:t>
      </w:r>
    </w:p>
    <w:p>
      <w:pPr>
        <w:spacing w:line="400" w:lineRule="exact"/>
        <w:ind w:firstLine="440" w:firstLineChars="200"/>
        <w:rPr>
          <w:rFonts w:ascii="宋体" w:hAnsi="宋体" w:eastAsia="宋体" w:cs="宋体"/>
          <w:sz w:val="22"/>
        </w:rPr>
      </w:pPr>
      <w:r>
        <w:rPr>
          <w:rFonts w:hint="eastAsia" w:ascii="宋体" w:hAnsi="宋体" w:eastAsia="宋体" w:cs="宋体"/>
          <w:sz w:val="22"/>
        </w:rPr>
        <w:t>（1）构建一张低空无人机动态遥感网</w:t>
      </w:r>
    </w:p>
    <w:p>
      <w:pPr>
        <w:spacing w:line="400" w:lineRule="exact"/>
        <w:ind w:firstLine="440" w:firstLineChars="200"/>
        <w:rPr>
          <w:rFonts w:ascii="宋体" w:hAnsi="宋体" w:eastAsia="宋体" w:cs="宋体"/>
          <w:sz w:val="22"/>
        </w:rPr>
      </w:pPr>
      <w:r>
        <w:rPr>
          <w:rFonts w:hint="eastAsia" w:ascii="宋体" w:hAnsi="宋体" w:eastAsia="宋体" w:cs="宋体"/>
          <w:sz w:val="22"/>
        </w:rPr>
        <w:t>以无人机智能基站为主要载体，以机动无人机为补充，以空地感知技术和人工智能技术为核心，通过集成多型号无人机、多功能传感器和多类型人工智能模型，构建固定巡查与机动感知相结合的“空地一体”协同组网动态感知模式，实现地表资源的高频次、高精度、全自动和立体化监测。</w:t>
      </w:r>
    </w:p>
    <w:p>
      <w:pPr>
        <w:spacing w:line="400" w:lineRule="exact"/>
        <w:ind w:firstLine="440" w:firstLineChars="200"/>
        <w:rPr>
          <w:rFonts w:ascii="宋体" w:hAnsi="宋体" w:eastAsia="宋体" w:cs="宋体"/>
          <w:sz w:val="22"/>
        </w:rPr>
      </w:pPr>
      <w:r>
        <w:rPr>
          <w:rFonts w:hint="eastAsia" w:ascii="宋体" w:hAnsi="宋体" w:eastAsia="宋体" w:cs="宋体"/>
          <w:sz w:val="22"/>
        </w:rPr>
        <w:t>（2）构建低空无人机遥感网运营中心</w:t>
      </w:r>
    </w:p>
    <w:p>
      <w:pPr>
        <w:spacing w:line="400" w:lineRule="exact"/>
        <w:ind w:firstLine="440" w:firstLineChars="200"/>
        <w:rPr>
          <w:rFonts w:ascii="宋体" w:hAnsi="宋体" w:eastAsia="宋体" w:cs="宋体"/>
          <w:sz w:val="22"/>
        </w:rPr>
      </w:pPr>
      <w:r>
        <w:rPr>
          <w:rFonts w:hint="eastAsia" w:ascii="宋体" w:hAnsi="宋体" w:eastAsia="宋体" w:cs="宋体"/>
          <w:sz w:val="22"/>
        </w:rPr>
        <w:t>通过统一规划，统筹管理，实现对低空无人机遥感网的设备和通讯链路的运维保障，航线规划和飞行管控，巡查任务的调度和远程控制，感知数据的传输、存储、分析和共享，人工智能模型的创建、训练等工作的日常运营管理。主要包括：建设一个无人机数据中心、建设一个无人机管控及应用中心、建设多个智慧专题应用系统。</w:t>
      </w:r>
    </w:p>
    <w:p>
      <w:pPr>
        <w:spacing w:line="400" w:lineRule="exact"/>
        <w:ind w:firstLine="440" w:firstLineChars="200"/>
        <w:rPr>
          <w:rFonts w:ascii="宋体" w:hAnsi="宋体" w:eastAsia="宋体" w:cs="宋体"/>
          <w:sz w:val="22"/>
        </w:rPr>
      </w:pPr>
      <w:r>
        <w:rPr>
          <w:rFonts w:hint="eastAsia" w:ascii="宋体" w:hAnsi="宋体" w:eastAsia="宋体" w:cs="宋体"/>
          <w:sz w:val="22"/>
        </w:rPr>
        <w:t>（3）建设N个应用专题</w:t>
      </w:r>
    </w:p>
    <w:p>
      <w:pPr>
        <w:spacing w:line="400" w:lineRule="exact"/>
        <w:ind w:firstLine="440" w:firstLineChars="200"/>
        <w:rPr>
          <w:rFonts w:ascii="宋体" w:hAnsi="宋体" w:eastAsia="宋体" w:cs="宋体"/>
          <w:sz w:val="22"/>
        </w:rPr>
      </w:pPr>
      <w:r>
        <w:rPr>
          <w:rFonts w:hint="eastAsia" w:ascii="宋体" w:hAnsi="宋体" w:eastAsia="宋体" w:cs="宋体"/>
          <w:sz w:val="22"/>
        </w:rPr>
        <w:t>以固定无人机群为主要载体，结合苍南县数字网格划分，以空地感知数据、A</w:t>
      </w:r>
      <w:r>
        <w:rPr>
          <w:rFonts w:ascii="宋体" w:hAnsi="宋体" w:eastAsia="宋体" w:cs="宋体"/>
          <w:sz w:val="22"/>
        </w:rPr>
        <w:t>I</w:t>
      </w:r>
      <w:r>
        <w:rPr>
          <w:rFonts w:hint="eastAsia" w:ascii="宋体" w:hAnsi="宋体" w:eastAsia="宋体" w:cs="宋体"/>
          <w:sz w:val="22"/>
        </w:rPr>
        <w:t>智能分析模型+人工判别为支撑，针对公安、应急、综合执法、资规、民宗、农业农村、林业等业务部门提出的需求，构建N个典型业务分析应用场景，为苍南县各乡镇、各部门提供智能分析、业务流转、智能监管等技术支撑。</w:t>
      </w:r>
    </w:p>
    <w:p>
      <w:pPr>
        <w:pStyle w:val="5"/>
      </w:pPr>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低空无人机动态监测网采购清单</w:t>
      </w:r>
    </w:p>
    <w:p>
      <w:pPr>
        <w:pStyle w:val="3"/>
        <w:numPr>
          <w:ilvl w:val="0"/>
          <w:numId w:val="0"/>
        </w:numPr>
        <w:spacing w:before="0" w:after="0" w:line="360" w:lineRule="auto"/>
        <w:ind w:left="560" w:leftChars="0"/>
        <w:rPr>
          <w:rFonts w:ascii="宋体" w:hAnsi="宋体" w:eastAsia="宋体"/>
          <w:sz w:val="22"/>
          <w:szCs w:val="22"/>
        </w:rPr>
      </w:pPr>
      <w:r>
        <w:rPr>
          <w:rFonts w:hint="eastAsia" w:ascii="宋体" w:hAnsi="宋体" w:eastAsia="宋体"/>
          <w:sz w:val="22"/>
          <w:szCs w:val="22"/>
          <w:lang w:val="en-US" w:eastAsia="zh-CN"/>
        </w:rPr>
        <w:t>1、</w:t>
      </w:r>
      <w:r>
        <w:rPr>
          <w:rFonts w:hint="eastAsia" w:ascii="宋体" w:hAnsi="宋体" w:eastAsia="宋体"/>
          <w:sz w:val="22"/>
          <w:szCs w:val="22"/>
        </w:rPr>
        <w:t>低空无人机动态监测网建设要求</w:t>
      </w:r>
    </w:p>
    <w:p>
      <w:pPr>
        <w:spacing w:line="400" w:lineRule="exact"/>
        <w:ind w:firstLine="440" w:firstLineChars="200"/>
        <w:rPr>
          <w:rFonts w:ascii="宋体" w:hAnsi="宋体" w:eastAsia="宋体" w:cs="宋体"/>
          <w:sz w:val="22"/>
        </w:rPr>
      </w:pPr>
      <w:r>
        <w:rPr>
          <w:rFonts w:hint="eastAsia" w:ascii="宋体" w:hAnsi="宋体" w:eastAsia="宋体" w:cs="宋体"/>
          <w:sz w:val="22"/>
        </w:rPr>
        <w:t>通过采用无人值守远程智能控制无人机智能基站为主体，承载行业级无人机，可根据不同的作业场景搭载可见光、热红外等专业机搭载设备，同时进行多样化需求作业。通过无人机远程管控平台，可实现对无人机的自动巡查路径规划、自动起降、自动充电、自动数据回传等智能化功能，真正实现远程无人值守智能无人机巡航作业管理。</w:t>
      </w:r>
    </w:p>
    <w:p>
      <w:pPr>
        <w:spacing w:line="400" w:lineRule="exact"/>
        <w:ind w:firstLine="440" w:firstLineChars="200"/>
        <w:rPr>
          <w:rFonts w:ascii="宋体" w:hAnsi="宋体" w:eastAsia="宋体" w:cs="宋体"/>
          <w:sz w:val="22"/>
        </w:rPr>
      </w:pPr>
      <w:r>
        <w:rPr>
          <w:rFonts w:hint="eastAsia" w:ascii="宋体" w:hAnsi="宋体" w:eastAsia="宋体" w:cs="宋体"/>
          <w:sz w:val="22"/>
        </w:rPr>
        <w:t>采用5G、无人机、AI智能、大数据、物联网等技术，构建苍南县低空无人机动态监测网。利用无人机高机动性、可低空飞行、监控巡查区域广等特性。</w:t>
      </w:r>
    </w:p>
    <w:p>
      <w:pPr>
        <w:spacing w:line="400" w:lineRule="exact"/>
        <w:ind w:firstLine="440" w:firstLineChars="200"/>
        <w:rPr>
          <w:rFonts w:ascii="宋体" w:hAnsi="宋体" w:eastAsia="宋体" w:cs="宋体"/>
          <w:sz w:val="22"/>
        </w:rPr>
      </w:pPr>
      <w:r>
        <w:rPr>
          <w:rFonts w:hint="eastAsia" w:ascii="宋体" w:hAnsi="宋体" w:eastAsia="宋体" w:cs="宋体"/>
          <w:sz w:val="22"/>
        </w:rPr>
        <w:t>本项目拟</w:t>
      </w:r>
      <w:bookmarkStart w:id="80" w:name="_Hlk151547497"/>
      <w:r>
        <w:rPr>
          <w:rFonts w:hint="eastAsia" w:ascii="宋体" w:hAnsi="宋体" w:eastAsia="宋体" w:cs="宋体"/>
          <w:sz w:val="22"/>
        </w:rPr>
        <w:t>在苍南县布设</w:t>
      </w:r>
      <w:r>
        <w:rPr>
          <w:rFonts w:ascii="宋体" w:hAnsi="宋体" w:eastAsia="宋体" w:cs="宋体"/>
          <w:sz w:val="22"/>
        </w:rPr>
        <w:t>16</w:t>
      </w:r>
      <w:r>
        <w:rPr>
          <w:rFonts w:hint="eastAsia" w:ascii="宋体" w:hAnsi="宋体" w:eastAsia="宋体" w:cs="宋体"/>
          <w:sz w:val="22"/>
        </w:rPr>
        <w:t>台无人机智能机巢和建设3台机动无人机系统，</w:t>
      </w:r>
      <w:bookmarkEnd w:id="80"/>
      <w:r>
        <w:rPr>
          <w:rFonts w:hint="eastAsia" w:ascii="宋体" w:hAnsi="宋体" w:eastAsia="宋体" w:cs="宋体"/>
          <w:sz w:val="22"/>
        </w:rPr>
        <w:t>并与海塘项目建设的5台无人机智能机巢及各委办局已有的机动无人机进行组网，构建覆盖苍南县全域，可为城镇管理、重点项目巡查、应急管理、森林防火、旅游管理等提供无人机低空巡检手段，满足辖区范围内基础无人机巡检需求。也可根据各政务部门的不同业务需求相对性增加智能基站部署，以满足特定业务需求。</w:t>
      </w:r>
    </w:p>
    <w:p>
      <w:pPr>
        <w:spacing w:line="400" w:lineRule="exact"/>
        <w:ind w:firstLine="440" w:firstLineChars="200"/>
        <w:rPr>
          <w:rFonts w:hint="eastAsia" w:ascii="宋体" w:hAnsi="宋体" w:eastAsia="宋体" w:cs="宋体"/>
          <w:sz w:val="22"/>
        </w:rPr>
      </w:pPr>
      <w:r>
        <w:rPr>
          <w:rFonts w:hint="eastAsia" w:ascii="宋体" w:hAnsi="宋体" w:eastAsia="宋体" w:cs="宋体"/>
          <w:sz w:val="22"/>
        </w:rPr>
        <w:t>为了满足日常常规巡查需求和热点区域无间断连续巡查的需求，本项目根据不同区域的应用需求特点，采用8台多旋翼自动换电机巢和8台多旋翼智能充电机巢进行部署和组网。其中采用</w:t>
      </w:r>
      <w:r>
        <w:rPr>
          <w:rFonts w:ascii="宋体" w:hAnsi="宋体" w:eastAsia="宋体" w:cs="宋体"/>
          <w:sz w:val="22"/>
        </w:rPr>
        <w:t>2</w:t>
      </w:r>
      <w:r>
        <w:rPr>
          <w:rFonts w:hint="eastAsia" w:ascii="宋体" w:hAnsi="宋体" w:eastAsia="宋体" w:cs="宋体"/>
          <w:sz w:val="22"/>
        </w:rPr>
        <w:t>台多旋翼无人机自动换电机巢和1台智充电机巢覆盖苍南县城（灵溪镇）建成区；</w:t>
      </w:r>
      <w:r>
        <w:rPr>
          <w:rFonts w:ascii="宋体" w:hAnsi="宋体" w:eastAsia="宋体" w:cs="宋体"/>
          <w:sz w:val="22"/>
        </w:rPr>
        <w:t>7</w:t>
      </w:r>
      <w:r>
        <w:rPr>
          <w:rFonts w:hint="eastAsia" w:ascii="宋体" w:hAnsi="宋体" w:eastAsia="宋体" w:cs="宋体"/>
          <w:sz w:val="22"/>
        </w:rPr>
        <w:t>台智能充电机巢覆盖苍南县辖区</w:t>
      </w:r>
      <w:r>
        <w:rPr>
          <w:rFonts w:ascii="宋体" w:hAnsi="宋体" w:eastAsia="宋体" w:cs="宋体"/>
          <w:sz w:val="22"/>
        </w:rPr>
        <w:t>7</w:t>
      </w:r>
      <w:r>
        <w:rPr>
          <w:rFonts w:hint="eastAsia" w:ascii="宋体" w:hAnsi="宋体" w:eastAsia="宋体" w:cs="宋体"/>
          <w:sz w:val="22"/>
        </w:rPr>
        <w:t>个镇；6台自动充电机巢部署在1</w:t>
      </w:r>
      <w:r>
        <w:rPr>
          <w:rFonts w:ascii="宋体" w:hAnsi="宋体" w:eastAsia="宋体" w:cs="宋体"/>
          <w:sz w:val="22"/>
        </w:rPr>
        <w:t>68</w:t>
      </w:r>
      <w:r>
        <w:rPr>
          <w:rFonts w:hint="eastAsia" w:ascii="宋体" w:hAnsi="宋体" w:eastAsia="宋体" w:cs="宋体"/>
          <w:sz w:val="22"/>
        </w:rPr>
        <w:t>沿线乡镇或社区，为1</w:t>
      </w:r>
      <w:r>
        <w:rPr>
          <w:rFonts w:ascii="宋体" w:hAnsi="宋体" w:eastAsia="宋体" w:cs="宋体"/>
          <w:sz w:val="22"/>
        </w:rPr>
        <w:t>68</w:t>
      </w:r>
      <w:r>
        <w:rPr>
          <w:rFonts w:hint="eastAsia" w:ascii="宋体" w:hAnsi="宋体" w:eastAsia="宋体" w:cs="宋体"/>
          <w:sz w:val="22"/>
        </w:rPr>
        <w:t>沿线的乡镇巡查、重大项目、海塘安全、交通运行、旅游态势等提供巡查服务。</w:t>
      </w:r>
    </w:p>
    <w:p>
      <w:pPr>
        <w:spacing w:line="400" w:lineRule="exact"/>
        <w:ind w:firstLine="440" w:firstLineChars="200"/>
        <w:rPr>
          <w:rFonts w:hint="eastAsia" w:ascii="宋体" w:hAnsi="宋体" w:eastAsia="宋体" w:cs="宋体"/>
          <w:sz w:val="22"/>
        </w:rPr>
      </w:pPr>
      <w:r>
        <w:rPr>
          <w:rFonts w:hint="eastAsia" w:ascii="宋体" w:hAnsi="宋体" w:eastAsia="宋体" w:cs="宋体"/>
          <w:sz w:val="22"/>
        </w:rPr>
        <w:t>巡查路线由全县需要巡查的部门提供，相关数据共享给全县所有部门使用，并根据不同的部门建立自动化或半自动的应用方案。</w:t>
      </w:r>
    </w:p>
    <w:p>
      <w:pPr>
        <w:spacing w:line="400" w:lineRule="exact"/>
        <w:ind w:firstLine="440" w:firstLineChars="200"/>
        <w:rPr>
          <w:rFonts w:hint="eastAsia" w:ascii="宋体" w:hAnsi="宋体" w:eastAsia="宋体" w:cs="宋体"/>
          <w:sz w:val="22"/>
        </w:rPr>
      </w:pPr>
    </w:p>
    <w:p>
      <w:pPr>
        <w:rPr>
          <w:rFonts w:hint="default" w:ascii="宋体" w:hAnsi="宋体" w:eastAsia="宋体" w:cs="宋体"/>
          <w:sz w:val="22"/>
          <w:lang w:val="en-US" w:eastAsia="zh-CN"/>
        </w:rPr>
      </w:pPr>
      <w:r>
        <w:rPr>
          <w:rFonts w:hint="eastAsia" w:ascii="宋体" w:hAnsi="宋体" w:eastAsia="宋体" w:cs="宋体"/>
          <w:sz w:val="22"/>
          <w:lang w:val="en-US" w:eastAsia="zh-CN"/>
        </w:rPr>
        <w:t>硬件设备采购如下：</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4961"/>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编号</w:t>
            </w:r>
          </w:p>
        </w:tc>
        <w:tc>
          <w:tcPr>
            <w:tcW w:w="993"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名称</w:t>
            </w:r>
          </w:p>
        </w:tc>
        <w:tc>
          <w:tcPr>
            <w:tcW w:w="4961"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主要建设内容或参数配置</w:t>
            </w:r>
          </w:p>
        </w:tc>
        <w:tc>
          <w:tcPr>
            <w:tcW w:w="709"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单位</w:t>
            </w:r>
          </w:p>
        </w:tc>
        <w:tc>
          <w:tcPr>
            <w:tcW w:w="708"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数量</w:t>
            </w:r>
          </w:p>
        </w:tc>
        <w:tc>
          <w:tcPr>
            <w:tcW w:w="709" w:type="dxa"/>
            <w:vAlign w:val="center"/>
          </w:tcPr>
          <w:p>
            <w:pPr>
              <w:widowControl/>
              <w:jc w:val="both"/>
              <w:rPr>
                <w:rFonts w:ascii="宋体" w:hAnsi="宋体" w:eastAsia="宋体" w:cs="宋体"/>
                <w:b/>
                <w:bCs/>
                <w:color w:val="000000"/>
                <w:kern w:val="0"/>
                <w:sz w:val="22"/>
                <w:szCs w:val="21"/>
              </w:rPr>
            </w:pPr>
            <w:r>
              <w:rPr>
                <w:rFonts w:hint="eastAsia" w:ascii="宋体" w:hAnsi="宋体" w:eastAsia="宋体" w:cs="宋体"/>
                <w:b/>
                <w:bCs/>
                <w:color w:val="000000"/>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ascii="宋体" w:hAnsi="宋体" w:eastAsia="宋体"/>
                <w:sz w:val="22"/>
              </w:rPr>
            </w:pPr>
            <w:r>
              <w:rPr>
                <w:rFonts w:hint="eastAsia" w:ascii="宋体" w:hAnsi="宋体" w:eastAsia="宋体"/>
                <w:sz w:val="22"/>
              </w:rPr>
              <w:t>1</w:t>
            </w:r>
          </w:p>
        </w:tc>
        <w:tc>
          <w:tcPr>
            <w:tcW w:w="993" w:type="dxa"/>
            <w:vAlign w:val="center"/>
          </w:tcPr>
          <w:p>
            <w:pPr>
              <w:pStyle w:val="5"/>
              <w:jc w:val="both"/>
              <w:rPr>
                <w:rFonts w:ascii="宋体" w:hAnsi="宋体" w:eastAsia="宋体"/>
                <w:sz w:val="22"/>
              </w:rPr>
            </w:pPr>
            <w:r>
              <w:rPr>
                <w:rFonts w:hint="eastAsia" w:ascii="宋体" w:hAnsi="宋体" w:eastAsia="宋体"/>
                <w:sz w:val="22"/>
              </w:rPr>
              <w:t>多旋翼无人机智能充电机巢及配套无人机设备（含无人机、内部监控镜头</w:t>
            </w:r>
            <w:r>
              <w:rPr>
                <w:rFonts w:ascii="宋体" w:hAnsi="宋体" w:eastAsia="宋体"/>
                <w:sz w:val="22"/>
              </w:rPr>
              <w:t>）</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（1）机巢硬件参数要求：</w:t>
            </w:r>
          </w:p>
          <w:p>
            <w:pPr>
              <w:pStyle w:val="5"/>
              <w:spacing w:after="0"/>
              <w:jc w:val="both"/>
              <w:rPr>
                <w:rFonts w:ascii="宋体" w:hAnsi="宋体" w:eastAsia="宋体"/>
                <w:sz w:val="22"/>
              </w:rPr>
            </w:pPr>
            <w:r>
              <w:rPr>
                <w:rFonts w:hint="eastAsia" w:ascii="宋体" w:hAnsi="宋体" w:eastAsia="宋体"/>
                <w:sz w:val="22"/>
              </w:rPr>
              <w:t>重量：≤</w:t>
            </w:r>
            <w:r>
              <w:rPr>
                <w:rFonts w:ascii="宋体" w:hAnsi="宋体" w:eastAsia="宋体"/>
                <w:sz w:val="22"/>
              </w:rPr>
              <w:t>120kg</w:t>
            </w:r>
          </w:p>
          <w:p>
            <w:pPr>
              <w:pStyle w:val="5"/>
              <w:spacing w:after="0"/>
              <w:jc w:val="both"/>
              <w:rPr>
                <w:rFonts w:ascii="宋体" w:hAnsi="宋体" w:eastAsia="宋体"/>
                <w:sz w:val="22"/>
              </w:rPr>
            </w:pPr>
            <w:r>
              <w:rPr>
                <w:rFonts w:hint="eastAsia" w:ascii="宋体" w:hAnsi="宋体" w:eastAsia="宋体"/>
                <w:sz w:val="22"/>
              </w:rPr>
              <w:t>充电方式：接触式充电</w:t>
            </w:r>
          </w:p>
          <w:p>
            <w:pPr>
              <w:pStyle w:val="5"/>
              <w:spacing w:after="0"/>
              <w:jc w:val="both"/>
              <w:rPr>
                <w:rFonts w:ascii="宋体" w:hAnsi="宋体" w:eastAsia="宋体"/>
                <w:sz w:val="22"/>
              </w:rPr>
            </w:pPr>
            <w:r>
              <w:rPr>
                <w:rFonts w:hint="eastAsia" w:ascii="宋体" w:hAnsi="宋体" w:eastAsia="宋体"/>
                <w:sz w:val="22"/>
              </w:rPr>
              <w:t>输入电压：</w:t>
            </w:r>
            <w:r>
              <w:rPr>
                <w:rFonts w:ascii="宋体" w:hAnsi="宋体" w:eastAsia="宋体"/>
                <w:sz w:val="22"/>
              </w:rPr>
              <w:t>200 伏至 240 伏（交流电）</w:t>
            </w:r>
          </w:p>
          <w:p>
            <w:pPr>
              <w:pStyle w:val="5"/>
              <w:spacing w:after="0"/>
              <w:jc w:val="both"/>
              <w:rPr>
                <w:rFonts w:ascii="宋体" w:hAnsi="宋体" w:eastAsia="宋体"/>
                <w:sz w:val="22"/>
              </w:rPr>
            </w:pPr>
            <w:r>
              <w:rPr>
                <w:rFonts w:hint="eastAsia" w:ascii="宋体" w:hAnsi="宋体" w:eastAsia="宋体"/>
                <w:sz w:val="22"/>
              </w:rPr>
              <w:t>工作环境温度：</w:t>
            </w:r>
            <w:r>
              <w:rPr>
                <w:rFonts w:ascii="宋体" w:hAnsi="宋体" w:eastAsia="宋体"/>
                <w:sz w:val="22"/>
              </w:rPr>
              <w:t>-25°C 至 45°C</w:t>
            </w:r>
          </w:p>
          <w:p>
            <w:pPr>
              <w:pStyle w:val="5"/>
              <w:spacing w:after="0"/>
              <w:jc w:val="both"/>
              <w:rPr>
                <w:rFonts w:ascii="宋体" w:hAnsi="宋体" w:eastAsia="宋体"/>
                <w:sz w:val="22"/>
              </w:rPr>
            </w:pPr>
            <w:r>
              <w:rPr>
                <w:rFonts w:hint="eastAsia" w:ascii="宋体" w:hAnsi="宋体" w:eastAsia="宋体"/>
                <w:sz w:val="22"/>
              </w:rPr>
              <w:t>容纳无人机数量：可收纳无人机数量：</w:t>
            </w:r>
            <w:r>
              <w:rPr>
                <w:rFonts w:ascii="宋体" w:hAnsi="宋体" w:eastAsia="宋体"/>
                <w:sz w:val="22"/>
              </w:rPr>
              <w:t>1台</w:t>
            </w:r>
          </w:p>
          <w:p>
            <w:pPr>
              <w:pStyle w:val="5"/>
              <w:spacing w:after="0"/>
              <w:jc w:val="both"/>
              <w:rPr>
                <w:rFonts w:ascii="宋体" w:hAnsi="宋体" w:eastAsia="宋体"/>
                <w:sz w:val="22"/>
              </w:rPr>
            </w:pPr>
            <w:r>
              <w:rPr>
                <w:rFonts w:hint="eastAsia" w:ascii="宋体" w:hAnsi="宋体" w:eastAsia="宋体"/>
                <w:sz w:val="22"/>
              </w:rPr>
              <w:t>最高运行海拔高度：不低于</w:t>
            </w:r>
            <w:r>
              <w:rPr>
                <w:rFonts w:ascii="宋体" w:hAnsi="宋体" w:eastAsia="宋体"/>
                <w:sz w:val="22"/>
              </w:rPr>
              <w:t>2000 米</w:t>
            </w:r>
          </w:p>
          <w:p>
            <w:pPr>
              <w:pStyle w:val="5"/>
              <w:spacing w:after="0"/>
              <w:jc w:val="both"/>
              <w:rPr>
                <w:rFonts w:ascii="宋体" w:hAnsi="宋体" w:eastAsia="宋体"/>
                <w:sz w:val="22"/>
              </w:rPr>
            </w:pPr>
            <w:r>
              <w:rPr>
                <w:rFonts w:ascii="宋体" w:hAnsi="宋体" w:eastAsia="宋体"/>
                <w:sz w:val="22"/>
              </w:rPr>
              <w:t>RTK 基站卫星接收频率：支持 GPS、北斗</w:t>
            </w:r>
          </w:p>
          <w:p>
            <w:pPr>
              <w:pStyle w:val="5"/>
              <w:spacing w:after="0"/>
              <w:jc w:val="both"/>
              <w:rPr>
                <w:rFonts w:ascii="宋体" w:hAnsi="宋体" w:eastAsia="宋体"/>
                <w:sz w:val="22"/>
              </w:rPr>
            </w:pPr>
            <w:r>
              <w:rPr>
                <w:rFonts w:ascii="宋体" w:hAnsi="宋体" w:eastAsia="宋体"/>
                <w:sz w:val="22"/>
              </w:rPr>
              <w:t>RTK 基站定位精准度：水平：1厘米 + 1ppm（RMS），垂直：2 厘米 + 1 ppm（RMS）</w:t>
            </w:r>
          </w:p>
          <w:p>
            <w:pPr>
              <w:pStyle w:val="5"/>
              <w:spacing w:after="0"/>
              <w:jc w:val="both"/>
              <w:rPr>
                <w:rFonts w:ascii="宋体" w:hAnsi="宋体" w:eastAsia="宋体"/>
                <w:sz w:val="22"/>
              </w:rPr>
            </w:pPr>
            <w:r>
              <w:rPr>
                <w:rFonts w:hint="eastAsia" w:ascii="宋体" w:hAnsi="宋体" w:eastAsia="宋体"/>
                <w:sz w:val="22"/>
              </w:rPr>
              <w:t>图传：支持图传功能</w:t>
            </w:r>
          </w:p>
          <w:p>
            <w:pPr>
              <w:pStyle w:val="5"/>
              <w:spacing w:after="0"/>
              <w:jc w:val="both"/>
              <w:rPr>
                <w:rFonts w:ascii="宋体" w:hAnsi="宋体" w:eastAsia="宋体"/>
                <w:sz w:val="22"/>
              </w:rPr>
            </w:pPr>
            <w:r>
              <w:rPr>
                <w:rFonts w:hint="eastAsia" w:ascii="宋体" w:hAnsi="宋体" w:eastAsia="宋体"/>
                <w:sz w:val="22"/>
              </w:rPr>
              <w:t>环境监测：风速、雨量、环境温度、水浸、舱内温度、舱内湿度</w:t>
            </w:r>
          </w:p>
          <w:p>
            <w:pPr>
              <w:pStyle w:val="5"/>
              <w:spacing w:after="0"/>
              <w:jc w:val="both"/>
              <w:rPr>
                <w:rFonts w:ascii="宋体" w:hAnsi="宋体" w:eastAsia="宋体"/>
                <w:sz w:val="22"/>
              </w:rPr>
            </w:pPr>
            <w:r>
              <w:rPr>
                <w:rFonts w:hint="eastAsia" w:ascii="宋体" w:hAnsi="宋体" w:eastAsia="宋体"/>
                <w:sz w:val="22"/>
              </w:rPr>
              <w:t>网络：支持以太网</w:t>
            </w:r>
            <w:r>
              <w:rPr>
                <w:rFonts w:ascii="宋体" w:hAnsi="宋体" w:eastAsia="宋体"/>
                <w:sz w:val="22"/>
              </w:rPr>
              <w:t>/4G/5G/WIFI</w:t>
            </w:r>
          </w:p>
          <w:p>
            <w:pPr>
              <w:pStyle w:val="5"/>
              <w:spacing w:after="0"/>
              <w:jc w:val="both"/>
              <w:rPr>
                <w:rFonts w:ascii="宋体" w:hAnsi="宋体" w:eastAsia="宋体"/>
                <w:sz w:val="22"/>
              </w:rPr>
            </w:pPr>
            <w:r>
              <w:rPr>
                <w:rFonts w:hint="eastAsia" w:ascii="宋体" w:hAnsi="宋体" w:eastAsia="宋体"/>
                <w:sz w:val="22"/>
              </w:rPr>
              <w:t>防护等级：</w:t>
            </w:r>
            <w:r>
              <w:rPr>
                <w:rFonts w:ascii="宋体" w:hAnsi="宋体" w:eastAsia="宋体"/>
                <w:sz w:val="22"/>
              </w:rPr>
              <w:t>IP55</w:t>
            </w:r>
          </w:p>
          <w:p>
            <w:pPr>
              <w:pStyle w:val="5"/>
              <w:spacing w:after="0"/>
              <w:jc w:val="both"/>
              <w:rPr>
                <w:rFonts w:ascii="宋体" w:hAnsi="宋体" w:eastAsia="宋体"/>
                <w:sz w:val="22"/>
              </w:rPr>
            </w:pPr>
            <w:r>
              <w:rPr>
                <w:rFonts w:hint="eastAsia" w:ascii="宋体" w:hAnsi="宋体" w:eastAsia="宋体"/>
                <w:sz w:val="22"/>
              </w:rPr>
              <w:t>空调：有空调系统，类型：制冷</w:t>
            </w:r>
          </w:p>
          <w:p>
            <w:pPr>
              <w:pStyle w:val="5"/>
              <w:spacing w:after="0"/>
              <w:jc w:val="both"/>
              <w:rPr>
                <w:rFonts w:ascii="宋体" w:hAnsi="宋体" w:eastAsia="宋体"/>
                <w:sz w:val="22"/>
              </w:rPr>
            </w:pPr>
            <w:r>
              <w:rPr>
                <w:rFonts w:hint="eastAsia" w:ascii="宋体" w:hAnsi="宋体" w:eastAsia="宋体"/>
                <w:sz w:val="22"/>
              </w:rPr>
              <w:t>充电时间：≤</w:t>
            </w:r>
            <w:r>
              <w:rPr>
                <w:rFonts w:ascii="宋体" w:hAnsi="宋体" w:eastAsia="宋体"/>
                <w:sz w:val="22"/>
              </w:rPr>
              <w:t>35 分钟</w:t>
            </w:r>
          </w:p>
          <w:p>
            <w:pPr>
              <w:pStyle w:val="5"/>
              <w:spacing w:after="0"/>
              <w:jc w:val="both"/>
              <w:rPr>
                <w:rFonts w:ascii="宋体" w:hAnsi="宋体" w:eastAsia="宋体"/>
                <w:sz w:val="22"/>
              </w:rPr>
            </w:pPr>
            <w:r>
              <w:rPr>
                <w:rFonts w:hint="eastAsia" w:ascii="宋体" w:hAnsi="宋体" w:eastAsia="宋体"/>
                <w:sz w:val="22"/>
              </w:rPr>
              <w:t>机巢电池：容量≥</w:t>
            </w:r>
            <w:r>
              <w:rPr>
                <w:rFonts w:ascii="宋体" w:hAnsi="宋体" w:eastAsia="宋体"/>
                <w:sz w:val="22"/>
              </w:rPr>
              <w:t>10 安时，续航时间≥ 5 小时</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2）</w:t>
            </w:r>
            <w:r>
              <w:rPr>
                <w:rFonts w:hint="eastAsia" w:ascii="宋体" w:hAnsi="宋体" w:eastAsia="宋体"/>
                <w:sz w:val="22"/>
              </w:rPr>
              <w:t>机巢适配</w:t>
            </w:r>
            <w:r>
              <w:rPr>
                <w:rFonts w:ascii="宋体" w:hAnsi="宋体" w:eastAsia="宋体"/>
                <w:sz w:val="22"/>
              </w:rPr>
              <w:t>无人机配置要求：</w:t>
            </w:r>
          </w:p>
          <w:p>
            <w:pPr>
              <w:pStyle w:val="5"/>
              <w:spacing w:after="0"/>
              <w:jc w:val="both"/>
              <w:rPr>
                <w:rFonts w:ascii="宋体" w:hAnsi="宋体" w:eastAsia="宋体"/>
                <w:sz w:val="22"/>
              </w:rPr>
            </w:pPr>
            <w:r>
              <w:rPr>
                <w:rFonts w:hint="eastAsia" w:ascii="宋体" w:hAnsi="宋体" w:eastAsia="宋体"/>
                <w:sz w:val="22"/>
              </w:rPr>
              <w:t>①飞行器</w:t>
            </w:r>
          </w:p>
          <w:p>
            <w:pPr>
              <w:pStyle w:val="5"/>
              <w:spacing w:after="0"/>
              <w:jc w:val="both"/>
              <w:rPr>
                <w:rFonts w:ascii="宋体" w:hAnsi="宋体" w:eastAsia="宋体"/>
                <w:sz w:val="22"/>
              </w:rPr>
            </w:pPr>
            <w:r>
              <w:rPr>
                <w:rFonts w:hint="eastAsia" w:ascii="宋体" w:hAnsi="宋体" w:eastAsia="宋体"/>
                <w:sz w:val="22"/>
              </w:rPr>
              <w:t>尺寸：满足机巢适应尺寸</w:t>
            </w:r>
          </w:p>
          <w:p>
            <w:pPr>
              <w:pStyle w:val="5"/>
              <w:spacing w:after="0"/>
              <w:jc w:val="both"/>
              <w:rPr>
                <w:rFonts w:ascii="宋体" w:hAnsi="宋体" w:eastAsia="宋体"/>
                <w:sz w:val="22"/>
              </w:rPr>
            </w:pPr>
            <w:r>
              <w:rPr>
                <w:rFonts w:hint="eastAsia" w:ascii="宋体" w:hAnsi="宋体" w:eastAsia="宋体"/>
                <w:sz w:val="22"/>
              </w:rPr>
              <w:t>最大水平飞行速度（海平面附近无风）：</w:t>
            </w:r>
          </w:p>
          <w:p>
            <w:pPr>
              <w:pStyle w:val="5"/>
              <w:spacing w:after="0"/>
              <w:jc w:val="both"/>
              <w:rPr>
                <w:rFonts w:ascii="宋体" w:hAnsi="宋体" w:eastAsia="宋体"/>
                <w:sz w:val="22"/>
              </w:rPr>
            </w:pPr>
            <w:r>
              <w:rPr>
                <w:rFonts w:hint="eastAsia" w:ascii="宋体" w:hAnsi="宋体" w:eastAsia="宋体"/>
                <w:sz w:val="22"/>
              </w:rPr>
              <w:t>普通挡，开启避障：前飞</w:t>
            </w:r>
            <w:r>
              <w:rPr>
                <w:rFonts w:ascii="宋体" w:hAnsi="宋体" w:eastAsia="宋体"/>
                <w:sz w:val="22"/>
              </w:rPr>
              <w:t xml:space="preserve"> 15 米/秒，后飞 12 米/秒，侧飞 10 米/秒</w:t>
            </w:r>
          </w:p>
          <w:p>
            <w:pPr>
              <w:pStyle w:val="5"/>
              <w:spacing w:after="0"/>
              <w:jc w:val="both"/>
              <w:rPr>
                <w:rFonts w:ascii="宋体" w:hAnsi="宋体" w:eastAsia="宋体"/>
                <w:sz w:val="22"/>
              </w:rPr>
            </w:pPr>
            <w:r>
              <w:rPr>
                <w:rFonts w:hint="eastAsia" w:ascii="宋体" w:hAnsi="宋体" w:eastAsia="宋体"/>
                <w:sz w:val="22"/>
              </w:rPr>
              <w:t>最大抗风速度：作业阶段抗风能力</w:t>
            </w:r>
            <w:r>
              <w:rPr>
                <w:rFonts w:ascii="宋体" w:hAnsi="宋体" w:eastAsia="宋体"/>
                <w:sz w:val="22"/>
              </w:rPr>
              <w:t>12 米/秒</w:t>
            </w:r>
          </w:p>
          <w:p>
            <w:pPr>
              <w:pStyle w:val="5"/>
              <w:spacing w:after="0"/>
              <w:jc w:val="both"/>
              <w:rPr>
                <w:rFonts w:ascii="宋体" w:hAnsi="宋体" w:eastAsia="宋体"/>
                <w:sz w:val="22"/>
              </w:rPr>
            </w:pPr>
            <w:r>
              <w:rPr>
                <w:rFonts w:hint="eastAsia" w:ascii="宋体" w:hAnsi="宋体" w:eastAsia="宋体"/>
                <w:sz w:val="22"/>
              </w:rPr>
              <w:t>最大起飞海拔高度≥</w:t>
            </w:r>
            <w:r>
              <w:rPr>
                <w:rFonts w:ascii="宋体" w:hAnsi="宋体" w:eastAsia="宋体"/>
                <w:sz w:val="22"/>
              </w:rPr>
              <w:t>2000 米</w:t>
            </w:r>
          </w:p>
          <w:p>
            <w:pPr>
              <w:pStyle w:val="5"/>
              <w:spacing w:after="0"/>
              <w:jc w:val="both"/>
              <w:rPr>
                <w:rFonts w:ascii="宋体" w:hAnsi="宋体" w:eastAsia="宋体"/>
                <w:sz w:val="22"/>
              </w:rPr>
            </w:pPr>
            <w:r>
              <w:rPr>
                <w:rFonts w:hint="eastAsia" w:ascii="宋体" w:hAnsi="宋体" w:eastAsia="宋体"/>
                <w:sz w:val="22"/>
              </w:rPr>
              <w:t>飞行时间≥</w:t>
            </w:r>
            <w:r>
              <w:rPr>
                <w:rFonts w:ascii="宋体" w:hAnsi="宋体" w:eastAsia="宋体"/>
                <w:sz w:val="22"/>
              </w:rPr>
              <w:t>40分钟（该续航时间在受控测试环境下测得。具体测试条件为：海拔高度 20 米、实验室无风环境、以匀速向前飞行、切换至拍照模式（过程中无拍照操作）、避障行为设置为关闭、飞行至剩余 0% 电量）；</w:t>
            </w:r>
          </w:p>
          <w:p>
            <w:pPr>
              <w:pStyle w:val="5"/>
              <w:spacing w:after="0"/>
              <w:jc w:val="both"/>
              <w:rPr>
                <w:rFonts w:ascii="宋体" w:hAnsi="宋体" w:eastAsia="宋体"/>
                <w:sz w:val="22"/>
              </w:rPr>
            </w:pPr>
            <w:r>
              <w:rPr>
                <w:rFonts w:hint="eastAsia" w:ascii="宋体" w:hAnsi="宋体" w:eastAsia="宋体"/>
                <w:sz w:val="22"/>
              </w:rPr>
              <w:t>悬停时间≥</w:t>
            </w:r>
            <w:r>
              <w:rPr>
                <w:rFonts w:ascii="宋体" w:hAnsi="宋体" w:eastAsia="宋体"/>
                <w:sz w:val="22"/>
              </w:rPr>
              <w:t>35分钟（在无风环境下，无人机悬停于 20 米海拔高度至剩余 0% 电量时测得此数据）；</w:t>
            </w:r>
          </w:p>
          <w:p>
            <w:pPr>
              <w:pStyle w:val="5"/>
              <w:spacing w:after="0"/>
              <w:jc w:val="both"/>
              <w:rPr>
                <w:rFonts w:ascii="宋体" w:hAnsi="宋体" w:eastAsia="宋体"/>
                <w:sz w:val="22"/>
              </w:rPr>
            </w:pPr>
            <w:r>
              <w:rPr>
                <w:rFonts w:hint="eastAsia" w:ascii="宋体" w:hAnsi="宋体" w:eastAsia="宋体"/>
                <w:sz w:val="22"/>
              </w:rPr>
              <w:t>最大作业半径：</w:t>
            </w:r>
            <w:r>
              <w:rPr>
                <w:rFonts w:ascii="宋体" w:hAnsi="宋体" w:eastAsia="宋体"/>
                <w:sz w:val="22"/>
              </w:rPr>
              <w:t>8公里（在环境温度约 25℃、安全电量为 25%、环境风速约 4 米/秒、往返速度约 15 米/秒、悬停作业 10 分钟等条件下测得此数据）；</w:t>
            </w:r>
          </w:p>
          <w:p>
            <w:pPr>
              <w:pStyle w:val="5"/>
              <w:spacing w:after="0"/>
              <w:jc w:val="both"/>
              <w:rPr>
                <w:rFonts w:ascii="宋体" w:hAnsi="宋体" w:eastAsia="宋体"/>
                <w:sz w:val="22"/>
              </w:rPr>
            </w:pPr>
            <w:r>
              <w:rPr>
                <w:rFonts w:hint="eastAsia" w:ascii="宋体" w:hAnsi="宋体" w:eastAsia="宋体"/>
                <w:sz w:val="22"/>
              </w:rPr>
              <w:t>最大续航里程≥</w:t>
            </w:r>
            <w:r>
              <w:rPr>
                <w:rFonts w:ascii="宋体" w:hAnsi="宋体" w:eastAsia="宋体"/>
                <w:sz w:val="22"/>
              </w:rPr>
              <w:t>40公里（在无风环境下，无人机以速度匀速飞行于 20 米海拔高度至剩余 0% 电量时测得此数据。）；</w:t>
            </w:r>
          </w:p>
          <w:p>
            <w:pPr>
              <w:pStyle w:val="5"/>
              <w:spacing w:after="0"/>
              <w:jc w:val="both"/>
              <w:rPr>
                <w:rFonts w:ascii="宋体" w:hAnsi="宋体" w:eastAsia="宋体"/>
                <w:sz w:val="22"/>
              </w:rPr>
            </w:pPr>
            <w:r>
              <w:rPr>
                <w:rFonts w:ascii="宋体" w:hAnsi="宋体" w:eastAsia="宋体"/>
                <w:sz w:val="22"/>
              </w:rPr>
              <w:t>GNSS：支持GPS、北斗</w:t>
            </w:r>
          </w:p>
          <w:p>
            <w:pPr>
              <w:pStyle w:val="5"/>
              <w:spacing w:after="0"/>
              <w:jc w:val="both"/>
              <w:rPr>
                <w:rFonts w:ascii="宋体" w:hAnsi="宋体" w:eastAsia="宋体"/>
                <w:sz w:val="22"/>
              </w:rPr>
            </w:pPr>
            <w:r>
              <w:rPr>
                <w:rFonts w:hint="eastAsia" w:ascii="宋体" w:hAnsi="宋体" w:eastAsia="宋体"/>
                <w:sz w:val="22"/>
              </w:rPr>
              <w:t>工作环境温度：</w:t>
            </w:r>
            <w:r>
              <w:rPr>
                <w:rFonts w:ascii="宋体" w:hAnsi="宋体" w:eastAsia="宋体"/>
                <w:sz w:val="22"/>
              </w:rPr>
              <w:t>-20℃ 至 45℃</w:t>
            </w:r>
          </w:p>
          <w:p>
            <w:pPr>
              <w:pStyle w:val="5"/>
              <w:spacing w:after="0"/>
              <w:jc w:val="both"/>
              <w:rPr>
                <w:rFonts w:ascii="宋体" w:hAnsi="宋体" w:eastAsia="宋体"/>
                <w:sz w:val="22"/>
              </w:rPr>
            </w:pPr>
            <w:r>
              <w:rPr>
                <w:rFonts w:hint="eastAsia" w:ascii="宋体" w:hAnsi="宋体" w:eastAsia="宋体"/>
                <w:sz w:val="22"/>
              </w:rPr>
              <w:t>防护等级：</w:t>
            </w:r>
            <w:r>
              <w:rPr>
                <w:rFonts w:ascii="宋体" w:hAnsi="宋体" w:eastAsia="宋体"/>
                <w:sz w:val="22"/>
              </w:rPr>
              <w:t>IP54</w:t>
            </w:r>
          </w:p>
          <w:p>
            <w:pPr>
              <w:pStyle w:val="5"/>
              <w:spacing w:after="0"/>
              <w:jc w:val="both"/>
              <w:rPr>
                <w:rFonts w:ascii="宋体" w:hAnsi="宋体" w:eastAsia="宋体"/>
                <w:sz w:val="22"/>
              </w:rPr>
            </w:pPr>
            <w:r>
              <w:rPr>
                <w:rFonts w:ascii="宋体" w:hAnsi="宋体" w:eastAsia="宋体"/>
                <w:sz w:val="22"/>
              </w:rPr>
              <w:t>RTK 模块：飞行器集成</w:t>
            </w:r>
          </w:p>
          <w:p>
            <w:pPr>
              <w:pStyle w:val="5"/>
              <w:spacing w:after="0"/>
              <w:jc w:val="both"/>
              <w:rPr>
                <w:rFonts w:ascii="宋体" w:hAnsi="宋体" w:eastAsia="宋体"/>
                <w:sz w:val="22"/>
              </w:rPr>
            </w:pPr>
            <w:r>
              <w:rPr>
                <w:rFonts w:hint="eastAsia" w:ascii="宋体" w:hAnsi="宋体" w:eastAsia="宋体"/>
                <w:sz w:val="22"/>
              </w:rPr>
              <w:t>夜航灯：飞行器集成</w:t>
            </w:r>
          </w:p>
          <w:p>
            <w:pPr>
              <w:pStyle w:val="5"/>
              <w:spacing w:after="0"/>
              <w:jc w:val="both"/>
              <w:rPr>
                <w:rFonts w:ascii="宋体" w:hAnsi="宋体" w:eastAsia="宋体"/>
                <w:sz w:val="22"/>
              </w:rPr>
            </w:pPr>
            <w:r>
              <w:rPr>
                <w:rFonts w:hint="eastAsia" w:ascii="宋体" w:hAnsi="宋体" w:eastAsia="宋体"/>
                <w:sz w:val="22"/>
              </w:rPr>
              <w:t>相机：支持广角相机、长焦相机、红外相机</w:t>
            </w:r>
          </w:p>
          <w:p>
            <w:pPr>
              <w:pStyle w:val="5"/>
              <w:spacing w:after="0"/>
              <w:jc w:val="both"/>
              <w:rPr>
                <w:rFonts w:ascii="宋体" w:hAnsi="宋体" w:eastAsia="宋体"/>
                <w:sz w:val="22"/>
              </w:rPr>
            </w:pPr>
            <w:r>
              <w:rPr>
                <w:rFonts w:hint="eastAsia" w:ascii="宋体" w:hAnsi="宋体" w:eastAsia="宋体"/>
                <w:sz w:val="22"/>
              </w:rPr>
              <w:t>广角相机：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82°，等效焦距：24 mm，对焦点：1 米至无穷远，广角镜头支持除雾</w:t>
            </w:r>
          </w:p>
          <w:p>
            <w:pPr>
              <w:pStyle w:val="5"/>
              <w:spacing w:after="0"/>
              <w:jc w:val="both"/>
              <w:rPr>
                <w:rFonts w:ascii="宋体" w:hAnsi="宋体" w:eastAsia="宋体"/>
                <w:sz w:val="22"/>
              </w:rPr>
            </w:pPr>
            <w:r>
              <w:rPr>
                <w:rFonts w:hint="eastAsia" w:ascii="宋体" w:hAnsi="宋体" w:eastAsia="宋体"/>
                <w:sz w:val="22"/>
              </w:rPr>
              <w:t>电子快门：</w:t>
            </w:r>
            <w:r>
              <w:rPr>
                <w:rFonts w:ascii="宋体" w:hAnsi="宋体" w:eastAsia="宋体"/>
                <w:sz w:val="22"/>
              </w:rPr>
              <w:t>8 秒至 1/8000 秒</w:t>
            </w:r>
          </w:p>
          <w:p>
            <w:pPr>
              <w:pStyle w:val="5"/>
              <w:spacing w:after="0"/>
              <w:jc w:val="both"/>
              <w:rPr>
                <w:rFonts w:ascii="宋体" w:hAnsi="宋体" w:eastAsia="宋体"/>
                <w:sz w:val="22"/>
              </w:rPr>
            </w:pPr>
            <w:r>
              <w:rPr>
                <w:rFonts w:hint="eastAsia" w:ascii="宋体" w:hAnsi="宋体" w:eastAsia="宋体"/>
                <w:sz w:val="22"/>
              </w:rPr>
              <w:t>支持文件系统：</w:t>
            </w:r>
            <w:r>
              <w:rPr>
                <w:rFonts w:ascii="宋体" w:hAnsi="宋体" w:eastAsia="宋体"/>
                <w:sz w:val="22"/>
              </w:rPr>
              <w:t>exFAT，图片格式：JPEG，视频格式：MP4（MPEG-4 AVC/H.264）</w:t>
            </w:r>
          </w:p>
          <w:p>
            <w:pPr>
              <w:pStyle w:val="5"/>
              <w:spacing w:after="0"/>
              <w:jc w:val="both"/>
              <w:rPr>
                <w:rFonts w:ascii="宋体" w:hAnsi="宋体" w:eastAsia="宋体"/>
                <w:sz w:val="22"/>
              </w:rPr>
            </w:pPr>
            <w:r>
              <w:rPr>
                <w:rFonts w:hint="eastAsia" w:ascii="宋体" w:hAnsi="宋体" w:eastAsia="宋体"/>
                <w:sz w:val="22"/>
              </w:rPr>
              <w:t>长焦相机：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15°，等效焦距：162 mm，对焦点：3 米至无穷远，长焦镜头支持除雾</w:t>
            </w:r>
          </w:p>
          <w:p>
            <w:pPr>
              <w:pStyle w:val="5"/>
              <w:spacing w:after="0"/>
              <w:jc w:val="both"/>
              <w:rPr>
                <w:rFonts w:ascii="宋体" w:hAnsi="宋体" w:eastAsia="宋体"/>
                <w:sz w:val="22"/>
              </w:rPr>
            </w:pPr>
            <w:r>
              <w:rPr>
                <w:rFonts w:hint="eastAsia" w:ascii="宋体" w:hAnsi="宋体" w:eastAsia="宋体"/>
                <w:sz w:val="22"/>
              </w:rPr>
              <w:t>电子快门：</w:t>
            </w:r>
            <w:r>
              <w:rPr>
                <w:rFonts w:ascii="宋体" w:hAnsi="宋体" w:eastAsia="宋体"/>
                <w:sz w:val="22"/>
              </w:rPr>
              <w:t>8 秒至 1/8000 秒</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JPEG，视频格式：MP4（MPEG-4 AVC/H.264），数字变焦：8 倍（混合变焦 56 倍）</w:t>
            </w:r>
          </w:p>
          <w:p>
            <w:pPr>
              <w:pStyle w:val="5"/>
              <w:spacing w:after="0"/>
              <w:jc w:val="both"/>
              <w:rPr>
                <w:rFonts w:ascii="宋体" w:hAnsi="宋体" w:eastAsia="宋体"/>
                <w:sz w:val="22"/>
              </w:rPr>
            </w:pPr>
            <w:r>
              <w:rPr>
                <w:rFonts w:hint="eastAsia" w:ascii="宋体" w:hAnsi="宋体" w:eastAsia="宋体"/>
                <w:sz w:val="22"/>
              </w:rPr>
              <w:t>红外相机：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61°，等效焦距：40 mm，对焦距离：5 米至无穷远，灵敏度：≤50 mk@F1.1；</w:t>
            </w:r>
          </w:p>
          <w:p>
            <w:pPr>
              <w:pStyle w:val="5"/>
              <w:spacing w:after="0"/>
              <w:jc w:val="both"/>
              <w:rPr>
                <w:rFonts w:ascii="宋体" w:hAnsi="宋体" w:eastAsia="宋体"/>
                <w:sz w:val="22"/>
              </w:rPr>
            </w:pPr>
            <w:r>
              <w:rPr>
                <w:rFonts w:hint="eastAsia" w:ascii="宋体" w:hAnsi="宋体" w:eastAsia="宋体"/>
                <w:sz w:val="22"/>
              </w:rPr>
              <w:t>测温方式：点测温、区域测温；</w:t>
            </w:r>
          </w:p>
          <w:p>
            <w:pPr>
              <w:pStyle w:val="5"/>
              <w:spacing w:after="0"/>
              <w:jc w:val="both"/>
              <w:rPr>
                <w:rFonts w:ascii="宋体" w:hAnsi="宋体" w:eastAsia="宋体"/>
                <w:sz w:val="22"/>
              </w:rPr>
            </w:pPr>
            <w:r>
              <w:rPr>
                <w:rFonts w:hint="eastAsia" w:ascii="宋体" w:hAnsi="宋体" w:eastAsia="宋体"/>
                <w:sz w:val="22"/>
              </w:rPr>
              <w:t>测温范围：</w:t>
            </w:r>
            <w:r>
              <w:rPr>
                <w:rFonts w:ascii="宋体" w:hAnsi="宋体" w:eastAsia="宋体"/>
                <w:sz w:val="22"/>
              </w:rPr>
              <w:t>-20℃ 至 150℃（高增益模式），0℃ 至 500℃（低增益模式）；</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JPEG（8 位）、R-JPEG（16 位）；</w:t>
            </w:r>
          </w:p>
          <w:p>
            <w:pPr>
              <w:pStyle w:val="5"/>
              <w:spacing w:after="0"/>
              <w:jc w:val="both"/>
              <w:rPr>
                <w:rFonts w:ascii="宋体" w:hAnsi="宋体" w:eastAsia="宋体"/>
                <w:sz w:val="22"/>
              </w:rPr>
            </w:pPr>
            <w:r>
              <w:rPr>
                <w:rFonts w:hint="eastAsia" w:ascii="宋体" w:hAnsi="宋体" w:eastAsia="宋体"/>
                <w:sz w:val="22"/>
              </w:rPr>
              <w:t>视频格式：</w:t>
            </w:r>
            <w:r>
              <w:rPr>
                <w:rFonts w:ascii="宋体" w:hAnsi="宋体" w:eastAsia="宋体"/>
                <w:sz w:val="22"/>
              </w:rPr>
              <w:t>MP4（MPEG-4 AVC/H.264）；数字变焦：28 倍；</w:t>
            </w:r>
          </w:p>
          <w:p>
            <w:pPr>
              <w:pStyle w:val="5"/>
              <w:spacing w:after="0"/>
              <w:jc w:val="both"/>
              <w:rPr>
                <w:rFonts w:ascii="宋体" w:hAnsi="宋体" w:eastAsia="宋体"/>
                <w:sz w:val="22"/>
              </w:rPr>
            </w:pPr>
            <w:r>
              <w:rPr>
                <w:rFonts w:hint="eastAsia" w:ascii="宋体" w:hAnsi="宋体" w:eastAsia="宋体"/>
                <w:sz w:val="22"/>
              </w:rPr>
              <w:t>红外波长：</w:t>
            </w:r>
            <w:r>
              <w:rPr>
                <w:rFonts w:ascii="宋体" w:hAnsi="宋体" w:eastAsia="宋体"/>
                <w:sz w:val="22"/>
              </w:rPr>
              <w:t>8 μm 至 14 μm；红外测温精度：±2℃ 或 ±2%，取较大值；</w:t>
            </w:r>
          </w:p>
          <w:p>
            <w:pPr>
              <w:pStyle w:val="5"/>
              <w:spacing w:after="0"/>
              <w:jc w:val="both"/>
              <w:rPr>
                <w:rFonts w:ascii="宋体" w:hAnsi="宋体" w:eastAsia="宋体"/>
                <w:sz w:val="22"/>
              </w:rPr>
            </w:pPr>
            <w:r>
              <w:rPr>
                <w:rFonts w:hint="eastAsia" w:ascii="宋体" w:hAnsi="宋体" w:eastAsia="宋体"/>
                <w:sz w:val="22"/>
              </w:rPr>
              <w:t>②云台稳定系统：</w:t>
            </w:r>
            <w:r>
              <w:rPr>
                <w:rFonts w:ascii="宋体" w:hAnsi="宋体" w:eastAsia="宋体"/>
                <w:sz w:val="22"/>
              </w:rPr>
              <w:t>3 轴机械云台（俯仰、横滚、平移）</w:t>
            </w:r>
          </w:p>
          <w:p>
            <w:pPr>
              <w:pStyle w:val="5"/>
              <w:spacing w:after="0"/>
              <w:jc w:val="both"/>
              <w:rPr>
                <w:rFonts w:ascii="宋体" w:hAnsi="宋体" w:eastAsia="宋体"/>
                <w:sz w:val="22"/>
              </w:rPr>
            </w:pPr>
            <w:r>
              <w:rPr>
                <w:rFonts w:hint="eastAsia" w:ascii="宋体" w:hAnsi="宋体" w:eastAsia="宋体"/>
                <w:sz w:val="22"/>
              </w:rPr>
              <w:t>可控转动范围：俯仰：</w:t>
            </w:r>
            <w:r>
              <w:rPr>
                <w:rFonts w:ascii="宋体" w:hAnsi="宋体" w:eastAsia="宋体"/>
                <w:sz w:val="22"/>
              </w:rPr>
              <w:t>-90° 至 +35°，平移：不可控最大控制转速（俯仰）：100°/秒。</w:t>
            </w:r>
          </w:p>
          <w:p>
            <w:pPr>
              <w:pStyle w:val="5"/>
              <w:spacing w:after="0"/>
              <w:jc w:val="both"/>
              <w:rPr>
                <w:rFonts w:ascii="宋体" w:hAnsi="宋体" w:eastAsia="宋体"/>
                <w:sz w:val="22"/>
              </w:rPr>
            </w:pPr>
            <w:r>
              <w:rPr>
                <w:rFonts w:hint="eastAsia" w:ascii="宋体" w:hAnsi="宋体" w:eastAsia="宋体"/>
                <w:sz w:val="22"/>
              </w:rPr>
              <w:t>③电池循环次数：≥</w:t>
            </w:r>
            <w:r>
              <w:rPr>
                <w:rFonts w:ascii="宋体" w:hAnsi="宋体" w:eastAsia="宋体"/>
                <w:sz w:val="22"/>
              </w:rPr>
              <w:t>400 次充电温度范围：5℃ 至 45℃</w:t>
            </w:r>
            <w:r>
              <w:rPr>
                <w:rFonts w:hint="eastAsia" w:ascii="宋体" w:hAnsi="宋体" w:eastAsia="宋体"/>
                <w:sz w:val="22"/>
              </w:rPr>
              <w:t>。</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8</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ascii="宋体" w:hAnsi="宋体" w:eastAsia="宋体"/>
                <w:sz w:val="22"/>
              </w:rPr>
            </w:pPr>
            <w:r>
              <w:rPr>
                <w:rFonts w:hint="eastAsia" w:ascii="宋体" w:hAnsi="宋体" w:eastAsia="宋体"/>
                <w:sz w:val="22"/>
              </w:rPr>
              <w:t>2</w:t>
            </w:r>
          </w:p>
        </w:tc>
        <w:tc>
          <w:tcPr>
            <w:tcW w:w="993" w:type="dxa"/>
            <w:vAlign w:val="center"/>
          </w:tcPr>
          <w:p>
            <w:pPr>
              <w:pStyle w:val="5"/>
              <w:jc w:val="both"/>
              <w:rPr>
                <w:rFonts w:ascii="宋体" w:hAnsi="宋体" w:eastAsia="宋体"/>
                <w:sz w:val="22"/>
              </w:rPr>
            </w:pPr>
            <w:r>
              <w:rPr>
                <w:rFonts w:hint="eastAsia" w:ascii="宋体" w:hAnsi="宋体" w:eastAsia="宋体"/>
                <w:sz w:val="22"/>
              </w:rPr>
              <w:t>多旋翼无人机自动换电机巢及配套无人机设备（含无人机、内部监控镜头</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（1）机巢硬件参数要求：</w:t>
            </w:r>
          </w:p>
          <w:p>
            <w:pPr>
              <w:pStyle w:val="5"/>
              <w:spacing w:after="0"/>
              <w:jc w:val="both"/>
              <w:rPr>
                <w:rFonts w:ascii="宋体" w:hAnsi="宋体" w:eastAsia="宋体"/>
                <w:sz w:val="22"/>
              </w:rPr>
            </w:pPr>
            <w:r>
              <w:rPr>
                <w:rFonts w:hint="eastAsia" w:ascii="宋体" w:hAnsi="宋体" w:eastAsia="宋体"/>
                <w:sz w:val="22"/>
              </w:rPr>
              <w:t>开门方式：顶部侧边单向开门；</w:t>
            </w:r>
          </w:p>
          <w:p>
            <w:pPr>
              <w:pStyle w:val="5"/>
              <w:spacing w:after="0"/>
              <w:jc w:val="both"/>
              <w:rPr>
                <w:rFonts w:ascii="宋体" w:hAnsi="宋体" w:eastAsia="宋体"/>
                <w:sz w:val="22"/>
              </w:rPr>
            </w:pPr>
            <w:r>
              <w:rPr>
                <w:rFonts w:hint="eastAsia" w:ascii="宋体" w:hAnsi="宋体" w:eastAsia="宋体"/>
                <w:sz w:val="22"/>
              </w:rPr>
              <w:t>材料</w:t>
            </w:r>
            <w:r>
              <w:rPr>
                <w:rFonts w:ascii="宋体" w:hAnsi="宋体" w:eastAsia="宋体"/>
                <w:sz w:val="22"/>
              </w:rPr>
              <w:t>(主材)：不锈钢 ；</w:t>
            </w:r>
          </w:p>
          <w:p>
            <w:pPr>
              <w:pStyle w:val="5"/>
              <w:spacing w:after="0"/>
              <w:jc w:val="both"/>
              <w:rPr>
                <w:rFonts w:ascii="宋体" w:hAnsi="宋体" w:eastAsia="宋体"/>
                <w:sz w:val="22"/>
              </w:rPr>
            </w:pPr>
            <w:r>
              <w:rPr>
                <w:rFonts w:hint="eastAsia" w:ascii="宋体" w:hAnsi="宋体" w:eastAsia="宋体"/>
                <w:sz w:val="22"/>
              </w:rPr>
              <w:t>产品重量：≤</w:t>
            </w:r>
            <w:r>
              <w:rPr>
                <w:rFonts w:ascii="宋体" w:hAnsi="宋体" w:eastAsia="宋体"/>
                <w:sz w:val="22"/>
              </w:rPr>
              <w:t>200kg(含气象站支臂) ；</w:t>
            </w:r>
          </w:p>
          <w:p>
            <w:pPr>
              <w:pStyle w:val="5"/>
              <w:spacing w:after="0"/>
              <w:jc w:val="both"/>
              <w:rPr>
                <w:rFonts w:ascii="宋体" w:hAnsi="宋体" w:eastAsia="宋体"/>
                <w:sz w:val="22"/>
              </w:rPr>
            </w:pPr>
            <w:r>
              <w:rPr>
                <w:rFonts w:hint="eastAsia" w:ascii="宋体" w:hAnsi="宋体" w:eastAsia="宋体"/>
                <w:sz w:val="22"/>
              </w:rPr>
              <w:t>★防护等级：</w:t>
            </w:r>
            <w:r>
              <w:rPr>
                <w:rFonts w:ascii="宋体" w:hAnsi="宋体" w:eastAsia="宋体"/>
                <w:sz w:val="22"/>
              </w:rPr>
              <w:t>IP55 ；</w:t>
            </w:r>
          </w:p>
          <w:p>
            <w:pPr>
              <w:pStyle w:val="5"/>
              <w:spacing w:after="0"/>
              <w:jc w:val="both"/>
              <w:rPr>
                <w:rFonts w:ascii="宋体" w:hAnsi="宋体" w:eastAsia="宋体"/>
                <w:sz w:val="22"/>
              </w:rPr>
            </w:pPr>
            <w:r>
              <w:rPr>
                <w:rFonts w:hint="eastAsia" w:ascii="宋体" w:hAnsi="宋体" w:eastAsia="宋体"/>
                <w:sz w:val="22"/>
              </w:rPr>
              <w:t>额定功率</w:t>
            </w:r>
            <w:r>
              <w:rPr>
                <w:rFonts w:ascii="宋体" w:hAnsi="宋体" w:eastAsia="宋体"/>
                <w:sz w:val="22"/>
              </w:rPr>
              <w:t xml:space="preserve"> 2200w ；</w:t>
            </w:r>
          </w:p>
          <w:p>
            <w:pPr>
              <w:pStyle w:val="5"/>
              <w:spacing w:after="0"/>
              <w:jc w:val="both"/>
              <w:rPr>
                <w:rFonts w:ascii="宋体" w:hAnsi="宋体" w:eastAsia="宋体"/>
                <w:sz w:val="22"/>
              </w:rPr>
            </w:pPr>
            <w:r>
              <w:rPr>
                <w:rFonts w:hint="eastAsia" w:ascii="宋体" w:hAnsi="宋体" w:eastAsia="宋体"/>
                <w:sz w:val="22"/>
              </w:rPr>
              <w:t>供电要求：</w:t>
            </w:r>
            <w:r>
              <w:rPr>
                <w:rFonts w:ascii="宋体" w:hAnsi="宋体" w:eastAsia="宋体"/>
                <w:sz w:val="22"/>
              </w:rPr>
              <w:t>AC 220V 10A ；</w:t>
            </w:r>
          </w:p>
          <w:p>
            <w:pPr>
              <w:pStyle w:val="5"/>
              <w:spacing w:after="0"/>
              <w:jc w:val="both"/>
              <w:rPr>
                <w:rFonts w:ascii="宋体" w:hAnsi="宋体" w:eastAsia="宋体"/>
                <w:sz w:val="22"/>
              </w:rPr>
            </w:pPr>
            <w:r>
              <w:rPr>
                <w:rFonts w:hint="eastAsia" w:ascii="宋体" w:hAnsi="宋体" w:eastAsia="宋体"/>
                <w:sz w:val="22"/>
              </w:rPr>
              <w:t>工作环境温度：</w:t>
            </w:r>
            <w:r>
              <w:rPr>
                <w:rFonts w:ascii="宋体" w:hAnsi="宋体" w:eastAsia="宋体"/>
                <w:sz w:val="22"/>
              </w:rPr>
              <w:t>-20℃至50℃ ；</w:t>
            </w:r>
          </w:p>
          <w:p>
            <w:pPr>
              <w:pStyle w:val="5"/>
              <w:spacing w:after="0"/>
              <w:jc w:val="both"/>
              <w:rPr>
                <w:rFonts w:ascii="宋体" w:hAnsi="宋体" w:eastAsia="宋体"/>
                <w:sz w:val="22"/>
              </w:rPr>
            </w:pPr>
            <w:r>
              <w:rPr>
                <w:rFonts w:hint="eastAsia" w:ascii="宋体" w:hAnsi="宋体" w:eastAsia="宋体"/>
                <w:sz w:val="22"/>
              </w:rPr>
              <w:t>工作环境湿度</w:t>
            </w:r>
            <w:r>
              <w:rPr>
                <w:rFonts w:ascii="宋体" w:hAnsi="宋体" w:eastAsia="宋体"/>
                <w:sz w:val="22"/>
              </w:rPr>
              <w:t xml:space="preserve"> ≤95%RH(无冷凝)；</w:t>
            </w:r>
          </w:p>
          <w:p>
            <w:pPr>
              <w:pStyle w:val="5"/>
              <w:spacing w:after="0"/>
              <w:jc w:val="both"/>
              <w:rPr>
                <w:rFonts w:ascii="宋体" w:hAnsi="宋体" w:eastAsia="宋体"/>
                <w:sz w:val="22"/>
              </w:rPr>
            </w:pPr>
            <w:r>
              <w:rPr>
                <w:rFonts w:hint="eastAsia" w:ascii="宋体" w:hAnsi="宋体" w:eastAsia="宋体"/>
                <w:sz w:val="22"/>
              </w:rPr>
              <w:t>最大有效信号范围≥</w:t>
            </w:r>
            <w:r>
              <w:rPr>
                <w:rFonts w:ascii="宋体" w:hAnsi="宋体" w:eastAsia="宋体"/>
                <w:sz w:val="22"/>
              </w:rPr>
              <w:t>8km(无遮挡) ；</w:t>
            </w:r>
          </w:p>
          <w:p>
            <w:pPr>
              <w:pStyle w:val="5"/>
              <w:spacing w:after="0"/>
              <w:jc w:val="both"/>
              <w:rPr>
                <w:rFonts w:ascii="宋体" w:hAnsi="宋体" w:eastAsia="宋体"/>
                <w:sz w:val="22"/>
              </w:rPr>
            </w:pPr>
            <w:r>
              <w:rPr>
                <w:rFonts w:hint="eastAsia" w:ascii="宋体" w:hAnsi="宋体" w:eastAsia="宋体"/>
                <w:sz w:val="22"/>
              </w:rPr>
              <w:t>★自带</w:t>
            </w:r>
            <w:r>
              <w:rPr>
                <w:rFonts w:ascii="宋体" w:hAnsi="宋体" w:eastAsia="宋体"/>
                <w:sz w:val="22"/>
              </w:rPr>
              <w:t>UPS电源，UPS续航时间≥1</w:t>
            </w:r>
            <w:r>
              <w:rPr>
                <w:rFonts w:hint="eastAsia" w:ascii="宋体" w:hAnsi="宋体" w:eastAsia="宋体"/>
                <w:sz w:val="22"/>
              </w:rPr>
              <w:t>小时</w:t>
            </w:r>
            <w:r>
              <w:rPr>
                <w:rFonts w:ascii="宋体" w:hAnsi="宋体" w:eastAsia="宋体"/>
                <w:sz w:val="22"/>
              </w:rPr>
              <w:t xml:space="preserve"> ；</w:t>
            </w:r>
          </w:p>
          <w:p>
            <w:pPr>
              <w:pStyle w:val="5"/>
              <w:spacing w:after="0"/>
              <w:jc w:val="both"/>
              <w:rPr>
                <w:rFonts w:ascii="宋体" w:hAnsi="宋体" w:eastAsia="宋体"/>
                <w:sz w:val="22"/>
              </w:rPr>
            </w:pPr>
            <w:r>
              <w:rPr>
                <w:rFonts w:hint="eastAsia" w:ascii="宋体" w:hAnsi="宋体" w:eastAsia="宋体"/>
                <w:sz w:val="22"/>
              </w:rPr>
              <w:t>降落定位：带</w:t>
            </w:r>
            <w:r>
              <w:rPr>
                <w:rFonts w:ascii="宋体" w:hAnsi="宋体" w:eastAsia="宋体"/>
                <w:sz w:val="22"/>
              </w:rPr>
              <w:t>RTK和视觉识别；</w:t>
            </w:r>
          </w:p>
          <w:p>
            <w:pPr>
              <w:pStyle w:val="5"/>
              <w:spacing w:after="0"/>
              <w:jc w:val="both"/>
              <w:rPr>
                <w:rFonts w:ascii="宋体" w:hAnsi="宋体" w:eastAsia="宋体"/>
                <w:sz w:val="22"/>
              </w:rPr>
            </w:pPr>
            <w:r>
              <w:rPr>
                <w:rFonts w:hint="eastAsia" w:ascii="宋体" w:hAnsi="宋体" w:eastAsia="宋体"/>
                <w:sz w:val="22"/>
              </w:rPr>
              <w:t>★可搭载电池：</w:t>
            </w:r>
            <w:r>
              <w:rPr>
                <w:rFonts w:ascii="宋体" w:hAnsi="宋体" w:eastAsia="宋体"/>
                <w:sz w:val="22"/>
              </w:rPr>
              <w:t>4块 ；</w:t>
            </w:r>
          </w:p>
          <w:p>
            <w:pPr>
              <w:pStyle w:val="5"/>
              <w:spacing w:after="0"/>
              <w:jc w:val="both"/>
              <w:rPr>
                <w:rFonts w:ascii="宋体" w:hAnsi="宋体" w:eastAsia="宋体"/>
                <w:sz w:val="22"/>
              </w:rPr>
            </w:pPr>
            <w:r>
              <w:rPr>
                <w:rFonts w:hint="eastAsia" w:ascii="宋体" w:hAnsi="宋体" w:eastAsia="宋体"/>
                <w:sz w:val="22"/>
              </w:rPr>
              <w:t>★可实现无人机归巢后无人值守电池自主更换，电池更换时间≤</w:t>
            </w:r>
            <w:r>
              <w:rPr>
                <w:rFonts w:ascii="宋体" w:hAnsi="宋体" w:eastAsia="宋体"/>
                <w:sz w:val="22"/>
              </w:rPr>
              <w:t>100</w:t>
            </w:r>
            <w:r>
              <w:rPr>
                <w:rFonts w:hint="eastAsia" w:ascii="宋体" w:hAnsi="宋体" w:eastAsia="宋体"/>
                <w:sz w:val="22"/>
              </w:rPr>
              <w:t>s</w:t>
            </w:r>
            <w:r>
              <w:rPr>
                <w:rFonts w:ascii="宋体" w:hAnsi="宋体" w:eastAsia="宋体"/>
                <w:sz w:val="22"/>
              </w:rPr>
              <w:t>；</w:t>
            </w:r>
          </w:p>
          <w:p>
            <w:pPr>
              <w:pStyle w:val="5"/>
              <w:spacing w:after="0"/>
              <w:jc w:val="both"/>
              <w:rPr>
                <w:rFonts w:ascii="宋体" w:hAnsi="宋体" w:eastAsia="宋体"/>
                <w:sz w:val="22"/>
              </w:rPr>
            </w:pPr>
            <w:r>
              <w:rPr>
                <w:rFonts w:hint="eastAsia" w:ascii="宋体" w:hAnsi="宋体" w:eastAsia="宋体"/>
                <w:sz w:val="22"/>
              </w:rPr>
              <w:t>在无人机设计连续飞行安全时间内，可实现连续换电不间断飞行；</w:t>
            </w:r>
          </w:p>
          <w:p>
            <w:pPr>
              <w:pStyle w:val="5"/>
              <w:spacing w:after="0"/>
              <w:jc w:val="both"/>
              <w:rPr>
                <w:rFonts w:ascii="宋体" w:hAnsi="宋体" w:eastAsia="宋体"/>
                <w:sz w:val="22"/>
              </w:rPr>
            </w:pPr>
            <w:r>
              <w:rPr>
                <w:rFonts w:hint="eastAsia" w:ascii="宋体" w:hAnsi="宋体" w:eastAsia="宋体"/>
                <w:sz w:val="22"/>
              </w:rPr>
              <w:t>可实现对无人机及每块电池健康状态的在线监测和管理；</w:t>
            </w:r>
          </w:p>
          <w:p>
            <w:pPr>
              <w:pStyle w:val="5"/>
              <w:spacing w:after="0"/>
              <w:jc w:val="both"/>
              <w:rPr>
                <w:rFonts w:ascii="宋体" w:hAnsi="宋体" w:eastAsia="宋体"/>
                <w:sz w:val="22"/>
              </w:rPr>
            </w:pPr>
            <w:r>
              <w:rPr>
                <w:rFonts w:hint="eastAsia" w:ascii="宋体" w:hAnsi="宋体" w:eastAsia="宋体"/>
                <w:sz w:val="22"/>
              </w:rPr>
              <w:t>可支持多款不同类型无人机适配</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2）机巢</w:t>
            </w:r>
            <w:r>
              <w:rPr>
                <w:rFonts w:hint="eastAsia" w:ascii="宋体" w:hAnsi="宋体" w:eastAsia="宋体"/>
                <w:sz w:val="22"/>
              </w:rPr>
              <w:t>适配</w:t>
            </w:r>
            <w:r>
              <w:rPr>
                <w:rFonts w:ascii="宋体" w:hAnsi="宋体" w:eastAsia="宋体"/>
                <w:sz w:val="22"/>
              </w:rPr>
              <w:t>无人机配置要求：</w:t>
            </w:r>
          </w:p>
          <w:p>
            <w:pPr>
              <w:pStyle w:val="5"/>
              <w:spacing w:after="0"/>
              <w:jc w:val="both"/>
              <w:rPr>
                <w:rFonts w:ascii="宋体" w:hAnsi="宋体" w:eastAsia="宋体"/>
                <w:sz w:val="22"/>
              </w:rPr>
            </w:pPr>
            <w:r>
              <w:rPr>
                <w:rFonts w:hint="eastAsia" w:ascii="宋体" w:hAnsi="宋体" w:eastAsia="宋体"/>
                <w:sz w:val="22"/>
              </w:rPr>
              <w:t>①飞行器尺寸：满足机巢适应尺寸；最大水平飞行速度（海平面附近无风）：普通挡，开启避障：前飞</w:t>
            </w:r>
            <w:r>
              <w:rPr>
                <w:rFonts w:ascii="宋体" w:hAnsi="宋体" w:eastAsia="宋体"/>
                <w:sz w:val="22"/>
              </w:rPr>
              <w:t xml:space="preserve"> 15 米/秒，后飞 12 米/秒，侧飞 10 米/秒； 最大起飞海拔高度≥2000 米</w:t>
            </w:r>
            <w:r>
              <w:rPr>
                <w:rFonts w:hint="eastAsia" w:ascii="宋体" w:hAnsi="宋体" w:eastAsia="宋体"/>
                <w:sz w:val="22"/>
              </w:rPr>
              <w:t>；</w:t>
            </w:r>
          </w:p>
          <w:p>
            <w:pPr>
              <w:pStyle w:val="5"/>
              <w:spacing w:after="0"/>
              <w:jc w:val="both"/>
              <w:rPr>
                <w:rFonts w:ascii="宋体" w:hAnsi="宋体" w:eastAsia="宋体"/>
                <w:sz w:val="22"/>
              </w:rPr>
            </w:pPr>
            <w:r>
              <w:rPr>
                <w:rFonts w:ascii="宋体" w:hAnsi="宋体" w:eastAsia="宋体"/>
                <w:sz w:val="22"/>
              </w:rPr>
              <w:t>最大抗风速度：作业阶段抗风能力：12 米/秒</w:t>
            </w:r>
            <w:r>
              <w:rPr>
                <w:rFonts w:hint="eastAsia" w:ascii="宋体" w:hAnsi="宋体" w:eastAsia="宋体"/>
                <w:sz w:val="22"/>
              </w:rPr>
              <w:t>；</w:t>
            </w:r>
          </w:p>
          <w:p>
            <w:pPr>
              <w:pStyle w:val="5"/>
              <w:spacing w:after="0"/>
              <w:jc w:val="both"/>
              <w:rPr>
                <w:rFonts w:ascii="宋体" w:hAnsi="宋体" w:eastAsia="宋体"/>
                <w:sz w:val="22"/>
              </w:rPr>
            </w:pPr>
            <w:r>
              <w:rPr>
                <w:rFonts w:hint="eastAsia" w:ascii="宋体" w:hAnsi="宋体" w:eastAsia="宋体"/>
                <w:sz w:val="22"/>
              </w:rPr>
              <w:t>飞行时间≥</w:t>
            </w:r>
            <w:r>
              <w:rPr>
                <w:rFonts w:ascii="宋体" w:hAnsi="宋体" w:eastAsia="宋体"/>
                <w:sz w:val="22"/>
              </w:rPr>
              <w:t>50分钟（该续航时间在受控测试环境下测得。具体测试条件为：海拔高度 20 米、实验室无风环境、以匀速向前飞行、切换至拍照模式（过程中无拍照操作）、避障行为设置为关闭、飞行至剩余 0% 电量）；</w:t>
            </w:r>
          </w:p>
          <w:p>
            <w:pPr>
              <w:pStyle w:val="5"/>
              <w:spacing w:after="0"/>
              <w:jc w:val="both"/>
              <w:rPr>
                <w:rFonts w:ascii="宋体" w:hAnsi="宋体" w:eastAsia="宋体"/>
                <w:sz w:val="22"/>
              </w:rPr>
            </w:pPr>
            <w:r>
              <w:rPr>
                <w:rFonts w:hint="eastAsia" w:ascii="宋体" w:hAnsi="宋体" w:eastAsia="宋体"/>
                <w:sz w:val="22"/>
              </w:rPr>
              <w:t>悬停时间≥</w:t>
            </w:r>
            <w:r>
              <w:rPr>
                <w:rFonts w:ascii="宋体" w:hAnsi="宋体" w:eastAsia="宋体"/>
                <w:sz w:val="22"/>
              </w:rPr>
              <w:t>40分钟（在无风环境下，无人机悬停于 20 米海拔高度至剩余 0% 电量时测得此数据）；最大作业半径：10公里（在环境温度约 25℃、安全电量为 25%、环境风速约 4 米/秒、往返速度约 15 米/秒、悬停作业 10 分钟等条件下测得此数据）；最大续航里程≥45公里（在无风环境下，无人机以速度匀速飞行于 20 米海拔高度至剩余 0% 电量时测得此数据。）；</w:t>
            </w:r>
          </w:p>
          <w:p>
            <w:pPr>
              <w:pStyle w:val="5"/>
              <w:spacing w:after="0"/>
              <w:jc w:val="both"/>
              <w:rPr>
                <w:rFonts w:ascii="宋体" w:hAnsi="宋体" w:eastAsia="宋体"/>
                <w:sz w:val="22"/>
              </w:rPr>
            </w:pPr>
            <w:r>
              <w:rPr>
                <w:rFonts w:ascii="宋体" w:hAnsi="宋体" w:eastAsia="宋体"/>
                <w:sz w:val="22"/>
              </w:rPr>
              <w:t>GNSS：支持GPS、北斗；工作环境温度：-20℃ 至 45℃</w:t>
            </w:r>
          </w:p>
          <w:p>
            <w:pPr>
              <w:pStyle w:val="5"/>
              <w:spacing w:after="0"/>
              <w:jc w:val="both"/>
              <w:rPr>
                <w:rFonts w:ascii="宋体" w:hAnsi="宋体" w:eastAsia="宋体"/>
                <w:sz w:val="22"/>
              </w:rPr>
            </w:pPr>
            <w:r>
              <w:rPr>
                <w:rFonts w:hint="eastAsia" w:ascii="宋体" w:hAnsi="宋体" w:eastAsia="宋体"/>
                <w:sz w:val="22"/>
              </w:rPr>
              <w:t>工作环境温度：</w:t>
            </w:r>
            <w:r>
              <w:rPr>
                <w:rFonts w:ascii="宋体" w:hAnsi="宋体" w:eastAsia="宋体"/>
                <w:sz w:val="22"/>
              </w:rPr>
              <w:t>-20℃ 至 45℃</w:t>
            </w:r>
            <w:r>
              <w:rPr>
                <w:rFonts w:hint="eastAsia" w:ascii="宋体" w:hAnsi="宋体" w:eastAsia="宋体"/>
                <w:sz w:val="22"/>
              </w:rPr>
              <w:t>；</w:t>
            </w:r>
          </w:p>
          <w:p>
            <w:pPr>
              <w:pStyle w:val="5"/>
              <w:spacing w:after="0"/>
              <w:jc w:val="both"/>
              <w:rPr>
                <w:rFonts w:ascii="宋体" w:hAnsi="宋体" w:eastAsia="宋体"/>
                <w:sz w:val="22"/>
              </w:rPr>
            </w:pPr>
            <w:r>
              <w:rPr>
                <w:rFonts w:hint="eastAsia" w:ascii="宋体" w:hAnsi="宋体" w:eastAsia="宋体"/>
                <w:sz w:val="22"/>
              </w:rPr>
              <w:t>防护等级：</w:t>
            </w:r>
            <w:r>
              <w:rPr>
                <w:rFonts w:ascii="宋体" w:hAnsi="宋体" w:eastAsia="宋体"/>
                <w:sz w:val="22"/>
              </w:rPr>
              <w:t>IP54</w:t>
            </w:r>
          </w:p>
          <w:p>
            <w:pPr>
              <w:pStyle w:val="5"/>
              <w:spacing w:after="0"/>
              <w:jc w:val="both"/>
              <w:rPr>
                <w:rFonts w:ascii="宋体" w:hAnsi="宋体" w:eastAsia="宋体"/>
                <w:sz w:val="22"/>
              </w:rPr>
            </w:pPr>
            <w:r>
              <w:rPr>
                <w:rFonts w:ascii="宋体" w:hAnsi="宋体" w:eastAsia="宋体"/>
                <w:sz w:val="22"/>
              </w:rPr>
              <w:t>RTK 模块：飞行器集成</w:t>
            </w:r>
          </w:p>
          <w:p>
            <w:pPr>
              <w:pStyle w:val="5"/>
              <w:spacing w:after="0"/>
              <w:jc w:val="both"/>
              <w:rPr>
                <w:rFonts w:ascii="宋体" w:hAnsi="宋体" w:eastAsia="宋体"/>
                <w:sz w:val="22"/>
              </w:rPr>
            </w:pPr>
            <w:r>
              <w:rPr>
                <w:rFonts w:hint="eastAsia" w:ascii="宋体" w:hAnsi="宋体" w:eastAsia="宋体"/>
                <w:sz w:val="22"/>
              </w:rPr>
              <w:t>飞行器集成相机：支持广角相机、长焦相机、红外相机</w:t>
            </w:r>
          </w:p>
          <w:p>
            <w:pPr>
              <w:pStyle w:val="5"/>
              <w:spacing w:after="0"/>
              <w:jc w:val="both"/>
              <w:rPr>
                <w:rFonts w:ascii="宋体" w:hAnsi="宋体" w:eastAsia="宋体"/>
                <w:sz w:val="22"/>
              </w:rPr>
            </w:pPr>
            <w:r>
              <w:rPr>
                <w:rFonts w:hint="eastAsia" w:ascii="宋体" w:hAnsi="宋体" w:eastAsia="宋体"/>
                <w:sz w:val="22"/>
              </w:rPr>
              <w:t>广角相机：视角：</w:t>
            </w:r>
            <w:r>
              <w:rPr>
                <w:rFonts w:ascii="宋体" w:hAnsi="宋体" w:eastAsia="宋体"/>
                <w:sz w:val="22"/>
              </w:rPr>
              <w:t>82°，等效焦距：24 mm，对焦点：1 米至无穷远，广角镜头支持除雾；电子快门：8 秒至 1/8000 秒；支持文件系统：exFAT；</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JPEG，视频格式：MP4（MPEG-4 AVC/H.264）长焦相机：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15°，等效焦距：162 mm，对焦点：3 米至无穷远；长焦镜头支持除雾；电子快门：8 秒至 1/8000 秒；</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w:t>
            </w:r>
          </w:p>
          <w:p>
            <w:pPr>
              <w:pStyle w:val="5"/>
              <w:spacing w:after="0"/>
              <w:jc w:val="both"/>
              <w:rPr>
                <w:rFonts w:ascii="宋体" w:hAnsi="宋体" w:eastAsia="宋体"/>
                <w:sz w:val="22"/>
              </w:rPr>
            </w:pPr>
            <w:r>
              <w:rPr>
                <w:rFonts w:hint="eastAsia" w:ascii="宋体" w:hAnsi="宋体" w:eastAsia="宋体"/>
                <w:sz w:val="22"/>
              </w:rPr>
              <w:t>视频格式：</w:t>
            </w:r>
            <w:r>
              <w:rPr>
                <w:rFonts w:ascii="宋体" w:hAnsi="宋体" w:eastAsia="宋体"/>
                <w:sz w:val="22"/>
              </w:rPr>
              <w:t>MP4（MPEG-4 AVC/H.264）；</w:t>
            </w:r>
          </w:p>
          <w:p>
            <w:pPr>
              <w:pStyle w:val="5"/>
              <w:spacing w:after="0"/>
              <w:jc w:val="both"/>
              <w:rPr>
                <w:rFonts w:ascii="宋体" w:hAnsi="宋体" w:eastAsia="宋体"/>
                <w:sz w:val="22"/>
              </w:rPr>
            </w:pPr>
            <w:r>
              <w:rPr>
                <w:rFonts w:hint="eastAsia" w:ascii="宋体" w:hAnsi="宋体" w:eastAsia="宋体"/>
                <w:sz w:val="22"/>
              </w:rPr>
              <w:t>数字变焦：</w:t>
            </w:r>
            <w:r>
              <w:rPr>
                <w:rFonts w:ascii="宋体" w:hAnsi="宋体" w:eastAsia="宋体"/>
                <w:sz w:val="22"/>
              </w:rPr>
              <w:t>8 倍（混合变焦 56 倍）；</w:t>
            </w:r>
          </w:p>
          <w:p>
            <w:pPr>
              <w:pStyle w:val="5"/>
              <w:spacing w:after="0"/>
              <w:jc w:val="both"/>
              <w:rPr>
                <w:rFonts w:ascii="宋体" w:hAnsi="宋体" w:eastAsia="宋体"/>
                <w:sz w:val="22"/>
              </w:rPr>
            </w:pPr>
            <w:r>
              <w:rPr>
                <w:rFonts w:hint="eastAsia" w:ascii="宋体" w:hAnsi="宋体" w:eastAsia="宋体"/>
                <w:sz w:val="22"/>
              </w:rPr>
              <w:t>红外相机：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61°，等效焦距：40 mm，对焦距离：5 米至无穷远，灵敏度：≤50 mk@F1.1；</w:t>
            </w:r>
          </w:p>
          <w:p>
            <w:pPr>
              <w:pStyle w:val="5"/>
              <w:spacing w:after="0"/>
              <w:jc w:val="both"/>
              <w:rPr>
                <w:rFonts w:ascii="宋体" w:hAnsi="宋体" w:eastAsia="宋体"/>
                <w:sz w:val="22"/>
              </w:rPr>
            </w:pPr>
            <w:r>
              <w:rPr>
                <w:rFonts w:hint="eastAsia" w:ascii="宋体" w:hAnsi="宋体" w:eastAsia="宋体"/>
                <w:sz w:val="22"/>
              </w:rPr>
              <w:t>测温方式：点测温、区域测温</w:t>
            </w:r>
          </w:p>
          <w:p>
            <w:pPr>
              <w:pStyle w:val="5"/>
              <w:spacing w:after="0"/>
              <w:jc w:val="both"/>
              <w:rPr>
                <w:rFonts w:ascii="宋体" w:hAnsi="宋体" w:eastAsia="宋体"/>
                <w:sz w:val="22"/>
              </w:rPr>
            </w:pPr>
            <w:r>
              <w:rPr>
                <w:rFonts w:hint="eastAsia" w:ascii="宋体" w:hAnsi="宋体" w:eastAsia="宋体"/>
                <w:sz w:val="22"/>
              </w:rPr>
              <w:t>测温范围：</w:t>
            </w:r>
            <w:r>
              <w:rPr>
                <w:rFonts w:ascii="宋体" w:hAnsi="宋体" w:eastAsia="宋体"/>
                <w:sz w:val="22"/>
              </w:rPr>
              <w:t>-20℃ 至 150℃（高增益模式），0℃ 至 500℃（低增益模式）</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JPEG（8 位）、R-JPEG（16 位）</w:t>
            </w:r>
          </w:p>
          <w:p>
            <w:pPr>
              <w:pStyle w:val="5"/>
              <w:spacing w:after="0"/>
              <w:jc w:val="both"/>
              <w:rPr>
                <w:rFonts w:ascii="宋体" w:hAnsi="宋体" w:eastAsia="宋体"/>
                <w:sz w:val="22"/>
              </w:rPr>
            </w:pPr>
            <w:r>
              <w:rPr>
                <w:rFonts w:hint="eastAsia" w:ascii="宋体" w:hAnsi="宋体" w:eastAsia="宋体"/>
                <w:sz w:val="22"/>
              </w:rPr>
              <w:t>视频格式：</w:t>
            </w:r>
            <w:r>
              <w:rPr>
                <w:rFonts w:ascii="宋体" w:hAnsi="宋体" w:eastAsia="宋体"/>
                <w:sz w:val="22"/>
              </w:rPr>
              <w:t>MP4（MPEG-4 AVC/H.264）</w:t>
            </w:r>
          </w:p>
          <w:p>
            <w:pPr>
              <w:pStyle w:val="5"/>
              <w:spacing w:after="0"/>
              <w:jc w:val="both"/>
              <w:rPr>
                <w:rFonts w:ascii="宋体" w:hAnsi="宋体" w:eastAsia="宋体"/>
                <w:sz w:val="22"/>
              </w:rPr>
            </w:pPr>
            <w:r>
              <w:rPr>
                <w:rFonts w:hint="eastAsia" w:ascii="宋体" w:hAnsi="宋体" w:eastAsia="宋体"/>
                <w:sz w:val="22"/>
              </w:rPr>
              <w:t>数字变焦：</w:t>
            </w:r>
            <w:r>
              <w:rPr>
                <w:rFonts w:ascii="宋体" w:hAnsi="宋体" w:eastAsia="宋体"/>
                <w:sz w:val="22"/>
              </w:rPr>
              <w:t>28 倍</w:t>
            </w:r>
          </w:p>
          <w:p>
            <w:pPr>
              <w:pStyle w:val="5"/>
              <w:spacing w:after="0"/>
              <w:jc w:val="both"/>
              <w:rPr>
                <w:rFonts w:ascii="宋体" w:hAnsi="宋体" w:eastAsia="宋体"/>
                <w:sz w:val="22"/>
              </w:rPr>
            </w:pPr>
            <w:r>
              <w:rPr>
                <w:rFonts w:hint="eastAsia" w:ascii="宋体" w:hAnsi="宋体" w:eastAsia="宋体"/>
                <w:sz w:val="22"/>
              </w:rPr>
              <w:t>红外波长：</w:t>
            </w:r>
            <w:r>
              <w:rPr>
                <w:rFonts w:ascii="宋体" w:hAnsi="宋体" w:eastAsia="宋体"/>
                <w:sz w:val="22"/>
              </w:rPr>
              <w:t>8 μm 至 14 μm</w:t>
            </w:r>
          </w:p>
          <w:p>
            <w:pPr>
              <w:pStyle w:val="5"/>
              <w:spacing w:after="0"/>
              <w:jc w:val="both"/>
              <w:rPr>
                <w:rFonts w:ascii="宋体" w:hAnsi="宋体" w:eastAsia="宋体"/>
                <w:sz w:val="22"/>
              </w:rPr>
            </w:pPr>
            <w:r>
              <w:rPr>
                <w:rFonts w:hint="eastAsia" w:ascii="宋体" w:hAnsi="宋体" w:eastAsia="宋体"/>
                <w:sz w:val="22"/>
              </w:rPr>
              <w:t>红外测温精度：±</w:t>
            </w:r>
            <w:r>
              <w:rPr>
                <w:rFonts w:ascii="宋体" w:hAnsi="宋体" w:eastAsia="宋体"/>
                <w:sz w:val="22"/>
              </w:rPr>
              <w:t>2℃ 或 ±2%，取较大值</w:t>
            </w:r>
          </w:p>
          <w:p>
            <w:pPr>
              <w:pStyle w:val="5"/>
              <w:spacing w:after="0"/>
              <w:jc w:val="both"/>
              <w:rPr>
                <w:rFonts w:ascii="宋体" w:hAnsi="宋体" w:eastAsia="宋体"/>
                <w:sz w:val="22"/>
              </w:rPr>
            </w:pPr>
            <w:r>
              <w:rPr>
                <w:rFonts w:hint="eastAsia" w:ascii="宋体" w:hAnsi="宋体" w:eastAsia="宋体"/>
                <w:sz w:val="22"/>
              </w:rPr>
              <w:t>②云台</w:t>
            </w:r>
          </w:p>
          <w:p>
            <w:pPr>
              <w:pStyle w:val="5"/>
              <w:spacing w:after="0"/>
              <w:jc w:val="both"/>
              <w:rPr>
                <w:rFonts w:ascii="宋体" w:hAnsi="宋体" w:eastAsia="宋体"/>
                <w:sz w:val="22"/>
              </w:rPr>
            </w:pPr>
            <w:r>
              <w:rPr>
                <w:rFonts w:hint="eastAsia" w:ascii="宋体" w:hAnsi="宋体" w:eastAsia="宋体"/>
                <w:sz w:val="22"/>
              </w:rPr>
              <w:t>稳定系统：</w:t>
            </w:r>
            <w:r>
              <w:rPr>
                <w:rFonts w:ascii="宋体" w:hAnsi="宋体" w:eastAsia="宋体"/>
                <w:sz w:val="22"/>
              </w:rPr>
              <w:t>3 轴机械云台（俯仰、横滚、平移）；</w:t>
            </w:r>
          </w:p>
          <w:p>
            <w:pPr>
              <w:pStyle w:val="5"/>
              <w:spacing w:after="0"/>
              <w:jc w:val="both"/>
              <w:rPr>
                <w:rFonts w:ascii="宋体" w:hAnsi="宋体" w:eastAsia="宋体"/>
                <w:sz w:val="22"/>
              </w:rPr>
            </w:pPr>
            <w:r>
              <w:rPr>
                <w:rFonts w:hint="eastAsia" w:ascii="宋体" w:hAnsi="宋体" w:eastAsia="宋体"/>
                <w:sz w:val="22"/>
              </w:rPr>
              <w:t>可控转动范围：</w:t>
            </w:r>
          </w:p>
          <w:p>
            <w:pPr>
              <w:pStyle w:val="5"/>
              <w:spacing w:after="0"/>
              <w:jc w:val="both"/>
              <w:rPr>
                <w:rFonts w:ascii="宋体" w:hAnsi="宋体" w:eastAsia="宋体"/>
                <w:sz w:val="22"/>
              </w:rPr>
            </w:pPr>
            <w:r>
              <w:rPr>
                <w:rFonts w:hint="eastAsia" w:ascii="宋体" w:hAnsi="宋体" w:eastAsia="宋体"/>
                <w:sz w:val="22"/>
              </w:rPr>
              <w:t>俯仰：</w:t>
            </w:r>
            <w:r>
              <w:rPr>
                <w:rFonts w:ascii="宋体" w:hAnsi="宋体" w:eastAsia="宋体"/>
                <w:sz w:val="22"/>
              </w:rPr>
              <w:t>-90° 至 +35°，平移：不可控；</w:t>
            </w:r>
          </w:p>
          <w:p>
            <w:pPr>
              <w:pStyle w:val="5"/>
              <w:spacing w:after="0"/>
              <w:jc w:val="both"/>
              <w:rPr>
                <w:rFonts w:ascii="宋体" w:hAnsi="宋体" w:eastAsia="宋体"/>
                <w:sz w:val="22"/>
              </w:rPr>
            </w:pPr>
            <w:r>
              <w:rPr>
                <w:rFonts w:hint="eastAsia" w:ascii="宋体" w:hAnsi="宋体" w:eastAsia="宋体"/>
                <w:sz w:val="22"/>
              </w:rPr>
              <w:t>最大控制转速（俯仰）：</w:t>
            </w:r>
            <w:r>
              <w:rPr>
                <w:rFonts w:ascii="宋体" w:hAnsi="宋体" w:eastAsia="宋体"/>
                <w:sz w:val="22"/>
              </w:rPr>
              <w:t>100°/秒。</w:t>
            </w:r>
          </w:p>
          <w:p>
            <w:pPr>
              <w:pStyle w:val="5"/>
              <w:spacing w:after="0"/>
              <w:jc w:val="both"/>
              <w:rPr>
                <w:rFonts w:ascii="宋体" w:hAnsi="宋体" w:eastAsia="宋体"/>
                <w:sz w:val="22"/>
              </w:rPr>
            </w:pPr>
            <w:r>
              <w:rPr>
                <w:rFonts w:hint="eastAsia" w:ascii="宋体" w:hAnsi="宋体" w:eastAsia="宋体"/>
                <w:sz w:val="22"/>
              </w:rPr>
              <w:t>③电池</w:t>
            </w:r>
          </w:p>
          <w:p>
            <w:pPr>
              <w:pStyle w:val="5"/>
              <w:spacing w:after="0"/>
              <w:jc w:val="both"/>
              <w:rPr>
                <w:rFonts w:ascii="宋体" w:hAnsi="宋体" w:eastAsia="宋体"/>
                <w:sz w:val="22"/>
              </w:rPr>
            </w:pPr>
            <w:r>
              <w:rPr>
                <w:rFonts w:hint="eastAsia" w:ascii="宋体" w:hAnsi="宋体" w:eastAsia="宋体"/>
                <w:sz w:val="22"/>
              </w:rPr>
              <w:t>循环次数：≥</w:t>
            </w:r>
            <w:r>
              <w:rPr>
                <w:rFonts w:ascii="宋体" w:hAnsi="宋体" w:eastAsia="宋体"/>
                <w:sz w:val="22"/>
              </w:rPr>
              <w:t>400 次</w:t>
            </w:r>
          </w:p>
          <w:p>
            <w:pPr>
              <w:pStyle w:val="5"/>
              <w:spacing w:after="0"/>
              <w:jc w:val="both"/>
              <w:rPr>
                <w:rFonts w:ascii="宋体" w:hAnsi="宋体" w:eastAsia="宋体"/>
                <w:sz w:val="22"/>
              </w:rPr>
            </w:pPr>
            <w:r>
              <w:rPr>
                <w:rFonts w:hint="eastAsia" w:ascii="宋体" w:hAnsi="宋体" w:eastAsia="宋体"/>
                <w:sz w:val="22"/>
              </w:rPr>
              <w:t>充电温度范围：</w:t>
            </w:r>
            <w:r>
              <w:rPr>
                <w:rFonts w:ascii="宋体" w:hAnsi="宋体" w:eastAsia="宋体"/>
                <w:sz w:val="22"/>
              </w:rPr>
              <w:t>5℃ 至 45℃</w:t>
            </w:r>
          </w:p>
          <w:p>
            <w:pPr>
              <w:pStyle w:val="5"/>
              <w:spacing w:after="0"/>
              <w:jc w:val="both"/>
              <w:rPr>
                <w:rFonts w:ascii="宋体" w:hAnsi="宋体" w:eastAsia="宋体"/>
                <w:b/>
                <w:bCs/>
                <w:sz w:val="22"/>
              </w:rPr>
            </w:pPr>
            <w:r>
              <w:rPr>
                <w:rFonts w:hint="eastAsia" w:ascii="宋体" w:hAnsi="宋体" w:eastAsia="宋体"/>
                <w:b/>
                <w:bCs/>
                <w:sz w:val="22"/>
              </w:rPr>
              <w:t>响应文件中标</w:t>
            </w:r>
            <w:r>
              <w:rPr>
                <w:rFonts w:hint="eastAsia" w:ascii="宋体" w:hAnsi="宋体" w:eastAsia="宋体"/>
                <w:sz w:val="22"/>
              </w:rPr>
              <w:t>★</w:t>
            </w:r>
            <w:r>
              <w:rPr>
                <w:rFonts w:hint="eastAsia" w:ascii="宋体" w:hAnsi="宋体" w:eastAsia="宋体"/>
                <w:b/>
                <w:bCs/>
                <w:sz w:val="22"/>
              </w:rPr>
              <w:t>须提供</w:t>
            </w:r>
            <w:r>
              <w:rPr>
                <w:rFonts w:hint="eastAsia" w:ascii="宋体" w:hAnsi="宋体" w:eastAsia="宋体"/>
                <w:b/>
                <w:bCs/>
                <w:sz w:val="22"/>
                <w:lang w:val="en-US" w:eastAsia="zh-CN"/>
              </w:rPr>
              <w:t>第三方</w:t>
            </w:r>
            <w:r>
              <w:rPr>
                <w:rFonts w:hint="eastAsia" w:ascii="宋体" w:hAnsi="宋体" w:eastAsia="宋体"/>
                <w:b/>
                <w:bCs/>
                <w:sz w:val="22"/>
              </w:rPr>
              <w:t>检测机构所出具的关于该功能检测报告复印件。</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8</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ascii="宋体" w:hAnsi="宋体" w:eastAsia="宋体"/>
                <w:sz w:val="22"/>
              </w:rPr>
            </w:pPr>
            <w:r>
              <w:rPr>
                <w:rFonts w:hint="eastAsia" w:ascii="宋体" w:hAnsi="宋体" w:eastAsia="宋体"/>
                <w:sz w:val="22"/>
              </w:rPr>
              <w:t>3</w:t>
            </w:r>
          </w:p>
        </w:tc>
        <w:tc>
          <w:tcPr>
            <w:tcW w:w="993" w:type="dxa"/>
            <w:vAlign w:val="center"/>
          </w:tcPr>
          <w:p>
            <w:pPr>
              <w:pStyle w:val="5"/>
              <w:jc w:val="both"/>
              <w:rPr>
                <w:rFonts w:ascii="宋体" w:hAnsi="宋体" w:eastAsia="宋体"/>
                <w:sz w:val="22"/>
              </w:rPr>
            </w:pPr>
            <w:r>
              <w:rPr>
                <w:rFonts w:hint="eastAsia" w:ascii="宋体" w:hAnsi="宋体" w:eastAsia="宋体"/>
                <w:sz w:val="22"/>
              </w:rPr>
              <w:t>机巢适配无人机电池更换维护</w:t>
            </w:r>
          </w:p>
        </w:tc>
        <w:tc>
          <w:tcPr>
            <w:tcW w:w="4961" w:type="dxa"/>
            <w:vAlign w:val="center"/>
          </w:tcPr>
          <w:p>
            <w:pPr>
              <w:pStyle w:val="5"/>
              <w:jc w:val="both"/>
              <w:rPr>
                <w:rFonts w:ascii="宋体" w:hAnsi="宋体" w:eastAsia="宋体"/>
                <w:sz w:val="22"/>
              </w:rPr>
            </w:pPr>
            <w:r>
              <w:rPr>
                <w:rFonts w:hint="eastAsia" w:ascii="宋体" w:hAnsi="宋体" w:eastAsia="宋体"/>
                <w:sz w:val="22"/>
              </w:rPr>
              <w:t>机巢适配无人机电池更换维护（每个机巢系统采购备用电池一套，包括3块备用电池）。</w:t>
            </w:r>
          </w:p>
          <w:p>
            <w:pPr>
              <w:pStyle w:val="5"/>
              <w:jc w:val="both"/>
              <w:rPr>
                <w:rFonts w:ascii="宋体" w:hAnsi="宋体" w:eastAsia="宋体"/>
                <w:sz w:val="22"/>
              </w:rPr>
            </w:pPr>
          </w:p>
        </w:tc>
        <w:tc>
          <w:tcPr>
            <w:tcW w:w="709" w:type="dxa"/>
            <w:vAlign w:val="center"/>
          </w:tcPr>
          <w:p>
            <w:pPr>
              <w:pStyle w:val="5"/>
              <w:jc w:val="both"/>
              <w:rPr>
                <w:rFonts w:ascii="宋体" w:hAnsi="宋体" w:eastAsia="宋体"/>
                <w:sz w:val="22"/>
              </w:rPr>
            </w:pPr>
            <w:r>
              <w:rPr>
                <w:rFonts w:hint="eastAsia" w:ascii="宋体" w:hAnsi="宋体" w:eastAsia="宋体"/>
                <w:sz w:val="22"/>
              </w:rPr>
              <w:t>套</w:t>
            </w:r>
          </w:p>
        </w:tc>
        <w:tc>
          <w:tcPr>
            <w:tcW w:w="708" w:type="dxa"/>
            <w:vAlign w:val="center"/>
          </w:tcPr>
          <w:p>
            <w:pPr>
              <w:pStyle w:val="5"/>
              <w:jc w:val="both"/>
              <w:rPr>
                <w:rFonts w:ascii="宋体" w:hAnsi="宋体" w:eastAsia="宋体"/>
                <w:sz w:val="22"/>
              </w:rPr>
            </w:pPr>
            <w:r>
              <w:rPr>
                <w:rFonts w:hint="eastAsia" w:ascii="宋体" w:hAnsi="宋体" w:eastAsia="宋体"/>
                <w:sz w:val="22"/>
              </w:rPr>
              <w:t>1</w:t>
            </w:r>
            <w:r>
              <w:rPr>
                <w:rFonts w:ascii="宋体" w:hAnsi="宋体" w:eastAsia="宋体"/>
                <w:sz w:val="22"/>
              </w:rPr>
              <w:t>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4</w:t>
            </w:r>
          </w:p>
        </w:tc>
        <w:tc>
          <w:tcPr>
            <w:tcW w:w="993" w:type="dxa"/>
            <w:vAlign w:val="center"/>
          </w:tcPr>
          <w:p>
            <w:pPr>
              <w:pStyle w:val="5"/>
              <w:jc w:val="both"/>
              <w:rPr>
                <w:rFonts w:ascii="宋体" w:hAnsi="宋体" w:eastAsia="宋体"/>
                <w:sz w:val="22"/>
              </w:rPr>
            </w:pPr>
            <w:r>
              <w:rPr>
                <w:rFonts w:hint="eastAsia" w:ascii="宋体" w:hAnsi="宋体" w:eastAsia="宋体"/>
                <w:sz w:val="22"/>
              </w:rPr>
              <w:t>测绘类无人机（可适配到充电式机巢中）</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尺寸：满足充电式机巢适应尺寸</w:t>
            </w:r>
          </w:p>
          <w:p>
            <w:pPr>
              <w:pStyle w:val="5"/>
              <w:spacing w:after="0"/>
              <w:jc w:val="both"/>
              <w:rPr>
                <w:rFonts w:ascii="宋体" w:hAnsi="宋体" w:eastAsia="宋体"/>
                <w:sz w:val="22"/>
              </w:rPr>
            </w:pPr>
            <w:r>
              <w:rPr>
                <w:rFonts w:hint="eastAsia" w:ascii="宋体" w:hAnsi="宋体" w:eastAsia="宋体"/>
                <w:sz w:val="22"/>
              </w:rPr>
              <w:t>最大水平飞行速度（海平面附近无风）：</w:t>
            </w:r>
          </w:p>
          <w:p>
            <w:pPr>
              <w:pStyle w:val="5"/>
              <w:spacing w:after="0"/>
              <w:jc w:val="both"/>
              <w:rPr>
                <w:rFonts w:ascii="宋体" w:hAnsi="宋体" w:eastAsia="宋体"/>
                <w:sz w:val="22"/>
              </w:rPr>
            </w:pPr>
            <w:r>
              <w:rPr>
                <w:rFonts w:hint="eastAsia" w:ascii="宋体" w:hAnsi="宋体" w:eastAsia="宋体"/>
                <w:sz w:val="22"/>
              </w:rPr>
              <w:t>普通挡，开启避障：前飞</w:t>
            </w:r>
            <w:r>
              <w:rPr>
                <w:rFonts w:ascii="宋体" w:hAnsi="宋体" w:eastAsia="宋体"/>
                <w:sz w:val="22"/>
              </w:rPr>
              <w:t xml:space="preserve"> 15 米/秒，后飞 12 米/秒，侧飞 10 米/秒；</w:t>
            </w:r>
          </w:p>
          <w:p>
            <w:pPr>
              <w:pStyle w:val="5"/>
              <w:spacing w:after="0"/>
              <w:jc w:val="both"/>
              <w:rPr>
                <w:rFonts w:ascii="宋体" w:hAnsi="宋体" w:eastAsia="宋体"/>
                <w:sz w:val="22"/>
              </w:rPr>
            </w:pPr>
            <w:r>
              <w:rPr>
                <w:rFonts w:hint="eastAsia" w:ascii="宋体" w:hAnsi="宋体" w:eastAsia="宋体"/>
                <w:sz w:val="22"/>
              </w:rPr>
              <w:t>最大抗风速度：作业阶段抗风能力：</w:t>
            </w:r>
            <w:r>
              <w:rPr>
                <w:rFonts w:ascii="宋体" w:hAnsi="宋体" w:eastAsia="宋体"/>
                <w:sz w:val="22"/>
              </w:rPr>
              <w:t>12 米/秒</w:t>
            </w:r>
          </w:p>
          <w:p>
            <w:pPr>
              <w:pStyle w:val="5"/>
              <w:spacing w:after="0"/>
              <w:jc w:val="both"/>
              <w:rPr>
                <w:rFonts w:ascii="宋体" w:hAnsi="宋体" w:eastAsia="宋体"/>
                <w:sz w:val="22"/>
              </w:rPr>
            </w:pPr>
            <w:r>
              <w:rPr>
                <w:rFonts w:hint="eastAsia" w:ascii="宋体" w:hAnsi="宋体" w:eastAsia="宋体"/>
                <w:sz w:val="22"/>
              </w:rPr>
              <w:t>最大起飞海拔高度≥</w:t>
            </w:r>
            <w:r>
              <w:rPr>
                <w:rFonts w:ascii="宋体" w:hAnsi="宋体" w:eastAsia="宋体"/>
                <w:sz w:val="22"/>
              </w:rPr>
              <w:t>2000 米</w:t>
            </w:r>
          </w:p>
          <w:p>
            <w:pPr>
              <w:pStyle w:val="5"/>
              <w:spacing w:after="0"/>
              <w:jc w:val="both"/>
              <w:rPr>
                <w:rFonts w:ascii="宋体" w:hAnsi="宋体" w:eastAsia="宋体"/>
                <w:sz w:val="22"/>
              </w:rPr>
            </w:pPr>
            <w:r>
              <w:rPr>
                <w:rFonts w:hint="eastAsia" w:ascii="宋体" w:hAnsi="宋体" w:eastAsia="宋体"/>
                <w:sz w:val="22"/>
              </w:rPr>
              <w:t>飞行时间≥</w:t>
            </w:r>
            <w:r>
              <w:rPr>
                <w:rFonts w:ascii="宋体" w:hAnsi="宋体" w:eastAsia="宋体"/>
                <w:sz w:val="22"/>
              </w:rPr>
              <w:t>40分钟（该续航时间在受控测试环境下测得。具体测试条件为：海拔高度 20 米、实验室无风环境、以匀速向前飞行、切换至拍照模式（过程中无拍照操作）、避障行为设置为关闭、飞行至剩余 0% 电量）；</w:t>
            </w:r>
          </w:p>
          <w:p>
            <w:pPr>
              <w:pStyle w:val="5"/>
              <w:spacing w:after="0"/>
              <w:jc w:val="both"/>
              <w:rPr>
                <w:rFonts w:ascii="宋体" w:hAnsi="宋体" w:eastAsia="宋体"/>
                <w:sz w:val="22"/>
              </w:rPr>
            </w:pPr>
            <w:r>
              <w:rPr>
                <w:rFonts w:hint="eastAsia" w:ascii="宋体" w:hAnsi="宋体" w:eastAsia="宋体"/>
                <w:sz w:val="22"/>
              </w:rPr>
              <w:t>悬停时间≥</w:t>
            </w:r>
            <w:r>
              <w:rPr>
                <w:rFonts w:ascii="宋体" w:hAnsi="宋体" w:eastAsia="宋体"/>
                <w:sz w:val="22"/>
              </w:rPr>
              <w:t>35分钟（在无风环境下，无人机悬停于 20 米海拔高度至剩余 0% 电量时测得此数据）；</w:t>
            </w:r>
          </w:p>
          <w:p>
            <w:pPr>
              <w:pStyle w:val="5"/>
              <w:spacing w:after="0"/>
              <w:jc w:val="both"/>
              <w:rPr>
                <w:rFonts w:ascii="宋体" w:hAnsi="宋体" w:eastAsia="宋体"/>
                <w:sz w:val="22"/>
              </w:rPr>
            </w:pPr>
            <w:r>
              <w:rPr>
                <w:rFonts w:hint="eastAsia" w:ascii="宋体" w:hAnsi="宋体" w:eastAsia="宋体"/>
                <w:sz w:val="22"/>
              </w:rPr>
              <w:t>最大作业半径：</w:t>
            </w:r>
            <w:r>
              <w:rPr>
                <w:rFonts w:ascii="宋体" w:hAnsi="宋体" w:eastAsia="宋体"/>
                <w:sz w:val="22"/>
              </w:rPr>
              <w:t>8公里（在环境温度约 25℃、安全电量为 25%、环境风速约 4 米/秒、往返速度约 15 米/秒、悬停作业 10 分钟等条件下测得此数据）；</w:t>
            </w:r>
          </w:p>
          <w:p>
            <w:pPr>
              <w:pStyle w:val="5"/>
              <w:spacing w:after="0"/>
              <w:jc w:val="both"/>
              <w:rPr>
                <w:rFonts w:ascii="宋体" w:hAnsi="宋体" w:eastAsia="宋体"/>
                <w:sz w:val="22"/>
              </w:rPr>
            </w:pPr>
            <w:r>
              <w:rPr>
                <w:rFonts w:hint="eastAsia" w:ascii="宋体" w:hAnsi="宋体" w:eastAsia="宋体"/>
                <w:sz w:val="22"/>
              </w:rPr>
              <w:t>最大续航里程≥</w:t>
            </w:r>
            <w:r>
              <w:rPr>
                <w:rFonts w:ascii="宋体" w:hAnsi="宋体" w:eastAsia="宋体"/>
                <w:sz w:val="22"/>
              </w:rPr>
              <w:t>40公里（在无风环境下，无人机以速度匀速飞行于 20 米海拔高度至剩余 0% 电量时测得此数据。）；</w:t>
            </w:r>
          </w:p>
          <w:p>
            <w:pPr>
              <w:pStyle w:val="5"/>
              <w:spacing w:after="0"/>
              <w:jc w:val="both"/>
              <w:rPr>
                <w:rFonts w:ascii="宋体" w:hAnsi="宋体" w:eastAsia="宋体"/>
                <w:sz w:val="22"/>
              </w:rPr>
            </w:pPr>
            <w:r>
              <w:rPr>
                <w:rFonts w:ascii="宋体" w:hAnsi="宋体" w:eastAsia="宋体"/>
                <w:sz w:val="22"/>
              </w:rPr>
              <w:t>GNSS：支持GPS、北斗</w:t>
            </w:r>
          </w:p>
          <w:p>
            <w:pPr>
              <w:pStyle w:val="5"/>
              <w:spacing w:after="0"/>
              <w:jc w:val="both"/>
              <w:rPr>
                <w:rFonts w:ascii="宋体" w:hAnsi="宋体" w:eastAsia="宋体"/>
                <w:sz w:val="22"/>
              </w:rPr>
            </w:pPr>
            <w:r>
              <w:rPr>
                <w:rFonts w:hint="eastAsia" w:ascii="宋体" w:hAnsi="宋体" w:eastAsia="宋体"/>
                <w:sz w:val="22"/>
              </w:rPr>
              <w:t>工作环境温度：</w:t>
            </w:r>
            <w:r>
              <w:rPr>
                <w:rFonts w:ascii="宋体" w:hAnsi="宋体" w:eastAsia="宋体"/>
                <w:sz w:val="22"/>
              </w:rPr>
              <w:t>-20℃ 至 45℃</w:t>
            </w:r>
          </w:p>
          <w:p>
            <w:pPr>
              <w:pStyle w:val="5"/>
              <w:spacing w:after="0"/>
              <w:jc w:val="both"/>
              <w:rPr>
                <w:rFonts w:ascii="宋体" w:hAnsi="宋体" w:eastAsia="宋体"/>
                <w:sz w:val="22"/>
              </w:rPr>
            </w:pPr>
            <w:r>
              <w:rPr>
                <w:rFonts w:hint="eastAsia" w:ascii="宋体" w:hAnsi="宋体" w:eastAsia="宋体"/>
                <w:sz w:val="22"/>
              </w:rPr>
              <w:t>防护等级：</w:t>
            </w:r>
            <w:r>
              <w:rPr>
                <w:rFonts w:ascii="宋体" w:hAnsi="宋体" w:eastAsia="宋体"/>
                <w:sz w:val="22"/>
              </w:rPr>
              <w:t>IP54</w:t>
            </w:r>
          </w:p>
          <w:p>
            <w:pPr>
              <w:pStyle w:val="5"/>
              <w:spacing w:after="0"/>
              <w:jc w:val="both"/>
              <w:rPr>
                <w:rFonts w:ascii="宋体" w:hAnsi="宋体" w:eastAsia="宋体"/>
                <w:sz w:val="22"/>
              </w:rPr>
            </w:pPr>
            <w:r>
              <w:rPr>
                <w:rFonts w:ascii="宋体" w:hAnsi="宋体" w:eastAsia="宋体"/>
                <w:sz w:val="22"/>
              </w:rPr>
              <w:t>RTK 模块：飞行器集成</w:t>
            </w:r>
          </w:p>
          <w:p>
            <w:pPr>
              <w:pStyle w:val="5"/>
              <w:spacing w:after="0"/>
              <w:jc w:val="both"/>
              <w:rPr>
                <w:rFonts w:ascii="宋体" w:hAnsi="宋体" w:eastAsia="宋体"/>
                <w:sz w:val="22"/>
              </w:rPr>
            </w:pPr>
            <w:r>
              <w:rPr>
                <w:rFonts w:hint="eastAsia" w:ascii="宋体" w:hAnsi="宋体" w:eastAsia="宋体"/>
                <w:sz w:val="22"/>
              </w:rPr>
              <w:t>夜航灯：飞行器集成</w:t>
            </w:r>
          </w:p>
          <w:p>
            <w:pPr>
              <w:pStyle w:val="5"/>
              <w:spacing w:after="0"/>
              <w:jc w:val="both"/>
              <w:rPr>
                <w:rFonts w:ascii="宋体" w:hAnsi="宋体" w:eastAsia="宋体"/>
                <w:sz w:val="22"/>
              </w:rPr>
            </w:pPr>
            <w:r>
              <w:rPr>
                <w:rFonts w:hint="eastAsia" w:ascii="宋体" w:hAnsi="宋体" w:eastAsia="宋体"/>
                <w:sz w:val="22"/>
              </w:rPr>
              <w:t>相机：支持广角相机、长焦相机、红外相机</w:t>
            </w:r>
          </w:p>
          <w:p>
            <w:pPr>
              <w:pStyle w:val="5"/>
              <w:spacing w:after="0"/>
              <w:jc w:val="both"/>
              <w:rPr>
                <w:rFonts w:ascii="宋体" w:hAnsi="宋体" w:eastAsia="宋体"/>
                <w:sz w:val="22"/>
              </w:rPr>
            </w:pPr>
            <w:r>
              <w:rPr>
                <w:rFonts w:hint="eastAsia" w:ascii="宋体" w:hAnsi="宋体" w:eastAsia="宋体"/>
                <w:sz w:val="22"/>
              </w:rPr>
              <w:t>广角相机：</w:t>
            </w:r>
          </w:p>
          <w:p>
            <w:pPr>
              <w:pStyle w:val="5"/>
              <w:spacing w:after="0"/>
              <w:jc w:val="both"/>
              <w:rPr>
                <w:rFonts w:ascii="宋体" w:hAnsi="宋体" w:eastAsia="宋体"/>
                <w:sz w:val="22"/>
              </w:rPr>
            </w:pPr>
            <w:r>
              <w:rPr>
                <w:rFonts w:hint="eastAsia" w:ascii="宋体" w:hAnsi="宋体" w:eastAsia="宋体"/>
                <w:sz w:val="22"/>
              </w:rPr>
              <w:t>影像传感器：</w:t>
            </w:r>
            <w:r>
              <w:rPr>
                <w:rFonts w:ascii="宋体" w:hAnsi="宋体" w:eastAsia="宋体"/>
                <w:sz w:val="22"/>
              </w:rPr>
              <w:t>4/3 CMOS，有效像素2000万</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82°，等效焦距：24 mm，光圈：f/2.8至f/11</w:t>
            </w:r>
          </w:p>
          <w:p>
            <w:pPr>
              <w:pStyle w:val="5"/>
              <w:spacing w:after="0"/>
              <w:jc w:val="both"/>
              <w:rPr>
                <w:rFonts w:ascii="宋体" w:hAnsi="宋体" w:eastAsia="宋体"/>
                <w:sz w:val="22"/>
              </w:rPr>
            </w:pPr>
            <w:r>
              <w:rPr>
                <w:rFonts w:hint="eastAsia" w:ascii="宋体" w:hAnsi="宋体" w:eastAsia="宋体"/>
                <w:sz w:val="22"/>
              </w:rPr>
              <w:t>对焦点：</w:t>
            </w:r>
            <w:r>
              <w:rPr>
                <w:rFonts w:ascii="宋体" w:hAnsi="宋体" w:eastAsia="宋体"/>
                <w:sz w:val="22"/>
              </w:rPr>
              <w:t>1 米至无穷远，广角镜头支持除雾</w:t>
            </w:r>
          </w:p>
          <w:p>
            <w:pPr>
              <w:pStyle w:val="5"/>
              <w:spacing w:after="0"/>
              <w:jc w:val="both"/>
              <w:rPr>
                <w:rFonts w:ascii="宋体" w:hAnsi="宋体" w:eastAsia="宋体"/>
                <w:sz w:val="22"/>
              </w:rPr>
            </w:pPr>
            <w:r>
              <w:rPr>
                <w:rFonts w:hint="eastAsia" w:ascii="宋体" w:hAnsi="宋体" w:eastAsia="宋体"/>
                <w:sz w:val="22"/>
              </w:rPr>
              <w:t>电子快门：</w:t>
            </w:r>
            <w:r>
              <w:rPr>
                <w:rFonts w:ascii="宋体" w:hAnsi="宋体" w:eastAsia="宋体"/>
                <w:sz w:val="22"/>
              </w:rPr>
              <w:t>8 秒至 1/8000 秒</w:t>
            </w:r>
          </w:p>
          <w:p>
            <w:pPr>
              <w:pStyle w:val="5"/>
              <w:spacing w:after="0"/>
              <w:jc w:val="both"/>
              <w:rPr>
                <w:rFonts w:ascii="宋体" w:hAnsi="宋体" w:eastAsia="宋体"/>
                <w:sz w:val="22"/>
              </w:rPr>
            </w:pPr>
            <w:r>
              <w:rPr>
                <w:rFonts w:ascii="宋体" w:hAnsi="宋体" w:eastAsia="宋体"/>
                <w:sz w:val="22"/>
              </w:rPr>
              <w:t>ISO范围：100至6400</w:t>
            </w:r>
          </w:p>
          <w:p>
            <w:pPr>
              <w:pStyle w:val="5"/>
              <w:spacing w:after="0"/>
              <w:jc w:val="both"/>
              <w:rPr>
                <w:rFonts w:ascii="宋体" w:hAnsi="宋体" w:eastAsia="宋体"/>
                <w:sz w:val="22"/>
              </w:rPr>
            </w:pPr>
            <w:r>
              <w:rPr>
                <w:rFonts w:hint="eastAsia" w:ascii="宋体" w:hAnsi="宋体" w:eastAsia="宋体"/>
                <w:sz w:val="22"/>
              </w:rPr>
              <w:t>快门速度：电子快门：</w:t>
            </w:r>
            <w:r>
              <w:rPr>
                <w:rFonts w:ascii="宋体" w:hAnsi="宋体" w:eastAsia="宋体"/>
                <w:sz w:val="22"/>
              </w:rPr>
              <w:t>8秒至1/8000秒，机械快门：8秒至1/2000秒。</w:t>
            </w:r>
          </w:p>
          <w:p>
            <w:pPr>
              <w:pStyle w:val="5"/>
              <w:spacing w:after="0"/>
              <w:jc w:val="both"/>
              <w:rPr>
                <w:rFonts w:ascii="宋体" w:hAnsi="宋体" w:eastAsia="宋体"/>
                <w:sz w:val="22"/>
              </w:rPr>
            </w:pPr>
            <w:r>
              <w:rPr>
                <w:rFonts w:hint="eastAsia" w:ascii="宋体" w:hAnsi="宋体" w:eastAsia="宋体"/>
                <w:sz w:val="22"/>
              </w:rPr>
              <w:t>照片拍摄模式及参数：单张：</w:t>
            </w:r>
            <w:r>
              <w:rPr>
                <w:rFonts w:ascii="宋体" w:hAnsi="宋体" w:eastAsia="宋体"/>
                <w:sz w:val="22"/>
              </w:rPr>
              <w:t>2000万像素；定时拍摄：2000万像素，0.7/1/2/3/5/7/10/15/20/30/60秒；低光智能拍摄：2000万像素；全景拍照：2000万像素。</w:t>
            </w:r>
          </w:p>
          <w:p>
            <w:pPr>
              <w:pStyle w:val="5"/>
              <w:spacing w:after="0"/>
              <w:jc w:val="both"/>
              <w:rPr>
                <w:rFonts w:ascii="宋体" w:hAnsi="宋体" w:eastAsia="宋体"/>
                <w:sz w:val="22"/>
              </w:rPr>
            </w:pPr>
            <w:r>
              <w:rPr>
                <w:rFonts w:hint="eastAsia" w:ascii="宋体" w:hAnsi="宋体" w:eastAsia="宋体"/>
                <w:sz w:val="22"/>
              </w:rPr>
              <w:t>支持文件系统：</w:t>
            </w:r>
            <w:r>
              <w:rPr>
                <w:rFonts w:ascii="宋体" w:hAnsi="宋体" w:eastAsia="宋体"/>
                <w:sz w:val="22"/>
              </w:rPr>
              <w:t>exFAT；图片格式：JPEG；视频格式：MP4（MPEG-4 AVC/H.264）；</w:t>
            </w:r>
          </w:p>
          <w:p>
            <w:pPr>
              <w:pStyle w:val="5"/>
              <w:spacing w:after="0"/>
              <w:jc w:val="both"/>
              <w:rPr>
                <w:rFonts w:ascii="宋体" w:hAnsi="宋体" w:eastAsia="宋体"/>
                <w:sz w:val="22"/>
              </w:rPr>
            </w:pPr>
            <w:r>
              <w:rPr>
                <w:rFonts w:hint="eastAsia" w:ascii="宋体" w:hAnsi="宋体" w:eastAsia="宋体"/>
                <w:sz w:val="22"/>
              </w:rPr>
              <w:t>长焦相机：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15°，等效焦距：162 mm，对焦点：3 米至无穷远；长焦镜头支持除雾</w:t>
            </w:r>
          </w:p>
          <w:p>
            <w:pPr>
              <w:pStyle w:val="5"/>
              <w:spacing w:after="0"/>
              <w:jc w:val="both"/>
              <w:rPr>
                <w:rFonts w:ascii="宋体" w:hAnsi="宋体" w:eastAsia="宋体"/>
                <w:sz w:val="22"/>
              </w:rPr>
            </w:pPr>
            <w:r>
              <w:rPr>
                <w:rFonts w:hint="eastAsia" w:ascii="宋体" w:hAnsi="宋体" w:eastAsia="宋体"/>
                <w:sz w:val="22"/>
              </w:rPr>
              <w:t>电子快门：</w:t>
            </w:r>
            <w:r>
              <w:rPr>
                <w:rFonts w:ascii="宋体" w:hAnsi="宋体" w:eastAsia="宋体"/>
                <w:sz w:val="22"/>
              </w:rPr>
              <w:t>8 秒至 1/8000 秒</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w:t>
            </w:r>
          </w:p>
          <w:p>
            <w:pPr>
              <w:pStyle w:val="5"/>
              <w:spacing w:after="0"/>
              <w:jc w:val="both"/>
              <w:rPr>
                <w:rFonts w:ascii="宋体" w:hAnsi="宋体" w:eastAsia="宋体"/>
                <w:sz w:val="22"/>
              </w:rPr>
            </w:pPr>
            <w:r>
              <w:rPr>
                <w:rFonts w:hint="eastAsia" w:ascii="宋体" w:hAnsi="宋体" w:eastAsia="宋体"/>
                <w:sz w:val="22"/>
              </w:rPr>
              <w:t>视频格式：</w:t>
            </w:r>
            <w:r>
              <w:rPr>
                <w:rFonts w:ascii="宋体" w:hAnsi="宋体" w:eastAsia="宋体"/>
                <w:sz w:val="22"/>
              </w:rPr>
              <w:t>MP4（MPEG-4 AVC/H.264）</w:t>
            </w:r>
          </w:p>
          <w:p>
            <w:pPr>
              <w:pStyle w:val="5"/>
              <w:spacing w:after="0"/>
              <w:jc w:val="both"/>
              <w:rPr>
                <w:rFonts w:ascii="宋体" w:hAnsi="宋体" w:eastAsia="宋体"/>
                <w:sz w:val="22"/>
              </w:rPr>
            </w:pPr>
            <w:r>
              <w:rPr>
                <w:rFonts w:hint="eastAsia" w:ascii="宋体" w:hAnsi="宋体" w:eastAsia="宋体"/>
                <w:sz w:val="22"/>
              </w:rPr>
              <w:t>数字变焦：</w:t>
            </w:r>
            <w:r>
              <w:rPr>
                <w:rFonts w:ascii="宋体" w:hAnsi="宋体" w:eastAsia="宋体"/>
                <w:sz w:val="22"/>
              </w:rPr>
              <w:t>8 倍（混合变焦 56 倍）</w:t>
            </w:r>
          </w:p>
          <w:p>
            <w:pPr>
              <w:pStyle w:val="5"/>
              <w:spacing w:after="0"/>
              <w:jc w:val="both"/>
              <w:rPr>
                <w:rFonts w:ascii="宋体" w:hAnsi="宋体" w:eastAsia="宋体"/>
                <w:sz w:val="22"/>
              </w:rPr>
            </w:pPr>
            <w:r>
              <w:rPr>
                <w:rFonts w:hint="eastAsia" w:ascii="宋体" w:hAnsi="宋体" w:eastAsia="宋体"/>
                <w:sz w:val="22"/>
              </w:rPr>
              <w:t>红外相机：</w:t>
            </w:r>
          </w:p>
          <w:p>
            <w:pPr>
              <w:pStyle w:val="5"/>
              <w:spacing w:after="0"/>
              <w:jc w:val="both"/>
              <w:rPr>
                <w:rFonts w:ascii="宋体" w:hAnsi="宋体" w:eastAsia="宋体"/>
                <w:sz w:val="22"/>
              </w:rPr>
            </w:pPr>
            <w:r>
              <w:rPr>
                <w:rFonts w:hint="eastAsia" w:ascii="宋体" w:hAnsi="宋体" w:eastAsia="宋体"/>
                <w:sz w:val="22"/>
              </w:rPr>
              <w:t>视角：</w:t>
            </w:r>
            <w:r>
              <w:rPr>
                <w:rFonts w:ascii="宋体" w:hAnsi="宋体" w:eastAsia="宋体"/>
                <w:sz w:val="22"/>
              </w:rPr>
              <w:t>61°，等效焦距：40 mm，对焦距离：5 米至无穷远；</w:t>
            </w:r>
          </w:p>
          <w:p>
            <w:pPr>
              <w:pStyle w:val="5"/>
              <w:spacing w:after="0"/>
              <w:jc w:val="both"/>
              <w:rPr>
                <w:rFonts w:ascii="宋体" w:hAnsi="宋体" w:eastAsia="宋体"/>
                <w:sz w:val="22"/>
              </w:rPr>
            </w:pPr>
            <w:r>
              <w:rPr>
                <w:rFonts w:hint="eastAsia" w:ascii="宋体" w:hAnsi="宋体" w:eastAsia="宋体"/>
                <w:sz w:val="22"/>
              </w:rPr>
              <w:t>灵敏度：≤</w:t>
            </w:r>
            <w:r>
              <w:rPr>
                <w:rFonts w:ascii="宋体" w:hAnsi="宋体" w:eastAsia="宋体"/>
                <w:sz w:val="22"/>
              </w:rPr>
              <w:t>50 mk@F1.1；</w:t>
            </w:r>
          </w:p>
          <w:p>
            <w:pPr>
              <w:pStyle w:val="5"/>
              <w:spacing w:after="0"/>
              <w:jc w:val="both"/>
              <w:rPr>
                <w:rFonts w:ascii="宋体" w:hAnsi="宋体" w:eastAsia="宋体"/>
                <w:sz w:val="22"/>
              </w:rPr>
            </w:pPr>
            <w:r>
              <w:rPr>
                <w:rFonts w:hint="eastAsia" w:ascii="宋体" w:hAnsi="宋体" w:eastAsia="宋体"/>
                <w:sz w:val="22"/>
              </w:rPr>
              <w:t>测温方式：点测温、区域测温；</w:t>
            </w:r>
          </w:p>
          <w:p>
            <w:pPr>
              <w:pStyle w:val="5"/>
              <w:spacing w:after="0"/>
              <w:jc w:val="both"/>
              <w:rPr>
                <w:rFonts w:ascii="宋体" w:hAnsi="宋体" w:eastAsia="宋体"/>
                <w:sz w:val="22"/>
              </w:rPr>
            </w:pPr>
            <w:r>
              <w:rPr>
                <w:rFonts w:hint="eastAsia" w:ascii="宋体" w:hAnsi="宋体" w:eastAsia="宋体"/>
                <w:sz w:val="22"/>
              </w:rPr>
              <w:t>测温范围：</w:t>
            </w:r>
            <w:r>
              <w:rPr>
                <w:rFonts w:ascii="宋体" w:hAnsi="宋体" w:eastAsia="宋体"/>
                <w:sz w:val="22"/>
              </w:rPr>
              <w:t>-20℃ 至 150℃（高增益模式），0℃ 至 500℃（低增益模式）；</w:t>
            </w:r>
          </w:p>
          <w:p>
            <w:pPr>
              <w:pStyle w:val="5"/>
              <w:spacing w:after="0"/>
              <w:jc w:val="both"/>
              <w:rPr>
                <w:rFonts w:ascii="宋体" w:hAnsi="宋体" w:eastAsia="宋体"/>
                <w:sz w:val="22"/>
              </w:rPr>
            </w:pPr>
            <w:r>
              <w:rPr>
                <w:rFonts w:hint="eastAsia" w:ascii="宋体" w:hAnsi="宋体" w:eastAsia="宋体"/>
                <w:sz w:val="22"/>
              </w:rPr>
              <w:t>图片格式：</w:t>
            </w:r>
            <w:r>
              <w:rPr>
                <w:rFonts w:ascii="宋体" w:hAnsi="宋体" w:eastAsia="宋体"/>
                <w:sz w:val="22"/>
              </w:rPr>
              <w:t>JPEG（8 位）、R-JPEG（16 位）；</w:t>
            </w:r>
          </w:p>
          <w:p>
            <w:pPr>
              <w:pStyle w:val="5"/>
              <w:spacing w:after="0"/>
              <w:jc w:val="both"/>
              <w:rPr>
                <w:rFonts w:ascii="宋体" w:hAnsi="宋体" w:eastAsia="宋体"/>
                <w:sz w:val="22"/>
              </w:rPr>
            </w:pPr>
            <w:r>
              <w:rPr>
                <w:rFonts w:hint="eastAsia" w:ascii="宋体" w:hAnsi="宋体" w:eastAsia="宋体"/>
                <w:sz w:val="22"/>
              </w:rPr>
              <w:t>视频格式：</w:t>
            </w:r>
            <w:r>
              <w:rPr>
                <w:rFonts w:ascii="宋体" w:hAnsi="宋体" w:eastAsia="宋体"/>
                <w:sz w:val="22"/>
              </w:rPr>
              <w:t>MP4（MPEG-4 AVC/H.264）；</w:t>
            </w:r>
          </w:p>
          <w:p>
            <w:pPr>
              <w:pStyle w:val="5"/>
              <w:spacing w:after="0"/>
              <w:jc w:val="both"/>
              <w:rPr>
                <w:rFonts w:ascii="宋体" w:hAnsi="宋体" w:eastAsia="宋体"/>
                <w:sz w:val="22"/>
              </w:rPr>
            </w:pPr>
            <w:r>
              <w:rPr>
                <w:rFonts w:hint="eastAsia" w:ascii="宋体" w:hAnsi="宋体" w:eastAsia="宋体"/>
                <w:sz w:val="22"/>
              </w:rPr>
              <w:t>数字变焦：</w:t>
            </w:r>
            <w:r>
              <w:rPr>
                <w:rFonts w:ascii="宋体" w:hAnsi="宋体" w:eastAsia="宋体"/>
                <w:sz w:val="22"/>
              </w:rPr>
              <w:t>28 倍；</w:t>
            </w:r>
          </w:p>
          <w:p>
            <w:pPr>
              <w:pStyle w:val="5"/>
              <w:spacing w:after="0"/>
              <w:jc w:val="both"/>
              <w:rPr>
                <w:rFonts w:ascii="宋体" w:hAnsi="宋体" w:eastAsia="宋体"/>
                <w:sz w:val="22"/>
              </w:rPr>
            </w:pPr>
            <w:r>
              <w:rPr>
                <w:rFonts w:hint="eastAsia" w:ascii="宋体" w:hAnsi="宋体" w:eastAsia="宋体"/>
                <w:sz w:val="22"/>
              </w:rPr>
              <w:t>红外波长：</w:t>
            </w:r>
            <w:r>
              <w:rPr>
                <w:rFonts w:ascii="宋体" w:hAnsi="宋体" w:eastAsia="宋体"/>
                <w:sz w:val="22"/>
              </w:rPr>
              <w:t>8 μm 至 14 μm；</w:t>
            </w:r>
          </w:p>
          <w:p>
            <w:pPr>
              <w:pStyle w:val="5"/>
              <w:spacing w:after="0"/>
              <w:jc w:val="both"/>
              <w:rPr>
                <w:rFonts w:ascii="宋体" w:hAnsi="宋体" w:eastAsia="宋体"/>
                <w:sz w:val="22"/>
              </w:rPr>
            </w:pPr>
            <w:r>
              <w:rPr>
                <w:rFonts w:hint="eastAsia" w:ascii="宋体" w:hAnsi="宋体" w:eastAsia="宋体"/>
                <w:sz w:val="22"/>
              </w:rPr>
              <w:t>红外测温精度：±</w:t>
            </w:r>
            <w:r>
              <w:rPr>
                <w:rFonts w:ascii="宋体" w:hAnsi="宋体" w:eastAsia="宋体"/>
                <w:sz w:val="22"/>
              </w:rPr>
              <w:t>2℃ 或 ±2%，取较大值。</w:t>
            </w:r>
          </w:p>
          <w:p>
            <w:pPr>
              <w:pStyle w:val="5"/>
              <w:spacing w:after="0"/>
              <w:jc w:val="both"/>
              <w:rPr>
                <w:rFonts w:ascii="宋体" w:hAnsi="宋体" w:eastAsia="宋体"/>
                <w:sz w:val="22"/>
              </w:rPr>
            </w:pPr>
            <w:r>
              <w:rPr>
                <w:rFonts w:hint="eastAsia" w:ascii="宋体" w:hAnsi="宋体" w:eastAsia="宋体"/>
                <w:sz w:val="22"/>
              </w:rPr>
              <w:t>②云台</w:t>
            </w:r>
          </w:p>
          <w:p>
            <w:pPr>
              <w:pStyle w:val="5"/>
              <w:spacing w:after="0"/>
              <w:jc w:val="both"/>
              <w:rPr>
                <w:rFonts w:ascii="宋体" w:hAnsi="宋体" w:eastAsia="宋体"/>
                <w:sz w:val="22"/>
              </w:rPr>
            </w:pPr>
            <w:r>
              <w:rPr>
                <w:rFonts w:hint="eastAsia" w:ascii="宋体" w:hAnsi="宋体" w:eastAsia="宋体"/>
                <w:sz w:val="22"/>
              </w:rPr>
              <w:t>稳定系统：</w:t>
            </w:r>
            <w:r>
              <w:rPr>
                <w:rFonts w:ascii="宋体" w:hAnsi="宋体" w:eastAsia="宋体"/>
                <w:sz w:val="22"/>
              </w:rPr>
              <w:t>3 轴机械云台（俯仰、横滚、平移）；</w:t>
            </w:r>
          </w:p>
          <w:p>
            <w:pPr>
              <w:pStyle w:val="5"/>
              <w:spacing w:after="0"/>
              <w:jc w:val="both"/>
              <w:rPr>
                <w:rFonts w:ascii="宋体" w:hAnsi="宋体" w:eastAsia="宋体"/>
                <w:sz w:val="22"/>
              </w:rPr>
            </w:pPr>
            <w:r>
              <w:rPr>
                <w:rFonts w:hint="eastAsia" w:ascii="宋体" w:hAnsi="宋体" w:eastAsia="宋体"/>
                <w:sz w:val="22"/>
              </w:rPr>
              <w:t>可控转动范围：俯仰：</w:t>
            </w:r>
            <w:r>
              <w:rPr>
                <w:rFonts w:ascii="宋体" w:hAnsi="宋体" w:eastAsia="宋体"/>
                <w:sz w:val="22"/>
              </w:rPr>
              <w:t>-90° 至 +35°，平移：不可控；</w:t>
            </w:r>
          </w:p>
          <w:p>
            <w:pPr>
              <w:pStyle w:val="5"/>
              <w:spacing w:after="0"/>
              <w:jc w:val="both"/>
              <w:rPr>
                <w:rFonts w:ascii="宋体" w:hAnsi="宋体" w:eastAsia="宋体"/>
                <w:sz w:val="22"/>
              </w:rPr>
            </w:pPr>
            <w:r>
              <w:rPr>
                <w:rFonts w:hint="eastAsia" w:ascii="宋体" w:hAnsi="宋体" w:eastAsia="宋体"/>
                <w:sz w:val="22"/>
              </w:rPr>
              <w:t>最大控制转速（俯仰）：</w:t>
            </w:r>
            <w:r>
              <w:rPr>
                <w:rFonts w:ascii="宋体" w:hAnsi="宋体" w:eastAsia="宋体"/>
                <w:sz w:val="22"/>
              </w:rPr>
              <w:t>100°/秒。</w:t>
            </w:r>
          </w:p>
          <w:p>
            <w:pPr>
              <w:pStyle w:val="5"/>
              <w:spacing w:after="0"/>
              <w:jc w:val="both"/>
              <w:rPr>
                <w:rFonts w:ascii="宋体" w:hAnsi="宋体" w:eastAsia="宋体"/>
                <w:sz w:val="22"/>
              </w:rPr>
            </w:pPr>
            <w:r>
              <w:rPr>
                <w:rFonts w:hint="eastAsia" w:ascii="宋体" w:hAnsi="宋体" w:eastAsia="宋体"/>
                <w:sz w:val="22"/>
              </w:rPr>
              <w:t>②电池</w:t>
            </w:r>
          </w:p>
          <w:p>
            <w:pPr>
              <w:pStyle w:val="5"/>
              <w:spacing w:after="0"/>
              <w:jc w:val="both"/>
              <w:rPr>
                <w:rFonts w:ascii="宋体" w:hAnsi="宋体" w:eastAsia="宋体"/>
                <w:sz w:val="22"/>
              </w:rPr>
            </w:pPr>
            <w:r>
              <w:rPr>
                <w:rFonts w:hint="eastAsia" w:ascii="宋体" w:hAnsi="宋体" w:eastAsia="宋体"/>
                <w:sz w:val="22"/>
              </w:rPr>
              <w:t>循环次数：≥</w:t>
            </w:r>
            <w:r>
              <w:rPr>
                <w:rFonts w:ascii="宋体" w:hAnsi="宋体" w:eastAsia="宋体"/>
                <w:sz w:val="22"/>
              </w:rPr>
              <w:t>400 次；</w:t>
            </w:r>
          </w:p>
          <w:p>
            <w:pPr>
              <w:pStyle w:val="5"/>
              <w:spacing w:after="0"/>
              <w:jc w:val="both"/>
              <w:rPr>
                <w:rFonts w:ascii="宋体" w:hAnsi="宋体" w:eastAsia="宋体"/>
                <w:sz w:val="22"/>
              </w:rPr>
            </w:pPr>
            <w:r>
              <w:rPr>
                <w:rFonts w:hint="eastAsia" w:ascii="宋体" w:hAnsi="宋体" w:eastAsia="宋体"/>
                <w:sz w:val="22"/>
              </w:rPr>
              <w:t>充电温度范围：</w:t>
            </w:r>
            <w:r>
              <w:rPr>
                <w:rFonts w:ascii="宋体" w:hAnsi="宋体" w:eastAsia="宋体"/>
                <w:sz w:val="22"/>
              </w:rPr>
              <w:t>5℃ 至 45℃</w:t>
            </w:r>
            <w:r>
              <w:rPr>
                <w:rFonts w:hint="eastAsia" w:ascii="宋体" w:hAnsi="宋体" w:eastAsia="宋体"/>
                <w:sz w:val="22"/>
              </w:rPr>
              <w:t>。</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2</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5</w:t>
            </w:r>
          </w:p>
        </w:tc>
        <w:tc>
          <w:tcPr>
            <w:tcW w:w="993" w:type="dxa"/>
            <w:vAlign w:val="center"/>
          </w:tcPr>
          <w:p>
            <w:pPr>
              <w:pStyle w:val="5"/>
              <w:jc w:val="both"/>
              <w:rPr>
                <w:rFonts w:ascii="宋体" w:hAnsi="宋体" w:eastAsia="宋体"/>
                <w:sz w:val="22"/>
              </w:rPr>
            </w:pPr>
            <w:r>
              <w:rPr>
                <w:rFonts w:hint="eastAsia" w:ascii="宋体" w:hAnsi="宋体" w:eastAsia="宋体"/>
                <w:sz w:val="22"/>
              </w:rPr>
              <w:t>多旋翼机动无人机</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1）最大起飞重量：≥1000g；</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2）最大上升速度：≥6 米/秒，最大下降速度≥6 米/秒；</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3）最大水平飞行速度（海平面附近无风）：≥15 米/秒；</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4）最大抗风速度：12 米/秒；</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5）最大起飞海拔高度：≥2000 米（空载飞行）；</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6）飞行时间（无风环境）：≥40 分钟；</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7）悬停时间（无风环境）：≥35 分钟；</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8）GNSS：有</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9）工作环境温度：-10°C 至 40°C；</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10）相机要求：</w:t>
            </w:r>
          </w:p>
          <w:p>
            <w:pPr>
              <w:pStyle w:val="5"/>
              <w:spacing w:after="0"/>
              <w:jc w:val="both"/>
              <w:rPr>
                <w:rFonts w:ascii="宋体" w:hAnsi="宋体" w:eastAsia="宋体"/>
                <w:sz w:val="22"/>
              </w:rPr>
            </w:pPr>
            <w:r>
              <w:rPr>
                <w:rFonts w:hint="eastAsia" w:ascii="宋体" w:hAnsi="宋体" w:eastAsia="宋体"/>
                <w:sz w:val="22"/>
              </w:rPr>
              <w:t>具有长焦相机和广角相机；</w:t>
            </w:r>
          </w:p>
          <w:p>
            <w:pPr>
              <w:pStyle w:val="5"/>
              <w:spacing w:after="0"/>
              <w:jc w:val="both"/>
              <w:rPr>
                <w:rFonts w:ascii="宋体" w:hAnsi="宋体" w:eastAsia="宋体"/>
                <w:sz w:val="22"/>
              </w:rPr>
            </w:pPr>
            <w:r>
              <w:rPr>
                <w:rFonts w:hint="eastAsia" w:ascii="宋体" w:hAnsi="宋体" w:eastAsia="宋体"/>
                <w:sz w:val="22"/>
              </w:rPr>
              <w:t>影像传感器：有效像素≥</w:t>
            </w:r>
            <w:r>
              <w:rPr>
                <w:rFonts w:ascii="宋体" w:hAnsi="宋体" w:eastAsia="宋体"/>
                <w:sz w:val="22"/>
              </w:rPr>
              <w:t>2000 万；</w:t>
            </w:r>
          </w:p>
          <w:p>
            <w:pPr>
              <w:pStyle w:val="5"/>
              <w:spacing w:after="0"/>
              <w:jc w:val="both"/>
              <w:rPr>
                <w:rFonts w:ascii="宋体" w:hAnsi="宋体" w:eastAsia="宋体"/>
                <w:sz w:val="22"/>
              </w:rPr>
            </w:pPr>
            <w:r>
              <w:rPr>
                <w:rFonts w:hint="eastAsia" w:ascii="宋体" w:hAnsi="宋体" w:eastAsia="宋体"/>
                <w:sz w:val="22"/>
              </w:rPr>
              <w:t>数字变焦：</w:t>
            </w:r>
            <w:r>
              <w:rPr>
                <w:rFonts w:ascii="宋体" w:hAnsi="宋体" w:eastAsia="宋体"/>
                <w:sz w:val="22"/>
              </w:rPr>
              <w:t>8 倍（混合变焦 56 倍）</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11）稳定系统：三轴机械云台（俯仰、横滚、平移）</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12）电池：容量5000毫安时，标称电压：15.4 伏；充电限制电压：17.6 伏。包含4块电池。</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13）存储卡：≥64G</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14）图传：实时图传质量：遥控器：1080p/30FPS</w:t>
            </w:r>
          </w:p>
          <w:p>
            <w:pPr>
              <w:pStyle w:val="5"/>
              <w:spacing w:after="0"/>
              <w:jc w:val="both"/>
              <w:rPr>
                <w:rFonts w:ascii="宋体" w:hAnsi="宋体" w:eastAsia="宋体"/>
                <w:sz w:val="22"/>
              </w:rPr>
            </w:pPr>
            <w:r>
              <w:rPr>
                <w:rFonts w:hint="eastAsia" w:ascii="宋体" w:hAnsi="宋体" w:eastAsia="宋体"/>
                <w:sz w:val="22"/>
              </w:rPr>
              <w:t>最大信号有效距离（去干扰、无遮挡）：</w:t>
            </w:r>
            <w:r>
              <w:rPr>
                <w:rFonts w:ascii="宋体" w:hAnsi="宋体" w:eastAsia="宋体"/>
                <w:sz w:val="22"/>
              </w:rPr>
              <w:t>FCC：15公里、CE:8公里、SRRC：8公里、MIC：8公里；</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15）RTK模块：包含RTK模，RTK位置精度：RTK 固定解：水平：1 cm + 1 ppm；垂直：1.5 cm + 1 ppm。</w:t>
            </w:r>
          </w:p>
          <w:p>
            <w:pPr>
              <w:pStyle w:val="5"/>
              <w:spacing w:after="0"/>
              <w:jc w:val="both"/>
              <w:rPr>
                <w:rFonts w:ascii="宋体" w:hAnsi="宋体" w:eastAsia="宋体"/>
                <w:sz w:val="22"/>
              </w:rPr>
            </w:pPr>
            <w:r>
              <w:rPr>
                <w:rFonts w:hint="eastAsia" w:ascii="宋体" w:hAnsi="宋体" w:eastAsia="宋体"/>
                <w:sz w:val="22"/>
              </w:rPr>
              <w:t>（</w:t>
            </w:r>
            <w:r>
              <w:rPr>
                <w:rFonts w:ascii="宋体" w:hAnsi="宋体" w:eastAsia="宋体"/>
                <w:sz w:val="22"/>
              </w:rPr>
              <w:t>16）喊话器：配备喊话器，喊话器额定功率3 瓦，最大响度：在 1 米处可达 110 分贝；有效广播距离：100m@70dB；工作温度：-10℃ 至 40℃。</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2</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6</w:t>
            </w:r>
          </w:p>
        </w:tc>
        <w:tc>
          <w:tcPr>
            <w:tcW w:w="993" w:type="dxa"/>
            <w:vAlign w:val="center"/>
          </w:tcPr>
          <w:p>
            <w:pPr>
              <w:pStyle w:val="5"/>
              <w:jc w:val="both"/>
              <w:rPr>
                <w:rFonts w:ascii="宋体" w:hAnsi="宋体" w:eastAsia="宋体"/>
                <w:sz w:val="22"/>
              </w:rPr>
            </w:pPr>
            <w:r>
              <w:rPr>
                <w:rFonts w:hint="eastAsia" w:ascii="宋体" w:hAnsi="宋体" w:eastAsia="宋体"/>
                <w:sz w:val="22"/>
              </w:rPr>
              <w:t>远程控制手柄</w:t>
            </w:r>
          </w:p>
        </w:tc>
        <w:tc>
          <w:tcPr>
            <w:tcW w:w="4961" w:type="dxa"/>
            <w:vAlign w:val="center"/>
          </w:tcPr>
          <w:p>
            <w:pPr>
              <w:pStyle w:val="5"/>
              <w:jc w:val="both"/>
              <w:rPr>
                <w:rFonts w:ascii="宋体" w:hAnsi="宋体" w:eastAsia="宋体"/>
                <w:sz w:val="22"/>
              </w:rPr>
            </w:pPr>
            <w:r>
              <w:rPr>
                <w:rFonts w:hint="eastAsia" w:ascii="宋体" w:hAnsi="宋体" w:eastAsia="宋体"/>
                <w:sz w:val="22"/>
              </w:rPr>
              <w:t>能通过网络远程连接并操控机巢无人机的飞行。</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5</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7</w:t>
            </w:r>
          </w:p>
        </w:tc>
        <w:tc>
          <w:tcPr>
            <w:tcW w:w="993" w:type="dxa"/>
            <w:vAlign w:val="center"/>
          </w:tcPr>
          <w:p>
            <w:pPr>
              <w:pStyle w:val="5"/>
              <w:jc w:val="both"/>
              <w:rPr>
                <w:rFonts w:ascii="宋体" w:hAnsi="宋体" w:eastAsia="宋体"/>
                <w:sz w:val="22"/>
              </w:rPr>
            </w:pPr>
            <w:r>
              <w:rPr>
                <w:rFonts w:hint="eastAsia" w:ascii="宋体" w:hAnsi="宋体" w:eastAsia="宋体"/>
                <w:sz w:val="22"/>
              </w:rPr>
              <w:t>图传模块</w:t>
            </w:r>
          </w:p>
        </w:tc>
        <w:tc>
          <w:tcPr>
            <w:tcW w:w="4961" w:type="dxa"/>
            <w:vAlign w:val="center"/>
          </w:tcPr>
          <w:p>
            <w:pPr>
              <w:pStyle w:val="5"/>
              <w:jc w:val="both"/>
              <w:rPr>
                <w:rFonts w:ascii="宋体" w:hAnsi="宋体" w:eastAsia="宋体"/>
                <w:sz w:val="22"/>
              </w:rPr>
            </w:pPr>
            <w:r>
              <w:rPr>
                <w:rFonts w:hint="eastAsia" w:ascii="宋体" w:hAnsi="宋体" w:eastAsia="宋体"/>
                <w:sz w:val="22"/>
              </w:rPr>
              <w:t>与无人机配合使用，实现新的增强图传功能。在</w:t>
            </w:r>
            <w:r>
              <w:rPr>
                <w:rFonts w:ascii="宋体" w:hAnsi="宋体" w:eastAsia="宋体"/>
                <w:sz w:val="22"/>
              </w:rPr>
              <w:t xml:space="preserve"> 4G 网络链路和无人机图传链路中智能选择最优的链路。同时，当无人机图传链路断开时，4G 链路依然可以独立工作，轻松应对各类复杂环境，飞行更安全。</w:t>
            </w:r>
          </w:p>
        </w:tc>
        <w:tc>
          <w:tcPr>
            <w:tcW w:w="709" w:type="dxa"/>
            <w:vAlign w:val="center"/>
          </w:tcPr>
          <w:p>
            <w:pPr>
              <w:pStyle w:val="5"/>
              <w:jc w:val="both"/>
              <w:rPr>
                <w:rFonts w:ascii="宋体" w:hAnsi="宋体" w:eastAsia="宋体"/>
                <w:sz w:val="22"/>
              </w:rPr>
            </w:pPr>
            <w:r>
              <w:rPr>
                <w:rFonts w:hint="eastAsia" w:ascii="宋体" w:hAnsi="宋体" w:eastAsia="宋体"/>
                <w:sz w:val="22"/>
              </w:rPr>
              <w:t>个</w:t>
            </w:r>
          </w:p>
        </w:tc>
        <w:tc>
          <w:tcPr>
            <w:tcW w:w="708" w:type="dxa"/>
            <w:vAlign w:val="center"/>
          </w:tcPr>
          <w:p>
            <w:pPr>
              <w:pStyle w:val="5"/>
              <w:jc w:val="both"/>
              <w:rPr>
                <w:rFonts w:ascii="宋体" w:hAnsi="宋体" w:eastAsia="宋体"/>
                <w:sz w:val="22"/>
              </w:rPr>
            </w:pPr>
            <w:r>
              <w:rPr>
                <w:rFonts w:hint="eastAsia" w:ascii="宋体" w:hAnsi="宋体" w:eastAsia="宋体"/>
                <w:sz w:val="22"/>
              </w:rPr>
              <w:t>1</w:t>
            </w:r>
            <w:r>
              <w:rPr>
                <w:rFonts w:ascii="宋体" w:hAnsi="宋体" w:eastAsia="宋体"/>
                <w:sz w:val="22"/>
              </w:rPr>
              <w:t>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8</w:t>
            </w:r>
          </w:p>
        </w:tc>
        <w:tc>
          <w:tcPr>
            <w:tcW w:w="993" w:type="dxa"/>
            <w:vAlign w:val="center"/>
          </w:tcPr>
          <w:p>
            <w:pPr>
              <w:pStyle w:val="5"/>
              <w:jc w:val="both"/>
              <w:rPr>
                <w:rFonts w:ascii="宋体" w:hAnsi="宋体" w:eastAsia="宋体"/>
                <w:sz w:val="22"/>
              </w:rPr>
            </w:pPr>
            <w:r>
              <w:rPr>
                <w:rFonts w:hint="eastAsia" w:ascii="宋体" w:hAnsi="宋体" w:eastAsia="宋体"/>
                <w:sz w:val="22"/>
              </w:rPr>
              <w:t>喊话器</w:t>
            </w:r>
          </w:p>
        </w:tc>
        <w:tc>
          <w:tcPr>
            <w:tcW w:w="4961" w:type="dxa"/>
            <w:vAlign w:val="center"/>
          </w:tcPr>
          <w:p>
            <w:pPr>
              <w:pStyle w:val="5"/>
              <w:jc w:val="both"/>
              <w:rPr>
                <w:rFonts w:ascii="宋体" w:hAnsi="宋体" w:eastAsia="宋体"/>
                <w:sz w:val="22"/>
              </w:rPr>
            </w:pPr>
            <w:r>
              <w:rPr>
                <w:rFonts w:hint="eastAsia" w:ascii="宋体" w:hAnsi="宋体" w:eastAsia="宋体"/>
                <w:sz w:val="22"/>
              </w:rPr>
              <w:t>与无人机配合使用，喊话、照明一体式任务载荷，集成化便携设计，执行任务时无需携带多个设备，喊话模块最大声压</w:t>
            </w:r>
            <w:r>
              <w:rPr>
                <w:rFonts w:ascii="宋体" w:hAnsi="宋体" w:eastAsia="宋体"/>
                <w:sz w:val="22"/>
              </w:rPr>
              <w:t>120分贝，照明模块100米照度可达6lux，可以实现TTS文本转语音喊话、实时喊话、照明俯仰联动等功能。</w:t>
            </w:r>
          </w:p>
        </w:tc>
        <w:tc>
          <w:tcPr>
            <w:tcW w:w="709" w:type="dxa"/>
            <w:vAlign w:val="center"/>
          </w:tcPr>
          <w:p>
            <w:pPr>
              <w:pStyle w:val="5"/>
              <w:jc w:val="both"/>
              <w:rPr>
                <w:rFonts w:ascii="宋体" w:hAnsi="宋体" w:eastAsia="宋体"/>
                <w:sz w:val="22"/>
              </w:rPr>
            </w:pPr>
            <w:r>
              <w:rPr>
                <w:rFonts w:hint="eastAsia" w:ascii="宋体" w:hAnsi="宋体" w:eastAsia="宋体"/>
                <w:sz w:val="22"/>
              </w:rPr>
              <w:t>个</w:t>
            </w:r>
          </w:p>
        </w:tc>
        <w:tc>
          <w:tcPr>
            <w:tcW w:w="708" w:type="dxa"/>
            <w:vAlign w:val="center"/>
          </w:tcPr>
          <w:p>
            <w:pPr>
              <w:pStyle w:val="5"/>
              <w:jc w:val="both"/>
              <w:rPr>
                <w:rFonts w:ascii="宋体" w:hAnsi="宋体" w:eastAsia="宋体"/>
                <w:sz w:val="22"/>
              </w:rPr>
            </w:pPr>
            <w:r>
              <w:rPr>
                <w:rFonts w:hint="eastAsia" w:ascii="宋体" w:hAnsi="宋体" w:eastAsia="宋体"/>
                <w:sz w:val="22"/>
              </w:rPr>
              <w:t>1</w:t>
            </w:r>
            <w:r>
              <w:rPr>
                <w:rFonts w:ascii="宋体" w:hAnsi="宋体" w:eastAsia="宋体"/>
                <w:sz w:val="22"/>
              </w:rPr>
              <w:t>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eastAsia" w:ascii="宋体" w:hAnsi="宋体" w:eastAsia="宋体"/>
                <w:sz w:val="22"/>
                <w:lang w:eastAsia="zh-CN"/>
              </w:rPr>
            </w:pPr>
            <w:r>
              <w:rPr>
                <w:rFonts w:hint="eastAsia" w:ascii="宋体" w:hAnsi="宋体" w:eastAsia="宋体"/>
                <w:sz w:val="22"/>
                <w:lang w:val="en-US" w:eastAsia="zh-CN"/>
              </w:rPr>
              <w:t>9</w:t>
            </w:r>
          </w:p>
        </w:tc>
        <w:tc>
          <w:tcPr>
            <w:tcW w:w="993" w:type="dxa"/>
            <w:vAlign w:val="center"/>
          </w:tcPr>
          <w:p>
            <w:pPr>
              <w:pStyle w:val="5"/>
              <w:jc w:val="both"/>
              <w:rPr>
                <w:rFonts w:ascii="宋体" w:hAnsi="宋体" w:eastAsia="宋体"/>
                <w:sz w:val="22"/>
              </w:rPr>
            </w:pPr>
            <w:r>
              <w:rPr>
                <w:rFonts w:hint="eastAsia" w:ascii="宋体" w:hAnsi="宋体" w:eastAsia="宋体"/>
                <w:sz w:val="22"/>
              </w:rPr>
              <w:t>机巢外部监控安装</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含固定气象站、监控套装等设备及安装，传感器支持风速传感器、传感器支持雨量监测、支撑环境温度传感器</w:t>
            </w:r>
          </w:p>
        </w:tc>
        <w:tc>
          <w:tcPr>
            <w:tcW w:w="709" w:type="dxa"/>
            <w:vAlign w:val="center"/>
          </w:tcPr>
          <w:p>
            <w:pPr>
              <w:pStyle w:val="5"/>
              <w:jc w:val="both"/>
              <w:rPr>
                <w:rFonts w:ascii="宋体" w:hAnsi="宋体" w:eastAsia="宋体"/>
                <w:sz w:val="22"/>
              </w:rPr>
            </w:pPr>
            <w:r>
              <w:rPr>
                <w:rFonts w:hint="eastAsia" w:ascii="宋体" w:hAnsi="宋体" w:eastAsia="宋体"/>
                <w:sz w:val="22"/>
              </w:rPr>
              <w:t>套</w:t>
            </w:r>
          </w:p>
        </w:tc>
        <w:tc>
          <w:tcPr>
            <w:tcW w:w="708" w:type="dxa"/>
            <w:vAlign w:val="center"/>
          </w:tcPr>
          <w:p>
            <w:pPr>
              <w:pStyle w:val="5"/>
              <w:jc w:val="both"/>
              <w:rPr>
                <w:rFonts w:ascii="宋体" w:hAnsi="宋体" w:eastAsia="宋体"/>
                <w:sz w:val="22"/>
              </w:rPr>
            </w:pPr>
            <w:r>
              <w:rPr>
                <w:rFonts w:hint="eastAsia" w:ascii="宋体" w:hAnsi="宋体" w:eastAsia="宋体"/>
                <w:sz w:val="22"/>
              </w:rPr>
              <w:t>1</w:t>
            </w:r>
            <w:r>
              <w:rPr>
                <w:rFonts w:ascii="宋体" w:hAnsi="宋体" w:eastAsia="宋体"/>
                <w:sz w:val="22"/>
              </w:rPr>
              <w:t>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10</w:t>
            </w:r>
          </w:p>
        </w:tc>
        <w:tc>
          <w:tcPr>
            <w:tcW w:w="993" w:type="dxa"/>
            <w:vAlign w:val="center"/>
          </w:tcPr>
          <w:p>
            <w:pPr>
              <w:pStyle w:val="5"/>
              <w:jc w:val="both"/>
              <w:rPr>
                <w:rFonts w:ascii="宋体" w:hAnsi="宋体" w:eastAsia="宋体"/>
                <w:sz w:val="22"/>
              </w:rPr>
            </w:pPr>
            <w:r>
              <w:rPr>
                <w:rFonts w:hint="eastAsia" w:ascii="宋体" w:hAnsi="宋体" w:eastAsia="宋体"/>
                <w:sz w:val="22"/>
              </w:rPr>
              <w:t>配套设施安装</w:t>
            </w:r>
          </w:p>
        </w:tc>
        <w:tc>
          <w:tcPr>
            <w:tcW w:w="4961" w:type="dxa"/>
            <w:vAlign w:val="center"/>
          </w:tcPr>
          <w:p>
            <w:pPr>
              <w:pStyle w:val="5"/>
              <w:spacing w:after="0"/>
              <w:jc w:val="both"/>
              <w:rPr>
                <w:rFonts w:ascii="宋体" w:hAnsi="宋体" w:eastAsia="宋体"/>
                <w:sz w:val="22"/>
              </w:rPr>
            </w:pPr>
            <w:r>
              <w:rPr>
                <w:rFonts w:hint="eastAsia" w:ascii="宋体" w:hAnsi="宋体" w:eastAsia="宋体"/>
                <w:sz w:val="22"/>
              </w:rPr>
              <w:t>包括网络光缆、防雷设备、安装辅材、地台、安全防护、楼梯等材料及施工</w:t>
            </w:r>
          </w:p>
        </w:tc>
        <w:tc>
          <w:tcPr>
            <w:tcW w:w="709" w:type="dxa"/>
            <w:vAlign w:val="center"/>
          </w:tcPr>
          <w:p>
            <w:pPr>
              <w:pStyle w:val="5"/>
              <w:jc w:val="both"/>
              <w:rPr>
                <w:rFonts w:ascii="宋体" w:hAnsi="宋体" w:eastAsia="宋体"/>
                <w:sz w:val="22"/>
              </w:rPr>
            </w:pPr>
            <w:r>
              <w:rPr>
                <w:rFonts w:hint="eastAsia" w:ascii="宋体" w:hAnsi="宋体" w:eastAsia="宋体"/>
                <w:sz w:val="22"/>
              </w:rPr>
              <w:t>次</w:t>
            </w:r>
          </w:p>
        </w:tc>
        <w:tc>
          <w:tcPr>
            <w:tcW w:w="708" w:type="dxa"/>
            <w:vAlign w:val="center"/>
          </w:tcPr>
          <w:p>
            <w:pPr>
              <w:pStyle w:val="5"/>
              <w:jc w:val="both"/>
              <w:rPr>
                <w:rFonts w:ascii="宋体" w:hAnsi="宋体" w:eastAsia="宋体"/>
                <w:sz w:val="22"/>
              </w:rPr>
            </w:pPr>
            <w:r>
              <w:rPr>
                <w:rFonts w:hint="eastAsia" w:ascii="宋体" w:hAnsi="宋体" w:eastAsia="宋体"/>
                <w:sz w:val="22"/>
              </w:rPr>
              <w:t>1</w:t>
            </w:r>
            <w:r>
              <w:rPr>
                <w:rFonts w:ascii="宋体" w:hAnsi="宋体" w:eastAsia="宋体"/>
                <w:sz w:val="22"/>
              </w:rPr>
              <w:t>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11</w:t>
            </w:r>
          </w:p>
        </w:tc>
        <w:tc>
          <w:tcPr>
            <w:tcW w:w="993" w:type="dxa"/>
            <w:vAlign w:val="center"/>
          </w:tcPr>
          <w:p>
            <w:pPr>
              <w:pStyle w:val="5"/>
              <w:jc w:val="both"/>
              <w:rPr>
                <w:rFonts w:ascii="宋体" w:hAnsi="宋体" w:eastAsia="宋体"/>
                <w:sz w:val="22"/>
              </w:rPr>
            </w:pPr>
            <w:r>
              <w:rPr>
                <w:rFonts w:hint="eastAsia" w:ascii="宋体" w:hAnsi="宋体" w:eastAsia="宋体"/>
                <w:sz w:val="22"/>
              </w:rPr>
              <w:t>业务服务器、数据数据处理服务器</w:t>
            </w:r>
          </w:p>
        </w:tc>
        <w:tc>
          <w:tcPr>
            <w:tcW w:w="4961" w:type="dxa"/>
            <w:vAlign w:val="center"/>
          </w:tcPr>
          <w:p>
            <w:pPr>
              <w:pStyle w:val="5"/>
              <w:spacing w:after="0"/>
              <w:jc w:val="both"/>
              <w:rPr>
                <w:rFonts w:ascii="宋体" w:hAnsi="宋体" w:eastAsia="宋体"/>
                <w:sz w:val="22"/>
              </w:rPr>
            </w:pPr>
            <w:r>
              <w:rPr>
                <w:rFonts w:ascii="宋体" w:hAnsi="宋体" w:eastAsia="宋体"/>
                <w:sz w:val="22"/>
              </w:rPr>
              <w:t>2U机架式服务器，不少于5个PCIe扩展槽，不少于2个千兆以上网口；</w:t>
            </w:r>
          </w:p>
          <w:p>
            <w:pPr>
              <w:pStyle w:val="5"/>
              <w:spacing w:after="0"/>
              <w:jc w:val="both"/>
              <w:rPr>
                <w:rFonts w:ascii="宋体" w:hAnsi="宋体" w:eastAsia="宋体"/>
                <w:sz w:val="22"/>
              </w:rPr>
            </w:pPr>
            <w:r>
              <w:rPr>
                <w:rFonts w:ascii="宋体" w:hAnsi="宋体" w:eastAsia="宋体"/>
                <w:sz w:val="22"/>
              </w:rPr>
              <w:t>CPU：符合国产信创要求的国产CPU（海光、兆芯、龙芯等），不低于16核；</w:t>
            </w:r>
          </w:p>
          <w:p>
            <w:pPr>
              <w:pStyle w:val="5"/>
              <w:spacing w:after="0"/>
              <w:jc w:val="both"/>
              <w:rPr>
                <w:rFonts w:ascii="宋体" w:hAnsi="宋体" w:eastAsia="宋体"/>
                <w:sz w:val="22"/>
              </w:rPr>
            </w:pPr>
            <w:r>
              <w:rPr>
                <w:rFonts w:hint="eastAsia" w:ascii="宋体" w:hAnsi="宋体" w:eastAsia="宋体"/>
                <w:sz w:val="22"/>
              </w:rPr>
              <w:t>内存</w:t>
            </w:r>
            <w:r>
              <w:rPr>
                <w:rFonts w:ascii="宋体" w:hAnsi="宋体" w:eastAsia="宋体"/>
                <w:sz w:val="22"/>
              </w:rPr>
              <w:t>:DDR4 64G；</w:t>
            </w:r>
          </w:p>
          <w:p>
            <w:pPr>
              <w:pStyle w:val="5"/>
              <w:spacing w:after="0"/>
              <w:jc w:val="both"/>
              <w:rPr>
                <w:rFonts w:ascii="宋体" w:hAnsi="宋体" w:eastAsia="宋体"/>
                <w:sz w:val="22"/>
              </w:rPr>
            </w:pPr>
            <w:r>
              <w:rPr>
                <w:rFonts w:hint="eastAsia" w:ascii="宋体" w:hAnsi="宋体" w:eastAsia="宋体"/>
                <w:sz w:val="22"/>
              </w:rPr>
              <w:t>硬盘</w:t>
            </w:r>
            <w:r>
              <w:rPr>
                <w:rFonts w:ascii="宋体" w:hAnsi="宋体" w:eastAsia="宋体"/>
                <w:sz w:val="22"/>
              </w:rPr>
              <w:t>: 企业级硬盘，2块 1T SATA硬盘；</w:t>
            </w:r>
          </w:p>
          <w:p>
            <w:pPr>
              <w:pStyle w:val="5"/>
              <w:spacing w:after="0"/>
              <w:jc w:val="both"/>
              <w:rPr>
                <w:rFonts w:ascii="宋体" w:hAnsi="宋体" w:eastAsia="宋体"/>
                <w:sz w:val="22"/>
              </w:rPr>
            </w:pPr>
            <w:r>
              <w:rPr>
                <w:rFonts w:hint="eastAsia" w:ascii="宋体" w:hAnsi="宋体" w:eastAsia="宋体"/>
                <w:sz w:val="22"/>
              </w:rPr>
              <w:t>操作系统：支持统信</w:t>
            </w:r>
            <w:r>
              <w:rPr>
                <w:rFonts w:ascii="宋体" w:hAnsi="宋体" w:eastAsia="宋体"/>
                <w:sz w:val="22"/>
              </w:rPr>
              <w:t>UOS、银河麒麟OS等信创国产操作系统。</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3</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12</w:t>
            </w:r>
          </w:p>
        </w:tc>
        <w:tc>
          <w:tcPr>
            <w:tcW w:w="993" w:type="dxa"/>
            <w:vAlign w:val="center"/>
          </w:tcPr>
          <w:p>
            <w:pPr>
              <w:pStyle w:val="5"/>
              <w:jc w:val="both"/>
              <w:rPr>
                <w:rFonts w:ascii="宋体" w:hAnsi="宋体" w:eastAsia="宋体"/>
                <w:sz w:val="22"/>
              </w:rPr>
            </w:pPr>
            <w:r>
              <w:rPr>
                <w:rFonts w:ascii="宋体" w:hAnsi="宋体" w:eastAsia="宋体"/>
                <w:sz w:val="22"/>
              </w:rPr>
              <w:t>AI服务器</w:t>
            </w:r>
          </w:p>
        </w:tc>
        <w:tc>
          <w:tcPr>
            <w:tcW w:w="4961" w:type="dxa"/>
            <w:vAlign w:val="center"/>
          </w:tcPr>
          <w:p>
            <w:pPr>
              <w:pStyle w:val="5"/>
              <w:spacing w:after="0"/>
              <w:jc w:val="both"/>
              <w:rPr>
                <w:rFonts w:ascii="宋体" w:hAnsi="宋体" w:eastAsia="宋体"/>
                <w:sz w:val="22"/>
              </w:rPr>
            </w:pPr>
            <w:r>
              <w:rPr>
                <w:rFonts w:ascii="宋体" w:hAnsi="宋体" w:eastAsia="宋体"/>
                <w:sz w:val="22"/>
              </w:rPr>
              <w:t>4U机架式服务器，不少于5个PCIe扩展槽，不少于2个千兆以上网口；</w:t>
            </w:r>
          </w:p>
          <w:p>
            <w:pPr>
              <w:pStyle w:val="5"/>
              <w:spacing w:after="0"/>
              <w:jc w:val="both"/>
              <w:rPr>
                <w:rFonts w:ascii="宋体" w:hAnsi="宋体" w:eastAsia="宋体"/>
                <w:sz w:val="22"/>
              </w:rPr>
            </w:pPr>
            <w:r>
              <w:rPr>
                <w:rFonts w:ascii="宋体" w:hAnsi="宋体" w:eastAsia="宋体"/>
                <w:sz w:val="22"/>
              </w:rPr>
              <w:t>CPU：不低于16核；</w:t>
            </w:r>
          </w:p>
          <w:p>
            <w:pPr>
              <w:pStyle w:val="5"/>
              <w:spacing w:after="0"/>
              <w:jc w:val="both"/>
              <w:rPr>
                <w:rFonts w:ascii="宋体" w:hAnsi="宋体" w:eastAsia="宋体"/>
                <w:sz w:val="22"/>
              </w:rPr>
            </w:pPr>
            <w:r>
              <w:rPr>
                <w:rFonts w:hint="eastAsia" w:ascii="宋体" w:hAnsi="宋体" w:eastAsia="宋体"/>
                <w:sz w:val="22"/>
              </w:rPr>
              <w:t>内存</w:t>
            </w:r>
            <w:r>
              <w:rPr>
                <w:rFonts w:ascii="宋体" w:hAnsi="宋体" w:eastAsia="宋体"/>
                <w:sz w:val="22"/>
              </w:rPr>
              <w:t>:不低于 DDR4 64G；</w:t>
            </w:r>
          </w:p>
          <w:p>
            <w:pPr>
              <w:pStyle w:val="5"/>
              <w:spacing w:after="0"/>
              <w:jc w:val="both"/>
              <w:rPr>
                <w:rFonts w:ascii="宋体" w:hAnsi="宋体" w:eastAsia="宋体"/>
                <w:sz w:val="22"/>
              </w:rPr>
            </w:pPr>
            <w:r>
              <w:rPr>
                <w:rFonts w:hint="eastAsia" w:ascii="宋体" w:hAnsi="宋体" w:eastAsia="宋体"/>
                <w:sz w:val="22"/>
              </w:rPr>
              <w:t>显卡：不低于</w:t>
            </w:r>
            <w:r>
              <w:rPr>
                <w:rFonts w:ascii="宋体" w:hAnsi="宋体" w:eastAsia="宋体"/>
                <w:sz w:val="22"/>
              </w:rPr>
              <w:t xml:space="preserve"> 3090 24G显卡*2；</w:t>
            </w:r>
          </w:p>
          <w:p>
            <w:pPr>
              <w:pStyle w:val="5"/>
              <w:spacing w:after="0"/>
              <w:jc w:val="both"/>
              <w:rPr>
                <w:rFonts w:ascii="宋体" w:hAnsi="宋体" w:eastAsia="宋体"/>
                <w:sz w:val="22"/>
              </w:rPr>
            </w:pPr>
            <w:r>
              <w:rPr>
                <w:rFonts w:hint="eastAsia" w:ascii="宋体" w:hAnsi="宋体" w:eastAsia="宋体"/>
                <w:sz w:val="22"/>
              </w:rPr>
              <w:t>硬盘</w:t>
            </w:r>
            <w:r>
              <w:rPr>
                <w:rFonts w:ascii="宋体" w:hAnsi="宋体" w:eastAsia="宋体"/>
                <w:sz w:val="22"/>
              </w:rPr>
              <w:t>: 企业级硬盘，2块 1T SATA硬盘；</w:t>
            </w:r>
          </w:p>
          <w:p>
            <w:pPr>
              <w:pStyle w:val="5"/>
              <w:spacing w:after="0"/>
              <w:jc w:val="both"/>
              <w:rPr>
                <w:rFonts w:ascii="宋体" w:hAnsi="宋体" w:eastAsia="宋体"/>
                <w:sz w:val="22"/>
              </w:rPr>
            </w:pPr>
            <w:r>
              <w:rPr>
                <w:rFonts w:hint="eastAsia" w:ascii="宋体" w:hAnsi="宋体" w:eastAsia="宋体"/>
                <w:sz w:val="22"/>
              </w:rPr>
              <w:t>操作系统：支持统信</w:t>
            </w:r>
            <w:r>
              <w:rPr>
                <w:rFonts w:ascii="宋体" w:hAnsi="宋体" w:eastAsia="宋体"/>
                <w:sz w:val="22"/>
              </w:rPr>
              <w:t>UOS、银河麒麟OS等信创国产操作系统。</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1</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13</w:t>
            </w:r>
          </w:p>
        </w:tc>
        <w:tc>
          <w:tcPr>
            <w:tcW w:w="993" w:type="dxa"/>
            <w:vAlign w:val="center"/>
          </w:tcPr>
          <w:p>
            <w:pPr>
              <w:pStyle w:val="5"/>
              <w:jc w:val="both"/>
              <w:rPr>
                <w:rFonts w:ascii="宋体" w:hAnsi="宋体" w:eastAsia="宋体"/>
                <w:sz w:val="22"/>
              </w:rPr>
            </w:pPr>
            <w:r>
              <w:rPr>
                <w:rFonts w:hint="eastAsia" w:ascii="宋体" w:hAnsi="宋体" w:eastAsia="宋体"/>
                <w:sz w:val="22"/>
              </w:rPr>
              <w:t>企业级磁盘阵列</w:t>
            </w:r>
          </w:p>
        </w:tc>
        <w:tc>
          <w:tcPr>
            <w:tcW w:w="4961" w:type="dxa"/>
            <w:vAlign w:val="center"/>
          </w:tcPr>
          <w:p>
            <w:pPr>
              <w:pStyle w:val="5"/>
              <w:spacing w:after="0"/>
              <w:jc w:val="both"/>
              <w:rPr>
                <w:rFonts w:ascii="宋体" w:hAnsi="宋体" w:eastAsia="宋体"/>
                <w:sz w:val="22"/>
              </w:rPr>
            </w:pPr>
            <w:r>
              <w:rPr>
                <w:rFonts w:ascii="宋体" w:hAnsi="宋体" w:eastAsia="宋体"/>
                <w:sz w:val="22"/>
              </w:rPr>
              <w:t>4U机架式；</w:t>
            </w:r>
          </w:p>
          <w:p>
            <w:pPr>
              <w:pStyle w:val="5"/>
              <w:spacing w:after="0"/>
              <w:jc w:val="both"/>
              <w:rPr>
                <w:rFonts w:ascii="宋体" w:hAnsi="宋体" w:eastAsia="宋体"/>
                <w:sz w:val="22"/>
              </w:rPr>
            </w:pPr>
            <w:r>
              <w:rPr>
                <w:rFonts w:hint="eastAsia" w:ascii="宋体" w:hAnsi="宋体" w:eastAsia="宋体"/>
                <w:sz w:val="22"/>
              </w:rPr>
              <w:t>主机盘位：支持</w:t>
            </w:r>
            <w:r>
              <w:rPr>
                <w:rFonts w:ascii="宋体" w:hAnsi="宋体" w:eastAsia="宋体"/>
                <w:sz w:val="22"/>
              </w:rPr>
              <w:t>24盘位/热插拔；</w:t>
            </w:r>
          </w:p>
          <w:p>
            <w:pPr>
              <w:pStyle w:val="5"/>
              <w:spacing w:after="0"/>
              <w:jc w:val="both"/>
              <w:rPr>
                <w:rFonts w:ascii="宋体" w:hAnsi="宋体" w:eastAsia="宋体"/>
                <w:sz w:val="22"/>
              </w:rPr>
            </w:pPr>
            <w:r>
              <w:rPr>
                <w:rFonts w:ascii="宋体" w:hAnsi="宋体" w:eastAsia="宋体"/>
                <w:sz w:val="22"/>
              </w:rPr>
              <w:t>iSCSI功能：支持CHAP/IP认证；</w:t>
            </w:r>
          </w:p>
          <w:p>
            <w:pPr>
              <w:pStyle w:val="5"/>
              <w:spacing w:after="0"/>
              <w:jc w:val="both"/>
              <w:rPr>
                <w:rFonts w:ascii="宋体" w:hAnsi="宋体" w:eastAsia="宋体"/>
                <w:sz w:val="22"/>
              </w:rPr>
            </w:pPr>
            <w:r>
              <w:rPr>
                <w:rFonts w:ascii="宋体" w:hAnsi="宋体" w:eastAsia="宋体"/>
                <w:sz w:val="22"/>
              </w:rPr>
              <w:t>NAS功能：支持NFS、CIFS、 HTTP、 FTP共享；</w:t>
            </w:r>
          </w:p>
          <w:p>
            <w:pPr>
              <w:pStyle w:val="5"/>
              <w:spacing w:after="0"/>
              <w:jc w:val="both"/>
              <w:rPr>
                <w:rFonts w:ascii="宋体" w:hAnsi="宋体" w:eastAsia="宋体"/>
                <w:sz w:val="22"/>
              </w:rPr>
            </w:pPr>
            <w:r>
              <w:rPr>
                <w:rFonts w:ascii="宋体" w:hAnsi="宋体" w:eastAsia="宋体"/>
                <w:sz w:val="22"/>
              </w:rPr>
              <w:t>RAID级别：RAID 0,1,5,6,7,10,50,60,单盘，支持专用热备、全局热备、支持磁盘漫游；</w:t>
            </w:r>
          </w:p>
          <w:p>
            <w:pPr>
              <w:pStyle w:val="5"/>
              <w:spacing w:after="0"/>
              <w:jc w:val="both"/>
              <w:rPr>
                <w:rFonts w:ascii="宋体" w:hAnsi="宋体" w:eastAsia="宋体"/>
                <w:sz w:val="22"/>
              </w:rPr>
            </w:pPr>
            <w:r>
              <w:rPr>
                <w:rFonts w:hint="eastAsia" w:ascii="宋体" w:hAnsi="宋体" w:eastAsia="宋体"/>
                <w:sz w:val="22"/>
              </w:rPr>
              <w:t>故障报警：日志告警、联动报警、指示灯及声音告警、</w:t>
            </w:r>
            <w:r>
              <w:rPr>
                <w:rFonts w:ascii="宋体" w:hAnsi="宋体" w:eastAsia="宋体"/>
                <w:sz w:val="22"/>
              </w:rPr>
              <w:t>SNMP /E mail告警；</w:t>
            </w:r>
          </w:p>
          <w:p>
            <w:pPr>
              <w:pStyle w:val="5"/>
              <w:spacing w:after="0"/>
              <w:jc w:val="both"/>
              <w:rPr>
                <w:rFonts w:ascii="宋体" w:hAnsi="宋体" w:eastAsia="宋体"/>
                <w:sz w:val="22"/>
              </w:rPr>
            </w:pPr>
            <w:r>
              <w:rPr>
                <w:rFonts w:hint="eastAsia" w:ascii="宋体" w:hAnsi="宋体" w:eastAsia="宋体"/>
                <w:sz w:val="22"/>
              </w:rPr>
              <w:t>处理器：</w:t>
            </w:r>
            <w:r>
              <w:rPr>
                <w:rFonts w:ascii="宋体" w:hAnsi="宋体" w:eastAsia="宋体"/>
                <w:sz w:val="22"/>
              </w:rPr>
              <w:t>64位多核存储专用处理器；</w:t>
            </w:r>
          </w:p>
          <w:p>
            <w:pPr>
              <w:pStyle w:val="5"/>
              <w:spacing w:after="0"/>
              <w:jc w:val="both"/>
              <w:rPr>
                <w:rFonts w:ascii="宋体" w:hAnsi="宋体" w:eastAsia="宋体"/>
                <w:sz w:val="22"/>
              </w:rPr>
            </w:pPr>
            <w:r>
              <w:rPr>
                <w:rFonts w:hint="eastAsia" w:ascii="宋体" w:hAnsi="宋体" w:eastAsia="宋体"/>
                <w:sz w:val="22"/>
              </w:rPr>
              <w:t>基本通道：</w:t>
            </w:r>
            <w:r>
              <w:rPr>
                <w:rFonts w:ascii="宋体" w:hAnsi="宋体" w:eastAsia="宋体"/>
                <w:sz w:val="22"/>
              </w:rPr>
              <w:t>2个10/100/1000Mb自适应以太网口，可扩展；</w:t>
            </w:r>
          </w:p>
          <w:p>
            <w:pPr>
              <w:pStyle w:val="5"/>
              <w:spacing w:after="0"/>
              <w:jc w:val="both"/>
              <w:rPr>
                <w:rFonts w:ascii="宋体" w:hAnsi="宋体" w:eastAsia="宋体"/>
                <w:sz w:val="22"/>
              </w:rPr>
            </w:pPr>
            <w:r>
              <w:rPr>
                <w:rFonts w:hint="eastAsia" w:ascii="宋体" w:hAnsi="宋体" w:eastAsia="宋体"/>
                <w:sz w:val="22"/>
              </w:rPr>
              <w:t>磁盘支持类型：</w:t>
            </w:r>
            <w:r>
              <w:rPr>
                <w:rFonts w:ascii="宋体" w:hAnsi="宋体" w:eastAsia="宋体"/>
                <w:sz w:val="22"/>
              </w:rPr>
              <w:t>2.5/3.5" SATA、SAS、SSD；</w:t>
            </w:r>
          </w:p>
          <w:p>
            <w:pPr>
              <w:pStyle w:val="5"/>
              <w:spacing w:after="0"/>
              <w:jc w:val="both"/>
              <w:rPr>
                <w:rFonts w:ascii="宋体" w:hAnsi="宋体" w:eastAsia="宋体"/>
                <w:sz w:val="22"/>
              </w:rPr>
            </w:pPr>
            <w:r>
              <w:rPr>
                <w:rFonts w:hint="eastAsia" w:ascii="宋体" w:hAnsi="宋体" w:eastAsia="宋体"/>
                <w:sz w:val="22"/>
              </w:rPr>
              <w:t>磁盘要求：不低于</w:t>
            </w:r>
            <w:r>
              <w:rPr>
                <w:rFonts w:ascii="宋体" w:hAnsi="宋体" w:eastAsia="宋体"/>
                <w:sz w:val="22"/>
              </w:rPr>
              <w:t>100T，SAS硬盘，转速不低于7200转。</w:t>
            </w:r>
          </w:p>
          <w:p>
            <w:pPr>
              <w:pStyle w:val="5"/>
              <w:spacing w:after="0"/>
              <w:jc w:val="both"/>
              <w:rPr>
                <w:rFonts w:ascii="宋体" w:hAnsi="宋体" w:eastAsia="宋体"/>
                <w:sz w:val="22"/>
              </w:rPr>
            </w:pPr>
            <w:r>
              <w:rPr>
                <w:rFonts w:hint="eastAsia" w:ascii="宋体" w:hAnsi="宋体" w:eastAsia="宋体"/>
                <w:sz w:val="22"/>
              </w:rPr>
              <w:t>操作系统：支持统信</w:t>
            </w:r>
            <w:r>
              <w:rPr>
                <w:rFonts w:ascii="宋体" w:hAnsi="宋体" w:eastAsia="宋体"/>
                <w:sz w:val="22"/>
              </w:rPr>
              <w:t>UOS、银河麒麟OS等信创国产操作系统。</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1</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14</w:t>
            </w:r>
          </w:p>
        </w:tc>
        <w:tc>
          <w:tcPr>
            <w:tcW w:w="993" w:type="dxa"/>
            <w:vAlign w:val="center"/>
          </w:tcPr>
          <w:p>
            <w:pPr>
              <w:pStyle w:val="5"/>
              <w:jc w:val="both"/>
              <w:rPr>
                <w:rFonts w:ascii="宋体" w:hAnsi="宋体" w:eastAsia="宋体"/>
                <w:sz w:val="22"/>
              </w:rPr>
            </w:pPr>
            <w:r>
              <w:rPr>
                <w:rFonts w:hint="eastAsia" w:ascii="宋体" w:hAnsi="宋体" w:eastAsia="宋体"/>
                <w:sz w:val="22"/>
              </w:rPr>
              <w:t>链路</w:t>
            </w:r>
          </w:p>
        </w:tc>
        <w:tc>
          <w:tcPr>
            <w:tcW w:w="4961" w:type="dxa"/>
            <w:vAlign w:val="center"/>
          </w:tcPr>
          <w:p>
            <w:pPr>
              <w:pStyle w:val="5"/>
              <w:jc w:val="both"/>
              <w:rPr>
                <w:rFonts w:ascii="宋体" w:hAnsi="宋体" w:eastAsia="宋体"/>
                <w:sz w:val="22"/>
              </w:rPr>
            </w:pPr>
            <w:r>
              <w:rPr>
                <w:rFonts w:hint="eastAsia" w:ascii="宋体" w:hAnsi="宋体" w:eastAsia="宋体"/>
                <w:sz w:val="22"/>
              </w:rPr>
              <w:t>每台机巢一条</w:t>
            </w:r>
            <w:r>
              <w:rPr>
                <w:rFonts w:ascii="宋体" w:hAnsi="宋体" w:eastAsia="宋体"/>
                <w:sz w:val="22"/>
              </w:rPr>
              <w:t>5OM带宽政务外网专线</w:t>
            </w:r>
            <w:r>
              <w:rPr>
                <w:rFonts w:hint="eastAsia" w:ascii="宋体" w:hAnsi="宋体" w:eastAsia="宋体"/>
                <w:sz w:val="22"/>
              </w:rPr>
              <w:t>，共1</w:t>
            </w:r>
            <w:r>
              <w:rPr>
                <w:rFonts w:ascii="宋体" w:hAnsi="宋体" w:eastAsia="宋体"/>
                <w:sz w:val="22"/>
              </w:rPr>
              <w:t>6</w:t>
            </w:r>
            <w:r>
              <w:rPr>
                <w:rFonts w:hint="eastAsia" w:ascii="宋体" w:hAnsi="宋体" w:eastAsia="宋体"/>
                <w:sz w:val="22"/>
              </w:rPr>
              <w:t>条链路，包含3年租用费。</w:t>
            </w:r>
          </w:p>
        </w:tc>
        <w:tc>
          <w:tcPr>
            <w:tcW w:w="709" w:type="dxa"/>
            <w:vAlign w:val="center"/>
          </w:tcPr>
          <w:p>
            <w:pPr>
              <w:pStyle w:val="5"/>
              <w:jc w:val="both"/>
              <w:rPr>
                <w:rFonts w:ascii="宋体" w:hAnsi="宋体" w:eastAsia="宋体"/>
                <w:sz w:val="22"/>
              </w:rPr>
            </w:pPr>
            <w:r>
              <w:rPr>
                <w:rFonts w:hint="eastAsia" w:ascii="宋体" w:hAnsi="宋体" w:eastAsia="宋体"/>
                <w:sz w:val="22"/>
              </w:rPr>
              <w:t>条</w:t>
            </w:r>
          </w:p>
        </w:tc>
        <w:tc>
          <w:tcPr>
            <w:tcW w:w="708" w:type="dxa"/>
            <w:vAlign w:val="center"/>
          </w:tcPr>
          <w:p>
            <w:pPr>
              <w:pStyle w:val="5"/>
              <w:jc w:val="both"/>
              <w:rPr>
                <w:rFonts w:ascii="宋体" w:hAnsi="宋体" w:eastAsia="宋体"/>
                <w:sz w:val="22"/>
              </w:rPr>
            </w:pPr>
            <w:r>
              <w:rPr>
                <w:rFonts w:ascii="宋体" w:hAnsi="宋体" w:eastAsia="宋体"/>
                <w:sz w:val="22"/>
              </w:rPr>
              <w:t>16</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15</w:t>
            </w:r>
          </w:p>
        </w:tc>
        <w:tc>
          <w:tcPr>
            <w:tcW w:w="993" w:type="dxa"/>
            <w:vAlign w:val="center"/>
          </w:tcPr>
          <w:p>
            <w:pPr>
              <w:pStyle w:val="5"/>
              <w:jc w:val="both"/>
              <w:rPr>
                <w:rFonts w:ascii="宋体" w:hAnsi="宋体" w:eastAsia="宋体"/>
                <w:sz w:val="22"/>
              </w:rPr>
            </w:pPr>
            <w:r>
              <w:rPr>
                <w:rFonts w:hint="eastAsia" w:ascii="宋体" w:hAnsi="宋体" w:eastAsia="宋体"/>
                <w:sz w:val="22"/>
              </w:rPr>
              <w:t>无人机</w:t>
            </w:r>
            <w:r>
              <w:rPr>
                <w:rFonts w:ascii="宋体" w:hAnsi="宋体" w:eastAsia="宋体"/>
                <w:sz w:val="22"/>
              </w:rPr>
              <w:t>5G增强政务外网流量卡</w:t>
            </w:r>
          </w:p>
        </w:tc>
        <w:tc>
          <w:tcPr>
            <w:tcW w:w="4961" w:type="dxa"/>
            <w:vAlign w:val="center"/>
          </w:tcPr>
          <w:p>
            <w:pPr>
              <w:pStyle w:val="5"/>
              <w:jc w:val="both"/>
              <w:rPr>
                <w:rFonts w:ascii="宋体" w:hAnsi="宋体" w:eastAsia="宋体"/>
                <w:sz w:val="22"/>
              </w:rPr>
            </w:pPr>
            <w:r>
              <w:rPr>
                <w:rFonts w:ascii="宋体" w:hAnsi="宋体" w:eastAsia="宋体"/>
                <w:sz w:val="22"/>
              </w:rPr>
              <w:t>18张流量卡，包含3年流量，每个月30G流量。</w:t>
            </w:r>
          </w:p>
        </w:tc>
        <w:tc>
          <w:tcPr>
            <w:tcW w:w="709" w:type="dxa"/>
            <w:vAlign w:val="center"/>
          </w:tcPr>
          <w:p>
            <w:pPr>
              <w:pStyle w:val="5"/>
              <w:jc w:val="both"/>
              <w:rPr>
                <w:rFonts w:ascii="宋体" w:hAnsi="宋体" w:eastAsia="宋体"/>
                <w:sz w:val="22"/>
              </w:rPr>
            </w:pPr>
            <w:r>
              <w:rPr>
                <w:rFonts w:hint="eastAsia" w:ascii="宋体" w:hAnsi="宋体" w:eastAsia="宋体"/>
                <w:sz w:val="22"/>
              </w:rPr>
              <w:t>年次</w:t>
            </w:r>
          </w:p>
        </w:tc>
        <w:tc>
          <w:tcPr>
            <w:tcW w:w="708" w:type="dxa"/>
            <w:vAlign w:val="center"/>
          </w:tcPr>
          <w:p>
            <w:pPr>
              <w:pStyle w:val="5"/>
              <w:jc w:val="both"/>
              <w:rPr>
                <w:rFonts w:ascii="宋体" w:hAnsi="宋体" w:eastAsia="宋体"/>
                <w:sz w:val="22"/>
              </w:rPr>
            </w:pPr>
            <w:r>
              <w:rPr>
                <w:rFonts w:ascii="宋体" w:hAnsi="宋体" w:eastAsia="宋体"/>
                <w:sz w:val="22"/>
              </w:rPr>
              <w:t>18</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16</w:t>
            </w:r>
          </w:p>
        </w:tc>
        <w:tc>
          <w:tcPr>
            <w:tcW w:w="993" w:type="dxa"/>
            <w:vAlign w:val="center"/>
          </w:tcPr>
          <w:p>
            <w:pPr>
              <w:pStyle w:val="5"/>
              <w:jc w:val="both"/>
              <w:rPr>
                <w:rFonts w:ascii="宋体" w:hAnsi="宋体" w:eastAsia="宋体"/>
                <w:sz w:val="22"/>
              </w:rPr>
            </w:pPr>
            <w:r>
              <w:rPr>
                <w:rFonts w:hint="eastAsia" w:ascii="宋体" w:hAnsi="宋体" w:eastAsia="宋体"/>
                <w:sz w:val="22"/>
              </w:rPr>
              <w:t>机动无人机数据传输配件</w:t>
            </w:r>
          </w:p>
        </w:tc>
        <w:tc>
          <w:tcPr>
            <w:tcW w:w="4961" w:type="dxa"/>
            <w:vAlign w:val="center"/>
          </w:tcPr>
          <w:p>
            <w:pPr>
              <w:pStyle w:val="5"/>
              <w:jc w:val="both"/>
              <w:rPr>
                <w:rFonts w:ascii="宋体" w:hAnsi="宋体" w:eastAsia="宋体"/>
                <w:sz w:val="22"/>
              </w:rPr>
            </w:pPr>
            <w:r>
              <w:rPr>
                <w:rFonts w:hint="eastAsia" w:ascii="宋体" w:hAnsi="宋体" w:eastAsia="宋体"/>
                <w:sz w:val="22"/>
              </w:rPr>
              <w:t>机动无人机手柄外接设备，实现机动无人机数据通过</w:t>
            </w:r>
            <w:r>
              <w:rPr>
                <w:rFonts w:ascii="宋体" w:hAnsi="宋体" w:eastAsia="宋体"/>
                <w:sz w:val="22"/>
              </w:rPr>
              <w:t>5G卡传输到服务器</w:t>
            </w:r>
          </w:p>
        </w:tc>
        <w:tc>
          <w:tcPr>
            <w:tcW w:w="709" w:type="dxa"/>
            <w:vAlign w:val="center"/>
          </w:tcPr>
          <w:p>
            <w:pPr>
              <w:pStyle w:val="5"/>
              <w:jc w:val="both"/>
              <w:rPr>
                <w:rFonts w:ascii="宋体" w:hAnsi="宋体" w:eastAsia="宋体"/>
                <w:sz w:val="22"/>
              </w:rPr>
            </w:pPr>
            <w:r>
              <w:rPr>
                <w:rFonts w:hint="eastAsia" w:ascii="宋体" w:hAnsi="宋体" w:eastAsia="宋体"/>
                <w:sz w:val="22"/>
              </w:rPr>
              <w:t>个</w:t>
            </w:r>
          </w:p>
        </w:tc>
        <w:tc>
          <w:tcPr>
            <w:tcW w:w="708" w:type="dxa"/>
            <w:vAlign w:val="center"/>
          </w:tcPr>
          <w:p>
            <w:pPr>
              <w:pStyle w:val="5"/>
              <w:jc w:val="both"/>
              <w:rPr>
                <w:rFonts w:ascii="宋体" w:hAnsi="宋体" w:eastAsia="宋体"/>
                <w:sz w:val="22"/>
              </w:rPr>
            </w:pPr>
            <w:r>
              <w:rPr>
                <w:rFonts w:hint="eastAsia" w:ascii="宋体" w:hAnsi="宋体" w:eastAsia="宋体"/>
                <w:sz w:val="22"/>
              </w:rPr>
              <w:t>3</w:t>
            </w:r>
            <w:r>
              <w:rPr>
                <w:rFonts w:ascii="宋体" w:hAnsi="宋体" w:eastAsia="宋体"/>
                <w:sz w:val="22"/>
              </w:rPr>
              <w:t>4</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sz w:val="22"/>
                <w:lang w:val="en-US" w:eastAsia="zh-CN"/>
              </w:rPr>
            </w:pPr>
            <w:r>
              <w:rPr>
                <w:rFonts w:hint="eastAsia" w:ascii="宋体" w:hAnsi="宋体" w:eastAsia="宋体"/>
                <w:sz w:val="22"/>
                <w:lang w:val="en-US" w:eastAsia="zh-CN"/>
              </w:rPr>
              <w:t>17</w:t>
            </w:r>
          </w:p>
        </w:tc>
        <w:tc>
          <w:tcPr>
            <w:tcW w:w="993" w:type="dxa"/>
            <w:vAlign w:val="center"/>
          </w:tcPr>
          <w:p>
            <w:pPr>
              <w:pStyle w:val="5"/>
              <w:jc w:val="both"/>
              <w:rPr>
                <w:rFonts w:ascii="宋体" w:hAnsi="宋体" w:eastAsia="宋体"/>
                <w:sz w:val="22"/>
              </w:rPr>
            </w:pPr>
            <w:r>
              <w:rPr>
                <w:rFonts w:hint="eastAsia" w:ascii="宋体" w:hAnsi="宋体" w:eastAsia="宋体"/>
                <w:sz w:val="22"/>
              </w:rPr>
              <w:t>无人机操控终端</w:t>
            </w:r>
          </w:p>
        </w:tc>
        <w:tc>
          <w:tcPr>
            <w:tcW w:w="4961" w:type="dxa"/>
            <w:vAlign w:val="center"/>
          </w:tcPr>
          <w:p>
            <w:pPr>
              <w:pStyle w:val="5"/>
              <w:jc w:val="both"/>
              <w:rPr>
                <w:rFonts w:ascii="宋体" w:hAnsi="宋体" w:eastAsia="宋体"/>
                <w:sz w:val="22"/>
              </w:rPr>
            </w:pPr>
            <w:r>
              <w:rPr>
                <w:rFonts w:hint="eastAsia" w:ascii="宋体" w:hAnsi="宋体" w:eastAsia="宋体"/>
                <w:sz w:val="22"/>
              </w:rPr>
              <w:t>独显</w:t>
            </w:r>
            <w:r>
              <w:rPr>
                <w:rFonts w:ascii="宋体" w:hAnsi="宋体" w:eastAsia="宋体"/>
                <w:sz w:val="22"/>
              </w:rPr>
              <w:t>2G以上显存，显示器27英寸以上曲面屏。</w:t>
            </w:r>
          </w:p>
        </w:tc>
        <w:tc>
          <w:tcPr>
            <w:tcW w:w="709" w:type="dxa"/>
            <w:vAlign w:val="center"/>
          </w:tcPr>
          <w:p>
            <w:pPr>
              <w:pStyle w:val="5"/>
              <w:jc w:val="both"/>
              <w:rPr>
                <w:rFonts w:ascii="宋体" w:hAnsi="宋体" w:eastAsia="宋体"/>
                <w:sz w:val="22"/>
              </w:rPr>
            </w:pPr>
            <w:r>
              <w:rPr>
                <w:rFonts w:hint="eastAsia" w:ascii="宋体" w:hAnsi="宋体" w:eastAsia="宋体"/>
                <w:sz w:val="22"/>
              </w:rPr>
              <w:t>台</w:t>
            </w:r>
          </w:p>
        </w:tc>
        <w:tc>
          <w:tcPr>
            <w:tcW w:w="708" w:type="dxa"/>
            <w:vAlign w:val="center"/>
          </w:tcPr>
          <w:p>
            <w:pPr>
              <w:pStyle w:val="5"/>
              <w:jc w:val="both"/>
              <w:rPr>
                <w:rFonts w:ascii="宋体" w:hAnsi="宋体" w:eastAsia="宋体"/>
                <w:sz w:val="22"/>
              </w:rPr>
            </w:pPr>
            <w:r>
              <w:rPr>
                <w:rFonts w:hint="eastAsia" w:ascii="宋体" w:hAnsi="宋体" w:eastAsia="宋体"/>
                <w:sz w:val="22"/>
              </w:rPr>
              <w:t>1</w:t>
            </w:r>
          </w:p>
        </w:tc>
        <w:tc>
          <w:tcPr>
            <w:tcW w:w="709" w:type="dxa"/>
            <w:vAlign w:val="center"/>
          </w:tcPr>
          <w:p>
            <w:pPr>
              <w:pStyle w:val="5"/>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5"/>
              <w:jc w:val="both"/>
              <w:rPr>
                <w:rFonts w:hint="default" w:ascii="宋体" w:hAnsi="宋体" w:eastAsia="宋体" w:cstheme="minorBidi"/>
                <w:kern w:val="2"/>
                <w:sz w:val="22"/>
                <w:szCs w:val="22"/>
                <w:lang w:val="en-US" w:eastAsia="zh-CN" w:bidi="ar-SA"/>
              </w:rPr>
            </w:pPr>
            <w:r>
              <w:rPr>
                <w:rFonts w:hint="eastAsia" w:ascii="宋体" w:hAnsi="宋体" w:eastAsia="宋体"/>
                <w:sz w:val="22"/>
                <w:lang w:val="en-US" w:eastAsia="zh-CN"/>
              </w:rPr>
              <w:t>18</w:t>
            </w:r>
          </w:p>
        </w:tc>
        <w:tc>
          <w:tcPr>
            <w:tcW w:w="993" w:type="dxa"/>
            <w:vAlign w:val="center"/>
          </w:tcPr>
          <w:p>
            <w:pPr>
              <w:pStyle w:val="5"/>
              <w:jc w:val="both"/>
              <w:rPr>
                <w:rFonts w:hint="eastAsia" w:ascii="宋体" w:hAnsi="宋体" w:eastAsia="宋体" w:cstheme="minorBidi"/>
                <w:kern w:val="2"/>
                <w:sz w:val="22"/>
                <w:szCs w:val="22"/>
                <w:lang w:val="en-US" w:eastAsia="zh-CN" w:bidi="ar-SA"/>
              </w:rPr>
            </w:pPr>
            <w:r>
              <w:rPr>
                <w:rFonts w:hint="eastAsia" w:ascii="宋体" w:hAnsi="宋体" w:eastAsia="宋体"/>
                <w:sz w:val="22"/>
                <w:lang w:val="en-US" w:eastAsia="zh-CN"/>
              </w:rPr>
              <w:t>集成与调试</w:t>
            </w:r>
          </w:p>
        </w:tc>
        <w:tc>
          <w:tcPr>
            <w:tcW w:w="4961" w:type="dxa"/>
            <w:vAlign w:val="center"/>
          </w:tcPr>
          <w:p>
            <w:pPr>
              <w:pStyle w:val="5"/>
              <w:jc w:val="both"/>
              <w:rPr>
                <w:rFonts w:hint="eastAsia" w:ascii="宋体" w:hAnsi="宋体" w:eastAsia="宋体" w:cstheme="minorBidi"/>
                <w:kern w:val="2"/>
                <w:sz w:val="22"/>
                <w:szCs w:val="22"/>
                <w:lang w:val="en-US" w:eastAsia="zh-CN" w:bidi="ar-SA"/>
              </w:rPr>
            </w:pPr>
            <w:r>
              <w:rPr>
                <w:rFonts w:hint="eastAsia" w:ascii="宋体" w:hAnsi="宋体" w:eastAsia="宋体"/>
                <w:sz w:val="22"/>
                <w:lang w:val="en-US" w:eastAsia="zh-CN"/>
              </w:rPr>
              <w:t>设备的集成与调试</w:t>
            </w:r>
          </w:p>
        </w:tc>
        <w:tc>
          <w:tcPr>
            <w:tcW w:w="709" w:type="dxa"/>
            <w:vAlign w:val="center"/>
          </w:tcPr>
          <w:p>
            <w:pPr>
              <w:pStyle w:val="5"/>
              <w:jc w:val="both"/>
              <w:rPr>
                <w:rFonts w:hint="eastAsia" w:ascii="宋体" w:hAnsi="宋体" w:eastAsia="宋体" w:cstheme="minorBidi"/>
                <w:kern w:val="2"/>
                <w:sz w:val="22"/>
                <w:szCs w:val="22"/>
                <w:lang w:val="en-US" w:eastAsia="zh-CN" w:bidi="ar-SA"/>
              </w:rPr>
            </w:pPr>
            <w:r>
              <w:rPr>
                <w:rFonts w:hint="eastAsia" w:ascii="宋体" w:hAnsi="宋体" w:eastAsia="宋体"/>
                <w:sz w:val="22"/>
                <w:lang w:val="en-US" w:eastAsia="zh-CN"/>
              </w:rPr>
              <w:t>项</w:t>
            </w:r>
          </w:p>
        </w:tc>
        <w:tc>
          <w:tcPr>
            <w:tcW w:w="708" w:type="dxa"/>
            <w:vAlign w:val="center"/>
          </w:tcPr>
          <w:p>
            <w:pPr>
              <w:pStyle w:val="5"/>
              <w:jc w:val="both"/>
              <w:rPr>
                <w:rFonts w:hint="eastAsia" w:ascii="宋体" w:hAnsi="宋体" w:eastAsia="宋体" w:cstheme="minorBidi"/>
                <w:kern w:val="2"/>
                <w:sz w:val="22"/>
                <w:szCs w:val="22"/>
                <w:lang w:val="en-US" w:eastAsia="zh-CN" w:bidi="ar-SA"/>
              </w:rPr>
            </w:pPr>
            <w:r>
              <w:rPr>
                <w:rFonts w:hint="default" w:ascii="宋体" w:hAnsi="宋体" w:eastAsia="宋体"/>
                <w:sz w:val="22"/>
                <w:lang w:val="en-US"/>
              </w:rPr>
              <w:t>1</w:t>
            </w:r>
          </w:p>
        </w:tc>
        <w:tc>
          <w:tcPr>
            <w:tcW w:w="709" w:type="dxa"/>
            <w:vAlign w:val="center"/>
          </w:tcPr>
          <w:p>
            <w:pPr>
              <w:pStyle w:val="5"/>
              <w:jc w:val="both"/>
              <w:rPr>
                <w:rFonts w:ascii="宋体" w:hAnsi="宋体" w:eastAsia="宋体" w:cstheme="minorBidi"/>
                <w:kern w:val="2"/>
                <w:sz w:val="22"/>
                <w:szCs w:val="22"/>
                <w:lang w:val="en-US" w:eastAsia="zh-CN" w:bidi="ar-SA"/>
              </w:rPr>
            </w:pPr>
          </w:p>
        </w:tc>
      </w:tr>
    </w:tbl>
    <w:p>
      <w:pPr>
        <w:pStyle w:val="5"/>
      </w:pPr>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五、</w:t>
      </w:r>
      <w:r>
        <w:rPr>
          <w:rFonts w:hint="eastAsia" w:ascii="宋体" w:hAnsi="宋体" w:eastAsia="宋体"/>
          <w:sz w:val="24"/>
          <w:szCs w:val="24"/>
        </w:rPr>
        <w:t>软件功能要求清单</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1134"/>
        <w:gridCol w:w="3827"/>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both"/>
              <w:rPr>
                <w:rFonts w:ascii="宋体" w:hAnsi="宋体" w:eastAsia="宋体"/>
                <w:b/>
                <w:bCs/>
                <w:sz w:val="22"/>
              </w:rPr>
            </w:pPr>
            <w:r>
              <w:rPr>
                <w:rFonts w:hint="eastAsia" w:ascii="宋体" w:hAnsi="宋体" w:eastAsia="宋体"/>
                <w:b/>
                <w:bCs/>
                <w:sz w:val="22"/>
              </w:rPr>
              <w:t>序号</w:t>
            </w:r>
          </w:p>
        </w:tc>
        <w:tc>
          <w:tcPr>
            <w:tcW w:w="1134" w:type="dxa"/>
            <w:vAlign w:val="center"/>
          </w:tcPr>
          <w:p>
            <w:pPr>
              <w:jc w:val="both"/>
              <w:rPr>
                <w:rFonts w:ascii="宋体" w:hAnsi="宋体" w:eastAsia="宋体"/>
                <w:b/>
                <w:bCs/>
                <w:sz w:val="22"/>
              </w:rPr>
            </w:pPr>
            <w:r>
              <w:rPr>
                <w:rFonts w:hint="eastAsia" w:ascii="宋体" w:hAnsi="宋体" w:eastAsia="宋体"/>
                <w:b/>
                <w:bCs/>
                <w:sz w:val="22"/>
              </w:rPr>
              <w:t>建设内容</w:t>
            </w:r>
          </w:p>
        </w:tc>
        <w:tc>
          <w:tcPr>
            <w:tcW w:w="1134" w:type="dxa"/>
            <w:vAlign w:val="center"/>
          </w:tcPr>
          <w:p>
            <w:pPr>
              <w:jc w:val="both"/>
              <w:rPr>
                <w:rFonts w:ascii="宋体" w:hAnsi="宋体" w:eastAsia="宋体"/>
                <w:b/>
                <w:bCs/>
                <w:sz w:val="22"/>
              </w:rPr>
            </w:pPr>
            <w:r>
              <w:rPr>
                <w:rFonts w:hint="eastAsia" w:ascii="宋体" w:hAnsi="宋体" w:eastAsia="宋体"/>
                <w:b/>
                <w:bCs/>
                <w:sz w:val="22"/>
              </w:rPr>
              <w:t>系统名称</w:t>
            </w:r>
          </w:p>
        </w:tc>
        <w:tc>
          <w:tcPr>
            <w:tcW w:w="3827" w:type="dxa"/>
            <w:vAlign w:val="center"/>
          </w:tcPr>
          <w:p>
            <w:pPr>
              <w:jc w:val="both"/>
              <w:rPr>
                <w:rFonts w:ascii="宋体" w:hAnsi="宋体" w:eastAsia="宋体"/>
                <w:b/>
                <w:bCs/>
                <w:sz w:val="22"/>
              </w:rPr>
            </w:pPr>
            <w:r>
              <w:rPr>
                <w:rFonts w:hint="eastAsia" w:ascii="宋体" w:hAnsi="宋体" w:eastAsia="宋体"/>
                <w:b/>
                <w:bCs/>
                <w:sz w:val="22"/>
              </w:rPr>
              <w:t>功能要求</w:t>
            </w:r>
          </w:p>
        </w:tc>
        <w:tc>
          <w:tcPr>
            <w:tcW w:w="709" w:type="dxa"/>
            <w:vAlign w:val="center"/>
          </w:tcPr>
          <w:p>
            <w:pPr>
              <w:jc w:val="both"/>
              <w:rPr>
                <w:rFonts w:ascii="宋体" w:hAnsi="宋体" w:eastAsia="宋体"/>
                <w:b/>
                <w:bCs/>
                <w:sz w:val="22"/>
              </w:rPr>
            </w:pPr>
            <w:r>
              <w:rPr>
                <w:rFonts w:hint="eastAsia" w:ascii="宋体" w:hAnsi="宋体" w:eastAsia="宋体"/>
                <w:b/>
                <w:bCs/>
                <w:sz w:val="22"/>
              </w:rPr>
              <w:t>单位</w:t>
            </w:r>
          </w:p>
        </w:tc>
        <w:tc>
          <w:tcPr>
            <w:tcW w:w="708" w:type="dxa"/>
            <w:vAlign w:val="center"/>
          </w:tcPr>
          <w:p>
            <w:pPr>
              <w:jc w:val="both"/>
              <w:rPr>
                <w:rFonts w:ascii="宋体" w:hAnsi="宋体" w:eastAsia="宋体"/>
                <w:b/>
                <w:bCs/>
                <w:sz w:val="22"/>
              </w:rPr>
            </w:pPr>
            <w:r>
              <w:rPr>
                <w:rFonts w:hint="eastAsia" w:ascii="宋体" w:hAnsi="宋体" w:eastAsia="宋体"/>
                <w:b/>
                <w:bCs/>
                <w:sz w:val="22"/>
              </w:rPr>
              <w:t>数量</w:t>
            </w:r>
          </w:p>
        </w:tc>
        <w:tc>
          <w:tcPr>
            <w:tcW w:w="709" w:type="dxa"/>
            <w:vAlign w:val="center"/>
          </w:tcPr>
          <w:p>
            <w:pPr>
              <w:jc w:val="both"/>
              <w:rPr>
                <w:rFonts w:ascii="宋体" w:hAnsi="宋体" w:eastAsia="宋体"/>
                <w:b/>
                <w:bCs/>
                <w:sz w:val="22"/>
              </w:rPr>
            </w:pPr>
            <w:r>
              <w:rPr>
                <w:rFonts w:hint="eastAsia" w:ascii="宋体" w:hAnsi="宋体" w:eastAsia="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无人机数据中心建设要求</w:t>
            </w:r>
          </w:p>
        </w:tc>
        <w:tc>
          <w:tcPr>
            <w:tcW w:w="1134" w:type="dxa"/>
            <w:vMerge w:val="restart"/>
            <w:vAlign w:val="center"/>
          </w:tcPr>
          <w:p>
            <w:pPr>
              <w:jc w:val="both"/>
              <w:rPr>
                <w:rFonts w:ascii="宋体" w:hAnsi="宋体" w:eastAsia="宋体"/>
                <w:sz w:val="22"/>
              </w:rPr>
            </w:pPr>
            <w:r>
              <w:rPr>
                <w:rFonts w:hint="eastAsia" w:ascii="宋体" w:hAnsi="宋体" w:eastAsia="宋体"/>
                <w:sz w:val="22"/>
              </w:rPr>
              <w:t>业务空间数据资源管理</w:t>
            </w: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1）无人机遥感数据资源检索及分发</w:t>
            </w:r>
            <w:r>
              <w:rPr>
                <w:rFonts w:hint="eastAsia" w:ascii="宋体" w:hAnsi="宋体" w:eastAsia="宋体"/>
                <w:sz w:val="22"/>
              </w:rPr>
              <w:t>：无人机遥感数据资源查询模块通过关键词进行无人机遥感数据的模糊搜索和精确搜索；也可通过无人机遥感数据获取</w:t>
            </w:r>
            <w:r>
              <w:rPr>
                <w:rFonts w:ascii="宋体" w:hAnsi="宋体" w:eastAsia="宋体"/>
                <w:sz w:val="22"/>
              </w:rPr>
              <w:t>/生产日期进行指定时间周期的数据查询。查询结果可通过列表展示的方式在系统中呈现，也可选择地图模式，根据数据所携带的地理信息（如有）进行地图展示。</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2）无人机遥感数据资源登记</w:t>
            </w:r>
            <w:r>
              <w:rPr>
                <w:rFonts w:hint="eastAsia" w:ascii="宋体" w:hAnsi="宋体" w:eastAsia="宋体"/>
                <w:sz w:val="22"/>
              </w:rPr>
              <w:t>：提供无人机遥感数据资源登记入口，可指定数据登录进无人机遥感数据服务资源数据湖。</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3）无人机遥感数据资源删除</w:t>
            </w:r>
            <w:r>
              <w:rPr>
                <w:rFonts w:hint="eastAsia" w:ascii="宋体" w:hAnsi="宋体" w:eastAsia="宋体"/>
                <w:sz w:val="22"/>
              </w:rPr>
              <w:t>：提供无人机遥感数据资源删除入口，可进行无人机遥感数据资源的定向删除。</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4）无人机遥感数据资源申请及下载</w:t>
            </w:r>
            <w:r>
              <w:rPr>
                <w:rFonts w:hint="eastAsia" w:ascii="宋体" w:hAnsi="宋体" w:eastAsia="宋体"/>
                <w:sz w:val="22"/>
              </w:rPr>
              <w:t>：提供无人机遥感数据资源申请下载入口，通过此入口可申请下载指定无人机遥感数据。</w:t>
            </w:r>
          </w:p>
          <w:p>
            <w:pPr>
              <w:jc w:val="both"/>
              <w:rPr>
                <w:rFonts w:ascii="宋体" w:hAnsi="宋体" w:eastAsia="宋体"/>
                <w:sz w:val="22"/>
              </w:rPr>
            </w:pP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5）业务空间数据资源检索</w:t>
            </w:r>
            <w:r>
              <w:rPr>
                <w:rFonts w:hint="eastAsia" w:ascii="宋体" w:hAnsi="宋体" w:eastAsia="宋体"/>
                <w:sz w:val="22"/>
              </w:rPr>
              <w:t>：提供业务空间数据资源查询入口，可通过关键词进行无业务空间数据的模糊搜索和精确搜索；也可通过业务空间数据获取</w:t>
            </w:r>
            <w:r>
              <w:rPr>
                <w:rFonts w:ascii="宋体" w:hAnsi="宋体" w:eastAsia="宋体"/>
                <w:sz w:val="22"/>
              </w:rPr>
              <w:t>/生产日期进行指定时间周期的数据查询。查询结果可通过列表展示的方式在系统中呈现，也可选择地图模式进行地图展示。</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6）业务空间数据资源登记</w:t>
            </w:r>
            <w:r>
              <w:rPr>
                <w:rFonts w:hint="eastAsia" w:ascii="宋体" w:hAnsi="宋体" w:eastAsia="宋体"/>
                <w:sz w:val="22"/>
              </w:rPr>
              <w:t>：提供业务空间数据资源登记入口，可指定数据登录进业务空间数据服务资源数据湖中。</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7）业务空间数据更新</w:t>
            </w:r>
            <w:r>
              <w:rPr>
                <w:rFonts w:hint="eastAsia" w:ascii="宋体" w:hAnsi="宋体" w:eastAsia="宋体"/>
                <w:sz w:val="22"/>
              </w:rPr>
              <w:t>：提供业务空间数据更新入口，可上传</w:t>
            </w:r>
            <w:r>
              <w:rPr>
                <w:rFonts w:ascii="宋体" w:hAnsi="宋体" w:eastAsia="宋体"/>
                <w:sz w:val="22"/>
              </w:rPr>
              <w:t>/更新指定业务数据。</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8）业务空间数据使用申请及下载</w:t>
            </w:r>
            <w:r>
              <w:rPr>
                <w:rFonts w:hint="eastAsia" w:ascii="宋体" w:hAnsi="宋体" w:eastAsia="宋体"/>
                <w:sz w:val="22"/>
              </w:rPr>
              <w:t>：提供业务空间数据使用申请入口，可向资源湖管理处申请指定业务空间数据的定向使用权利。</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空间数据处理系统</w:t>
            </w:r>
          </w:p>
        </w:tc>
        <w:tc>
          <w:tcPr>
            <w:tcW w:w="3827" w:type="dxa"/>
            <w:vAlign w:val="center"/>
          </w:tcPr>
          <w:p>
            <w:pPr>
              <w:jc w:val="both"/>
              <w:rPr>
                <w:rFonts w:ascii="宋体" w:hAnsi="宋体" w:eastAsia="宋体"/>
                <w:sz w:val="22"/>
              </w:rPr>
            </w:pPr>
            <w:r>
              <w:rPr>
                <w:rFonts w:hint="eastAsia" w:ascii="宋体" w:hAnsi="宋体" w:eastAsia="宋体"/>
                <w:sz w:val="22"/>
              </w:rPr>
              <w:t>三维数据处理系统主要包括数据处理主程序、数据处理引擎和数据浏览三个模块。</w:t>
            </w:r>
          </w:p>
          <w:p>
            <w:pPr>
              <w:jc w:val="both"/>
              <w:rPr>
                <w:rFonts w:ascii="宋体" w:hAnsi="宋体" w:eastAsia="宋体"/>
                <w:sz w:val="22"/>
              </w:rPr>
            </w:pPr>
            <w:r>
              <w:rPr>
                <w:rFonts w:hint="eastAsia" w:ascii="宋体" w:hAnsi="宋体" w:eastAsia="宋体"/>
                <w:sz w:val="22"/>
              </w:rPr>
              <w:t>（1）数据处理主程序</w:t>
            </w:r>
          </w:p>
          <w:p>
            <w:pPr>
              <w:jc w:val="both"/>
              <w:rPr>
                <w:rFonts w:ascii="宋体" w:hAnsi="宋体" w:eastAsia="宋体"/>
                <w:sz w:val="22"/>
              </w:rPr>
            </w:pPr>
            <w:r>
              <w:rPr>
                <w:rFonts w:hint="eastAsia" w:ascii="宋体" w:hAnsi="宋体" w:eastAsia="宋体"/>
                <w:sz w:val="22"/>
              </w:rPr>
              <w:t>数据处理主程序是实景建模软件的主模块，主要进行导入数据集、定义处理过程设置、提交作业任务、监控作业任务进度、浏览处理结果等功能。</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（2）数据处理引擎运算模块</w:t>
            </w:r>
          </w:p>
          <w:p>
            <w:pPr>
              <w:jc w:val="both"/>
              <w:rPr>
                <w:rFonts w:ascii="宋体" w:hAnsi="宋体" w:eastAsia="宋体"/>
                <w:sz w:val="22"/>
              </w:rPr>
            </w:pPr>
            <w:r>
              <w:rPr>
                <w:rFonts w:hint="eastAsia" w:ascii="宋体" w:hAnsi="宋体" w:eastAsia="宋体"/>
                <w:sz w:val="22"/>
              </w:rPr>
              <w:t>数据处理引擎模块运行在后台，不需要交互。当没有运算任务时，该模块会自动抓取并执行等待的任务，而抓取顺序取决于任务的优先级别。一个任务可能是空三任务，也可能是三维重建任务，引擎端会做大量的计算密集型工作（关键点提取，自动连接点匹配，光束平差，稠密影像匹配，鲁棒3D重建，无缝纹理映射，Atlas纹理打包，LOD生成）。</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（3）数据浏览模块</w:t>
            </w:r>
          </w:p>
          <w:p>
            <w:pPr>
              <w:jc w:val="both"/>
              <w:rPr>
                <w:rFonts w:ascii="宋体" w:hAnsi="宋体" w:eastAsia="宋体"/>
                <w:sz w:val="22"/>
              </w:rPr>
            </w:pPr>
            <w:r>
              <w:rPr>
                <w:rFonts w:hint="eastAsia" w:ascii="宋体" w:hAnsi="宋体" w:eastAsia="宋体"/>
                <w:sz w:val="22"/>
              </w:rPr>
              <w:t>数据浏览模块是平台的数据浏览器。该模块是一个轻量级的可视化软件，可用来查看主模块中生成的最终结果。</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低空无人机运营中心建设要求</w:t>
            </w:r>
          </w:p>
        </w:tc>
        <w:tc>
          <w:tcPr>
            <w:tcW w:w="1134" w:type="dxa"/>
            <w:vMerge w:val="restart"/>
            <w:vAlign w:val="center"/>
          </w:tcPr>
          <w:p>
            <w:pPr>
              <w:jc w:val="both"/>
              <w:rPr>
                <w:rFonts w:ascii="宋体" w:hAnsi="宋体" w:eastAsia="宋体"/>
                <w:sz w:val="22"/>
              </w:rPr>
            </w:pPr>
            <w:r>
              <w:rPr>
                <w:rFonts w:hint="eastAsia" w:ascii="宋体" w:hAnsi="宋体" w:eastAsia="宋体"/>
                <w:sz w:val="22"/>
              </w:rPr>
              <w:t>无人机集群指挥调度系统</w:t>
            </w:r>
          </w:p>
        </w:tc>
        <w:tc>
          <w:tcPr>
            <w:tcW w:w="3827" w:type="dxa"/>
            <w:vAlign w:val="center"/>
          </w:tcPr>
          <w:p>
            <w:pPr>
              <w:jc w:val="both"/>
              <w:rPr>
                <w:rFonts w:ascii="宋体" w:hAnsi="宋体" w:eastAsia="宋体" w:cs="宋体"/>
                <w:sz w:val="22"/>
              </w:rPr>
            </w:pPr>
            <w:r>
              <w:rPr>
                <w:rFonts w:hint="eastAsia" w:ascii="宋体" w:hAnsi="宋体" w:eastAsia="宋体" w:cs="宋体"/>
                <w:sz w:val="22"/>
              </w:rPr>
              <w:t>（1）作业态势监控：提供无人机\基站作业过程全态势监控能力，包括对无人机作业进行实时监控，实时获取无人机直播画面、位置、朝向、任务完成进度、电池、飞行状态等信息，支持4、9、16台无人作业画面同屏监控等功能。</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（2）集群调度：提供无人机/基站集群化调度作业功能，包括支持不限数量无人机集群调度作业，可一键调度所有无人机同时起飞同时作业等。</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）快捷调度：提供无人机/基站快捷调度作业功能，包括支持单台无人机特巡调度作业，可随时随地安排任一台无人机执行指定任务。</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（4）计划作业：提供无人机/基站定时调度作业功能，包括支持无人机计划调度作业，可预先规划任意时间点周期或非周期巡查任务，无人机到点根据天气条件、设备状态情况自动作业。</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5）应急调度：提供无人机/基站切换人工控制功能，包括支持作业无人机的实时人工接管，支持无人机远程驾驶，包括远程控制无人机朝向、移动、焦距、镜头切换等，支持指点飞行，在地图上任意点击后无人机前往飞行位置。</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（6）挂载交互：提供各种类型挂载交互功能，包括喊话器、聚光灯、红外传感器、气体监测器灯等。</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（7）机动无人机数据接入：能够接入机动飞行的无人机数据，能够显示无人机飞行航线，获取无人机飞行的视频和图像信号，在系统中进行展示</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（8）数据同步显示：提供巡查直播中相关数据关联显示功能，包括POI增强现实展示、巡查区域增强现实展示等。</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cs="宋体"/>
                <w:sz w:val="22"/>
              </w:rPr>
              <w:t>（9）第三方无人机监管：提供第三方无人机监控功能，包括通过接入民航局云系统，获取第三方无人机所在位置、从而避免飞行路线交叉碰撞问题。</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低空航路网规划系统</w:t>
            </w:r>
          </w:p>
        </w:tc>
        <w:tc>
          <w:tcPr>
            <w:tcW w:w="3827" w:type="dxa"/>
            <w:vAlign w:val="center"/>
          </w:tcPr>
          <w:p>
            <w:pPr>
              <w:jc w:val="both"/>
              <w:rPr>
                <w:rFonts w:ascii="宋体" w:hAnsi="宋体" w:eastAsia="宋体" w:cs="宋体"/>
                <w:sz w:val="22"/>
              </w:rPr>
            </w:pPr>
            <w:r>
              <w:rPr>
                <w:rFonts w:hint="eastAsia" w:ascii="宋体" w:hAnsi="宋体" w:eastAsia="宋体" w:cs="宋体"/>
                <w:sz w:val="22"/>
              </w:rPr>
              <w:t>低空航路网规划子系统主要针对精细化巡查应用，提供基于三维模型上进行无人机高精度三维航线规划，并基于三维模型进行三维航线监测，保障无人机在精细化场景下的巡查作业。</w:t>
            </w:r>
          </w:p>
          <w:p>
            <w:pPr>
              <w:jc w:val="both"/>
              <w:rPr>
                <w:rFonts w:ascii="宋体" w:hAnsi="宋体" w:eastAsia="宋体" w:cs="宋体"/>
                <w:sz w:val="22"/>
              </w:rPr>
            </w:pPr>
            <w:r>
              <w:rPr>
                <w:rFonts w:hint="eastAsia" w:ascii="宋体" w:hAnsi="宋体" w:eastAsia="宋体" w:cs="宋体"/>
                <w:sz w:val="22"/>
              </w:rPr>
              <w:t>（1）航线三维规划</w:t>
            </w:r>
          </w:p>
          <w:p>
            <w:pPr>
              <w:jc w:val="both"/>
              <w:rPr>
                <w:rFonts w:ascii="宋体" w:hAnsi="宋体" w:eastAsia="宋体" w:cs="宋体"/>
                <w:sz w:val="22"/>
              </w:rPr>
            </w:pPr>
            <w:r>
              <w:rPr>
                <w:rFonts w:hint="eastAsia" w:ascii="宋体" w:hAnsi="宋体" w:eastAsia="宋体" w:cs="宋体"/>
                <w:sz w:val="22"/>
              </w:rPr>
              <w:t>提供面向城市巡查应用的专业级航线规划功能，包括点状、线状、面状、三维采集、全景采集、正射采集、环绕采集至少10种以上航线，支持航点三维可视化预览与精细化调整、航线自动拆分。</w:t>
            </w:r>
          </w:p>
          <w:p>
            <w:pPr>
              <w:jc w:val="both"/>
              <w:rPr>
                <w:rFonts w:ascii="宋体" w:hAnsi="宋体" w:eastAsia="宋体" w:cs="宋体"/>
                <w:sz w:val="22"/>
              </w:rPr>
            </w:pP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（2）航线安全检测</w:t>
            </w:r>
          </w:p>
          <w:p>
            <w:pPr>
              <w:jc w:val="both"/>
              <w:rPr>
                <w:rFonts w:ascii="宋体" w:hAnsi="宋体" w:eastAsia="宋体" w:cs="宋体"/>
                <w:sz w:val="22"/>
              </w:rPr>
            </w:pPr>
            <w:r>
              <w:rPr>
                <w:rFonts w:hint="eastAsia" w:ascii="宋体" w:hAnsi="宋体" w:eastAsia="宋体" w:cs="宋体"/>
                <w:sz w:val="22"/>
              </w:rPr>
              <w:t>提供航线安全检测功能，包括支持接入和编辑城市DSM数据和禁飞区数据，支持城市航线三维碰撞监测功能，禁飞区航线报警功能等。</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（3）三维航线管理</w:t>
            </w:r>
          </w:p>
          <w:p>
            <w:pPr>
              <w:jc w:val="both"/>
              <w:rPr>
                <w:rFonts w:ascii="宋体" w:hAnsi="宋体" w:eastAsia="宋体" w:cs="宋体"/>
                <w:sz w:val="22"/>
              </w:rPr>
            </w:pPr>
            <w:r>
              <w:rPr>
                <w:rFonts w:hint="eastAsia" w:ascii="宋体" w:hAnsi="宋体" w:eastAsia="宋体" w:cs="宋体"/>
                <w:sz w:val="22"/>
              </w:rPr>
              <w:t>对规划完的航线进行统一管理，便于随时调用、查看、编辑。</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低空遥感大数据智能分析系统</w:t>
            </w:r>
          </w:p>
        </w:tc>
        <w:tc>
          <w:tcPr>
            <w:tcW w:w="3827" w:type="dxa"/>
            <w:vAlign w:val="center"/>
          </w:tcPr>
          <w:p>
            <w:pPr>
              <w:jc w:val="both"/>
              <w:rPr>
                <w:rFonts w:ascii="宋体" w:hAnsi="宋体" w:eastAsia="宋体" w:cs="宋体"/>
                <w:sz w:val="22"/>
              </w:rPr>
            </w:pPr>
            <w:r>
              <w:rPr>
                <w:rFonts w:hint="eastAsia" w:ascii="宋体" w:hAnsi="宋体" w:eastAsia="宋体" w:cs="宋体"/>
                <w:sz w:val="22"/>
              </w:rPr>
              <w:t>低空遥感大数据管理子系统主要提供无人机作业数据的自动化回传，并对作业数据自动处理、分类、存储。并基于地图可视化进行数据可视化应用等功能。</w:t>
            </w:r>
          </w:p>
          <w:p>
            <w:pPr>
              <w:jc w:val="both"/>
              <w:rPr>
                <w:rFonts w:ascii="宋体" w:hAnsi="宋体" w:eastAsia="宋体" w:cs="宋体"/>
                <w:sz w:val="22"/>
              </w:rPr>
            </w:pPr>
            <w:r>
              <w:rPr>
                <w:rFonts w:hint="eastAsia" w:ascii="宋体" w:hAnsi="宋体" w:eastAsia="宋体" w:cs="宋体"/>
                <w:sz w:val="22"/>
              </w:rPr>
              <w:t>（1）数据回传</w:t>
            </w:r>
          </w:p>
          <w:p>
            <w:pPr>
              <w:jc w:val="both"/>
              <w:rPr>
                <w:rFonts w:ascii="宋体" w:hAnsi="宋体" w:eastAsia="宋体" w:cs="宋体"/>
                <w:sz w:val="22"/>
              </w:rPr>
            </w:pPr>
            <w:r>
              <w:rPr>
                <w:rFonts w:hint="eastAsia" w:ascii="宋体" w:hAnsi="宋体" w:eastAsia="宋体" w:cs="宋体"/>
                <w:sz w:val="22"/>
              </w:rPr>
              <w:t>提供无人机巡查数据归档功能，包括无人机采集完的原始数据支持自动回传、断点续传、批量回传、传完即删等功能，人工采集数据支持人工补充上传等。</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）多源数据管理</w:t>
            </w:r>
          </w:p>
          <w:p>
            <w:pPr>
              <w:jc w:val="both"/>
              <w:rPr>
                <w:rFonts w:ascii="宋体" w:hAnsi="宋体" w:eastAsia="宋体" w:cs="宋体"/>
                <w:sz w:val="22"/>
              </w:rPr>
            </w:pPr>
            <w:r>
              <w:rPr>
                <w:rFonts w:hint="eastAsia" w:ascii="宋体" w:hAnsi="宋体" w:eastAsia="宋体" w:cs="宋体"/>
                <w:sz w:val="22"/>
              </w:rPr>
              <w:t>提供多源无人机数据一体化管理功能，包括支持原始、产品无人机数据的统一管理，数据管理类型包括照片、视频、正射、矢量、倾斜、全景等。</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）多源数据可视化</w:t>
            </w:r>
          </w:p>
          <w:p>
            <w:pPr>
              <w:jc w:val="both"/>
              <w:rPr>
                <w:rFonts w:ascii="宋体" w:hAnsi="宋体" w:eastAsia="宋体" w:cs="宋体"/>
                <w:sz w:val="22"/>
              </w:rPr>
            </w:pPr>
            <w:r>
              <w:rPr>
                <w:rFonts w:hint="eastAsia" w:ascii="宋体" w:hAnsi="宋体" w:eastAsia="宋体" w:cs="宋体"/>
                <w:sz w:val="22"/>
              </w:rPr>
              <w:t>提供多源无人机数据可视化浏览功能，包括利用Webgis平台技术，针对不同类型数据提供不同可视化呈现形式，支持空间数据的一张图可视化。</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（4）多源数据共享</w:t>
            </w:r>
          </w:p>
          <w:p>
            <w:pPr>
              <w:jc w:val="both"/>
              <w:rPr>
                <w:rFonts w:ascii="宋体" w:hAnsi="宋体" w:eastAsia="宋体" w:cs="宋体"/>
                <w:sz w:val="22"/>
              </w:rPr>
            </w:pPr>
            <w:r>
              <w:rPr>
                <w:rFonts w:hint="eastAsia" w:ascii="宋体" w:hAnsi="宋体" w:eastAsia="宋体" w:cs="宋体"/>
                <w:sz w:val="22"/>
              </w:rPr>
              <w:t>提供多源无人机数据共享服务功能，包括支持多源数据下载与对外共享、如数据批量下载、断点下载，数据标准接口。</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无人机综合可视化管控系统</w:t>
            </w:r>
          </w:p>
        </w:tc>
        <w:tc>
          <w:tcPr>
            <w:tcW w:w="3827" w:type="dxa"/>
            <w:vAlign w:val="center"/>
          </w:tcPr>
          <w:p>
            <w:pPr>
              <w:jc w:val="both"/>
              <w:rPr>
                <w:rFonts w:ascii="宋体" w:hAnsi="宋体" w:eastAsia="宋体" w:cs="宋体"/>
                <w:sz w:val="22"/>
              </w:rPr>
            </w:pPr>
            <w:r>
              <w:rPr>
                <w:rFonts w:hint="eastAsia" w:ascii="宋体" w:hAnsi="宋体" w:eastAsia="宋体" w:cs="宋体"/>
                <w:sz w:val="22"/>
              </w:rPr>
              <w:t>在各子系统基础上全定制化无人机综合应用一体化大屏，针对不同行业、不同行政区域提供专属大屏系统。</w:t>
            </w:r>
          </w:p>
          <w:p>
            <w:pPr>
              <w:jc w:val="both"/>
              <w:rPr>
                <w:rFonts w:ascii="宋体" w:hAnsi="宋体" w:eastAsia="宋体" w:cs="宋体"/>
                <w:sz w:val="22"/>
              </w:rPr>
            </w:pPr>
            <w:r>
              <w:rPr>
                <w:rFonts w:hint="eastAsia" w:ascii="宋体" w:hAnsi="宋体" w:eastAsia="宋体" w:cs="宋体"/>
                <w:sz w:val="22"/>
              </w:rPr>
              <w:t>（1）综合应用一体化大屏</w:t>
            </w:r>
          </w:p>
          <w:p>
            <w:pPr>
              <w:jc w:val="both"/>
              <w:rPr>
                <w:rFonts w:ascii="宋体" w:hAnsi="宋体" w:eastAsia="宋体" w:cs="宋体"/>
                <w:sz w:val="22"/>
              </w:rPr>
            </w:pPr>
            <w:r>
              <w:rPr>
                <w:rFonts w:ascii="宋体" w:hAnsi="宋体" w:eastAsia="宋体" w:cs="宋体"/>
                <w:sz w:val="22"/>
              </w:rPr>
              <w:t>在各子系统基础上全定制化无人机综合应用一体化大屏、提供市区街道多级管理、针对不同行业、不同行政区域提供专属大屏系统</w:t>
            </w:r>
            <w:r>
              <w:rPr>
                <w:rFonts w:hint="eastAsia" w:ascii="宋体" w:hAnsi="宋体" w:eastAsia="宋体" w:cs="宋体"/>
                <w:sz w:val="22"/>
              </w:rPr>
              <w:t>。</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（2）运营数据态势分析</w:t>
            </w:r>
          </w:p>
          <w:p>
            <w:pPr>
              <w:jc w:val="both"/>
              <w:rPr>
                <w:rFonts w:ascii="宋体" w:hAnsi="宋体" w:eastAsia="宋体" w:cs="宋体"/>
                <w:sz w:val="22"/>
              </w:rPr>
            </w:pPr>
            <w:r>
              <w:rPr>
                <w:rFonts w:ascii="宋体" w:hAnsi="宋体" w:eastAsia="宋体" w:cs="宋体"/>
                <w:sz w:val="22"/>
              </w:rPr>
              <w:t>提供城市运营状态全量态势分析功能，包括打造无人机运营调度管理“一张图”，巡检任务、巡检结果统计分析等</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w:t>
            </w:r>
            <w:r>
              <w:rPr>
                <w:rFonts w:ascii="宋体" w:hAnsi="宋体" w:eastAsia="宋体" w:cs="宋体"/>
                <w:sz w:val="22"/>
              </w:rPr>
              <w:t>巡查需求管理</w:t>
            </w:r>
          </w:p>
          <w:p>
            <w:pPr>
              <w:jc w:val="both"/>
              <w:rPr>
                <w:rFonts w:ascii="宋体" w:hAnsi="宋体" w:eastAsia="宋体" w:cs="宋体"/>
                <w:sz w:val="22"/>
              </w:rPr>
            </w:pPr>
            <w:r>
              <w:rPr>
                <w:rFonts w:ascii="宋体" w:hAnsi="宋体" w:eastAsia="宋体" w:cs="宋体"/>
                <w:sz w:val="22"/>
              </w:rPr>
              <w:t>提供巡查需求工单化管理功能，包括通过工单管理系统，实现对各委办局业务需求进行汇总并形成工单，支持工单形式进行全流程监测与管理，包括工单查询、工单详情、工单签收、工单发布，从而实现客户需要快速直接无漏响应</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4</w:t>
            </w:r>
            <w:r>
              <w:rPr>
                <w:rFonts w:hint="eastAsia" w:ascii="宋体" w:hAnsi="宋体" w:eastAsia="宋体" w:cs="宋体"/>
                <w:sz w:val="22"/>
              </w:rPr>
              <w:t>）任务编排</w:t>
            </w:r>
          </w:p>
          <w:p>
            <w:pPr>
              <w:jc w:val="both"/>
              <w:rPr>
                <w:rFonts w:ascii="宋体" w:hAnsi="宋体" w:eastAsia="宋体" w:cs="宋体"/>
                <w:sz w:val="22"/>
              </w:rPr>
            </w:pPr>
            <w:r>
              <w:rPr>
                <w:rFonts w:ascii="宋体" w:hAnsi="宋体" w:eastAsia="宋体" w:cs="宋体"/>
                <w:sz w:val="22"/>
              </w:rPr>
              <w:t>提供巡查工单到巡查任务转化功能，通过任务编排系统自动或半自动地将客户工单转化为无人机具体可执行的任务，包括无人机巡查时间、周期、航线、采集数据类型等，为为运营人员规划满足客户实际需求的巡查任务提供便利</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5</w:t>
            </w:r>
            <w:r>
              <w:rPr>
                <w:rFonts w:hint="eastAsia" w:ascii="宋体" w:hAnsi="宋体" w:eastAsia="宋体" w:cs="宋体"/>
                <w:sz w:val="22"/>
              </w:rPr>
              <w:t>）网格巡查模式</w:t>
            </w:r>
          </w:p>
          <w:p>
            <w:pPr>
              <w:jc w:val="both"/>
              <w:rPr>
                <w:rFonts w:ascii="宋体" w:hAnsi="宋体" w:eastAsia="宋体" w:cs="宋体"/>
                <w:sz w:val="22"/>
              </w:rPr>
            </w:pPr>
            <w:r>
              <w:rPr>
                <w:rFonts w:ascii="宋体" w:hAnsi="宋体" w:eastAsia="宋体" w:cs="宋体"/>
                <w:sz w:val="22"/>
              </w:rPr>
              <w:t>针对面状、全覆盖城市巡查需求，提供网格化巡查功能，包括巡查态势网格热点图、巡查数据地图映射、巡查结果编码与查询、巡查结果同屏历史对比等</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6</w:t>
            </w:r>
            <w:r>
              <w:rPr>
                <w:rFonts w:hint="eastAsia" w:ascii="宋体" w:hAnsi="宋体" w:eastAsia="宋体" w:cs="宋体"/>
                <w:sz w:val="22"/>
              </w:rPr>
              <w:t>）全景巡查模式</w:t>
            </w:r>
          </w:p>
          <w:p>
            <w:pPr>
              <w:jc w:val="both"/>
              <w:rPr>
                <w:rFonts w:ascii="宋体" w:hAnsi="宋体" w:eastAsia="宋体" w:cs="宋体"/>
                <w:sz w:val="22"/>
              </w:rPr>
            </w:pPr>
            <w:r>
              <w:rPr>
                <w:rFonts w:ascii="宋体" w:hAnsi="宋体" w:eastAsia="宋体" w:cs="宋体"/>
                <w:sz w:val="22"/>
              </w:rPr>
              <w:t>针对点状、线状城市巡查需求，提供全景巡查功能，包括空中街景一张图、历史全景对比、POI全景AR显示</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7</w:t>
            </w:r>
            <w:r>
              <w:rPr>
                <w:rFonts w:hint="eastAsia" w:ascii="宋体" w:hAnsi="宋体" w:eastAsia="宋体" w:cs="宋体"/>
                <w:sz w:val="22"/>
              </w:rPr>
              <w:t>）精细巡查模式</w:t>
            </w:r>
          </w:p>
          <w:p>
            <w:pPr>
              <w:jc w:val="both"/>
              <w:rPr>
                <w:rFonts w:ascii="宋体" w:hAnsi="宋体" w:eastAsia="宋体" w:cs="宋体"/>
                <w:sz w:val="22"/>
              </w:rPr>
            </w:pPr>
            <w:r>
              <w:rPr>
                <w:rFonts w:ascii="宋体" w:hAnsi="宋体" w:eastAsia="宋体" w:cs="宋体"/>
                <w:sz w:val="22"/>
              </w:rPr>
              <w:t>针对如排污口监测、车牌识别等超精细城市巡查需求，提供超精细巡查功能，包括拍照打点、第一人称航点标定等</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8</w:t>
            </w:r>
            <w:r>
              <w:rPr>
                <w:rFonts w:hint="eastAsia" w:ascii="宋体" w:hAnsi="宋体" w:eastAsia="宋体" w:cs="宋体"/>
                <w:sz w:val="22"/>
              </w:rPr>
              <w:t>）线索发现</w:t>
            </w:r>
          </w:p>
          <w:p>
            <w:pPr>
              <w:jc w:val="both"/>
              <w:rPr>
                <w:rFonts w:ascii="宋体" w:hAnsi="宋体" w:eastAsia="宋体" w:cs="宋体"/>
                <w:sz w:val="22"/>
              </w:rPr>
            </w:pPr>
            <w:r>
              <w:rPr>
                <w:rFonts w:ascii="宋体" w:hAnsi="宋体" w:eastAsia="宋体" w:cs="宋体"/>
                <w:sz w:val="22"/>
              </w:rPr>
              <w:t>提供线索发现与标记功能，包括支持人工、AI两种线索发现方式、照片放大、对比、标记、审核功能、线索统计大屏、线索时空追溯等功能</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9</w:t>
            </w:r>
            <w:r>
              <w:rPr>
                <w:rFonts w:hint="eastAsia" w:ascii="宋体" w:hAnsi="宋体" w:eastAsia="宋体" w:cs="宋体"/>
                <w:sz w:val="22"/>
              </w:rPr>
              <w:t>）线索空间关联</w:t>
            </w:r>
          </w:p>
          <w:p>
            <w:pPr>
              <w:jc w:val="both"/>
              <w:rPr>
                <w:rFonts w:ascii="宋体" w:hAnsi="宋体" w:eastAsia="宋体" w:cs="宋体"/>
                <w:sz w:val="22"/>
              </w:rPr>
            </w:pPr>
            <w:r>
              <w:rPr>
                <w:rFonts w:ascii="宋体" w:hAnsi="宋体" w:eastAsia="宋体" w:cs="宋体"/>
                <w:sz w:val="22"/>
              </w:rPr>
              <w:t>支持发现线索与空间位置进行关联功能，包括线索自动定位发生位置、线索区域划分与筛选、支持同一位置的问题合并</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10</w:t>
            </w:r>
            <w:r>
              <w:rPr>
                <w:rFonts w:hint="eastAsia" w:ascii="宋体" w:hAnsi="宋体" w:eastAsia="宋体" w:cs="宋体"/>
                <w:sz w:val="22"/>
              </w:rPr>
              <w:t>）线索推送</w:t>
            </w:r>
          </w:p>
          <w:p>
            <w:pPr>
              <w:jc w:val="both"/>
              <w:rPr>
                <w:rFonts w:ascii="宋体" w:hAnsi="宋体" w:eastAsia="宋体" w:cs="宋体"/>
                <w:sz w:val="22"/>
              </w:rPr>
            </w:pPr>
            <w:r>
              <w:rPr>
                <w:rFonts w:ascii="宋体" w:hAnsi="宋体" w:eastAsia="宋体" w:cs="宋体"/>
                <w:sz w:val="22"/>
              </w:rPr>
              <w:t>提供线索对外发布功能，包括推送至委办局、提供接口给第三方调用、导出线下报告等</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系统基础设置</w:t>
            </w:r>
          </w:p>
        </w:tc>
        <w:tc>
          <w:tcPr>
            <w:tcW w:w="3827" w:type="dxa"/>
            <w:vAlign w:val="center"/>
          </w:tcPr>
          <w:p>
            <w:pPr>
              <w:jc w:val="both"/>
              <w:rPr>
                <w:rFonts w:ascii="宋体" w:hAnsi="宋体" w:eastAsia="宋体" w:cs="宋体"/>
                <w:sz w:val="22"/>
              </w:rPr>
            </w:pPr>
            <w:r>
              <w:rPr>
                <w:rFonts w:hint="eastAsia" w:ascii="宋体" w:hAnsi="宋体" w:eastAsia="宋体" w:cs="宋体"/>
                <w:sz w:val="22"/>
              </w:rPr>
              <w:t>系统基础设置主要针对系统中地理信息资源的统一管理，用户角色的统一管理，以及系统运行统一管理。</w:t>
            </w:r>
          </w:p>
          <w:p>
            <w:pPr>
              <w:jc w:val="both"/>
              <w:rPr>
                <w:rFonts w:ascii="宋体" w:hAnsi="宋体" w:eastAsia="宋体" w:cs="宋体"/>
                <w:sz w:val="22"/>
              </w:rPr>
            </w:pPr>
            <w:r>
              <w:rPr>
                <w:rFonts w:hint="eastAsia" w:ascii="宋体" w:hAnsi="宋体" w:eastAsia="宋体" w:cs="宋体"/>
                <w:sz w:val="22"/>
              </w:rPr>
              <w:t>（1）无人机基站管理</w:t>
            </w:r>
          </w:p>
          <w:p>
            <w:pPr>
              <w:jc w:val="both"/>
              <w:rPr>
                <w:rFonts w:ascii="宋体" w:hAnsi="宋体" w:eastAsia="宋体" w:cs="宋体"/>
                <w:sz w:val="22"/>
              </w:rPr>
            </w:pPr>
            <w:r>
              <w:rPr>
                <w:rFonts w:ascii="宋体" w:hAnsi="宋体" w:eastAsia="宋体" w:cs="宋体"/>
                <w:sz w:val="22"/>
              </w:rPr>
              <w:t>提供基站全生命周期管理功能、提供标准物联网接口协议、支持不同类型无人机基站设备接入、管理、配置及售后管理</w:t>
            </w:r>
            <w:r>
              <w:rPr>
                <w:rFonts w:hint="eastAsia" w:ascii="宋体" w:hAnsi="宋体" w:eastAsia="宋体" w:cs="宋体"/>
                <w:sz w:val="22"/>
              </w:rPr>
              <w:t>。</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）无人机管理</w:t>
            </w:r>
          </w:p>
          <w:p>
            <w:pPr>
              <w:jc w:val="both"/>
              <w:rPr>
                <w:rFonts w:ascii="宋体" w:hAnsi="宋体" w:eastAsia="宋体" w:cs="宋体"/>
                <w:sz w:val="22"/>
              </w:rPr>
            </w:pPr>
            <w:r>
              <w:rPr>
                <w:rFonts w:ascii="宋体" w:hAnsi="宋体" w:eastAsia="宋体" w:cs="宋体"/>
                <w:sz w:val="22"/>
              </w:rPr>
              <w:t>提供无人机全生命周期管理功能、提供标准物联网接口协议，支持不同类型无人机接入、管理、配置及售后管理</w:t>
            </w:r>
            <w:r>
              <w:rPr>
                <w:rFonts w:hint="eastAsia" w:ascii="宋体" w:hAnsi="宋体" w:eastAsia="宋体" w:cs="宋体"/>
                <w:sz w:val="22"/>
              </w:rPr>
              <w:t>。</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）地理信息管理</w:t>
            </w:r>
          </w:p>
          <w:p>
            <w:pPr>
              <w:jc w:val="both"/>
              <w:rPr>
                <w:rFonts w:ascii="宋体" w:hAnsi="宋体" w:eastAsia="宋体" w:cs="宋体"/>
                <w:sz w:val="22"/>
              </w:rPr>
            </w:pPr>
            <w:r>
              <w:rPr>
                <w:rFonts w:hint="eastAsia" w:ascii="宋体" w:hAnsi="宋体" w:eastAsia="宋体" w:cs="宋体"/>
                <w:sz w:val="22"/>
              </w:rPr>
              <w:t>为无人机作业提供低空遥感底图数据服务，可对接第三发GIS服务接口。</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4</w:t>
            </w:r>
            <w:r>
              <w:rPr>
                <w:rFonts w:hint="eastAsia" w:ascii="宋体" w:hAnsi="宋体" w:eastAsia="宋体" w:cs="宋体"/>
                <w:sz w:val="22"/>
              </w:rPr>
              <w:t>）用户角色管理</w:t>
            </w:r>
            <w:r>
              <w:rPr>
                <w:rFonts w:hint="eastAsia" w:ascii="宋体" w:hAnsi="宋体" w:eastAsia="宋体" w:cs="宋体"/>
                <w:sz w:val="22"/>
              </w:rPr>
              <w:tab/>
            </w:r>
          </w:p>
          <w:p>
            <w:pPr>
              <w:jc w:val="both"/>
              <w:rPr>
                <w:rFonts w:ascii="宋体" w:hAnsi="宋体" w:eastAsia="宋体" w:cs="宋体"/>
                <w:sz w:val="22"/>
              </w:rPr>
            </w:pPr>
            <w:r>
              <w:rPr>
                <w:rFonts w:hint="eastAsia" w:ascii="宋体" w:hAnsi="宋体" w:eastAsia="宋体" w:cs="宋体"/>
                <w:sz w:val="22"/>
              </w:rPr>
              <w:t>包括用户、权限、机构、单点登录、用户操作日志等管理。</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5</w:t>
            </w:r>
            <w:r>
              <w:rPr>
                <w:rFonts w:hint="eastAsia" w:ascii="宋体" w:hAnsi="宋体" w:eastAsia="宋体" w:cs="宋体"/>
                <w:sz w:val="22"/>
              </w:rPr>
              <w:t>）运维管理</w:t>
            </w:r>
          </w:p>
          <w:p>
            <w:pPr>
              <w:jc w:val="both"/>
              <w:rPr>
                <w:rFonts w:ascii="宋体" w:hAnsi="宋体" w:eastAsia="宋体" w:cs="宋体"/>
                <w:sz w:val="22"/>
              </w:rPr>
            </w:pPr>
            <w:r>
              <w:rPr>
                <w:rFonts w:hint="eastAsia" w:ascii="宋体" w:hAnsi="宋体" w:eastAsia="宋体" w:cs="宋体"/>
                <w:sz w:val="22"/>
              </w:rPr>
              <w:t>实现服务状态查询和管理的功能。提供调取录像、日志、权限分级控制、时间同步功能。</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系统接口要求</w:t>
            </w:r>
          </w:p>
        </w:tc>
        <w:tc>
          <w:tcPr>
            <w:tcW w:w="3827" w:type="dxa"/>
            <w:vAlign w:val="center"/>
          </w:tcPr>
          <w:p>
            <w:pPr>
              <w:jc w:val="both"/>
              <w:rPr>
                <w:rFonts w:ascii="宋体" w:hAnsi="宋体" w:eastAsia="宋体" w:cs="宋体"/>
                <w:sz w:val="22"/>
              </w:rPr>
            </w:pPr>
            <w:r>
              <w:rPr>
                <w:rFonts w:hint="eastAsia" w:ascii="宋体" w:hAnsi="宋体" w:eastAsia="宋体" w:cs="宋体"/>
                <w:sz w:val="22"/>
              </w:rPr>
              <w:t>苍南政务无人机一体化平台需定制开发，提供多个数据接口、业务接口，实现与外部系统的应用对接。主要包括但不限于：</w:t>
            </w:r>
          </w:p>
          <w:p>
            <w:pPr>
              <w:jc w:val="both"/>
              <w:rPr>
                <w:rFonts w:ascii="宋体" w:hAnsi="宋体" w:eastAsia="宋体" w:cs="宋体"/>
                <w:sz w:val="22"/>
              </w:rPr>
            </w:pPr>
            <w:r>
              <w:rPr>
                <w:rFonts w:hint="eastAsia" w:ascii="宋体" w:hAnsi="宋体" w:eastAsia="宋体" w:cs="宋体"/>
                <w:sz w:val="22"/>
              </w:rPr>
              <w:t>（1）与苍南三维全域数字孪生城市基础平台接口</w:t>
            </w:r>
          </w:p>
          <w:p>
            <w:pPr>
              <w:jc w:val="both"/>
              <w:rPr>
                <w:rFonts w:ascii="宋体" w:hAnsi="宋体" w:eastAsia="宋体" w:cs="宋体"/>
                <w:sz w:val="22"/>
              </w:rPr>
            </w:pPr>
            <w:r>
              <w:rPr>
                <w:rFonts w:hint="eastAsia" w:ascii="宋体" w:hAnsi="宋体" w:eastAsia="宋体" w:cs="宋体"/>
                <w:sz w:val="22"/>
              </w:rPr>
              <w:t>苍南政务无人机一体化平台需建立数据输入接口，通过苍南县全域数字孪生底座平台提供的城市信息模型数据、地理信息资源、城市运行管理基础数据等，为系统提供数据差异分析的基础依据。</w:t>
            </w:r>
          </w:p>
          <w:p>
            <w:pPr>
              <w:jc w:val="both"/>
              <w:rPr>
                <w:rFonts w:ascii="宋体" w:hAnsi="宋体" w:eastAsia="宋体" w:cs="宋体"/>
                <w:sz w:val="22"/>
              </w:rPr>
            </w:pPr>
            <w:r>
              <w:rPr>
                <w:rFonts w:hint="eastAsia" w:ascii="宋体" w:hAnsi="宋体" w:eastAsia="宋体" w:cs="宋体"/>
                <w:sz w:val="22"/>
              </w:rPr>
              <w:t>同时建立数据输出接口，为苍南政务无人机一体化平台提供最新的正射影像、三维倾斜模型等数据。</w:t>
            </w:r>
          </w:p>
        </w:tc>
        <w:tc>
          <w:tcPr>
            <w:tcW w:w="709" w:type="dxa"/>
            <w:vMerge w:val="restart"/>
            <w:vAlign w:val="center"/>
          </w:tcPr>
          <w:p>
            <w:pPr>
              <w:jc w:val="both"/>
              <w:rPr>
                <w:rFonts w:ascii="宋体" w:hAnsi="宋体" w:eastAsia="宋体"/>
                <w:sz w:val="22"/>
              </w:rPr>
            </w:pPr>
            <w:r>
              <w:rPr>
                <w:rFonts w:hint="eastAsia" w:ascii="宋体" w:hAnsi="宋体" w:eastAsia="宋体"/>
                <w:sz w:val="22"/>
              </w:rPr>
              <w:t>套</w:t>
            </w:r>
          </w:p>
        </w:tc>
        <w:tc>
          <w:tcPr>
            <w:tcW w:w="708" w:type="dxa"/>
            <w:vMerge w:val="restart"/>
            <w:vAlign w:val="center"/>
          </w:tcPr>
          <w:p>
            <w:pPr>
              <w:jc w:val="both"/>
              <w:rPr>
                <w:rFonts w:ascii="宋体" w:hAnsi="宋体" w:eastAsia="宋体"/>
                <w:sz w:val="22"/>
              </w:rPr>
            </w:pPr>
            <w:r>
              <w:rPr>
                <w:rFonts w:hint="eastAsia" w:ascii="宋体" w:hAnsi="宋体" w:eastAsia="宋体"/>
                <w:sz w:val="22"/>
              </w:rPr>
              <w:t>1</w:t>
            </w: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）与苍南县社会治理中心相关平台接口</w:t>
            </w:r>
          </w:p>
          <w:p>
            <w:pPr>
              <w:jc w:val="both"/>
              <w:rPr>
                <w:rFonts w:ascii="宋体" w:hAnsi="宋体" w:eastAsia="宋体" w:cs="宋体"/>
                <w:sz w:val="22"/>
              </w:rPr>
            </w:pPr>
            <w:r>
              <w:rPr>
                <w:rFonts w:hint="eastAsia" w:ascii="宋体" w:hAnsi="宋体" w:eastAsia="宋体" w:cs="宋体"/>
                <w:sz w:val="22"/>
              </w:rPr>
              <w:t>苍南政务无人机一体化平台需与苍南县社会治理中心相关平台建立数据通讯接口，需要按照苍南县社会治理中心的业务类型，在政务无人机一体化平台进行相关事件的发现、标定及信息规范化传递，使得发现的信息能快速、准确的发送到社会治理中心平台，推动相关事项的处置。</w:t>
            </w:r>
          </w:p>
          <w:p>
            <w:pPr>
              <w:jc w:val="both"/>
              <w:rPr>
                <w:rFonts w:ascii="宋体" w:hAnsi="宋体" w:eastAsia="宋体" w:cs="宋体"/>
                <w:sz w:val="22"/>
              </w:rPr>
            </w:pPr>
            <w:r>
              <w:rPr>
                <w:rFonts w:hint="eastAsia" w:ascii="宋体" w:hAnsi="宋体" w:eastAsia="宋体" w:cs="宋体"/>
                <w:sz w:val="22"/>
              </w:rPr>
              <w:t>同时苍南政务无人机一体化平台能够接受社会治理中心平台的相关指令，对处置事项的结果进行快速出击确认，并将确认结构回传给社会治理平台。</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）与公安、应急等平台接口</w:t>
            </w:r>
          </w:p>
          <w:p>
            <w:pPr>
              <w:jc w:val="both"/>
              <w:rPr>
                <w:rFonts w:ascii="宋体" w:hAnsi="宋体" w:eastAsia="宋体" w:cs="宋体"/>
                <w:sz w:val="22"/>
              </w:rPr>
            </w:pPr>
            <w:r>
              <w:rPr>
                <w:rFonts w:hint="eastAsia" w:ascii="宋体" w:hAnsi="宋体" w:eastAsia="宋体" w:cs="宋体"/>
                <w:sz w:val="22"/>
              </w:rPr>
              <w:t>苍南政务无人机一体化平台需与应急、公安等系统建立数据通讯接口，能够接受应急、公安部门的指令，启动无人机进行前出巡查、侦查等工作，并能将巡查和侦查的信息及时回传给应急和公安等平台。</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智慧专题应用系统</w:t>
            </w:r>
          </w:p>
        </w:tc>
        <w:tc>
          <w:tcPr>
            <w:tcW w:w="1134" w:type="dxa"/>
            <w:vMerge w:val="restart"/>
            <w:vAlign w:val="center"/>
          </w:tcPr>
          <w:p>
            <w:pPr>
              <w:jc w:val="both"/>
              <w:rPr>
                <w:rFonts w:ascii="宋体" w:hAnsi="宋体" w:eastAsia="宋体"/>
                <w:sz w:val="22"/>
              </w:rPr>
            </w:pPr>
            <w:r>
              <w:rPr>
                <w:rFonts w:hint="eastAsia" w:ascii="宋体" w:hAnsi="宋体" w:eastAsia="宋体"/>
                <w:sz w:val="22"/>
              </w:rPr>
              <w:t>公安专题应用</w:t>
            </w:r>
          </w:p>
        </w:tc>
        <w:tc>
          <w:tcPr>
            <w:tcW w:w="3827" w:type="dxa"/>
            <w:vAlign w:val="center"/>
          </w:tcPr>
          <w:p>
            <w:pPr>
              <w:jc w:val="both"/>
              <w:rPr>
                <w:rFonts w:ascii="宋体" w:hAnsi="宋体" w:eastAsia="宋体" w:cs="宋体"/>
                <w:sz w:val="22"/>
              </w:rPr>
            </w:pPr>
            <w:r>
              <w:rPr>
                <w:rFonts w:hint="eastAsia" w:ascii="宋体" w:hAnsi="宋体" w:eastAsia="宋体" w:cs="宋体"/>
                <w:sz w:val="22"/>
              </w:rPr>
              <w:t>（1）日常巡查</w:t>
            </w:r>
          </w:p>
          <w:p>
            <w:pPr>
              <w:jc w:val="both"/>
              <w:rPr>
                <w:rFonts w:ascii="宋体" w:hAnsi="宋体" w:eastAsia="宋体" w:cs="宋体"/>
                <w:sz w:val="22"/>
              </w:rPr>
            </w:pPr>
            <w:r>
              <w:rPr>
                <w:rFonts w:hint="eastAsia" w:ascii="宋体" w:hAnsi="宋体" w:eastAsia="宋体" w:cs="宋体"/>
                <w:sz w:val="22"/>
              </w:rPr>
              <w:t>根据日常巡查任务，对辖区区域进行常态化飞行巡查，能够对公安相关的常态化事件进行拍摄取证。</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（2）应急救援、现场直播、辅助指挥</w:t>
            </w:r>
          </w:p>
          <w:p>
            <w:pPr>
              <w:jc w:val="both"/>
              <w:rPr>
                <w:rFonts w:ascii="宋体" w:hAnsi="宋体" w:eastAsia="宋体" w:cs="宋体"/>
                <w:sz w:val="22"/>
              </w:rPr>
            </w:pPr>
            <w:r>
              <w:rPr>
                <w:rFonts w:hint="eastAsia" w:ascii="宋体" w:hAnsi="宋体" w:eastAsia="宋体" w:cs="宋体"/>
                <w:sz w:val="22"/>
              </w:rPr>
              <w:t>当公路发生交通事故后，通常会导致大面积的交通拥堵，传统勘探手段耗时费力，往往会因为事故资料搜集太慢错过最佳救援时间，甚至还可能诱发二次事故。</w:t>
            </w:r>
          </w:p>
          <w:p>
            <w:pPr>
              <w:jc w:val="both"/>
              <w:rPr>
                <w:rFonts w:ascii="宋体" w:hAnsi="宋体" w:eastAsia="宋体" w:cs="宋体"/>
                <w:sz w:val="22"/>
              </w:rPr>
            </w:pPr>
            <w:r>
              <w:rPr>
                <w:rFonts w:hint="eastAsia" w:ascii="宋体" w:hAnsi="宋体" w:eastAsia="宋体" w:cs="宋体"/>
                <w:sz w:val="22"/>
              </w:rPr>
              <w:t>自动机场搭载的无人机，不受地理条件、环境条件的限制，可以深入各类复杂地区，迅速抵达事故现场，通过无人机应用的GPS功能对事故位置进行精确定位，对事故地形、车辆受损情况、人员伤亡情况快速、全面勘察，提高勘探和救援工作的科学性和高效性。</w:t>
            </w:r>
          </w:p>
          <w:p>
            <w:pPr>
              <w:jc w:val="both"/>
              <w:rPr>
                <w:rFonts w:ascii="宋体" w:hAnsi="宋体" w:eastAsia="宋体" w:cs="宋体"/>
                <w:sz w:val="22"/>
              </w:rPr>
            </w:pPr>
            <w:r>
              <w:rPr>
                <w:rFonts w:hint="eastAsia" w:ascii="宋体" w:hAnsi="宋体" w:eastAsia="宋体" w:cs="宋体"/>
                <w:sz w:val="22"/>
              </w:rPr>
              <w:t>接到事故和恶劣天气报警后，在自动机场覆盖范围内，在管控平台选择目标点，无人机即可从机舱内快速起飞，飞向目标点，回传现场画面，便于执法人员了解现场情况并及时作出决策。</w:t>
            </w:r>
          </w:p>
          <w:p>
            <w:pPr>
              <w:jc w:val="both"/>
              <w:rPr>
                <w:rFonts w:ascii="宋体" w:hAnsi="宋体" w:eastAsia="宋体" w:cs="宋体"/>
                <w:sz w:val="22"/>
              </w:rPr>
            </w:pPr>
            <w:r>
              <w:rPr>
                <w:rFonts w:hint="eastAsia" w:ascii="宋体" w:hAnsi="宋体" w:eastAsia="宋体" w:cs="宋体"/>
                <w:sz w:val="22"/>
              </w:rPr>
              <w:t>在重大事故的现场救援处置工作中，通过无人机搭载的高清摄像机、热成像设备等，为救援和处置工作提供长时间的技术支持，为及时、有效处置方案提供决策支持和依据。</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cs="宋体"/>
                <w:sz w:val="22"/>
              </w:rPr>
            </w:pPr>
            <w:r>
              <w:rPr>
                <w:rFonts w:hint="eastAsia" w:ascii="宋体" w:hAnsi="宋体" w:eastAsia="宋体" w:cs="宋体"/>
                <w:sz w:val="22"/>
              </w:rPr>
              <w:t>（</w:t>
            </w:r>
            <w:r>
              <w:rPr>
                <w:rFonts w:ascii="宋体" w:hAnsi="宋体" w:eastAsia="宋体" w:cs="宋体"/>
                <w:sz w:val="22"/>
              </w:rPr>
              <w:t>3</w:t>
            </w:r>
            <w:r>
              <w:rPr>
                <w:rFonts w:hint="eastAsia" w:ascii="宋体" w:hAnsi="宋体" w:eastAsia="宋体" w:cs="宋体"/>
                <w:sz w:val="22"/>
              </w:rPr>
              <w:t>）重大活动监管</w:t>
            </w:r>
          </w:p>
          <w:p>
            <w:pPr>
              <w:jc w:val="both"/>
              <w:rPr>
                <w:rFonts w:ascii="宋体" w:hAnsi="宋体" w:eastAsia="宋体" w:cs="宋体"/>
                <w:sz w:val="22"/>
              </w:rPr>
            </w:pPr>
            <w:r>
              <w:rPr>
                <w:rFonts w:hint="eastAsia" w:ascii="宋体" w:hAnsi="宋体" w:eastAsia="宋体" w:cs="宋体"/>
                <w:sz w:val="22"/>
              </w:rPr>
              <w:t>在大型活动中，无人机的作用非常之大。除了可以通过无人机进行空中监控以实时掌握现场动¬态，合理调配警力，防止人群踩踏等事故的发生；还可以搭载空中喊话工具对地面进行疏导指挥，可及时发布广播指引；也可以挂载探照灯对局部区域进行不间断照明，防止因黑暗造成恐慌发生拥堵和踩踏。在夜间搭载热感成像相机可对人群密集度做出直观的判断，实时进行疏散分流，并对可能发生的踩踏、火灾隐情提前预警。</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综合执法专题应用</w:t>
            </w:r>
          </w:p>
        </w:tc>
        <w:tc>
          <w:tcPr>
            <w:tcW w:w="3827" w:type="dxa"/>
            <w:vAlign w:val="center"/>
          </w:tcPr>
          <w:p>
            <w:pPr>
              <w:jc w:val="both"/>
              <w:rPr>
                <w:rFonts w:ascii="宋体" w:hAnsi="宋体" w:eastAsia="宋体"/>
                <w:sz w:val="22"/>
              </w:rPr>
            </w:pPr>
            <w:r>
              <w:rPr>
                <w:rFonts w:hint="eastAsia" w:ascii="宋体" w:hAnsi="宋体" w:eastAsia="宋体"/>
                <w:sz w:val="22"/>
              </w:rPr>
              <w:t>（1）违章建筑识别</w:t>
            </w:r>
          </w:p>
          <w:p>
            <w:pPr>
              <w:jc w:val="both"/>
              <w:rPr>
                <w:rFonts w:ascii="宋体" w:hAnsi="宋体" w:eastAsia="宋体"/>
                <w:sz w:val="22"/>
              </w:rPr>
            </w:pPr>
            <w:r>
              <w:rPr>
                <w:rFonts w:hint="eastAsia" w:ascii="宋体" w:hAnsi="宋体" w:eastAsia="宋体"/>
                <w:sz w:val="22"/>
              </w:rPr>
              <w:t>违章建筑识别功能主要实现乡镇范围内住宅小区高层建筑违章建筑识别。对任选两期无人机航摄数据进行对比，数据对比提供下载管理功能。在地图上能够显示变化图斑的位置。而且能够了解图斑的基本情况。网格员或拆违执法人员只需要对异常点进行针对性的核查即可。</w:t>
            </w:r>
          </w:p>
        </w:tc>
        <w:tc>
          <w:tcPr>
            <w:tcW w:w="709" w:type="dxa"/>
            <w:vMerge w:val="restart"/>
            <w:vAlign w:val="center"/>
          </w:tcPr>
          <w:p>
            <w:pPr>
              <w:jc w:val="both"/>
              <w:rPr>
                <w:rFonts w:hint="eastAsia" w:ascii="宋体" w:hAnsi="宋体" w:eastAsia="宋体"/>
                <w:sz w:val="22"/>
              </w:rPr>
            </w:pPr>
            <w:r>
              <w:rPr>
                <w:rFonts w:hint="eastAsia" w:ascii="宋体" w:hAnsi="宋体" w:eastAsia="宋体"/>
                <w:sz w:val="22"/>
              </w:rPr>
              <w:t>套</w:t>
            </w:r>
          </w:p>
          <w:p>
            <w:pPr>
              <w:jc w:val="both"/>
              <w:rPr>
                <w:rFonts w:ascii="宋体" w:hAnsi="宋体" w:eastAsia="宋体"/>
                <w:sz w:val="22"/>
              </w:rPr>
            </w:pPr>
          </w:p>
        </w:tc>
        <w:tc>
          <w:tcPr>
            <w:tcW w:w="708" w:type="dxa"/>
            <w:vMerge w:val="restart"/>
            <w:vAlign w:val="center"/>
          </w:tcPr>
          <w:p>
            <w:pPr>
              <w:jc w:val="both"/>
              <w:rPr>
                <w:rFonts w:hint="eastAsia" w:ascii="宋体" w:hAnsi="宋体" w:eastAsia="宋体"/>
                <w:sz w:val="22"/>
              </w:rPr>
            </w:pPr>
            <w:r>
              <w:rPr>
                <w:rFonts w:hint="eastAsia" w:ascii="宋体" w:hAnsi="宋体" w:eastAsia="宋体"/>
                <w:sz w:val="22"/>
              </w:rPr>
              <w:t>1</w:t>
            </w:r>
          </w:p>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（2）乱搭乱建识别</w:t>
            </w:r>
          </w:p>
          <w:p>
            <w:pPr>
              <w:jc w:val="both"/>
              <w:rPr>
                <w:rFonts w:ascii="宋体" w:hAnsi="宋体" w:eastAsia="宋体"/>
                <w:sz w:val="22"/>
              </w:rPr>
            </w:pPr>
            <w:r>
              <w:rPr>
                <w:rFonts w:hint="eastAsia" w:ascii="宋体" w:hAnsi="宋体" w:eastAsia="宋体"/>
                <w:sz w:val="22"/>
              </w:rPr>
              <w:t>乱搭乱建识别功能主要实现县级以上道路沿线区域内乱搭乱建识别。系统，通过AI算法，在县级以上道路沿线进行智能化分析，对无人机航飞影像数据进行识别，检测图片中道路沿线中出现的搭建要素，在地图上能够显示变化图斑的位置，将通过系统派发职能局到现场处理。</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（3）垃圾乱倒识别</w:t>
            </w:r>
          </w:p>
          <w:p>
            <w:pPr>
              <w:jc w:val="both"/>
              <w:rPr>
                <w:rFonts w:ascii="宋体" w:hAnsi="宋体" w:eastAsia="宋体"/>
                <w:sz w:val="22"/>
              </w:rPr>
            </w:pPr>
            <w:r>
              <w:rPr>
                <w:rFonts w:hint="eastAsia" w:ascii="宋体" w:hAnsi="宋体" w:eastAsia="宋体"/>
                <w:sz w:val="22"/>
              </w:rPr>
              <w:t>垃圾乱倒识别主要是通过AI算法，对无人机航飞巡查数据进行识别，检测图片中是否存在固体垃圾、渣土等，找出疑似建筑垃圾堆放点，在地图上能够显示变化图斑的位置，将通过系统派发职能局处理。</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（4）综合执法喊话</w:t>
            </w:r>
          </w:p>
          <w:p>
            <w:pPr>
              <w:jc w:val="both"/>
              <w:rPr>
                <w:rFonts w:ascii="宋体" w:hAnsi="宋体" w:eastAsia="宋体"/>
                <w:sz w:val="22"/>
              </w:rPr>
            </w:pPr>
            <w:r>
              <w:rPr>
                <w:rFonts w:hint="eastAsia" w:ascii="宋体" w:hAnsi="宋体" w:eastAsia="宋体"/>
                <w:sz w:val="22"/>
              </w:rPr>
              <w:t>借助无人机进行低空巡检，可以凭借无人机宽广的视野和快速的移动速度，可以快速锁定违规占道经营情况，进行图像取证，并现场喊话指挥商贩撤出道路，协助执法人员进行针对性地解决问题。</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w:t>
            </w:r>
            <w:r>
              <w:rPr>
                <w:rFonts w:ascii="宋体" w:hAnsi="宋体" w:eastAsia="宋体"/>
                <w:sz w:val="22"/>
              </w:rPr>
              <w:t>5</w:t>
            </w:r>
            <w:r>
              <w:rPr>
                <w:rFonts w:hint="eastAsia" w:ascii="宋体" w:hAnsi="宋体" w:eastAsia="宋体"/>
                <w:sz w:val="22"/>
              </w:rPr>
              <w:t>）车辆违停识别</w:t>
            </w:r>
          </w:p>
          <w:p>
            <w:pPr>
              <w:jc w:val="both"/>
              <w:rPr>
                <w:rFonts w:ascii="宋体" w:hAnsi="宋体" w:eastAsia="宋体"/>
                <w:sz w:val="22"/>
              </w:rPr>
            </w:pPr>
            <w:r>
              <w:rPr>
                <w:rFonts w:hint="eastAsia" w:ascii="宋体" w:hAnsi="宋体" w:eastAsia="宋体"/>
                <w:sz w:val="22"/>
              </w:rPr>
              <w:t>车辆违停识别主要是通过AI算法，对无人机航飞巡查数据进行识别，检测违停区域内是否存在车辆信息，统计车辆密度，找出疑似大量违停区域，在地图上能够显示变化图斑的位置，将通过系统派发职能局处理。</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9"/>
              <w:numPr>
                <w:ilvl w:val="0"/>
                <w:numId w:val="6"/>
              </w:numPr>
              <w:ind w:firstLineChars="0"/>
              <w:jc w:val="both"/>
              <w:rPr>
                <w:rFonts w:ascii="宋体" w:hAnsi="宋体" w:eastAsia="宋体"/>
                <w:sz w:val="22"/>
              </w:rPr>
            </w:pPr>
          </w:p>
        </w:tc>
        <w:tc>
          <w:tcPr>
            <w:tcW w:w="1134" w:type="dxa"/>
            <w:vMerge w:val="restart"/>
            <w:vAlign w:val="center"/>
          </w:tcPr>
          <w:p>
            <w:pPr>
              <w:jc w:val="both"/>
              <w:rPr>
                <w:rFonts w:ascii="宋体" w:hAnsi="宋体" w:eastAsia="宋体"/>
                <w:sz w:val="22"/>
              </w:rPr>
            </w:pPr>
          </w:p>
        </w:tc>
        <w:tc>
          <w:tcPr>
            <w:tcW w:w="1134" w:type="dxa"/>
            <w:vMerge w:val="restart"/>
            <w:vAlign w:val="center"/>
          </w:tcPr>
          <w:p>
            <w:pPr>
              <w:jc w:val="both"/>
              <w:rPr>
                <w:rFonts w:ascii="宋体" w:hAnsi="宋体" w:eastAsia="宋体"/>
                <w:sz w:val="22"/>
              </w:rPr>
            </w:pPr>
            <w:r>
              <w:rPr>
                <w:rFonts w:hint="eastAsia" w:ascii="宋体" w:hAnsi="宋体" w:eastAsia="宋体"/>
                <w:sz w:val="22"/>
              </w:rPr>
              <w:t>应急管理专题应用</w:t>
            </w:r>
          </w:p>
        </w:tc>
        <w:tc>
          <w:tcPr>
            <w:tcW w:w="3827" w:type="dxa"/>
            <w:vAlign w:val="center"/>
          </w:tcPr>
          <w:p>
            <w:pPr>
              <w:jc w:val="both"/>
              <w:rPr>
                <w:rFonts w:ascii="宋体" w:hAnsi="宋体" w:eastAsia="宋体"/>
                <w:sz w:val="22"/>
              </w:rPr>
            </w:pPr>
            <w:r>
              <w:rPr>
                <w:rFonts w:hint="eastAsia" w:ascii="宋体" w:hAnsi="宋体" w:eastAsia="宋体"/>
                <w:sz w:val="22"/>
              </w:rPr>
              <w:t>（1）火情监测与指挥</w:t>
            </w:r>
          </w:p>
          <w:p>
            <w:pPr>
              <w:jc w:val="both"/>
              <w:rPr>
                <w:rFonts w:ascii="宋体" w:hAnsi="宋体" w:eastAsia="宋体"/>
                <w:sz w:val="22"/>
              </w:rPr>
            </w:pPr>
            <w:r>
              <w:rPr>
                <w:rFonts w:hint="eastAsia" w:ascii="宋体" w:hAnsi="宋体" w:eastAsia="宋体"/>
                <w:sz w:val="22"/>
              </w:rPr>
              <w:t>1）火情识别</w:t>
            </w:r>
          </w:p>
          <w:p>
            <w:pPr>
              <w:jc w:val="both"/>
              <w:rPr>
                <w:rFonts w:ascii="宋体" w:hAnsi="宋体" w:eastAsia="宋体"/>
                <w:sz w:val="22"/>
              </w:rPr>
            </w:pPr>
            <w:r>
              <w:rPr>
                <w:rFonts w:hint="eastAsia" w:ascii="宋体" w:hAnsi="宋体" w:eastAsia="宋体"/>
                <w:sz w:val="22"/>
              </w:rPr>
              <w:t>在无人机飞行巡查过程中，后台AI算法会对巡检视频中出现的烟雾、火焰等元素进行智能化识别，并在巡查系统中进行定位、报警。</w:t>
            </w:r>
          </w:p>
          <w:p>
            <w:pPr>
              <w:jc w:val="both"/>
              <w:rPr>
                <w:rFonts w:ascii="宋体" w:hAnsi="宋体" w:eastAsia="宋体"/>
                <w:sz w:val="22"/>
              </w:rPr>
            </w:pPr>
            <w:r>
              <w:rPr>
                <w:rFonts w:hint="eastAsia" w:ascii="宋体" w:hAnsi="宋体" w:eastAsia="宋体"/>
                <w:sz w:val="22"/>
              </w:rPr>
              <w:t>2）火情侦察与监测</w:t>
            </w:r>
          </w:p>
          <w:p>
            <w:pPr>
              <w:jc w:val="both"/>
              <w:rPr>
                <w:rFonts w:ascii="宋体" w:hAnsi="宋体" w:eastAsia="宋体"/>
                <w:sz w:val="22"/>
              </w:rPr>
            </w:pPr>
            <w:r>
              <w:rPr>
                <w:rFonts w:hint="eastAsia" w:ascii="宋体" w:hAnsi="宋体" w:eastAsia="宋体"/>
                <w:sz w:val="22"/>
              </w:rPr>
              <w:t>指挥中心在接收到火情报警后，在无人机集群指挥调度系统中就近选择无人机，利用低空航路网规划子系统快速设定到达着火点位置的最短航线，并发布飞行任务。系统接受到任务后，快速出击到达指定位置，并多角度巡查拍摄，将火情信息传递到指挥中心。指挥中心人员可以通过无人机上携带的喊话器进行现场人员疏导及指挥。</w:t>
            </w:r>
          </w:p>
          <w:p>
            <w:pPr>
              <w:jc w:val="both"/>
              <w:rPr>
                <w:rFonts w:ascii="宋体" w:hAnsi="宋体" w:eastAsia="宋体"/>
                <w:sz w:val="22"/>
              </w:rPr>
            </w:pPr>
            <w:r>
              <w:rPr>
                <w:rFonts w:hint="eastAsia" w:ascii="宋体" w:hAnsi="宋体" w:eastAsia="宋体"/>
                <w:sz w:val="22"/>
              </w:rPr>
              <w:t>3）灭火指挥</w:t>
            </w:r>
          </w:p>
          <w:p>
            <w:pPr>
              <w:jc w:val="both"/>
              <w:rPr>
                <w:rFonts w:ascii="宋体" w:hAnsi="宋体" w:eastAsia="宋体"/>
                <w:sz w:val="22"/>
              </w:rPr>
            </w:pPr>
            <w:r>
              <w:rPr>
                <w:rFonts w:hint="eastAsia" w:ascii="宋体" w:hAnsi="宋体" w:eastAsia="宋体"/>
                <w:sz w:val="22"/>
              </w:rPr>
              <w:t>指挥中心人员可以根据无人机传回的视频信息，进行火情判断，指挥调度灭火人员、车辆装备，规划救援路线，引导灭火车辆到达现场，协助疏散人群。实现灭火救援的辅助指挥功能。</w:t>
            </w:r>
          </w:p>
          <w:p>
            <w:pPr>
              <w:jc w:val="both"/>
              <w:rPr>
                <w:rFonts w:ascii="宋体" w:hAnsi="宋体" w:eastAsia="宋体"/>
                <w:sz w:val="22"/>
              </w:rPr>
            </w:pPr>
            <w:r>
              <w:rPr>
                <w:rFonts w:hint="eastAsia" w:ascii="宋体" w:hAnsi="宋体" w:eastAsia="宋体"/>
                <w:sz w:val="22"/>
              </w:rPr>
              <w:t>应用对象：县公安局、县资规局、县应急管理局、县林业中心、县文广旅体局</w:t>
            </w:r>
          </w:p>
        </w:tc>
        <w:tc>
          <w:tcPr>
            <w:tcW w:w="709" w:type="dxa"/>
            <w:vMerge w:val="restart"/>
            <w:vAlign w:val="center"/>
          </w:tcPr>
          <w:p>
            <w:pPr>
              <w:jc w:val="both"/>
              <w:rPr>
                <w:rFonts w:ascii="宋体" w:hAnsi="宋体" w:eastAsia="宋体"/>
                <w:sz w:val="22"/>
              </w:rPr>
            </w:pPr>
            <w:r>
              <w:rPr>
                <w:rFonts w:hint="eastAsia" w:ascii="宋体" w:hAnsi="宋体" w:eastAsia="宋体"/>
                <w:sz w:val="22"/>
              </w:rPr>
              <w:t>套</w:t>
            </w:r>
          </w:p>
        </w:tc>
        <w:tc>
          <w:tcPr>
            <w:tcW w:w="708" w:type="dxa"/>
            <w:vMerge w:val="restart"/>
            <w:vAlign w:val="center"/>
          </w:tcPr>
          <w:p>
            <w:pPr>
              <w:jc w:val="both"/>
              <w:rPr>
                <w:rFonts w:ascii="宋体" w:hAnsi="宋体" w:eastAsia="宋体"/>
                <w:sz w:val="22"/>
              </w:rPr>
            </w:pPr>
            <w:r>
              <w:rPr>
                <w:rFonts w:hint="eastAsia" w:ascii="宋体" w:hAnsi="宋体" w:eastAsia="宋体"/>
                <w:sz w:val="22"/>
              </w:rPr>
              <w:t>1</w:t>
            </w: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pStyle w:val="29"/>
              <w:ind w:firstLineChars="0"/>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1134" w:type="dxa"/>
            <w:vMerge w:val="continue"/>
            <w:vAlign w:val="center"/>
          </w:tcPr>
          <w:p>
            <w:pPr>
              <w:jc w:val="both"/>
              <w:rPr>
                <w:rFonts w:ascii="宋体" w:hAnsi="宋体" w:eastAsia="宋体"/>
                <w:sz w:val="22"/>
              </w:rPr>
            </w:pPr>
          </w:p>
        </w:tc>
        <w:tc>
          <w:tcPr>
            <w:tcW w:w="3827" w:type="dxa"/>
            <w:vAlign w:val="center"/>
          </w:tcPr>
          <w:p>
            <w:pPr>
              <w:jc w:val="both"/>
              <w:rPr>
                <w:rFonts w:ascii="宋体" w:hAnsi="宋体" w:eastAsia="宋体"/>
                <w:sz w:val="22"/>
              </w:rPr>
            </w:pPr>
            <w:r>
              <w:rPr>
                <w:rFonts w:hint="eastAsia" w:ascii="宋体" w:hAnsi="宋体" w:eastAsia="宋体"/>
                <w:sz w:val="22"/>
              </w:rPr>
              <w:t>（2）应急救援、现场直播、辅助指挥</w:t>
            </w:r>
          </w:p>
          <w:p>
            <w:pPr>
              <w:jc w:val="both"/>
              <w:rPr>
                <w:rFonts w:ascii="宋体" w:hAnsi="宋体" w:eastAsia="宋体"/>
                <w:sz w:val="22"/>
              </w:rPr>
            </w:pPr>
            <w:r>
              <w:rPr>
                <w:rFonts w:hint="eastAsia" w:ascii="宋体" w:hAnsi="宋体" w:eastAsia="宋体"/>
                <w:sz w:val="22"/>
              </w:rPr>
              <w:t>当发生应急事件后，传统勘探手段耗时费力，往往会因为事故资料搜集太慢错过最佳救援时间，甚至还可能诱发二次事故。</w:t>
            </w:r>
          </w:p>
          <w:p>
            <w:pPr>
              <w:jc w:val="both"/>
              <w:rPr>
                <w:rFonts w:ascii="宋体" w:hAnsi="宋体" w:eastAsia="宋体"/>
                <w:sz w:val="22"/>
              </w:rPr>
            </w:pPr>
            <w:r>
              <w:rPr>
                <w:rFonts w:hint="eastAsia" w:ascii="宋体" w:hAnsi="宋体" w:eastAsia="宋体"/>
                <w:sz w:val="22"/>
              </w:rPr>
              <w:t>自动机场搭载的无人机，不受地理条件、环境条件的限制，可以深入各类复杂地区，迅速抵达应急事件现场，通过无人机应用的定位功能对事故位置进行精确定位，对事故地形、车辆受损情况、人员伤亡情况快速、全面勘察，提高勘探和救援工作的科学性和高效性。</w:t>
            </w:r>
          </w:p>
          <w:p>
            <w:pPr>
              <w:jc w:val="both"/>
              <w:rPr>
                <w:rFonts w:ascii="宋体" w:hAnsi="宋体" w:eastAsia="宋体"/>
                <w:sz w:val="22"/>
              </w:rPr>
            </w:pPr>
            <w:r>
              <w:rPr>
                <w:rFonts w:hint="eastAsia" w:ascii="宋体" w:hAnsi="宋体" w:eastAsia="宋体"/>
                <w:sz w:val="22"/>
              </w:rPr>
              <w:t>接到事故和恶劣天气报警后，在自动机场覆盖范围内，在管控平台选择目标点，无人机即可从机舱内快速起飞，飞向目标点，回传现场画面，便于执法人员了解现场情况并及时作出决策。</w:t>
            </w:r>
          </w:p>
          <w:p>
            <w:pPr>
              <w:jc w:val="both"/>
              <w:rPr>
                <w:rFonts w:ascii="宋体" w:hAnsi="宋体" w:eastAsia="宋体"/>
                <w:sz w:val="22"/>
              </w:rPr>
            </w:pPr>
            <w:r>
              <w:rPr>
                <w:rFonts w:hint="eastAsia" w:ascii="宋体" w:hAnsi="宋体" w:eastAsia="宋体"/>
                <w:sz w:val="22"/>
              </w:rPr>
              <w:t>在应急事件的现场救援处置工作中，通过无人机搭载的高清摄像机、热成像设备等，为救援和处置工作提供长时间的技术支持，为及时、有效处置方案提供决策支持和依据。</w:t>
            </w:r>
          </w:p>
        </w:tc>
        <w:tc>
          <w:tcPr>
            <w:tcW w:w="709" w:type="dxa"/>
            <w:vMerge w:val="continue"/>
            <w:vAlign w:val="center"/>
          </w:tcPr>
          <w:p>
            <w:pPr>
              <w:jc w:val="both"/>
              <w:rPr>
                <w:rFonts w:ascii="宋体" w:hAnsi="宋体" w:eastAsia="宋体"/>
                <w:sz w:val="22"/>
              </w:rPr>
            </w:pPr>
          </w:p>
        </w:tc>
        <w:tc>
          <w:tcPr>
            <w:tcW w:w="708" w:type="dxa"/>
            <w:vMerge w:val="continue"/>
            <w:vAlign w:val="center"/>
          </w:tcPr>
          <w:p>
            <w:pPr>
              <w:jc w:val="both"/>
              <w:rPr>
                <w:rFonts w:ascii="宋体" w:hAnsi="宋体" w:eastAsia="宋体"/>
                <w:sz w:val="22"/>
              </w:rPr>
            </w:pPr>
          </w:p>
        </w:tc>
        <w:tc>
          <w:tcPr>
            <w:tcW w:w="709" w:type="dxa"/>
            <w:vAlign w:val="center"/>
          </w:tcPr>
          <w:p>
            <w:pPr>
              <w:jc w:val="both"/>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9"/>
              <w:numPr>
                <w:ilvl w:val="0"/>
                <w:numId w:val="6"/>
              </w:numPr>
              <w:ind w:firstLineChars="0"/>
              <w:jc w:val="both"/>
              <w:rPr>
                <w:rFonts w:ascii="宋体" w:hAnsi="宋体" w:eastAsia="宋体"/>
                <w:sz w:val="22"/>
              </w:rPr>
            </w:pPr>
          </w:p>
        </w:tc>
        <w:tc>
          <w:tcPr>
            <w:tcW w:w="1134" w:type="dxa"/>
            <w:vAlign w:val="center"/>
          </w:tcPr>
          <w:p>
            <w:pPr>
              <w:jc w:val="both"/>
              <w:rPr>
                <w:rFonts w:hint="default" w:ascii="宋体" w:hAnsi="宋体" w:eastAsia="宋体" w:cstheme="minorBidi"/>
                <w:kern w:val="2"/>
                <w:sz w:val="22"/>
                <w:szCs w:val="22"/>
                <w:lang w:val="en-US" w:eastAsia="zh-CN" w:bidi="ar-SA"/>
              </w:rPr>
            </w:pPr>
            <w:r>
              <w:rPr>
                <w:rFonts w:hint="eastAsia" w:ascii="宋体" w:hAnsi="宋体" w:eastAsia="宋体"/>
                <w:sz w:val="22"/>
                <w:lang w:val="en-US" w:eastAsia="zh-CN"/>
              </w:rPr>
              <w:t>等保测评</w:t>
            </w:r>
          </w:p>
        </w:tc>
        <w:tc>
          <w:tcPr>
            <w:tcW w:w="1134" w:type="dxa"/>
            <w:vAlign w:val="center"/>
          </w:tcPr>
          <w:p>
            <w:pPr>
              <w:jc w:val="both"/>
              <w:rPr>
                <w:rFonts w:ascii="宋体" w:hAnsi="宋体" w:eastAsia="宋体" w:cstheme="minorBidi"/>
                <w:kern w:val="2"/>
                <w:sz w:val="22"/>
                <w:szCs w:val="22"/>
                <w:lang w:val="en-US" w:eastAsia="zh-CN" w:bidi="ar-SA"/>
              </w:rPr>
            </w:pPr>
          </w:p>
        </w:tc>
        <w:tc>
          <w:tcPr>
            <w:tcW w:w="3827" w:type="dxa"/>
            <w:vAlign w:val="center"/>
          </w:tcPr>
          <w:p>
            <w:pPr>
              <w:jc w:val="both"/>
              <w:rPr>
                <w:rFonts w:hint="eastAsia" w:ascii="宋体" w:hAnsi="宋体" w:eastAsia="宋体" w:cstheme="minorBidi"/>
                <w:kern w:val="2"/>
                <w:sz w:val="22"/>
                <w:szCs w:val="22"/>
                <w:lang w:val="en-US" w:eastAsia="zh-CN" w:bidi="ar-SA"/>
              </w:rPr>
            </w:pPr>
            <w:r>
              <w:rPr>
                <w:rFonts w:hint="eastAsia" w:ascii="宋体" w:hAnsi="宋体" w:eastAsia="宋体"/>
                <w:sz w:val="22"/>
                <w:lang w:val="en-US" w:eastAsia="zh-CN"/>
              </w:rPr>
              <w:t>二级等保测评服务</w:t>
            </w:r>
          </w:p>
        </w:tc>
        <w:tc>
          <w:tcPr>
            <w:tcW w:w="709" w:type="dxa"/>
            <w:vAlign w:val="center"/>
          </w:tcPr>
          <w:p>
            <w:pPr>
              <w:jc w:val="both"/>
              <w:rPr>
                <w:rFonts w:hint="eastAsia" w:ascii="宋体" w:hAnsi="宋体" w:eastAsia="宋体" w:cstheme="minorBidi"/>
                <w:kern w:val="2"/>
                <w:sz w:val="22"/>
                <w:szCs w:val="22"/>
                <w:lang w:val="en-US" w:eastAsia="zh-CN" w:bidi="ar-SA"/>
              </w:rPr>
            </w:pPr>
            <w:r>
              <w:rPr>
                <w:rFonts w:hint="eastAsia" w:ascii="宋体" w:hAnsi="宋体" w:eastAsia="宋体"/>
                <w:sz w:val="22"/>
                <w:lang w:val="en-US" w:eastAsia="zh-CN"/>
              </w:rPr>
              <w:t>项</w:t>
            </w:r>
          </w:p>
        </w:tc>
        <w:tc>
          <w:tcPr>
            <w:tcW w:w="708" w:type="dxa"/>
            <w:vAlign w:val="center"/>
          </w:tcPr>
          <w:p>
            <w:pPr>
              <w:jc w:val="both"/>
              <w:rPr>
                <w:rFonts w:hint="default" w:ascii="宋体" w:hAnsi="宋体" w:eastAsia="宋体" w:cstheme="minorBidi"/>
                <w:kern w:val="2"/>
                <w:sz w:val="22"/>
                <w:szCs w:val="22"/>
                <w:lang w:val="en-US" w:eastAsia="zh-CN" w:bidi="ar-SA"/>
              </w:rPr>
            </w:pPr>
            <w:r>
              <w:rPr>
                <w:rFonts w:hint="default" w:ascii="宋体" w:hAnsi="宋体" w:eastAsia="宋体"/>
                <w:sz w:val="22"/>
                <w:lang w:val="en-US"/>
              </w:rPr>
              <w:t>1</w:t>
            </w:r>
          </w:p>
        </w:tc>
        <w:tc>
          <w:tcPr>
            <w:tcW w:w="709" w:type="dxa"/>
            <w:vAlign w:val="center"/>
          </w:tcPr>
          <w:p>
            <w:pPr>
              <w:jc w:val="both"/>
              <w:rPr>
                <w:rFonts w:ascii="宋体" w:hAnsi="宋体" w:eastAsia="宋体" w:cstheme="minorBidi"/>
                <w:kern w:val="2"/>
                <w:sz w:val="22"/>
                <w:szCs w:val="22"/>
                <w:lang w:val="en-US" w:eastAsia="zh-CN" w:bidi="ar-SA"/>
              </w:rPr>
            </w:pPr>
          </w:p>
        </w:tc>
      </w:tr>
    </w:tbl>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系统部署及安全要求</w:t>
      </w:r>
    </w:p>
    <w:p>
      <w:pPr>
        <w:spacing w:line="400" w:lineRule="exact"/>
        <w:ind w:firstLine="440" w:firstLineChars="200"/>
        <w:rPr>
          <w:rFonts w:ascii="宋体" w:hAnsi="宋体" w:eastAsia="宋体" w:cs="宋体"/>
          <w:sz w:val="22"/>
        </w:rPr>
      </w:pPr>
      <w:r>
        <w:rPr>
          <w:rFonts w:hint="eastAsia" w:ascii="宋体" w:hAnsi="宋体" w:eastAsia="宋体" w:cs="宋体"/>
          <w:sz w:val="22"/>
        </w:rPr>
        <w:t>项目整体部署在大数据中心已有的机房及网络安全环境中，总体设计满足二级等保要求。由于网络基础设备、网络安全设备已经完成建设，为避免重复建设，本项目将共用已采购设备，本期只建设服务器系统、磁盘阵列部分，并扩充相关网络链路，接入到已有体系中。</w:t>
      </w:r>
    </w:p>
    <w:p>
      <w:pPr>
        <w:spacing w:line="400" w:lineRule="exact"/>
        <w:ind w:firstLine="440" w:firstLineChars="200"/>
        <w:rPr>
          <w:rFonts w:ascii="宋体" w:hAnsi="宋体" w:eastAsia="宋体" w:cs="宋体"/>
          <w:sz w:val="22"/>
        </w:rPr>
      </w:pPr>
      <w:r>
        <w:rPr>
          <w:rFonts w:hint="eastAsia" w:ascii="宋体" w:hAnsi="宋体" w:eastAsia="宋体" w:cs="宋体"/>
          <w:sz w:val="22"/>
        </w:rPr>
        <w:t>本项目建设成果涉及采集地理数据、视频数据相关个人隐私信息，一旦泄露可能会对个人造成一定影响，对政府声誉造成一般损害，因此建议定义二级，需提供等保测评服务（二级）。</w:t>
      </w:r>
    </w:p>
    <w:p>
      <w:pPr>
        <w:pStyle w:val="2"/>
        <w:numPr>
          <w:ilvl w:val="0"/>
          <w:numId w:val="0"/>
        </w:numPr>
        <w:spacing w:before="120" w:after="120" w:line="360" w:lineRule="auto"/>
        <w:ind w:leftChars="0"/>
        <w:jc w:val="both"/>
        <w:rPr>
          <w:rFonts w:ascii="宋体" w:hAnsi="宋体" w:eastAsia="宋体"/>
          <w:sz w:val="24"/>
          <w:szCs w:val="24"/>
        </w:rPr>
      </w:pPr>
      <w:r>
        <w:rPr>
          <w:rFonts w:hint="eastAsia" w:ascii="宋体" w:hAnsi="宋体" w:eastAsia="宋体"/>
          <w:sz w:val="24"/>
          <w:szCs w:val="24"/>
          <w:lang w:val="en-US" w:eastAsia="zh-CN"/>
        </w:rPr>
        <w:t>七、</w:t>
      </w:r>
      <w:r>
        <w:rPr>
          <w:rFonts w:hint="eastAsia" w:ascii="宋体" w:hAnsi="宋体" w:eastAsia="宋体"/>
          <w:sz w:val="24"/>
          <w:szCs w:val="24"/>
        </w:rPr>
        <w:t>售后运维及培训服务要求</w:t>
      </w:r>
    </w:p>
    <w:p>
      <w:pPr>
        <w:pStyle w:val="3"/>
        <w:numPr>
          <w:ilvl w:val="0"/>
          <w:numId w:val="0"/>
        </w:numPr>
        <w:spacing w:before="0" w:after="0" w:line="360" w:lineRule="auto"/>
        <w:ind w:left="560" w:leftChars="0"/>
        <w:rPr>
          <w:rFonts w:ascii="宋体" w:hAnsi="宋体" w:eastAsia="宋体"/>
          <w:sz w:val="22"/>
          <w:szCs w:val="22"/>
        </w:rPr>
      </w:pPr>
      <w:bookmarkStart w:id="81" w:name="_Toc150798655"/>
      <w:r>
        <w:rPr>
          <w:rFonts w:ascii="宋体" w:hAnsi="宋体" w:eastAsia="宋体"/>
          <w:sz w:val="22"/>
          <w:szCs w:val="22"/>
        </w:rPr>
        <w:t>7.1</w:t>
      </w:r>
      <w:r>
        <w:rPr>
          <w:rFonts w:hint="eastAsia" w:ascii="宋体" w:hAnsi="宋体" w:eastAsia="宋体"/>
          <w:sz w:val="22"/>
          <w:szCs w:val="22"/>
        </w:rPr>
        <w:t>售后运维</w:t>
      </w:r>
      <w:bookmarkEnd w:id="81"/>
      <w:r>
        <w:rPr>
          <w:rFonts w:hint="eastAsia" w:ascii="宋体" w:hAnsi="宋体" w:eastAsia="宋体"/>
          <w:sz w:val="22"/>
          <w:szCs w:val="22"/>
        </w:rPr>
        <w:t>要求</w:t>
      </w:r>
    </w:p>
    <w:p>
      <w:pPr>
        <w:spacing w:line="400" w:lineRule="exact"/>
        <w:ind w:firstLine="440" w:firstLineChars="200"/>
        <w:rPr>
          <w:rFonts w:ascii="宋体" w:hAnsi="宋体" w:eastAsia="宋体" w:cs="宋体"/>
          <w:sz w:val="22"/>
        </w:rPr>
      </w:pPr>
      <w:r>
        <w:rPr>
          <w:rFonts w:hint="eastAsia" w:ascii="宋体" w:hAnsi="宋体" w:eastAsia="宋体" w:cs="宋体"/>
          <w:sz w:val="22"/>
        </w:rPr>
        <w:t>供应商提供所有的软件、硬件需提供验收后三年免费售后维护和长期的技术支持服务。</w:t>
      </w:r>
    </w:p>
    <w:p>
      <w:pPr>
        <w:pStyle w:val="3"/>
        <w:numPr>
          <w:ilvl w:val="0"/>
          <w:numId w:val="0"/>
        </w:numPr>
        <w:spacing w:before="0" w:after="0" w:line="360" w:lineRule="auto"/>
        <w:ind w:left="560" w:leftChars="0"/>
        <w:rPr>
          <w:rFonts w:ascii="宋体" w:hAnsi="宋体" w:eastAsia="宋体"/>
          <w:sz w:val="22"/>
          <w:szCs w:val="22"/>
        </w:rPr>
      </w:pPr>
      <w:bookmarkStart w:id="82" w:name="_Toc150798656"/>
      <w:r>
        <w:rPr>
          <w:rFonts w:ascii="宋体" w:hAnsi="宋体" w:eastAsia="宋体"/>
          <w:sz w:val="22"/>
          <w:szCs w:val="22"/>
        </w:rPr>
        <w:t>7.2</w:t>
      </w:r>
      <w:r>
        <w:rPr>
          <w:rFonts w:hint="eastAsia" w:ascii="宋体" w:hAnsi="宋体" w:eastAsia="宋体"/>
          <w:sz w:val="22"/>
          <w:szCs w:val="22"/>
        </w:rPr>
        <w:t>驻场运维</w:t>
      </w:r>
      <w:bookmarkEnd w:id="82"/>
      <w:r>
        <w:rPr>
          <w:rFonts w:hint="eastAsia" w:ascii="宋体" w:hAnsi="宋体" w:eastAsia="宋体"/>
          <w:sz w:val="22"/>
          <w:szCs w:val="22"/>
        </w:rPr>
        <w:t>要求</w:t>
      </w:r>
    </w:p>
    <w:p>
      <w:pPr>
        <w:spacing w:line="400" w:lineRule="exact"/>
        <w:ind w:firstLine="440" w:firstLineChars="200"/>
        <w:rPr>
          <w:rFonts w:ascii="宋体" w:hAnsi="宋体" w:eastAsia="宋体" w:cs="宋体"/>
          <w:sz w:val="22"/>
        </w:rPr>
      </w:pPr>
      <w:r>
        <w:rPr>
          <w:rFonts w:hint="eastAsia" w:ascii="宋体" w:hAnsi="宋体" w:eastAsia="宋体" w:cs="宋体"/>
          <w:sz w:val="22"/>
        </w:rPr>
        <w:t>为满足低空无人机动态监测网的长效稳定运行，无人机系统的按需快速规划及应用，保证数据成果的高质量入库及分析应用。在本项目建设中，需要提供运行维护支撑服务。具体服务如下：</w:t>
      </w:r>
    </w:p>
    <w:p>
      <w:pPr>
        <w:spacing w:line="400" w:lineRule="exact"/>
        <w:ind w:firstLine="440" w:firstLineChars="200"/>
        <w:rPr>
          <w:rFonts w:ascii="宋体" w:hAnsi="宋体" w:eastAsia="宋体" w:cs="宋体"/>
          <w:sz w:val="22"/>
        </w:rPr>
      </w:pPr>
      <w:r>
        <w:rPr>
          <w:rFonts w:hint="eastAsia" w:ascii="宋体" w:hAnsi="宋体" w:eastAsia="宋体" w:cs="宋体"/>
          <w:sz w:val="22"/>
        </w:rPr>
        <w:t>服务人次及期限：</w:t>
      </w:r>
      <w:r>
        <w:rPr>
          <w:rFonts w:ascii="宋体" w:hAnsi="宋体" w:eastAsia="宋体" w:cs="宋体"/>
          <w:sz w:val="22"/>
        </w:rPr>
        <w:t>3</w:t>
      </w:r>
      <w:r>
        <w:rPr>
          <w:rFonts w:hint="eastAsia" w:ascii="宋体" w:hAnsi="宋体" w:eastAsia="宋体" w:cs="宋体"/>
          <w:sz w:val="22"/>
        </w:rPr>
        <w:t>人，一年驻场技术服务。</w:t>
      </w:r>
    </w:p>
    <w:p>
      <w:pPr>
        <w:spacing w:line="400" w:lineRule="exact"/>
        <w:ind w:firstLine="440" w:firstLineChars="200"/>
        <w:rPr>
          <w:rFonts w:ascii="宋体" w:hAnsi="宋体" w:eastAsia="宋体" w:cs="宋体"/>
          <w:sz w:val="22"/>
        </w:rPr>
      </w:pPr>
      <w:r>
        <w:rPr>
          <w:rFonts w:hint="eastAsia" w:ascii="宋体" w:hAnsi="宋体" w:eastAsia="宋体" w:cs="宋体"/>
          <w:sz w:val="22"/>
        </w:rPr>
        <w:t>服务内容：</w:t>
      </w:r>
    </w:p>
    <w:p>
      <w:pPr>
        <w:spacing w:line="400" w:lineRule="exact"/>
        <w:ind w:firstLine="440" w:firstLineChars="200"/>
        <w:rPr>
          <w:rFonts w:ascii="宋体" w:hAnsi="宋体" w:eastAsia="宋体" w:cs="宋体"/>
          <w:sz w:val="22"/>
        </w:rPr>
      </w:pPr>
      <w:r>
        <w:rPr>
          <w:rFonts w:hint="eastAsia" w:ascii="宋体" w:hAnsi="宋体" w:eastAsia="宋体" w:cs="宋体"/>
          <w:sz w:val="22"/>
        </w:rPr>
        <w:t>无人机应用专员：</w:t>
      </w:r>
    </w:p>
    <w:p>
      <w:pPr>
        <w:spacing w:line="400" w:lineRule="exact"/>
        <w:ind w:firstLine="440" w:firstLineChars="200"/>
        <w:rPr>
          <w:rFonts w:ascii="宋体" w:hAnsi="宋体" w:eastAsia="宋体" w:cs="宋体"/>
          <w:sz w:val="22"/>
        </w:rPr>
      </w:pPr>
      <w:r>
        <w:rPr>
          <w:rFonts w:hint="eastAsia" w:ascii="宋体" w:hAnsi="宋体" w:eastAsia="宋体" w:cs="宋体"/>
          <w:sz w:val="22"/>
        </w:rPr>
        <w:t>（1）根据各应用单位的任务需求，进行飞行任务规划及航线规划；</w:t>
      </w:r>
    </w:p>
    <w:p>
      <w:pPr>
        <w:spacing w:line="400" w:lineRule="exact"/>
        <w:ind w:firstLine="440" w:firstLineChars="200"/>
        <w:rPr>
          <w:rFonts w:ascii="宋体" w:hAnsi="宋体" w:eastAsia="宋体" w:cs="宋体"/>
          <w:sz w:val="22"/>
        </w:rPr>
      </w:pPr>
      <w:r>
        <w:rPr>
          <w:rFonts w:hint="eastAsia" w:ascii="宋体" w:hAnsi="宋体" w:eastAsia="宋体" w:cs="宋体"/>
          <w:sz w:val="22"/>
        </w:rPr>
        <w:t>（2）执行飞行任务，监控飞行状态，控制飞行过程；</w:t>
      </w:r>
    </w:p>
    <w:p>
      <w:pPr>
        <w:spacing w:line="400" w:lineRule="exact"/>
        <w:ind w:firstLine="440" w:firstLineChars="200"/>
        <w:rPr>
          <w:rFonts w:ascii="宋体" w:hAnsi="宋体" w:eastAsia="宋体" w:cs="宋体"/>
          <w:sz w:val="22"/>
        </w:rPr>
      </w:pPr>
      <w:r>
        <w:rPr>
          <w:rFonts w:hint="eastAsia" w:ascii="宋体" w:hAnsi="宋体" w:eastAsia="宋体" w:cs="宋体"/>
          <w:sz w:val="22"/>
        </w:rPr>
        <w:t>（3）记录飞行状况，进行飞行任务总结；</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4</w:t>
      </w:r>
      <w:r>
        <w:rPr>
          <w:rFonts w:hint="eastAsia" w:ascii="宋体" w:hAnsi="宋体" w:eastAsia="宋体" w:cs="宋体"/>
          <w:sz w:val="22"/>
        </w:rPr>
        <w:t>）根据突发需求，执行紧急手动飞行任务。</w:t>
      </w:r>
    </w:p>
    <w:p>
      <w:pPr>
        <w:spacing w:line="400" w:lineRule="exact"/>
        <w:ind w:firstLine="440" w:firstLineChars="200"/>
        <w:rPr>
          <w:rFonts w:ascii="宋体" w:hAnsi="宋体" w:eastAsia="宋体" w:cs="宋体"/>
          <w:sz w:val="22"/>
        </w:rPr>
      </w:pPr>
      <w:r>
        <w:rPr>
          <w:rFonts w:hint="eastAsia" w:ascii="宋体" w:hAnsi="宋体" w:eastAsia="宋体" w:cs="宋体"/>
          <w:sz w:val="22"/>
        </w:rPr>
        <w:t>数据专员：</w:t>
      </w:r>
    </w:p>
    <w:p>
      <w:pPr>
        <w:spacing w:line="400" w:lineRule="exact"/>
        <w:ind w:firstLine="440" w:firstLineChars="200"/>
        <w:rPr>
          <w:rFonts w:ascii="宋体" w:hAnsi="宋体" w:eastAsia="宋体" w:cs="宋体"/>
          <w:sz w:val="22"/>
        </w:rPr>
      </w:pPr>
      <w:r>
        <w:rPr>
          <w:rFonts w:hint="eastAsia" w:ascii="宋体" w:hAnsi="宋体" w:eastAsia="宋体" w:cs="宋体"/>
          <w:sz w:val="22"/>
        </w:rPr>
        <w:t>（1）负责根据基于人工智能及人工相结合的方式，按照各类数据分析要求，按照类型及单元网格，分析各类巡检结果，并进行上报；</w:t>
      </w:r>
    </w:p>
    <w:p>
      <w:pPr>
        <w:spacing w:line="400" w:lineRule="exact"/>
        <w:ind w:firstLine="440" w:firstLineChars="200"/>
        <w:rPr>
          <w:rFonts w:ascii="宋体" w:hAnsi="宋体" w:eastAsia="宋体" w:cs="宋体"/>
          <w:sz w:val="22"/>
        </w:rPr>
      </w:pPr>
      <w:r>
        <w:rPr>
          <w:rFonts w:hint="eastAsia" w:ascii="宋体" w:hAnsi="宋体" w:eastAsia="宋体" w:cs="宋体"/>
          <w:sz w:val="22"/>
        </w:rPr>
        <w:t>（2）及时检查飞行情况，负责飞行数据的入库、检验工作；</w:t>
      </w:r>
    </w:p>
    <w:p>
      <w:pPr>
        <w:spacing w:line="400" w:lineRule="exact"/>
        <w:ind w:firstLine="440" w:firstLineChars="200"/>
        <w:rPr>
          <w:rFonts w:ascii="宋体" w:hAnsi="宋体" w:eastAsia="宋体" w:cs="宋体"/>
          <w:sz w:val="22"/>
        </w:rPr>
      </w:pPr>
      <w:r>
        <w:rPr>
          <w:rFonts w:hint="eastAsia" w:ascii="宋体" w:hAnsi="宋体" w:eastAsia="宋体" w:cs="宋体"/>
          <w:sz w:val="22"/>
        </w:rPr>
        <w:t>（3）负责至少每半年对无人机覆盖区域，进行一次D</w:t>
      </w:r>
      <w:r>
        <w:rPr>
          <w:rFonts w:ascii="宋体" w:hAnsi="宋体" w:eastAsia="宋体" w:cs="宋体"/>
          <w:sz w:val="22"/>
        </w:rPr>
        <w:t>OM</w:t>
      </w:r>
      <w:r>
        <w:rPr>
          <w:rFonts w:hint="eastAsia" w:ascii="宋体" w:hAnsi="宋体" w:eastAsia="宋体" w:cs="宋体"/>
          <w:sz w:val="22"/>
        </w:rPr>
        <w:t>及倾斜</w:t>
      </w:r>
    </w:p>
    <w:p>
      <w:pPr>
        <w:spacing w:line="400" w:lineRule="exact"/>
        <w:ind w:firstLine="440" w:firstLineChars="200"/>
        <w:rPr>
          <w:rFonts w:ascii="宋体" w:hAnsi="宋体" w:eastAsia="宋体" w:cs="宋体"/>
          <w:sz w:val="22"/>
        </w:rPr>
      </w:pPr>
      <w:r>
        <w:rPr>
          <w:rFonts w:hint="eastAsia" w:ascii="宋体" w:hAnsi="宋体" w:eastAsia="宋体" w:cs="宋体"/>
          <w:sz w:val="22"/>
        </w:rPr>
        <w:t>（4）摄影三维数据的定期飞行及更新任务，并实现数据更新到苍南全域三维数字孪生底座平台中。</w:t>
      </w:r>
    </w:p>
    <w:p>
      <w:pPr>
        <w:spacing w:line="400" w:lineRule="exact"/>
        <w:ind w:firstLine="440" w:firstLineChars="200"/>
        <w:rPr>
          <w:rFonts w:ascii="宋体" w:hAnsi="宋体" w:eastAsia="宋体" w:cs="宋体"/>
          <w:sz w:val="22"/>
        </w:rPr>
      </w:pPr>
      <w:r>
        <w:rPr>
          <w:rFonts w:hint="eastAsia" w:ascii="宋体" w:hAnsi="宋体" w:eastAsia="宋体" w:cs="宋体"/>
          <w:sz w:val="22"/>
        </w:rPr>
        <w:t>安全专员：</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1)</w:t>
      </w:r>
      <w:r>
        <w:rPr>
          <w:rFonts w:hint="eastAsia" w:ascii="宋体" w:hAnsi="宋体" w:eastAsia="宋体" w:cs="宋体"/>
          <w:sz w:val="22"/>
        </w:rPr>
        <w:t>定期检查机巢、无人机硬件系统工作状态，及时与供应商</w:t>
      </w:r>
    </w:p>
    <w:p>
      <w:pPr>
        <w:spacing w:line="400" w:lineRule="exact"/>
        <w:ind w:firstLine="440" w:firstLineChars="200"/>
        <w:rPr>
          <w:rFonts w:ascii="宋体" w:hAnsi="宋体" w:eastAsia="宋体" w:cs="宋体"/>
          <w:sz w:val="22"/>
        </w:rPr>
      </w:pPr>
      <w:r>
        <w:rPr>
          <w:rFonts w:hint="eastAsia" w:ascii="宋体" w:hAnsi="宋体" w:eastAsia="宋体" w:cs="宋体"/>
          <w:sz w:val="22"/>
        </w:rPr>
        <w:t>联系维修及保养问题；</w:t>
      </w:r>
    </w:p>
    <w:p>
      <w:pPr>
        <w:spacing w:line="400" w:lineRule="exact"/>
        <w:ind w:firstLine="440" w:firstLineChars="200"/>
        <w:rPr>
          <w:rFonts w:ascii="宋体" w:hAnsi="宋体" w:eastAsia="宋体" w:cs="宋体"/>
          <w:sz w:val="22"/>
        </w:rPr>
      </w:pPr>
      <w:r>
        <w:rPr>
          <w:rFonts w:hint="eastAsia" w:ascii="宋体" w:hAnsi="宋体" w:eastAsia="宋体" w:cs="宋体"/>
          <w:sz w:val="22"/>
        </w:rPr>
        <w:t>(</w:t>
      </w:r>
      <w:r>
        <w:rPr>
          <w:rFonts w:ascii="宋体" w:hAnsi="宋体" w:eastAsia="宋体" w:cs="宋体"/>
          <w:sz w:val="22"/>
        </w:rPr>
        <w:t>2)</w:t>
      </w:r>
      <w:r>
        <w:rPr>
          <w:rFonts w:hint="eastAsia" w:ascii="宋体" w:hAnsi="宋体" w:eastAsia="宋体" w:cs="宋体"/>
          <w:sz w:val="22"/>
        </w:rPr>
        <w:t>负责服务器、数据库、软件系统的日常运维及安全工作。</w:t>
      </w:r>
    </w:p>
    <w:p>
      <w:pPr>
        <w:pStyle w:val="3"/>
        <w:numPr>
          <w:ilvl w:val="0"/>
          <w:numId w:val="0"/>
        </w:numPr>
        <w:spacing w:before="0" w:after="0" w:line="360" w:lineRule="auto"/>
        <w:ind w:left="560" w:leftChars="0"/>
        <w:rPr>
          <w:rFonts w:ascii="宋体" w:hAnsi="宋体" w:eastAsia="宋体"/>
          <w:sz w:val="22"/>
          <w:szCs w:val="22"/>
        </w:rPr>
      </w:pPr>
      <w:bookmarkStart w:id="83" w:name="_Toc150798657"/>
      <w:r>
        <w:rPr>
          <w:rFonts w:ascii="宋体" w:hAnsi="宋体" w:eastAsia="宋体"/>
          <w:sz w:val="22"/>
          <w:szCs w:val="22"/>
        </w:rPr>
        <w:t>7.3</w:t>
      </w:r>
      <w:r>
        <w:rPr>
          <w:rFonts w:hint="eastAsia" w:ascii="宋体" w:hAnsi="宋体" w:eastAsia="宋体"/>
          <w:sz w:val="22"/>
          <w:szCs w:val="22"/>
        </w:rPr>
        <w:t>多旋翼无人机操作培训</w:t>
      </w:r>
      <w:bookmarkEnd w:id="83"/>
      <w:r>
        <w:rPr>
          <w:rFonts w:hint="eastAsia" w:ascii="宋体" w:hAnsi="宋体" w:eastAsia="宋体"/>
          <w:sz w:val="22"/>
          <w:szCs w:val="22"/>
        </w:rPr>
        <w:t>要求</w:t>
      </w:r>
    </w:p>
    <w:p>
      <w:pPr>
        <w:spacing w:line="400" w:lineRule="exact"/>
        <w:ind w:firstLine="440" w:firstLineChars="200"/>
        <w:rPr>
          <w:rFonts w:ascii="宋体" w:hAnsi="宋体" w:eastAsia="宋体" w:cs="宋体"/>
          <w:sz w:val="22"/>
        </w:rPr>
      </w:pPr>
      <w:r>
        <w:rPr>
          <w:rFonts w:hint="eastAsia" w:ascii="宋体" w:hAnsi="宋体" w:eastAsia="宋体" w:cs="宋体"/>
          <w:sz w:val="22"/>
        </w:rPr>
        <w:t>在本项目交付使用后，应有具备</w:t>
      </w:r>
      <w:r>
        <w:rPr>
          <w:rFonts w:ascii="宋体" w:hAnsi="宋体" w:eastAsia="宋体" w:cs="宋体"/>
          <w:sz w:val="22"/>
        </w:rPr>
        <w:t>UTC</w:t>
      </w:r>
      <w:r>
        <w:rPr>
          <w:rFonts w:hint="eastAsia" w:ascii="宋体" w:hAnsi="宋体" w:eastAsia="宋体" w:cs="宋体"/>
          <w:sz w:val="22"/>
        </w:rPr>
        <w:t>资质的机构提供多旋翼无人机超视距驾驶员操作培训，并取得</w:t>
      </w:r>
      <w:r>
        <w:rPr>
          <w:rFonts w:ascii="宋体" w:hAnsi="宋体" w:eastAsia="宋体" w:cs="宋体"/>
          <w:sz w:val="22"/>
        </w:rPr>
        <w:t>UTC</w:t>
      </w:r>
      <w:r>
        <w:rPr>
          <w:rFonts w:hint="eastAsia" w:ascii="宋体" w:hAnsi="宋体" w:eastAsia="宋体" w:cs="宋体"/>
          <w:sz w:val="22"/>
        </w:rPr>
        <w:t>无人机执照，培训时间不低于</w:t>
      </w:r>
      <w:r>
        <w:rPr>
          <w:rFonts w:ascii="宋体" w:hAnsi="宋体" w:eastAsia="宋体" w:cs="宋体"/>
          <w:sz w:val="22"/>
        </w:rPr>
        <w:t>4</w:t>
      </w:r>
      <w:r>
        <w:rPr>
          <w:rFonts w:hint="eastAsia" w:ascii="宋体" w:hAnsi="宋体" w:eastAsia="宋体" w:cs="宋体"/>
          <w:sz w:val="22"/>
        </w:rPr>
        <w:t>天。</w:t>
      </w:r>
    </w:p>
    <w:p>
      <w:pPr>
        <w:spacing w:line="400" w:lineRule="exact"/>
        <w:ind w:firstLine="440" w:firstLineChars="200"/>
        <w:rPr>
          <w:rFonts w:ascii="宋体" w:hAnsi="宋体" w:eastAsia="宋体" w:cs="宋体"/>
          <w:sz w:val="22"/>
        </w:rPr>
      </w:pPr>
      <w:r>
        <w:rPr>
          <w:rFonts w:hint="eastAsia" w:ascii="宋体" w:hAnsi="宋体" w:eastAsia="宋体" w:cs="宋体"/>
          <w:sz w:val="22"/>
        </w:rPr>
        <w:t>培训人次：20人次。</w:t>
      </w:r>
    </w:p>
    <w:p>
      <w:pPr>
        <w:spacing w:line="400" w:lineRule="exact"/>
        <w:ind w:firstLine="440" w:firstLineChars="200"/>
        <w:rPr>
          <w:rFonts w:ascii="宋体" w:hAnsi="宋体" w:eastAsia="宋体" w:cs="宋体"/>
          <w:sz w:val="22"/>
        </w:rPr>
      </w:pPr>
      <w:r>
        <w:rPr>
          <w:rFonts w:hint="eastAsia" w:ascii="宋体" w:hAnsi="宋体" w:eastAsia="宋体" w:cs="宋体"/>
          <w:sz w:val="22"/>
        </w:rPr>
        <w:t>培训地点：浙江、温州。</w:t>
      </w:r>
    </w:p>
    <w:p>
      <w:pPr>
        <w:spacing w:line="400" w:lineRule="exact"/>
        <w:ind w:firstLine="440" w:firstLineChars="200"/>
        <w:rPr>
          <w:rFonts w:ascii="宋体" w:hAnsi="宋体" w:eastAsia="宋体" w:cs="宋体"/>
          <w:sz w:val="22"/>
        </w:rPr>
      </w:pPr>
    </w:p>
    <w:p>
      <w:pPr>
        <w:rPr>
          <w:color w:val="auto"/>
        </w:rPr>
      </w:pPr>
    </w:p>
    <w:p>
      <w:pPr>
        <w:rPr>
          <w:rFonts w:hint="eastAsia" w:ascii="仿宋" w:hAnsi="仿宋" w:eastAsia="仿宋" w:cs="仿宋"/>
          <w:b/>
          <w:bCs/>
          <w:color w:val="auto"/>
          <w:sz w:val="30"/>
          <w:szCs w:val="30"/>
          <w:lang w:val="en-US"/>
        </w:rPr>
        <w:sectPr>
          <w:pgSz w:w="11906" w:h="16838"/>
          <w:pgMar w:top="1440" w:right="1106" w:bottom="1440" w:left="1622" w:header="851" w:footer="992"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b/>
          <w:bCs/>
          <w:color w:val="auto"/>
          <w:sz w:val="30"/>
          <w:szCs w:val="30"/>
          <w:lang w:val="en-US"/>
        </w:rPr>
        <w:br w:type="page"/>
      </w:r>
    </w:p>
    <w:p>
      <w:pPr>
        <w:pStyle w:val="24"/>
        <w:rPr>
          <w:rFonts w:hint="eastAsia"/>
          <w:color w:val="auto"/>
          <w:lang w:val="en-US"/>
        </w:rPr>
      </w:pPr>
    </w:p>
    <w:p>
      <w:pPr>
        <w:tabs>
          <w:tab w:val="left" w:pos="2585"/>
        </w:tabs>
        <w:spacing w:line="360" w:lineRule="auto"/>
        <w:jc w:val="center"/>
        <w:outlineLvl w:val="1"/>
        <w:rPr>
          <w:rFonts w:hint="eastAsia" w:ascii="宋体" w:hAnsi="宋体" w:eastAsia="宋体" w:cs="宋体"/>
          <w:color w:val="auto"/>
          <w:sz w:val="24"/>
          <w:szCs w:val="28"/>
          <w:lang w:val="en-US"/>
        </w:rPr>
      </w:pPr>
      <w:r>
        <w:rPr>
          <w:rFonts w:hint="eastAsia" w:ascii="宋体" w:hAnsi="宋体" w:cs="宋体"/>
          <w:b/>
          <w:bCs/>
          <w:color w:val="auto"/>
          <w:sz w:val="30"/>
          <w:szCs w:val="30"/>
          <w:lang w:val="en-US" w:eastAsia="zh-CN"/>
        </w:rPr>
        <w:t>八、</w:t>
      </w:r>
      <w:r>
        <w:rPr>
          <w:rFonts w:hint="eastAsia" w:ascii="宋体" w:hAnsi="宋体" w:eastAsia="宋体" w:cs="宋体"/>
          <w:b/>
          <w:bCs/>
          <w:color w:val="auto"/>
          <w:sz w:val="30"/>
          <w:szCs w:val="30"/>
          <w:lang w:val="en-US"/>
        </w:rPr>
        <w:t>商务要求（合同商务条款主要内容）</w:t>
      </w:r>
      <w:bookmarkEnd w:id="79"/>
    </w:p>
    <w:tbl>
      <w:tblPr>
        <w:tblStyle w:val="18"/>
        <w:tblW w:w="94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026"/>
        <w:gridCol w:w="1964"/>
        <w:gridCol w:w="6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shd w:val="clear" w:color="auto" w:fill="B4C6E7" w:themeFill="accent5" w:themeFillTint="66"/>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sz w:val="24"/>
                <w:szCs w:val="20"/>
                <w:lang w:val="en-US"/>
              </w:rPr>
            </w:pPr>
            <w:r>
              <w:rPr>
                <w:rFonts w:hint="eastAsia" w:ascii="宋体" w:hAnsi="宋体" w:eastAsia="宋体" w:cs="宋体"/>
                <w:b/>
                <w:color w:val="auto"/>
                <w:sz w:val="24"/>
                <w:szCs w:val="20"/>
                <w:lang w:val="en-US"/>
              </w:rPr>
              <w:t>序号</w:t>
            </w:r>
          </w:p>
        </w:tc>
        <w:tc>
          <w:tcPr>
            <w:tcW w:w="1964" w:type="dxa"/>
            <w:tcBorders>
              <w:tl2br w:val="nil"/>
              <w:tr2bl w:val="nil"/>
            </w:tcBorders>
            <w:shd w:val="clear" w:color="auto" w:fill="B4C6E7" w:themeFill="accent5" w:themeFillTint="66"/>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sz w:val="24"/>
                <w:szCs w:val="20"/>
                <w:lang w:val="en-US"/>
              </w:rPr>
            </w:pPr>
            <w:r>
              <w:rPr>
                <w:rFonts w:hint="eastAsia" w:ascii="宋体" w:hAnsi="宋体" w:eastAsia="宋体" w:cs="宋体"/>
                <w:b/>
                <w:color w:val="auto"/>
                <w:sz w:val="24"/>
                <w:szCs w:val="20"/>
                <w:lang w:val="en-US"/>
              </w:rPr>
              <w:t>内容</w:t>
            </w:r>
          </w:p>
        </w:tc>
        <w:tc>
          <w:tcPr>
            <w:tcW w:w="6462" w:type="dxa"/>
            <w:tcBorders>
              <w:tl2br w:val="nil"/>
              <w:tr2bl w:val="nil"/>
            </w:tcBorders>
            <w:shd w:val="clear" w:color="auto" w:fill="B4C6E7" w:themeFill="accent5" w:themeFillTint="66"/>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sz w:val="24"/>
                <w:szCs w:val="20"/>
                <w:lang w:val="en-US"/>
              </w:rPr>
            </w:pPr>
            <w:r>
              <w:rPr>
                <w:rFonts w:hint="eastAsia" w:ascii="宋体" w:hAnsi="宋体" w:eastAsia="宋体" w:cs="宋体"/>
                <w:b/>
                <w:color w:val="auto"/>
                <w:sz w:val="24"/>
                <w:szCs w:val="20"/>
                <w:lang w:val="en-US"/>
              </w:rPr>
              <w:t>招标要求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1</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▲投标报价</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color w:val="auto"/>
                <w:sz w:val="24"/>
                <w:szCs w:val="20"/>
              </w:rPr>
            </w:pPr>
            <w:r>
              <w:rPr>
                <w:rFonts w:hint="eastAsia" w:ascii="宋体" w:hAnsi="宋体" w:eastAsia="宋体" w:cs="宋体"/>
                <w:b/>
                <w:color w:val="auto"/>
                <w:sz w:val="24"/>
                <w:szCs w:val="20"/>
              </w:rPr>
              <w:t>本项目采用总价合同，投标报价应涵盖完成本项目合同内容所需的全部费用，以及企业税金、人工费、管理费、合理利润、风险费、</w:t>
            </w:r>
            <w:r>
              <w:rPr>
                <w:rFonts w:hint="eastAsia" w:ascii="宋体" w:hAnsi="宋体" w:cs="宋体"/>
                <w:b/>
                <w:color w:val="auto"/>
                <w:sz w:val="24"/>
                <w:szCs w:val="20"/>
                <w:lang w:val="en-US" w:eastAsia="zh-CN"/>
              </w:rPr>
              <w:t>二级等保测评、</w:t>
            </w:r>
            <w:r>
              <w:rPr>
                <w:rFonts w:hint="eastAsia" w:ascii="宋体" w:hAnsi="宋体" w:eastAsia="宋体" w:cs="宋体"/>
                <w:b/>
                <w:color w:val="auto"/>
                <w:sz w:val="24"/>
                <w:szCs w:val="20"/>
              </w:rPr>
              <w:t>投标费用等一切成本及费用（以上所有费用包含在综合单价中，不分列）。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2</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完工期</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rPr>
              <w:t>项目自开工申请批复后60天内完成硬件设备交付，开工申请批复后90天内完成平台交付，进入3个月试运行期。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3</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履约延误</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rPr>
              <w:t>如</w:t>
            </w:r>
            <w:r>
              <w:rPr>
                <w:rFonts w:hint="eastAsia" w:ascii="宋体" w:hAnsi="宋体" w:eastAsia="宋体" w:cs="宋体"/>
                <w:b/>
                <w:color w:val="auto"/>
                <w:sz w:val="24"/>
                <w:szCs w:val="20"/>
                <w:lang w:val="en-US" w:eastAsia="zh-CN"/>
              </w:rPr>
              <w:t>中标</w:t>
            </w:r>
            <w:r>
              <w:rPr>
                <w:rFonts w:hint="eastAsia" w:ascii="宋体" w:hAnsi="宋体" w:eastAsia="宋体" w:cs="宋体"/>
                <w:b/>
                <w:color w:val="auto"/>
                <w:sz w:val="24"/>
                <w:szCs w:val="20"/>
              </w:rPr>
              <w:t>供应商无正当理由而拖延交货，经协商无效,采购人有权追究成交供应商的违约责任。延期交货违约责任按每延期一天</w:t>
            </w:r>
            <w:r>
              <w:rPr>
                <w:rFonts w:hint="eastAsia" w:ascii="宋体" w:hAnsi="宋体" w:cs="宋体"/>
                <w:b/>
                <w:color w:val="auto"/>
                <w:sz w:val="24"/>
                <w:szCs w:val="20"/>
                <w:lang w:val="en-US" w:eastAsia="zh-CN"/>
              </w:rPr>
              <w:t>扣除</w:t>
            </w:r>
            <w:r>
              <w:rPr>
                <w:rFonts w:hint="eastAsia" w:ascii="宋体" w:hAnsi="宋体" w:eastAsia="宋体" w:cs="宋体"/>
                <w:b/>
                <w:color w:val="auto"/>
                <w:sz w:val="24"/>
                <w:szCs w:val="20"/>
              </w:rPr>
              <w:t>3000元</w:t>
            </w:r>
            <w:r>
              <w:rPr>
                <w:rFonts w:hint="eastAsia" w:ascii="宋体" w:hAnsi="宋体" w:cs="宋体"/>
                <w:b/>
                <w:color w:val="auto"/>
                <w:sz w:val="24"/>
                <w:szCs w:val="20"/>
                <w:lang w:val="en-US" w:eastAsia="zh-CN"/>
              </w:rPr>
              <w:t>项目款项</w:t>
            </w:r>
            <w:r>
              <w:rPr>
                <w:rFonts w:hint="eastAsia" w:ascii="宋体" w:hAnsi="宋体" w:eastAsia="宋体" w:cs="宋体"/>
                <w:b/>
                <w:color w:val="auto"/>
                <w:sz w:val="24"/>
                <w:szCs w:val="20"/>
              </w:rPr>
              <w:t>处理，如果超出合同规定期限15天不能供货，则采购人可以终止合同，并收取成交供应商合同总价20%的违约金。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4</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实施地点</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lang w:val="en-US" w:eastAsia="zh-CN"/>
              </w:rPr>
            </w:pPr>
            <w:r>
              <w:rPr>
                <w:rFonts w:hint="eastAsia" w:ascii="宋体" w:hAnsi="宋体" w:eastAsia="宋体" w:cs="宋体"/>
                <w:b/>
                <w:color w:val="auto"/>
                <w:sz w:val="24"/>
                <w:szCs w:val="20"/>
              </w:rPr>
              <w:t>采购人指定地点</w:t>
            </w:r>
            <w:r>
              <w:rPr>
                <w:rFonts w:hint="eastAsia" w:ascii="宋体" w:hAnsi="宋体" w:eastAsia="宋体" w:cs="宋体"/>
                <w:b/>
                <w:color w:val="auto"/>
                <w:sz w:val="24"/>
                <w:szCs w:val="20"/>
                <w:lang w:val="en-US" w:eastAsia="zh-CN"/>
              </w:rPr>
              <w:t>，合理摆放位置，直至验收合格。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5</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质量要求</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color w:val="auto"/>
                <w:sz w:val="24"/>
                <w:szCs w:val="20"/>
              </w:rPr>
            </w:pPr>
            <w:r>
              <w:rPr>
                <w:rFonts w:hint="eastAsia" w:ascii="宋体" w:hAnsi="宋体" w:eastAsia="宋体" w:cs="宋体"/>
                <w:bCs/>
                <w:color w:val="auto"/>
                <w:sz w:val="24"/>
                <w:szCs w:val="20"/>
              </w:rPr>
              <w:t>合格（符合采购文件要求、投标承诺以及国家、行业有关技术规范和标准）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6</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合同验收</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color w:val="auto"/>
                <w:sz w:val="24"/>
                <w:szCs w:val="20"/>
              </w:rPr>
            </w:pPr>
            <w:r>
              <w:rPr>
                <w:rFonts w:hint="eastAsia" w:ascii="宋体" w:hAnsi="宋体" w:eastAsia="宋体" w:cs="宋体"/>
                <w:bCs/>
                <w:color w:val="auto"/>
                <w:sz w:val="24"/>
                <w:szCs w:val="20"/>
              </w:rPr>
              <w:t>（1）本合同验收工作由采购人组织实施，中标供应商应派专业的技术人员协助进行验收。</w:t>
            </w:r>
          </w:p>
          <w:p>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rPr>
              <w:t>▲验收标准：符合质量要求。</w:t>
            </w:r>
          </w:p>
          <w:p>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color w:val="auto"/>
                <w:sz w:val="24"/>
                <w:szCs w:val="20"/>
              </w:rPr>
            </w:pPr>
            <w:r>
              <w:rPr>
                <w:rFonts w:hint="eastAsia" w:ascii="宋体" w:hAnsi="宋体" w:eastAsia="宋体" w:cs="宋体"/>
                <w:b/>
                <w:color w:val="auto"/>
                <w:sz w:val="24"/>
                <w:szCs w:val="20"/>
              </w:rPr>
              <w:t>▲特殊条款：合同执行期间的任何时刻，采购人均有权委托</w:t>
            </w:r>
            <w:r>
              <w:rPr>
                <w:rFonts w:hint="eastAsia" w:ascii="宋体" w:hAnsi="宋体" w:cs="宋体"/>
                <w:b/>
                <w:color w:val="auto"/>
                <w:sz w:val="24"/>
                <w:szCs w:val="20"/>
                <w:lang w:val="en-US" w:eastAsia="zh-CN"/>
              </w:rPr>
              <w:t>国家认可</w:t>
            </w:r>
            <w:r>
              <w:rPr>
                <w:rFonts w:hint="eastAsia" w:ascii="宋体" w:hAnsi="宋体" w:eastAsia="宋体" w:cs="宋体"/>
                <w:b/>
                <w:color w:val="auto"/>
                <w:sz w:val="24"/>
                <w:szCs w:val="20"/>
              </w:rPr>
              <w:t>检测机构对中标供应商所提供的的产品、原材料及零部件进行抽检，抽检所产生的所有费用由中标供应商承担，此项费用应当综合计入风险金中，含在投标报价内。抽检结果不符合质量要求的，中标供应商除须无条件退换货外，赔偿款在合同款中直接扣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7</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售后服务</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本采购货物多为易碎品，交货前发生损坏由供应商自行负责。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8</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履约保证金</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rPr>
            </w:pPr>
            <w:r>
              <w:rPr>
                <w:rFonts w:hint="eastAsia" w:ascii="宋体" w:hAnsi="宋体" w:eastAsia="宋体" w:cs="宋体"/>
                <w:b/>
                <w:color w:val="auto"/>
                <w:sz w:val="24"/>
                <w:szCs w:val="20"/>
              </w:rPr>
              <w:t>中标供应商应向采购人提交</w:t>
            </w:r>
            <w:r>
              <w:rPr>
                <w:rFonts w:hint="eastAsia" w:ascii="宋体" w:hAnsi="宋体" w:eastAsia="宋体" w:cs="宋体"/>
                <w:b/>
                <w:color w:val="auto"/>
                <w:sz w:val="24"/>
                <w:szCs w:val="20"/>
                <w:lang w:val="en-US" w:eastAsia="zh-CN"/>
              </w:rPr>
              <w:t>1</w:t>
            </w:r>
            <w:r>
              <w:rPr>
                <w:rFonts w:hint="eastAsia" w:ascii="宋体" w:hAnsi="宋体" w:eastAsia="宋体" w:cs="宋体"/>
                <w:b/>
                <w:color w:val="auto"/>
                <w:sz w:val="24"/>
                <w:szCs w:val="20"/>
                <w:lang w:val="en-US"/>
              </w:rPr>
              <w:t>%</w:t>
            </w:r>
            <w:r>
              <w:rPr>
                <w:rFonts w:hint="eastAsia" w:ascii="宋体" w:hAnsi="宋体" w:eastAsia="宋体" w:cs="宋体"/>
                <w:b/>
                <w:color w:val="auto"/>
                <w:sz w:val="24"/>
                <w:szCs w:val="20"/>
                <w:lang w:val="en-US" w:eastAsia="zh-CN"/>
              </w:rPr>
              <w:t xml:space="preserve"> </w:t>
            </w:r>
            <w:r>
              <w:rPr>
                <w:rFonts w:hint="eastAsia" w:ascii="宋体" w:hAnsi="宋体" w:eastAsia="宋体" w:cs="宋体"/>
                <w:b/>
                <w:color w:val="auto"/>
                <w:sz w:val="24"/>
                <w:szCs w:val="20"/>
                <w:lang w:val="en-US"/>
              </w:rPr>
              <w:t>的</w:t>
            </w:r>
            <w:r>
              <w:rPr>
                <w:rFonts w:hint="eastAsia" w:ascii="宋体" w:hAnsi="宋体" w:eastAsia="宋体" w:cs="宋体"/>
                <w:b/>
                <w:color w:val="auto"/>
                <w:sz w:val="24"/>
                <w:szCs w:val="20"/>
              </w:rPr>
              <w:t>履约保证金（</w:t>
            </w:r>
            <w:r>
              <w:rPr>
                <w:rFonts w:hint="eastAsia" w:ascii="宋体" w:hAnsi="宋体" w:eastAsia="宋体" w:cs="宋体"/>
                <w:b/>
                <w:color w:val="auto"/>
                <w:sz w:val="24"/>
                <w:szCs w:val="20"/>
                <w:lang w:val="en-US"/>
              </w:rPr>
              <w:t>履约保证金可采用银行转账或银行、保险公司出具保函形式提交</w:t>
            </w:r>
            <w:r>
              <w:rPr>
                <w:rFonts w:hint="eastAsia" w:ascii="宋体" w:hAnsi="宋体" w:eastAsia="宋体" w:cs="宋体"/>
                <w:b/>
                <w:color w:val="auto"/>
                <w:sz w:val="24"/>
                <w:szCs w:val="20"/>
              </w:rPr>
              <w:t>），</w:t>
            </w:r>
            <w:r>
              <w:rPr>
                <w:rFonts w:hint="eastAsia" w:ascii="宋体" w:hAnsi="宋体" w:eastAsia="宋体" w:cs="宋体"/>
                <w:b/>
                <w:color w:val="auto"/>
                <w:sz w:val="24"/>
                <w:szCs w:val="20"/>
                <w:lang w:val="en-US"/>
              </w:rPr>
              <w:t>项目供货完成并</w:t>
            </w:r>
            <w:r>
              <w:rPr>
                <w:rFonts w:hint="eastAsia" w:ascii="宋体" w:hAnsi="宋体" w:eastAsia="宋体" w:cs="宋体"/>
                <w:b/>
                <w:color w:val="auto"/>
                <w:sz w:val="24"/>
                <w:szCs w:val="20"/>
                <w:lang w:val="en-US" w:eastAsia="zh-CN"/>
              </w:rPr>
              <w:t>合理摆放位置</w:t>
            </w:r>
            <w:r>
              <w:rPr>
                <w:rFonts w:hint="eastAsia" w:ascii="宋体" w:hAnsi="宋体" w:eastAsia="宋体" w:cs="宋体"/>
                <w:b/>
                <w:color w:val="auto"/>
                <w:sz w:val="24"/>
                <w:szCs w:val="20"/>
                <w:lang w:val="en-US"/>
              </w:rPr>
              <w:t>验收合格后，</w:t>
            </w:r>
            <w:r>
              <w:rPr>
                <w:rFonts w:hint="eastAsia" w:ascii="宋体" w:hAnsi="宋体" w:eastAsia="宋体" w:cs="宋体"/>
                <w:b/>
                <w:color w:val="auto"/>
                <w:sz w:val="24"/>
                <w:szCs w:val="20"/>
                <w:lang w:val="en-US" w:eastAsia="zh-CN"/>
              </w:rPr>
              <w:t>15 个工日内无息退还</w:t>
            </w:r>
            <w:r>
              <w:rPr>
                <w:rFonts w:hint="eastAsia" w:ascii="宋体" w:hAnsi="宋体" w:eastAsia="宋体" w:cs="宋体"/>
                <w:b/>
                <w:color w:val="auto"/>
                <w:sz w:val="24"/>
                <w:szCs w:val="20"/>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02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eastAsia="zh-CN"/>
              </w:rPr>
            </w:pPr>
            <w:r>
              <w:rPr>
                <w:rFonts w:hint="eastAsia" w:ascii="宋体" w:hAnsi="宋体" w:eastAsia="宋体" w:cs="宋体"/>
                <w:bCs/>
                <w:color w:val="auto"/>
                <w:sz w:val="24"/>
                <w:szCs w:val="20"/>
                <w:lang w:val="en-US" w:eastAsia="zh-CN"/>
              </w:rPr>
              <w:t>9</w:t>
            </w:r>
          </w:p>
        </w:tc>
        <w:tc>
          <w:tcPr>
            <w:tcW w:w="196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Cs/>
                <w:color w:val="auto"/>
                <w:sz w:val="24"/>
                <w:szCs w:val="20"/>
                <w:lang w:val="en-US"/>
              </w:rPr>
            </w:pPr>
            <w:r>
              <w:rPr>
                <w:rFonts w:hint="eastAsia" w:ascii="宋体" w:hAnsi="宋体" w:eastAsia="宋体" w:cs="宋体"/>
                <w:bCs/>
                <w:color w:val="auto"/>
                <w:sz w:val="24"/>
                <w:szCs w:val="20"/>
                <w:lang w:val="en-US"/>
              </w:rPr>
              <w:t>付款方式和支付条件</w:t>
            </w:r>
          </w:p>
        </w:tc>
        <w:tc>
          <w:tcPr>
            <w:tcW w:w="646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FF0000"/>
                <w:sz w:val="24"/>
                <w:szCs w:val="20"/>
              </w:rPr>
            </w:pPr>
            <w:r>
              <w:rPr>
                <w:rFonts w:hint="eastAsia" w:ascii="宋体" w:hAnsi="宋体" w:eastAsia="宋体" w:cs="宋体"/>
                <w:b/>
                <w:color w:val="FF0000"/>
                <w:sz w:val="24"/>
                <w:szCs w:val="20"/>
              </w:rPr>
              <w:t>（1）合同签订后，中标供应商办结投标所有手续、具备履约条件后7个工作日内支付合同金额的40%作为预付款，支付前中标供应商须提供等额正式增值税发票；</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FF0000"/>
                <w:sz w:val="24"/>
                <w:szCs w:val="20"/>
              </w:rPr>
            </w:pPr>
            <w:r>
              <w:rPr>
                <w:rFonts w:hint="eastAsia" w:ascii="宋体" w:hAnsi="宋体" w:eastAsia="宋体" w:cs="宋体"/>
                <w:b/>
                <w:color w:val="FF0000"/>
                <w:sz w:val="24"/>
                <w:szCs w:val="20"/>
              </w:rPr>
              <w:t>（2）项目初步验收合格后，支付合同金额的40%，支付前中标供应商须提供等额正式增值税发票。</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FF0000"/>
                <w:sz w:val="24"/>
                <w:szCs w:val="20"/>
              </w:rPr>
            </w:pPr>
            <w:r>
              <w:rPr>
                <w:rFonts w:hint="eastAsia" w:ascii="宋体" w:hAnsi="宋体" w:eastAsia="宋体" w:cs="宋体"/>
                <w:b/>
                <w:color w:val="FF0000"/>
                <w:sz w:val="24"/>
                <w:szCs w:val="20"/>
              </w:rPr>
              <w:t>（3）项目完成等保测评及竣工验收后，支付合同金额的20%，支付前中标供应商须提供等额正式增值税发票。</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color w:val="auto"/>
                <w:sz w:val="24"/>
                <w:szCs w:val="20"/>
              </w:rPr>
            </w:pPr>
            <w:r>
              <w:rPr>
                <w:rFonts w:hint="eastAsia" w:ascii="宋体" w:hAnsi="宋体" w:eastAsia="宋体" w:cs="宋体"/>
                <w:b/>
                <w:color w:val="FF0000"/>
                <w:sz w:val="24"/>
                <w:szCs w:val="20"/>
              </w:rPr>
              <w:t>备注：采购人有权根据实际需求情况对部分产品的数量进行调整，单价以中标供应商所报单价为准。</w:t>
            </w:r>
          </w:p>
        </w:tc>
      </w:tr>
    </w:tbl>
    <w:p>
      <w:pPr>
        <w:keepNext w:val="0"/>
        <w:keepLines w:val="0"/>
        <w:pageBreakBefore w:val="0"/>
        <w:widowControl w:val="0"/>
        <w:tabs>
          <w:tab w:val="left" w:pos="2585"/>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30"/>
          <w:szCs w:val="30"/>
          <w:lang w:val="en-US"/>
        </w:rPr>
      </w:pPr>
      <w:bookmarkStart w:id="84" w:name="_Toc3459"/>
      <w:r>
        <w:rPr>
          <w:rFonts w:hint="eastAsia" w:ascii="宋体" w:hAnsi="宋体" w:cs="宋体"/>
          <w:b/>
          <w:bCs/>
          <w:color w:val="auto"/>
          <w:sz w:val="30"/>
          <w:szCs w:val="30"/>
          <w:lang w:val="en-US" w:eastAsia="zh-CN"/>
        </w:rPr>
        <w:t>九</w:t>
      </w:r>
      <w:r>
        <w:rPr>
          <w:rFonts w:hint="eastAsia" w:ascii="宋体" w:hAnsi="宋体" w:eastAsia="宋体" w:cs="宋体"/>
          <w:b/>
          <w:bCs/>
          <w:color w:val="auto"/>
          <w:sz w:val="30"/>
          <w:szCs w:val="30"/>
          <w:lang w:val="en-US"/>
        </w:rPr>
        <w:t>、特别说明与规定</w:t>
      </w:r>
      <w:bookmarkEnd w:id="84"/>
      <w:r>
        <w:rPr>
          <w:rFonts w:hint="eastAsia" w:ascii="宋体" w:hAnsi="宋体" w:eastAsia="宋体" w:cs="宋体"/>
          <w:b/>
          <w:bCs/>
          <w:color w:val="auto"/>
          <w:sz w:val="30"/>
          <w:szCs w:val="30"/>
          <w:lang w:val="en-U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本部分内容均为采购人基本要求，如投标供应商无法响应，须在《关于对采购文件中有关条款的拒绝声明》中详细说明，未说明的，视为认可并接受所有条款。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.1 本项目单独一个标项，标项是最小投标单位，投标供应商必须对标项内的所有内容发起投标响应。投标供应商在投标时缺漏的内容视为“未响应”按负偏离处理，如中标，须自行如数补齐并承担相应后果。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.2 本采购需求是采购人需求的最基本描述，投标供应商不得擅自改动或删减。投标供应商如认为采购内容中缺少了满足采购要求所必需的设备、材料或其他工作内容，投标供应商应在投标时自行补充并说明具体理由，所需费用包含在投标总价内。采购人不接受投标供应商给予的任何“赠品”或者与采购无关的其他商品、服务，不接受任何形式的“0 元报价”（“0 元报价”一律视为无效报价，作无效标处理）。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.3 本章（第</w:t>
      </w:r>
      <w:r>
        <w:rPr>
          <w:rFonts w:hint="eastAsia" w:ascii="宋体" w:hAnsi="宋体" w:eastAsia="宋体" w:cs="宋体"/>
          <w:b/>
          <w:color w:val="auto"/>
          <w:sz w:val="24"/>
          <w:szCs w:val="24"/>
          <w:lang w:val="en-US"/>
        </w:rPr>
        <w:t>四</w:t>
      </w:r>
      <w:r>
        <w:rPr>
          <w:rFonts w:hint="eastAsia" w:ascii="宋体" w:hAnsi="宋体" w:eastAsia="宋体" w:cs="宋体"/>
          <w:b/>
          <w:color w:val="auto"/>
          <w:sz w:val="24"/>
          <w:szCs w:val="24"/>
        </w:rPr>
        <w:t>章 采购需求）中对技术、服务和商务的要求是采购人最低要求，一般要求负偏离的，由评委按照招标文件的约定在商务技术评审时进行负偏离扣分。投标供应商应尽可能的选择符合采购人采购需求的产品参加投标。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.4 投标供应商应当完整、明确的逐条对照采购要求作出投标响应，投标响应缺项或因复制粘贴采购要求导致投标响应不明确的，均按负偏离认定；投标响应前后矛盾导致评标委员会有疑问的，评标委员会认为必要时可以要求投标供应商在规定的时间（30分钟）内提供相关技术证明材料，投标供应商不能按时提供相关技术证明材料的视为“未响应”作负偏离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 xml:space="preserve"> 中标供应商所供产品的规格以投标承诺为准，未经采购人同意，不得擅自更改。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 xml:space="preserve"> 投标供应商须对采购中涉及到的专利、知识产权等负责，并保证不伤害采购人及其他第三方的合法利益。在法律范围内，所有文字、商标和技术侵权造成的相关费用，一律由投标供应商自行承担，采购人概不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 xml:space="preserve"> 产品在</w:t>
      </w:r>
      <w:r>
        <w:rPr>
          <w:rFonts w:hint="eastAsia" w:ascii="宋体" w:hAnsi="宋体" w:eastAsia="宋体" w:cs="宋体"/>
          <w:b/>
          <w:color w:val="auto"/>
          <w:sz w:val="24"/>
          <w:szCs w:val="24"/>
          <w:lang w:val="en-US" w:eastAsia="zh-CN"/>
        </w:rPr>
        <w:t>摆放</w:t>
      </w:r>
      <w:r>
        <w:rPr>
          <w:rFonts w:hint="eastAsia" w:ascii="宋体" w:hAnsi="宋体" w:eastAsia="宋体" w:cs="宋体"/>
          <w:b/>
          <w:color w:val="auto"/>
          <w:sz w:val="24"/>
          <w:szCs w:val="24"/>
        </w:rPr>
        <w:t>过程中如对场地原有设施产生破坏的，供应商必须自行完成修复和复原，所需费用按风险金计入投标总价中，如果投标供应商在报价时未考虑，视为已计入投标总价。</w:t>
      </w:r>
    </w:p>
    <w:p>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color w:val="auto"/>
          <w:sz w:val="24"/>
          <w:szCs w:val="24"/>
          <w:lang w:val="en-US" w:eastAsia="zh-CN"/>
        </w:rPr>
      </w:pPr>
      <w:r>
        <w:rPr>
          <w:rFonts w:hint="eastAsia" w:ascii="宋体" w:hAnsi="宋体" w:eastAsia="宋体" w:cs="宋体"/>
          <w:b/>
          <w:color w:val="auto"/>
          <w:sz w:val="24"/>
          <w:szCs w:val="24"/>
          <w:lang w:val="en-US" w:eastAsia="zh-CN"/>
        </w:rPr>
        <w:t>5.8产品在批量供货前须经过采购人确认后方式实施。</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第四部分  合同主要条款</w:t>
      </w:r>
    </w:p>
    <w:p>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（以最终合同为准）</w:t>
      </w:r>
    </w:p>
    <w:p>
      <w:pPr>
        <w:spacing w:line="440" w:lineRule="exact"/>
        <w:jc w:val="left"/>
        <w:rPr>
          <w:rFonts w:ascii="宋体" w:hAnsi="宋体" w:eastAsia="宋体" w:cs="Times New Roman"/>
          <w:color w:val="auto"/>
          <w:sz w:val="22"/>
          <w:szCs w:val="22"/>
          <w:u w:val="single"/>
        </w:rPr>
      </w:pPr>
      <w:bookmarkStart w:id="85" w:name="_Toc33194402"/>
      <w:bookmarkStart w:id="86" w:name="_Toc86217003"/>
      <w:bookmarkStart w:id="87" w:name="_Toc233618986"/>
      <w:bookmarkStart w:id="88" w:name="_Toc354996706"/>
      <w:r>
        <w:rPr>
          <w:rFonts w:ascii="宋体" w:hAnsi="宋体" w:eastAsia="宋体" w:cs="Times New Roman"/>
          <w:color w:val="auto"/>
          <w:sz w:val="22"/>
          <w:szCs w:val="22"/>
        </w:rPr>
        <w:t>甲方（采购人）：</w:t>
      </w:r>
    </w:p>
    <w:p>
      <w:pPr>
        <w:spacing w:line="440" w:lineRule="exact"/>
        <w:jc w:val="left"/>
        <w:rPr>
          <w:rFonts w:ascii="宋体" w:hAnsi="宋体" w:eastAsia="宋体" w:cs="Times New Roman"/>
          <w:color w:val="auto"/>
          <w:sz w:val="22"/>
          <w:szCs w:val="22"/>
          <w:u w:val="single"/>
        </w:rPr>
      </w:pPr>
      <w:r>
        <w:rPr>
          <w:rFonts w:ascii="宋体" w:hAnsi="宋体" w:eastAsia="宋体" w:cs="Times New Roman"/>
          <w:color w:val="auto"/>
          <w:sz w:val="22"/>
          <w:szCs w:val="22"/>
        </w:rPr>
        <w:t xml:space="preserve">乙方（中标人）： </w:t>
      </w:r>
    </w:p>
    <w:p>
      <w:pPr>
        <w:spacing w:line="240" w:lineRule="exact"/>
        <w:ind w:firstLine="440" w:firstLineChars="200"/>
        <w:rPr>
          <w:rFonts w:ascii="宋体" w:hAnsi="宋体" w:eastAsia="宋体" w:cs="Times New Roman"/>
          <w:color w:val="auto"/>
          <w:sz w:val="22"/>
          <w:szCs w:val="22"/>
        </w:rPr>
      </w:pP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甲乙双方按照</w:t>
      </w:r>
      <w:r>
        <w:rPr>
          <w:rFonts w:hint="eastAsia" w:ascii="宋体" w:hAnsi="宋体" w:eastAsia="宋体" w:cs="Times New Roman"/>
          <w:color w:val="auto"/>
          <w:sz w:val="22"/>
          <w:szCs w:val="22"/>
        </w:rPr>
        <w:t>项目采购</w:t>
      </w:r>
      <w:r>
        <w:rPr>
          <w:rFonts w:ascii="宋体" w:hAnsi="宋体" w:eastAsia="宋体" w:cs="Times New Roman"/>
          <w:color w:val="auto"/>
          <w:sz w:val="22"/>
          <w:szCs w:val="22"/>
        </w:rPr>
        <w:t>结果签订本合同。</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第一条  定义</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除非另有特别解释或说明，本合同有关词语应按如下定义解释：</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1、合同系指甲乙双方签署的，与本项目相关的协议、附件、附录和其他一切文件。</w:t>
      </w:r>
    </w:p>
    <w:p>
      <w:pPr>
        <w:spacing w:line="440" w:lineRule="exact"/>
        <w:ind w:firstLine="480"/>
        <w:rPr>
          <w:rFonts w:ascii="宋体" w:hAnsi="宋体" w:eastAsia="宋体" w:cs="Times New Roman"/>
          <w:color w:val="auto"/>
          <w:sz w:val="22"/>
          <w:szCs w:val="22"/>
        </w:rPr>
      </w:pPr>
      <w:r>
        <w:rPr>
          <w:rFonts w:ascii="宋体" w:hAnsi="宋体" w:eastAsia="宋体" w:cs="Times New Roman"/>
          <w:color w:val="auto"/>
          <w:sz w:val="22"/>
          <w:szCs w:val="22"/>
        </w:rPr>
        <w:t>2、甲方系指购买本合同下货物并接受相关服务的国家机关、事业单位、团体组织。</w:t>
      </w:r>
    </w:p>
    <w:p>
      <w:pPr>
        <w:spacing w:line="440" w:lineRule="exact"/>
        <w:ind w:firstLine="480"/>
        <w:rPr>
          <w:rFonts w:ascii="宋体" w:hAnsi="宋体" w:eastAsia="宋体" w:cs="Times New Roman"/>
          <w:color w:val="auto"/>
          <w:sz w:val="22"/>
          <w:szCs w:val="22"/>
        </w:rPr>
      </w:pPr>
      <w:r>
        <w:rPr>
          <w:rFonts w:ascii="宋体" w:hAnsi="宋体" w:eastAsia="宋体" w:cs="Times New Roman"/>
          <w:color w:val="auto"/>
          <w:sz w:val="22"/>
          <w:szCs w:val="22"/>
        </w:rPr>
        <w:t>3、乙方系指提供本合同项下货物和服务的法人、其他组织或自然人。</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4、货物系指根据合同规定乙方为完成本项目应向甲方提供的一切</w:t>
      </w:r>
      <w:r>
        <w:rPr>
          <w:rFonts w:hint="eastAsia" w:ascii="宋体" w:hAnsi="宋体" w:eastAsia="宋体" w:cs="Times New Roman"/>
          <w:color w:val="auto"/>
          <w:sz w:val="22"/>
          <w:szCs w:val="22"/>
          <w:lang w:eastAsia="zh-CN"/>
        </w:rPr>
        <w:t>产品</w:t>
      </w:r>
      <w:r>
        <w:rPr>
          <w:rFonts w:ascii="宋体" w:hAnsi="宋体" w:eastAsia="宋体" w:cs="Times New Roman"/>
          <w:color w:val="auto"/>
          <w:sz w:val="22"/>
          <w:szCs w:val="22"/>
        </w:rPr>
        <w:t>及备件、工具、手册、技术资料及其他材料。</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5、服务系指根据合同规定乙方承担的与供货有关的辅助服务，包括但不限于合同货物的运输、保险、伴随服务（如安装、调试、测试</w:t>
      </w:r>
      <w:r>
        <w:rPr>
          <w:rFonts w:hint="eastAsia" w:ascii="宋体" w:hAnsi="宋体" w:eastAsia="宋体" w:cs="Times New Roman"/>
          <w:color w:val="auto"/>
          <w:sz w:val="22"/>
          <w:szCs w:val="22"/>
          <w:lang w:val="en-US" w:eastAsia="zh-CN"/>
        </w:rPr>
        <w:t>并</w:t>
      </w:r>
      <w:r>
        <w:rPr>
          <w:rFonts w:ascii="宋体" w:hAnsi="宋体" w:eastAsia="宋体" w:cs="Times New Roman"/>
          <w:color w:val="auto"/>
          <w:sz w:val="22"/>
          <w:szCs w:val="22"/>
        </w:rPr>
        <w:t>提供技术支持）、售后服务及其他所有应由乙方承担的类似义务。</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6、合同总价系指根据合同规定乙方在正确地完全履行合同义务后甲方应支付给乙方的价格，包含了甲方购买货物及其相关服务的一切费用。</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第二条  组成本合同的文件</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下列文件是组成本合同的不可分割的部分：（1）</w:t>
      </w:r>
      <w:r>
        <w:rPr>
          <w:rFonts w:hint="eastAsia" w:ascii="宋体" w:hAnsi="宋体" w:eastAsia="宋体" w:cs="Times New Roman"/>
          <w:color w:val="auto"/>
          <w:sz w:val="22"/>
          <w:szCs w:val="22"/>
        </w:rPr>
        <w:t>采购</w:t>
      </w:r>
      <w:r>
        <w:rPr>
          <w:rFonts w:ascii="宋体" w:hAnsi="宋体" w:eastAsia="宋体" w:cs="Times New Roman"/>
          <w:color w:val="auto"/>
          <w:sz w:val="22"/>
          <w:szCs w:val="22"/>
        </w:rPr>
        <w:t>文件；（2）乙方递交的投标文件；（3）乙方所作的相关书面澄清；（4）中标通知书；（5）甲乙双方商定的其他必要文件。</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第三条  合同货物清单和合同总价</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1、乙方根据甲方需求提供下列货物：</w:t>
      </w:r>
    </w:p>
    <w:tbl>
      <w:tblPr>
        <w:tblStyle w:val="17"/>
        <w:tblW w:w="9322" w:type="dxa"/>
        <w:jc w:val="center"/>
        <w:tblLayout w:type="fixed"/>
        <w:tblCellMar>
          <w:top w:w="0" w:type="dxa"/>
          <w:left w:w="108" w:type="dxa"/>
          <w:bottom w:w="0" w:type="dxa"/>
          <w:right w:w="108" w:type="dxa"/>
        </w:tblCellMar>
      </w:tblPr>
      <w:tblGrid>
        <w:gridCol w:w="1804"/>
        <w:gridCol w:w="5067"/>
        <w:gridCol w:w="1104"/>
        <w:gridCol w:w="1347"/>
      </w:tblGrid>
      <w:tr>
        <w:tblPrEx>
          <w:tblCellMar>
            <w:top w:w="0" w:type="dxa"/>
            <w:left w:w="108" w:type="dxa"/>
            <w:bottom w:w="0" w:type="dxa"/>
            <w:right w:w="108" w:type="dxa"/>
          </w:tblCellMar>
        </w:tblPrEx>
        <w:trPr>
          <w:trHeight w:val="402" w:hRule="atLeast"/>
          <w:jc w:val="center"/>
        </w:trPr>
        <w:tc>
          <w:tcPr>
            <w:tcW w:w="1804"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50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主要规格型号</w:t>
            </w:r>
          </w:p>
        </w:tc>
        <w:tc>
          <w:tcPr>
            <w:tcW w:w="11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单位</w:t>
            </w:r>
          </w:p>
        </w:tc>
        <w:tc>
          <w:tcPr>
            <w:tcW w:w="134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ascii="宋体" w:hAnsi="宋体" w:eastAsia="宋体" w:cs="宋体"/>
                <w:color w:val="auto"/>
                <w:sz w:val="22"/>
                <w:szCs w:val="22"/>
              </w:rPr>
              <w:t>数量</w:t>
            </w:r>
          </w:p>
        </w:tc>
      </w:tr>
      <w:tr>
        <w:tblPrEx>
          <w:tblCellMar>
            <w:top w:w="0" w:type="dxa"/>
            <w:left w:w="108" w:type="dxa"/>
            <w:bottom w:w="0" w:type="dxa"/>
            <w:right w:w="108" w:type="dxa"/>
          </w:tblCellMar>
        </w:tblPrEx>
        <w:trPr>
          <w:trHeight w:val="499" w:hRule="atLeast"/>
          <w:jc w:val="center"/>
        </w:trPr>
        <w:tc>
          <w:tcPr>
            <w:tcW w:w="180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1</w:t>
            </w:r>
          </w:p>
        </w:tc>
        <w:tc>
          <w:tcPr>
            <w:tcW w:w="506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104"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34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r>
      <w:tr>
        <w:tblPrEx>
          <w:tblCellMar>
            <w:top w:w="0" w:type="dxa"/>
            <w:left w:w="108" w:type="dxa"/>
            <w:bottom w:w="0" w:type="dxa"/>
            <w:right w:w="108" w:type="dxa"/>
          </w:tblCellMar>
        </w:tblPrEx>
        <w:trPr>
          <w:trHeight w:val="499" w:hRule="atLeast"/>
          <w:jc w:val="center"/>
        </w:trPr>
        <w:tc>
          <w:tcPr>
            <w:tcW w:w="180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2</w:t>
            </w:r>
          </w:p>
        </w:tc>
        <w:tc>
          <w:tcPr>
            <w:tcW w:w="506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104"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34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r>
      <w:tr>
        <w:tblPrEx>
          <w:tblCellMar>
            <w:top w:w="0" w:type="dxa"/>
            <w:left w:w="108" w:type="dxa"/>
            <w:bottom w:w="0" w:type="dxa"/>
            <w:right w:w="108" w:type="dxa"/>
          </w:tblCellMar>
        </w:tblPrEx>
        <w:trPr>
          <w:trHeight w:val="499" w:hRule="atLeast"/>
          <w:jc w:val="center"/>
        </w:trPr>
        <w:tc>
          <w:tcPr>
            <w:tcW w:w="180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3</w:t>
            </w:r>
          </w:p>
        </w:tc>
        <w:tc>
          <w:tcPr>
            <w:tcW w:w="506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104"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34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r>
      <w:tr>
        <w:tblPrEx>
          <w:tblCellMar>
            <w:top w:w="0" w:type="dxa"/>
            <w:left w:w="108" w:type="dxa"/>
            <w:bottom w:w="0" w:type="dxa"/>
            <w:right w:w="108" w:type="dxa"/>
          </w:tblCellMar>
        </w:tblPrEx>
        <w:trPr>
          <w:trHeight w:val="499" w:hRule="atLeast"/>
          <w:jc w:val="center"/>
        </w:trPr>
        <w:tc>
          <w:tcPr>
            <w:tcW w:w="180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4</w:t>
            </w:r>
          </w:p>
        </w:tc>
        <w:tc>
          <w:tcPr>
            <w:tcW w:w="506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104"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34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r>
      <w:tr>
        <w:tblPrEx>
          <w:tblCellMar>
            <w:top w:w="0" w:type="dxa"/>
            <w:left w:w="108" w:type="dxa"/>
            <w:bottom w:w="0" w:type="dxa"/>
            <w:right w:w="108" w:type="dxa"/>
          </w:tblCellMar>
        </w:tblPrEx>
        <w:trPr>
          <w:trHeight w:val="499" w:hRule="atLeast"/>
          <w:jc w:val="center"/>
        </w:trPr>
        <w:tc>
          <w:tcPr>
            <w:tcW w:w="1804"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eastAsia="宋体" w:cs="宋体"/>
                <w:color w:val="auto"/>
                <w:sz w:val="22"/>
                <w:szCs w:val="22"/>
              </w:rPr>
            </w:pPr>
            <w:r>
              <w:rPr>
                <w:rFonts w:hint="eastAsia" w:ascii="宋体" w:hAnsi="宋体" w:eastAsia="宋体" w:cs="宋体"/>
                <w:color w:val="auto"/>
                <w:sz w:val="22"/>
                <w:szCs w:val="22"/>
              </w:rPr>
              <w:t>5</w:t>
            </w:r>
          </w:p>
        </w:tc>
        <w:tc>
          <w:tcPr>
            <w:tcW w:w="506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r>
              <w:rPr>
                <w:rFonts w:hint="eastAsia" w:ascii="宋体" w:hAnsi="宋体" w:eastAsia="宋体" w:cs="Times New Roman"/>
                <w:color w:val="auto"/>
                <w:sz w:val="22"/>
                <w:szCs w:val="22"/>
              </w:rPr>
              <w:t>………</w:t>
            </w:r>
          </w:p>
        </w:tc>
        <w:tc>
          <w:tcPr>
            <w:tcW w:w="1104"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c>
          <w:tcPr>
            <w:tcW w:w="1347" w:type="dxa"/>
            <w:tcBorders>
              <w:top w:val="nil"/>
              <w:left w:val="nil"/>
              <w:bottom w:val="single" w:color="auto" w:sz="4" w:space="0"/>
              <w:right w:val="single" w:color="auto" w:sz="4" w:space="0"/>
            </w:tcBorders>
            <w:noWrap w:val="0"/>
            <w:vAlign w:val="center"/>
          </w:tcPr>
          <w:p>
            <w:pPr>
              <w:jc w:val="center"/>
              <w:rPr>
                <w:rFonts w:ascii="宋体" w:hAnsi="宋体" w:eastAsia="宋体" w:cs="Times New Roman"/>
                <w:color w:val="auto"/>
                <w:sz w:val="22"/>
                <w:szCs w:val="22"/>
              </w:rPr>
            </w:pPr>
          </w:p>
        </w:tc>
      </w:tr>
    </w:tbl>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2、本合同总价为人民币（大写）。</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第四条  权利保证</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乙方须保证甲方在使用其提供的货物、服务或其任何部分时不受到第三方提出的关于侵犯其版权、专利权、商标权或其他权利的指控，一旦出现此类情况，乙方应负责与第三方交涉并承担可能发生的一切责任。</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第五条  质量保证</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1、本合同应为完整产品及功能的提供，乙方所提供货物的质量技术规格应与</w:t>
      </w:r>
      <w:r>
        <w:rPr>
          <w:rFonts w:hint="eastAsia" w:ascii="宋体" w:hAnsi="宋体" w:eastAsia="宋体" w:cs="Times New Roman"/>
          <w:color w:val="auto"/>
          <w:sz w:val="22"/>
          <w:szCs w:val="22"/>
        </w:rPr>
        <w:t>采购文件</w:t>
      </w:r>
      <w:r>
        <w:rPr>
          <w:rFonts w:ascii="宋体" w:hAnsi="宋体" w:eastAsia="宋体" w:cs="Times New Roman"/>
          <w:color w:val="auto"/>
          <w:sz w:val="22"/>
          <w:szCs w:val="22"/>
        </w:rPr>
        <w:t>规定及投标文件承诺的内容相一致；若技术规格中无相应说明，则按国家有关部门最新颁布的标准及规范为准。</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乙方应保证货物是全新、未使用过的原装合格正品，并完全符合合同规定的质量、技术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第六条  包装要求</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除合同另有规定外，乙方提供的全部货物均应按标准保护措施进行包装。该包装应适应于远距离运输、防潮、防震、防锈和防野蛮装卸，以确保货物安全无损运抵指定地点。由于乙方对合同货物包装不善、标记不明、防护措施不当或在合同货物装箱前保管不良，致使合同货物遭到损坏或丢失，乙方应负责免费修理或更换，并承担由此给甲方造成的一切损失。</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第七条  交货</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1、乙方应按照本合同规定的时间和方式向甲方交付货物，交付地点由甲方指定。</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2、交付时间为所有货物运至甲方指定地点的日期。</w:t>
      </w:r>
    </w:p>
    <w:p>
      <w:pPr>
        <w:spacing w:line="440" w:lineRule="exact"/>
        <w:ind w:firstLine="770" w:firstLineChars="350"/>
        <w:rPr>
          <w:rFonts w:ascii="宋体" w:hAnsi="宋体" w:eastAsia="宋体" w:cs="Times New Roman"/>
          <w:color w:val="auto"/>
          <w:sz w:val="22"/>
          <w:szCs w:val="22"/>
        </w:rPr>
      </w:pPr>
      <w:r>
        <w:rPr>
          <w:rFonts w:ascii="宋体" w:hAnsi="宋体" w:eastAsia="宋体" w:cs="Times New Roman"/>
          <w:color w:val="auto"/>
          <w:sz w:val="22"/>
          <w:szCs w:val="22"/>
        </w:rPr>
        <w:t>本项目交付时间为：</w:t>
      </w:r>
      <w:r>
        <w:rPr>
          <w:rFonts w:hint="eastAsia" w:ascii="宋体" w:hAnsi="宋体" w:eastAsia="宋体" w:cs="Times New Roman"/>
          <w:color w:val="auto"/>
          <w:sz w:val="22"/>
          <w:szCs w:val="22"/>
          <w:u w:val="single"/>
        </w:rPr>
        <w:t xml:space="preserve">根据甲方现场进度要求    </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3、本项目交货方式为现场交货。乙方负责办理货物的运输、装卸和保险，一切费用均由乙方承担。</w:t>
      </w:r>
    </w:p>
    <w:p>
      <w:pPr>
        <w:autoSpaceDE w:val="0"/>
        <w:autoSpaceDN w:val="0"/>
        <w:snapToGrid w:val="0"/>
        <w:spacing w:line="400" w:lineRule="exact"/>
        <w:ind w:firstLine="431"/>
        <w:rPr>
          <w:rFonts w:ascii="宋体" w:hAnsi="宋体" w:eastAsia="宋体" w:cs="Times New Roman"/>
          <w:color w:val="auto"/>
          <w:sz w:val="22"/>
          <w:u w:val="single"/>
        </w:rPr>
      </w:pPr>
      <w:r>
        <w:rPr>
          <w:rFonts w:hint="eastAsia" w:ascii="宋体" w:hAnsi="宋体" w:eastAsia="宋体" w:cs="Times New Roman"/>
          <w:color w:val="auto"/>
          <w:sz w:val="22"/>
          <w:szCs w:val="22"/>
        </w:rPr>
        <w:t>4</w:t>
      </w:r>
      <w:r>
        <w:rPr>
          <w:rFonts w:ascii="宋体" w:hAnsi="宋体" w:eastAsia="宋体" w:cs="Times New Roman"/>
          <w:color w:val="auto"/>
          <w:sz w:val="22"/>
          <w:szCs w:val="22"/>
        </w:rPr>
        <w:t>、</w:t>
      </w:r>
      <w:r>
        <w:rPr>
          <w:rFonts w:hint="eastAsia" w:ascii="宋体" w:hAnsi="宋体" w:eastAsia="宋体" w:cs="Times New Roman"/>
          <w:color w:val="auto"/>
          <w:sz w:val="22"/>
          <w:szCs w:val="22"/>
        </w:rPr>
        <w:t>工期：</w:t>
      </w:r>
      <w:r>
        <w:rPr>
          <w:rFonts w:ascii="宋体" w:hAnsi="宋体" w:eastAsia="宋体" w:cs="Times New Roman"/>
          <w:color w:val="auto"/>
          <w:sz w:val="22"/>
          <w:u w:val="single"/>
        </w:rPr>
        <w:t xml:space="preserve"> </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第八条  到货验收</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1、货物全部到达甲方指定地点后，甲乙双方应派员共同对货物当场开箱验收，如乙方不能按时到达现场又无电函通知的，甲方有权开箱检验。</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2、乙方交付的货物应当完全符合本合同及招投标文件所规定的货物、数量和规格要求。乙方提供的货物不符合合同及招投标文件规定的，甲方有权拒收货物，并由乙方承担相应的违约责任。</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3、乙方应将所提供货物的装箱清单、用户手册、原厂保修卡、随机资料及配件、随机工具、质量合格凭证等</w:t>
      </w:r>
      <w:r>
        <w:rPr>
          <w:rFonts w:hint="eastAsia" w:ascii="宋体" w:hAnsi="宋体" w:eastAsia="宋体" w:cs="Times New Roman"/>
          <w:color w:val="auto"/>
          <w:sz w:val="22"/>
          <w:szCs w:val="22"/>
        </w:rPr>
        <w:t>有关资料</w:t>
      </w:r>
      <w:r>
        <w:rPr>
          <w:rFonts w:ascii="宋体" w:hAnsi="宋体" w:eastAsia="宋体" w:cs="Times New Roman"/>
          <w:color w:val="auto"/>
          <w:sz w:val="22"/>
          <w:szCs w:val="22"/>
        </w:rPr>
        <w:t>交付给甲方；乙方不能完整交付上述规定的资料和工具的，视为未按合同约定交货，乙方负责补齐，因此导致逾期交付的，由乙方承担相应的违约责任。</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4、甲方有关货物质量、规格、性能、数量或重量的检验不应视为最终检验。</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第九条  伴随服务</w:t>
      </w:r>
    </w:p>
    <w:p>
      <w:pPr>
        <w:spacing w:line="440" w:lineRule="exact"/>
        <w:ind w:firstLine="440" w:firstLineChars="200"/>
        <w:rPr>
          <w:rFonts w:ascii="宋体" w:hAnsi="宋体" w:eastAsia="宋体" w:cs="Times New Roman"/>
          <w:color w:val="auto"/>
          <w:sz w:val="22"/>
          <w:szCs w:val="22"/>
        </w:rPr>
      </w:pPr>
      <w:r>
        <w:rPr>
          <w:rFonts w:hint="eastAsia" w:ascii="宋体" w:hAnsi="宋体" w:eastAsia="宋体" w:cs="Times New Roman"/>
          <w:color w:val="auto"/>
          <w:sz w:val="22"/>
          <w:szCs w:val="22"/>
        </w:rPr>
        <w:t>1、</w:t>
      </w:r>
      <w:r>
        <w:rPr>
          <w:rFonts w:ascii="宋体" w:hAnsi="宋体" w:eastAsia="宋体" w:cs="Times New Roman"/>
          <w:color w:val="auto"/>
          <w:sz w:val="22"/>
          <w:szCs w:val="22"/>
        </w:rPr>
        <w:t>乙方应提供下列伴随服务：</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（1）货物的现场安装、施工、调试和/或启动监督；</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（2）就货物的安装、调试、启动、运行及维护等对甲方人员进行免费培训。</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2、安装施工期间甲方责任：</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（1）负责提供场地和有关</w:t>
      </w:r>
      <w:r>
        <w:rPr>
          <w:rFonts w:hint="eastAsia" w:ascii="宋体" w:hAnsi="宋体" w:eastAsia="宋体" w:cs="Times New Roman"/>
          <w:color w:val="auto"/>
          <w:sz w:val="22"/>
          <w:szCs w:val="22"/>
          <w:lang w:eastAsia="zh-CN"/>
        </w:rPr>
        <w:t>产品</w:t>
      </w:r>
      <w:r>
        <w:rPr>
          <w:rFonts w:ascii="宋体" w:hAnsi="宋体" w:eastAsia="宋体" w:cs="Times New Roman"/>
          <w:color w:val="auto"/>
          <w:sz w:val="22"/>
          <w:szCs w:val="22"/>
        </w:rPr>
        <w:t>的安装位置；</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（2）提供安装施工调试</w:t>
      </w:r>
      <w:r>
        <w:rPr>
          <w:rFonts w:hint="eastAsia" w:ascii="宋体" w:hAnsi="宋体" w:eastAsia="宋体" w:cs="Times New Roman"/>
          <w:color w:val="auto"/>
          <w:sz w:val="22"/>
          <w:szCs w:val="22"/>
        </w:rPr>
        <w:t>用</w:t>
      </w:r>
      <w:r>
        <w:rPr>
          <w:rFonts w:ascii="宋体" w:hAnsi="宋体" w:eastAsia="宋体" w:cs="Times New Roman"/>
          <w:color w:val="auto"/>
          <w:sz w:val="22"/>
          <w:szCs w:val="22"/>
        </w:rPr>
        <w:t>的电源和水源</w:t>
      </w:r>
      <w:r>
        <w:rPr>
          <w:rFonts w:hint="eastAsia" w:ascii="宋体" w:hAnsi="宋体" w:eastAsia="宋体" w:cs="Times New Roman"/>
          <w:color w:val="auto"/>
          <w:sz w:val="22"/>
          <w:szCs w:val="22"/>
        </w:rPr>
        <w:t>的接口</w:t>
      </w:r>
      <w:r>
        <w:rPr>
          <w:rFonts w:ascii="宋体" w:hAnsi="宋体" w:eastAsia="宋体" w:cs="Times New Roman"/>
          <w:color w:val="auto"/>
          <w:sz w:val="22"/>
          <w:szCs w:val="22"/>
        </w:rPr>
        <w:t>；</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（3）负责乙方安装施工调试期间与其他单位交叉作业时的协调工作；</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（4）配合乙方做好与安装施工调试有关的辅助性事务；</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（5）对乙方的安装施工调试工作进行监督管理。</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3、安装施工调试期间乙方责任：</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（1）负责货物运抵指定地点后的搬运及看护保管；</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（2）在安装施工前负责派员前往安装现场进行勘测，确认施工现场条件，与甲方约定具体开工日期；</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（3）按照国家规定的相关安装规范和质量标准完成安装施工工作；</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（4）遵守施工现场的有关规章制度，文明施工，接受甲方的监督管理。</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（5）配合甲方工作，参加现场施工协调会议；</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（6）负责现场施工人员的保险和一切安全责任；</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（7）负责安装质量的自检验收，配合采购人完成验收工作及项目的移交；</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（8）按照有关要求完成质量评定和安装施工记录；</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（9）负责安装施工调试期间由于乙方过错所造成的一切损失。</w:t>
      </w:r>
    </w:p>
    <w:p>
      <w:pPr>
        <w:spacing w:line="440" w:lineRule="exact"/>
        <w:ind w:firstLine="440" w:firstLineChars="200"/>
        <w:rPr>
          <w:rFonts w:ascii="宋体" w:hAnsi="宋体" w:eastAsia="宋体" w:cs="Times New Roman"/>
          <w:color w:val="auto"/>
          <w:sz w:val="22"/>
          <w:szCs w:val="22"/>
        </w:rPr>
      </w:pPr>
      <w:r>
        <w:rPr>
          <w:rFonts w:hint="eastAsia" w:ascii="宋体" w:hAnsi="宋体" w:eastAsia="宋体" w:cs="Times New Roman"/>
          <w:color w:val="auto"/>
          <w:sz w:val="22"/>
          <w:szCs w:val="22"/>
        </w:rPr>
        <w:t>4、由于货物自身质量问题或安装不当产生的意外及损失均由乙方承担。</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第十条  最终验收</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1、货物安装调试结束后，乙方应及时通知甲方对项目进行最终验收，验收合格的，由甲方签署验收单并加盖单位公章。</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如验收不合格或在质量保证期内发现货物是不合格的，包括货物有明显的或潜在的缺陷、使用不符合要求的材料、运行效果达不到要求等，甲方有权报请当地质检部门或权威检测机构进行检验。根据检验结果，甲方有权向乙方主张违约责任。</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3、验收标准应遵循国家相关标准、行业通行标准、厂方出厂标准、</w:t>
      </w:r>
      <w:r>
        <w:rPr>
          <w:rFonts w:hint="eastAsia" w:ascii="宋体" w:hAnsi="宋体" w:eastAsia="宋体" w:cs="Times New Roman"/>
          <w:color w:val="auto"/>
          <w:sz w:val="22"/>
          <w:szCs w:val="22"/>
        </w:rPr>
        <w:t>采购文件</w:t>
      </w:r>
      <w:r>
        <w:rPr>
          <w:rFonts w:ascii="宋体" w:hAnsi="宋体" w:eastAsia="宋体" w:cs="Times New Roman"/>
          <w:color w:val="auto"/>
          <w:sz w:val="22"/>
          <w:szCs w:val="22"/>
        </w:rPr>
        <w:t>要求和乙方投标文件的承诺等。</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第十一条   售后服务</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乙方应按照国家有关法律法规、行业规定以及</w:t>
      </w:r>
      <w:r>
        <w:rPr>
          <w:rFonts w:hint="eastAsia" w:ascii="宋体" w:hAnsi="宋体" w:eastAsia="宋体" w:cs="Times New Roman"/>
          <w:color w:val="auto"/>
          <w:sz w:val="22"/>
          <w:szCs w:val="22"/>
        </w:rPr>
        <w:t>采购文件</w:t>
      </w:r>
      <w:r>
        <w:rPr>
          <w:rFonts w:ascii="宋体" w:hAnsi="宋体" w:eastAsia="宋体" w:cs="Times New Roman"/>
          <w:color w:val="auto"/>
          <w:sz w:val="22"/>
          <w:szCs w:val="22"/>
        </w:rPr>
        <w:t>规定、投标文件承诺的内容提供售后服务。</w:t>
      </w:r>
    </w:p>
    <w:p>
      <w:pPr>
        <w:spacing w:line="440" w:lineRule="exact"/>
        <w:ind w:firstLine="431" w:firstLineChars="196"/>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第十二条   付款</w:t>
      </w:r>
    </w:p>
    <w:p>
      <w:pPr>
        <w:spacing w:line="440" w:lineRule="exact"/>
        <w:ind w:firstLine="440" w:firstLineChars="200"/>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1、本合同项下所有款项均以人民币支付。</w:t>
      </w:r>
    </w:p>
    <w:p>
      <w:pPr>
        <w:spacing w:line="440" w:lineRule="exact"/>
        <w:ind w:firstLine="440" w:firstLineChars="200"/>
        <w:rPr>
          <w:rFonts w:hint="eastAsia" w:ascii="宋体" w:hAnsi="宋体" w:eastAsia="宋体" w:cs="Times New Roman"/>
          <w:color w:val="auto"/>
          <w:sz w:val="22"/>
          <w:szCs w:val="22"/>
          <w:highlight w:val="none"/>
          <w:u w:val="single"/>
          <w:lang w:eastAsia="zh-CN"/>
        </w:rPr>
      </w:pPr>
      <w:r>
        <w:rPr>
          <w:rFonts w:ascii="宋体" w:hAnsi="宋体" w:eastAsia="宋体" w:cs="Times New Roman"/>
          <w:color w:val="auto"/>
          <w:sz w:val="22"/>
          <w:szCs w:val="22"/>
          <w:highlight w:val="none"/>
        </w:rPr>
        <w:t>2、本项目付款方式为：</w:t>
      </w:r>
      <w:r>
        <w:rPr>
          <w:rFonts w:hint="eastAsia" w:ascii="宋体" w:hAnsi="宋体" w:eastAsia="宋体" w:cs="Times New Roman"/>
          <w:color w:val="auto"/>
          <w:sz w:val="22"/>
          <w:szCs w:val="22"/>
          <w:highlight w:val="none"/>
          <w:lang w:eastAsia="zh-CN"/>
        </w:rPr>
        <w:t>详见采购文件</w:t>
      </w:r>
    </w:p>
    <w:p>
      <w:pPr>
        <w:spacing w:line="440" w:lineRule="exact"/>
        <w:ind w:firstLine="431" w:firstLineChars="196"/>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第十三条　违约责任</w:t>
      </w:r>
    </w:p>
    <w:p>
      <w:pPr>
        <w:spacing w:line="440" w:lineRule="exact"/>
        <w:ind w:firstLine="440" w:firstLineChars="200"/>
        <w:rPr>
          <w:rFonts w:ascii="宋体" w:hAnsi="宋体" w:eastAsia="宋体" w:cs="Times New Roman"/>
          <w:color w:val="auto"/>
          <w:sz w:val="22"/>
          <w:szCs w:val="22"/>
          <w:highlight w:val="none"/>
        </w:rPr>
      </w:pPr>
      <w:r>
        <w:rPr>
          <w:rFonts w:ascii="宋体" w:hAnsi="宋体" w:eastAsia="宋体" w:cs="Times New Roman"/>
          <w:color w:val="auto"/>
          <w:sz w:val="22"/>
          <w:szCs w:val="22"/>
          <w:highlight w:val="none"/>
        </w:rPr>
        <w:t>1、甲方无正当理由拒收货物或拒付货款的，应向乙方偿付合同总价</w:t>
      </w:r>
      <w:r>
        <w:rPr>
          <w:rFonts w:hint="eastAsia" w:ascii="宋体" w:hAnsi="宋体" w:eastAsia="宋体" w:cs="Times New Roman"/>
          <w:color w:val="auto"/>
          <w:sz w:val="22"/>
          <w:szCs w:val="22"/>
          <w:highlight w:val="none"/>
        </w:rPr>
        <w:t>5</w:t>
      </w:r>
      <w:r>
        <w:rPr>
          <w:rFonts w:ascii="宋体" w:hAnsi="宋体" w:eastAsia="宋体" w:cs="Times New Roman"/>
          <w:color w:val="auto"/>
          <w:sz w:val="22"/>
          <w:szCs w:val="22"/>
          <w:highlight w:val="none"/>
        </w:rPr>
        <w:t>％的违约金。</w:t>
      </w:r>
    </w:p>
    <w:p>
      <w:pPr>
        <w:spacing w:line="440" w:lineRule="exact"/>
        <w:ind w:firstLine="440" w:firstLineChars="200"/>
        <w:rPr>
          <w:rFonts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w:t>
      </w:r>
      <w:r>
        <w:rPr>
          <w:rFonts w:ascii="宋体" w:hAnsi="宋体" w:eastAsia="宋体" w:cs="Times New Roman"/>
          <w:color w:val="auto"/>
          <w:sz w:val="22"/>
          <w:szCs w:val="22"/>
          <w:highlight w:val="none"/>
        </w:rPr>
        <w:t>、乙方不交付货物的，应向甲方支付合同总价</w:t>
      </w:r>
      <w:r>
        <w:rPr>
          <w:rFonts w:hint="eastAsia" w:ascii="宋体" w:hAnsi="宋体" w:eastAsia="宋体" w:cs="Times New Roman"/>
          <w:color w:val="auto"/>
          <w:sz w:val="22"/>
          <w:szCs w:val="22"/>
          <w:highlight w:val="none"/>
        </w:rPr>
        <w:t>20</w:t>
      </w:r>
      <w:r>
        <w:rPr>
          <w:rFonts w:ascii="宋体" w:hAnsi="宋体" w:eastAsia="宋体" w:cs="Times New Roman"/>
          <w:color w:val="auto"/>
          <w:sz w:val="22"/>
          <w:szCs w:val="22"/>
          <w:highlight w:val="none"/>
        </w:rPr>
        <w:t>％的违约金，同时甲方有权解除合同。</w:t>
      </w:r>
    </w:p>
    <w:p>
      <w:pPr>
        <w:spacing w:line="440" w:lineRule="exact"/>
        <w:ind w:firstLine="440" w:firstLineChars="200"/>
        <w:rPr>
          <w:rFonts w:ascii="宋体" w:hAnsi="宋体" w:eastAsia="宋体" w:cs="Times New Roman"/>
          <w:color w:val="auto"/>
          <w:sz w:val="22"/>
          <w:szCs w:val="22"/>
          <w:highlight w:val="none"/>
        </w:rPr>
      </w:pPr>
      <w:r>
        <w:rPr>
          <w:rFonts w:hint="eastAsia" w:ascii="宋体" w:hAnsi="宋体" w:eastAsia="宋体" w:cs="Times New Roman"/>
          <w:color w:val="auto"/>
          <w:sz w:val="22"/>
          <w:szCs w:val="22"/>
        </w:rPr>
        <w:t>3</w:t>
      </w:r>
      <w:r>
        <w:rPr>
          <w:rFonts w:ascii="宋体" w:hAnsi="宋体" w:eastAsia="宋体" w:cs="Times New Roman"/>
          <w:color w:val="auto"/>
          <w:sz w:val="22"/>
          <w:szCs w:val="22"/>
        </w:rPr>
        <w:t>、</w:t>
      </w:r>
      <w:r>
        <w:rPr>
          <w:rFonts w:hint="eastAsia" w:ascii="宋体" w:hAnsi="宋体" w:eastAsia="宋体" w:cs="Times New Roman"/>
          <w:color w:val="auto"/>
          <w:sz w:val="22"/>
          <w:szCs w:val="22"/>
          <w:highlight w:val="none"/>
        </w:rPr>
        <w:t>乙方</w:t>
      </w:r>
      <w:r>
        <w:rPr>
          <w:rFonts w:hint="eastAsia" w:ascii="宋体" w:hAnsi="宋体" w:eastAsia="宋体" w:cs="Times New Roman"/>
          <w:color w:val="auto"/>
          <w:sz w:val="22"/>
          <w:szCs w:val="22"/>
          <w:highlight w:val="none"/>
          <w:lang w:val="en-US" w:eastAsia="zh-CN"/>
        </w:rPr>
        <w:t>在软装</w:t>
      </w:r>
      <w:r>
        <w:rPr>
          <w:rFonts w:hint="eastAsia" w:ascii="宋体" w:hAnsi="宋体" w:eastAsia="宋体" w:cs="Times New Roman"/>
          <w:color w:val="auto"/>
          <w:sz w:val="22"/>
          <w:szCs w:val="22"/>
          <w:highlight w:val="none"/>
        </w:rPr>
        <w:t>施工过程中若因</w:t>
      </w:r>
      <w:r>
        <w:rPr>
          <w:rFonts w:hint="eastAsia" w:ascii="宋体" w:hAnsi="宋体" w:eastAsia="宋体" w:cs="Times New Roman"/>
          <w:color w:val="auto"/>
          <w:sz w:val="22"/>
          <w:szCs w:val="22"/>
          <w:highlight w:val="none"/>
          <w:lang w:val="en-US" w:eastAsia="zh-CN"/>
        </w:rPr>
        <w:t>甲</w:t>
      </w:r>
      <w:r>
        <w:rPr>
          <w:rFonts w:hint="eastAsia" w:ascii="宋体" w:hAnsi="宋体" w:eastAsia="宋体" w:cs="Times New Roman"/>
          <w:color w:val="auto"/>
          <w:sz w:val="22"/>
          <w:szCs w:val="22"/>
          <w:highlight w:val="none"/>
        </w:rPr>
        <w:t>方或不可抗拒力原因导致工期延误的，双方共同签订延期书面说明，否则逾期一天扣</w:t>
      </w:r>
      <w:r>
        <w:rPr>
          <w:rFonts w:hint="eastAsia" w:ascii="宋体" w:hAnsi="宋体" w:cs="Times New Roman"/>
          <w:color w:val="auto"/>
          <w:sz w:val="22"/>
          <w:szCs w:val="22"/>
          <w:highlight w:val="none"/>
          <w:lang w:val="en-US" w:eastAsia="zh-CN"/>
        </w:rPr>
        <w:t>除</w:t>
      </w:r>
      <w:r>
        <w:rPr>
          <w:rFonts w:hint="eastAsia" w:ascii="宋体" w:hAnsi="宋体" w:eastAsia="宋体" w:cs="Times New Roman"/>
          <w:color w:val="auto"/>
          <w:sz w:val="22"/>
          <w:szCs w:val="22"/>
          <w:highlight w:val="none"/>
        </w:rPr>
        <w:t>3000元</w:t>
      </w:r>
      <w:r>
        <w:rPr>
          <w:rFonts w:hint="eastAsia" w:ascii="宋体" w:hAnsi="宋体" w:cs="Times New Roman"/>
          <w:color w:val="auto"/>
          <w:sz w:val="22"/>
          <w:szCs w:val="22"/>
          <w:highlight w:val="none"/>
          <w:lang w:val="en-US" w:eastAsia="zh-CN"/>
        </w:rPr>
        <w:t>项目款项</w:t>
      </w:r>
      <w:r>
        <w:rPr>
          <w:rFonts w:ascii="宋体" w:hAnsi="宋体" w:eastAsia="宋体" w:cs="Times New Roman"/>
          <w:color w:val="auto"/>
          <w:sz w:val="22"/>
          <w:szCs w:val="22"/>
          <w:highlight w:val="none"/>
        </w:rPr>
        <w:t>。</w:t>
      </w:r>
    </w:p>
    <w:p>
      <w:pPr>
        <w:spacing w:line="440" w:lineRule="exact"/>
        <w:ind w:firstLine="440" w:firstLineChars="200"/>
        <w:rPr>
          <w:rFonts w:ascii="宋体" w:hAnsi="宋体" w:eastAsia="宋体" w:cs="Times New Roman"/>
          <w:color w:val="auto"/>
          <w:sz w:val="22"/>
          <w:szCs w:val="22"/>
        </w:rPr>
      </w:pPr>
      <w:r>
        <w:rPr>
          <w:rFonts w:hint="eastAsia" w:ascii="宋体" w:hAnsi="宋体" w:eastAsia="宋体" w:cs="Times New Roman"/>
          <w:color w:val="auto"/>
          <w:sz w:val="22"/>
          <w:szCs w:val="22"/>
        </w:rPr>
        <w:t>4</w:t>
      </w:r>
      <w:r>
        <w:rPr>
          <w:rFonts w:ascii="宋体" w:hAnsi="宋体" w:eastAsia="宋体" w:cs="Times New Roman"/>
          <w:color w:val="auto"/>
          <w:sz w:val="22"/>
          <w:szCs w:val="22"/>
        </w:rPr>
        <w:t>、乙方交付的货物不符合要求的，应按照甲方选择的下列一种或多种方式承担赔偿责任：</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（1）在甲方同意延长的期限内交付符合要求的全部货物、提供服务并承担由此给甲方造成的一切损失；逾期未交付或交付的货物仍不符合要求，乙方应向甲方支付合同总价10％的违约金，同时甲方有权解除合同。</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（2）在甲方规定时间内，用符合要求的新零件、部件或货物来更换有缺陷的部分以达到合同规定的要求并承担一切费用和风险，同时承担甲方因此所遭受的全部损失；</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（3）根据货物的低劣程度、损坏程度以及甲方所受损失等按甲方所能接受的数额降低货物价格或赔偿甲方所受损失；</w:t>
      </w:r>
    </w:p>
    <w:p>
      <w:pPr>
        <w:spacing w:line="440" w:lineRule="exact"/>
        <w:ind w:firstLine="330" w:firstLineChars="150"/>
        <w:rPr>
          <w:rFonts w:ascii="宋体" w:hAnsi="宋体" w:eastAsia="宋体" w:cs="Times New Roman"/>
          <w:color w:val="auto"/>
          <w:sz w:val="22"/>
          <w:szCs w:val="22"/>
        </w:rPr>
      </w:pPr>
      <w:r>
        <w:rPr>
          <w:rFonts w:ascii="宋体" w:hAnsi="宋体" w:eastAsia="宋体" w:cs="Times New Roman"/>
          <w:color w:val="auto"/>
          <w:sz w:val="22"/>
          <w:szCs w:val="22"/>
        </w:rPr>
        <w:t>（4）退货并按合同规定同种货币退还甲方已付货款，同时承担由此发生的一切损失和费用，包括但不限于利息、银行手续费、运费、保险费、检验费、仓储费、装卸费、退回货物所需的其他必要费用以及甲方为购买到符合要求的货物所多支出的费用。</w:t>
      </w:r>
    </w:p>
    <w:p>
      <w:pPr>
        <w:spacing w:line="440" w:lineRule="exact"/>
        <w:ind w:firstLine="440" w:firstLineChars="200"/>
        <w:rPr>
          <w:rFonts w:ascii="宋体" w:hAnsi="宋体" w:eastAsia="宋体" w:cs="Times New Roman"/>
          <w:color w:val="auto"/>
          <w:sz w:val="22"/>
          <w:szCs w:val="22"/>
        </w:rPr>
      </w:pPr>
      <w:r>
        <w:rPr>
          <w:rFonts w:hint="eastAsia" w:ascii="宋体" w:hAnsi="宋体" w:eastAsia="宋体" w:cs="Times New Roman"/>
          <w:color w:val="auto"/>
          <w:sz w:val="22"/>
          <w:szCs w:val="22"/>
        </w:rPr>
        <w:t>5</w:t>
      </w:r>
      <w:r>
        <w:rPr>
          <w:rFonts w:ascii="宋体" w:hAnsi="宋体" w:eastAsia="宋体" w:cs="Times New Roman"/>
          <w:color w:val="auto"/>
          <w:sz w:val="22"/>
          <w:szCs w:val="22"/>
        </w:rPr>
        <w:t>、乙方未按规定和承诺提供伴随服务、售后服务的，应向甲方支付合同总价5％的违约金。</w:t>
      </w:r>
    </w:p>
    <w:p>
      <w:pPr>
        <w:spacing w:line="440" w:lineRule="exact"/>
        <w:ind w:firstLine="440" w:firstLineChars="200"/>
        <w:rPr>
          <w:rFonts w:ascii="宋体" w:hAnsi="宋体" w:eastAsia="宋体" w:cs="Times New Roman"/>
          <w:color w:val="auto"/>
          <w:sz w:val="22"/>
          <w:szCs w:val="22"/>
        </w:rPr>
      </w:pPr>
      <w:r>
        <w:rPr>
          <w:rFonts w:hint="eastAsia" w:ascii="宋体" w:hAnsi="宋体" w:eastAsia="宋体" w:cs="Times New Roman"/>
          <w:color w:val="auto"/>
          <w:sz w:val="22"/>
          <w:szCs w:val="22"/>
        </w:rPr>
        <w:t>6</w:t>
      </w:r>
      <w:r>
        <w:rPr>
          <w:rFonts w:ascii="宋体" w:hAnsi="宋体" w:eastAsia="宋体" w:cs="Times New Roman"/>
          <w:color w:val="auto"/>
          <w:sz w:val="22"/>
          <w:szCs w:val="22"/>
        </w:rPr>
        <w:t>、违约方承担违约责任并不影响其合同项下的义务（合同解除的除外）。</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第十四条 不可抗力</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1、不可抗力，是指不能预见、不能避免并不能克服的客观情况，如战争、动乱、瘟疫、严重火灾、洪水、地震、风暴或其他自然灾害等。</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3、发生不可抗力事件，任何一方均不对因不可抗力无法履行或迟延履行本合同义务而使另一方蒙受的任何损失承担责任，法律另有规定的除外。</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4、合同各方应根据不可抗力对本合同履行的影响程度，协商确定是否终止本合同或是继续履行本合同。</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第十五条　合同的补充</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1、在本合同履行中，甲方需要追加与本合同相同的货物或服务的，在不改变合同其他条款的前提下，可与乙方协商签订补充合同，但所有补充合同的金额不得超过本合同的百分之十。</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2、补充合同须采用书面形式，并报</w:t>
      </w:r>
      <w:r>
        <w:rPr>
          <w:rFonts w:hint="eastAsia" w:ascii="宋体" w:hAnsi="宋体" w:eastAsia="宋体" w:cs="Times New Roman"/>
          <w:color w:val="auto"/>
          <w:sz w:val="22"/>
          <w:szCs w:val="22"/>
        </w:rPr>
        <w:t>县财政部门</w:t>
      </w:r>
      <w:r>
        <w:rPr>
          <w:rFonts w:ascii="宋体" w:hAnsi="宋体" w:eastAsia="宋体" w:cs="Times New Roman"/>
          <w:color w:val="auto"/>
          <w:sz w:val="22"/>
          <w:szCs w:val="22"/>
        </w:rPr>
        <w:t>备案，为本合同不可分割的一部分。</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第十六条  合同的变更、中止</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本合同一经签订，合同双方不得擅自变更或中止合同，除非合同的继续履行将损害国家利益和社会公共利益。</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第十七条  合同的终止</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本合同因下列原因而终止：</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（1）本合同正常履行完毕；</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（2）因不可抗力导致本合同无法履行或履行不必要；</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（3）任何一方行使解除权解除本合同；</w:t>
      </w:r>
    </w:p>
    <w:p>
      <w:pPr>
        <w:spacing w:line="440" w:lineRule="exact"/>
        <w:ind w:firstLine="480"/>
        <w:rPr>
          <w:rFonts w:ascii="宋体" w:hAnsi="宋体" w:eastAsia="宋体" w:cs="Times New Roman"/>
          <w:color w:val="auto"/>
          <w:sz w:val="22"/>
          <w:szCs w:val="22"/>
        </w:rPr>
      </w:pPr>
      <w:r>
        <w:rPr>
          <w:rFonts w:ascii="宋体" w:hAnsi="宋体" w:eastAsia="宋体" w:cs="Times New Roman"/>
          <w:color w:val="auto"/>
          <w:sz w:val="22"/>
          <w:szCs w:val="22"/>
        </w:rPr>
        <w:t>（4）合同的继续履行将损害国家利益和社会公共利益。</w:t>
      </w:r>
    </w:p>
    <w:p>
      <w:pPr>
        <w:spacing w:line="440" w:lineRule="exact"/>
        <w:ind w:firstLine="480"/>
        <w:rPr>
          <w:rFonts w:ascii="宋体" w:hAnsi="宋体" w:eastAsia="宋体" w:cs="Times New Roman"/>
          <w:color w:val="auto"/>
          <w:sz w:val="22"/>
          <w:szCs w:val="22"/>
        </w:rPr>
      </w:pPr>
      <w:r>
        <w:rPr>
          <w:rFonts w:ascii="宋体" w:hAnsi="宋体" w:eastAsia="宋体" w:cs="Times New Roman"/>
          <w:color w:val="auto"/>
          <w:sz w:val="22"/>
          <w:szCs w:val="22"/>
        </w:rPr>
        <w:t>除上述情形外，甲乙双方不得擅自终止合同。</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第十八条　合同的转让</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除甲方书面同意外，乙方不得将其合同项下的权利义务部分或全部转让给第三方。</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第十九条  履约保证金</w:t>
      </w:r>
    </w:p>
    <w:p>
      <w:pPr>
        <w:spacing w:line="440" w:lineRule="exact"/>
        <w:ind w:firstLine="431" w:firstLineChars="196"/>
        <w:rPr>
          <w:rFonts w:ascii="宋体" w:hAnsi="宋体" w:eastAsia="宋体" w:cs="Times New Roman"/>
          <w:color w:val="auto"/>
          <w:sz w:val="22"/>
          <w:szCs w:val="22"/>
        </w:rPr>
      </w:pPr>
      <w:r>
        <w:rPr>
          <w:rFonts w:hint="eastAsia" w:ascii="宋体" w:hAnsi="宋体" w:eastAsia="宋体" w:cs="Times New Roman"/>
          <w:color w:val="auto"/>
          <w:sz w:val="22"/>
          <w:szCs w:val="22"/>
        </w:rPr>
        <w:t>1</w:t>
      </w:r>
      <w:r>
        <w:rPr>
          <w:rFonts w:ascii="宋体" w:hAnsi="宋体" w:eastAsia="宋体" w:cs="Times New Roman"/>
          <w:color w:val="auto"/>
          <w:sz w:val="22"/>
          <w:szCs w:val="22"/>
        </w:rPr>
        <w:t>、如乙方未能履行合同规定的义务，甲方有权从履约保证金中取得补偿。</w:t>
      </w:r>
    </w:p>
    <w:p>
      <w:pPr>
        <w:spacing w:line="440" w:lineRule="exact"/>
        <w:ind w:firstLine="431" w:firstLineChars="196"/>
        <w:rPr>
          <w:rFonts w:ascii="宋体" w:hAnsi="宋体" w:eastAsia="宋体" w:cs="Times New Roman"/>
          <w:color w:val="auto"/>
          <w:sz w:val="22"/>
          <w:szCs w:val="22"/>
        </w:rPr>
      </w:pPr>
      <w:r>
        <w:rPr>
          <w:rFonts w:hint="eastAsia" w:ascii="宋体" w:hAnsi="宋体" w:eastAsia="宋体" w:cs="Times New Roman"/>
          <w:color w:val="auto"/>
          <w:sz w:val="22"/>
          <w:szCs w:val="22"/>
        </w:rPr>
        <w:t>2</w:t>
      </w:r>
      <w:r>
        <w:rPr>
          <w:rFonts w:ascii="宋体" w:hAnsi="宋体" w:eastAsia="宋体" w:cs="Times New Roman"/>
          <w:color w:val="auto"/>
          <w:sz w:val="22"/>
          <w:szCs w:val="22"/>
        </w:rPr>
        <w:t>、履约保证金在乙方履</w:t>
      </w:r>
      <w:r>
        <w:rPr>
          <w:rFonts w:hint="eastAsia" w:ascii="宋体" w:hAnsi="宋体" w:eastAsia="宋体" w:cs="Times New Roman"/>
          <w:color w:val="auto"/>
          <w:sz w:val="22"/>
          <w:szCs w:val="22"/>
          <w:lang w:val="en-US" w:eastAsia="zh-CN"/>
        </w:rPr>
        <w:t>行合同完毕后将转为质量保证金，质量保证金在质保期满后十四个工作日内退还给乙方，不计利息。</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第二十条  争议解决方式</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在执行本合同过程中所发生的或与本合同有关的一切争端，甲乙双方应通过友好协商的办法进行解决。如协商不能解决，则向</w:t>
      </w:r>
      <w:r>
        <w:rPr>
          <w:rFonts w:hint="eastAsia" w:ascii="宋体" w:hAnsi="宋体" w:eastAsia="宋体" w:cs="Times New Roman"/>
          <w:color w:val="auto"/>
          <w:sz w:val="22"/>
          <w:szCs w:val="22"/>
        </w:rPr>
        <w:t>项目</w:t>
      </w:r>
      <w:r>
        <w:rPr>
          <w:rFonts w:ascii="宋体" w:hAnsi="宋体" w:eastAsia="宋体" w:cs="Times New Roman"/>
          <w:color w:val="auto"/>
          <w:sz w:val="22"/>
          <w:szCs w:val="22"/>
        </w:rPr>
        <w:t>所在地人民法院提起诉讼。</w:t>
      </w: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第二十一条</w:t>
      </w:r>
    </w:p>
    <w:p>
      <w:pPr>
        <w:spacing w:line="440" w:lineRule="exact"/>
        <w:ind w:firstLine="431" w:firstLineChars="196"/>
        <w:rPr>
          <w:rFonts w:ascii="宋体" w:hAnsi="宋体" w:eastAsia="宋体" w:cs="Times New Roman"/>
          <w:color w:val="auto"/>
          <w:sz w:val="22"/>
          <w:szCs w:val="22"/>
        </w:rPr>
      </w:pPr>
      <w:r>
        <w:rPr>
          <w:rFonts w:hint="eastAsia" w:ascii="宋体" w:hAnsi="宋体" w:eastAsia="宋体" w:cs="Times New Roman"/>
          <w:color w:val="auto"/>
          <w:sz w:val="22"/>
          <w:szCs w:val="22"/>
        </w:rPr>
        <w:t>中标投标人需无条件配合及遵从采购单位、总包单位以及装修单位的要求。</w:t>
      </w:r>
    </w:p>
    <w:p>
      <w:pPr>
        <w:spacing w:line="240" w:lineRule="exact"/>
        <w:ind w:firstLine="440" w:firstLineChars="200"/>
        <w:rPr>
          <w:rFonts w:ascii="宋体" w:hAnsi="宋体" w:eastAsia="宋体" w:cs="Times New Roman"/>
          <w:color w:val="auto"/>
          <w:sz w:val="22"/>
          <w:szCs w:val="22"/>
        </w:rPr>
      </w:pPr>
    </w:p>
    <w:p>
      <w:pPr>
        <w:spacing w:line="440" w:lineRule="exact"/>
        <w:ind w:firstLine="431" w:firstLineChars="196"/>
        <w:rPr>
          <w:rFonts w:ascii="宋体" w:hAnsi="宋体" w:eastAsia="宋体" w:cs="Times New Roman"/>
          <w:color w:val="auto"/>
          <w:sz w:val="22"/>
          <w:szCs w:val="22"/>
        </w:rPr>
      </w:pPr>
      <w:r>
        <w:rPr>
          <w:rFonts w:ascii="宋体" w:hAnsi="宋体" w:eastAsia="宋体" w:cs="Times New Roman"/>
          <w:color w:val="auto"/>
          <w:sz w:val="22"/>
          <w:szCs w:val="22"/>
        </w:rPr>
        <w:t>第二十</w:t>
      </w:r>
      <w:r>
        <w:rPr>
          <w:rFonts w:hint="eastAsia" w:ascii="宋体" w:hAnsi="宋体" w:eastAsia="宋体" w:cs="Times New Roman"/>
          <w:color w:val="auto"/>
          <w:sz w:val="22"/>
          <w:szCs w:val="22"/>
        </w:rPr>
        <w:t>二</w:t>
      </w:r>
      <w:r>
        <w:rPr>
          <w:rFonts w:ascii="宋体" w:hAnsi="宋体" w:eastAsia="宋体" w:cs="Times New Roman"/>
          <w:color w:val="auto"/>
          <w:sz w:val="22"/>
          <w:szCs w:val="22"/>
        </w:rPr>
        <w:t>条  合同生效及其他</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1、合同应在甲乙双方代表签字并加盖公章后生效。</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2、本合同一式份，甲方</w:t>
      </w:r>
      <w:r>
        <w:rPr>
          <w:rFonts w:hint="eastAsia" w:ascii="宋体" w:hAnsi="宋体" w:eastAsia="宋体" w:cs="Times New Roman"/>
          <w:color w:val="auto"/>
          <w:sz w:val="22"/>
          <w:szCs w:val="22"/>
        </w:rPr>
        <w:t>份</w:t>
      </w:r>
      <w:r>
        <w:rPr>
          <w:rFonts w:ascii="宋体" w:hAnsi="宋体" w:eastAsia="宋体" w:cs="Times New Roman"/>
          <w:color w:val="auto"/>
          <w:sz w:val="22"/>
          <w:szCs w:val="22"/>
        </w:rPr>
        <w:t>、乙方</w:t>
      </w:r>
      <w:r>
        <w:rPr>
          <w:rFonts w:hint="eastAsia" w:ascii="宋体" w:hAnsi="宋体" w:eastAsia="宋体" w:cs="Times New Roman"/>
          <w:color w:val="auto"/>
          <w:sz w:val="22"/>
          <w:szCs w:val="22"/>
        </w:rPr>
        <w:t>份</w:t>
      </w:r>
      <w:r>
        <w:rPr>
          <w:rFonts w:ascii="宋体" w:hAnsi="宋体" w:eastAsia="宋体" w:cs="Times New Roman"/>
          <w:color w:val="auto"/>
          <w:sz w:val="22"/>
          <w:szCs w:val="22"/>
        </w:rPr>
        <w:t>、</w:t>
      </w:r>
      <w:r>
        <w:rPr>
          <w:rFonts w:hint="eastAsia" w:ascii="宋体" w:hAnsi="宋体" w:eastAsia="宋体" w:cs="Times New Roman"/>
          <w:color w:val="auto"/>
          <w:sz w:val="22"/>
          <w:szCs w:val="22"/>
        </w:rPr>
        <w:t>招标代理公司</w:t>
      </w:r>
      <w:r>
        <w:rPr>
          <w:rFonts w:ascii="宋体" w:hAnsi="宋体" w:eastAsia="宋体" w:cs="Times New Roman"/>
          <w:color w:val="auto"/>
          <w:sz w:val="22"/>
          <w:szCs w:val="22"/>
        </w:rPr>
        <w:t>执一份。</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3、本合同应按照中华人民共和国的现行法律进行解释。</w:t>
      </w:r>
    </w:p>
    <w:p>
      <w:pPr>
        <w:spacing w:line="440" w:lineRule="exact"/>
        <w:ind w:firstLine="440" w:firstLineChars="200"/>
        <w:rPr>
          <w:rFonts w:ascii="宋体" w:hAnsi="宋体" w:eastAsia="宋体" w:cs="Times New Roman"/>
          <w:color w:val="auto"/>
          <w:sz w:val="22"/>
          <w:szCs w:val="22"/>
        </w:rPr>
      </w:pP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甲方（单位盖章）                     乙方（单位盖章）</w:t>
      </w:r>
    </w:p>
    <w:p>
      <w:pPr>
        <w:spacing w:line="440" w:lineRule="exact"/>
        <w:ind w:firstLine="440" w:firstLineChars="200"/>
        <w:rPr>
          <w:rFonts w:ascii="宋体" w:hAnsi="宋体" w:eastAsia="宋体" w:cs="Times New Roman"/>
          <w:color w:val="auto"/>
          <w:sz w:val="22"/>
          <w:szCs w:val="22"/>
        </w:rPr>
      </w:pPr>
      <w:r>
        <w:rPr>
          <w:rFonts w:ascii="宋体" w:hAnsi="宋体" w:eastAsia="宋体" w:cs="Times New Roman"/>
          <w:color w:val="auto"/>
          <w:sz w:val="22"/>
          <w:szCs w:val="22"/>
        </w:rPr>
        <w:t>代表签字：                           代表签字：</w:t>
      </w:r>
    </w:p>
    <w:p>
      <w:pPr>
        <w:pStyle w:val="7"/>
        <w:adjustRightInd w:val="0"/>
        <w:snapToGrid w:val="0"/>
        <w:spacing w:line="460" w:lineRule="atLeast"/>
        <w:ind w:firstLine="440" w:firstLineChars="200"/>
        <w:rPr>
          <w:rFonts w:hAnsi="宋体" w:cs="Times New Roman"/>
          <w:color w:val="auto"/>
          <w:sz w:val="22"/>
        </w:rPr>
      </w:pPr>
      <w:r>
        <w:rPr>
          <w:rFonts w:hAnsi="宋体" w:cs="Times New Roman"/>
          <w:color w:val="auto"/>
          <w:sz w:val="22"/>
        </w:rPr>
        <w:t>日期：                               日期：</w:t>
      </w:r>
    </w:p>
    <w:p>
      <w:pPr>
        <w:pStyle w:val="7"/>
        <w:adjustRightInd w:val="0"/>
        <w:snapToGrid w:val="0"/>
        <w:spacing w:line="460" w:lineRule="atLeast"/>
        <w:ind w:firstLine="440" w:firstLineChars="200"/>
        <w:rPr>
          <w:rFonts w:hAnsi="宋体" w:cs="Times New Roman"/>
          <w:color w:val="auto"/>
          <w:sz w:val="22"/>
        </w:rPr>
      </w:pPr>
    </w:p>
    <w:p>
      <w:pPr>
        <w:pStyle w:val="7"/>
        <w:tabs>
          <w:tab w:val="left" w:pos="900"/>
        </w:tabs>
        <w:snapToGrid w:val="0"/>
        <w:spacing w:before="120" w:after="120"/>
        <w:ind w:firstLine="660" w:firstLineChars="300"/>
        <w:rPr>
          <w:rFonts w:hAnsi="宋体" w:cs="Times New Roman"/>
          <w:color w:val="auto"/>
          <w:sz w:val="22"/>
        </w:rPr>
      </w:pPr>
    </w:p>
    <w:p>
      <w:pPr>
        <w:wordWrap w:val="0"/>
        <w:spacing w:line="360" w:lineRule="auto"/>
        <w:ind w:firstLine="440" w:firstLineChars="200"/>
        <w:contextualSpacing/>
        <w:jc w:val="left"/>
        <w:rPr>
          <w:rFonts w:hint="eastAsia" w:ascii="宋体" w:eastAsia="宋体" w:cs="宋体"/>
          <w:color w:val="auto"/>
          <w:sz w:val="22"/>
          <w:szCs w:val="22"/>
        </w:rPr>
      </w:pPr>
      <w:r>
        <w:rPr>
          <w:rFonts w:hint="eastAsia" w:ascii="宋体" w:hAnsi="宋体" w:eastAsia="宋体" w:cs="Times New Roman"/>
          <w:color w:val="auto"/>
          <w:sz w:val="22"/>
          <w:szCs w:val="22"/>
        </w:rPr>
        <w:t>注：本合同作为示范文本，具体以成交人与采购人所签定正式合同为准。</w:t>
      </w:r>
      <w:r>
        <w:rPr>
          <w:rFonts w:hint="eastAsia" w:ascii="宋体" w:eastAsia="宋体" w:cs="宋体"/>
          <w:color w:val="auto"/>
          <w:sz w:val="22"/>
          <w:szCs w:val="22"/>
        </w:rPr>
        <w:t xml:space="preserve"> </w:t>
      </w:r>
    </w:p>
    <w:p>
      <w:pPr>
        <w:pageBreakBefore/>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应提交的有关格式范例</w:t>
      </w:r>
      <w:bookmarkEnd w:id="85"/>
    </w:p>
    <w:p>
      <w:pPr>
        <w:shd w:val="clear" w:color="auto" w:fill="FFFFFF"/>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一、投标供应商提交投标文件须知：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1、投标供应商应严格按照以下顺序填写和提交下述规定的全部格式文件以及其他有关资料，混乱的编排导致投标文件被误读或评标委员会查找不到有效文件是投标供应商的风险。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4、评标委员会将应用投标供应商提交的资料作出自己的判断。</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5、投标供应商提交的材料将在一定期限内被保密保存，但不退还。</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6、全部文件应按投标供应商须知中规定的语言和份数提交。投标文件组成漏项或未按规定的格式编制，内容不全或内容字迹模糊辨认不清的情况，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bookmarkEnd w:id="86"/>
    <w:bookmarkEnd w:id="87"/>
    <w:bookmarkEnd w:id="88"/>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Style w:val="2"/>
        <w:snapToGrid w:val="0"/>
        <w:rPr>
          <w:rFonts w:hint="eastAsia" w:ascii="宋体" w:hAnsi="宋体" w:eastAsia="宋体" w:cs="宋体"/>
          <w:color w:val="auto"/>
          <w:highlight w:val="none"/>
        </w:rPr>
      </w:pPr>
      <w:bookmarkStart w:id="89" w:name="_Toc33194403"/>
      <w:r>
        <w:rPr>
          <w:rFonts w:hint="eastAsia" w:ascii="宋体" w:hAnsi="宋体" w:eastAsia="宋体" w:cs="宋体"/>
          <w:color w:val="auto"/>
          <w:highlight w:val="none"/>
        </w:rPr>
        <w:t>资格文件</w:t>
      </w:r>
      <w:bookmarkEnd w:id="89"/>
      <w:r>
        <w:rPr>
          <w:rFonts w:hint="eastAsia" w:ascii="宋体" w:hAnsi="宋体" w:eastAsia="宋体" w:cs="宋体"/>
          <w:color w:val="auto"/>
          <w:highlight w:val="none"/>
        </w:rPr>
        <w:t> </w:t>
      </w:r>
    </w:p>
    <w:p>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目录</w:t>
      </w:r>
    </w:p>
    <w:p>
      <w:pPr>
        <w:shd w:val="clear" w:color="auto" w:fill="FFFFFF"/>
        <w:snapToGrid w:val="0"/>
        <w:spacing w:line="360" w:lineRule="auto"/>
        <w:rPr>
          <w:rFonts w:hint="eastAsia" w:ascii="宋体" w:hAnsi="宋体" w:eastAsia="宋体" w:cs="宋体"/>
          <w:color w:val="auto"/>
          <w:kern w:val="0"/>
          <w:sz w:val="24"/>
          <w:highlight w:val="none"/>
        </w:rPr>
      </w:pPr>
      <w:bookmarkStart w:id="90" w:name="_Hlk33176655"/>
      <w:r>
        <w:rPr>
          <w:rFonts w:hint="eastAsia" w:ascii="宋体" w:hAnsi="宋体" w:eastAsia="宋体" w:cs="宋体"/>
          <w:color w:val="auto"/>
          <w:kern w:val="0"/>
          <w:sz w:val="24"/>
          <w:highlight w:val="none"/>
        </w:rPr>
        <w:t>（1）营业执照…………………………………………………………………………（页码）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（2）具有良好的商业信誉和健全的财务会计制度的承诺函………………………（页码）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（3）具有履行合同所必需的场地、设备和专业技术能力的承诺函………………（页码）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（4）依法缴纳税收和社会保障资金的承诺函…………………………………………（页码）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（5）参加国企采购活动前3年内在经营活动中没有重大违法记录的声明函………（页码）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（6）单位负责人为同一人或者存在直接控股、管理关系的不同供应商，不得参加同一合同项下的国企采购活动承诺函…………………………………………………………（页码）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（7）投标供应商没有失信记录承诺函………………………………………………（页码）</w:t>
      </w:r>
    </w:p>
    <w:p>
      <w:pPr>
        <w:pStyle w:val="28"/>
        <w:rPr>
          <w:rFonts w:hint="eastAsia" w:ascii="宋体" w:hAnsi="宋体" w:eastAsia="宋体" w:cs="宋体"/>
          <w:color w:val="auto"/>
          <w:highlight w:val="none"/>
        </w:rPr>
      </w:pPr>
    </w:p>
    <w:bookmarkEnd w:id="90"/>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ind w:firstLine="480" w:firstLineChars="200"/>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pStyle w:val="3"/>
        <w:numPr>
          <w:ilvl w:val="0"/>
          <w:numId w:val="0"/>
        </w:numPr>
        <w:ind w:left="106" w:firstLine="454"/>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
        <w:numPr>
          <w:ilvl w:val="0"/>
          <w:numId w:val="8"/>
        </w:numPr>
        <w:snapToGrid w:val="0"/>
        <w:rPr>
          <w:rFonts w:hint="eastAsia" w:ascii="宋体" w:hAnsi="宋体" w:eastAsia="宋体" w:cs="宋体"/>
          <w:color w:val="auto"/>
          <w:highlight w:val="none"/>
        </w:rPr>
      </w:pPr>
      <w:bookmarkStart w:id="91" w:name="_Toc21301"/>
      <w:bookmarkStart w:id="92" w:name="_Toc26100"/>
      <w:bookmarkStart w:id="93" w:name="_Toc5698"/>
      <w:bookmarkStart w:id="94" w:name="_Toc14043"/>
      <w:bookmarkStart w:id="95" w:name="_Toc27479"/>
      <w:bookmarkStart w:id="96" w:name="_Toc14356"/>
      <w:bookmarkStart w:id="97" w:name="_Toc5464"/>
      <w:bookmarkStart w:id="98" w:name="_Toc20141"/>
      <w:bookmarkStart w:id="99" w:name="_Toc20581"/>
      <w:bookmarkStart w:id="100" w:name="_Toc6616"/>
      <w:bookmarkStart w:id="101" w:name="_Toc27119252"/>
      <w:bookmarkStart w:id="102" w:name="_Toc33194404"/>
      <w:r>
        <w:rPr>
          <w:rFonts w:hint="eastAsia" w:ascii="宋体" w:hAnsi="宋体" w:eastAsia="宋体" w:cs="宋体"/>
          <w:color w:val="auto"/>
          <w:highlight w:val="none"/>
        </w:rPr>
        <w:t>营业执照</w:t>
      </w:r>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color w:val="auto"/>
          <w:highlight w:val="none"/>
        </w:rPr>
        <w:t>（复印件）</w:t>
      </w:r>
      <w:bookmarkEnd w:id="102"/>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t xml:space="preserve">二、具有良好的商业信誉和健全的财务会计制度的承诺函 </w:t>
      </w:r>
    </w:p>
    <w:p>
      <w:pPr>
        <w:shd w:val="clear" w:color="auto" w:fill="FFFFFF"/>
        <w:snapToGrid w:val="0"/>
        <w:spacing w:line="360" w:lineRule="auto"/>
        <w:rPr>
          <w:rFonts w:hint="eastAsia" w:ascii="宋体" w:hAnsi="宋体" w:eastAsia="宋体" w:cs="宋体"/>
          <w:bCs/>
          <w:color w:val="auto"/>
          <w:kern w:val="36"/>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r>
        <w:rPr>
          <w:rFonts w:hint="eastAsia" w:ascii="宋体" w:hAnsi="宋体" w:eastAsia="宋体" w:cs="宋体"/>
          <w:bCs/>
          <w:color w:val="auto"/>
          <w:kern w:val="36"/>
          <w:sz w:val="24"/>
          <w:highlight w:val="none"/>
        </w:rPr>
        <w:t xml:space="preserve"> </w:t>
      </w:r>
    </w:p>
    <w:p>
      <w:pPr>
        <w:shd w:val="clear" w:color="auto" w:fill="FFFFFF"/>
        <w:snapToGrid w:val="0"/>
        <w:spacing w:line="360" w:lineRule="auto"/>
        <w:ind w:firstLine="480" w:firstLineChars="200"/>
        <w:rPr>
          <w:rFonts w:hint="eastAsia" w:ascii="宋体" w:hAnsi="宋体" w:eastAsia="宋体" w:cs="宋体"/>
          <w:bCs/>
          <w:color w:val="auto"/>
          <w:kern w:val="36"/>
          <w:sz w:val="24"/>
          <w:highlight w:val="none"/>
        </w:rPr>
      </w:pPr>
      <w:r>
        <w:rPr>
          <w:rFonts w:hint="eastAsia" w:ascii="宋体" w:hAnsi="宋体" w:eastAsia="宋体" w:cs="宋体"/>
          <w:bCs/>
          <w:color w:val="auto"/>
          <w:kern w:val="36"/>
          <w:sz w:val="24"/>
          <w:highlight w:val="none"/>
        </w:rPr>
        <w:t>我方参加</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采购项目（项目编号：</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 xml:space="preserve">）的国企采购活动，依据采购文件相关规定，郑重 承诺：我方具有良好的商业信誉和健全的财务会计制度，符合本项目采购 文件规定的投标供应商资格要求，如中标，我方将按我方投标文件承诺， 保证合同顺利履行。如有虚假或隐瞒，采购人可取消我方任何资格（投标 /谈判/中标（成交）/签订合同），我方对此无任何异议，并愿意承担一 切后果和责任。 </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pStyle w:val="15"/>
        <w:rPr>
          <w:rFonts w:hint="eastAsia" w:ascii="宋体" w:hAnsi="宋体" w:eastAsia="宋体" w:cs="宋体"/>
          <w:color w:val="auto"/>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snapToGrid w:val="0"/>
        <w:spacing w:line="360" w:lineRule="auto"/>
        <w:rPr>
          <w:rFonts w:hint="eastAsia" w:ascii="宋体" w:hAnsi="宋体" w:eastAsia="宋体" w:cs="宋体"/>
          <w:color w:val="auto"/>
          <w:highlight w:val="none"/>
        </w:rPr>
      </w:pPr>
    </w:p>
    <w:p>
      <w:pPr>
        <w:pStyle w:val="2"/>
        <w:snapToGrid w:val="0"/>
        <w:rPr>
          <w:rFonts w:hint="eastAsia" w:ascii="宋体" w:hAnsi="宋体" w:eastAsia="宋体" w:cs="宋体"/>
          <w:color w:val="auto"/>
          <w:highlight w:val="none"/>
        </w:rPr>
      </w:pPr>
      <w:bookmarkStart w:id="103" w:name="_Toc33194405"/>
      <w:bookmarkStart w:id="104" w:name="_Toc27119254"/>
      <w:r>
        <w:rPr>
          <w:rFonts w:hint="eastAsia" w:ascii="宋体" w:hAnsi="宋体" w:eastAsia="宋体" w:cs="宋体"/>
          <w:color w:val="auto"/>
          <w:highlight w:val="none"/>
        </w:rPr>
        <w:t>三、具有履行合同所必需的场地、设备和专业技术能力的承诺函</w:t>
      </w:r>
      <w:bookmarkEnd w:id="103"/>
      <w:bookmarkEnd w:id="104"/>
    </w:p>
    <w:p>
      <w:pPr>
        <w:snapToGrid w:val="0"/>
        <w:spacing w:line="360" w:lineRule="auto"/>
        <w:rPr>
          <w:rFonts w:hint="eastAsia" w:ascii="宋体" w:hAnsi="宋体" w:eastAsia="宋体" w:cs="宋体"/>
          <w:color w:val="auto"/>
          <w:highlight w:val="none"/>
        </w:rPr>
      </w:pP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br w:type="page"/>
      </w:r>
      <w:r>
        <w:rPr>
          <w:rFonts w:hint="eastAsia" w:ascii="宋体" w:hAnsi="宋体" w:eastAsia="宋体" w:cs="宋体"/>
          <w:b/>
          <w:color w:val="auto"/>
          <w:kern w:val="36"/>
          <w:sz w:val="32"/>
          <w:szCs w:val="28"/>
          <w:highlight w:val="none"/>
        </w:rPr>
        <w:t>四、依法缴纳税收和社会保障资金的承诺函</w:t>
      </w:r>
    </w:p>
    <w:p>
      <w:pPr>
        <w:spacing w:line="360" w:lineRule="auto"/>
        <w:rPr>
          <w:rFonts w:hint="eastAsia" w:ascii="宋体" w:hAnsi="宋体" w:eastAsia="宋体" w:cs="宋体"/>
          <w:b/>
          <w:color w:val="auto"/>
          <w:kern w:val="0"/>
          <w:sz w:val="24"/>
          <w:szCs w:val="28"/>
          <w:highlight w:val="none"/>
          <w:u w:val="single"/>
        </w:rPr>
      </w:pP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hint="eastAsia" w:ascii="宋体" w:hAnsi="宋体" w:eastAsia="宋体" w:cs="宋体"/>
          <w:color w:val="auto"/>
          <w:kern w:val="0"/>
          <w:sz w:val="24"/>
          <w:highlight w:val="none"/>
        </w:rPr>
      </w:pP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pStyle w:val="15"/>
        <w:rPr>
          <w:rFonts w:hint="eastAsia" w:ascii="宋体" w:hAnsi="宋体" w:eastAsia="宋体" w:cs="宋体"/>
          <w:color w:val="auto"/>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jc w:val="left"/>
        <w:rPr>
          <w:rFonts w:hint="eastAsia" w:ascii="宋体" w:hAnsi="宋体" w:eastAsia="宋体" w:cs="宋体"/>
          <w:color w:val="auto"/>
          <w:kern w:val="0"/>
          <w:szCs w:val="21"/>
          <w:highlight w:val="none"/>
        </w:rPr>
      </w:pPr>
    </w:p>
    <w:p>
      <w:pPr>
        <w:pStyle w:val="2"/>
        <w:snapToGrid w:val="0"/>
        <w:rPr>
          <w:rFonts w:hint="eastAsia" w:ascii="宋体" w:hAnsi="宋体" w:eastAsia="宋体" w:cs="宋体"/>
          <w:color w:val="auto"/>
          <w:highlight w:val="none"/>
        </w:rPr>
      </w:pPr>
      <w:bookmarkStart w:id="105" w:name="_Toc13669"/>
      <w:bookmarkStart w:id="106" w:name="_Toc6606"/>
      <w:bookmarkStart w:id="107" w:name="_Toc14589"/>
      <w:bookmarkStart w:id="108" w:name="_Toc18304"/>
      <w:bookmarkStart w:id="109" w:name="_Toc11360"/>
      <w:bookmarkStart w:id="110" w:name="_Toc10630"/>
      <w:bookmarkStart w:id="111" w:name="_Toc31784"/>
      <w:bookmarkStart w:id="112" w:name="_Toc31544"/>
      <w:bookmarkStart w:id="113" w:name="_Toc14988"/>
      <w:bookmarkStart w:id="114" w:name="_Toc28957"/>
      <w:bookmarkStart w:id="115" w:name="_Toc33194406"/>
      <w:bookmarkStart w:id="116" w:name="_Toc27119255"/>
      <w:r>
        <w:rPr>
          <w:rFonts w:hint="eastAsia" w:ascii="宋体" w:hAnsi="宋体" w:eastAsia="宋体" w:cs="宋体"/>
          <w:color w:val="auto"/>
          <w:highlight w:val="none"/>
        </w:rPr>
        <w:t>五、参加国企采购活动前3年内在经营活动中没有重大违法记录的声明函</w:t>
      </w:r>
      <w:bookmarkEnd w:id="105"/>
      <w:bookmarkEnd w:id="106"/>
      <w:bookmarkEnd w:id="107"/>
      <w:bookmarkEnd w:id="108"/>
      <w:bookmarkEnd w:id="109"/>
      <w:bookmarkEnd w:id="110"/>
      <w:bookmarkEnd w:id="111"/>
      <w:bookmarkEnd w:id="112"/>
      <w:bookmarkEnd w:id="113"/>
      <w:bookmarkEnd w:id="114"/>
      <w:bookmarkEnd w:id="115"/>
      <w:bookmarkEnd w:id="116"/>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具有良好的商业信誉，依法缴纳税收和社会保障资金，未被列入失信被执行人名单、重大税收违法案件当事人名单、政府采购严重违法失信行为记录名单，参加本次</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pStyle w:val="3"/>
        <w:numPr>
          <w:ilvl w:val="0"/>
          <w:numId w:val="0"/>
        </w:numPr>
        <w:ind w:left="106" w:firstLine="45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36"/>
          <w:sz w:val="32"/>
          <w:szCs w:val="28"/>
          <w:highlight w:val="none"/>
        </w:rPr>
        <w:t>六、</w:t>
      </w:r>
      <w:r>
        <w:rPr>
          <w:rFonts w:hint="eastAsia" w:ascii="宋体" w:hAnsi="宋体" w:eastAsia="宋体" w:cs="宋体"/>
          <w:b/>
          <w:color w:val="auto"/>
          <w:kern w:val="0"/>
          <w:sz w:val="32"/>
          <w:szCs w:val="32"/>
          <w:highlight w:val="none"/>
        </w:rPr>
        <w:t>与参加本次项目同一合同项下国企采购活动的其他供应商不存在单位负责人为同一人或者直接控股、管理关系的</w:t>
      </w:r>
    </w:p>
    <w:p>
      <w:pPr>
        <w:spacing w:line="360" w:lineRule="auto"/>
        <w:jc w:val="center"/>
        <w:rPr>
          <w:rFonts w:hint="eastAsia" w:ascii="宋体" w:hAnsi="宋体" w:eastAsia="宋体" w:cs="宋体"/>
          <w:b/>
          <w:color w:val="auto"/>
          <w:w w:val="80"/>
          <w:kern w:val="0"/>
          <w:sz w:val="32"/>
          <w:szCs w:val="32"/>
          <w:highlight w:val="none"/>
        </w:rPr>
      </w:pPr>
      <w:r>
        <w:rPr>
          <w:rFonts w:hint="eastAsia" w:ascii="宋体" w:hAnsi="宋体" w:eastAsia="宋体" w:cs="宋体"/>
          <w:b/>
          <w:color w:val="auto"/>
          <w:kern w:val="0"/>
          <w:sz w:val="32"/>
          <w:szCs w:val="32"/>
          <w:highlight w:val="none"/>
        </w:rPr>
        <w:t>承诺函</w:t>
      </w: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我方郑重承诺，我方此次参加</w:t>
      </w:r>
      <w:r>
        <w:rPr>
          <w:rFonts w:hint="eastAsia" w:ascii="宋体" w:hAnsi="宋体" w:cs="宋体"/>
          <w:color w:val="auto"/>
          <w:kern w:val="0"/>
          <w:sz w:val="24"/>
          <w:highlight w:val="none"/>
          <w:lang w:eastAsia="zh-CN"/>
        </w:rPr>
        <w:t>苍南县政务无人机一体化平台项目</w:t>
      </w:r>
      <w:r>
        <w:rPr>
          <w:rFonts w:hint="eastAsia" w:ascii="宋体" w:hAnsi="宋体" w:eastAsia="宋体" w:cs="宋体"/>
          <w:color w:val="auto"/>
          <w:kern w:val="0"/>
          <w:sz w:val="24"/>
          <w:highlight w:val="none"/>
        </w:rPr>
        <w:t>的投标，与参加本次项目同一合同项下</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eastAsia="宋体" w:cs="宋体"/>
          <w:b/>
          <w:color w:val="auto"/>
          <w:kern w:val="36"/>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shd w:val="clear" w:color="auto" w:fill="FFFFFF"/>
        <w:snapToGrid w:val="0"/>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36"/>
          <w:sz w:val="32"/>
          <w:szCs w:val="28"/>
          <w:highlight w:val="none"/>
        </w:rPr>
        <w:t>投标供应商没有失信记录承诺函</w:t>
      </w: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苍南县数据管理发展有限公司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kern w:val="0"/>
          <w:sz w:val="24"/>
          <w:highlight w:val="none"/>
        </w:rPr>
        <w:t>：</w:t>
      </w:r>
    </w:p>
    <w:p>
      <w:pPr>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eastAsia="宋体" w:cs="宋体"/>
          <w:color w:val="auto"/>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 ：</w:t>
      </w:r>
    </w:p>
    <w:p>
      <w:pPr>
        <w:widowControl/>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日期：     年  月  日</w:t>
      </w:r>
    </w:p>
    <w:p>
      <w:pPr>
        <w:pageBreakBefore/>
        <w:shd w:val="clear" w:color="auto" w:fill="FFFFFF"/>
        <w:snapToGrid w:val="0"/>
        <w:spacing w:line="360" w:lineRule="auto"/>
        <w:jc w:val="center"/>
        <w:outlineLvl w:val="1"/>
        <w:rPr>
          <w:rFonts w:hint="eastAsia" w:ascii="宋体" w:hAnsi="宋体" w:eastAsia="宋体" w:cs="宋体"/>
          <w:b/>
          <w:bCs/>
          <w:color w:val="auto"/>
          <w:kern w:val="0"/>
          <w:sz w:val="24"/>
          <w:highlight w:val="none"/>
        </w:rPr>
      </w:pPr>
      <w:bookmarkStart w:id="117" w:name="_Toc354996707"/>
      <w:bookmarkStart w:id="118" w:name="_Toc33194407"/>
      <w:bookmarkStart w:id="119" w:name="_Toc233618989"/>
      <w:r>
        <w:rPr>
          <w:rFonts w:hint="eastAsia" w:ascii="宋体" w:hAnsi="宋体" w:eastAsia="宋体" w:cs="宋体"/>
          <w:b/>
          <w:bCs/>
          <w:color w:val="auto"/>
          <w:kern w:val="0"/>
          <w:sz w:val="24"/>
          <w:highlight w:val="none"/>
        </w:rPr>
        <w:t>报价文件</w:t>
      </w:r>
      <w:bookmarkEnd w:id="117"/>
      <w:bookmarkEnd w:id="118"/>
    </w:p>
    <w:p>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w:t>
      </w:r>
    </w:p>
    <w:p>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目录</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（1）投标响应函…………………………………………………………………（页码）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（2）开标一览表…………………………………………………………………（页码）</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kern w:val="0"/>
          <w:sz w:val="24"/>
          <w:highlight w:val="none"/>
        </w:rPr>
        <w:t>3）报价明细清单………………………………………………………………（页码）</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auto"/>
          <w:sz w:val="24"/>
          <w:highlight w:val="none"/>
        </w:rPr>
      </w:pPr>
      <w:bookmarkStart w:id="120" w:name="_Toc233618990"/>
      <w:r>
        <w:rPr>
          <w:rFonts w:hint="eastAsia" w:ascii="宋体" w:hAnsi="宋体" w:eastAsia="宋体" w:cs="宋体"/>
          <w:b/>
          <w:bCs/>
          <w:color w:val="auto"/>
          <w:sz w:val="24"/>
          <w:highlight w:val="none"/>
        </w:rPr>
        <w:t>一、投标响应函</w:t>
      </w:r>
      <w:bookmarkEnd w:id="120"/>
    </w:p>
    <w:p>
      <w:pPr>
        <w:shd w:val="clear" w:color="auto" w:fill="FFFFFF"/>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苍南县数据管理发展有限公司</w:t>
      </w: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sz w:val="24"/>
          <w:highlight w:val="none"/>
        </w:rPr>
        <w:t>：</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w:t>
      </w:r>
      <w:r>
        <w:rPr>
          <w:rFonts w:hint="eastAsia" w:ascii="宋体" w:hAnsi="宋体" w:cs="宋体"/>
          <w:color w:val="auto"/>
          <w:sz w:val="24"/>
          <w:highlight w:val="none"/>
          <w:u w:val="single"/>
          <w:lang w:eastAsia="zh-CN"/>
        </w:rPr>
        <w:t>苍南县政务无人机一体化平台项目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招标的有关活动，并对此项目进行投标。为此：</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1、我方同意在投标供应商编制和提交投标文件须知规定的开标日期起遵守本投标书中的承诺且在投标有效期满之前均具有约束力。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2、我方承诺已经具备参加国企采购活动的供应商应当具备的条件：</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(2)遵守国家法律、行政法规，具有良好的信誉和商业道德；</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(3)具有履行合同的能力和良好的履行合同记录；</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(4)良好的资金、财务状况；</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(6)没有违反采购法规、政策的记录；</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(7)没有发生重大经济纠纷和走私犯罪记录。</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3、提供编制和提交投标文件须知规定的全部投标文件，包括资格文件、报价文件、商务技术文件。具体内容为：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(1)资格文件</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商务</w:t>
      </w:r>
      <w:r>
        <w:rPr>
          <w:rFonts w:hint="eastAsia" w:ascii="宋体" w:hAnsi="宋体" w:eastAsia="宋体" w:cs="宋体"/>
          <w:color w:val="auto"/>
          <w:kern w:val="0"/>
          <w:sz w:val="24"/>
          <w:highlight w:val="none"/>
          <w:lang w:val="zh-CN"/>
        </w:rPr>
        <w:t>技术文件</w:t>
      </w:r>
      <w:r>
        <w:rPr>
          <w:rFonts w:hint="eastAsia" w:ascii="宋体" w:hAnsi="宋体" w:eastAsia="宋体" w:cs="宋体"/>
          <w:color w:val="auto"/>
          <w:sz w:val="24"/>
          <w:highlight w:val="none"/>
        </w:rPr>
        <w:t>；</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44"/>
          <w:sz w:val="24"/>
          <w:highlight w:val="none"/>
        </w:rPr>
        <w:t>编制和提交投标文件须知</w:t>
      </w:r>
      <w:r>
        <w:rPr>
          <w:rFonts w:hint="eastAsia" w:ascii="宋体" w:hAnsi="宋体" w:eastAsia="宋体" w:cs="宋体"/>
          <w:color w:val="auto"/>
          <w:sz w:val="24"/>
          <w:highlight w:val="none"/>
        </w:rPr>
        <w:t>要求投标供应商提交的全部文件；</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(7)保证遵守招标文件中的其他有关规定。</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4、投标有效期内不撤销投标文件；强行撤销的，承诺按本项目预算金额的2%赔偿对采购代理机构造成的损失。</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5、我方完全理解贵方不一定要接受最低价的投标。</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6、如中标，按招标文件规定与采购人签订合同。如拒绝签订合同，承诺按本项目预算金额的2%对采购人进行赔偿；赔偿金额不足以弥补采购人损失的，承诺继续承担超过部分的损失。</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7、如中标，按招标文件规定的招标代理服务费标准，承诺在签订合同前向采购代理机构支付招标代理服务费。</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将严格遵守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(2)采取不正当手段诋毁、排挤其他供应商的；</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(3)与采购人、其它供应商或者采购代理机构恶意串通的；</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(4)向采购人、采购代理机构行贿或者提供其他不正当利益的；</w:t>
      </w:r>
    </w:p>
    <w:p>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(5)在招标采购过程中与采购人进行协商谈判的。</w:t>
      </w:r>
    </w:p>
    <w:p>
      <w:pPr>
        <w:shd w:val="clear" w:color="auto" w:fill="FFFFFF"/>
        <w:snapToGrid w:val="0"/>
        <w:spacing w:line="360" w:lineRule="auto"/>
        <w:rPr>
          <w:rFonts w:hint="eastAsia" w:ascii="宋体" w:hAnsi="宋体" w:eastAsia="宋体" w:cs="宋体"/>
          <w:color w:val="auto"/>
          <w:kern w:val="0"/>
          <w:sz w:val="24"/>
          <w:highlight w:val="none"/>
          <w:lang w:val="zh-CN"/>
        </w:rPr>
      </w:pPr>
    </w:p>
    <w:p>
      <w:pPr>
        <w:shd w:val="clear" w:color="auto" w:fill="FFFFFF"/>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法定（授权）代表人（签字）：</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ab/>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投标供应商盖 章：</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联系电话：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传真：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电子邮件：  </w:t>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邮政编码：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传真号码：</w:t>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日</w:t>
      </w:r>
    </w:p>
    <w:p>
      <w:pPr>
        <w:shd w:val="clear" w:color="auto" w:fill="FFFFFF"/>
        <w:snapToGrid w:val="0"/>
        <w:spacing w:line="360" w:lineRule="auto"/>
        <w:ind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注：未按照本投标响应函要求填报的将被视为非实质性响应，从而可能导致该投标文件被拒绝。</w:t>
      </w:r>
    </w:p>
    <w:p>
      <w:pPr>
        <w:pageBreakBefore/>
        <w:shd w:val="clear" w:color="auto" w:fill="FFFFFF"/>
        <w:snapToGrid w:val="0"/>
        <w:spacing w:line="360" w:lineRule="auto"/>
        <w:ind w:firstLine="482" w:firstLineChars="200"/>
        <w:jc w:val="center"/>
        <w:outlineLvl w:val="2"/>
        <w:rPr>
          <w:rFonts w:hint="eastAsia" w:ascii="宋体" w:hAnsi="宋体" w:eastAsia="宋体" w:cs="宋体"/>
          <w:b/>
          <w:bCs/>
          <w:color w:val="auto"/>
          <w:sz w:val="24"/>
          <w:highlight w:val="none"/>
        </w:rPr>
      </w:pPr>
      <w:bookmarkStart w:id="121" w:name="_Toc354859632"/>
      <w:bookmarkStart w:id="122" w:name="_Toc354859475"/>
      <w:bookmarkStart w:id="123" w:name="_Toc233618991"/>
      <w:bookmarkStart w:id="124" w:name="_Toc354859551"/>
      <w:r>
        <w:rPr>
          <w:rFonts w:hint="eastAsia" w:ascii="宋体" w:hAnsi="宋体" w:eastAsia="宋体" w:cs="宋体"/>
          <w:b/>
          <w:bCs/>
          <w:color w:val="auto"/>
          <w:sz w:val="24"/>
          <w:highlight w:val="none"/>
        </w:rPr>
        <w:t>二、开标一览表</w:t>
      </w:r>
      <w:bookmarkEnd w:id="121"/>
      <w:bookmarkEnd w:id="122"/>
      <w:bookmarkEnd w:id="123"/>
      <w:bookmarkEnd w:id="124"/>
    </w:p>
    <w:p>
      <w:pPr>
        <w:pStyle w:val="7"/>
        <w:adjustRightInd w:val="0"/>
        <w:snapToGrid w:val="0"/>
        <w:spacing w:line="400" w:lineRule="exact"/>
        <w:rPr>
          <w:rFonts w:hint="eastAsia" w:ascii="宋体" w:hAnsi="宋体" w:eastAsia="宋体" w:cs="宋体"/>
          <w:color w:val="auto"/>
          <w:sz w:val="24"/>
          <w:highlight w:val="none"/>
        </w:rPr>
      </w:pPr>
    </w:p>
    <w:p>
      <w:pPr>
        <w:pStyle w:val="7"/>
        <w:adjustRightInd w:val="0"/>
        <w:snapToGrid w:val="0"/>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rPr>
        <w:t>供应商名称：                  招标编号：             报价单位：人民币元</w:t>
      </w:r>
    </w:p>
    <w:tbl>
      <w:tblPr>
        <w:tblStyle w:val="17"/>
        <w:tblW w:w="917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9"/>
        <w:gridCol w:w="2750"/>
        <w:gridCol w:w="2759"/>
        <w:gridCol w:w="1463"/>
        <w:gridCol w:w="14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6" w:hRule="atLeast"/>
        </w:trPr>
        <w:tc>
          <w:tcPr>
            <w:tcW w:w="779" w:type="dxa"/>
            <w:tcBorders>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标项</w:t>
            </w:r>
          </w:p>
        </w:tc>
        <w:tc>
          <w:tcPr>
            <w:tcW w:w="2750" w:type="dxa"/>
            <w:tcBorders>
              <w:lef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p>
        </w:tc>
        <w:tc>
          <w:tcPr>
            <w:tcW w:w="2759"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总价（人民币元）</w:t>
            </w:r>
          </w:p>
        </w:tc>
        <w:tc>
          <w:tcPr>
            <w:tcW w:w="1463"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w:t>
            </w:r>
          </w:p>
        </w:tc>
        <w:tc>
          <w:tcPr>
            <w:tcW w:w="1427"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2" w:hRule="atLeast"/>
        </w:trPr>
        <w:tc>
          <w:tcPr>
            <w:tcW w:w="779" w:type="dxa"/>
            <w:tcBorders>
              <w:right w:val="single" w:color="auto" w:sz="4" w:space="0"/>
            </w:tcBorders>
            <w:noWrap w:val="0"/>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750" w:type="dxa"/>
            <w:tcBorders>
              <w:left w:val="single" w:color="auto" w:sz="4" w:space="0"/>
            </w:tcBorders>
            <w:noWrap w:val="0"/>
            <w:vAlign w:val="center"/>
          </w:tcPr>
          <w:p>
            <w:pPr>
              <w:jc w:val="center"/>
              <w:rPr>
                <w:rFonts w:hint="eastAsia" w:ascii="宋体" w:hAnsi="宋体" w:eastAsia="宋体" w:cs="宋体"/>
                <w:color w:val="auto"/>
                <w:kern w:val="0"/>
                <w:sz w:val="24"/>
                <w:highlight w:val="none"/>
                <w:lang w:eastAsia="zh-CN"/>
              </w:rPr>
            </w:pPr>
            <w:r>
              <w:rPr>
                <w:rFonts w:hint="eastAsia" w:ascii="宋体" w:hAnsi="宋体" w:cs="宋体"/>
                <w:color w:val="auto"/>
                <w:sz w:val="22"/>
                <w:szCs w:val="22"/>
                <w:highlight w:val="none"/>
                <w:lang w:eastAsia="zh-CN"/>
              </w:rPr>
              <w:t>苍南县政务无人机一体化平台项目</w:t>
            </w:r>
          </w:p>
        </w:tc>
        <w:tc>
          <w:tcPr>
            <w:tcW w:w="2759" w:type="dxa"/>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tc>
        <w:tc>
          <w:tcPr>
            <w:tcW w:w="1463" w:type="dxa"/>
            <w:noWrap w:val="0"/>
            <w:vAlign w:val="center"/>
          </w:tcPr>
          <w:p>
            <w:pPr>
              <w:widowControl/>
              <w:jc w:val="left"/>
              <w:rPr>
                <w:rFonts w:hint="eastAsia" w:ascii="宋体" w:hAnsi="宋体" w:eastAsia="宋体" w:cs="宋体"/>
                <w:color w:val="auto"/>
                <w:sz w:val="24"/>
                <w:highlight w:val="none"/>
              </w:rPr>
            </w:pPr>
          </w:p>
          <w:p>
            <w:pPr>
              <w:widowControl/>
              <w:jc w:val="left"/>
              <w:rPr>
                <w:rFonts w:hint="eastAsia" w:ascii="宋体" w:hAnsi="宋体" w:eastAsia="宋体" w:cs="宋体"/>
                <w:color w:val="auto"/>
                <w:sz w:val="24"/>
                <w:highlight w:val="none"/>
              </w:rPr>
            </w:pPr>
          </w:p>
          <w:p>
            <w:pPr>
              <w:widowControl/>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tc>
        <w:tc>
          <w:tcPr>
            <w:tcW w:w="1427" w:type="dxa"/>
            <w:noWrap w:val="0"/>
            <w:vAlign w:val="center"/>
          </w:tcPr>
          <w:p>
            <w:pPr>
              <w:widowControl/>
              <w:jc w:val="left"/>
              <w:rPr>
                <w:rFonts w:hint="eastAsia" w:ascii="宋体" w:hAnsi="宋体" w:eastAsia="宋体" w:cs="宋体"/>
                <w:color w:val="auto"/>
                <w:sz w:val="24"/>
                <w:highlight w:val="none"/>
              </w:rPr>
            </w:pPr>
          </w:p>
        </w:tc>
      </w:tr>
    </w:tbl>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▲开标一览表中投标价为符合招标文件要求的投标总价</w:t>
      </w:r>
      <w:r>
        <w:rPr>
          <w:rFonts w:hint="eastAsia" w:ascii="宋体" w:hAnsi="宋体" w:eastAsia="宋体" w:cs="宋体"/>
          <w:b/>
          <w:bCs/>
          <w:color w:val="auto"/>
          <w:kern w:val="0"/>
          <w:sz w:val="24"/>
          <w:szCs w:val="24"/>
          <w:highlight w:val="none"/>
        </w:rPr>
        <w:t>包干模式包括但不仅限于：产品制造、运输、装卸、保险、保管、安装、</w:t>
      </w:r>
      <w:r>
        <w:rPr>
          <w:rFonts w:hint="eastAsia" w:ascii="宋体" w:hAnsi="宋体" w:eastAsia="宋体" w:cs="宋体"/>
          <w:b/>
          <w:bCs/>
          <w:color w:val="auto"/>
          <w:kern w:val="0"/>
          <w:sz w:val="24"/>
          <w:szCs w:val="24"/>
          <w:highlight w:val="none"/>
          <w:lang w:val="en-US" w:eastAsia="zh-CN"/>
        </w:rPr>
        <w:t>设备基础（地台）建设、</w:t>
      </w:r>
      <w:r>
        <w:rPr>
          <w:rFonts w:hint="eastAsia" w:ascii="宋体" w:hAnsi="宋体" w:eastAsia="宋体" w:cs="宋体"/>
          <w:b/>
          <w:bCs/>
          <w:color w:val="auto"/>
          <w:kern w:val="0"/>
          <w:sz w:val="24"/>
          <w:szCs w:val="24"/>
          <w:highlight w:val="none"/>
        </w:rPr>
        <w:t>调试、验收、设备及材料费、第三方检测机构检测所产生的一切费用、成本、利润、税金、人员培训费、风险费、售后服务费、代理费等</w:t>
      </w:r>
      <w:r>
        <w:rPr>
          <w:rFonts w:hint="eastAsia" w:ascii="宋体" w:hAnsi="宋体" w:eastAsia="宋体" w:cs="宋体"/>
          <w:b/>
          <w:color w:val="auto"/>
          <w:sz w:val="24"/>
          <w:szCs w:val="24"/>
          <w:highlight w:val="none"/>
        </w:rPr>
        <w:t>、采购文件规定的其他应计入投标总价（或由中标供应商承担的其他费用）等全部工作所需的一切费用，和政策性文件规定及合同包含的所有风险、责任等各项全部费用并承担一切风险责任。</w:t>
      </w:r>
    </w:p>
    <w:p>
      <w:pPr>
        <w:pStyle w:val="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▲不提供此表格的将视为没有实质性响应招标文件。</w:t>
      </w:r>
    </w:p>
    <w:p>
      <w:pPr>
        <w:shd w:val="clear" w:color="auto" w:fill="FFFFFF"/>
        <w:snapToGrid w:val="0"/>
        <w:spacing w:line="360" w:lineRule="auto"/>
        <w:ind w:firstLine="480"/>
        <w:rPr>
          <w:rFonts w:hint="eastAsia" w:ascii="宋体" w:hAnsi="宋体" w:eastAsia="宋体" w:cs="宋体"/>
          <w:color w:val="auto"/>
          <w:kern w:val="0"/>
          <w:sz w:val="24"/>
          <w:highlight w:val="none"/>
          <w:lang w:val="zh-CN"/>
        </w:rPr>
      </w:pPr>
    </w:p>
    <w:p>
      <w:pPr>
        <w:shd w:val="clear" w:color="auto" w:fill="FFFFFF"/>
        <w:snapToGrid w:val="0"/>
        <w:spacing w:line="360" w:lineRule="auto"/>
        <w:ind w:firstLine="360" w:firstLineChars="150"/>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投标供应商名称（公章）:</w:t>
      </w: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法定代表人或授权代表人签字（或盖章）：</w:t>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u w:val="single"/>
          <w:lang w:val="zh-CN"/>
        </w:rPr>
        <w:t xml:space="preserve">                </w:t>
      </w: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highlight w:val="none"/>
        </w:rPr>
      </w:pPr>
    </w:p>
    <w:p>
      <w:pPr>
        <w:pageBreakBefore/>
        <w:shd w:val="clear" w:color="auto" w:fill="FFFFFF"/>
        <w:snapToGrid w:val="0"/>
        <w:spacing w:line="360" w:lineRule="auto"/>
        <w:ind w:firstLine="482" w:firstLineChars="200"/>
        <w:jc w:val="center"/>
        <w:outlineLvl w:val="2"/>
        <w:rPr>
          <w:rFonts w:hint="eastAsia" w:ascii="宋体" w:hAnsi="宋体" w:eastAsia="宋体" w:cs="宋体"/>
          <w:b/>
          <w:color w:val="auto"/>
          <w:sz w:val="24"/>
          <w:highlight w:val="none"/>
        </w:rPr>
      </w:pPr>
      <w:bookmarkStart w:id="125" w:name="_Toc233618992"/>
      <w:r>
        <w:rPr>
          <w:rFonts w:hint="eastAsia" w:ascii="宋体" w:hAnsi="宋体" w:eastAsia="宋体" w:cs="宋体"/>
          <w:b/>
          <w:bCs/>
          <w:color w:val="auto"/>
          <w:sz w:val="24"/>
          <w:highlight w:val="none"/>
        </w:rPr>
        <w:t>三、报价明细清单</w:t>
      </w:r>
      <w:bookmarkEnd w:id="125"/>
    </w:p>
    <w:tbl>
      <w:tblPr>
        <w:tblStyle w:val="17"/>
        <w:tblW w:w="915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28"/>
        <w:gridCol w:w="1808"/>
        <w:gridCol w:w="1233"/>
        <w:gridCol w:w="960"/>
        <w:gridCol w:w="839"/>
        <w:gridCol w:w="1124"/>
        <w:gridCol w:w="1167"/>
        <w:gridCol w:w="109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9" w:hRule="atLeast"/>
          <w:jc w:val="center"/>
        </w:trPr>
        <w:tc>
          <w:tcPr>
            <w:tcW w:w="928" w:type="dxa"/>
            <w:tcBorders>
              <w:top w:val="single" w:color="auto" w:sz="8" w:space="0"/>
              <w:left w:val="single" w:color="auto" w:sz="8"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序号</w:t>
            </w:r>
          </w:p>
        </w:tc>
        <w:tc>
          <w:tcPr>
            <w:tcW w:w="1808" w:type="dxa"/>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名称</w:t>
            </w:r>
          </w:p>
        </w:tc>
        <w:tc>
          <w:tcPr>
            <w:tcW w:w="1233" w:type="dxa"/>
            <w:tcBorders>
              <w:top w:val="single" w:color="auto" w:sz="8" w:space="0"/>
              <w:left w:val="single" w:color="auto" w:sz="2"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规格型号</w:t>
            </w:r>
          </w:p>
        </w:tc>
        <w:tc>
          <w:tcPr>
            <w:tcW w:w="960" w:type="dxa"/>
            <w:tcBorders>
              <w:top w:val="single" w:color="auto" w:sz="8" w:space="0"/>
              <w:left w:val="single" w:color="auto" w:sz="2"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单位</w:t>
            </w:r>
          </w:p>
        </w:tc>
        <w:tc>
          <w:tcPr>
            <w:tcW w:w="839" w:type="dxa"/>
            <w:tcBorders>
              <w:top w:val="single" w:color="auto" w:sz="8" w:space="0"/>
              <w:left w:val="single" w:color="auto" w:sz="4"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数量</w:t>
            </w:r>
          </w:p>
        </w:tc>
        <w:tc>
          <w:tcPr>
            <w:tcW w:w="1124" w:type="dxa"/>
            <w:tcBorders>
              <w:top w:val="single" w:color="auto" w:sz="8" w:space="0"/>
              <w:left w:val="single" w:color="auto" w:sz="2"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单价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kern w:val="0"/>
                <w:sz w:val="24"/>
                <w:szCs w:val="24"/>
                <w:lang w:bidi="ar"/>
              </w:rPr>
              <w:t>（元）</w:t>
            </w:r>
          </w:p>
        </w:tc>
        <w:tc>
          <w:tcPr>
            <w:tcW w:w="1167" w:type="dxa"/>
            <w:tcBorders>
              <w:top w:val="single" w:color="auto" w:sz="8" w:space="0"/>
              <w:left w:val="single" w:color="auto" w:sz="2" w:space="0"/>
              <w:bottom w:val="single" w:color="auto" w:sz="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总计</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kern w:val="0"/>
                <w:sz w:val="24"/>
                <w:szCs w:val="24"/>
                <w:lang w:bidi="ar"/>
              </w:rPr>
              <w:t>（元）</w:t>
            </w:r>
          </w:p>
        </w:tc>
        <w:tc>
          <w:tcPr>
            <w:tcW w:w="1091" w:type="dxa"/>
            <w:tcBorders>
              <w:top w:val="single" w:color="auto" w:sz="8" w:space="0"/>
              <w:left w:val="single" w:color="auto" w:sz="4" w:space="0"/>
              <w:bottom w:val="single" w:color="auto" w:sz="2"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45" w:hRule="atLeast"/>
          <w:jc w:val="center"/>
        </w:trPr>
        <w:tc>
          <w:tcPr>
            <w:tcW w:w="928" w:type="dxa"/>
            <w:tcBorders>
              <w:top w:val="single" w:color="auto" w:sz="2" w:space="0"/>
              <w:left w:val="single" w:color="auto" w:sz="8"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w:t>
            </w:r>
          </w:p>
        </w:tc>
        <w:tc>
          <w:tcPr>
            <w:tcW w:w="1808" w:type="dxa"/>
            <w:tcBorders>
              <w:top w:val="single" w:color="auto" w:sz="2"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eastAsia="宋体" w:cs="宋体"/>
                <w:b/>
                <w:color w:val="auto"/>
                <w:sz w:val="24"/>
                <w:szCs w:val="21"/>
              </w:rPr>
            </w:pPr>
          </w:p>
        </w:tc>
        <w:tc>
          <w:tcPr>
            <w:tcW w:w="1233" w:type="dxa"/>
            <w:tcBorders>
              <w:top w:val="single" w:color="auto" w:sz="2" w:space="0"/>
              <w:left w:val="single" w:color="auto" w:sz="2"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szCs w:val="21"/>
              </w:rPr>
            </w:pPr>
          </w:p>
        </w:tc>
        <w:tc>
          <w:tcPr>
            <w:tcW w:w="960" w:type="dxa"/>
            <w:tcBorders>
              <w:top w:val="single" w:color="auto" w:sz="2" w:space="0"/>
              <w:left w:val="single" w:color="auto" w:sz="2"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szCs w:val="21"/>
              </w:rPr>
            </w:pPr>
          </w:p>
        </w:tc>
        <w:tc>
          <w:tcPr>
            <w:tcW w:w="839" w:type="dxa"/>
            <w:tcBorders>
              <w:top w:val="single" w:color="auto" w:sz="2"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szCs w:val="21"/>
              </w:rPr>
            </w:pPr>
          </w:p>
        </w:tc>
        <w:tc>
          <w:tcPr>
            <w:tcW w:w="1124" w:type="dxa"/>
            <w:tcBorders>
              <w:top w:val="single" w:color="auto" w:sz="2" w:space="0"/>
              <w:left w:val="single" w:color="auto" w:sz="2"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szCs w:val="21"/>
              </w:rPr>
            </w:pPr>
          </w:p>
        </w:tc>
        <w:tc>
          <w:tcPr>
            <w:tcW w:w="1167" w:type="dxa"/>
            <w:tcBorders>
              <w:top w:val="single" w:color="auto" w:sz="2" w:space="0"/>
              <w:left w:val="single" w:color="auto" w:sz="2"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sz w:val="24"/>
                <w:szCs w:val="21"/>
              </w:rPr>
            </w:pPr>
          </w:p>
        </w:tc>
        <w:tc>
          <w:tcPr>
            <w:tcW w:w="1091" w:type="dxa"/>
            <w:tcBorders>
              <w:top w:val="single" w:color="auto" w:sz="2" w:space="0"/>
              <w:left w:val="single" w:color="auto" w:sz="4" w:space="0"/>
              <w:bottom w:val="single" w:color="auto" w:sz="4" w:space="0"/>
              <w:right w:val="single" w:color="auto" w:sz="8" w:space="0"/>
            </w:tcBorders>
            <w:noWrap w:val="0"/>
            <w:vAlign w:val="center"/>
          </w:tcPr>
          <w:p>
            <w:pPr>
              <w:widowControl/>
              <w:jc w:val="center"/>
              <w:textAlignment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tcBorders>
              <w:top w:val="single" w:color="auto" w:sz="4" w:space="0"/>
              <w:left w:val="single" w:color="auto" w:sz="8"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2</w:t>
            </w:r>
          </w:p>
        </w:tc>
        <w:tc>
          <w:tcPr>
            <w:tcW w:w="1808"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eastAsia="宋体" w:cs="宋体"/>
                <w:color w:val="auto"/>
                <w:sz w:val="24"/>
                <w:szCs w:val="21"/>
              </w:rPr>
            </w:pPr>
          </w:p>
        </w:tc>
        <w:tc>
          <w:tcPr>
            <w:tcW w:w="12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960"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2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67"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09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tcBorders>
              <w:top w:val="single" w:color="auto" w:sz="4" w:space="0"/>
              <w:left w:val="single" w:color="auto" w:sz="8"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3</w:t>
            </w:r>
          </w:p>
        </w:tc>
        <w:tc>
          <w:tcPr>
            <w:tcW w:w="1808"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eastAsia="宋体" w:cs="宋体"/>
                <w:color w:val="auto"/>
                <w:sz w:val="24"/>
                <w:szCs w:val="21"/>
              </w:rPr>
            </w:pPr>
          </w:p>
        </w:tc>
        <w:tc>
          <w:tcPr>
            <w:tcW w:w="12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960"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2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67"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09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tcBorders>
              <w:top w:val="single" w:color="auto" w:sz="4" w:space="0"/>
              <w:left w:val="single" w:color="auto" w:sz="8"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4</w:t>
            </w:r>
          </w:p>
        </w:tc>
        <w:tc>
          <w:tcPr>
            <w:tcW w:w="1808"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eastAsia="宋体" w:cs="宋体"/>
                <w:color w:val="auto"/>
                <w:sz w:val="24"/>
                <w:szCs w:val="21"/>
              </w:rPr>
            </w:pPr>
          </w:p>
        </w:tc>
        <w:tc>
          <w:tcPr>
            <w:tcW w:w="12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960"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2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67"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09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tcBorders>
              <w:top w:val="single" w:color="auto" w:sz="4" w:space="0"/>
              <w:left w:val="single" w:color="auto" w:sz="8" w:space="0"/>
              <w:bottom w:val="single" w:color="auto" w:sz="4"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5</w:t>
            </w:r>
          </w:p>
        </w:tc>
        <w:tc>
          <w:tcPr>
            <w:tcW w:w="1808" w:type="dxa"/>
            <w:tcBorders>
              <w:top w:val="single" w:color="auto" w:sz="4" w:space="0"/>
              <w:left w:val="single" w:color="auto" w:sz="2" w:space="0"/>
              <w:bottom w:val="single" w:color="auto" w:sz="4" w:space="0"/>
              <w:right w:val="single" w:color="auto" w:sz="2" w:space="0"/>
            </w:tcBorders>
            <w:noWrap w:val="0"/>
            <w:vAlign w:val="top"/>
          </w:tcPr>
          <w:p>
            <w:pPr>
              <w:snapToGrid w:val="0"/>
              <w:spacing w:line="360" w:lineRule="auto"/>
              <w:rPr>
                <w:rFonts w:hint="eastAsia" w:ascii="宋体" w:hAnsi="宋体" w:eastAsia="宋体" w:cs="宋体"/>
                <w:color w:val="auto"/>
                <w:sz w:val="24"/>
                <w:szCs w:val="21"/>
              </w:rPr>
            </w:pPr>
          </w:p>
        </w:tc>
        <w:tc>
          <w:tcPr>
            <w:tcW w:w="12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960"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2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67"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09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tcBorders>
              <w:top w:val="single" w:color="auto" w:sz="4" w:space="0"/>
              <w:left w:val="single" w:color="auto" w:sz="8"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6</w:t>
            </w:r>
          </w:p>
        </w:tc>
        <w:tc>
          <w:tcPr>
            <w:tcW w:w="1808" w:type="dxa"/>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left"/>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12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960"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24"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167"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p>
        </w:tc>
        <w:tc>
          <w:tcPr>
            <w:tcW w:w="1091"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eastAsia="宋体" w:cs="宋体"/>
                <w:color w:val="auto"/>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928" w:type="dxa"/>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szCs w:val="21"/>
              </w:rPr>
            </w:pPr>
            <w:r>
              <w:rPr>
                <w:rFonts w:hint="eastAsia" w:ascii="宋体" w:hAnsi="宋体" w:eastAsia="宋体" w:cs="宋体"/>
                <w:color w:val="auto"/>
                <w:sz w:val="24"/>
                <w:szCs w:val="21"/>
              </w:rPr>
              <w:t>总计</w:t>
            </w:r>
          </w:p>
        </w:tc>
        <w:tc>
          <w:tcPr>
            <w:tcW w:w="8222" w:type="dxa"/>
            <w:gridSpan w:val="7"/>
            <w:tcBorders>
              <w:top w:val="single" w:color="auto" w:sz="2" w:space="0"/>
              <w:left w:val="single" w:color="auto" w:sz="4" w:space="0"/>
              <w:bottom w:val="single" w:color="auto" w:sz="2"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大写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928" w:type="dxa"/>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eastAsia="宋体" w:cs="宋体"/>
                <w:color w:val="auto"/>
                <w:sz w:val="24"/>
                <w:szCs w:val="21"/>
              </w:rPr>
            </w:pPr>
          </w:p>
        </w:tc>
        <w:tc>
          <w:tcPr>
            <w:tcW w:w="8222" w:type="dxa"/>
            <w:gridSpan w:val="7"/>
            <w:tcBorders>
              <w:top w:val="single" w:color="auto" w:sz="2"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小写</w:t>
            </w:r>
          </w:p>
        </w:tc>
      </w:tr>
    </w:tbl>
    <w:p>
      <w:pPr>
        <w:pStyle w:val="7"/>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可根据具体情况调整报价明细清单格式，但应包括项目涉及的一切相关税、费等费用</w:t>
      </w:r>
      <w:r>
        <w:rPr>
          <w:rFonts w:hint="eastAsia" w:ascii="宋体" w:hAnsi="宋体" w:eastAsia="宋体" w:cs="宋体"/>
          <w:color w:val="auto"/>
          <w:sz w:val="24"/>
          <w:highlight w:val="none"/>
          <w:lang w:eastAsia="zh-CN"/>
        </w:rPr>
        <w:t>；</w:t>
      </w:r>
    </w:p>
    <w:p>
      <w:pPr>
        <w:pStyle w:val="7"/>
        <w:snapToGrid w:val="0"/>
        <w:spacing w:line="360" w:lineRule="auto"/>
        <w:ind w:firstLine="480" w:firstLineChars="200"/>
        <w:rPr>
          <w:rFonts w:hint="eastAsia" w:ascii="宋体" w:hAnsi="宋体" w:eastAsia="宋体" w:cs="宋体"/>
          <w:color w:val="FF0000"/>
          <w:sz w:val="24"/>
          <w:highlight w:val="none"/>
          <w:lang w:eastAsia="zh-CN"/>
        </w:rPr>
      </w:pPr>
    </w:p>
    <w:p>
      <w:pPr>
        <w:pStyle w:val="7"/>
        <w:snapToGrid w:val="0"/>
        <w:spacing w:line="360" w:lineRule="auto"/>
        <w:ind w:firstLine="480" w:firstLineChars="200"/>
        <w:rPr>
          <w:rFonts w:hint="eastAsia" w:ascii="宋体" w:hAnsi="宋体" w:eastAsia="宋体" w:cs="宋体"/>
          <w:color w:val="auto"/>
          <w:sz w:val="24"/>
          <w:highlight w:val="none"/>
        </w:rPr>
      </w:pPr>
    </w:p>
    <w:p>
      <w:pPr>
        <w:pStyle w:val="7"/>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投标供应商名称(公章)：</w:t>
      </w:r>
    </w:p>
    <w:p>
      <w:pPr>
        <w:pStyle w:val="7"/>
        <w:snapToGrid w:val="0"/>
        <w:spacing w:line="360" w:lineRule="auto"/>
        <w:ind w:firstLine="480" w:firstLineChars="200"/>
        <w:rPr>
          <w:rFonts w:hint="eastAsia" w:ascii="宋体" w:hAnsi="宋体" w:eastAsia="宋体" w:cs="宋体"/>
          <w:color w:val="auto"/>
          <w:sz w:val="24"/>
          <w:highlight w:val="none"/>
        </w:rPr>
      </w:pPr>
    </w:p>
    <w:p>
      <w:pPr>
        <w:pStyle w:val="7"/>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29"/>
        <w:snapToGrid w:val="0"/>
        <w:spacing w:line="360" w:lineRule="auto"/>
        <w:ind w:left="360" w:firstLine="240" w:firstLineChars="100"/>
        <w:jc w:val="center"/>
        <w:rPr>
          <w:rFonts w:hint="eastAsia" w:ascii="宋体" w:hAnsi="宋体" w:eastAsia="宋体" w:cs="宋体"/>
          <w:color w:val="auto"/>
          <w:sz w:val="24"/>
          <w:szCs w:val="24"/>
          <w:highlight w:val="none"/>
        </w:rPr>
      </w:pPr>
    </w:p>
    <w:p>
      <w:pPr>
        <w:pStyle w:val="2"/>
        <w:snapToGrid w:val="0"/>
        <w:rPr>
          <w:rFonts w:hint="eastAsia" w:ascii="宋体" w:hAnsi="宋体" w:eastAsia="宋体" w:cs="宋体"/>
          <w:color w:val="auto"/>
          <w:highlight w:val="none"/>
        </w:rPr>
      </w:pPr>
      <w:r>
        <w:rPr>
          <w:rFonts w:hint="eastAsia" w:ascii="宋体" w:hAnsi="宋体" w:eastAsia="宋体" w:cs="宋体"/>
          <w:color w:val="auto"/>
          <w:kern w:val="0"/>
          <w:sz w:val="24"/>
          <w:highlight w:val="none"/>
        </w:rPr>
        <w:br w:type="page"/>
      </w:r>
      <w:bookmarkStart w:id="126" w:name="_Toc354996708"/>
      <w:bookmarkStart w:id="127" w:name="_Toc33194408"/>
      <w:r>
        <w:rPr>
          <w:rFonts w:hint="eastAsia" w:ascii="宋体" w:hAnsi="宋体" w:eastAsia="宋体" w:cs="宋体"/>
          <w:color w:val="auto"/>
          <w:highlight w:val="none"/>
        </w:rPr>
        <w:t>商务</w:t>
      </w:r>
      <w:bookmarkEnd w:id="126"/>
      <w:bookmarkStart w:id="128" w:name="_Toc354996709"/>
      <w:r>
        <w:rPr>
          <w:rFonts w:hint="eastAsia" w:ascii="宋体" w:hAnsi="宋体" w:eastAsia="宋体" w:cs="宋体"/>
          <w:color w:val="auto"/>
          <w:highlight w:val="none"/>
        </w:rPr>
        <w:t>技术文件</w:t>
      </w:r>
      <w:bookmarkEnd w:id="127"/>
    </w:p>
    <w:p>
      <w:pPr>
        <w:shd w:val="clear" w:color="auto" w:fill="FFFFFF"/>
        <w:snapToGrid w:val="0"/>
        <w:spacing w:line="360" w:lineRule="auto"/>
        <w:jc w:val="center"/>
        <w:rPr>
          <w:rFonts w:hint="eastAsia" w:ascii="宋体" w:hAnsi="宋体" w:eastAsia="宋体" w:cs="宋体"/>
          <w:b/>
          <w:color w:val="auto"/>
          <w:kern w:val="0"/>
          <w:sz w:val="28"/>
          <w:szCs w:val="28"/>
          <w:highlight w:val="none"/>
        </w:rPr>
      </w:pPr>
      <w:bookmarkStart w:id="129" w:name="_Toc27129"/>
      <w:bookmarkStart w:id="130" w:name="_Toc31837"/>
      <w:bookmarkStart w:id="131" w:name="_Toc3604"/>
      <w:bookmarkStart w:id="132" w:name="_Toc20721"/>
      <w:bookmarkStart w:id="133" w:name="_Toc25554"/>
      <w:bookmarkStart w:id="134" w:name="_Toc7803"/>
      <w:bookmarkStart w:id="135" w:name="_Toc13194"/>
      <w:bookmarkStart w:id="136" w:name="_Toc7049"/>
      <w:bookmarkStart w:id="137" w:name="_Toc10347"/>
      <w:bookmarkStart w:id="138" w:name="_Toc20650"/>
      <w:bookmarkStart w:id="139" w:name="_Toc13349"/>
      <w:r>
        <w:rPr>
          <w:rFonts w:hint="eastAsia" w:ascii="宋体" w:hAnsi="宋体" w:eastAsia="宋体" w:cs="宋体"/>
          <w:b/>
          <w:color w:val="auto"/>
          <w:kern w:val="0"/>
          <w:sz w:val="28"/>
          <w:szCs w:val="28"/>
          <w:highlight w:val="none"/>
        </w:rPr>
        <w:t>目录</w:t>
      </w:r>
      <w:bookmarkEnd w:id="129"/>
      <w:bookmarkEnd w:id="130"/>
      <w:bookmarkEnd w:id="131"/>
      <w:bookmarkEnd w:id="132"/>
      <w:bookmarkEnd w:id="133"/>
      <w:bookmarkEnd w:id="134"/>
      <w:bookmarkEnd w:id="135"/>
      <w:bookmarkEnd w:id="136"/>
      <w:bookmarkEnd w:id="137"/>
      <w:bookmarkEnd w:id="138"/>
      <w:bookmarkEnd w:id="139"/>
    </w:p>
    <w:p>
      <w:pPr>
        <w:numPr>
          <w:ilvl w:val="0"/>
          <w:numId w:val="9"/>
        </w:numPr>
        <w:snapToGrid w:val="0"/>
        <w:spacing w:line="360" w:lineRule="auto"/>
        <w:ind w:left="425" w:hanging="425"/>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法定代表人授权委托书；</w:t>
      </w:r>
      <w:r>
        <w:rPr>
          <w:rFonts w:hint="eastAsia" w:ascii="宋体" w:hAnsi="宋体" w:eastAsia="宋体" w:cs="宋体"/>
          <w:color w:val="auto"/>
          <w:kern w:val="0"/>
          <w:sz w:val="24"/>
          <w:highlight w:val="none"/>
        </w:rPr>
        <w:t>…………………………………………………（页码）</w:t>
      </w:r>
    </w:p>
    <w:p>
      <w:pPr>
        <w:numPr>
          <w:ilvl w:val="0"/>
          <w:numId w:val="9"/>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法定代表人及授权委托人的身份证(复印件加盖公章)…………………（页码）</w:t>
      </w:r>
    </w:p>
    <w:p>
      <w:pPr>
        <w:numPr>
          <w:ilvl w:val="0"/>
          <w:numId w:val="9"/>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资质文件（如有）…………………………………………………………（页码）</w:t>
      </w:r>
    </w:p>
    <w:p>
      <w:pPr>
        <w:numPr>
          <w:ilvl w:val="0"/>
          <w:numId w:val="9"/>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投标产品配置表……………………………………………………………（页码）</w:t>
      </w:r>
    </w:p>
    <w:p>
      <w:pPr>
        <w:numPr>
          <w:ilvl w:val="0"/>
          <w:numId w:val="9"/>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w:t>
      </w:r>
      <w:r>
        <w:rPr>
          <w:rFonts w:hint="eastAsia" w:ascii="宋体" w:hAnsi="宋体" w:eastAsia="宋体" w:cs="宋体"/>
          <w:color w:val="auto"/>
          <w:kern w:val="0"/>
          <w:sz w:val="24"/>
          <w:highlight w:val="none"/>
        </w:rPr>
        <w:t>…………………………………………………………（页码）</w:t>
      </w:r>
    </w:p>
    <w:p>
      <w:pPr>
        <w:numPr>
          <w:ilvl w:val="0"/>
          <w:numId w:val="9"/>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投标供应商项目业绩一览表</w:t>
      </w:r>
      <w:r>
        <w:rPr>
          <w:rFonts w:hint="eastAsia" w:ascii="宋体" w:hAnsi="宋体" w:eastAsia="宋体" w:cs="宋体"/>
          <w:color w:val="auto"/>
          <w:kern w:val="0"/>
          <w:sz w:val="24"/>
          <w:highlight w:val="none"/>
        </w:rPr>
        <w:t>………………………………………………（页码）</w:t>
      </w:r>
    </w:p>
    <w:p>
      <w:pPr>
        <w:numPr>
          <w:ilvl w:val="0"/>
          <w:numId w:val="9"/>
        </w:numPr>
        <w:snapToGrid w:val="0"/>
        <w:spacing w:line="360" w:lineRule="auto"/>
        <w:ind w:left="425" w:hanging="425"/>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投标供应商针对本项目的方案</w:t>
      </w:r>
      <w:r>
        <w:rPr>
          <w:rFonts w:hint="eastAsia" w:ascii="宋体" w:hAnsi="宋体" w:eastAsia="宋体" w:cs="宋体"/>
          <w:color w:val="auto"/>
          <w:kern w:val="0"/>
          <w:sz w:val="24"/>
          <w:highlight w:val="none"/>
        </w:rPr>
        <w:t>……………………………………………（页码）</w:t>
      </w:r>
    </w:p>
    <w:p>
      <w:pPr>
        <w:numPr>
          <w:ilvl w:val="0"/>
          <w:numId w:val="9"/>
        </w:numPr>
        <w:snapToGrid w:val="0"/>
        <w:spacing w:line="360" w:lineRule="auto"/>
        <w:ind w:left="425" w:hanging="425"/>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投标方案、优惠和承诺、维护方案、售后服务方案</w:t>
      </w:r>
      <w:r>
        <w:rPr>
          <w:rFonts w:hint="eastAsia" w:ascii="宋体" w:hAnsi="宋体" w:eastAsia="宋体" w:cs="宋体"/>
          <w:color w:val="auto"/>
          <w:kern w:val="0"/>
          <w:sz w:val="24"/>
          <w:highlight w:val="none"/>
        </w:rPr>
        <w:t>……………………（页码）</w:t>
      </w:r>
    </w:p>
    <w:p>
      <w:pPr>
        <w:pStyle w:val="7"/>
        <w:numPr>
          <w:ilvl w:val="0"/>
          <w:numId w:val="9"/>
        </w:numPr>
        <w:snapToGrid w:val="0"/>
        <w:spacing w:line="36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r>
        <w:rPr>
          <w:rFonts w:hint="eastAsia" w:ascii="宋体" w:hAnsi="宋体" w:eastAsia="宋体" w:cs="宋体"/>
          <w:color w:val="auto"/>
          <w:kern w:val="0"/>
          <w:sz w:val="24"/>
          <w:highlight w:val="none"/>
        </w:rPr>
        <w:t>……………………………………………………………………（页码）</w:t>
      </w:r>
    </w:p>
    <w:p>
      <w:pPr>
        <w:pStyle w:val="7"/>
        <w:numPr>
          <w:ilvl w:val="0"/>
          <w:numId w:val="9"/>
        </w:numPr>
        <w:snapToGrid w:val="0"/>
        <w:spacing w:line="36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其他必要提供的资料…………………………………</w:t>
      </w:r>
      <w:r>
        <w:rPr>
          <w:rFonts w:hint="eastAsia" w:ascii="宋体" w:hAnsi="宋体" w:eastAsia="宋体" w:cs="宋体"/>
          <w:color w:val="auto"/>
          <w:kern w:val="0"/>
          <w:sz w:val="24"/>
          <w:highlight w:val="none"/>
        </w:rPr>
        <w:t>…</w:t>
      </w:r>
      <w:r>
        <w:rPr>
          <w:rFonts w:hint="eastAsia" w:ascii="宋体" w:hAnsi="宋体" w:eastAsia="宋体" w:cs="宋体"/>
          <w:color w:val="auto"/>
          <w:sz w:val="24"/>
          <w:szCs w:val="24"/>
          <w:highlight w:val="none"/>
        </w:rPr>
        <w:t>…………………（页码）</w:t>
      </w:r>
    </w:p>
    <w:p>
      <w:pPr>
        <w:pStyle w:val="7"/>
        <w:numPr>
          <w:ilvl w:val="0"/>
          <w:numId w:val="9"/>
        </w:numPr>
        <w:snapToGrid w:val="0"/>
        <w:spacing w:line="360" w:lineRule="auto"/>
        <w:ind w:left="425" w:hanging="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投标供应商认为需要的其他文件资料……………………………………（页码）</w:t>
      </w:r>
    </w:p>
    <w:p>
      <w:pPr>
        <w:shd w:val="clear" w:color="auto" w:fill="FFFFFF"/>
        <w:snapToGrid w:val="0"/>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注：以上目录是编制投标技术文件的基本格式要求，各投标供应商可根据自身情况进一步细化。</w:t>
      </w:r>
    </w:p>
    <w:p>
      <w:pPr>
        <w:pStyle w:val="7"/>
        <w:snapToGrid w:val="0"/>
        <w:spacing w:line="360" w:lineRule="auto"/>
        <w:ind w:firstLine="480" w:firstLineChars="200"/>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color w:val="auto"/>
          <w:sz w:val="24"/>
          <w:highlight w:val="none"/>
        </w:rPr>
        <w:br w:type="page"/>
      </w:r>
      <w:bookmarkEnd w:id="128"/>
      <w:r>
        <w:rPr>
          <w:rFonts w:hint="eastAsia" w:ascii="宋体" w:hAnsi="宋体" w:eastAsia="宋体" w:cs="宋体"/>
          <w:b/>
          <w:color w:val="auto"/>
          <w:sz w:val="32"/>
          <w:szCs w:val="32"/>
          <w:highlight w:val="none"/>
          <w:lang w:val="zh-CN"/>
        </w:rPr>
        <w:t>一、法定代表人授权委托书</w:t>
      </w:r>
    </w:p>
    <w:p>
      <w:pPr>
        <w:shd w:val="clear" w:color="auto" w:fill="FFFFFF"/>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苍南县数据管理发展有限公司</w:t>
      </w:r>
    </w:p>
    <w:p>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温州同筑工程管理有限公司</w:t>
      </w:r>
      <w:r>
        <w:rPr>
          <w:rFonts w:hint="eastAsia" w:ascii="宋体" w:hAnsi="宋体" w:eastAsia="宋体" w:cs="宋体"/>
          <w:color w:val="auto"/>
          <w:sz w:val="24"/>
          <w:highlight w:val="none"/>
        </w:rPr>
        <w:t>：</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苍南县政务无人机一体化平台项目</w:t>
      </w:r>
      <w:r>
        <w:rPr>
          <w:rFonts w:hint="eastAsia" w:ascii="宋体" w:hAnsi="宋体" w:eastAsia="宋体" w:cs="宋体"/>
          <w:color w:val="auto"/>
          <w:sz w:val="24"/>
          <w:highlight w:val="none"/>
        </w:rPr>
        <w:t>(编号：</w:t>
      </w:r>
      <w:r>
        <w:rPr>
          <w:rFonts w:hint="eastAsia" w:ascii="宋体" w:hAnsi="宋体" w:cs="宋体"/>
          <w:color w:val="auto"/>
          <w:sz w:val="24"/>
          <w:highlight w:val="none"/>
          <w:lang w:eastAsia="zh-CN"/>
        </w:rPr>
        <w:t xml:space="preserve"> </w:t>
      </w:r>
      <w:r>
        <w:rPr>
          <w:rFonts w:hint="eastAsia" w:ascii="宋体" w:hAnsi="宋体" w:eastAsia="宋体" w:cs="宋体"/>
          <w:color w:val="auto"/>
          <w:sz w:val="24"/>
          <w:highlight w:val="none"/>
        </w:rPr>
        <w:t>)政府采购投标的一切事项，若中标则全权代表本公司签订相关合同，</w:t>
      </w:r>
      <w:r>
        <w:rPr>
          <w:rFonts w:hint="eastAsia" w:ascii="宋体" w:hAnsi="宋体" w:eastAsia="宋体" w:cs="宋体"/>
          <w:color w:val="auto"/>
          <w:kern w:val="0"/>
          <w:sz w:val="24"/>
          <w:highlight w:val="none"/>
          <w:lang w:val="zh-CN"/>
        </w:rPr>
        <w:t>并负责处理合同履行等事宜。</w:t>
      </w:r>
    </w:p>
    <w:p>
      <w:pPr>
        <w:shd w:val="clear" w:color="auto" w:fill="FFFFFF"/>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hd w:val="clear" w:color="auto" w:fill="FFFFFF"/>
        <w:snapToGrid w:val="0"/>
        <w:spacing w:line="360" w:lineRule="auto"/>
        <w:rPr>
          <w:rFonts w:hint="eastAsia" w:ascii="宋体" w:hAnsi="宋体" w:eastAsia="宋体" w:cs="宋体"/>
          <w:color w:val="auto"/>
          <w:kern w:val="0"/>
          <w:sz w:val="24"/>
          <w:highlight w:val="none"/>
        </w:rPr>
      </w:pPr>
    </w:p>
    <w:p>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投标供应商名称(公章)：</w:t>
      </w:r>
    </w:p>
    <w:p>
      <w:pPr>
        <w:shd w:val="clear" w:color="auto" w:fill="FFFFFF"/>
        <w:snapToGrid w:val="0"/>
        <w:spacing w:line="360" w:lineRule="auto"/>
        <w:ind w:left="4800" w:hanging="4800" w:hangingChars="20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szCs w:val="28"/>
          <w:highlight w:val="none"/>
        </w:rPr>
        <w:t>法定代表人或授权代表人签字（或盖章）</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color="auto" w:fill="FFFFFF"/>
        <w:snapToGrid w:val="0"/>
        <w:spacing w:line="360" w:lineRule="auto"/>
        <w:ind w:right="480"/>
        <w:jc w:val="center"/>
        <w:rPr>
          <w:rFonts w:hint="eastAsia" w:ascii="宋体" w:hAnsi="宋体" w:eastAsia="宋体" w:cs="宋体"/>
          <w:b/>
          <w:bCs/>
          <w:color w:val="auto"/>
          <w:kern w:val="0"/>
          <w:sz w:val="24"/>
          <w:highlight w:val="none"/>
          <w:lang w:val="zh-CN"/>
        </w:rPr>
      </w:pPr>
    </w:p>
    <w:p>
      <w:pPr>
        <w:shd w:val="clear" w:color="auto" w:fill="FFFFFF"/>
        <w:snapToGrid w:val="0"/>
        <w:spacing w:line="360" w:lineRule="auto"/>
        <w:ind w:firstLine="482" w:firstLineChars="200"/>
        <w:rPr>
          <w:rFonts w:hint="eastAsia" w:ascii="宋体" w:hAnsi="宋体" w:eastAsia="宋体" w:cs="宋体"/>
          <w:b/>
          <w:bCs/>
          <w:color w:val="auto"/>
          <w:kern w:val="0"/>
          <w:sz w:val="24"/>
          <w:highlight w:val="none"/>
          <w:lang w:val="zh-CN"/>
        </w:rPr>
      </w:pPr>
    </w:p>
    <w:p>
      <w:pPr>
        <w:pStyle w:val="7"/>
        <w:snapToGrid w:val="0"/>
        <w:spacing w:line="360" w:lineRule="auto"/>
        <w:ind w:firstLine="643" w:firstLineChars="200"/>
        <w:jc w:val="left"/>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二、法定代表人及授权代表人的身份证 (复印件加盖公章)</w:t>
      </w:r>
    </w:p>
    <w:p>
      <w:pPr>
        <w:shd w:val="clear" w:color="auto" w:fill="FFFFFF"/>
        <w:snapToGrid w:val="0"/>
        <w:spacing w:line="360" w:lineRule="auto"/>
        <w:ind w:right="480"/>
        <w:jc w:val="center"/>
        <w:rPr>
          <w:rFonts w:hint="eastAsia" w:ascii="宋体" w:hAnsi="宋体" w:eastAsia="宋体" w:cs="宋体"/>
          <w:b/>
          <w:bCs/>
          <w:color w:val="auto"/>
          <w:kern w:val="0"/>
          <w:sz w:val="24"/>
          <w:highlight w:val="none"/>
          <w:lang w:val="zh-CN"/>
        </w:rPr>
      </w:pPr>
    </w:p>
    <w:p>
      <w:pPr>
        <w:pStyle w:val="2"/>
        <w:rPr>
          <w:rFonts w:hint="eastAsia" w:ascii="宋体" w:hAnsi="宋体" w:eastAsia="宋体" w:cs="宋体"/>
          <w:b w:val="0"/>
          <w:bCs/>
          <w:color w:val="auto"/>
          <w:kern w:val="0"/>
          <w:sz w:val="24"/>
          <w:highlight w:val="none"/>
          <w:lang w:val="zh-CN"/>
        </w:rPr>
      </w:pPr>
    </w:p>
    <w:p>
      <w:pPr>
        <w:rPr>
          <w:rFonts w:hint="eastAsia" w:ascii="宋体" w:hAnsi="宋体" w:eastAsia="宋体" w:cs="宋体"/>
          <w:b/>
          <w:bCs/>
          <w:color w:val="auto"/>
          <w:kern w:val="0"/>
          <w:sz w:val="24"/>
          <w:highlight w:val="none"/>
          <w:lang w:val="zh-CN"/>
        </w:rPr>
      </w:pPr>
    </w:p>
    <w:p>
      <w:pPr>
        <w:pStyle w:val="2"/>
        <w:rPr>
          <w:rFonts w:hint="eastAsia" w:ascii="宋体" w:hAnsi="宋体" w:eastAsia="宋体" w:cs="宋体"/>
          <w:color w:val="auto"/>
          <w:highlight w:val="none"/>
          <w:lang w:val="zh-CN"/>
        </w:rPr>
      </w:pPr>
    </w:p>
    <w:p>
      <w:pPr>
        <w:shd w:val="clear" w:color="auto" w:fill="FFFFFF"/>
        <w:snapToGrid w:val="0"/>
        <w:spacing w:line="360" w:lineRule="auto"/>
        <w:ind w:right="480"/>
        <w:rPr>
          <w:rFonts w:hint="eastAsia" w:ascii="宋体" w:hAnsi="宋体" w:eastAsia="宋体" w:cs="宋体"/>
          <w:b/>
          <w:bCs/>
          <w:color w:val="auto"/>
          <w:kern w:val="0"/>
          <w:sz w:val="24"/>
          <w:highlight w:val="none"/>
          <w:lang w:val="zh-CN"/>
        </w:rPr>
      </w:pPr>
    </w:p>
    <w:p>
      <w:pPr>
        <w:pStyle w:val="7"/>
        <w:snapToGrid w:val="0"/>
        <w:spacing w:line="360" w:lineRule="auto"/>
        <w:ind w:firstLine="2891" w:firstLineChars="900"/>
        <w:jc w:val="left"/>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 xml:space="preserve">三、资质文件（如有） </w:t>
      </w:r>
    </w:p>
    <w:p>
      <w:pPr>
        <w:snapToGrid w:val="0"/>
        <w:spacing w:line="360" w:lineRule="auto"/>
        <w:rPr>
          <w:rFonts w:hint="eastAsia" w:ascii="宋体" w:hAnsi="宋体" w:eastAsia="宋体" w:cs="宋体"/>
          <w:b/>
          <w:color w:val="auto"/>
          <w:kern w:val="0"/>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autoSpaceDE w:val="0"/>
        <w:autoSpaceDN w:val="0"/>
        <w:adjustRightInd w:val="0"/>
        <w:spacing w:line="440" w:lineRule="atLeast"/>
        <w:ind w:firstLine="3413"/>
        <w:outlineLvl w:val="0"/>
        <w:rPr>
          <w:rFonts w:hint="eastAsia" w:ascii="宋体" w:hAnsi="宋体" w:eastAsia="宋体" w:cs="宋体"/>
          <w:b/>
          <w:color w:val="auto"/>
          <w:sz w:val="32"/>
          <w:szCs w:val="32"/>
          <w:highlight w:val="none"/>
          <w:lang w:val="zh-CN"/>
        </w:rPr>
      </w:pPr>
    </w:p>
    <w:p>
      <w:pPr>
        <w:autoSpaceDE w:val="0"/>
        <w:autoSpaceDN w:val="0"/>
        <w:adjustRightInd w:val="0"/>
        <w:spacing w:line="440" w:lineRule="atLeast"/>
        <w:ind w:firstLine="3413"/>
        <w:outlineLvl w:val="0"/>
        <w:rPr>
          <w:rFonts w:hint="eastAsia" w:ascii="宋体" w:hAnsi="宋体" w:eastAsia="宋体" w:cs="宋体"/>
          <w:b/>
          <w:color w:val="auto"/>
          <w:sz w:val="32"/>
          <w:szCs w:val="32"/>
          <w:highlight w:val="none"/>
          <w:lang w:val="zh-CN"/>
        </w:rPr>
      </w:pPr>
    </w:p>
    <w:p>
      <w:pPr>
        <w:autoSpaceDE w:val="0"/>
        <w:autoSpaceDN w:val="0"/>
        <w:adjustRightInd w:val="0"/>
        <w:spacing w:line="440" w:lineRule="atLeast"/>
        <w:ind w:firstLine="3413"/>
        <w:outlineLvl w:val="0"/>
        <w:rPr>
          <w:rFonts w:hint="eastAsia" w:ascii="宋体" w:hAnsi="宋体" w:eastAsia="宋体" w:cs="宋体"/>
          <w:b/>
          <w:color w:val="auto"/>
          <w:sz w:val="32"/>
          <w:szCs w:val="32"/>
          <w:highlight w:val="none"/>
          <w:lang w:val="zh-CN"/>
        </w:rPr>
      </w:pPr>
    </w:p>
    <w:p>
      <w:pPr>
        <w:pStyle w:val="7"/>
        <w:snapToGrid w:val="0"/>
        <w:spacing w:line="360" w:lineRule="auto"/>
        <w:ind w:firstLine="643" w:firstLineChars="200"/>
        <w:jc w:val="center"/>
        <w:outlineLvl w:val="2"/>
        <w:rPr>
          <w:rFonts w:hint="eastAsia" w:ascii="宋体" w:hAnsi="宋体" w:eastAsia="宋体" w:cs="宋体"/>
          <w:b/>
          <w:color w:val="auto"/>
          <w:sz w:val="32"/>
          <w:szCs w:val="32"/>
          <w:highlight w:val="none"/>
        </w:rPr>
      </w:pPr>
    </w:p>
    <w:p>
      <w:pPr>
        <w:pStyle w:val="7"/>
        <w:snapToGrid w:val="0"/>
        <w:spacing w:line="360" w:lineRule="auto"/>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rPr>
        <w:t>四、</w:t>
      </w:r>
      <w:r>
        <w:rPr>
          <w:rFonts w:hint="eastAsia" w:ascii="宋体" w:hAnsi="宋体" w:eastAsia="宋体" w:cs="宋体"/>
          <w:b/>
          <w:color w:val="auto"/>
          <w:sz w:val="32"/>
          <w:szCs w:val="32"/>
          <w:highlight w:val="none"/>
          <w:lang w:val="zh-CN"/>
        </w:rPr>
        <w:t>投标产品配置表</w:t>
      </w:r>
    </w:p>
    <w:p>
      <w:pPr>
        <w:spacing w:line="400" w:lineRule="exact"/>
        <w:jc w:val="left"/>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采购单位：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b/>
          <w:color w:val="auto"/>
          <w:sz w:val="24"/>
          <w:highlight w:val="none"/>
        </w:rPr>
        <w:t xml:space="preserve"> 项目编号： </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38"/>
        <w:gridCol w:w="1953"/>
        <w:gridCol w:w="1756"/>
        <w:gridCol w:w="1582"/>
        <w:gridCol w:w="1289"/>
        <w:gridCol w:w="14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53"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货物名称</w:t>
            </w:r>
          </w:p>
        </w:tc>
        <w:tc>
          <w:tcPr>
            <w:tcW w:w="1756"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品牌及产地</w:t>
            </w:r>
          </w:p>
        </w:tc>
        <w:tc>
          <w:tcPr>
            <w:tcW w:w="1582"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主要型号</w:t>
            </w:r>
          </w:p>
        </w:tc>
        <w:tc>
          <w:tcPr>
            <w:tcW w:w="1289"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471" w:type="dxa"/>
            <w:noWrap w:val="0"/>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bCs/>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1038" w:type="dxa"/>
            <w:noWrap w:val="0"/>
            <w:vAlign w:val="center"/>
          </w:tcPr>
          <w:p>
            <w:pPr>
              <w:jc w:val="center"/>
              <w:rPr>
                <w:rFonts w:hint="eastAsia" w:ascii="宋体" w:hAnsi="宋体" w:eastAsia="宋体" w:cs="宋体"/>
                <w:color w:val="auto"/>
                <w:sz w:val="24"/>
                <w:highlight w:val="none"/>
              </w:rPr>
            </w:pPr>
          </w:p>
        </w:tc>
        <w:tc>
          <w:tcPr>
            <w:tcW w:w="1953" w:type="dxa"/>
            <w:noWrap w:val="0"/>
            <w:vAlign w:val="center"/>
          </w:tcPr>
          <w:p>
            <w:pPr>
              <w:spacing w:line="340" w:lineRule="exact"/>
              <w:jc w:val="center"/>
              <w:rPr>
                <w:rFonts w:hint="eastAsia" w:ascii="宋体" w:hAnsi="宋体" w:eastAsia="宋体" w:cs="宋体"/>
                <w:b/>
                <w:color w:val="auto"/>
                <w:sz w:val="24"/>
                <w:highlight w:val="none"/>
              </w:rPr>
            </w:pPr>
          </w:p>
        </w:tc>
        <w:tc>
          <w:tcPr>
            <w:tcW w:w="1756" w:type="dxa"/>
            <w:noWrap w:val="0"/>
            <w:vAlign w:val="top"/>
          </w:tcPr>
          <w:p>
            <w:pPr>
              <w:spacing w:line="340" w:lineRule="exact"/>
              <w:jc w:val="center"/>
              <w:rPr>
                <w:rFonts w:hint="eastAsia" w:ascii="宋体" w:hAnsi="宋体" w:eastAsia="宋体" w:cs="宋体"/>
                <w:b/>
                <w:color w:val="auto"/>
                <w:sz w:val="24"/>
                <w:highlight w:val="none"/>
              </w:rPr>
            </w:pPr>
          </w:p>
        </w:tc>
        <w:tc>
          <w:tcPr>
            <w:tcW w:w="1582" w:type="dxa"/>
            <w:noWrap w:val="0"/>
            <w:vAlign w:val="top"/>
          </w:tcPr>
          <w:p>
            <w:pPr>
              <w:spacing w:line="340" w:lineRule="exact"/>
              <w:jc w:val="center"/>
              <w:rPr>
                <w:rFonts w:hint="eastAsia" w:ascii="宋体" w:hAnsi="宋体" w:eastAsia="宋体" w:cs="宋体"/>
                <w:b/>
                <w:color w:val="auto"/>
                <w:sz w:val="24"/>
                <w:highlight w:val="none"/>
              </w:rPr>
            </w:pPr>
          </w:p>
        </w:tc>
        <w:tc>
          <w:tcPr>
            <w:tcW w:w="1289" w:type="dxa"/>
            <w:noWrap w:val="0"/>
            <w:vAlign w:val="top"/>
          </w:tcPr>
          <w:p>
            <w:pPr>
              <w:spacing w:line="340" w:lineRule="exact"/>
              <w:jc w:val="center"/>
              <w:rPr>
                <w:rFonts w:hint="eastAsia" w:ascii="宋体" w:hAnsi="宋体" w:eastAsia="宋体" w:cs="宋体"/>
                <w:b/>
                <w:color w:val="auto"/>
                <w:sz w:val="24"/>
                <w:highlight w:val="none"/>
              </w:rPr>
            </w:pPr>
          </w:p>
        </w:tc>
        <w:tc>
          <w:tcPr>
            <w:tcW w:w="1471" w:type="dxa"/>
            <w:noWrap w:val="0"/>
            <w:vAlign w:val="top"/>
          </w:tcPr>
          <w:p>
            <w:pPr>
              <w:spacing w:line="340" w:lineRule="exact"/>
              <w:jc w:val="center"/>
              <w:rPr>
                <w:rFonts w:hint="eastAsia" w:ascii="宋体" w:hAnsi="宋体" w:eastAsia="宋体" w:cs="宋体"/>
                <w:b/>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103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1953" w:type="dxa"/>
            <w:noWrap w:val="0"/>
            <w:vAlign w:val="center"/>
          </w:tcPr>
          <w:p>
            <w:pPr>
              <w:jc w:val="center"/>
              <w:rPr>
                <w:rFonts w:hint="eastAsia" w:ascii="宋体" w:hAnsi="宋体" w:eastAsia="宋体" w:cs="宋体"/>
                <w:color w:val="auto"/>
                <w:sz w:val="24"/>
                <w:highlight w:val="none"/>
              </w:rPr>
            </w:pPr>
          </w:p>
        </w:tc>
        <w:tc>
          <w:tcPr>
            <w:tcW w:w="1756" w:type="dxa"/>
            <w:noWrap w:val="0"/>
            <w:vAlign w:val="top"/>
          </w:tcPr>
          <w:p>
            <w:pPr>
              <w:jc w:val="center"/>
              <w:rPr>
                <w:rFonts w:hint="eastAsia" w:ascii="宋体" w:hAnsi="宋体" w:eastAsia="宋体" w:cs="宋体"/>
                <w:color w:val="auto"/>
                <w:sz w:val="24"/>
                <w:highlight w:val="none"/>
              </w:rPr>
            </w:pPr>
          </w:p>
        </w:tc>
        <w:tc>
          <w:tcPr>
            <w:tcW w:w="1582" w:type="dxa"/>
            <w:noWrap w:val="0"/>
            <w:vAlign w:val="top"/>
          </w:tcPr>
          <w:p>
            <w:pPr>
              <w:jc w:val="center"/>
              <w:rPr>
                <w:rFonts w:hint="eastAsia" w:ascii="宋体" w:hAnsi="宋体" w:eastAsia="宋体" w:cs="宋体"/>
                <w:color w:val="auto"/>
                <w:sz w:val="24"/>
                <w:highlight w:val="none"/>
              </w:rPr>
            </w:pPr>
          </w:p>
        </w:tc>
        <w:tc>
          <w:tcPr>
            <w:tcW w:w="1289" w:type="dxa"/>
            <w:noWrap w:val="0"/>
            <w:vAlign w:val="top"/>
          </w:tcPr>
          <w:p>
            <w:pPr>
              <w:jc w:val="center"/>
              <w:rPr>
                <w:rFonts w:hint="eastAsia" w:ascii="宋体" w:hAnsi="宋体" w:eastAsia="宋体" w:cs="宋体"/>
                <w:color w:val="auto"/>
                <w:sz w:val="24"/>
                <w:highlight w:val="none"/>
              </w:rPr>
            </w:pPr>
          </w:p>
        </w:tc>
        <w:tc>
          <w:tcPr>
            <w:tcW w:w="1471" w:type="dxa"/>
            <w:noWrap w:val="0"/>
            <w:vAlign w:val="top"/>
          </w:tcPr>
          <w:p>
            <w:pPr>
              <w:jc w:val="center"/>
              <w:rPr>
                <w:rFonts w:hint="eastAsia" w:ascii="宋体" w:hAnsi="宋体" w:eastAsia="宋体" w:cs="宋体"/>
                <w:color w:val="auto"/>
                <w:sz w:val="24"/>
                <w:highlight w:val="none"/>
              </w:rPr>
            </w:pPr>
          </w:p>
        </w:tc>
      </w:tr>
    </w:tbl>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注：此表可按原有格式进行复制。</w:t>
      </w:r>
    </w:p>
    <w:p>
      <w:pPr>
        <w:pStyle w:val="7"/>
        <w:spacing w:line="46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不提供此表格的将视为没有实质性响应招标文件。</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p>
    <w:p>
      <w:pPr>
        <w:autoSpaceDE w:val="0"/>
        <w:autoSpaceDN w:val="0"/>
        <w:adjustRightInd w:val="0"/>
        <w:spacing w:line="440" w:lineRule="atLeast"/>
        <w:ind w:firstLine="3413"/>
        <w:outlineLvl w:val="0"/>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br w:type="page"/>
      </w:r>
      <w:r>
        <w:rPr>
          <w:rFonts w:hint="eastAsia" w:ascii="宋体" w:hAnsi="宋体" w:eastAsia="宋体" w:cs="宋体"/>
          <w:b/>
          <w:color w:val="auto"/>
          <w:sz w:val="32"/>
          <w:szCs w:val="32"/>
          <w:highlight w:val="none"/>
        </w:rPr>
        <w:t>五</w:t>
      </w:r>
      <w:r>
        <w:rPr>
          <w:rFonts w:hint="eastAsia" w:ascii="宋体" w:hAnsi="宋体" w:eastAsia="宋体" w:cs="宋体"/>
          <w:b/>
          <w:color w:val="auto"/>
          <w:sz w:val="32"/>
          <w:szCs w:val="32"/>
          <w:highlight w:val="none"/>
          <w:lang w:val="zh-CN"/>
        </w:rPr>
        <w:t>、商 务 偏 离 表</w:t>
      </w:r>
      <w:r>
        <w:rPr>
          <w:rFonts w:hint="eastAsia" w:ascii="宋体" w:hAnsi="宋体" w:eastAsia="宋体" w:cs="宋体"/>
          <w:b/>
          <w:color w:val="auto"/>
          <w:sz w:val="32"/>
          <w:szCs w:val="32"/>
          <w:highlight w:val="none"/>
        </w:rPr>
        <w:t xml:space="preserve"> </w:t>
      </w:r>
    </w:p>
    <w:p>
      <w:pPr>
        <w:autoSpaceDE w:val="0"/>
        <w:autoSpaceDN w:val="0"/>
        <w:adjustRightInd w:val="0"/>
        <w:spacing w:line="440" w:lineRule="atLeast"/>
        <w:ind w:firstLine="3413"/>
        <w:rPr>
          <w:rFonts w:hint="eastAsia" w:ascii="宋体" w:hAnsi="宋体" w:eastAsia="宋体" w:cs="宋体"/>
          <w:b/>
          <w:color w:val="auto"/>
          <w:sz w:val="36"/>
          <w:highlight w:val="none"/>
          <w:lang w:val="zh-CN"/>
        </w:rPr>
      </w:pPr>
    </w:p>
    <w:tbl>
      <w:tblPr>
        <w:tblStyle w:val="17"/>
        <w:tblW w:w="9337" w:type="dxa"/>
        <w:jc w:val="center"/>
        <w:tblLayout w:type="fixed"/>
        <w:tblCellMar>
          <w:top w:w="0" w:type="dxa"/>
          <w:left w:w="108" w:type="dxa"/>
          <w:bottom w:w="0" w:type="dxa"/>
          <w:right w:w="108" w:type="dxa"/>
        </w:tblCellMar>
      </w:tblPr>
      <w:tblGrid>
        <w:gridCol w:w="875"/>
        <w:gridCol w:w="1751"/>
        <w:gridCol w:w="2591"/>
        <w:gridCol w:w="2052"/>
        <w:gridCol w:w="2068"/>
      </w:tblGrid>
      <w:tr>
        <w:tblPrEx>
          <w:tblCellMar>
            <w:top w:w="0" w:type="dxa"/>
            <w:left w:w="108" w:type="dxa"/>
            <w:bottom w:w="0" w:type="dxa"/>
            <w:right w:w="108" w:type="dxa"/>
          </w:tblCellMar>
        </w:tblPrEx>
        <w:trPr>
          <w:trHeight w:val="936"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序 号</w:t>
            </w:r>
          </w:p>
        </w:tc>
        <w:tc>
          <w:tcPr>
            <w:tcW w:w="17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内容</w:t>
            </w:r>
          </w:p>
        </w:tc>
        <w:tc>
          <w:tcPr>
            <w:tcW w:w="259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招标文件规范要求</w:t>
            </w:r>
          </w:p>
        </w:tc>
        <w:tc>
          <w:tcPr>
            <w:tcW w:w="20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投标文件</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对应规范</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备 注</w:t>
            </w:r>
          </w:p>
        </w:tc>
      </w:tr>
      <w:tr>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5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5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5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36"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5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5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5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0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bl>
    <w:p>
      <w:pPr>
        <w:autoSpaceDE w:val="0"/>
        <w:autoSpaceDN w:val="0"/>
        <w:adjustRightInd w:val="0"/>
        <w:spacing w:line="440" w:lineRule="atLeast"/>
        <w:outlineLvl w:val="0"/>
        <w:rPr>
          <w:rFonts w:hint="eastAsia" w:ascii="宋体" w:hAnsi="宋体" w:eastAsia="宋体" w:cs="宋体"/>
          <w:b/>
          <w:color w:val="auto"/>
          <w:sz w:val="32"/>
          <w:highlight w:val="none"/>
          <w:lang w:val="zh-CN"/>
        </w:rPr>
      </w:pPr>
    </w:p>
    <w:p>
      <w:pPr>
        <w:autoSpaceDE w:val="0"/>
        <w:autoSpaceDN w:val="0"/>
        <w:adjustRightInd w:val="0"/>
        <w:spacing w:line="440" w:lineRule="atLeast"/>
        <w:outlineLvl w:val="0"/>
        <w:rPr>
          <w:rFonts w:hint="eastAsia" w:ascii="宋体" w:hAnsi="宋体" w:eastAsia="宋体" w:cs="宋体"/>
          <w:b/>
          <w:color w:val="auto"/>
          <w:sz w:val="32"/>
          <w:highlight w:val="none"/>
          <w:lang w:val="zh-CN"/>
        </w:rPr>
      </w:pP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投标供应商（盖章）：</w:t>
      </w:r>
    </w:p>
    <w:p>
      <w:pPr>
        <w:spacing w:line="360" w:lineRule="auto"/>
        <w:jc w:val="left"/>
        <w:rPr>
          <w:rFonts w:hint="eastAsia" w:ascii="宋体" w:hAnsi="宋体" w:eastAsia="宋体" w:cs="宋体"/>
          <w:color w:val="auto"/>
          <w:sz w:val="24"/>
          <w:szCs w:val="28"/>
          <w:highlight w:val="none"/>
        </w:rPr>
      </w:pP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p>
    <w:p>
      <w:pPr>
        <w:autoSpaceDE w:val="0"/>
        <w:autoSpaceDN w:val="0"/>
        <w:adjustRightInd w:val="0"/>
        <w:spacing w:line="440" w:lineRule="atLeast"/>
        <w:ind w:firstLine="3213" w:firstLineChars="1000"/>
        <w:outlineLvl w:val="0"/>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rPr>
        <w:t>五</w:t>
      </w:r>
      <w:r>
        <w:rPr>
          <w:rFonts w:hint="eastAsia" w:ascii="宋体" w:hAnsi="宋体" w:eastAsia="宋体" w:cs="宋体"/>
          <w:b/>
          <w:color w:val="auto"/>
          <w:sz w:val="32"/>
          <w:szCs w:val="32"/>
          <w:highlight w:val="none"/>
          <w:lang w:val="zh-CN"/>
        </w:rPr>
        <w:t>（二）技术偏离表</w:t>
      </w:r>
      <w:r>
        <w:rPr>
          <w:rFonts w:hint="eastAsia" w:ascii="宋体" w:hAnsi="宋体" w:eastAsia="宋体" w:cs="宋体"/>
          <w:b/>
          <w:color w:val="auto"/>
          <w:sz w:val="32"/>
          <w:szCs w:val="32"/>
          <w:highlight w:val="none"/>
        </w:rPr>
        <w:t xml:space="preserve"> </w:t>
      </w:r>
    </w:p>
    <w:p>
      <w:pPr>
        <w:autoSpaceDE w:val="0"/>
        <w:autoSpaceDN w:val="0"/>
        <w:adjustRightInd w:val="0"/>
        <w:spacing w:line="440" w:lineRule="atLeast"/>
        <w:outlineLvl w:val="0"/>
        <w:rPr>
          <w:rFonts w:hint="eastAsia" w:ascii="宋体" w:hAnsi="宋体" w:eastAsia="宋体" w:cs="宋体"/>
          <w:b/>
          <w:color w:val="auto"/>
          <w:sz w:val="32"/>
          <w:highlight w:val="none"/>
        </w:rPr>
      </w:pPr>
    </w:p>
    <w:tbl>
      <w:tblPr>
        <w:tblStyle w:val="17"/>
        <w:tblW w:w="9398" w:type="dxa"/>
        <w:jc w:val="center"/>
        <w:tblLayout w:type="fixed"/>
        <w:tblCellMar>
          <w:top w:w="0" w:type="dxa"/>
          <w:left w:w="108" w:type="dxa"/>
          <w:bottom w:w="0" w:type="dxa"/>
          <w:right w:w="108" w:type="dxa"/>
        </w:tblCellMar>
      </w:tblPr>
      <w:tblGrid>
        <w:gridCol w:w="863"/>
        <w:gridCol w:w="1726"/>
        <w:gridCol w:w="2206"/>
        <w:gridCol w:w="2235"/>
        <w:gridCol w:w="2368"/>
      </w:tblGrid>
      <w:tr>
        <w:tblPrEx>
          <w:tblCellMar>
            <w:top w:w="0" w:type="dxa"/>
            <w:left w:w="108" w:type="dxa"/>
            <w:bottom w:w="0" w:type="dxa"/>
            <w:right w:w="108" w:type="dxa"/>
          </w:tblCellMar>
        </w:tblPrEx>
        <w:trPr>
          <w:trHeight w:val="883"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序 号</w:t>
            </w:r>
          </w:p>
        </w:tc>
        <w:tc>
          <w:tcPr>
            <w:tcW w:w="17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内容</w:t>
            </w:r>
          </w:p>
        </w:tc>
        <w:tc>
          <w:tcPr>
            <w:tcW w:w="22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招标文件规范要求</w:t>
            </w:r>
          </w:p>
        </w:tc>
        <w:tc>
          <w:tcPr>
            <w:tcW w:w="22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color w:val="auto"/>
                <w:w w:val="90"/>
                <w:sz w:val="24"/>
                <w:highlight w:val="none"/>
              </w:rPr>
            </w:pPr>
            <w:r>
              <w:rPr>
                <w:rFonts w:hint="eastAsia" w:ascii="宋体" w:hAnsi="宋体" w:eastAsia="宋体" w:cs="宋体"/>
                <w:b/>
                <w:color w:val="auto"/>
                <w:w w:val="90"/>
                <w:sz w:val="24"/>
                <w:highlight w:val="none"/>
              </w:rPr>
              <w:t>投标响应（逐</w:t>
            </w:r>
          </w:p>
          <w:p>
            <w:pPr>
              <w:jc w:val="center"/>
              <w:rPr>
                <w:rFonts w:hint="eastAsia" w:ascii="宋体" w:hAnsi="宋体" w:eastAsia="宋体" w:cs="宋体"/>
                <w:b/>
                <w:color w:val="auto"/>
                <w:sz w:val="24"/>
                <w:highlight w:val="none"/>
                <w:lang w:val="zh-CN"/>
              </w:rPr>
            </w:pPr>
            <w:r>
              <w:rPr>
                <w:rFonts w:hint="eastAsia" w:ascii="宋体" w:hAnsi="宋体" w:eastAsia="宋体" w:cs="宋体"/>
                <w:b/>
                <w:color w:val="auto"/>
                <w:w w:val="90"/>
                <w:sz w:val="24"/>
                <w:highlight w:val="none"/>
              </w:rPr>
              <w:t>对应）</w:t>
            </w:r>
          </w:p>
        </w:tc>
        <w:tc>
          <w:tcPr>
            <w:tcW w:w="236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color w:val="auto"/>
                <w:sz w:val="24"/>
                <w:highlight w:val="none"/>
                <w:lang w:val="zh-CN"/>
              </w:rPr>
            </w:pPr>
            <w:r>
              <w:rPr>
                <w:rFonts w:hint="eastAsia" w:ascii="宋体" w:hAnsi="宋体" w:eastAsia="宋体" w:cs="宋体"/>
                <w:b/>
                <w:color w:val="auto"/>
                <w:w w:val="90"/>
                <w:sz w:val="24"/>
                <w:highlight w:val="none"/>
              </w:rPr>
              <w:t>偏离说明</w:t>
            </w: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r>
        <w:tblPrEx>
          <w:tblCellMar>
            <w:top w:w="0" w:type="dxa"/>
            <w:left w:w="108" w:type="dxa"/>
            <w:bottom w:w="0" w:type="dxa"/>
            <w:right w:w="108" w:type="dxa"/>
          </w:tblCellMar>
        </w:tblPrEx>
        <w:trPr>
          <w:trHeight w:val="489" w:hRule="atLeast"/>
          <w:jc w:val="center"/>
        </w:trPr>
        <w:tc>
          <w:tcPr>
            <w:tcW w:w="8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17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0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2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c>
          <w:tcPr>
            <w:tcW w:w="236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ascii="宋体" w:hAnsi="宋体" w:eastAsia="宋体" w:cs="宋体"/>
                <w:b/>
                <w:color w:val="auto"/>
                <w:sz w:val="24"/>
                <w:highlight w:val="none"/>
                <w:lang w:val="zh-CN"/>
              </w:rPr>
            </w:pPr>
          </w:p>
        </w:tc>
      </w:tr>
    </w:tbl>
    <w:p>
      <w:pPr>
        <w:spacing w:line="360" w:lineRule="auto"/>
        <w:jc w:val="left"/>
        <w:rPr>
          <w:rFonts w:hint="eastAsia" w:ascii="宋体" w:hAnsi="宋体" w:eastAsia="宋体" w:cs="宋体"/>
          <w:color w:val="auto"/>
          <w:sz w:val="24"/>
          <w:szCs w:val="28"/>
          <w:highlight w:val="none"/>
        </w:rPr>
      </w:pP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投标供应商（盖章）：</w:t>
      </w:r>
    </w:p>
    <w:p>
      <w:pPr>
        <w:spacing w:line="360" w:lineRule="auto"/>
        <w:jc w:val="left"/>
        <w:rPr>
          <w:rFonts w:hint="eastAsia" w:ascii="宋体" w:hAnsi="宋体" w:eastAsia="宋体" w:cs="宋体"/>
          <w:color w:val="auto"/>
          <w:sz w:val="24"/>
          <w:szCs w:val="28"/>
          <w:highlight w:val="none"/>
        </w:rPr>
      </w:pPr>
    </w:p>
    <w:p>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p>
    <w:p>
      <w:pPr>
        <w:autoSpaceDE w:val="0"/>
        <w:autoSpaceDN w:val="0"/>
        <w:adjustRightInd w:val="0"/>
        <w:jc w:val="left"/>
        <w:rPr>
          <w:rFonts w:hint="eastAsia" w:ascii="宋体" w:hAnsi="宋体" w:eastAsia="宋体" w:cs="宋体"/>
          <w:b/>
          <w:color w:val="auto"/>
          <w:sz w:val="32"/>
          <w:highlight w:val="none"/>
        </w:rPr>
        <w:sectPr>
          <w:pgSz w:w="11906" w:h="16838"/>
          <w:pgMar w:top="1440" w:right="1106" w:bottom="1440" w:left="1622" w:header="851" w:footer="992" w:gutter="0"/>
          <w:pgBorders>
            <w:top w:val="none" w:sz="0" w:space="0"/>
            <w:left w:val="none" w:sz="0" w:space="0"/>
            <w:bottom w:val="none" w:sz="0" w:space="0"/>
            <w:right w:val="none" w:sz="0" w:space="0"/>
          </w:pgBorders>
          <w:cols w:space="720" w:num="1"/>
          <w:docGrid w:linePitch="312" w:charSpace="0"/>
        </w:sectPr>
      </w:pPr>
    </w:p>
    <w:p>
      <w:pPr>
        <w:pStyle w:val="6"/>
        <w:snapToGrid w:val="0"/>
        <w:spacing w:line="360" w:lineRule="auto"/>
        <w:ind w:firstLine="0"/>
        <w:rPr>
          <w:rFonts w:hint="eastAsia" w:ascii="宋体" w:hAnsi="宋体" w:eastAsia="宋体" w:cs="宋体"/>
          <w:color w:val="auto"/>
          <w:kern w:val="0"/>
          <w:sz w:val="24"/>
          <w:highlight w:val="none"/>
          <w:lang w:val="zh-CN"/>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lang w:val="zh-CN"/>
        </w:rPr>
        <w:t>、</w:t>
      </w:r>
      <w:r>
        <w:rPr>
          <w:rFonts w:hint="eastAsia" w:ascii="宋体" w:hAnsi="宋体" w:eastAsia="宋体" w:cs="宋体"/>
          <w:b/>
          <w:bCs/>
          <w:color w:val="auto"/>
          <w:sz w:val="36"/>
          <w:szCs w:val="36"/>
          <w:highlight w:val="none"/>
        </w:rPr>
        <w:t>供应商项目业绩一览表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项目编号：                                            </w:t>
      </w:r>
    </w:p>
    <w:tbl>
      <w:tblPr>
        <w:tblStyle w:val="17"/>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043"/>
        <w:gridCol w:w="1655"/>
        <w:gridCol w:w="131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2301"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用户名称</w:t>
            </w:r>
          </w:p>
        </w:tc>
        <w:tc>
          <w:tcPr>
            <w:tcW w:w="2043"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地址、联系电话</w:t>
            </w:r>
          </w:p>
        </w:tc>
        <w:tc>
          <w:tcPr>
            <w:tcW w:w="1655"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合同起止时间</w:t>
            </w:r>
          </w:p>
        </w:tc>
        <w:tc>
          <w:tcPr>
            <w:tcW w:w="1318" w:type="dxa"/>
            <w:tcBorders>
              <w:top w:val="single" w:color="auto" w:sz="12"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合同金额</w:t>
            </w:r>
          </w:p>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（万元）</w:t>
            </w:r>
          </w:p>
        </w:tc>
        <w:tc>
          <w:tcPr>
            <w:tcW w:w="159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30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043"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655"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18"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30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043"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655"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18"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30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043"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655"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18"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301" w:type="dxa"/>
            <w:tcBorders>
              <w:top w:val="single" w:color="auto" w:sz="4" w:space="0"/>
              <w:left w:val="single" w:color="auto" w:sz="12"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2043"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655"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318" w:type="dxa"/>
            <w:tcBorders>
              <w:left w:val="single" w:color="auto" w:sz="4" w:space="0"/>
              <w:right w:val="single" w:color="auto" w:sz="4"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c>
          <w:tcPr>
            <w:tcW w:w="1592" w:type="dxa"/>
            <w:tcBorders>
              <w:top w:val="single" w:color="auto" w:sz="4" w:space="0"/>
              <w:left w:val="single" w:color="auto" w:sz="4" w:space="0"/>
              <w:bottom w:val="single" w:color="auto" w:sz="4" w:space="0"/>
              <w:right w:val="single" w:color="auto" w:sz="12" w:space="0"/>
            </w:tcBorders>
            <w:noWrap w:val="0"/>
            <w:vAlign w:val="top"/>
          </w:tcPr>
          <w:p>
            <w:pPr>
              <w:autoSpaceDE w:val="0"/>
              <w:autoSpaceDN w:val="0"/>
              <w:adjustRightInd w:val="0"/>
              <w:spacing w:line="360" w:lineRule="auto"/>
              <w:rPr>
                <w:rFonts w:hint="eastAsia" w:ascii="宋体" w:hAnsi="宋体" w:eastAsia="宋体" w:cs="宋体"/>
                <w:color w:val="auto"/>
                <w:sz w:val="24"/>
                <w:highlight w:val="none"/>
                <w:lang w:val="zh-CN"/>
              </w:rPr>
            </w:pPr>
          </w:p>
        </w:tc>
      </w:tr>
    </w:tbl>
    <w:p>
      <w:pPr>
        <w:snapToGrid w:val="0"/>
        <w:spacing w:line="360" w:lineRule="auto"/>
        <w:ind w:right="-21" w:right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附注：1.. 供应商可按此表格式复制。2、后附证明材料，证明材料详见评审办法及评分标准。</w:t>
      </w:r>
    </w:p>
    <w:p>
      <w:pPr>
        <w:snapToGrid w:val="0"/>
        <w:spacing w:line="360" w:lineRule="auto"/>
        <w:ind w:right="-21" w:rightChars="-10"/>
        <w:rPr>
          <w:rFonts w:hint="eastAsia" w:ascii="宋体" w:hAnsi="宋体" w:eastAsia="宋体" w:cs="宋体"/>
          <w:color w:val="auto"/>
          <w:sz w:val="24"/>
          <w:highlight w:val="none"/>
        </w:rPr>
      </w:pPr>
    </w:p>
    <w:p>
      <w:pPr>
        <w:snapToGrid w:val="0"/>
        <w:spacing w:line="360" w:lineRule="auto"/>
        <w:ind w:right="-21" w:rightChars="-10"/>
        <w:rPr>
          <w:rFonts w:hint="eastAsia" w:ascii="宋体" w:hAnsi="宋体" w:eastAsia="宋体" w:cs="宋体"/>
          <w:color w:val="auto"/>
          <w:sz w:val="24"/>
          <w:highlight w:val="none"/>
        </w:rPr>
      </w:pPr>
    </w:p>
    <w:p>
      <w:pPr>
        <w:snapToGrid w:val="0"/>
        <w:spacing w:line="360" w:lineRule="auto"/>
        <w:ind w:right="-21" w:rightChars="-1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供应商全称（公章）： </w:t>
      </w:r>
    </w:p>
    <w:p>
      <w:pPr>
        <w:snapToGrid w:val="0"/>
        <w:spacing w:line="360" w:lineRule="auto"/>
        <w:ind w:right="-21" w:rightChars="-10"/>
        <w:rPr>
          <w:rFonts w:hint="eastAsia" w:ascii="宋体" w:hAnsi="宋体" w:eastAsia="宋体" w:cs="宋体"/>
          <w:color w:val="auto"/>
          <w:sz w:val="24"/>
          <w:highlight w:val="none"/>
        </w:rPr>
      </w:pPr>
    </w:p>
    <w:p>
      <w:pPr>
        <w:snapToGrid w:val="0"/>
        <w:spacing w:line="360" w:lineRule="auto"/>
        <w:ind w:right="-21" w:rightChars="-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p>
    <w:p>
      <w:pPr>
        <w:shd w:val="clear" w:color="auto" w:fill="FFFFFF"/>
        <w:snapToGrid w:val="0"/>
        <w:spacing w:line="360" w:lineRule="auto"/>
        <w:ind w:firstLine="5160" w:firstLineChars="2150"/>
        <w:rPr>
          <w:rFonts w:hint="eastAsia" w:ascii="宋体" w:hAnsi="宋体" w:eastAsia="宋体" w:cs="宋体"/>
          <w:color w:val="auto"/>
          <w:kern w:val="0"/>
          <w:sz w:val="24"/>
          <w:highlight w:val="none"/>
          <w:lang w:val="zh-CN"/>
        </w:rPr>
      </w:pPr>
    </w:p>
    <w:p>
      <w:pPr>
        <w:shd w:val="clear" w:color="auto" w:fill="FFFFFF"/>
        <w:snapToGrid w:val="0"/>
        <w:spacing w:line="360" w:lineRule="auto"/>
        <w:rPr>
          <w:rFonts w:hint="eastAsia" w:ascii="宋体" w:hAnsi="宋体" w:eastAsia="宋体" w:cs="宋体"/>
          <w:color w:val="auto"/>
          <w:sz w:val="24"/>
          <w:highlight w:val="none"/>
        </w:rPr>
      </w:pPr>
    </w:p>
    <w:p>
      <w:pPr>
        <w:shd w:val="clear" w:color="auto" w:fill="FFFFFF"/>
        <w:snapToGrid w:val="0"/>
        <w:spacing w:line="360" w:lineRule="auto"/>
        <w:rPr>
          <w:rFonts w:hint="eastAsia" w:ascii="宋体" w:hAnsi="宋体" w:eastAsia="宋体" w:cs="宋体"/>
          <w:color w:val="auto"/>
          <w:sz w:val="24"/>
          <w:highlight w:val="none"/>
        </w:rPr>
      </w:pPr>
    </w:p>
    <w:p>
      <w:pPr>
        <w:spacing w:line="400" w:lineRule="exact"/>
        <w:jc w:val="center"/>
        <w:rPr>
          <w:rFonts w:hint="eastAsia" w:ascii="宋体" w:hAnsi="宋体" w:eastAsia="宋体" w:cs="宋体"/>
          <w:b/>
          <w:color w:val="auto"/>
          <w:sz w:val="32"/>
          <w:szCs w:val="32"/>
          <w:highlight w:val="none"/>
          <w:lang w:val="zh-CN"/>
        </w:rPr>
      </w:pPr>
    </w:p>
    <w:p>
      <w:pPr>
        <w:spacing w:line="400" w:lineRule="exact"/>
        <w:jc w:val="center"/>
        <w:rPr>
          <w:rFonts w:hint="eastAsia" w:ascii="宋体" w:hAnsi="宋体" w:eastAsia="宋体" w:cs="宋体"/>
          <w:b/>
          <w:color w:val="auto"/>
          <w:sz w:val="32"/>
          <w:szCs w:val="32"/>
          <w:highlight w:val="none"/>
          <w:lang w:val="zh-CN"/>
        </w:rPr>
      </w:pPr>
    </w:p>
    <w:p>
      <w:pPr>
        <w:pStyle w:val="15"/>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32"/>
          <w:szCs w:val="32"/>
          <w:highlight w:val="none"/>
          <w:lang w:val="zh-CN"/>
        </w:rPr>
      </w:pPr>
    </w:p>
    <w:p>
      <w:pPr>
        <w:spacing w:line="400" w:lineRule="exact"/>
        <w:jc w:val="center"/>
        <w:rPr>
          <w:rFonts w:hint="eastAsia" w:ascii="宋体" w:hAnsi="宋体" w:eastAsia="宋体" w:cs="宋体"/>
          <w:b/>
          <w:color w:val="auto"/>
          <w:sz w:val="32"/>
          <w:szCs w:val="32"/>
          <w:highlight w:val="none"/>
          <w:lang w:val="zh-CN"/>
        </w:rPr>
      </w:pPr>
    </w:p>
    <w:p>
      <w:pPr>
        <w:spacing w:line="400" w:lineRule="exact"/>
        <w:jc w:val="center"/>
        <w:rPr>
          <w:rFonts w:hint="eastAsia" w:ascii="宋体" w:hAnsi="宋体" w:eastAsia="宋体" w:cs="宋体"/>
          <w:b/>
          <w:color w:val="auto"/>
          <w:sz w:val="32"/>
          <w:szCs w:val="32"/>
          <w:highlight w:val="none"/>
          <w:lang w:val="zh-CN"/>
        </w:rPr>
      </w:pP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w:t>
      </w:r>
      <w:r>
        <w:rPr>
          <w:rFonts w:hint="eastAsia" w:ascii="宋体" w:hAnsi="宋体" w:eastAsia="宋体" w:cs="宋体"/>
          <w:b/>
          <w:color w:val="auto"/>
          <w:sz w:val="32"/>
          <w:szCs w:val="32"/>
          <w:highlight w:val="none"/>
        </w:rPr>
        <w:t xml:space="preserve">项目方案说明（自行编制） </w:t>
      </w:r>
    </w:p>
    <w:p>
      <w:pPr>
        <w:pStyle w:val="7"/>
        <w:snapToGrid w:val="0"/>
        <w:spacing w:line="360" w:lineRule="auto"/>
        <w:ind w:firstLine="643" w:firstLineChars="200"/>
        <w:jc w:val="center"/>
        <w:outlineLvl w:val="2"/>
        <w:rPr>
          <w:rFonts w:hint="eastAsia" w:ascii="宋体" w:hAnsi="宋体" w:eastAsia="宋体" w:cs="宋体"/>
          <w:b/>
          <w:color w:val="auto"/>
          <w:sz w:val="32"/>
          <w:szCs w:val="32"/>
          <w:highlight w:val="none"/>
          <w:lang w:val="zh-CN"/>
        </w:rPr>
      </w:pPr>
    </w:p>
    <w:p>
      <w:pPr>
        <w:tabs>
          <w:tab w:val="left" w:pos="930"/>
        </w:tabs>
        <w:autoSpaceDE w:val="0"/>
        <w:autoSpaceDN w:val="0"/>
        <w:snapToGrid w:val="0"/>
        <w:spacing w:line="360" w:lineRule="auto"/>
        <w:ind w:firstLine="480"/>
        <w:rPr>
          <w:rFonts w:hint="eastAsia" w:ascii="宋体" w:hAnsi="宋体" w:eastAsia="宋体" w:cs="宋体"/>
          <w:color w:val="auto"/>
          <w:kern w:val="0"/>
          <w:sz w:val="24"/>
          <w:highlight w:val="none"/>
          <w:lang w:val="zh-CN"/>
        </w:rPr>
      </w:pPr>
    </w:p>
    <w:p>
      <w:pPr>
        <w:pStyle w:val="2"/>
        <w:rPr>
          <w:rFonts w:hint="eastAsia" w:ascii="宋体" w:hAnsi="宋体" w:eastAsia="宋体" w:cs="宋体"/>
          <w:color w:val="auto"/>
          <w:highlight w:val="none"/>
          <w:lang w:val="zh-CN"/>
        </w:rPr>
      </w:pPr>
    </w:p>
    <w:p>
      <w:pPr>
        <w:pStyle w:val="6"/>
        <w:snapToGrid w:val="0"/>
        <w:spacing w:line="360" w:lineRule="auto"/>
        <w:ind w:firstLine="0"/>
        <w:jc w:val="center"/>
        <w:rPr>
          <w:rFonts w:hint="eastAsia" w:ascii="宋体" w:hAnsi="宋体" w:eastAsia="宋体" w:cs="宋体"/>
          <w:color w:val="auto"/>
          <w:sz w:val="24"/>
          <w:highlight w:val="none"/>
        </w:rPr>
      </w:pPr>
    </w:p>
    <w:p>
      <w:pPr>
        <w:autoSpaceDE w:val="0"/>
        <w:autoSpaceDN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投标供应商名称（公章）：</w:t>
      </w:r>
    </w:p>
    <w:p>
      <w:pPr>
        <w:autoSpaceDE w:val="0"/>
        <w:autoSpaceDN w:val="0"/>
        <w:snapToGrid w:val="0"/>
        <w:spacing w:line="360" w:lineRule="auto"/>
        <w:jc w:val="left"/>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6"/>
        <w:snapToGrid w:val="0"/>
        <w:spacing w:line="360" w:lineRule="auto"/>
        <w:ind w:firstLine="0"/>
        <w:jc w:val="center"/>
        <w:rPr>
          <w:rFonts w:hint="eastAsia" w:ascii="宋体" w:hAnsi="宋体" w:eastAsia="宋体" w:cs="宋体"/>
          <w:color w:val="auto"/>
          <w:sz w:val="24"/>
          <w:highlight w:val="none"/>
        </w:rPr>
      </w:pPr>
    </w:p>
    <w:p>
      <w:pPr>
        <w:pStyle w:val="6"/>
        <w:snapToGrid w:val="0"/>
        <w:spacing w:line="360" w:lineRule="auto"/>
        <w:ind w:firstLine="0"/>
        <w:jc w:val="center"/>
        <w:rPr>
          <w:rFonts w:hint="eastAsia" w:ascii="宋体" w:hAnsi="宋体" w:eastAsia="宋体" w:cs="宋体"/>
          <w:color w:val="auto"/>
          <w:sz w:val="24"/>
          <w:highlight w:val="none"/>
        </w:rPr>
      </w:pPr>
    </w:p>
    <w:p>
      <w:pPr>
        <w:autoSpaceDE w:val="0"/>
        <w:autoSpaceDN w:val="0"/>
        <w:snapToGrid w:val="0"/>
        <w:spacing w:line="360" w:lineRule="auto"/>
        <w:rPr>
          <w:rFonts w:hint="eastAsia" w:ascii="宋体" w:hAnsi="宋体" w:eastAsia="宋体" w:cs="宋体"/>
          <w:color w:val="auto"/>
          <w:kern w:val="0"/>
          <w:sz w:val="24"/>
          <w:highlight w:val="none"/>
          <w:lang w:val="zh-CN"/>
        </w:rPr>
      </w:pPr>
    </w:p>
    <w:p>
      <w:pPr>
        <w:pStyle w:val="6"/>
        <w:snapToGrid w:val="0"/>
        <w:spacing w:line="360" w:lineRule="auto"/>
        <w:rPr>
          <w:rFonts w:hint="eastAsia" w:ascii="宋体" w:hAnsi="宋体" w:eastAsia="宋体" w:cs="宋体"/>
          <w:color w:val="auto"/>
          <w:highlight w:val="none"/>
          <w:lang w:val="zh-CN"/>
        </w:rPr>
      </w:pPr>
    </w:p>
    <w:p>
      <w:pPr>
        <w:spacing w:line="500" w:lineRule="exact"/>
        <w:ind w:firstLine="321" w:firstLineChars="1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、投标方案、优惠和承诺、维护方案、售后服务方案</w:t>
      </w:r>
      <w:r>
        <w:rPr>
          <w:rFonts w:hint="eastAsia" w:ascii="宋体" w:hAnsi="宋体" w:eastAsia="宋体" w:cs="宋体"/>
          <w:color w:val="auto"/>
          <w:sz w:val="32"/>
          <w:szCs w:val="32"/>
          <w:highlight w:val="none"/>
        </w:rPr>
        <w:t xml:space="preserve">（自行编制） </w:t>
      </w:r>
    </w:p>
    <w:p>
      <w:pPr>
        <w:spacing w:line="500" w:lineRule="exact"/>
        <w:ind w:firstLine="241" w:firstLineChars="100"/>
        <w:jc w:val="center"/>
        <w:rPr>
          <w:rFonts w:hint="eastAsia" w:ascii="宋体" w:hAnsi="宋体" w:eastAsia="宋体" w:cs="宋体"/>
          <w:b/>
          <w:color w:val="auto"/>
          <w:sz w:val="24"/>
          <w:highlight w:val="none"/>
        </w:rPr>
      </w:pPr>
    </w:p>
    <w:p>
      <w:pPr>
        <w:spacing w:line="500" w:lineRule="exact"/>
        <w:ind w:left="942" w:leftChars="71" w:hanging="793" w:hangingChars="247"/>
        <w:jc w:val="center"/>
        <w:rPr>
          <w:rFonts w:hint="eastAsia" w:ascii="宋体" w:hAnsi="宋体" w:eastAsia="宋体" w:cs="宋体"/>
          <w:b/>
          <w:color w:val="auto"/>
          <w:sz w:val="32"/>
          <w:szCs w:val="32"/>
          <w:highlight w:val="none"/>
        </w:rPr>
      </w:pPr>
    </w:p>
    <w:p>
      <w:pPr>
        <w:pStyle w:val="2"/>
        <w:rPr>
          <w:rFonts w:hint="eastAsia" w:ascii="宋体" w:hAnsi="宋体" w:eastAsia="宋体" w:cs="宋体"/>
          <w:color w:val="auto"/>
          <w:highlight w:val="none"/>
        </w:rPr>
      </w:pPr>
    </w:p>
    <w:p>
      <w:pPr>
        <w:autoSpaceDE w:val="0"/>
        <w:autoSpaceDN w:val="0"/>
        <w:snapToGrid w:val="0"/>
        <w:spacing w:line="360" w:lineRule="auto"/>
        <w:ind w:firstLine="5160" w:firstLineChars="2150"/>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投标供应商名称（公章）：</w:t>
      </w:r>
    </w:p>
    <w:p>
      <w:pPr>
        <w:autoSpaceDE w:val="0"/>
        <w:autoSpaceDN w:val="0"/>
        <w:snapToGrid w:val="0"/>
        <w:spacing w:line="360" w:lineRule="auto"/>
        <w:jc w:val="left"/>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napToGrid w:val="0"/>
        <w:spacing w:line="360" w:lineRule="auto"/>
        <w:ind w:firstLine="5160" w:firstLineChars="2150"/>
        <w:rPr>
          <w:rFonts w:hint="eastAsia" w:ascii="宋体" w:hAnsi="宋体" w:eastAsia="宋体" w:cs="宋体"/>
          <w:color w:val="auto"/>
          <w:kern w:val="0"/>
          <w:sz w:val="24"/>
          <w:highlight w:val="none"/>
          <w:lang w:val="zh-CN"/>
        </w:rPr>
      </w:pPr>
    </w:p>
    <w:p>
      <w:pPr>
        <w:snapToGrid w:val="0"/>
        <w:spacing w:line="360" w:lineRule="auto"/>
        <w:ind w:firstLine="211" w:firstLineChars="100"/>
        <w:rPr>
          <w:rFonts w:hint="eastAsia" w:ascii="宋体" w:hAnsi="宋体" w:eastAsia="宋体" w:cs="宋体"/>
          <w:b/>
          <w:bCs/>
          <w:color w:val="auto"/>
          <w:highlight w:val="none"/>
        </w:rPr>
      </w:pPr>
    </w:p>
    <w:p>
      <w:pPr>
        <w:autoSpaceDE w:val="0"/>
        <w:autoSpaceDN w:val="0"/>
        <w:snapToGrid w:val="0"/>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                 服务承诺</w:t>
      </w:r>
      <w:r>
        <w:rPr>
          <w:rFonts w:hint="eastAsia" w:ascii="宋体" w:hAnsi="宋体" w:eastAsia="宋体" w:cs="宋体"/>
          <w:color w:val="auto"/>
          <w:sz w:val="32"/>
          <w:szCs w:val="32"/>
          <w:highlight w:val="none"/>
        </w:rPr>
        <w:t>（自行编制）</w:t>
      </w:r>
    </w:p>
    <w:p>
      <w:pPr>
        <w:pStyle w:val="7"/>
        <w:snapToGrid w:val="0"/>
        <w:spacing w:line="360" w:lineRule="auto"/>
        <w:jc w:val="center"/>
        <w:outlineLvl w:val="2"/>
        <w:rPr>
          <w:rFonts w:hint="eastAsia" w:ascii="宋体" w:hAnsi="宋体" w:eastAsia="宋体" w:cs="宋体"/>
          <w:color w:val="auto"/>
          <w:sz w:val="32"/>
          <w:szCs w:val="32"/>
          <w:highlight w:val="none"/>
        </w:rPr>
      </w:pPr>
    </w:p>
    <w:p>
      <w:pPr>
        <w:pStyle w:val="7"/>
        <w:snapToGrid w:val="0"/>
        <w:spacing w:line="360" w:lineRule="auto"/>
        <w:outlineLvl w:val="2"/>
        <w:rPr>
          <w:rFonts w:hint="eastAsia" w:ascii="宋体" w:hAnsi="宋体" w:eastAsia="宋体" w:cs="宋体"/>
          <w:color w:val="auto"/>
          <w:sz w:val="32"/>
          <w:szCs w:val="32"/>
          <w:highlight w:val="none"/>
        </w:rPr>
      </w:pPr>
    </w:p>
    <w:p>
      <w:pPr>
        <w:autoSpaceDE w:val="0"/>
        <w:autoSpaceDN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投标供应商名称（公章）：</w:t>
      </w:r>
    </w:p>
    <w:p>
      <w:pPr>
        <w:autoSpaceDE w:val="0"/>
        <w:autoSpaceDN w:val="0"/>
        <w:snapToGrid w:val="0"/>
        <w:spacing w:line="360" w:lineRule="auto"/>
        <w:jc w:val="left"/>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7"/>
        <w:snapToGrid w:val="0"/>
        <w:spacing w:line="360" w:lineRule="auto"/>
        <w:ind w:firstLine="643" w:firstLineChars="200"/>
        <w:jc w:val="center"/>
        <w:outlineLvl w:val="2"/>
        <w:rPr>
          <w:rFonts w:hint="eastAsia" w:ascii="宋体" w:hAnsi="宋体" w:eastAsia="宋体" w:cs="宋体"/>
          <w:b/>
          <w:color w:val="auto"/>
          <w:sz w:val="32"/>
          <w:szCs w:val="32"/>
          <w:highlight w:val="none"/>
        </w:rPr>
      </w:pPr>
    </w:p>
    <w:p>
      <w:pPr>
        <w:pStyle w:val="7"/>
        <w:snapToGrid w:val="0"/>
        <w:spacing w:line="360" w:lineRule="auto"/>
        <w:ind w:firstLine="643" w:firstLineChars="200"/>
        <w:jc w:val="center"/>
        <w:outlineLvl w:val="2"/>
        <w:rPr>
          <w:rFonts w:hint="eastAsia"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zh-CN"/>
        </w:rPr>
        <w:t>、其他必要提供的资料</w:t>
      </w:r>
    </w:p>
    <w:p>
      <w:pPr>
        <w:shd w:val="clear" w:color="auto" w:fill="FFFFFF"/>
        <w:snapToGrid w:val="0"/>
        <w:spacing w:line="360" w:lineRule="auto"/>
        <w:jc w:val="center"/>
        <w:rPr>
          <w:rFonts w:hint="eastAsia" w:ascii="宋体" w:hAnsi="宋体" w:eastAsia="宋体" w:cs="宋体"/>
          <w:b/>
          <w:bCs/>
          <w:color w:val="auto"/>
          <w:sz w:val="24"/>
          <w:highlight w:val="none"/>
        </w:rPr>
      </w:pPr>
    </w:p>
    <w:p>
      <w:pPr>
        <w:pStyle w:val="2"/>
        <w:rPr>
          <w:rFonts w:hint="eastAsia" w:ascii="宋体" w:hAnsi="宋体" w:eastAsia="宋体" w:cs="宋体"/>
          <w:b w:val="0"/>
          <w:bCs/>
          <w:color w:val="auto"/>
          <w:sz w:val="24"/>
          <w:highlight w:val="none"/>
        </w:rPr>
      </w:pPr>
    </w:p>
    <w:p>
      <w:pPr>
        <w:rPr>
          <w:rFonts w:hint="eastAsia" w:ascii="宋体" w:hAnsi="宋体" w:eastAsia="宋体" w:cs="宋体"/>
          <w:b/>
          <w:bCs/>
          <w:color w:val="auto"/>
          <w:sz w:val="24"/>
          <w:highlight w:val="none"/>
        </w:rPr>
      </w:pPr>
    </w:p>
    <w:p>
      <w:pPr>
        <w:pStyle w:val="2"/>
        <w:rPr>
          <w:rFonts w:hint="eastAsia" w:ascii="宋体" w:hAnsi="宋体" w:eastAsia="宋体" w:cs="宋体"/>
          <w:color w:val="auto"/>
          <w:highlight w:val="none"/>
        </w:rPr>
      </w:pPr>
    </w:p>
    <w:p>
      <w:pPr>
        <w:autoSpaceDE w:val="0"/>
        <w:autoSpaceDN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投标供应商名称（公章）：</w:t>
      </w:r>
    </w:p>
    <w:p>
      <w:pPr>
        <w:autoSpaceDE w:val="0"/>
        <w:autoSpaceDN w:val="0"/>
        <w:snapToGrid w:val="0"/>
        <w:spacing w:line="360" w:lineRule="auto"/>
        <w:jc w:val="left"/>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15"/>
        <w:rPr>
          <w:rFonts w:hint="eastAsia" w:ascii="宋体" w:hAnsi="宋体" w:eastAsia="宋体" w:cs="宋体"/>
          <w:color w:val="auto"/>
          <w:kern w:val="0"/>
          <w:highlight w:val="none"/>
        </w:rPr>
      </w:pPr>
    </w:p>
    <w:p>
      <w:pPr>
        <w:pStyle w:val="15"/>
        <w:rPr>
          <w:rFonts w:hint="eastAsia" w:ascii="宋体" w:hAnsi="宋体" w:eastAsia="宋体" w:cs="宋体"/>
          <w:color w:val="auto"/>
          <w:kern w:val="0"/>
          <w:highlight w:val="none"/>
        </w:rPr>
      </w:pPr>
    </w:p>
    <w:p>
      <w:pPr>
        <w:shd w:val="clear" w:color="auto" w:fill="FFFFFF"/>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color w:val="auto"/>
          <w:sz w:val="32"/>
          <w:szCs w:val="32"/>
          <w:highlight w:val="none"/>
        </w:rPr>
        <w:t>十</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val="zh-CN"/>
        </w:rPr>
        <w:t>、投标供应商认为需要的其他文件资料</w:t>
      </w:r>
    </w:p>
    <w:p>
      <w:pPr>
        <w:pStyle w:val="2"/>
        <w:rPr>
          <w:rFonts w:hint="eastAsia" w:ascii="宋体" w:hAnsi="宋体" w:eastAsia="宋体" w:cs="宋体"/>
          <w:b w:val="0"/>
          <w:bCs/>
          <w:color w:val="auto"/>
          <w:sz w:val="24"/>
          <w:highlight w:val="none"/>
        </w:rPr>
      </w:pPr>
    </w:p>
    <w:p>
      <w:pPr>
        <w:rPr>
          <w:rFonts w:hint="eastAsia" w:ascii="宋体" w:hAnsi="宋体" w:eastAsia="宋体" w:cs="宋体"/>
          <w:b/>
          <w:bCs/>
          <w:color w:val="auto"/>
          <w:sz w:val="24"/>
          <w:highlight w:val="none"/>
        </w:rPr>
      </w:pPr>
    </w:p>
    <w:p>
      <w:pPr>
        <w:pStyle w:val="2"/>
        <w:rPr>
          <w:rFonts w:hint="eastAsia" w:ascii="宋体" w:hAnsi="宋体" w:eastAsia="宋体" w:cs="宋体"/>
          <w:color w:val="auto"/>
          <w:highlight w:val="none"/>
        </w:rPr>
      </w:pPr>
    </w:p>
    <w:p>
      <w:pPr>
        <w:autoSpaceDE w:val="0"/>
        <w:autoSpaceDN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投标供应商名称（公章）：</w:t>
      </w:r>
    </w:p>
    <w:p>
      <w:pPr>
        <w:autoSpaceDE w:val="0"/>
        <w:autoSpaceDN w:val="0"/>
        <w:snapToGrid w:val="0"/>
        <w:spacing w:line="360" w:lineRule="auto"/>
        <w:jc w:val="left"/>
        <w:rPr>
          <w:rFonts w:hint="eastAsia" w:ascii="宋体" w:hAnsi="宋体" w:eastAsia="宋体" w:cs="宋体"/>
          <w:color w:val="auto"/>
          <w:kern w:val="0"/>
          <w:sz w:val="24"/>
          <w:highlight w:val="none"/>
          <w:lang w:val="zh-CN"/>
        </w:rPr>
      </w:pPr>
    </w:p>
    <w:p>
      <w:pPr>
        <w:autoSpaceDE w:val="0"/>
        <w:autoSpaceDN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color w:val="auto"/>
          <w:highlight w:val="none"/>
        </w:rPr>
      </w:pPr>
    </w:p>
    <w:p>
      <w:pPr>
        <w:pStyle w:val="4"/>
        <w:tabs>
          <w:tab w:val="left" w:pos="3600"/>
        </w:tabs>
        <w:spacing w:before="0" w:line="700" w:lineRule="exact"/>
        <w:rPr>
          <w:rFonts w:hint="eastAsia" w:ascii="宋体" w:hAnsi="宋体" w:eastAsia="宋体" w:cs="宋体"/>
          <w:color w:val="auto"/>
          <w:highlight w:val="none"/>
        </w:rPr>
      </w:pPr>
    </w:p>
    <w:p>
      <w:pPr>
        <w:pStyle w:val="4"/>
        <w:tabs>
          <w:tab w:val="left" w:pos="3600"/>
        </w:tabs>
        <w:spacing w:before="0" w:line="700" w:lineRule="exact"/>
        <w:rPr>
          <w:rFonts w:hint="eastAsia" w:ascii="宋体" w:hAnsi="宋体" w:eastAsia="宋体" w:cs="宋体"/>
          <w:color w:val="auto"/>
          <w:highlight w:val="none"/>
        </w:rPr>
      </w:pPr>
    </w:p>
    <w:p>
      <w:pPr>
        <w:pStyle w:val="4"/>
        <w:tabs>
          <w:tab w:val="left" w:pos="3600"/>
        </w:tabs>
        <w:spacing w:before="0" w:line="700" w:lineRule="exact"/>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ageBreakBefore/>
        <w:shd w:val="clear" w:color="auto" w:fill="FFFFFF"/>
        <w:snapToGrid w:val="0"/>
        <w:spacing w:line="360" w:lineRule="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投标文件封面</w:t>
      </w:r>
    </w:p>
    <w:p>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17"/>
          <w:sz w:val="52"/>
          <w:szCs w:val="52"/>
          <w:highlight w:val="none"/>
          <w:lang w:eastAsia="zh-CN"/>
        </w:rPr>
      </w:pPr>
      <w:r>
        <w:rPr>
          <w:rFonts w:hint="eastAsia" w:ascii="宋体" w:hAnsi="宋体" w:cs="宋体"/>
          <w:b/>
          <w:bCs/>
          <w:color w:val="auto"/>
          <w:spacing w:val="-17"/>
          <w:sz w:val="52"/>
          <w:szCs w:val="52"/>
          <w:highlight w:val="none"/>
          <w:lang w:eastAsia="zh-CN"/>
        </w:rPr>
        <w:t>苍南县政务无人机一体化平台项目</w:t>
      </w:r>
    </w:p>
    <w:p>
      <w:pPr>
        <w:shd w:val="clear" w:color="auto" w:fill="FFFFFF"/>
        <w:snapToGrid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（资格文件/报价文件/商务技术文件）</w:t>
      </w:r>
    </w:p>
    <w:p>
      <w:pPr>
        <w:shd w:val="clear" w:color="auto" w:fill="FFFFFF"/>
        <w:snapToGrid w:val="0"/>
        <w:spacing w:line="360" w:lineRule="auto"/>
        <w:ind w:firstLine="2209" w:firstLineChars="50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项目编号：</w:t>
      </w:r>
      <w:r>
        <w:rPr>
          <w:rFonts w:hint="eastAsia" w:ascii="宋体" w:hAnsi="宋体" w:cs="宋体"/>
          <w:b/>
          <w:bCs/>
          <w:color w:val="auto"/>
          <w:sz w:val="44"/>
          <w:szCs w:val="44"/>
          <w:highlight w:val="none"/>
          <w:lang w:eastAsia="zh-CN"/>
        </w:rPr>
        <w:t xml:space="preserve"> </w:t>
      </w:r>
      <w:r>
        <w:rPr>
          <w:rFonts w:hint="eastAsia" w:ascii="宋体" w:hAnsi="宋体" w:eastAsia="宋体" w:cs="宋体"/>
          <w:b/>
          <w:bCs/>
          <w:color w:val="auto"/>
          <w:sz w:val="44"/>
          <w:szCs w:val="44"/>
          <w:highlight w:val="none"/>
          <w:lang w:eastAsia="zh-CN"/>
        </w:rPr>
        <w:t xml:space="preserve"> </w:t>
      </w:r>
      <w:r>
        <w:rPr>
          <w:rFonts w:hint="eastAsia" w:ascii="宋体" w:hAnsi="宋体" w:eastAsia="宋体" w:cs="宋体"/>
          <w:b/>
          <w:bCs/>
          <w:color w:val="auto"/>
          <w:sz w:val="44"/>
          <w:szCs w:val="44"/>
          <w:highlight w:val="none"/>
        </w:rPr>
        <w:t xml:space="preserve">     </w:t>
      </w:r>
    </w:p>
    <w:bookmarkEnd w:id="22"/>
    <w:bookmarkEnd w:id="23"/>
    <w:bookmarkEnd w:id="24"/>
    <w:bookmarkEnd w:id="25"/>
    <w:bookmarkEnd w:id="119"/>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ind w:firstLine="2160" w:firstLineChars="6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投标供应商全称：（加盖单位公章）</w:t>
      </w:r>
    </w:p>
    <w:p>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年   月   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0"/>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采购活动现场确认声明书</w:t>
      </w:r>
    </w:p>
    <w:p>
      <w:pPr>
        <w:pStyle w:val="30"/>
        <w:widowControl w:val="0"/>
        <w:snapToGrid w:val="0"/>
        <w:spacing w:line="500" w:lineRule="exact"/>
        <w:jc w:val="both"/>
        <w:rPr>
          <w:rFonts w:hint="eastAsia" w:ascii="宋体" w:hAnsi="宋体" w:eastAsia="宋体" w:cs="宋体"/>
          <w:color w:val="auto"/>
          <w:kern w:val="0"/>
          <w:sz w:val="28"/>
          <w:szCs w:val="28"/>
          <w:highlight w:val="none"/>
        </w:rPr>
      </w:pPr>
      <w:r>
        <w:rPr>
          <w:rFonts w:hint="eastAsia" w:ascii="宋体" w:hAnsi="宋体" w:eastAsia="宋体" w:cs="宋体"/>
          <w:b/>
          <w:color w:val="auto"/>
          <w:szCs w:val="24"/>
          <w:highlight w:val="none"/>
        </w:rPr>
        <w:t xml:space="preserve">              （</w:t>
      </w:r>
      <w:r>
        <w:rPr>
          <w:rFonts w:hint="eastAsia" w:ascii="宋体" w:hAnsi="宋体" w:eastAsia="宋体" w:cs="宋体"/>
          <w:color w:val="auto"/>
          <w:kern w:val="0"/>
          <w:highlight w:val="none"/>
        </w:rPr>
        <w:t>投标文件在线解密结束后，通过在线询标形式发送</w:t>
      </w:r>
      <w:r>
        <w:rPr>
          <w:rFonts w:hint="eastAsia" w:ascii="宋体" w:hAnsi="宋体" w:eastAsia="宋体" w:cs="宋体"/>
          <w:b/>
          <w:color w:val="auto"/>
          <w:szCs w:val="24"/>
          <w:highlight w:val="none"/>
        </w:rPr>
        <w:t>）</w:t>
      </w:r>
    </w:p>
    <w:p>
      <w:pPr>
        <w:pStyle w:val="30"/>
        <w:widowControl w:val="0"/>
        <w:snapToGrid w:val="0"/>
        <w:spacing w:line="440" w:lineRule="exact"/>
        <w:jc w:val="both"/>
        <w:rPr>
          <w:rFonts w:hint="eastAsia" w:ascii="宋体" w:hAnsi="宋体" w:eastAsia="宋体" w:cs="宋体"/>
          <w:bCs/>
          <w:color w:val="auto"/>
          <w:szCs w:val="24"/>
          <w:highlight w:val="none"/>
        </w:rPr>
      </w:pPr>
      <w:r>
        <w:rPr>
          <w:rFonts w:hint="eastAsia" w:ascii="宋体" w:hAnsi="宋体" w:eastAsia="宋体" w:cs="宋体"/>
          <w:color w:val="auto"/>
          <w:kern w:val="0"/>
          <w:szCs w:val="24"/>
          <w:highlight w:val="none"/>
        </w:rPr>
        <w:t xml:space="preserve"> </w:t>
      </w:r>
      <w:r>
        <w:rPr>
          <w:rFonts w:hint="eastAsia" w:hAnsi="宋体" w:cs="宋体"/>
          <w:color w:val="auto"/>
          <w:szCs w:val="24"/>
          <w:highlight w:val="none"/>
          <w:lang w:eastAsia="zh-CN"/>
        </w:rPr>
        <w:t>温州同筑工程管理有限公司</w:t>
      </w:r>
      <w:r>
        <w:rPr>
          <w:rFonts w:hint="eastAsia" w:ascii="宋体" w:hAnsi="宋体" w:eastAsia="宋体" w:cs="宋体"/>
          <w:color w:val="auto"/>
          <w:kern w:val="0"/>
          <w:szCs w:val="24"/>
          <w:highlight w:val="none"/>
        </w:rPr>
        <w:t>：</w:t>
      </w:r>
    </w:p>
    <w:p>
      <w:pPr>
        <w:pStyle w:val="30"/>
        <w:widowControl w:val="0"/>
        <w:snapToGrid w:val="0"/>
        <w:spacing w:line="240" w:lineRule="auto"/>
        <w:ind w:left="425" w:firstLine="504" w:firstLineChars="200"/>
        <w:jc w:val="both"/>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本人</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（授权代表姓名），经由</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（单位）</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（法定代表人姓名）合法授权参加</w:t>
      </w:r>
      <w:r>
        <w:rPr>
          <w:rFonts w:hint="eastAsia" w:hAnsi="宋体" w:cs="宋体"/>
          <w:color w:val="auto"/>
          <w:spacing w:val="6"/>
          <w:szCs w:val="24"/>
          <w:highlight w:val="none"/>
          <w:u w:val="single"/>
          <w:lang w:eastAsia="zh-CN"/>
        </w:rPr>
        <w:t>苍南县政务无人机一体化平台项目</w:t>
      </w:r>
      <w:r>
        <w:rPr>
          <w:rFonts w:hint="eastAsia" w:ascii="宋体" w:hAnsi="宋体" w:eastAsia="宋体" w:cs="宋体"/>
          <w:color w:val="auto"/>
          <w:spacing w:val="6"/>
          <w:szCs w:val="24"/>
          <w:highlight w:val="none"/>
        </w:rPr>
        <w:t>（编号：</w:t>
      </w:r>
      <w:r>
        <w:rPr>
          <w:rFonts w:hint="eastAsia" w:ascii="宋体" w:hAnsi="宋体" w:eastAsia="宋体" w:cs="宋体"/>
          <w:color w:val="auto"/>
          <w:highlight w:val="none"/>
        </w:rPr>
        <w:t xml:space="preserve"> </w:t>
      </w:r>
      <w:r>
        <w:rPr>
          <w:rFonts w:hint="eastAsia" w:hAnsi="宋体" w:cs="宋体"/>
          <w:color w:val="auto"/>
          <w:spacing w:val="6"/>
          <w:szCs w:val="24"/>
          <w:highlight w:val="none"/>
          <w:u w:val="single"/>
          <w:lang w:eastAsia="zh-CN"/>
        </w:rPr>
        <w:t xml:space="preserve"> </w:t>
      </w:r>
      <w:r>
        <w:rPr>
          <w:rFonts w:hint="eastAsia" w:ascii="宋体" w:hAnsi="宋体" w:eastAsia="宋体" w:cs="宋体"/>
          <w:color w:val="auto"/>
          <w:spacing w:val="6"/>
          <w:szCs w:val="24"/>
          <w:highlight w:val="none"/>
          <w:u w:val="single"/>
          <w:lang w:eastAsia="zh-CN"/>
        </w:rPr>
        <w:t xml:space="preserve"> </w:t>
      </w:r>
      <w:r>
        <w:rPr>
          <w:rFonts w:hint="eastAsia" w:ascii="宋体" w:hAnsi="宋体" w:eastAsia="宋体" w:cs="宋体"/>
          <w:color w:val="auto"/>
          <w:spacing w:val="6"/>
          <w:szCs w:val="24"/>
          <w:highlight w:val="none"/>
        </w:rPr>
        <w:t xml:space="preserve">）采购活动，经与本单位法人代表（负责人）联系确认，现就有关公平竞争事项郑重声明如下： </w:t>
      </w:r>
    </w:p>
    <w:p>
      <w:pPr>
        <w:pStyle w:val="31"/>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本单位与采购人之间 □不存在利害关系 □存在下列利害关系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pPr>
        <w:pStyle w:val="31"/>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A.投资关系    B.行政隶属关系    C.业务指导关系</w:t>
      </w:r>
    </w:p>
    <w:p>
      <w:pPr>
        <w:pStyle w:val="31"/>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D.其他可能</w:t>
      </w:r>
      <w:r>
        <w:rPr>
          <w:rFonts w:hint="eastAsia" w:ascii="宋体" w:hAnsi="宋体" w:eastAsia="宋体" w:cs="宋体"/>
          <w:color w:val="auto"/>
          <w:szCs w:val="24"/>
          <w:highlight w:val="none"/>
        </w:rPr>
        <w:t>影响采购公正的</w:t>
      </w:r>
      <w:r>
        <w:rPr>
          <w:rFonts w:hint="eastAsia" w:ascii="宋体" w:hAnsi="宋体" w:eastAsia="宋体" w:cs="宋体"/>
          <w:color w:val="auto"/>
          <w:kern w:val="0"/>
          <w:szCs w:val="24"/>
          <w:highlight w:val="none"/>
        </w:rPr>
        <w:t xml:space="preserve">利害关系（如有，请如实说明）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pPr>
        <w:pStyle w:val="31"/>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（供应商名称）之间存在下列利害关系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pPr>
        <w:pStyle w:val="30"/>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A.法定代表人或负责人或实际控制人是同一人</w:t>
      </w:r>
    </w:p>
    <w:p>
      <w:pPr>
        <w:pStyle w:val="30"/>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B.法定代表人或负责人或实际控制人是夫妻关系</w:t>
      </w:r>
    </w:p>
    <w:p>
      <w:pPr>
        <w:pStyle w:val="30"/>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C.法定代表人或负责人或实际控制人是直系血亲关系</w:t>
      </w:r>
    </w:p>
    <w:p>
      <w:pPr>
        <w:pStyle w:val="30"/>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D.法定代表人或负责人或实际控制人存在三代以内旁系血亲关系</w:t>
      </w:r>
    </w:p>
    <w:p>
      <w:pPr>
        <w:pStyle w:val="30"/>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E.法定代表人或负责人或实际控制人存在近姻亲关系</w:t>
      </w:r>
    </w:p>
    <w:p>
      <w:pPr>
        <w:pStyle w:val="30"/>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F.法定代表人或负责人或实际控制人存在股份控制或实际控制关系</w:t>
      </w:r>
    </w:p>
    <w:p>
      <w:pPr>
        <w:pStyle w:val="30"/>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G.存在共同直接或间接投资设立子公司、联营企业和合营企业情况</w:t>
      </w:r>
    </w:p>
    <w:p>
      <w:pPr>
        <w:pStyle w:val="30"/>
        <w:widowControl w:val="0"/>
        <w:snapToGrid w:val="0"/>
        <w:spacing w:line="240" w:lineRule="auto"/>
        <w:ind w:left="425"/>
        <w:jc w:val="both"/>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 xml:space="preserve">  H.存在分级代理或代销关系、同一生产制造商关系、</w:t>
      </w:r>
      <w:r>
        <w:rPr>
          <w:rFonts w:hint="eastAsia" w:ascii="宋体" w:hAnsi="宋体" w:eastAsia="宋体" w:cs="宋体"/>
          <w:color w:val="auto"/>
          <w:szCs w:val="24"/>
          <w:highlight w:val="none"/>
        </w:rPr>
        <w:t>管理关系、重要业务（占主营业务收入50%以上）或重要财务往来关系（如融资）等其他实质性控制关系</w:t>
      </w:r>
    </w:p>
    <w:p>
      <w:pPr>
        <w:pStyle w:val="30"/>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szCs w:val="24"/>
          <w:highlight w:val="none"/>
        </w:rPr>
        <w:t xml:space="preserve">  I</w:t>
      </w:r>
      <w:r>
        <w:rPr>
          <w:rFonts w:hint="eastAsia" w:ascii="宋体" w:hAnsi="宋体" w:eastAsia="宋体" w:cs="宋体"/>
          <w:color w:val="auto"/>
          <w:kern w:val="0"/>
          <w:szCs w:val="24"/>
          <w:highlight w:val="none"/>
        </w:rPr>
        <w:t>.</w:t>
      </w:r>
      <w:r>
        <w:rPr>
          <w:rFonts w:hint="eastAsia" w:ascii="宋体" w:hAnsi="宋体" w:eastAsia="宋体" w:cs="宋体"/>
          <w:color w:val="auto"/>
          <w:szCs w:val="24"/>
          <w:highlight w:val="none"/>
        </w:rPr>
        <w:t>其他利害关系情况</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kern w:val="0"/>
          <w:szCs w:val="24"/>
          <w:highlight w:val="none"/>
        </w:rPr>
        <w:t>。</w:t>
      </w:r>
    </w:p>
    <w:p>
      <w:pPr>
        <w:pStyle w:val="31"/>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现已清楚知道并</w:t>
      </w:r>
      <w:r>
        <w:rPr>
          <w:rFonts w:hint="eastAsia" w:ascii="宋体" w:hAnsi="宋体" w:eastAsia="宋体" w:cs="宋体"/>
          <w:color w:val="auto"/>
          <w:kern w:val="0"/>
          <w:szCs w:val="24"/>
          <w:highlight w:val="none"/>
        </w:rPr>
        <w:t>严格遵守采购法律法规和现场纪律。</w:t>
      </w:r>
    </w:p>
    <w:p>
      <w:pPr>
        <w:pStyle w:val="31"/>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我发现</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供应商之间存在或可能存在上述第二条第</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项利害关系。</w:t>
      </w:r>
    </w:p>
    <w:p>
      <w:pPr>
        <w:pStyle w:val="30"/>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pStyle w:val="30"/>
        <w:widowControl w:val="0"/>
        <w:snapToGrid w:val="0"/>
        <w:spacing w:line="240" w:lineRule="auto"/>
        <w:ind w:left="425" w:firstLine="4080" w:firstLineChars="17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（加盖单位公章）：</w:t>
      </w:r>
    </w:p>
    <w:p>
      <w:pPr>
        <w:pStyle w:val="30"/>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pPr>
        <w:snapToGrid w:val="0"/>
        <w:spacing w:line="360" w:lineRule="auto"/>
        <w:rPr>
          <w:rFonts w:hint="eastAsia" w:ascii="宋体" w:hAnsi="宋体" w:eastAsia="宋体" w:cs="宋体"/>
          <w:color w:val="auto"/>
          <w:highlight w:val="none"/>
        </w:rPr>
      </w:pPr>
    </w:p>
    <w:p>
      <w:pPr>
        <w:rPr>
          <w:color w:val="auto"/>
        </w:rPr>
      </w:pPr>
    </w:p>
    <w:sectPr>
      <w:headerReference r:id="rId5" w:type="default"/>
      <w:footerReference r:id="rId6" w:type="default"/>
      <w:footerReference r:id="rId7" w:type="even"/>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rPr>
        <w:rFonts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等线" w:cs="Times New Roman"/>
                            </w:rPr>
                          </w:pPr>
                          <w:r>
                            <w:rPr>
                              <w:rFonts w:hint="eastAsia" w:cs="Times New Roman"/>
                            </w:rPr>
                            <w:fldChar w:fldCharType="begin"/>
                          </w:r>
                          <w:r>
                            <w:rPr>
                              <w:rFonts w:hint="eastAsia" w:cs="Times New Roman"/>
                            </w:rPr>
                            <w:instrText xml:space="preserve"> PAGE  \* MERGEFORMAT </w:instrText>
                          </w:r>
                          <w:r>
                            <w:rPr>
                              <w:rFonts w:hint="eastAsia" w:cs="Times New Roman"/>
                            </w:rPr>
                            <w:fldChar w:fldCharType="separate"/>
                          </w:r>
                          <w:r>
                            <w:rPr>
                              <w:rFonts w:cs="Times New Roman"/>
                            </w:rPr>
                            <w:t>1</w:t>
                          </w:r>
                          <w:r>
                            <w:rPr>
                              <w:rFonts w:hint="eastAsia"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x6XMsBAACd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Xrt5Q4bnHk558/zr/+nH9/&#10;J9mJEvUBasy8DZibhvd+wMWZ/YDOzHxQ0eYvciIYR4FPF4HlkIjIj1bL1arCkMDYfEF8dv88REgf&#10;pLckGw2NOMEiLD9+gjSmzim5mvM32pgyReP+cyBm9rDc+9hjttKwGyZCO9+ekE+Pw2+ow12nxHx0&#10;qG3ek9mIs7GbjUOIet+VRcr1ILw7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y8elz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等线" w:cs="Times New Roman"/>
                      </w:rPr>
                    </w:pPr>
                    <w:r>
                      <w:rPr>
                        <w:rFonts w:hint="eastAsia" w:cs="Times New Roman"/>
                      </w:rPr>
                      <w:fldChar w:fldCharType="begin"/>
                    </w:r>
                    <w:r>
                      <w:rPr>
                        <w:rFonts w:hint="eastAsia" w:cs="Times New Roman"/>
                      </w:rPr>
                      <w:instrText xml:space="preserve"> PAGE  \* MERGEFORMAT </w:instrText>
                    </w:r>
                    <w:r>
                      <w:rPr>
                        <w:rFonts w:hint="eastAsia" w:cs="Times New Roman"/>
                      </w:rPr>
                      <w:fldChar w:fldCharType="separate"/>
                    </w:r>
                    <w:r>
                      <w:rPr>
                        <w:rFonts w:cs="Times New Roman"/>
                      </w:rPr>
                      <w:t>1</w:t>
                    </w:r>
                    <w:r>
                      <w:rPr>
                        <w:rFonts w:hint="eastAsia"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cs="Times New Roman"/>
                            </w:rPr>
                          </w:pPr>
                          <w:r>
                            <w:rPr>
                              <w:rFonts w:hint="eastAsia" w:cs="Times New Roman"/>
                            </w:rPr>
                            <w:fldChar w:fldCharType="begin"/>
                          </w:r>
                          <w:r>
                            <w:rPr>
                              <w:rFonts w:hint="eastAsia" w:cs="Times New Roman"/>
                            </w:rPr>
                            <w:instrText xml:space="preserve"> PAGE  \* MERGEFORMAT </w:instrText>
                          </w:r>
                          <w:r>
                            <w:rPr>
                              <w:rFonts w:hint="eastAsia" w:cs="Times New Roman"/>
                            </w:rPr>
                            <w:fldChar w:fldCharType="separate"/>
                          </w:r>
                          <w:r>
                            <w:rPr>
                              <w:rFonts w:cs="Times New Roman"/>
                            </w:rPr>
                            <w:t>38</w:t>
                          </w:r>
                          <w:r>
                            <w:rPr>
                              <w:rFonts w:hint="eastAsia"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Q448oBAACd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W9rShy3OPLL92+XH78uP7+S&#10;7ESJhgANZj4EzE3jGz/i4ix+QGdmPqpo8xc5EYyjwOerwHJMRORH63q9rjAkMLZcEJ89Pg8R0lvp&#10;LclGSyNOsAjLT+8hTalLSq7m/L02pkzRuL8ciJk9LPc+9ZitNO7HmdDed2fkM+DwW+pw1ykx7xxq&#10;m/dkMeJi7BfjGKI+9GWRcj0Ir48Jmyi95QoT7FwYp1bYzRuW1+LPe8l6/K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SQ448oBAACd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宋体" w:cs="Times New Roman"/>
                      </w:rPr>
                    </w:pPr>
                    <w:r>
                      <w:rPr>
                        <w:rFonts w:hint="eastAsia" w:cs="Times New Roman"/>
                      </w:rPr>
                      <w:fldChar w:fldCharType="begin"/>
                    </w:r>
                    <w:r>
                      <w:rPr>
                        <w:rFonts w:hint="eastAsia" w:cs="Times New Roman"/>
                      </w:rPr>
                      <w:instrText xml:space="preserve"> PAGE  \* MERGEFORMAT </w:instrText>
                    </w:r>
                    <w:r>
                      <w:rPr>
                        <w:rFonts w:hint="eastAsia" w:cs="Times New Roman"/>
                      </w:rPr>
                      <w:fldChar w:fldCharType="separate"/>
                    </w:r>
                    <w:r>
                      <w:rPr>
                        <w:rFonts w:cs="Times New Roman"/>
                      </w:rPr>
                      <w:t>38</w:t>
                    </w:r>
                    <w:r>
                      <w:rPr>
                        <w:rFonts w:hint="eastAsia"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20"/>
                              <w:rFonts w:cs="Times New Roman"/>
                            </w:rPr>
                          </w:pPr>
                          <w:r>
                            <w:rPr>
                              <w:rFonts w:cs="Times New Roman"/>
                            </w:rPr>
                            <w:fldChar w:fldCharType="begin"/>
                          </w:r>
                          <w:r>
                            <w:rPr>
                              <w:rStyle w:val="20"/>
                              <w:rFonts w:eastAsia="宋体" w:cs="Times New Roman"/>
                            </w:rPr>
                            <w:instrText xml:space="preserve">PAGE  </w:instrText>
                          </w:r>
                          <w:r>
                            <w:rPr>
                              <w:rFonts w:cs="Times New Roman"/>
                            </w:rPr>
                            <w:fldChar w:fldCharType="separate"/>
                          </w:r>
                          <w:r>
                            <w:rPr>
                              <w:rStyle w:val="20"/>
                              <w:rFonts w:eastAsia="宋体" w:cs="Times New Roman"/>
                            </w:rPr>
                            <w:t>63</w:t>
                          </w:r>
                          <w:r>
                            <w:rPr>
                              <w:rFonts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UZ58sBAACd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Xb15Q4bnHk558/zr/+nH9/&#10;J9mJEvUBasy8DZibhvd+wMWZ/YDOzHxQ0eYvciIYR4FPF4HlkIjIj1bL1arCkMDYfEF8dv88REgf&#10;pLckGw2NOMEiLD9+gjSmzim5mvM32pgyReP+cyBm9rDc+9hjttKwGyZCO9+ekE+Pw2+ow12nxHx0&#10;qG3ek9mIs7GbjUOIet+VRcr1ILw7JGyi9JYrjLBTYZxaYTdtWF6Lf+8l6/6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cFGefLAQAAnQMAAA4AAAAAAAAAAQAgAAAAHgEAAGRycy9lMm9E&#10;b2MueG1sUEsFBgAAAAAGAAYAWQEAAFsFAAAAAA==&#10;">
              <v:fill on="f" focussize="0,0"/>
              <v:stroke on="f"/>
              <v:imagedata o:title=""/>
              <o:lock v:ext="edit" aspectratio="f"/>
              <v:textbox inset="0mm,0mm,0mm,0mm" style="mso-fit-shape-to-text:t;">
                <w:txbxContent>
                  <w:p>
                    <w:pPr>
                      <w:pStyle w:val="9"/>
                      <w:rPr>
                        <w:rStyle w:val="20"/>
                        <w:rFonts w:cs="Times New Roman"/>
                      </w:rPr>
                    </w:pPr>
                    <w:r>
                      <w:rPr>
                        <w:rFonts w:cs="Times New Roman"/>
                      </w:rPr>
                      <w:fldChar w:fldCharType="begin"/>
                    </w:r>
                    <w:r>
                      <w:rPr>
                        <w:rStyle w:val="20"/>
                        <w:rFonts w:eastAsia="宋体" w:cs="Times New Roman"/>
                      </w:rPr>
                      <w:instrText xml:space="preserve">PAGE  </w:instrText>
                    </w:r>
                    <w:r>
                      <w:rPr>
                        <w:rFonts w:cs="Times New Roman"/>
                      </w:rPr>
                      <w:fldChar w:fldCharType="separate"/>
                    </w:r>
                    <w:r>
                      <w:rPr>
                        <w:rStyle w:val="20"/>
                        <w:rFonts w:eastAsia="宋体" w:cs="Times New Roman"/>
                      </w:rPr>
                      <w:t>63</w:t>
                    </w:r>
                    <w:r>
                      <w:rPr>
                        <w:rFonts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Fonts w:cs="Times New Roman"/>
      </w:rPr>
    </w:pPr>
    <w:r>
      <w:rPr>
        <w:rFonts w:cs="Times New Roman"/>
      </w:rPr>
      <w:fldChar w:fldCharType="begin"/>
    </w:r>
    <w:r>
      <w:rPr>
        <w:rStyle w:val="20"/>
        <w:rFonts w:eastAsia="宋体" w:cs="Times New Roman"/>
      </w:rPr>
      <w:instrText xml:space="preserve">PAGE  </w:instrText>
    </w:r>
    <w:r>
      <w:rPr>
        <w:rFonts w:cs="Times New Roma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1366A"/>
    <w:multiLevelType w:val="singleLevel"/>
    <w:tmpl w:val="8341366A"/>
    <w:lvl w:ilvl="0" w:tentative="0">
      <w:start w:val="2"/>
      <w:numFmt w:val="decimal"/>
      <w:suff w:val="nothing"/>
      <w:lvlText w:val="（%1）"/>
      <w:lvlJc w:val="left"/>
    </w:lvl>
  </w:abstractNum>
  <w:abstractNum w:abstractNumId="1">
    <w:nsid w:val="85FD8544"/>
    <w:multiLevelType w:val="singleLevel"/>
    <w:tmpl w:val="85FD8544"/>
    <w:lvl w:ilvl="0" w:tentative="0">
      <w:start w:val="1"/>
      <w:numFmt w:val="decimal"/>
      <w:lvlText w:val="%1)"/>
      <w:lvlJc w:val="left"/>
      <w:pPr>
        <w:ind w:left="425" w:hanging="425"/>
      </w:pPr>
      <w:rPr>
        <w:rFonts w:hint="default"/>
      </w:rPr>
    </w:lvl>
  </w:abstractNum>
  <w:abstractNum w:abstractNumId="2">
    <w:nsid w:val="B87AFEFF"/>
    <w:multiLevelType w:val="singleLevel"/>
    <w:tmpl w:val="B87AFEFF"/>
    <w:lvl w:ilvl="0" w:tentative="0">
      <w:start w:val="3"/>
      <w:numFmt w:val="chineseCounting"/>
      <w:suff w:val="space"/>
      <w:lvlText w:val="第%1部分"/>
      <w:lvlJc w:val="left"/>
      <w:rPr>
        <w:rFonts w:hint="eastAsia"/>
        <w:sz w:val="32"/>
        <w:szCs w:val="32"/>
      </w:rPr>
    </w:lvl>
  </w:abstractNum>
  <w:abstractNum w:abstractNumId="3">
    <w:nsid w:val="BBDE56A7"/>
    <w:multiLevelType w:val="singleLevel"/>
    <w:tmpl w:val="BBDE56A7"/>
    <w:lvl w:ilvl="0" w:tentative="0">
      <w:start w:val="2"/>
      <w:numFmt w:val="decimal"/>
      <w:suff w:val="nothing"/>
      <w:lvlText w:val="%1、"/>
      <w:lvlJc w:val="left"/>
    </w:lvl>
  </w:abstractNum>
  <w:abstractNum w:abstractNumId="4">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5">
    <w:nsid w:val="268C10F6"/>
    <w:multiLevelType w:val="multilevel"/>
    <w:tmpl w:val="268C10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F84D04"/>
    <w:multiLevelType w:val="singleLevel"/>
    <w:tmpl w:val="59F84D04"/>
    <w:lvl w:ilvl="0" w:tentative="0">
      <w:start w:val="1"/>
      <w:numFmt w:val="chineseCounting"/>
      <w:suff w:val="nothing"/>
      <w:lvlText w:val="%1、"/>
      <w:lvlJc w:val="left"/>
    </w:lvl>
  </w:abstractNum>
  <w:abstractNum w:abstractNumId="9">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765316F3"/>
    <w:multiLevelType w:val="multilevel"/>
    <w:tmpl w:val="765316F3"/>
    <w:lvl w:ilvl="0" w:tentative="0">
      <w:start w:val="1"/>
      <w:numFmt w:val="chineseCountingThousand"/>
      <w:pStyle w:val="3"/>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0"/>
  </w:num>
  <w:num w:numId="8">
    <w:abstractNumId w:val="8"/>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YTdmNjQ1YTU1OGMyM2VhZDAxOWZmOTE5OGUyNzAifQ=="/>
  </w:docVars>
  <w:rsids>
    <w:rsidRoot w:val="6FE94DDF"/>
    <w:rsid w:val="018444E6"/>
    <w:rsid w:val="044A471A"/>
    <w:rsid w:val="04AB0476"/>
    <w:rsid w:val="05445D91"/>
    <w:rsid w:val="056A2234"/>
    <w:rsid w:val="078E7233"/>
    <w:rsid w:val="09267C87"/>
    <w:rsid w:val="0A00672A"/>
    <w:rsid w:val="0E1F3CA3"/>
    <w:rsid w:val="0FD3177D"/>
    <w:rsid w:val="11CA7308"/>
    <w:rsid w:val="137C39E2"/>
    <w:rsid w:val="13FE67B9"/>
    <w:rsid w:val="14C21A25"/>
    <w:rsid w:val="151D1073"/>
    <w:rsid w:val="1644541F"/>
    <w:rsid w:val="165878EE"/>
    <w:rsid w:val="1A9C7F96"/>
    <w:rsid w:val="1BDF0A42"/>
    <w:rsid w:val="1C200F6C"/>
    <w:rsid w:val="1D55664E"/>
    <w:rsid w:val="1F0771A2"/>
    <w:rsid w:val="210800A6"/>
    <w:rsid w:val="21151CEC"/>
    <w:rsid w:val="229B303C"/>
    <w:rsid w:val="23535F24"/>
    <w:rsid w:val="2541744C"/>
    <w:rsid w:val="25F42302"/>
    <w:rsid w:val="25FA6BAC"/>
    <w:rsid w:val="276D21F3"/>
    <w:rsid w:val="27B44596"/>
    <w:rsid w:val="2ADE61BC"/>
    <w:rsid w:val="2C7B7B25"/>
    <w:rsid w:val="2CF65B93"/>
    <w:rsid w:val="2F726C5C"/>
    <w:rsid w:val="30322DED"/>
    <w:rsid w:val="305331A8"/>
    <w:rsid w:val="33736B77"/>
    <w:rsid w:val="369A5916"/>
    <w:rsid w:val="383A02C8"/>
    <w:rsid w:val="39B73536"/>
    <w:rsid w:val="3BEA7C12"/>
    <w:rsid w:val="3C59317D"/>
    <w:rsid w:val="3CEA6C43"/>
    <w:rsid w:val="3EB5502E"/>
    <w:rsid w:val="3F6B518D"/>
    <w:rsid w:val="422229DB"/>
    <w:rsid w:val="47970BD3"/>
    <w:rsid w:val="4AB10DA0"/>
    <w:rsid w:val="4B04234B"/>
    <w:rsid w:val="4BBF7F73"/>
    <w:rsid w:val="4DD575EF"/>
    <w:rsid w:val="50F74679"/>
    <w:rsid w:val="519F5DF6"/>
    <w:rsid w:val="52224331"/>
    <w:rsid w:val="52716819"/>
    <w:rsid w:val="52E22309"/>
    <w:rsid w:val="53177C0E"/>
    <w:rsid w:val="537E2888"/>
    <w:rsid w:val="53D035D9"/>
    <w:rsid w:val="5894696D"/>
    <w:rsid w:val="59A6512E"/>
    <w:rsid w:val="5BB41EE3"/>
    <w:rsid w:val="5CD54DC2"/>
    <w:rsid w:val="5DD010E5"/>
    <w:rsid w:val="5E33378D"/>
    <w:rsid w:val="604B1504"/>
    <w:rsid w:val="61FF3389"/>
    <w:rsid w:val="62F21981"/>
    <w:rsid w:val="655E7294"/>
    <w:rsid w:val="687975D8"/>
    <w:rsid w:val="69846066"/>
    <w:rsid w:val="6A9B5BAB"/>
    <w:rsid w:val="6B0B7C00"/>
    <w:rsid w:val="6BE95E44"/>
    <w:rsid w:val="6FE94DDF"/>
    <w:rsid w:val="70A865E0"/>
    <w:rsid w:val="721F2328"/>
    <w:rsid w:val="74491C61"/>
    <w:rsid w:val="75E1612D"/>
    <w:rsid w:val="79254583"/>
    <w:rsid w:val="792D01EC"/>
    <w:rsid w:val="79B37DE1"/>
    <w:rsid w:val="7A5C01B2"/>
    <w:rsid w:val="7B9B4FDB"/>
    <w:rsid w:val="7D584F27"/>
    <w:rsid w:val="7EF56893"/>
    <w:rsid w:val="7F276137"/>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widowControl/>
      <w:spacing w:line="360" w:lineRule="auto"/>
      <w:jc w:val="center"/>
      <w:outlineLvl w:val="0"/>
    </w:pPr>
    <w:rPr>
      <w:rFonts w:ascii="??" w:hAnsi="??" w:eastAsia="??" w:cs="宋体"/>
      <w:b/>
      <w:kern w:val="36"/>
      <w:sz w:val="32"/>
      <w:szCs w:val="28"/>
      <w:lang w:val="en-US" w:eastAsia="zh-CN" w:bidi="ar-SA"/>
    </w:rPr>
  </w:style>
  <w:style w:type="paragraph" w:styleId="3">
    <w:name w:val="heading 2"/>
    <w:basedOn w:val="1"/>
    <w:next w:val="1"/>
    <w:qFormat/>
    <w:uiPriority w:val="0"/>
    <w:pPr>
      <w:keepNext/>
      <w:keepLines/>
      <w:widowControl w:val="0"/>
      <w:numPr>
        <w:ilvl w:val="0"/>
        <w:numId w:val="1"/>
      </w:numPr>
      <w:tabs>
        <w:tab w:val="left" w:pos="706"/>
      </w:tabs>
      <w:spacing w:line="360" w:lineRule="auto"/>
      <w:jc w:val="both"/>
      <w:outlineLvl w:val="1"/>
    </w:pPr>
    <w:rPr>
      <w:rFonts w:ascii="Arial" w:hAnsi="Arial" w:eastAsia="??" w:cs="Arial"/>
      <w:b/>
      <w:bCs/>
      <w:kern w:val="2"/>
      <w:sz w:val="21"/>
      <w:szCs w:val="32"/>
      <w:lang w:val="en-US" w:eastAsia="zh-CN" w:bidi="ar-SA"/>
    </w:rPr>
  </w:style>
  <w:style w:type="paragraph" w:styleId="4">
    <w:name w:val="heading 3"/>
    <w:next w:val="1"/>
    <w:qFormat/>
    <w:uiPriority w:val="0"/>
    <w:pPr>
      <w:keepNext/>
      <w:keepLines/>
      <w:widowControl/>
      <w:numPr>
        <w:ilvl w:val="2"/>
        <w:numId w:val="2"/>
      </w:numPr>
      <w:spacing w:before="120" w:after="120" w:line="360" w:lineRule="auto"/>
      <w:jc w:val="center"/>
      <w:outlineLvl w:val="2"/>
    </w:pPr>
    <w:rPr>
      <w:rFonts w:ascii="Times New Roman" w:hAnsi="Times New Roman" w:eastAsia="??" w:cs="Times New Roman"/>
      <w:b/>
      <w:kern w:val="0"/>
      <w:sz w:val="32"/>
      <w:szCs w:val="28"/>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jc w:val="both"/>
    </w:pPr>
    <w:rPr>
      <w:rFonts w:ascii="等线" w:hAnsi="等线" w:eastAsia="??" w:cs="Times New Roman"/>
      <w:kern w:val="2"/>
      <w:sz w:val="24"/>
      <w:szCs w:val="28"/>
      <w:lang w:val="en-US" w:eastAsia="zh-CN" w:bidi="ar-SA"/>
    </w:rPr>
  </w:style>
  <w:style w:type="paragraph" w:styleId="6">
    <w:name w:val="Body Text Indent"/>
    <w:next w:val="1"/>
    <w:qFormat/>
    <w:uiPriority w:val="0"/>
    <w:pPr>
      <w:widowControl w:val="0"/>
      <w:spacing w:line="480" w:lineRule="atLeast"/>
      <w:ind w:firstLine="570"/>
      <w:jc w:val="both"/>
    </w:pPr>
    <w:rPr>
      <w:rFonts w:ascii="??" w:hAnsi="??" w:eastAsia="??" w:cs="Times New Roman"/>
      <w:kern w:val="2"/>
      <w:sz w:val="28"/>
      <w:szCs w:val="28"/>
      <w:lang w:val="en-US" w:eastAsia="zh-CN" w:bidi="ar-SA"/>
    </w:rPr>
  </w:style>
  <w:style w:type="paragraph" w:styleId="7">
    <w:name w:val="Plain Text"/>
    <w:basedOn w:val="1"/>
    <w:next w:val="8"/>
    <w:qFormat/>
    <w:uiPriority w:val="0"/>
    <w:pPr>
      <w:widowControl w:val="0"/>
      <w:jc w:val="both"/>
    </w:pPr>
    <w:rPr>
      <w:rFonts w:ascii="??" w:hAnsi="??" w:eastAsia="??" w:cs="Times New Roman"/>
      <w:kern w:val="2"/>
      <w:sz w:val="21"/>
      <w:szCs w:val="21"/>
      <w:lang w:val="en-US" w:eastAsia="zh-CN" w:bidi="ar-SA"/>
    </w:rPr>
  </w:style>
  <w:style w:type="paragraph" w:styleId="8">
    <w:name w:val="toc 2"/>
    <w:basedOn w:val="1"/>
    <w:next w:val="1"/>
    <w:qFormat/>
    <w:uiPriority w:val="39"/>
    <w:pPr>
      <w:widowControl w:val="0"/>
      <w:ind w:left="210"/>
      <w:jc w:val="left"/>
    </w:pPr>
    <w:rPr>
      <w:rFonts w:ascii="等线" w:hAnsi="等线" w:eastAsia="宋体" w:cs="Times New Roman"/>
      <w:smallCaps/>
      <w:kern w:val="2"/>
      <w:sz w:val="20"/>
      <w:szCs w:val="20"/>
      <w:lang w:val="en-US" w:eastAsia="zh-CN" w:bidi="ar-SA"/>
    </w:rPr>
  </w:style>
  <w:style w:type="paragraph" w:styleId="9">
    <w:name w:val="footer"/>
    <w:basedOn w:val="1"/>
    <w:next w:val="10"/>
    <w:qFormat/>
    <w:uiPriority w:val="0"/>
    <w:pPr>
      <w:widowControl w:val="0"/>
      <w:tabs>
        <w:tab w:val="center" w:pos="4153"/>
        <w:tab w:val="right" w:pos="8306"/>
      </w:tabs>
      <w:snapToGrid w:val="0"/>
      <w:jc w:val="left"/>
    </w:pPr>
    <w:rPr>
      <w:rFonts w:ascii="Times New Roman" w:hAnsi="Times New Roman" w:eastAsia="??" w:cs="Times New Roman"/>
      <w:kern w:val="2"/>
      <w:sz w:val="18"/>
      <w:szCs w:val="28"/>
      <w:lang w:val="en-US" w:eastAsia="zh-CN" w:bidi="ar-SA"/>
    </w:rPr>
  </w:style>
  <w:style w:type="paragraph" w:customStyle="1" w:styleId="10">
    <w:name w:val="TOC Heading1"/>
    <w:next w:val="1"/>
    <w:qFormat/>
    <w:uiPriority w:val="0"/>
    <w:pPr>
      <w:wordWrap w:val="0"/>
    </w:pPr>
    <w:rPr>
      <w:rFonts w:ascii="Calibri" w:hAnsi="Calibri" w:eastAsia="宋体" w:cs="Times New Roman"/>
      <w:sz w:val="32"/>
      <w:lang w:val="en-US" w:eastAsia="zh-CN" w:bidi="ar-SA"/>
    </w:rPr>
  </w:style>
  <w:style w:type="paragraph" w:styleId="11">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 w:cs="Times New Roman"/>
      <w:kern w:val="2"/>
      <w:sz w:val="18"/>
      <w:szCs w:val="28"/>
      <w:lang w:val="en-US" w:eastAsia="zh-CN" w:bidi="ar-SA"/>
    </w:rPr>
  </w:style>
  <w:style w:type="paragraph" w:styleId="12">
    <w:name w:val="toc 1"/>
    <w:next w:val="1"/>
    <w:qFormat/>
    <w:uiPriority w:val="39"/>
    <w:pPr>
      <w:widowControl w:val="0"/>
      <w:spacing w:before="120" w:after="120"/>
      <w:jc w:val="left"/>
    </w:pPr>
    <w:rPr>
      <w:rFonts w:ascii="等线" w:hAnsi="等线" w:eastAsia="宋体" w:cs="Times New Roman"/>
      <w:b/>
      <w:bCs/>
      <w:caps/>
      <w:kern w:val="2"/>
      <w:sz w:val="20"/>
      <w:szCs w:val="20"/>
      <w:lang w:val="en-US" w:eastAsia="zh-CN" w:bidi="ar-SA"/>
    </w:rPr>
  </w:style>
  <w:style w:type="paragraph" w:styleId="13">
    <w:name w:val="toc 6"/>
    <w:basedOn w:val="1"/>
    <w:next w:val="1"/>
    <w:qFormat/>
    <w:uiPriority w:val="0"/>
    <w:pPr>
      <w:ind w:left="2100"/>
    </w:pPr>
    <w:rPr>
      <w:rFonts w:ascii="Times New Roman" w:hAnsi="Times New Roman" w:cs="Times New Roman"/>
      <w:kern w:val="2"/>
      <w:szCs w:val="20"/>
      <w:lang w:bidi="ar-SA"/>
    </w:rPr>
  </w:style>
  <w:style w:type="paragraph" w:styleId="14">
    <w:name w:val="Normal (Web)"/>
    <w:qFormat/>
    <w:uiPriority w:val="0"/>
    <w:pPr>
      <w:widowControl/>
      <w:spacing w:before="100" w:beforeAutospacing="1" w:after="100" w:afterAutospacing="1"/>
      <w:jc w:val="left"/>
    </w:pPr>
    <w:rPr>
      <w:rFonts w:ascii="??" w:hAnsi="??" w:eastAsia="??" w:cs="宋体"/>
      <w:kern w:val="0"/>
      <w:sz w:val="24"/>
      <w:szCs w:val="24"/>
      <w:lang w:val="en-US" w:eastAsia="zh-CN" w:bidi="ar-SA"/>
    </w:rPr>
  </w:style>
  <w:style w:type="paragraph" w:styleId="15">
    <w:name w:val="Body Text First Indent"/>
    <w:basedOn w:val="5"/>
    <w:next w:val="1"/>
    <w:qFormat/>
    <w:uiPriority w:val="0"/>
    <w:pPr>
      <w:widowControl w:val="0"/>
      <w:autoSpaceDE w:val="0"/>
      <w:autoSpaceDN w:val="0"/>
      <w:adjustRightInd w:val="0"/>
      <w:spacing w:line="360" w:lineRule="auto"/>
      <w:ind w:firstLine="420"/>
      <w:jc w:val="both"/>
    </w:pPr>
    <w:rPr>
      <w:rFonts w:ascii="宋体" w:hAnsi="Times New Roman" w:eastAsia="宋体" w:cs="Times New Roman"/>
      <w:kern w:val="2"/>
      <w:sz w:val="24"/>
      <w:szCs w:val="20"/>
      <w:lang w:val="zh-CN" w:eastAsia="zh-CN" w:bidi="ar-SA"/>
    </w:rPr>
  </w:style>
  <w:style w:type="paragraph" w:styleId="16">
    <w:name w:val="Body Text First Indent 2"/>
    <w:next w:val="15"/>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21"/>
      <w:szCs w:val="20"/>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首行缩进"/>
    <w:basedOn w:val="1"/>
    <w:qFormat/>
    <w:uiPriority w:val="0"/>
    <w:pPr>
      <w:ind w:firstLine="480" w:firstLineChars="200"/>
    </w:pPr>
    <w:rPr>
      <w:lang w:val="zh-CN"/>
    </w:rPr>
  </w:style>
  <w:style w:type="paragraph" w:customStyle="1" w:styleId="23">
    <w:name w:val="表格文字"/>
    <w:basedOn w:val="1"/>
    <w:next w:val="5"/>
    <w:qFormat/>
    <w:uiPriority w:val="0"/>
    <w:pPr>
      <w:jc w:val="left"/>
      <w:textAlignment w:val="top"/>
    </w:pPr>
    <w:rPr>
      <w:sz w:val="18"/>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customStyle="1" w:styleId="25">
    <w:name w:val="样式 宋体 小四 行距: 1.5 倍行距 首行缩进:  2 字符"/>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customStyle="1" w:styleId="26">
    <w:name w:val="正文2"/>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28">
    <w:name w:val="Default"/>
    <w:next w:val="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9">
    <w:name w:val="List Paragraph"/>
    <w:basedOn w:val="1"/>
    <w:qFormat/>
    <w:uiPriority w:val="0"/>
    <w:pPr>
      <w:widowControl w:val="0"/>
      <w:ind w:firstLine="420" w:firstLineChars="200"/>
      <w:jc w:val="both"/>
    </w:pPr>
    <w:rPr>
      <w:rFonts w:ascii="等线" w:hAnsi="等线" w:eastAsia="宋体" w:cs="Times New Roman"/>
      <w:kern w:val="2"/>
      <w:sz w:val="21"/>
      <w:szCs w:val="20"/>
      <w:lang w:val="en-US" w:eastAsia="zh-CN" w:bidi="ar-SA"/>
    </w:rPr>
  </w:style>
  <w:style w:type="paragraph" w:customStyle="1" w:styleId="30">
    <w:name w:val="纯文本1"/>
    <w:qFormat/>
    <w:uiPriority w:val="99"/>
    <w:pPr>
      <w:widowControl/>
      <w:spacing w:before="156" w:line="360" w:lineRule="auto"/>
      <w:ind w:left="426"/>
      <w:jc w:val="left"/>
    </w:pPr>
    <w:rPr>
      <w:rFonts w:ascii="宋体" w:hAnsi="Courier New" w:eastAsia="宋体" w:cs="宋体"/>
      <w:kern w:val="2"/>
      <w:sz w:val="24"/>
      <w:szCs w:val="20"/>
      <w:lang w:val="en-US" w:eastAsia="zh-CN" w:bidi="ar-SA"/>
    </w:rPr>
  </w:style>
  <w:style w:type="paragraph" w:customStyle="1" w:styleId="31">
    <w:name w:val="正文1"/>
    <w:next w:val="1"/>
    <w:qFormat/>
    <w:uiPriority w:val="0"/>
    <w:pPr>
      <w:widowControl w:val="0"/>
      <w:spacing w:before="156" w:line="360" w:lineRule="auto"/>
      <w:ind w:left="426"/>
      <w:jc w:val="both"/>
    </w:pPr>
    <w:rPr>
      <w:rFonts w:ascii="等线" w:hAnsi="等线" w:eastAsia="宋体" w:cs="Times New Roman"/>
      <w:kern w:val="2"/>
      <w:sz w:val="24"/>
      <w:szCs w:val="20"/>
      <w:lang w:val="en-US" w:eastAsia="zh-CN" w:bidi="ar-SA"/>
    </w:rPr>
  </w:style>
  <w:style w:type="paragraph" w:customStyle="1" w:styleId="32">
    <w:name w:val="Other|1"/>
    <w:basedOn w:val="1"/>
    <w:qFormat/>
    <w:uiPriority w:val="0"/>
    <w:pPr>
      <w:widowControl w:val="0"/>
      <w:shd w:val="clear" w:color="auto" w:fill="auto"/>
      <w:spacing w:before="600" w:after="600"/>
      <w:jc w:val="center"/>
    </w:pPr>
    <w:rPr>
      <w:rFonts w:ascii="宋体" w:hAnsi="宋体" w:eastAsia="宋体" w:cs="宋体"/>
      <w:sz w:val="32"/>
      <w:szCs w:val="32"/>
      <w:u w:val="single"/>
      <w:shd w:val="clear" w:color="auto" w:fill="auto"/>
      <w:lang w:val="zh-TW" w:eastAsia="zh-TW" w:bidi="zh-TW"/>
    </w:rPr>
  </w:style>
  <w:style w:type="character" w:customStyle="1" w:styleId="33">
    <w:name w:val="font91"/>
    <w:basedOn w:val="19"/>
    <w:qFormat/>
    <w:uiPriority w:val="0"/>
    <w:rPr>
      <w:rFonts w:hint="eastAsia" w:ascii="宋体" w:hAnsi="宋体" w:eastAsia="宋体" w:cs="宋体"/>
      <w:b/>
      <w:bCs/>
      <w:color w:val="000000"/>
      <w:sz w:val="20"/>
      <w:szCs w:val="20"/>
      <w:u w:val="none"/>
    </w:rPr>
  </w:style>
  <w:style w:type="character" w:customStyle="1" w:styleId="34">
    <w:name w:val="font191"/>
    <w:basedOn w:val="19"/>
    <w:qFormat/>
    <w:uiPriority w:val="0"/>
    <w:rPr>
      <w:rFonts w:hint="eastAsia" w:ascii="宋体" w:hAnsi="宋体" w:eastAsia="宋体" w:cs="宋体"/>
      <w:color w:val="000000"/>
      <w:sz w:val="18"/>
      <w:szCs w:val="18"/>
      <w:u w:val="none"/>
    </w:rPr>
  </w:style>
  <w:style w:type="character" w:customStyle="1" w:styleId="35">
    <w:name w:val="font481"/>
    <w:basedOn w:val="19"/>
    <w:qFormat/>
    <w:uiPriority w:val="0"/>
    <w:rPr>
      <w:rFonts w:hint="default" w:ascii="Times New Roman" w:hAnsi="Times New Roman" w:cs="Times New Roman"/>
      <w:color w:val="000000"/>
      <w:sz w:val="18"/>
      <w:szCs w:val="18"/>
      <w:u w:val="none"/>
    </w:rPr>
  </w:style>
  <w:style w:type="character" w:customStyle="1" w:styleId="36">
    <w:name w:val="font151"/>
    <w:basedOn w:val="19"/>
    <w:qFormat/>
    <w:uiPriority w:val="0"/>
    <w:rPr>
      <w:rFonts w:ascii="Arial" w:hAnsi="Arial" w:cs="Arial"/>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0"/>
      <w:szCs w:val="20"/>
      <w:u w:val="none"/>
    </w:rPr>
  </w:style>
  <w:style w:type="character" w:customStyle="1" w:styleId="38">
    <w:name w:val="font61"/>
    <w:basedOn w:val="19"/>
    <w:qFormat/>
    <w:uiPriority w:val="0"/>
    <w:rPr>
      <w:rFonts w:hint="eastAsia" w:ascii="宋体" w:hAnsi="宋体" w:eastAsia="宋体" w:cs="宋体"/>
      <w:color w:val="000000"/>
      <w:sz w:val="20"/>
      <w:szCs w:val="20"/>
      <w:u w:val="none"/>
    </w:rPr>
  </w:style>
  <w:style w:type="character" w:customStyle="1" w:styleId="39">
    <w:name w:val="font41"/>
    <w:basedOn w:val="19"/>
    <w:qFormat/>
    <w:uiPriority w:val="0"/>
    <w:rPr>
      <w:rFonts w:hint="eastAsia" w:ascii="宋体" w:hAnsi="宋体" w:eastAsia="宋体" w:cs="宋体"/>
      <w:color w:val="000000"/>
      <w:sz w:val="18"/>
      <w:szCs w:val="18"/>
      <w:u w:val="none"/>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21"/>
    <w:basedOn w:val="19"/>
    <w:qFormat/>
    <w:uiPriority w:val="0"/>
    <w:rPr>
      <w:rFonts w:hint="eastAsia" w:ascii="宋体" w:hAnsi="宋体" w:eastAsia="宋体" w:cs="宋体"/>
      <w:color w:val="000000"/>
      <w:sz w:val="18"/>
      <w:szCs w:val="18"/>
      <w:u w:val="none"/>
    </w:rPr>
  </w:style>
  <w:style w:type="character" w:customStyle="1" w:styleId="42">
    <w:name w:val="font51"/>
    <w:basedOn w:val="19"/>
    <w:qFormat/>
    <w:uiPriority w:val="0"/>
    <w:rPr>
      <w:rFonts w:hint="eastAsia" w:ascii="宋体" w:hAnsi="宋体" w:eastAsia="宋体" w:cs="宋体"/>
      <w:color w:val="000000"/>
      <w:sz w:val="20"/>
      <w:szCs w:val="20"/>
      <w:u w:val="none"/>
    </w:rPr>
  </w:style>
  <w:style w:type="character" w:customStyle="1" w:styleId="43">
    <w:name w:val="font161"/>
    <w:basedOn w:val="19"/>
    <w:qFormat/>
    <w:uiPriority w:val="0"/>
    <w:rPr>
      <w:rFonts w:hint="default" w:ascii="Times New Roman" w:hAnsi="Times New Roman" w:cs="Times New Roman"/>
      <w:color w:val="000000"/>
      <w:sz w:val="20"/>
      <w:szCs w:val="20"/>
      <w:u w:val="none"/>
    </w:rPr>
  </w:style>
  <w:style w:type="character" w:customStyle="1" w:styleId="44">
    <w:name w:val="font112"/>
    <w:basedOn w:val="19"/>
    <w:qFormat/>
    <w:uiPriority w:val="0"/>
    <w:rPr>
      <w:rFonts w:hint="default" w:ascii="Times New Roman" w:hAnsi="Times New Roman" w:cs="Times New Roman"/>
      <w:color w:val="000000"/>
      <w:sz w:val="20"/>
      <w:szCs w:val="20"/>
      <w:u w:val="none"/>
    </w:rPr>
  </w:style>
  <w:style w:type="character" w:customStyle="1" w:styleId="45">
    <w:name w:val="font01"/>
    <w:basedOn w:val="19"/>
    <w:qFormat/>
    <w:uiPriority w:val="0"/>
    <w:rPr>
      <w:rFonts w:hint="eastAsia" w:ascii="宋体" w:hAnsi="宋体" w:eastAsia="宋体" w:cs="宋体"/>
      <w:color w:val="000000"/>
      <w:sz w:val="22"/>
      <w:szCs w:val="22"/>
      <w:u w:val="none"/>
    </w:rPr>
  </w:style>
  <w:style w:type="character" w:customStyle="1" w:styleId="46">
    <w:name w:val="font71"/>
    <w:basedOn w:val="19"/>
    <w:qFormat/>
    <w:uiPriority w:val="0"/>
    <w:rPr>
      <w:rFonts w:hint="default" w:ascii="Times New Roman" w:hAnsi="Times New Roman" w:cs="Times New Roman"/>
      <w:color w:val="000000"/>
      <w:sz w:val="24"/>
      <w:szCs w:val="24"/>
      <w:u w:val="none"/>
    </w:rPr>
  </w:style>
  <w:style w:type="character" w:customStyle="1" w:styleId="47">
    <w:name w:val="font8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44214</Words>
  <Characters>53262</Characters>
  <Lines>0</Lines>
  <Paragraphs>0</Paragraphs>
  <TotalTime>23</TotalTime>
  <ScaleCrop>false</ScaleCrop>
  <LinksUpToDate>false</LinksUpToDate>
  <CharactersWithSpaces>56523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2023-04-07T06:00:00Z</dcterms:created>
  <dc:creator>NTKO</dc:creator>
  <cp:lastModifiedBy>大表哥</cp:lastModifiedBy>
  <cp:lastPrinted>2023-10-16T11:39:00Z</cp:lastPrinted>
  <dcterms:modified xsi:type="dcterms:W3CDTF">2023-12-05T06:08:46Z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62F129282C854A4D8794150D98740A5E_13</vt:lpwstr>
  </property>
</Properties>
</file>