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auto"/>
          <w:sz w:val="72"/>
          <w:highlight w:val="none"/>
        </w:rPr>
      </w:pPr>
    </w:p>
    <w:p>
      <w:pPr>
        <w:jc w:val="center"/>
        <w:rPr>
          <w:rFonts w:ascii="宋体" w:hAnsi="宋体" w:eastAsia="宋体" w:cs="宋体"/>
          <w:b/>
          <w:color w:val="auto"/>
          <w:sz w:val="72"/>
          <w:highlight w:val="none"/>
        </w:rPr>
      </w:pPr>
      <w:r>
        <w:rPr>
          <w:rFonts w:hint="eastAsia" w:ascii="宋体" w:hAnsi="宋体" w:eastAsia="宋体" w:cs="宋体"/>
          <w:b/>
          <w:color w:val="auto"/>
          <w:sz w:val="72"/>
          <w:highlight w:val="none"/>
        </w:rPr>
        <w:t>苍 南 县 国 企 采 购</w:t>
      </w:r>
    </w:p>
    <w:p>
      <w:pPr>
        <w:jc w:val="center"/>
        <w:rPr>
          <w:rFonts w:ascii="宋体" w:hAnsi="宋体" w:eastAsia="宋体" w:cs="宋体"/>
          <w:b/>
          <w:color w:val="auto"/>
          <w:sz w:val="72"/>
          <w:highlight w:val="none"/>
        </w:rPr>
      </w:pPr>
      <w:r>
        <w:rPr>
          <w:rFonts w:hint="eastAsia" w:ascii="宋体" w:hAnsi="宋体" w:eastAsia="宋体" w:cs="宋体"/>
          <w:b/>
          <w:color w:val="auto"/>
          <w:sz w:val="72"/>
          <w:highlight w:val="none"/>
        </w:rPr>
        <w:t>招 标 文 件</w:t>
      </w:r>
    </w:p>
    <w:p>
      <w:pPr>
        <w:spacing w:line="440" w:lineRule="exact"/>
        <w:rPr>
          <w:rFonts w:ascii="宋体" w:hAnsi="宋体" w:eastAsia="宋体" w:cs="宋体"/>
          <w:b/>
          <w:color w:val="auto"/>
          <w:sz w:val="30"/>
          <w:szCs w:val="30"/>
          <w:highlight w:val="none"/>
        </w:rPr>
      </w:pPr>
    </w:p>
    <w:p>
      <w:pPr>
        <w:keepNext/>
        <w:spacing w:line="360" w:lineRule="auto"/>
        <w:jc w:val="both"/>
        <w:outlineLvl w:val="0"/>
        <w:rPr>
          <w:rFonts w:ascii="宋体" w:hAnsi="宋体" w:eastAsia="宋体" w:cs="宋体"/>
          <w:b/>
          <w:color w:val="auto"/>
          <w:kern w:val="36"/>
          <w:sz w:val="32"/>
          <w:szCs w:val="28"/>
          <w:highlight w:val="none"/>
          <w:lang w:val="en-US" w:eastAsia="zh-CN" w:bidi="ar-SA"/>
        </w:rPr>
      </w:pPr>
    </w:p>
    <w:p>
      <w:pPr>
        <w:spacing w:line="360" w:lineRule="auto"/>
        <w:ind w:firstLine="840" w:firstLineChars="279"/>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rPr>
        <w:t>项目名称：</w:t>
      </w:r>
      <w:r>
        <w:rPr>
          <w:rFonts w:hint="eastAsia" w:ascii="宋体" w:hAnsi="宋体" w:eastAsia="宋体" w:cs="宋体"/>
          <w:b/>
          <w:color w:val="auto"/>
          <w:sz w:val="28"/>
          <w:szCs w:val="28"/>
          <w:highlight w:val="none"/>
          <w:lang w:eastAsia="zh-CN"/>
        </w:rPr>
        <w:t>玉苍山旅游集散中心三期-鹅峰书院数字化项目</w:t>
      </w:r>
    </w:p>
    <w:p>
      <w:pPr>
        <w:spacing w:line="360" w:lineRule="auto"/>
        <w:ind w:firstLine="840" w:firstLineChars="279"/>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采购方式：公开招标（线上电子招投标）</w:t>
      </w:r>
    </w:p>
    <w:p>
      <w:pPr>
        <w:spacing w:line="360" w:lineRule="auto"/>
        <w:ind w:firstLine="840" w:firstLineChars="279"/>
        <w:rPr>
          <w:rFonts w:ascii="宋体" w:hAnsi="宋体" w:eastAsia="宋体" w:cs="宋体"/>
          <w:b/>
          <w:color w:val="auto"/>
          <w:sz w:val="30"/>
          <w:szCs w:val="30"/>
          <w:highlight w:val="none"/>
        </w:rPr>
      </w:pPr>
    </w:p>
    <w:p>
      <w:pPr>
        <w:spacing w:line="360" w:lineRule="auto"/>
        <w:ind w:firstLine="840" w:firstLineChars="279"/>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 购 人：苍南县旅游投资集团有限公司</w:t>
      </w:r>
    </w:p>
    <w:p>
      <w:pPr>
        <w:spacing w:line="360" w:lineRule="auto"/>
        <w:ind w:firstLine="840" w:firstLineChars="279"/>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联 系 人：吴先生</w:t>
      </w:r>
    </w:p>
    <w:p>
      <w:pPr>
        <w:spacing w:line="360" w:lineRule="auto"/>
        <w:ind w:firstLine="840" w:firstLineChars="279"/>
        <w:rPr>
          <w:rFonts w:hint="eastAsia" w:ascii="宋体" w:hAnsi="宋体" w:eastAsia="宋体" w:cs="宋体"/>
          <w:b/>
          <w:color w:val="auto"/>
          <w:sz w:val="30"/>
          <w:szCs w:val="30"/>
          <w:highlight w:val="none"/>
        </w:rPr>
      </w:pPr>
    </w:p>
    <w:p>
      <w:pPr>
        <w:spacing w:line="360" w:lineRule="auto"/>
        <w:ind w:firstLine="840" w:firstLineChars="279"/>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代理机构：浙江之信工程项目管理有限公司</w:t>
      </w:r>
    </w:p>
    <w:p>
      <w:pPr>
        <w:spacing w:line="360" w:lineRule="auto"/>
        <w:ind w:firstLine="840" w:firstLineChars="279"/>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rPr>
        <w:t>联 系 人：</w:t>
      </w:r>
      <w:r>
        <w:rPr>
          <w:rFonts w:hint="eastAsia" w:ascii="宋体" w:hAnsi="宋体" w:eastAsia="宋体" w:cs="宋体"/>
          <w:b/>
          <w:color w:val="auto"/>
          <w:sz w:val="30"/>
          <w:szCs w:val="30"/>
          <w:highlight w:val="none"/>
          <w:lang w:eastAsia="zh-CN"/>
        </w:rPr>
        <w:t>朱先生</w:t>
      </w:r>
    </w:p>
    <w:p>
      <w:pPr>
        <w:spacing w:line="360" w:lineRule="auto"/>
        <w:ind w:firstLine="840" w:firstLineChars="279"/>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联系电话：0577-68810100 </w:t>
      </w:r>
    </w:p>
    <w:p>
      <w:pPr>
        <w:spacing w:line="360" w:lineRule="auto"/>
        <w:ind w:firstLine="840" w:firstLineChars="279"/>
        <w:rPr>
          <w:rFonts w:ascii="宋体" w:hAnsi="宋体" w:eastAsia="宋体" w:cs="宋体"/>
          <w:b/>
          <w:color w:val="auto"/>
          <w:sz w:val="30"/>
          <w:szCs w:val="30"/>
          <w:highlight w:val="none"/>
        </w:rPr>
      </w:pPr>
    </w:p>
    <w:p>
      <w:pPr>
        <w:spacing w:line="360" w:lineRule="auto"/>
        <w:ind w:firstLine="840" w:firstLineChars="279"/>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备案机构：苍南县旅游投资集团有限公司</w:t>
      </w:r>
    </w:p>
    <w:p>
      <w:pPr>
        <w:spacing w:line="440" w:lineRule="exact"/>
        <w:rPr>
          <w:rFonts w:ascii="宋体" w:hAnsi="宋体" w:eastAsia="宋体" w:cs="宋体"/>
          <w:b/>
          <w:color w:val="auto"/>
          <w:sz w:val="30"/>
          <w:szCs w:val="30"/>
          <w:highlight w:val="none"/>
        </w:rPr>
      </w:pPr>
    </w:p>
    <w:p>
      <w:pPr>
        <w:spacing w:line="640" w:lineRule="exact"/>
        <w:jc w:val="center"/>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二○二</w:t>
      </w:r>
      <w:r>
        <w:rPr>
          <w:rFonts w:hint="eastAsia" w:ascii="宋体" w:hAnsi="宋体" w:eastAsia="宋体" w:cs="宋体"/>
          <w:b/>
          <w:color w:val="auto"/>
          <w:sz w:val="30"/>
          <w:szCs w:val="30"/>
          <w:highlight w:val="none"/>
          <w:lang w:val="en-US" w:eastAsia="zh-CN"/>
        </w:rPr>
        <w:t>四</w:t>
      </w:r>
      <w:r>
        <w:rPr>
          <w:rFonts w:hint="eastAsia" w:ascii="宋体" w:hAnsi="宋体" w:eastAsia="宋体" w:cs="宋体"/>
          <w:b/>
          <w:color w:val="auto"/>
          <w:sz w:val="30"/>
          <w:szCs w:val="30"/>
          <w:highlight w:val="none"/>
        </w:rPr>
        <w:t>年</w:t>
      </w:r>
      <w:r>
        <w:rPr>
          <w:rFonts w:hint="eastAsia" w:ascii="宋体" w:hAnsi="宋体" w:eastAsia="宋体" w:cs="宋体"/>
          <w:b/>
          <w:color w:val="auto"/>
          <w:sz w:val="30"/>
          <w:szCs w:val="30"/>
          <w:highlight w:val="none"/>
          <w:lang w:val="en-US" w:eastAsia="zh-CN"/>
        </w:rPr>
        <w:t>三</w:t>
      </w:r>
      <w:r>
        <w:rPr>
          <w:rFonts w:hint="eastAsia" w:ascii="宋体" w:hAnsi="宋体" w:eastAsia="宋体" w:cs="宋体"/>
          <w:b/>
          <w:color w:val="auto"/>
          <w:sz w:val="30"/>
          <w:szCs w:val="30"/>
          <w:highlight w:val="none"/>
        </w:rPr>
        <w:t>月</w:t>
      </w:r>
    </w:p>
    <w:p>
      <w:pPr>
        <w:pageBreakBefore/>
        <w:shd w:val="clear" w:color="auto" w:fill="FFFFFF"/>
        <w:snapToGrid w:val="0"/>
        <w:spacing w:line="360" w:lineRule="auto"/>
        <w:jc w:val="center"/>
        <w:rPr>
          <w:rFonts w:ascii="宋体" w:hAnsi="宋体" w:cs="宋体"/>
          <w:b/>
          <w:bCs/>
          <w:color w:val="auto"/>
          <w:sz w:val="24"/>
          <w:highlight w:val="none"/>
        </w:rPr>
        <w:sectPr>
          <w:pgSz w:w="11906" w:h="16838"/>
          <w:pgMar w:top="1418" w:right="1418" w:bottom="1418" w:left="1418" w:header="851" w:footer="992" w:gutter="0"/>
          <w:pgNumType w:start="1"/>
          <w:cols w:space="720" w:num="1"/>
          <w:docGrid w:linePitch="312" w:charSpace="0"/>
        </w:sectPr>
      </w:pPr>
    </w:p>
    <w:p>
      <w:pPr>
        <w:pageBreakBefore/>
        <w:shd w:val="clear" w:color="auto" w:fill="FFFFFF"/>
        <w:snapToGrid w:val="0"/>
        <w:spacing w:line="360" w:lineRule="auto"/>
        <w:jc w:val="center"/>
        <w:rPr>
          <w:rFonts w:ascii="宋体" w:hAnsi="宋体" w:eastAsia="宋体" w:cs="宋体"/>
          <w:b/>
          <w:bCs/>
          <w:color w:val="auto"/>
          <w:sz w:val="28"/>
          <w:szCs w:val="28"/>
          <w:highlight w:val="none"/>
        </w:rPr>
      </w:pPr>
    </w:p>
    <w:p>
      <w:pPr>
        <w:widowControl w:val="0"/>
        <w:autoSpaceDE w:val="0"/>
        <w:autoSpaceDN w:val="0"/>
        <w:adjustRightInd w:val="0"/>
        <w:spacing w:line="360" w:lineRule="auto"/>
        <w:ind w:firstLine="420"/>
        <w:jc w:val="both"/>
        <w:rPr>
          <w:rFonts w:ascii="宋体" w:hAnsi="宋体" w:eastAsia="宋体" w:cs="宋体"/>
          <w:color w:val="auto"/>
          <w:kern w:val="2"/>
          <w:sz w:val="24"/>
          <w:szCs w:val="28"/>
          <w:highlight w:val="none"/>
          <w:lang w:val="zh-CN" w:eastAsia="zh-CN" w:bidi="ar-SA"/>
        </w:rPr>
      </w:pP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hint="eastAsia" w:ascii="宋体" w:hAnsi="宋体" w:eastAsia="宋体" w:cs="宋体"/>
          <w:b w:val="0"/>
          <w:bCs/>
          <w:caps w:val="0"/>
          <w:smallCaps/>
          <w:color w:val="auto"/>
          <w:kern w:val="2"/>
          <w:sz w:val="24"/>
          <w:szCs w:val="24"/>
          <w:highlight w:val="none"/>
          <w:lang w:val="en-US" w:eastAsia="zh-CN" w:bidi="ar-SA"/>
        </w:rPr>
        <w:fldChar w:fldCharType="begin"/>
      </w:r>
      <w:r>
        <w:rPr>
          <w:rFonts w:hint="eastAsia" w:ascii="宋体" w:hAnsi="宋体" w:eastAsia="宋体" w:cs="宋体"/>
          <w:b w:val="0"/>
          <w:bCs/>
          <w:caps w:val="0"/>
          <w:smallCaps/>
          <w:color w:val="auto"/>
          <w:kern w:val="2"/>
          <w:sz w:val="24"/>
          <w:szCs w:val="24"/>
          <w:highlight w:val="none"/>
          <w:lang w:val="en-US" w:eastAsia="zh-CN" w:bidi="ar-SA"/>
        </w:rPr>
        <w:instrText xml:space="preserve"> TOC \o "1-2" \h \z \u </w:instrText>
      </w:r>
      <w:r>
        <w:rPr>
          <w:rFonts w:hint="eastAsia" w:ascii="宋体" w:hAnsi="宋体" w:eastAsia="宋体" w:cs="宋体"/>
          <w:b w:val="0"/>
          <w:bCs/>
          <w:caps w:val="0"/>
          <w:smallCaps/>
          <w:color w:val="auto"/>
          <w:kern w:val="2"/>
          <w:sz w:val="24"/>
          <w:szCs w:val="24"/>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"_Toc358935326" </w:instrText>
      </w:r>
      <w:r>
        <w:rPr>
          <w:rFonts w:ascii="等线" w:hAnsi="等线" w:eastAsia="宋体" w:cs="Times New Roman"/>
          <w:b/>
          <w:bCs/>
          <w:caps/>
          <w:color w:val="auto"/>
          <w:kern w:val="2"/>
          <w:highlight w:val="none"/>
          <w:lang w:val="en-US" w:eastAsia="zh-CN" w:bidi="ar-SA"/>
        </w:rPr>
        <w:fldChar w:fldCharType="separate"/>
      </w:r>
      <w:r>
        <w:rPr>
          <w:rFonts w:hint="eastAsia" w:ascii="宋体" w:hAnsi="宋体" w:eastAsia="宋体" w:cs="宋体"/>
          <w:b/>
          <w:bCs/>
          <w:caps/>
          <w:color w:val="auto"/>
          <w:kern w:val="2"/>
          <w:szCs w:val="28"/>
          <w:highlight w:val="none"/>
          <w:lang w:val="en-US" w:eastAsia="zh-CN" w:bidi="ar-SA"/>
        </w:rPr>
        <w:t>第一部分  招标公告</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_Toc358935326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2</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"_Toc432221848"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bCs/>
          <w:smallCaps/>
          <w:color w:val="auto"/>
          <w:kern w:val="2"/>
          <w:sz w:val="21"/>
          <w:szCs w:val="24"/>
          <w:highlight w:val="none"/>
          <w:lang w:val="en-US" w:eastAsia="zh-CN" w:bidi="ar-SA"/>
        </w:rPr>
        <w:t>前 附 表</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_Toc432221848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5</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"_Toc352584219"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bCs/>
          <w:smallCaps/>
          <w:color w:val="auto"/>
          <w:kern w:val="2"/>
          <w:sz w:val="21"/>
          <w:szCs w:val="28"/>
          <w:highlight w:val="none"/>
          <w:lang w:val="en-US" w:eastAsia="zh-CN" w:bidi="ar-SA"/>
        </w:rPr>
        <w:t>一、总 则</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_Toc352584219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9</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"_Toc34958174"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bCs/>
          <w:smallCaps/>
          <w:color w:val="auto"/>
          <w:kern w:val="2"/>
          <w:sz w:val="21"/>
          <w:szCs w:val="24"/>
          <w:highlight w:val="none"/>
          <w:lang w:val="en-US" w:eastAsia="zh-CN" w:bidi="ar-SA"/>
        </w:rPr>
        <w:t>二、招标文件</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_Toc34958174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10</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"_Toc424040100"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bCs/>
          <w:smallCaps/>
          <w:color w:val="auto"/>
          <w:kern w:val="2"/>
          <w:sz w:val="21"/>
          <w:szCs w:val="24"/>
          <w:highlight w:val="none"/>
          <w:lang w:val="en-US" w:eastAsia="zh-CN" w:bidi="ar-SA"/>
        </w:rPr>
        <w:t>三、投标文件</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_Toc424040100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11</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"_Toc493141505"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smallCaps/>
          <w:color w:val="auto"/>
          <w:kern w:val="2"/>
          <w:sz w:val="21"/>
          <w:szCs w:val="24"/>
          <w:highlight w:val="none"/>
          <w:lang w:val="en-US" w:eastAsia="zh-CN" w:bidi="ar-SA"/>
        </w:rPr>
        <w:t>四、投标</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_Toc493141505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14</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"_Toc1459929732"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smallCaps/>
          <w:color w:val="auto"/>
          <w:kern w:val="2"/>
          <w:sz w:val="21"/>
          <w:szCs w:val="24"/>
          <w:highlight w:val="none"/>
          <w:lang w:val="en-US" w:eastAsia="zh-CN" w:bidi="ar-SA"/>
        </w:rPr>
        <w:t>五、开 标</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_Toc1459929732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14</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"_Toc468981011"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smallCaps/>
          <w:color w:val="auto"/>
          <w:kern w:val="2"/>
          <w:sz w:val="21"/>
          <w:szCs w:val="24"/>
          <w:highlight w:val="none"/>
          <w:lang w:val="en-US" w:eastAsia="zh-CN" w:bidi="ar-SA"/>
        </w:rPr>
        <w:t>（四）投标供应商资格审查</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_Toc468981011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16</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"_Toc1003100739"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smallCaps/>
          <w:color w:val="auto"/>
          <w:kern w:val="2"/>
          <w:sz w:val="21"/>
          <w:szCs w:val="24"/>
          <w:highlight w:val="none"/>
          <w:lang w:val="en-US" w:eastAsia="zh-CN" w:bidi="ar-SA"/>
        </w:rPr>
        <w:t>六、评 标</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_Toc1003100739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16</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"_Toc1649013976"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smallCaps/>
          <w:color w:val="auto"/>
          <w:kern w:val="2"/>
          <w:sz w:val="21"/>
          <w:szCs w:val="24"/>
          <w:highlight w:val="none"/>
          <w:lang w:val="en-US" w:eastAsia="zh-CN" w:bidi="ar-SA"/>
        </w:rPr>
        <w:t>（七）评审流程及内容</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_Toc1649013976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17</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"_Toc107536971"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smallCaps/>
          <w:color w:val="auto"/>
          <w:kern w:val="2"/>
          <w:sz w:val="21"/>
          <w:szCs w:val="24"/>
          <w:highlight w:val="none"/>
          <w:lang w:val="en-US" w:eastAsia="zh-CN" w:bidi="ar-SA"/>
        </w:rPr>
        <w:t>（1）投标文件未有效授权，法定代表人授权委托书等填写不完整或有涂改的；</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_Toc107536971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18</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"_Toc1727653192"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bCs/>
          <w:smallCaps/>
          <w:color w:val="auto"/>
          <w:kern w:val="2"/>
          <w:sz w:val="21"/>
          <w:szCs w:val="36"/>
          <w:highlight w:val="none"/>
          <w:lang w:val="en-US" w:eastAsia="zh-CN" w:bidi="ar-SA"/>
        </w:rPr>
        <w:t>七、合同签订及其他</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_Toc1727653192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24</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"_Toc517787193" </w:instrText>
      </w:r>
      <w:r>
        <w:rPr>
          <w:rFonts w:ascii="等线" w:hAnsi="等线" w:eastAsia="宋体" w:cs="Times New Roman"/>
          <w:b/>
          <w:bCs/>
          <w:caps/>
          <w:color w:val="auto"/>
          <w:kern w:val="2"/>
          <w:highlight w:val="none"/>
          <w:lang w:val="en-US" w:eastAsia="zh-CN" w:bidi="ar-SA"/>
        </w:rPr>
        <w:fldChar w:fldCharType="separate"/>
      </w:r>
      <w:r>
        <w:rPr>
          <w:rFonts w:hint="eastAsia" w:ascii="宋体" w:hAnsi="宋体" w:eastAsia="宋体" w:cs="宋体"/>
          <w:b/>
          <w:bCs/>
          <w:caps/>
          <w:color w:val="auto"/>
          <w:kern w:val="2"/>
          <w:szCs w:val="28"/>
          <w:highlight w:val="none"/>
          <w:lang w:val="en-US" w:eastAsia="zh-CN" w:bidi="ar-SA"/>
        </w:rPr>
        <w:t>第三部分 项目技术规范和服务要求</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_Toc517787193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27</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"_Toc1859796439"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smallCaps/>
          <w:color w:val="auto"/>
          <w:kern w:val="2"/>
          <w:sz w:val="21"/>
          <w:szCs w:val="24"/>
          <w:highlight w:val="none"/>
          <w:lang w:val="en-US" w:eastAsia="zh-CN" w:bidi="ar-SA"/>
        </w:rPr>
        <w:t>一、总述</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_Toc1859796439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27</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"_Toc787171708"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smallCaps/>
          <w:color w:val="auto"/>
          <w:kern w:val="2"/>
          <w:sz w:val="21"/>
          <w:szCs w:val="24"/>
          <w:highlight w:val="none"/>
          <w:lang w:val="en-US" w:eastAsia="zh-CN" w:bidi="ar-SA"/>
        </w:rPr>
        <w:t>二、 采购内容、要求及清单</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_Toc787171708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27</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"_Toc987129551" </w:instrText>
      </w:r>
      <w:r>
        <w:rPr>
          <w:rFonts w:ascii="等线" w:hAnsi="等线" w:eastAsia="宋体" w:cs="Times New Roman"/>
          <w:b/>
          <w:bCs/>
          <w:caps/>
          <w:color w:val="auto"/>
          <w:kern w:val="2"/>
          <w:highlight w:val="none"/>
          <w:lang w:val="en-US" w:eastAsia="zh-CN" w:bidi="ar-SA"/>
        </w:rPr>
        <w:fldChar w:fldCharType="separate"/>
      </w:r>
      <w:r>
        <w:rPr>
          <w:rFonts w:hint="eastAsia" w:ascii="宋体" w:hAnsi="宋体" w:eastAsia="宋体" w:cs="宋体"/>
          <w:b/>
          <w:bCs/>
          <w:caps/>
          <w:color w:val="auto"/>
          <w:kern w:val="2"/>
          <w:szCs w:val="32"/>
          <w:highlight w:val="none"/>
          <w:lang w:val="en-US" w:eastAsia="zh-CN" w:bidi="ar-SA"/>
        </w:rPr>
        <w:t>第五部分  应提交的有关格式范例</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_Toc987129551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59</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"_Toc1036362494" </w:instrText>
      </w:r>
      <w:r>
        <w:rPr>
          <w:rFonts w:ascii="等线" w:hAnsi="等线" w:eastAsia="宋体" w:cs="Times New Roman"/>
          <w:b/>
          <w:bCs/>
          <w:caps/>
          <w:color w:val="auto"/>
          <w:kern w:val="2"/>
          <w:highlight w:val="none"/>
          <w:lang w:val="en-US" w:eastAsia="zh-CN" w:bidi="ar-SA"/>
        </w:rPr>
        <w:fldChar w:fldCharType="separate"/>
      </w:r>
      <w:r>
        <w:rPr>
          <w:rFonts w:hint="eastAsia" w:ascii="宋体" w:hAnsi="宋体" w:eastAsia="宋体" w:cs="Times New Roman"/>
          <w:b/>
          <w:bCs/>
          <w:caps/>
          <w:color w:val="auto"/>
          <w:kern w:val="2"/>
          <w:highlight w:val="none"/>
          <w:lang w:val="en-US" w:eastAsia="zh-CN" w:bidi="ar-SA"/>
        </w:rPr>
        <w:t>资格文件 </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_Toc1036362494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60</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"_Toc238410707" </w:instrText>
      </w:r>
      <w:r>
        <w:rPr>
          <w:rFonts w:ascii="等线" w:hAnsi="等线" w:eastAsia="宋体" w:cs="Times New Roman"/>
          <w:b/>
          <w:bCs/>
          <w:caps/>
          <w:color w:val="auto"/>
          <w:kern w:val="2"/>
          <w:highlight w:val="none"/>
          <w:lang w:val="en-US" w:eastAsia="zh-CN" w:bidi="ar-SA"/>
        </w:rPr>
        <w:fldChar w:fldCharType="separate"/>
      </w:r>
      <w:r>
        <w:rPr>
          <w:rFonts w:ascii="宋体" w:hAnsi="宋体" w:eastAsia="宋体" w:cs="Times New Roman"/>
          <w:b/>
          <w:bCs/>
          <w:caps/>
          <w:color w:val="auto"/>
          <w:kern w:val="2"/>
          <w:highlight w:val="none"/>
          <w:lang w:val="en-US" w:eastAsia="zh-CN" w:bidi="ar-SA"/>
        </w:rPr>
        <w:t xml:space="preserve">一、 </w:t>
      </w:r>
      <w:r>
        <w:rPr>
          <w:rFonts w:hint="eastAsia" w:ascii="宋体" w:hAnsi="宋体" w:eastAsia="宋体" w:cs="Times New Roman"/>
          <w:b/>
          <w:bCs/>
          <w:caps/>
          <w:color w:val="auto"/>
          <w:kern w:val="2"/>
          <w:highlight w:val="none"/>
          <w:lang w:val="en-US" w:eastAsia="zh-CN" w:bidi="ar-SA"/>
        </w:rPr>
        <w:t>营业执照（复印件）</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_Toc238410707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61</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"_Toc1707540535" </w:instrText>
      </w:r>
      <w:r>
        <w:rPr>
          <w:rFonts w:ascii="等线" w:hAnsi="等线" w:eastAsia="宋体" w:cs="Times New Roman"/>
          <w:b/>
          <w:bCs/>
          <w:caps/>
          <w:color w:val="auto"/>
          <w:kern w:val="2"/>
          <w:highlight w:val="none"/>
          <w:lang w:val="en-US" w:eastAsia="zh-CN" w:bidi="ar-SA"/>
        </w:rPr>
        <w:fldChar w:fldCharType="separate"/>
      </w:r>
      <w:r>
        <w:rPr>
          <w:rFonts w:hint="eastAsia" w:ascii="宋体" w:hAnsi="宋体" w:eastAsia="宋体" w:cs="Times New Roman"/>
          <w:b/>
          <w:bCs/>
          <w:caps/>
          <w:color w:val="auto"/>
          <w:kern w:val="2"/>
          <w:highlight w:val="none"/>
          <w:lang w:val="en-US" w:eastAsia="zh-CN" w:bidi="ar-SA"/>
        </w:rPr>
        <w:t>三、具有履行合同所必需的场地、设备和专业技术能力的承诺函</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_Toc1707540535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61</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"_Toc2080720285" </w:instrText>
      </w:r>
      <w:r>
        <w:rPr>
          <w:rFonts w:ascii="等线" w:hAnsi="等线" w:eastAsia="宋体" w:cs="Times New Roman"/>
          <w:b/>
          <w:bCs/>
          <w:caps/>
          <w:color w:val="auto"/>
          <w:kern w:val="2"/>
          <w:highlight w:val="none"/>
          <w:lang w:val="en-US" w:eastAsia="zh-CN" w:bidi="ar-SA"/>
        </w:rPr>
        <w:fldChar w:fldCharType="separate"/>
      </w:r>
      <w:r>
        <w:rPr>
          <w:rFonts w:hint="eastAsia" w:ascii="宋体" w:hAnsi="宋体" w:eastAsia="宋体" w:cs="Times New Roman"/>
          <w:b/>
          <w:bCs/>
          <w:caps/>
          <w:color w:val="auto"/>
          <w:kern w:val="2"/>
          <w:highlight w:val="none"/>
          <w:lang w:val="en-US" w:eastAsia="zh-CN" w:bidi="ar-SA"/>
        </w:rPr>
        <w:t>五、参加国企采购活动前3年内在经营活动中没有重大违法记录的声明函</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_Toc2080720285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62</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tabs>
          <w:tab w:val="right" w:leader="dot" w:pos="9178"/>
        </w:tabs>
        <w:ind w:left="210"/>
        <w:jc w:val="both"/>
        <w:rPr>
          <w:rFonts w:ascii="等线" w:hAnsi="等线" w:eastAsia="宋体" w:cs="Times New Roman"/>
          <w:smallCaps/>
          <w:color w:val="auto"/>
          <w:kern w:val="2"/>
          <w:sz w:val="21"/>
          <w:szCs w:val="24"/>
          <w:highlight w:val="none"/>
          <w:lang w:val="en-US" w:eastAsia="zh-CN" w:bidi="ar-SA"/>
        </w:rPr>
      </w:pP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HYPERLINK \l "_Toc1464220582" </w:instrText>
      </w:r>
      <w:r>
        <w:rPr>
          <w:rFonts w:ascii="等线" w:hAnsi="等线" w:eastAsia="宋体" w:cs="Times New Roman"/>
          <w:smallCaps/>
          <w:color w:val="auto"/>
          <w:kern w:val="2"/>
          <w:sz w:val="21"/>
          <w:szCs w:val="24"/>
          <w:highlight w:val="none"/>
          <w:lang w:val="en-US" w:eastAsia="zh-CN" w:bidi="ar-SA"/>
        </w:rPr>
        <w:fldChar w:fldCharType="separate"/>
      </w:r>
      <w:r>
        <w:rPr>
          <w:rFonts w:hint="eastAsia" w:ascii="宋体" w:hAnsi="宋体" w:eastAsia="宋体" w:cs="宋体"/>
          <w:bCs/>
          <w:smallCaps/>
          <w:color w:val="auto"/>
          <w:kern w:val="0"/>
          <w:sz w:val="21"/>
          <w:szCs w:val="24"/>
          <w:highlight w:val="none"/>
          <w:lang w:val="en-US" w:eastAsia="zh-CN" w:bidi="ar-SA"/>
        </w:rPr>
        <w:t>报价文件</w:t>
      </w:r>
      <w:r>
        <w:rPr>
          <w:rFonts w:ascii="等线" w:hAnsi="等线" w:eastAsia="宋体" w:cs="Times New Roman"/>
          <w:smallCaps/>
          <w:color w:val="auto"/>
          <w:kern w:val="2"/>
          <w:sz w:val="21"/>
          <w:szCs w:val="24"/>
          <w:highlight w:val="none"/>
          <w:lang w:val="en-US" w:eastAsia="zh-CN" w:bidi="ar-SA"/>
        </w:rPr>
        <w:tab/>
      </w:r>
      <w:r>
        <w:rPr>
          <w:rFonts w:ascii="等线" w:hAnsi="等线" w:eastAsia="宋体" w:cs="Times New Roman"/>
          <w:smallCaps/>
          <w:color w:val="auto"/>
          <w:kern w:val="2"/>
          <w:sz w:val="21"/>
          <w:szCs w:val="24"/>
          <w:highlight w:val="none"/>
          <w:lang w:val="en-US" w:eastAsia="zh-CN" w:bidi="ar-SA"/>
        </w:rPr>
        <w:fldChar w:fldCharType="begin"/>
      </w:r>
      <w:r>
        <w:rPr>
          <w:rFonts w:ascii="等线" w:hAnsi="等线" w:eastAsia="宋体" w:cs="Times New Roman"/>
          <w:smallCaps/>
          <w:color w:val="auto"/>
          <w:kern w:val="2"/>
          <w:sz w:val="21"/>
          <w:szCs w:val="24"/>
          <w:highlight w:val="none"/>
          <w:lang w:val="en-US" w:eastAsia="zh-CN" w:bidi="ar-SA"/>
        </w:rPr>
        <w:instrText xml:space="preserve"> PAGEREF _Toc1464220582 \h </w:instrText>
      </w:r>
      <w:r>
        <w:rPr>
          <w:rFonts w:ascii="等线" w:hAnsi="等线" w:eastAsia="宋体" w:cs="Times New Roman"/>
          <w:smallCaps/>
          <w:color w:val="auto"/>
          <w:kern w:val="2"/>
          <w:sz w:val="21"/>
          <w:szCs w:val="24"/>
          <w:highlight w:val="none"/>
          <w:lang w:val="en-US" w:eastAsia="zh-CN" w:bidi="ar-SA"/>
        </w:rPr>
        <w:fldChar w:fldCharType="separate"/>
      </w:r>
      <w:r>
        <w:rPr>
          <w:rFonts w:ascii="等线" w:hAnsi="等线" w:eastAsia="宋体" w:cs="Times New Roman"/>
          <w:smallCaps/>
          <w:color w:val="auto"/>
          <w:kern w:val="2"/>
          <w:sz w:val="21"/>
          <w:szCs w:val="24"/>
          <w:highlight w:val="none"/>
          <w:lang w:val="en-US" w:eastAsia="zh-CN" w:bidi="ar-SA"/>
        </w:rPr>
        <w:t>64</w:t>
      </w:r>
      <w:r>
        <w:rPr>
          <w:rFonts w:ascii="等线" w:hAnsi="等线" w:eastAsia="宋体" w:cs="Times New Roman"/>
          <w:smallCaps/>
          <w:color w:val="auto"/>
          <w:kern w:val="2"/>
          <w:sz w:val="21"/>
          <w:szCs w:val="24"/>
          <w:highlight w:val="none"/>
          <w:lang w:val="en-US" w:eastAsia="zh-CN" w:bidi="ar-SA"/>
        </w:rPr>
        <w:fldChar w:fldCharType="end"/>
      </w:r>
      <w:r>
        <w:rPr>
          <w:rFonts w:ascii="等线" w:hAnsi="等线" w:eastAsia="宋体" w:cs="Times New Roman"/>
          <w:smallCaps/>
          <w:color w:val="auto"/>
          <w:kern w:val="2"/>
          <w:sz w:val="21"/>
          <w:szCs w:val="24"/>
          <w:highlight w:val="none"/>
          <w:lang w:val="en-US" w:eastAsia="zh-CN" w:bidi="ar-SA"/>
        </w:rPr>
        <w:fldChar w:fldCharType="end"/>
      </w: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"_Toc163686229" </w:instrText>
      </w:r>
      <w:r>
        <w:rPr>
          <w:rFonts w:ascii="等线" w:hAnsi="等线" w:eastAsia="宋体" w:cs="Times New Roman"/>
          <w:b/>
          <w:bCs/>
          <w:caps/>
          <w:color w:val="auto"/>
          <w:kern w:val="2"/>
          <w:highlight w:val="none"/>
          <w:lang w:val="en-US" w:eastAsia="zh-CN" w:bidi="ar-SA"/>
        </w:rPr>
        <w:fldChar w:fldCharType="separate"/>
      </w:r>
      <w:r>
        <w:rPr>
          <w:rFonts w:hint="eastAsia" w:ascii="宋体" w:hAnsi="宋体" w:eastAsia="宋体" w:cs="Times New Roman"/>
          <w:b/>
          <w:bCs/>
          <w:caps/>
          <w:color w:val="auto"/>
          <w:kern w:val="2"/>
          <w:highlight w:val="none"/>
          <w:lang w:val="en-US" w:eastAsia="zh-CN" w:bidi="ar-SA"/>
        </w:rPr>
        <w:t>商务技术文件</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_Toc163686229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69</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"_Toc1682056625" </w:instrText>
      </w:r>
      <w:r>
        <w:rPr>
          <w:rFonts w:ascii="等线" w:hAnsi="等线" w:eastAsia="宋体" w:cs="Times New Roman"/>
          <w:b/>
          <w:bCs/>
          <w:caps/>
          <w:color w:val="auto"/>
          <w:kern w:val="2"/>
          <w:highlight w:val="none"/>
          <w:lang w:val="en-US" w:eastAsia="zh-CN" w:bidi="ar-SA"/>
        </w:rPr>
        <w:fldChar w:fldCharType="separate"/>
      </w:r>
      <w:r>
        <w:rPr>
          <w:rFonts w:hint="eastAsia" w:ascii="宋体" w:hAnsi="宋体" w:eastAsia="宋体" w:cs="宋体"/>
          <w:b/>
          <w:bCs/>
          <w:caps/>
          <w:color w:val="auto"/>
          <w:kern w:val="2"/>
          <w:szCs w:val="32"/>
          <w:highlight w:val="none"/>
          <w:lang w:val="en-US" w:eastAsia="zh-CN" w:bidi="ar-SA"/>
        </w:rPr>
        <w:t>五</w:t>
      </w:r>
      <w:r>
        <w:rPr>
          <w:rFonts w:hint="eastAsia" w:ascii="宋体" w:hAnsi="宋体" w:eastAsia="宋体" w:cs="宋体"/>
          <w:b/>
          <w:bCs/>
          <w:caps/>
          <w:color w:val="auto"/>
          <w:kern w:val="2"/>
          <w:szCs w:val="32"/>
          <w:highlight w:val="none"/>
          <w:lang w:val="zh-CN" w:eastAsia="zh-CN" w:bidi="ar-SA"/>
        </w:rPr>
        <w:t>、商 务 偏 离 表</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_Toc1682056625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72</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tabs>
          <w:tab w:val="right" w:leader="dot" w:pos="9178"/>
        </w:tabs>
        <w:spacing w:before="120" w:after="120"/>
        <w:rPr>
          <w:rFonts w:ascii="等线" w:hAnsi="等线" w:eastAsia="宋体" w:cs="Times New Roman"/>
          <w:b/>
          <w:bCs/>
          <w:caps/>
          <w:color w:val="auto"/>
          <w:kern w:val="2"/>
          <w:highlight w:val="none"/>
          <w:lang w:val="en-US" w:eastAsia="zh-CN" w:bidi="ar-SA"/>
        </w:rPr>
      </w:pP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HYPERLINK \l "_Toc1498505934" </w:instrText>
      </w:r>
      <w:r>
        <w:rPr>
          <w:rFonts w:ascii="等线" w:hAnsi="等线" w:eastAsia="宋体" w:cs="Times New Roman"/>
          <w:b/>
          <w:bCs/>
          <w:caps/>
          <w:color w:val="auto"/>
          <w:kern w:val="2"/>
          <w:highlight w:val="none"/>
          <w:lang w:val="en-US" w:eastAsia="zh-CN" w:bidi="ar-SA"/>
        </w:rPr>
        <w:fldChar w:fldCharType="separate"/>
      </w:r>
      <w:r>
        <w:rPr>
          <w:rFonts w:hint="eastAsia" w:ascii="宋体" w:hAnsi="宋体" w:eastAsia="宋体" w:cs="宋体"/>
          <w:b/>
          <w:bCs/>
          <w:caps/>
          <w:color w:val="auto"/>
          <w:kern w:val="2"/>
          <w:szCs w:val="32"/>
          <w:highlight w:val="none"/>
          <w:lang w:val="en-US" w:eastAsia="zh-CN" w:bidi="ar-SA"/>
        </w:rPr>
        <w:t>五</w:t>
      </w:r>
      <w:r>
        <w:rPr>
          <w:rFonts w:hint="eastAsia" w:ascii="宋体" w:hAnsi="宋体" w:eastAsia="宋体" w:cs="宋体"/>
          <w:b/>
          <w:bCs/>
          <w:caps/>
          <w:color w:val="auto"/>
          <w:kern w:val="2"/>
          <w:szCs w:val="32"/>
          <w:highlight w:val="none"/>
          <w:lang w:val="zh-CN" w:eastAsia="zh-CN" w:bidi="ar-SA"/>
        </w:rPr>
        <w:t>（二）技术偏离表</w:t>
      </w:r>
      <w:r>
        <w:rPr>
          <w:rFonts w:ascii="等线" w:hAnsi="等线" w:eastAsia="宋体" w:cs="Times New Roman"/>
          <w:b/>
          <w:bCs/>
          <w:caps/>
          <w:color w:val="auto"/>
          <w:kern w:val="2"/>
          <w:highlight w:val="none"/>
          <w:lang w:val="en-US" w:eastAsia="zh-CN" w:bidi="ar-SA"/>
        </w:rPr>
        <w:tab/>
      </w:r>
      <w:r>
        <w:rPr>
          <w:rFonts w:ascii="等线" w:hAnsi="等线" w:eastAsia="宋体" w:cs="Times New Roman"/>
          <w:b/>
          <w:bCs/>
          <w:caps/>
          <w:color w:val="auto"/>
          <w:kern w:val="2"/>
          <w:highlight w:val="none"/>
          <w:lang w:val="en-US" w:eastAsia="zh-CN" w:bidi="ar-SA"/>
        </w:rPr>
        <w:fldChar w:fldCharType="begin"/>
      </w:r>
      <w:r>
        <w:rPr>
          <w:rFonts w:ascii="等线" w:hAnsi="等线" w:eastAsia="宋体" w:cs="Times New Roman"/>
          <w:b/>
          <w:bCs/>
          <w:caps/>
          <w:color w:val="auto"/>
          <w:kern w:val="2"/>
          <w:highlight w:val="none"/>
          <w:lang w:val="en-US" w:eastAsia="zh-CN" w:bidi="ar-SA"/>
        </w:rPr>
        <w:instrText xml:space="preserve"> PAGEREF _Toc1498505934 \h </w:instrText>
      </w:r>
      <w:r>
        <w:rPr>
          <w:rFonts w:ascii="等线" w:hAnsi="等线" w:eastAsia="宋体" w:cs="Times New Roman"/>
          <w:b/>
          <w:bCs/>
          <w:caps/>
          <w:color w:val="auto"/>
          <w:kern w:val="2"/>
          <w:highlight w:val="none"/>
          <w:lang w:val="en-US" w:eastAsia="zh-CN" w:bidi="ar-SA"/>
        </w:rPr>
        <w:fldChar w:fldCharType="separate"/>
      </w:r>
      <w:r>
        <w:rPr>
          <w:rFonts w:ascii="等线" w:hAnsi="等线" w:eastAsia="宋体" w:cs="Times New Roman"/>
          <w:b/>
          <w:bCs/>
          <w:caps/>
          <w:color w:val="auto"/>
          <w:kern w:val="2"/>
          <w:highlight w:val="none"/>
          <w:lang w:val="en-US" w:eastAsia="zh-CN" w:bidi="ar-SA"/>
        </w:rPr>
        <w:t>72</w:t>
      </w:r>
      <w:r>
        <w:rPr>
          <w:rFonts w:ascii="等线" w:hAnsi="等线" w:eastAsia="宋体" w:cs="Times New Roman"/>
          <w:b/>
          <w:bCs/>
          <w:caps/>
          <w:color w:val="auto"/>
          <w:kern w:val="2"/>
          <w:highlight w:val="none"/>
          <w:lang w:val="en-US" w:eastAsia="zh-CN" w:bidi="ar-SA"/>
        </w:rPr>
        <w:fldChar w:fldCharType="end"/>
      </w:r>
      <w:r>
        <w:rPr>
          <w:rFonts w:ascii="等线" w:hAnsi="等线" w:eastAsia="宋体" w:cs="Times New Roman"/>
          <w:b/>
          <w:bCs/>
          <w:caps/>
          <w:color w:val="auto"/>
          <w:kern w:val="2"/>
          <w:highlight w:val="none"/>
          <w:lang w:val="en-US" w:eastAsia="zh-CN" w:bidi="ar-SA"/>
        </w:rPr>
        <w:fldChar w:fldCharType="end"/>
      </w:r>
    </w:p>
    <w:p>
      <w:pPr>
        <w:widowControl w:val="0"/>
        <w:spacing w:after="120" w:line="440" w:lineRule="exact"/>
        <w:ind w:left="0" w:leftChars="0" w:firstLine="480" w:firstLineChars="200"/>
        <w:jc w:val="both"/>
        <w:textAlignment w:val="baseline"/>
        <w:rPr>
          <w:rFonts w:ascii="宋体" w:hAnsi="宋体" w:eastAsia="宋体" w:cs="宋体"/>
          <w:b/>
          <w:color w:val="auto"/>
          <w:kern w:val="2"/>
          <w:sz w:val="22"/>
          <w:szCs w:val="22"/>
          <w:highlight w:val="none"/>
          <w:u w:val="single"/>
          <w:lang w:val="zh-CN" w:eastAsia="zh-CN" w:bidi="ar-SA"/>
        </w:rPr>
      </w:pPr>
      <w:r>
        <w:rPr>
          <w:rFonts w:hint="eastAsia" w:ascii="宋体" w:hAnsi="宋体" w:eastAsia="宋体" w:cs="宋体"/>
          <w:bCs/>
          <w:smallCaps/>
          <w:color w:val="auto"/>
          <w:kern w:val="2"/>
          <w:sz w:val="24"/>
          <w:szCs w:val="24"/>
          <w:highlight w:val="none"/>
          <w:lang w:val="en-US" w:eastAsia="zh-CN" w:bidi="ar-SA"/>
        </w:rPr>
        <w:fldChar w:fldCharType="end"/>
      </w:r>
      <w:r>
        <w:rPr>
          <w:rFonts w:hint="eastAsia" w:ascii="宋体" w:hAnsi="宋体" w:eastAsia="宋体" w:cs="宋体"/>
          <w:b/>
          <w:color w:val="auto"/>
          <w:kern w:val="2"/>
          <w:sz w:val="22"/>
          <w:szCs w:val="22"/>
          <w:highlight w:val="none"/>
          <w:u w:val="single"/>
          <w:lang w:val="zh-CN" w:eastAsia="zh-CN" w:bidi="ar-SA"/>
        </w:rPr>
        <w:t>本次招标文件中，带有“▲”标注的有关技术和商务条款要求供应商做实质性响应，供应商要特别加以注意，必须对此回答并完全满足这些要求。否则若有一项“▲”的指标未响应或不满足，将按投标无效处理。</w:t>
      </w:r>
    </w:p>
    <w:p>
      <w:pPr>
        <w:widowControl w:val="0"/>
        <w:tabs>
          <w:tab w:val="right" w:leader="dot" w:pos="8958"/>
        </w:tabs>
        <w:snapToGrid w:val="0"/>
        <w:spacing w:line="360" w:lineRule="auto"/>
        <w:ind w:left="210"/>
        <w:jc w:val="both"/>
        <w:rPr>
          <w:rFonts w:ascii="宋体" w:hAnsi="宋体" w:eastAsia="宋体" w:cs="宋体"/>
          <w:bCs/>
          <w:smallCaps/>
          <w:color w:val="auto"/>
          <w:kern w:val="2"/>
          <w:sz w:val="24"/>
          <w:szCs w:val="24"/>
          <w:highlight w:val="none"/>
          <w:lang w:val="en-US" w:eastAsia="zh-CN" w:bidi="ar-SA"/>
        </w:rPr>
      </w:pPr>
    </w:p>
    <w:p>
      <w:pPr>
        <w:keepNext/>
        <w:keepLines/>
        <w:widowControl w:val="0"/>
        <w:numPr>
          <w:ilvl w:val="0"/>
          <w:numId w:val="1"/>
        </w:numPr>
        <w:tabs>
          <w:tab w:val="left" w:pos="706"/>
        </w:tabs>
        <w:spacing w:line="360" w:lineRule="auto"/>
        <w:jc w:val="both"/>
        <w:outlineLvl w:val="1"/>
        <w:rPr>
          <w:rFonts w:ascii="Arial" w:hAnsi="Arial" w:eastAsia="??" w:cs="Arial"/>
          <w:b/>
          <w:bCs/>
          <w:kern w:val="2"/>
          <w:sz w:val="21"/>
          <w:szCs w:val="32"/>
          <w:lang w:val="en-US" w:eastAsia="zh-CN" w:bidi="ar-SA"/>
        </w:rPr>
      </w:pPr>
      <w:r>
        <w:rPr>
          <w:rFonts w:ascii="宋体" w:hAnsi="宋体" w:eastAsia="??" w:cs="宋体"/>
          <w:b/>
          <w:bCs/>
          <w:color w:val="auto"/>
          <w:kern w:val="2"/>
          <w:sz w:val="24"/>
          <w:szCs w:val="32"/>
          <w:highlight w:val="none"/>
          <w:lang w:val="en-US" w:eastAsia="zh-CN" w:bidi="ar-SA"/>
        </w:rPr>
        <w:br w:type="page"/>
      </w:r>
    </w:p>
    <w:p>
      <w:pPr>
        <w:pageBreakBefore w:val="0"/>
        <w:shd w:val="clear" w:color="auto" w:fill="FFFFFF"/>
        <w:snapToGrid w:val="0"/>
        <w:spacing w:line="360" w:lineRule="auto"/>
        <w:jc w:val="center"/>
        <w:outlineLvl w:val="0"/>
        <w:rPr>
          <w:rFonts w:ascii="宋体" w:hAnsi="宋体" w:eastAsia="宋体" w:cs="宋体"/>
          <w:color w:val="auto"/>
          <w:sz w:val="28"/>
          <w:szCs w:val="28"/>
          <w:highlight w:val="none"/>
        </w:rPr>
      </w:pPr>
      <w:bookmarkStart w:id="0" w:name="_Toc33194385"/>
      <w:bookmarkStart w:id="1" w:name="_Toc358935326"/>
      <w:bookmarkStart w:id="2" w:name="_Toc354996693"/>
      <w:r>
        <w:rPr>
          <w:rFonts w:hint="eastAsia" w:ascii="宋体" w:hAnsi="宋体" w:eastAsia="宋体" w:cs="宋体"/>
          <w:b/>
          <w:bCs/>
          <w:color w:val="auto"/>
          <w:sz w:val="28"/>
          <w:szCs w:val="28"/>
          <w:highlight w:val="none"/>
        </w:rPr>
        <w:t>第一部分  招标公告</w:t>
      </w:r>
      <w:bookmarkEnd w:id="0"/>
      <w:bookmarkEnd w:id="1"/>
      <w:bookmarkEnd w:id="2"/>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89" w:type="dxa"/>
          </w:tcPr>
          <w:p>
            <w:pPr>
              <w:keepNext w:val="0"/>
              <w:keepLines w:val="0"/>
              <w:widowControl w:val="0"/>
              <w:suppressLineNumbers w:val="0"/>
              <w:autoSpaceDE w:val="0"/>
              <w:autoSpaceDN w:val="0"/>
              <w:adjustRightInd w:val="0"/>
              <w:spacing w:before="0" w:beforeAutospacing="0" w:after="0" w:afterAutospacing="0" w:line="360" w:lineRule="auto"/>
              <w:ind w:left="0" w:right="0" w:firstLine="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zh-CN" w:eastAsia="zh-CN" w:bidi="ar-SA"/>
              </w:rPr>
              <w:t>项目概况</w:t>
            </w:r>
            <w:r>
              <w:rPr>
                <w:rFonts w:hint="eastAsia" w:ascii="宋体" w:hAnsi="宋体" w:eastAsia="宋体" w:cs="宋体"/>
                <w:color w:val="auto"/>
                <w:kern w:val="2"/>
                <w:sz w:val="24"/>
                <w:szCs w:val="24"/>
                <w:highlight w:val="none"/>
                <w:lang w:val="en-US" w:eastAsia="zh-CN" w:bidi="ar-SA"/>
              </w:rPr>
              <w:t>：</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zh-CN" w:eastAsia="zh-CN" w:bidi="ar-SA"/>
              </w:rPr>
              <w:t>玉苍山旅游集散中心三期-鹅峰书院数字化项目</w:t>
            </w:r>
            <w:r>
              <w:rPr>
                <w:rFonts w:hint="eastAsia" w:ascii="宋体" w:hAnsi="宋体" w:eastAsia="宋体" w:cs="宋体"/>
                <w:color w:val="auto"/>
                <w:kern w:val="2"/>
                <w:sz w:val="24"/>
                <w:szCs w:val="24"/>
                <w:highlight w:val="none"/>
                <w:lang w:val="zh-CN" w:eastAsia="zh-CN" w:bidi="ar-SA"/>
              </w:rPr>
              <w:t>招标项目的潜在投标人应在乐采云平台</w:t>
            </w:r>
            <w:r>
              <w:rPr>
                <w:rFonts w:hint="eastAsia" w:ascii="宋体" w:hAnsi="宋体" w:eastAsia="宋体" w:cs="宋体"/>
                <w:color w:val="auto"/>
                <w:kern w:val="2"/>
                <w:sz w:val="24"/>
                <w:szCs w:val="24"/>
                <w:highlight w:val="none"/>
                <w:lang w:val="en-US" w:eastAsia="zh-CN" w:bidi="ar-SA"/>
              </w:rPr>
              <w:t>（https://www.lecaiyun.com）</w:t>
            </w:r>
            <w:r>
              <w:rPr>
                <w:rFonts w:hint="eastAsia" w:ascii="宋体" w:hAnsi="宋体" w:eastAsia="宋体" w:cs="宋体"/>
                <w:color w:val="auto"/>
                <w:kern w:val="2"/>
                <w:sz w:val="24"/>
                <w:szCs w:val="24"/>
                <w:highlight w:val="none"/>
                <w:lang w:val="zh-CN" w:eastAsia="zh-CN" w:bidi="ar-SA"/>
              </w:rPr>
              <w:t>获取</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zh-CN" w:eastAsia="zh-CN" w:bidi="ar-SA"/>
              </w:rPr>
              <w:t>下载</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zh-CN" w:eastAsia="zh-CN" w:bidi="ar-SA"/>
              </w:rPr>
              <w:t>招标文件</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zh-CN" w:eastAsia="zh-CN" w:bidi="ar-SA"/>
              </w:rPr>
              <w:t>并于</w:t>
            </w:r>
            <w:r>
              <w:rPr>
                <w:rFonts w:hint="eastAsia" w:ascii="宋体" w:hAnsi="宋体" w:eastAsia="宋体" w:cs="宋体"/>
                <w:color w:val="auto"/>
                <w:kern w:val="2"/>
                <w:sz w:val="24"/>
                <w:szCs w:val="24"/>
                <w:highlight w:val="none"/>
                <w:lang w:val="en-US" w:eastAsia="zh-CN" w:bidi="ar-SA"/>
              </w:rPr>
              <w:t>2024年 月</w:t>
            </w:r>
            <w:r>
              <w:rPr>
                <w:rFonts w:hint="default" w:ascii="宋体" w:hAnsi="宋体" w:eastAsia="宋体" w:cs="宋体"/>
                <w:color w:val="auto"/>
                <w:kern w:val="2"/>
                <w:sz w:val="24"/>
                <w:szCs w:val="24"/>
                <w:highlight w:val="none"/>
                <w:lang w:val="zh-CN" w:eastAsia="zh-CN" w:bidi="ar-SA"/>
              </w:rPr>
              <w:t xml:space="preserve"> </w:t>
            </w:r>
            <w:r>
              <w:rPr>
                <w:rFonts w:hint="eastAsia" w:ascii="宋体" w:hAnsi="宋体" w:eastAsia="宋体" w:cs="宋体"/>
                <w:color w:val="auto"/>
                <w:kern w:val="2"/>
                <w:sz w:val="24"/>
                <w:szCs w:val="24"/>
                <w:highlight w:val="none"/>
                <w:lang w:val="en-US" w:eastAsia="zh-CN" w:bidi="ar-SA"/>
              </w:rPr>
              <w:t>日14</w:t>
            </w:r>
            <w:r>
              <w:rPr>
                <w:rFonts w:hint="eastAsia" w:ascii="宋体" w:hAnsi="宋体" w:eastAsia="宋体" w:cs="宋体"/>
                <w:color w:val="auto"/>
                <w:kern w:val="2"/>
                <w:sz w:val="24"/>
                <w:szCs w:val="24"/>
                <w:highlight w:val="none"/>
                <w:lang w:val="zh-CN" w:eastAsia="zh-CN" w:bidi="ar-SA"/>
              </w:rPr>
              <w:t>点</w:t>
            </w:r>
            <w:r>
              <w:rPr>
                <w:rFonts w:hint="eastAsia" w:ascii="宋体" w:hAnsi="宋体" w:eastAsia="宋体" w:cs="宋体"/>
                <w:color w:val="auto"/>
                <w:kern w:val="2"/>
                <w:sz w:val="24"/>
                <w:szCs w:val="24"/>
                <w:highlight w:val="none"/>
                <w:lang w:val="en-US" w:eastAsia="zh-CN" w:bidi="ar-SA"/>
              </w:rPr>
              <w:t>00</w:t>
            </w:r>
            <w:r>
              <w:rPr>
                <w:rFonts w:hint="eastAsia" w:ascii="宋体" w:hAnsi="宋体" w:eastAsia="宋体" w:cs="宋体"/>
                <w:color w:val="auto"/>
                <w:kern w:val="2"/>
                <w:sz w:val="24"/>
                <w:szCs w:val="24"/>
                <w:highlight w:val="none"/>
                <w:lang w:val="zh-CN" w:eastAsia="zh-CN" w:bidi="ar-SA"/>
              </w:rPr>
              <w:t>分</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zh-CN" w:eastAsia="zh-CN" w:bidi="ar-SA"/>
              </w:rPr>
              <w:t>北京时间</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zh-CN" w:eastAsia="zh-CN" w:bidi="ar-SA"/>
              </w:rPr>
              <w:t>前递交</w:t>
            </w:r>
            <w:r>
              <w:rPr>
                <w:rFonts w:hint="eastAsia" w:ascii="宋体" w:hAnsi="宋体" w:eastAsia="宋体" w:cs="宋体"/>
                <w:color w:val="auto"/>
                <w:kern w:val="2"/>
                <w:sz w:val="24"/>
                <w:szCs w:val="24"/>
                <w:highlight w:val="none"/>
                <w:lang w:val="en-US" w:eastAsia="zh-CN" w:bidi="ar-SA"/>
              </w:rPr>
              <w:t>（上传）</w:t>
            </w:r>
            <w:r>
              <w:rPr>
                <w:rFonts w:hint="eastAsia" w:ascii="宋体" w:hAnsi="宋体" w:eastAsia="宋体" w:cs="宋体"/>
                <w:color w:val="auto"/>
                <w:kern w:val="2"/>
                <w:sz w:val="24"/>
                <w:szCs w:val="24"/>
                <w:highlight w:val="none"/>
                <w:lang w:val="zh-CN" w:eastAsia="zh-CN" w:bidi="ar-SA"/>
              </w:rPr>
              <w:t>投标文件。</w:t>
            </w:r>
          </w:p>
        </w:tc>
      </w:tr>
    </w:tbl>
    <w:p>
      <w:pPr>
        <w:spacing w:line="360" w:lineRule="auto"/>
        <w:rPr>
          <w:rFonts w:ascii="宋体" w:hAnsi="宋体" w:eastAsia="宋体" w:cs="宋体"/>
          <w:color w:val="auto"/>
          <w:sz w:val="24"/>
          <w:highlight w:val="none"/>
        </w:rPr>
      </w:pPr>
      <w:r>
        <w:rPr>
          <w:rFonts w:hint="eastAsia" w:ascii="宋体" w:hAnsi="宋体" w:eastAsia="宋体" w:cs="宋体"/>
          <w:b/>
          <w:bCs/>
          <w:color w:val="auto"/>
          <w:sz w:val="24"/>
          <w:highlight w:val="none"/>
        </w:rPr>
        <w:t>一、项目基本情况</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采购组织类型：国企采购（非政府采购）</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资金来源：自筹资金</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项目编号：</w:t>
      </w:r>
    </w:p>
    <w:p>
      <w:pPr>
        <w:widowControl w:val="0"/>
        <w:shd w:val="clear" w:color="auto" w:fill="FFFFFF"/>
        <w:spacing w:before="60" w:beforeAutospacing="0" w:after="60" w:afterAutospacing="0" w:line="360" w:lineRule="auto"/>
        <w:ind w:firstLine="480" w:firstLineChars="200"/>
        <w:jc w:val="both"/>
        <w:rPr>
          <w:rFonts w:hint="eastAsia"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项目名称：玉苍山旅游集散中心三期-鹅峰书院数字化项目</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宋体" w:hAnsi="宋体" w:eastAsia="宋体" w:cs="宋体"/>
          <w:color w:val="auto"/>
          <w:kern w:val="2"/>
          <w:sz w:val="24"/>
          <w:szCs w:val="24"/>
          <w:highlight w:val="none"/>
          <w:shd w:val="clear" w:color="auto" w:fill="FFFFFF"/>
          <w:lang w:val="en-US" w:eastAsia="zh-CN" w:bidi="ar-SA"/>
        </w:rPr>
        <w:t>预算金额（元）：</w:t>
      </w:r>
      <w:r>
        <w:rPr>
          <w:rFonts w:hint="eastAsia" w:ascii="宋体" w:hAnsi="宋体" w:eastAsia="宋体" w:cs="宋体"/>
          <w:color w:val="000000" w:themeColor="text1"/>
          <w:kern w:val="2"/>
          <w:sz w:val="24"/>
          <w:szCs w:val="24"/>
          <w:highlight w:val="none"/>
          <w:shd w:val="clear" w:color="auto" w:fill="FFFFFF"/>
          <w:lang w:val="en-US" w:eastAsia="zh-CN" w:bidi="ar-SA"/>
          <w14:textFill>
            <w14:solidFill>
              <w14:schemeClr w14:val="tx1"/>
            </w14:solidFill>
          </w14:textFill>
        </w:rPr>
        <w:t xml:space="preserve">9301998  </w:t>
      </w:r>
    </w:p>
    <w:p>
      <w:pPr>
        <w:widowControl w:val="0"/>
        <w:shd w:val="clear" w:color="auto" w:fill="FFFFFF"/>
        <w:spacing w:before="60" w:beforeAutospacing="0" w:after="60" w:afterAutospacing="0" w:line="360" w:lineRule="auto"/>
        <w:ind w:firstLine="480" w:firstLineChars="200"/>
        <w:jc w:val="both"/>
        <w:rPr>
          <w:rFonts w:hint="default" w:ascii="宋体" w:hAnsi="宋体" w:eastAsia="宋体" w:cs="宋体"/>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shd w:val="clear" w:color="auto" w:fill="FFFFFF"/>
          <w:lang w:val="en-US" w:eastAsia="zh-CN" w:bidi="ar-SA"/>
          <w14:textFill>
            <w14:solidFill>
              <w14:schemeClr w14:val="tx1"/>
            </w14:solidFill>
          </w14:textFill>
        </w:rPr>
        <w:t>最高限价（元）：9301998</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采购需求：</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标项一</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 xml:space="preserve">标项名称：玉苍山旅游集散中心三期-鹅峰书院数字化项目 </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 xml:space="preserve">数量:1  </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 xml:space="preserve">预算金额（元）：9301998    </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 xml:space="preserve">简要规格描述或项目基本概况介绍、用途：详见招标文件第三部分采购内容及要求 </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 xml:space="preserve">备注： </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 xml:space="preserve">合同履约期限：标项 1，详见招标文件  </w:t>
      </w:r>
    </w:p>
    <w:p>
      <w:pPr>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二、申请人的资格要求：</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（一）投标人参加国有企业采购活动应当具备下列条件：</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1.具有独立承担民事责任的能力；</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2.具有良好的商业信誉和健全的财务会计制度；</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3.具有履行合同所必需的设备和专业技术、售后保障等能力；</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4.有依法缴纳税收和社会保障资金的良好记录；</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5.参加采购活动前三年内（时间截止到开标之日，新成立不满三年的组织机构自成立之日起算），在经营活动中没有重大违法记录、严重失信行为和行贿记录，未被“信用中国”（www.creditchina.gov.cn)、中国政府采购网（www.ccgp.gov.cn）列入失信被执行人、重大税收违法案件当事人名单；</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6.法律、行政法规规定的其他条件。</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（二）单位负责人为同一人或者存在直接控股、管理关系的不同供应商，不得参加同一合同项下的国企采购活动；</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（三）本项目不接受联合体投标。</w:t>
      </w:r>
    </w:p>
    <w:p>
      <w:pPr>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 xml:space="preserve">三、获取招标文件 </w:t>
      </w:r>
    </w:p>
    <w:p>
      <w:pPr>
        <w:widowControl w:val="0"/>
        <w:shd w:val="clear" w:color="auto" w:fill="FFFFFF"/>
        <w:spacing w:before="60" w:beforeAutospacing="0" w:after="60" w:afterAutospacing="0" w:line="360" w:lineRule="auto"/>
        <w:ind w:firstLine="480" w:firstLineChars="200"/>
        <w:jc w:val="both"/>
        <w:rPr>
          <w:rFonts w:hint="eastAsia"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时间：/至2024年5月 日，每天上午00:00至12:00 ，下午12:00至23:59（北京时间，线上获取法定节假日均可，线下获取文件法定节假日除外）</w:t>
      </w:r>
    </w:p>
    <w:p>
      <w:pPr>
        <w:widowControl w:val="0"/>
        <w:shd w:val="clear" w:color="auto" w:fill="FFFFFF"/>
        <w:spacing w:before="60" w:beforeAutospacing="1" w:after="60" w:afterAutospacing="1" w:line="360" w:lineRule="auto"/>
        <w:ind w:firstLine="480" w:firstLineChars="200"/>
        <w:jc w:val="both"/>
        <w:rPr>
          <w:rFonts w:hint="eastAsia"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 xml:space="preserve">地点（网址）：乐采云平台（https://www.lecaiyun.com） </w:t>
      </w:r>
    </w:p>
    <w:p>
      <w:pPr>
        <w:widowControl w:val="0"/>
        <w:shd w:val="clear" w:color="auto" w:fill="FFFFFF"/>
        <w:spacing w:before="60" w:beforeAutospacing="1" w:after="60" w:afterAutospacing="1" w:line="360" w:lineRule="auto"/>
        <w:ind w:firstLine="480" w:firstLineChars="200"/>
        <w:jc w:val="both"/>
        <w:rPr>
          <w:rFonts w:hint="eastAsia"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 xml:space="preserve">方式：线上获取 </w:t>
      </w:r>
    </w:p>
    <w:p>
      <w:pPr>
        <w:widowControl w:val="0"/>
        <w:shd w:val="clear" w:color="auto" w:fill="FFFFFF"/>
        <w:spacing w:before="60" w:beforeAutospacing="1" w:after="60" w:afterAutospacing="1" w:line="360" w:lineRule="auto"/>
        <w:ind w:firstLine="480" w:firstLineChars="200"/>
        <w:jc w:val="both"/>
        <w:rPr>
          <w:rFonts w:hint="eastAsia"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 xml:space="preserve">售价（元）：0 </w:t>
      </w:r>
    </w:p>
    <w:p>
      <w:pPr>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四、提交投标文件截止时间、开标时间和地点</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1、投标截止时间：2024年  月</w:t>
      </w:r>
      <w:r>
        <w:rPr>
          <w:rFonts w:ascii="宋体" w:hAnsi="宋体" w:eastAsia="宋体" w:cs="宋体"/>
          <w:color w:val="auto"/>
          <w:kern w:val="2"/>
          <w:sz w:val="24"/>
          <w:szCs w:val="24"/>
          <w:highlight w:val="none"/>
          <w:shd w:val="clear" w:color="auto" w:fill="FFFFFF"/>
          <w:lang w:val="en-US" w:eastAsia="zh-CN" w:bidi="ar-SA"/>
        </w:rPr>
        <w:t xml:space="preserve"> </w:t>
      </w:r>
      <w:r>
        <w:rPr>
          <w:rFonts w:hint="eastAsia" w:ascii="宋体" w:hAnsi="宋体" w:eastAsia="宋体" w:cs="宋体"/>
          <w:color w:val="auto"/>
          <w:kern w:val="2"/>
          <w:sz w:val="24"/>
          <w:szCs w:val="24"/>
          <w:highlight w:val="none"/>
          <w:shd w:val="clear" w:color="auto" w:fill="FFFFFF"/>
          <w:lang w:val="en-US" w:eastAsia="zh-CN" w:bidi="ar-SA"/>
        </w:rPr>
        <w:t>日14点00分（北京时间）</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bookmarkStart w:id="3" w:name="_Toc35393625"/>
      <w:bookmarkStart w:id="4" w:name="_Toc35393794"/>
      <w:bookmarkStart w:id="5" w:name="_Toc28359084"/>
      <w:bookmarkStart w:id="6" w:name="_Toc28359007"/>
      <w:r>
        <w:rPr>
          <w:rFonts w:hint="eastAsia" w:ascii="宋体" w:hAnsi="宋体" w:eastAsia="宋体" w:cs="宋体"/>
          <w:color w:val="auto"/>
          <w:kern w:val="2"/>
          <w:sz w:val="24"/>
          <w:szCs w:val="24"/>
          <w:highlight w:val="none"/>
          <w:shd w:val="clear" w:color="auto" w:fill="FFFFFF"/>
          <w:lang w:val="en-US" w:eastAsia="zh-CN" w:bidi="ar-SA"/>
        </w:rPr>
        <w:t>2、投标地点(网址）：“乐采云平台（https://www.lecaiyun.com）”实行在线投标响应</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3、开标时间：2024年  月</w:t>
      </w:r>
      <w:r>
        <w:rPr>
          <w:rFonts w:ascii="宋体" w:hAnsi="宋体" w:eastAsia="宋体" w:cs="宋体"/>
          <w:color w:val="auto"/>
          <w:kern w:val="2"/>
          <w:sz w:val="24"/>
          <w:szCs w:val="24"/>
          <w:highlight w:val="none"/>
          <w:shd w:val="clear" w:color="auto" w:fill="FFFFFF"/>
          <w:lang w:val="en-US" w:eastAsia="zh-CN" w:bidi="ar-SA"/>
        </w:rPr>
        <w:t xml:space="preserve"> </w:t>
      </w:r>
      <w:r>
        <w:rPr>
          <w:rFonts w:hint="eastAsia" w:ascii="宋体" w:hAnsi="宋体" w:eastAsia="宋体" w:cs="宋体"/>
          <w:color w:val="auto"/>
          <w:kern w:val="2"/>
          <w:sz w:val="24"/>
          <w:szCs w:val="24"/>
          <w:highlight w:val="none"/>
          <w:shd w:val="clear" w:color="auto" w:fill="FFFFFF"/>
          <w:lang w:val="en-US" w:eastAsia="zh-CN" w:bidi="ar-SA"/>
        </w:rPr>
        <w:t>日14点00分</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4、开评标地点（网址）：苍南县灵溪镇春晖路公投大厦--苍南县公共资源交易中心/“乐采云平台（https://www.lecaiyun.com）”</w:t>
      </w:r>
    </w:p>
    <w:p>
      <w:pPr>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五、公告期限</w:t>
      </w:r>
      <w:bookmarkEnd w:id="3"/>
      <w:bookmarkEnd w:id="4"/>
      <w:bookmarkEnd w:id="5"/>
      <w:bookmarkEnd w:id="6"/>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自本公告发布之日起5个工作日。</w:t>
      </w:r>
    </w:p>
    <w:p>
      <w:pPr>
        <w:spacing w:line="360" w:lineRule="auto"/>
        <w:rPr>
          <w:rFonts w:ascii="宋体" w:hAnsi="宋体" w:eastAsia="宋体" w:cs="宋体"/>
          <w:b/>
          <w:bCs/>
          <w:color w:val="auto"/>
          <w:sz w:val="24"/>
          <w:highlight w:val="none"/>
        </w:rPr>
      </w:pPr>
      <w:bookmarkStart w:id="7" w:name="_Toc35393795"/>
      <w:bookmarkStart w:id="8" w:name="_Toc35393626"/>
      <w:r>
        <w:rPr>
          <w:rFonts w:hint="eastAsia" w:ascii="宋体" w:hAnsi="宋体" w:eastAsia="宋体" w:cs="宋体"/>
          <w:b/>
          <w:bCs/>
          <w:color w:val="auto"/>
          <w:sz w:val="24"/>
          <w:highlight w:val="none"/>
        </w:rPr>
        <w:t>六、其他补充事宜</w:t>
      </w:r>
      <w:bookmarkEnd w:id="7"/>
      <w:bookmarkEnd w:id="8"/>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bookmarkStart w:id="9" w:name="_Toc35393796"/>
      <w:bookmarkStart w:id="10" w:name="_Toc28359085"/>
      <w:bookmarkStart w:id="11" w:name="_Toc35393627"/>
      <w:bookmarkStart w:id="12" w:name="_Toc28359008"/>
      <w:r>
        <w:rPr>
          <w:rFonts w:hint="eastAsia" w:ascii="宋体" w:hAnsi="宋体" w:eastAsia="宋体" w:cs="宋体"/>
          <w:color w:val="auto"/>
          <w:kern w:val="2"/>
          <w:sz w:val="24"/>
          <w:szCs w:val="24"/>
          <w:highlight w:val="none"/>
          <w:shd w:val="clear" w:color="auto" w:fill="FFFFFF"/>
          <w:lang w:val="en-US" w:eastAsia="zh-CN" w:bidi="ar-SA"/>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人民法院提起诉讼。</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2.其他事项：①投标保证金：投标供应商无需缴纳投标保证金。 ②本项目为非政府采购，参照相关规定执行，如与政府采购法等相关规定不一致以本采购文件为准。</w:t>
      </w:r>
    </w:p>
    <w:p>
      <w:pPr>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七、</w:t>
      </w:r>
      <w:bookmarkEnd w:id="9"/>
      <w:bookmarkEnd w:id="10"/>
      <w:bookmarkEnd w:id="11"/>
      <w:bookmarkEnd w:id="12"/>
      <w:r>
        <w:rPr>
          <w:rFonts w:hint="eastAsia" w:ascii="宋体" w:hAnsi="宋体" w:eastAsia="宋体" w:cs="宋体"/>
          <w:b/>
          <w:bCs/>
          <w:color w:val="auto"/>
          <w:sz w:val="24"/>
          <w:highlight w:val="none"/>
        </w:rPr>
        <w:t>对本次采购提出询问、质疑，请按以下方式联系</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1.采购人信息</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名   称：苍南县旅游投资集团有限公司</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地   址： 浙江省温州市苍南县苍南大道与迎福路交叉口西北侧大楼3楼</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传    真：/</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项目联系人（询问）：吴先生</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项目联系方式（询问）：0577-59901980</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2.采购代理机构信息</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名   称：浙江之信工程项目管理有限公司</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地   址：苍南县灵溪镇仕华家园3幢一单元301-302室</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传    真：/</w:t>
      </w:r>
    </w:p>
    <w:p>
      <w:pPr>
        <w:widowControl w:val="0"/>
        <w:shd w:val="clear" w:color="auto" w:fill="FFFFFF"/>
        <w:spacing w:before="60" w:beforeAutospacing="0" w:after="60" w:afterAutospacing="0" w:line="360" w:lineRule="auto"/>
        <w:ind w:firstLine="480" w:firstLineChars="200"/>
        <w:jc w:val="both"/>
        <w:rPr>
          <w:rFonts w:hint="eastAsia"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项目联系人（询问）：朱先生</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项目联系方式（询问）：0577-68810100</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质疑联系人：朱先生</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质疑联系方式：0577-68810100</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3、备案机构信息</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名   称：苍南县旅游投资集团有限公司</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地   址：浙江省温州市苍南县苍南大道与迎福路交叉口西北侧大楼3楼</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传   真：/</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联 系 人：陈先生</w:t>
      </w:r>
    </w:p>
    <w:p>
      <w:pPr>
        <w:widowControl w:val="0"/>
        <w:shd w:val="clear" w:color="auto" w:fill="FFFFFF"/>
        <w:spacing w:before="60" w:beforeAutospacing="0" w:after="60" w:afterAutospacing="0" w:line="360" w:lineRule="auto"/>
        <w:ind w:firstLine="480" w:firstLineChars="200"/>
        <w:jc w:val="both"/>
        <w:rPr>
          <w:rFonts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联系电话：</w:t>
      </w:r>
      <w:bookmarkStart w:id="13" w:name="_Toc354996694"/>
      <w:bookmarkStart w:id="14" w:name="_Toc33194386"/>
      <w:bookmarkStart w:id="15" w:name="_Toc225840107"/>
      <w:r>
        <w:rPr>
          <w:rFonts w:hint="eastAsia" w:ascii="宋体" w:hAnsi="宋体" w:eastAsia="宋体" w:cs="宋体"/>
          <w:color w:val="auto"/>
          <w:kern w:val="2"/>
          <w:sz w:val="24"/>
          <w:szCs w:val="24"/>
          <w:highlight w:val="none"/>
          <w:shd w:val="clear" w:color="auto" w:fill="FFFFFF"/>
          <w:lang w:val="en-US" w:eastAsia="zh-CN" w:bidi="ar-SA"/>
        </w:rPr>
        <w:t>0577-59900700</w:t>
      </w:r>
    </w:p>
    <w:p>
      <w:pPr>
        <w:spacing w:line="360" w:lineRule="auto"/>
        <w:jc w:val="center"/>
        <w:rPr>
          <w:rFonts w:ascii="宋体" w:hAnsi="宋体" w:eastAsia="宋体" w:cs="宋体"/>
          <w:b/>
          <w:bCs/>
          <w:color w:val="auto"/>
          <w:sz w:val="28"/>
          <w:szCs w:val="28"/>
          <w:highlight w:val="none"/>
        </w:rPr>
      </w:pPr>
      <w:r>
        <w:rPr>
          <w:rFonts w:hint="eastAsia" w:ascii="宋体" w:hAnsi="宋体" w:eastAsia="宋体" w:cs="宋体"/>
          <w:color w:val="auto"/>
          <w:sz w:val="22"/>
          <w:szCs w:val="22"/>
          <w:highlight w:val="none"/>
        </w:rPr>
        <w:br w:type="page"/>
      </w:r>
      <w:r>
        <w:rPr>
          <w:rFonts w:hint="eastAsia" w:ascii="宋体" w:hAnsi="宋体" w:eastAsia="宋体" w:cs="宋体"/>
          <w:b/>
          <w:bCs/>
          <w:color w:val="auto"/>
          <w:sz w:val="28"/>
          <w:szCs w:val="28"/>
          <w:highlight w:val="none"/>
        </w:rPr>
        <w:t>第二部分  编制和提交投标文件须知</w:t>
      </w:r>
      <w:bookmarkEnd w:id="13"/>
      <w:bookmarkEnd w:id="14"/>
    </w:p>
    <w:p>
      <w:pPr>
        <w:keepNext/>
        <w:keepLines/>
        <w:shd w:val="clear" w:color="auto" w:fill="FFFFFF"/>
        <w:tabs>
          <w:tab w:val="left" w:pos="706"/>
        </w:tabs>
        <w:snapToGrid w:val="0"/>
        <w:spacing w:line="360" w:lineRule="auto"/>
        <w:ind w:left="560" w:firstLine="454"/>
        <w:jc w:val="center"/>
        <w:outlineLvl w:val="1"/>
        <w:rPr>
          <w:rFonts w:ascii="宋体" w:hAnsi="宋体" w:eastAsia="宋体" w:cs="宋体"/>
          <w:b/>
          <w:bCs/>
          <w:color w:val="auto"/>
          <w:sz w:val="24"/>
          <w:highlight w:val="none"/>
        </w:rPr>
      </w:pPr>
      <w:bookmarkStart w:id="16" w:name="_Toc354996695"/>
      <w:bookmarkStart w:id="17" w:name="_Toc432221848"/>
      <w:bookmarkStart w:id="18" w:name="_Toc233618971"/>
      <w:bookmarkStart w:id="19" w:name="_Toc33194387"/>
      <w:r>
        <w:rPr>
          <w:rFonts w:hint="eastAsia" w:ascii="宋体" w:hAnsi="宋体" w:eastAsia="宋体" w:cs="宋体"/>
          <w:b/>
          <w:bCs/>
          <w:color w:val="auto"/>
          <w:sz w:val="24"/>
          <w:highlight w:val="none"/>
        </w:rPr>
        <w:t>前 附 表</w:t>
      </w:r>
      <w:bookmarkEnd w:id="16"/>
      <w:bookmarkEnd w:id="17"/>
      <w:bookmarkEnd w:id="18"/>
      <w:bookmarkEnd w:id="19"/>
    </w:p>
    <w:tbl>
      <w:tblPr>
        <w:tblStyle w:val="2"/>
        <w:tblW w:w="90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4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9" w:hRule="atLeast"/>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highlight w:val="none"/>
              </w:rPr>
            </w:pPr>
            <w:r>
              <w:rPr>
                <w:rFonts w:hint="eastAsia" w:ascii="宋体" w:hAnsi="宋体" w:eastAsia="宋体" w:cs="宋体"/>
                <w:b/>
                <w:bCs/>
                <w:color w:val="auto"/>
                <w:sz w:val="24"/>
                <w:highlight w:val="none"/>
              </w:rPr>
              <w:t>条款</w:t>
            </w:r>
          </w:p>
        </w:tc>
        <w:tc>
          <w:tcPr>
            <w:tcW w:w="8438" w:type="dxa"/>
            <w:tcBorders>
              <w:top w:val="single" w:color="000000" w:sz="8" w:space="0"/>
              <w:left w:val="single" w:color="000000" w:sz="2" w:space="0"/>
              <w:bottom w:val="single" w:color="000000" w:sz="2"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1</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color w:val="auto"/>
                <w:sz w:val="24"/>
                <w:highlight w:val="none"/>
              </w:rPr>
            </w:pPr>
            <w:r>
              <w:rPr>
                <w:rFonts w:hint="eastAsia" w:ascii="宋体" w:hAnsi="宋体" w:eastAsia="宋体" w:cs="宋体"/>
                <w:b/>
                <w:color w:val="auto"/>
                <w:sz w:val="24"/>
                <w:highlight w:val="none"/>
              </w:rPr>
              <w:t>项目说明</w:t>
            </w:r>
          </w:p>
          <w:p>
            <w:pPr>
              <w:keepNext w:val="0"/>
              <w:keepLines w:val="0"/>
              <w:suppressLineNumbers w:val="0"/>
              <w:tabs>
                <w:tab w:val="left" w:pos="3780"/>
              </w:tabs>
              <w:snapToGrid w:val="0"/>
              <w:spacing w:before="0" w:beforeAutospacing="0" w:after="0" w:afterAutospacing="0" w:line="360" w:lineRule="auto"/>
              <w:ind w:left="0" w:right="0"/>
              <w:rPr>
                <w:rFonts w:hint="default" w:ascii="宋体" w:hAnsi="宋体" w:eastAsia="宋体" w:cs="宋体"/>
                <w:color w:val="auto"/>
                <w:sz w:val="24"/>
                <w:highlight w:val="none"/>
              </w:rPr>
            </w:pPr>
            <w:r>
              <w:rPr>
                <w:rFonts w:hint="eastAsia" w:ascii="宋体" w:hAnsi="宋体" w:eastAsia="宋体" w:cs="宋体"/>
                <w:b/>
                <w:color w:val="auto"/>
                <w:sz w:val="24"/>
                <w:highlight w:val="none"/>
              </w:rPr>
              <w:t>一、项目名称：</w:t>
            </w:r>
            <w:r>
              <w:rPr>
                <w:rFonts w:hint="eastAsia" w:ascii="宋体" w:hAnsi="宋体" w:eastAsia="宋体" w:cs="宋体"/>
                <w:bCs/>
                <w:color w:val="auto"/>
                <w:spacing w:val="-5"/>
                <w:kern w:val="20"/>
                <w:sz w:val="24"/>
                <w:highlight w:val="none"/>
                <w:lang w:eastAsia="zh-CN"/>
              </w:rPr>
              <w:t>玉苍山旅游集散中心三期-鹅峰书院数字化项目</w:t>
            </w:r>
            <w:r>
              <w:rPr>
                <w:rFonts w:hint="eastAsia" w:ascii="宋体" w:hAnsi="宋体" w:eastAsia="宋体" w:cs="宋体"/>
                <w:color w:val="auto"/>
                <w:sz w:val="24"/>
                <w:highlight w:val="none"/>
              </w:rPr>
              <w:t>。</w:t>
            </w:r>
          </w:p>
          <w:p>
            <w:pPr>
              <w:keepNext w:val="0"/>
              <w:keepLines w:val="0"/>
              <w:suppressLineNumbers w:val="0"/>
              <w:snapToGrid w:val="0"/>
              <w:spacing w:before="0" w:beforeAutospacing="0" w:after="0" w:afterAutospacing="0" w:line="360" w:lineRule="auto"/>
              <w:ind w:left="0" w:right="0"/>
              <w:rPr>
                <w:rFonts w:hint="default" w:ascii="宋体" w:hAnsi="宋体" w:eastAsia="宋体" w:cs="宋体"/>
                <w:bCs/>
                <w:color w:val="auto"/>
                <w:sz w:val="24"/>
                <w:highlight w:val="none"/>
              </w:rPr>
            </w:pPr>
            <w:bookmarkStart w:id="20" w:name="_Hlt75139851"/>
            <w:bookmarkEnd w:id="20"/>
            <w:r>
              <w:rPr>
                <w:rFonts w:hint="eastAsia" w:ascii="宋体" w:hAnsi="宋体" w:eastAsia="宋体" w:cs="宋体"/>
                <w:b/>
                <w:color w:val="auto"/>
                <w:sz w:val="24"/>
                <w:highlight w:val="none"/>
              </w:rPr>
              <w:t>二、项目实施地点：</w:t>
            </w:r>
            <w:r>
              <w:rPr>
                <w:rFonts w:hint="eastAsia" w:ascii="宋体" w:hAnsi="宋体" w:eastAsia="宋体" w:cs="宋体"/>
                <w:color w:val="auto"/>
                <w:spacing w:val="-5"/>
                <w:kern w:val="20"/>
                <w:sz w:val="24"/>
                <w:highlight w:val="none"/>
              </w:rPr>
              <w:t>苍南县旅游投资集团有限公司</w:t>
            </w:r>
            <w:r>
              <w:rPr>
                <w:rFonts w:hint="eastAsia" w:ascii="宋体" w:hAnsi="宋体" w:eastAsia="宋体" w:cs="宋体"/>
                <w:color w:val="auto"/>
                <w:sz w:val="24"/>
                <w:highlight w:val="none"/>
              </w:rPr>
              <w:t>及其指定地点。</w:t>
            </w:r>
          </w:p>
          <w:p>
            <w:pPr>
              <w:keepNext w:val="0"/>
              <w:keepLines w:val="0"/>
              <w:suppressLineNumbers w:val="0"/>
              <w:autoSpaceDE w:val="0"/>
              <w:autoSpaceDN w:val="0"/>
              <w:snapToGrid w:val="0"/>
              <w:spacing w:before="0" w:beforeAutospacing="0" w:after="0" w:afterAutospacing="0" w:line="360" w:lineRule="auto"/>
              <w:ind w:left="0" w:right="0"/>
              <w:rPr>
                <w:rFonts w:hint="default" w:ascii="宋体" w:hAnsi="宋体" w:eastAsia="宋体" w:cs="宋体"/>
                <w:color w:val="auto"/>
                <w:sz w:val="24"/>
                <w:highlight w:val="none"/>
              </w:rPr>
            </w:pPr>
            <w:r>
              <w:rPr>
                <w:rFonts w:hint="eastAsia" w:ascii="宋体" w:hAnsi="宋体" w:eastAsia="宋体" w:cs="宋体"/>
                <w:b/>
                <w:color w:val="auto"/>
                <w:sz w:val="24"/>
                <w:highlight w:val="none"/>
              </w:rPr>
              <w:t>三、主要功能和性能要求：</w:t>
            </w:r>
            <w:r>
              <w:rPr>
                <w:rFonts w:hint="eastAsia" w:ascii="宋体" w:hAnsi="宋体" w:eastAsia="宋体" w:cs="宋体"/>
                <w:color w:val="auto"/>
                <w:sz w:val="24"/>
                <w:highlight w:val="none"/>
              </w:rPr>
              <w:t>详见第三部分——项目技术规范和服务要求。</w:t>
            </w:r>
          </w:p>
          <w:p>
            <w:pPr>
              <w:keepNext w:val="0"/>
              <w:keepLines w:val="0"/>
              <w:suppressLineNumbers w:val="0"/>
              <w:shd w:val="clear" w:color="auto" w:fill="auto"/>
              <w:autoSpaceDE w:val="0"/>
              <w:autoSpaceDN w:val="0"/>
              <w:snapToGrid w:val="0"/>
              <w:spacing w:before="0" w:beforeAutospacing="0" w:after="0" w:afterAutospacing="0" w:line="360" w:lineRule="auto"/>
              <w:ind w:left="0" w:right="0"/>
              <w:rPr>
                <w:rFonts w:hint="eastAsia" w:ascii="宋体" w:hAnsi="宋体" w:eastAsia="宋体" w:cs="宋体"/>
                <w:b/>
                <w:bCs/>
                <w:color w:val="000000" w:themeColor="text1"/>
                <w:sz w:val="24"/>
                <w:highlight w:val="none"/>
                <w:lang w:val="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四、供货期：</w:t>
            </w:r>
            <w:r>
              <w:rPr>
                <w:rFonts w:hint="eastAsia" w:ascii="宋体" w:hAnsi="宋体" w:eastAsia="宋体" w:cs="宋体"/>
                <w:color w:val="000000" w:themeColor="text1"/>
                <w:sz w:val="24"/>
                <w:highlight w:val="none"/>
                <w14:textFill>
                  <w14:solidFill>
                    <w14:schemeClr w14:val="tx1"/>
                  </w14:solidFill>
                </w14:textFill>
              </w:rPr>
              <w:t>合同签订后</w:t>
            </w:r>
            <w:r>
              <w:rPr>
                <w:rFonts w:hint="eastAsia" w:ascii="宋体" w:hAnsi="宋体" w:eastAsia="宋体" w:cs="宋体"/>
                <w:color w:val="000000" w:themeColor="text1"/>
                <w:sz w:val="24"/>
                <w:highlight w:val="none"/>
                <w:lang w:val="en-US" w:eastAsia="zh-CN"/>
                <w14:textFill>
                  <w14:solidFill>
                    <w14:schemeClr w14:val="tx1"/>
                  </w14:solidFill>
                </w14:textFill>
              </w:rPr>
              <w:t>60</w:t>
            </w:r>
            <w:r>
              <w:rPr>
                <w:rFonts w:hint="eastAsia" w:ascii="宋体" w:hAnsi="宋体" w:eastAsia="宋体" w:cs="宋体"/>
                <w:color w:val="000000" w:themeColor="text1"/>
                <w:sz w:val="24"/>
                <w:highlight w:val="none"/>
                <w14:textFill>
                  <w14:solidFill>
                    <w14:schemeClr w14:val="tx1"/>
                  </w14:solidFill>
                </w14:textFill>
              </w:rPr>
              <w:t>日历天内完成供货。</w:t>
            </w:r>
          </w:p>
          <w:p>
            <w:pPr>
              <w:keepNext w:val="0"/>
              <w:keepLines w:val="0"/>
              <w:suppressLineNumbers w:val="0"/>
              <w:autoSpaceDE w:val="0"/>
              <w:autoSpaceDN w:val="0"/>
              <w:snapToGrid w:val="0"/>
              <w:spacing w:before="0" w:beforeAutospacing="0" w:after="0" w:afterAutospacing="0" w:line="360" w:lineRule="auto"/>
              <w:ind w:left="0" w:right="0"/>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lang w:val="zh-CN"/>
              </w:rPr>
              <w:t>五、采购预算金额：人民币：</w:t>
            </w:r>
            <w:r>
              <w:rPr>
                <w:rFonts w:hint="eastAsia" w:ascii="宋体" w:hAnsi="宋体" w:eastAsia="宋体" w:cs="宋体"/>
                <w:b/>
                <w:bCs/>
                <w:color w:val="auto"/>
                <w:sz w:val="24"/>
                <w:highlight w:val="none"/>
                <w:shd w:val="clear"/>
                <w:lang w:val="zh-CN"/>
              </w:rPr>
              <w:t>9301998</w:t>
            </w:r>
            <w:r>
              <w:rPr>
                <w:rFonts w:hint="eastAsia" w:ascii="宋体" w:hAnsi="宋体" w:eastAsia="宋体" w:cs="宋体"/>
                <w:b/>
                <w:bCs/>
                <w:color w:val="auto"/>
                <w:sz w:val="24"/>
                <w:highlight w:val="none"/>
                <w:lang w:val="zh-CN"/>
              </w:rPr>
              <w:t>元，最高限价：人民币：</w:t>
            </w:r>
            <w:r>
              <w:rPr>
                <w:rFonts w:hint="eastAsia" w:ascii="宋体" w:hAnsi="宋体" w:eastAsia="宋体" w:cs="宋体"/>
                <w:b/>
                <w:bCs/>
                <w:color w:val="auto"/>
                <w:sz w:val="24"/>
                <w:highlight w:val="none"/>
                <w:shd w:val="clear"/>
                <w:lang w:val="zh-CN"/>
              </w:rPr>
              <w:t>9301998</w:t>
            </w:r>
            <w:r>
              <w:rPr>
                <w:rFonts w:hint="eastAsia" w:ascii="宋体" w:hAnsi="宋体" w:eastAsia="宋体" w:cs="宋体"/>
                <w:b/>
                <w:bCs/>
                <w:color w:val="auto"/>
                <w:sz w:val="24"/>
                <w:highlight w:val="none"/>
                <w:u w:val="none"/>
                <w:lang w:val="zh-CN"/>
              </w:rPr>
              <w:t>元</w:t>
            </w:r>
            <w:r>
              <w:rPr>
                <w:rFonts w:hint="eastAsia" w:ascii="宋体" w:hAnsi="宋体" w:eastAsia="宋体" w:cs="宋体"/>
                <w:b/>
                <w:bCs/>
                <w:color w:val="auto"/>
                <w:sz w:val="24"/>
                <w:highlight w:val="none"/>
                <w:lang w:val="zh-CN"/>
              </w:rPr>
              <w:t>。</w:t>
            </w:r>
            <w:r>
              <w:rPr>
                <w:rFonts w:hint="eastAsia" w:ascii="宋体" w:hAnsi="宋体" w:eastAsia="宋体" w:cs="宋体"/>
                <w:b/>
                <w:bCs/>
                <w:color w:val="auto"/>
                <w:sz w:val="24"/>
                <w:highlight w:val="none"/>
              </w:rPr>
              <w:t>如供应商的投标报价超过最高限价的，其投标文件作无效标处理。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2</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default" w:ascii="宋体" w:hAnsi="宋体" w:eastAsia="宋体" w:cs="宋体"/>
                <w:color w:val="auto"/>
                <w:sz w:val="24"/>
                <w:highlight w:val="none"/>
              </w:rPr>
            </w:pPr>
            <w:r>
              <w:rPr>
                <w:rFonts w:hint="eastAsia" w:ascii="宋体" w:hAnsi="宋体" w:eastAsia="宋体" w:cs="宋体"/>
                <w:b/>
                <w:bCs/>
                <w:color w:val="auto"/>
                <w:sz w:val="24"/>
                <w:highlight w:val="none"/>
                <w:lang w:val="zh-CN"/>
              </w:rPr>
              <w:t>投标</w:t>
            </w:r>
            <w:r>
              <w:rPr>
                <w:rFonts w:hint="eastAsia" w:ascii="宋体" w:hAnsi="宋体" w:eastAsia="宋体" w:cs="宋体"/>
                <w:b/>
                <w:bCs/>
                <w:color w:val="auto"/>
                <w:sz w:val="24"/>
                <w:highlight w:val="none"/>
              </w:rPr>
              <w:t>有效期：</w:t>
            </w:r>
            <w:r>
              <w:rPr>
                <w:rFonts w:hint="eastAsia" w:ascii="宋体" w:hAnsi="宋体" w:eastAsia="宋体" w:cs="宋体"/>
                <w:color w:val="auto"/>
                <w:sz w:val="24"/>
                <w:highlight w:val="none"/>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3</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widowControl/>
              <w:suppressLineNumbers w:val="0"/>
              <w:snapToGrid w:val="0"/>
              <w:spacing w:before="0" w:beforeAutospacing="0" w:after="0" w:afterAutospacing="0" w:line="400" w:lineRule="exact"/>
              <w:ind w:left="0" w:right="0"/>
              <w:rPr>
                <w:rFonts w:hint="default" w:ascii="宋体" w:hAnsi="宋体" w:eastAsia="宋体" w:cs="宋体"/>
                <w:color w:val="auto"/>
                <w:sz w:val="24"/>
                <w:highlight w:val="none"/>
              </w:rPr>
            </w:pPr>
            <w:r>
              <w:rPr>
                <w:rFonts w:hint="eastAsia" w:ascii="宋体" w:hAnsi="宋体" w:eastAsia="宋体" w:cs="宋体"/>
                <w:b/>
                <w:bCs/>
                <w:color w:val="auto"/>
                <w:sz w:val="24"/>
                <w:highlight w:val="none"/>
              </w:rPr>
              <w:t>投标保证金数额：</w:t>
            </w:r>
            <w:r>
              <w:rPr>
                <w:rFonts w:hint="eastAsia" w:ascii="宋体" w:hAnsi="宋体" w:eastAsia="宋体" w:cs="宋体"/>
                <w:color w:val="auto"/>
                <w:sz w:val="22"/>
                <w:szCs w:val="22"/>
                <w:highlight w:val="none"/>
              </w:rPr>
              <w:t>投标供应商无需缴纳投标保证金。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4</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widowControl/>
              <w:suppressLineNumbers w:val="0"/>
              <w:spacing w:before="99" w:beforeAutospacing="0" w:after="99" w:afterAutospacing="0" w:line="360" w:lineRule="auto"/>
              <w:ind w:left="0" w:right="96"/>
              <w:rPr>
                <w:rFonts w:hint="default" w:ascii="宋体" w:hAnsi="宋体" w:eastAsia="宋体" w:cs="宋体"/>
                <w:b/>
                <w:color w:val="auto"/>
                <w:sz w:val="24"/>
                <w:szCs w:val="24"/>
                <w:highlight w:val="none"/>
                <w:u w:val="single"/>
              </w:rPr>
            </w:pPr>
            <w:r>
              <w:rPr>
                <w:rFonts w:hint="eastAsia" w:ascii="宋体" w:hAnsi="宋体" w:eastAsia="宋体" w:cs="宋体"/>
                <w:b/>
                <w:bCs/>
                <w:color w:val="auto"/>
                <w:sz w:val="24"/>
                <w:highlight w:val="none"/>
              </w:rPr>
              <w:t>招标服务费：</w:t>
            </w:r>
            <w:r>
              <w:rPr>
                <w:rFonts w:hint="eastAsia" w:ascii="宋体" w:hAnsi="宋体" w:eastAsia="宋体" w:cs="宋体"/>
                <w:b/>
                <w:color w:val="auto"/>
                <w:sz w:val="24"/>
                <w:szCs w:val="24"/>
                <w:highlight w:val="none"/>
                <w:u w:val="single"/>
              </w:rPr>
              <w:t>采购代理服务费向中标供应商收取，（招标代理服务收费以预算为计价基数，参照国家收费标准计价格[2002]1980号文件中货物类优惠20%计取：</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single"/>
              </w:rPr>
              <w:t>元包干+含平台服务费（平台费以实际为准，由中标单位支付给平台））。供应商在报价时须将采购代理服务费综合考虑在内。</w:t>
            </w:r>
          </w:p>
          <w:p>
            <w:pPr>
              <w:keepNext w:val="0"/>
              <w:keepLines w:val="0"/>
              <w:suppressLineNumbers w:val="0"/>
              <w:autoSpaceDE w:val="0"/>
              <w:autoSpaceDN w:val="0"/>
              <w:adjustRightInd w:val="0"/>
              <w:snapToGrid w:val="0"/>
              <w:spacing w:before="0" w:beforeAutospacing="0" w:after="0" w:afterAutospacing="0" w:line="360" w:lineRule="auto"/>
              <w:ind w:left="0" w:right="0"/>
              <w:textAlignment w:val="bottom"/>
              <w:rPr>
                <w:rFonts w:hint="default"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招标代理服务费汇入以下帐号：</w:t>
            </w:r>
          </w:p>
          <w:p>
            <w:pPr>
              <w:keepNext w:val="0"/>
              <w:keepLines w:val="0"/>
              <w:suppressLineNumbers w:val="0"/>
              <w:autoSpaceDE w:val="0"/>
              <w:autoSpaceDN w:val="0"/>
              <w:adjustRightInd w:val="0"/>
              <w:snapToGrid w:val="0"/>
              <w:spacing w:before="0" w:beforeAutospacing="0" w:after="0" w:afterAutospacing="0" w:line="360" w:lineRule="auto"/>
              <w:ind w:left="0" w:right="0"/>
              <w:textAlignment w:val="bottom"/>
              <w:rPr>
                <w:rFonts w:hint="default"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开户银行：工行苍南县支行江湾分理处</w:t>
            </w:r>
          </w:p>
          <w:p>
            <w:pPr>
              <w:keepNext w:val="0"/>
              <w:keepLines w:val="0"/>
              <w:suppressLineNumbers w:val="0"/>
              <w:autoSpaceDE w:val="0"/>
              <w:autoSpaceDN w:val="0"/>
              <w:adjustRightInd w:val="0"/>
              <w:snapToGrid w:val="0"/>
              <w:spacing w:before="0" w:beforeAutospacing="0" w:after="0" w:afterAutospacing="0" w:line="360" w:lineRule="auto"/>
              <w:ind w:left="0" w:right="0"/>
              <w:textAlignment w:val="bottom"/>
              <w:rPr>
                <w:rFonts w:hint="default"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开户名称：浙江之信工程项目管理有限公司苍南分公司         </w:t>
            </w:r>
          </w:p>
          <w:p>
            <w:pPr>
              <w:keepNext w:val="0"/>
              <w:keepLines w:val="0"/>
              <w:suppressLineNumbers w:val="0"/>
              <w:autoSpaceDE w:val="0"/>
              <w:autoSpaceDN w:val="0"/>
              <w:adjustRightInd w:val="0"/>
              <w:snapToGrid w:val="0"/>
              <w:spacing w:before="0" w:beforeAutospacing="0" w:after="0" w:afterAutospacing="0" w:line="360" w:lineRule="auto"/>
              <w:ind w:left="0" w:right="0"/>
              <w:textAlignment w:val="bottom"/>
              <w:rPr>
                <w:rFonts w:hint="default" w:ascii="宋体" w:hAnsi="宋体" w:eastAsia="宋体" w:cs="宋体"/>
                <w:color w:val="auto"/>
                <w:highlight w:val="none"/>
              </w:rPr>
            </w:pPr>
            <w:r>
              <w:rPr>
                <w:rFonts w:hint="eastAsia" w:ascii="宋体" w:hAnsi="宋体" w:eastAsia="宋体" w:cs="宋体"/>
                <w:color w:val="auto"/>
                <w:sz w:val="24"/>
                <w:szCs w:val="24"/>
                <w:highlight w:val="none"/>
              </w:rPr>
              <w:t>开户</w:t>
            </w:r>
            <w:r>
              <w:rPr>
                <w:rFonts w:hint="eastAsia" w:ascii="宋体" w:hAnsi="宋体" w:eastAsia="宋体" w:cs="宋体"/>
                <w:color w:val="auto"/>
                <w:sz w:val="24"/>
                <w:szCs w:val="24"/>
                <w:highlight w:val="none"/>
                <w:lang w:val="en-US" w:eastAsia="zh-CN"/>
              </w:rPr>
              <w:t>账</w:t>
            </w:r>
            <w:r>
              <w:rPr>
                <w:rFonts w:hint="eastAsia" w:ascii="宋体" w:hAnsi="宋体" w:eastAsia="宋体" w:cs="宋体"/>
                <w:color w:val="auto"/>
                <w:sz w:val="24"/>
                <w:szCs w:val="24"/>
                <w:highlight w:val="none"/>
              </w:rPr>
              <w:t>号：1203284609200032382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5</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投标文件的组成：</w:t>
            </w:r>
            <w:r>
              <w:rPr>
                <w:rFonts w:hint="eastAsia" w:ascii="宋体" w:hAnsi="宋体" w:eastAsia="宋体" w:cs="宋体"/>
                <w:color w:val="auto"/>
                <w:sz w:val="24"/>
                <w:highlight w:val="none"/>
                <w:lang w:bidi="ar"/>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6</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投标文件的编制：</w:t>
            </w:r>
            <w:r>
              <w:rPr>
                <w:rFonts w:hint="eastAsia" w:ascii="宋体" w:hAnsi="宋体" w:eastAsia="宋体" w:cs="宋体"/>
                <w:color w:val="auto"/>
                <w:sz w:val="24"/>
                <w:highlight w:val="none"/>
                <w:lang w:bidi="ar"/>
              </w:rPr>
              <w:t>供应商应先安装“乐采云电子交易客户端”，并按照本招标文件和“乐采云平台”的要求，通过“乐采云电子交易客户端”编制并加密投标文件。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7</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b/>
                <w:color w:val="auto"/>
                <w:sz w:val="24"/>
                <w:highlight w:val="none"/>
              </w:rPr>
            </w:pPr>
            <w:r>
              <w:rPr>
                <w:rFonts w:hint="eastAsia" w:ascii="宋体" w:hAnsi="宋体" w:eastAsia="宋体" w:cs="宋体"/>
                <w:b/>
                <w:color w:val="auto"/>
                <w:sz w:val="24"/>
                <w:highlight w:val="none"/>
              </w:rPr>
              <w:t>在线投标响应（电子投标）说明：</w:t>
            </w:r>
          </w:p>
          <w:p>
            <w:pPr>
              <w:keepNext w:val="0"/>
              <w:keepLines w:val="0"/>
              <w:suppressLineNumbers w:val="0"/>
              <w:spacing w:before="0" w:beforeAutospacing="0" w:after="0" w:afterAutospacing="0" w:line="360" w:lineRule="auto"/>
              <w:ind w:left="0" w:right="0" w:firstLine="424" w:firstLineChars="176"/>
              <w:rPr>
                <w:rFonts w:hint="default"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u w:val="single"/>
              </w:rPr>
              <w:t>本项目通过“采购云平台（https://www.lecaiyun.com）”实行在线投标响应（电子投标），供应商应先安装“乐采云电子交易客户端”，并按照本招标文件和“乐采云平台”的要求，通过“乐采云电子交易客户端”编制并加密投标文件。供应商未按规定加密的投标文件，“乐采云平台”将予以拒收</w:t>
            </w:r>
            <w:r>
              <w:rPr>
                <w:rFonts w:hint="eastAsia" w:ascii="宋体" w:hAnsi="宋体" w:eastAsia="宋体" w:cs="宋体"/>
                <w:b/>
                <w:color w:val="auto"/>
                <w:sz w:val="24"/>
                <w:highlight w:val="none"/>
              </w:rPr>
              <w:t>。</w:t>
            </w:r>
          </w:p>
          <w:p>
            <w:pPr>
              <w:keepNext w:val="0"/>
              <w:keepLines w:val="0"/>
              <w:suppressLineNumbers w:val="0"/>
              <w:spacing w:before="0" w:beforeAutospacing="0" w:after="0" w:afterAutospacing="0" w:line="360" w:lineRule="auto"/>
              <w:ind w:left="0" w:right="0" w:firstLine="424" w:firstLineChars="176"/>
              <w:rPr>
                <w:rFonts w:hint="default" w:ascii="宋体" w:hAnsi="宋体" w:eastAsia="宋体" w:cs="宋体"/>
                <w:b/>
                <w:color w:val="auto"/>
                <w:sz w:val="24"/>
                <w:highlight w:val="none"/>
                <w:u w:val="single"/>
              </w:rPr>
            </w:pPr>
            <w:r>
              <w:rPr>
                <w:rFonts w:hint="eastAsia" w:ascii="宋体" w:hAnsi="宋体" w:eastAsia="宋体" w:cs="宋体"/>
                <w:b/>
                <w:bCs/>
                <w:color w:val="auto"/>
                <w:sz w:val="24"/>
                <w:highlight w:val="none"/>
              </w:rPr>
              <w:t>“乐采云电子交易客户端”请自行前往“浙江政府采购网-下载专区-电子交易客户端”进行下载；电子投标具体操作流程详见本公告附件《供应商项目采购-电子招投标操作指南》；</w:t>
            </w:r>
            <w:r>
              <w:rPr>
                <w:rFonts w:hint="eastAsia" w:ascii="宋体" w:hAnsi="宋体" w:eastAsia="宋体" w:cs="宋体"/>
                <w:b/>
                <w:color w:val="auto"/>
                <w:sz w:val="24"/>
                <w:highlight w:val="none"/>
              </w:rPr>
              <w:t>通过“乐采云平台”参与在线投标时如遇平台技术问题详询400-881-7190。</w:t>
            </w:r>
          </w:p>
          <w:p>
            <w:pPr>
              <w:keepNext w:val="0"/>
              <w:keepLines w:val="0"/>
              <w:numPr>
                <w:ilvl w:val="0"/>
                <w:numId w:val="2"/>
              </w:numPr>
              <w:suppressLineNumbers w:val="0"/>
              <w:spacing w:before="0" w:beforeAutospacing="0" w:after="0" w:afterAutospacing="0" w:line="360" w:lineRule="auto"/>
              <w:ind w:left="0" w:right="0" w:firstLine="424" w:firstLineChars="176"/>
              <w:rPr>
                <w:rFonts w:hint="default" w:ascii="宋体" w:hAnsi="宋体" w:eastAsia="宋体" w:cs="宋体"/>
                <w:b/>
                <w:bCs/>
                <w:color w:val="auto"/>
                <w:sz w:val="24"/>
                <w:highlight w:val="none"/>
              </w:rPr>
            </w:pPr>
            <w:r>
              <w:rPr>
                <w:rFonts w:hint="eastAsia" w:ascii="宋体" w:hAnsi="宋体" w:eastAsia="宋体" w:cs="宋体"/>
                <w:b/>
                <w:color w:val="auto"/>
                <w:sz w:val="24"/>
                <w:highlight w:val="none"/>
                <w:u w:val="single"/>
              </w:rPr>
              <w:t>为确保网上操作合法、有效和安全，投标供应商应当在投标截止时间前完成在“乐采云平台”的身份认证，确保在电子投标过程中能够对相关数据电文进行加密和使用电子签章</w:t>
            </w:r>
            <w:r>
              <w:rPr>
                <w:rFonts w:hint="eastAsia" w:ascii="宋体" w:hAnsi="宋体" w:eastAsia="宋体" w:cs="宋体"/>
                <w:b/>
                <w:color w:val="auto"/>
                <w:sz w:val="24"/>
                <w:highlight w:val="none"/>
              </w:rPr>
              <w:t>。</w:t>
            </w:r>
            <w:r>
              <w:rPr>
                <w:rFonts w:hint="eastAsia" w:ascii="宋体" w:hAnsi="宋体" w:eastAsia="宋体" w:cs="宋体"/>
                <w:b/>
                <w:bCs/>
                <w:color w:val="auto"/>
                <w:sz w:val="24"/>
                <w:highlight w:val="none"/>
              </w:rPr>
              <w:t>使用“乐采云电子交易客户端”需要提前申领CA数字证书，申领流程请自行前往“浙江政府采购网-下载专区-电子交易客户端-</w:t>
            </w:r>
            <w:r>
              <w:rPr>
                <w:rFonts w:hint="default" w:ascii="等线" w:hAnsi="等线" w:eastAsia="宋体" w:cs="Times New Roman"/>
                <w:color w:val="auto"/>
                <w:highlight w:val="none"/>
              </w:rPr>
              <w:fldChar w:fldCharType="begin"/>
            </w:r>
            <w:r>
              <w:rPr>
                <w:rFonts w:hint="default" w:ascii="等线" w:hAnsi="等线" w:eastAsia="宋体" w:cs="Times New Roman"/>
                <w:color w:val="auto"/>
                <w:highlight w:val="none"/>
              </w:rPr>
              <w:instrText xml:space="preserve"> HYPERLINK "http://www.zjzfcg.gov.cn/bidClientTemplate/2019-05-27/12945.html" \t "_blank" \o "CA驱动和申领流程" </w:instrText>
            </w:r>
            <w:r>
              <w:rPr>
                <w:rFonts w:hint="default" w:ascii="等线" w:hAnsi="等线" w:eastAsia="宋体" w:cs="Times New Roman"/>
                <w:color w:val="auto"/>
                <w:highlight w:val="none"/>
              </w:rPr>
              <w:fldChar w:fldCharType="separate"/>
            </w:r>
            <w:r>
              <w:rPr>
                <w:rFonts w:hint="eastAsia" w:ascii="宋体" w:hAnsi="宋体" w:eastAsia="宋体" w:cs="宋体"/>
                <w:b/>
                <w:bCs/>
                <w:color w:val="auto"/>
                <w:sz w:val="24"/>
                <w:highlight w:val="none"/>
              </w:rPr>
              <w:t>CA驱动和申领流程</w:t>
            </w:r>
            <w:r>
              <w:rPr>
                <w:rFonts w:hint="eastAsia" w:ascii="宋体" w:hAnsi="宋体" w:eastAsia="宋体" w:cs="宋体"/>
                <w:b/>
                <w:bCs/>
                <w:color w:val="auto"/>
                <w:sz w:val="24"/>
                <w:highlight w:val="none"/>
              </w:rPr>
              <w:fldChar w:fldCharType="end"/>
            </w:r>
            <w:r>
              <w:rPr>
                <w:rFonts w:hint="eastAsia" w:ascii="宋体" w:hAnsi="宋体" w:eastAsia="宋体" w:cs="宋体"/>
                <w:b/>
                <w:bCs/>
                <w:color w:val="auto"/>
                <w:sz w:val="24"/>
                <w:highlight w:val="none"/>
              </w:rPr>
              <w:t>”进行查阅；</w:t>
            </w:r>
          </w:p>
          <w:p>
            <w:pPr>
              <w:keepNext w:val="0"/>
              <w:keepLines w:val="0"/>
              <w:numPr>
                <w:ilvl w:val="0"/>
                <w:numId w:val="2"/>
              </w:numPr>
              <w:suppressLineNumbers w:val="0"/>
              <w:spacing w:before="0" w:beforeAutospacing="0" w:after="0" w:afterAutospacing="0" w:line="360" w:lineRule="auto"/>
              <w:ind w:left="0" w:right="0" w:firstLine="424" w:firstLineChars="176"/>
              <w:rPr>
                <w:rFonts w:hint="default" w:ascii="宋体" w:hAnsi="宋体" w:eastAsia="宋体" w:cs="宋体"/>
                <w:b/>
                <w:bCs/>
                <w:color w:val="auto"/>
                <w:sz w:val="24"/>
                <w:highlight w:val="none"/>
                <w:lang w:bidi="ar"/>
              </w:rPr>
            </w:pPr>
            <w:r>
              <w:rPr>
                <w:rFonts w:hint="eastAsia" w:ascii="宋体" w:hAnsi="宋体" w:eastAsia="宋体" w:cs="宋体"/>
                <w:b/>
                <w:color w:val="auto"/>
                <w:sz w:val="24"/>
                <w:highlight w:val="none"/>
              </w:rPr>
              <w:t>◆注意：投标供应商在编制电子投标文件和上传文件时需确保“乐采云电子交易客户端”和“CA驱动端”为最新版本，请各投标供应商及时查看更新。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8</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pacing w:before="0" w:beforeAutospacing="0" w:after="0" w:afterAutospacing="0" w:line="360" w:lineRule="auto"/>
              <w:ind w:left="0" w:right="0"/>
              <w:jc w:val="left"/>
              <w:rPr>
                <w:rFonts w:hint="default"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投标文件的签章：</w:t>
            </w:r>
            <w:r>
              <w:rPr>
                <w:rFonts w:hint="eastAsia" w:ascii="宋体" w:hAnsi="宋体" w:eastAsia="宋体" w:cs="宋体"/>
                <w:color w:val="auto"/>
                <w:sz w:val="24"/>
                <w:highlight w:val="none"/>
                <w:lang w:bidi="ar"/>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9</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投标文件的形式：</w:t>
            </w:r>
            <w:r>
              <w:rPr>
                <w:rFonts w:hint="eastAsia" w:ascii="宋体" w:hAnsi="宋体" w:eastAsia="宋体" w:cs="宋体"/>
                <w:color w:val="auto"/>
                <w:sz w:val="24"/>
                <w:highlight w:val="none"/>
                <w:lang w:bidi="ar"/>
              </w:rPr>
              <w:t>☑电子投标文件（包括“电子加密投标文件”和“备份投标文件”，在投标文件编制完成后同时生成）；</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（1）“电子加密投标文件”是指通过“乐采云电子交易客户端”完成投标文件编制后生成并加密的数据电文形式的投标文件。</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10</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投标文件份数：</w:t>
            </w:r>
            <w:r>
              <w:rPr>
                <w:rFonts w:hint="eastAsia" w:ascii="宋体" w:hAnsi="宋体" w:eastAsia="宋体" w:cs="宋体"/>
                <w:color w:val="auto"/>
                <w:sz w:val="24"/>
                <w:highlight w:val="none"/>
                <w:lang w:bidi="ar"/>
              </w:rPr>
              <w:t>（1）“电子加密投标文件”：在线上传递交、一份。（2）“备份投标文件”：密封包装后（EMS或顺丰邮寄形式）投标截止时间前递交、一份（邮寄地址：苍南县灵溪镇仕华家园3幢一单元301-302室</w:t>
            </w:r>
            <w:r>
              <w:rPr>
                <w:rFonts w:hint="eastAsia" w:ascii="宋体" w:hAnsi="宋体" w:eastAsia="宋体" w:cs="宋体"/>
                <w:color w:val="auto"/>
                <w:sz w:val="24"/>
                <w:highlight w:val="none"/>
                <w:lang w:eastAsia="zh-CN" w:bidi="ar"/>
              </w:rPr>
              <w:t>陈财雄</w:t>
            </w:r>
            <w:r>
              <w:rPr>
                <w:rFonts w:hint="eastAsia" w:ascii="宋体" w:hAnsi="宋体" w:eastAsia="宋体" w:cs="宋体"/>
                <w:color w:val="auto"/>
                <w:sz w:val="24"/>
                <w:highlight w:val="none"/>
                <w:lang w:bidi="ar"/>
              </w:rPr>
              <w:t>收</w:t>
            </w:r>
            <w:r>
              <w:rPr>
                <w:rFonts w:hint="eastAsia" w:ascii="宋体" w:hAnsi="宋体" w:eastAsia="宋体" w:cs="宋体"/>
                <w:color w:val="auto"/>
                <w:sz w:val="24"/>
                <w:highlight w:val="none"/>
                <w:lang w:val="en-US" w:eastAsia="zh-CN" w:bidi="ar"/>
              </w:rPr>
              <w:t xml:space="preserve"> 电话：17867878007</w:t>
            </w:r>
            <w:r>
              <w:rPr>
                <w:rFonts w:hint="eastAsia" w:ascii="宋体" w:hAnsi="宋体" w:eastAsia="宋体" w:cs="宋体"/>
                <w:color w:val="auto"/>
                <w:sz w:val="24"/>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11</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b/>
                <w:bCs/>
                <w:color w:val="auto"/>
                <w:sz w:val="24"/>
                <w:highlight w:val="none"/>
                <w:lang w:bidi="ar"/>
              </w:rPr>
            </w:pPr>
            <w:r>
              <w:rPr>
                <w:rFonts w:hint="eastAsia" w:ascii="宋体" w:hAnsi="宋体" w:eastAsia="宋体" w:cs="宋体"/>
                <w:b/>
                <w:bCs/>
                <w:color w:val="auto"/>
                <w:sz w:val="24"/>
                <w:highlight w:val="none"/>
                <w:lang w:bidi="ar"/>
              </w:rPr>
              <w:t>投标文件的上传和递交：</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（1）“电子加密投标文件”的上传、递交：</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a.投标供应商应在投标截止时间前将“电子加密投标文件”成功上传递交至“乐采云平台”，否则投标无效。</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b.“电子加密投标文件”成功上传递交后，供应商可自行打印投标文件接收回执。</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（2）“备份投标文件”的密封包装、递交：</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a.投标供应商在“乐采云平台”完成“电子加密投标文件”的上传递交后，还可以（EMS或顺丰邮寄形式）在投标截止时间前递交以介质（U盘）存储的 “备份投标文件”（一份）；</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b.“备份投标文件”应当密封包装，并在包装上标注投标项目名称、投标单位名称并加盖公章。没有密封包装或者逾期邮寄送达至投标地点的“备份投标文件”将不予接收；</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c.通过“乐采云平台”成功上传递交的“电子加密投标文件”已按时解密的，“备份投标文件”自动失效。投标截止时间前，投标供应商仅递交了“备份投标文件”而未将“电子加密投标文件”成功上传至“乐采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12</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b/>
                <w:bCs/>
                <w:color w:val="auto"/>
                <w:sz w:val="24"/>
                <w:highlight w:val="none"/>
                <w:lang w:bidi="ar"/>
              </w:rPr>
            </w:pPr>
            <w:r>
              <w:rPr>
                <w:rFonts w:hint="eastAsia" w:ascii="宋体" w:hAnsi="宋体" w:eastAsia="宋体" w:cs="宋体"/>
                <w:b/>
                <w:bCs/>
                <w:color w:val="auto"/>
                <w:sz w:val="24"/>
                <w:highlight w:val="none"/>
                <w:lang w:bidi="ar"/>
              </w:rPr>
              <w:t>电子加密投标文件的解密和异常情况处理：</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（1）开标后，采购组织机构将向各投标供应商发出“电子加密投标文件”的解密通知，各投标供应商代表应当在接到解密通知后30分钟内自行完成“电子加密投标文件”的在线解密。</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2）通过“乐采云平台”成功上传递交的“电子加密投标文件”无法按时解密，投标供应商如按规定递交了“备份投标文件”的，以“备份投标文件”为依据（由采购组织机构按“乐采云平台”操作规范将“备份投标文件”上传至“乐采云平台”，上传成功后，“电子加密投标文件”自动失效），否则视为投标文件撤回。</w:t>
            </w:r>
          </w:p>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（3）投标截止时间前，投标供应商仅递交了“备份投标文件”而未将电子加密投标文件上传至“乐采云平台”的，投标无效。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13</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投标截止时间：202</w:t>
            </w:r>
            <w:r>
              <w:rPr>
                <w:rFonts w:hint="eastAsia" w:ascii="宋体" w:hAnsi="宋体" w:eastAsia="宋体" w:cs="宋体"/>
                <w:b/>
                <w:bCs/>
                <w:color w:val="auto"/>
                <w:sz w:val="24"/>
                <w:highlight w:val="none"/>
                <w:lang w:val="en-US" w:eastAsia="zh-CN" w:bidi="ar"/>
              </w:rPr>
              <w:t>4</w:t>
            </w:r>
            <w:r>
              <w:rPr>
                <w:rFonts w:hint="eastAsia" w:ascii="宋体" w:hAnsi="宋体" w:eastAsia="宋体" w:cs="宋体"/>
                <w:b/>
                <w:bCs/>
                <w:color w:val="auto"/>
                <w:sz w:val="24"/>
                <w:highlight w:val="none"/>
                <w:lang w:bidi="ar"/>
              </w:rPr>
              <w:t>年</w:t>
            </w:r>
            <w:r>
              <w:rPr>
                <w:rFonts w:hint="eastAsia" w:ascii="宋体" w:hAnsi="宋体" w:eastAsia="宋体" w:cs="宋体"/>
                <w:b/>
                <w:bCs/>
                <w:color w:val="auto"/>
                <w:sz w:val="24"/>
                <w:highlight w:val="none"/>
                <w:lang w:val="en-US" w:eastAsia="zh-CN" w:bidi="ar"/>
              </w:rPr>
              <w:t xml:space="preserve">  </w:t>
            </w:r>
            <w:r>
              <w:rPr>
                <w:rFonts w:hint="eastAsia" w:ascii="宋体" w:hAnsi="宋体" w:eastAsia="宋体" w:cs="宋体"/>
                <w:b/>
                <w:bCs/>
                <w:color w:val="auto"/>
                <w:sz w:val="24"/>
                <w:highlight w:val="none"/>
                <w:lang w:bidi="ar"/>
              </w:rPr>
              <w:t>月  日14点00分</w:t>
            </w:r>
            <w:r>
              <w:rPr>
                <w:rFonts w:hint="eastAsia" w:ascii="宋体" w:hAnsi="宋体" w:eastAsia="宋体" w:cs="宋体"/>
                <w:color w:val="auto"/>
                <w:sz w:val="24"/>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14</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widowControl/>
              <w:suppressLineNumbers w:val="0"/>
              <w:snapToGrid w:val="0"/>
              <w:spacing w:before="0" w:beforeAutospacing="0" w:after="0" w:afterAutospacing="0" w:line="360" w:lineRule="auto"/>
              <w:ind w:left="0" w:right="0"/>
              <w:jc w:val="left"/>
              <w:rPr>
                <w:rFonts w:hint="default"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投标地点：</w:t>
            </w:r>
            <w:r>
              <w:rPr>
                <w:rFonts w:hint="eastAsia" w:ascii="宋体" w:hAnsi="宋体" w:eastAsia="宋体" w:cs="宋体"/>
                <w:b/>
                <w:color w:val="auto"/>
                <w:kern w:val="0"/>
                <w:sz w:val="24"/>
                <w:highlight w:val="none"/>
              </w:rPr>
              <w:t>“乐采云平台（https://www.lecaiyun.com）”实行在线投标响应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15</w:t>
            </w:r>
          </w:p>
        </w:tc>
        <w:tc>
          <w:tcPr>
            <w:tcW w:w="8438" w:type="dxa"/>
            <w:tcBorders>
              <w:top w:val="single" w:color="000000" w:sz="2" w:space="0"/>
              <w:left w:val="single" w:color="000000" w:sz="2" w:space="0"/>
              <w:bottom w:val="single" w:color="auto" w:sz="4"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开标时间和地点（网址）：202</w:t>
            </w:r>
            <w:r>
              <w:rPr>
                <w:rFonts w:hint="eastAsia" w:ascii="宋体" w:hAnsi="宋体" w:eastAsia="宋体" w:cs="宋体"/>
                <w:b/>
                <w:bCs/>
                <w:color w:val="auto"/>
                <w:sz w:val="24"/>
                <w:highlight w:val="none"/>
                <w:lang w:val="en-US" w:eastAsia="zh-CN" w:bidi="ar"/>
              </w:rPr>
              <w:t>4</w:t>
            </w:r>
            <w:r>
              <w:rPr>
                <w:rFonts w:hint="eastAsia" w:ascii="宋体" w:hAnsi="宋体" w:eastAsia="宋体" w:cs="宋体"/>
                <w:b/>
                <w:bCs/>
                <w:color w:val="auto"/>
                <w:sz w:val="24"/>
                <w:highlight w:val="none"/>
                <w:lang w:bidi="ar"/>
              </w:rPr>
              <w:t>年</w:t>
            </w:r>
            <w:r>
              <w:rPr>
                <w:rFonts w:hint="eastAsia" w:ascii="宋体" w:hAnsi="宋体" w:eastAsia="宋体" w:cs="宋体"/>
                <w:b/>
                <w:bCs/>
                <w:color w:val="auto"/>
                <w:sz w:val="24"/>
                <w:highlight w:val="none"/>
                <w:lang w:val="en-US" w:eastAsia="zh-CN" w:bidi="ar"/>
              </w:rPr>
              <w:t xml:space="preserve">  </w:t>
            </w:r>
            <w:r>
              <w:rPr>
                <w:rFonts w:hint="eastAsia" w:ascii="宋体" w:hAnsi="宋体" w:eastAsia="宋体" w:cs="宋体"/>
                <w:b/>
                <w:bCs/>
                <w:color w:val="auto"/>
                <w:sz w:val="24"/>
                <w:highlight w:val="none"/>
                <w:lang w:bidi="ar"/>
              </w:rPr>
              <w:t>月  日14点00分</w:t>
            </w:r>
            <w:r>
              <w:rPr>
                <w:rFonts w:hint="eastAsia" w:ascii="宋体" w:hAnsi="宋体" w:eastAsia="宋体" w:cs="宋体"/>
                <w:color w:val="auto"/>
                <w:sz w:val="24"/>
                <w:highlight w:val="none"/>
                <w:lang w:bidi="ar"/>
              </w:rPr>
              <w:t>。苍南县灵溪镇春晖路公投大厦--苍南县公共资源交易中心/“乐采云平台（https://www.lecaiyun.com）”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16</w:t>
            </w:r>
          </w:p>
        </w:tc>
        <w:tc>
          <w:tcPr>
            <w:tcW w:w="8438" w:type="dxa"/>
            <w:tcBorders>
              <w:top w:val="single" w:color="auto" w:sz="4" w:space="0"/>
              <w:left w:val="single" w:color="000000" w:sz="2" w:space="0"/>
              <w:bottom w:val="single" w:color="auto" w:sz="4"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default" w:ascii="宋体" w:hAnsi="宋体" w:eastAsia="宋体" w:cs="宋体"/>
                <w:color w:val="auto"/>
                <w:sz w:val="24"/>
                <w:highlight w:val="none"/>
                <w:lang w:bidi="ar"/>
              </w:rPr>
            </w:pPr>
            <w:r>
              <w:rPr>
                <w:rFonts w:hint="eastAsia" w:ascii="宋体" w:hAnsi="宋体" w:eastAsia="宋体" w:cs="宋体"/>
                <w:color w:val="auto"/>
                <w:sz w:val="24"/>
                <w:highlight w:val="none"/>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widowControl/>
              <w:suppressLineNumbers w:val="0"/>
              <w:snapToGrid w:val="0"/>
              <w:spacing w:before="0" w:beforeAutospacing="0" w:after="0" w:afterAutospacing="0" w:line="360" w:lineRule="auto"/>
              <w:ind w:left="0" w:right="0"/>
              <w:jc w:val="center"/>
              <w:textAlignment w:val="center"/>
              <w:rPr>
                <w:rFonts w:hint="default"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17</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default" w:ascii="宋体" w:hAnsi="宋体" w:eastAsia="宋体" w:cs="宋体"/>
                <w:color w:val="auto"/>
                <w:sz w:val="24"/>
                <w:highlight w:val="none"/>
              </w:rPr>
            </w:pPr>
            <w:r>
              <w:rPr>
                <w:rFonts w:hint="eastAsia" w:ascii="宋体" w:hAnsi="宋体" w:eastAsia="宋体" w:cs="宋体"/>
                <w:b/>
                <w:color w:val="auto"/>
                <w:kern w:val="10"/>
                <w:sz w:val="24"/>
                <w:highlight w:val="none"/>
              </w:rPr>
              <w:t>潜在供应商需在浙江政府采购网</w:t>
            </w:r>
            <w:r>
              <w:rPr>
                <w:rFonts w:hint="eastAsia" w:ascii="宋体" w:hAnsi="宋体" w:eastAsia="宋体" w:cs="宋体"/>
                <w:b/>
                <w:color w:val="auto"/>
                <w:kern w:val="10"/>
                <w:sz w:val="24"/>
                <w:highlight w:val="none"/>
              </w:rPr>
              <w:fldChar w:fldCharType="begin"/>
            </w:r>
            <w:r>
              <w:rPr>
                <w:rFonts w:hint="eastAsia" w:ascii="宋体" w:hAnsi="宋体" w:eastAsia="宋体" w:cs="宋体"/>
                <w:b/>
                <w:color w:val="auto"/>
                <w:kern w:val="10"/>
                <w:sz w:val="24"/>
                <w:highlight w:val="none"/>
              </w:rPr>
              <w:instrText xml:space="preserve"> INCLUDEPICTURE "D:\\Program Files (x86)\\Tencent\\WeChat\\WeChat Files\\Administrator.SKY-20181128UGH\\Documents\\Tencent Files\\731289318\\Documents\\Tencent Files\\807561008\\Documents\\Tencent Files\\807561008\\Documents\\Tencent Files\\731289318\\Documents\\tencent%20files\\QIYUAN~1\\AppData\\Local\\Temp\\%2525W@GJ$ACOF(TYDYECOKVDYB.png" \* MERGEFORMAT \d </w:instrText>
            </w:r>
            <w:r>
              <w:rPr>
                <w:rFonts w:hint="eastAsia" w:ascii="宋体" w:hAnsi="宋体" w:eastAsia="宋体" w:cs="宋体"/>
                <w:b/>
                <w:color w:val="auto"/>
                <w:kern w:val="10"/>
                <w:sz w:val="24"/>
                <w:highlight w:val="none"/>
              </w:rPr>
              <w:fldChar w:fldCharType="separate"/>
            </w:r>
            <w:r>
              <w:rPr>
                <w:rFonts w:hint="eastAsia" w:ascii="宋体" w:hAnsi="宋体" w:eastAsia="宋体" w:cs="宋体"/>
                <w:b/>
                <w:color w:val="auto"/>
                <w:kern w:val="10"/>
                <w:sz w:val="24"/>
                <w:highlight w:val="none"/>
              </w:rPr>
              <w:drawing>
                <wp:inline distT="0" distB="0" distL="114300" distR="114300">
                  <wp:extent cx="189865" cy="142240"/>
                  <wp:effectExtent l="0" t="0" r="635" b="10160"/>
                  <wp:docPr id="259"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1" descr="IMG_257"/>
                          <pic:cNvPicPr>
                            <a:picLocks noChangeAspect="1"/>
                          </pic:cNvPicPr>
                        </pic:nvPicPr>
                        <pic:blipFill>
                          <a:blip r:embed="rId8"/>
                          <a:stretch>
                            <a:fillRect/>
                          </a:stretch>
                        </pic:blipFill>
                        <pic:spPr>
                          <a:xfrm>
                            <a:off x="0" y="0"/>
                            <a:ext cx="189865" cy="142240"/>
                          </a:xfrm>
                          <a:prstGeom prst="rect">
                            <a:avLst/>
                          </a:prstGeom>
                          <a:noFill/>
                          <a:ln>
                            <a:noFill/>
                          </a:ln>
                        </pic:spPr>
                      </pic:pic>
                    </a:graphicData>
                  </a:graphic>
                </wp:inline>
              </w:drawing>
            </w:r>
            <w:r>
              <w:rPr>
                <w:rFonts w:hint="eastAsia" w:ascii="宋体" w:hAnsi="宋体" w:eastAsia="宋体" w:cs="宋体"/>
                <w:b/>
                <w:color w:val="auto"/>
                <w:kern w:val="10"/>
                <w:sz w:val="24"/>
                <w:highlight w:val="none"/>
              </w:rPr>
              <w:fldChar w:fldCharType="end"/>
            </w:r>
            <w:r>
              <w:rPr>
                <w:rFonts w:hint="eastAsia" w:ascii="宋体" w:hAnsi="宋体" w:eastAsia="宋体" w:cs="宋体"/>
                <w:b/>
                <w:color w:val="auto"/>
                <w:kern w:val="10"/>
                <w:sz w:val="24"/>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widowControl/>
              <w:suppressLineNumbers w:val="0"/>
              <w:snapToGrid w:val="0"/>
              <w:spacing w:before="0" w:beforeAutospacing="0" w:after="0" w:afterAutospacing="0" w:line="360" w:lineRule="auto"/>
              <w:ind w:left="0" w:right="0"/>
              <w:jc w:val="center"/>
              <w:textAlignment w:val="center"/>
              <w:rPr>
                <w:rFonts w:hint="default"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18</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napToGrid w:val="0"/>
              <w:spacing w:before="0" w:beforeAutospacing="0" w:after="0" w:afterAutospacing="0" w:line="360" w:lineRule="auto"/>
              <w:ind w:left="105" w:leftChars="50" w:right="0"/>
              <w:rPr>
                <w:rFonts w:hint="default" w:ascii="宋体" w:hAnsi="宋体" w:eastAsia="宋体" w:cs="宋体"/>
                <w:color w:val="auto"/>
                <w:sz w:val="24"/>
                <w:highlight w:val="none"/>
              </w:rPr>
            </w:pPr>
            <w:r>
              <w:rPr>
                <w:rFonts w:hint="eastAsia" w:ascii="宋体" w:hAnsi="宋体" w:eastAsia="宋体" w:cs="宋体"/>
                <w:color w:val="auto"/>
                <w:sz w:val="24"/>
                <w:highlight w:val="none"/>
              </w:rPr>
              <w:t>不符合以下情况的，其投标将被拒绝。</w:t>
            </w:r>
          </w:p>
          <w:p>
            <w:pPr>
              <w:keepNext w:val="0"/>
              <w:keepLines w:val="0"/>
              <w:widowControl w:val="0"/>
              <w:suppressLineNumbers w:val="0"/>
              <w:shd w:val="clear" w:color="auto" w:fill="FFFFFF"/>
              <w:spacing w:before="48" w:beforeAutospacing="0" w:after="48" w:afterAutospacing="0" w:line="360" w:lineRule="auto"/>
              <w:ind w:left="0" w:right="45" w:firstLine="240" w:firstLineChars="100"/>
              <w:jc w:val="both"/>
              <w:rPr>
                <w:rFonts w:hint="default"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（一）投标人参加国有企业采购活动应当具备下列条件:</w:t>
            </w:r>
          </w:p>
          <w:p>
            <w:pPr>
              <w:keepNext w:val="0"/>
              <w:keepLines w:val="0"/>
              <w:widowControl w:val="0"/>
              <w:suppressLineNumbers w:val="0"/>
              <w:shd w:val="clear" w:color="auto" w:fill="FFFFFF"/>
              <w:spacing w:before="60" w:beforeAutospacing="0" w:after="60" w:afterAutospacing="0" w:line="360" w:lineRule="auto"/>
              <w:ind w:left="0" w:right="0" w:firstLine="480" w:firstLineChars="20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1.具有独立承担民事责任的能力；</w:t>
            </w:r>
          </w:p>
          <w:p>
            <w:pPr>
              <w:keepNext w:val="0"/>
              <w:keepLines w:val="0"/>
              <w:widowControl w:val="0"/>
              <w:suppressLineNumbers w:val="0"/>
              <w:shd w:val="clear" w:color="auto" w:fill="FFFFFF"/>
              <w:spacing w:before="60" w:beforeAutospacing="0" w:after="60" w:afterAutospacing="0" w:line="360" w:lineRule="auto"/>
              <w:ind w:left="0" w:right="0" w:firstLine="480" w:firstLineChars="20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2.具有良好的商业信誉和健全的财务会计制度；</w:t>
            </w:r>
          </w:p>
          <w:p>
            <w:pPr>
              <w:keepNext w:val="0"/>
              <w:keepLines w:val="0"/>
              <w:widowControl w:val="0"/>
              <w:suppressLineNumbers w:val="0"/>
              <w:shd w:val="clear" w:color="auto" w:fill="FFFFFF"/>
              <w:spacing w:before="60" w:beforeAutospacing="0" w:after="60" w:afterAutospacing="0" w:line="360" w:lineRule="auto"/>
              <w:ind w:left="0" w:right="0" w:firstLine="480" w:firstLineChars="20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3.具有履行合同所必需的设备和专业技术、售后保障等能力；</w:t>
            </w:r>
          </w:p>
          <w:p>
            <w:pPr>
              <w:keepNext w:val="0"/>
              <w:keepLines w:val="0"/>
              <w:widowControl w:val="0"/>
              <w:suppressLineNumbers w:val="0"/>
              <w:shd w:val="clear" w:color="auto" w:fill="FFFFFF"/>
              <w:spacing w:before="60" w:beforeAutospacing="0" w:after="60" w:afterAutospacing="0" w:line="360" w:lineRule="auto"/>
              <w:ind w:left="0" w:right="0" w:firstLine="480" w:firstLineChars="20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4.有依法缴纳税收和社会保障资金的良好记录；</w:t>
            </w:r>
          </w:p>
          <w:p>
            <w:pPr>
              <w:keepNext w:val="0"/>
              <w:keepLines w:val="0"/>
              <w:widowControl w:val="0"/>
              <w:suppressLineNumbers w:val="0"/>
              <w:shd w:val="clear" w:color="auto" w:fill="FFFFFF"/>
              <w:spacing w:before="60" w:beforeAutospacing="0" w:after="60" w:afterAutospacing="0" w:line="360" w:lineRule="auto"/>
              <w:ind w:left="0" w:right="0" w:firstLine="480" w:firstLineChars="20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5.参加采购活动前三年内（时间截止到开标之日，新成立不满三年的组织机构自成立之日起算），在经营活动中没有重大违法记录、严重失信行为和行贿记录，未被“信用中国”（www.creditchina.gov.cn)、中国政府采购网（www.ccgp.gov.cn）列入失信被执行人、重大税收违法案件当事人名单。</w:t>
            </w:r>
          </w:p>
          <w:p>
            <w:pPr>
              <w:keepNext w:val="0"/>
              <w:keepLines w:val="0"/>
              <w:widowControl w:val="0"/>
              <w:suppressLineNumbers w:val="0"/>
              <w:shd w:val="clear" w:color="auto" w:fill="FFFFFF"/>
              <w:spacing w:before="60" w:beforeAutospacing="0" w:after="60" w:afterAutospacing="0" w:line="360" w:lineRule="auto"/>
              <w:ind w:left="0" w:right="0" w:firstLine="480" w:firstLineChars="20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6.法律、行政法规规定的其他条件。</w:t>
            </w:r>
          </w:p>
          <w:p>
            <w:pPr>
              <w:keepNext w:val="0"/>
              <w:keepLines w:val="0"/>
              <w:widowControl w:val="0"/>
              <w:suppressLineNumbers w:val="0"/>
              <w:shd w:val="clear" w:color="auto" w:fill="FFFFFF"/>
              <w:spacing w:before="60" w:beforeAutospacing="0" w:after="60" w:afterAutospacing="0" w:line="360" w:lineRule="auto"/>
              <w:ind w:left="0" w:right="0" w:firstLine="240" w:firstLineChars="100"/>
              <w:jc w:val="both"/>
              <w:rPr>
                <w:rFonts w:hint="default"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（二）单位负责人为同一人或者存在直接控股、管理关系的不同供应商，不得参加同一合同项下的国企采购活动；</w:t>
            </w:r>
          </w:p>
          <w:p>
            <w:pPr>
              <w:keepNext w:val="0"/>
              <w:keepLines w:val="0"/>
              <w:widowControl w:val="0"/>
              <w:suppressLineNumbers w:val="0"/>
              <w:shd w:val="clear" w:color="auto" w:fill="FFFFFF"/>
              <w:spacing w:before="48" w:beforeAutospacing="0" w:after="48" w:afterAutospacing="0" w:line="360" w:lineRule="auto"/>
              <w:ind w:left="0" w:right="45" w:firstLine="240" w:firstLineChars="100"/>
              <w:jc w:val="both"/>
              <w:rPr>
                <w:rFonts w:hint="default" w:ascii="宋体" w:hAnsi="宋体" w:eastAsia="宋体" w:cs="宋体"/>
                <w:b/>
                <w:color w:val="auto"/>
                <w:kern w:val="10"/>
                <w:sz w:val="24"/>
                <w:szCs w:val="24"/>
                <w:highlight w:val="none"/>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（三）本项目不接受联合体投标。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6"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kern w:val="0"/>
                <w:sz w:val="24"/>
                <w:highlight w:val="none"/>
                <w:lang w:bidi="ar"/>
              </w:rPr>
            </w:pPr>
            <w:r>
              <w:rPr>
                <w:rFonts w:hint="eastAsia" w:ascii="宋体" w:hAnsi="宋体" w:eastAsia="宋体" w:cs="宋体"/>
                <w:b/>
                <w:bCs/>
                <w:color w:val="auto"/>
                <w:kern w:val="0"/>
                <w:sz w:val="24"/>
                <w:highlight w:val="none"/>
                <w:lang w:bidi="ar"/>
              </w:rPr>
              <w:t>19</w:t>
            </w:r>
          </w:p>
        </w:tc>
        <w:tc>
          <w:tcPr>
            <w:tcW w:w="8438" w:type="dxa"/>
            <w:tcBorders>
              <w:top w:val="single" w:color="000000" w:sz="2" w:space="0"/>
              <w:left w:val="single" w:color="000000" w:sz="2" w:space="0"/>
              <w:bottom w:val="single" w:color="000000" w:sz="2" w:space="0"/>
              <w:right w:val="single" w:color="000000" w:sz="8" w:space="0"/>
            </w:tcBorders>
            <w:vAlign w:val="center"/>
          </w:tcPr>
          <w:p>
            <w:pPr>
              <w:keepNext w:val="0"/>
              <w:keepLines w:val="0"/>
              <w:suppressLineNumbers w:val="0"/>
              <w:snapToGrid w:val="0"/>
              <w:spacing w:before="0" w:beforeAutospacing="0" w:after="0" w:afterAutospacing="0" w:line="360" w:lineRule="auto"/>
              <w:ind w:left="105" w:leftChars="50" w:right="0"/>
              <w:rPr>
                <w:rFonts w:hint="default" w:ascii="宋体" w:hAnsi="宋体" w:eastAsia="宋体" w:cs="宋体"/>
                <w:color w:val="auto"/>
                <w:kern w:val="0"/>
                <w:sz w:val="24"/>
                <w:highlight w:val="none"/>
              </w:rPr>
            </w:pPr>
            <w:r>
              <w:rPr>
                <w:rFonts w:hint="eastAsia" w:ascii="宋体" w:hAnsi="宋体" w:eastAsia="宋体" w:cs="宋体"/>
                <w:color w:val="auto"/>
                <w:sz w:val="24"/>
                <w:highlight w:val="none"/>
              </w:rPr>
              <w:t>1、中标供应商须在中标通知书发出之日起5日历天内与采购人签订合同。</w:t>
            </w:r>
          </w:p>
        </w:tc>
      </w:tr>
    </w:tbl>
    <w:p>
      <w:pPr>
        <w:shd w:val="clear" w:color="auto" w:fill="FFFFFF"/>
        <w:snapToGrid w:val="0"/>
        <w:spacing w:line="360" w:lineRule="auto"/>
        <w:jc w:val="center"/>
        <w:outlineLvl w:val="1"/>
        <w:rPr>
          <w:rFonts w:ascii="宋体" w:hAnsi="宋体" w:eastAsia="宋体" w:cs="宋体"/>
          <w:b/>
          <w:bCs/>
          <w:color w:val="auto"/>
          <w:sz w:val="24"/>
          <w:highlight w:val="none"/>
        </w:rPr>
      </w:pPr>
      <w:r>
        <w:rPr>
          <w:rFonts w:hint="eastAsia" w:ascii="宋体" w:hAnsi="宋体" w:eastAsia="宋体" w:cs="宋体"/>
          <w:color w:val="auto"/>
          <w:kern w:val="0"/>
          <w:sz w:val="24"/>
          <w:highlight w:val="none"/>
        </w:rPr>
        <w:br w:type="page"/>
      </w:r>
      <w:bookmarkEnd w:id="15"/>
      <w:bookmarkStart w:id="21" w:name="_Toc352584219"/>
      <w:bookmarkStart w:id="22" w:name="_Toc354996696"/>
      <w:bookmarkStart w:id="23" w:name="_Toc233618972"/>
      <w:bookmarkStart w:id="24" w:name="_Toc33194388"/>
      <w:bookmarkStart w:id="25" w:name="_Toc226106516"/>
      <w:bookmarkStart w:id="26" w:name="_Toc226521904"/>
      <w:bookmarkStart w:id="27" w:name="_Toc225840109"/>
      <w:bookmarkStart w:id="28" w:name="_Toc226106467"/>
      <w:r>
        <w:rPr>
          <w:rFonts w:hint="eastAsia" w:ascii="宋体" w:hAnsi="宋体" w:eastAsia="宋体" w:cs="宋体"/>
          <w:b/>
          <w:bCs/>
          <w:color w:val="auto"/>
          <w:sz w:val="28"/>
          <w:szCs w:val="28"/>
          <w:highlight w:val="none"/>
        </w:rPr>
        <w:t>一、总 则</w:t>
      </w:r>
      <w:bookmarkEnd w:id="21"/>
      <w:bookmarkEnd w:id="22"/>
      <w:bookmarkEnd w:id="23"/>
      <w:bookmarkEnd w:id="24"/>
    </w:p>
    <w:p>
      <w:pPr>
        <w:snapToGrid w:val="0"/>
        <w:spacing w:line="360" w:lineRule="auto"/>
        <w:rPr>
          <w:rFonts w:ascii="宋体" w:hAnsi="宋体" w:eastAsia="宋体" w:cs="宋体"/>
          <w:b/>
          <w:color w:val="auto"/>
          <w:sz w:val="24"/>
          <w:highlight w:val="none"/>
        </w:rPr>
      </w:pPr>
      <w:bookmarkStart w:id="29" w:name="_Toc91899872"/>
      <w:bookmarkStart w:id="30" w:name="_Hlt74730208"/>
      <w:bookmarkStart w:id="31" w:name="_Hlt74730112"/>
      <w:bookmarkStart w:id="32" w:name="_Toc233618973"/>
      <w:bookmarkStart w:id="33" w:name="_Toc354996697"/>
      <w:r>
        <w:rPr>
          <w:rFonts w:hint="eastAsia" w:ascii="宋体" w:hAnsi="宋体" w:eastAsia="宋体" w:cs="宋体"/>
          <w:b/>
          <w:color w:val="auto"/>
          <w:sz w:val="24"/>
          <w:highlight w:val="none"/>
        </w:rPr>
        <w:t>（一）项目说明</w:t>
      </w:r>
      <w:bookmarkEnd w:id="29"/>
    </w:p>
    <w:p>
      <w:pPr>
        <w:widowControl w:val="0"/>
        <w:snapToGrid w:val="0"/>
        <w:spacing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1、项目说明见投标须知前附表(以下称“前附表”)第1项所述。</w:t>
      </w:r>
    </w:p>
    <w:p>
      <w:pPr>
        <w:widowControl w:val="0"/>
        <w:tabs>
          <w:tab w:val="left" w:pos="6510"/>
        </w:tabs>
        <w:snapToGrid w:val="0"/>
        <w:spacing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采购单位苍南县旅游投资集团有限公司为本项目的采购人（合同中的甲方），浙江之信工程项目管理有限公司为采购代理机构，苍南县旅游投资集团有限公司为国企采购备案机构，自愿参加本次项目投标的法人、其他组织为投标供应商，经评审产生并经批准的投标供应商为中标供应商，签订合同后的中标供应商为供应商(合同中的乙方)。</w:t>
      </w:r>
    </w:p>
    <w:p>
      <w:pPr>
        <w:widowControl w:val="0"/>
        <w:snapToGrid w:val="0"/>
        <w:spacing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3、投标供应商一旦参与本次招标活动，即被视为接受了本招标文件的所有内容，如有任何异议，均已在答疑截止时间前提出。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投标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eastAsia="宋体" w:cs="宋体"/>
          <w:color w:val="auto"/>
          <w:kern w:val="0"/>
          <w:sz w:val="24"/>
          <w:highlight w:val="none"/>
          <w:lang w:val="zh-CN"/>
        </w:rPr>
        <w:t>供应商</w:t>
      </w:r>
      <w:r>
        <w:rPr>
          <w:rFonts w:hint="eastAsia" w:ascii="宋体" w:hAnsi="宋体" w:eastAsia="宋体" w:cs="宋体"/>
          <w:color w:val="auto"/>
          <w:sz w:val="24"/>
          <w:highlight w:val="none"/>
        </w:rPr>
        <w:t>应承担相应后果，</w:t>
      </w:r>
      <w:r>
        <w:rPr>
          <w:rFonts w:hint="eastAsia" w:ascii="宋体" w:hAnsi="宋体" w:eastAsia="宋体" w:cs="宋体"/>
          <w:color w:val="auto"/>
          <w:kern w:val="0"/>
          <w:sz w:val="24"/>
          <w:highlight w:val="none"/>
          <w:lang w:val="zh-CN"/>
        </w:rPr>
        <w:t>并负责赔偿。</w:t>
      </w:r>
      <w:r>
        <w:rPr>
          <w:rFonts w:hint="eastAsia" w:ascii="宋体" w:hAnsi="宋体" w:eastAsia="宋体" w:cs="宋体"/>
          <w:color w:val="auto"/>
          <w:sz w:val="24"/>
          <w:highlight w:val="none"/>
        </w:rPr>
        <w:t>供应商为执行本项目合同而提供的技术资料等归采购人所有。</w:t>
      </w:r>
      <w:bookmarkStart w:id="34" w:name="_Toc91899873"/>
    </w:p>
    <w:p>
      <w:pPr>
        <w:tabs>
          <w:tab w:val="left" w:pos="3780"/>
        </w:tabs>
        <w:snapToGrid w:val="0"/>
        <w:spacing w:line="360" w:lineRule="auto"/>
        <w:rPr>
          <w:rFonts w:ascii="宋体" w:hAnsi="宋体" w:eastAsia="宋体" w:cs="宋体"/>
          <w:b/>
          <w:color w:val="auto"/>
          <w:sz w:val="24"/>
          <w:highlight w:val="none"/>
        </w:rPr>
      </w:pPr>
      <w:r>
        <w:rPr>
          <w:rFonts w:hint="eastAsia" w:ascii="宋体" w:hAnsi="宋体" w:eastAsia="宋体" w:cs="宋体"/>
          <w:b/>
          <w:color w:val="auto"/>
          <w:sz w:val="24"/>
          <w:highlight w:val="none"/>
        </w:rPr>
        <w:t>（二）采购方式</w:t>
      </w:r>
      <w:bookmarkEnd w:id="34"/>
    </w:p>
    <w:p>
      <w:pPr>
        <w:widowControl w:val="0"/>
        <w:snapToGrid w:val="0"/>
        <w:spacing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公开招标。</w:t>
      </w:r>
      <w:bookmarkEnd w:id="30"/>
      <w:bookmarkEnd w:id="31"/>
      <w:bookmarkStart w:id="35" w:name="_Hlt68516771"/>
      <w:bookmarkEnd w:id="35"/>
      <w:bookmarkStart w:id="36" w:name="_Hlt74388212"/>
      <w:bookmarkEnd w:id="36"/>
    </w:p>
    <w:p>
      <w:pPr>
        <w:snapToGrid w:val="0"/>
        <w:spacing w:line="360" w:lineRule="auto"/>
        <w:rPr>
          <w:rFonts w:ascii="宋体" w:hAnsi="宋体" w:eastAsia="宋体" w:cs="宋体"/>
          <w:b/>
          <w:color w:val="auto"/>
          <w:sz w:val="24"/>
          <w:highlight w:val="none"/>
        </w:rPr>
      </w:pPr>
      <w:bookmarkStart w:id="37" w:name="_Toc91899877"/>
      <w:bookmarkStart w:id="38" w:name="_Hlt74730303"/>
      <w:r>
        <w:rPr>
          <w:rFonts w:hint="eastAsia" w:ascii="宋体" w:hAnsi="宋体" w:eastAsia="宋体" w:cs="宋体"/>
          <w:b/>
          <w:color w:val="auto"/>
          <w:sz w:val="24"/>
          <w:highlight w:val="none"/>
        </w:rPr>
        <w:t>（三）</w:t>
      </w:r>
      <w:r>
        <w:rPr>
          <w:rFonts w:hint="eastAsia" w:ascii="宋体" w:hAnsi="宋体" w:eastAsia="宋体" w:cs="宋体"/>
          <w:b/>
          <w:color w:val="auto"/>
          <w:kern w:val="0"/>
          <w:sz w:val="24"/>
          <w:highlight w:val="none"/>
          <w:lang w:val="zh-CN"/>
        </w:rPr>
        <w:t>定义</w:t>
      </w:r>
    </w:p>
    <w:p>
      <w:pPr>
        <w:snapToGrid w:val="0"/>
        <w:spacing w:line="360" w:lineRule="auto"/>
        <w:ind w:firstLine="481"/>
        <w:rPr>
          <w:rFonts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1、合格的投标供应商应具备的资格要求，</w:t>
      </w:r>
      <w:r>
        <w:rPr>
          <w:rFonts w:hint="eastAsia" w:ascii="宋体" w:hAnsi="宋体" w:eastAsia="宋体" w:cs="宋体"/>
          <w:color w:val="auto"/>
          <w:kern w:val="0"/>
          <w:sz w:val="24"/>
          <w:highlight w:val="none"/>
          <w:lang w:val="zh-CN"/>
        </w:rPr>
        <w:t>见招标文件第一部分“招标公告”。</w:t>
      </w:r>
    </w:p>
    <w:p>
      <w:pPr>
        <w:tabs>
          <w:tab w:val="left" w:pos="0"/>
        </w:tabs>
        <w:autoSpaceDE w:val="0"/>
        <w:autoSpaceDN w:val="0"/>
        <w:snapToGrid w:val="0"/>
        <w:spacing w:line="360" w:lineRule="auto"/>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2、内容</w:t>
      </w:r>
    </w:p>
    <w:p>
      <w:pPr>
        <w:spacing w:line="360" w:lineRule="auto"/>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rPr>
        <w:t>详见第三部分——项目技术规范和服务要求。</w:t>
      </w:r>
    </w:p>
    <w:p>
      <w:pPr>
        <w:widowControl w:val="0"/>
        <w:snapToGrid w:val="0"/>
        <w:spacing w:line="360" w:lineRule="auto"/>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（四）投标费用</w:t>
      </w:r>
    </w:p>
    <w:p>
      <w:pPr>
        <w:snapToGrid w:val="0"/>
        <w:spacing w:line="360" w:lineRule="auto"/>
        <w:ind w:firstLine="523" w:firstLineChars="218"/>
        <w:rPr>
          <w:rFonts w:ascii="宋体" w:hAnsi="宋体" w:eastAsia="宋体" w:cs="宋体"/>
          <w:color w:val="auto"/>
          <w:sz w:val="24"/>
          <w:highlight w:val="none"/>
          <w:lang w:val="zh-CN"/>
        </w:rPr>
      </w:pPr>
      <w:r>
        <w:rPr>
          <w:rFonts w:hint="eastAsia" w:ascii="宋体" w:hAnsi="宋体" w:eastAsia="宋体" w:cs="宋体"/>
          <w:color w:val="auto"/>
          <w:sz w:val="24"/>
          <w:highlight w:val="none"/>
        </w:rPr>
        <w:t>投标供应商需自行承担涉及投标的一切税、费用</w:t>
      </w:r>
      <w:r>
        <w:rPr>
          <w:rFonts w:hint="eastAsia" w:ascii="宋体" w:hAnsi="宋体" w:eastAsia="宋体" w:cs="宋体"/>
          <w:color w:val="auto"/>
          <w:sz w:val="24"/>
          <w:highlight w:val="none"/>
          <w:lang w:val="zh-CN"/>
        </w:rPr>
        <w:t>。</w:t>
      </w:r>
    </w:p>
    <w:p>
      <w:pPr>
        <w:widowControl w:val="0"/>
        <w:snapToGrid w:val="0"/>
        <w:spacing w:line="360" w:lineRule="auto"/>
        <w:jc w:val="both"/>
        <w:rPr>
          <w:rFonts w:ascii="宋体" w:hAnsi="宋体" w:eastAsia="宋体" w:cs="宋体"/>
          <w:b/>
          <w:color w:val="auto"/>
          <w:kern w:val="2"/>
          <w:sz w:val="24"/>
          <w:szCs w:val="24"/>
          <w:highlight w:val="none"/>
          <w:lang w:val="zh-CN" w:eastAsia="zh-CN" w:bidi="ar-SA"/>
        </w:rPr>
      </w:pPr>
      <w:r>
        <w:rPr>
          <w:rFonts w:hint="eastAsia" w:ascii="宋体" w:hAnsi="宋体" w:eastAsia="宋体" w:cs="宋体"/>
          <w:b/>
          <w:color w:val="auto"/>
          <w:kern w:val="2"/>
          <w:sz w:val="24"/>
          <w:szCs w:val="24"/>
          <w:highlight w:val="none"/>
          <w:lang w:val="zh-CN" w:eastAsia="zh-CN" w:bidi="ar-SA"/>
        </w:rPr>
        <w:t>（</w:t>
      </w:r>
      <w:r>
        <w:rPr>
          <w:rFonts w:hint="eastAsia" w:ascii="宋体" w:hAnsi="宋体" w:eastAsia="宋体" w:cs="宋体"/>
          <w:b/>
          <w:color w:val="auto"/>
          <w:kern w:val="2"/>
          <w:sz w:val="24"/>
          <w:szCs w:val="24"/>
          <w:highlight w:val="none"/>
          <w:lang w:val="en-US" w:eastAsia="zh-CN" w:bidi="ar-SA"/>
        </w:rPr>
        <w:t>五</w:t>
      </w:r>
      <w:r>
        <w:rPr>
          <w:rFonts w:hint="eastAsia" w:ascii="宋体" w:hAnsi="宋体" w:eastAsia="宋体" w:cs="宋体"/>
          <w:b/>
          <w:color w:val="auto"/>
          <w:kern w:val="2"/>
          <w:sz w:val="24"/>
          <w:szCs w:val="24"/>
          <w:highlight w:val="none"/>
          <w:lang w:val="zh-CN" w:eastAsia="zh-CN" w:bidi="ar-SA"/>
        </w:rPr>
        <w:t>）特别说明：</w:t>
      </w:r>
    </w:p>
    <w:p>
      <w:pPr>
        <w:widowControl w:val="0"/>
        <w:snapToGrid w:val="0"/>
        <w:spacing w:line="480" w:lineRule="exact"/>
        <w:ind w:left="2" w:leftChars="1"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val="0"/>
        <w:snapToGrid w:val="0"/>
        <w:spacing w:line="480" w:lineRule="exact"/>
        <w:ind w:left="2" w:leftChars="1"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使用综合评分法的采购项目，提供相同品牌产品且通过资格审查、符合性审查的不同投标人参加同一合同项下投标的，按一家投标人计算，评审后得分最高的同品牌投标人获得中标供应商推荐资格;评审得分相同的，由采购人或者采购人委托评标委员会按照招标文件规定的方式确定一个投标人获得中标供应商推荐资格，招标文件未规定的采取随机抽取方式确定，其他同品牌投标人不作为中标候选人。</w:t>
      </w:r>
    </w:p>
    <w:p>
      <w:pPr>
        <w:widowControl w:val="0"/>
        <w:snapToGrid w:val="0"/>
        <w:spacing w:line="480" w:lineRule="exact"/>
        <w:ind w:left="2" w:leftChars="1"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非单一产品采购项目，采购人应当根据采购项目技术构成、产品价格比重等合理确定核心产品，并在招标文件中载明。多家投标人提供的核心产品品牌相同的，按前两款规定处理。</w:t>
      </w:r>
    </w:p>
    <w:bookmarkEnd w:id="37"/>
    <w:bookmarkEnd w:id="38"/>
    <w:p>
      <w:pPr>
        <w:snapToGrid w:val="0"/>
        <w:spacing w:line="360" w:lineRule="auto"/>
        <w:ind w:firstLine="523" w:firstLineChars="218"/>
        <w:rPr>
          <w:rFonts w:ascii="宋体" w:hAnsi="宋体" w:eastAsia="宋体" w:cs="宋体"/>
          <w:color w:val="auto"/>
          <w:sz w:val="24"/>
          <w:highlight w:val="none"/>
          <w:lang w:val="zh-CN"/>
        </w:rPr>
      </w:pPr>
    </w:p>
    <w:p>
      <w:pPr>
        <w:shd w:val="clear" w:color="auto" w:fill="FFFFFF"/>
        <w:snapToGrid w:val="0"/>
        <w:spacing w:line="360" w:lineRule="auto"/>
        <w:jc w:val="center"/>
        <w:outlineLvl w:val="1"/>
        <w:rPr>
          <w:rFonts w:ascii="宋体" w:hAnsi="宋体" w:eastAsia="宋体" w:cs="宋体"/>
          <w:b/>
          <w:bCs/>
          <w:color w:val="auto"/>
          <w:sz w:val="24"/>
          <w:highlight w:val="none"/>
        </w:rPr>
      </w:pPr>
      <w:bookmarkStart w:id="39" w:name="_Toc33194389"/>
      <w:bookmarkStart w:id="40" w:name="_Toc34958174"/>
      <w:r>
        <w:rPr>
          <w:rFonts w:hint="eastAsia" w:ascii="宋体" w:hAnsi="宋体" w:eastAsia="宋体" w:cs="宋体"/>
          <w:b/>
          <w:bCs/>
          <w:color w:val="auto"/>
          <w:sz w:val="24"/>
          <w:highlight w:val="none"/>
        </w:rPr>
        <w:t>二、招标文件</w:t>
      </w:r>
      <w:bookmarkEnd w:id="32"/>
      <w:bookmarkEnd w:id="33"/>
      <w:bookmarkEnd w:id="39"/>
      <w:bookmarkEnd w:id="40"/>
    </w:p>
    <w:p>
      <w:pPr>
        <w:shd w:val="clear" w:color="auto" w:fill="FFFFFF"/>
        <w:snapToGrid w:val="0"/>
        <w:spacing w:line="360" w:lineRule="auto"/>
        <w:rPr>
          <w:rFonts w:ascii="宋体" w:hAnsi="宋体" w:eastAsia="宋体" w:cs="宋体"/>
          <w:b/>
          <w:bCs/>
          <w:color w:val="auto"/>
          <w:sz w:val="24"/>
          <w:highlight w:val="none"/>
        </w:rPr>
      </w:pPr>
      <w:bookmarkStart w:id="41" w:name="_Toc91899880"/>
      <w:bookmarkStart w:id="42" w:name="_Hlt74730307"/>
      <w:r>
        <w:rPr>
          <w:rFonts w:hint="eastAsia" w:ascii="宋体" w:hAnsi="宋体" w:eastAsia="宋体" w:cs="宋体"/>
          <w:b/>
          <w:bCs/>
          <w:color w:val="auto"/>
          <w:sz w:val="24"/>
          <w:highlight w:val="none"/>
        </w:rPr>
        <w:t>（一）招标文件的构成</w:t>
      </w:r>
      <w:bookmarkEnd w:id="41"/>
    </w:p>
    <w:bookmarkEnd w:id="42"/>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1、招标文件包括下列文件及附件</w:t>
      </w:r>
    </w:p>
    <w:p>
      <w:pPr>
        <w:numPr>
          <w:ilvl w:val="0"/>
          <w:numId w:val="3"/>
        </w:numPr>
        <w:shd w:val="clear" w:color="auto" w:fill="FFFFFF"/>
        <w:snapToGrid w:val="0"/>
        <w:spacing w:line="360" w:lineRule="auto"/>
        <w:ind w:left="900" w:hanging="420"/>
        <w:rPr>
          <w:rFonts w:ascii="宋体" w:hAnsi="宋体" w:eastAsia="宋体" w:cs="宋体"/>
          <w:color w:val="auto"/>
          <w:sz w:val="24"/>
          <w:highlight w:val="none"/>
        </w:rPr>
      </w:pPr>
      <w:r>
        <w:rPr>
          <w:rFonts w:hint="eastAsia" w:ascii="宋体" w:hAnsi="宋体" w:eastAsia="宋体" w:cs="宋体"/>
          <w:color w:val="auto"/>
          <w:sz w:val="24"/>
          <w:highlight w:val="none"/>
        </w:rPr>
        <w:t>第一部分  招标公告</w:t>
      </w:r>
    </w:p>
    <w:p>
      <w:pPr>
        <w:numPr>
          <w:ilvl w:val="0"/>
          <w:numId w:val="3"/>
        </w:numPr>
        <w:shd w:val="clear" w:color="auto" w:fill="FFFFFF"/>
        <w:snapToGrid w:val="0"/>
        <w:spacing w:line="360" w:lineRule="auto"/>
        <w:ind w:left="900" w:hanging="420"/>
        <w:rPr>
          <w:rFonts w:ascii="宋体" w:hAnsi="宋体" w:eastAsia="宋体" w:cs="宋体"/>
          <w:color w:val="auto"/>
          <w:sz w:val="24"/>
          <w:highlight w:val="none"/>
        </w:rPr>
      </w:pPr>
      <w:r>
        <w:rPr>
          <w:rFonts w:hint="eastAsia" w:ascii="宋体" w:hAnsi="宋体" w:eastAsia="宋体" w:cs="宋体"/>
          <w:color w:val="auto"/>
          <w:sz w:val="24"/>
          <w:highlight w:val="none"/>
        </w:rPr>
        <w:t>第二部分  编制和提交投标文件须知</w:t>
      </w:r>
    </w:p>
    <w:p>
      <w:pPr>
        <w:numPr>
          <w:ilvl w:val="0"/>
          <w:numId w:val="3"/>
        </w:numPr>
        <w:shd w:val="clear" w:color="auto" w:fill="FFFFFF"/>
        <w:snapToGrid w:val="0"/>
        <w:spacing w:line="360" w:lineRule="auto"/>
        <w:ind w:left="900" w:hanging="420"/>
        <w:rPr>
          <w:rFonts w:ascii="宋体" w:hAnsi="宋体" w:eastAsia="宋体" w:cs="宋体"/>
          <w:color w:val="auto"/>
          <w:sz w:val="24"/>
          <w:highlight w:val="none"/>
        </w:rPr>
      </w:pPr>
      <w:r>
        <w:rPr>
          <w:rFonts w:hint="eastAsia" w:ascii="宋体" w:hAnsi="宋体" w:eastAsia="宋体" w:cs="宋体"/>
          <w:color w:val="auto"/>
          <w:sz w:val="24"/>
          <w:highlight w:val="none"/>
        </w:rPr>
        <w:t>第三部分  项目技术规范和服务要求</w:t>
      </w:r>
    </w:p>
    <w:p>
      <w:pPr>
        <w:numPr>
          <w:ilvl w:val="0"/>
          <w:numId w:val="3"/>
        </w:numPr>
        <w:shd w:val="clear" w:color="auto" w:fill="FFFFFF"/>
        <w:snapToGrid w:val="0"/>
        <w:spacing w:line="360" w:lineRule="auto"/>
        <w:ind w:left="900" w:hanging="420"/>
        <w:rPr>
          <w:rFonts w:ascii="宋体" w:hAnsi="宋体" w:eastAsia="宋体" w:cs="宋体"/>
          <w:color w:val="auto"/>
          <w:sz w:val="24"/>
          <w:highlight w:val="none"/>
        </w:rPr>
      </w:pPr>
      <w:r>
        <w:rPr>
          <w:rFonts w:hint="eastAsia" w:ascii="宋体" w:hAnsi="宋体" w:eastAsia="宋体" w:cs="宋体"/>
          <w:color w:val="auto"/>
          <w:sz w:val="24"/>
          <w:highlight w:val="none"/>
        </w:rPr>
        <w:t>第四部分  合同主要条款</w:t>
      </w:r>
    </w:p>
    <w:p>
      <w:pPr>
        <w:numPr>
          <w:ilvl w:val="0"/>
          <w:numId w:val="3"/>
        </w:numPr>
        <w:shd w:val="clear" w:color="auto" w:fill="FFFFFF"/>
        <w:snapToGrid w:val="0"/>
        <w:spacing w:line="360" w:lineRule="auto"/>
        <w:ind w:left="900" w:hanging="420"/>
        <w:rPr>
          <w:rFonts w:ascii="宋体" w:hAnsi="宋体" w:eastAsia="宋体" w:cs="宋体"/>
          <w:color w:val="auto"/>
          <w:sz w:val="24"/>
          <w:highlight w:val="none"/>
        </w:rPr>
      </w:pPr>
      <w:r>
        <w:rPr>
          <w:rFonts w:hint="eastAsia" w:ascii="宋体" w:hAnsi="宋体" w:eastAsia="宋体" w:cs="宋体"/>
          <w:color w:val="auto"/>
          <w:sz w:val="24"/>
          <w:highlight w:val="none"/>
        </w:rPr>
        <w:t>第五部分  应提交的有关格式范例</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投标供应商应认真审阅招标文件中所有的内容，包括编制和提交投标文件须知、项目技术规范和服务要求、采购合同主要条款、应提交的有关格式范例等。如果投标供应商编制的投标文件没有从实质上响应招标文件的要求，其投标文件将被拒绝。</w:t>
      </w:r>
    </w:p>
    <w:p>
      <w:pPr>
        <w:widowControl w:val="0"/>
        <w:snapToGrid w:val="0"/>
        <w:spacing w:line="360" w:lineRule="auto"/>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（二）招标文件的澄清</w:t>
      </w:r>
    </w:p>
    <w:p>
      <w:pPr>
        <w:widowControl w:val="0"/>
        <w:snapToGrid w:val="0"/>
        <w:spacing w:before="0" w:line="360" w:lineRule="auto"/>
        <w:ind w:left="120" w:leftChars="57"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ascii="宋体" w:hAnsi="宋体" w:eastAsia="宋体" w:cs="宋体"/>
          <w:color w:val="auto"/>
          <w:sz w:val="24"/>
          <w:highlight w:val="none"/>
        </w:rPr>
      </w:pPr>
      <w:r>
        <w:rPr>
          <w:rFonts w:hint="eastAsia" w:ascii="宋体" w:hAnsi="宋体" w:eastAsia="宋体" w:cs="宋体"/>
          <w:color w:val="auto"/>
          <w:sz w:val="24"/>
          <w:highlight w:val="none"/>
        </w:rPr>
        <w:t>2、投标供应商一旦参与本次采购活动，即被视为接受了本招标文件的所有内容，如有任何异议，均已在答疑截止时间前提出。</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（三）招标文件的修改</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rPr>
        <w:t>2、若有必要，采购代理机构将酌情延长递交投标文件的截止日期。</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（四）投标报价</w:t>
      </w:r>
    </w:p>
    <w:p>
      <w:pPr>
        <w:widowControl w:val="0"/>
        <w:snapToGrid w:val="0"/>
        <w:spacing w:before="0" w:line="360" w:lineRule="auto"/>
        <w:ind w:firstLine="480" w:firstLineChars="200"/>
        <w:jc w:val="both"/>
        <w:rPr>
          <w:rFonts w:ascii="宋体" w:hAnsi="宋体" w:eastAsia="宋体" w:cs="宋体"/>
          <w:color w:val="auto"/>
          <w:kern w:val="2"/>
          <w:sz w:val="24"/>
          <w:szCs w:val="28"/>
          <w:highlight w:val="none"/>
          <w:lang w:val="en-US" w:eastAsia="zh-CN" w:bidi="ar-SA"/>
        </w:rPr>
      </w:pPr>
      <w:r>
        <w:rPr>
          <w:rFonts w:hint="eastAsia" w:ascii="宋体" w:hAnsi="宋体" w:eastAsia="宋体" w:cs="宋体"/>
          <w:color w:val="auto"/>
          <w:kern w:val="2"/>
          <w:sz w:val="24"/>
          <w:szCs w:val="28"/>
          <w:highlight w:val="none"/>
          <w:lang w:val="en-US" w:eastAsia="zh-CN" w:bidi="ar-SA"/>
        </w:rPr>
        <w:t>1、报价</w:t>
      </w:r>
    </w:p>
    <w:p>
      <w:pPr>
        <w:widowControl w:val="0"/>
        <w:snapToGrid w:val="0"/>
        <w:spacing w:before="0" w:line="360" w:lineRule="auto"/>
        <w:ind w:firstLine="480" w:firstLineChars="200"/>
        <w:jc w:val="both"/>
        <w:rPr>
          <w:rFonts w:ascii="宋体" w:hAnsi="宋体" w:eastAsia="宋体" w:cs="宋体"/>
          <w:color w:val="auto"/>
          <w:kern w:val="2"/>
          <w:sz w:val="24"/>
          <w:szCs w:val="28"/>
          <w:highlight w:val="none"/>
          <w:lang w:val="en-US" w:eastAsia="zh-CN" w:bidi="ar-SA"/>
        </w:rPr>
      </w:pPr>
      <w:r>
        <w:rPr>
          <w:rFonts w:hint="eastAsia" w:ascii="宋体" w:hAnsi="宋体" w:eastAsia="宋体" w:cs="宋体"/>
          <w:color w:val="auto"/>
          <w:kern w:val="2"/>
          <w:sz w:val="24"/>
          <w:szCs w:val="28"/>
          <w:highlight w:val="none"/>
          <w:lang w:val="en-US" w:eastAsia="zh-CN" w:bidi="ar-SA"/>
        </w:rPr>
        <w:t>有关本项目所需的一切费用均计入报价。投标供应商应根据《开标一览表》填写相关内容。《开标一览表》是报价的唯一载体。</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2、其它费用处理</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招标文件未列明，而投标供应商认为必需的费用也需列入报价。投标供应商在投标报价中应充分考虑所有可能发生的费用，否则采购人将视投标总价中已包括所有费用。</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3、投标货币</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ascii="宋体" w:hAnsi="宋体" w:eastAsia="宋体" w:cs="宋体"/>
          <w:color w:val="auto"/>
          <w:sz w:val="24"/>
          <w:highlight w:val="none"/>
        </w:rPr>
      </w:pPr>
      <w:r>
        <w:rPr>
          <w:rFonts w:hint="eastAsia" w:ascii="宋体" w:hAnsi="宋体" w:eastAsia="宋体" w:cs="宋体"/>
          <w:color w:val="auto"/>
          <w:sz w:val="24"/>
          <w:highlight w:val="none"/>
        </w:rPr>
        <w:t>4、投标供应商对在合同执行中，除上述费用及招标文件规定的由中标供应商负责的工作范围以外需要采购人协调或提供便利的工作应当在投标文件中说明。</w:t>
      </w:r>
    </w:p>
    <w:p>
      <w:pPr>
        <w:tabs>
          <w:tab w:val="left" w:pos="3780"/>
        </w:tabs>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5、其他注意事项：</w:t>
      </w:r>
    </w:p>
    <w:p>
      <w:pPr>
        <w:tabs>
          <w:tab w:val="left" w:pos="3780"/>
        </w:tabs>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    投标供应商在投标活动中提供任何虚假材料，其投标无效，并上报监管部门。</w:t>
      </w:r>
    </w:p>
    <w:p>
      <w:pPr>
        <w:snapToGrid w:val="0"/>
        <w:spacing w:line="360" w:lineRule="auto"/>
        <w:rPr>
          <w:rFonts w:ascii="宋体" w:hAnsi="宋体" w:eastAsia="宋体" w:cs="宋体"/>
          <w:color w:val="auto"/>
          <w:highlight w:val="none"/>
        </w:rPr>
      </w:pPr>
      <w:r>
        <w:rPr>
          <w:rFonts w:hint="eastAsia" w:ascii="宋体" w:hAnsi="宋体" w:eastAsia="宋体" w:cs="宋体"/>
          <w:color w:val="auto"/>
          <w:sz w:val="24"/>
          <w:highlight w:val="none"/>
        </w:rPr>
        <w:t xml:space="preserve">    </w:t>
      </w:r>
    </w:p>
    <w:p>
      <w:pPr>
        <w:shd w:val="clear" w:color="auto" w:fill="FFFFFF"/>
        <w:snapToGrid w:val="0"/>
        <w:spacing w:line="360" w:lineRule="auto"/>
        <w:jc w:val="center"/>
        <w:outlineLvl w:val="1"/>
        <w:rPr>
          <w:rFonts w:ascii="宋体" w:hAnsi="宋体" w:eastAsia="宋体" w:cs="宋体"/>
          <w:b/>
          <w:bCs/>
          <w:color w:val="auto"/>
          <w:sz w:val="24"/>
          <w:highlight w:val="none"/>
        </w:rPr>
      </w:pPr>
      <w:bookmarkStart w:id="43" w:name="_Toc33194390"/>
      <w:bookmarkStart w:id="44" w:name="_Toc424040100"/>
      <w:r>
        <w:rPr>
          <w:rFonts w:hint="eastAsia" w:ascii="宋体" w:hAnsi="宋体" w:eastAsia="宋体" w:cs="宋体"/>
          <w:b/>
          <w:bCs/>
          <w:color w:val="auto"/>
          <w:sz w:val="24"/>
          <w:highlight w:val="none"/>
        </w:rPr>
        <w:t>三、</w:t>
      </w:r>
      <w:bookmarkStart w:id="45" w:name="_Hlt75236011"/>
      <w:bookmarkEnd w:id="45"/>
      <w:bookmarkStart w:id="46" w:name="_Toc91899884"/>
      <w:bookmarkStart w:id="47" w:name="_Toc233618974"/>
      <w:bookmarkStart w:id="48" w:name="_Toc354996698"/>
      <w:r>
        <w:rPr>
          <w:rFonts w:hint="eastAsia" w:ascii="宋体" w:hAnsi="宋体" w:eastAsia="宋体" w:cs="宋体"/>
          <w:b/>
          <w:bCs/>
          <w:color w:val="auto"/>
          <w:sz w:val="24"/>
          <w:highlight w:val="none"/>
        </w:rPr>
        <w:t>投标文件</w:t>
      </w:r>
      <w:bookmarkEnd w:id="43"/>
      <w:bookmarkEnd w:id="44"/>
      <w:bookmarkEnd w:id="46"/>
      <w:bookmarkEnd w:id="47"/>
      <w:bookmarkEnd w:id="48"/>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（一）投标文件的语言</w:t>
      </w:r>
    </w:p>
    <w:p>
      <w:pPr>
        <w:shd w:val="clear" w:color="auto" w:fill="FFFFFF"/>
        <w:snapToGrid w:val="0"/>
        <w:spacing w:line="360" w:lineRule="auto"/>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投标文件及投标供应商与采购有关的来往通知、函件和文件均应使用中文。</w:t>
      </w:r>
    </w:p>
    <w:p>
      <w:pPr>
        <w:widowControl w:val="0"/>
        <w:snapToGrid w:val="0"/>
        <w:spacing w:before="0" w:line="360" w:lineRule="auto"/>
        <w:ind w:firstLine="0" w:firstLineChars="0"/>
        <w:jc w:val="both"/>
        <w:rPr>
          <w:rFonts w:ascii="宋体" w:hAnsi="宋体" w:eastAsia="宋体" w:cs="宋体"/>
          <w:b/>
          <w:color w:val="auto"/>
          <w:kern w:val="2"/>
          <w:sz w:val="24"/>
          <w:szCs w:val="24"/>
          <w:highlight w:val="none"/>
          <w:lang w:val="en-US" w:eastAsia="zh-CN" w:bidi="ar-SA"/>
        </w:rPr>
      </w:pPr>
      <w:bookmarkStart w:id="49" w:name="_Toc91899887"/>
      <w:r>
        <w:rPr>
          <w:rFonts w:hint="eastAsia" w:ascii="宋体" w:hAnsi="宋体" w:eastAsia="宋体" w:cs="宋体"/>
          <w:b/>
          <w:color w:val="auto"/>
          <w:kern w:val="2"/>
          <w:sz w:val="24"/>
          <w:szCs w:val="24"/>
          <w:highlight w:val="none"/>
          <w:lang w:val="en-US" w:eastAsia="zh-CN" w:bidi="ar-SA"/>
        </w:rPr>
        <w:t>（二）投标文件的组成</w:t>
      </w:r>
    </w:p>
    <w:p>
      <w:pPr>
        <w:snapToGrid w:val="0"/>
        <w:spacing w:line="360" w:lineRule="auto"/>
        <w:ind w:firstLine="480" w:firstLineChars="2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投标</w:t>
      </w:r>
      <w:r>
        <w:rPr>
          <w:rFonts w:hint="eastAsia" w:ascii="宋体" w:hAnsi="宋体" w:eastAsia="宋体" w:cs="宋体"/>
          <w:color w:val="auto"/>
          <w:kern w:val="0"/>
          <w:sz w:val="24"/>
          <w:highlight w:val="none"/>
          <w:lang w:val="zh-CN"/>
        </w:rPr>
        <w:t>文件应当包括以下主要内容：资格文件、报价文件、商务技术文件。</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kern w:val="0"/>
          <w:sz w:val="24"/>
          <w:highlight w:val="none"/>
          <w:lang w:val="zh-CN"/>
        </w:rPr>
        <w:t>1、投标供应商的</w:t>
      </w:r>
      <w:r>
        <w:rPr>
          <w:rFonts w:hint="eastAsia" w:ascii="宋体" w:hAnsi="宋体" w:eastAsia="宋体" w:cs="宋体"/>
          <w:b/>
          <w:bCs/>
          <w:color w:val="auto"/>
          <w:kern w:val="0"/>
          <w:sz w:val="24"/>
          <w:highlight w:val="none"/>
          <w:lang w:val="zh-CN"/>
        </w:rPr>
        <w:t>资格文件</w:t>
      </w:r>
      <w:r>
        <w:rPr>
          <w:rFonts w:hint="eastAsia" w:ascii="宋体" w:hAnsi="宋体" w:eastAsia="宋体" w:cs="宋体"/>
          <w:color w:val="auto"/>
          <w:sz w:val="24"/>
          <w:highlight w:val="none"/>
        </w:rPr>
        <w:t xml:space="preserve">至少应包括以下内容： </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highlight w:val="none"/>
          <w:shd w:val="clear" w:color="auto" w:fill="FFFFFF"/>
        </w:rPr>
        <w:t>（一）</w:t>
      </w:r>
      <w:r>
        <w:rPr>
          <w:rFonts w:hint="eastAsia" w:ascii="宋体" w:hAnsi="宋体" w:eastAsia="宋体" w:cs="宋体"/>
          <w:color w:val="auto"/>
          <w:sz w:val="24"/>
          <w:szCs w:val="21"/>
          <w:highlight w:val="none"/>
        </w:rPr>
        <w:t>基本资格条件审查材料：</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包括：</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（1）</w:t>
      </w:r>
      <w:r>
        <w:rPr>
          <w:rFonts w:hint="eastAsia" w:ascii="宋体" w:hAnsi="宋体" w:eastAsia="宋体" w:cs="宋体"/>
          <w:b/>
          <w:color w:val="auto"/>
          <w:sz w:val="24"/>
          <w:szCs w:val="21"/>
          <w:highlight w:val="none"/>
        </w:rPr>
        <w:t>营业执照</w:t>
      </w:r>
      <w:r>
        <w:rPr>
          <w:rFonts w:hint="eastAsia" w:ascii="宋体" w:hAnsi="宋体" w:eastAsia="宋体" w:cs="宋体"/>
          <w:color w:val="auto"/>
          <w:sz w:val="24"/>
          <w:szCs w:val="21"/>
          <w:highlight w:val="none"/>
        </w:rPr>
        <w:t xml:space="preserve">(或事业法人登记证书或其它工商等登记证明材料；自然人参与国企采购，提供身份证)复印件； </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注：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国企采购活动，由单位负责人签署相关文件材料；</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（2）</w:t>
      </w:r>
      <w:r>
        <w:rPr>
          <w:rFonts w:hint="eastAsia" w:ascii="宋体" w:hAnsi="宋体" w:eastAsia="宋体" w:cs="宋体"/>
          <w:color w:val="auto"/>
          <w:kern w:val="0"/>
          <w:sz w:val="24"/>
          <w:highlight w:val="none"/>
          <w:lang w:bidi="ar"/>
        </w:rPr>
        <w:t>具有良好的商业信誉和健全的财务会计制度的承诺函</w:t>
      </w:r>
      <w:r>
        <w:rPr>
          <w:rFonts w:hint="eastAsia" w:ascii="宋体" w:hAnsi="宋体" w:eastAsia="宋体" w:cs="宋体"/>
          <w:color w:val="auto"/>
          <w:sz w:val="24"/>
          <w:szCs w:val="21"/>
          <w:highlight w:val="none"/>
        </w:rPr>
        <w:t>；</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（3）具有履行合同所必需的场地、设备和专业技术能力的承诺函；</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（4）依法缴纳税收和社会保障资金的承诺函；</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（5）参加国企采购活动前3年内在经营活动中没有重大违法记录的声明函；</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（6）单位负责人为同一人或者存在直接控股、管理关系的不同供应商，不得参加同一合同项下的国企采购活动承诺函；</w:t>
      </w:r>
    </w:p>
    <w:p>
      <w:pPr>
        <w:snapToGrid w:val="0"/>
        <w:spacing w:line="360" w:lineRule="auto"/>
        <w:ind w:left="105" w:leftChars="50" w:firstLine="480" w:firstLineChars="200"/>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（7）投标供应商没有失信记录承诺函；</w:t>
      </w:r>
    </w:p>
    <w:p>
      <w:pPr>
        <w:snapToGrid w:val="0"/>
        <w:spacing w:line="360" w:lineRule="auto"/>
        <w:ind w:left="105" w:leftChars="50" w:firstLine="482" w:firstLineChars="200"/>
        <w:rPr>
          <w:rFonts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上述资格条件审查材料有一项不提供的，视为资格审查不通过。</w:t>
      </w:r>
    </w:p>
    <w:p>
      <w:pPr>
        <w:snapToGrid w:val="0"/>
        <w:spacing w:line="360" w:lineRule="auto"/>
        <w:ind w:firstLine="480" w:firstLineChars="200"/>
        <w:rPr>
          <w:rFonts w:ascii="宋体" w:hAnsi="宋体" w:eastAsia="宋体" w:cs="宋体"/>
          <w:color w:val="auto"/>
          <w:sz w:val="24"/>
          <w:highlight w:val="none"/>
          <w:u w:val="single"/>
          <w:lang w:val="zh-CN"/>
        </w:rPr>
      </w:pPr>
      <w:bookmarkStart w:id="50" w:name="_Toc500208478"/>
      <w:r>
        <w:rPr>
          <w:rFonts w:hint="eastAsia" w:ascii="宋体" w:hAnsi="宋体" w:eastAsia="宋体" w:cs="宋体"/>
          <w:color w:val="auto"/>
          <w:kern w:val="0"/>
          <w:sz w:val="24"/>
          <w:highlight w:val="none"/>
          <w:lang w:val="zh-CN"/>
        </w:rPr>
        <w:t>2、</w:t>
      </w:r>
      <w:r>
        <w:rPr>
          <w:rFonts w:hint="eastAsia" w:ascii="宋体" w:hAnsi="宋体" w:eastAsia="宋体" w:cs="宋体"/>
          <w:color w:val="auto"/>
          <w:sz w:val="24"/>
          <w:highlight w:val="none"/>
        </w:rPr>
        <w:t>投标供应商的</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至少应包括以下内容： </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投标响应函</w:t>
      </w:r>
      <w:r>
        <w:rPr>
          <w:rFonts w:hint="eastAsia" w:ascii="宋体" w:hAnsi="宋体" w:eastAsia="宋体" w:cs="宋体"/>
          <w:color w:val="auto"/>
          <w:sz w:val="24"/>
          <w:highlight w:val="none"/>
        </w:rPr>
        <w:t>；</w:t>
      </w:r>
    </w:p>
    <w:p>
      <w:pPr>
        <w:widowControl w:val="0"/>
        <w:snapToGrid w:val="0"/>
        <w:spacing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（2）开标一览表；</w:t>
      </w:r>
    </w:p>
    <w:p>
      <w:pPr>
        <w:widowControl w:val="0"/>
        <w:snapToGrid w:val="0"/>
        <w:spacing w:line="360" w:lineRule="auto"/>
        <w:ind w:firstLine="480" w:firstLineChars="200"/>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（3）报价明细清单；</w:t>
      </w:r>
    </w:p>
    <w:p>
      <w:pPr>
        <w:snapToGrid w:val="0"/>
        <w:spacing w:line="360" w:lineRule="auto"/>
        <w:ind w:firstLine="480" w:firstLineChars="2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3、投标供应商的</w:t>
      </w:r>
      <w:r>
        <w:rPr>
          <w:rFonts w:hint="eastAsia" w:ascii="宋体" w:hAnsi="宋体" w:eastAsia="宋体" w:cs="宋体"/>
          <w:b/>
          <w:bCs/>
          <w:color w:val="auto"/>
          <w:kern w:val="0"/>
          <w:sz w:val="24"/>
          <w:highlight w:val="none"/>
          <w:lang w:val="zh-CN"/>
        </w:rPr>
        <w:t>商务技术文件</w:t>
      </w:r>
      <w:r>
        <w:rPr>
          <w:rFonts w:hint="eastAsia" w:ascii="宋体" w:hAnsi="宋体" w:eastAsia="宋体" w:cs="宋体"/>
          <w:color w:val="auto"/>
          <w:kern w:val="0"/>
          <w:sz w:val="24"/>
          <w:highlight w:val="none"/>
          <w:lang w:val="zh-CN"/>
        </w:rPr>
        <w:t xml:space="preserve">至少应包括以下内容： </w:t>
      </w:r>
    </w:p>
    <w:bookmarkEnd w:id="50"/>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（1）法定代表人授权委托书；</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（2）法定代表人及授权委托人的身份证(复印件加盖公章)；</w:t>
      </w:r>
    </w:p>
    <w:p>
      <w:pPr>
        <w:snapToGrid w:val="0"/>
        <w:spacing w:line="360" w:lineRule="auto"/>
        <w:ind w:firstLine="480" w:firstLineChars="200"/>
        <w:rPr>
          <w:rFonts w:ascii="宋体" w:hAnsi="宋体" w:eastAsia="宋体" w:cs="宋体"/>
          <w:color w:val="auto"/>
          <w:sz w:val="24"/>
          <w:highlight w:val="none"/>
          <w:u w:color="000000"/>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u w:color="000000"/>
        </w:rPr>
        <w:t>资质文件（如有）；</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（4）投标产品配置表；</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（5）商务技术偏离表；</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（6）项目总负责人介绍，项目组成人员情况表（复印件加盖有效公章） ；</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（7）投标供应商项目业绩一览表 ；</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（8）投标供应商针对本项目的方案</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（9）投标方案、优惠和承诺、维护方案、售后服务方案（格式自拟）；</w:t>
      </w:r>
    </w:p>
    <w:p>
      <w:pPr>
        <w:widowControl w:val="0"/>
        <w:snapToGrid w:val="0"/>
        <w:spacing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（10）服务承诺；</w:t>
      </w:r>
    </w:p>
    <w:p>
      <w:pPr>
        <w:widowControl w:val="0"/>
        <w:snapToGrid w:val="0"/>
        <w:spacing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（11）其他必要提供的资料。</w:t>
      </w:r>
    </w:p>
    <w:p>
      <w:pPr>
        <w:widowControl w:val="0"/>
        <w:snapToGrid w:val="0"/>
        <w:spacing w:line="360" w:lineRule="auto"/>
        <w:ind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（12）投标供应商认为需要的其他文件资料</w:t>
      </w:r>
    </w:p>
    <w:p>
      <w:pPr>
        <w:widowControl w:val="0"/>
        <w:snapToGrid w:val="0"/>
        <w:spacing w:line="360" w:lineRule="auto"/>
        <w:ind w:firstLine="482" w:firstLineChars="200"/>
        <w:jc w:val="both"/>
        <w:rPr>
          <w:rFonts w:ascii="宋体" w:hAnsi="宋体" w:eastAsia="宋体" w:cs="宋体"/>
          <w:b/>
          <w:color w:val="auto"/>
          <w:kern w:val="2"/>
          <w:sz w:val="24"/>
          <w:szCs w:val="24"/>
          <w:highlight w:val="none"/>
          <w:lang w:val="zh-CN" w:eastAsia="zh-CN" w:bidi="ar-SA"/>
        </w:rPr>
      </w:pPr>
      <w:r>
        <w:rPr>
          <w:rFonts w:hint="eastAsia" w:ascii="宋体" w:hAnsi="宋体" w:eastAsia="宋体" w:cs="宋体"/>
          <w:b/>
          <w:color w:val="auto"/>
          <w:kern w:val="2"/>
          <w:sz w:val="24"/>
          <w:szCs w:val="24"/>
          <w:highlight w:val="none"/>
          <w:lang w:val="zh-CN" w:eastAsia="zh-CN" w:bidi="ar-SA"/>
        </w:rPr>
        <w:t>投标文件中所需的各种证书、证件、证明资料如是复印件，须在复印件上加盖有效公章。</w:t>
      </w:r>
    </w:p>
    <w:p>
      <w:pPr>
        <w:widowControl w:val="0"/>
        <w:snapToGrid w:val="0"/>
        <w:spacing w:line="360" w:lineRule="auto"/>
        <w:ind w:firstLine="482"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zh-CN" w:eastAsia="zh-CN" w:bidi="ar-SA"/>
        </w:rPr>
        <w:t>投标供应商的</w:t>
      </w:r>
      <w:r>
        <w:rPr>
          <w:rFonts w:hint="eastAsia" w:ascii="宋体" w:hAnsi="宋体" w:eastAsia="宋体" w:cs="宋体"/>
          <w:b/>
          <w:color w:val="auto"/>
          <w:kern w:val="2"/>
          <w:sz w:val="24"/>
          <w:szCs w:val="24"/>
          <w:highlight w:val="none"/>
          <w:lang w:val="en-US" w:eastAsia="zh-CN" w:bidi="ar-SA"/>
        </w:rPr>
        <w:t>投标文件必须按照招标文件要求制作</w:t>
      </w:r>
      <w:r>
        <w:rPr>
          <w:rFonts w:hint="eastAsia" w:ascii="宋体" w:hAnsi="宋体" w:eastAsia="宋体" w:cs="宋体"/>
          <w:b/>
          <w:bCs/>
          <w:color w:val="auto"/>
          <w:kern w:val="2"/>
          <w:sz w:val="24"/>
          <w:szCs w:val="24"/>
          <w:highlight w:val="none"/>
          <w:lang w:val="en-US" w:eastAsia="zh-CN" w:bidi="ar-SA"/>
        </w:rPr>
        <w:t>。</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（三）投标有效期</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1、投标文件合格投递后，自投标截止日期起，至前附表所列的日期内有效。</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2、在原定投标有效期之前，如果出现特殊情况，采购代理机构可以以书面形式通知投标供应商延长投标有效期。</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（四）投标保证金</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无。</w:t>
      </w:r>
    </w:p>
    <w:p>
      <w:pPr>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（五）</w:t>
      </w:r>
      <w:bookmarkEnd w:id="49"/>
      <w:bookmarkStart w:id="51" w:name="_Hlt68073093"/>
      <w:bookmarkEnd w:id="51"/>
      <w:bookmarkStart w:id="52" w:name="_Hlt68072998"/>
      <w:bookmarkEnd w:id="52"/>
      <w:bookmarkStart w:id="53" w:name="_Hlt68403820"/>
      <w:bookmarkEnd w:id="53"/>
      <w:bookmarkStart w:id="54" w:name="_Toc86216991"/>
      <w:bookmarkStart w:id="55" w:name="_Toc91899892"/>
      <w:bookmarkStart w:id="56" w:name="_Toc233618975"/>
      <w:r>
        <w:rPr>
          <w:rFonts w:hint="eastAsia" w:ascii="宋体" w:hAnsi="宋体" w:eastAsia="宋体" w:cs="宋体"/>
          <w:b/>
          <w:bCs/>
          <w:color w:val="auto"/>
          <w:sz w:val="24"/>
          <w:highlight w:val="none"/>
        </w:rPr>
        <w:t>投标文件编制</w:t>
      </w:r>
    </w:p>
    <w:p>
      <w:pPr>
        <w:spacing w:line="360" w:lineRule="auto"/>
        <w:ind w:firstLine="482" w:firstLineChars="200"/>
        <w:rPr>
          <w:rFonts w:ascii="宋体" w:hAnsi="宋体" w:eastAsia="宋体" w:cs="宋体"/>
          <w:b/>
          <w:color w:val="auto"/>
          <w:sz w:val="24"/>
          <w:highlight w:val="none"/>
        </w:rPr>
      </w:pPr>
      <w:r>
        <w:rPr>
          <w:rFonts w:hint="eastAsia" w:ascii="宋体" w:hAnsi="宋体" w:eastAsia="宋体" w:cs="宋体"/>
          <w:b/>
          <w:color w:val="auto"/>
          <w:kern w:val="0"/>
          <w:sz w:val="24"/>
          <w:highlight w:val="none"/>
        </w:rPr>
        <w:t>5.1</w:t>
      </w:r>
      <w:r>
        <w:rPr>
          <w:rFonts w:hint="eastAsia" w:ascii="宋体" w:hAnsi="宋体" w:eastAsia="宋体" w:cs="宋体"/>
          <w:b/>
          <w:color w:val="auto"/>
          <w:sz w:val="24"/>
          <w:highlight w:val="none"/>
        </w:rPr>
        <w:t>本项目通过“乐采云平台（https://www.lecaiyun.com）”实行在线投标响应（电子投标）。供应商应通过“乐采云电子交易客户端”，并按照本招标文件和“乐采云平台”的要求编制并加密投标文件。</w:t>
      </w:r>
    </w:p>
    <w:p>
      <w:pPr>
        <w:spacing w:line="360" w:lineRule="auto"/>
        <w:ind w:firstLine="422" w:firstLineChars="175"/>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5.2投标供应商应当按照本章节 “投标文件组成”规定的内容及顺序在“乐采云电子交易客户端”编制投标文件。其中《资格文件》和《商务技术文件》中不得出现本项目投标报价，如因投标供应商原因提前泄露投标报价，是投标供应商的责任。</w:t>
      </w:r>
    </w:p>
    <w:p>
      <w:pPr>
        <w:spacing w:line="360" w:lineRule="auto"/>
        <w:ind w:firstLine="422" w:firstLineChars="175"/>
        <w:rPr>
          <w:rFonts w:ascii="宋体" w:hAnsi="宋体" w:eastAsia="宋体" w:cs="宋体"/>
          <w:b/>
          <w:color w:val="auto"/>
          <w:sz w:val="24"/>
          <w:highlight w:val="none"/>
        </w:rPr>
      </w:pPr>
      <w:r>
        <w:rPr>
          <w:rFonts w:hint="eastAsia" w:ascii="宋体" w:hAnsi="宋体" w:eastAsia="宋体" w:cs="宋体"/>
          <w:b/>
          <w:color w:val="auto"/>
          <w:sz w:val="24"/>
          <w:highlight w:val="none"/>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5.4《投标文件》内容不完整、编排混乱导致《投标文件》被误读、漏读或者查找不到相关内容的，是投标供应商的责任。</w:t>
      </w:r>
    </w:p>
    <w:p>
      <w:pPr>
        <w:spacing w:line="360" w:lineRule="auto"/>
        <w:ind w:firstLine="420" w:firstLineChars="175"/>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5.5《投标文件》因字迹潦草或表达不清所引起的后果由投标供应商负责。</w:t>
      </w:r>
    </w:p>
    <w:p>
      <w:pPr>
        <w:spacing w:line="360" w:lineRule="auto"/>
        <w:ind w:firstLine="420" w:firstLineChars="175"/>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（六）投标文件的签章</w:t>
      </w:r>
    </w:p>
    <w:p>
      <w:pPr>
        <w:spacing w:line="360" w:lineRule="auto"/>
        <w:ind w:firstLine="463" w:firstLineChars="192"/>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6.1《投标文件》的签章：</w:t>
      </w:r>
      <w:r>
        <w:rPr>
          <w:rFonts w:hint="eastAsia" w:ascii="宋体" w:hAnsi="宋体" w:eastAsia="宋体" w:cs="宋体"/>
          <w:b/>
          <w:color w:val="auto"/>
          <w:sz w:val="24"/>
          <w:highlight w:val="none"/>
        </w:rPr>
        <w:t>见《前附表》；</w:t>
      </w:r>
    </w:p>
    <w:p>
      <w:pPr>
        <w:spacing w:line="360" w:lineRule="auto"/>
        <w:ind w:firstLine="463" w:firstLineChars="192"/>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6.2《投标文件》应由投标供应商法定代表人或其授权代表签字（或盖章），并时加盖投标供应商公章。</w:t>
      </w:r>
    </w:p>
    <w:p>
      <w:pPr>
        <w:spacing w:line="360" w:lineRule="auto"/>
        <w:ind w:firstLine="424" w:firstLineChars="176"/>
        <w:rPr>
          <w:rFonts w:ascii="宋体" w:hAnsi="宋体" w:eastAsia="宋体" w:cs="宋体"/>
          <w:color w:val="auto"/>
          <w:sz w:val="24"/>
          <w:highlight w:val="none"/>
        </w:rPr>
      </w:pPr>
      <w:r>
        <w:rPr>
          <w:rFonts w:hint="eastAsia" w:ascii="宋体" w:hAnsi="宋体" w:eastAsia="宋体" w:cs="宋体"/>
          <w:b/>
          <w:color w:val="auto"/>
          <w:kern w:val="0"/>
          <w:sz w:val="24"/>
          <w:highlight w:val="none"/>
        </w:rPr>
        <w:t>6.3电子签章操作指南详见采购公告附件</w:t>
      </w:r>
      <w:r>
        <w:rPr>
          <w:rFonts w:hint="eastAsia" w:ascii="宋体" w:hAnsi="宋体" w:eastAsia="宋体" w:cs="宋体"/>
          <w:b/>
          <w:color w:val="auto"/>
          <w:sz w:val="24"/>
          <w:highlight w:val="none"/>
        </w:rPr>
        <w:t>《供应商项目采购-电子招投标操作指南》</w:t>
      </w:r>
      <w:r>
        <w:rPr>
          <w:rFonts w:hint="eastAsia" w:ascii="宋体" w:hAnsi="宋体" w:eastAsia="宋体" w:cs="宋体"/>
          <w:color w:val="auto"/>
          <w:sz w:val="24"/>
          <w:highlight w:val="none"/>
        </w:rPr>
        <w:t>。</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（七）投标文件的形式</w:t>
      </w:r>
    </w:p>
    <w:p>
      <w:pPr>
        <w:spacing w:line="360" w:lineRule="auto"/>
        <w:ind w:firstLine="424" w:firstLineChars="176"/>
        <w:rPr>
          <w:rFonts w:ascii="宋体" w:hAnsi="宋体" w:eastAsia="宋体" w:cs="宋体"/>
          <w:color w:val="auto"/>
          <w:sz w:val="24"/>
          <w:highlight w:val="none"/>
        </w:rPr>
      </w:pPr>
      <w:r>
        <w:rPr>
          <w:rFonts w:hint="eastAsia" w:ascii="宋体" w:hAnsi="宋体" w:eastAsia="宋体" w:cs="宋体"/>
          <w:b/>
          <w:color w:val="auto"/>
          <w:sz w:val="24"/>
          <w:highlight w:val="none"/>
        </w:rPr>
        <w:t>7.1投标文件的形式：见《前附表》；</w:t>
      </w:r>
    </w:p>
    <w:p>
      <w:pPr>
        <w:spacing w:line="360" w:lineRule="auto"/>
        <w:ind w:firstLine="424" w:firstLineChars="176"/>
        <w:rPr>
          <w:rFonts w:ascii="宋体" w:hAnsi="宋体" w:eastAsia="宋体" w:cs="宋体"/>
          <w:b/>
          <w:color w:val="auto"/>
          <w:sz w:val="24"/>
          <w:highlight w:val="none"/>
        </w:rPr>
      </w:pPr>
      <w:r>
        <w:rPr>
          <w:rFonts w:hint="eastAsia" w:ascii="宋体" w:hAnsi="宋体" w:eastAsia="宋体" w:cs="宋体"/>
          <w:b/>
          <w:color w:val="auto"/>
          <w:sz w:val="24"/>
          <w:highlight w:val="none"/>
        </w:rPr>
        <w:t>7.2“电子加密投标文件”：“电子加密投标文件”是指通过“乐采云电子交易客户端”完成投标文件编制后生成并加密的数据电文形式的投标文件。</w:t>
      </w:r>
    </w:p>
    <w:p>
      <w:pPr>
        <w:spacing w:line="360" w:lineRule="auto"/>
        <w:ind w:firstLine="424" w:firstLineChars="176"/>
        <w:rPr>
          <w:rFonts w:ascii="宋体" w:hAnsi="宋体" w:eastAsia="宋体" w:cs="宋体"/>
          <w:b/>
          <w:color w:val="auto"/>
          <w:sz w:val="24"/>
          <w:highlight w:val="none"/>
        </w:rPr>
      </w:pPr>
      <w:r>
        <w:rPr>
          <w:rFonts w:hint="eastAsia" w:ascii="宋体" w:hAnsi="宋体" w:eastAsia="宋体" w:cs="宋体"/>
          <w:b/>
          <w:color w:val="auto"/>
          <w:sz w:val="24"/>
          <w:highlight w:val="none"/>
        </w:rPr>
        <w:t>7.3“备份投标文件”：“备份投标文件”是指与“电子加密投标文件”同时生成的数据电文形式的电子文件（备份标书），其他方式编制的“备份投标文件”视为无效的“备份投标文件”。</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（八）投标文件的份数</w:t>
      </w:r>
    </w:p>
    <w:p>
      <w:pPr>
        <w:spacing w:line="360" w:lineRule="auto"/>
        <w:ind w:firstLine="424" w:firstLineChars="176"/>
        <w:rPr>
          <w:rFonts w:ascii="宋体" w:hAnsi="宋体" w:eastAsia="宋体" w:cs="宋体"/>
          <w:b/>
          <w:color w:val="auto"/>
          <w:kern w:val="0"/>
          <w:sz w:val="24"/>
          <w:highlight w:val="none"/>
        </w:rPr>
      </w:pPr>
      <w:r>
        <w:rPr>
          <w:rFonts w:hint="eastAsia" w:ascii="宋体" w:hAnsi="宋体" w:eastAsia="宋体" w:cs="宋体"/>
          <w:b/>
          <w:color w:val="auto"/>
          <w:sz w:val="24"/>
          <w:highlight w:val="none"/>
        </w:rPr>
        <w:t>8.1投标文件的份数：见《前附表》。</w:t>
      </w:r>
    </w:p>
    <w:p>
      <w:pPr>
        <w:shd w:val="clear" w:color="auto" w:fill="FFFFFF"/>
        <w:snapToGrid w:val="0"/>
        <w:spacing w:line="360" w:lineRule="auto"/>
        <w:rPr>
          <w:rFonts w:ascii="宋体" w:hAnsi="宋体" w:eastAsia="宋体" w:cs="宋体"/>
          <w:b/>
          <w:bCs/>
          <w:color w:val="auto"/>
          <w:sz w:val="24"/>
          <w:highlight w:val="none"/>
        </w:rPr>
      </w:pPr>
    </w:p>
    <w:p>
      <w:pPr>
        <w:snapToGrid w:val="0"/>
        <w:spacing w:line="360" w:lineRule="auto"/>
        <w:jc w:val="center"/>
        <w:outlineLvl w:val="1"/>
        <w:rPr>
          <w:rFonts w:ascii="宋体" w:hAnsi="宋体" w:eastAsia="宋体" w:cs="宋体"/>
          <w:b/>
          <w:color w:val="auto"/>
          <w:sz w:val="24"/>
          <w:highlight w:val="none"/>
        </w:rPr>
      </w:pPr>
      <w:bookmarkStart w:id="57" w:name="_Toc412730341"/>
      <w:bookmarkStart w:id="58" w:name="_Toc493141505"/>
      <w:bookmarkStart w:id="59" w:name="_Toc33194391"/>
      <w:bookmarkStart w:id="60" w:name="_Toc462229099"/>
      <w:bookmarkStart w:id="61" w:name="_Toc354996699"/>
      <w:r>
        <w:rPr>
          <w:rFonts w:hint="eastAsia" w:ascii="宋体" w:hAnsi="宋体" w:eastAsia="宋体" w:cs="宋体"/>
          <w:b/>
          <w:color w:val="auto"/>
          <w:sz w:val="24"/>
          <w:highlight w:val="none"/>
        </w:rPr>
        <w:t>四、投标</w:t>
      </w:r>
      <w:bookmarkEnd w:id="57"/>
      <w:bookmarkEnd w:id="58"/>
      <w:bookmarkEnd w:id="59"/>
      <w:bookmarkEnd w:id="60"/>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（一）投标文件的上传和递交</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kern w:val="0"/>
          <w:sz w:val="24"/>
          <w:highlight w:val="none"/>
        </w:rPr>
        <w:t>1.1“投标文件”的上传、递交：</w:t>
      </w:r>
      <w:r>
        <w:rPr>
          <w:rFonts w:hint="eastAsia" w:ascii="宋体" w:hAnsi="宋体" w:eastAsia="宋体" w:cs="宋体"/>
          <w:b/>
          <w:color w:val="auto"/>
          <w:sz w:val="24"/>
          <w:highlight w:val="none"/>
        </w:rPr>
        <w:t>见《前附表》。</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（二）“电子加密投标文件”解密和异常情况处理</w:t>
      </w:r>
    </w:p>
    <w:p>
      <w:pPr>
        <w:spacing w:line="360" w:lineRule="auto"/>
        <w:ind w:firstLine="426" w:firstLineChars="177"/>
        <w:rPr>
          <w:rFonts w:ascii="宋体" w:hAnsi="宋体" w:eastAsia="宋体" w:cs="宋体"/>
          <w:color w:val="auto"/>
          <w:sz w:val="24"/>
          <w:highlight w:val="none"/>
        </w:rPr>
      </w:pPr>
      <w:r>
        <w:rPr>
          <w:rFonts w:hint="eastAsia" w:ascii="宋体" w:hAnsi="宋体" w:eastAsia="宋体" w:cs="宋体"/>
          <w:b/>
          <w:color w:val="auto"/>
          <w:kern w:val="0"/>
          <w:sz w:val="24"/>
          <w:highlight w:val="none"/>
        </w:rPr>
        <w:t>2.1“电子加密投标文件”解密：</w:t>
      </w:r>
      <w:r>
        <w:rPr>
          <w:rFonts w:hint="eastAsia" w:ascii="宋体" w:hAnsi="宋体" w:eastAsia="宋体" w:cs="宋体"/>
          <w:b/>
          <w:color w:val="auto"/>
          <w:sz w:val="24"/>
          <w:highlight w:val="none"/>
        </w:rPr>
        <w:t>见《前附表》。</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（三）投标文件的补充、修改或撤回</w:t>
      </w:r>
    </w:p>
    <w:p>
      <w:pPr>
        <w:spacing w:line="360" w:lineRule="auto"/>
        <w:ind w:firstLine="426" w:firstLineChars="177"/>
        <w:rPr>
          <w:rFonts w:ascii="宋体" w:hAnsi="宋体" w:eastAsia="宋体" w:cs="宋体"/>
          <w:color w:val="auto"/>
          <w:kern w:val="0"/>
          <w:sz w:val="24"/>
          <w:highlight w:val="none"/>
        </w:rPr>
      </w:pPr>
      <w:r>
        <w:rPr>
          <w:rFonts w:hint="eastAsia" w:ascii="宋体" w:hAnsi="宋体" w:eastAsia="宋体" w:cs="宋体"/>
          <w:b/>
          <w:color w:val="auto"/>
          <w:kern w:val="0"/>
          <w:sz w:val="24"/>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乐采云平台”将予以拒收。</w:t>
      </w:r>
    </w:p>
    <w:p>
      <w:pPr>
        <w:spacing w:line="360" w:lineRule="auto"/>
        <w:ind w:firstLine="426" w:firstLineChars="177"/>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3.2投标截止时间后，投标供应商不得撤回、修改《投标文件》。</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（四）投标文件的备选方案</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4.1投标供应商不得递交任何的</w:t>
      </w:r>
      <w:r>
        <w:rPr>
          <w:rFonts w:hint="eastAsia" w:ascii="宋体" w:hAnsi="宋体" w:eastAsia="宋体" w:cs="宋体"/>
          <w:b/>
          <w:color w:val="auto"/>
          <w:kern w:val="0"/>
          <w:sz w:val="24"/>
          <w:highlight w:val="none"/>
        </w:rPr>
        <w:t>投标备选（替代）方案</w:t>
      </w:r>
      <w:r>
        <w:rPr>
          <w:rFonts w:hint="eastAsia" w:ascii="宋体" w:hAnsi="宋体" w:eastAsia="宋体" w:cs="宋体"/>
          <w:b/>
          <w:color w:val="auto"/>
          <w:sz w:val="24"/>
          <w:highlight w:val="none"/>
        </w:rPr>
        <w:t>，否则其投标文件将作无效标处理。与“电子加密投标文件”同时生成的“备份投标文件”不是投标备选（替代）方案。</w:t>
      </w:r>
    </w:p>
    <w:p>
      <w:pPr>
        <w:widowControl w:val="0"/>
        <w:snapToGrid w:val="0"/>
        <w:spacing w:before="0" w:line="260" w:lineRule="exact"/>
        <w:ind w:firstLine="482" w:firstLineChars="200"/>
        <w:jc w:val="both"/>
        <w:rPr>
          <w:rFonts w:ascii="宋体" w:hAnsi="宋体" w:eastAsia="宋体" w:cs="宋体"/>
          <w:b/>
          <w:color w:val="auto"/>
          <w:kern w:val="2"/>
          <w:sz w:val="24"/>
          <w:szCs w:val="24"/>
          <w:highlight w:val="none"/>
          <w:lang w:val="en-US" w:eastAsia="zh-CN" w:bidi="ar-SA"/>
        </w:rPr>
      </w:pPr>
    </w:p>
    <w:p>
      <w:pPr>
        <w:snapToGrid w:val="0"/>
        <w:spacing w:line="360" w:lineRule="auto"/>
        <w:jc w:val="center"/>
        <w:outlineLvl w:val="1"/>
        <w:rPr>
          <w:rFonts w:ascii="宋体" w:hAnsi="宋体" w:eastAsia="宋体" w:cs="宋体"/>
          <w:b/>
          <w:color w:val="auto"/>
          <w:sz w:val="24"/>
          <w:highlight w:val="none"/>
        </w:rPr>
      </w:pPr>
      <w:bookmarkStart w:id="62" w:name="_Toc33194392"/>
      <w:bookmarkStart w:id="63" w:name="_Toc1459929732"/>
      <w:bookmarkStart w:id="64" w:name="_Toc462229100"/>
      <w:r>
        <w:rPr>
          <w:rFonts w:hint="eastAsia" w:ascii="宋体" w:hAnsi="宋体" w:eastAsia="宋体" w:cs="宋体"/>
          <w:b/>
          <w:color w:val="auto"/>
          <w:sz w:val="24"/>
          <w:highlight w:val="none"/>
        </w:rPr>
        <w:t>五、开 标</w:t>
      </w:r>
      <w:bookmarkEnd w:id="62"/>
      <w:bookmarkEnd w:id="63"/>
      <w:bookmarkEnd w:id="64"/>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（一）开标形式</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1.1 采购组织机构将按照招标文件规定的时间通过“乐采云平台”组织开标、开启投标文件，所有供应商均应当准时在线参加。</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（二） 开标准备</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2.1开标的准备工作由采购组织机构负责落实；</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2.2</w:t>
      </w:r>
      <w:r>
        <w:rPr>
          <w:rFonts w:hint="eastAsia" w:ascii="宋体" w:hAnsi="宋体" w:eastAsia="宋体" w:cs="宋体"/>
          <w:b/>
          <w:color w:val="auto"/>
          <w:sz w:val="24"/>
          <w:highlight w:val="none"/>
        </w:rPr>
        <w:t>采购组织机构将按照招标文件规定的时间通过“乐采云平台”组织开标、开启投标文件，所有供应商均应当准时在线参加。</w:t>
      </w:r>
      <w:r>
        <w:rPr>
          <w:rFonts w:hint="eastAsia" w:ascii="宋体" w:hAnsi="宋体" w:eastAsia="宋体" w:cs="宋体"/>
          <w:b/>
          <w:color w:val="auto"/>
          <w:kern w:val="0"/>
          <w:sz w:val="24"/>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（三）开标流程（两阶段：通过“</w:t>
      </w:r>
      <w:r>
        <w:rPr>
          <w:rFonts w:hint="eastAsia" w:ascii="宋体" w:hAnsi="宋体" w:eastAsia="宋体" w:cs="宋体"/>
          <w:b/>
          <w:color w:val="auto"/>
          <w:sz w:val="24"/>
          <w:szCs w:val="28"/>
          <w:highlight w:val="none"/>
          <w:lang w:val="en-US" w:eastAsia="zh-CN" w:bidi="ar-SA"/>
        </w:rPr>
        <w:t>乐采云平台</w:t>
      </w:r>
      <w:r>
        <w:rPr>
          <w:rFonts w:hint="eastAsia" w:ascii="宋体" w:hAnsi="宋体" w:eastAsia="宋体" w:cs="宋体"/>
          <w:b/>
          <w:color w:val="auto"/>
          <w:sz w:val="24"/>
          <w:szCs w:val="24"/>
          <w:highlight w:val="none"/>
          <w:lang w:val="en-US" w:eastAsia="zh-CN" w:bidi="ar-SA"/>
        </w:rPr>
        <w:t>”按以下流程实施）</w:t>
      </w:r>
    </w:p>
    <w:p>
      <w:pPr>
        <w:spacing w:line="360" w:lineRule="auto"/>
        <w:ind w:firstLine="426" w:firstLineChars="177"/>
        <w:jc w:val="left"/>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3.1开标第一阶段</w:t>
      </w:r>
    </w:p>
    <w:p>
      <w:pPr>
        <w:spacing w:line="360" w:lineRule="auto"/>
        <w:ind w:firstLine="424" w:firstLineChars="177"/>
        <w:jc w:val="left"/>
        <w:rPr>
          <w:rFonts w:ascii="宋体" w:hAnsi="宋体" w:eastAsia="宋体" w:cs="宋体"/>
          <w:b/>
          <w:bCs/>
          <w:color w:val="auto"/>
          <w:kern w:val="0"/>
          <w:sz w:val="24"/>
          <w:highlight w:val="none"/>
        </w:rPr>
      </w:pPr>
      <w:r>
        <w:rPr>
          <w:rFonts w:hint="eastAsia" w:ascii="宋体" w:hAnsi="宋体" w:eastAsia="宋体" w:cs="宋体"/>
          <w:color w:val="auto"/>
          <w:kern w:val="0"/>
          <w:sz w:val="24"/>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乐采云平台”操作规范将备份投标文件上传至“乐采云平台”，上传成功后，“电子加密投标文件”自动失效；</w:t>
      </w:r>
      <w:r>
        <w:rPr>
          <w:rFonts w:hint="eastAsia" w:ascii="宋体" w:hAnsi="宋体" w:eastAsia="宋体" w:cs="宋体"/>
          <w:b/>
          <w:bCs/>
          <w:color w:val="auto"/>
          <w:kern w:val="0"/>
          <w:sz w:val="24"/>
          <w:highlight w:val="none"/>
        </w:rPr>
        <w:t>注：提交的备份文件上传解密失败的将做无效标处理。</w:t>
      </w:r>
    </w:p>
    <w:p>
      <w:pPr>
        <w:spacing w:line="360" w:lineRule="auto"/>
        <w:ind w:firstLine="424" w:firstLineChars="177"/>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（2）投标文件解密结束，通过在线询标形式发送各投标供应商组织签署《采购活动现场确认声明书》，未在规定时间内提交视为默认；</w:t>
      </w:r>
    </w:p>
    <w:p>
      <w:pPr>
        <w:spacing w:line="360" w:lineRule="auto"/>
        <w:ind w:firstLine="424" w:firstLineChars="177"/>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（3）开启投标文件，进入资格审查；</w:t>
      </w:r>
    </w:p>
    <w:p>
      <w:pPr>
        <w:spacing w:line="360" w:lineRule="auto"/>
        <w:ind w:firstLine="424" w:firstLineChars="177"/>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（4）开启资格审查通过的投标供应商的商务技术文件进入符合性审查、商务技术评审；</w:t>
      </w:r>
    </w:p>
    <w:p>
      <w:pPr>
        <w:spacing w:line="360" w:lineRule="auto"/>
        <w:ind w:firstLine="424" w:firstLineChars="177"/>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（5）第一阶段开标结束。</w:t>
      </w:r>
    </w:p>
    <w:p>
      <w:pPr>
        <w:spacing w:line="480" w:lineRule="exact"/>
        <w:ind w:firstLine="426" w:firstLineChars="177"/>
        <w:jc w:val="left"/>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480" w:lineRule="exact"/>
        <w:ind w:firstLine="426" w:firstLineChars="177"/>
        <w:jc w:val="left"/>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3.2开标大会第二阶段</w:t>
      </w:r>
    </w:p>
    <w:p>
      <w:pPr>
        <w:spacing w:line="480" w:lineRule="exact"/>
        <w:ind w:firstLine="424" w:firstLineChars="177"/>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符合性审查、商务技术评审结束后，举行开标大会第二阶段会议。首先通过乐采云平台公布符合性审查、商务技术评审无效供应商名称及理由；公布经商务技术评审后有效投标供应商的名单，同时公布其商务技术部分得分情况。</w:t>
      </w:r>
    </w:p>
    <w:p>
      <w:pPr>
        <w:spacing w:line="480" w:lineRule="exact"/>
        <w:ind w:firstLine="424" w:firstLineChars="177"/>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（2）开启有效投标供应商的《报价文件》，公布开标一览表有关内容，制作开标记录表，由供应商代表及相关人员进行确认（通过“乐采云平台在线确认”），供应商不予确认的应说明理由，否则视为无异议；</w:t>
      </w:r>
    </w:p>
    <w:p>
      <w:pPr>
        <w:spacing w:line="480" w:lineRule="exact"/>
        <w:ind w:firstLine="424" w:firstLineChars="177"/>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（3）公布报价文件无效供应商名称及理由，公布有效投标供应商的报价得分； </w:t>
      </w:r>
    </w:p>
    <w:p>
      <w:pPr>
        <w:spacing w:line="480" w:lineRule="exact"/>
        <w:ind w:firstLine="424" w:firstLineChars="177"/>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（4）公布评审结果、中标候选供应商名单及采购人最终确定中标或成交供应商 名单的时间和公告方式等。 </w:t>
      </w:r>
    </w:p>
    <w:p>
      <w:pPr>
        <w:spacing w:line="480" w:lineRule="exact"/>
        <w:ind w:firstLine="426" w:firstLineChars="177"/>
        <w:jc w:val="left"/>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特别说明：如遇“乐采云平台”电子化开标或评审程序调整的，按调整后程序执行。</w:t>
      </w:r>
    </w:p>
    <w:p>
      <w:pPr>
        <w:keepNext/>
        <w:keepLines/>
        <w:widowControl w:val="0"/>
        <w:numPr>
          <w:ilvl w:val="0"/>
          <w:numId w:val="0"/>
        </w:numPr>
        <w:tabs>
          <w:tab w:val="left" w:pos="706"/>
          <w:tab w:val="left" w:pos="1110"/>
        </w:tabs>
        <w:spacing w:line="480" w:lineRule="exact"/>
        <w:jc w:val="both"/>
        <w:outlineLvl w:val="1"/>
        <w:rPr>
          <w:rFonts w:ascii="宋体" w:hAnsi="宋体" w:eastAsia="宋体" w:cs="宋体"/>
          <w:b/>
          <w:bCs/>
          <w:color w:val="auto"/>
          <w:kern w:val="2"/>
          <w:sz w:val="24"/>
          <w:szCs w:val="24"/>
          <w:highlight w:val="none"/>
          <w:lang w:val="en-US" w:eastAsia="zh-CN" w:bidi="ar-SA"/>
        </w:rPr>
      </w:pPr>
      <w:bookmarkStart w:id="65" w:name="_Toc24550037"/>
      <w:bookmarkStart w:id="66" w:name="_Toc468981011"/>
      <w:bookmarkStart w:id="67" w:name="_Toc33194393"/>
      <w:r>
        <w:rPr>
          <w:rFonts w:hint="eastAsia" w:ascii="宋体" w:hAnsi="宋体" w:eastAsia="宋体" w:cs="宋体"/>
          <w:b/>
          <w:bCs/>
          <w:color w:val="auto"/>
          <w:kern w:val="2"/>
          <w:sz w:val="24"/>
          <w:szCs w:val="24"/>
          <w:highlight w:val="none"/>
          <w:lang w:val="en-US" w:eastAsia="zh-CN" w:bidi="ar-SA"/>
        </w:rPr>
        <w:t>（四）投标供应商资格审查</w:t>
      </w:r>
      <w:bookmarkEnd w:id="65"/>
      <w:bookmarkEnd w:id="66"/>
      <w:bookmarkEnd w:id="67"/>
    </w:p>
    <w:p>
      <w:pPr>
        <w:spacing w:line="480" w:lineRule="exact"/>
        <w:ind w:firstLine="426" w:firstLineChars="177"/>
        <w:rPr>
          <w:rFonts w:ascii="宋体" w:hAnsi="宋体" w:eastAsia="宋体" w:cs="宋体"/>
          <w:color w:val="auto"/>
          <w:sz w:val="24"/>
          <w:highlight w:val="none"/>
        </w:rPr>
      </w:pPr>
      <w:r>
        <w:rPr>
          <w:rFonts w:hint="eastAsia" w:ascii="宋体" w:hAnsi="宋体" w:eastAsia="宋体" w:cs="宋体"/>
          <w:b/>
          <w:color w:val="auto"/>
          <w:sz w:val="24"/>
          <w:highlight w:val="none"/>
        </w:rPr>
        <w:t>4.1开标大会第一阶段结束后，采购人或采购代理机构首先依法对各投标供应商的资格进行审查，审查各投标供应商的资格是否满足招标文件的要求。</w:t>
      </w:r>
      <w:r>
        <w:rPr>
          <w:rFonts w:hint="eastAsia" w:ascii="宋体" w:hAnsi="宋体" w:eastAsia="宋体" w:cs="宋体"/>
          <w:color w:val="auto"/>
          <w:sz w:val="24"/>
          <w:highlight w:val="none"/>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80" w:lineRule="exact"/>
        <w:ind w:firstLine="426" w:firstLineChars="177"/>
        <w:rPr>
          <w:rFonts w:ascii="宋体" w:hAnsi="宋体" w:eastAsia="宋体" w:cs="宋体"/>
          <w:b/>
          <w:color w:val="auto"/>
          <w:kern w:val="0"/>
          <w:sz w:val="24"/>
          <w:highlight w:val="none"/>
        </w:rPr>
      </w:pPr>
      <w:r>
        <w:rPr>
          <w:rFonts w:hint="eastAsia" w:ascii="宋体" w:hAnsi="宋体" w:eastAsia="宋体" w:cs="宋体"/>
          <w:b/>
          <w:color w:val="auto"/>
          <w:sz w:val="24"/>
          <w:highlight w:val="none"/>
        </w:rPr>
        <w:t>4.2投标供应商提交的资格证明材料无法证明其符合招标文件规定的“投标供应商资格要求”的，采购人或采购代理机构</w:t>
      </w:r>
      <w:r>
        <w:rPr>
          <w:rFonts w:hint="eastAsia" w:ascii="宋体" w:hAnsi="宋体" w:eastAsia="宋体" w:cs="宋体"/>
          <w:b/>
          <w:color w:val="auto"/>
          <w:kern w:val="0"/>
          <w:sz w:val="24"/>
          <w:highlight w:val="none"/>
        </w:rPr>
        <w:t>将对其作资格审查不通过处理（无效投标），并不再将其投标提交评标委员会进行后续评审。</w:t>
      </w:r>
    </w:p>
    <w:p>
      <w:pPr>
        <w:spacing w:line="480" w:lineRule="exact"/>
        <w:ind w:firstLine="426" w:firstLineChars="177"/>
        <w:rPr>
          <w:rFonts w:ascii="宋体" w:hAnsi="宋体" w:eastAsia="宋体" w:cs="宋体"/>
          <w:b/>
          <w:color w:val="auto"/>
          <w:kern w:val="0"/>
          <w:sz w:val="24"/>
          <w:highlight w:val="none"/>
        </w:rPr>
      </w:pPr>
      <w:r>
        <w:rPr>
          <w:rFonts w:hint="eastAsia" w:ascii="宋体" w:hAnsi="宋体" w:eastAsia="宋体" w:cs="宋体"/>
          <w:b/>
          <w:color w:val="auto"/>
          <w:sz w:val="24"/>
          <w:highlight w:val="none"/>
        </w:rPr>
        <w:t>4</w:t>
      </w:r>
      <w:r>
        <w:rPr>
          <w:rFonts w:hint="eastAsia" w:ascii="宋体" w:hAnsi="宋体" w:eastAsia="宋体" w:cs="宋体"/>
          <w:b/>
          <w:color w:val="auto"/>
          <w:kern w:val="0"/>
          <w:sz w:val="24"/>
          <w:highlight w:val="none"/>
        </w:rPr>
        <w:t>.3单位负责人为同一人或者存在直接控股、管理关系的不同供应商参加同一合同项下的国企采购活动的，相关投标供应商均作资格无效处理。</w:t>
      </w:r>
    </w:p>
    <w:bookmarkEnd w:id="54"/>
    <w:bookmarkEnd w:id="55"/>
    <w:bookmarkEnd w:id="56"/>
    <w:bookmarkEnd w:id="61"/>
    <w:p>
      <w:pPr>
        <w:snapToGrid w:val="0"/>
        <w:spacing w:line="360" w:lineRule="auto"/>
        <w:jc w:val="center"/>
        <w:outlineLvl w:val="1"/>
        <w:rPr>
          <w:rFonts w:ascii="宋体" w:hAnsi="宋体" w:eastAsia="宋体" w:cs="宋体"/>
          <w:b/>
          <w:color w:val="auto"/>
          <w:sz w:val="24"/>
          <w:highlight w:val="none"/>
        </w:rPr>
      </w:pPr>
      <w:bookmarkStart w:id="68" w:name="_Toc462229101"/>
      <w:bookmarkStart w:id="69" w:name="_Toc412730343"/>
      <w:bookmarkStart w:id="70" w:name="_Toc354996702"/>
      <w:bookmarkStart w:id="71" w:name="_Toc233618978"/>
      <w:bookmarkStart w:id="72" w:name="_Toc86216994"/>
    </w:p>
    <w:p>
      <w:pPr>
        <w:snapToGrid w:val="0"/>
        <w:spacing w:line="360" w:lineRule="auto"/>
        <w:jc w:val="center"/>
        <w:outlineLvl w:val="1"/>
        <w:rPr>
          <w:rFonts w:ascii="宋体" w:hAnsi="宋体" w:eastAsia="宋体" w:cs="宋体"/>
          <w:b/>
          <w:color w:val="auto"/>
          <w:sz w:val="24"/>
          <w:highlight w:val="none"/>
        </w:rPr>
      </w:pPr>
      <w:bookmarkStart w:id="73" w:name="_Toc33194394"/>
    </w:p>
    <w:p>
      <w:pPr>
        <w:snapToGrid w:val="0"/>
        <w:spacing w:line="360" w:lineRule="auto"/>
        <w:jc w:val="center"/>
        <w:outlineLvl w:val="1"/>
        <w:rPr>
          <w:rFonts w:ascii="宋体" w:hAnsi="宋体" w:eastAsia="宋体" w:cs="宋体"/>
          <w:b/>
          <w:color w:val="auto"/>
          <w:sz w:val="24"/>
          <w:highlight w:val="none"/>
        </w:rPr>
      </w:pPr>
      <w:bookmarkStart w:id="74" w:name="_Toc1003100739"/>
      <w:r>
        <w:rPr>
          <w:rFonts w:hint="eastAsia" w:ascii="宋体" w:hAnsi="宋体" w:eastAsia="宋体" w:cs="宋体"/>
          <w:b/>
          <w:color w:val="auto"/>
          <w:sz w:val="24"/>
          <w:highlight w:val="none"/>
        </w:rPr>
        <w:t>六、评 标</w:t>
      </w:r>
      <w:bookmarkEnd w:id="68"/>
      <w:bookmarkEnd w:id="69"/>
      <w:bookmarkEnd w:id="73"/>
      <w:bookmarkEnd w:id="74"/>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（一）评审工作的组织</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1.1采购人或采购代理机构负责组织本项目的评审工作。</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（二）评标委员会的组建</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2.1评标委员会由采购人或采购代理机构依法组建，成员包括采购人代表和评审专家，成员人数为五人</w:t>
      </w:r>
      <w:r>
        <w:rPr>
          <w:rFonts w:hint="eastAsia" w:ascii="宋体" w:hAnsi="宋体" w:eastAsia="宋体" w:cs="宋体"/>
          <w:color w:val="auto"/>
          <w:kern w:val="0"/>
          <w:sz w:val="24"/>
          <w:highlight w:val="none"/>
          <w:lang w:val="en-US" w:eastAsia="zh-CN"/>
        </w:rPr>
        <w:t>及</w:t>
      </w:r>
      <w:r>
        <w:rPr>
          <w:rFonts w:hint="eastAsia" w:ascii="宋体" w:hAnsi="宋体" w:eastAsia="宋体" w:cs="宋体"/>
          <w:color w:val="auto"/>
          <w:kern w:val="0"/>
          <w:sz w:val="24"/>
          <w:highlight w:val="none"/>
        </w:rPr>
        <w:t>以上单数，其中评审专家不少于成员总数的三分之二。</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2.2评标委员会成员名单在评审结果（采购结果）公告前保密。</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（三）评标委员会的职责</w:t>
      </w:r>
    </w:p>
    <w:p>
      <w:pPr>
        <w:spacing w:line="360" w:lineRule="auto"/>
        <w:ind w:firstLine="424" w:firstLineChars="176"/>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3.1评标委员会负责具体评审事务，并独立履行下列职责：</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（1）审查、评价投标文件是否符合招标文件的商务、技术等实质性要求；</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（2）要求投标供应商对投标文件有关事项作出澄清或者说明；</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（3）对投标文件进行比较和评价；</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（4）确定中标候选人名单，以及根据采购人委托直接确定中标供应商；</w:t>
      </w:r>
    </w:p>
    <w:p>
      <w:pPr>
        <w:spacing w:line="360" w:lineRule="auto"/>
        <w:ind w:firstLine="422" w:firstLineChars="1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（5）向采购人、采购代理机构或者有关部门报告评审中发现的违法行为。</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（四）评审原则</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4.1评审原则：</w:t>
      </w:r>
      <w:r>
        <w:rPr>
          <w:rFonts w:hint="eastAsia" w:ascii="宋体" w:hAnsi="宋体" w:eastAsia="宋体" w:cs="宋体"/>
          <w:color w:val="auto"/>
          <w:kern w:val="0"/>
          <w:sz w:val="24"/>
          <w:highlight w:val="none"/>
        </w:rPr>
        <w:t>评标委员会</w:t>
      </w:r>
      <w:r>
        <w:rPr>
          <w:rFonts w:hint="eastAsia" w:ascii="宋体" w:hAnsi="宋体" w:eastAsia="宋体" w:cs="宋体"/>
          <w:color w:val="auto"/>
          <w:sz w:val="24"/>
          <w:highlight w:val="none"/>
        </w:rPr>
        <w:t>按照客观、公正、审慎、择优的原则，根据招标文件规定的评审程序、评审方法和评审标准进行独立评审。</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4.2评审工作将依据</w:t>
      </w:r>
      <w:r>
        <w:rPr>
          <w:rFonts w:hint="eastAsia" w:ascii="宋体" w:hAnsi="宋体" w:eastAsia="宋体" w:cs="宋体"/>
          <w:color w:val="auto"/>
          <w:kern w:val="0"/>
          <w:sz w:val="24"/>
          <w:highlight w:val="none"/>
        </w:rPr>
        <w:t>招标文件、投标文件及招标文件中事先已列明的内容进行（如现场方案讲解、演示等）。</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（五）评审意见的争议处理</w:t>
      </w:r>
    </w:p>
    <w:p>
      <w:pPr>
        <w:spacing w:line="360" w:lineRule="auto"/>
        <w:ind w:firstLine="424" w:firstLineChars="177"/>
        <w:rPr>
          <w:rFonts w:ascii="宋体" w:hAnsi="宋体" w:eastAsia="宋体" w:cs="宋体"/>
          <w:bCs/>
          <w:color w:val="auto"/>
          <w:sz w:val="24"/>
          <w:highlight w:val="none"/>
        </w:rPr>
      </w:pPr>
      <w:r>
        <w:rPr>
          <w:rFonts w:hint="eastAsia" w:ascii="宋体" w:hAnsi="宋体" w:eastAsia="宋体" w:cs="宋体"/>
          <w:bCs/>
          <w:color w:val="auto"/>
          <w:sz w:val="24"/>
          <w:highlight w:val="none"/>
        </w:rPr>
        <w:t>5.1评标委员会成员对需要共同认定的事项存在争议的，按照少数服从多数的原则作出结论。持不同意见的评标委员会成员应当在评审报告上签署不同意见及理由，否则视为同意评审报告。</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（六）评委纪律</w:t>
      </w:r>
    </w:p>
    <w:p>
      <w:pPr>
        <w:spacing w:line="360" w:lineRule="auto"/>
        <w:ind w:firstLine="424" w:firstLineChars="177"/>
        <w:rPr>
          <w:rFonts w:ascii="宋体" w:hAnsi="宋体" w:eastAsia="宋体" w:cs="宋体"/>
          <w:color w:val="auto"/>
          <w:kern w:val="0"/>
          <w:sz w:val="24"/>
          <w:highlight w:val="none"/>
        </w:rPr>
      </w:pPr>
      <w:r>
        <w:rPr>
          <w:rFonts w:hint="eastAsia" w:ascii="宋体" w:hAnsi="宋体" w:eastAsia="宋体" w:cs="宋体"/>
          <w:color w:val="auto"/>
          <w:sz w:val="24"/>
          <w:highlight w:val="none"/>
        </w:rPr>
        <w:t>6.1评标委员会成员必须严格遵守保密规定，不得泄露评审的有关情况</w:t>
      </w:r>
      <w:r>
        <w:rPr>
          <w:rFonts w:hint="eastAsia" w:ascii="宋体" w:hAnsi="宋体" w:eastAsia="宋体" w:cs="宋体"/>
          <w:color w:val="auto"/>
          <w:kern w:val="0"/>
          <w:sz w:val="24"/>
          <w:highlight w:val="none"/>
        </w:rPr>
        <w:t>，任何单位和个人不得干扰、影响评标的正常进行，评标委员会成员不得私下与投标供应商接触，不得出现采购活动现场组织管理办法中规定的其他禁止行为。</w:t>
      </w:r>
    </w:p>
    <w:p>
      <w:pPr>
        <w:keepNext/>
        <w:keepLines/>
        <w:widowControl w:val="0"/>
        <w:numPr>
          <w:ilvl w:val="0"/>
          <w:numId w:val="0"/>
        </w:numPr>
        <w:tabs>
          <w:tab w:val="left" w:pos="706"/>
          <w:tab w:val="left" w:pos="1110"/>
        </w:tabs>
        <w:spacing w:line="360" w:lineRule="auto"/>
        <w:jc w:val="both"/>
        <w:outlineLvl w:val="1"/>
        <w:rPr>
          <w:rFonts w:ascii="宋体" w:hAnsi="宋体" w:eastAsia="宋体" w:cs="宋体"/>
          <w:b/>
          <w:bCs/>
          <w:color w:val="auto"/>
          <w:kern w:val="2"/>
          <w:sz w:val="24"/>
          <w:szCs w:val="24"/>
          <w:highlight w:val="none"/>
          <w:lang w:val="en-US" w:eastAsia="zh-CN" w:bidi="ar-SA"/>
        </w:rPr>
      </w:pPr>
      <w:bookmarkStart w:id="75" w:name="_Toc24550043"/>
      <w:bookmarkStart w:id="76" w:name="_Toc33194395"/>
      <w:bookmarkStart w:id="77" w:name="_Toc1649013976"/>
      <w:r>
        <w:rPr>
          <w:rFonts w:hint="eastAsia" w:ascii="宋体" w:hAnsi="宋体" w:eastAsia="宋体" w:cs="宋体"/>
          <w:b/>
          <w:bCs/>
          <w:color w:val="auto"/>
          <w:kern w:val="2"/>
          <w:sz w:val="24"/>
          <w:szCs w:val="24"/>
          <w:highlight w:val="none"/>
          <w:lang w:val="en-US" w:eastAsia="zh-CN" w:bidi="ar-SA"/>
        </w:rPr>
        <w:t>（七）</w:t>
      </w:r>
      <w:bookmarkEnd w:id="75"/>
      <w:bookmarkStart w:id="78" w:name="_Toc24550044"/>
      <w:r>
        <w:rPr>
          <w:rFonts w:hint="eastAsia" w:ascii="宋体" w:hAnsi="宋体" w:eastAsia="宋体" w:cs="宋体"/>
          <w:b/>
          <w:bCs/>
          <w:color w:val="auto"/>
          <w:kern w:val="2"/>
          <w:sz w:val="24"/>
          <w:szCs w:val="24"/>
          <w:highlight w:val="none"/>
          <w:lang w:val="en-US" w:eastAsia="zh-CN" w:bidi="ar-SA"/>
        </w:rPr>
        <w:t>评审流程及内容</w:t>
      </w:r>
      <w:bookmarkEnd w:id="76"/>
      <w:bookmarkEnd w:id="77"/>
      <w:bookmarkEnd w:id="78"/>
    </w:p>
    <w:p>
      <w:pPr>
        <w:spacing w:line="360" w:lineRule="auto"/>
        <w:ind w:firstLine="424" w:firstLineChars="176"/>
        <w:rPr>
          <w:rFonts w:ascii="宋体" w:hAnsi="宋体" w:eastAsia="宋体" w:cs="宋体"/>
          <w:color w:val="auto"/>
          <w:sz w:val="24"/>
          <w:highlight w:val="none"/>
        </w:rPr>
      </w:pPr>
      <w:r>
        <w:rPr>
          <w:rFonts w:hint="eastAsia" w:ascii="宋体" w:hAnsi="宋体" w:eastAsia="宋体" w:cs="宋体"/>
          <w:b/>
          <w:color w:val="auto"/>
          <w:kern w:val="0"/>
          <w:sz w:val="24"/>
          <w:highlight w:val="none"/>
        </w:rPr>
        <w:t>本项目具体的评审事务由评标委员会负责，评审流程及内容如下：</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7.1 评审前准备</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7.1.1由评审专家推选评审小组组长，采购人代表不得担任评审小组组长。</w:t>
      </w:r>
    </w:p>
    <w:p>
      <w:pPr>
        <w:spacing w:line="360" w:lineRule="auto"/>
        <w:ind w:firstLine="424" w:firstLineChars="177"/>
        <w:rPr>
          <w:rFonts w:ascii="宋体" w:hAnsi="宋体" w:eastAsia="宋体" w:cs="宋体"/>
          <w:b/>
          <w:color w:val="auto"/>
          <w:kern w:val="0"/>
          <w:sz w:val="24"/>
          <w:highlight w:val="none"/>
        </w:rPr>
      </w:pPr>
      <w:r>
        <w:rPr>
          <w:rFonts w:hint="eastAsia" w:ascii="宋体" w:hAnsi="宋体" w:eastAsia="宋体" w:cs="宋体"/>
          <w:color w:val="auto"/>
          <w:kern w:val="0"/>
          <w:sz w:val="24"/>
          <w:highlight w:val="none"/>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7.2投标文件的初步审查、符合性审查</w:t>
      </w:r>
    </w:p>
    <w:p>
      <w:pPr>
        <w:spacing w:line="360" w:lineRule="auto"/>
        <w:ind w:firstLine="426" w:firstLineChars="177"/>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对所有通过资格审查的投标供应商的投标文件进行初步审查，审查、评价投标文件是否符合招标文件的商务、技术、服务等实质性要求。</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keepNext/>
        <w:keepLines/>
        <w:numPr>
          <w:ilvl w:val="0"/>
          <w:numId w:val="0"/>
        </w:numPr>
        <w:tabs>
          <w:tab w:val="left" w:pos="720"/>
        </w:tabs>
        <w:spacing w:before="0" w:after="0" w:line="360" w:lineRule="auto"/>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7.3 投标文件的澄清、说明或补正</w:t>
      </w:r>
    </w:p>
    <w:p>
      <w:pPr>
        <w:spacing w:line="360" w:lineRule="auto"/>
        <w:ind w:firstLine="424" w:firstLineChars="177"/>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7.3.1对于投标文件中含义不明确、同类问题表述不一致或者有明显文字和计算错误的内容，评标委员会将以书面形式（或通过“乐采云平台”在线询标）的形式要求投标供应商在规定的时间内作出必要的澄清、说明或者补正，投标供应商澄清、说明或补正时间为30分钟。</w:t>
      </w:r>
    </w:p>
    <w:p>
      <w:pPr>
        <w:spacing w:line="360" w:lineRule="auto"/>
        <w:ind w:firstLine="424" w:firstLineChars="177"/>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7.3.2投标供应商的澄清、说明或者补正应当采用书面（或通过“乐采云平台”在线答复）形式提交，并加盖公章，或者由法定代表人或其授权的代表签字。投标供应商的澄清、说明或者补正不得超出投标文件的范围或者改变投标文件的实质性内容。</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7.4 投标文件的错误修正</w:t>
      </w:r>
    </w:p>
    <w:p>
      <w:pPr>
        <w:spacing w:line="360" w:lineRule="auto"/>
        <w:ind w:firstLine="422" w:firstLineChars="175"/>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7.4.1《投标文件》如果出现计算或表达上的错误，修正错误的原则如下：</w:t>
      </w:r>
    </w:p>
    <w:p>
      <w:pPr>
        <w:spacing w:line="360" w:lineRule="auto"/>
        <w:ind w:firstLine="420" w:firstLineChars="175"/>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（1）投标文件中开标一览表（报价表）内容与投标文件中相应内容不一致的，以开标一览表（报价表）为准。</w:t>
      </w:r>
    </w:p>
    <w:p>
      <w:pPr>
        <w:spacing w:line="360" w:lineRule="auto"/>
        <w:ind w:firstLine="420" w:firstLineChars="175"/>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（2）《投标文件》的大写金额和小写金额不一致的，以大写金额为准；</w:t>
      </w:r>
    </w:p>
    <w:p>
      <w:pPr>
        <w:spacing w:line="360" w:lineRule="auto"/>
        <w:ind w:firstLine="420" w:firstLineChars="175"/>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（3）单价金额小数点或者百分比有明显错位的，应以开标一览表（报价表）的总价为准，并修改单价；</w:t>
      </w:r>
    </w:p>
    <w:p>
      <w:pPr>
        <w:spacing w:line="360" w:lineRule="auto"/>
        <w:ind w:firstLine="420" w:firstLineChars="175"/>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（4）总价金额与按单价汇总金额不一致的，以单价金额计算结果为准。</w:t>
      </w:r>
    </w:p>
    <w:p>
      <w:pPr>
        <w:spacing w:line="360" w:lineRule="auto"/>
        <w:ind w:firstLine="420" w:firstLineChars="175"/>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7.4.2对不同文字文本《投标文件》的解释发生异议的，以中文文本为准。</w:t>
      </w:r>
    </w:p>
    <w:p>
      <w:pPr>
        <w:widowControl w:val="0"/>
        <w:autoSpaceDE/>
        <w:autoSpaceDN w:val="0"/>
        <w:adjustRightInd/>
        <w:snapToGrid w:val="0"/>
        <w:spacing w:before="0" w:line="360" w:lineRule="auto"/>
        <w:ind w:left="0" w:firstLine="0"/>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（八）投标文件有下列情况之一者将视为无效：</w:t>
      </w:r>
    </w:p>
    <w:p>
      <w:pPr>
        <w:spacing w:line="360" w:lineRule="auto"/>
        <w:ind w:firstLine="424" w:firstLineChars="176"/>
        <w:rPr>
          <w:rFonts w:ascii="宋体" w:hAnsi="宋体" w:eastAsia="宋体" w:cs="宋体"/>
          <w:b/>
          <w:color w:val="auto"/>
          <w:kern w:val="0"/>
          <w:sz w:val="24"/>
          <w:highlight w:val="none"/>
        </w:rPr>
      </w:pPr>
      <w:bookmarkStart w:id="79" w:name="_Hlk33211013"/>
      <w:r>
        <w:rPr>
          <w:rFonts w:hint="eastAsia" w:ascii="宋体" w:hAnsi="宋体" w:eastAsia="宋体" w:cs="宋体"/>
          <w:b/>
          <w:color w:val="auto"/>
          <w:kern w:val="0"/>
          <w:sz w:val="24"/>
          <w:highlight w:val="none"/>
        </w:rPr>
        <w:t>8.1商务、技术文件符合性审查中，存在下列情形之一的，经评标委员会认定后作无效标处理：</w:t>
      </w:r>
    </w:p>
    <w:p>
      <w:pPr>
        <w:keepNext/>
        <w:keepLines/>
        <w:widowControl w:val="0"/>
        <w:numPr>
          <w:ilvl w:val="0"/>
          <w:numId w:val="0"/>
        </w:numPr>
        <w:tabs>
          <w:tab w:val="left" w:pos="706"/>
          <w:tab w:val="left" w:pos="1110"/>
        </w:tabs>
        <w:spacing w:line="360" w:lineRule="auto"/>
        <w:ind w:left="106" w:firstLine="241" w:firstLineChars="100"/>
        <w:jc w:val="left"/>
        <w:outlineLvl w:val="1"/>
        <w:rPr>
          <w:rFonts w:ascii="宋体" w:hAnsi="宋体" w:eastAsia="宋体" w:cs="宋体"/>
          <w:b/>
          <w:bCs w:val="0"/>
          <w:color w:val="auto"/>
          <w:kern w:val="2"/>
          <w:sz w:val="24"/>
          <w:szCs w:val="24"/>
          <w:highlight w:val="none"/>
          <w:lang w:val="en-US" w:eastAsia="zh-CN" w:bidi="ar-SA"/>
        </w:rPr>
      </w:pPr>
      <w:bookmarkStart w:id="80" w:name="_Toc33194396"/>
      <w:bookmarkStart w:id="81" w:name="_Toc107536971"/>
      <w:r>
        <w:rPr>
          <w:rFonts w:hint="eastAsia" w:ascii="宋体" w:hAnsi="宋体" w:eastAsia="宋体" w:cs="宋体"/>
          <w:b/>
          <w:bCs w:val="0"/>
          <w:color w:val="auto"/>
          <w:kern w:val="2"/>
          <w:sz w:val="24"/>
          <w:szCs w:val="24"/>
          <w:highlight w:val="none"/>
          <w:lang w:val="en-US" w:eastAsia="zh-CN" w:bidi="ar-SA"/>
        </w:rPr>
        <w:t>（1）投标文件未有效授权，法定代表人授权委托书等填写不完整或有涂改的；</w:t>
      </w:r>
      <w:bookmarkEnd w:id="80"/>
      <w:bookmarkEnd w:id="81"/>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（2）投标文件没有对本招标文件作出实质性响应的，或不满足（不响应）本招标文件中标注“▲”的实质性要求条款的，或存在招标文件中明确规定的其他无效标情形的；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（3）投标文件存在一个或一个以上备选（替代）投标方案的；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（4）仅提交“备份投标文件”的；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（5）文件组成内容不齐全，本招标文件规定必须提供而未提供的（属于资格审查范围的除外）；</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（6）投标文件标注的响应或偏离情况与事实不符，或提供了虚假材料的；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（7）不响应或擅自改变本招标文件要求或投标文件有采购人不能接受的附加条件的；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（8）参加同一合同项下采购活动的不同供应商之间存在利害关系并且存在影响采购公平竞争行为的；</w:t>
      </w:r>
    </w:p>
    <w:p>
      <w:pPr>
        <w:spacing w:line="360" w:lineRule="auto"/>
        <w:ind w:firstLine="426" w:firstLineChars="177"/>
        <w:rPr>
          <w:rFonts w:ascii="宋体" w:hAnsi="宋体" w:eastAsia="宋体" w:cs="宋体"/>
          <w:b/>
          <w:color w:val="auto"/>
          <w:sz w:val="24"/>
          <w:highlight w:val="none"/>
        </w:rPr>
      </w:pPr>
      <w:bookmarkStart w:id="82" w:name="_Toc33194397"/>
      <w:r>
        <w:rPr>
          <w:rFonts w:hint="eastAsia" w:ascii="宋体" w:hAnsi="宋体" w:eastAsia="宋体" w:cs="宋体"/>
          <w:b/>
          <w:color w:val="auto"/>
          <w:sz w:val="24"/>
          <w:highlight w:val="none"/>
        </w:rPr>
        <w:t>（9）</w:t>
      </w:r>
      <w:bookmarkEnd w:id="82"/>
      <w:r>
        <w:rPr>
          <w:rFonts w:hint="eastAsia" w:ascii="宋体" w:hAnsi="宋体" w:eastAsia="宋体" w:cs="宋体"/>
          <w:b/>
          <w:color w:val="auto"/>
          <w:sz w:val="24"/>
          <w:highlight w:val="none"/>
        </w:rPr>
        <w:t>违反国家或政府部门相关法律、法规、文件规定的。</w:t>
      </w:r>
      <w:bookmarkEnd w:id="79"/>
    </w:p>
    <w:p>
      <w:pPr>
        <w:spacing w:line="360" w:lineRule="auto"/>
        <w:ind w:firstLine="426" w:firstLineChars="177"/>
        <w:rPr>
          <w:rFonts w:ascii="宋体" w:hAnsi="宋体" w:eastAsia="宋体" w:cs="宋体"/>
          <w:b/>
          <w:color w:val="auto"/>
          <w:kern w:val="0"/>
          <w:sz w:val="24"/>
          <w:highlight w:val="none"/>
        </w:rPr>
      </w:pPr>
      <w:r>
        <w:rPr>
          <w:rFonts w:hint="eastAsia" w:ascii="宋体" w:hAnsi="宋体" w:eastAsia="宋体" w:cs="宋体"/>
          <w:b/>
          <w:color w:val="auto"/>
          <w:kern w:val="0"/>
          <w:sz w:val="24"/>
          <w:highlight w:val="none"/>
        </w:rPr>
        <w:t>8.2报价文件符合性审查中，存在下列情形之一的，经评标委员会认定后作无效标处理：</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（2）投标文件存在一个或一个以上备选（替代）投标方案的；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（3）未按照招标文件标明的币种报价的，或者投标报价涵盖的内容不符合招标文件要求的；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（4）《开标一览表》内容与《投标报价明细表》内容不一致且拒不接受修正的；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（5）投标报价具有选择性，唱标价格与《投标文件》承诺的优惠（折扣）后价格不一致的；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（6）投标报价超过采购预算（或最高限价）的；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（7）仅提交“备份投标文件”的；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（8）投标文件组成内容不齐全，本招标文件规定必须提供而未提供的（属于资格审查范围的除外）；</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（9）投标文件标注的响应或偏离情况与事实不符，或提供了虚假材料的；</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（10）不响应或擅自改变本招标文件要求或投标文件有采购人不能接受的附加条件的；</w:t>
      </w:r>
    </w:p>
    <w:p>
      <w:pPr>
        <w:shd w:val="clear" w:color="auto" w:fill="FFFFFF"/>
        <w:autoSpaceDE w:val="0"/>
        <w:autoSpaceDN w:val="0"/>
        <w:snapToGrid w:val="0"/>
        <w:spacing w:line="360" w:lineRule="auto"/>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11）评审委员会认为供应商报价明显低于其他合格供应商的报价，有可能影响产品质量或者不能诚信履约的，应当要求其在合理时间内提供书面说明，必要时提供相关证明材料；投标供应商不能证明其报价合理性的，评审委员会应当将其作为无效投标或者无效响应处理；</w:t>
      </w:r>
    </w:p>
    <w:p>
      <w:pPr>
        <w:spacing w:line="360" w:lineRule="auto"/>
        <w:ind w:firstLine="426" w:firstLineChars="177"/>
        <w:rPr>
          <w:rFonts w:ascii="宋体" w:hAnsi="宋体" w:eastAsia="宋体" w:cs="宋体"/>
          <w:b/>
          <w:color w:val="auto"/>
          <w:kern w:val="0"/>
          <w:sz w:val="24"/>
          <w:highlight w:val="none"/>
        </w:rPr>
      </w:pPr>
      <w:r>
        <w:rPr>
          <w:rFonts w:hint="eastAsia" w:ascii="宋体" w:hAnsi="宋体" w:eastAsia="宋体" w:cs="宋体"/>
          <w:b/>
          <w:color w:val="auto"/>
          <w:sz w:val="24"/>
          <w:highlight w:val="none"/>
        </w:rPr>
        <w:t>（12）违反国家或政府部门相关法律、法规、文件规定的。</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（九）投标文件的评估、比较、评分</w:t>
      </w:r>
    </w:p>
    <w:p>
      <w:pPr>
        <w:spacing w:line="360" w:lineRule="auto"/>
        <w:ind w:firstLine="424" w:firstLineChars="177"/>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9.1评标委员会应当按照招标文件中规定的评审方法和标准，对符合性审查合格的投标文件进行商务和技术评估，综合比较与评价。评标时，评标委员会各成员将独立对每个投标供应商的投标文件进行评价，并汇总每个投标供应商的得分。评审细则详见本章第七款。</w:t>
      </w:r>
    </w:p>
    <w:p>
      <w:pPr>
        <w:spacing w:line="360" w:lineRule="auto"/>
        <w:ind w:firstLine="424" w:firstLineChars="177"/>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（十）修改评审结果</w:t>
      </w:r>
    </w:p>
    <w:p>
      <w:pPr>
        <w:spacing w:line="360" w:lineRule="auto"/>
        <w:ind w:firstLine="487" w:firstLineChars="202"/>
        <w:rPr>
          <w:rFonts w:ascii="宋体" w:hAnsi="宋体" w:eastAsia="宋体" w:cs="宋体"/>
          <w:b/>
          <w:color w:val="auto"/>
          <w:sz w:val="24"/>
          <w:highlight w:val="none"/>
        </w:rPr>
      </w:pPr>
      <w:r>
        <w:rPr>
          <w:rFonts w:hint="eastAsia" w:ascii="宋体" w:hAnsi="宋体" w:eastAsia="宋体" w:cs="宋体"/>
          <w:b/>
          <w:color w:val="auto"/>
          <w:sz w:val="24"/>
          <w:highlight w:val="none"/>
        </w:rPr>
        <w:t>10.1评标结果汇总完成后，除下列情形外，任何人不得修改评标结果：</w:t>
      </w:r>
    </w:p>
    <w:p>
      <w:pPr>
        <w:spacing w:line="360" w:lineRule="auto"/>
        <w:ind w:firstLine="484" w:firstLineChars="202"/>
        <w:rPr>
          <w:rFonts w:ascii="宋体" w:hAnsi="宋体" w:eastAsia="宋体" w:cs="宋体"/>
          <w:color w:val="auto"/>
          <w:sz w:val="24"/>
          <w:highlight w:val="none"/>
        </w:rPr>
      </w:pPr>
      <w:r>
        <w:rPr>
          <w:rFonts w:hint="eastAsia" w:ascii="宋体" w:hAnsi="宋体" w:eastAsia="宋体" w:cs="宋体"/>
          <w:color w:val="auto"/>
          <w:sz w:val="24"/>
          <w:highlight w:val="none"/>
        </w:rPr>
        <w:t>（1）分值汇总计算错误的；</w:t>
      </w:r>
    </w:p>
    <w:p>
      <w:pPr>
        <w:spacing w:line="360" w:lineRule="auto"/>
        <w:ind w:firstLine="484" w:firstLineChars="202"/>
        <w:rPr>
          <w:rFonts w:ascii="宋体" w:hAnsi="宋体" w:eastAsia="宋体" w:cs="宋体"/>
          <w:color w:val="auto"/>
          <w:sz w:val="24"/>
          <w:highlight w:val="none"/>
        </w:rPr>
      </w:pPr>
      <w:r>
        <w:rPr>
          <w:rFonts w:hint="eastAsia" w:ascii="宋体" w:hAnsi="宋体" w:eastAsia="宋体" w:cs="宋体"/>
          <w:color w:val="auto"/>
          <w:sz w:val="24"/>
          <w:highlight w:val="none"/>
        </w:rPr>
        <w:t>（2）分项评分超出评分标准范围的；</w:t>
      </w:r>
    </w:p>
    <w:p>
      <w:pPr>
        <w:spacing w:line="360" w:lineRule="auto"/>
        <w:ind w:firstLine="484" w:firstLineChars="202"/>
        <w:rPr>
          <w:rFonts w:ascii="宋体" w:hAnsi="宋体" w:eastAsia="宋体" w:cs="宋体"/>
          <w:color w:val="auto"/>
          <w:sz w:val="24"/>
          <w:highlight w:val="none"/>
        </w:rPr>
      </w:pPr>
      <w:r>
        <w:rPr>
          <w:rFonts w:hint="eastAsia" w:ascii="宋体" w:hAnsi="宋体" w:eastAsia="宋体" w:cs="宋体"/>
          <w:color w:val="auto"/>
          <w:sz w:val="24"/>
          <w:highlight w:val="none"/>
        </w:rPr>
        <w:t>（3）评标委员会成员对客观评审因素评分不一致的；</w:t>
      </w:r>
    </w:p>
    <w:p>
      <w:pPr>
        <w:spacing w:line="360" w:lineRule="auto"/>
        <w:ind w:firstLine="484" w:firstLineChars="202"/>
        <w:rPr>
          <w:rFonts w:ascii="宋体" w:hAnsi="宋体" w:eastAsia="宋体" w:cs="宋体"/>
          <w:color w:val="auto"/>
          <w:sz w:val="24"/>
          <w:highlight w:val="none"/>
        </w:rPr>
      </w:pPr>
      <w:r>
        <w:rPr>
          <w:rFonts w:hint="eastAsia" w:ascii="宋体" w:hAnsi="宋体" w:eastAsia="宋体" w:cs="宋体"/>
          <w:color w:val="auto"/>
          <w:sz w:val="24"/>
          <w:highlight w:val="none"/>
        </w:rPr>
        <w:t>（4）经评标委员会认定评分畸高、畸低的。</w:t>
      </w:r>
    </w:p>
    <w:p>
      <w:pPr>
        <w:spacing w:line="360" w:lineRule="auto"/>
        <w:ind w:firstLine="487" w:firstLineChars="202"/>
        <w:rPr>
          <w:rFonts w:ascii="宋体" w:hAnsi="宋体" w:eastAsia="宋体" w:cs="宋体"/>
          <w:b/>
          <w:color w:val="auto"/>
          <w:sz w:val="24"/>
          <w:highlight w:val="none"/>
        </w:rPr>
      </w:pPr>
      <w:r>
        <w:rPr>
          <w:rFonts w:hint="eastAsia" w:ascii="宋体" w:hAnsi="宋体" w:eastAsia="宋体" w:cs="宋体"/>
          <w:b/>
          <w:color w:val="auto"/>
          <w:sz w:val="24"/>
          <w:highlight w:val="none"/>
        </w:rPr>
        <w:t>10.2评标报告签署前，经复核发现存在以上情形之一的，评标委员会将当场修改评标结果，并在评标报告中记载。</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（十一）供应商排序及推荐中标（成交）候选供应商</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评标委员会根据以下规定确定供应商排名并推荐中标（成交）候选供应商。</w:t>
      </w:r>
    </w:p>
    <w:p>
      <w:pPr>
        <w:spacing w:line="360" w:lineRule="auto"/>
        <w:ind w:firstLine="465" w:firstLineChars="193"/>
        <w:rPr>
          <w:rFonts w:ascii="宋体" w:hAnsi="宋体" w:eastAsia="宋体" w:cs="宋体"/>
          <w:color w:val="auto"/>
          <w:kern w:val="0"/>
          <w:sz w:val="24"/>
          <w:highlight w:val="none"/>
        </w:rPr>
      </w:pPr>
      <w:r>
        <w:rPr>
          <w:rFonts w:hint="eastAsia" w:ascii="宋体" w:hAnsi="宋体" w:eastAsia="宋体" w:cs="宋体"/>
          <w:b/>
          <w:color w:val="auto"/>
          <w:sz w:val="24"/>
          <w:highlight w:val="none"/>
        </w:rPr>
        <w:t>11.1评标委员会根据各投标供应商的综合得分（商务技术分与报价得分之和）从高到低依次进行排名排序。特殊情形按以下原则处理：</w:t>
      </w:r>
    </w:p>
    <w:p>
      <w:pPr>
        <w:spacing w:line="360" w:lineRule="auto"/>
        <w:ind w:firstLine="463" w:firstLineChars="193"/>
        <w:rPr>
          <w:rFonts w:ascii="宋体" w:hAnsi="宋体" w:eastAsia="宋体" w:cs="宋体"/>
          <w:color w:val="auto"/>
          <w:sz w:val="24"/>
          <w:highlight w:val="none"/>
        </w:rPr>
      </w:pPr>
      <w:r>
        <w:rPr>
          <w:rFonts w:hint="eastAsia" w:ascii="宋体" w:hAnsi="宋体" w:eastAsia="宋体" w:cs="宋体"/>
          <w:color w:val="auto"/>
          <w:sz w:val="24"/>
          <w:highlight w:val="none"/>
        </w:rPr>
        <w:t>（1）综合得分相同的，按投标报价低的优先原则确定排名；</w:t>
      </w:r>
    </w:p>
    <w:p>
      <w:pPr>
        <w:spacing w:line="360" w:lineRule="auto"/>
        <w:ind w:firstLine="463" w:firstLineChars="193"/>
        <w:rPr>
          <w:rFonts w:ascii="宋体" w:hAnsi="宋体" w:eastAsia="宋体" w:cs="宋体"/>
          <w:color w:val="auto"/>
          <w:sz w:val="24"/>
          <w:highlight w:val="none"/>
        </w:rPr>
      </w:pPr>
      <w:r>
        <w:rPr>
          <w:rFonts w:hint="eastAsia" w:ascii="宋体" w:hAnsi="宋体" w:eastAsia="宋体" w:cs="宋体"/>
          <w:color w:val="auto"/>
          <w:sz w:val="24"/>
          <w:highlight w:val="none"/>
        </w:rPr>
        <w:t>（2）综合得分和投标报价均相同的，按技术资信得分从高到低确定排名；</w:t>
      </w:r>
    </w:p>
    <w:p>
      <w:pPr>
        <w:spacing w:line="360" w:lineRule="auto"/>
        <w:ind w:firstLine="463" w:firstLineChars="193"/>
        <w:rPr>
          <w:rFonts w:ascii="宋体" w:hAnsi="宋体" w:eastAsia="宋体" w:cs="宋体"/>
          <w:color w:val="auto"/>
          <w:sz w:val="24"/>
          <w:highlight w:val="none"/>
        </w:rPr>
      </w:pPr>
      <w:r>
        <w:rPr>
          <w:rFonts w:hint="eastAsia" w:ascii="宋体" w:hAnsi="宋体" w:eastAsia="宋体" w:cs="宋体"/>
          <w:color w:val="auto"/>
          <w:sz w:val="24"/>
          <w:highlight w:val="none"/>
        </w:rPr>
        <w:t>（3）综合得分、投标报价和技术资信得分均相同的，投标文件满足招标文件全部实质性要求，且按照评审因素的量化指标评审得分最高的投标人为排名第一的中标候选人。</w:t>
      </w:r>
    </w:p>
    <w:p>
      <w:pPr>
        <w:spacing w:line="360" w:lineRule="auto"/>
        <w:ind w:firstLine="426" w:firstLineChars="177"/>
        <w:rPr>
          <w:rFonts w:ascii="宋体" w:hAnsi="宋体" w:eastAsia="宋体" w:cs="宋体"/>
          <w:b/>
          <w:color w:val="auto"/>
          <w:sz w:val="24"/>
          <w:highlight w:val="none"/>
        </w:rPr>
      </w:pPr>
      <w:r>
        <w:rPr>
          <w:rFonts w:hint="eastAsia" w:ascii="宋体" w:hAnsi="宋体" w:eastAsia="宋体" w:cs="宋体"/>
          <w:b/>
          <w:color w:val="auto"/>
          <w:sz w:val="24"/>
          <w:highlight w:val="none"/>
        </w:rPr>
        <w:t>11.2根据最终得分排序，通过书面评审报告的形式，向采购人推荐</w:t>
      </w:r>
      <w:r>
        <w:rPr>
          <w:rFonts w:hint="eastAsia" w:ascii="宋体" w:hAnsi="宋体" w:eastAsia="宋体" w:cs="宋体"/>
          <w:b/>
          <w:color w:val="auto"/>
          <w:kern w:val="0"/>
          <w:sz w:val="24"/>
          <w:highlight w:val="none"/>
        </w:rPr>
        <w:t>排名第一的投标供应商为中标（成交）候选供应商</w:t>
      </w:r>
      <w:r>
        <w:rPr>
          <w:rFonts w:hint="eastAsia" w:ascii="宋体" w:hAnsi="宋体" w:eastAsia="宋体" w:cs="宋体"/>
          <w:b/>
          <w:color w:val="auto"/>
          <w:sz w:val="24"/>
          <w:highlight w:val="none"/>
        </w:rPr>
        <w:t>。</w:t>
      </w:r>
    </w:p>
    <w:p>
      <w:pPr>
        <w:keepNext/>
        <w:keepLines/>
        <w:numPr>
          <w:ilvl w:val="0"/>
          <w:numId w:val="0"/>
        </w:numPr>
        <w:tabs>
          <w:tab w:val="left" w:pos="720"/>
        </w:tabs>
        <w:spacing w:before="0" w:after="0" w:line="360" w:lineRule="auto"/>
        <w:ind w:left="720" w:hanging="720"/>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（十二）起草、签署评审报告</w:t>
      </w:r>
    </w:p>
    <w:p>
      <w:pPr>
        <w:spacing w:line="360" w:lineRule="auto"/>
        <w:ind w:firstLine="463" w:firstLineChars="193"/>
        <w:rPr>
          <w:rFonts w:ascii="宋体" w:hAnsi="宋体" w:eastAsia="宋体" w:cs="宋体"/>
          <w:color w:val="auto"/>
          <w:sz w:val="24"/>
          <w:highlight w:val="none"/>
        </w:rPr>
      </w:pPr>
      <w:r>
        <w:rPr>
          <w:rFonts w:hint="eastAsia" w:ascii="宋体" w:hAnsi="宋体" w:eastAsia="宋体" w:cs="宋体"/>
          <w:color w:val="auto"/>
          <w:sz w:val="24"/>
          <w:highlight w:val="none"/>
        </w:rPr>
        <w:t>评审结束后，评标委员会将通过“乐采云平台”起草评审报告，评标委员会成员应当在评审报告上签字，对自己的评审意见承担法律责任。对评审报告有异议的，应当在评审报告上签署不同意见，并说明理由，否则视为同意评审报告。</w:t>
      </w:r>
    </w:p>
    <w:p>
      <w:pPr>
        <w:widowControl w:val="0"/>
        <w:snapToGrid w:val="0"/>
        <w:spacing w:line="360" w:lineRule="auto"/>
        <w:jc w:val="both"/>
        <w:rPr>
          <w:rFonts w:ascii="宋体" w:hAnsi="宋体" w:eastAsia="宋体" w:cs="宋体"/>
          <w:b/>
          <w:color w:val="auto"/>
          <w:kern w:val="2"/>
          <w:sz w:val="24"/>
          <w:szCs w:val="24"/>
          <w:highlight w:val="none"/>
          <w:lang w:val="en-US" w:eastAsia="zh-CN" w:bidi="ar-SA"/>
        </w:rPr>
      </w:pPr>
      <w:bookmarkStart w:id="83" w:name="_Toc91899903"/>
      <w:r>
        <w:rPr>
          <w:rFonts w:hint="eastAsia" w:ascii="宋体" w:hAnsi="宋体" w:eastAsia="宋体" w:cs="宋体"/>
          <w:b/>
          <w:color w:val="auto"/>
          <w:kern w:val="2"/>
          <w:sz w:val="24"/>
          <w:szCs w:val="24"/>
          <w:highlight w:val="none"/>
          <w:lang w:val="en-US" w:eastAsia="zh-CN" w:bidi="ar-SA"/>
        </w:rPr>
        <w:t>（十三）评标办法</w:t>
      </w:r>
    </w:p>
    <w:p>
      <w:pPr>
        <w:snapToGrid w:val="0"/>
        <w:spacing w:line="360" w:lineRule="auto"/>
        <w:ind w:firstLine="482" w:firstLineChars="200"/>
        <w:rPr>
          <w:rFonts w:ascii="宋体" w:hAnsi="宋体" w:eastAsia="宋体" w:cs="宋体"/>
          <w:b/>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color w:val="auto"/>
          <w:sz w:val="24"/>
          <w:highlight w:val="none"/>
        </w:rPr>
        <w:t>本项目采用综合评分法</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总分为100分，其中商务、技术7</w:t>
      </w:r>
      <w:r>
        <w:rPr>
          <w:rFonts w:ascii="宋体" w:hAnsi="宋体" w:eastAsia="宋体" w:cs="宋体"/>
          <w:b/>
          <w:color w:val="auto"/>
          <w:sz w:val="24"/>
          <w:highlight w:val="none"/>
        </w:rPr>
        <w:t>0</w:t>
      </w:r>
      <w:r>
        <w:rPr>
          <w:rFonts w:hint="eastAsia" w:ascii="宋体" w:hAnsi="宋体" w:eastAsia="宋体" w:cs="宋体"/>
          <w:b/>
          <w:color w:val="auto"/>
          <w:sz w:val="24"/>
          <w:highlight w:val="none"/>
        </w:rPr>
        <w:t>分，价格分30分</w:t>
      </w:r>
      <w:r>
        <w:rPr>
          <w:rFonts w:ascii="宋体" w:hAnsi="宋体" w:eastAsia="宋体" w:cs="宋体"/>
          <w:b/>
          <w:color w:val="auto"/>
          <w:sz w:val="24"/>
          <w:highlight w:val="none"/>
        </w:rPr>
        <w:t xml:space="preserve"> 。</w:t>
      </w:r>
    </w:p>
    <w:p>
      <w:pPr>
        <w:widowControl w:val="0"/>
        <w:ind w:left="0" w:firstLine="482" w:firstLineChars="200"/>
        <w:jc w:val="both"/>
        <w:rPr>
          <w:rFonts w:ascii="微软雅黑" w:hAnsi="微软雅黑" w:eastAsia="微软雅黑" w:cs="微软雅黑"/>
          <w:b/>
          <w:color w:val="auto"/>
          <w:kern w:val="2"/>
          <w:sz w:val="24"/>
          <w:szCs w:val="24"/>
          <w:highlight w:val="none"/>
          <w:lang w:val="zh-CN" w:eastAsia="zh-CN" w:bidi="ar-SA"/>
        </w:rPr>
      </w:pPr>
      <w:r>
        <w:rPr>
          <w:rFonts w:hint="eastAsia" w:ascii="Calibri" w:hAnsi="宋体" w:eastAsia="宋体" w:cs="宋体"/>
          <w:b/>
          <w:color w:val="auto"/>
          <w:kern w:val="2"/>
          <w:sz w:val="24"/>
          <w:szCs w:val="24"/>
          <w:highlight w:val="none"/>
          <w:lang w:val="en-US" w:eastAsia="zh-CN" w:bidi="ar-SA"/>
        </w:rPr>
        <w:t>2、商务、技术评标细则（7</w:t>
      </w:r>
      <w:r>
        <w:rPr>
          <w:rFonts w:ascii="Calibri" w:hAnsi="宋体" w:eastAsia="宋体" w:cs="宋体"/>
          <w:b/>
          <w:color w:val="auto"/>
          <w:kern w:val="2"/>
          <w:sz w:val="24"/>
          <w:szCs w:val="24"/>
          <w:highlight w:val="none"/>
          <w:lang w:val="en-US" w:eastAsia="zh-CN" w:bidi="ar-SA"/>
        </w:rPr>
        <w:t>0</w:t>
      </w:r>
      <w:r>
        <w:rPr>
          <w:rFonts w:hint="eastAsia" w:ascii="Calibri" w:hAnsi="宋体" w:eastAsia="宋体" w:cs="宋体"/>
          <w:b/>
          <w:color w:val="auto"/>
          <w:kern w:val="2"/>
          <w:sz w:val="24"/>
          <w:szCs w:val="24"/>
          <w:highlight w:val="none"/>
          <w:lang w:val="en-US" w:eastAsia="zh-CN" w:bidi="ar-SA"/>
        </w:rPr>
        <w:t>分）</w:t>
      </w:r>
    </w:p>
    <w:tbl>
      <w:tblPr>
        <w:tblStyle w:val="2"/>
        <w:tblW w:w="48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6"/>
        <w:gridCol w:w="856"/>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06"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评分项目</w:t>
            </w:r>
          </w:p>
        </w:tc>
        <w:tc>
          <w:tcPr>
            <w:tcW w:w="474" w:type="pct"/>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分值</w:t>
            </w:r>
          </w:p>
        </w:tc>
        <w:tc>
          <w:tcPr>
            <w:tcW w:w="351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评分标准及细则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vMerge w:val="restart"/>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投标人实力（1</w:t>
            </w: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分）</w:t>
            </w: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w:t>
            </w:r>
          </w:p>
        </w:tc>
        <w:tc>
          <w:tcPr>
            <w:tcW w:w="3519" w:type="pct"/>
            <w:shd w:val="clear" w:color="auto" w:fill="auto"/>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bidi="ar"/>
              </w:rPr>
              <w:t>根据投标人的企业实力、技术力量、经营信誉、市场知名度等情况进行综合评分，本项最高得</w:t>
            </w:r>
            <w:r>
              <w:rPr>
                <w:rFonts w:hint="eastAsia" w:ascii="宋体" w:hAnsi="宋体" w:eastAsia="宋体" w:cs="宋体"/>
                <w:b w:val="0"/>
                <w:bCs/>
                <w:color w:val="auto"/>
                <w:sz w:val="24"/>
                <w:szCs w:val="24"/>
                <w:highlight w:val="none"/>
                <w:lang w:val="en-US" w:eastAsia="zh-CN" w:bidi="ar"/>
              </w:rPr>
              <w:t>3</w:t>
            </w:r>
            <w:r>
              <w:rPr>
                <w:rFonts w:hint="eastAsia" w:ascii="宋体" w:hAnsi="宋体" w:eastAsia="宋体" w:cs="宋体"/>
                <w:b w:val="0"/>
                <w:bCs/>
                <w:color w:val="auto"/>
                <w:sz w:val="24"/>
                <w:szCs w:val="24"/>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vMerge w:val="continue"/>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3519" w:type="pct"/>
            <w:shd w:val="clear" w:color="auto" w:fill="auto"/>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供应商具备有效的CMM/CMMI 等级证书，具备三级认证得1分，具备四级认证得2分，具备五级认证得3分，不提供不得分。（提供相关证明材料复印件）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vMerge w:val="continue"/>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p>
        </w:tc>
        <w:tc>
          <w:tcPr>
            <w:tcW w:w="3519" w:type="pct"/>
            <w:shd w:val="clear" w:color="auto" w:fill="auto"/>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投标人具有ITSS信息技术服务运行维护标准符合性证书（通用级及以上）的得1分；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vMerge w:val="continue"/>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3519" w:type="pct"/>
            <w:shd w:val="clear" w:color="auto" w:fill="auto"/>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投标人具备与本项目相关系统的信息系统安全等级保护证书，具备第二级备案的证书得1分，具备第三级及以上备案的证明证书，得2分，不提供不得分。（提供相关证明材料复印件）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vMerge w:val="continue"/>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w:t>
            </w:r>
          </w:p>
        </w:tc>
        <w:tc>
          <w:tcPr>
            <w:tcW w:w="3519" w:type="pct"/>
            <w:shd w:val="clear" w:color="auto" w:fill="auto"/>
          </w:tcPr>
          <w:p>
            <w:pPr>
              <w:keepNext w:val="0"/>
              <w:keepLines w:val="0"/>
              <w:pageBreakBefore w:val="0"/>
              <w:numPr>
                <w:ilvl w:val="0"/>
                <w:numId w:val="0"/>
              </w:numPr>
              <w:suppressLineNumbers w:val="0"/>
              <w:kinsoku/>
              <w:wordWrap/>
              <w:overflowPunct w:val="0"/>
              <w:topLinePunct w:val="0"/>
              <w:autoSpaceDE/>
              <w:autoSpaceDN/>
              <w:bidi w:val="0"/>
              <w:adjustRightInd/>
              <w:snapToGrid/>
              <w:spacing w:before="0" w:beforeAutospacing="0" w:after="0" w:afterAutospacing="0" w:line="240" w:lineRule="auto"/>
              <w:ind w:left="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投标人具有智能生产类、智能对话（或问答）类、虚拟播报类、数据应用类相关计算机软件著作权登记证书，每提供一个得</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分，最高得</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分。</w:t>
            </w:r>
          </w:p>
          <w:p>
            <w:pPr>
              <w:keepNext w:val="0"/>
              <w:keepLines w:val="0"/>
              <w:pageBreakBefore w:val="0"/>
              <w:numPr>
                <w:ilvl w:val="0"/>
                <w:numId w:val="0"/>
              </w:numPr>
              <w:suppressLineNumbers w:val="0"/>
              <w:kinsoku/>
              <w:wordWrap/>
              <w:overflowPunct w:val="0"/>
              <w:topLinePunct w:val="0"/>
              <w:autoSpaceDE/>
              <w:autoSpaceDN/>
              <w:bidi w:val="0"/>
              <w:adjustRightInd/>
              <w:snapToGrid/>
              <w:spacing w:before="0" w:beforeAutospacing="0" w:after="0" w:afterAutospacing="0" w:line="240" w:lineRule="auto"/>
              <w:ind w:left="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投标人具备规范知识图谱构建与应用过程中的性能指标和功能要求的能力，具有知识图谱产品认证得</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分，未提供不得分。</w:t>
            </w:r>
          </w:p>
          <w:p>
            <w:pPr>
              <w:keepNext w:val="0"/>
              <w:keepLines w:val="0"/>
              <w:pageBreakBefore w:val="0"/>
              <w:numPr>
                <w:ilvl w:val="255"/>
                <w:numId w:val="0"/>
              </w:numPr>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评审依据：须提供软件著作证书或产品认证复印件并加盖单位公章不提供或者不能提供有效证明的，不得分。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业绩（2分）</w:t>
            </w: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3519" w:type="pct"/>
            <w:shd w:val="clear" w:color="auto" w:fill="auto"/>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投标人于2021年1月1日（以合同签订时间为准）以来</w:t>
            </w:r>
            <w:r>
              <w:rPr>
                <w:rFonts w:hint="eastAsia" w:ascii="宋体" w:hAnsi="宋体" w:eastAsia="宋体" w:cs="宋体"/>
                <w:b w:val="0"/>
                <w:bCs/>
                <w:color w:val="auto"/>
                <w:sz w:val="24"/>
                <w:szCs w:val="24"/>
                <w:highlight w:val="none"/>
                <w:lang w:val="en-US" w:eastAsia="zh-CN"/>
              </w:rPr>
              <w:t>完成过</w:t>
            </w:r>
            <w:r>
              <w:rPr>
                <w:rFonts w:hint="eastAsia" w:ascii="宋体" w:hAnsi="宋体" w:eastAsia="宋体" w:cs="宋体"/>
                <w:b w:val="0"/>
                <w:bCs/>
                <w:color w:val="auto"/>
                <w:sz w:val="24"/>
                <w:szCs w:val="24"/>
                <w:highlight w:val="none"/>
              </w:rPr>
              <w:t>文化类数字化展馆建设项目业绩，</w:t>
            </w:r>
            <w:r>
              <w:rPr>
                <w:rFonts w:hint="eastAsia" w:ascii="宋体" w:hAnsi="宋体" w:eastAsia="宋体" w:cs="宋体"/>
                <w:b w:val="0"/>
                <w:bCs/>
                <w:color w:val="auto"/>
                <w:sz w:val="24"/>
                <w:szCs w:val="24"/>
                <w:highlight w:val="none"/>
                <w:lang w:val="en-US" w:eastAsia="zh-CN"/>
              </w:rPr>
              <w:t>提供</w:t>
            </w:r>
            <w:r>
              <w:rPr>
                <w:rFonts w:hint="eastAsia" w:ascii="宋体" w:hAnsi="宋体" w:eastAsia="宋体" w:cs="宋体"/>
                <w:b w:val="0"/>
                <w:bCs/>
                <w:color w:val="auto"/>
                <w:sz w:val="24"/>
                <w:szCs w:val="24"/>
                <w:highlight w:val="none"/>
              </w:rPr>
              <w:t>1个得</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分，本项最高得</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分。</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业绩证明资料：</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投标文件中须提供中标通知书复印件、合同复印件、验收报告复印件并加盖投标人公章。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vMerge w:val="restart"/>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展陈</w:t>
            </w:r>
            <w:r>
              <w:rPr>
                <w:rFonts w:hint="eastAsia" w:ascii="宋体" w:hAnsi="宋体" w:eastAsia="宋体" w:cs="宋体"/>
                <w:b w:val="0"/>
                <w:bCs/>
                <w:color w:val="auto"/>
                <w:sz w:val="24"/>
                <w:szCs w:val="24"/>
                <w:highlight w:val="none"/>
              </w:rPr>
              <w:t>方案深化设计（</w:t>
            </w:r>
            <w:r>
              <w:rPr>
                <w:rFonts w:hint="eastAsia" w:ascii="宋体" w:hAnsi="宋体" w:eastAsia="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rPr>
              <w:t>分）</w:t>
            </w: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8</w:t>
            </w:r>
          </w:p>
        </w:tc>
        <w:tc>
          <w:tcPr>
            <w:tcW w:w="3519" w:type="pct"/>
            <w:shd w:val="clear" w:color="auto" w:fill="auto"/>
          </w:tcPr>
          <w:p>
            <w:pPr>
              <w:keepNext/>
              <w:keepLines/>
              <w:pageBreakBefore w:val="0"/>
              <w:widowControl w:val="0"/>
              <w:numPr>
                <w:ilvl w:val="0"/>
                <w:numId w:val="0"/>
              </w:numPr>
              <w:suppressLineNumbers w:val="0"/>
              <w:tabs>
                <w:tab w:val="left" w:pos="706"/>
                <w:tab w:val="left" w:pos="1110"/>
              </w:tabs>
              <w:kinsoku/>
              <w:wordWrap/>
              <w:topLinePunct w:val="0"/>
              <w:autoSpaceDE/>
              <w:autoSpaceDN/>
              <w:bidi w:val="0"/>
              <w:adjustRightInd/>
              <w:snapToGrid/>
              <w:spacing w:before="0" w:beforeAutospacing="0" w:after="0" w:afterAutospacing="0" w:line="240" w:lineRule="auto"/>
              <w:ind w:left="0" w:right="0" w:firstLine="480" w:firstLineChars="200"/>
              <w:jc w:val="both"/>
              <w:outlineLvl w:val="1"/>
              <w:rPr>
                <w:rFonts w:hint="eastAsia" w:ascii="宋体" w:hAnsi="宋体" w:eastAsia="宋体" w:cs="宋体"/>
                <w:b w:val="0"/>
                <w:bCs/>
                <w:color w:val="auto"/>
                <w:kern w:val="2"/>
                <w:sz w:val="24"/>
                <w:szCs w:val="24"/>
                <w:highlight w:val="none"/>
                <w:lang w:val="zh-TW" w:eastAsia="zh-CN" w:bidi="ar-SA"/>
              </w:rPr>
            </w:pPr>
            <w:r>
              <w:rPr>
                <w:rFonts w:hint="eastAsia" w:ascii="宋体" w:hAnsi="宋体" w:eastAsia="宋体" w:cs="宋体"/>
                <w:b w:val="0"/>
                <w:bCs/>
                <w:color w:val="auto"/>
                <w:kern w:val="2"/>
                <w:sz w:val="24"/>
                <w:szCs w:val="24"/>
                <w:highlight w:val="none"/>
                <w:lang w:val="en-US" w:eastAsia="zh-CN" w:bidi="ar-SA"/>
              </w:rPr>
              <w:t>方案</w:t>
            </w:r>
            <w:r>
              <w:rPr>
                <w:rFonts w:hint="eastAsia" w:ascii="宋体" w:hAnsi="宋体" w:eastAsia="宋体" w:cs="宋体"/>
                <w:b w:val="0"/>
                <w:bCs/>
                <w:color w:val="auto"/>
                <w:kern w:val="2"/>
                <w:sz w:val="24"/>
                <w:szCs w:val="24"/>
                <w:highlight w:val="none"/>
                <w:lang w:val="zh-TW" w:eastAsia="zh-CN" w:bidi="ar-SA"/>
              </w:rPr>
              <w:t>深化：</w:t>
            </w:r>
          </w:p>
          <w:p>
            <w:pPr>
              <w:keepNext/>
              <w:keepLines/>
              <w:pageBreakBefore w:val="0"/>
              <w:widowControl w:val="0"/>
              <w:numPr>
                <w:ilvl w:val="0"/>
                <w:numId w:val="0"/>
              </w:numPr>
              <w:suppressLineNumbers w:val="0"/>
              <w:tabs>
                <w:tab w:val="left" w:pos="706"/>
                <w:tab w:val="left" w:pos="1110"/>
              </w:tabs>
              <w:kinsoku/>
              <w:wordWrap/>
              <w:topLinePunct w:val="0"/>
              <w:autoSpaceDE/>
              <w:autoSpaceDN/>
              <w:bidi w:val="0"/>
              <w:adjustRightInd/>
              <w:snapToGrid/>
              <w:spacing w:before="0" w:beforeAutospacing="0" w:after="0" w:afterAutospacing="0" w:line="240" w:lineRule="auto"/>
              <w:ind w:left="0" w:right="0" w:firstLine="480" w:firstLineChars="200"/>
              <w:jc w:val="both"/>
              <w:outlineLvl w:val="1"/>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zh-TW" w:eastAsia="zh-CN" w:bidi="ar-SA"/>
              </w:rPr>
              <w:t>对大纲内容进行深化，内容需要</w:t>
            </w:r>
            <w:r>
              <w:rPr>
                <w:rFonts w:hint="eastAsia" w:ascii="宋体" w:hAnsi="宋体" w:eastAsia="宋体" w:cs="宋体"/>
                <w:b w:val="0"/>
                <w:bCs/>
                <w:color w:val="auto"/>
                <w:kern w:val="2"/>
                <w:sz w:val="24"/>
                <w:szCs w:val="24"/>
                <w:highlight w:val="none"/>
                <w:lang w:val="en-US" w:eastAsia="zh-CN" w:bidi="ar-SA"/>
              </w:rPr>
              <w:t>在</w:t>
            </w:r>
            <w:r>
              <w:rPr>
                <w:rFonts w:hint="eastAsia" w:ascii="宋体" w:hAnsi="宋体" w:eastAsia="宋体" w:cs="宋体"/>
                <w:b w:val="0"/>
                <w:bCs/>
                <w:color w:val="auto"/>
                <w:kern w:val="2"/>
                <w:sz w:val="24"/>
                <w:szCs w:val="24"/>
                <w:highlight w:val="none"/>
                <w:lang w:val="zh-TW" w:eastAsia="zh-CN" w:bidi="ar-SA"/>
              </w:rPr>
              <w:t>深度、广度等方面</w:t>
            </w:r>
            <w:r>
              <w:rPr>
                <w:rFonts w:hint="eastAsia" w:ascii="宋体" w:hAnsi="宋体" w:eastAsia="宋体" w:cs="宋体"/>
                <w:b w:val="0"/>
                <w:bCs/>
                <w:color w:val="auto"/>
                <w:kern w:val="2"/>
                <w:sz w:val="24"/>
                <w:szCs w:val="24"/>
                <w:highlight w:val="none"/>
                <w:lang w:val="en-US" w:eastAsia="zh-CN" w:bidi="ar-SA"/>
              </w:rPr>
              <w:t>展开，从鹅峰书院的地域特色、历史脉络、文化价值、传播性等方面</w:t>
            </w:r>
            <w:r>
              <w:rPr>
                <w:rFonts w:hint="eastAsia" w:ascii="宋体" w:hAnsi="宋体" w:eastAsia="宋体" w:cs="宋体"/>
                <w:b w:val="0"/>
                <w:bCs/>
                <w:color w:val="auto"/>
                <w:kern w:val="2"/>
                <w:sz w:val="24"/>
                <w:szCs w:val="24"/>
                <w:highlight w:val="none"/>
                <w:lang w:val="zh-TW" w:eastAsia="zh-CN" w:bidi="ar-SA"/>
              </w:rPr>
              <w:t>进行挖掘拓展，要求资料详实，内容全面完整，具有系统性。</w:t>
            </w:r>
            <w:r>
              <w:rPr>
                <w:rFonts w:hint="eastAsia" w:ascii="宋体" w:hAnsi="宋体" w:eastAsia="宋体" w:cs="宋体"/>
                <w:b w:val="0"/>
                <w:bCs/>
                <w:color w:val="auto"/>
                <w:kern w:val="2"/>
                <w:sz w:val="24"/>
                <w:szCs w:val="24"/>
                <w:highlight w:val="none"/>
                <w:lang w:val="en-US" w:eastAsia="zh-CN" w:bidi="ar-SA"/>
              </w:rPr>
              <w:t>方案脉络清晰，主线、次线相辅相成。</w:t>
            </w:r>
          </w:p>
          <w:p>
            <w:pPr>
              <w:keepNext/>
              <w:keepLines/>
              <w:pageBreakBefore w:val="0"/>
              <w:widowControl w:val="0"/>
              <w:numPr>
                <w:ilvl w:val="0"/>
                <w:numId w:val="0"/>
              </w:numPr>
              <w:suppressLineNumbers w:val="0"/>
              <w:tabs>
                <w:tab w:val="left" w:pos="706"/>
                <w:tab w:val="left" w:pos="1110"/>
              </w:tabs>
              <w:kinsoku/>
              <w:wordWrap/>
              <w:topLinePunct w:val="0"/>
              <w:autoSpaceDE/>
              <w:autoSpaceDN/>
              <w:bidi w:val="0"/>
              <w:adjustRightInd/>
              <w:snapToGrid/>
              <w:spacing w:before="0" w:beforeAutospacing="0" w:after="0" w:afterAutospacing="0" w:line="240" w:lineRule="auto"/>
              <w:ind w:left="0" w:right="0" w:firstLine="480" w:firstLineChars="200"/>
              <w:jc w:val="both"/>
              <w:outlineLvl w:val="1"/>
              <w:rPr>
                <w:rFonts w:hint="eastAsia" w:ascii="宋体" w:hAnsi="宋体" w:eastAsia="宋体" w:cs="宋体"/>
                <w:b w:val="0"/>
                <w:bCs/>
                <w:color w:val="auto"/>
                <w:kern w:val="2"/>
                <w:sz w:val="24"/>
                <w:szCs w:val="24"/>
                <w:highlight w:val="none"/>
                <w:lang w:val="zh-TW" w:eastAsia="zh-CN" w:bidi="ar-SA"/>
              </w:rPr>
            </w:pPr>
            <w:r>
              <w:rPr>
                <w:rFonts w:hint="eastAsia" w:ascii="宋体" w:hAnsi="宋体" w:eastAsia="宋体" w:cs="宋体"/>
                <w:b w:val="0"/>
                <w:bCs/>
                <w:color w:val="auto"/>
                <w:kern w:val="2"/>
                <w:sz w:val="24"/>
                <w:szCs w:val="24"/>
                <w:highlight w:val="none"/>
                <w:lang w:val="en-US" w:eastAsia="zh-CN" w:bidi="ar-SA"/>
              </w:rPr>
              <w:t>评审依据：</w:t>
            </w:r>
            <w:r>
              <w:rPr>
                <w:rFonts w:hint="eastAsia" w:ascii="宋体" w:hAnsi="宋体" w:eastAsia="宋体" w:cs="宋体"/>
                <w:b w:val="0"/>
                <w:bCs/>
                <w:color w:val="auto"/>
                <w:kern w:val="2"/>
                <w:sz w:val="24"/>
                <w:szCs w:val="24"/>
                <w:highlight w:val="none"/>
                <w:lang w:val="zh-TW" w:eastAsia="zh-CN" w:bidi="ar-SA"/>
              </w:rPr>
              <w:t>根据投标人差异酌情打分</w:t>
            </w:r>
            <w:r>
              <w:rPr>
                <w:rFonts w:hint="eastAsia" w:ascii="宋体" w:hAnsi="宋体" w:eastAsia="宋体" w:cs="宋体"/>
                <w:b w:val="0"/>
                <w:bCs/>
                <w:color w:val="auto"/>
                <w:kern w:val="2"/>
                <w:sz w:val="24"/>
                <w:szCs w:val="24"/>
                <w:highlight w:val="none"/>
                <w:lang w:val="en-US" w:eastAsia="zh-CN" w:bidi="ar-SA"/>
              </w:rPr>
              <w:t>。</w:t>
            </w:r>
            <w:r>
              <w:rPr>
                <w:rFonts w:hint="eastAsia" w:ascii="宋体" w:hAnsi="宋体" w:eastAsia="宋体" w:cs="宋体"/>
                <w:b w:val="0"/>
                <w:bCs/>
                <w:color w:val="auto"/>
                <w:kern w:val="2"/>
                <w:sz w:val="24"/>
                <w:szCs w:val="24"/>
                <w:highlight w:val="none"/>
                <w:lang w:val="zh-TW" w:eastAsia="zh-CN" w:bidi="ar-SA"/>
              </w:rPr>
              <w:t>根据设计方案在横向对比后综合评议：</w:t>
            </w:r>
            <w:r>
              <w:rPr>
                <w:rFonts w:hint="eastAsia" w:ascii="宋体" w:hAnsi="宋体" w:eastAsia="宋体" w:cs="宋体"/>
                <w:b w:val="0"/>
                <w:bCs/>
                <w:color w:val="auto"/>
                <w:kern w:val="2"/>
                <w:sz w:val="24"/>
                <w:szCs w:val="24"/>
                <w:highlight w:val="none"/>
                <w:lang w:val="en-US" w:eastAsia="zh-CN" w:bidi="ar-SA"/>
              </w:rPr>
              <w:t>满足7-8</w:t>
            </w:r>
            <w:r>
              <w:rPr>
                <w:rFonts w:hint="eastAsia" w:ascii="宋体" w:hAnsi="宋体" w:eastAsia="宋体" w:cs="宋体"/>
                <w:b w:val="0"/>
                <w:bCs/>
                <w:color w:val="auto"/>
                <w:kern w:val="2"/>
                <w:sz w:val="24"/>
                <w:szCs w:val="24"/>
                <w:highlight w:val="none"/>
                <w:lang w:val="zh-TW" w:eastAsia="zh-CN" w:bidi="ar-SA"/>
              </w:rPr>
              <w:t>分；</w:t>
            </w:r>
            <w:r>
              <w:rPr>
                <w:rFonts w:hint="eastAsia" w:ascii="宋体" w:hAnsi="宋体" w:eastAsia="宋体" w:cs="宋体"/>
                <w:b w:val="0"/>
                <w:bCs/>
                <w:color w:val="auto"/>
                <w:kern w:val="2"/>
                <w:sz w:val="24"/>
                <w:szCs w:val="24"/>
                <w:highlight w:val="none"/>
                <w:lang w:val="en-US" w:eastAsia="zh-CN" w:bidi="ar-SA"/>
              </w:rPr>
              <w:t>基本满足5-7</w:t>
            </w:r>
            <w:r>
              <w:rPr>
                <w:rFonts w:hint="eastAsia" w:ascii="宋体" w:hAnsi="宋体" w:eastAsia="宋体" w:cs="宋体"/>
                <w:b w:val="0"/>
                <w:bCs/>
                <w:color w:val="auto"/>
                <w:kern w:val="2"/>
                <w:sz w:val="24"/>
                <w:szCs w:val="24"/>
                <w:highlight w:val="none"/>
                <w:lang w:val="zh-TW" w:eastAsia="zh-CN" w:bidi="ar-SA"/>
              </w:rPr>
              <w:t>分；一般</w:t>
            </w:r>
            <w:r>
              <w:rPr>
                <w:rFonts w:hint="eastAsia" w:ascii="宋体" w:hAnsi="宋体" w:eastAsia="宋体" w:cs="宋体"/>
                <w:b w:val="0"/>
                <w:bCs/>
                <w:color w:val="auto"/>
                <w:kern w:val="2"/>
                <w:sz w:val="24"/>
                <w:szCs w:val="24"/>
                <w:highlight w:val="none"/>
                <w:lang w:val="en-US" w:eastAsia="zh-CN" w:bidi="ar-SA"/>
              </w:rPr>
              <w:t>4-5</w:t>
            </w:r>
            <w:r>
              <w:rPr>
                <w:rFonts w:hint="eastAsia" w:ascii="宋体" w:hAnsi="宋体" w:eastAsia="宋体" w:cs="宋体"/>
                <w:b w:val="0"/>
                <w:bCs/>
                <w:color w:val="auto"/>
                <w:kern w:val="2"/>
                <w:sz w:val="24"/>
                <w:szCs w:val="24"/>
                <w:highlight w:val="none"/>
                <w:lang w:val="zh-TW" w:eastAsia="zh-CN" w:bidi="ar-SA"/>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6" w:type="pct"/>
            <w:vMerge w:val="continue"/>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w:t>
            </w:r>
          </w:p>
        </w:tc>
        <w:tc>
          <w:tcPr>
            <w:tcW w:w="3519" w:type="pct"/>
            <w:shd w:val="clear" w:color="auto" w:fill="auto"/>
          </w:tcPr>
          <w:p>
            <w:pPr>
              <w:keepNext/>
              <w:keepLines/>
              <w:pageBreakBefore w:val="0"/>
              <w:widowControl w:val="0"/>
              <w:numPr>
                <w:ilvl w:val="0"/>
                <w:numId w:val="0"/>
              </w:numPr>
              <w:suppressLineNumbers w:val="0"/>
              <w:tabs>
                <w:tab w:val="left" w:pos="706"/>
                <w:tab w:val="left" w:pos="1110"/>
              </w:tabs>
              <w:kinsoku/>
              <w:wordWrap/>
              <w:topLinePunct w:val="0"/>
              <w:autoSpaceDE/>
              <w:autoSpaceDN/>
              <w:bidi w:val="0"/>
              <w:adjustRightInd/>
              <w:snapToGrid/>
              <w:spacing w:before="0" w:beforeAutospacing="0" w:after="0" w:afterAutospacing="0" w:line="240" w:lineRule="auto"/>
              <w:ind w:left="0" w:right="0" w:firstLine="480" w:firstLineChars="200"/>
              <w:jc w:val="both"/>
              <w:outlineLvl w:val="1"/>
              <w:rPr>
                <w:rFonts w:hint="eastAsia" w:ascii="宋体" w:hAnsi="宋体" w:eastAsia="宋体" w:cs="宋体"/>
                <w:b w:val="0"/>
                <w:bCs/>
                <w:color w:val="auto"/>
                <w:kern w:val="2"/>
                <w:sz w:val="24"/>
                <w:szCs w:val="24"/>
                <w:highlight w:val="none"/>
                <w:lang w:val="zh-TW" w:eastAsia="zh-CN" w:bidi="ar-SA"/>
              </w:rPr>
            </w:pPr>
            <w:r>
              <w:rPr>
                <w:rFonts w:hint="eastAsia" w:ascii="宋体" w:hAnsi="宋体" w:eastAsia="宋体" w:cs="宋体"/>
                <w:b w:val="0"/>
                <w:bCs/>
                <w:color w:val="auto"/>
                <w:kern w:val="2"/>
                <w:sz w:val="24"/>
                <w:szCs w:val="24"/>
                <w:highlight w:val="none"/>
                <w:lang w:val="en-US" w:eastAsia="zh-CN" w:bidi="ar-SA"/>
              </w:rPr>
              <w:t>重点</w:t>
            </w:r>
            <w:r>
              <w:rPr>
                <w:rFonts w:hint="eastAsia" w:ascii="宋体" w:hAnsi="宋体" w:eastAsia="宋体" w:cs="宋体"/>
                <w:b w:val="0"/>
                <w:bCs/>
                <w:color w:val="auto"/>
                <w:kern w:val="2"/>
                <w:sz w:val="24"/>
                <w:szCs w:val="24"/>
                <w:highlight w:val="none"/>
                <w:lang w:val="zh-TW" w:eastAsia="zh-CN" w:bidi="ar-SA"/>
              </w:rPr>
              <w:t>展项</w:t>
            </w:r>
            <w:r>
              <w:rPr>
                <w:rFonts w:hint="eastAsia" w:ascii="宋体" w:hAnsi="宋体" w:eastAsia="宋体" w:cs="宋体"/>
                <w:b w:val="0"/>
                <w:bCs/>
                <w:color w:val="auto"/>
                <w:kern w:val="2"/>
                <w:sz w:val="24"/>
                <w:szCs w:val="24"/>
                <w:highlight w:val="none"/>
                <w:lang w:val="en-US" w:eastAsia="zh-CN" w:bidi="ar-SA"/>
              </w:rPr>
              <w:t>深化能力展示</w:t>
            </w:r>
            <w:r>
              <w:rPr>
                <w:rFonts w:hint="eastAsia" w:ascii="宋体" w:hAnsi="宋体" w:eastAsia="宋体" w:cs="宋体"/>
                <w:b w:val="0"/>
                <w:bCs/>
                <w:color w:val="auto"/>
                <w:kern w:val="2"/>
                <w:sz w:val="24"/>
                <w:szCs w:val="24"/>
                <w:highlight w:val="none"/>
                <w:lang w:val="zh-TW" w:eastAsia="zh-CN" w:bidi="ar-SA"/>
              </w:rPr>
              <w:t>：</w:t>
            </w:r>
          </w:p>
          <w:p>
            <w:pPr>
              <w:keepNext/>
              <w:keepLines/>
              <w:pageBreakBefore w:val="0"/>
              <w:widowControl w:val="0"/>
              <w:numPr>
                <w:ilvl w:val="0"/>
                <w:numId w:val="0"/>
              </w:numPr>
              <w:suppressLineNumbers w:val="0"/>
              <w:tabs>
                <w:tab w:val="left" w:pos="706"/>
                <w:tab w:val="left" w:pos="1110"/>
              </w:tabs>
              <w:kinsoku/>
              <w:wordWrap/>
              <w:topLinePunct w:val="0"/>
              <w:autoSpaceDE/>
              <w:autoSpaceDN/>
              <w:bidi w:val="0"/>
              <w:adjustRightInd/>
              <w:snapToGrid/>
              <w:spacing w:before="0" w:beforeAutospacing="0" w:after="0" w:afterAutospacing="0" w:line="240" w:lineRule="auto"/>
              <w:ind w:left="0" w:right="0" w:firstLine="480" w:firstLineChars="200"/>
              <w:jc w:val="both"/>
              <w:outlineLvl w:val="1"/>
              <w:rPr>
                <w:rFonts w:hint="eastAsia" w:ascii="宋体" w:hAnsi="宋体" w:eastAsia="宋体" w:cs="宋体"/>
                <w:b w:val="0"/>
                <w:bCs/>
                <w:color w:val="auto"/>
                <w:kern w:val="2"/>
                <w:sz w:val="24"/>
                <w:szCs w:val="24"/>
                <w:highlight w:val="none"/>
                <w:lang w:val="zh-TW" w:eastAsia="zh-CN" w:bidi="ar-SA"/>
              </w:rPr>
            </w:pPr>
            <w:r>
              <w:rPr>
                <w:rFonts w:hint="eastAsia" w:ascii="宋体" w:hAnsi="宋体" w:eastAsia="宋体" w:cs="宋体"/>
                <w:b w:val="0"/>
                <w:bCs/>
                <w:color w:val="auto"/>
                <w:kern w:val="2"/>
                <w:sz w:val="24"/>
                <w:szCs w:val="24"/>
                <w:highlight w:val="none"/>
                <w:lang w:val="zh-TW" w:eastAsia="zh-CN" w:bidi="ar-SA"/>
              </w:rPr>
              <w:t>投标人基于</w:t>
            </w:r>
            <w:r>
              <w:rPr>
                <w:rFonts w:hint="eastAsia" w:ascii="宋体" w:hAnsi="宋体" w:eastAsia="宋体" w:cs="宋体"/>
                <w:b w:val="0"/>
                <w:bCs/>
                <w:color w:val="auto"/>
                <w:kern w:val="2"/>
                <w:sz w:val="24"/>
                <w:szCs w:val="24"/>
                <w:highlight w:val="none"/>
                <w:lang w:val="en-US" w:eastAsia="zh-CN" w:bidi="ar-SA"/>
              </w:rPr>
              <w:t>鹅峰书院</w:t>
            </w:r>
            <w:r>
              <w:rPr>
                <w:rFonts w:hint="eastAsia" w:ascii="宋体" w:hAnsi="宋体" w:eastAsia="宋体" w:cs="宋体"/>
                <w:b w:val="0"/>
                <w:bCs/>
                <w:color w:val="auto"/>
                <w:kern w:val="2"/>
                <w:sz w:val="24"/>
                <w:szCs w:val="24"/>
                <w:highlight w:val="none"/>
                <w:lang w:val="zh-TW" w:eastAsia="zh-CN" w:bidi="ar-SA"/>
              </w:rPr>
              <w:t>文化特征，利用数据</w:t>
            </w:r>
            <w:r>
              <w:rPr>
                <w:rFonts w:hint="eastAsia" w:ascii="宋体" w:hAnsi="宋体" w:eastAsia="宋体" w:cs="宋体"/>
                <w:b w:val="0"/>
                <w:bCs/>
                <w:color w:val="auto"/>
                <w:kern w:val="2"/>
                <w:sz w:val="24"/>
                <w:szCs w:val="24"/>
                <w:highlight w:val="none"/>
                <w:lang w:val="en-US" w:eastAsia="zh-CN" w:bidi="ar-SA"/>
              </w:rPr>
              <w:t>能力</w:t>
            </w:r>
            <w:r>
              <w:rPr>
                <w:rFonts w:hint="eastAsia" w:ascii="宋体" w:hAnsi="宋体" w:eastAsia="宋体" w:cs="宋体"/>
                <w:b w:val="0"/>
                <w:bCs/>
                <w:color w:val="auto"/>
                <w:kern w:val="2"/>
                <w:sz w:val="24"/>
                <w:szCs w:val="24"/>
                <w:highlight w:val="none"/>
                <w:lang w:val="zh-TW" w:eastAsia="zh-CN" w:bidi="ar-SA"/>
              </w:rPr>
              <w:t>深度挖掘</w:t>
            </w:r>
            <w:r>
              <w:rPr>
                <w:rFonts w:hint="eastAsia" w:ascii="宋体" w:hAnsi="宋体" w:eastAsia="宋体" w:cs="宋体"/>
                <w:b w:val="0"/>
                <w:bCs/>
                <w:color w:val="auto"/>
                <w:kern w:val="2"/>
                <w:sz w:val="24"/>
                <w:szCs w:val="24"/>
                <w:highlight w:val="none"/>
                <w:lang w:val="en-US" w:eastAsia="zh-CN" w:bidi="ar-SA"/>
              </w:rPr>
              <w:t>相关</w:t>
            </w:r>
            <w:r>
              <w:rPr>
                <w:rFonts w:hint="eastAsia" w:ascii="宋体" w:hAnsi="宋体" w:eastAsia="宋体" w:cs="宋体"/>
                <w:b w:val="0"/>
                <w:bCs/>
                <w:color w:val="auto"/>
                <w:kern w:val="2"/>
                <w:sz w:val="24"/>
                <w:szCs w:val="24"/>
                <w:highlight w:val="none"/>
                <w:lang w:val="zh-TW" w:eastAsia="zh-CN" w:bidi="ar-SA"/>
              </w:rPr>
              <w:t>的人、时、地、物、诗等数据</w:t>
            </w:r>
            <w:r>
              <w:rPr>
                <w:rFonts w:hint="eastAsia" w:ascii="宋体" w:hAnsi="宋体" w:eastAsia="宋体" w:cs="宋体"/>
                <w:b w:val="0"/>
                <w:bCs/>
                <w:i/>
                <w:iCs/>
                <w:color w:val="auto"/>
                <w:kern w:val="2"/>
                <w:sz w:val="24"/>
                <w:szCs w:val="24"/>
                <w:highlight w:val="none"/>
                <w:lang w:val="zh-TW" w:eastAsia="zh-CN" w:bidi="ar-SA"/>
              </w:rPr>
              <w:t>，</w:t>
            </w:r>
            <w:r>
              <w:rPr>
                <w:rFonts w:hint="eastAsia" w:ascii="宋体" w:hAnsi="宋体" w:eastAsia="宋体" w:cs="宋体"/>
                <w:b w:val="0"/>
                <w:bCs/>
                <w:color w:val="auto"/>
                <w:kern w:val="2"/>
                <w:sz w:val="24"/>
                <w:szCs w:val="24"/>
                <w:highlight w:val="none"/>
                <w:lang w:val="zh-TW" w:eastAsia="zh-CN" w:bidi="ar-SA"/>
              </w:rPr>
              <w:t>进行重点分析与实施阐述。</w:t>
            </w:r>
          </w:p>
          <w:p>
            <w:pPr>
              <w:keepNext/>
              <w:keepLines/>
              <w:pageBreakBefore w:val="0"/>
              <w:widowControl w:val="0"/>
              <w:numPr>
                <w:ilvl w:val="0"/>
                <w:numId w:val="0"/>
              </w:numPr>
              <w:suppressLineNumbers w:val="0"/>
              <w:tabs>
                <w:tab w:val="left" w:pos="706"/>
                <w:tab w:val="left" w:pos="1110"/>
              </w:tabs>
              <w:kinsoku/>
              <w:wordWrap/>
              <w:topLinePunct w:val="0"/>
              <w:autoSpaceDE/>
              <w:autoSpaceDN/>
              <w:bidi w:val="0"/>
              <w:adjustRightInd/>
              <w:snapToGrid/>
              <w:spacing w:before="0" w:beforeAutospacing="0" w:after="0" w:afterAutospacing="0" w:line="240" w:lineRule="auto"/>
              <w:ind w:left="0" w:right="0" w:firstLine="480" w:firstLineChars="200"/>
              <w:jc w:val="both"/>
              <w:outlineLvl w:val="1"/>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评审依据：</w:t>
            </w:r>
            <w:r>
              <w:rPr>
                <w:rFonts w:hint="eastAsia" w:ascii="宋体" w:hAnsi="宋体" w:eastAsia="宋体" w:cs="宋体"/>
                <w:b w:val="0"/>
                <w:bCs/>
                <w:color w:val="auto"/>
                <w:kern w:val="2"/>
                <w:sz w:val="24"/>
                <w:szCs w:val="24"/>
                <w:highlight w:val="none"/>
                <w:lang w:val="zh-TW" w:eastAsia="zh-CN" w:bidi="ar-SA"/>
              </w:rPr>
              <w:t>根据知识关系图谱及截图、结合图谱的准确性、延展性、知识性、广泛性等综合评审：</w:t>
            </w:r>
            <w:r>
              <w:rPr>
                <w:rFonts w:hint="eastAsia" w:ascii="宋体" w:hAnsi="宋体" w:eastAsia="宋体" w:cs="宋体"/>
                <w:b w:val="0"/>
                <w:bCs/>
                <w:color w:val="auto"/>
                <w:kern w:val="2"/>
                <w:sz w:val="24"/>
                <w:szCs w:val="24"/>
                <w:highlight w:val="none"/>
                <w:lang w:val="en-US" w:eastAsia="zh-CN" w:bidi="ar-SA"/>
              </w:rPr>
              <w:t>满足3-4</w:t>
            </w:r>
            <w:r>
              <w:rPr>
                <w:rFonts w:hint="eastAsia" w:ascii="宋体" w:hAnsi="宋体" w:eastAsia="宋体" w:cs="宋体"/>
                <w:b w:val="0"/>
                <w:bCs/>
                <w:color w:val="auto"/>
                <w:kern w:val="2"/>
                <w:sz w:val="24"/>
                <w:szCs w:val="24"/>
                <w:highlight w:val="none"/>
                <w:lang w:val="zh-TW" w:eastAsia="zh-CN" w:bidi="ar-SA"/>
              </w:rPr>
              <w:t>分；</w:t>
            </w:r>
            <w:r>
              <w:rPr>
                <w:rFonts w:hint="eastAsia" w:ascii="宋体" w:hAnsi="宋体" w:eastAsia="宋体" w:cs="宋体"/>
                <w:b w:val="0"/>
                <w:bCs/>
                <w:color w:val="auto"/>
                <w:kern w:val="2"/>
                <w:sz w:val="24"/>
                <w:szCs w:val="24"/>
                <w:highlight w:val="none"/>
                <w:lang w:val="en-US" w:eastAsia="zh-CN" w:bidi="ar-SA"/>
              </w:rPr>
              <w:t>基本满足2-3</w:t>
            </w:r>
            <w:r>
              <w:rPr>
                <w:rFonts w:hint="eastAsia" w:ascii="宋体" w:hAnsi="宋体" w:eastAsia="宋体" w:cs="宋体"/>
                <w:b w:val="0"/>
                <w:bCs/>
                <w:color w:val="auto"/>
                <w:kern w:val="2"/>
                <w:sz w:val="24"/>
                <w:szCs w:val="24"/>
                <w:highlight w:val="none"/>
                <w:lang w:val="zh-TW" w:eastAsia="zh-CN" w:bidi="ar-SA"/>
              </w:rPr>
              <w:t>分；一般</w:t>
            </w:r>
            <w:r>
              <w:rPr>
                <w:rFonts w:hint="eastAsia" w:ascii="宋体" w:hAnsi="宋体" w:eastAsia="宋体" w:cs="宋体"/>
                <w:b w:val="0"/>
                <w:bCs/>
                <w:color w:val="auto"/>
                <w:kern w:val="2"/>
                <w:sz w:val="24"/>
                <w:szCs w:val="24"/>
                <w:highlight w:val="none"/>
                <w:lang w:val="en-US" w:eastAsia="zh-CN" w:bidi="ar-SA"/>
              </w:rPr>
              <w:t>1-2</w:t>
            </w:r>
            <w:r>
              <w:rPr>
                <w:rFonts w:hint="eastAsia" w:ascii="宋体" w:hAnsi="宋体" w:eastAsia="宋体" w:cs="宋体"/>
                <w:b w:val="0"/>
                <w:bCs/>
                <w:color w:val="auto"/>
                <w:kern w:val="2"/>
                <w:sz w:val="24"/>
                <w:szCs w:val="24"/>
                <w:highlight w:val="none"/>
                <w:lang w:val="zh-TW" w:eastAsia="zh-CN" w:bidi="ar-SA"/>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产品性能指标</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分）</w:t>
            </w: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8</w:t>
            </w:r>
          </w:p>
        </w:tc>
        <w:tc>
          <w:tcPr>
            <w:tcW w:w="3519" w:type="pct"/>
            <w:shd w:val="clear" w:color="auto" w:fill="auto"/>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zh-CN"/>
              </w:rPr>
              <w:t>根据供应商所投产品的技术参数与招标技术参数的满足程度进行打分，最高</w:t>
            </w: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lang w:val="zh-CN"/>
              </w:rPr>
              <w:t>分。招标文件中第三章“采购内容与要求”中带★的指标，每负偏离一项扣</w:t>
            </w:r>
            <w:r>
              <w:rPr>
                <w:rFonts w:hint="eastAsia" w:ascii="宋体" w:hAnsi="宋体" w:eastAsia="宋体" w:cs="宋体"/>
                <w:b w:val="0"/>
                <w:bCs/>
                <w:color w:val="auto"/>
                <w:sz w:val="24"/>
                <w:szCs w:val="24"/>
                <w:highlight w:val="none"/>
                <w:lang w:val="en-US" w:eastAsia="zh-CN"/>
              </w:rPr>
              <w:t>0.5</w:t>
            </w:r>
            <w:r>
              <w:rPr>
                <w:rFonts w:hint="eastAsia" w:ascii="宋体" w:hAnsi="宋体" w:eastAsia="宋体" w:cs="宋体"/>
                <w:b w:val="0"/>
                <w:bCs/>
                <w:color w:val="auto"/>
                <w:sz w:val="24"/>
                <w:szCs w:val="24"/>
                <w:highlight w:val="none"/>
                <w:lang w:val="zh-CN"/>
              </w:rPr>
              <w:t>分，扣完为止。</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lang w:val="zh-TW"/>
              </w:rPr>
            </w:pPr>
            <w:r>
              <w:rPr>
                <w:rFonts w:hint="eastAsia" w:ascii="宋体" w:hAnsi="宋体" w:eastAsia="宋体" w:cs="宋体"/>
                <w:b w:val="0"/>
                <w:bCs/>
                <w:color w:val="auto"/>
                <w:sz w:val="24"/>
                <w:szCs w:val="24"/>
                <w:highlight w:val="none"/>
                <w:lang w:val="zh-CN"/>
              </w:rPr>
              <w:t>注：未按</w:t>
            </w:r>
            <w:r>
              <w:rPr>
                <w:rFonts w:hint="eastAsia" w:ascii="宋体" w:hAnsi="宋体" w:eastAsia="宋体" w:cs="宋体"/>
                <w:b w:val="0"/>
                <w:bCs/>
                <w:color w:val="auto"/>
                <w:sz w:val="24"/>
                <w:szCs w:val="24"/>
                <w:highlight w:val="none"/>
              </w:rPr>
              <w:t>要求</w:t>
            </w:r>
            <w:r>
              <w:rPr>
                <w:rFonts w:hint="eastAsia" w:ascii="宋体" w:hAnsi="宋体" w:eastAsia="宋体" w:cs="宋体"/>
                <w:b w:val="0"/>
                <w:bCs/>
                <w:color w:val="auto"/>
                <w:sz w:val="24"/>
                <w:szCs w:val="24"/>
                <w:highlight w:val="none"/>
                <w:lang w:val="zh-CN"/>
              </w:rPr>
              <w:t>提供相关</w:t>
            </w:r>
            <w:r>
              <w:rPr>
                <w:rFonts w:hint="eastAsia" w:ascii="宋体" w:hAnsi="宋体" w:eastAsia="宋体" w:cs="宋体"/>
                <w:b w:val="0"/>
                <w:bCs/>
                <w:color w:val="auto"/>
                <w:sz w:val="24"/>
                <w:szCs w:val="24"/>
                <w:highlight w:val="none"/>
              </w:rPr>
              <w:t>证明材料</w:t>
            </w:r>
            <w:r>
              <w:rPr>
                <w:rFonts w:hint="eastAsia" w:ascii="宋体" w:hAnsi="宋体" w:eastAsia="宋体" w:cs="宋体"/>
                <w:b w:val="0"/>
                <w:bCs/>
                <w:color w:val="auto"/>
                <w:sz w:val="24"/>
                <w:szCs w:val="24"/>
                <w:highlight w:val="none"/>
                <w:lang w:val="zh-CN"/>
              </w:rPr>
              <w:t>、检测报告等材料的视为负偏离。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snapToGrid w:val="0"/>
                <w:color w:val="auto"/>
                <w:kern w:val="0"/>
                <w:sz w:val="24"/>
                <w:szCs w:val="24"/>
                <w:highlight w:val="none"/>
              </w:rPr>
              <w:t>视频演示（重点功能演示）</w:t>
            </w:r>
            <w:r>
              <w:rPr>
                <w:rFonts w:hint="eastAsia" w:ascii="宋体" w:hAnsi="宋体" w:eastAsia="宋体" w:cs="宋体"/>
                <w:b w:val="0"/>
                <w:bCs/>
                <w:color w:val="auto"/>
                <w:sz w:val="24"/>
                <w:szCs w:val="24"/>
                <w:highlight w:val="none"/>
              </w:rPr>
              <w:t>（</w:t>
            </w:r>
            <w:r>
              <w:rPr>
                <w:rFonts w:hint="eastAsia" w:ascii="宋体" w:hAnsi="宋体" w:eastAsia="宋体" w:cs="宋体"/>
                <w:b w:val="0"/>
                <w:bCs/>
                <w:snapToGrid w:val="0"/>
                <w:color w:val="auto"/>
                <w:kern w:val="0"/>
                <w:sz w:val="24"/>
                <w:szCs w:val="24"/>
                <w:highlight w:val="none"/>
                <w:lang w:val="en-US" w:eastAsia="zh-CN"/>
              </w:rPr>
              <w:t>15</w:t>
            </w:r>
            <w:r>
              <w:rPr>
                <w:rFonts w:hint="eastAsia" w:ascii="宋体" w:hAnsi="宋体" w:eastAsia="宋体" w:cs="宋体"/>
                <w:b w:val="0"/>
                <w:bCs/>
                <w:color w:val="auto"/>
                <w:sz w:val="24"/>
                <w:szCs w:val="24"/>
                <w:highlight w:val="none"/>
              </w:rPr>
              <w:t>分）</w:t>
            </w: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15</w:t>
            </w:r>
          </w:p>
        </w:tc>
        <w:tc>
          <w:tcPr>
            <w:tcW w:w="3519" w:type="pct"/>
            <w:shd w:val="clear" w:color="auto" w:fill="auto"/>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jc w:val="left"/>
              <w:rPr>
                <w:rFonts w:hint="eastAsia" w:ascii="宋体" w:hAnsi="宋体" w:eastAsia="宋体" w:cs="宋体"/>
                <w:b w:val="0"/>
                <w:bCs/>
                <w:color w:val="auto"/>
                <w:sz w:val="24"/>
                <w:szCs w:val="24"/>
                <w:highlight w:val="none"/>
                <w:lang w:val="zh-TW"/>
              </w:rPr>
            </w:pPr>
            <w:r>
              <w:rPr>
                <w:rFonts w:hint="eastAsia" w:ascii="宋体" w:hAnsi="宋体" w:eastAsia="宋体" w:cs="宋体"/>
                <w:b w:val="0"/>
                <w:bCs/>
                <w:color w:val="auto"/>
                <w:sz w:val="24"/>
                <w:szCs w:val="24"/>
                <w:highlight w:val="none"/>
              </w:rPr>
              <w:t>重点功能演示视频</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时间控制在8分钟以内）</w:t>
            </w:r>
            <w:r>
              <w:rPr>
                <w:rFonts w:hint="eastAsia" w:ascii="宋体" w:hAnsi="宋体" w:eastAsia="宋体" w:cs="宋体"/>
                <w:b w:val="0"/>
                <w:bCs/>
                <w:color w:val="auto"/>
                <w:sz w:val="24"/>
                <w:szCs w:val="24"/>
                <w:highlight w:val="none"/>
                <w:lang w:val="zh-TW"/>
              </w:rPr>
              <w:t>：</w:t>
            </w:r>
          </w:p>
          <w:p>
            <w:pPr>
              <w:keepNext/>
              <w:keepLines/>
              <w:pageBreakBefore w:val="0"/>
              <w:widowControl w:val="0"/>
              <w:numPr>
                <w:ilvl w:val="0"/>
                <w:numId w:val="0"/>
              </w:numPr>
              <w:suppressLineNumbers w:val="0"/>
              <w:tabs>
                <w:tab w:val="left" w:pos="706"/>
                <w:tab w:val="left" w:pos="1110"/>
              </w:tabs>
              <w:kinsoku/>
              <w:wordWrap/>
              <w:topLinePunct w:val="0"/>
              <w:autoSpaceDE/>
              <w:autoSpaceDN/>
              <w:bidi w:val="0"/>
              <w:adjustRightInd/>
              <w:snapToGrid/>
              <w:spacing w:before="0" w:beforeAutospacing="0" w:after="0" w:afterAutospacing="0" w:line="240" w:lineRule="auto"/>
              <w:ind w:left="0" w:leftChars="0" w:right="0" w:firstLine="480" w:firstLineChars="200"/>
              <w:jc w:val="both"/>
              <w:outlineLvl w:val="1"/>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注：全部视频演示部分存储至1个U盘内密封并加盖公章，采用邮寄形式或现场送到到代理公司处）。</w:t>
            </w:r>
          </w:p>
          <w:p>
            <w:pPr>
              <w:keepNext w:val="0"/>
              <w:keepLines w:val="0"/>
              <w:pageBreakBefore w:val="0"/>
              <w:numPr>
                <w:ilvl w:val="-1"/>
                <w:numId w:val="0"/>
              </w:numPr>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数字人分身能力展示：提供基于视频模版的视频编辑和视频合成能力，视频模版支持添加和配置数字人、图片/视频/音频素材、可视化图表、贴图、智能语音TTS、智能字幕ASR等内容。支持多个数字人形象在模板中进行播报，可同时播报、轮播等。数字人支持配置服饰、机位、声音、语速、音量、位置、大小、及播报内容，且支持插入停顿、配置多音字发音。数字人播报内容支持选定文本，并配置相应播报的数字人角色、动作、情绪等。</w:t>
            </w:r>
          </w:p>
          <w:p>
            <w:pPr>
              <w:keepNext w:val="0"/>
              <w:keepLines w:val="0"/>
              <w:pageBreakBefore w:val="0"/>
              <w:numPr>
                <w:ilvl w:val="255"/>
                <w:numId w:val="0"/>
              </w:numPr>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（本项全部满足得</w:t>
            </w: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分，其中若有一小项功能不满足的扣0.5分，扣完为止。）</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评审依据：根据每一项功能描述进行录屏，提供演示视频根据功能的完善程度综合评审。未提供的不得分。</w:t>
            </w:r>
          </w:p>
          <w:p>
            <w:pPr>
              <w:keepNext w:val="0"/>
              <w:keepLines w:val="0"/>
              <w:pageBreakBefore w:val="0"/>
              <w:numPr>
                <w:ilvl w:val="0"/>
                <w:numId w:val="0"/>
              </w:numPr>
              <w:suppressLineNumbers w:val="0"/>
              <w:kinsoku/>
              <w:wordWrap/>
              <w:overflowPunct w:val="0"/>
              <w:topLinePunct w:val="0"/>
              <w:autoSpaceDE/>
              <w:autoSpaceDN/>
              <w:bidi w:val="0"/>
              <w:adjustRightInd/>
              <w:snapToGrid/>
              <w:spacing w:before="0" w:beforeAutospacing="0" w:after="0" w:afterAutospacing="0" w:line="240" w:lineRule="auto"/>
              <w:ind w:left="0" w:leftChars="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互动展项演示：要求方案讲解演示设计感强，条理清楚，能较好地反映方案特点。</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1）提供「武状元」互动拍摄剧场互动视频，展示武术动作教学互动视频。（</w:t>
            </w:r>
            <w:r>
              <w:rPr>
                <w:rFonts w:hint="eastAsia" w:ascii="宋体" w:hAnsi="宋体" w:eastAsia="宋体" w:cs="宋体"/>
                <w:b w:val="0"/>
                <w:bCs/>
                <w:color w:val="auto"/>
                <w:sz w:val="24"/>
                <w:szCs w:val="24"/>
                <w:highlight w:val="none"/>
                <w:lang w:val="en-US" w:eastAsia="zh-CN"/>
              </w:rPr>
              <w:t>0.5</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2.5</w:t>
            </w:r>
            <w:r>
              <w:rPr>
                <w:rFonts w:hint="eastAsia" w:ascii="宋体" w:hAnsi="宋体" w:eastAsia="宋体" w:cs="宋体"/>
                <w:b w:val="0"/>
                <w:bCs/>
                <w:color w:val="auto"/>
                <w:sz w:val="24"/>
                <w:szCs w:val="24"/>
                <w:highlight w:val="none"/>
              </w:rPr>
              <w:t>分）</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2）提供数字化图卷入画互动演示视频。（</w:t>
            </w:r>
            <w:r>
              <w:rPr>
                <w:rFonts w:hint="eastAsia" w:ascii="宋体" w:hAnsi="宋体" w:eastAsia="宋体" w:cs="宋体"/>
                <w:b w:val="0"/>
                <w:bCs/>
                <w:color w:val="auto"/>
                <w:sz w:val="24"/>
                <w:szCs w:val="24"/>
                <w:highlight w:val="none"/>
                <w:lang w:val="en-US" w:eastAsia="zh-CN"/>
              </w:rPr>
              <w:t>0.5</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2.5</w:t>
            </w:r>
            <w:r>
              <w:rPr>
                <w:rFonts w:hint="eastAsia" w:ascii="宋体" w:hAnsi="宋体" w:eastAsia="宋体" w:cs="宋体"/>
                <w:b w:val="0"/>
                <w:bCs/>
                <w:color w:val="auto"/>
                <w:sz w:val="24"/>
                <w:szCs w:val="24"/>
                <w:highlight w:val="none"/>
              </w:rPr>
              <w:t>分）</w:t>
            </w:r>
          </w:p>
          <w:p>
            <w:pPr>
              <w:keepNext w:val="0"/>
              <w:keepLines w:val="0"/>
              <w:pageBreakBefore w:val="0"/>
              <w:widowControl/>
              <w:suppressLineNumbers w:val="0"/>
              <w:kinsoku/>
              <w:wordWrap/>
              <w:topLinePunct w:val="0"/>
              <w:autoSpaceDE/>
              <w:autoSpaceDN/>
              <w:bidi w:val="0"/>
              <w:adjustRightInd/>
              <w:snapToGrid/>
              <w:spacing w:before="0" w:beforeAutospacing="0" w:after="0" w:afterAutospacing="0" w:line="240" w:lineRule="auto"/>
              <w:ind w:left="0" w:right="0" w:firstLine="480" w:firstLineChars="200"/>
              <w:jc w:val="left"/>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3）提供万物墙互动演示视频。（0.5-2.5分）</w:t>
            </w:r>
          </w:p>
          <w:p>
            <w:pPr>
              <w:keepNext w:val="0"/>
              <w:keepLines w:val="0"/>
              <w:pageBreakBefore w:val="0"/>
              <w:widowControl/>
              <w:suppressLineNumbers w:val="0"/>
              <w:kinsoku/>
              <w:wordWrap/>
              <w:topLinePunct w:val="0"/>
              <w:autoSpaceDE/>
              <w:autoSpaceDN/>
              <w:bidi w:val="0"/>
              <w:adjustRightInd/>
              <w:snapToGrid/>
              <w:spacing w:before="0" w:beforeAutospacing="0" w:after="0" w:afterAutospacing="0" w:line="240" w:lineRule="auto"/>
              <w:ind w:left="0" w:right="0" w:firstLine="480" w:firstLineChars="200"/>
              <w:jc w:val="left"/>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展示用户与对话数字人设备互动过程的演示视频。支持用户通过语音输入、触摸输入等多种方式。支持数字人语音和文字输出并根据输出内容进行嘴型和动作驱动。支持用户扫码进行线上页面进行持续对话。（0.5-2.5分）</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评审依据：录制内容需为方案设计介绍。</w:t>
            </w:r>
            <w:r>
              <w:rPr>
                <w:rFonts w:hint="eastAsia" w:ascii="宋体" w:hAnsi="宋体" w:eastAsia="宋体" w:cs="宋体"/>
                <w:b w:val="0"/>
                <w:bCs/>
                <w:color w:val="auto"/>
                <w:sz w:val="24"/>
                <w:szCs w:val="24"/>
                <w:highlight w:val="none"/>
                <w:lang w:val="zh-TW"/>
              </w:rPr>
              <w:t>根据设计方案在横向对比后综合评议：</w:t>
            </w:r>
            <w:r>
              <w:rPr>
                <w:rFonts w:hint="eastAsia" w:ascii="宋体" w:hAnsi="宋体" w:eastAsia="宋体" w:cs="宋体"/>
                <w:b w:val="0"/>
                <w:bCs/>
                <w:color w:val="auto"/>
                <w:sz w:val="24"/>
                <w:szCs w:val="24"/>
                <w:highlight w:val="none"/>
                <w:lang w:val="en-US" w:eastAsia="zh-CN"/>
              </w:rPr>
              <w:t>满足1.5</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2.5</w:t>
            </w:r>
            <w:r>
              <w:rPr>
                <w:rFonts w:hint="eastAsia" w:ascii="宋体" w:hAnsi="宋体" w:eastAsia="宋体" w:cs="宋体"/>
                <w:b w:val="0"/>
                <w:bCs/>
                <w:color w:val="auto"/>
                <w:sz w:val="24"/>
                <w:szCs w:val="24"/>
                <w:highlight w:val="none"/>
                <w:lang w:val="zh-TW"/>
              </w:rPr>
              <w:t>分；</w:t>
            </w:r>
            <w:r>
              <w:rPr>
                <w:rFonts w:hint="eastAsia" w:ascii="宋体" w:hAnsi="宋体" w:eastAsia="宋体" w:cs="宋体"/>
                <w:b w:val="0"/>
                <w:bCs/>
                <w:color w:val="auto"/>
                <w:sz w:val="24"/>
                <w:szCs w:val="24"/>
                <w:highlight w:val="none"/>
                <w:lang w:val="en-US" w:eastAsia="zh-CN"/>
              </w:rPr>
              <w:t>基本满足</w:t>
            </w: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val="en-US" w:eastAsia="zh-CN"/>
              </w:rPr>
              <w:t>1.5</w:t>
            </w:r>
            <w:r>
              <w:rPr>
                <w:rFonts w:hint="eastAsia" w:ascii="宋体" w:hAnsi="宋体" w:eastAsia="宋体" w:cs="宋体"/>
                <w:b w:val="0"/>
                <w:bCs/>
                <w:color w:val="auto"/>
                <w:sz w:val="24"/>
                <w:szCs w:val="24"/>
                <w:highlight w:val="none"/>
                <w:lang w:val="zh-TW"/>
              </w:rPr>
              <w:t>分；一般</w:t>
            </w:r>
            <w:r>
              <w:rPr>
                <w:rFonts w:hint="eastAsia" w:ascii="宋体" w:hAnsi="宋体" w:eastAsia="宋体" w:cs="宋体"/>
                <w:b w:val="0"/>
                <w:bCs/>
                <w:color w:val="auto"/>
                <w:sz w:val="24"/>
                <w:szCs w:val="24"/>
                <w:highlight w:val="none"/>
                <w:lang w:val="en-US" w:eastAsia="zh-CN"/>
              </w:rPr>
              <w:t>0.5</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val="zh-TW"/>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项目团队技术力量（</w:t>
            </w:r>
            <w:r>
              <w:rPr>
                <w:rFonts w:hint="eastAsia" w:ascii="宋体" w:hAnsi="宋体" w:eastAsia="宋体" w:cs="宋体"/>
                <w:b w:val="0"/>
                <w:bCs/>
                <w:color w:val="auto"/>
                <w:sz w:val="24"/>
                <w:szCs w:val="24"/>
                <w:highlight w:val="none"/>
                <w:lang w:val="en-US" w:eastAsia="zh-CN"/>
              </w:rPr>
              <w:t>9</w:t>
            </w:r>
            <w:r>
              <w:rPr>
                <w:rFonts w:hint="eastAsia" w:ascii="宋体" w:hAnsi="宋体" w:eastAsia="宋体" w:cs="宋体"/>
                <w:b w:val="0"/>
                <w:bCs/>
                <w:color w:val="auto"/>
                <w:sz w:val="24"/>
                <w:szCs w:val="24"/>
                <w:highlight w:val="none"/>
              </w:rPr>
              <w:t>分）</w:t>
            </w: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9</w:t>
            </w:r>
          </w:p>
        </w:tc>
        <w:tc>
          <w:tcPr>
            <w:tcW w:w="3519" w:type="pct"/>
            <w:shd w:val="clear" w:color="auto" w:fill="auto"/>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480" w:right="0" w:hanging="480" w:hanging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拟投入团队力量 (9分) ：</w:t>
            </w:r>
            <w:r>
              <w:rPr>
                <w:rFonts w:hint="eastAsia" w:ascii="宋体" w:hAnsi="宋体" w:eastAsia="宋体" w:cs="宋体"/>
                <w:b w:val="0"/>
                <w:bCs/>
                <w:color w:val="auto"/>
                <w:sz w:val="24"/>
                <w:szCs w:val="24"/>
                <w:highlight w:val="none"/>
              </w:rPr>
              <w:br w:type="textWrapping"/>
            </w:r>
            <w:r>
              <w:rPr>
                <w:rFonts w:hint="eastAsia" w:ascii="宋体" w:hAnsi="宋体" w:eastAsia="宋体" w:cs="宋体"/>
                <w:b w:val="0"/>
                <w:bCs/>
                <w:color w:val="auto"/>
                <w:sz w:val="24"/>
                <w:szCs w:val="24"/>
                <w:highlight w:val="none"/>
              </w:rPr>
              <w:t>1、拟派项目负责人：</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1）项目负责人具有有效的信息系统项目管理师证书，得1分；</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2）项目负责人具有相关专业（如智能化、系统架构、网络、信息技术、软件）的中级职称证书得0.5分，副高级及以上职称证书，得1分。</w:t>
            </w:r>
            <w:r>
              <w:rPr>
                <w:rFonts w:hint="eastAsia" w:ascii="宋体" w:hAnsi="宋体" w:eastAsia="宋体" w:cs="宋体"/>
                <w:b w:val="0"/>
                <w:bCs/>
                <w:color w:val="auto"/>
                <w:sz w:val="24"/>
                <w:szCs w:val="24"/>
                <w:highlight w:val="none"/>
              </w:rPr>
              <w:br w:type="textWrapping"/>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2、项目组技术人员：</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color w:val="auto"/>
                <w:sz w:val="24"/>
                <w:szCs w:val="24"/>
                <w:highlight w:val="none"/>
                <w:lang w:bidi="ar"/>
              </w:rPr>
              <w:t>项目组技术人员（项目负责人除外）具有系统架构师、系统分析师、软件设计师、信息技术等相关专业中级职称证书的得0.5分，具有</w:t>
            </w:r>
            <w:r>
              <w:rPr>
                <w:rFonts w:hint="eastAsia" w:ascii="宋体" w:hAnsi="宋体" w:eastAsia="宋体" w:cs="宋体"/>
                <w:b w:val="0"/>
                <w:bCs/>
                <w:color w:val="auto"/>
                <w:sz w:val="24"/>
                <w:szCs w:val="24"/>
                <w:highlight w:val="none"/>
              </w:rPr>
              <w:t>副</w:t>
            </w:r>
            <w:r>
              <w:rPr>
                <w:rFonts w:hint="eastAsia" w:ascii="宋体" w:hAnsi="宋体" w:eastAsia="宋体" w:cs="宋体"/>
                <w:b w:val="0"/>
                <w:color w:val="auto"/>
                <w:sz w:val="24"/>
                <w:szCs w:val="24"/>
                <w:highlight w:val="none"/>
                <w:lang w:bidi="ar"/>
              </w:rPr>
              <w:t xml:space="preserve">高级及以上职称证书的得1分，本项最高得4分。 </w:t>
            </w:r>
            <w:r>
              <w:rPr>
                <w:rFonts w:hint="eastAsia" w:ascii="宋体" w:hAnsi="宋体" w:eastAsia="宋体" w:cs="宋体"/>
                <w:b w:val="0"/>
                <w:bCs/>
                <w:color w:val="auto"/>
                <w:sz w:val="24"/>
                <w:szCs w:val="24"/>
                <w:highlight w:val="none"/>
              </w:rPr>
              <w:br w:type="textWrapping"/>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3. 项目组文化专家人员：</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项目组文化转件人员具有相关专业（新闻类、人文类、历史类）的副高级及以上职称，得1分，最高得3分。 同一人员具有多项证书的不得重复计分</w:t>
            </w:r>
            <w:r>
              <w:rPr>
                <w:rFonts w:hint="eastAsia" w:ascii="宋体" w:hAnsi="宋体" w:eastAsia="宋体" w:cs="宋体"/>
                <w:b w:val="0"/>
                <w:bCs/>
                <w:color w:val="auto"/>
                <w:sz w:val="24"/>
                <w:szCs w:val="24"/>
                <w:highlight w:val="none"/>
                <w:lang w:eastAsia="zh-CN"/>
              </w:rPr>
              <w:t>。</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评审依据：①投标人为其缴纳的投标截止日期前近3个月任意一个月的社保证明材料复印件并加盖公章。②团队成员职称证书复印件加盖公章。未提供社保证明不得分。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进度合理安排（</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分）</w:t>
            </w: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3</w:t>
            </w:r>
          </w:p>
        </w:tc>
        <w:tc>
          <w:tcPr>
            <w:tcW w:w="3519" w:type="pct"/>
            <w:shd w:val="clear" w:color="auto" w:fill="auto"/>
          </w:tcPr>
          <w:p>
            <w:pPr>
              <w:keepNext w:val="0"/>
              <w:keepLines w:val="0"/>
              <w:pageBreakBefore w:val="0"/>
              <w:widowControl/>
              <w:suppressLineNumbers w:val="0"/>
              <w:kinsoku/>
              <w:wordWrap/>
              <w:topLinePunct w:val="0"/>
              <w:autoSpaceDE/>
              <w:autoSpaceDN/>
              <w:bidi w:val="0"/>
              <w:adjustRightInd/>
              <w:snapToGrid/>
              <w:spacing w:before="0" w:beforeAutospacing="0" w:after="0" w:afterAutospacing="0" w:line="240" w:lineRule="auto"/>
              <w:ind w:left="0" w:right="0" w:firstLine="480" w:firstLineChars="200"/>
              <w:textAlignment w:val="bottom"/>
              <w:rPr>
                <w:rFonts w:hint="eastAsia" w:ascii="宋体" w:hAnsi="宋体" w:eastAsia="宋体" w:cs="宋体"/>
                <w:b w:val="0"/>
                <w:color w:val="auto"/>
                <w:sz w:val="24"/>
                <w:szCs w:val="24"/>
                <w:highlight w:val="none"/>
                <w:lang w:bidi="ar"/>
              </w:rPr>
            </w:pPr>
            <w:r>
              <w:rPr>
                <w:rFonts w:hint="eastAsia" w:ascii="宋体" w:hAnsi="宋体" w:eastAsia="宋体" w:cs="宋体"/>
                <w:b w:val="0"/>
                <w:color w:val="auto"/>
                <w:sz w:val="24"/>
                <w:szCs w:val="24"/>
                <w:highlight w:val="none"/>
                <w:lang w:bidi="ar"/>
              </w:rPr>
              <w:t xml:space="preserve">根据投标人对项目整体工作阶段及任务划分、进度控制是否合理，关键时间节点把握是否科学准确，由评审小组进行评议并综合打分： </w:t>
            </w:r>
          </w:p>
          <w:p>
            <w:pPr>
              <w:keepNext w:val="0"/>
              <w:keepLines w:val="0"/>
              <w:pageBreakBefore w:val="0"/>
              <w:widowControl/>
              <w:numPr>
                <w:ilvl w:val="0"/>
                <w:numId w:val="4"/>
              </w:numPr>
              <w:suppressLineNumbers w:val="0"/>
              <w:kinsoku/>
              <w:wordWrap/>
              <w:topLinePunct w:val="0"/>
              <w:autoSpaceDE/>
              <w:autoSpaceDN/>
              <w:bidi w:val="0"/>
              <w:adjustRightInd/>
              <w:snapToGrid/>
              <w:spacing w:before="0" w:beforeAutospacing="0" w:after="0" w:afterAutospacing="0" w:line="240" w:lineRule="auto"/>
              <w:ind w:left="0" w:right="0" w:rightChars="0" w:firstLine="480" w:firstLineChars="200"/>
              <w:textAlignment w:val="bottom"/>
              <w:rPr>
                <w:rFonts w:hint="eastAsia" w:ascii="宋体" w:hAnsi="宋体" w:eastAsia="宋体" w:cs="宋体"/>
                <w:b w:val="0"/>
                <w:color w:val="auto"/>
                <w:sz w:val="24"/>
                <w:szCs w:val="24"/>
                <w:highlight w:val="none"/>
                <w:lang w:bidi="ar"/>
              </w:rPr>
            </w:pPr>
            <w:r>
              <w:rPr>
                <w:rFonts w:hint="eastAsia" w:ascii="宋体" w:hAnsi="宋体" w:eastAsia="宋体" w:cs="宋体"/>
                <w:b w:val="0"/>
                <w:color w:val="auto"/>
                <w:sz w:val="24"/>
                <w:szCs w:val="24"/>
                <w:highlight w:val="none"/>
                <w:lang w:bidi="ar"/>
              </w:rPr>
              <w:t>进度科学合理、关键节点把控准确的得</w:t>
            </w:r>
            <w:r>
              <w:rPr>
                <w:rFonts w:hint="eastAsia" w:ascii="宋体" w:hAnsi="宋体" w:eastAsia="宋体" w:cs="宋体"/>
                <w:b w:val="0"/>
                <w:color w:val="auto"/>
                <w:sz w:val="24"/>
                <w:szCs w:val="24"/>
                <w:highlight w:val="none"/>
                <w:lang w:val="en-US" w:eastAsia="zh-CN" w:bidi="ar"/>
              </w:rPr>
              <w:t>2.5</w:t>
            </w:r>
            <w:r>
              <w:rPr>
                <w:rFonts w:hint="eastAsia" w:ascii="宋体" w:hAnsi="宋体" w:eastAsia="宋体" w:cs="宋体"/>
                <w:b w:val="0"/>
                <w:color w:val="auto"/>
                <w:sz w:val="24"/>
                <w:szCs w:val="24"/>
                <w:highlight w:val="none"/>
                <w:lang w:bidi="ar"/>
              </w:rPr>
              <w:t>-</w:t>
            </w:r>
            <w:r>
              <w:rPr>
                <w:rFonts w:hint="eastAsia" w:ascii="宋体" w:hAnsi="宋体" w:eastAsia="宋体" w:cs="宋体"/>
                <w:b w:val="0"/>
                <w:color w:val="auto"/>
                <w:sz w:val="24"/>
                <w:szCs w:val="24"/>
                <w:highlight w:val="none"/>
                <w:lang w:val="en-US" w:eastAsia="zh-CN" w:bidi="ar"/>
              </w:rPr>
              <w:t>3</w:t>
            </w:r>
            <w:r>
              <w:rPr>
                <w:rFonts w:hint="eastAsia" w:ascii="宋体" w:hAnsi="宋体" w:eastAsia="宋体" w:cs="宋体"/>
                <w:b w:val="0"/>
                <w:color w:val="auto"/>
                <w:sz w:val="24"/>
                <w:szCs w:val="24"/>
                <w:highlight w:val="none"/>
                <w:lang w:bidi="ar"/>
              </w:rPr>
              <w:t>分；</w:t>
            </w:r>
          </w:p>
          <w:p>
            <w:pPr>
              <w:keepNext w:val="0"/>
              <w:keepLines w:val="0"/>
              <w:pageBreakBefore w:val="0"/>
              <w:widowControl/>
              <w:numPr>
                <w:ilvl w:val="0"/>
                <w:numId w:val="0"/>
              </w:numPr>
              <w:suppressLineNumbers w:val="0"/>
              <w:kinsoku/>
              <w:wordWrap/>
              <w:topLinePunct w:val="0"/>
              <w:autoSpaceDE/>
              <w:autoSpaceDN/>
              <w:bidi w:val="0"/>
              <w:adjustRightInd/>
              <w:snapToGrid/>
              <w:spacing w:before="0" w:beforeAutospacing="0" w:after="0" w:afterAutospacing="0" w:line="240" w:lineRule="auto"/>
              <w:ind w:left="0" w:right="0" w:rightChars="0" w:firstLine="480" w:firstLineChars="200"/>
              <w:textAlignment w:val="bottom"/>
              <w:rPr>
                <w:rFonts w:hint="eastAsia" w:ascii="宋体" w:hAnsi="宋体" w:eastAsia="宋体" w:cs="宋体"/>
                <w:b w:val="0"/>
                <w:color w:val="auto"/>
                <w:sz w:val="24"/>
                <w:szCs w:val="24"/>
                <w:highlight w:val="none"/>
                <w:lang w:bidi="ar"/>
              </w:rPr>
            </w:pPr>
            <w:r>
              <w:rPr>
                <w:rFonts w:hint="eastAsia" w:ascii="宋体" w:hAnsi="宋体" w:eastAsia="宋体" w:cs="宋体"/>
                <w:b w:val="0"/>
                <w:color w:val="auto"/>
                <w:sz w:val="24"/>
                <w:szCs w:val="24"/>
                <w:highlight w:val="none"/>
                <w:lang w:bidi="ar"/>
              </w:rPr>
              <w:t>2）进度符合采购需求，关键节点没有明显体现的得</w:t>
            </w:r>
            <w:r>
              <w:rPr>
                <w:rFonts w:hint="eastAsia" w:ascii="宋体" w:hAnsi="宋体" w:eastAsia="宋体" w:cs="宋体"/>
                <w:b w:val="0"/>
                <w:color w:val="auto"/>
                <w:sz w:val="24"/>
                <w:szCs w:val="24"/>
                <w:highlight w:val="none"/>
                <w:lang w:val="en-US" w:eastAsia="zh-CN" w:bidi="ar"/>
              </w:rPr>
              <w:t>1.5</w:t>
            </w:r>
            <w:r>
              <w:rPr>
                <w:rFonts w:hint="eastAsia" w:ascii="宋体" w:hAnsi="宋体" w:eastAsia="宋体" w:cs="宋体"/>
                <w:b w:val="0"/>
                <w:color w:val="auto"/>
                <w:sz w:val="24"/>
                <w:szCs w:val="24"/>
                <w:highlight w:val="none"/>
                <w:lang w:bidi="ar"/>
              </w:rPr>
              <w:t>-</w:t>
            </w:r>
            <w:r>
              <w:rPr>
                <w:rFonts w:hint="eastAsia" w:ascii="宋体" w:hAnsi="宋体" w:eastAsia="宋体" w:cs="宋体"/>
                <w:b w:val="0"/>
                <w:color w:val="auto"/>
                <w:sz w:val="24"/>
                <w:szCs w:val="24"/>
                <w:highlight w:val="none"/>
                <w:lang w:val="en-US" w:eastAsia="zh-CN" w:bidi="ar"/>
              </w:rPr>
              <w:t>2.5</w:t>
            </w:r>
            <w:r>
              <w:rPr>
                <w:rFonts w:hint="eastAsia" w:ascii="宋体" w:hAnsi="宋体" w:eastAsia="宋体" w:cs="宋体"/>
                <w:b w:val="0"/>
                <w:color w:val="auto"/>
                <w:sz w:val="24"/>
                <w:szCs w:val="24"/>
                <w:highlight w:val="none"/>
                <w:lang w:bidi="ar"/>
              </w:rPr>
              <w:t>分；</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color w:val="auto"/>
                <w:sz w:val="24"/>
                <w:szCs w:val="24"/>
                <w:highlight w:val="none"/>
                <w:lang w:bidi="ar"/>
              </w:rPr>
              <w:t>3）进度把控有欠缺，关键节点未明确的得</w:t>
            </w:r>
            <w:r>
              <w:rPr>
                <w:rFonts w:hint="eastAsia" w:ascii="宋体" w:hAnsi="宋体" w:eastAsia="宋体" w:cs="宋体"/>
                <w:b w:val="0"/>
                <w:color w:val="auto"/>
                <w:sz w:val="24"/>
                <w:szCs w:val="24"/>
                <w:highlight w:val="none"/>
                <w:lang w:val="en-US" w:eastAsia="zh-CN" w:bidi="ar"/>
              </w:rPr>
              <w:t>1</w:t>
            </w:r>
            <w:r>
              <w:rPr>
                <w:rFonts w:hint="eastAsia" w:ascii="宋体" w:hAnsi="宋体" w:eastAsia="宋体" w:cs="宋体"/>
                <w:b w:val="0"/>
                <w:color w:val="auto"/>
                <w:sz w:val="24"/>
                <w:szCs w:val="24"/>
                <w:highlight w:val="none"/>
                <w:lang w:bidi="ar"/>
              </w:rPr>
              <w:t>-</w:t>
            </w:r>
            <w:r>
              <w:rPr>
                <w:rFonts w:hint="eastAsia" w:ascii="宋体" w:hAnsi="宋体" w:eastAsia="宋体" w:cs="宋体"/>
                <w:b w:val="0"/>
                <w:color w:val="auto"/>
                <w:sz w:val="24"/>
                <w:szCs w:val="24"/>
                <w:highlight w:val="none"/>
                <w:lang w:val="en-US" w:eastAsia="zh-CN" w:bidi="ar"/>
              </w:rPr>
              <w:t>1</w:t>
            </w:r>
            <w:r>
              <w:rPr>
                <w:rFonts w:hint="eastAsia" w:ascii="宋体" w:hAnsi="宋体" w:eastAsia="宋体" w:cs="宋体"/>
                <w:b w:val="0"/>
                <w:color w:val="auto"/>
                <w:sz w:val="24"/>
                <w:szCs w:val="24"/>
                <w:highlight w:val="none"/>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节能环保（2分）</w:t>
            </w:r>
          </w:p>
        </w:tc>
        <w:tc>
          <w:tcPr>
            <w:tcW w:w="474"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3519" w:type="pct"/>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color w:val="auto"/>
                <w:sz w:val="24"/>
                <w:szCs w:val="24"/>
                <w:highlight w:val="none"/>
                <w:lang w:bidi="ar"/>
              </w:rPr>
            </w:pPr>
            <w:r>
              <w:rPr>
                <w:rFonts w:hint="eastAsia" w:ascii="宋体" w:hAnsi="宋体" w:eastAsia="宋体" w:cs="宋体"/>
                <w:b w:val="0"/>
                <w:color w:val="auto"/>
                <w:sz w:val="24"/>
                <w:szCs w:val="24"/>
                <w:highlight w:val="none"/>
                <w:lang w:bidi="ar"/>
              </w:rPr>
              <w:t>1）投标产品中有列入《节能产品政府采购品目清单》的，可得1分。</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color w:val="auto"/>
                <w:sz w:val="24"/>
                <w:szCs w:val="24"/>
                <w:highlight w:val="none"/>
                <w:lang w:bidi="ar"/>
              </w:rPr>
            </w:pPr>
            <w:r>
              <w:rPr>
                <w:rFonts w:hint="eastAsia" w:ascii="宋体" w:hAnsi="宋体" w:eastAsia="宋体" w:cs="宋体"/>
                <w:b w:val="0"/>
                <w:color w:val="auto"/>
                <w:sz w:val="24"/>
                <w:szCs w:val="24"/>
                <w:highlight w:val="none"/>
                <w:lang w:bidi="ar"/>
              </w:rPr>
              <w:t>2）投标产品中有列入《环境标志产品政府采购品目清单》的，可得1分。</w:t>
            </w:r>
          </w:p>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firstLine="480" w:firstLineChars="200"/>
              <w:rPr>
                <w:rFonts w:hint="eastAsia" w:ascii="宋体" w:hAnsi="宋体" w:eastAsia="宋体" w:cs="宋体"/>
                <w:b w:val="0"/>
                <w:color w:val="auto"/>
                <w:sz w:val="24"/>
                <w:szCs w:val="24"/>
                <w:highlight w:val="none"/>
                <w:lang w:bidi="ar"/>
              </w:rPr>
            </w:pPr>
            <w:r>
              <w:rPr>
                <w:rFonts w:hint="eastAsia" w:ascii="宋体" w:hAnsi="宋体" w:eastAsia="宋体" w:cs="宋体"/>
                <w:b w:val="0"/>
                <w:color w:val="auto"/>
                <w:sz w:val="24"/>
                <w:szCs w:val="24"/>
                <w:highlight w:val="none"/>
                <w:lang w:bidi="ar"/>
              </w:rPr>
              <w:t>说明：投标文件中必须提供附件《节能环保产品声明函》、附件《节能（环保）产品清单》及所投相关产品对应的认证证书复印件，否则不予给分。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vMerge w:val="restart"/>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售后服务保障（</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分）</w:t>
            </w: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3519" w:type="pct"/>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bottom"/>
              <w:rPr>
                <w:rFonts w:hint="eastAsia" w:ascii="宋体" w:hAnsi="宋体" w:eastAsia="宋体" w:cs="宋体"/>
                <w:b w:val="0"/>
                <w:bCs/>
                <w:color w:val="auto"/>
                <w:sz w:val="24"/>
                <w:szCs w:val="24"/>
                <w:highlight w:val="none"/>
              </w:rPr>
            </w:pPr>
            <w:r>
              <w:rPr>
                <w:rFonts w:hint="eastAsia" w:ascii="宋体" w:hAnsi="宋体" w:eastAsia="宋体" w:cs="宋体"/>
                <w:b w:val="0"/>
                <w:color w:val="auto"/>
                <w:sz w:val="24"/>
                <w:szCs w:val="24"/>
                <w:highlight w:val="none"/>
                <w:lang w:bidi="ar"/>
              </w:rPr>
              <w:t>根据售后服务方案（售后服务机构，服务人员，维修服务，备品配件储备、售后服务承诺情况）进行综合评分</w:t>
            </w:r>
            <w:r>
              <w:rPr>
                <w:rFonts w:hint="eastAsia" w:ascii="宋体" w:hAnsi="宋体" w:eastAsia="宋体" w:cs="宋体"/>
                <w:b w:val="0"/>
                <w:color w:val="auto"/>
                <w:sz w:val="24"/>
                <w:szCs w:val="24"/>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6" w:type="pct"/>
            <w:vMerge w:val="continue"/>
            <w:shd w:val="clear" w:color="auto" w:fill="auto"/>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rPr>
            </w:pPr>
          </w:p>
        </w:tc>
        <w:tc>
          <w:tcPr>
            <w:tcW w:w="474" w:type="pct"/>
            <w:shd w:val="clear" w:color="auto" w:fill="auto"/>
            <w:noWrap/>
            <w:vAlign w:val="center"/>
          </w:tcPr>
          <w:p>
            <w:pPr>
              <w:keepNext w:val="0"/>
              <w:keepLines w:val="0"/>
              <w:pageBreakBefore w:val="0"/>
              <w:suppressLineNumbers w:val="0"/>
              <w:kinsoku/>
              <w:wordWrap/>
              <w:overflowPunct w:val="0"/>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w:t>
            </w:r>
          </w:p>
        </w:tc>
        <w:tc>
          <w:tcPr>
            <w:tcW w:w="3519" w:type="pct"/>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bottom"/>
              <w:rPr>
                <w:rFonts w:hint="eastAsia" w:ascii="宋体" w:hAnsi="宋体" w:eastAsia="宋体" w:cs="宋体"/>
                <w:b w:val="0"/>
                <w:color w:val="auto"/>
                <w:sz w:val="24"/>
                <w:szCs w:val="24"/>
                <w:highlight w:val="none"/>
                <w:lang w:bidi="ar"/>
              </w:rPr>
            </w:pPr>
            <w:r>
              <w:rPr>
                <w:rFonts w:hint="eastAsia" w:ascii="宋体" w:hAnsi="宋体" w:eastAsia="宋体" w:cs="宋体"/>
                <w:color w:val="auto"/>
                <w:kern w:val="2"/>
                <w:sz w:val="24"/>
                <w:szCs w:val="24"/>
                <w:lang w:val="en-US" w:eastAsia="zh-CN" w:bidi="ar-SA"/>
              </w:rPr>
              <w:t>质保期在采购文件需求两年基础上每增加一年的得1分，最高得2分。</w:t>
            </w:r>
          </w:p>
        </w:tc>
      </w:tr>
    </w:tbl>
    <w:p>
      <w:pPr>
        <w:spacing w:line="360" w:lineRule="auto"/>
        <w:jc w:val="center"/>
        <w:rPr>
          <w:rFonts w:ascii="等线" w:hAnsi="等线" w:eastAsia="宋体" w:cs="Times New Roman"/>
          <w:color w:val="auto"/>
          <w:highlight w:val="none"/>
        </w:rPr>
      </w:pPr>
      <w:r>
        <w:rPr>
          <w:rFonts w:hint="eastAsia" w:ascii="宋体" w:hAnsi="宋体" w:eastAsia="宋体" w:cs="宋体"/>
          <w:b/>
          <w:color w:val="auto"/>
          <w:sz w:val="24"/>
          <w:highlight w:val="none"/>
        </w:rPr>
        <w:t>注：①上述资料</w:t>
      </w:r>
      <w:r>
        <w:rPr>
          <w:rFonts w:hint="eastAsia" w:ascii="宋体" w:hAnsi="宋体" w:eastAsia="宋体" w:cs="宋体"/>
          <w:b/>
          <w:bCs/>
          <w:color w:val="auto"/>
          <w:kern w:val="0"/>
          <w:sz w:val="24"/>
          <w:highlight w:val="none"/>
          <w:lang w:bidi="ar"/>
        </w:rPr>
        <w:t>若核实后有涉假的，将直接废标，并上报有关部门纳入诚信管理系统。</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3、商务、技术分=评标委员会所有成员评分合计数/评标委员会组成人员数</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4、价格分（30分）采用低价优先法计算，即满足招标文件要求且投标价格最低的投标报价为评标基准价，其他投标供应商的价格分按照下列公式计算：</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价格分=（评标基准价/投标报价）×30%×100</w:t>
      </w:r>
    </w:p>
    <w:p>
      <w:pPr>
        <w:snapToGrid w:val="0"/>
        <w:spacing w:line="360" w:lineRule="auto"/>
        <w:ind w:firstLine="480" w:firstLineChars="200"/>
        <w:rPr>
          <w:rFonts w:ascii="宋体" w:hAnsi="宋体" w:eastAsia="宋体" w:cs="宋体"/>
          <w:b/>
          <w:color w:val="auto"/>
          <w:sz w:val="24"/>
          <w:highlight w:val="none"/>
        </w:rPr>
      </w:pPr>
      <w:r>
        <w:rPr>
          <w:rFonts w:hint="eastAsia" w:ascii="宋体" w:hAnsi="宋体" w:eastAsia="宋体" w:cs="宋体"/>
          <w:color w:val="auto"/>
          <w:sz w:val="24"/>
          <w:highlight w:val="none"/>
        </w:rPr>
        <w:t>5、投标供应商评标综合得分=价格分+商务、技术分</w:t>
      </w:r>
    </w:p>
    <w:p>
      <w:pPr>
        <w:widowControl w:val="0"/>
        <w:snapToGrid w:val="0"/>
        <w:spacing w:line="360" w:lineRule="auto"/>
        <w:ind w:left="480" w:firstLine="0" w:firstLineChars="0"/>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注：以上所涉及的证明材料，需提供扫描件，未提供的不得分。</w:t>
      </w:r>
    </w:p>
    <w:p>
      <w:pPr>
        <w:snapToGrid w:val="0"/>
        <w:spacing w:line="360" w:lineRule="auto"/>
        <w:ind w:firstLine="472" w:firstLineChars="196"/>
        <w:rPr>
          <w:rFonts w:ascii="宋体" w:hAnsi="宋体" w:eastAsia="宋体" w:cs="宋体"/>
          <w:b/>
          <w:color w:val="auto"/>
          <w:sz w:val="24"/>
          <w:highlight w:val="none"/>
        </w:rPr>
      </w:pPr>
      <w:r>
        <w:rPr>
          <w:rFonts w:hint="eastAsia" w:ascii="宋体" w:hAnsi="宋体" w:eastAsia="宋体" w:cs="宋体"/>
          <w:b/>
          <w:color w:val="auto"/>
          <w:sz w:val="24"/>
          <w:highlight w:val="none"/>
        </w:rPr>
        <w:t>报价是中标的一个重要因素，但最低报价不是中标的唯一依据。</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（十四）评标内容的保密</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1、公开开标后，直到宣布中标单位止，凡属于审查、澄清、评价和比较投标的所有资料，都不应向投标供应商或与评标无关的其他人泄露。</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2、在投标文件的审查、澄清、评价和比较以及确定中标供应商过程中，投标供应商对采购人、采购代理机构和评标委员会施加影响的任何行为，都将导致取消资格。</w:t>
      </w:r>
    </w:p>
    <w:bookmarkEnd w:id="83"/>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（十五）废标</w:t>
      </w:r>
    </w:p>
    <w:p>
      <w:pPr>
        <w:widowControl w:val="0"/>
        <w:snapToGrid w:val="0"/>
        <w:spacing w:line="360" w:lineRule="auto"/>
        <w:ind w:firstLine="570"/>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在采购中，出现下列情形之一的，应予废标：</w:t>
      </w:r>
    </w:p>
    <w:p>
      <w:pPr>
        <w:widowControl w:val="0"/>
        <w:snapToGrid w:val="0"/>
        <w:spacing w:line="360" w:lineRule="auto"/>
        <w:ind w:firstLine="482"/>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(1)符合专业条件的供应商或者对招标文件作实质响应的供应商不足3家的；</w:t>
      </w:r>
    </w:p>
    <w:p>
      <w:pPr>
        <w:widowControl w:val="0"/>
        <w:snapToGrid w:val="0"/>
        <w:spacing w:line="360" w:lineRule="auto"/>
        <w:ind w:firstLine="482"/>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(2)出现影响采购公正的违法、违规行为的；</w:t>
      </w:r>
    </w:p>
    <w:p>
      <w:pPr>
        <w:widowControl w:val="0"/>
        <w:snapToGrid w:val="0"/>
        <w:spacing w:line="360" w:lineRule="auto"/>
        <w:ind w:firstLine="482"/>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(3)报价均超过预算，不能支付的；</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color w:val="auto"/>
          <w:sz w:val="24"/>
          <w:highlight w:val="none"/>
        </w:rPr>
        <w:t xml:space="preserve">    (4)因重大变故，采购任务取消的。</w:t>
      </w:r>
    </w:p>
    <w:p>
      <w:pPr>
        <w:keepNext/>
        <w:keepLines/>
        <w:numPr>
          <w:ilvl w:val="0"/>
          <w:numId w:val="0"/>
        </w:numPr>
        <w:tabs>
          <w:tab w:val="left" w:pos="720"/>
        </w:tabs>
        <w:spacing w:before="0" w:after="0" w:line="360" w:lineRule="auto"/>
        <w:jc w:val="both"/>
        <w:outlineLvl w:val="2"/>
        <w:rPr>
          <w:rFonts w:ascii="宋体" w:hAnsi="宋体" w:eastAsia="宋体" w:cs="宋体"/>
          <w:b/>
          <w:color w:val="auto"/>
          <w:sz w:val="24"/>
          <w:szCs w:val="24"/>
          <w:highlight w:val="none"/>
          <w:lang w:val="en-US" w:eastAsia="zh-CN" w:bidi="ar-SA"/>
        </w:rPr>
      </w:pPr>
      <w:r>
        <w:rPr>
          <w:rFonts w:hint="eastAsia" w:ascii="宋体" w:hAnsi="宋体" w:eastAsia="宋体" w:cs="宋体"/>
          <w:b/>
          <w:color w:val="auto"/>
          <w:sz w:val="24"/>
          <w:szCs w:val="24"/>
          <w:highlight w:val="none"/>
          <w:lang w:val="en-US" w:eastAsia="zh-CN" w:bidi="ar-SA"/>
        </w:rPr>
        <w:t>（十六）可中止电子交易活动的情形</w:t>
      </w:r>
    </w:p>
    <w:p>
      <w:pPr>
        <w:spacing w:line="360" w:lineRule="auto"/>
        <w:ind w:firstLine="424" w:firstLineChars="176"/>
        <w:rPr>
          <w:rFonts w:ascii="宋体" w:hAnsi="宋体" w:eastAsia="宋体" w:cs="宋体"/>
          <w:color w:val="auto"/>
          <w:sz w:val="24"/>
          <w:highlight w:val="none"/>
        </w:rPr>
      </w:pPr>
      <w:r>
        <w:rPr>
          <w:rFonts w:hint="eastAsia" w:ascii="宋体" w:hAnsi="宋体" w:eastAsia="宋体" w:cs="宋体"/>
          <w:b/>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eastAsia="宋体" w:cs="宋体"/>
          <w:color w:val="auto"/>
          <w:sz w:val="24"/>
          <w:highlight w:val="none"/>
        </w:rPr>
      </w:pPr>
      <w:r>
        <w:rPr>
          <w:rFonts w:hint="eastAsia" w:ascii="宋体" w:hAnsi="宋体" w:eastAsia="宋体" w:cs="宋体"/>
          <w:color w:val="auto"/>
          <w:sz w:val="24"/>
          <w:highlight w:val="none"/>
        </w:rPr>
        <w:t>1、电子交易平台发生故障而无法登录访问的；</w:t>
      </w:r>
    </w:p>
    <w:p>
      <w:pPr>
        <w:spacing w:line="360" w:lineRule="auto"/>
        <w:ind w:firstLine="422" w:firstLineChars="176"/>
        <w:rPr>
          <w:rFonts w:ascii="宋体" w:hAnsi="宋体" w:eastAsia="宋体" w:cs="宋体"/>
          <w:color w:val="auto"/>
          <w:sz w:val="24"/>
          <w:highlight w:val="none"/>
        </w:rPr>
      </w:pPr>
      <w:r>
        <w:rPr>
          <w:rFonts w:hint="eastAsia" w:ascii="宋体" w:hAnsi="宋体" w:eastAsia="宋体" w:cs="宋体"/>
          <w:color w:val="auto"/>
          <w:sz w:val="24"/>
          <w:highlight w:val="none"/>
        </w:rPr>
        <w:t>2、电子交易平台应用或数据库出现错误，不能进行正常操作的；</w:t>
      </w:r>
    </w:p>
    <w:p>
      <w:pPr>
        <w:spacing w:line="360" w:lineRule="auto"/>
        <w:ind w:firstLine="422" w:firstLineChars="176"/>
        <w:rPr>
          <w:rFonts w:ascii="宋体" w:hAnsi="宋体" w:eastAsia="宋体" w:cs="宋体"/>
          <w:color w:val="auto"/>
          <w:sz w:val="24"/>
          <w:highlight w:val="none"/>
        </w:rPr>
      </w:pPr>
      <w:r>
        <w:rPr>
          <w:rFonts w:hint="eastAsia" w:ascii="宋体" w:hAnsi="宋体" w:eastAsia="宋体" w:cs="宋体"/>
          <w:color w:val="auto"/>
          <w:sz w:val="24"/>
          <w:highlight w:val="none"/>
        </w:rPr>
        <w:t>3、电子交易平台发现严重安全漏洞，有潜在泄密危险的；</w:t>
      </w:r>
    </w:p>
    <w:p>
      <w:pPr>
        <w:spacing w:line="360" w:lineRule="auto"/>
        <w:ind w:firstLine="422" w:firstLineChars="176"/>
        <w:rPr>
          <w:rFonts w:ascii="宋体" w:hAnsi="宋体" w:eastAsia="宋体" w:cs="宋体"/>
          <w:color w:val="auto"/>
          <w:sz w:val="24"/>
          <w:highlight w:val="none"/>
        </w:rPr>
      </w:pPr>
      <w:r>
        <w:rPr>
          <w:rFonts w:hint="eastAsia" w:ascii="宋体" w:hAnsi="宋体" w:eastAsia="宋体" w:cs="宋体"/>
          <w:color w:val="auto"/>
          <w:sz w:val="24"/>
          <w:highlight w:val="none"/>
        </w:rPr>
        <w:t>4、病毒发作导致不能进行正常操作的；</w:t>
      </w:r>
    </w:p>
    <w:p>
      <w:pPr>
        <w:spacing w:line="360" w:lineRule="auto"/>
        <w:ind w:firstLine="422" w:firstLineChars="176"/>
        <w:rPr>
          <w:rFonts w:ascii="宋体" w:hAnsi="宋体" w:eastAsia="宋体" w:cs="宋体"/>
          <w:color w:val="auto"/>
          <w:sz w:val="24"/>
          <w:highlight w:val="none"/>
        </w:rPr>
      </w:pPr>
      <w:r>
        <w:rPr>
          <w:rFonts w:hint="eastAsia" w:ascii="宋体" w:hAnsi="宋体" w:eastAsia="宋体" w:cs="宋体"/>
          <w:color w:val="auto"/>
          <w:sz w:val="24"/>
          <w:highlight w:val="none"/>
        </w:rPr>
        <w:t>5、其他无法保证电子交易的公平、公正和安全的情况。</w:t>
      </w:r>
    </w:p>
    <w:p>
      <w:pPr>
        <w:spacing w:line="360" w:lineRule="auto"/>
        <w:ind w:firstLine="424" w:firstLineChars="176"/>
        <w:rPr>
          <w:rFonts w:ascii="宋体" w:hAnsi="宋体" w:eastAsia="宋体" w:cs="宋体"/>
          <w:color w:val="auto"/>
          <w:sz w:val="24"/>
          <w:highlight w:val="none"/>
        </w:rPr>
      </w:pPr>
      <w:r>
        <w:rPr>
          <w:rFonts w:hint="eastAsia" w:ascii="宋体" w:hAnsi="宋体" w:eastAsia="宋体" w:cs="宋体"/>
          <w:b/>
          <w:color w:val="auto"/>
          <w:sz w:val="24"/>
          <w:highlight w:val="none"/>
        </w:rPr>
        <w:t>出现前款规定情形，不影响采购公平、公正性的，采购组织机构可以待上述情形消除后继续组织电子交易活动；影响或可能影响采购公平、公正性的，应当重新采购。</w:t>
      </w:r>
    </w:p>
    <w:bookmarkEnd w:id="70"/>
    <w:bookmarkEnd w:id="71"/>
    <w:bookmarkEnd w:id="72"/>
    <w:p>
      <w:pPr>
        <w:shd w:val="clear" w:color="auto" w:fill="FFFFFF"/>
        <w:snapToGrid w:val="0"/>
        <w:spacing w:before="360" w:beforeLines="150" w:line="360" w:lineRule="auto"/>
        <w:jc w:val="center"/>
        <w:outlineLvl w:val="1"/>
        <w:rPr>
          <w:rFonts w:ascii="宋体" w:hAnsi="宋体" w:eastAsia="宋体" w:cs="宋体"/>
          <w:b/>
          <w:bCs/>
          <w:color w:val="auto"/>
          <w:sz w:val="36"/>
          <w:szCs w:val="36"/>
          <w:highlight w:val="none"/>
        </w:rPr>
      </w:pPr>
      <w:bookmarkStart w:id="84" w:name="_Toc86216995"/>
      <w:bookmarkStart w:id="85" w:name="_Toc33194399"/>
      <w:bookmarkStart w:id="86" w:name="_Toc233618979"/>
      <w:bookmarkStart w:id="87" w:name="_Toc354996703"/>
      <w:bookmarkStart w:id="88" w:name="_Toc1727653192"/>
      <w:bookmarkStart w:id="89" w:name="_Toc91899910"/>
      <w:r>
        <w:rPr>
          <w:rFonts w:hint="eastAsia" w:ascii="宋体" w:hAnsi="宋体" w:eastAsia="宋体" w:cs="宋体"/>
          <w:b/>
          <w:bCs/>
          <w:color w:val="auto"/>
          <w:sz w:val="36"/>
          <w:szCs w:val="36"/>
          <w:highlight w:val="none"/>
        </w:rPr>
        <w:t>七、</w:t>
      </w:r>
      <w:bookmarkEnd w:id="84"/>
      <w:r>
        <w:rPr>
          <w:rFonts w:hint="eastAsia" w:ascii="宋体" w:hAnsi="宋体" w:eastAsia="宋体" w:cs="宋体"/>
          <w:b/>
          <w:bCs/>
          <w:color w:val="auto"/>
          <w:sz w:val="36"/>
          <w:szCs w:val="36"/>
          <w:highlight w:val="none"/>
        </w:rPr>
        <w:t>合同签订及其他</w:t>
      </w:r>
      <w:bookmarkEnd w:id="85"/>
      <w:bookmarkEnd w:id="86"/>
      <w:bookmarkEnd w:id="87"/>
      <w:bookmarkEnd w:id="88"/>
    </w:p>
    <w:bookmarkEnd w:id="89"/>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（一）中标通知书</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1、确定中标供应商后，采购代理机构将在发布招标公告的网站上公布评标结果。</w:t>
      </w:r>
    </w:p>
    <w:p>
      <w:pPr>
        <w:shd w:val="clear" w:color="auto" w:fill="FFFFFF"/>
        <w:tabs>
          <w:tab w:val="left" w:pos="0"/>
        </w:tabs>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如中标供应商拒绝承担中标的项目，或提出招标方不能接受的条件，致使合同无法签订，招标方将取消其中标资格，并根据评标委员会推荐的中标候选人先后顺序，将下一顺序的中标候选人作为预中标供应商进行公示，或由招标方组织评标委员会复议后提出重新组织采购等建议。</w:t>
      </w:r>
    </w:p>
    <w:p>
      <w:pPr>
        <w:shd w:val="clear" w:color="auto" w:fill="FFFFFF"/>
        <w:snapToGrid w:val="0"/>
        <w:spacing w:line="360" w:lineRule="auto"/>
        <w:ind w:firstLine="540"/>
        <w:rPr>
          <w:rFonts w:ascii="宋体" w:hAnsi="宋体" w:eastAsia="宋体" w:cs="宋体"/>
          <w:color w:val="auto"/>
          <w:sz w:val="24"/>
          <w:highlight w:val="none"/>
        </w:rPr>
      </w:pPr>
      <w:r>
        <w:rPr>
          <w:rFonts w:hint="eastAsia" w:ascii="宋体" w:hAnsi="宋体" w:eastAsia="宋体" w:cs="宋体"/>
          <w:color w:val="auto"/>
          <w:sz w:val="24"/>
          <w:highlight w:val="none"/>
        </w:rPr>
        <w:t>3、在中标供应商签订合同并生效后，采购代理机构及时将未中标的结果通知其他投标供应商。</w:t>
      </w:r>
    </w:p>
    <w:p>
      <w:pPr>
        <w:shd w:val="clear" w:color="auto" w:fill="FFFFFF"/>
        <w:snapToGrid w:val="0"/>
        <w:spacing w:line="360" w:lineRule="auto"/>
        <w:ind w:firstLine="540"/>
        <w:rPr>
          <w:rFonts w:ascii="宋体" w:hAnsi="宋体" w:eastAsia="宋体" w:cs="宋体"/>
          <w:color w:val="auto"/>
          <w:sz w:val="24"/>
          <w:highlight w:val="none"/>
        </w:rPr>
      </w:pPr>
      <w:r>
        <w:rPr>
          <w:rFonts w:hint="eastAsia" w:ascii="宋体" w:hAnsi="宋体" w:eastAsia="宋体" w:cs="宋体"/>
          <w:color w:val="auto"/>
          <w:sz w:val="24"/>
          <w:highlight w:val="none"/>
        </w:rPr>
        <w:t>4、如签订合同并生效后，供应商无故拒绝或延期，除按照合同条款处罚外，列入不良行为记录一次，并给予通报。</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（二）合同的签订</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中标供应商按规定的日期、时间、地点，由法定代表人或授权代表人与采购人代表签订合同。</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（三）履约保证金</w:t>
      </w:r>
    </w:p>
    <w:p>
      <w:pPr>
        <w:widowControl/>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签订合同后5个工作日内，中标供应商须向采购人缴纳合同总额2.5％的履约保证金；履约保证金形式：银行转账、银行保函、保险机构保函或融资担保公司保函；（履约保函有效期至竣工验收通过30个日历天后）。</w:t>
      </w:r>
    </w:p>
    <w:p>
      <w:pPr>
        <w:widowControl/>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2、履约保证金的退取：履约保证金待履约完成后7个工作日内无息退还。（中标供应商未按合同要求进行履约的情形除外，如出现未按合同要求履约的情形按合同约定执行）。</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3、中标供应商如未按时交纳履约保证金，采购人有权解除合同。</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（四）付款结算方式</w:t>
      </w:r>
    </w:p>
    <w:p>
      <w:pPr>
        <w:widowControl/>
        <w:shd w:val="clear" w:color="auto" w:fill="FFFFFF"/>
        <w:snapToGrid w:val="0"/>
        <w:spacing w:line="360" w:lineRule="auto"/>
        <w:ind w:firstLine="480" w:firstLineChars="200"/>
        <w:rPr>
          <w:rFonts w:ascii="宋体" w:hAnsi="宋体" w:eastAsia="宋体" w:cs="宋体"/>
          <w:i w:val="0"/>
          <w:iCs w:val="0"/>
          <w:caps w:val="0"/>
          <w:color w:val="auto"/>
          <w:spacing w:val="0"/>
          <w:sz w:val="24"/>
          <w:szCs w:val="24"/>
          <w:highlight w:val="none"/>
          <w:shd w:val="clear"/>
        </w:rPr>
      </w:pPr>
      <w:r>
        <w:rPr>
          <w:rFonts w:hint="default" w:ascii="宋体" w:hAnsi="宋体" w:eastAsia="宋体" w:cs="宋体"/>
          <w:b w:val="0"/>
          <w:bCs w:val="0"/>
          <w:color w:val="auto"/>
          <w:sz w:val="24"/>
          <w:highlight w:val="none"/>
          <w:lang w:val="en-US" w:eastAsia="zh-CN"/>
        </w:rPr>
        <w:t>1、</w:t>
      </w:r>
      <w:r>
        <w:rPr>
          <w:rFonts w:ascii="宋体" w:hAnsi="宋体" w:eastAsia="宋体" w:cs="宋体"/>
          <w:i w:val="0"/>
          <w:iCs w:val="0"/>
          <w:caps w:val="0"/>
          <w:color w:val="auto"/>
          <w:spacing w:val="0"/>
          <w:sz w:val="24"/>
          <w:szCs w:val="24"/>
          <w:highlight w:val="none"/>
          <w:shd w:val="clear"/>
        </w:rPr>
        <w:t>本合同生效后</w:t>
      </w:r>
      <w:r>
        <w:rPr>
          <w:rFonts w:hint="default" w:ascii="宋体" w:hAnsi="宋体" w:eastAsia="宋体" w:cs="宋体"/>
          <w:i w:val="0"/>
          <w:iCs w:val="0"/>
          <w:caps w:val="0"/>
          <w:color w:val="auto"/>
          <w:spacing w:val="0"/>
          <w:sz w:val="24"/>
          <w:szCs w:val="24"/>
          <w:highlight w:val="none"/>
          <w:shd w:val="clear"/>
          <w:lang w:val="en-US" w:eastAsia="zh-CN"/>
        </w:rPr>
        <w:t>14</w:t>
      </w:r>
      <w:r>
        <w:rPr>
          <w:rFonts w:ascii="宋体" w:hAnsi="宋体" w:eastAsia="宋体" w:cs="宋体"/>
          <w:i w:val="0"/>
          <w:iCs w:val="0"/>
          <w:caps w:val="0"/>
          <w:color w:val="auto"/>
          <w:spacing w:val="0"/>
          <w:sz w:val="24"/>
          <w:szCs w:val="24"/>
          <w:highlight w:val="none"/>
          <w:shd w:val="clear"/>
        </w:rPr>
        <w:t>日内，甲方向乙方支付合同价的</w:t>
      </w:r>
      <w:r>
        <w:rPr>
          <w:rFonts w:hint="default" w:ascii="宋体" w:hAnsi="宋体" w:eastAsia="宋体" w:cs="宋体"/>
          <w:i w:val="0"/>
          <w:iCs w:val="0"/>
          <w:caps w:val="0"/>
          <w:color w:val="auto"/>
          <w:spacing w:val="0"/>
          <w:sz w:val="24"/>
          <w:szCs w:val="24"/>
          <w:highlight w:val="none"/>
          <w:shd w:val="clear"/>
          <w:lang w:val="en-US" w:eastAsia="zh-CN"/>
        </w:rPr>
        <w:t>2</w:t>
      </w:r>
      <w:r>
        <w:rPr>
          <w:rFonts w:ascii="宋体" w:hAnsi="宋体" w:eastAsia="宋体" w:cs="宋体"/>
          <w:i w:val="0"/>
          <w:iCs w:val="0"/>
          <w:caps w:val="0"/>
          <w:color w:val="auto"/>
          <w:spacing w:val="0"/>
          <w:sz w:val="24"/>
          <w:szCs w:val="24"/>
          <w:highlight w:val="none"/>
          <w:shd w:val="clear"/>
        </w:rPr>
        <w:t>0%作为预付款。</w:t>
      </w:r>
    </w:p>
    <w:p>
      <w:pPr>
        <w:widowControl/>
        <w:shd w:val="clear" w:color="auto" w:fill="FFFFFF"/>
        <w:snapToGrid w:val="0"/>
        <w:spacing w:line="360" w:lineRule="auto"/>
        <w:ind w:firstLine="480" w:firstLineChars="200"/>
        <w:rPr>
          <w:rFonts w:hint="default" w:ascii="宋体" w:hAnsi="宋体" w:eastAsia="宋体" w:cs="宋体"/>
          <w:i w:val="0"/>
          <w:iCs w:val="0"/>
          <w:caps w:val="0"/>
          <w:color w:val="auto"/>
          <w:spacing w:val="0"/>
          <w:sz w:val="24"/>
          <w:szCs w:val="24"/>
          <w:highlight w:val="none"/>
          <w:shd w:val="clear"/>
        </w:rPr>
      </w:pPr>
      <w:r>
        <w:rPr>
          <w:rFonts w:hint="eastAsia" w:ascii="宋体" w:hAnsi="宋体" w:eastAsia="宋体" w:cs="宋体"/>
          <w:i w:val="0"/>
          <w:iCs w:val="0"/>
          <w:caps w:val="0"/>
          <w:color w:val="auto"/>
          <w:spacing w:val="0"/>
          <w:sz w:val="24"/>
          <w:szCs w:val="24"/>
          <w:highlight w:val="none"/>
          <w:shd w:val="clear"/>
          <w:lang w:val="en-US" w:eastAsia="zh-CN"/>
        </w:rPr>
        <w:t>2、</w:t>
      </w:r>
      <w:r>
        <w:rPr>
          <w:rFonts w:ascii="宋体" w:hAnsi="宋体" w:eastAsia="宋体" w:cs="宋体"/>
          <w:color w:val="auto"/>
          <w:sz w:val="24"/>
          <w:highlight w:val="none"/>
        </w:rPr>
        <w:t>项目</w:t>
      </w:r>
      <w:r>
        <w:rPr>
          <w:rFonts w:hint="default" w:ascii="宋体" w:hAnsi="宋体" w:eastAsia="宋体" w:cs="宋体"/>
          <w:color w:val="auto"/>
          <w:sz w:val="24"/>
          <w:highlight w:val="none"/>
          <w:lang w:val="en-US" w:eastAsia="zh-CN"/>
        </w:rPr>
        <w:t>部署调试完成</w:t>
      </w:r>
      <w:r>
        <w:rPr>
          <w:rFonts w:hint="default" w:ascii="宋体" w:hAnsi="宋体" w:eastAsia="宋体" w:cs="宋体"/>
          <w:i w:val="0"/>
          <w:iCs w:val="0"/>
          <w:caps w:val="0"/>
          <w:color w:val="auto"/>
          <w:spacing w:val="0"/>
          <w:sz w:val="24"/>
          <w:szCs w:val="24"/>
          <w:highlight w:val="none"/>
          <w:shd w:val="clear"/>
        </w:rPr>
        <w:t>后</w:t>
      </w:r>
      <w:r>
        <w:rPr>
          <w:rFonts w:hint="default" w:ascii="宋体" w:hAnsi="宋体" w:eastAsia="宋体" w:cs="宋体"/>
          <w:i w:val="0"/>
          <w:iCs w:val="0"/>
          <w:caps w:val="0"/>
          <w:color w:val="auto"/>
          <w:spacing w:val="0"/>
          <w:sz w:val="24"/>
          <w:szCs w:val="24"/>
          <w:highlight w:val="none"/>
          <w:shd w:val="clear"/>
          <w:lang w:val="en-US" w:eastAsia="zh-CN"/>
        </w:rPr>
        <w:t>14</w:t>
      </w:r>
      <w:r>
        <w:rPr>
          <w:rFonts w:hint="default" w:ascii="宋体" w:hAnsi="宋体" w:eastAsia="宋体" w:cs="宋体"/>
          <w:i w:val="0"/>
          <w:iCs w:val="0"/>
          <w:caps w:val="0"/>
          <w:color w:val="auto"/>
          <w:spacing w:val="0"/>
          <w:sz w:val="24"/>
          <w:szCs w:val="24"/>
          <w:highlight w:val="none"/>
          <w:shd w:val="clear"/>
        </w:rPr>
        <w:t>日内，甲方支付乙方合同价的</w:t>
      </w:r>
      <w:r>
        <w:rPr>
          <w:rFonts w:hint="default" w:ascii="宋体" w:hAnsi="宋体" w:eastAsia="宋体" w:cs="宋体"/>
          <w:i w:val="0"/>
          <w:iCs w:val="0"/>
          <w:caps w:val="0"/>
          <w:color w:val="auto"/>
          <w:spacing w:val="0"/>
          <w:sz w:val="24"/>
          <w:szCs w:val="24"/>
          <w:highlight w:val="none"/>
          <w:shd w:val="clear"/>
          <w:lang w:val="en-US" w:eastAsia="zh-CN"/>
        </w:rPr>
        <w:t>5</w:t>
      </w:r>
      <w:r>
        <w:rPr>
          <w:rFonts w:hint="default" w:ascii="宋体" w:hAnsi="宋体" w:eastAsia="宋体" w:cs="宋体"/>
          <w:i w:val="0"/>
          <w:iCs w:val="0"/>
          <w:caps w:val="0"/>
          <w:color w:val="auto"/>
          <w:spacing w:val="0"/>
          <w:sz w:val="24"/>
          <w:szCs w:val="24"/>
          <w:highlight w:val="none"/>
          <w:shd w:val="clear"/>
        </w:rPr>
        <w:t>0%作为进度款。</w:t>
      </w:r>
    </w:p>
    <w:p>
      <w:pPr>
        <w:widowControl/>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i w:val="0"/>
          <w:iCs w:val="0"/>
          <w:caps w:val="0"/>
          <w:color w:val="auto"/>
          <w:spacing w:val="0"/>
          <w:sz w:val="24"/>
          <w:szCs w:val="24"/>
          <w:highlight w:val="none"/>
          <w:shd w:val="clear"/>
          <w:lang w:val="en-US" w:eastAsia="zh-CN"/>
        </w:rPr>
        <w:t>3、</w:t>
      </w:r>
      <w:r>
        <w:rPr>
          <w:rFonts w:ascii="宋体" w:hAnsi="宋体" w:eastAsia="宋体" w:cs="宋体"/>
          <w:color w:val="auto"/>
          <w:sz w:val="24"/>
          <w:highlight w:val="none"/>
        </w:rPr>
        <w:t>项目验收合格后</w:t>
      </w:r>
      <w:r>
        <w:rPr>
          <w:rFonts w:hint="default" w:ascii="宋体" w:hAnsi="宋体" w:eastAsia="宋体" w:cs="宋体"/>
          <w:color w:val="auto"/>
          <w:sz w:val="24"/>
          <w:highlight w:val="none"/>
          <w:lang w:val="en-US" w:eastAsia="zh-CN"/>
        </w:rPr>
        <w:t>14日内，</w:t>
      </w:r>
      <w:r>
        <w:rPr>
          <w:rFonts w:ascii="宋体" w:hAnsi="宋体" w:eastAsia="宋体" w:cs="宋体"/>
          <w:color w:val="auto"/>
          <w:sz w:val="24"/>
          <w:highlight w:val="none"/>
        </w:rPr>
        <w:t>付</w:t>
      </w:r>
      <w:r>
        <w:rPr>
          <w:rFonts w:hint="default" w:ascii="宋体" w:hAnsi="宋体" w:eastAsia="宋体" w:cs="宋体"/>
          <w:color w:val="auto"/>
          <w:sz w:val="24"/>
          <w:highlight w:val="none"/>
          <w:lang w:val="en-US" w:eastAsia="zh-CN"/>
        </w:rPr>
        <w:t>至结算价的95%，剩余5%作为质保金，待质保期满后无质量问题15日历天内无息退还</w:t>
      </w:r>
      <w:r>
        <w:rPr>
          <w:rFonts w:ascii="宋体" w:hAnsi="宋体" w:eastAsia="宋体" w:cs="宋体"/>
          <w:color w:val="auto"/>
          <w:sz w:val="24"/>
          <w:highlight w:val="none"/>
        </w:rPr>
        <w:t>。</w:t>
      </w:r>
    </w:p>
    <w:p>
      <w:pPr>
        <w:widowControl/>
        <w:shd w:val="clear" w:color="auto" w:fill="FFFFFF"/>
        <w:snapToGrid w:val="0"/>
        <w:spacing w:line="360" w:lineRule="auto"/>
        <w:ind w:firstLine="480" w:firstLineChars="200"/>
        <w:rPr>
          <w:rFonts w:hint="eastAsia" w:ascii="等线" w:hAnsi="等线" w:eastAsia="宋体" w:cs="Times New Roman"/>
          <w:color w:val="auto"/>
          <w:highlight w:val="none"/>
        </w:rPr>
      </w:pPr>
      <w:r>
        <w:rPr>
          <w:rFonts w:hint="eastAsia" w:ascii="宋体" w:hAnsi="宋体" w:eastAsia="宋体" w:cs="宋体"/>
          <w:i w:val="0"/>
          <w:iCs w:val="0"/>
          <w:caps w:val="0"/>
          <w:color w:val="auto"/>
          <w:spacing w:val="0"/>
          <w:sz w:val="24"/>
          <w:szCs w:val="24"/>
          <w:highlight w:val="none"/>
          <w:shd w:val="clear"/>
          <w:lang w:val="en-US" w:eastAsia="zh-CN"/>
        </w:rPr>
        <w:t>4、</w:t>
      </w:r>
      <w:r>
        <w:rPr>
          <w:rFonts w:hint="default" w:ascii="宋体" w:hAnsi="宋体" w:eastAsia="宋体" w:cs="宋体"/>
          <w:i w:val="0"/>
          <w:iCs w:val="0"/>
          <w:caps w:val="0"/>
          <w:color w:val="auto"/>
          <w:spacing w:val="0"/>
          <w:sz w:val="24"/>
          <w:szCs w:val="24"/>
          <w:highlight w:val="none"/>
          <w:shd w:val="clear"/>
        </w:rPr>
        <w:t>每次付款</w:t>
      </w:r>
      <w:r>
        <w:rPr>
          <w:rFonts w:hint="eastAsia" w:ascii="宋体" w:hAnsi="宋体" w:eastAsia="宋体" w:cs="宋体"/>
          <w:i w:val="0"/>
          <w:iCs w:val="0"/>
          <w:caps w:val="0"/>
          <w:color w:val="auto"/>
          <w:spacing w:val="0"/>
          <w:sz w:val="24"/>
          <w:szCs w:val="24"/>
          <w:highlight w:val="none"/>
          <w:shd w:val="clear"/>
          <w:lang w:val="en-US" w:eastAsia="zh-CN"/>
        </w:rPr>
        <w:t>前</w:t>
      </w:r>
      <w:r>
        <w:rPr>
          <w:rFonts w:hint="default" w:ascii="宋体" w:hAnsi="宋体" w:eastAsia="宋体" w:cs="宋体"/>
          <w:i w:val="0"/>
          <w:iCs w:val="0"/>
          <w:caps w:val="0"/>
          <w:color w:val="auto"/>
          <w:spacing w:val="0"/>
          <w:sz w:val="24"/>
          <w:szCs w:val="24"/>
          <w:highlight w:val="none"/>
          <w:shd w:val="clear"/>
        </w:rPr>
        <w:t>，乙方向甲方开具符合税法要求的增值税专用发票。</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（五）供货期</w:t>
      </w:r>
    </w:p>
    <w:p>
      <w:pPr>
        <w:shd w:val="clear" w:color="auto" w:fill="FFFFFF"/>
        <w:snapToGrid w:val="0"/>
        <w:spacing w:line="360" w:lineRule="auto"/>
        <w:ind w:firstLine="482" w:firstLineChars="200"/>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▲1、合同签订之日起</w:t>
      </w:r>
      <w:r>
        <w:rPr>
          <w:rFonts w:hint="eastAsia" w:ascii="宋体" w:hAnsi="宋体" w:eastAsia="宋体" w:cs="宋体"/>
          <w:b/>
          <w:bCs/>
          <w:color w:val="000000" w:themeColor="text1"/>
          <w:sz w:val="24"/>
          <w:highlight w:val="none"/>
          <w:lang w:val="en-US" w:eastAsia="zh-CN"/>
          <w14:textFill>
            <w14:solidFill>
              <w14:schemeClr w14:val="tx1"/>
            </w14:solidFill>
          </w14:textFill>
        </w:rPr>
        <w:t>60</w:t>
      </w:r>
      <w:r>
        <w:rPr>
          <w:rFonts w:hint="eastAsia" w:ascii="宋体" w:hAnsi="宋体" w:eastAsia="宋体" w:cs="宋体"/>
          <w:b/>
          <w:bCs/>
          <w:color w:val="000000" w:themeColor="text1"/>
          <w:sz w:val="24"/>
          <w:highlight w:val="none"/>
          <w14:textFill>
            <w14:solidFill>
              <w14:schemeClr w14:val="tx1"/>
            </w14:solidFill>
          </w14:textFill>
        </w:rPr>
        <w:t>日历天内供货安装完毕并通过采购人验收。</w:t>
      </w:r>
    </w:p>
    <w:p>
      <w:pPr>
        <w:shd w:val="clear" w:color="auto" w:fill="FFFFFF"/>
        <w:snapToGrid w:val="0"/>
        <w:spacing w:line="360" w:lineRule="auto"/>
        <w:rPr>
          <w:rFonts w:ascii="宋体" w:hAnsi="宋体" w:eastAsia="宋体" w:cs="宋体"/>
          <w:color w:val="auto"/>
          <w:kern w:val="0"/>
          <w:sz w:val="24"/>
          <w:highlight w:val="none"/>
          <w:lang w:val="zh-CN"/>
        </w:rPr>
      </w:pPr>
      <w:r>
        <w:rPr>
          <w:rFonts w:hint="eastAsia" w:ascii="宋体" w:hAnsi="宋体" w:eastAsia="宋体" w:cs="宋体"/>
          <w:b/>
          <w:bCs/>
          <w:color w:val="auto"/>
          <w:sz w:val="24"/>
          <w:highlight w:val="none"/>
        </w:rPr>
        <w:t>（六）采购方式改变</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在符合资格的投标供应商不足规定数量或投标供应商提供的服务及其报价、服务承诺等不能满足采购人要求，以及招标过程中出现其他不正常情况时，经批准，采购代理机构</w:t>
      </w:r>
      <w:r>
        <w:rPr>
          <w:rFonts w:hint="eastAsia" w:ascii="宋体" w:hAnsi="宋体" w:eastAsia="宋体" w:cs="宋体"/>
          <w:color w:val="auto"/>
          <w:sz w:val="24"/>
          <w:highlight w:val="none"/>
          <w:lang w:val="zh-CN"/>
        </w:rPr>
        <w:t>将</w:t>
      </w:r>
      <w:r>
        <w:rPr>
          <w:rFonts w:hint="eastAsia" w:ascii="宋体" w:hAnsi="宋体" w:eastAsia="宋体" w:cs="宋体"/>
          <w:color w:val="auto"/>
          <w:sz w:val="24"/>
          <w:highlight w:val="none"/>
        </w:rPr>
        <w:t>参重新选择合适的方式进行采购。</w:t>
      </w:r>
    </w:p>
    <w:p>
      <w:pPr>
        <w:shd w:val="clear" w:color="auto" w:fill="FFFFFF"/>
        <w:tabs>
          <w:tab w:val="left" w:pos="0"/>
        </w:tabs>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（七）售后服务考核</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对供应商进行考核，发现弄虚作假，偷工减料，以次充好，达不到国家、行业有关标准和技术文件规定的，一经查实，采购人将视情况终止合同，并上报苍南县旅游投资集团有限公司。</w:t>
      </w:r>
    </w:p>
    <w:p>
      <w:pPr>
        <w:snapToGrid w:val="0"/>
        <w:spacing w:line="360" w:lineRule="auto"/>
        <w:rPr>
          <w:rFonts w:ascii="宋体" w:hAnsi="宋体" w:eastAsia="宋体" w:cs="宋体"/>
          <w:b/>
          <w:color w:val="auto"/>
          <w:sz w:val="24"/>
          <w:highlight w:val="none"/>
        </w:rPr>
      </w:pPr>
      <w:r>
        <w:rPr>
          <w:rFonts w:hint="eastAsia" w:ascii="宋体" w:hAnsi="宋体" w:eastAsia="宋体" w:cs="宋体"/>
          <w:b/>
          <w:color w:val="auto"/>
          <w:sz w:val="24"/>
          <w:highlight w:val="none"/>
        </w:rPr>
        <w:t>（八）质疑</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投标供应商对采购活动事项有疑问的，可以向采购人和采购代理机构提出询问，采购人和采购代理机构应当及时作出答复，但答复的内容不得涉及商业秘密。  </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1、供应商认为招标文件、采购过程和成交、成交结果使自己的权益受到损害的，可以在知道或者应知其权益受到损害之日起七个工作日内，以书面形式向采购人、采购代理机构提出质疑。</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（1）对可以质疑的招标文件提出质疑的，为收到招标文件之日或者招标文件公告期限届满之日；</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（2）对采购过程提出质疑的，为各采购程序环节结束之日；</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（3）对成交结果提出质疑的，为成交结果公告期限届满之日。</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2、采购人或者采购代理机构应当在3个工作日内对供应商依法提出的询问作出答复。</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供应商提出的询问或者质疑超出采购人对采购代理机构委托授权范围的，采购代理机构应当告知供应商向采购人提出。</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采购评审专家应当配合采购人或者采购代理机构答复供应商的询问和质疑。</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3、质疑供应商对采购人、采购代理机构的答复不满意或者采购人、采购代理机构未在规定时间内作出答复的，可以在答复期满后十五个工作日内向人民法院提起诉讼。</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4、要求投标供应商在法定质疑期内一次性提出针对同一招标程序环节的质疑。</w:t>
      </w:r>
    </w:p>
    <w:p>
      <w:pPr>
        <w:shd w:val="clear" w:color="auto" w:fill="FFFFFF"/>
        <w:snapToGrid w:val="0"/>
        <w:spacing w:line="360" w:lineRule="auto"/>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val="zh-CN"/>
        </w:rPr>
        <w:t>（九）</w:t>
      </w:r>
      <w:r>
        <w:rPr>
          <w:rFonts w:hint="eastAsia" w:ascii="宋体" w:hAnsi="宋体" w:eastAsia="宋体" w:cs="宋体"/>
          <w:b/>
          <w:bCs/>
          <w:color w:val="auto"/>
          <w:sz w:val="24"/>
          <w:highlight w:val="none"/>
        </w:rPr>
        <w:t>解释权</w:t>
      </w:r>
    </w:p>
    <w:p>
      <w:pPr>
        <w:shd w:val="clear" w:color="auto" w:fill="FFFFFF"/>
        <w:snapToGrid w:val="0"/>
        <w:spacing w:line="360" w:lineRule="auto"/>
        <w:ind w:firstLine="480" w:firstLineChars="200"/>
        <w:rPr>
          <w:rFonts w:ascii="宋体" w:hAnsi="宋体" w:cs="宋体"/>
          <w:color w:val="auto"/>
          <w:spacing w:val="-11"/>
          <w:sz w:val="24"/>
          <w:highlight w:val="none"/>
        </w:rPr>
        <w:sectPr>
          <w:footerReference r:id="rId3" w:type="default"/>
          <w:pgSz w:w="11906" w:h="16838"/>
          <w:pgMar w:top="1440" w:right="1106" w:bottom="1440" w:left="1622" w:header="851" w:footer="992" w:gutter="0"/>
          <w:pgNumType w:start="1"/>
          <w:cols w:space="720" w:num="1"/>
          <w:docGrid w:linePitch="312" w:charSpace="0"/>
        </w:sectPr>
      </w:pPr>
      <w:r>
        <w:rPr>
          <w:rFonts w:hint="eastAsia" w:ascii="宋体" w:hAnsi="宋体" w:eastAsia="宋体" w:cs="宋体"/>
          <w:color w:val="auto"/>
          <w:sz w:val="24"/>
          <w:highlight w:val="none"/>
        </w:rPr>
        <w:t>招标文件的解释权均属于苍南县旅游投资集团有限公司和浙江之信工程项目管理有限公司</w:t>
      </w:r>
      <w:r>
        <w:rPr>
          <w:rFonts w:hint="eastAsia" w:ascii="宋体" w:hAnsi="宋体" w:eastAsia="宋体" w:cs="宋体"/>
          <w:color w:val="auto"/>
          <w:spacing w:val="-11"/>
          <w:sz w:val="24"/>
          <w:highlight w:val="none"/>
        </w:rPr>
        <w:t>。</w:t>
      </w:r>
    </w:p>
    <w:p>
      <w:pPr>
        <w:pageBreakBefore/>
        <w:numPr>
          <w:ilvl w:val="0"/>
          <w:numId w:val="5"/>
        </w:numPr>
        <w:shd w:val="clear" w:color="auto" w:fill="FFFFFF"/>
        <w:snapToGrid w:val="0"/>
        <w:spacing w:line="360" w:lineRule="auto"/>
        <w:jc w:val="center"/>
        <w:outlineLvl w:val="0"/>
        <w:rPr>
          <w:rFonts w:ascii="宋体" w:hAnsi="宋体" w:eastAsia="宋体" w:cs="宋体"/>
          <w:b/>
          <w:bCs/>
          <w:color w:val="auto"/>
          <w:sz w:val="28"/>
          <w:szCs w:val="28"/>
          <w:highlight w:val="none"/>
        </w:rPr>
      </w:pPr>
      <w:bookmarkStart w:id="90" w:name="_Toc33194400"/>
      <w:r>
        <w:rPr>
          <w:rFonts w:hint="eastAsia" w:ascii="宋体" w:hAnsi="宋体" w:eastAsia="宋体" w:cs="宋体"/>
          <w:b/>
          <w:bCs/>
          <w:color w:val="auto"/>
          <w:sz w:val="28"/>
          <w:szCs w:val="28"/>
          <w:highlight w:val="none"/>
        </w:rPr>
        <w:t xml:space="preserve"> </w:t>
      </w:r>
      <w:bookmarkStart w:id="91" w:name="_Toc517787193"/>
      <w:r>
        <w:rPr>
          <w:rFonts w:hint="eastAsia" w:ascii="宋体" w:hAnsi="宋体" w:eastAsia="宋体" w:cs="宋体"/>
          <w:b/>
          <w:bCs/>
          <w:color w:val="auto"/>
          <w:sz w:val="28"/>
          <w:szCs w:val="28"/>
          <w:highlight w:val="none"/>
        </w:rPr>
        <w:t>项目技术规范和服务要求</w:t>
      </w:r>
      <w:bookmarkEnd w:id="90"/>
      <w:bookmarkEnd w:id="91"/>
    </w:p>
    <w:p>
      <w:pPr>
        <w:autoSpaceDE w:val="0"/>
        <w:autoSpaceDN w:val="0"/>
        <w:adjustRightInd w:val="0"/>
        <w:snapToGrid w:val="0"/>
        <w:spacing w:line="360" w:lineRule="auto"/>
        <w:textAlignment w:val="bottom"/>
        <w:outlineLvl w:val="1"/>
        <w:rPr>
          <w:rFonts w:ascii="宋体" w:hAnsi="宋体" w:eastAsia="宋体" w:cs="宋体"/>
          <w:b/>
          <w:color w:val="auto"/>
          <w:sz w:val="24"/>
          <w:highlight w:val="none"/>
        </w:rPr>
      </w:pPr>
      <w:bookmarkStart w:id="92" w:name="_Toc1859796439"/>
      <w:bookmarkStart w:id="93" w:name="_Toc444066171"/>
      <w:r>
        <w:rPr>
          <w:rFonts w:hint="eastAsia" w:ascii="宋体" w:hAnsi="宋体" w:eastAsia="宋体" w:cs="宋体"/>
          <w:b/>
          <w:color w:val="auto"/>
          <w:sz w:val="24"/>
          <w:highlight w:val="none"/>
        </w:rPr>
        <w:t>一、总述</w:t>
      </w:r>
      <w:bookmarkEnd w:id="92"/>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1、本章节是采购人对采购需求的基本描述，并未对所有技术细节作出规定，投标供应商应提供符合本需求以及国家标准、行业标准的优质产品前来投标。</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2、投标供应商的投标产品与采购需求不一致时，应在投标文件中如实说明，供评标委员会进行评审。供应商如未在投标文件中提出异议，则视为供应商提供的产品完全响应采购要求。</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3、技术要求及标准的执行</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供应商提供的产品应标明所执行的质量标准，若同一标准已颁发新标准，则按最新标准执行。若同一产品同时有几个标准（国际标准、国家标准、行业标准、企业标准等），则按最高层次的标准执行。</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中标供应商须随产品提供使用说明书与维保卡。供应商提供相关数据与说明，投标文件须对下列要求作出实质性回应。</w:t>
      </w:r>
    </w:p>
    <w:p>
      <w:pPr>
        <w:numPr>
          <w:ilvl w:val="0"/>
          <w:numId w:val="6"/>
        </w:numPr>
        <w:spacing w:line="360" w:lineRule="auto"/>
        <w:outlineLvl w:val="1"/>
        <w:rPr>
          <w:rFonts w:ascii="宋体" w:hAnsi="宋体" w:eastAsia="宋体" w:cs="宋体"/>
          <w:b/>
          <w:color w:val="auto"/>
          <w:sz w:val="24"/>
          <w:highlight w:val="none"/>
        </w:rPr>
      </w:pPr>
      <w:bookmarkStart w:id="94" w:name="_Toc787171708"/>
      <w:r>
        <w:rPr>
          <w:rFonts w:hint="eastAsia" w:ascii="宋体" w:hAnsi="宋体" w:eastAsia="宋体" w:cs="宋体"/>
          <w:b/>
          <w:color w:val="auto"/>
          <w:sz w:val="24"/>
          <w:highlight w:val="none"/>
        </w:rPr>
        <w:t>采购内容、要求及清单</w:t>
      </w:r>
      <w:bookmarkEnd w:id="94"/>
      <w:r>
        <w:rPr>
          <w:rFonts w:hint="eastAsia" w:ascii="宋体" w:hAnsi="宋体" w:eastAsia="宋体" w:cs="宋体"/>
          <w:b/>
          <w:color w:val="auto"/>
          <w:sz w:val="24"/>
          <w:highlight w:val="none"/>
        </w:rPr>
        <w:t xml:space="preserve"> </w:t>
      </w:r>
    </w:p>
    <w:p>
      <w:pPr>
        <w:numPr>
          <w:ilvl w:val="2"/>
          <w:numId w:val="7"/>
        </w:numPr>
        <w:spacing w:line="360" w:lineRule="auto"/>
        <w:ind w:left="0" w:firstLine="426" w:firstLineChars="177"/>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项目简介</w:t>
      </w:r>
    </w:p>
    <w:p>
      <w:pPr>
        <w:spacing w:line="360" w:lineRule="auto"/>
        <w:ind w:firstLine="424" w:firstLineChars="177"/>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lang w:eastAsia="zh-CN"/>
        </w:rPr>
        <w:t>玉苍山旅游集散中心三期-鹅峰书院数字化项目</w:t>
      </w:r>
    </w:p>
    <w:p>
      <w:pPr>
        <w:spacing w:line="360" w:lineRule="auto"/>
        <w:ind w:firstLine="424" w:firstLineChars="177"/>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项目地点：温州市苍南</w:t>
      </w:r>
      <w:r>
        <w:rPr>
          <w:rFonts w:hint="eastAsia" w:ascii="宋体" w:hAnsi="宋体" w:eastAsia="宋体" w:cs="宋体"/>
          <w:color w:val="auto"/>
          <w:sz w:val="24"/>
          <w:highlight w:val="none"/>
          <w:lang w:val="en-US" w:eastAsia="zh-CN"/>
        </w:rPr>
        <w:t>县</w:t>
      </w:r>
    </w:p>
    <w:p>
      <w:pPr>
        <w:numPr>
          <w:ilvl w:val="2"/>
          <w:numId w:val="7"/>
        </w:numPr>
        <w:spacing w:line="360" w:lineRule="auto"/>
        <w:ind w:left="0" w:firstLine="426" w:firstLineChars="177"/>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建设内容</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鹅峰书院项目位于桥墩镇大玉苍山旅游集散中心，用地面积</w:t>
      </w:r>
      <w:r>
        <w:rPr>
          <w:rFonts w:ascii="宋体" w:hAnsi="宋体" w:eastAsia="宋体" w:cs="宋体"/>
          <w:color w:val="auto"/>
          <w:sz w:val="24"/>
          <w:highlight w:val="none"/>
        </w:rPr>
        <w:t>1120平方米，展陈和使用面积2200平米。</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书院为两层建筑，设计成传统四合院样式，坐北朝南，背靠鹅峰山南麓，面临横阳支江之水，山环水抱，气势雄伟庄重。鹅峰书院建成后将成为一个多功能的文旅载体。院内设有地域历史文化展厅、展示馆、图书馆，包含研学、培训、文创等功能场所，融合诗路浙江</w:t>
      </w:r>
      <w:r>
        <w:rPr>
          <w:rFonts w:ascii="宋体" w:hAnsi="宋体" w:eastAsia="宋体" w:cs="宋体"/>
          <w:color w:val="auto"/>
          <w:sz w:val="24"/>
          <w:highlight w:val="none"/>
        </w:rPr>
        <w:t>"瓯江山水诗路"文化、宋韵古贤文化、民俗非遗文化、传统产业文化、名胜古迹以及桥墩镇域内景区旅游攻略等文旅项目。鹅峰书院将办成桥墩镇乃至苍南县对外文化交流和展示的重要窗口，成为桥墩镇的文化地标。</w:t>
      </w:r>
    </w:p>
    <w:p>
      <w:pPr>
        <w:numPr>
          <w:ilvl w:val="2"/>
          <w:numId w:val="7"/>
        </w:numPr>
        <w:spacing w:line="360" w:lineRule="auto"/>
        <w:ind w:left="0" w:firstLine="426" w:firstLineChars="177"/>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总体要求</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打造宋韵文化，以数字化赋能新时代全域旅游集散中心，实现文化</w:t>
      </w:r>
      <w:r>
        <w:rPr>
          <w:rFonts w:ascii="宋体" w:hAnsi="宋体" w:eastAsia="宋体" w:cs="宋体"/>
          <w:color w:val="auto"/>
          <w:sz w:val="24"/>
          <w:highlight w:val="none"/>
        </w:rPr>
        <w:t>+旅游+互联网+产业融合发展。</w:t>
      </w:r>
    </w:p>
    <w:p>
      <w:pPr>
        <w:spacing w:line="360" w:lineRule="auto"/>
        <w:ind w:firstLine="424" w:firstLineChars="177"/>
        <w:rPr>
          <w:rFonts w:ascii="宋体" w:hAnsi="宋体" w:eastAsia="宋体" w:cs="宋体"/>
          <w:color w:val="auto"/>
          <w:sz w:val="24"/>
          <w:highlight w:val="none"/>
        </w:rPr>
      </w:pPr>
      <w:r>
        <w:rPr>
          <w:rFonts w:ascii="宋体" w:hAnsi="宋体" w:eastAsia="宋体" w:cs="宋体"/>
          <w:color w:val="auto"/>
          <w:sz w:val="24"/>
          <w:highlight w:val="none"/>
        </w:rPr>
        <w:t>1）</w:t>
      </w:r>
      <w:r>
        <w:rPr>
          <w:rFonts w:ascii="宋体" w:hAnsi="宋体" w:eastAsia="宋体" w:cs="宋体"/>
          <w:color w:val="auto"/>
          <w:sz w:val="24"/>
          <w:highlight w:val="none"/>
        </w:rPr>
        <w:tab/>
      </w:r>
      <w:r>
        <w:rPr>
          <w:rFonts w:ascii="宋体" w:hAnsi="宋体" w:eastAsia="宋体" w:cs="宋体"/>
          <w:color w:val="auto"/>
          <w:sz w:val="24"/>
          <w:highlight w:val="none"/>
        </w:rPr>
        <w:t>以宋韵为设计基调：</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鹅峰书院是宋韵文化、耕读文化、书院文化的典型载体，是中国优秀传统文化的代表。在设计中体现宋代清秀淡雅的文人气息。</w:t>
      </w:r>
    </w:p>
    <w:p>
      <w:pPr>
        <w:spacing w:line="360" w:lineRule="auto"/>
        <w:ind w:firstLine="424" w:firstLineChars="177"/>
        <w:rPr>
          <w:rFonts w:ascii="宋体" w:hAnsi="宋体" w:eastAsia="宋体" w:cs="宋体"/>
          <w:color w:val="auto"/>
          <w:sz w:val="24"/>
          <w:highlight w:val="none"/>
        </w:rPr>
      </w:pPr>
      <w:r>
        <w:rPr>
          <w:rFonts w:ascii="宋体" w:hAnsi="宋体" w:eastAsia="宋体" w:cs="宋体"/>
          <w:color w:val="auto"/>
          <w:sz w:val="24"/>
          <w:highlight w:val="none"/>
        </w:rPr>
        <w:t>2）</w:t>
      </w:r>
      <w:r>
        <w:rPr>
          <w:rFonts w:ascii="宋体" w:hAnsi="宋体" w:eastAsia="宋体" w:cs="宋体"/>
          <w:color w:val="auto"/>
          <w:sz w:val="24"/>
          <w:highlight w:val="none"/>
        </w:rPr>
        <w:tab/>
      </w:r>
      <w:r>
        <w:rPr>
          <w:rFonts w:ascii="宋体" w:hAnsi="宋体" w:eastAsia="宋体" w:cs="宋体"/>
          <w:color w:val="auto"/>
          <w:sz w:val="24"/>
          <w:highlight w:val="none"/>
        </w:rPr>
        <w:t>以文化导流实现全域旅游：</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深入挖掘和展示苍南文化，让“每个游客都是苍南文化代言人”，打造苍南文化第一地标，成为苍南文旅展示平台，构建多条文化路线和数字文化系统建设，实现全域旅游的目标。</w:t>
      </w:r>
    </w:p>
    <w:p>
      <w:pPr>
        <w:spacing w:line="360" w:lineRule="auto"/>
        <w:ind w:firstLine="424" w:firstLineChars="177"/>
        <w:rPr>
          <w:rFonts w:ascii="宋体" w:hAnsi="宋体" w:eastAsia="宋体" w:cs="宋体"/>
          <w:color w:val="auto"/>
          <w:sz w:val="24"/>
          <w:highlight w:val="none"/>
        </w:rPr>
      </w:pPr>
      <w:r>
        <w:rPr>
          <w:rFonts w:ascii="宋体" w:hAnsi="宋体" w:eastAsia="宋体" w:cs="宋体"/>
          <w:color w:val="auto"/>
          <w:sz w:val="24"/>
          <w:highlight w:val="none"/>
        </w:rPr>
        <w:t>3）</w:t>
      </w:r>
      <w:r>
        <w:rPr>
          <w:rFonts w:ascii="宋体" w:hAnsi="宋体" w:eastAsia="宋体" w:cs="宋体"/>
          <w:color w:val="auto"/>
          <w:sz w:val="24"/>
          <w:highlight w:val="none"/>
        </w:rPr>
        <w:tab/>
      </w:r>
      <w:r>
        <w:rPr>
          <w:rFonts w:ascii="宋体" w:hAnsi="宋体" w:eastAsia="宋体" w:cs="宋体"/>
          <w:color w:val="auto"/>
          <w:sz w:val="24"/>
          <w:highlight w:val="none"/>
        </w:rPr>
        <w:t>以数字化展陈推动文旅融合：</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以最新的数字文化展陈技术，包括但不限于短视频自动生成技术、数据库和互联网技术等，将作为以鹅峰书院为代表的苍南文化研究成果进行转化应用，打造高规格的鹅峰书院文化</w:t>
      </w:r>
      <w:r>
        <w:rPr>
          <w:rFonts w:hint="default" w:ascii="宋体" w:hAnsi="宋体" w:eastAsia="宋体" w:cs="宋体"/>
          <w:color w:val="auto"/>
          <w:sz w:val="24"/>
          <w:highlight w:val="none"/>
        </w:rPr>
        <w:t>展示馆</w:t>
      </w:r>
      <w:r>
        <w:rPr>
          <w:rFonts w:hint="eastAsia" w:ascii="宋体" w:hAnsi="宋体" w:eastAsia="宋体" w:cs="宋体"/>
          <w:color w:val="auto"/>
          <w:sz w:val="24"/>
          <w:highlight w:val="none"/>
        </w:rPr>
        <w:t>、苍南武学文化体验中心、苍南全域旅游展示中心，推动苍南地区文化和旅游的创新性发展。</w:t>
      </w:r>
    </w:p>
    <w:p>
      <w:pPr>
        <w:spacing w:line="360" w:lineRule="auto"/>
        <w:ind w:firstLine="424" w:firstLineChars="177"/>
        <w:rPr>
          <w:rFonts w:ascii="宋体" w:hAnsi="宋体" w:eastAsia="宋体" w:cs="宋体"/>
          <w:color w:val="auto"/>
          <w:sz w:val="24"/>
          <w:highlight w:val="none"/>
        </w:rPr>
      </w:pPr>
    </w:p>
    <w:p>
      <w:pPr>
        <w:numPr>
          <w:ilvl w:val="2"/>
          <w:numId w:val="7"/>
        </w:numPr>
        <w:spacing w:line="360" w:lineRule="auto"/>
        <w:ind w:left="0" w:firstLine="426" w:firstLineChars="177"/>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项目建设内容</w:t>
      </w:r>
    </w:p>
    <w:p>
      <w:pPr>
        <w:widowControl w:val="0"/>
        <w:autoSpaceDE w:val="0"/>
        <w:autoSpaceDN w:val="0"/>
        <w:adjustRightInd w:val="0"/>
        <w:spacing w:line="360" w:lineRule="auto"/>
        <w:ind w:firstLine="424" w:firstLineChars="177"/>
        <w:jc w:val="both"/>
        <w:rPr>
          <w:rFonts w:ascii="宋体" w:hAnsi="宋体" w:eastAsia="宋体" w:cs="宋体"/>
          <w:color w:val="auto"/>
          <w:kern w:val="2"/>
          <w:sz w:val="24"/>
          <w:szCs w:val="28"/>
          <w:highlight w:val="none"/>
          <w:lang w:val="zh-CN" w:eastAsia="zh-CN" w:bidi="ar-SA"/>
        </w:rPr>
      </w:pPr>
    </w:p>
    <w:p>
      <w:pPr>
        <w:spacing w:line="360" w:lineRule="auto"/>
        <w:ind w:firstLine="426" w:firstLineChars="177"/>
        <w:outlineLvl w:val="3"/>
        <w:rPr>
          <w:rFonts w:ascii="宋体" w:hAnsi="宋体" w:eastAsia="宋体" w:cs="宋体"/>
          <w:color w:val="auto"/>
          <w:sz w:val="24"/>
          <w:highlight w:val="none"/>
        </w:rPr>
      </w:pPr>
      <w:r>
        <w:rPr>
          <w:rFonts w:hint="eastAsia" w:ascii="宋体" w:hAnsi="宋体" w:eastAsia="宋体" w:cs="宋体"/>
          <w:b/>
          <w:bCs/>
          <w:color w:val="auto"/>
          <w:sz w:val="24"/>
          <w:highlight w:val="none"/>
        </w:rPr>
        <w:t>4.1 第一展区</w:t>
      </w:r>
    </w:p>
    <w:p>
      <w:pPr>
        <w:numPr>
          <w:ilvl w:val="0"/>
          <w:numId w:val="8"/>
        </w:numPr>
        <w:spacing w:line="360" w:lineRule="auto"/>
        <w:ind w:firstLine="426" w:firstLineChars="177"/>
        <w:outlineLvl w:val="4"/>
        <w:rPr>
          <w:rFonts w:ascii="宋体" w:hAnsi="宋体" w:eastAsia="宋体" w:cs="宋体"/>
          <w:b/>
          <w:bCs/>
          <w:color w:val="auto"/>
          <w:sz w:val="24"/>
          <w:highlight w:val="none"/>
        </w:rPr>
      </w:pPr>
      <w:r>
        <w:rPr>
          <w:rFonts w:ascii="宋体" w:hAnsi="宋体" w:eastAsia="宋体" w:cs="宋体"/>
          <w:b/>
          <w:bCs/>
          <w:color w:val="auto"/>
          <w:sz w:val="24"/>
          <w:highlight w:val="none"/>
        </w:rPr>
        <w:t>鹅峰探秘数据图谱互动</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通过多点触控数字互动展项，支持让游客通过探索式交互，自主发现鹅峰当地文化要素和历史故事。</w:t>
      </w:r>
    </w:p>
    <w:p>
      <w:pPr>
        <w:rPr>
          <w:rFonts w:ascii="宋体" w:hAnsi="宋体" w:eastAsia="宋体" w:cs="宋体"/>
          <w:color w:val="auto"/>
          <w:sz w:val="24"/>
          <w:highlight w:val="none"/>
        </w:rPr>
      </w:pPr>
      <w:r>
        <w:rPr>
          <w:rFonts w:hint="eastAsia" w:ascii="宋体" w:hAnsi="宋体" w:eastAsia="宋体" w:cs="宋体"/>
          <w:color w:val="auto"/>
          <w:sz w:val="24"/>
          <w:highlight w:val="none"/>
        </w:rPr>
        <w:tab/>
      </w:r>
      <w:r>
        <w:rPr>
          <w:rFonts w:ascii="宋体" w:hAnsi="宋体" w:eastAsia="宋体" w:cs="宋体"/>
          <w:b/>
          <w:bCs/>
          <w:color w:val="auto"/>
          <w:sz w:val="24"/>
          <w:highlight w:val="none"/>
        </w:rPr>
        <w:t xml:space="preserve">4.2 </w:t>
      </w:r>
      <w:r>
        <w:rPr>
          <w:rFonts w:hint="eastAsia" w:ascii="宋体" w:hAnsi="宋体" w:eastAsia="宋体" w:cs="宋体"/>
          <w:b/>
          <w:bCs/>
          <w:color w:val="auto"/>
          <w:sz w:val="24"/>
          <w:highlight w:val="none"/>
        </w:rPr>
        <w:t>第二展区</w:t>
      </w:r>
    </w:p>
    <w:p>
      <w:pPr>
        <w:numPr>
          <w:ilvl w:val="0"/>
          <w:numId w:val="9"/>
        </w:numPr>
        <w:spacing w:line="360" w:lineRule="auto"/>
        <w:ind w:firstLine="426"/>
        <w:outlineLvl w:val="4"/>
        <w:rPr>
          <w:rFonts w:ascii="宋体" w:hAnsi="宋体" w:eastAsia="宋体" w:cs="宋体"/>
          <w:b/>
          <w:bCs/>
          <w:color w:val="auto"/>
          <w:sz w:val="24"/>
          <w:highlight w:val="none"/>
        </w:rPr>
      </w:pPr>
      <w:r>
        <w:rPr>
          <w:rFonts w:hint="eastAsia" w:ascii="宋体" w:hAnsi="宋体" w:eastAsia="宋体" w:cs="宋体"/>
          <w:b/>
          <w:bCs/>
          <w:color w:val="auto"/>
          <w:sz w:val="24"/>
          <w:highlight w:val="none"/>
        </w:rPr>
        <w:t>学风鼎盛时间轴</w:t>
      </w:r>
      <w:r>
        <w:rPr>
          <w:rFonts w:ascii="宋体" w:hAnsi="宋体" w:eastAsia="宋体" w:cs="宋体"/>
          <w:b/>
          <w:bCs/>
          <w:color w:val="auto"/>
          <w:sz w:val="24"/>
          <w:highlight w:val="none"/>
        </w:rPr>
        <w:t xml:space="preserve"> </w:t>
      </w:r>
    </w:p>
    <w:p>
      <w:pPr>
        <w:widowControl w:val="0"/>
        <w:autoSpaceDE w:val="0"/>
        <w:autoSpaceDN w:val="0"/>
        <w:adjustRightInd w:val="0"/>
        <w:spacing w:line="360" w:lineRule="auto"/>
        <w:ind w:firstLine="420"/>
        <w:jc w:val="both"/>
        <w:rPr>
          <w:rFonts w:ascii="宋体" w:hAnsi="Times New Roman" w:eastAsia="宋体" w:cs="Times New Roman"/>
          <w:color w:val="auto"/>
          <w:sz w:val="24"/>
          <w:szCs w:val="28"/>
          <w:highlight w:val="none"/>
          <w:lang w:val="zh-CN"/>
        </w:rPr>
      </w:pPr>
      <w:r>
        <w:rPr>
          <w:rFonts w:hint="eastAsia" w:ascii="宋体" w:hAnsi="Times New Roman" w:eastAsia="宋体" w:cs="Times New Roman"/>
          <w:color w:val="auto"/>
          <w:sz w:val="24"/>
          <w:szCs w:val="28"/>
          <w:highlight w:val="none"/>
          <w:lang w:val="zh-CN"/>
        </w:rPr>
        <w:t>通过知识图谱构建技术，构建宋代苍南进士状元名录数字化图谱，要求</w:t>
      </w:r>
      <w:r>
        <w:rPr>
          <w:rFonts w:hint="default" w:ascii="宋体" w:hAnsi="Times New Roman" w:eastAsia="宋体" w:cs="Times New Roman"/>
          <w:color w:val="auto"/>
          <w:sz w:val="24"/>
          <w:szCs w:val="28"/>
          <w:highlight w:val="none"/>
          <w:lang w:val="zh-CN"/>
        </w:rPr>
        <w:t>以苍南地图为底图，展示不同乡镇的进士数据，并</w:t>
      </w:r>
      <w:r>
        <w:rPr>
          <w:rFonts w:hint="eastAsia" w:ascii="宋体" w:hAnsi="Times New Roman" w:eastAsia="宋体" w:cs="Times New Roman"/>
          <w:color w:val="auto"/>
          <w:sz w:val="24"/>
          <w:szCs w:val="28"/>
          <w:highlight w:val="none"/>
          <w:lang w:val="zh-CN"/>
        </w:rPr>
        <w:t>在“详情页”支持</w:t>
      </w:r>
      <w:r>
        <w:rPr>
          <w:rFonts w:hint="default" w:ascii="宋体" w:hAnsi="Times New Roman" w:eastAsia="宋体" w:cs="Times New Roman"/>
          <w:color w:val="auto"/>
          <w:sz w:val="24"/>
          <w:szCs w:val="28"/>
          <w:highlight w:val="none"/>
          <w:lang w:val="zh-CN"/>
        </w:rPr>
        <w:t>查看人物</w:t>
      </w:r>
      <w:r>
        <w:rPr>
          <w:rFonts w:hint="eastAsia" w:ascii="宋体" w:hAnsi="Times New Roman" w:eastAsia="宋体" w:cs="Times New Roman"/>
          <w:color w:val="auto"/>
          <w:sz w:val="24"/>
          <w:szCs w:val="28"/>
          <w:highlight w:val="none"/>
          <w:lang w:val="zh-CN"/>
        </w:rPr>
        <w:t>详细内容和人物关系介绍。</w:t>
      </w:r>
    </w:p>
    <w:p>
      <w:pPr>
        <w:numPr>
          <w:ilvl w:val="0"/>
          <w:numId w:val="9"/>
        </w:numPr>
        <w:spacing w:line="360" w:lineRule="auto"/>
        <w:ind w:firstLine="426" w:firstLineChars="177"/>
        <w:outlineLvl w:val="4"/>
        <w:rPr>
          <w:rFonts w:ascii="宋体" w:hAnsi="宋体" w:eastAsia="宋体" w:cs="宋体"/>
          <w:b/>
          <w:bCs/>
          <w:color w:val="auto"/>
          <w:sz w:val="24"/>
          <w:highlight w:val="none"/>
        </w:rPr>
      </w:pPr>
      <w:r>
        <w:rPr>
          <w:rFonts w:hint="eastAsia" w:ascii="宋体" w:hAnsi="宋体" w:eastAsia="宋体" w:cs="宋体"/>
          <w:b/>
          <w:bCs/>
          <w:color w:val="auto"/>
          <w:sz w:val="24"/>
          <w:highlight w:val="none"/>
        </w:rPr>
        <w:t>博文精武入画</w:t>
      </w:r>
    </w:p>
    <w:p>
      <w:pPr>
        <w:keepNext w:val="0"/>
        <w:keepLines w:val="0"/>
        <w:widowControl/>
        <w:suppressLineNumbers w:val="0"/>
        <w:spacing w:before="0" w:beforeAutospacing="0" w:after="0" w:afterAutospacing="0" w:line="360" w:lineRule="auto"/>
        <w:ind w:left="0" w:right="0" w:firstLine="424" w:firstLineChars="177"/>
        <w:jc w:val="both"/>
        <w:rPr>
          <w:rFonts w:ascii="等线" w:hAnsi="等线" w:eastAsia="宋体" w:cs="Times New Roman"/>
          <w:color w:val="auto"/>
          <w:sz w:val="24"/>
          <w:highlight w:val="none"/>
        </w:rPr>
      </w:pPr>
      <w:r>
        <w:rPr>
          <w:rFonts w:hint="eastAsia" w:ascii="等线" w:hAnsi="等线" w:eastAsia="宋体" w:cs="Times New Roman"/>
          <w:color w:val="auto"/>
          <w:sz w:val="24"/>
          <w:highlight w:val="none"/>
        </w:rPr>
        <w:t>通过</w:t>
      </w:r>
      <w:r>
        <w:rPr>
          <w:rFonts w:hint="default" w:ascii="等线" w:hAnsi="等线" w:eastAsia="宋体" w:cs="Times New Roman"/>
          <w:color w:val="auto"/>
          <w:sz w:val="24"/>
          <w:highlight w:val="none"/>
        </w:rPr>
        <w:t>可互动LED大屏</w:t>
      </w:r>
      <w:r>
        <w:rPr>
          <w:rFonts w:hint="eastAsia" w:ascii="等线" w:hAnsi="等线" w:eastAsia="宋体" w:cs="Times New Roman"/>
          <w:color w:val="auto"/>
          <w:sz w:val="24"/>
          <w:highlight w:val="none"/>
        </w:rPr>
        <w:t>展示苍南古貌，实现游客与苍南历代著名“科举名士”的跨时空对话与问答。</w:t>
      </w:r>
      <w:r>
        <w:rPr>
          <w:rFonts w:hint="eastAsia" w:ascii="等线" w:hAnsi="等线" w:eastAsia="宋体" w:cs="Times New Roman"/>
          <w:bCs w:val="0"/>
          <w:color w:val="auto"/>
          <w:kern w:val="2"/>
          <w:sz w:val="24"/>
          <w:szCs w:val="24"/>
          <w:highlight w:val="none"/>
          <w:lang w:val="en-US" w:eastAsia="zh-CN" w:bidi="ar"/>
        </w:rPr>
        <w:t>用户通过扫脸生成数字人，进入画卷与IP互动问答</w:t>
      </w:r>
      <w:r>
        <w:rPr>
          <w:rFonts w:hint="eastAsia" w:ascii="等线" w:hAnsi="等线" w:eastAsia="宋体" w:cs="Times New Roman"/>
          <w:color w:val="auto"/>
          <w:sz w:val="24"/>
          <w:highlight w:val="none"/>
        </w:rPr>
        <w:t>，</w:t>
      </w:r>
      <w:r>
        <w:rPr>
          <w:rFonts w:ascii="等线" w:hAnsi="等线" w:eastAsia="宋体" w:cs="Times New Roman"/>
          <w:color w:val="auto"/>
          <w:sz w:val="24"/>
          <w:highlight w:val="none"/>
        </w:rPr>
        <w:t>在互动中感受苍南的书院文化。支持手机扫描获取数字文创短视频。</w:t>
      </w:r>
    </w:p>
    <w:p>
      <w:pPr>
        <w:spacing w:line="360" w:lineRule="auto"/>
        <w:ind w:firstLine="426" w:firstLineChars="177"/>
        <w:outlineLvl w:val="3"/>
        <w:rPr>
          <w:rFonts w:ascii="宋体" w:hAnsi="宋体" w:eastAsia="宋体" w:cs="宋体"/>
          <w:b/>
          <w:bCs/>
          <w:color w:val="auto"/>
          <w:sz w:val="24"/>
          <w:highlight w:val="none"/>
        </w:rPr>
      </w:pPr>
      <w:r>
        <w:rPr>
          <w:rFonts w:hint="eastAsia" w:ascii="宋体" w:hAnsi="宋体" w:eastAsia="宋体" w:cs="宋体"/>
          <w:b/>
          <w:bCs/>
          <w:color w:val="auto"/>
          <w:sz w:val="24"/>
          <w:highlight w:val="none"/>
        </w:rPr>
        <w:t>4.3 第三展区</w:t>
      </w:r>
    </w:p>
    <w:p>
      <w:pPr>
        <w:spacing w:line="360" w:lineRule="auto"/>
        <w:ind w:firstLine="426" w:firstLineChars="177"/>
        <w:outlineLvl w:val="4"/>
        <w:rPr>
          <w:rFonts w:ascii="宋体" w:hAnsi="宋体" w:eastAsia="宋体" w:cs="宋体"/>
          <w:b/>
          <w:bCs/>
          <w:color w:val="auto"/>
          <w:sz w:val="24"/>
          <w:highlight w:val="none"/>
        </w:rPr>
      </w:pPr>
      <w:r>
        <w:rPr>
          <w:rFonts w:hint="eastAsia" w:ascii="宋体" w:hAnsi="宋体" w:eastAsia="宋体" w:cs="宋体"/>
          <w:b/>
          <w:bCs/>
          <w:color w:val="auto"/>
          <w:sz w:val="24"/>
          <w:highlight w:val="none"/>
        </w:rPr>
        <w:t>1. 和而不同万物墙</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通过数字化展项展示苍南的民族、姓氏、非遗、风物等文化信息。支持展示苍南文化的多样性。支持用户分类查看。支持触摸查看内容详情。</w:t>
      </w:r>
    </w:p>
    <w:p>
      <w:pPr>
        <w:spacing w:line="360" w:lineRule="auto"/>
        <w:ind w:firstLine="426" w:firstLineChars="177"/>
        <w:outlineLvl w:val="4"/>
        <w:rPr>
          <w:rFonts w:ascii="宋体" w:hAnsi="宋体" w:eastAsia="宋体" w:cs="宋体"/>
          <w:b/>
          <w:bCs/>
          <w:color w:val="auto"/>
          <w:sz w:val="24"/>
          <w:highlight w:val="none"/>
        </w:rPr>
      </w:pPr>
      <w:r>
        <w:rPr>
          <w:rFonts w:hint="eastAsia" w:ascii="宋体" w:hAnsi="宋体" w:eastAsia="宋体" w:cs="宋体"/>
          <w:b/>
          <w:bCs/>
          <w:color w:val="auto"/>
          <w:sz w:val="24"/>
          <w:highlight w:val="none"/>
        </w:rPr>
        <w:t>2. 瓯音</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展示苍南不同的方言特点。参观者可以听到多种不同地域方言的发声，生动了解方言的多样性。</w:t>
      </w:r>
    </w:p>
    <w:p>
      <w:pPr>
        <w:spacing w:line="360" w:lineRule="auto"/>
        <w:ind w:firstLine="426" w:firstLineChars="177"/>
        <w:outlineLvl w:val="4"/>
        <w:rPr>
          <w:rFonts w:ascii="宋体" w:hAnsi="宋体" w:eastAsia="宋体" w:cs="宋体"/>
          <w:b/>
          <w:bCs/>
          <w:color w:val="auto"/>
          <w:sz w:val="24"/>
          <w:highlight w:val="none"/>
        </w:rPr>
      </w:pPr>
      <w:r>
        <w:rPr>
          <w:rFonts w:hint="eastAsia" w:ascii="宋体" w:hAnsi="宋体" w:eastAsia="宋体" w:cs="宋体"/>
          <w:b/>
          <w:bCs/>
          <w:color w:val="auto"/>
          <w:sz w:val="24"/>
          <w:highlight w:val="none"/>
        </w:rPr>
        <w:t>3. 山海苍南</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沉浸式空间，综合展示苍南山海特色、书院文化。借助声光等数字化表达，在墙面上展示古今苍南、山海苍南的风格影片；在地面上，通过互动投影，让游客在互动的同时了解苍南的生物多样性。</w:t>
      </w:r>
    </w:p>
    <w:p>
      <w:pPr>
        <w:spacing w:line="360" w:lineRule="auto"/>
        <w:ind w:firstLine="426" w:firstLineChars="177"/>
        <w:outlineLvl w:val="3"/>
        <w:rPr>
          <w:rFonts w:ascii="宋体" w:hAnsi="宋体" w:eastAsia="宋体" w:cs="宋体"/>
          <w:b/>
          <w:bCs/>
          <w:color w:val="auto"/>
          <w:sz w:val="24"/>
          <w:highlight w:val="none"/>
        </w:rPr>
      </w:pPr>
      <w:r>
        <w:rPr>
          <w:rFonts w:hint="eastAsia" w:ascii="宋体" w:hAnsi="宋体" w:eastAsia="宋体" w:cs="宋体"/>
          <w:b/>
          <w:bCs/>
          <w:color w:val="auto"/>
          <w:sz w:val="24"/>
          <w:highlight w:val="none"/>
        </w:rPr>
        <w:t>4.4 国艺馆2F</w:t>
      </w:r>
    </w:p>
    <w:p>
      <w:pPr>
        <w:spacing w:line="360" w:lineRule="auto"/>
        <w:ind w:firstLine="426" w:firstLineChars="177"/>
        <w:outlineLvl w:val="4"/>
        <w:rPr>
          <w:rFonts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ascii="宋体" w:hAnsi="宋体" w:eastAsia="宋体" w:cs="宋体"/>
          <w:b/>
          <w:bCs/>
          <w:color w:val="auto"/>
          <w:sz w:val="24"/>
          <w:highlight w:val="none"/>
        </w:rPr>
        <w:t>.</w:t>
      </w:r>
      <w:r>
        <w:rPr>
          <w:rFonts w:hint="eastAsia" w:ascii="宋体" w:hAnsi="宋体" w:eastAsia="宋体" w:cs="宋体"/>
          <w:b/>
          <w:bCs/>
          <w:color w:val="auto"/>
          <w:sz w:val="24"/>
          <w:highlight w:val="none"/>
        </w:rPr>
        <w:t>汉服换装剧场</w:t>
      </w:r>
    </w:p>
    <w:p>
      <w:pPr>
        <w:spacing w:line="360" w:lineRule="auto"/>
        <w:ind w:firstLine="389" w:firstLineChars="177"/>
        <w:rPr>
          <w:rFonts w:ascii="宋体" w:hAnsi="宋体" w:eastAsia="宋体" w:cs="宋体"/>
          <w:color w:val="auto"/>
          <w:sz w:val="24"/>
          <w:highlight w:val="none"/>
        </w:rPr>
      </w:pPr>
      <w:r>
        <w:rPr>
          <w:rFonts w:hint="eastAsia" w:ascii="新宋体" w:hAnsi="新宋体" w:eastAsia="新宋体" w:cs="新宋体"/>
          <w:color w:val="auto"/>
          <w:sz w:val="22"/>
          <w:szCs w:val="22"/>
          <w:highlight w:val="none"/>
        </w:rPr>
        <w:t>打造一个数字化的环形拍摄舞台，参观者站上拍摄舞台，机器自动进行</w:t>
      </w:r>
      <w:r>
        <w:rPr>
          <w:rFonts w:ascii="新宋体" w:hAnsi="新宋体" w:eastAsia="新宋体" w:cs="新宋体"/>
          <w:color w:val="auto"/>
          <w:sz w:val="22"/>
          <w:szCs w:val="22"/>
          <w:highlight w:val="none"/>
        </w:rPr>
        <w:t>360度环拍，秒级生成可以扫码带走和分享的个性化短视频。参观者通过小程序扫码就可以带走视频。</w:t>
      </w:r>
    </w:p>
    <w:p>
      <w:pPr>
        <w:spacing w:line="360" w:lineRule="auto"/>
        <w:ind w:firstLine="426" w:firstLineChars="177"/>
        <w:outlineLvl w:val="3"/>
        <w:rPr>
          <w:rFonts w:ascii="宋体" w:hAnsi="宋体" w:eastAsia="宋体" w:cs="宋体"/>
          <w:b/>
          <w:bCs/>
          <w:color w:val="auto"/>
          <w:sz w:val="24"/>
          <w:highlight w:val="none"/>
        </w:rPr>
      </w:pPr>
      <w:r>
        <w:rPr>
          <w:rFonts w:hint="eastAsia" w:ascii="宋体" w:hAnsi="宋体" w:eastAsia="宋体" w:cs="宋体"/>
          <w:b/>
          <w:bCs/>
          <w:color w:val="auto"/>
          <w:sz w:val="24"/>
          <w:highlight w:val="none"/>
        </w:rPr>
        <w:t>4.5 国术馆2F</w:t>
      </w:r>
    </w:p>
    <w:p>
      <w:pPr>
        <w:spacing w:line="360" w:lineRule="auto"/>
        <w:ind w:firstLine="426" w:firstLineChars="177"/>
        <w:outlineLvl w:val="4"/>
        <w:rPr>
          <w:rFonts w:ascii="宋体" w:hAnsi="宋体" w:eastAsia="宋体" w:cs="宋体"/>
          <w:b/>
          <w:bCs/>
          <w:color w:val="auto"/>
          <w:sz w:val="24"/>
          <w:highlight w:val="none"/>
        </w:rPr>
      </w:pPr>
      <w:r>
        <w:rPr>
          <w:rFonts w:ascii="宋体" w:hAnsi="宋体" w:eastAsia="宋体" w:cs="宋体"/>
          <w:b/>
          <w:bCs/>
          <w:color w:val="auto"/>
          <w:sz w:val="24"/>
          <w:highlight w:val="none"/>
        </w:rPr>
        <w:t>1.南拳习武互动剧场</w:t>
      </w:r>
    </w:p>
    <w:p>
      <w:pPr>
        <w:widowControl w:val="0"/>
        <w:autoSpaceDE w:val="0"/>
        <w:autoSpaceDN w:val="0"/>
        <w:adjustRightInd w:val="0"/>
        <w:spacing w:line="360" w:lineRule="auto"/>
        <w:ind w:firstLine="420"/>
        <w:jc w:val="both"/>
        <w:rPr>
          <w:rFonts w:ascii="宋体" w:hAnsi="Times New Roman" w:eastAsia="宋体" w:cs="Times New Roman"/>
          <w:color w:val="auto"/>
          <w:kern w:val="2"/>
          <w:sz w:val="24"/>
          <w:szCs w:val="28"/>
          <w:highlight w:val="none"/>
          <w:lang w:val="en-US" w:eastAsia="zh-CN" w:bidi="ar-SA"/>
        </w:rPr>
      </w:pPr>
      <w:r>
        <w:rPr>
          <w:rFonts w:hint="eastAsia" w:ascii="宋体" w:hAnsi="Times New Roman" w:eastAsia="宋体" w:cs="Times New Roman"/>
          <w:color w:val="auto"/>
          <w:kern w:val="2"/>
          <w:sz w:val="24"/>
          <w:szCs w:val="28"/>
          <w:highlight w:val="none"/>
          <w:lang w:val="en-US" w:eastAsia="zh-CN" w:bidi="ar-SA"/>
        </w:rPr>
        <w:t>通过数字化互动展项进行南拳教学，游客可以跟随苍南武学“传承人”学习打拳，感受苍南武学之神采。</w:t>
      </w:r>
    </w:p>
    <w:p>
      <w:pPr>
        <w:spacing w:line="360" w:lineRule="auto"/>
        <w:ind w:firstLine="426" w:firstLineChars="177"/>
        <w:outlineLvl w:val="3"/>
        <w:rPr>
          <w:rFonts w:ascii="宋体" w:hAnsi="宋体" w:eastAsia="宋体" w:cs="宋体"/>
          <w:b/>
          <w:bCs/>
          <w:color w:val="auto"/>
          <w:sz w:val="24"/>
          <w:highlight w:val="none"/>
        </w:rPr>
      </w:pPr>
      <w:r>
        <w:rPr>
          <w:rFonts w:hint="eastAsia" w:ascii="宋体" w:hAnsi="宋体" w:eastAsia="宋体" w:cs="宋体"/>
          <w:b/>
          <w:bCs/>
          <w:color w:val="auto"/>
          <w:sz w:val="24"/>
          <w:highlight w:val="none"/>
        </w:rPr>
        <w:t>4.6  线上小程序</w:t>
      </w:r>
    </w:p>
    <w:p>
      <w:pPr>
        <w:spacing w:line="360" w:lineRule="auto"/>
        <w:ind w:firstLine="371" w:firstLineChars="177"/>
        <w:rPr>
          <w:rFonts w:ascii="等线" w:hAnsi="等线" w:eastAsia="宋体" w:cs="Times New Roman"/>
          <w:color w:val="auto"/>
          <w:highlight w:val="none"/>
        </w:rPr>
      </w:pPr>
      <w:r>
        <w:rPr>
          <w:rFonts w:hint="eastAsia" w:ascii="等线" w:hAnsi="等线" w:eastAsia="宋体" w:cs="Times New Roman"/>
          <w:color w:val="auto"/>
          <w:highlight w:val="none"/>
        </w:rPr>
        <w:t>提供标准云端微信小程序，用户可通过微信扫码，进入相应的页面，并通过浏览、保存、分享图文信息，实现线上传播。</w:t>
      </w:r>
    </w:p>
    <w:p>
      <w:pPr>
        <w:spacing w:line="360" w:lineRule="auto"/>
        <w:ind w:firstLine="371" w:firstLineChars="177"/>
        <w:rPr>
          <w:rFonts w:ascii="等线" w:hAnsi="等线" w:eastAsia="宋体" w:cs="Times New Roman"/>
          <w:color w:val="auto"/>
          <w:highlight w:val="none"/>
        </w:rPr>
      </w:pPr>
      <w:r>
        <w:rPr>
          <w:rFonts w:hint="eastAsia" w:ascii="等线" w:hAnsi="等线" w:eastAsia="宋体" w:cs="Times New Roman"/>
          <w:color w:val="auto"/>
          <w:highlight w:val="none"/>
        </w:rPr>
        <w:t>小程序需支持集章功能，设置集章任务。</w:t>
      </w:r>
    </w:p>
    <w:p>
      <w:pPr>
        <w:spacing w:line="360" w:lineRule="auto"/>
        <w:ind w:firstLine="371" w:firstLineChars="177"/>
        <w:rPr>
          <w:rFonts w:ascii="等线" w:hAnsi="等线" w:eastAsia="宋体" w:cs="Times New Roman"/>
          <w:color w:val="auto"/>
          <w:highlight w:val="none"/>
        </w:rPr>
      </w:pPr>
      <w:r>
        <w:rPr>
          <w:rFonts w:hint="eastAsia" w:ascii="等线" w:hAnsi="等线" w:eastAsia="宋体" w:cs="Times New Roman"/>
          <w:color w:val="auto"/>
          <w:highlight w:val="none"/>
        </w:rPr>
        <w:t>同时支持小程序分时预约功能，参观者选择具体日期和时段后，可实现线上预约。支持管理者端扫码核销。</w:t>
      </w:r>
    </w:p>
    <w:p>
      <w:pPr>
        <w:spacing w:line="360" w:lineRule="auto"/>
        <w:ind w:firstLine="426" w:firstLineChars="177"/>
        <w:outlineLvl w:val="3"/>
        <w:rPr>
          <w:rFonts w:ascii="宋体" w:hAnsi="宋体" w:eastAsia="宋体" w:cs="宋体"/>
          <w:b/>
          <w:bCs/>
          <w:color w:val="auto"/>
          <w:sz w:val="24"/>
          <w:highlight w:val="none"/>
        </w:rPr>
      </w:pPr>
      <w:r>
        <w:rPr>
          <w:rFonts w:ascii="宋体" w:hAnsi="宋体" w:eastAsia="宋体" w:cs="宋体"/>
          <w:b/>
          <w:bCs/>
          <w:color w:val="auto"/>
          <w:sz w:val="24"/>
          <w:highlight w:val="none"/>
        </w:rPr>
        <w:t>4.</w:t>
      </w:r>
      <w:r>
        <w:rPr>
          <w:rFonts w:hint="eastAsia" w:ascii="宋体" w:hAnsi="宋体" w:eastAsia="宋体" w:cs="宋体"/>
          <w:b/>
          <w:bCs/>
          <w:color w:val="auto"/>
          <w:sz w:val="24"/>
          <w:highlight w:val="none"/>
        </w:rPr>
        <w:t>9</w:t>
      </w:r>
      <w:r>
        <w:rPr>
          <w:rFonts w:ascii="宋体" w:hAnsi="宋体" w:eastAsia="宋体" w:cs="宋体"/>
          <w:b/>
          <w:bCs/>
          <w:color w:val="auto"/>
          <w:sz w:val="24"/>
          <w:highlight w:val="none"/>
        </w:rPr>
        <w:t xml:space="preserve"> 智能中央控制系统</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运用智能中控系统就可以集中控制管理展馆内的各种设备、场景，只需要通过平板终端设备或</w:t>
      </w:r>
      <w:r>
        <w:rPr>
          <w:rFonts w:ascii="宋体" w:hAnsi="宋体" w:eastAsia="宋体" w:cs="宋体"/>
          <w:color w:val="auto"/>
          <w:sz w:val="24"/>
          <w:highlight w:val="none"/>
        </w:rPr>
        <w:t>PC端便能够实现“一键控制”，降低维护成本，提高工作效率。</w:t>
      </w:r>
    </w:p>
    <w:p>
      <w:pPr>
        <w:spacing w:line="360" w:lineRule="auto"/>
        <w:ind w:firstLine="426" w:firstLineChars="177"/>
        <w:outlineLvl w:val="3"/>
        <w:rPr>
          <w:rFonts w:ascii="宋体" w:hAnsi="宋体" w:eastAsia="宋体" w:cs="宋体"/>
          <w:b/>
          <w:bCs/>
          <w:color w:val="auto"/>
          <w:sz w:val="24"/>
          <w:highlight w:val="none"/>
        </w:rPr>
      </w:pPr>
      <w:r>
        <w:rPr>
          <w:rFonts w:hint="eastAsia" w:ascii="宋体" w:hAnsi="宋体" w:eastAsia="宋体" w:cs="宋体"/>
          <w:b/>
          <w:bCs/>
          <w:color w:val="auto"/>
          <w:sz w:val="24"/>
          <w:highlight w:val="none"/>
        </w:rPr>
        <w:t>4.10 线上对话数字人</w:t>
      </w:r>
    </w:p>
    <w:p>
      <w:pPr>
        <w:widowControl/>
        <w:spacing w:line="360" w:lineRule="auto"/>
        <w:ind w:firstLine="424" w:firstLineChars="177"/>
        <w:jc w:val="left"/>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支持</w:t>
      </w:r>
      <w:r>
        <w:rPr>
          <w:rFonts w:ascii="宋体" w:hAnsi="宋体" w:eastAsia="宋体" w:cs="宋体"/>
          <w:color w:val="auto"/>
          <w:sz w:val="24"/>
          <w:highlight w:val="none"/>
          <w:lang w:bidi="ar"/>
        </w:rPr>
        <w:t>Ai大模型对话及导览服务。支持游客线下扫码，通过手机端微信小程序进行问答体验。</w:t>
      </w:r>
    </w:p>
    <w:p>
      <w:pPr>
        <w:widowControl w:val="0"/>
        <w:autoSpaceDE w:val="0"/>
        <w:autoSpaceDN w:val="0"/>
        <w:adjustRightInd w:val="0"/>
        <w:spacing w:line="360" w:lineRule="auto"/>
        <w:ind w:firstLine="0"/>
        <w:jc w:val="both"/>
        <w:rPr>
          <w:rFonts w:ascii="宋体" w:hAnsi="Times New Roman" w:eastAsia="宋体" w:cs="Times New Roman"/>
          <w:color w:val="auto"/>
          <w:kern w:val="2"/>
          <w:sz w:val="24"/>
          <w:szCs w:val="28"/>
          <w:highlight w:val="none"/>
          <w:lang w:val="en-US" w:eastAsia="zh-CN" w:bidi="ar-SA"/>
        </w:rPr>
      </w:pPr>
    </w:p>
    <w:p>
      <w:pPr>
        <w:spacing w:line="360" w:lineRule="auto"/>
        <w:ind w:firstLine="426" w:firstLineChars="177"/>
        <w:outlineLvl w:val="3"/>
        <w:rPr>
          <w:rFonts w:ascii="宋体" w:hAnsi="宋体" w:eastAsia="宋体" w:cs="宋体"/>
          <w:b/>
          <w:bCs/>
          <w:color w:val="auto"/>
          <w:sz w:val="24"/>
          <w:highlight w:val="none"/>
        </w:rPr>
      </w:pPr>
      <w:r>
        <w:rPr>
          <w:rFonts w:hint="eastAsia" w:ascii="宋体" w:hAnsi="宋体" w:eastAsia="宋体" w:cs="宋体"/>
          <w:b/>
          <w:bCs/>
          <w:color w:val="auto"/>
          <w:sz w:val="24"/>
          <w:highlight w:val="none"/>
        </w:rPr>
        <w:t>4.11 文创</w:t>
      </w:r>
    </w:p>
    <w:p>
      <w:pPr>
        <w:spacing w:line="360" w:lineRule="auto"/>
        <w:ind w:firstLine="426" w:firstLineChars="177"/>
        <w:outlineLvl w:val="4"/>
        <w:rPr>
          <w:rFonts w:ascii="宋体" w:hAnsi="宋体" w:eastAsia="宋体" w:cs="宋体"/>
          <w:b/>
          <w:bCs/>
          <w:color w:val="auto"/>
          <w:sz w:val="24"/>
          <w:highlight w:val="none"/>
        </w:rPr>
      </w:pPr>
      <w:r>
        <w:rPr>
          <w:rFonts w:ascii="宋体" w:hAnsi="宋体" w:eastAsia="宋体" w:cs="宋体"/>
          <w:b/>
          <w:bCs/>
          <w:color w:val="auto"/>
          <w:sz w:val="24"/>
          <w:highlight w:val="none"/>
        </w:rPr>
        <w:t>1.</w:t>
      </w:r>
      <w:r>
        <w:rPr>
          <w:rFonts w:hint="eastAsia" w:ascii="宋体" w:hAnsi="宋体" w:eastAsia="宋体" w:cs="宋体"/>
          <w:b/>
          <w:bCs/>
          <w:color w:val="auto"/>
          <w:sz w:val="24"/>
          <w:highlight w:val="none"/>
        </w:rPr>
        <w:t>AR明信片</w:t>
      </w:r>
    </w:p>
    <w:p>
      <w:pPr>
        <w:widowControl w:val="0"/>
        <w:autoSpaceDE w:val="0"/>
        <w:autoSpaceDN w:val="0"/>
        <w:adjustRightInd w:val="0"/>
        <w:spacing w:line="360" w:lineRule="auto"/>
        <w:ind w:firstLine="420"/>
        <w:jc w:val="both"/>
        <w:rPr>
          <w:rFonts w:ascii="宋体" w:hAnsi="Times New Roman" w:eastAsia="宋体" w:cs="Times New Roman"/>
          <w:color w:val="auto"/>
          <w:kern w:val="2"/>
          <w:sz w:val="24"/>
          <w:szCs w:val="28"/>
          <w:highlight w:val="none"/>
          <w:lang w:val="en-US" w:eastAsia="zh-CN" w:bidi="ar-SA"/>
        </w:rPr>
      </w:pPr>
      <w:r>
        <w:rPr>
          <w:rFonts w:ascii="宋体" w:hAnsi="Times New Roman" w:eastAsia="宋体" w:cs="Times New Roman"/>
          <w:color w:val="auto"/>
          <w:kern w:val="2"/>
          <w:sz w:val="24"/>
          <w:szCs w:val="28"/>
          <w:highlight w:val="none"/>
          <w:lang w:val="en-US" w:eastAsia="zh-CN" w:bidi="ar-SA"/>
        </w:rPr>
        <w:t>游客用手机扫描明信片，可以通过虚实结合技术，在镜头中</w:t>
      </w:r>
      <w:r>
        <w:rPr>
          <w:rFonts w:hint="eastAsia" w:ascii="宋体" w:hAnsi="Times New Roman" w:eastAsia="宋体" w:cs="Times New Roman"/>
          <w:color w:val="auto"/>
          <w:kern w:val="2"/>
          <w:sz w:val="24"/>
          <w:szCs w:val="28"/>
          <w:highlight w:val="none"/>
          <w:lang w:val="en-US" w:eastAsia="zh-CN" w:bidi="ar-SA"/>
        </w:rPr>
        <w:t>触发3</w:t>
      </w:r>
      <w:r>
        <w:rPr>
          <w:rFonts w:ascii="宋体" w:hAnsi="Times New Roman" w:eastAsia="宋体" w:cs="Times New Roman"/>
          <w:color w:val="auto"/>
          <w:kern w:val="2"/>
          <w:sz w:val="24"/>
          <w:szCs w:val="28"/>
          <w:highlight w:val="none"/>
          <w:lang w:val="en-US" w:eastAsia="zh-CN" w:bidi="ar-SA"/>
        </w:rPr>
        <w:t>D</w:t>
      </w:r>
      <w:r>
        <w:rPr>
          <w:rFonts w:hint="eastAsia" w:ascii="宋体" w:hAnsi="Times New Roman" w:eastAsia="宋体" w:cs="Times New Roman"/>
          <w:color w:val="auto"/>
          <w:kern w:val="2"/>
          <w:sz w:val="24"/>
          <w:szCs w:val="28"/>
          <w:highlight w:val="none"/>
          <w:lang w:val="en-US" w:eastAsia="zh-CN" w:bidi="ar-SA"/>
        </w:rPr>
        <w:t>动画</w:t>
      </w:r>
      <w:r>
        <w:rPr>
          <w:rFonts w:ascii="宋体" w:hAnsi="Times New Roman" w:eastAsia="宋体" w:cs="Times New Roman"/>
          <w:color w:val="auto"/>
          <w:kern w:val="2"/>
          <w:sz w:val="24"/>
          <w:szCs w:val="28"/>
          <w:highlight w:val="none"/>
          <w:lang w:val="en-US" w:eastAsia="zh-CN" w:bidi="ar-SA"/>
        </w:rPr>
        <w:t>。</w:t>
      </w:r>
    </w:p>
    <w:p>
      <w:pPr>
        <w:spacing w:line="360" w:lineRule="auto"/>
        <w:ind w:firstLine="426" w:firstLineChars="177"/>
        <w:outlineLvl w:val="4"/>
        <w:rPr>
          <w:rFonts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ascii="宋体" w:hAnsi="宋体" w:eastAsia="宋体" w:cs="宋体"/>
          <w:b/>
          <w:bCs/>
          <w:color w:val="auto"/>
          <w:sz w:val="24"/>
          <w:highlight w:val="none"/>
        </w:rPr>
        <w:t>.</w:t>
      </w:r>
      <w:r>
        <w:rPr>
          <w:rFonts w:hint="eastAsia" w:ascii="宋体" w:hAnsi="宋体" w:eastAsia="宋体" w:cs="宋体"/>
          <w:b/>
          <w:bCs/>
          <w:color w:val="auto"/>
          <w:sz w:val="24"/>
          <w:highlight w:val="none"/>
        </w:rPr>
        <w:t>文创公仔</w:t>
      </w:r>
    </w:p>
    <w:p>
      <w:pPr>
        <w:spacing w:line="360" w:lineRule="auto"/>
        <w:ind w:firstLine="424" w:firstLineChars="177"/>
        <w:rPr>
          <w:rFonts w:ascii="宋体" w:hAnsi="宋体" w:eastAsia="宋体" w:cs="宋体"/>
          <w:color w:val="auto"/>
          <w:sz w:val="24"/>
          <w:highlight w:val="none"/>
        </w:rPr>
      </w:pPr>
      <w:r>
        <w:rPr>
          <w:rFonts w:hint="eastAsia" w:ascii="宋体" w:hAnsi="宋体" w:eastAsia="宋体" w:cs="宋体"/>
          <w:color w:val="auto"/>
          <w:sz w:val="24"/>
          <w:highlight w:val="none"/>
        </w:rPr>
        <w:t>支持制作文创公仔1</w:t>
      </w:r>
      <w:r>
        <w:rPr>
          <w:rFonts w:ascii="宋体" w:hAnsi="宋体" w:eastAsia="宋体" w:cs="宋体"/>
          <w:color w:val="auto"/>
          <w:sz w:val="24"/>
          <w:highlight w:val="none"/>
        </w:rPr>
        <w:t>000</w:t>
      </w:r>
      <w:r>
        <w:rPr>
          <w:rFonts w:hint="eastAsia" w:ascii="宋体" w:hAnsi="宋体" w:eastAsia="宋体" w:cs="宋体"/>
          <w:color w:val="auto"/>
          <w:sz w:val="24"/>
          <w:highlight w:val="none"/>
        </w:rPr>
        <w:t>个。</w:t>
      </w:r>
    </w:p>
    <w:p>
      <w:pPr>
        <w:spacing w:line="360" w:lineRule="auto"/>
        <w:ind w:firstLine="426" w:firstLineChars="177"/>
        <w:outlineLvl w:val="3"/>
        <w:rPr>
          <w:rFonts w:ascii="宋体" w:hAnsi="宋体" w:eastAsia="宋体" w:cs="宋体"/>
          <w:b/>
          <w:color w:val="auto"/>
          <w:sz w:val="24"/>
          <w:highlight w:val="none"/>
        </w:rPr>
      </w:pPr>
      <w:r>
        <w:rPr>
          <w:rFonts w:hint="eastAsia" w:ascii="宋体" w:hAnsi="宋体" w:eastAsia="宋体" w:cs="宋体"/>
          <w:b/>
          <w:bCs/>
          <w:color w:val="auto"/>
          <w:sz w:val="24"/>
          <w:highlight w:val="none"/>
          <w:lang w:val="en-US" w:eastAsia="zh-CN"/>
        </w:rPr>
        <w:t>5.</w:t>
      </w:r>
      <w:r>
        <w:rPr>
          <w:rFonts w:hint="eastAsia" w:ascii="宋体" w:hAnsi="宋体" w:eastAsia="宋体" w:cs="宋体"/>
          <w:b/>
          <w:color w:val="auto"/>
          <w:sz w:val="24"/>
          <w:highlight w:val="none"/>
        </w:rPr>
        <w:t>采购清单</w:t>
      </w:r>
    </w:p>
    <w:bookmarkEnd w:id="93"/>
    <w:tbl>
      <w:tblPr>
        <w:tblStyle w:val="2"/>
        <w:tblW w:w="4911" w:type="pct"/>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
      <w:tblGrid>
        <w:gridCol w:w="582"/>
        <w:gridCol w:w="61"/>
        <w:gridCol w:w="1731"/>
        <w:gridCol w:w="245"/>
        <w:gridCol w:w="4826"/>
        <w:gridCol w:w="831"/>
        <w:gridCol w:w="951"/>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400" w:hRule="atLeast"/>
          <w:jc w:val="center"/>
        </w:trPr>
        <w:tc>
          <w:tcPr>
            <w:tcW w:w="348" w:type="pct"/>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szCs w:val="21"/>
              </w:rPr>
            </w:pPr>
            <w:r>
              <w:rPr>
                <w:rFonts w:hint="eastAsia" w:ascii="宋体" w:hAnsi="宋体" w:eastAsia="宋体" w:cs="宋体"/>
                <w:b/>
                <w:bCs/>
                <w:kern w:val="0"/>
                <w:szCs w:val="21"/>
                <w:lang w:bidi="ar"/>
              </w:rPr>
              <w:t>序号</w:t>
            </w:r>
          </w:p>
        </w:tc>
        <w:tc>
          <w:tcPr>
            <w:tcW w:w="1070" w:type="pct"/>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szCs w:val="21"/>
              </w:rPr>
            </w:pPr>
            <w:r>
              <w:rPr>
                <w:rFonts w:hint="eastAsia" w:ascii="宋体" w:hAnsi="宋体" w:eastAsia="宋体" w:cs="宋体"/>
                <w:b/>
                <w:bCs/>
                <w:kern w:val="0"/>
                <w:szCs w:val="21"/>
                <w:lang w:bidi="ar"/>
              </w:rPr>
              <w:t>项目名称</w:t>
            </w:r>
          </w:p>
        </w:tc>
        <w:tc>
          <w:tcPr>
            <w:tcW w:w="261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szCs w:val="21"/>
              </w:rPr>
            </w:pPr>
            <w:r>
              <w:rPr>
                <w:rFonts w:hint="eastAsia" w:ascii="宋体" w:hAnsi="宋体" w:eastAsia="宋体" w:cs="宋体"/>
                <w:b/>
                <w:bCs/>
                <w:kern w:val="0"/>
                <w:szCs w:val="21"/>
                <w:lang w:bidi="ar"/>
              </w:rPr>
              <w:t>项目特征</w:t>
            </w:r>
          </w:p>
        </w:tc>
        <w:tc>
          <w:tcPr>
            <w:tcW w:w="450"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szCs w:val="21"/>
              </w:rPr>
            </w:pPr>
            <w:r>
              <w:rPr>
                <w:rFonts w:hint="eastAsia" w:ascii="宋体" w:hAnsi="宋体" w:eastAsia="宋体" w:cs="宋体"/>
                <w:b/>
                <w:bCs/>
                <w:kern w:val="0"/>
                <w:szCs w:val="21"/>
                <w:lang w:bidi="ar"/>
              </w:rPr>
              <w:t>单位</w:t>
            </w:r>
          </w:p>
        </w:tc>
        <w:tc>
          <w:tcPr>
            <w:tcW w:w="51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szCs w:val="21"/>
              </w:rPr>
            </w:pPr>
            <w:r>
              <w:rPr>
                <w:rFonts w:hint="eastAsia" w:ascii="宋体" w:hAnsi="宋体" w:eastAsia="宋体" w:cs="宋体"/>
                <w:b/>
                <w:bCs/>
                <w:kern w:val="0"/>
                <w:szCs w:val="21"/>
                <w:lang w:bidi="ar"/>
              </w:rPr>
              <w:t>数量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第一展区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「鹅峰探秘」数据图谱互动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55寸超窄边拼接屏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1：背光：LED背光源</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2：分辨率≥1920×1080 @60HZ；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★3：拼缝参数≤0.88mm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4：对比度≥1400:1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5：可视角度≥178°（垂直，水平）</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6：整机功率 ≤145W；待机功率 &lt;0.5W</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7：亮度≥500nit</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8:为了产品各个方面更具保障需提供3C、节能认证证书，需提供由国家权威机构ILAC-MRA、CNAS、CMA认证的检测报告复印件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壁挂支架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支架配置：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（1）安装方式：前维护壁挂安装；</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（2）支持适配搭载设备的尺寸及重量；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（3）调节方式：根据现场情况定制；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（4）是否支持过线：支持</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服务主机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（1）CPU：I7 12700KF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（2）内存：≥16G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（3）硬盘：≥512G SSD；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（4）显卡：NVIDIA RTX A4000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（5）功能支持：定时开关机，上电自启动，远程唤醒；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多屏宝</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1.信号支持一进四出；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2.输入接口：≥DP*1或HDMI*1；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3.输出接口：≥HDMI*4；</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4.支持扩展拼接或复制模式，支持点对点拼接</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红外触摸框</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支持8块横向55寸拼接屏以2行4列拼接方式安装的红外触摸框。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1.触摸框尺寸：根据实际屏幕尺寸核算详细尺寸；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2.触控技术：红外触控；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3.触摸协议:TUIO/Flash；</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4.最小触控直径：5mm；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5.同时触控可响应点数10；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6.触摸反应时间：≤20ms；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7.线性精准度：小于3mm；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8.主要材料：铝型材，pcba电路板；</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9.连接方式：支持USB线延长(5m)，支持网线和光纤延长；</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3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音响</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 xml:space="preserve">额定功率：≥60W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低频：1x6.5"</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高频：1x1"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灵敏度：≥94dB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频率响应：100Hz~20kHz(-3dB)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覆盖范围：90°Hx90°V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额定阻抗  8</w:t>
            </w:r>
            <w:r>
              <w:rPr>
                <w:rFonts w:hint="eastAsia" w:ascii="宋体" w:hAnsi="宋体" w:eastAsia="宋体" w:cs="宋体"/>
                <w:color w:val="auto"/>
                <w:sz w:val="18"/>
                <w:szCs w:val="18"/>
                <w:u w:val="none"/>
                <w:lang w:bidi="ar"/>
              </w:rPr>
              <w:t>Ω</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功放</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输出功率：8Ω ≥250W*2；</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频率响应：20HZ~20KHZ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信噪比：≥90dB</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软件开发</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以目标文化主题数据作为基础，以粒子效果风格呈现视觉画面，以透视探索玩法构成互动体验</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通过触摸可产生透视效果，透视后展示与基础画面有相关关系的具体数据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当透视圈移动到知识点附近，提示具体知识点，引导用户进入二级介绍页面；知识点数量不少于16个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二级页面展示相关知识点内容详情；详情页面支持图、视频、文本等形式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支持多人同时互动，界面上并发触点≥10个</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文化数据挖掘服务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以书院文化、苍南地方文化为主题进行数据挖掘配置服务：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文化数据挖掘：对目标文化主题相关人物、事件等信息收集挖掘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数据治理：对数据进行统一结构化整理并入库，生产知识图谱</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实体数量不少于300个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数据优化：为适配交互体验，对数据进行整理和优化，精选重要节点，对文本内容进行优化处理。</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数据可视化界面定制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结合文化主题，进行多媒体UI界面定制，定制范围：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1.界面字体、UI风格及动效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2.符合文化主题的视觉元素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3.相关界面适配</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4.通过实时渲染的粒子效果，结合当地文化主题和数据生成山水形态内容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定制原则：</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1.内容布局：提供合理安排内容元素的排列方式，减少混乱突出视觉重点。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2.色彩搭配：根据内容定位和用户喜好，选择合适的色彩搭配，增强内容的视觉吸引力。</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3.元素设计：直观简洁、风格统一、比例协调，帮助用户快速产生认知。</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4.文字排版：合理设置文字字体、字号、行间距等参数，保证用户舒适、高效阅读。</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5.动态效果：适当运用动态效果，增强界面的趣味性和互动性，提高用户的满意度。</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第二展区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学风鼎盛时间轴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互动触控屏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屏幕配置：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（1）尺寸：65英寸；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（2）分辨率：3840*2160；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（3）★触控≥10点电容触摸；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（4）亮度：≥350nit；</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（5）刷新率：≥60hz；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（6）对比度：≥1000:1；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（7）音频：内置扬声器；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（8）支持通电开机功能；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（9）含配套壁挂支架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边缘计算单元</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（1）CPU：I7 12700KF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（2）内存：≥16G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（3）硬盘：≥512G SSD；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（4）显卡：NVIDIA RTX 1660super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（5）功能支持：定时开关机，上电自启动，远程唤醒；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数据可视化互动应用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default" w:ascii="宋体" w:hAnsi="宋体" w:eastAsia="宋体" w:cs="宋体"/>
                <w:color w:val="auto"/>
                <w:sz w:val="18"/>
                <w:szCs w:val="18"/>
                <w:u w:val="none"/>
                <w:lang w:bidi="ar"/>
              </w:rPr>
              <w:t>1.读取知识图谱的结果化数据，在界面上进行可视化展示；</w:t>
            </w:r>
            <w:r>
              <w:rPr>
                <w:rFonts w:hint="default" w:ascii="宋体" w:hAnsi="宋体" w:eastAsia="宋体" w:cs="宋体"/>
                <w:color w:val="auto"/>
                <w:sz w:val="18"/>
                <w:szCs w:val="18"/>
                <w:u w:val="none"/>
                <w:lang w:bidi="ar"/>
              </w:rPr>
              <w:br w:type="textWrapping"/>
            </w:r>
            <w:r>
              <w:rPr>
                <w:rFonts w:hint="default" w:ascii="宋体" w:hAnsi="宋体" w:eastAsia="宋体" w:cs="宋体"/>
                <w:color w:val="auto"/>
                <w:sz w:val="18"/>
                <w:szCs w:val="18"/>
                <w:u w:val="none"/>
                <w:lang w:bidi="ar"/>
              </w:rPr>
              <w:t>2.以地图为底图，展示不同乡镇的进士数据；</w:t>
            </w:r>
            <w:r>
              <w:rPr>
                <w:rFonts w:hint="eastAsia" w:ascii="宋体" w:hAnsi="宋体" w:eastAsia="宋体" w:cs="宋体"/>
                <w:kern w:val="0"/>
                <w:sz w:val="18"/>
                <w:szCs w:val="18"/>
                <w:lang w:bidi="ar"/>
              </w:rPr>
              <w:t>苍南进士数量不少于300个</w:t>
            </w:r>
            <w:r>
              <w:rPr>
                <w:rFonts w:hint="default" w:ascii="宋体" w:hAnsi="宋体" w:eastAsia="宋体" w:cs="宋体"/>
                <w:color w:val="auto"/>
                <w:sz w:val="18"/>
                <w:szCs w:val="18"/>
                <w:u w:val="none"/>
                <w:lang w:bidi="ar"/>
              </w:rPr>
              <w:br w:type="textWrapping"/>
            </w:r>
            <w:r>
              <w:rPr>
                <w:rFonts w:hint="default" w:ascii="宋体" w:hAnsi="宋体" w:eastAsia="宋体" w:cs="宋体"/>
                <w:color w:val="auto"/>
                <w:sz w:val="18"/>
                <w:szCs w:val="18"/>
                <w:u w:val="none"/>
                <w:lang w:bidi="ar"/>
              </w:rPr>
              <w:t>3.基于进士登第时间维度呈现点位数据；</w:t>
            </w:r>
            <w:r>
              <w:rPr>
                <w:rFonts w:hint="eastAsia" w:ascii="宋体" w:hAnsi="宋体" w:eastAsia="宋体" w:cs="宋体"/>
                <w:kern w:val="0"/>
                <w:sz w:val="18"/>
                <w:szCs w:val="18"/>
                <w:lang w:bidi="ar"/>
              </w:rPr>
              <w:t>点位数据不少于300个</w:t>
            </w:r>
            <w:r>
              <w:rPr>
                <w:rFonts w:hint="default" w:ascii="宋体" w:hAnsi="宋体" w:eastAsia="宋体" w:cs="宋体"/>
                <w:color w:val="auto"/>
                <w:sz w:val="18"/>
                <w:szCs w:val="18"/>
                <w:u w:val="none"/>
                <w:lang w:bidi="ar"/>
              </w:rPr>
              <w:br w:type="textWrapping"/>
            </w:r>
            <w:r>
              <w:rPr>
                <w:rFonts w:hint="default" w:ascii="宋体" w:hAnsi="宋体" w:eastAsia="宋体" w:cs="宋体"/>
                <w:color w:val="auto"/>
                <w:sz w:val="18"/>
                <w:szCs w:val="18"/>
                <w:u w:val="none"/>
                <w:lang w:bidi="ar"/>
              </w:rPr>
              <w:t>4.点击具体的信息单元，进入二级页面，查看相关事件的详细信息；</w:t>
            </w:r>
            <w:r>
              <w:rPr>
                <w:rFonts w:hint="eastAsia" w:ascii="宋体" w:hAnsi="宋体" w:eastAsia="宋体" w:cs="宋体"/>
                <w:kern w:val="0"/>
                <w:sz w:val="18"/>
                <w:szCs w:val="18"/>
                <w:lang w:bidi="ar"/>
              </w:rPr>
              <w:t>详情页面支持图片、视频、文本等形式</w:t>
            </w:r>
            <w:r>
              <w:rPr>
                <w:rFonts w:hint="default" w:ascii="宋体" w:hAnsi="宋体" w:eastAsia="宋体" w:cs="宋体"/>
                <w:color w:val="auto"/>
                <w:sz w:val="18"/>
                <w:szCs w:val="18"/>
                <w:u w:val="none"/>
                <w:lang w:bidi="ar"/>
              </w:rPr>
              <w:br w:type="textWrapping"/>
            </w:r>
            <w:r>
              <w:rPr>
                <w:rFonts w:hint="default" w:ascii="宋体" w:hAnsi="宋体" w:eastAsia="宋体" w:cs="宋体"/>
                <w:color w:val="auto"/>
                <w:sz w:val="18"/>
                <w:szCs w:val="18"/>
                <w:u w:val="none"/>
                <w:lang w:bidi="ar"/>
              </w:rPr>
              <w:t>5.支持多点位的切换，点击后可以显示不同的点位数据</w:t>
            </w:r>
            <w:r>
              <w:rPr>
                <w:rFonts w:hint="default" w:ascii="宋体" w:hAnsi="宋体" w:eastAsia="宋体" w:cs="宋体"/>
                <w:color w:val="auto"/>
                <w:sz w:val="18"/>
                <w:szCs w:val="18"/>
                <w:u w:val="none"/>
                <w:lang w:bidi="ar"/>
              </w:rPr>
              <w:br w:type="textWrapping"/>
            </w:r>
            <w:r>
              <w:rPr>
                <w:rFonts w:hint="default" w:ascii="宋体" w:hAnsi="宋体" w:eastAsia="宋体" w:cs="宋体"/>
                <w:color w:val="auto"/>
                <w:sz w:val="18"/>
                <w:szCs w:val="18"/>
                <w:u w:val="none"/>
                <w:lang w:bidi="ar"/>
              </w:rPr>
              <w:t>6.静默状态监测，监测到无人交互则返回静默状态</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文化数据挖掘与图谱定制服务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图谱数据定制服务，以苍南进士状元名录人物为核心主题进行数据挖掘配置服务：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数据治理：对时间维度文化数据进行统一结构化整理并入库，生产知识图谱；</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根据史实建设人物关系网络数据图谱；人物实体数据不少于300个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数据优化：为适配交互体验，对数据进行整理优化，精选重要节点。</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数据可视化界面定制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结合文化主题，进行多媒体UI界面定制，定制范围：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1.界面字体、UI风格及动效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2.符合文化主题的视觉元素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3.相关界面适配</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定制原则：</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1.内容布局：提供合理安排内容元素的排列方式，减少混乱突出视觉重点。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2.色彩搭配：根据内容定位和用户喜好，选择合适的色彩搭配，增强内容的视觉吸引力。</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3.元素设计：直观简洁、风格统一、比例协调，帮助用户快速产生认知。</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4.文字排版：合理设置文字字体、字号、行间距等参数，保证用户舒适、高效阅读。</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5.动态效果：适当运用动态效果，增强界面的趣味性和互动性，提高用户的满意度。</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博文精武入画</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LED屏 - 画卷单元</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尺寸：宽12.16米* 高2.56米（备用20块模组）</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★1、像素构成：≤1.53mm ，表贴三合一1212（1RIGIB），为确保产品稳定性及避免产权纠纷，要求灯珠和模组为同一品牌或同一企业；</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2、白平衡亮度：≥600cd/m²；</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3、亮度均匀性≥98%；</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4、色度均匀性 ±0.003 之内；</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5、睡眠模式及功率密度：≤100W/㎡</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6、色温：3000～21000可调；</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7、发光点间距偏差：&lt;1%；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8、对比度≥10000:1；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9、灯珠漏电流：反向电压Vr=10V、漏电流0.2uA，符合要求；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10、所投LED显示屏生产厂家具有CQC颁发的节能证书和环保产品（II型）认证证书（生产厂家复印件并加盖公章)；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11、为保证产品质量、供货渠道的合法性提供制造相应证明文件(厂家授权书加盖公章)；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 为了产品各个方面更具保障需提供3C 、CE、ROSH、ISO认证证书，不接受OEM产品，要求申请人、制造商、生产企业三者名称统一。</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32.154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LED钢结构</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现场加工金属LED屏体安装支架；主材使用金属方通(50X30)</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32.15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控制系统</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接收系统：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单块带载能力：512*512；</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RGB并行数据组：24组HUB，接口 HUB75E</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支持温度、电压通讯状态监控；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支持逐点亮色度校正；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支持Mapping；</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支持独立GAMMA调节；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支持18it+；</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支持色彩管理；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支持画面90°倍数旋转；</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配套电源及线材连接件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视频处理器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像素带载：配套LED屏幕面积进行点对点分辨率输出； 信号接口：适配服务器输出接口，信号输入接口数量适配分辨率需求</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配电柜</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 xml:space="preserve">PLC 全智能远程配电箱（壁挂式）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1、选用国标开关系列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2、一键安装（傻瓜式软件安装）</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3、一键启停（启、停内部分步）</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4、一键切换（网口串口任意使用）</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52"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人脸识别一体机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由电容触控屏幕、升降装置、麦克风、摄像头、边缘处理单元组成，通过一体式外壳进行美化处理。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1.10.1 英寸多点触控IPS屏：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（1）10.1寸A规液晶面板</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（2）分辨率：≥2560(h)x1600(v)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（3）对比度：≥1000:1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（4）亮度：≥450cd/m2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（5）触摸方式：电容多点触摸，刷新率：60Hz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2.摄像头模块：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（1）视频规格：最大4096*2160@30fps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（2）视场角：90°/78°/65°，支持手动调整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（3）支持数字变焦，自动面部对焦，支持HDR的 RightLight 3技术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3.麦克风模块：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内置麦克风，降噪，双声道，全向性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4.升降装置模块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（1）升降范围：650mm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（2）落地式安装</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（3）升降方式：电动升降</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（4）支持屏幕通讯控制升降过程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5.主扩声音箱喇叭模块：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（1）额定功率：10W×2；</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6.定制外形结构件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（1）定制外观结构，上下面光灯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（2）定制触摸屏外观，摄像头、喇叭内置设计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7.支持网络通讯，支持多台同时互动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8.支持接入人脸识别算法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9.边缘计算单元：</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处理器i7-10700F @ 2.9GHz同等性能及以上；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图形处理器NVIDIA GTX1660s同等性能及以上；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内存16G DDR4 2666MHz同等性能及以上；</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显示工作站</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（1）4u工控机箱；</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（2）CPU：I9 11900KF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（3）内存：≥32G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（4）硬盘：≥1T SSD；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（5）显卡：NVIDIA RTX 4090同等性能及以上；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（6）功能支持：定时开关机，上电自启动，远程唤醒；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算法工作站</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（1）4u工控机箱；</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（2）CPU：I9 11900KF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（3）内存：≥32G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（4）硬盘：≥1T SSD；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（5）显卡：NVIDIA RTX 4090同等性能及以上；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（6）功能支持：定时开关机，上电自启动，远程唤醒；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入画小屏音响</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有源高保真全频音响，带吊挂支架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只</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1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全频音响</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 xml:space="preserve">额定功率：100W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低频：6x3"</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高频：2x3"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频率响应：150Hz~20KHz(±3dB)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覆盖范围：90°Hx90°V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额定阻抗  8</w:t>
            </w:r>
            <w:r>
              <w:rPr>
                <w:rFonts w:hint="eastAsia" w:ascii="宋体" w:hAnsi="宋体" w:eastAsia="宋体" w:cs="宋体"/>
                <w:color w:val="auto"/>
                <w:sz w:val="18"/>
                <w:szCs w:val="18"/>
                <w:u w:val="none"/>
                <w:lang w:bidi="ar"/>
              </w:rPr>
              <w:t>Ω</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只</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功放</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1.输出功率：8Ω ≥300W*2；4Ω ≥450W*2；</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2.频率响应：20Hz-20kHz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3.信噪比≥95dB；</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时序电源</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1）9路设备供电（可控制电源8路、不可控制1路）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2）支持网络控制；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3）产品净重（kg）3.65</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4）供电电源：AC220V 50/60Hz 30A5）</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3D数字分身生成程序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【互动程序1-3D数字人】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1）用户走到人脸识别设备前，点击按钮使用扫脸功能，系统采集游客人脸照片；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2）★调用捏脸系统，渲染出游客专属的3D人物模型（用户虚拟数字分身），支持人脸模型实时融合，实现实时生成分身并支持预览，同时支持游客重新扫脸生成</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3）系统为用户智能推荐数字分身形象；支持用户手动切换造型（前提：有多套造型）。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4）★嘴形实时驱动</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真人实时抠像程序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【互动程序2-真人实时抠像】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在本地服务器中部署以下AI智能算法：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1）人体识别算法：基于人体识别算法，检测游客是否进入指定区域；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2）手势与姿态识别算法：实时识别游客手势和姿态，触发系统互动流程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3）★实时抠像算法：实现无需绿幕的人物实时抠像功能，将游客人体外的背景去除，和线下大屏内的剧场主题素材进行结合，实现人实时入画的效果</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游客入画交互程序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【互动程序-整套】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1）支持兼容两套交互程序（3D数字人、真人实时抠像）；可在人脸识别设备上进行点击切换选择</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2）★线下大小屏设备联动：用户确认入画后，通过相关人物、场景、互动、剧情定制编程，数字分身出生在大屏，触发文化故事剧场。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3）移动端联动：支持用户通过微信扫码后，唤起云端智能生产系统，进行云端智能合成。</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线上联动服务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1）点击入画后，小屏端生成数字文创二维码。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2）用户微信扫码，进入数字文创详情页。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3）一个二维码对应一个文创地址；扫一次拿一个；单个用户扫多个二维码可获得多个数字文创。</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4）数字文创支持分享、下载；支持后台配置是否收费。</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数字内容交互玩法定制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围绕文化主题进行数字内容交互玩法定制。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定制范围：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（1）根据历史资料，深度挖掘苍南相关文化，以苍南名士作为画卷NPC</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（2）给NPC设定对应的信息，进行对话互动、合影等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（3）穿越不同时空剧场，人物入画与苍南名人进行对话</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数字画卷画作创作</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以苍南的人文风情、历史底蕴进行文化主题的2D数字画卷制作，主要包含核心人物场景（比如苍南名士），2D背景、辅助场景、辅助人物等</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数字画卷动画定制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互动前，画卷处于静默状态时，画卷场景动态素材制作：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1）动画素材制作、增加转场、增加特效包装、增加音频等制作工序；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2）将制作完成的数字内容配置到系统对应环节并进行调试。</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文化剧场定制【互动后触发】</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游客互动入画后，触发文化剧场的数字内容制作：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工作内容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1）基于静默状态下的场景关系，添加触发后动画</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2）将制作完成的数字内容配置到系统对应环节并进行调试。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画卷中虚拟人IP讲解视频制作，包含：</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1）虚拟人触发后动作制作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2）人物所处场景的动画制作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3）虚拟人以及数字人的配音，数字人包含男女角色配音</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制作手法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1）用2D动画元素将文化场景进行动态呈现；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2）使用专业adobe正版制作</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数字文创模板视频</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短视频模版制作及配置下发，视频时长不低于20s</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秒</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数字分身模型与动画定制服务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数字分身身体及服饰三维模型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不同性别一男一女各两套服装的三维模型制作，包括身体、服饰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共4组不同角色的人物模型，并适配为用户的分身造型</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智能短视频合成云服务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智能短视频合成云服务：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合成服务功能：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1）支持特效、滤镜、包装自动化合成服务；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2）支持视频调度、合成、渲染服务；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3）支持视频片段处理服务、视频管理服务、模版引擎服务；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合成服务指标：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1）转码合成效率：支持同一时间最少27个合成任务并发，最大合成效率为合成视频时长的一倍速；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2）视频码率：默认3Mbps，支持上限5Mbps；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3）视频输出格式：MP4；</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4）视频分辨率：1080P</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智能数字分身合成云服务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支持基于每个人的人脸特征，生成个人专属3D头部模型的AI算法服务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1）包含人脸检测、换脸算法、性别检测算法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2）自动化捏脸算法服务：包含人脸3d结构推理算法、人脸3d模型皮肤生成算法。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备注：捏脸服务每年含10万次，如到期后继续使用，参考该收费标准</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3"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画卷内容综合管理系统</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★线下大小屏设备联动：用户确认入画后，通过相关人物、场景、互动、剧情定制编程，数字分身出生在大屏，触发文化故事剧场。登录配置后台，可联网进行画卷中内容的管理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1）提供素材管理相关功能，可查看、替换、删除相关内容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2）替换小屏、大屏画卷中的相关素材</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存储与流量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游客视频存储和下行流量，支持游客从小程序长期访问自己的视频。</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第三展区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和而不同万物墙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拼接屏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1：背光：LED背光源</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2：分辨率≥1920×1080 @60HZ；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★3：拼缝参数≤0.88mm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4：对比度≥1400:1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5：可视角度≥178°（垂直，水平）</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6：整机功率 ≤145W；待机功率 &lt;0.5W</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7：亮度≥500nit</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8:为了产品各个方面更具保障需提供3C 、节能认证证书，需提供由国家权威机构ILAC-MRA、CNAS、CMA认证的检测报告复印件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壁挂支架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支架配置：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（1）安装方式：前维护壁挂安装；</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（2）支持适配搭载设备的尺寸及重量；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（3）调节方式：根据现场情况定制；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（4）是否支持过线：支持</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边缘计算单元</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（1）CPU：I7 12700KF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（2）内存：≥16G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（3）硬盘：≥512G SSD；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（4）显卡：NVIDIA RTX A4000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（5）功能支持：定时开关机，上电自启动，远程唤醒；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多屏宝</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1.信号支持一进三出；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2.输入接口：≥DP*1或HDMI*1；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3.输出接口：≥HDMI*3；</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4.支持扩展拼接或复制模式，支持点对点拼接</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定制红外触摸框</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支持6块55寸拼接屏以2行3列/1行6列拼接方式安装的红外触摸框。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1.触摸框尺寸：根据实际屏幕尺寸核算详细尺寸；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2.触控技术：红外触控；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3.触摸协议:TUIO/Flash；</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4.最小触控直径：5mm；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5.同时触控可响应点数10；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6.触摸反应时间：≤20ms；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7.线性精准度：小于3mm；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8.主要材料：铝型材，pcba电路板；</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9.连接方式：支持USB线延长(5m)，支持网线和光纤延长；</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3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音响</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 xml:space="preserve">额定功率：≥60W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低频：1x6.5"</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高频：1x1"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灵敏度：≥94dB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频率响应：100Hz~20kHz(-3dB)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覆盖范围：90°Hx90°V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额定阻抗  8</w:t>
            </w:r>
            <w:r>
              <w:rPr>
                <w:rFonts w:hint="eastAsia" w:ascii="宋体" w:hAnsi="宋体" w:eastAsia="宋体" w:cs="宋体"/>
                <w:color w:val="auto"/>
                <w:sz w:val="18"/>
                <w:szCs w:val="18"/>
                <w:u w:val="none"/>
                <w:lang w:bidi="ar"/>
              </w:rPr>
              <w:t>Ω</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功放</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输出功率：8Ω ≥250W*2；</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频率响应：20HZ~20KHZ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信噪比：≥90dB</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8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万物墙展示与交互应用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多点触控互动形式展现苍南的民族以及其背后的姓氏文化多样性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主要功能区域：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1. 主题区：提炼表达整面互动墙的“内容主题”，告知游客展示的主题，也可在此处展示“二维码”给到更多线上信息和服务；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内容区：根据屏幕的尺寸，以阵列方式呈现数字内容，内容以“缩略图”状态展现，用户点击缩略图可展开对应详情</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详情页：点击缩略图可以打开详情页面，详情页可支持合集模式（包括图片、视频）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4.多人交互：可支持4人同时在屏幕上进行点击操作交互</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5.列表查看：可根据内容的归属类型，进行分类展示，可选择每个类别进行整体的点击查看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6.点赞/点赞排行榜：在每个媒资详情页可进行点赞操作；并支持实时更新点赞排行榜，并进行透出显示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7.无人交互操作状态下，系统自动会进行动效的呈现</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展示内容素材整理</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1、对业主提供的素材进行收集整理、优化和后端配置，素材上限不少于100个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2、素材内容主要包括苍南的少数民族特点以及姓氏文化相关内容就，例如民族服装、民俗风情、民族图鉴等</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项目</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54"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数据可视化界面定制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结合文化主题，进行多媒体UI界面定制，定制范围：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1.界面字体、UI风格及动效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2.符合文化主题的视觉元素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3.相关界面适配</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定制原则：</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1.内容布局：提供合理安排内容元素的排列方式，减少混乱突出视觉重点。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2.色彩搭配：根据内容定位和用户喜好，选择合适的色彩搭配，增强内容的视觉吸引力。</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3.元素设计：直观简洁、风格统一、比例协调，帮助用户快速产生认知。</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4.文字排版：合理设置文字字体、字号、行间距等参数，保证用户舒适、高效阅读。</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5.动态效果：适当运用动态效果，增强界面的趣味性和互动性，提高用户的满意度。</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云端配置管理系统</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提供给管理员使用，可联网对屏中内容进行增删改查等配置操作，操作完毕可更新到展项</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存储与流量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游客视频存储和下行流量，支持游客从小程序长期访问自己的视频。</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瓯音</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液晶屏幕</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屏幕配置：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（1）尺寸：65英寸；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（2）★分辨率：≥3840*2160；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（3）触控：非触摸；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（4）亮度：≥350nit；</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（5）刷新率：≥60hz；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（6）对比度：≥1000:1；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（7）音频：内置扬声器；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（8）支持通电开机功能；</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触控屏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尺寸大小：32英寸；屏幕分辨率1920*1080；屏幕刷新率：60Hz;触控方式：电容触摸；含落地式32寸屏幕支架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定向音响</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功放功率：100W；</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阻值：4欧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音响功率：60W</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聚音罩厚度：50mm；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聚音罩下口尺寸：600mm；</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边缘计算单元</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（1）CPU：I7 12700KF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（2）内存：≥16G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（3）硬盘：≥512G SSD；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（4）显卡：NVIDIA RTX 1660super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（5）功能支持：定时开关机，上电自启动，远程唤醒；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互动软件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声音互动程序，部署在边缘服务器内：</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1）静默状态：无人交互状态下，以本地文化元素进行展示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2）互动跟读：屏幕上会显示步骤引导游客进行互动，游客可选择一段内容（内容可以是古诗、童谣），根据提示进行跟读；</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3）体验完毕后，扫描屏幕上的二维码即可获取短视频，通过小程序获取自己说的方言视频，并支持下载到本地相册或分享给微信好友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4）静默状态检测：无法交互时候，程序自动回到静默状态</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59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数字内容</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1）地方声音文化元素采集与制作，包含文稿撰写、内容策划、演员邀请、录音采集、设备和场地费用、文件制作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2）方言类型不少于6种，包括并不局限闽南话、瓯语、畲话等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3）根据实际的方言类型，进行对应内容的声音采集以及音频剪辑；整体音频时长不少于200秒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数字内容</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带走录音短视频合成所需模版定制及配置下发，视频长度为30s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1）结合文化内容，定义匹配的2D模版风格【以平面为主】</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2）绘制高清素材，使用专业手绘设备以及adobe专业正版绘图软件进行人工绘制。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3）根据画面结构关系，突出主要元素进行整体排版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4）输出视频分辨率为1080p</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秒</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智能短视频合成云服务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智能短视频合成云服务：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合成服务功能：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1）支持特效、滤镜、包装自动化合成服务；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2）支持视频调度、合成、渲染服务；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3）支持视频片段处理服务、视频管理服务、模版引擎服务；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合成服务指标：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1）转码合成效率：支持同一时间最少27个合成任务并发，最大合成效率为合成视频时长的一倍速；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2）视频码率：默认3Mbps，支持上限5Mbps；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3）视频输出格式：MP4；</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4）视频分辨率：1080P；</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5）合成量上限：10000分钟/年。</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存储与流量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游客视频存储和下行流量，支持游客从小程序长期访问自己的视频。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每年超过的存储空间和流量，及合同约定年数到期后每年的存储空间和流量，可根据实际需求另行采购。</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山海苍南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7"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超短焦激光工程投影机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1.芯片：DLP显示技术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2.分辨率：≥1920×1200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3.光源：激光光源，光源寿命≥20000小时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4.亮度：≥6000流明</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5.对比度：≥3000000:1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★6镜头:原装反射式超短焦投影机镜头，焦距≤0.3；</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7.四角校正功能（能够对四个角分别调整）；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8.为了产品各个方面更具保障需提供3C 、节能认证证书，需提供由国家权威机构ILAC-MRA、CNAS、CMA认证的检测报告复印件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激光工程投影机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1.芯片：DLP显示技术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2.分辨率：≥1920×1200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3.光源：激光光源，光源寿命≥20000小时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★4.亮度：≥7000流明</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5.对比度：≥3000000:1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为了产品各个方面更具保障需提供3C 、节能认证证书，需提供由国家权威机构ILAC-MRA、CNAS、CMA认证的检测报告复印件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5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镜头</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原厂原装镜头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适用于高端工程投影机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•镜头: </w:t>
            </w:r>
            <w:r>
              <w:rPr>
                <w:rFonts w:hint="default" w:ascii="Arial" w:hAnsi="Arial" w:eastAsia="宋体" w:cs="Arial"/>
                <w:i w:val="0"/>
                <w:color w:val="000000" w:themeColor="text1"/>
                <w:sz w:val="19"/>
                <w:szCs w:val="19"/>
                <w:shd w:val="clear" w:color="auto" w:fill="FFFFFF"/>
                <w14:textFill>
                  <w14:solidFill>
                    <w14:schemeClr w14:val="tx1"/>
                  </w14:solidFill>
                </w14:textFill>
              </w:rPr>
              <w:t>光圈值</w:t>
            </w:r>
            <w:r>
              <w:rPr>
                <w:rFonts w:hint="eastAsia" w:ascii="宋体" w:hAnsi="宋体" w:eastAsia="宋体" w:cs="宋体"/>
                <w:color w:val="000000" w:themeColor="text1"/>
                <w:kern w:val="0"/>
                <w:sz w:val="18"/>
                <w:szCs w:val="18"/>
                <w:lang w:bidi="ar"/>
                <w14:textFill>
                  <w14:solidFill>
                    <w14:schemeClr w14:val="tx1"/>
                  </w14:solidFill>
                </w14:textFill>
              </w:rPr>
              <w:t xml:space="preserve">=2.5, </w:t>
            </w:r>
            <w:r>
              <w:rPr>
                <w:rFonts w:hint="default" w:ascii="Arial" w:hAnsi="Arial" w:eastAsia="宋体" w:cs="Arial"/>
                <w:i w:val="0"/>
                <w:color w:val="000000" w:themeColor="text1"/>
                <w:sz w:val="19"/>
                <w:szCs w:val="19"/>
                <w:shd w:val="clear" w:color="auto" w:fill="FFFFFF"/>
                <w14:textFill>
                  <w14:solidFill>
                    <w14:schemeClr w14:val="tx1"/>
                  </w14:solidFill>
                </w14:textFill>
              </w:rPr>
              <w:t>焦距</w:t>
            </w:r>
            <w:r>
              <w:rPr>
                <w:rFonts w:hint="eastAsia" w:ascii="宋体" w:hAnsi="宋体" w:eastAsia="宋体" w:cs="宋体"/>
                <w:color w:val="000000" w:themeColor="text1"/>
                <w:kern w:val="0"/>
                <w:sz w:val="18"/>
                <w:szCs w:val="18"/>
                <w:lang w:bidi="ar"/>
                <w14:textFill>
                  <w14:solidFill>
                    <w14:schemeClr w14:val="tx1"/>
                  </w14:solidFill>
                </w14:textFill>
              </w:rPr>
              <w:t>=11.5mm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•镜头光损不大于10%。线性解析清晰度大于85%</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•镜头位移:</w:t>
            </w:r>
            <w:r>
              <w:rPr>
                <w:rFonts w:hint="eastAsia" w:ascii="宋体" w:hAnsi="宋体" w:eastAsia="宋体" w:cs="宋体"/>
                <w:kern w:val="0"/>
                <w:sz w:val="18"/>
                <w:szCs w:val="18"/>
                <w:lang w:bidi="ar"/>
              </w:rPr>
              <w:br w:type="textWrapping"/>
            </w:r>
            <w:r>
              <w:rPr>
                <w:rFonts w:hint="eastAsia" w:ascii="宋体" w:hAnsi="宋体" w:eastAsia="宋体" w:cs="宋体"/>
                <w:color w:val="auto"/>
                <w:sz w:val="18"/>
                <w:szCs w:val="18"/>
                <w:u w:val="none"/>
                <w:lang w:bidi="ar"/>
              </w:rPr>
              <w:t></w:t>
            </w:r>
            <w:r>
              <w:rPr>
                <w:rFonts w:hint="eastAsia" w:ascii="宋体" w:hAnsi="宋体" w:eastAsia="宋体" w:cs="宋体"/>
                <w:kern w:val="0"/>
                <w:sz w:val="18"/>
                <w:szCs w:val="18"/>
                <w:lang w:bidi="ar"/>
              </w:rPr>
              <w:t>-10-50% 垂直; ±5% 水平 (XGA)</w:t>
            </w:r>
            <w:r>
              <w:rPr>
                <w:rFonts w:hint="eastAsia" w:ascii="宋体" w:hAnsi="宋体" w:eastAsia="宋体" w:cs="宋体"/>
                <w:kern w:val="0"/>
                <w:sz w:val="18"/>
                <w:szCs w:val="18"/>
                <w:lang w:bidi="ar"/>
              </w:rPr>
              <w:br w:type="textWrapping"/>
            </w:r>
            <w:r>
              <w:rPr>
                <w:rFonts w:hint="eastAsia" w:ascii="宋体" w:hAnsi="宋体" w:eastAsia="宋体" w:cs="宋体"/>
                <w:color w:val="auto"/>
                <w:sz w:val="18"/>
                <w:szCs w:val="18"/>
                <w:u w:val="none"/>
                <w:lang w:bidi="ar"/>
              </w:rPr>
              <w:t></w:t>
            </w:r>
            <w:r>
              <w:rPr>
                <w:rFonts w:hint="eastAsia" w:ascii="宋体" w:hAnsi="宋体" w:eastAsia="宋体" w:cs="宋体"/>
                <w:kern w:val="0"/>
                <w:sz w:val="18"/>
                <w:szCs w:val="18"/>
                <w:lang w:bidi="ar"/>
              </w:rPr>
              <w:t>-15-55% 垂直; ±5% 水平(WUXGA)</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•重量:0.38kg</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根据现场环境进行选择</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个</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投影支架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定制配套投影机支架，支持角度调节；</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融合软件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定制投影画面曲面融合软件；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通道</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雷达</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测距原理：TOF测距；抗光环境：可在强光下使用；使用环境：室内；扫描频率：10Hz；输出数据分辨率：1mm；测量距离精度：±3cm；测量角度精度：0.36°；测量半径：白色物体30M，黑色物体12M；工作温度：-10°~50°</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个</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69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雷达调试软件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雷达调试校正软件，墙面1套带2个雷达，地面1套带2个雷达</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前级效果器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1、立体声模拟音乐输入，音乐参量均衡≥7段，高通滤波器和低通滤波器；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2、模拟音频输入，光纤音频输入，USB音频输入，多种输入选择；</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3、6个独立通道输出，每个通路都可以独立的混音、高低分频器、主输出和环绕7段参量均衡、中置7段和超低音5段参量均衡、延时、压限、极性变换；动态范围:&gt;100dB</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只</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3"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全频音响</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 xml:space="preserve">频率范围：70Hz-20KHz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额定功率：≥250W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灵敏度：≥96dB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额定阻抗：8Ω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低音单元：1*8"(50mm音圈)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高音单元：1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输入连接：NL4(1+,1-)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覆盖角度HXV：120度X60度</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只</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功放</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功率：8Ω立体声功率：≥350W，4Ω立体声功率：≥550W</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频率响应：20Hz-20KHz（±0.5dB）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总谐波失真≤0.1%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信噪比≥100dB</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显示工作站</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（1）4u工控机箱；</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（2）CPU：I9 11900KF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（3）内存：≥32G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（4）硬盘：≥1T SSD；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（5）显卡：NVIDIA RTX 4090同等性能及以上；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（6）功能支持：定时开关机，上电自启动，远程唤醒；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墙面定制互动程序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互动投影空间交互程序开发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1、支持用户手触摸墙面，基于传感器信号，识别用户交互区域，触发预埋互动区域的对应素材特效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2、支持多人同时触摸墙面，同时点位不少于4个（具体需要根据实际的空间场景判断调整）</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地面定制互动程序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互动投影空间交互程序开发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1、支持多用户在空间中行动时，基于传感器信号，识别其站立位置触发特效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2、支持特效跟随人的行动产生粒子流动</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数字内容（墙面）</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内容要求：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1.结合苍南山海文化，以“山海月明”主题，整体打造网红出片地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2.文化元素可参考：摩崖石刻、梯田、分水关、状元坊、海上日出等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制作要求：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1.前期素材准备、数据资料收集；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2.根据脚本制作分镜；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3.根据媒体影像资料，制作标志性元素三维模型；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4.数据整理、提炼、可视化制作；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5.三维特效制作；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6.镜头制作、镜头运动效果制作；使用三维软件C4D，UE5，Houdini等进行建模渲染和特效制作；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7.渲染输出高清影片，影片分辨率≥2K；</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8.时长根据实际脚本及内容表现变化，默认120s。</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数字内容（地面）</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内容要求：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1.结合苍南山海文化，以“山海月明”主题，整体打造网红出片地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2.文化元素可参考：摩崖石刻、梯田、分水关、状元坊、海上日出等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制作要求：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1.前期素材准备、数据资料收集；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2.根据脚本制作分镜；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3.根据媒体影像资料，制作标志性元素三维模型；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4.数据整理、提炼、可视化制作；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5.三维特效制作；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6.镜头制作、镜头运动效果制作；使用三维软件C4D，UE5，Houdini等进行建模渲染和特效制作；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7.渲染输出高清影片，影片分辨率≥2K；</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8.时长根据实际脚本及内容表现变化，默认120s。</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国艺馆（右厢房二楼）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汉服换装剧场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6"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互动拍摄剧场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1、设备由显示屏、计算单元、摄像头、圆台等组成并进行美化处理。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1.13.3 英寸高清显示屏：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（1）13.3寸液晶面板</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（2）分辨率：≥3000(h)x2000(v)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（3）可视角：≥178°</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（4）音频：高品质喇叭</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2.计算单元配置：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（1）CPU：≥i5-1135G7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（2）内存：≥16G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（3）硬盘：≥512GB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功能支持：定时开关机，上电自启动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3.摄像头模块：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（1）彩色相机分辨率：≥1080P@60fps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（2）视场角：65°/78°/90°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4.结构：</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（1）外形尺寸：圆台直径≥0.9m，旋转直径≥2.8m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（2）安装方式：落地式安装</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5.功能特性：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（1）网络连接方式：有线网络连接</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（2）系统控制：智能入侵检测防护；急停按钮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6.电气特性：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（1）电源输入：交流 220V-50/60Hz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（2）典型功耗：≤1KW</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79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32英寸液晶一体机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屏幕配置：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(1)尺寸：32英寸；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(2)分辨率：≥1920*1080；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(3)触控≥10点电容触摸；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(4)刷新率：≥60hz；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(5)对比度：≥1000:1；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(6)音频：内置扬声器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主机配置：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（1）内置主板</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（2）CPU：I5 6代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（3）内存：≥8G DDR4</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（4）硬盘：≥256G SSD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（5）显卡：集成显卡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（6）USB3.0≥2个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功能支持：定时开关机，上电自启动，远程唤醒</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含落地台式支架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交换机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1.上行端口速率:千兆 端口数量：8口</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360环绕拍摄应用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【部署】将互动拍摄应用部署在边缘服务器内，实现互动流程。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【启动拍摄】游客通过压感装置，驱动设备运行，启动环绕拍摄流程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【视频特效】拍摄结束后，端上视频处理和存储系统自动将游客的拍摄画面和视频素材进行实时结合，上传云端调用自动化短视频合成服务，叠加视觉特效，为游客生成专属的游玩短视频；</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小程序端获取短视频应用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 扫码跳转小程序，获取合成结果视频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支持视频浏览查看功能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支持将合成视频下载到手机本地相册</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支持将合成视频分享给微信好友和群聊</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数字内容交互玩法定制</w:t>
            </w:r>
          </w:p>
        </w:tc>
        <w:tc>
          <w:tcPr>
            <w:tcW w:w="2747" w:type="pct"/>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围绕文化主题进行数字内容交互玩法定制。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定制范围：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（1）根据鹅峰书院国艺馆的定位，选取国风素材，进行整体背景元素的设计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（2）根据汉服的特色，进行专场场景的制作以及摆拍动作的引导</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17"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定制多媒体内容</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1.360环拍剧场数字内容定制服务: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2.工作内容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3.1）模版所需素材制作、剪辑、增加转场、增加特效包装、增加音频等制作工序；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4.2）将制作完成的数字内容配置到系统对应环节并进行调试。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5.素材范围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6.1）交互流程中互动引导的提示音设计与制作；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7.2）短视频合成模板制作，时长为30s。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8.制作手法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9.1）用2D动画元素将文化场景进行动态呈现；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10.2）使用专业adobe正版动画软件AE进行动画制作。</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秒</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定制玩法教学视频</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引导屏幕中的互动教学视频制作，视频时长不低于30秒。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智能短视频合成云服务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1.智能短视频合成云服务</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智能生产任务管理系统</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1.提供给管理员使用，可通过网页方式访问系统，联网对产品进行管理</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存储与流量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1.游客视频存储和下行流量，支持游客从小程序长期访问自己的视频</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85寸屏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1、4K分辨率：3840*2160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2、亮度：450cd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3、支持HDMI接口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4、画面比例：16：9</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5、内置扬声器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6、屏幕刷新率：60HZ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7、支持通电开启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8、屏幕尺寸：85英寸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9、是否触摸屏：非触摸屏</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中厢房二楼（国术馆）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南拳习武互动剧场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微影棚 65寸室内一体机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 定制65寸LCD液晶屏：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分辨率≥3840*2160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可视角度≥178° 色度≥1.07B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亮度≥450cd/m² 对比度≥1200:1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响应时间 ≤6.5ms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边缘服务器：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CPU： i7-12700F同等性能及以上，GPU:GTX1660s 同等性能及以上 ，内存≥16G ，硬盘：≥512G SSD，支持上电自启动，远程唤醒</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高清专业人像拍摄摄像头：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1）分辨率：不低于1080P，内置AI智能面部追踪能力，支持基于面部自动对焦，支持自动曝光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2）视场角：不低于75°</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外设：音箱*2</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微影棚互动拍摄应用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将互动拍摄应用部署在边缘服务器内，实现互动流程，对视频流进行处理，用于自动化合成：</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系统调用算法服务，识别游客进入，启动互动流程；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互动流程启动后，屏幕上展开交互玩法介绍，引导游客做出各种动作，进行交互式拍摄；</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拍摄结束后，端上视频处理和存储系统将游客的拍摄画面和视频素材进行实时结合，自动采集和存储视频，上传云端调用自动化短视频合成服务，叠加多种视觉特效，为游客生成专属的游玩短视频；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在互动流程结尾，界面上显示合成短视频预览，同时展示视频关联的二维码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在边缘服务器中部署以下AI智能算法：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人体识别算法：基于人体识别算法，检测游客是否进入互动屏画面指定区域，判断互动流程的启动；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手势与姿态识别算法：实时识别游客手势和姿态，触发系统预设交互流程；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实时抠像算法：实现无需绿幕的人物实时抠像功能，将游客人体外的背景去除，和剧场主题素材进行结合，实现人入画中的效果；</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数字内容交互玩法定制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围绕文化主题进行数字内容交互玩法定制。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定制范围：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（1）交互玩法脚本定制、流程图等</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定制数字内容</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1.拍摄演员表演视频，含演员劳务费、影棚租赁费、器材租赁费，包含:</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2.1）影棚:绿幕无影棚，租赁一天</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3.2）演职人员:灯光指导一人、导演一人、场务一人、演员一人、化妆师一人、服装与道具一组</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4.3）摄影组:灯光设备租赁、导播台租赁、摄像师（含机器）2人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5.4）后期:视频抠像剪辑与后期处理，输出透明底的演员表演视频文件一份</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智能短视频合成云服务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1.智能短视频合成云服务，合成量上限不超过10000分钟/年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2.提供给管理员使用，可通过网页方式访问系统，联网对产品进行管理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3.扫码跳转微信小程序获取视频：支持分享、下载、查看历史记录等，支持唤起第三方付费。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4.游客视频存储和下行流量，支持游客从小程序长期访问自己的视频，提供不超过1000Gb/年的视频存储服务</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大书房</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激光工程投影机及短镜头</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1.芯片：DLP显示技术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2.分辨率：≥1920×1200（WUXGA 16:10）最高支持4K@60Hz HDR</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3.光源：激光光源，光源寿命≥20000小时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4.亮度：≥7000流明</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5.对比度：≥3000000:1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★镜头：原装短焦镜头 投射比0.8-1.1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为了产品各个方面更具保障需提供3C 、节能认证证书，需提供由国家权威机构ILAC-MRA、CNAS、CMA认证的检测报告复印件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电动投影幕</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1.产品:电动幕布</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2.升降方式:无线遥控升降</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3.幕布比例:16：10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4.幕布尺寸:250寸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5.版本:玻珠</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无线投屏器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无线投屏器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传输距离：≥50米</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接口：HDMI</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投影支架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定制配套投影机支架，支持角度调节；</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线上 小程序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小程序专区基础功能</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在微信小程序上为项目开设专区，用户可通过微信扫码，进入相应的页面，并通过浏览、保存、分享图文信息，实现线上传播。</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专区首页：项目导航页，可引导到不同功能模块；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景区详情页：通过“热门景区页”或扫相应二维码进入的景区详情页，用于介绍景区的概况。</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关联景点推荐：景区详情页下方可关联推荐相关景区、路线、打卡点等旅游目的地；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富文本页：可以为每个展项设置详细的图文、视频、音频描述介绍。</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 地图页：支持在地图页上展示路线，路线包含复数景点，点击景点可以展开景区详情页。</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云存储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提供不超过1000Gb/年的图片、视频云端存储服务</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分时预约参观者页面</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提供给参观者使用。参观者选择具体日期和时段后，通过输入姓名和联系方式等个人信息，进行预定；预约成功后，可得到预约凭证，可在景区凭“预约凭证二维码”核销入场。</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分时预约核销页面</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提供给管理人员使用。支持扫码核销“预约”参观者的二维码凭证；支持查询当天预约人数、核销入场人数、个人工作量。</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PC端预约管理后台</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提供给管理人员使用。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可设置“可预约”的日期、时段、人数上限；</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可查询往期预约人员、核销人员、取消预约等综合信息；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可查询预约人员的个人信息：如填写的姓名、手机号。</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内容整理和配置服务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基于甲方提供的文本和图片内容，进行小程序专区配置，包括需求沟通、内容整理、图文优化、系统配置、测试验收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集章功能</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1）支持分享摄像头拍摄的vlog（视频）或展项详情页（打卡点详情页），作为点位集章成功的标识；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2）支持串联不同景区下的点位作为集章任务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——集章点位的数量不限，只影响数字内容的成本，不影响软件成本</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专区首页定制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专区首页UI定制，包含UI制作、前端开发等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专区首页：项目导航页，可引导到不同功能模块；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景区详情页：通过“热门景区页”或扫相应二维码进入的景区详情页，用于介绍景区的概况。</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关联景点推荐：景区详情页下方可关联推荐相关景区、路线、打卡点等旅游目的地；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富文本页：可以为每个展项设置详细的图文、视频、音频描述介绍。</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 地图页：支持在地图页上展示路线，路线包含复数景点，点击景点可以展开景区详情页。</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云端配置管理系统</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提供给管理员使用，可联网管理系统内容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模板管理：支持对模版的替换、配置功能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题库管理：支持对题库和题目的增删改查操作</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客流分析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高清半球摄像机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1.采用高性能400万像素1/1.8英寸CMOS图像传感器，低照度效果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好，图像清晰度高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最大可输出400万(2688×1520)@25fps，持rtmp协议；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支持H.265编码，压缩比高，实现超低码流传输</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内置高效红外补光灯，最大红外监控距离50米</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 支持走廊模式，宽动态，3D降噪，强光抑制，背光补偿；</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 支持DC12V/POE供电方式；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 支持IP67，IK10防护等级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交换机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1、上行端口速率：千兆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2、端口类型：电口&amp;光口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3、规格：19英寸（标准机架）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4、端口数量：≥24口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5、适用网络：中小型网络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6、下行端口速率：千兆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7、下行接口类型：以太网交换机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8、端口供电功能：POE供电</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9、外壳材质：金属</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数据分析主机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CPU: i7-12700K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内存：≥16G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硬盘：≥512G固态+1T硬盘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操作系统：根据现场实际情况配置</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摄像头安装辅材</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包含支架，配套零件等辅材</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展项行为分析看板</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1.接入展项行为分析数据接口，对游客画像、游客数量、游客停留时长等数据指标进行分析；</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结合展项服务器端数据，综合输出展项数据统计分析报表，分析游客最喜欢的展项排行、展项传播力排行等；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提供网页页面，通过饼图、折线图等可视化图表进行数据呈现。</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reID行人重识别算法</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客流分析算法模型服务、检索服务、视频及图片任务处理、对外接口服务等</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云资源</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行为分析所需云计算资源，2年服务</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路/年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线上对话数字人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Ai大模型对话及导览服务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1.支持游客线下扫码，通过手机端微信小程序进行问答体验</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2.★指令输入:标准问答界面，支持文本、语音方式输入问题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3.多模态的反馈:反馈形式多样化，支持图文、语言、视频形式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4.多形式的交互:可以实现内嵌H5页面的跳转、小程序跳转、其他功能模块的跳转</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5.关联推荐导览:根据用户画像，以及问答内容，AI计算出用户问答权重以及用户行为推算，从而将相关关联的内容推荐给用户，实现周边导流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6.基础算法服务包:10w次/年（语音识别、nlp、tts等），超出部分可额外购买算法服务包</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流量包</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超过10w次/年部分，超过部分每增加10w次/年，不足10w次部分，按0.15元/次计费</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10w次/年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知识库服务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1、知识库建库：基于基础常识库（500题），建立特定景区/展馆的游客服务类知识库（300题）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2、知识库配置：可自行对专有名词以及特定的知识进行相关的配置，对特有服务场景设置场景关键词增强，实现对话以及功能跳转的能力</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形象定制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根据苍南文化名人，选取最具代表性的IP人物进行数字人形象定制，输出2张数字人形象图（透明底形象图，头像小图）</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AR明信片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AR场景还原</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 AI图像识别能力：扫描指定2D画面，实时触发3D虚拟场景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3D渲染引擎：在界面上叠加AR形象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可将虚实结合的画面保存为照片，支持下载到手机本地相册</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使用流程引导页面</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120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AR明信片标准内容修改配置</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1.支持选择标准场景和标准人物</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对首页、互动描述、祝福语、背景音乐、分享海报等进行定制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包含需求沟通、主题策划、资料输出</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121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数字内容交互玩法定制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围绕文化主题进行数字内容交互玩法定制。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定制范围：</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（1）根据当地的文化特色，决定IP人物的形象角色以及场景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（2）根据选定的IP人物，进行场景动效的设计，比如动作、内容脚本等</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122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3D场景制作</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根据数字人形象，进行整体效果场景的制作，包括简单3D场景搭建，建模以及音乐音效等，场景以氛围点缀搭建为主</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123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3D人物动画</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包括IP形象制作、台词配音、3D建模以及简单动作【3D建模以卡通形象为主，动作为挥手，转身，行走等简单动作】</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124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物料设计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明信片定制费用（数量1000张）</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文创公仔</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sz w:val="18"/>
                <w:szCs w:val="18"/>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125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文创公仔</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文创公仔，数量1000个，模型大小≥7cm，含包装盒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其他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126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管线材</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桥架、管线、网线、信号线、音频线、USB延长线、串口控制线、光纤线；成品HDMI线材，成品USB延长线材，成品音频转换跳线，成品视频转换线材；</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127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系统集成服务</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单项调试、软硬件联动调试、培训服务</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128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textAlignment w:val="center"/>
              <w:rPr>
                <w:rFonts w:hint="default" w:ascii="宋体" w:hAnsi="宋体" w:eastAsia="宋体" w:cs="宋体"/>
                <w:kern w:val="0"/>
                <w:sz w:val="18"/>
                <w:szCs w:val="18"/>
                <w:lang w:bidi="ar"/>
              </w:rPr>
            </w:pPr>
            <w:r>
              <w:rPr>
                <w:rFonts w:hint="eastAsia" w:ascii="宋体" w:hAnsi="宋体" w:eastAsia="宋体" w:cs="宋体"/>
                <w:kern w:val="0"/>
                <w:sz w:val="18"/>
                <w:szCs w:val="18"/>
                <w:lang w:val="en-US" w:eastAsia="zh-CN" w:bidi="ar"/>
              </w:rPr>
              <w:t>质量服务</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bidi="ar"/>
              </w:rPr>
            </w:pP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硬件质保</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bidi="ar"/>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18"/>
                <w:szCs w:val="18"/>
                <w:lang w:eastAsia="zh-CN"/>
              </w:rPr>
            </w:pPr>
            <w:r>
              <w:rPr>
                <w:rFonts w:hint="eastAsia" w:ascii="宋体" w:hAnsi="宋体" w:eastAsia="宋体" w:cs="宋体"/>
                <w:kern w:val="0"/>
                <w:sz w:val="18"/>
                <w:szCs w:val="18"/>
                <w:lang w:bidi="ar"/>
              </w:rPr>
              <w:t>12</w:t>
            </w:r>
            <w:r>
              <w:rPr>
                <w:rFonts w:hint="eastAsia" w:ascii="宋体" w:hAnsi="宋体" w:eastAsia="宋体" w:cs="宋体"/>
                <w:kern w:val="0"/>
                <w:sz w:val="18"/>
                <w:szCs w:val="18"/>
                <w:lang w:val="en-US" w:eastAsia="zh-CN" w:bidi="ar"/>
              </w:rPr>
              <w:t>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jc w:val="both"/>
              <w:rPr>
                <w:rFonts w:hint="default" w:ascii="??" w:hAnsi="??" w:eastAsia="??" w:cs="宋体"/>
                <w:kern w:val="2"/>
                <w:sz w:val="18"/>
                <w:szCs w:val="18"/>
                <w:lang w:val="en-US" w:eastAsia="zh-CN" w:bidi="ar-SA"/>
              </w:rPr>
            </w:pPr>
            <w:r>
              <w:rPr>
                <w:rFonts w:hint="default" w:ascii="??" w:hAnsi="??" w:eastAsia="??" w:cs="宋体"/>
                <w:kern w:val="2"/>
                <w:sz w:val="18"/>
                <w:szCs w:val="18"/>
                <w:lang w:val="en-US" w:eastAsia="zh-CN" w:bidi="ar-SA"/>
              </w:rPr>
              <w:t>运维服务</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jc w:val="both"/>
              <w:rPr>
                <w:rFonts w:hint="default" w:ascii="??" w:hAnsi="??" w:eastAsia="??" w:cs="宋体"/>
                <w:kern w:val="2"/>
                <w:sz w:val="18"/>
                <w:szCs w:val="18"/>
                <w:lang w:val="en-US" w:eastAsia="zh-CN" w:bidi="ar-SA"/>
              </w:rPr>
            </w:pPr>
            <w:r>
              <w:rPr>
                <w:rFonts w:hint="default" w:ascii="??" w:hAnsi="??" w:eastAsia="??" w:cs="宋体"/>
                <w:kern w:val="2"/>
                <w:sz w:val="18"/>
                <w:szCs w:val="18"/>
                <w:lang w:val="en-US" w:eastAsia="zh-CN" w:bidi="ar-SA"/>
              </w:rPr>
              <w:t>软硬件运维、维护管理服务</w:t>
            </w:r>
          </w:p>
          <w:p>
            <w:pPr>
              <w:keepNext w:val="0"/>
              <w:keepLines w:val="0"/>
              <w:widowControl/>
              <w:suppressLineNumbers w:val="0"/>
              <w:spacing w:before="0" w:beforeAutospacing="0" w:after="0" w:afterAutospacing="0"/>
              <w:ind w:left="0" w:right="0"/>
              <w:jc w:val="left"/>
              <w:textAlignment w:val="auto"/>
              <w:rPr>
                <w:rFonts w:hint="default" w:ascii="宋体" w:hAnsi="宋体" w:eastAsia="宋体" w:cs="宋体"/>
                <w:sz w:val="18"/>
                <w:szCs w:val="18"/>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展厅中控</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sz w:val="18"/>
                <w:szCs w:val="18"/>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lang w:val="en-US" w:eastAsia="zh-CN"/>
              </w:rPr>
            </w:pPr>
            <w:r>
              <w:rPr>
                <w:rFonts w:hint="eastAsia" w:ascii="宋体" w:hAnsi="宋体" w:eastAsia="宋体" w:cs="宋体"/>
                <w:kern w:val="0"/>
                <w:sz w:val="18"/>
                <w:szCs w:val="18"/>
                <w:lang w:val="en-US" w:eastAsia="zh-CN" w:bidi="ar"/>
              </w:rPr>
              <w:t>130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中控设备</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RS232/RS485串口 ≥8路；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红外接口 ≥8路发射，1路学习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10/100Mbps网络口 ≥4路；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POE总线接口（sNETx1,CANx1,RS485x1） ≥3路；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冗余电源输入 ≥2路；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支持pjlink编程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支持tcp/udp编程调用</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平板电脑</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内存容量：≥128GB；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分辨率：≥2560*1600；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CPU核心数：八核；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屏幕尺寸：≥10.95英寸；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运行内存：≥6GB</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智能开关模块</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4路可编程智能配电开关（导轨式）单路≥20A；</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单路≥20A（≥4400瓦）负载，4路共≥17600瓦,</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配备独立的机械式手动开关，确保电源100%可用。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采用电表级继电器，脉冲式控制，0功耗,0发热:</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单网线供电通讯，实现手拉手POE供电 +  通讯控制；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与中控运维控制主机相关联、配套使用。</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运维控制主机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（1）4u工控机箱；</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（2）CPU：I5 10400F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（3）内存：≥8G；</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（4）硬盘：≥256G SSD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（5）显卡：集成显卡同等性能及以上；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（6）功能支持：定时开关机，上电自启动，远程唤醒；</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（7）配备21寸显示器</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linux管理主机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（1）CPU：I5 10400F 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（2）内存：≥16G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（3）硬盘：≥1T机械硬盘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（4）显卡：集成显卡同等性能及以上；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（5）功能支持：定时开关机，上电自启动，远程唤醒；</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7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移动端控制软件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移动端控制软件：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系统界面设计、制作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运行系统：Android</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1、支持远程控制电脑主机开启、关闭；</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2、支持远程控制屏幕电源开启、关闭；</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3、支持远程控制音量大小调节；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4、支持远程对展区照明灯光控制；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5、支持远程对视频进行停止、暂停、播放控制；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6、支持一键开启设备；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7、支持一键关闭设备；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8、支持多台移动控制端同时进行操作；</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51"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电脑控制软件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电脑控制软件：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系统界面设计、制作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运行系统：windows10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1、支持远程控制电脑主机开启、关闭；</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2、支持远程控制屏幕电源开启、关闭；</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3、支持远程控制音量大小调节；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4、支持远程对展区照明灯光控制；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5、支持远程对视频进行停止、暂停、播放控制；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6、支持一键开启设备；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7、支持一键关闭设备；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8、支持多台移动控制端同时进行操作；</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机房设备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时序电源</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1）9路设备供电（可控制电源8路、不可控制1路）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2）支持网络控制；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3）产品净重（kg）3.65</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4）供电电源：AC220V 50/60Hz 30A5）</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PDU</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插孔数量：≥8孔  适用标准：国标  全长：1.6米-2米  插孔电流：≥10A  USB接口数：不带USB接口  开关方式：总控  USB电流：无USB接口  额定功率：≥2500W  款式：PDU插座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个</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wifi插座开关</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wifi插座开关</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个</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139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机柜</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 xml:space="preserve">42U专业服务器机柜，前后丝网孔门，立柱厚2mm。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尺寸：高2000mm×宽600mm×深800mm。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颜色：黑色；</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规格：600*800*2000（宽*深*高）mm；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配置：前门钢化玻璃，后门网孔，</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核心交换机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1、上行端口速率：千兆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2、下行端口速率：千兆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3、端口数量及类型：≥24个10/100/1000Mbps电口，≥4个SFP+光口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4、规格：19英寸（标准机架）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5、适用网络：中小型网络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6、端口供电功能：非POE供电</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7、交换容量：≥396Gbps，包转发率≥108Mpps</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POE交换机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1、上行端口速率：千兆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2、下行端口速率：千兆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3、端口数量及类型：≥支持固化千兆电口≥24个，固化千兆光口≥4个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4、规格：19英寸（标准机架）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5、适用网络：中小型网络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6、端口供电功能：POE供电，整机输出功率≥370W, 单口最大输出功率≥30W；</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7、交换容量：≥336Gbps，包转发率≥42Mpps，</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5"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路由器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1、标准1U设备，非X86多核硬件体系架构，固化千兆电口≥5个，1个USB口，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2、设备配置吞吐量≥1GB，用户规模≥250终端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3、为保证在多条外网线路情况下带宽的合理分配使用，设备应该支持多链路负载均衡；</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0" w:hRule="atLeast"/>
          <w:jc w:val="center"/>
        </w:trPr>
        <w:tc>
          <w:tcPr>
            <w:tcW w:w="31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AP</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1、支持标准802.11ax 、802.11ac wave2、wave1、802.11a/b/g/n协议；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2、支持双频双流,单频最大接入速率≥2402Mbps,整机最大接入速率≥2976Mbps；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3、支持蓝牙5.0（Ble）；</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4、实配1个10/100/1000/2500M Base-T以太网口和1个10/100/1000M Base-T以太网口；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5、支持PoE以太网供电（支持802.3at/at兼容供电）和本地供电（DC 12V）；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6、支持云AC管理，支持三层漫游，保留测试权力。</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7、支持APP本地或者远程统一运维管理，能够呈现设备的在线状态、相关网络拓扑、无线功能配置等。</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144</w:t>
            </w:r>
          </w:p>
        </w:tc>
        <w:tc>
          <w:tcPr>
            <w:tcW w:w="971"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UPS</w:t>
            </w:r>
          </w:p>
        </w:tc>
        <w:tc>
          <w:tcPr>
            <w:tcW w:w="2747"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1.UPS安装，单进单出，6KVA，含配电柜、电池柜，含电池16节100AH</w:t>
            </w:r>
          </w:p>
        </w:tc>
        <w:tc>
          <w:tcPr>
            <w:tcW w:w="45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kern w:val="0"/>
                <w:sz w:val="18"/>
                <w:szCs w:val="18"/>
                <w:lang w:bidi="ar"/>
              </w:rPr>
              <w:t>智能化设备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75" w:hRule="atLeast"/>
          <w:jc w:val="center"/>
        </w:trPr>
        <w:tc>
          <w:tcPr>
            <w:tcW w:w="315"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145</w:t>
            </w:r>
          </w:p>
        </w:tc>
        <w:tc>
          <w:tcPr>
            <w:tcW w:w="971"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半球摄像机</w:t>
            </w:r>
          </w:p>
        </w:tc>
        <w:tc>
          <w:tcPr>
            <w:tcW w:w="2747"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lang w:bidi="ar"/>
              </w:rPr>
            </w:pPr>
            <w:r>
              <w:rPr>
                <w:rFonts w:hint="eastAsia" w:ascii="宋体" w:hAnsi="宋体" w:eastAsia="宋体" w:cs="宋体"/>
                <w:kern w:val="0"/>
                <w:sz w:val="18"/>
                <w:szCs w:val="18"/>
                <w:lang w:bidi="ar"/>
              </w:rPr>
              <w:t>400万全彩半球型网络摄像机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1、全彩级高灵敏度传感器，F1.0超大光圈镜头，提供更清晰的视频流输入</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2、最高分辨率可达2560 × 1440 @25 fps，在该分辨率下可输出实时图像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3、支持ROI感兴趣区域增强编码，支持Smart265/264编码，可根据场景情况自适应调整码率分配，有效节省存储成本</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4、支持背光补偿，强光抑制，3D数字降噪，120 dB宽动态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5、★具有不小于1/1.8"靶面尺寸。</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6、支持柔光灯补光，照射距离不低于30 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7、1个内置麦克风，高清拾音</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8、符合IP66防尘防水设计，可靠性高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9、摄像机应能在DC（12±25%）V范围内正常工作，支持POE供电</w:t>
            </w:r>
          </w:p>
        </w:tc>
        <w:tc>
          <w:tcPr>
            <w:tcW w:w="45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38"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枪式摄像机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400万全彩半球型网络摄像机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1、全彩级高灵敏度传感器，F1.0超大光圈镜头，提供更清晰的视频流输入</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2、最高分辨率可达2560 × 1440 @25 fps，在该分辨率下可输出实时图像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3、支持ROI感兴趣区域增强编码，支持Smart265/264编码，可根据场景情况自适应调整码率分配，有效节省存储成本</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4、支持背光补偿，强光抑制，3D数字降噪，120 dB宽动态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5、★具有不小于1/1.8"靶面尺寸。（公安部检验报告证明）</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6、支持柔光灯补光，照射距离不低于30 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7、1个内置麦克风，高清拾音</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8、符合IP66防尘防水设计，可靠性高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9、摄像机应能在DC（12±25%）V范围内正常工作，支持POE供电</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9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枪球一体机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1、内置2个镜头，可以输出两路视频图像，1路全景视频图像、1路细节视频图像；内置2颗GPU芯片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2、视频输出支持2560×1440@25fps，分辨力不小于1400TVL，红外距离可达150米；</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3、细节镜头支持23倍光学变倍,最大焦距不小于135mm；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4、在彩色模式下，当环境低照度降低至设定阈值，样机可自动开启白光灯补光，在白天、夜晚均可输出彩色视频图像；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5、对人或车辆进入警戒区域后，设备可发出白光警示、声音警示，并启动智能跟踪功能；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6、水平旋转范围为360°连续旋转，垂直旋转范围为-15°~90°；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7、★需具备智能分析抗干扰功能，当篮球、小狗、树叶等非人或车辆目标经过检测区域时，不会触发报警。（公安部检验报告证明）；</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8、支持循环跟踪功能，当全景视频图像中有多个目标触发报警事件后，细节视频图像可联动对多个目标循环跟踪；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9、支持300个预置位，可按照所设置的预置位完成不小于8条巡航路径，支持不小于4条模式路径设置，支持预置位视频冻结功能；可实现RS485接口优先或RJ45网络接口优先控制功能；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10、支持智能红外、透雾、强光抑制、电子防抖、数字降噪、防红外过曝功能；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11、支持区域遮盖功能，支持设置不少于24个不规则四边形区域，可设置不同颜色；</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12、球机应具备本机存储功能，支持SD卡热插拔，最大支持256GB；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13、★支持双路智能行为分析功能，全景通道和细节通道均支持区域入侵、越界侦测、进入区域、离开区域等智能行为分析功能（以公安部检验报告为准）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14、★支持图片合成功能，报警事件触发后，样机可联动全景视频图像与细节视频图像进行抓图，并将两张报警图片合成（以公安部检验报告为准）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15、具备较好的防护性能环境适应性，支持IP67，6kV防浪涌，工作温度范围可达-40℃-70℃；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16、具备较好的电源适应性，电压在DC36V±30%范围内变化时，设备可正常工作；</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2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硬盘录像机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1、16盘位64路嵌入式网络硬盘录像机，整机采用短机箱设计，搭载高性能ATX电源</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2、★支持最大接入带宽384Mbps，最大存储带宽384Mbps，最大转发带宽384Mbps（以公安部检测报告为准）；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3、支持4通道输出，包括HDMI1、HDMI2、VGA1、VGA2，各输出口均支持显示系统主菜单，且每路均可分别进行预览、回放、配置等操作；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4、支持报警事件、异常事件计数提醒功能，以图标形式在监控界面上提醒用户，异常事件包括硬盘满、硬盘错误、网络断开、IP 冲突、非法访问、视频信号丢失、录像/抓图异常、IP 通道冲突、热备异常、子码流分辨率/码率超限、配件板异常、硬盘高温异常、硬盘低温异常、硬盘坏块异常、硬盘撞击异常、硬盘严重故障异常、无码流异常等；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5、接入警戒摄像机，支持对 IPC 的声音和闪光参数进行配置， 支持通过移动侦测、区域入侵、越界侦测、进入区域和离开区域事件联动一个或多个 IPC 的声光报警，可以对声光联动一键撤防；</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6、★支持4路视频流人脸识别，支持16路图片流人脸识别（以公安部检测报告为准）；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7、人脸正对相机、人脸无遮挡等干扰情况，人脸识别准确率≥99%；</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8、接入能力：64路H.264、H.265格式高清码流接入</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9、解码能力：最大支持32×1080P</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10、显示能力：最大支持双4K异源输出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11、支持16个SATA接口，支持硬盘热插拔，可满配12TB硬盘</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硬盘</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6T</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只</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58"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149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拼接屏</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1、55"原装全新A级DID液晶玻璃面板，工业级超窄边液晶拼接单元</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2、单元尺寸：1214*685.9*111.1mm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3、对比度：4000:1    重点：通过中国电器产品强制认证《3C认证》《液晶拼接屏检测报告》《拼接屏显示系统软件著作权证书》《FCC》《CE》《ROHS》等项相关国家强制认证证书</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4、亮度：≥500cd/m2 ；LED背光（直下式）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5、 拼接缝隙：物理拼缝≤3.5mm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6、最佳分辨率1920*1080，兼容分辨率1366x768；1600x1200；1280x1024；1280x768；1024x768；</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7、显示色彩：全彩16.7M色</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8、可视角度：178°(横向和纵向全视角)。</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 响应时间：8ms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10、24小时连续运行，具有先进性、稳定性和可扩充性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11、使用寿命：60000小时以上（7*24 h）</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解码器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1.支持9路HDMI信号输出接口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2.支持9路HDMI音频输出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3.支持MPEG2/MPEG4/H.264/H.265/SVAC/MJPEG标准网络视频流解码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3.支持QCIF/CIF/2CIF/HD1/D1/720P/1080P/300W/500W/600W视频解码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4.支持单屏1/4/6/8/9/16画面，5.可实现单机多口、多机多口间随意开窗实现画中画、漫游功能，开窗口尺寸随 意设置。</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拼接屏支架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定制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152</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操作台</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3联</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5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153</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综合管理平台</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支持局域网和公网两种应用环境。</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支持电子地图功能，可对电子地图添加、删除、修改、查看电子地图，并对电子地图进行缩放、移动等操作。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支持用户权限管理功能。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 支持WEB浏览功能。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支持接入网络摄像机、网络球机、网络视频服务器、网络硬盘录像机、网络存储、级联服务器等设备。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支持对编码设备进行定时校时和批量校时。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支持HiDDNS、IP SERVER、花生壳、DynDNS方式添加设备。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支持语音对讲和广播功能。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支持设备在线搜索(SADP)功能。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支持视图操作。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最大支持64画面标准分割和48画面宽屏分割;支持自定义画面分割，预览界面自由度更高。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支持主辅屏预览。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支持预览时手动录像和抓图功能。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支持远程PTZ控制。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支持一键聚焦功能。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支持鼠标和键盘操作。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支持3D定位功能。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支持监控点联动。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支持设备布防控制和I/O控制。</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154</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管理电脑</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1.CPU主频I5 10400;内存16G</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2.;硬盘类型:固态硬盘512G、500W电源</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82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155</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核心交换机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1、★固化端口：≥24个10/100/1000Mbps电口，≥4个SFP+光口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2、★交换容量≥396Gbps，包转发率≥108Mpps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3、为避免网络被异常流量和突发流量波及导致网络瘫痪，要求设备支持QOS，支持端口流量限速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4、支持专门针对CPU的保护机制，能够针对发往CPU处理的各种报文进行流量控制和优先级处理，保护交换机在各种环境下稳定工作；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5、支持标准的ACL、支持基于IP/MAC扩展的ACL；</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6、符合国家低碳环保等政策要求，支持IEEE 802.3az标准的EEE节能技术；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为方便新建项目开局，要求设备支持对全网同品牌设备进行统一的发现，并通过网关对交换、AP、AC进行集中化的调试，避免各区域分别调试的麻烦。提供设备配置截图作为证明，如需要依赖于外部软件实现，需免费提供软件，并提供相应软件配置截图作为证明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8.提供原厂投标授权涵</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62"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156</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POE交换机</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1、标准1U设备，支持固化千兆电口≥24个，固化千兆光口≥4个，交换容量≥336Gbps，包转发率≥42Mpps，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2、支持PoE供电口≥24个，整机输出功率≥370W, 单口最大输出功率≥30W，</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3、为了方便设备的运维，支持通过APP进行远程管理PoE，支持远程重启PoE端口；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4、支持生成树 STP / RSTP ; 提高容错能力，保证网络的稳定运行和链路的负载均衡，合理使用网络通道，提供冗余链路利用率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5、支持DHCP Snooping；很好的避免了上网终端从非法DHCP服务器分配的IP地址，引起的网络异常或安全隐患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6、支持VLAN划分，最大支持4094个VLAN</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7、支持高效节能以太网（EEE），端口如果在连续一段时间之内空闲，系统会将该端口设置为节能模式，当有报文收发时再通过定时发送的监听码流唤醒端口恢复业务，达到节能的效果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8、支持防雷等级≥6KV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9、★要求所投产品支持网管平台和手机APP集中管理，实配网管平台，出现交换机端口状态改变、网络出现环路、交换机端口流量过阀值等问题通过微信告警推送，提供功能截图加盖原厂公章，保留测试权力；</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为方便新建项目开局，要求设备支持对全网同品牌设备进行统一的发现，并通过网关对交换、AP、AC进行集中化的调试，避免各区域分别调试的麻烦。提供设备配置截图作为证明，如需要依赖于外部软件实现，需免费提供软件，并提供相应软件配置截图作为证明提供原厂公章，保留测试权力；</w:t>
            </w:r>
            <w:r>
              <w:rPr>
                <w:rFonts w:hint="eastAsia" w:ascii="宋体" w:hAnsi="宋体" w:eastAsia="宋体" w:cs="宋体"/>
                <w:kern w:val="0"/>
                <w:sz w:val="18"/>
                <w:szCs w:val="18"/>
                <w:lang w:bidi="ar"/>
              </w:rPr>
              <w:br w:type="textWrapping"/>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72"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157</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路由器</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1、标准1U设备，非X86多核硬件体系架构，固化千兆电口≥5个，1个USB口，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2、★设备配置吞吐量≥1GB，用户规模≥250终端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3、为保证在多条外网线路情况下带宽的合理分配使用，设备应该支持多链路负载均衡；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4、为满足数据包按照用户指定的策略进行转发，应该支持策略路由，如：一个策略可以指定从某个网络发出的数据包只能转发到某个特定的接口；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5、内置无线控制器功能，可以直接管理AP，最大支持管理32个AP。支持常规防火墙功能；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6、支持特定外部网络资源和内部特定用户的免认证功能。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7、设备能够发现私接路由（或者共享软件等）共享网络的行为。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8、能够实时看到各级流控策略的状态：包括所属线路、瞬时速率、通道占用比例、用户数、保证带宽、最大带宽、启用状态等。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9、支持通过抑制P2P流量，能够有对P2P软件进行限速从而避免流量浪费，提升外网带宽利用率。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10、为方便用户远程接入，设备需支持SSL VPN，并提供10路免费SSL VPN接入授权；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为方便新建项目开局，要求设备支持对全网同品牌设备进行统一的发现，并通过网关对交换、AP、AC进行集中化的调试，避免各区域分别调试的麻烦。提供设备配置截图作为证明，如需要依赖于外部软件实现，需免费提供软件，并提供相应软件配置截图作为证明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12.提供原厂投标授权涵</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158</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机柜</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1.容量:26U；</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2.机柜尺寸:大于等于600x600x1.5mm；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3.材质:SPCC冷轧钢板、符合国标要求。防水、防尘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4.配置:8位10Apdu插排1个；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5.固定托盘隔板5块（600mm深）；</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6.4只两寸重型脚轮；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7.M6方螺母钉40套；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8.内六角把手1只</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台</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159</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UPS</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UPS安装，单进单出，6KVA，含配电柜、电池柜，含电池16节100AH</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套</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160</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桥架</w:t>
            </w:r>
          </w:p>
        </w:tc>
        <w:tc>
          <w:tcPr>
            <w:tcW w:w="27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200*100</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米</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245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161</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线材、辅材等</w:t>
            </w:r>
          </w:p>
        </w:tc>
        <w:tc>
          <w:tcPr>
            <w:tcW w:w="274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18"/>
                <w:szCs w:val="18"/>
              </w:rPr>
            </w:pPr>
            <w:r>
              <w:rPr>
                <w:rFonts w:hint="eastAsia" w:ascii="宋体" w:hAnsi="宋体" w:eastAsia="宋体" w:cs="宋体"/>
                <w:kern w:val="0"/>
                <w:sz w:val="18"/>
                <w:szCs w:val="18"/>
                <w:lang w:bidi="ar"/>
              </w:rPr>
              <w:t>信号线、电源线、PVC管、支架、配电箱等辅材</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批</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kern w:val="0"/>
                <w:sz w:val="18"/>
                <w:szCs w:val="18"/>
                <w:lang w:bidi="ar"/>
              </w:rPr>
              <w:t>1</w:t>
            </w:r>
          </w:p>
        </w:tc>
      </w:tr>
    </w:tbl>
    <w:p>
      <w:pPr>
        <w:keepNext/>
        <w:keepLines/>
        <w:numPr>
          <w:ilvl w:val="0"/>
          <w:numId w:val="0"/>
        </w:numPr>
        <w:tabs>
          <w:tab w:val="left" w:pos="720"/>
        </w:tabs>
        <w:spacing w:before="0" w:after="0" w:line="360" w:lineRule="auto"/>
        <w:jc w:val="both"/>
        <w:outlineLvl w:val="2"/>
        <w:rPr>
          <w:rFonts w:ascii="宋体" w:hAnsi="宋体" w:eastAsia="宋体" w:cs="宋体"/>
          <w:b/>
          <w:bCs/>
          <w:color w:val="auto"/>
          <w:sz w:val="24"/>
          <w:szCs w:val="28"/>
          <w:highlight w:val="none"/>
          <w:lang w:val="en-US" w:eastAsia="zh-CN" w:bidi="ar-SA"/>
        </w:rPr>
      </w:pPr>
      <w:r>
        <w:rPr>
          <w:rFonts w:hint="eastAsia" w:ascii="宋体" w:hAnsi="宋体" w:eastAsia="宋体" w:cs="宋体"/>
          <w:b/>
          <w:bCs/>
          <w:color w:val="auto"/>
          <w:sz w:val="24"/>
          <w:szCs w:val="28"/>
          <w:highlight w:val="none"/>
          <w:lang w:val="en-US" w:eastAsia="zh-CN" w:bidi="ar-SA"/>
        </w:rPr>
        <w:t>三、商务需求：</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1.交货时间及地点：</w:t>
      </w:r>
    </w:p>
    <w:p>
      <w:pPr>
        <w:spacing w:line="360" w:lineRule="auto"/>
        <w:ind w:firstLine="482" w:firstLineChars="200"/>
        <w:rPr>
          <w:rFonts w:ascii="宋体" w:hAnsi="宋体" w:eastAsia="宋体" w:cs="宋体"/>
          <w:b/>
          <w:bCs/>
          <w:color w:val="000000" w:themeColor="text1"/>
          <w:sz w:val="24"/>
          <w:highlight w:val="none"/>
          <w14:textFill>
            <w14:solidFill>
              <w14:schemeClr w14:val="tx1"/>
            </w14:solidFill>
          </w14:textFill>
        </w:rPr>
      </w:pPr>
      <w:bookmarkStart w:id="159" w:name="_GoBack"/>
      <w:r>
        <w:rPr>
          <w:rFonts w:hint="eastAsia" w:ascii="宋体" w:hAnsi="宋体" w:eastAsia="宋体" w:cs="宋体"/>
          <w:b/>
          <w:bCs/>
          <w:color w:val="000000" w:themeColor="text1"/>
          <w:sz w:val="24"/>
          <w:highlight w:val="none"/>
          <w14:textFill>
            <w14:solidFill>
              <w14:schemeClr w14:val="tx1"/>
            </w14:solidFill>
          </w14:textFill>
        </w:rPr>
        <w:t>1.1</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中标人应在合同签订后按设计要求提前介入配合及</w:t>
      </w:r>
      <w:r>
        <w:rPr>
          <w:rFonts w:hint="eastAsia" w:ascii="宋体" w:hAnsi="宋体" w:eastAsia="宋体" w:cs="宋体"/>
          <w:b/>
          <w:bCs/>
          <w:color w:val="000000" w:themeColor="text1"/>
          <w:sz w:val="24"/>
          <w:highlight w:val="none"/>
          <w:lang w:val="en-US" w:eastAsia="zh-CN"/>
          <w14:textFill>
            <w14:solidFill>
              <w14:schemeClr w14:val="tx1"/>
            </w14:solidFill>
          </w14:textFill>
        </w:rPr>
        <w:t>60</w:t>
      </w:r>
      <w:r>
        <w:rPr>
          <w:rFonts w:hint="eastAsia" w:ascii="宋体" w:hAnsi="宋体" w:eastAsia="宋体" w:cs="宋体"/>
          <w:b/>
          <w:bCs/>
          <w:color w:val="000000" w:themeColor="text1"/>
          <w:sz w:val="24"/>
          <w:highlight w:val="none"/>
          <w14:textFill>
            <w14:solidFill>
              <w14:schemeClr w14:val="tx1"/>
            </w14:solidFill>
          </w14:textFill>
        </w:rPr>
        <w:t>日历天内供货安装调试及验收。</w:t>
      </w:r>
    </w:p>
    <w:bookmarkEnd w:id="159"/>
    <w:p>
      <w:pPr>
        <w:spacing w:line="360" w:lineRule="auto"/>
        <w:ind w:firstLine="482" w:firstLineChars="200"/>
        <w:rPr>
          <w:rFonts w:ascii="宋体" w:hAnsi="宋体" w:eastAsia="宋体" w:cs="宋体"/>
          <w:color w:val="auto"/>
          <w:sz w:val="24"/>
          <w:highlight w:val="none"/>
        </w:rPr>
      </w:pPr>
      <w:r>
        <w:rPr>
          <w:rFonts w:hint="eastAsia" w:ascii="宋体" w:hAnsi="宋体" w:eastAsia="宋体" w:cs="宋体"/>
          <w:b/>
          <w:bCs/>
          <w:color w:val="auto"/>
          <w:sz w:val="24"/>
          <w:highlight w:val="none"/>
        </w:rPr>
        <w:t>交货地点：采购人指定地点。</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1.2中标人提供的中标物品，必须符合本采购文件要求、原包装送达采购单位；如有不符，采购人可以无条件退货，所造成的损失由中标人承担。更换后的零部件质保期按更换日起顺延。</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2.质保期及售后技术服务要求：</w:t>
      </w:r>
    </w:p>
    <w:p>
      <w:pPr>
        <w:spacing w:line="360" w:lineRule="auto"/>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▲(1)质保期：2年。</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质量保证期内提供免费上门维护、升级服务，如设备出现故障，供货单位在接到电话后，2小时内响应，12小时以内到现场处理，24小时内修复，现场不能修复的，必须采取无偿提供采购物品的备用件或整机等措施，保证用户单位的正常使用。</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(3)投标人应提供技术支持方案，内容由投标人根据实际选择以下要点：服务机构（维保点）地址、人员状况、维修能力、联系方式、营业执照</w:t>
      </w:r>
      <w:r>
        <w:rPr>
          <w:rFonts w:hint="default" w:ascii="宋体" w:hAnsi="宋体" w:eastAsia="宋体" w:cs="宋体"/>
          <w:color w:val="auto"/>
          <w:sz w:val="24"/>
          <w:highlight w:val="none"/>
        </w:rPr>
        <w:t>等</w:t>
      </w:r>
      <w:r>
        <w:rPr>
          <w:rFonts w:hint="eastAsia" w:ascii="宋体" w:hAnsi="宋体" w:eastAsia="宋体" w:cs="宋体"/>
          <w:color w:val="auto"/>
          <w:sz w:val="24"/>
          <w:highlight w:val="none"/>
        </w:rPr>
        <w:t>公司资质材料、相关案例等。</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3.项目实施计划</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项目实施的组织工作方案：工作时间进度表、工作程序或步骤、管理和协调方法、送货方案等。</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4.其他内容</w:t>
      </w:r>
    </w:p>
    <w:p>
      <w:pPr>
        <w:spacing w:line="360" w:lineRule="auto"/>
        <w:ind w:firstLine="480" w:firstLineChars="200"/>
        <w:rPr>
          <w:rFonts w:ascii="宋体" w:hAnsi="宋体" w:eastAsia="宋体" w:cs="宋体"/>
          <w:b/>
          <w:bCs/>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b/>
          <w:bCs/>
          <w:color w:val="auto"/>
          <w:sz w:val="24"/>
          <w:highlight w:val="none"/>
        </w:rPr>
        <w:t>设备安装过程中须包含设备基础、地面的建设、开槽、钻孔、垃圾清理等一切内容。</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(2)供应商在软装进场下单前须前往现场进行实际测量和复尺，因建筑物结构问题有些设备规格大小无法进行安装或安装起来不美观，中标供应商须无条件进行调整，不予增加费用。</w:t>
      </w:r>
    </w:p>
    <w:p>
      <w:pPr>
        <w:widowControl w:val="0"/>
        <w:adjustRightInd w:val="0"/>
        <w:snapToGrid w:val="0"/>
        <w:spacing w:line="360" w:lineRule="auto"/>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四、工作范围根据采购文件，各供应商须按国家有关标准及规范完成下列工作：</w:t>
      </w:r>
    </w:p>
    <w:p>
      <w:pPr>
        <w:tabs>
          <w:tab w:val="left" w:pos="1740"/>
        </w:tabs>
        <w:adjustRightInd w:val="0"/>
        <w:snapToGrid w:val="0"/>
        <w:spacing w:line="360" w:lineRule="auto"/>
        <w:ind w:firstLine="470" w:firstLineChars="196"/>
        <w:rPr>
          <w:rFonts w:ascii="宋体" w:hAnsi="宋体" w:eastAsia="宋体" w:cs="宋体"/>
          <w:color w:val="auto"/>
          <w:sz w:val="24"/>
          <w:highlight w:val="none"/>
        </w:rPr>
      </w:pPr>
      <w:r>
        <w:rPr>
          <w:rFonts w:hint="eastAsia" w:ascii="宋体" w:hAnsi="宋体" w:eastAsia="宋体" w:cs="宋体"/>
          <w:color w:val="auto"/>
          <w:sz w:val="24"/>
          <w:highlight w:val="none"/>
        </w:rPr>
        <w:t>根据招标文件，各供应商须按国家有关标准及规范完成下列工作：</w:t>
      </w:r>
    </w:p>
    <w:p>
      <w:pPr>
        <w:tabs>
          <w:tab w:val="left" w:pos="1740"/>
        </w:tabs>
        <w:adjustRightInd w:val="0"/>
        <w:snapToGrid w:val="0"/>
        <w:spacing w:line="360" w:lineRule="auto"/>
        <w:ind w:firstLine="470" w:firstLineChars="196"/>
        <w:rPr>
          <w:rFonts w:ascii="宋体" w:hAnsi="宋体" w:eastAsia="宋体" w:cs="宋体"/>
          <w:color w:val="auto"/>
          <w:sz w:val="24"/>
          <w:highlight w:val="none"/>
        </w:rPr>
      </w:pPr>
      <w:r>
        <w:rPr>
          <w:rFonts w:hint="eastAsia" w:ascii="宋体" w:hAnsi="宋体" w:eastAsia="宋体" w:cs="宋体"/>
          <w:color w:val="auto"/>
          <w:sz w:val="24"/>
          <w:highlight w:val="none"/>
        </w:rPr>
        <w:t>1.提供完整成套的货物；</w:t>
      </w:r>
    </w:p>
    <w:p>
      <w:pPr>
        <w:tabs>
          <w:tab w:val="left" w:pos="1740"/>
        </w:tabs>
        <w:adjustRightInd w:val="0"/>
        <w:snapToGrid w:val="0"/>
        <w:spacing w:line="360" w:lineRule="auto"/>
        <w:ind w:firstLine="470" w:firstLineChars="196"/>
        <w:rPr>
          <w:rFonts w:ascii="宋体" w:hAnsi="宋体" w:eastAsia="宋体" w:cs="宋体"/>
          <w:color w:val="auto"/>
          <w:sz w:val="24"/>
          <w:highlight w:val="none"/>
        </w:rPr>
      </w:pPr>
      <w:r>
        <w:rPr>
          <w:rFonts w:hint="eastAsia" w:ascii="宋体" w:hAnsi="宋体" w:eastAsia="宋体" w:cs="宋体"/>
          <w:color w:val="auto"/>
          <w:sz w:val="24"/>
          <w:highlight w:val="none"/>
        </w:rPr>
        <w:t>2.产品及相关附件的提供、运输、装卸、就位、安装、调试、检验、通过验收；</w:t>
      </w:r>
    </w:p>
    <w:p>
      <w:pPr>
        <w:tabs>
          <w:tab w:val="left" w:pos="1740"/>
        </w:tabs>
        <w:adjustRightInd w:val="0"/>
        <w:snapToGrid w:val="0"/>
        <w:spacing w:line="360" w:lineRule="auto"/>
        <w:ind w:firstLine="470" w:firstLineChars="196"/>
        <w:rPr>
          <w:rFonts w:ascii="宋体" w:hAnsi="宋体" w:eastAsia="宋体" w:cs="宋体"/>
          <w:color w:val="auto"/>
          <w:sz w:val="24"/>
          <w:highlight w:val="none"/>
        </w:rPr>
      </w:pPr>
      <w:r>
        <w:rPr>
          <w:rFonts w:hint="eastAsia" w:ascii="宋体" w:hAnsi="宋体" w:eastAsia="宋体" w:cs="宋体"/>
          <w:color w:val="auto"/>
          <w:sz w:val="24"/>
          <w:highlight w:val="none"/>
        </w:rPr>
        <w:t>3.完成各项安装、调试、检验、测试、培训等工作，并在买方的配合下通过的验收；提供各种数据资料；直至通过验收；</w:t>
      </w:r>
    </w:p>
    <w:p>
      <w:pPr>
        <w:tabs>
          <w:tab w:val="left" w:pos="1740"/>
        </w:tabs>
        <w:adjustRightInd w:val="0"/>
        <w:snapToGrid w:val="0"/>
        <w:spacing w:line="360" w:lineRule="auto"/>
        <w:ind w:firstLine="470" w:firstLineChars="196"/>
        <w:rPr>
          <w:rFonts w:ascii="宋体" w:hAnsi="宋体" w:eastAsia="宋体" w:cs="宋体"/>
          <w:color w:val="auto"/>
          <w:sz w:val="24"/>
          <w:highlight w:val="none"/>
        </w:rPr>
      </w:pPr>
      <w:r>
        <w:rPr>
          <w:rFonts w:hint="eastAsia" w:ascii="宋体" w:hAnsi="宋体" w:eastAsia="宋体" w:cs="宋体"/>
          <w:color w:val="auto"/>
          <w:sz w:val="24"/>
          <w:highlight w:val="none"/>
        </w:rPr>
        <w:t>4.质保期内维保及维修；</w:t>
      </w:r>
    </w:p>
    <w:p>
      <w:pPr>
        <w:tabs>
          <w:tab w:val="left" w:pos="1740"/>
        </w:tabs>
        <w:adjustRightInd w:val="0"/>
        <w:snapToGrid w:val="0"/>
        <w:spacing w:line="360" w:lineRule="auto"/>
        <w:ind w:firstLine="470" w:firstLineChars="196"/>
        <w:rPr>
          <w:rFonts w:ascii="宋体" w:hAnsi="宋体" w:eastAsia="宋体" w:cs="宋体"/>
          <w:color w:val="auto"/>
          <w:sz w:val="24"/>
          <w:highlight w:val="none"/>
        </w:rPr>
      </w:pPr>
      <w:r>
        <w:rPr>
          <w:rFonts w:hint="eastAsia" w:ascii="宋体" w:hAnsi="宋体" w:eastAsia="宋体" w:cs="宋体"/>
          <w:color w:val="auto"/>
          <w:sz w:val="24"/>
          <w:highlight w:val="none"/>
        </w:rPr>
        <w:t>5.售后服务的措施及承诺。</w:t>
      </w:r>
    </w:p>
    <w:p>
      <w:pPr>
        <w:tabs>
          <w:tab w:val="left" w:pos="1740"/>
        </w:tabs>
        <w:adjustRightInd w:val="0"/>
        <w:snapToGrid w:val="0"/>
        <w:spacing w:line="360" w:lineRule="auto"/>
        <w:ind w:firstLine="470" w:firstLineChars="196"/>
        <w:rPr>
          <w:rFonts w:ascii="宋体" w:hAnsi="宋体" w:eastAsia="宋体" w:cs="宋体"/>
          <w:color w:val="auto"/>
          <w:sz w:val="24"/>
          <w:highlight w:val="none"/>
        </w:rPr>
      </w:pPr>
      <w:r>
        <w:rPr>
          <w:rFonts w:hint="eastAsia" w:ascii="宋体" w:hAnsi="宋体" w:eastAsia="宋体" w:cs="宋体"/>
          <w:color w:val="auto"/>
          <w:sz w:val="24"/>
          <w:highlight w:val="none"/>
        </w:rPr>
        <w:t>以上工作内容的费用均包含在投标总价中。</w:t>
      </w:r>
    </w:p>
    <w:p>
      <w:pPr>
        <w:tabs>
          <w:tab w:val="left" w:pos="706"/>
          <w:tab w:val="left" w:pos="1110"/>
        </w:tabs>
        <w:rPr>
          <w:rFonts w:ascii="宋体" w:hAnsi="宋体" w:cs="宋体"/>
          <w:color w:val="auto"/>
          <w:sz w:val="24"/>
          <w:highlight w:val="none"/>
        </w:rPr>
        <w:sectPr>
          <w:pgSz w:w="11906" w:h="16838"/>
          <w:pgMar w:top="1440" w:right="1106" w:bottom="1440" w:left="1622" w:header="851" w:footer="992" w:gutter="0"/>
          <w:cols w:space="720" w:num="1"/>
          <w:docGrid w:linePitch="312" w:charSpace="0"/>
        </w:sect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第四部分  合同主要条款</w:t>
      </w:r>
    </w:p>
    <w:p>
      <w:pPr>
        <w:snapToGrid w:val="0"/>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（以最终合同为准）</w:t>
      </w:r>
    </w:p>
    <w:p>
      <w:pPr>
        <w:spacing w:line="440" w:lineRule="exact"/>
        <w:jc w:val="left"/>
        <w:rPr>
          <w:rFonts w:ascii="宋体" w:hAnsi="宋体" w:eastAsia="宋体" w:cs="Times New Roman"/>
          <w:color w:val="auto"/>
          <w:sz w:val="22"/>
          <w:szCs w:val="22"/>
          <w:highlight w:val="none"/>
          <w:u w:val="single"/>
        </w:rPr>
      </w:pPr>
      <w:bookmarkStart w:id="95" w:name="_Toc33194402"/>
      <w:bookmarkStart w:id="96" w:name="_Toc86217003"/>
      <w:bookmarkStart w:id="97" w:name="_Toc354996706"/>
      <w:bookmarkStart w:id="98" w:name="_Toc233618986"/>
      <w:r>
        <w:rPr>
          <w:rFonts w:ascii="宋体" w:hAnsi="宋体" w:eastAsia="宋体" w:cs="Times New Roman"/>
          <w:color w:val="auto"/>
          <w:sz w:val="22"/>
          <w:szCs w:val="22"/>
          <w:highlight w:val="none"/>
        </w:rPr>
        <w:t>甲方（采购人）：</w:t>
      </w:r>
    </w:p>
    <w:p>
      <w:pPr>
        <w:spacing w:line="440" w:lineRule="exact"/>
        <w:jc w:val="left"/>
        <w:rPr>
          <w:rFonts w:ascii="宋体" w:hAnsi="宋体" w:eastAsia="宋体" w:cs="Times New Roman"/>
          <w:color w:val="auto"/>
          <w:sz w:val="22"/>
          <w:szCs w:val="22"/>
          <w:highlight w:val="none"/>
          <w:u w:val="single"/>
        </w:rPr>
      </w:pPr>
      <w:r>
        <w:rPr>
          <w:rFonts w:ascii="宋体" w:hAnsi="宋体" w:eastAsia="宋体" w:cs="Times New Roman"/>
          <w:color w:val="auto"/>
          <w:sz w:val="22"/>
          <w:szCs w:val="22"/>
          <w:highlight w:val="none"/>
        </w:rPr>
        <w:t xml:space="preserve">乙方（中标人）： </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甲乙双方按照</w:t>
      </w:r>
      <w:r>
        <w:rPr>
          <w:rFonts w:hint="eastAsia" w:ascii="宋体" w:hAnsi="宋体" w:eastAsia="宋体" w:cs="Times New Roman"/>
          <w:color w:val="auto"/>
          <w:sz w:val="22"/>
          <w:szCs w:val="22"/>
          <w:highlight w:val="none"/>
        </w:rPr>
        <w:t>项目采购</w:t>
      </w:r>
      <w:r>
        <w:rPr>
          <w:rFonts w:ascii="宋体" w:hAnsi="宋体" w:eastAsia="宋体" w:cs="Times New Roman"/>
          <w:color w:val="auto"/>
          <w:sz w:val="22"/>
          <w:szCs w:val="22"/>
          <w:highlight w:val="none"/>
        </w:rPr>
        <w:t>结果签订本合同。</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第一条  定义</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除非另有特别解释或说明，本合同有关词语应按如下定义解释：</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1、合同系指甲乙双方签署的，与本项目相关的协议、附件、附录和其他一切文件。</w:t>
      </w:r>
    </w:p>
    <w:p>
      <w:pPr>
        <w:spacing w:line="440" w:lineRule="exact"/>
        <w:ind w:firstLine="48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2、甲方系指购买本合同下货物并接受相关服务的国家机关、事业单位、团体组织。</w:t>
      </w:r>
    </w:p>
    <w:p>
      <w:pPr>
        <w:spacing w:line="440" w:lineRule="exact"/>
        <w:ind w:firstLine="48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3、乙方系指提供本合同项下货物和服务的法人、其他组织或自然人。</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4、货物系指根据合同规定乙方为完成本项目应向甲方提供的一切</w:t>
      </w:r>
      <w:r>
        <w:rPr>
          <w:rFonts w:hint="eastAsia" w:ascii="宋体" w:hAnsi="宋体" w:eastAsia="宋体" w:cs="Times New Roman"/>
          <w:color w:val="auto"/>
          <w:sz w:val="22"/>
          <w:szCs w:val="22"/>
          <w:highlight w:val="none"/>
        </w:rPr>
        <w:t>产品</w:t>
      </w:r>
      <w:r>
        <w:rPr>
          <w:rFonts w:ascii="宋体" w:hAnsi="宋体" w:eastAsia="宋体" w:cs="Times New Roman"/>
          <w:color w:val="auto"/>
          <w:sz w:val="22"/>
          <w:szCs w:val="22"/>
          <w:highlight w:val="none"/>
        </w:rPr>
        <w:t>及备件、工具、手册、技术资料及其他材料。</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5、服务系指根据合同规定乙方承担的与供货有关的辅助服务，包括但不限于合同货物的运输、保险、伴随服务（如安装、调试、测试</w:t>
      </w:r>
      <w:r>
        <w:rPr>
          <w:rFonts w:hint="eastAsia" w:ascii="宋体" w:hAnsi="宋体" w:eastAsia="宋体" w:cs="Times New Roman"/>
          <w:color w:val="auto"/>
          <w:sz w:val="22"/>
          <w:szCs w:val="22"/>
          <w:highlight w:val="none"/>
        </w:rPr>
        <w:t>并</w:t>
      </w:r>
      <w:r>
        <w:rPr>
          <w:rFonts w:ascii="宋体" w:hAnsi="宋体" w:eastAsia="宋体" w:cs="Times New Roman"/>
          <w:color w:val="auto"/>
          <w:sz w:val="22"/>
          <w:szCs w:val="22"/>
          <w:highlight w:val="none"/>
        </w:rPr>
        <w:t>提供技术支持）、售后服务及其他所有应由乙方承担的类似义务。</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6、合同总价系指根据合同规定乙方在正确地完全履行合同义务后甲方应支付给乙方的价格，包含了甲方购买货物及其相关服务的一切费用。</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第二条  组成本合同的文件</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下列文件是组成本合同的不可分割的部分：（1）</w:t>
      </w:r>
      <w:r>
        <w:rPr>
          <w:rFonts w:hint="eastAsia" w:ascii="宋体" w:hAnsi="宋体" w:eastAsia="宋体" w:cs="Times New Roman"/>
          <w:color w:val="auto"/>
          <w:sz w:val="22"/>
          <w:szCs w:val="22"/>
          <w:highlight w:val="none"/>
        </w:rPr>
        <w:t>采购</w:t>
      </w:r>
      <w:r>
        <w:rPr>
          <w:rFonts w:ascii="宋体" w:hAnsi="宋体" w:eastAsia="宋体" w:cs="Times New Roman"/>
          <w:color w:val="auto"/>
          <w:sz w:val="22"/>
          <w:szCs w:val="22"/>
          <w:highlight w:val="none"/>
        </w:rPr>
        <w:t>文件；（2）乙方递交的投标文件；（3）乙方所作的相关书面澄清；（4）中标通知书；（5）甲乙双方商定的其他必要文件。</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第三条  合同货物清单和合同总价</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1、乙方根据甲方需求提供下列货物：</w:t>
      </w:r>
    </w:p>
    <w:tbl>
      <w:tblPr>
        <w:tblStyle w:val="2"/>
        <w:tblW w:w="9322" w:type="dxa"/>
        <w:jc w:val="center"/>
        <w:tblLayout w:type="fixed"/>
        <w:tblCellMar>
          <w:top w:w="0" w:type="dxa"/>
          <w:left w:w="108" w:type="dxa"/>
          <w:bottom w:w="0" w:type="dxa"/>
          <w:right w:w="108" w:type="dxa"/>
        </w:tblCellMar>
      </w:tblPr>
      <w:tblGrid>
        <w:gridCol w:w="1804"/>
        <w:gridCol w:w="5067"/>
        <w:gridCol w:w="1104"/>
        <w:gridCol w:w="1347"/>
      </w:tblGrid>
      <w:tr>
        <w:tblPrEx>
          <w:tblCellMar>
            <w:top w:w="0" w:type="dxa"/>
            <w:left w:w="108" w:type="dxa"/>
            <w:bottom w:w="0" w:type="dxa"/>
            <w:right w:w="108" w:type="dxa"/>
          </w:tblCellMar>
        </w:tblPrEx>
        <w:trPr>
          <w:trHeight w:val="402" w:hRule="atLeast"/>
          <w:jc w:val="center"/>
        </w:trPr>
        <w:tc>
          <w:tcPr>
            <w:tcW w:w="1804"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50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主要规格型号</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单位</w:t>
            </w:r>
          </w:p>
        </w:tc>
        <w:tc>
          <w:tcPr>
            <w:tcW w:w="134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数量</w:t>
            </w: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506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c>
          <w:tcPr>
            <w:tcW w:w="1104"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c>
          <w:tcPr>
            <w:tcW w:w="134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506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c>
          <w:tcPr>
            <w:tcW w:w="1104"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c>
          <w:tcPr>
            <w:tcW w:w="134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506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c>
          <w:tcPr>
            <w:tcW w:w="1104"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c>
          <w:tcPr>
            <w:tcW w:w="134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506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c>
          <w:tcPr>
            <w:tcW w:w="1104"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c>
          <w:tcPr>
            <w:tcW w:w="134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506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w:t>
            </w:r>
          </w:p>
        </w:tc>
        <w:tc>
          <w:tcPr>
            <w:tcW w:w="1104"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c>
          <w:tcPr>
            <w:tcW w:w="134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sz w:val="22"/>
                <w:szCs w:val="22"/>
                <w:highlight w:val="none"/>
              </w:rPr>
            </w:pPr>
          </w:p>
        </w:tc>
      </w:tr>
    </w:tbl>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2、本合同总价为人民币（大写）。</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第四条  权利保证</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乙方须保证甲方在使用其提供的货物、服务或其任何部分时不受到第三方提出的关于侵犯其版权、专利权、商标权或其他权利的指控，一旦出现此类情况，乙方应负责与第三方交涉并承担可能发生的一切责任。</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第五条  质量保证</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1、本合同应为完整产品及功能的提供，乙方所提供货物的质量技术规格应与</w:t>
      </w:r>
      <w:r>
        <w:rPr>
          <w:rFonts w:hint="eastAsia" w:ascii="宋体" w:hAnsi="宋体" w:eastAsia="宋体" w:cs="Times New Roman"/>
          <w:color w:val="auto"/>
          <w:sz w:val="22"/>
          <w:szCs w:val="22"/>
          <w:highlight w:val="none"/>
        </w:rPr>
        <w:t>采购文件</w:t>
      </w:r>
      <w:r>
        <w:rPr>
          <w:rFonts w:ascii="宋体" w:hAnsi="宋体" w:eastAsia="宋体" w:cs="Times New Roman"/>
          <w:color w:val="auto"/>
          <w:sz w:val="22"/>
          <w:szCs w:val="22"/>
          <w:highlight w:val="none"/>
        </w:rPr>
        <w:t>规定及投标文件承诺的内容相一致；若技术规格中无相应说明，则按国家有关部门最新颁布的标准及规范为准。</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乙方应保证货物是全新、未使用过的原装合格正品，并完全符合合同规定的质量、技术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第六条  包装要求</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除合同另有规定外，乙方提供的全部货物均应按标准保护措施进行包装。该包装应适应于远距离运输、防潮、防震、防锈和防野蛮装卸，以确保货物安全无损运抵指定地点。由于乙方对合同货物包装不善、标记不明、防护措施不当或在合同货物装箱前保管不良，致使合同货物遭到损坏或丢失，乙方应负责免费修理或更换，并承担由此给甲方造成的一切损失。</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第七条  交货</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1、乙方应按照本合同规定的时间和方式向甲方交付货物，交付地点由甲方指定。</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2、交付时间为所有货物运至甲方指定地点的日期。</w:t>
      </w:r>
    </w:p>
    <w:p>
      <w:pPr>
        <w:spacing w:line="440" w:lineRule="exact"/>
        <w:ind w:firstLine="770" w:firstLineChars="3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本项目交付时间为：</w:t>
      </w:r>
      <w:r>
        <w:rPr>
          <w:rFonts w:hint="eastAsia" w:ascii="宋体" w:hAnsi="宋体" w:eastAsia="宋体" w:cs="Times New Roman"/>
          <w:color w:val="000000" w:themeColor="text1"/>
          <w:sz w:val="22"/>
          <w:szCs w:val="22"/>
          <w:highlight w:val="none"/>
          <w:u w:val="single"/>
          <w14:textFill>
            <w14:solidFill>
              <w14:schemeClr w14:val="tx1"/>
            </w14:solidFill>
          </w14:textFill>
        </w:rPr>
        <w:t>根据甲方现场进度要求，签定合同后</w:t>
      </w:r>
      <w:r>
        <w:rPr>
          <w:rFonts w:hint="eastAsia" w:ascii="宋体" w:hAnsi="宋体" w:eastAsia="宋体" w:cs="Times New Roman"/>
          <w:color w:val="000000" w:themeColor="text1"/>
          <w:sz w:val="22"/>
          <w:szCs w:val="22"/>
          <w:highlight w:val="none"/>
          <w:u w:val="single"/>
          <w:lang w:val="en-US" w:eastAsia="zh-CN"/>
          <w14:textFill>
            <w14:solidFill>
              <w14:schemeClr w14:val="tx1"/>
            </w14:solidFill>
          </w14:textFill>
        </w:rPr>
        <w:t>60</w:t>
      </w:r>
      <w:r>
        <w:rPr>
          <w:rFonts w:hint="eastAsia" w:ascii="宋体" w:hAnsi="宋体" w:eastAsia="宋体" w:cs="Times New Roman"/>
          <w:color w:val="000000" w:themeColor="text1"/>
          <w:sz w:val="22"/>
          <w:szCs w:val="22"/>
          <w:highlight w:val="none"/>
          <w:u w:val="single"/>
          <w14:textFill>
            <w14:solidFill>
              <w14:schemeClr w14:val="tx1"/>
            </w14:solidFill>
          </w14:textFill>
        </w:rPr>
        <w:t xml:space="preserve">个工作日内。    </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3、本项目交货方式为现场交货。乙方负责办理货物的运输、装卸和保险，一切费用均由乙方承担。</w:t>
      </w:r>
    </w:p>
    <w:p>
      <w:pPr>
        <w:autoSpaceDE w:val="0"/>
        <w:autoSpaceDN w:val="0"/>
        <w:snapToGrid w:val="0"/>
        <w:spacing w:line="400" w:lineRule="exact"/>
        <w:ind w:firstLine="431"/>
        <w:rPr>
          <w:rFonts w:ascii="宋体" w:hAnsi="宋体" w:eastAsia="宋体" w:cs="Times New Roman"/>
          <w:color w:val="auto"/>
          <w:sz w:val="22"/>
          <w:highlight w:val="none"/>
          <w:u w:val="single"/>
        </w:rPr>
      </w:pPr>
      <w:r>
        <w:rPr>
          <w:rFonts w:hint="eastAsia" w:ascii="宋体" w:hAnsi="宋体" w:eastAsia="宋体" w:cs="Times New Roman"/>
          <w:color w:val="auto"/>
          <w:sz w:val="22"/>
          <w:szCs w:val="22"/>
          <w:highlight w:val="none"/>
        </w:rPr>
        <w:t>4</w:t>
      </w:r>
      <w:r>
        <w:rPr>
          <w:rFonts w:ascii="宋体" w:hAnsi="宋体" w:eastAsia="宋体" w:cs="Times New Roman"/>
          <w:color w:val="auto"/>
          <w:sz w:val="22"/>
          <w:szCs w:val="22"/>
          <w:highlight w:val="none"/>
        </w:rPr>
        <w:t>、</w:t>
      </w:r>
      <w:r>
        <w:rPr>
          <w:rFonts w:hint="eastAsia" w:ascii="宋体" w:hAnsi="宋体" w:eastAsia="宋体" w:cs="Times New Roman"/>
          <w:color w:val="auto"/>
          <w:sz w:val="22"/>
          <w:szCs w:val="22"/>
          <w:highlight w:val="none"/>
        </w:rPr>
        <w:t>工期：</w:t>
      </w:r>
      <w:r>
        <w:rPr>
          <w:rFonts w:ascii="宋体" w:hAnsi="宋体" w:eastAsia="宋体" w:cs="Times New Roman"/>
          <w:color w:val="auto"/>
          <w:sz w:val="22"/>
          <w:highlight w:val="none"/>
          <w:u w:val="single"/>
        </w:rPr>
        <w:t xml:space="preserve"> </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第八条  到货验收</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1、货物全部到达甲方指定地点后，甲乙双方应派员共同对货物当场开箱验收，如乙方不能按时到达现场又无电函通知的，甲方有权开箱检验。</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2、乙方交付的货物应当完全符合本合同及招投标文件所规定的货物、数量和规格要求。乙方提供的货物不符合合同及招投标文件规定的，甲方有权拒收货物，并由乙方承担相应的违约责任。</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3、乙方应将所提供货物的装箱清单、用户手册、原厂保修卡、随机资料及配件、随机工具、质量合格凭证等</w:t>
      </w:r>
      <w:r>
        <w:rPr>
          <w:rFonts w:hint="eastAsia" w:ascii="宋体" w:hAnsi="宋体" w:eastAsia="宋体" w:cs="Times New Roman"/>
          <w:color w:val="auto"/>
          <w:sz w:val="22"/>
          <w:szCs w:val="22"/>
          <w:highlight w:val="none"/>
        </w:rPr>
        <w:t>有关资料</w:t>
      </w:r>
      <w:r>
        <w:rPr>
          <w:rFonts w:ascii="宋体" w:hAnsi="宋体" w:eastAsia="宋体" w:cs="Times New Roman"/>
          <w:color w:val="auto"/>
          <w:sz w:val="22"/>
          <w:szCs w:val="22"/>
          <w:highlight w:val="none"/>
        </w:rPr>
        <w:t>（如有）交付给甲方；乙方不能完整交付上述规定的资料和工具的，视为未按合同约定交货，乙方负责补齐，因此导致逾期交付的，由乙方承担相应的违约责任。</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4、甲方有关货物质量、规格、性能、数量或重量的检验不应视为最终检验。</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第九条  伴随服务</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1、</w:t>
      </w:r>
      <w:r>
        <w:rPr>
          <w:rFonts w:ascii="宋体" w:hAnsi="宋体" w:eastAsia="宋体" w:cs="Times New Roman"/>
          <w:color w:val="auto"/>
          <w:sz w:val="22"/>
          <w:szCs w:val="22"/>
          <w:highlight w:val="none"/>
        </w:rPr>
        <w:t>乙方应提供下列伴随服务：</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（1）货物的现场安装、施工、调试和/或启动监督；</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（2）就货物的安装、调试、启动、运行及维护等对甲方人员进行免费培训。</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2、安装施工期间甲方责任：</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（1）负责提供场地和有关</w:t>
      </w:r>
      <w:r>
        <w:rPr>
          <w:rFonts w:hint="eastAsia" w:ascii="宋体" w:hAnsi="宋体" w:eastAsia="宋体" w:cs="Times New Roman"/>
          <w:color w:val="auto"/>
          <w:sz w:val="22"/>
          <w:szCs w:val="22"/>
          <w:highlight w:val="none"/>
        </w:rPr>
        <w:t>产品</w:t>
      </w:r>
      <w:r>
        <w:rPr>
          <w:rFonts w:ascii="宋体" w:hAnsi="宋体" w:eastAsia="宋体" w:cs="Times New Roman"/>
          <w:color w:val="auto"/>
          <w:sz w:val="22"/>
          <w:szCs w:val="22"/>
          <w:highlight w:val="none"/>
        </w:rPr>
        <w:t>的安装位置；</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（2）提供安装施工调试</w:t>
      </w:r>
      <w:r>
        <w:rPr>
          <w:rFonts w:hint="eastAsia" w:ascii="宋体" w:hAnsi="宋体" w:eastAsia="宋体" w:cs="Times New Roman"/>
          <w:color w:val="auto"/>
          <w:sz w:val="22"/>
          <w:szCs w:val="22"/>
          <w:highlight w:val="none"/>
        </w:rPr>
        <w:t>用</w:t>
      </w:r>
      <w:r>
        <w:rPr>
          <w:rFonts w:ascii="宋体" w:hAnsi="宋体" w:eastAsia="宋体" w:cs="Times New Roman"/>
          <w:color w:val="auto"/>
          <w:sz w:val="22"/>
          <w:szCs w:val="22"/>
          <w:highlight w:val="none"/>
        </w:rPr>
        <w:t>的电源和水源</w:t>
      </w:r>
      <w:r>
        <w:rPr>
          <w:rFonts w:hint="eastAsia" w:ascii="宋体" w:hAnsi="宋体" w:eastAsia="宋体" w:cs="Times New Roman"/>
          <w:color w:val="auto"/>
          <w:sz w:val="22"/>
          <w:szCs w:val="22"/>
          <w:highlight w:val="none"/>
        </w:rPr>
        <w:t>的接口</w:t>
      </w:r>
      <w:r>
        <w:rPr>
          <w:rFonts w:ascii="宋体" w:hAnsi="宋体" w:eastAsia="宋体" w:cs="Times New Roman"/>
          <w:color w:val="auto"/>
          <w:sz w:val="22"/>
          <w:szCs w:val="22"/>
          <w:highlight w:val="none"/>
        </w:rPr>
        <w:t>；</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（3）负责乙方安装施工调试期间与其他单位交叉作业时的协调工作；</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（4）配合乙方做好与安装施工调试有关的辅助性事务；</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（5）对乙方的安装施工调试工作进行监督管理。</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3、安装施工调试期间乙方责任：</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（1）负责货物运抵指定地点后的搬运及看护保管；</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（2）在安装施工前负责派员前往安装现场进行勘测，确认施工现场条件，与甲方约定具体开工日期；</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（3）按照国家规定的相关安装规范和质量标准完成安装施工工作；</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（4）遵守施工现场的有关规章制度，文明施工，接受甲方的监督管理。</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（5）配合甲方工作，参加现场施工协调会议；</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（6）负责现场施工人员的保险和一切安全责任；</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（7）负责安装质量的自检验收，配合采购人完成验收工作及项目的移交；</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（8）按照有关要求完成质量评定和安装施工记录；</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（9）负责安装施工调试期间由于乙方过错所造成的一切损失。</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4、由于货物自身质量问题或安装不当产生的意外及损失均由乙方承担。</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第十条  最终验收</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1、货物安装调试结束后，乙方应及时通知甲方对项目进行最终验收，验收合格的，由甲方签署验收单并加盖单位公章。</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如验收不合格或在质量保证期内发现货物是不合格的，包括货物有明显的或潜在的缺陷、使用不符合要求的材料、运行效果达不到要求等，甲方有权报请当地质检部门或权威检测机构进行检验。根据检验结果，甲方有权向乙方主张违约责任。</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3、验收标准应遵循国家相关标准、行业通行标准、厂方出厂标准、</w:t>
      </w:r>
      <w:r>
        <w:rPr>
          <w:rFonts w:hint="eastAsia" w:ascii="宋体" w:hAnsi="宋体" w:eastAsia="宋体" w:cs="Times New Roman"/>
          <w:color w:val="auto"/>
          <w:sz w:val="22"/>
          <w:szCs w:val="22"/>
          <w:highlight w:val="none"/>
        </w:rPr>
        <w:t>采购文件</w:t>
      </w:r>
      <w:r>
        <w:rPr>
          <w:rFonts w:ascii="宋体" w:hAnsi="宋体" w:eastAsia="宋体" w:cs="Times New Roman"/>
          <w:color w:val="auto"/>
          <w:sz w:val="22"/>
          <w:szCs w:val="22"/>
          <w:highlight w:val="none"/>
        </w:rPr>
        <w:t>要求和乙方投标文件的承诺等。</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第十一条   售后服务</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乙方应按照国家有关法律法规、行业规定以及</w:t>
      </w:r>
      <w:r>
        <w:rPr>
          <w:rFonts w:hint="eastAsia" w:ascii="宋体" w:hAnsi="宋体" w:eastAsia="宋体" w:cs="Times New Roman"/>
          <w:color w:val="auto"/>
          <w:sz w:val="22"/>
          <w:szCs w:val="22"/>
          <w:highlight w:val="none"/>
        </w:rPr>
        <w:t>采购文件</w:t>
      </w:r>
      <w:r>
        <w:rPr>
          <w:rFonts w:ascii="宋体" w:hAnsi="宋体" w:eastAsia="宋体" w:cs="Times New Roman"/>
          <w:color w:val="auto"/>
          <w:sz w:val="22"/>
          <w:szCs w:val="22"/>
          <w:highlight w:val="none"/>
        </w:rPr>
        <w:t>规定、投标文件承诺的内容提供售后服务。</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第十二条   付款</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1、本合同项下所有款项均以人民币支付。</w:t>
      </w:r>
    </w:p>
    <w:p>
      <w:pPr>
        <w:spacing w:line="440" w:lineRule="exact"/>
        <w:ind w:firstLine="440" w:firstLineChars="200"/>
        <w:rPr>
          <w:rFonts w:ascii="宋体" w:hAnsi="宋体" w:eastAsia="宋体" w:cs="Times New Roman"/>
          <w:color w:val="auto"/>
          <w:sz w:val="22"/>
          <w:szCs w:val="22"/>
          <w:highlight w:val="none"/>
          <w:u w:val="single"/>
        </w:rPr>
      </w:pPr>
      <w:r>
        <w:rPr>
          <w:rFonts w:ascii="宋体" w:hAnsi="宋体" w:eastAsia="宋体" w:cs="Times New Roman"/>
          <w:color w:val="auto"/>
          <w:sz w:val="22"/>
          <w:szCs w:val="22"/>
          <w:highlight w:val="none"/>
        </w:rPr>
        <w:t>2、本项目付款方式为：</w:t>
      </w:r>
      <w:r>
        <w:rPr>
          <w:rFonts w:hint="eastAsia" w:ascii="宋体" w:hAnsi="宋体" w:eastAsia="宋体" w:cs="Times New Roman"/>
          <w:color w:val="auto"/>
          <w:sz w:val="22"/>
          <w:szCs w:val="22"/>
          <w:highlight w:val="none"/>
        </w:rPr>
        <w:t>详见采购文件</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第十三条　违约责任</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1、甲方无正当理由拒收货物或拒付货款的，应向乙方偿付合同总价</w:t>
      </w:r>
      <w:r>
        <w:rPr>
          <w:rFonts w:hint="eastAsia" w:ascii="宋体" w:hAnsi="宋体" w:eastAsia="宋体" w:cs="Times New Roman"/>
          <w:color w:val="auto"/>
          <w:sz w:val="22"/>
          <w:szCs w:val="22"/>
          <w:highlight w:val="none"/>
        </w:rPr>
        <w:t>5</w:t>
      </w:r>
      <w:r>
        <w:rPr>
          <w:rFonts w:ascii="宋体" w:hAnsi="宋体" w:eastAsia="宋体" w:cs="Times New Roman"/>
          <w:color w:val="auto"/>
          <w:sz w:val="22"/>
          <w:szCs w:val="22"/>
          <w:highlight w:val="none"/>
        </w:rPr>
        <w:t>％的违约金。</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2</w:t>
      </w:r>
      <w:r>
        <w:rPr>
          <w:rFonts w:ascii="宋体" w:hAnsi="宋体" w:eastAsia="宋体" w:cs="Times New Roman"/>
          <w:color w:val="auto"/>
          <w:sz w:val="22"/>
          <w:szCs w:val="22"/>
          <w:highlight w:val="none"/>
        </w:rPr>
        <w:t>、乙方不交付货物的，且经甲方催告后仍不交付的，应向甲方支拒不交付货物总价</w:t>
      </w:r>
      <w:r>
        <w:rPr>
          <w:rFonts w:hint="eastAsia" w:ascii="宋体" w:hAnsi="宋体" w:eastAsia="宋体" w:cs="Times New Roman"/>
          <w:color w:val="auto"/>
          <w:sz w:val="22"/>
          <w:szCs w:val="22"/>
          <w:highlight w:val="none"/>
        </w:rPr>
        <w:t>20</w:t>
      </w:r>
      <w:r>
        <w:rPr>
          <w:rFonts w:ascii="宋体" w:hAnsi="宋体" w:eastAsia="宋体" w:cs="Times New Roman"/>
          <w:color w:val="auto"/>
          <w:sz w:val="22"/>
          <w:szCs w:val="22"/>
          <w:highlight w:val="none"/>
        </w:rPr>
        <w:t>％的违约金，同时甲方有权解除合同。</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3</w:t>
      </w:r>
      <w:r>
        <w:rPr>
          <w:rFonts w:ascii="宋体" w:hAnsi="宋体" w:eastAsia="宋体" w:cs="Times New Roman"/>
          <w:color w:val="auto"/>
          <w:sz w:val="22"/>
          <w:szCs w:val="22"/>
          <w:highlight w:val="none"/>
        </w:rPr>
        <w:t>、</w:t>
      </w:r>
      <w:r>
        <w:rPr>
          <w:rFonts w:hint="eastAsia" w:ascii="宋体" w:hAnsi="宋体" w:eastAsia="宋体" w:cs="Times New Roman"/>
          <w:color w:val="auto"/>
          <w:sz w:val="22"/>
          <w:szCs w:val="22"/>
          <w:highlight w:val="none"/>
        </w:rPr>
        <w:t>乙方在软装施工过程中若因甲方或不可抗拒力原因导致工期延误的，双方共同签订延期书面说明，否则逾期一天扣罚3000元</w:t>
      </w:r>
      <w:r>
        <w:rPr>
          <w:rFonts w:ascii="宋体" w:hAnsi="宋体" w:eastAsia="宋体" w:cs="Times New Roman"/>
          <w:color w:val="auto"/>
          <w:sz w:val="22"/>
          <w:szCs w:val="22"/>
          <w:highlight w:val="none"/>
        </w:rPr>
        <w:t>。</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4</w:t>
      </w:r>
      <w:r>
        <w:rPr>
          <w:rFonts w:ascii="宋体" w:hAnsi="宋体" w:eastAsia="宋体" w:cs="Times New Roman"/>
          <w:color w:val="auto"/>
          <w:sz w:val="22"/>
          <w:szCs w:val="22"/>
          <w:highlight w:val="none"/>
        </w:rPr>
        <w:t>、乙方交付的货物不符合要求的，应按照甲方选择的下列一种或多种方式承担赔偿责任：</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（1）在甲方同意延长的期限内交付符合要求的全部货物、提供服务并承担由此给甲方造成的一切损失；逾期未交付或交付的货物仍不符合要求，乙方应向甲方支付合同总价10％的违约金，同时甲方有权解除合同。</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（2）在甲方规定时间内，用符合要求的新零件、部件或货物来更换有缺陷的部分以达到合同规定的要求并承担一切费用和风险，同时承担甲方因此所遭受的全部损失；</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（3）根据货物的低劣程度、损坏程度以及甲方所受损失等按甲方所能接受的数额降低货物价格或赔偿甲方所受损失；</w:t>
      </w:r>
    </w:p>
    <w:p>
      <w:pPr>
        <w:spacing w:line="440" w:lineRule="exact"/>
        <w:ind w:firstLine="330" w:firstLineChars="15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4）退货并按合同规定同种货币退还甲方已付对应货款，同时承担由此发生的一切损失和费用，包括但不限于利息、银行手续费、运费、保险费、检验费、仓储费、装卸费、退回货物所需的其他必要费用以及甲方为购买到符合要求的货物所多支出的费用。</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5</w:t>
      </w:r>
      <w:r>
        <w:rPr>
          <w:rFonts w:ascii="宋体" w:hAnsi="宋体" w:eastAsia="宋体" w:cs="Times New Roman"/>
          <w:color w:val="auto"/>
          <w:sz w:val="22"/>
          <w:szCs w:val="22"/>
          <w:highlight w:val="none"/>
        </w:rPr>
        <w:t>、乙方未按规定和承诺提供伴随服务、售后服务，且经甲方催告后仍不提供的，应向甲方支付合同总价5％的违约金。</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6</w:t>
      </w:r>
      <w:r>
        <w:rPr>
          <w:rFonts w:ascii="宋体" w:hAnsi="宋体" w:eastAsia="宋体" w:cs="Times New Roman"/>
          <w:color w:val="auto"/>
          <w:sz w:val="22"/>
          <w:szCs w:val="22"/>
          <w:highlight w:val="none"/>
        </w:rPr>
        <w:t>、违约方承担违约责任并不影响其合同项下的义务（合同解除的除外）。</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第十四条 不可抗力</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1、不可抗力，是指不能预见、不能避免并不能克服的客观情况，如战争、动乱、瘟疫、严重火灾、洪水、地震、风暴或其他自然灾害等。</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3、发生不可抗力事件，任何一方均不对因不可抗力无法履行或迟延履行本合同义务而使另一方蒙受的任何损失承担责任，法律另有规定的除外。</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4、合同各方应根据不可抗力对本合同履行的影响程度，协商确定是否终止本合同或是继续履行本合同。</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第十五条　合同的补充</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1、在本合同履行中，甲方需要追加与本合同相同的货物或服务的，在不改变合同其他条款的前提下，可与乙方协商签订补充合同，但所有补充合同的金额不得超过本合同的百分之十。</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2、补充合同须采用书面形式，并报</w:t>
      </w:r>
      <w:r>
        <w:rPr>
          <w:rFonts w:hint="eastAsia" w:ascii="宋体" w:hAnsi="宋体" w:eastAsia="宋体" w:cs="Times New Roman"/>
          <w:color w:val="auto"/>
          <w:sz w:val="22"/>
          <w:szCs w:val="22"/>
          <w:highlight w:val="none"/>
        </w:rPr>
        <w:t>县财政部门</w:t>
      </w:r>
      <w:r>
        <w:rPr>
          <w:rFonts w:ascii="宋体" w:hAnsi="宋体" w:eastAsia="宋体" w:cs="Times New Roman"/>
          <w:color w:val="auto"/>
          <w:sz w:val="22"/>
          <w:szCs w:val="22"/>
          <w:highlight w:val="none"/>
        </w:rPr>
        <w:t>备案，为本合同不可分割的一部分。</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第十六条  合同的变更、中止</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本合同一经签订，合同双方不得擅自变更或中止合同，除非合同的继续履行将损害国家利益和社会公共利益。</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第十七条  合同的终止</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本合同因下列原因而终止：</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（1）本合同正常履行完毕；</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（2）因不可抗力导致本合同无法履行或履行不必要；</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（3）任何一方行使解除权解除本合同；</w:t>
      </w:r>
    </w:p>
    <w:p>
      <w:pPr>
        <w:spacing w:line="440" w:lineRule="exact"/>
        <w:ind w:firstLine="48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（4）合同的继续履行将损害国家利益和社会公共利益。</w:t>
      </w:r>
    </w:p>
    <w:p>
      <w:pPr>
        <w:spacing w:line="440" w:lineRule="exact"/>
        <w:ind w:firstLine="48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除上述情形外，甲乙双方不得擅自终止合同。</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第十八条　合同的转让</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除甲方书面同意外，乙方不得将其合同项下的权利义务部分或全部转让给第三方，但乙方可依项目需求进行采购，采购不视为合同部分转让。</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第十九条  履约保证金</w:t>
      </w:r>
    </w:p>
    <w:p>
      <w:pPr>
        <w:spacing w:line="440" w:lineRule="exact"/>
        <w:ind w:firstLine="431" w:firstLineChars="196"/>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1</w:t>
      </w:r>
      <w:r>
        <w:rPr>
          <w:rFonts w:ascii="宋体" w:hAnsi="宋体" w:eastAsia="宋体" w:cs="Times New Roman"/>
          <w:color w:val="auto"/>
          <w:sz w:val="22"/>
          <w:szCs w:val="22"/>
          <w:highlight w:val="none"/>
        </w:rPr>
        <w:t>、如乙方未能履行合同规定的义务，甲方有权从履约保证金中取得补偿。</w:t>
      </w:r>
    </w:p>
    <w:p>
      <w:pPr>
        <w:widowControl w:val="0"/>
        <w:ind w:left="0" w:firstLine="440" w:firstLineChars="200"/>
        <w:jc w:val="both"/>
        <w:rPr>
          <w:rFonts w:ascii="宋体" w:hAnsi="宋体" w:eastAsia="宋体" w:cs="Times New Roman"/>
          <w:color w:val="auto"/>
          <w:kern w:val="2"/>
          <w:sz w:val="22"/>
          <w:szCs w:val="22"/>
          <w:highlight w:val="none"/>
          <w:lang w:val="en-US" w:eastAsia="zh-CN" w:bidi="ar-SA"/>
        </w:rPr>
      </w:pPr>
      <w:r>
        <w:rPr>
          <w:rFonts w:hint="eastAsia" w:ascii="宋体" w:hAnsi="宋体" w:eastAsia="宋体" w:cs="Times New Roman"/>
          <w:color w:val="auto"/>
          <w:kern w:val="2"/>
          <w:sz w:val="22"/>
          <w:szCs w:val="22"/>
          <w:highlight w:val="none"/>
          <w:lang w:val="en-US" w:eastAsia="zh-CN" w:bidi="ar-SA"/>
        </w:rPr>
        <w:t>2</w:t>
      </w:r>
      <w:r>
        <w:rPr>
          <w:rFonts w:ascii="宋体" w:hAnsi="宋体" w:eastAsia="宋体" w:cs="Times New Roman"/>
          <w:color w:val="auto"/>
          <w:kern w:val="2"/>
          <w:sz w:val="22"/>
          <w:szCs w:val="22"/>
          <w:highlight w:val="none"/>
          <w:lang w:val="en-US" w:eastAsia="zh-CN" w:bidi="ar-SA"/>
        </w:rPr>
        <w:t>、履约保证金在乙方履</w:t>
      </w:r>
      <w:r>
        <w:rPr>
          <w:rFonts w:hint="eastAsia" w:ascii="宋体" w:hAnsi="宋体" w:eastAsia="宋体" w:cs="Times New Roman"/>
          <w:color w:val="auto"/>
          <w:kern w:val="2"/>
          <w:sz w:val="22"/>
          <w:szCs w:val="22"/>
          <w:highlight w:val="none"/>
          <w:lang w:val="en-US" w:eastAsia="zh-CN" w:bidi="ar-SA"/>
        </w:rPr>
        <w:t>行合同完毕后</w:t>
      </w:r>
      <w:r>
        <w:rPr>
          <w:rFonts w:hint="eastAsia" w:ascii="宋体" w:hAnsi="宋体" w:eastAsia="宋体" w:cs="宋体"/>
          <w:color w:val="auto"/>
          <w:kern w:val="2"/>
          <w:sz w:val="24"/>
          <w:szCs w:val="18"/>
          <w:highlight w:val="none"/>
          <w:lang w:val="en-US" w:eastAsia="zh-CN" w:bidi="ar-SA"/>
        </w:rPr>
        <w:t>7个工作日内无息退还。</w:t>
      </w:r>
    </w:p>
    <w:p>
      <w:pPr>
        <w:rPr>
          <w:rFonts w:ascii="宋体" w:hAnsi="宋体" w:eastAsia="宋体" w:cs="Times New Roman"/>
          <w:color w:val="auto"/>
          <w:sz w:val="22"/>
          <w:szCs w:val="22"/>
          <w:highlight w:val="none"/>
        </w:rPr>
      </w:pPr>
    </w:p>
    <w:p>
      <w:pPr>
        <w:widowControl w:val="0"/>
        <w:autoSpaceDE w:val="0"/>
        <w:autoSpaceDN w:val="0"/>
        <w:adjustRightInd w:val="0"/>
        <w:spacing w:line="360" w:lineRule="auto"/>
        <w:ind w:firstLine="420"/>
        <w:jc w:val="both"/>
        <w:rPr>
          <w:rFonts w:ascii="宋体" w:hAnsi="Times New Roman" w:eastAsia="宋体" w:cs="Times New Roman"/>
          <w:color w:val="auto"/>
          <w:kern w:val="2"/>
          <w:sz w:val="24"/>
          <w:szCs w:val="28"/>
          <w:highlight w:val="none"/>
          <w:lang w:val="zh-CN" w:eastAsia="zh-CN" w:bidi="ar-SA"/>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第二十条  争议解决方式</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在执行本合同过程中所发生的或与本合同有关的一切争端，甲乙双方应通过友好协商的办法进行解决。如协商不能解决，则向</w:t>
      </w:r>
      <w:r>
        <w:rPr>
          <w:rFonts w:hint="eastAsia" w:ascii="宋体" w:hAnsi="宋体" w:eastAsia="宋体" w:cs="Times New Roman"/>
          <w:color w:val="auto"/>
          <w:sz w:val="22"/>
          <w:szCs w:val="22"/>
          <w:highlight w:val="none"/>
        </w:rPr>
        <w:t>项目</w:t>
      </w:r>
      <w:r>
        <w:rPr>
          <w:rFonts w:ascii="宋体" w:hAnsi="宋体" w:eastAsia="宋体" w:cs="Times New Roman"/>
          <w:color w:val="auto"/>
          <w:sz w:val="22"/>
          <w:szCs w:val="22"/>
          <w:highlight w:val="none"/>
        </w:rPr>
        <w:t>所在地人民法院提起诉讼。</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第二十一条</w:t>
      </w:r>
    </w:p>
    <w:p>
      <w:pPr>
        <w:spacing w:line="440" w:lineRule="exact"/>
        <w:ind w:firstLine="431" w:firstLineChars="196"/>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中标投标人需无条件配合及遵从采购单位、总包单位以及装修单位的</w:t>
      </w:r>
      <w:r>
        <w:rPr>
          <w:rFonts w:hint="default" w:ascii="宋体" w:hAnsi="宋体" w:eastAsia="宋体" w:cs="Times New Roman"/>
          <w:color w:val="auto"/>
          <w:sz w:val="22"/>
          <w:szCs w:val="22"/>
          <w:highlight w:val="none"/>
        </w:rPr>
        <w:t>合理</w:t>
      </w:r>
      <w:r>
        <w:rPr>
          <w:rFonts w:hint="eastAsia" w:ascii="宋体" w:hAnsi="宋体" w:eastAsia="宋体" w:cs="Times New Roman"/>
          <w:color w:val="auto"/>
          <w:sz w:val="22"/>
          <w:szCs w:val="22"/>
          <w:highlight w:val="none"/>
        </w:rPr>
        <w:t>要求。</w:t>
      </w:r>
    </w:p>
    <w:p>
      <w:pPr>
        <w:spacing w:line="240" w:lineRule="exact"/>
        <w:ind w:firstLine="440" w:firstLineChars="200"/>
        <w:rPr>
          <w:rFonts w:ascii="宋体" w:hAnsi="宋体" w:eastAsia="宋体" w:cs="Times New Roman"/>
          <w:color w:val="auto"/>
          <w:sz w:val="22"/>
          <w:szCs w:val="22"/>
          <w:highlight w:val="none"/>
        </w:rPr>
      </w:pP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第二十</w:t>
      </w:r>
      <w:r>
        <w:rPr>
          <w:rFonts w:hint="eastAsia" w:ascii="宋体" w:hAnsi="宋体" w:eastAsia="宋体" w:cs="Times New Roman"/>
          <w:color w:val="auto"/>
          <w:sz w:val="22"/>
          <w:szCs w:val="22"/>
          <w:highlight w:val="none"/>
        </w:rPr>
        <w:t>二</w:t>
      </w:r>
      <w:r>
        <w:rPr>
          <w:rFonts w:ascii="宋体" w:hAnsi="宋体" w:eastAsia="宋体" w:cs="Times New Roman"/>
          <w:color w:val="auto"/>
          <w:sz w:val="22"/>
          <w:szCs w:val="22"/>
          <w:highlight w:val="none"/>
        </w:rPr>
        <w:t>条  合同生效及其他</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1、合同应在甲乙双方代表签字并加盖公章后生效。</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2、本合同一式份，甲方</w:t>
      </w:r>
      <w:r>
        <w:rPr>
          <w:rFonts w:hint="eastAsia" w:ascii="宋体" w:hAnsi="宋体" w:eastAsia="宋体" w:cs="Times New Roman"/>
          <w:color w:val="auto"/>
          <w:sz w:val="22"/>
          <w:szCs w:val="22"/>
          <w:highlight w:val="none"/>
        </w:rPr>
        <w:t>份</w:t>
      </w:r>
      <w:r>
        <w:rPr>
          <w:rFonts w:ascii="宋体" w:hAnsi="宋体" w:eastAsia="宋体" w:cs="Times New Roman"/>
          <w:color w:val="auto"/>
          <w:sz w:val="22"/>
          <w:szCs w:val="22"/>
          <w:highlight w:val="none"/>
        </w:rPr>
        <w:t>、乙方</w:t>
      </w:r>
      <w:r>
        <w:rPr>
          <w:rFonts w:hint="eastAsia" w:ascii="宋体" w:hAnsi="宋体" w:eastAsia="宋体" w:cs="Times New Roman"/>
          <w:color w:val="auto"/>
          <w:sz w:val="22"/>
          <w:szCs w:val="22"/>
          <w:highlight w:val="none"/>
        </w:rPr>
        <w:t>份</w:t>
      </w:r>
      <w:r>
        <w:rPr>
          <w:rFonts w:ascii="宋体" w:hAnsi="宋体" w:eastAsia="宋体" w:cs="Times New Roman"/>
          <w:color w:val="auto"/>
          <w:sz w:val="22"/>
          <w:szCs w:val="22"/>
          <w:highlight w:val="none"/>
        </w:rPr>
        <w:t>、</w:t>
      </w:r>
      <w:r>
        <w:rPr>
          <w:rFonts w:hint="eastAsia" w:ascii="宋体" w:hAnsi="宋体" w:eastAsia="宋体" w:cs="Times New Roman"/>
          <w:color w:val="auto"/>
          <w:sz w:val="22"/>
          <w:szCs w:val="22"/>
          <w:highlight w:val="none"/>
        </w:rPr>
        <w:t>招标代理公司</w:t>
      </w:r>
      <w:r>
        <w:rPr>
          <w:rFonts w:ascii="宋体" w:hAnsi="宋体" w:eastAsia="宋体" w:cs="Times New Roman"/>
          <w:color w:val="auto"/>
          <w:sz w:val="22"/>
          <w:szCs w:val="22"/>
          <w:highlight w:val="none"/>
        </w:rPr>
        <w:t>执一份。</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3、本合同应按照中华人民共和国的现行法律进行解释。</w:t>
      </w:r>
    </w:p>
    <w:p>
      <w:pPr>
        <w:spacing w:line="440" w:lineRule="exact"/>
        <w:ind w:firstLine="440" w:firstLineChars="200"/>
        <w:rPr>
          <w:rFonts w:ascii="宋体" w:hAnsi="宋体" w:eastAsia="宋体" w:cs="Times New Roman"/>
          <w:color w:val="auto"/>
          <w:sz w:val="22"/>
          <w:szCs w:val="22"/>
          <w:highlight w:val="none"/>
        </w:rPr>
      </w:pP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甲方（单位盖章）                     乙方（单位盖章）</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代表签字：                           代表签字：</w:t>
      </w:r>
    </w:p>
    <w:p>
      <w:pPr>
        <w:widowControl w:val="0"/>
        <w:adjustRightInd w:val="0"/>
        <w:snapToGrid w:val="0"/>
        <w:spacing w:line="460" w:lineRule="atLeast"/>
        <w:ind w:firstLine="440" w:firstLineChars="200"/>
        <w:jc w:val="both"/>
        <w:rPr>
          <w:rFonts w:ascii="??" w:hAnsi="宋体" w:eastAsia="??" w:cs="Times New Roman"/>
          <w:color w:val="auto"/>
          <w:kern w:val="2"/>
          <w:sz w:val="22"/>
          <w:szCs w:val="21"/>
          <w:highlight w:val="none"/>
          <w:lang w:val="en-US" w:eastAsia="zh-CN" w:bidi="ar-SA"/>
        </w:rPr>
      </w:pPr>
      <w:r>
        <w:rPr>
          <w:rFonts w:ascii="??" w:hAnsi="宋体" w:eastAsia="??" w:cs="Times New Roman"/>
          <w:color w:val="auto"/>
          <w:kern w:val="2"/>
          <w:sz w:val="22"/>
          <w:szCs w:val="21"/>
          <w:highlight w:val="none"/>
          <w:lang w:val="en-US" w:eastAsia="zh-CN" w:bidi="ar-SA"/>
        </w:rPr>
        <w:t>日期：                               日期：</w:t>
      </w:r>
    </w:p>
    <w:p>
      <w:pPr>
        <w:widowControl w:val="0"/>
        <w:adjustRightInd w:val="0"/>
        <w:snapToGrid w:val="0"/>
        <w:spacing w:line="460" w:lineRule="atLeast"/>
        <w:ind w:firstLine="440" w:firstLineChars="200"/>
        <w:jc w:val="both"/>
        <w:rPr>
          <w:rFonts w:ascii="??" w:hAnsi="宋体" w:eastAsia="??" w:cs="Times New Roman"/>
          <w:color w:val="auto"/>
          <w:kern w:val="2"/>
          <w:sz w:val="22"/>
          <w:szCs w:val="21"/>
          <w:highlight w:val="none"/>
          <w:lang w:val="en-US" w:eastAsia="zh-CN" w:bidi="ar-SA"/>
        </w:rPr>
      </w:pPr>
    </w:p>
    <w:p>
      <w:pPr>
        <w:widowControl w:val="0"/>
        <w:tabs>
          <w:tab w:val="left" w:pos="900"/>
        </w:tabs>
        <w:snapToGrid w:val="0"/>
        <w:spacing w:before="120" w:after="120"/>
        <w:ind w:firstLine="660" w:firstLineChars="300"/>
        <w:jc w:val="both"/>
        <w:rPr>
          <w:rFonts w:ascii="??" w:hAnsi="宋体" w:eastAsia="??" w:cs="Times New Roman"/>
          <w:color w:val="auto"/>
          <w:kern w:val="2"/>
          <w:sz w:val="22"/>
          <w:szCs w:val="21"/>
          <w:highlight w:val="none"/>
          <w:lang w:val="en-US" w:eastAsia="zh-CN" w:bidi="ar-SA"/>
        </w:rPr>
      </w:pPr>
    </w:p>
    <w:p>
      <w:pPr>
        <w:wordWrap w:val="0"/>
        <w:spacing w:line="360" w:lineRule="auto"/>
        <w:ind w:firstLine="440" w:firstLineChars="200"/>
        <w:contextualSpacing/>
        <w:jc w:val="left"/>
        <w:rPr>
          <w:rFonts w:ascii="宋体" w:hAnsi="等线" w:eastAsia="宋体" w:cs="宋体"/>
          <w:color w:val="auto"/>
          <w:sz w:val="22"/>
          <w:szCs w:val="22"/>
          <w:highlight w:val="none"/>
        </w:rPr>
      </w:pPr>
      <w:r>
        <w:rPr>
          <w:rFonts w:hint="eastAsia" w:ascii="宋体" w:hAnsi="宋体" w:eastAsia="宋体" w:cs="Times New Roman"/>
          <w:color w:val="auto"/>
          <w:sz w:val="22"/>
          <w:szCs w:val="22"/>
          <w:highlight w:val="none"/>
        </w:rPr>
        <w:t>注：本合同作为示范文本，具体以成交人与采购人所签定正式合同为准。</w:t>
      </w:r>
      <w:r>
        <w:rPr>
          <w:rFonts w:hint="eastAsia" w:ascii="宋体" w:hAnsi="等线" w:eastAsia="宋体" w:cs="宋体"/>
          <w:color w:val="auto"/>
          <w:sz w:val="22"/>
          <w:szCs w:val="22"/>
          <w:highlight w:val="none"/>
        </w:rPr>
        <w:t xml:space="preserve"> </w:t>
      </w:r>
    </w:p>
    <w:p>
      <w:pPr>
        <w:pageBreakBefore/>
        <w:shd w:val="clear" w:color="auto" w:fill="FFFFFF"/>
        <w:snapToGrid w:val="0"/>
        <w:spacing w:line="360" w:lineRule="auto"/>
        <w:jc w:val="center"/>
        <w:outlineLvl w:val="0"/>
        <w:rPr>
          <w:rFonts w:ascii="宋体" w:hAnsi="宋体" w:eastAsia="宋体" w:cs="宋体"/>
          <w:b/>
          <w:bCs/>
          <w:color w:val="auto"/>
          <w:sz w:val="32"/>
          <w:szCs w:val="32"/>
          <w:highlight w:val="none"/>
        </w:rPr>
      </w:pPr>
      <w:bookmarkStart w:id="99" w:name="_Toc987129551"/>
      <w:r>
        <w:rPr>
          <w:rFonts w:hint="eastAsia" w:ascii="宋体" w:hAnsi="宋体" w:eastAsia="宋体" w:cs="宋体"/>
          <w:b/>
          <w:bCs/>
          <w:color w:val="auto"/>
          <w:sz w:val="32"/>
          <w:szCs w:val="32"/>
          <w:highlight w:val="none"/>
        </w:rPr>
        <w:t>第五部分  应提交的有关格式范例</w:t>
      </w:r>
      <w:bookmarkEnd w:id="95"/>
      <w:bookmarkEnd w:id="99"/>
    </w:p>
    <w:p>
      <w:pPr>
        <w:shd w:val="clear" w:color="auto" w:fill="FFFFFF"/>
        <w:snapToGrid w:val="0"/>
        <w:spacing w:line="360" w:lineRule="auto"/>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w:t>
      </w:r>
    </w:p>
    <w:p>
      <w:pPr>
        <w:snapToGrid w:val="0"/>
        <w:spacing w:line="360" w:lineRule="auto"/>
        <w:rPr>
          <w:rFonts w:ascii="宋体" w:hAnsi="宋体" w:eastAsia="宋体" w:cs="宋体"/>
          <w:b/>
          <w:color w:val="auto"/>
          <w:sz w:val="24"/>
          <w:highlight w:val="none"/>
        </w:rPr>
      </w:pPr>
      <w:r>
        <w:rPr>
          <w:rFonts w:hint="eastAsia" w:ascii="宋体" w:hAnsi="宋体" w:eastAsia="宋体" w:cs="宋体"/>
          <w:b/>
          <w:color w:val="auto"/>
          <w:sz w:val="24"/>
          <w:highlight w:val="none"/>
        </w:rPr>
        <w:t>一、投标供应商提交投标文件须知：</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1、投标供应商应严格按照以下顺序填写和提交下述规定的全部格式文件以及其他有关资料，混乱的编排导致投标文件被误读或评标委员会查找不到有效文件是投标供应商的风险。</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2、所附表格中要求回答的全部问题和/或信息都必须正面回答。</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3、本声明书的签字人应保证全部声明和问题的回答是真实的和准确的。</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4、评标委员会将应用投标供应商提交的资料作出自己的判断。</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5、投标供应商提交的材料将在一定期限内被保密保存，但不退还。</w:t>
      </w:r>
    </w:p>
    <w:p>
      <w:pPr>
        <w:snapToGrid w:val="0"/>
        <w:spacing w:line="360" w:lineRule="auto"/>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rPr>
        <w:t>6、全部文件应按投标供应商须知中规定的语言和份数提交。投标文件组成漏项或未按规定的格式编制，内容不全或内容字迹模糊辨认不清的情况，</w:t>
      </w:r>
      <w:r>
        <w:rPr>
          <w:rFonts w:hint="eastAsia" w:ascii="宋体" w:hAnsi="宋体" w:eastAsia="宋体" w:cs="宋体"/>
          <w:b/>
          <w:color w:val="auto"/>
          <w:sz w:val="24"/>
          <w:highlight w:val="none"/>
        </w:rPr>
        <w:t>将有可能被评标委员会认定为投标无效。</w:t>
      </w:r>
    </w:p>
    <w:bookmarkEnd w:id="96"/>
    <w:bookmarkEnd w:id="97"/>
    <w:bookmarkEnd w:id="98"/>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w:t>
      </w:r>
    </w:p>
    <w:p>
      <w:pPr>
        <w:keepNext/>
        <w:snapToGrid w:val="0"/>
        <w:spacing w:line="360" w:lineRule="auto"/>
        <w:jc w:val="center"/>
        <w:outlineLvl w:val="0"/>
        <w:rPr>
          <w:rFonts w:ascii="宋体" w:hAnsi="宋体" w:eastAsia="宋体" w:cs="宋体"/>
          <w:b/>
          <w:color w:val="auto"/>
          <w:kern w:val="36"/>
          <w:sz w:val="32"/>
          <w:szCs w:val="28"/>
          <w:highlight w:val="none"/>
          <w:lang w:val="en-US" w:eastAsia="zh-CN" w:bidi="ar-SA"/>
        </w:rPr>
      </w:pPr>
      <w:bookmarkStart w:id="100" w:name="_Toc33194403"/>
      <w:bookmarkStart w:id="101" w:name="_Toc1036362494"/>
      <w:r>
        <w:rPr>
          <w:rFonts w:hint="eastAsia" w:ascii="宋体" w:hAnsi="宋体" w:eastAsia="宋体" w:cs="宋体"/>
          <w:b/>
          <w:color w:val="auto"/>
          <w:kern w:val="36"/>
          <w:sz w:val="32"/>
          <w:szCs w:val="28"/>
          <w:highlight w:val="none"/>
          <w:lang w:val="en-US" w:eastAsia="zh-CN" w:bidi="ar-SA"/>
        </w:rPr>
        <w:t>资格文件</w:t>
      </w:r>
      <w:bookmarkEnd w:id="100"/>
      <w:r>
        <w:rPr>
          <w:rFonts w:hint="eastAsia" w:ascii="宋体" w:hAnsi="宋体" w:eastAsia="宋体" w:cs="宋体"/>
          <w:b/>
          <w:color w:val="auto"/>
          <w:kern w:val="36"/>
          <w:sz w:val="32"/>
          <w:szCs w:val="28"/>
          <w:highlight w:val="none"/>
          <w:lang w:val="en-US" w:eastAsia="zh-CN" w:bidi="ar-SA"/>
        </w:rPr>
        <w:t> </w:t>
      </w:r>
      <w:bookmarkEnd w:id="101"/>
    </w:p>
    <w:p>
      <w:pPr>
        <w:shd w:val="clear" w:color="auto" w:fill="FFFFFF"/>
        <w:snapToGrid w:val="0"/>
        <w:spacing w:line="360" w:lineRule="auto"/>
        <w:jc w:val="center"/>
        <w:rPr>
          <w:rFonts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目录</w:t>
      </w:r>
    </w:p>
    <w:p>
      <w:pPr>
        <w:shd w:val="clear" w:color="auto" w:fill="FFFFFF"/>
        <w:snapToGrid w:val="0"/>
        <w:spacing w:line="360" w:lineRule="auto"/>
        <w:rPr>
          <w:rFonts w:ascii="宋体" w:hAnsi="宋体" w:eastAsia="宋体" w:cs="宋体"/>
          <w:color w:val="auto"/>
          <w:kern w:val="0"/>
          <w:sz w:val="24"/>
          <w:highlight w:val="none"/>
        </w:rPr>
      </w:pPr>
      <w:bookmarkStart w:id="102" w:name="_Hlk33176655"/>
      <w:r>
        <w:rPr>
          <w:rFonts w:hint="eastAsia" w:ascii="宋体" w:hAnsi="宋体" w:eastAsia="宋体" w:cs="宋体"/>
          <w:color w:val="auto"/>
          <w:kern w:val="0"/>
          <w:sz w:val="24"/>
          <w:highlight w:val="none"/>
        </w:rPr>
        <w:t>（1）营业执照…………………………………………………………………………（页码）</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（2）具有良好的商业信誉和健全的财务会计制度的承诺函………………………（页码）</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（3）具有履行合同所必需的场地、设备和专业技术能力的承诺函………………（页码）</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（4）依法缴纳税收和社会保障资金的承诺函…………………………………………（页码）</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（5）参加国企采购活动前3年内在经营活动中没有重大违法记录的声明函………（页码）</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（6）单位负责人为同一人或者存在直接控股、管理关系的不同供应商，不得参加同一合同项下的国企采购活动承诺函…………………………………………………………（页码）</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（7）投标供应商没有失信记录承诺函………………………………………………（页码）</w:t>
      </w:r>
    </w:p>
    <w:p>
      <w:pPr>
        <w:widowControl w:val="0"/>
        <w:autoSpaceDE w:val="0"/>
        <w:autoSpaceDN w:val="0"/>
        <w:adjustRightInd w:val="0"/>
        <w:rPr>
          <w:rFonts w:ascii="宋体" w:hAnsi="宋体" w:eastAsia="宋体" w:cs="宋体"/>
          <w:color w:val="auto"/>
          <w:sz w:val="24"/>
          <w:szCs w:val="24"/>
          <w:highlight w:val="none"/>
          <w:lang w:val="en-US" w:eastAsia="zh-CN" w:bidi="ar-SA"/>
        </w:rPr>
      </w:pPr>
    </w:p>
    <w:bookmarkEnd w:id="102"/>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ind w:firstLine="480" w:firstLineChars="200"/>
        <w:rPr>
          <w:rFonts w:ascii="宋体" w:hAnsi="宋体" w:eastAsia="宋体" w:cs="宋体"/>
          <w:color w:val="auto"/>
          <w:sz w:val="24"/>
          <w:highlight w:val="none"/>
        </w:rPr>
      </w:pPr>
    </w:p>
    <w:p>
      <w:pPr>
        <w:shd w:val="clear" w:color="auto" w:fill="FFFFFF"/>
        <w:snapToGrid w:val="0"/>
        <w:spacing w:line="360" w:lineRule="auto"/>
        <w:rPr>
          <w:rFonts w:ascii="宋体" w:hAnsi="宋体" w:eastAsia="宋体" w:cs="宋体"/>
          <w:color w:val="auto"/>
          <w:sz w:val="24"/>
          <w:highlight w:val="none"/>
        </w:rPr>
      </w:pPr>
    </w:p>
    <w:p>
      <w:pPr>
        <w:keepNext/>
        <w:keepLines/>
        <w:widowControl w:val="0"/>
        <w:numPr>
          <w:ilvl w:val="0"/>
          <w:numId w:val="0"/>
        </w:numPr>
        <w:tabs>
          <w:tab w:val="left" w:pos="706"/>
          <w:tab w:val="left" w:pos="1110"/>
        </w:tabs>
        <w:spacing w:line="360" w:lineRule="auto"/>
        <w:ind w:left="106" w:firstLine="454"/>
        <w:jc w:val="both"/>
        <w:outlineLvl w:val="1"/>
        <w:rPr>
          <w:rFonts w:ascii="宋体" w:hAnsi="宋体" w:eastAsia="宋体" w:cs="宋体"/>
          <w:b/>
          <w:bCs/>
          <w:color w:val="auto"/>
          <w:kern w:val="2"/>
          <w:sz w:val="21"/>
          <w:szCs w:val="32"/>
          <w:highlight w:val="none"/>
          <w:lang w:val="en-US" w:eastAsia="zh-CN" w:bidi="ar-SA"/>
        </w:rPr>
      </w:pPr>
    </w:p>
    <w:p>
      <w:pPr>
        <w:spacing w:line="360" w:lineRule="auto"/>
        <w:rPr>
          <w:rFonts w:ascii="宋体" w:hAnsi="宋体" w:eastAsia="宋体" w:cs="宋体"/>
          <w:color w:val="auto"/>
          <w:highlight w:val="none"/>
        </w:rPr>
      </w:pPr>
    </w:p>
    <w:p>
      <w:pPr>
        <w:keepNext/>
        <w:numPr>
          <w:ilvl w:val="0"/>
          <w:numId w:val="10"/>
        </w:numPr>
        <w:snapToGrid w:val="0"/>
        <w:spacing w:line="360" w:lineRule="auto"/>
        <w:jc w:val="center"/>
        <w:outlineLvl w:val="0"/>
        <w:rPr>
          <w:rFonts w:ascii="宋体" w:hAnsi="宋体" w:eastAsia="宋体" w:cs="宋体"/>
          <w:b/>
          <w:color w:val="auto"/>
          <w:kern w:val="36"/>
          <w:sz w:val="32"/>
          <w:szCs w:val="28"/>
          <w:highlight w:val="none"/>
          <w:lang w:val="en-US" w:eastAsia="zh-CN" w:bidi="ar-SA"/>
        </w:rPr>
      </w:pPr>
      <w:bookmarkStart w:id="103" w:name="_Toc27479"/>
      <w:bookmarkStart w:id="104" w:name="_Toc14356"/>
      <w:bookmarkStart w:id="105" w:name="_Toc6616"/>
      <w:bookmarkStart w:id="106" w:name="_Toc5464"/>
      <w:bookmarkStart w:id="107" w:name="_Toc20581"/>
      <w:bookmarkStart w:id="108" w:name="_Toc20141"/>
      <w:bookmarkStart w:id="109" w:name="_Toc26100"/>
      <w:bookmarkStart w:id="110" w:name="_Toc5698"/>
      <w:bookmarkStart w:id="111" w:name="_Toc14043"/>
      <w:bookmarkStart w:id="112" w:name="_Toc27119252"/>
      <w:bookmarkStart w:id="113" w:name="_Toc21301"/>
      <w:bookmarkStart w:id="114" w:name="_Toc238410707"/>
      <w:bookmarkStart w:id="115" w:name="_Toc33194404"/>
      <w:r>
        <w:rPr>
          <w:rFonts w:hint="eastAsia" w:ascii="宋体" w:hAnsi="宋体" w:eastAsia="宋体" w:cs="宋体"/>
          <w:b/>
          <w:color w:val="auto"/>
          <w:kern w:val="36"/>
          <w:sz w:val="32"/>
          <w:szCs w:val="28"/>
          <w:highlight w:val="none"/>
          <w:lang w:val="en-US" w:eastAsia="zh-CN" w:bidi="ar-SA"/>
        </w:rPr>
        <w:t>营业执照</w:t>
      </w:r>
      <w:bookmarkEnd w:id="103"/>
      <w:bookmarkEnd w:id="104"/>
      <w:bookmarkEnd w:id="105"/>
      <w:bookmarkEnd w:id="106"/>
      <w:bookmarkEnd w:id="107"/>
      <w:bookmarkEnd w:id="108"/>
      <w:bookmarkEnd w:id="109"/>
      <w:bookmarkEnd w:id="110"/>
      <w:bookmarkEnd w:id="111"/>
      <w:bookmarkEnd w:id="112"/>
      <w:bookmarkEnd w:id="113"/>
      <w:r>
        <w:rPr>
          <w:rFonts w:hint="eastAsia" w:ascii="宋体" w:hAnsi="宋体" w:eastAsia="宋体" w:cs="宋体"/>
          <w:b/>
          <w:color w:val="auto"/>
          <w:kern w:val="36"/>
          <w:sz w:val="32"/>
          <w:szCs w:val="28"/>
          <w:highlight w:val="none"/>
          <w:lang w:val="en-US" w:eastAsia="zh-CN" w:bidi="ar-SA"/>
        </w:rPr>
        <w:t>（复印件）</w:t>
      </w:r>
      <w:bookmarkEnd w:id="114"/>
      <w:bookmarkEnd w:id="115"/>
    </w:p>
    <w:p>
      <w:pPr>
        <w:snapToGrid w:val="0"/>
        <w:spacing w:line="360" w:lineRule="auto"/>
        <w:rPr>
          <w:rFonts w:ascii="宋体" w:hAnsi="宋体" w:eastAsia="宋体" w:cs="宋体"/>
          <w:color w:val="auto"/>
          <w:highlight w:val="none"/>
        </w:rPr>
      </w:pPr>
    </w:p>
    <w:p>
      <w:pPr>
        <w:snapToGrid w:val="0"/>
        <w:spacing w:line="360" w:lineRule="auto"/>
        <w:rPr>
          <w:rFonts w:ascii="宋体" w:hAnsi="宋体" w:eastAsia="宋体" w:cs="宋体"/>
          <w:color w:val="auto"/>
          <w:highlight w:val="none"/>
        </w:rPr>
      </w:pPr>
    </w:p>
    <w:p>
      <w:pPr>
        <w:spacing w:line="360" w:lineRule="auto"/>
        <w:jc w:val="center"/>
        <w:rPr>
          <w:rFonts w:ascii="宋体" w:hAnsi="宋体" w:eastAsia="宋体" w:cs="宋体"/>
          <w:b/>
          <w:color w:val="auto"/>
          <w:kern w:val="36"/>
          <w:sz w:val="32"/>
          <w:szCs w:val="28"/>
          <w:highlight w:val="none"/>
        </w:rPr>
      </w:pPr>
      <w:r>
        <w:rPr>
          <w:rFonts w:hint="eastAsia" w:ascii="宋体" w:hAnsi="宋体" w:eastAsia="宋体" w:cs="宋体"/>
          <w:b/>
          <w:color w:val="auto"/>
          <w:kern w:val="36"/>
          <w:sz w:val="32"/>
          <w:szCs w:val="28"/>
          <w:highlight w:val="none"/>
        </w:rPr>
        <w:t xml:space="preserve">二、具有良好的商业信誉和健全的财务会计制度的承诺函 </w:t>
      </w:r>
    </w:p>
    <w:p>
      <w:pPr>
        <w:shd w:val="clear" w:color="auto" w:fill="FFFFFF"/>
        <w:snapToGrid w:val="0"/>
        <w:spacing w:line="360" w:lineRule="auto"/>
        <w:rPr>
          <w:rFonts w:ascii="宋体" w:hAnsi="宋体" w:eastAsia="宋体" w:cs="宋体"/>
          <w:bCs/>
          <w:color w:val="auto"/>
          <w:kern w:val="36"/>
          <w:sz w:val="24"/>
          <w:highlight w:val="none"/>
        </w:rPr>
      </w:pPr>
      <w:r>
        <w:rPr>
          <w:rFonts w:hint="eastAsia" w:ascii="宋体" w:hAnsi="宋体" w:eastAsia="宋体" w:cs="宋体"/>
          <w:color w:val="auto"/>
          <w:sz w:val="24"/>
          <w:highlight w:val="none"/>
        </w:rPr>
        <w:t>苍南县旅游投资集团有限公司、浙江之信工程项目管理有限公司</w:t>
      </w:r>
      <w:r>
        <w:rPr>
          <w:rFonts w:hint="eastAsia" w:ascii="宋体" w:hAnsi="宋体" w:eastAsia="宋体" w:cs="宋体"/>
          <w:color w:val="auto"/>
          <w:kern w:val="0"/>
          <w:sz w:val="24"/>
          <w:highlight w:val="none"/>
        </w:rPr>
        <w:t>：</w:t>
      </w:r>
      <w:r>
        <w:rPr>
          <w:rFonts w:hint="eastAsia" w:ascii="宋体" w:hAnsi="宋体" w:eastAsia="宋体" w:cs="宋体"/>
          <w:bCs/>
          <w:color w:val="auto"/>
          <w:kern w:val="36"/>
          <w:sz w:val="24"/>
          <w:highlight w:val="none"/>
        </w:rPr>
        <w:t xml:space="preserve"> </w:t>
      </w:r>
    </w:p>
    <w:p>
      <w:pPr>
        <w:shd w:val="clear" w:color="auto" w:fill="FFFFFF"/>
        <w:snapToGrid w:val="0"/>
        <w:spacing w:line="360" w:lineRule="auto"/>
        <w:ind w:firstLine="480" w:firstLineChars="200"/>
        <w:rPr>
          <w:rFonts w:ascii="宋体" w:hAnsi="宋体" w:eastAsia="宋体" w:cs="宋体"/>
          <w:bCs/>
          <w:color w:val="auto"/>
          <w:kern w:val="36"/>
          <w:sz w:val="24"/>
          <w:highlight w:val="none"/>
        </w:rPr>
      </w:pPr>
      <w:r>
        <w:rPr>
          <w:rFonts w:hint="eastAsia" w:ascii="宋体" w:hAnsi="宋体" w:eastAsia="宋体" w:cs="宋体"/>
          <w:bCs/>
          <w:color w:val="auto"/>
          <w:kern w:val="36"/>
          <w:sz w:val="24"/>
          <w:highlight w:val="none"/>
        </w:rPr>
        <w:t>我方参加</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rPr>
        <w:t>采购项目（项目编号：</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rPr>
        <w:t xml:space="preserve">）的国企采购活动，依据采购文件相关规定，郑重 承诺：我方具有良好的商业信誉和健全的财务会计制度，符合本项目采购 文件规定的投标供应商资格要求，如中标，我方将按我方投标文件承诺， 保证合同顺利履行。如有虚假或隐瞒，采购人可取消我方任何资格（投标 /谈判/中标（成交）/签订合同），我方对此无任何异议，并愿意承担一 切后果和责任。 </w:t>
      </w: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val="0"/>
        <w:autoSpaceDE w:val="0"/>
        <w:autoSpaceDN w:val="0"/>
        <w:adjustRightInd w:val="0"/>
        <w:spacing w:line="360" w:lineRule="auto"/>
        <w:ind w:firstLine="420"/>
        <w:jc w:val="both"/>
        <w:rPr>
          <w:rFonts w:ascii="宋体" w:hAnsi="宋体" w:eastAsia="宋体" w:cs="宋体"/>
          <w:color w:val="auto"/>
          <w:kern w:val="2"/>
          <w:sz w:val="24"/>
          <w:szCs w:val="28"/>
          <w:highlight w:val="none"/>
          <w:lang w:val="zh-CN" w:eastAsia="zh-CN" w:bidi="ar-SA"/>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napToGrid w:val="0"/>
        <w:spacing w:line="360" w:lineRule="auto"/>
        <w:rPr>
          <w:rFonts w:ascii="宋体" w:hAnsi="宋体" w:eastAsia="宋体" w:cs="宋体"/>
          <w:color w:val="auto"/>
          <w:highlight w:val="none"/>
        </w:rPr>
      </w:pPr>
    </w:p>
    <w:p>
      <w:pPr>
        <w:keepNext/>
        <w:snapToGrid w:val="0"/>
        <w:spacing w:line="360" w:lineRule="auto"/>
        <w:jc w:val="center"/>
        <w:outlineLvl w:val="0"/>
        <w:rPr>
          <w:rFonts w:ascii="宋体" w:hAnsi="宋体" w:eastAsia="宋体" w:cs="宋体"/>
          <w:b/>
          <w:color w:val="auto"/>
          <w:kern w:val="36"/>
          <w:sz w:val="32"/>
          <w:szCs w:val="28"/>
          <w:highlight w:val="none"/>
          <w:lang w:val="en-US" w:eastAsia="zh-CN" w:bidi="ar-SA"/>
        </w:rPr>
      </w:pPr>
      <w:bookmarkStart w:id="116" w:name="_Toc27119254"/>
      <w:bookmarkStart w:id="117" w:name="_Toc33194405"/>
      <w:bookmarkStart w:id="118" w:name="_Toc1707540535"/>
      <w:r>
        <w:rPr>
          <w:rFonts w:hint="eastAsia" w:ascii="宋体" w:hAnsi="宋体" w:eastAsia="宋体" w:cs="宋体"/>
          <w:b/>
          <w:color w:val="auto"/>
          <w:kern w:val="36"/>
          <w:sz w:val="32"/>
          <w:szCs w:val="28"/>
          <w:highlight w:val="none"/>
          <w:lang w:val="en-US" w:eastAsia="zh-CN" w:bidi="ar-SA"/>
        </w:rPr>
        <w:t>三、具有履行合同所必需的场地、设备和专业技术能力的承诺函</w:t>
      </w:r>
      <w:bookmarkEnd w:id="116"/>
      <w:bookmarkEnd w:id="117"/>
      <w:bookmarkEnd w:id="118"/>
    </w:p>
    <w:p>
      <w:pPr>
        <w:snapToGrid w:val="0"/>
        <w:spacing w:line="360" w:lineRule="auto"/>
        <w:rPr>
          <w:rFonts w:ascii="宋体" w:hAnsi="宋体" w:eastAsia="宋体" w:cs="宋体"/>
          <w:color w:val="auto"/>
          <w:highlight w:val="none"/>
        </w:rPr>
      </w:pPr>
    </w:p>
    <w:p>
      <w:pPr>
        <w:shd w:val="clear" w:color="auto" w:fill="FFFFFF"/>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苍南县旅游投资集团有限公司、浙江之信工程项目管理有限公司</w:t>
      </w:r>
      <w:r>
        <w:rPr>
          <w:rFonts w:hint="eastAsia" w:ascii="宋体" w:hAnsi="宋体" w:eastAsia="宋体" w:cs="宋体"/>
          <w:color w:val="auto"/>
          <w:kern w:val="0"/>
          <w:sz w:val="24"/>
          <w:highlight w:val="none"/>
        </w:rPr>
        <w:t>：</w:t>
      </w: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我方</w:t>
      </w:r>
      <w:r>
        <w:rPr>
          <w:rFonts w:hint="eastAsia" w:ascii="宋体" w:hAnsi="宋体" w:eastAsia="宋体" w:cs="宋体"/>
          <w:color w:val="auto"/>
          <w:kern w:val="0"/>
          <w:sz w:val="24"/>
          <w:highlight w:val="none"/>
          <w:u w:val="single"/>
        </w:rPr>
        <w:t xml:space="preserve">             （供应商）      </w:t>
      </w:r>
      <w:r>
        <w:rPr>
          <w:rFonts w:hint="eastAsia" w:ascii="宋体" w:hAnsi="宋体" w:eastAsia="宋体" w:cs="宋体"/>
          <w:color w:val="auto"/>
          <w:kern w:val="0"/>
          <w:sz w:val="24"/>
          <w:highlight w:val="none"/>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pacing w:line="360" w:lineRule="auto"/>
        <w:jc w:val="center"/>
        <w:rPr>
          <w:rFonts w:ascii="宋体" w:hAnsi="宋体" w:eastAsia="宋体" w:cs="宋体"/>
          <w:b/>
          <w:color w:val="auto"/>
          <w:kern w:val="36"/>
          <w:sz w:val="32"/>
          <w:szCs w:val="28"/>
          <w:highlight w:val="none"/>
        </w:rPr>
      </w:pPr>
      <w:r>
        <w:rPr>
          <w:rFonts w:hint="eastAsia" w:ascii="宋体" w:hAnsi="宋体" w:eastAsia="宋体" w:cs="宋体"/>
          <w:b/>
          <w:color w:val="auto"/>
          <w:kern w:val="36"/>
          <w:sz w:val="32"/>
          <w:szCs w:val="28"/>
          <w:highlight w:val="none"/>
        </w:rPr>
        <w:br w:type="page"/>
      </w:r>
      <w:r>
        <w:rPr>
          <w:rFonts w:hint="eastAsia" w:ascii="宋体" w:hAnsi="宋体" w:eastAsia="宋体" w:cs="宋体"/>
          <w:b/>
          <w:color w:val="auto"/>
          <w:kern w:val="36"/>
          <w:sz w:val="32"/>
          <w:szCs w:val="28"/>
          <w:highlight w:val="none"/>
        </w:rPr>
        <w:t>四、依法缴纳税收和社会保障资金的承诺函</w:t>
      </w:r>
    </w:p>
    <w:p>
      <w:pPr>
        <w:spacing w:line="360" w:lineRule="auto"/>
        <w:rPr>
          <w:rFonts w:ascii="宋体" w:hAnsi="宋体" w:eastAsia="宋体" w:cs="宋体"/>
          <w:b/>
          <w:color w:val="auto"/>
          <w:kern w:val="0"/>
          <w:sz w:val="24"/>
          <w:szCs w:val="28"/>
          <w:highlight w:val="none"/>
          <w:u w:val="single"/>
        </w:rPr>
      </w:pPr>
    </w:p>
    <w:p>
      <w:pPr>
        <w:shd w:val="clear" w:color="auto" w:fill="FFFFFF"/>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苍南县旅游投资集团有限公司、浙江之信工程项目管理有限公司</w:t>
      </w:r>
      <w:r>
        <w:rPr>
          <w:rFonts w:hint="eastAsia" w:ascii="宋体" w:hAnsi="宋体" w:eastAsia="宋体" w:cs="宋体"/>
          <w:color w:val="auto"/>
          <w:kern w:val="0"/>
          <w:sz w:val="24"/>
          <w:highlight w:val="none"/>
        </w:rPr>
        <w:t>：</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eastAsia="宋体" w:cs="宋体"/>
          <w:color w:val="auto"/>
          <w:kern w:val="0"/>
          <w:sz w:val="24"/>
          <w:highlight w:val="none"/>
        </w:rPr>
      </w:pP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val="0"/>
        <w:autoSpaceDE w:val="0"/>
        <w:autoSpaceDN w:val="0"/>
        <w:adjustRightInd w:val="0"/>
        <w:spacing w:line="360" w:lineRule="auto"/>
        <w:ind w:firstLine="420"/>
        <w:jc w:val="both"/>
        <w:rPr>
          <w:rFonts w:ascii="宋体" w:hAnsi="宋体" w:eastAsia="宋体" w:cs="宋体"/>
          <w:color w:val="auto"/>
          <w:kern w:val="2"/>
          <w:sz w:val="24"/>
          <w:szCs w:val="28"/>
          <w:highlight w:val="none"/>
          <w:lang w:val="zh-CN" w:eastAsia="zh-CN" w:bidi="ar-SA"/>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snapToGrid w:val="0"/>
        <w:spacing w:line="360" w:lineRule="auto"/>
        <w:jc w:val="left"/>
        <w:rPr>
          <w:rFonts w:ascii="宋体" w:hAnsi="宋体" w:eastAsia="宋体" w:cs="宋体"/>
          <w:color w:val="auto"/>
          <w:kern w:val="0"/>
          <w:szCs w:val="21"/>
          <w:highlight w:val="none"/>
        </w:rPr>
      </w:pPr>
    </w:p>
    <w:p>
      <w:pPr>
        <w:keepNext/>
        <w:snapToGrid w:val="0"/>
        <w:spacing w:line="360" w:lineRule="auto"/>
        <w:jc w:val="center"/>
        <w:outlineLvl w:val="0"/>
        <w:rPr>
          <w:rFonts w:ascii="宋体" w:hAnsi="宋体" w:eastAsia="宋体" w:cs="宋体"/>
          <w:b/>
          <w:color w:val="auto"/>
          <w:kern w:val="36"/>
          <w:sz w:val="32"/>
          <w:szCs w:val="28"/>
          <w:highlight w:val="none"/>
          <w:lang w:val="en-US" w:eastAsia="zh-CN" w:bidi="ar-SA"/>
        </w:rPr>
      </w:pPr>
      <w:bookmarkStart w:id="119" w:name="_Toc11360"/>
      <w:bookmarkStart w:id="120" w:name="_Toc31784"/>
      <w:bookmarkStart w:id="121" w:name="_Toc13669"/>
      <w:bookmarkStart w:id="122" w:name="_Toc33194406"/>
      <w:bookmarkStart w:id="123" w:name="_Toc27119255"/>
      <w:bookmarkStart w:id="124" w:name="_Toc2080720285"/>
      <w:bookmarkStart w:id="125" w:name="_Toc18304"/>
      <w:bookmarkStart w:id="126" w:name="_Toc14988"/>
      <w:bookmarkStart w:id="127" w:name="_Toc28957"/>
      <w:bookmarkStart w:id="128" w:name="_Toc14589"/>
      <w:bookmarkStart w:id="129" w:name="_Toc6606"/>
      <w:bookmarkStart w:id="130" w:name="_Toc31544"/>
      <w:bookmarkStart w:id="131" w:name="_Toc10630"/>
      <w:r>
        <w:rPr>
          <w:rFonts w:hint="eastAsia" w:ascii="宋体" w:hAnsi="宋体" w:eastAsia="宋体" w:cs="宋体"/>
          <w:b/>
          <w:color w:val="auto"/>
          <w:kern w:val="36"/>
          <w:sz w:val="32"/>
          <w:szCs w:val="28"/>
          <w:highlight w:val="none"/>
          <w:lang w:val="en-US" w:eastAsia="zh-CN" w:bidi="ar-SA"/>
        </w:rPr>
        <w:t>五、参加国企采购活动前3年内在经营活动中没有重大违法记录的声明函</w:t>
      </w:r>
      <w:bookmarkEnd w:id="119"/>
      <w:bookmarkEnd w:id="120"/>
      <w:bookmarkEnd w:id="121"/>
      <w:bookmarkEnd w:id="122"/>
      <w:bookmarkEnd w:id="123"/>
      <w:bookmarkEnd w:id="124"/>
      <w:bookmarkEnd w:id="125"/>
      <w:bookmarkEnd w:id="126"/>
      <w:bookmarkEnd w:id="127"/>
      <w:bookmarkEnd w:id="128"/>
      <w:bookmarkEnd w:id="129"/>
      <w:bookmarkEnd w:id="130"/>
      <w:bookmarkEnd w:id="131"/>
    </w:p>
    <w:p>
      <w:pPr>
        <w:shd w:val="clear" w:color="auto" w:fill="FFFFFF"/>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苍南县旅游投资集团有限公司、浙江之信工程项目管理有限公司</w:t>
      </w:r>
      <w:r>
        <w:rPr>
          <w:rFonts w:hint="eastAsia" w:ascii="宋体" w:hAnsi="宋体" w:eastAsia="宋体" w:cs="宋体"/>
          <w:color w:val="auto"/>
          <w:kern w:val="0"/>
          <w:sz w:val="24"/>
          <w:highlight w:val="none"/>
        </w:rPr>
        <w:t>：</w:t>
      </w: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我方</w:t>
      </w:r>
      <w:r>
        <w:rPr>
          <w:rFonts w:hint="eastAsia" w:ascii="宋体" w:hAnsi="宋体" w:eastAsia="宋体" w:cs="宋体"/>
          <w:color w:val="auto"/>
          <w:kern w:val="0"/>
          <w:sz w:val="24"/>
          <w:highlight w:val="none"/>
          <w:u w:val="single"/>
        </w:rPr>
        <w:t xml:space="preserve">               （供应商）              </w:t>
      </w:r>
      <w:r>
        <w:rPr>
          <w:rFonts w:hint="eastAsia" w:ascii="宋体" w:hAnsi="宋体" w:eastAsia="宋体" w:cs="宋体"/>
          <w:color w:val="auto"/>
          <w:kern w:val="0"/>
          <w:sz w:val="24"/>
          <w:highlight w:val="none"/>
        </w:rPr>
        <w:t>具有良好的商业信誉，依法缴纳税收和社会保障资金，未被列入失信被执行人名单、重大税收违法案件当事人名单、政府采购严重违法失信行为记录名单，参加本次</w:t>
      </w:r>
      <w:r>
        <w:rPr>
          <w:rFonts w:hint="eastAsia" w:ascii="宋体" w:hAnsi="宋体" w:eastAsia="宋体" w:cs="宋体"/>
          <w:bCs/>
          <w:color w:val="auto"/>
          <w:kern w:val="36"/>
          <w:sz w:val="24"/>
          <w:highlight w:val="none"/>
        </w:rPr>
        <w:t>国企</w:t>
      </w:r>
      <w:r>
        <w:rPr>
          <w:rFonts w:hint="eastAsia" w:ascii="宋体" w:hAnsi="宋体" w:eastAsia="宋体" w:cs="宋体"/>
          <w:color w:val="auto"/>
          <w:kern w:val="0"/>
          <w:sz w:val="24"/>
          <w:highlight w:val="none"/>
        </w:rPr>
        <w:t>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keepNext/>
        <w:keepLines/>
        <w:widowControl w:val="0"/>
        <w:numPr>
          <w:ilvl w:val="0"/>
          <w:numId w:val="0"/>
        </w:numPr>
        <w:tabs>
          <w:tab w:val="left" w:pos="706"/>
          <w:tab w:val="left" w:pos="1110"/>
        </w:tabs>
        <w:spacing w:line="360" w:lineRule="auto"/>
        <w:ind w:left="106" w:firstLine="454"/>
        <w:jc w:val="both"/>
        <w:outlineLvl w:val="1"/>
        <w:rPr>
          <w:rFonts w:ascii="宋体" w:hAnsi="宋体" w:eastAsia="宋体" w:cs="宋体"/>
          <w:b/>
          <w:bCs/>
          <w:color w:val="auto"/>
          <w:kern w:val="2"/>
          <w:sz w:val="21"/>
          <w:szCs w:val="32"/>
          <w:highlight w:val="none"/>
          <w:lang w:val="en-US" w:eastAsia="zh-CN" w:bidi="ar-SA"/>
        </w:rPr>
      </w:pPr>
    </w:p>
    <w:p>
      <w:pPr>
        <w:rPr>
          <w:rFonts w:ascii="宋体" w:hAnsi="宋体" w:eastAsia="宋体" w:cs="宋体"/>
          <w:color w:val="auto"/>
          <w:highlight w:val="none"/>
        </w:rPr>
      </w:pPr>
    </w:p>
    <w:p>
      <w:pPr>
        <w:spacing w:line="360" w:lineRule="auto"/>
        <w:jc w:val="center"/>
        <w:rPr>
          <w:rFonts w:ascii="宋体" w:hAnsi="宋体" w:eastAsia="宋体" w:cs="宋体"/>
          <w:b/>
          <w:color w:val="auto"/>
          <w:kern w:val="0"/>
          <w:sz w:val="32"/>
          <w:szCs w:val="32"/>
          <w:highlight w:val="none"/>
        </w:rPr>
      </w:pPr>
      <w:r>
        <w:rPr>
          <w:rFonts w:hint="eastAsia" w:ascii="宋体" w:hAnsi="宋体" w:eastAsia="宋体" w:cs="宋体"/>
          <w:b/>
          <w:color w:val="auto"/>
          <w:kern w:val="36"/>
          <w:sz w:val="32"/>
          <w:szCs w:val="28"/>
          <w:highlight w:val="none"/>
        </w:rPr>
        <w:t>六、</w:t>
      </w:r>
      <w:r>
        <w:rPr>
          <w:rFonts w:hint="eastAsia" w:ascii="宋体" w:hAnsi="宋体" w:eastAsia="宋体" w:cs="宋体"/>
          <w:b/>
          <w:color w:val="auto"/>
          <w:kern w:val="0"/>
          <w:sz w:val="32"/>
          <w:szCs w:val="32"/>
          <w:highlight w:val="none"/>
        </w:rPr>
        <w:t>与参加本次项目同一合同项下国企采购活动的其他供应商不存在单位负责人为同一人或者直接控股、管理关系的</w:t>
      </w:r>
    </w:p>
    <w:p>
      <w:pPr>
        <w:spacing w:line="360" w:lineRule="auto"/>
        <w:jc w:val="center"/>
        <w:rPr>
          <w:rFonts w:ascii="宋体" w:hAnsi="宋体" w:eastAsia="宋体" w:cs="宋体"/>
          <w:b/>
          <w:color w:val="auto"/>
          <w:w w:val="80"/>
          <w:kern w:val="0"/>
          <w:sz w:val="32"/>
          <w:szCs w:val="32"/>
          <w:highlight w:val="none"/>
        </w:rPr>
      </w:pPr>
      <w:r>
        <w:rPr>
          <w:rFonts w:hint="eastAsia" w:ascii="宋体" w:hAnsi="宋体" w:eastAsia="宋体" w:cs="宋体"/>
          <w:b/>
          <w:color w:val="auto"/>
          <w:kern w:val="0"/>
          <w:sz w:val="32"/>
          <w:szCs w:val="32"/>
          <w:highlight w:val="none"/>
        </w:rPr>
        <w:t>承诺函</w:t>
      </w:r>
    </w:p>
    <w:p>
      <w:pPr>
        <w:shd w:val="clear" w:color="auto" w:fill="FFFFFF"/>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苍南县旅游投资集团有限公司、浙江之信工程项目管理有限公司</w:t>
      </w:r>
      <w:r>
        <w:rPr>
          <w:rFonts w:hint="eastAsia" w:ascii="宋体" w:hAnsi="宋体" w:eastAsia="宋体" w:cs="宋体"/>
          <w:color w:val="auto"/>
          <w:kern w:val="0"/>
          <w:sz w:val="24"/>
          <w:highlight w:val="none"/>
        </w:rPr>
        <w:t>：</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我方郑重承诺，我方此次参加</w:t>
      </w:r>
      <w:r>
        <w:rPr>
          <w:rFonts w:hint="eastAsia" w:ascii="宋体" w:hAnsi="宋体" w:eastAsia="宋体" w:cs="宋体"/>
          <w:color w:val="auto"/>
          <w:kern w:val="0"/>
          <w:sz w:val="24"/>
          <w:highlight w:val="none"/>
          <w:lang w:eastAsia="zh-CN"/>
        </w:rPr>
        <w:t>玉苍山旅游集散中心三期-鹅峰书院数字化项目</w:t>
      </w:r>
      <w:r>
        <w:rPr>
          <w:rFonts w:hint="eastAsia" w:ascii="宋体" w:hAnsi="宋体" w:eastAsia="宋体" w:cs="宋体"/>
          <w:color w:val="auto"/>
          <w:kern w:val="0"/>
          <w:sz w:val="24"/>
          <w:highlight w:val="none"/>
        </w:rPr>
        <w:t>的投标，与参加本次项目同一合同项下</w:t>
      </w:r>
      <w:r>
        <w:rPr>
          <w:rFonts w:hint="eastAsia" w:ascii="宋体" w:hAnsi="宋体" w:eastAsia="宋体" w:cs="宋体"/>
          <w:bCs/>
          <w:color w:val="auto"/>
          <w:kern w:val="36"/>
          <w:sz w:val="24"/>
          <w:highlight w:val="none"/>
        </w:rPr>
        <w:t>国企</w:t>
      </w:r>
      <w:r>
        <w:rPr>
          <w:rFonts w:hint="eastAsia" w:ascii="宋体" w:hAnsi="宋体" w:eastAsia="宋体" w:cs="宋体"/>
          <w:color w:val="auto"/>
          <w:kern w:val="0"/>
          <w:sz w:val="24"/>
          <w:highlight w:val="none"/>
        </w:rPr>
        <w:t>采购活动的其他供应商不存在单位负责人为同一人或者直接控股、管理关系。如有虚假或隐瞒，愿意承担一切后果。</w:t>
      </w:r>
    </w:p>
    <w:p>
      <w:pPr>
        <w:shd w:val="clear" w:color="auto" w:fill="FFFFFF"/>
        <w:snapToGrid w:val="0"/>
        <w:spacing w:line="360" w:lineRule="auto"/>
        <w:jc w:val="center"/>
        <w:rPr>
          <w:rFonts w:ascii="宋体" w:hAnsi="宋体" w:eastAsia="宋体" w:cs="宋体"/>
          <w:b/>
          <w:color w:val="auto"/>
          <w:kern w:val="36"/>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adjustRightInd w:val="0"/>
        <w:snapToGrid w:val="0"/>
        <w:spacing w:line="360" w:lineRule="auto"/>
        <w:ind w:firstLine="480" w:firstLineChars="200"/>
        <w:jc w:val="left"/>
        <w:rPr>
          <w:rFonts w:ascii="宋体" w:hAnsi="宋体" w:eastAsia="宋体" w:cs="宋体"/>
          <w:color w:val="auto"/>
          <w:kern w:val="0"/>
          <w:sz w:val="24"/>
          <w:highlight w:val="none"/>
        </w:rPr>
      </w:pPr>
    </w:p>
    <w:p>
      <w:pPr>
        <w:widowControl/>
        <w:adjustRightInd w:val="0"/>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hd w:val="clear" w:color="auto" w:fill="FFFFFF"/>
        <w:snapToGrid w:val="0"/>
        <w:spacing w:line="360" w:lineRule="auto"/>
        <w:rPr>
          <w:rFonts w:ascii="宋体" w:hAnsi="宋体" w:eastAsia="宋体" w:cs="宋体"/>
          <w:color w:val="auto"/>
          <w:sz w:val="24"/>
          <w:highlight w:val="none"/>
        </w:rPr>
      </w:pPr>
    </w:p>
    <w:p>
      <w:pPr>
        <w:spacing w:line="360" w:lineRule="auto"/>
        <w:jc w:val="center"/>
        <w:rPr>
          <w:rFonts w:ascii="宋体" w:hAnsi="宋体" w:eastAsia="宋体" w:cs="宋体"/>
          <w:b/>
          <w:color w:val="auto"/>
          <w:kern w:val="36"/>
          <w:sz w:val="32"/>
          <w:szCs w:val="28"/>
          <w:highlight w:val="none"/>
        </w:rPr>
      </w:pPr>
      <w:r>
        <w:rPr>
          <w:rFonts w:hint="eastAsia" w:ascii="宋体" w:hAnsi="宋体" w:eastAsia="宋体" w:cs="宋体"/>
          <w:b/>
          <w:color w:val="auto"/>
          <w:kern w:val="0"/>
          <w:sz w:val="32"/>
          <w:szCs w:val="32"/>
          <w:highlight w:val="none"/>
        </w:rPr>
        <w:t>七、</w:t>
      </w:r>
      <w:r>
        <w:rPr>
          <w:rFonts w:hint="eastAsia" w:ascii="宋体" w:hAnsi="宋体" w:eastAsia="宋体" w:cs="宋体"/>
          <w:b/>
          <w:color w:val="auto"/>
          <w:kern w:val="36"/>
          <w:sz w:val="32"/>
          <w:szCs w:val="28"/>
          <w:highlight w:val="none"/>
        </w:rPr>
        <w:t>投标供应商没有失信记录承诺函</w:t>
      </w:r>
    </w:p>
    <w:p>
      <w:pPr>
        <w:shd w:val="clear" w:color="auto" w:fill="FFFFFF"/>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苍南县旅游投资集团有限公司、浙江之信工程项目管理有限公司</w:t>
      </w:r>
      <w:r>
        <w:rPr>
          <w:rFonts w:hint="eastAsia" w:ascii="宋体" w:hAnsi="宋体" w:eastAsia="宋体" w:cs="宋体"/>
          <w:color w:val="auto"/>
          <w:kern w:val="0"/>
          <w:sz w:val="24"/>
          <w:highlight w:val="none"/>
        </w:rPr>
        <w:t>：</w:t>
      </w:r>
    </w:p>
    <w:p>
      <w:pPr>
        <w:spacing w:line="360" w:lineRule="auto"/>
        <w:ind w:firstLine="484" w:firstLineChars="202"/>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ascii="宋体" w:hAnsi="宋体" w:eastAsia="宋体" w:cs="宋体"/>
          <w:color w:val="auto"/>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ascii="宋体" w:hAnsi="宋体" w:eastAsia="宋体" w:cs="宋体"/>
          <w:color w:val="auto"/>
          <w:kern w:val="0"/>
          <w:sz w:val="24"/>
          <w:highlight w:val="none"/>
        </w:rPr>
      </w:pPr>
    </w:p>
    <w:p>
      <w:pPr>
        <w:widowControl/>
        <w:snapToGrid w:val="0"/>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adjustRightInd w:val="0"/>
        <w:snapToGrid w:val="0"/>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日期：     年  月  日</w:t>
      </w:r>
    </w:p>
    <w:p>
      <w:pPr>
        <w:pageBreakBefore/>
        <w:shd w:val="clear" w:color="auto" w:fill="FFFFFF"/>
        <w:snapToGrid w:val="0"/>
        <w:spacing w:line="360" w:lineRule="auto"/>
        <w:jc w:val="center"/>
        <w:outlineLvl w:val="1"/>
        <w:rPr>
          <w:rFonts w:ascii="宋体" w:hAnsi="宋体" w:eastAsia="宋体" w:cs="宋体"/>
          <w:b/>
          <w:bCs/>
          <w:color w:val="auto"/>
          <w:kern w:val="0"/>
          <w:sz w:val="24"/>
          <w:highlight w:val="none"/>
        </w:rPr>
      </w:pPr>
      <w:bookmarkStart w:id="132" w:name="_Toc1464220582"/>
      <w:bookmarkStart w:id="133" w:name="_Toc33194407"/>
      <w:bookmarkStart w:id="134" w:name="_Toc354996707"/>
      <w:bookmarkStart w:id="135" w:name="_Toc233618989"/>
      <w:r>
        <w:rPr>
          <w:rFonts w:hint="eastAsia" w:ascii="宋体" w:hAnsi="宋体" w:eastAsia="宋体" w:cs="宋体"/>
          <w:b/>
          <w:bCs/>
          <w:color w:val="auto"/>
          <w:kern w:val="0"/>
          <w:sz w:val="24"/>
          <w:highlight w:val="none"/>
        </w:rPr>
        <w:t>报价文件</w:t>
      </w:r>
      <w:bookmarkEnd w:id="132"/>
      <w:bookmarkEnd w:id="133"/>
      <w:bookmarkEnd w:id="134"/>
    </w:p>
    <w:p>
      <w:pPr>
        <w:shd w:val="clear" w:color="auto" w:fill="FFFFFF"/>
        <w:snapToGrid w:val="0"/>
        <w:spacing w:line="360" w:lineRule="auto"/>
        <w:jc w:val="center"/>
        <w:rPr>
          <w:rFonts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 </w:t>
      </w:r>
    </w:p>
    <w:p>
      <w:pPr>
        <w:shd w:val="clear" w:color="auto" w:fill="FFFFFF"/>
        <w:snapToGrid w:val="0"/>
        <w:spacing w:line="360" w:lineRule="auto"/>
        <w:jc w:val="center"/>
        <w:rPr>
          <w:rFonts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目录</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（1）投标响应函…………………………………………………………………（页码）</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（2）开标一览表…………………………………………………………………（页码）</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b/>
          <w:bCs/>
          <w:color w:val="auto"/>
          <w:sz w:val="24"/>
          <w:highlight w:val="none"/>
        </w:rPr>
        <w:t>（</w:t>
      </w:r>
      <w:r>
        <w:rPr>
          <w:rFonts w:hint="eastAsia" w:ascii="宋体" w:hAnsi="宋体" w:eastAsia="宋体" w:cs="宋体"/>
          <w:color w:val="auto"/>
          <w:kern w:val="0"/>
          <w:sz w:val="24"/>
          <w:highlight w:val="none"/>
        </w:rPr>
        <w:t>3）报价明细清单………………………………………………………………（页码）</w:t>
      </w:r>
    </w:p>
    <w:p>
      <w:pPr>
        <w:pageBreakBefore/>
        <w:shd w:val="clear" w:color="auto" w:fill="FFFFFF"/>
        <w:snapToGrid w:val="0"/>
        <w:spacing w:line="360" w:lineRule="auto"/>
        <w:ind w:firstLine="482" w:firstLineChars="200"/>
        <w:jc w:val="center"/>
        <w:outlineLvl w:val="2"/>
        <w:rPr>
          <w:rFonts w:ascii="宋体" w:hAnsi="宋体" w:eastAsia="宋体" w:cs="宋体"/>
          <w:b/>
          <w:bCs/>
          <w:color w:val="auto"/>
          <w:sz w:val="24"/>
          <w:highlight w:val="none"/>
        </w:rPr>
      </w:pPr>
      <w:bookmarkStart w:id="136" w:name="_Toc233618990"/>
      <w:r>
        <w:rPr>
          <w:rFonts w:hint="eastAsia" w:ascii="宋体" w:hAnsi="宋体" w:eastAsia="宋体" w:cs="宋体"/>
          <w:b/>
          <w:bCs/>
          <w:color w:val="auto"/>
          <w:sz w:val="24"/>
          <w:highlight w:val="none"/>
        </w:rPr>
        <w:t>一、投标响应函</w:t>
      </w:r>
      <w:bookmarkEnd w:id="136"/>
    </w:p>
    <w:p>
      <w:pPr>
        <w:shd w:val="clear" w:color="auto" w:fill="FFFFFF"/>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苍南县旅游投资集团有限公司</w:t>
      </w:r>
    </w:p>
    <w:p>
      <w:pPr>
        <w:shd w:val="clear" w:color="auto" w:fill="FFFFFF"/>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浙江之信工程项目管理有限公司：</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(投标供应商全称)授权</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(全权代表姓名)</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(职务、职称)为全权代表，参加贵方组织的</w:t>
      </w:r>
      <w:r>
        <w:rPr>
          <w:rFonts w:hint="eastAsia" w:ascii="宋体" w:hAnsi="宋体" w:eastAsia="宋体" w:cs="宋体"/>
          <w:color w:val="auto"/>
          <w:sz w:val="24"/>
          <w:highlight w:val="none"/>
          <w:u w:val="single"/>
          <w:lang w:eastAsia="zh-CN"/>
        </w:rPr>
        <w:t>玉苍山旅游集散中心三期-鹅峰书院数字化项目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项目</w:t>
      </w: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招标的有关活动，并对此项目进行投标。为此：</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1、我方同意在投标供应商编制和提交投标文件须知规定的开标日期起遵守本投标书中的承诺且在投标有效期满之前均具有约束力。</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2、我方承诺已经具备参加国企采购活动的供应商应当具备的条件：</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(2)遵守国家法律、行政法规，具有良好的信誉和商业道德；</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(3)具有履行合同的能力和良好的履行合同记录；</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(4)良好的资金、财务状况；</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(5)提供的产品和服务符合中国政府规定的相应标准和环保标准；</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(6)没有违反采购法规、政策的记录；</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(7)没有发生重大经济纠纷和走私犯罪记录。</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3、提供编制和提交投标文件须知规定的全部投标文件，包括资格文件、报价文件、商务技术文件。具体内容为：</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(1)资格文件</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(2)报价文件；</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zh-CN"/>
        </w:rPr>
        <w:t>商务</w:t>
      </w:r>
      <w:r>
        <w:rPr>
          <w:rFonts w:hint="eastAsia" w:ascii="宋体" w:hAnsi="宋体" w:eastAsia="宋体" w:cs="宋体"/>
          <w:color w:val="auto"/>
          <w:kern w:val="0"/>
          <w:sz w:val="24"/>
          <w:highlight w:val="none"/>
          <w:lang w:val="zh-CN"/>
        </w:rPr>
        <w:t>技术文件</w:t>
      </w:r>
      <w:r>
        <w:rPr>
          <w:rFonts w:hint="eastAsia" w:ascii="宋体" w:hAnsi="宋体" w:eastAsia="宋体" w:cs="宋体"/>
          <w:color w:val="auto"/>
          <w:sz w:val="24"/>
          <w:highlight w:val="none"/>
        </w:rPr>
        <w:t>；</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kern w:val="44"/>
          <w:sz w:val="24"/>
          <w:highlight w:val="none"/>
        </w:rPr>
        <w:t>编制和提交投标文件须知</w:t>
      </w:r>
      <w:r>
        <w:rPr>
          <w:rFonts w:hint="eastAsia" w:ascii="宋体" w:hAnsi="宋体" w:eastAsia="宋体" w:cs="宋体"/>
          <w:color w:val="auto"/>
          <w:sz w:val="24"/>
          <w:highlight w:val="none"/>
        </w:rPr>
        <w:t>要求投标供应商提交的全部文件；</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(5)按招标文件要求提供和交付的货物和服务的投标报价详见开标一览表；</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(6)保证忠实地执行双方所签订的合同，并承担合同规定的责任和义务；</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(7)保证遵守招标文件中的其他有关规定。</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4、投标有效期内不撤销投标文件；强行撤销的，承诺按本项目预算金额的2%赔偿对采购代理机构造成的损失。</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5、我方完全理解贵方不一定要接受最低价的投标。</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6、如中标，按招标文件规定与采购人签订合同。如拒绝签订合同，承诺按本项目预算金额的2%对采购人进行赔偿；赔偿金额不足以弥补采购人损失的，承诺继续承担超过部分的损失。</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7、如中标，按招标文件规定的招标代理服务费标准，承诺在签订合同前向采购代理机构支付招标代理服务费。</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10、我方将严格遵守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(1)提供虚假材料谋取中标、成交的；</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(2)采取不正当手段诋毁、排挤其他供应商的；</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(3)与采购人、其它供应商或者采购代理机构恶意串通的；</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(4)向采购人、采购代理机构行贿或者提供其他不正当利益的；</w:t>
      </w:r>
    </w:p>
    <w:p>
      <w:pPr>
        <w:shd w:val="clear" w:color="auto" w:fill="FFFFFF"/>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(5)在招标采购过程中与采购人进行协商谈判的。</w:t>
      </w:r>
    </w:p>
    <w:p>
      <w:pPr>
        <w:shd w:val="clear" w:color="auto" w:fill="FFFFFF"/>
        <w:snapToGrid w:val="0"/>
        <w:spacing w:line="360" w:lineRule="auto"/>
        <w:rPr>
          <w:rFonts w:ascii="宋体" w:hAnsi="宋体" w:eastAsia="宋体" w:cs="宋体"/>
          <w:color w:val="auto"/>
          <w:kern w:val="0"/>
          <w:sz w:val="24"/>
          <w:highlight w:val="none"/>
          <w:lang w:val="zh-CN"/>
        </w:rPr>
      </w:pPr>
    </w:p>
    <w:p>
      <w:pPr>
        <w:shd w:val="clear" w:color="auto" w:fill="FFFFFF"/>
        <w:snapToGrid w:val="0"/>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法定（授权）代表人（签字）：</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p>
    <w:p>
      <w:pPr>
        <w:shd w:val="clear" w:color="auto" w:fill="FFFFFF"/>
        <w:snapToGrid w:val="0"/>
        <w:spacing w:line="360" w:lineRule="auto"/>
        <w:ind w:firstLine="480" w:firstLineChars="200"/>
        <w:rPr>
          <w:rFonts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lang w:val="zh-CN"/>
        </w:rPr>
        <w:t>投标供应商盖 章：</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联系电话：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传真：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电子邮件：  </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联系地址：</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邮政编码：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传真号码：</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val="zh-CN"/>
        </w:rPr>
        <w:t>日</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期</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ab/>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日</w:t>
      </w:r>
    </w:p>
    <w:p>
      <w:pPr>
        <w:shd w:val="clear" w:color="auto" w:fill="FFFFFF"/>
        <w:snapToGrid w:val="0"/>
        <w:spacing w:line="360" w:lineRule="auto"/>
        <w:ind w:firstLine="482" w:firstLineChars="200"/>
        <w:rPr>
          <w:rFonts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注：未按照本投标响应函要求填报的将被视为非实质性响应，从而可能导致该投标文件被拒绝。</w:t>
      </w:r>
    </w:p>
    <w:p>
      <w:pPr>
        <w:pageBreakBefore/>
        <w:shd w:val="clear" w:color="auto" w:fill="FFFFFF"/>
        <w:snapToGrid w:val="0"/>
        <w:spacing w:line="360" w:lineRule="auto"/>
        <w:ind w:firstLine="482" w:firstLineChars="200"/>
        <w:jc w:val="center"/>
        <w:outlineLvl w:val="2"/>
        <w:rPr>
          <w:rFonts w:ascii="宋体" w:hAnsi="宋体" w:eastAsia="宋体" w:cs="宋体"/>
          <w:b/>
          <w:bCs/>
          <w:color w:val="auto"/>
          <w:sz w:val="24"/>
          <w:highlight w:val="none"/>
        </w:rPr>
      </w:pPr>
      <w:bookmarkStart w:id="137" w:name="_Toc233618991"/>
      <w:bookmarkStart w:id="138" w:name="_Toc354859632"/>
      <w:bookmarkStart w:id="139" w:name="_Toc354859475"/>
      <w:bookmarkStart w:id="140" w:name="_Toc354859551"/>
      <w:r>
        <w:rPr>
          <w:rFonts w:hint="eastAsia" w:ascii="宋体" w:hAnsi="宋体" w:eastAsia="宋体" w:cs="宋体"/>
          <w:b/>
          <w:bCs/>
          <w:color w:val="auto"/>
          <w:sz w:val="24"/>
          <w:highlight w:val="none"/>
        </w:rPr>
        <w:t>二、开标一览表</w:t>
      </w:r>
      <w:bookmarkEnd w:id="137"/>
      <w:bookmarkEnd w:id="138"/>
      <w:bookmarkEnd w:id="139"/>
      <w:bookmarkEnd w:id="140"/>
    </w:p>
    <w:p>
      <w:pPr>
        <w:widowControl w:val="0"/>
        <w:adjustRightInd w:val="0"/>
        <w:snapToGrid w:val="0"/>
        <w:spacing w:line="400" w:lineRule="exact"/>
        <w:jc w:val="both"/>
        <w:rPr>
          <w:rFonts w:ascii="宋体" w:hAnsi="宋体" w:eastAsia="宋体" w:cs="宋体"/>
          <w:color w:val="auto"/>
          <w:kern w:val="2"/>
          <w:sz w:val="24"/>
          <w:szCs w:val="21"/>
          <w:highlight w:val="none"/>
          <w:lang w:val="en-US" w:eastAsia="zh-CN" w:bidi="ar-SA"/>
        </w:rPr>
      </w:pPr>
    </w:p>
    <w:p>
      <w:pPr>
        <w:widowControl w:val="0"/>
        <w:adjustRightInd w:val="0"/>
        <w:snapToGrid w:val="0"/>
        <w:spacing w:line="400" w:lineRule="exact"/>
        <w:jc w:val="both"/>
        <w:rPr>
          <w:rFonts w:ascii="宋体" w:hAnsi="宋体" w:eastAsia="宋体" w:cs="宋体"/>
          <w:color w:val="auto"/>
          <w:kern w:val="2"/>
          <w:sz w:val="36"/>
          <w:szCs w:val="36"/>
          <w:highlight w:val="none"/>
          <w:lang w:val="en-US" w:eastAsia="zh-CN" w:bidi="ar-SA"/>
        </w:rPr>
      </w:pPr>
      <w:r>
        <w:rPr>
          <w:rFonts w:hint="eastAsia" w:ascii="宋体" w:hAnsi="宋体" w:eastAsia="宋体" w:cs="宋体"/>
          <w:color w:val="auto"/>
          <w:kern w:val="2"/>
          <w:sz w:val="24"/>
          <w:szCs w:val="21"/>
          <w:highlight w:val="none"/>
          <w:lang w:val="en-US" w:eastAsia="zh-CN" w:bidi="ar-SA"/>
        </w:rPr>
        <w:t>供应商名称：                  项目编号：             报价单位：人民币元</w:t>
      </w:r>
    </w:p>
    <w:tbl>
      <w:tblPr>
        <w:tblStyle w:val="2"/>
        <w:tblW w:w="917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79"/>
        <w:gridCol w:w="2750"/>
        <w:gridCol w:w="2759"/>
        <w:gridCol w:w="1463"/>
        <w:gridCol w:w="142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16" w:hRule="atLeast"/>
        </w:trPr>
        <w:tc>
          <w:tcPr>
            <w:tcW w:w="77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r>
              <w:rPr>
                <w:rFonts w:hint="eastAsia" w:ascii="宋体" w:hAnsi="宋体" w:eastAsia="宋体" w:cs="宋体"/>
                <w:b/>
                <w:color w:val="auto"/>
                <w:sz w:val="24"/>
                <w:highlight w:val="none"/>
              </w:rPr>
              <w:t>标项</w:t>
            </w:r>
          </w:p>
        </w:tc>
        <w:tc>
          <w:tcPr>
            <w:tcW w:w="2750"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r>
              <w:rPr>
                <w:rFonts w:hint="eastAsia" w:ascii="宋体" w:hAnsi="宋体" w:eastAsia="宋体" w:cs="宋体"/>
                <w:b/>
                <w:color w:val="auto"/>
                <w:sz w:val="24"/>
                <w:highlight w:val="none"/>
              </w:rPr>
              <w:t>项目名称</w:t>
            </w:r>
          </w:p>
        </w:tc>
        <w:tc>
          <w:tcPr>
            <w:tcW w:w="2759"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r>
              <w:rPr>
                <w:rFonts w:hint="eastAsia" w:ascii="宋体" w:hAnsi="宋体" w:eastAsia="宋体" w:cs="宋体"/>
                <w:color w:val="auto"/>
                <w:sz w:val="24"/>
                <w:highlight w:val="none"/>
              </w:rPr>
              <w:t>投标总价（人民币元）</w:t>
            </w:r>
          </w:p>
        </w:tc>
        <w:tc>
          <w:tcPr>
            <w:tcW w:w="1463"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r>
              <w:rPr>
                <w:rFonts w:hint="eastAsia" w:ascii="宋体" w:hAnsi="宋体" w:eastAsia="宋体" w:cs="宋体"/>
                <w:color w:val="auto"/>
                <w:sz w:val="24"/>
                <w:highlight w:val="none"/>
              </w:rPr>
              <w:t>服务期</w:t>
            </w:r>
          </w:p>
        </w:tc>
        <w:tc>
          <w:tcPr>
            <w:tcW w:w="1427"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82" w:hRule="atLeast"/>
        </w:trPr>
        <w:tc>
          <w:tcPr>
            <w:tcW w:w="77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750"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0"/>
                <w:sz w:val="24"/>
                <w:highlight w:val="none"/>
                <w:lang w:eastAsia="zh-CN"/>
              </w:rPr>
            </w:pPr>
            <w:r>
              <w:rPr>
                <w:rFonts w:hint="eastAsia" w:ascii="宋体" w:hAnsi="宋体" w:eastAsia="宋体" w:cs="宋体"/>
                <w:color w:val="auto"/>
                <w:sz w:val="22"/>
                <w:szCs w:val="22"/>
                <w:highlight w:val="none"/>
                <w:lang w:eastAsia="zh-CN"/>
              </w:rPr>
              <w:t>玉苍山旅游集散中心三期-鹅峰书院数字化项目</w:t>
            </w:r>
          </w:p>
        </w:tc>
        <w:tc>
          <w:tcPr>
            <w:tcW w:w="2759" w:type="dxa"/>
            <w:vAlign w:val="center"/>
          </w:tcPr>
          <w:p>
            <w:pPr>
              <w:keepNext w:val="0"/>
              <w:keepLines w:val="0"/>
              <w:suppressLineNumbers w:val="0"/>
              <w:spacing w:before="0" w:beforeAutospacing="0" w:after="0" w:afterAutospacing="0"/>
              <w:ind w:left="0" w:right="0"/>
              <w:rPr>
                <w:rFonts w:hint="default"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p>
        </w:tc>
        <w:tc>
          <w:tcPr>
            <w:tcW w:w="1463" w:type="dxa"/>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sz w:val="24"/>
                <w:highlight w:val="none"/>
              </w:rPr>
            </w:pPr>
          </w:p>
          <w:p>
            <w:pPr>
              <w:keepNext w:val="0"/>
              <w:keepLines w:val="0"/>
              <w:widowControl/>
              <w:suppressLineNumbers w:val="0"/>
              <w:spacing w:before="0" w:beforeAutospacing="0" w:after="0" w:afterAutospacing="0"/>
              <w:ind w:left="0" w:right="0"/>
              <w:jc w:val="left"/>
              <w:rPr>
                <w:rFonts w:hint="default" w:ascii="宋体" w:hAnsi="宋体" w:eastAsia="宋体" w:cs="宋体"/>
                <w:color w:val="auto"/>
                <w:sz w:val="24"/>
                <w:highlight w:val="none"/>
              </w:rPr>
            </w:pPr>
          </w:p>
          <w:p>
            <w:pPr>
              <w:keepNext w:val="0"/>
              <w:keepLines w:val="0"/>
              <w:widowControl/>
              <w:suppressLineNumbers w:val="0"/>
              <w:spacing w:before="0" w:beforeAutospacing="0" w:after="0" w:afterAutospacing="0"/>
              <w:ind w:left="0" w:right="0"/>
              <w:jc w:val="left"/>
              <w:rPr>
                <w:rFonts w:hint="default" w:ascii="宋体" w:hAnsi="宋体" w:eastAsia="宋体" w:cs="宋体"/>
                <w:color w:val="auto"/>
                <w:sz w:val="24"/>
                <w:highlight w:val="none"/>
              </w:rPr>
            </w:pPr>
          </w:p>
          <w:p>
            <w:pPr>
              <w:keepNext w:val="0"/>
              <w:keepLines w:val="0"/>
              <w:suppressLineNumbers w:val="0"/>
              <w:spacing w:before="0" w:beforeAutospacing="0" w:after="0" w:afterAutospacing="0"/>
              <w:ind w:left="0" w:right="0"/>
              <w:rPr>
                <w:rFonts w:hint="default" w:ascii="宋体" w:hAnsi="宋体" w:eastAsia="宋体" w:cs="宋体"/>
                <w:color w:val="auto"/>
                <w:sz w:val="24"/>
                <w:highlight w:val="none"/>
              </w:rPr>
            </w:pPr>
          </w:p>
        </w:tc>
        <w:tc>
          <w:tcPr>
            <w:tcW w:w="1427" w:type="dxa"/>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sz w:val="24"/>
                <w:highlight w:val="none"/>
              </w:rPr>
            </w:pPr>
          </w:p>
        </w:tc>
      </w:tr>
    </w:tbl>
    <w:p>
      <w:pPr>
        <w:widowControl w:val="0"/>
        <w:adjustRightInd w:val="0"/>
        <w:snapToGrid w:val="0"/>
        <w:spacing w:line="360" w:lineRule="auto"/>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▲开标一览表中投标价为符合招标文件要求的投标总价</w:t>
      </w:r>
      <w:r>
        <w:rPr>
          <w:rFonts w:hint="eastAsia" w:ascii="宋体" w:hAnsi="宋体" w:eastAsia="宋体" w:cs="宋体"/>
          <w:b/>
          <w:bCs/>
          <w:color w:val="auto"/>
          <w:kern w:val="0"/>
          <w:sz w:val="24"/>
          <w:szCs w:val="24"/>
          <w:highlight w:val="none"/>
          <w:lang w:val="en-US" w:eastAsia="zh-CN" w:bidi="ar-SA"/>
        </w:rPr>
        <w:t>包干模式包括但不仅限于：产品制造、运输、装卸、保险、保管、安装、设备基础（地台）建设、调试、验收、设备及材料费、第三方检测机构检测所产生的一切费用、成本、利润、税金、人员培训费、风险费、售后服务费、代理费等</w:t>
      </w:r>
      <w:r>
        <w:rPr>
          <w:rFonts w:hint="eastAsia" w:ascii="宋体" w:hAnsi="宋体" w:eastAsia="宋体" w:cs="宋体"/>
          <w:b/>
          <w:color w:val="auto"/>
          <w:kern w:val="2"/>
          <w:sz w:val="24"/>
          <w:szCs w:val="24"/>
          <w:highlight w:val="none"/>
          <w:lang w:val="en-US" w:eastAsia="zh-CN" w:bidi="ar-SA"/>
        </w:rPr>
        <w:t>、采购文件规定的其他应计入投标总价（或由中标供应商承担的其他费用）等全部工作所需的一切费用，和政策性文件规定及合同包含的所有风险、责任等各项全部费用并承担一切风险责任。</w:t>
      </w:r>
    </w:p>
    <w:p>
      <w:pPr>
        <w:widowControl w:val="0"/>
        <w:adjustRightInd w:val="0"/>
        <w:snapToGrid w:val="0"/>
        <w:spacing w:line="360" w:lineRule="auto"/>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▲不提供此表格的将视为没有实质性响应招标文件。</w:t>
      </w:r>
    </w:p>
    <w:p>
      <w:pPr>
        <w:shd w:val="clear" w:color="auto" w:fill="FFFFFF"/>
        <w:snapToGrid w:val="0"/>
        <w:spacing w:line="360" w:lineRule="auto"/>
        <w:ind w:firstLine="480"/>
        <w:rPr>
          <w:rFonts w:ascii="宋体" w:hAnsi="宋体" w:eastAsia="宋体" w:cs="宋体"/>
          <w:color w:val="auto"/>
          <w:kern w:val="0"/>
          <w:sz w:val="24"/>
          <w:highlight w:val="none"/>
          <w:lang w:val="zh-CN"/>
        </w:rPr>
      </w:pPr>
    </w:p>
    <w:p>
      <w:pPr>
        <w:shd w:val="clear" w:color="auto" w:fill="FFFFFF"/>
        <w:snapToGrid w:val="0"/>
        <w:spacing w:line="360" w:lineRule="auto"/>
        <w:ind w:firstLine="360" w:firstLineChars="150"/>
        <w:rPr>
          <w:rFonts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投标供应商名称（公章）:</w:t>
      </w: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sz w:val="24"/>
          <w:szCs w:val="28"/>
          <w:highlight w:val="none"/>
        </w:rPr>
        <w:t>法定代表人或授权代表人签字（或盖章）：</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rPr>
          <w:rFonts w:ascii="宋体" w:hAnsi="宋体" w:eastAsia="宋体" w:cs="宋体"/>
          <w:color w:val="auto"/>
          <w:sz w:val="24"/>
          <w:highlight w:val="none"/>
        </w:rPr>
      </w:pPr>
    </w:p>
    <w:p>
      <w:pPr>
        <w:shd w:val="clear" w:color="auto" w:fill="FFFFFF"/>
        <w:snapToGrid w:val="0"/>
        <w:spacing w:line="360" w:lineRule="auto"/>
        <w:rPr>
          <w:rFonts w:ascii="宋体" w:hAnsi="宋体" w:eastAsia="宋体" w:cs="宋体"/>
          <w:color w:val="auto"/>
          <w:sz w:val="24"/>
          <w:highlight w:val="none"/>
        </w:rPr>
      </w:pPr>
    </w:p>
    <w:p>
      <w:pPr>
        <w:shd w:val="clear" w:color="auto" w:fill="FFFFFF"/>
        <w:snapToGrid w:val="0"/>
        <w:spacing w:line="360" w:lineRule="auto"/>
        <w:rPr>
          <w:rFonts w:ascii="宋体" w:hAnsi="宋体" w:eastAsia="宋体" w:cs="宋体"/>
          <w:color w:val="auto"/>
          <w:sz w:val="24"/>
          <w:highlight w:val="none"/>
        </w:rPr>
      </w:pPr>
    </w:p>
    <w:p>
      <w:pPr>
        <w:shd w:val="clear" w:color="auto" w:fill="FFFFFF"/>
        <w:snapToGrid w:val="0"/>
        <w:spacing w:line="360" w:lineRule="auto"/>
        <w:rPr>
          <w:rFonts w:ascii="宋体" w:hAnsi="宋体" w:eastAsia="宋体" w:cs="宋体"/>
          <w:color w:val="auto"/>
          <w:sz w:val="24"/>
          <w:highlight w:val="none"/>
        </w:rPr>
      </w:pPr>
    </w:p>
    <w:p>
      <w:pPr>
        <w:shd w:val="clear" w:color="auto" w:fill="FFFFFF"/>
        <w:snapToGrid w:val="0"/>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highlight w:val="none"/>
        </w:rPr>
      </w:pPr>
    </w:p>
    <w:p>
      <w:pPr>
        <w:pageBreakBefore/>
        <w:shd w:val="clear" w:color="auto" w:fill="FFFFFF"/>
        <w:snapToGrid w:val="0"/>
        <w:spacing w:line="360" w:lineRule="auto"/>
        <w:ind w:firstLine="482" w:firstLineChars="200"/>
        <w:jc w:val="center"/>
        <w:outlineLvl w:val="2"/>
        <w:rPr>
          <w:rFonts w:ascii="宋体" w:hAnsi="宋体" w:eastAsia="宋体" w:cs="宋体"/>
          <w:b/>
          <w:color w:val="auto"/>
          <w:sz w:val="24"/>
          <w:highlight w:val="none"/>
        </w:rPr>
      </w:pPr>
      <w:bookmarkStart w:id="141" w:name="_Toc233618992"/>
      <w:r>
        <w:rPr>
          <w:rFonts w:hint="eastAsia" w:ascii="宋体" w:hAnsi="宋体" w:eastAsia="宋体" w:cs="宋体"/>
          <w:b/>
          <w:bCs/>
          <w:color w:val="auto"/>
          <w:sz w:val="24"/>
          <w:highlight w:val="none"/>
        </w:rPr>
        <w:t>三、报价明细清单</w:t>
      </w:r>
      <w:bookmarkEnd w:id="141"/>
    </w:p>
    <w:tbl>
      <w:tblPr>
        <w:tblStyle w:val="2"/>
        <w:tblW w:w="9150"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28"/>
        <w:gridCol w:w="1808"/>
        <w:gridCol w:w="1233"/>
        <w:gridCol w:w="960"/>
        <w:gridCol w:w="839"/>
        <w:gridCol w:w="1124"/>
        <w:gridCol w:w="1167"/>
        <w:gridCol w:w="10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9" w:hRule="atLeast"/>
          <w:jc w:val="center"/>
        </w:trPr>
        <w:tc>
          <w:tcPr>
            <w:tcW w:w="928" w:type="dxa"/>
            <w:tcBorders>
              <w:top w:val="single" w:color="auto" w:sz="8" w:space="0"/>
              <w:left w:val="single" w:color="auto" w:sz="8" w:space="0"/>
              <w:bottom w:val="single" w:color="auto" w:sz="2" w:space="0"/>
              <w:right w:val="single" w:color="auto" w:sz="2"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序号</w:t>
            </w:r>
          </w:p>
        </w:tc>
        <w:tc>
          <w:tcPr>
            <w:tcW w:w="1808" w:type="dxa"/>
            <w:tcBorders>
              <w:top w:val="single" w:color="auto" w:sz="8" w:space="0"/>
              <w:left w:val="single" w:color="auto" w:sz="2" w:space="0"/>
              <w:bottom w:val="single" w:color="auto" w:sz="2" w:space="0"/>
              <w:right w:val="single" w:color="auto" w:sz="2"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名称</w:t>
            </w:r>
          </w:p>
        </w:tc>
        <w:tc>
          <w:tcPr>
            <w:tcW w:w="1233" w:type="dxa"/>
            <w:tcBorders>
              <w:top w:val="single" w:color="auto" w:sz="8" w:space="0"/>
              <w:left w:val="single" w:color="auto" w:sz="2" w:space="0"/>
              <w:bottom w:val="single" w:color="auto" w:sz="2"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规格型号</w:t>
            </w:r>
          </w:p>
        </w:tc>
        <w:tc>
          <w:tcPr>
            <w:tcW w:w="960" w:type="dxa"/>
            <w:tcBorders>
              <w:top w:val="single" w:color="auto" w:sz="8" w:space="0"/>
              <w:left w:val="single" w:color="auto" w:sz="2" w:space="0"/>
              <w:bottom w:val="single" w:color="auto" w:sz="2"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单位</w:t>
            </w:r>
          </w:p>
        </w:tc>
        <w:tc>
          <w:tcPr>
            <w:tcW w:w="839" w:type="dxa"/>
            <w:tcBorders>
              <w:top w:val="single" w:color="auto" w:sz="8" w:space="0"/>
              <w:left w:val="single" w:color="auto" w:sz="4" w:space="0"/>
              <w:bottom w:val="single" w:color="auto" w:sz="2"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数量</w:t>
            </w:r>
          </w:p>
        </w:tc>
        <w:tc>
          <w:tcPr>
            <w:tcW w:w="1124" w:type="dxa"/>
            <w:tcBorders>
              <w:top w:val="single" w:color="auto" w:sz="8" w:space="0"/>
              <w:left w:val="single" w:color="auto" w:sz="2" w:space="0"/>
              <w:bottom w:val="single" w:color="auto" w:sz="2"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单价</w:t>
            </w:r>
          </w:p>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kern w:val="0"/>
                <w:sz w:val="24"/>
                <w:highlight w:val="none"/>
                <w:lang w:bidi="ar"/>
              </w:rPr>
              <w:t>（元）</w:t>
            </w:r>
          </w:p>
        </w:tc>
        <w:tc>
          <w:tcPr>
            <w:tcW w:w="1167" w:type="dxa"/>
            <w:tcBorders>
              <w:top w:val="single" w:color="auto" w:sz="8" w:space="0"/>
              <w:left w:val="single" w:color="auto" w:sz="2" w:space="0"/>
              <w:bottom w:val="single" w:color="auto" w:sz="2"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总计</w:t>
            </w:r>
          </w:p>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kern w:val="0"/>
                <w:sz w:val="24"/>
                <w:highlight w:val="none"/>
                <w:lang w:bidi="ar"/>
              </w:rPr>
              <w:t>（元）</w:t>
            </w:r>
          </w:p>
        </w:tc>
        <w:tc>
          <w:tcPr>
            <w:tcW w:w="1091" w:type="dxa"/>
            <w:tcBorders>
              <w:top w:val="single" w:color="auto" w:sz="8" w:space="0"/>
              <w:left w:val="single" w:color="auto" w:sz="4" w:space="0"/>
              <w:bottom w:val="single" w:color="auto" w:sz="2" w:space="0"/>
              <w:right w:val="single" w:color="auto" w:sz="8"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45" w:hRule="atLeast"/>
          <w:jc w:val="center"/>
        </w:trPr>
        <w:tc>
          <w:tcPr>
            <w:tcW w:w="928" w:type="dxa"/>
            <w:tcBorders>
              <w:top w:val="single" w:color="auto" w:sz="2" w:space="0"/>
              <w:left w:val="single" w:color="auto" w:sz="8" w:space="0"/>
              <w:bottom w:val="single" w:color="auto" w:sz="4" w:space="0"/>
              <w:right w:val="single" w:color="auto" w:sz="2"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1</w:t>
            </w:r>
          </w:p>
        </w:tc>
        <w:tc>
          <w:tcPr>
            <w:tcW w:w="1808" w:type="dxa"/>
            <w:tcBorders>
              <w:top w:val="single" w:color="auto" w:sz="2" w:space="0"/>
              <w:left w:val="single" w:color="auto" w:sz="2" w:space="0"/>
              <w:bottom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sz w:val="24"/>
                <w:szCs w:val="21"/>
                <w:highlight w:val="none"/>
              </w:rPr>
            </w:pPr>
          </w:p>
        </w:tc>
        <w:tc>
          <w:tcPr>
            <w:tcW w:w="123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4"/>
                <w:szCs w:val="21"/>
                <w:highlight w:val="none"/>
              </w:rPr>
            </w:pPr>
          </w:p>
        </w:tc>
        <w:tc>
          <w:tcPr>
            <w:tcW w:w="960"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4"/>
                <w:szCs w:val="21"/>
                <w:highlight w:val="none"/>
              </w:rPr>
            </w:pPr>
          </w:p>
        </w:tc>
        <w:tc>
          <w:tcPr>
            <w:tcW w:w="839" w:type="dxa"/>
            <w:tcBorders>
              <w:top w:val="single" w:color="auto" w:sz="2"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4"/>
                <w:szCs w:val="21"/>
                <w:highlight w:val="none"/>
              </w:rPr>
            </w:pPr>
          </w:p>
        </w:tc>
        <w:tc>
          <w:tcPr>
            <w:tcW w:w="1124"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4"/>
                <w:szCs w:val="21"/>
                <w:highlight w:val="none"/>
              </w:rPr>
            </w:pPr>
          </w:p>
        </w:tc>
        <w:tc>
          <w:tcPr>
            <w:tcW w:w="1167"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4"/>
                <w:szCs w:val="21"/>
                <w:highlight w:val="none"/>
              </w:rPr>
            </w:pPr>
          </w:p>
        </w:tc>
        <w:tc>
          <w:tcPr>
            <w:tcW w:w="1091" w:type="dxa"/>
            <w:tcBorders>
              <w:top w:val="single" w:color="auto" w:sz="2"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2</w:t>
            </w:r>
          </w:p>
        </w:tc>
        <w:tc>
          <w:tcPr>
            <w:tcW w:w="1808" w:type="dxa"/>
            <w:tcBorders>
              <w:top w:val="single" w:color="auto" w:sz="4" w:space="0"/>
              <w:left w:val="single" w:color="auto" w:sz="2" w:space="0"/>
              <w:bottom w:val="single" w:color="auto" w:sz="4" w:space="0"/>
              <w:right w:val="single" w:color="auto" w:sz="2" w:space="0"/>
            </w:tcBorders>
          </w:tcPr>
          <w:p>
            <w:pPr>
              <w:keepNext w:val="0"/>
              <w:keepLines w:val="0"/>
              <w:suppressLineNumbers w:val="0"/>
              <w:snapToGrid w:val="0"/>
              <w:spacing w:before="0" w:beforeAutospacing="0" w:after="0" w:afterAutospacing="0" w:line="360" w:lineRule="auto"/>
              <w:ind w:left="0" w:right="0"/>
              <w:rPr>
                <w:rFonts w:hint="default" w:ascii="宋体" w:hAnsi="宋体" w:eastAsia="宋体" w:cs="宋体"/>
                <w:color w:val="auto"/>
                <w:sz w:val="24"/>
                <w:szCs w:val="21"/>
                <w:highlight w:val="none"/>
              </w:rPr>
            </w:pPr>
          </w:p>
        </w:tc>
        <w:tc>
          <w:tcPr>
            <w:tcW w:w="1233"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960"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24"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67"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091"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3</w:t>
            </w:r>
          </w:p>
        </w:tc>
        <w:tc>
          <w:tcPr>
            <w:tcW w:w="1808" w:type="dxa"/>
            <w:tcBorders>
              <w:top w:val="single" w:color="auto" w:sz="4" w:space="0"/>
              <w:left w:val="single" w:color="auto" w:sz="2" w:space="0"/>
              <w:bottom w:val="single" w:color="auto" w:sz="4" w:space="0"/>
              <w:right w:val="single" w:color="auto" w:sz="2" w:space="0"/>
            </w:tcBorders>
          </w:tcPr>
          <w:p>
            <w:pPr>
              <w:keepNext w:val="0"/>
              <w:keepLines w:val="0"/>
              <w:suppressLineNumbers w:val="0"/>
              <w:snapToGrid w:val="0"/>
              <w:spacing w:before="0" w:beforeAutospacing="0" w:after="0" w:afterAutospacing="0" w:line="360" w:lineRule="auto"/>
              <w:ind w:left="0" w:right="0"/>
              <w:rPr>
                <w:rFonts w:hint="default" w:ascii="宋体" w:hAnsi="宋体" w:eastAsia="宋体" w:cs="宋体"/>
                <w:color w:val="auto"/>
                <w:sz w:val="24"/>
                <w:szCs w:val="21"/>
                <w:highlight w:val="none"/>
              </w:rPr>
            </w:pPr>
          </w:p>
        </w:tc>
        <w:tc>
          <w:tcPr>
            <w:tcW w:w="1233"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960"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24"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67"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091"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4</w:t>
            </w:r>
          </w:p>
        </w:tc>
        <w:tc>
          <w:tcPr>
            <w:tcW w:w="1808" w:type="dxa"/>
            <w:tcBorders>
              <w:top w:val="single" w:color="auto" w:sz="4" w:space="0"/>
              <w:left w:val="single" w:color="auto" w:sz="2" w:space="0"/>
              <w:bottom w:val="single" w:color="auto" w:sz="4" w:space="0"/>
              <w:right w:val="single" w:color="auto" w:sz="2" w:space="0"/>
            </w:tcBorders>
          </w:tcPr>
          <w:p>
            <w:pPr>
              <w:keepNext w:val="0"/>
              <w:keepLines w:val="0"/>
              <w:suppressLineNumbers w:val="0"/>
              <w:snapToGrid w:val="0"/>
              <w:spacing w:before="0" w:beforeAutospacing="0" w:after="0" w:afterAutospacing="0" w:line="360" w:lineRule="auto"/>
              <w:ind w:left="0" w:right="0"/>
              <w:rPr>
                <w:rFonts w:hint="default" w:ascii="宋体" w:hAnsi="宋体" w:eastAsia="宋体" w:cs="宋体"/>
                <w:color w:val="auto"/>
                <w:sz w:val="24"/>
                <w:szCs w:val="21"/>
                <w:highlight w:val="none"/>
              </w:rPr>
            </w:pPr>
          </w:p>
        </w:tc>
        <w:tc>
          <w:tcPr>
            <w:tcW w:w="1233"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960"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24"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67"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091"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5</w:t>
            </w:r>
          </w:p>
        </w:tc>
        <w:tc>
          <w:tcPr>
            <w:tcW w:w="1808" w:type="dxa"/>
            <w:tcBorders>
              <w:top w:val="single" w:color="auto" w:sz="4" w:space="0"/>
              <w:left w:val="single" w:color="auto" w:sz="2" w:space="0"/>
              <w:bottom w:val="single" w:color="auto" w:sz="4" w:space="0"/>
              <w:right w:val="single" w:color="auto" w:sz="2" w:space="0"/>
            </w:tcBorders>
          </w:tcPr>
          <w:p>
            <w:pPr>
              <w:keepNext w:val="0"/>
              <w:keepLines w:val="0"/>
              <w:suppressLineNumbers w:val="0"/>
              <w:snapToGrid w:val="0"/>
              <w:spacing w:before="0" w:beforeAutospacing="0" w:after="0" w:afterAutospacing="0" w:line="360" w:lineRule="auto"/>
              <w:ind w:left="0" w:right="0"/>
              <w:rPr>
                <w:rFonts w:hint="default" w:ascii="宋体" w:hAnsi="宋体" w:eastAsia="宋体" w:cs="宋体"/>
                <w:color w:val="auto"/>
                <w:sz w:val="24"/>
                <w:szCs w:val="21"/>
                <w:highlight w:val="none"/>
              </w:rPr>
            </w:pPr>
          </w:p>
        </w:tc>
        <w:tc>
          <w:tcPr>
            <w:tcW w:w="1233"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960"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24"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67"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091"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right w:val="single" w:color="auto" w:sz="2"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6</w:t>
            </w:r>
          </w:p>
        </w:tc>
        <w:tc>
          <w:tcPr>
            <w:tcW w:w="1808" w:type="dxa"/>
            <w:tcBorders>
              <w:top w:val="single" w:color="auto" w:sz="4" w:space="0"/>
              <w:left w:val="single" w:color="auto" w:sz="2" w:space="0"/>
              <w:bottom w:val="single" w:color="auto" w:sz="4" w:space="0"/>
              <w:right w:val="single" w:color="auto" w:sz="2" w:space="0"/>
            </w:tcBorders>
            <w:vAlign w:val="center"/>
          </w:tcPr>
          <w:p>
            <w:pPr>
              <w:keepNext w:val="0"/>
              <w:keepLines w:val="0"/>
              <w:suppressLineNumbers w:val="0"/>
              <w:tabs>
                <w:tab w:val="left" w:pos="6135"/>
              </w:tabs>
              <w:snapToGrid w:val="0"/>
              <w:spacing w:before="0" w:beforeAutospacing="0" w:after="0" w:afterAutospacing="0" w:line="360" w:lineRule="auto"/>
              <w:ind w:left="0" w:right="0"/>
              <w:jc w:val="left"/>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1233"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960"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24"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167" w:type="dxa"/>
            <w:tcBorders>
              <w:top w:val="single" w:color="auto" w:sz="4" w:space="0"/>
              <w:left w:val="single" w:color="auto" w:sz="2"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1091"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vMerge w:val="restart"/>
            <w:tcBorders>
              <w:top w:val="single" w:color="auto" w:sz="2" w:space="0"/>
              <w:left w:val="single" w:color="auto" w:sz="8" w:space="0"/>
              <w:bottom w:val="single" w:color="auto" w:sz="8"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总计</w:t>
            </w:r>
          </w:p>
        </w:tc>
        <w:tc>
          <w:tcPr>
            <w:tcW w:w="8222" w:type="dxa"/>
            <w:gridSpan w:val="7"/>
            <w:tcBorders>
              <w:top w:val="single" w:color="auto" w:sz="2" w:space="0"/>
              <w:left w:val="single" w:color="auto" w:sz="4" w:space="0"/>
              <w:bottom w:val="single" w:color="auto" w:sz="2" w:space="0"/>
              <w:right w:val="single" w:color="auto" w:sz="8" w:space="0"/>
            </w:tcBorders>
            <w:vAlign w:val="center"/>
          </w:tcPr>
          <w:p>
            <w:pPr>
              <w:keepNext w:val="0"/>
              <w:keepLines w:val="0"/>
              <w:suppressLineNumbers w:val="0"/>
              <w:snapToGrid w:val="0"/>
              <w:spacing w:before="0" w:beforeAutospacing="0" w:after="0" w:afterAutospacing="0"/>
              <w:ind w:left="0" w:right="0"/>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大写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00" w:hRule="atLeast"/>
          <w:jc w:val="center"/>
        </w:trPr>
        <w:tc>
          <w:tcPr>
            <w:tcW w:w="928" w:type="dxa"/>
            <w:vMerge w:val="continue"/>
            <w:tcBorders>
              <w:top w:val="single" w:color="auto" w:sz="2" w:space="0"/>
              <w:left w:val="single" w:color="auto" w:sz="8" w:space="0"/>
              <w:bottom w:val="single" w:color="auto" w:sz="8" w:space="0"/>
              <w:righ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eastAsia="宋体" w:cs="宋体"/>
                <w:color w:val="auto"/>
                <w:sz w:val="24"/>
                <w:szCs w:val="21"/>
                <w:highlight w:val="none"/>
              </w:rPr>
            </w:pPr>
          </w:p>
        </w:tc>
        <w:tc>
          <w:tcPr>
            <w:tcW w:w="8222" w:type="dxa"/>
            <w:gridSpan w:val="7"/>
            <w:tcBorders>
              <w:top w:val="single" w:color="auto" w:sz="2" w:space="0"/>
              <w:left w:val="single" w:color="auto" w:sz="4" w:space="0"/>
              <w:bottom w:val="single" w:color="auto" w:sz="8" w:space="0"/>
              <w:right w:val="single" w:color="auto" w:sz="8" w:space="0"/>
            </w:tcBorders>
            <w:vAlign w:val="center"/>
          </w:tcPr>
          <w:p>
            <w:pPr>
              <w:keepNext w:val="0"/>
              <w:keepLines w:val="0"/>
              <w:suppressLineNumbers w:val="0"/>
              <w:snapToGrid w:val="0"/>
              <w:spacing w:before="0" w:beforeAutospacing="0" w:after="0" w:afterAutospacing="0"/>
              <w:ind w:left="0" w:right="0"/>
              <w:rPr>
                <w:rFonts w:hint="default" w:ascii="宋体" w:hAnsi="宋体" w:eastAsia="宋体" w:cs="宋体"/>
                <w:color w:val="auto"/>
                <w:sz w:val="24"/>
                <w:szCs w:val="21"/>
                <w:highlight w:val="none"/>
              </w:rPr>
            </w:pPr>
            <w:r>
              <w:rPr>
                <w:rFonts w:hint="eastAsia" w:ascii="宋体" w:hAnsi="宋体" w:eastAsia="宋体" w:cs="宋体"/>
                <w:color w:val="auto"/>
                <w:sz w:val="24"/>
                <w:szCs w:val="21"/>
                <w:highlight w:val="none"/>
              </w:rPr>
              <w:t>小写</w:t>
            </w:r>
          </w:p>
        </w:tc>
      </w:tr>
    </w:tbl>
    <w:p>
      <w:pPr>
        <w:widowControl w:val="0"/>
        <w:snapToGrid w:val="0"/>
        <w:spacing w:line="360" w:lineRule="auto"/>
        <w:ind w:firstLine="480" w:firstLineChars="200"/>
        <w:jc w:val="both"/>
        <w:rPr>
          <w:rFonts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0"/>
          <w:sz w:val="24"/>
          <w:szCs w:val="21"/>
          <w:highlight w:val="none"/>
          <w:lang w:val="zh-CN" w:eastAsia="zh-CN" w:bidi="ar-SA"/>
        </w:rPr>
        <w:t>注：</w:t>
      </w:r>
      <w:r>
        <w:rPr>
          <w:rFonts w:hint="eastAsia" w:ascii="宋体" w:hAnsi="宋体" w:eastAsia="宋体" w:cs="宋体"/>
          <w:color w:val="auto"/>
          <w:kern w:val="2"/>
          <w:sz w:val="24"/>
          <w:szCs w:val="21"/>
          <w:highlight w:val="none"/>
          <w:lang w:val="en-US" w:eastAsia="zh-CN" w:bidi="ar-SA"/>
        </w:rPr>
        <w:t>可根据具体情况调整报价明细清单格式，但应包括项目涉及的一切相关税、费等费用。</w:t>
      </w:r>
    </w:p>
    <w:p>
      <w:pPr>
        <w:widowControl w:val="0"/>
        <w:snapToGrid w:val="0"/>
        <w:spacing w:line="360" w:lineRule="auto"/>
        <w:jc w:val="both"/>
        <w:rPr>
          <w:rFonts w:ascii="宋体" w:hAnsi="宋体" w:eastAsia="宋体" w:cs="宋体"/>
          <w:color w:val="auto"/>
          <w:kern w:val="2"/>
          <w:sz w:val="24"/>
          <w:szCs w:val="21"/>
          <w:highlight w:val="none"/>
          <w:lang w:val="en-US" w:eastAsia="zh-CN" w:bidi="ar-SA"/>
        </w:rPr>
      </w:pPr>
    </w:p>
    <w:p>
      <w:pPr>
        <w:widowControl w:val="0"/>
        <w:snapToGrid w:val="0"/>
        <w:spacing w:line="360" w:lineRule="auto"/>
        <w:ind w:firstLine="480" w:firstLineChars="200"/>
        <w:jc w:val="both"/>
        <w:rPr>
          <w:rFonts w:ascii="宋体" w:hAnsi="宋体" w:eastAsia="宋体" w:cs="宋体"/>
          <w:color w:val="auto"/>
          <w:kern w:val="2"/>
          <w:sz w:val="24"/>
          <w:szCs w:val="21"/>
          <w:highlight w:val="none"/>
          <w:lang w:val="en-US" w:eastAsia="zh-CN" w:bidi="ar-SA"/>
        </w:rPr>
      </w:pPr>
    </w:p>
    <w:p>
      <w:pPr>
        <w:widowControl w:val="0"/>
        <w:snapToGrid w:val="0"/>
        <w:spacing w:line="360" w:lineRule="auto"/>
        <w:ind w:firstLine="480" w:firstLineChars="200"/>
        <w:jc w:val="both"/>
        <w:rPr>
          <w:rFonts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投标供应商名称(公章)：</w:t>
      </w:r>
    </w:p>
    <w:p>
      <w:pPr>
        <w:widowControl w:val="0"/>
        <w:snapToGrid w:val="0"/>
        <w:spacing w:line="360" w:lineRule="auto"/>
        <w:ind w:firstLine="480" w:firstLineChars="200"/>
        <w:jc w:val="both"/>
        <w:rPr>
          <w:rFonts w:ascii="宋体" w:hAnsi="宋体" w:eastAsia="宋体" w:cs="宋体"/>
          <w:color w:val="auto"/>
          <w:kern w:val="2"/>
          <w:sz w:val="24"/>
          <w:szCs w:val="21"/>
          <w:highlight w:val="none"/>
          <w:lang w:val="en-US" w:eastAsia="zh-CN" w:bidi="ar-SA"/>
        </w:rPr>
      </w:pPr>
    </w:p>
    <w:p>
      <w:pPr>
        <w:widowControl w:val="0"/>
        <w:snapToGrid w:val="0"/>
        <w:spacing w:line="360" w:lineRule="auto"/>
        <w:ind w:firstLine="480" w:firstLineChars="200"/>
        <w:jc w:val="both"/>
        <w:rPr>
          <w:rFonts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日期：    年  月   日</w:t>
      </w:r>
    </w:p>
    <w:p>
      <w:pPr>
        <w:widowControl w:val="0"/>
        <w:snapToGrid w:val="0"/>
        <w:spacing w:line="360" w:lineRule="auto"/>
        <w:ind w:left="360" w:firstLine="240" w:firstLineChars="100"/>
        <w:jc w:val="center"/>
        <w:rPr>
          <w:rFonts w:ascii="宋体" w:hAnsi="宋体" w:eastAsia="宋体" w:cs="宋体"/>
          <w:color w:val="auto"/>
          <w:kern w:val="2"/>
          <w:sz w:val="24"/>
          <w:szCs w:val="24"/>
          <w:highlight w:val="none"/>
          <w:lang w:val="en-US" w:eastAsia="zh-CN" w:bidi="ar-SA"/>
        </w:rPr>
      </w:pPr>
    </w:p>
    <w:p>
      <w:pPr>
        <w:keepNext/>
        <w:snapToGrid w:val="0"/>
        <w:spacing w:line="360" w:lineRule="auto"/>
        <w:jc w:val="center"/>
        <w:outlineLvl w:val="0"/>
        <w:rPr>
          <w:rFonts w:ascii="宋体" w:hAnsi="宋体" w:eastAsia="宋体" w:cs="宋体"/>
          <w:b/>
          <w:color w:val="auto"/>
          <w:kern w:val="36"/>
          <w:sz w:val="32"/>
          <w:szCs w:val="28"/>
          <w:highlight w:val="none"/>
          <w:lang w:val="en-US" w:eastAsia="zh-CN" w:bidi="ar-SA"/>
        </w:rPr>
      </w:pPr>
      <w:r>
        <w:rPr>
          <w:rFonts w:hint="eastAsia" w:ascii="宋体" w:hAnsi="宋体" w:eastAsia="宋体" w:cs="宋体"/>
          <w:b/>
          <w:color w:val="auto"/>
          <w:kern w:val="0"/>
          <w:sz w:val="24"/>
          <w:szCs w:val="28"/>
          <w:highlight w:val="none"/>
          <w:lang w:val="en-US" w:eastAsia="zh-CN" w:bidi="ar-SA"/>
        </w:rPr>
        <w:br w:type="page"/>
      </w:r>
      <w:bookmarkStart w:id="142" w:name="_Toc354996708"/>
      <w:bookmarkStart w:id="143" w:name="_Toc163686229"/>
      <w:bookmarkStart w:id="144" w:name="_Toc33194408"/>
      <w:r>
        <w:rPr>
          <w:rFonts w:hint="eastAsia" w:ascii="宋体" w:hAnsi="宋体" w:eastAsia="宋体" w:cs="宋体"/>
          <w:b/>
          <w:color w:val="auto"/>
          <w:kern w:val="36"/>
          <w:sz w:val="32"/>
          <w:szCs w:val="28"/>
          <w:highlight w:val="none"/>
          <w:lang w:val="en-US" w:eastAsia="zh-CN" w:bidi="ar-SA"/>
        </w:rPr>
        <w:t>商务</w:t>
      </w:r>
      <w:bookmarkEnd w:id="142"/>
      <w:bookmarkStart w:id="145" w:name="_Toc354996709"/>
      <w:r>
        <w:rPr>
          <w:rFonts w:hint="eastAsia" w:ascii="宋体" w:hAnsi="宋体" w:eastAsia="宋体" w:cs="宋体"/>
          <w:b/>
          <w:color w:val="auto"/>
          <w:kern w:val="36"/>
          <w:sz w:val="32"/>
          <w:szCs w:val="28"/>
          <w:highlight w:val="none"/>
          <w:lang w:val="en-US" w:eastAsia="zh-CN" w:bidi="ar-SA"/>
        </w:rPr>
        <w:t>技术文件</w:t>
      </w:r>
      <w:bookmarkEnd w:id="143"/>
      <w:bookmarkEnd w:id="144"/>
    </w:p>
    <w:p>
      <w:pPr>
        <w:shd w:val="clear" w:color="auto" w:fill="FFFFFF"/>
        <w:snapToGrid w:val="0"/>
        <w:spacing w:line="360" w:lineRule="auto"/>
        <w:jc w:val="center"/>
        <w:rPr>
          <w:rFonts w:ascii="宋体" w:hAnsi="宋体" w:eastAsia="宋体" w:cs="宋体"/>
          <w:b/>
          <w:color w:val="auto"/>
          <w:kern w:val="0"/>
          <w:sz w:val="28"/>
          <w:szCs w:val="28"/>
          <w:highlight w:val="none"/>
        </w:rPr>
      </w:pPr>
      <w:bookmarkStart w:id="146" w:name="_Toc13349"/>
      <w:bookmarkStart w:id="147" w:name="_Toc3604"/>
      <w:bookmarkStart w:id="148" w:name="_Toc20650"/>
      <w:bookmarkStart w:id="149" w:name="_Toc7049"/>
      <w:bookmarkStart w:id="150" w:name="_Toc7803"/>
      <w:bookmarkStart w:id="151" w:name="_Toc13194"/>
      <w:bookmarkStart w:id="152" w:name="_Toc20721"/>
      <w:bookmarkStart w:id="153" w:name="_Toc25554"/>
      <w:bookmarkStart w:id="154" w:name="_Toc31837"/>
      <w:bookmarkStart w:id="155" w:name="_Toc10347"/>
      <w:bookmarkStart w:id="156" w:name="_Toc27129"/>
      <w:r>
        <w:rPr>
          <w:rFonts w:hint="eastAsia" w:ascii="宋体" w:hAnsi="宋体" w:eastAsia="宋体" w:cs="宋体"/>
          <w:b/>
          <w:color w:val="auto"/>
          <w:kern w:val="0"/>
          <w:sz w:val="28"/>
          <w:szCs w:val="28"/>
          <w:highlight w:val="none"/>
        </w:rPr>
        <w:t>目录</w:t>
      </w:r>
      <w:bookmarkEnd w:id="146"/>
      <w:bookmarkEnd w:id="147"/>
      <w:bookmarkEnd w:id="148"/>
      <w:bookmarkEnd w:id="149"/>
      <w:bookmarkEnd w:id="150"/>
      <w:bookmarkEnd w:id="151"/>
      <w:bookmarkEnd w:id="152"/>
      <w:bookmarkEnd w:id="153"/>
      <w:bookmarkEnd w:id="154"/>
      <w:bookmarkEnd w:id="155"/>
      <w:bookmarkEnd w:id="156"/>
    </w:p>
    <w:p>
      <w:pPr>
        <w:numPr>
          <w:ilvl w:val="0"/>
          <w:numId w:val="11"/>
        </w:numPr>
        <w:snapToGrid w:val="0"/>
        <w:spacing w:line="360" w:lineRule="auto"/>
        <w:ind w:left="425" w:hanging="425"/>
        <w:rPr>
          <w:rFonts w:ascii="宋体" w:hAnsi="宋体" w:eastAsia="宋体" w:cs="宋体"/>
          <w:color w:val="auto"/>
          <w:kern w:val="0"/>
          <w:sz w:val="24"/>
          <w:highlight w:val="none"/>
        </w:rPr>
      </w:pPr>
      <w:r>
        <w:rPr>
          <w:rFonts w:hint="eastAsia" w:ascii="宋体" w:hAnsi="宋体" w:eastAsia="宋体" w:cs="宋体"/>
          <w:color w:val="auto"/>
          <w:sz w:val="24"/>
          <w:highlight w:val="none"/>
        </w:rPr>
        <w:t>法定代表人授权委托书；</w:t>
      </w:r>
      <w:r>
        <w:rPr>
          <w:rFonts w:hint="eastAsia" w:ascii="宋体" w:hAnsi="宋体" w:eastAsia="宋体" w:cs="宋体"/>
          <w:color w:val="auto"/>
          <w:kern w:val="0"/>
          <w:sz w:val="24"/>
          <w:highlight w:val="none"/>
        </w:rPr>
        <w:t>…………………………………………………（页码）</w:t>
      </w:r>
    </w:p>
    <w:p>
      <w:pPr>
        <w:numPr>
          <w:ilvl w:val="0"/>
          <w:numId w:val="11"/>
        </w:numPr>
        <w:snapToGrid w:val="0"/>
        <w:spacing w:line="360" w:lineRule="auto"/>
        <w:ind w:left="425" w:hanging="425"/>
        <w:rPr>
          <w:rFonts w:ascii="宋体" w:hAnsi="宋体" w:eastAsia="宋体" w:cs="宋体"/>
          <w:color w:val="auto"/>
          <w:sz w:val="24"/>
          <w:highlight w:val="none"/>
        </w:rPr>
      </w:pPr>
      <w:r>
        <w:rPr>
          <w:rFonts w:hint="eastAsia" w:ascii="宋体" w:hAnsi="宋体" w:eastAsia="宋体" w:cs="宋体"/>
          <w:color w:val="auto"/>
          <w:sz w:val="24"/>
          <w:highlight w:val="none"/>
        </w:rPr>
        <w:t>法定代表人及授权委托人的身份证(复印件加盖公章)…………………（页码）</w:t>
      </w:r>
    </w:p>
    <w:p>
      <w:pPr>
        <w:numPr>
          <w:ilvl w:val="0"/>
          <w:numId w:val="11"/>
        </w:numPr>
        <w:snapToGrid w:val="0"/>
        <w:spacing w:line="360" w:lineRule="auto"/>
        <w:ind w:left="425" w:hanging="425"/>
        <w:rPr>
          <w:rFonts w:ascii="宋体" w:hAnsi="宋体" w:eastAsia="宋体" w:cs="宋体"/>
          <w:color w:val="auto"/>
          <w:sz w:val="24"/>
          <w:highlight w:val="none"/>
        </w:rPr>
      </w:pPr>
      <w:r>
        <w:rPr>
          <w:rFonts w:hint="eastAsia" w:ascii="宋体" w:hAnsi="宋体" w:eastAsia="宋体" w:cs="宋体"/>
          <w:color w:val="auto"/>
          <w:sz w:val="24"/>
          <w:highlight w:val="none"/>
        </w:rPr>
        <w:t>资质文件（如有）…………………………………………………………（页码）</w:t>
      </w:r>
    </w:p>
    <w:p>
      <w:pPr>
        <w:numPr>
          <w:ilvl w:val="0"/>
          <w:numId w:val="11"/>
        </w:numPr>
        <w:snapToGrid w:val="0"/>
        <w:spacing w:line="360" w:lineRule="auto"/>
        <w:ind w:left="425" w:hanging="425"/>
        <w:rPr>
          <w:rFonts w:ascii="宋体" w:hAnsi="宋体" w:eastAsia="宋体" w:cs="宋体"/>
          <w:color w:val="auto"/>
          <w:sz w:val="24"/>
          <w:highlight w:val="none"/>
        </w:rPr>
      </w:pPr>
      <w:r>
        <w:rPr>
          <w:rFonts w:hint="eastAsia" w:ascii="宋体" w:hAnsi="宋体" w:eastAsia="宋体" w:cs="宋体"/>
          <w:color w:val="auto"/>
          <w:sz w:val="24"/>
          <w:highlight w:val="none"/>
        </w:rPr>
        <w:t>投标产品配置表……………………………………………………………（页码）</w:t>
      </w:r>
    </w:p>
    <w:p>
      <w:pPr>
        <w:numPr>
          <w:ilvl w:val="0"/>
          <w:numId w:val="11"/>
        </w:numPr>
        <w:snapToGrid w:val="0"/>
        <w:spacing w:line="360" w:lineRule="auto"/>
        <w:ind w:left="425" w:hanging="425"/>
        <w:rPr>
          <w:rFonts w:ascii="宋体" w:hAnsi="宋体" w:eastAsia="宋体" w:cs="宋体"/>
          <w:color w:val="auto"/>
          <w:sz w:val="24"/>
          <w:highlight w:val="none"/>
        </w:rPr>
      </w:pPr>
      <w:r>
        <w:rPr>
          <w:rFonts w:hint="eastAsia" w:ascii="宋体" w:hAnsi="宋体" w:eastAsia="宋体" w:cs="宋体"/>
          <w:color w:val="auto"/>
          <w:sz w:val="24"/>
          <w:highlight w:val="none"/>
        </w:rPr>
        <w:t>商务技术偏离表…</w:t>
      </w:r>
      <w:r>
        <w:rPr>
          <w:rFonts w:hint="eastAsia" w:ascii="宋体" w:hAnsi="宋体" w:eastAsia="宋体" w:cs="宋体"/>
          <w:color w:val="auto"/>
          <w:kern w:val="0"/>
          <w:sz w:val="24"/>
          <w:highlight w:val="none"/>
        </w:rPr>
        <w:t>…………………………………………………………（页码）</w:t>
      </w:r>
    </w:p>
    <w:p>
      <w:pPr>
        <w:numPr>
          <w:ilvl w:val="0"/>
          <w:numId w:val="11"/>
        </w:numPr>
        <w:snapToGrid w:val="0"/>
        <w:spacing w:line="360" w:lineRule="auto"/>
        <w:ind w:left="425" w:hanging="425"/>
        <w:rPr>
          <w:rFonts w:ascii="宋体" w:hAnsi="宋体" w:eastAsia="宋体" w:cs="宋体"/>
          <w:color w:val="auto"/>
          <w:sz w:val="24"/>
          <w:highlight w:val="none"/>
        </w:rPr>
      </w:pPr>
      <w:r>
        <w:rPr>
          <w:rFonts w:hint="eastAsia" w:ascii="宋体" w:hAnsi="宋体" w:eastAsia="宋体" w:cs="宋体"/>
          <w:color w:val="auto"/>
          <w:sz w:val="24"/>
          <w:highlight w:val="none"/>
        </w:rPr>
        <w:t>投标供应商项目业绩一览表</w:t>
      </w:r>
      <w:r>
        <w:rPr>
          <w:rFonts w:hint="eastAsia" w:ascii="宋体" w:hAnsi="宋体" w:eastAsia="宋体" w:cs="宋体"/>
          <w:color w:val="auto"/>
          <w:kern w:val="0"/>
          <w:sz w:val="24"/>
          <w:highlight w:val="none"/>
        </w:rPr>
        <w:t>………………………………………………（页码）</w:t>
      </w:r>
    </w:p>
    <w:p>
      <w:pPr>
        <w:numPr>
          <w:ilvl w:val="0"/>
          <w:numId w:val="11"/>
        </w:numPr>
        <w:snapToGrid w:val="0"/>
        <w:spacing w:line="360" w:lineRule="auto"/>
        <w:ind w:left="425" w:hanging="425"/>
        <w:rPr>
          <w:rFonts w:ascii="宋体" w:hAnsi="宋体" w:eastAsia="宋体" w:cs="宋体"/>
          <w:color w:val="auto"/>
          <w:kern w:val="0"/>
          <w:sz w:val="24"/>
          <w:highlight w:val="none"/>
        </w:rPr>
      </w:pPr>
      <w:r>
        <w:rPr>
          <w:rFonts w:hint="eastAsia" w:ascii="宋体" w:hAnsi="宋体" w:eastAsia="宋体" w:cs="宋体"/>
          <w:color w:val="auto"/>
          <w:sz w:val="24"/>
          <w:highlight w:val="none"/>
        </w:rPr>
        <w:t>投标供应商针对本项目的方案</w:t>
      </w:r>
      <w:r>
        <w:rPr>
          <w:rFonts w:hint="eastAsia" w:ascii="宋体" w:hAnsi="宋体" w:eastAsia="宋体" w:cs="宋体"/>
          <w:color w:val="auto"/>
          <w:kern w:val="0"/>
          <w:sz w:val="24"/>
          <w:highlight w:val="none"/>
        </w:rPr>
        <w:t>……………………………………………（页码）</w:t>
      </w:r>
    </w:p>
    <w:p>
      <w:pPr>
        <w:numPr>
          <w:ilvl w:val="0"/>
          <w:numId w:val="11"/>
        </w:numPr>
        <w:snapToGrid w:val="0"/>
        <w:spacing w:line="360" w:lineRule="auto"/>
        <w:ind w:left="425" w:hanging="425"/>
        <w:rPr>
          <w:rFonts w:ascii="宋体" w:hAnsi="宋体" w:eastAsia="宋体" w:cs="宋体"/>
          <w:color w:val="auto"/>
          <w:kern w:val="0"/>
          <w:sz w:val="24"/>
          <w:highlight w:val="none"/>
        </w:rPr>
      </w:pPr>
      <w:r>
        <w:rPr>
          <w:rFonts w:hint="eastAsia" w:ascii="宋体" w:hAnsi="宋体" w:eastAsia="宋体" w:cs="宋体"/>
          <w:color w:val="auto"/>
          <w:sz w:val="24"/>
          <w:highlight w:val="none"/>
        </w:rPr>
        <w:t>投标方案、优惠和承诺、维护方案、售后服务方案</w:t>
      </w:r>
      <w:r>
        <w:rPr>
          <w:rFonts w:hint="eastAsia" w:ascii="宋体" w:hAnsi="宋体" w:eastAsia="宋体" w:cs="宋体"/>
          <w:color w:val="auto"/>
          <w:kern w:val="0"/>
          <w:sz w:val="24"/>
          <w:highlight w:val="none"/>
        </w:rPr>
        <w:t>……………………（页码）</w:t>
      </w:r>
    </w:p>
    <w:p>
      <w:pPr>
        <w:widowControl w:val="0"/>
        <w:numPr>
          <w:ilvl w:val="0"/>
          <w:numId w:val="11"/>
        </w:numPr>
        <w:snapToGrid w:val="0"/>
        <w:spacing w:line="360" w:lineRule="auto"/>
        <w:ind w:left="425" w:hanging="425"/>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服务承诺</w:t>
      </w:r>
      <w:r>
        <w:rPr>
          <w:rFonts w:hint="eastAsia" w:ascii="宋体" w:hAnsi="宋体" w:eastAsia="宋体" w:cs="宋体"/>
          <w:color w:val="auto"/>
          <w:kern w:val="0"/>
          <w:sz w:val="24"/>
          <w:szCs w:val="21"/>
          <w:highlight w:val="none"/>
          <w:lang w:val="en-US" w:eastAsia="zh-CN" w:bidi="ar-SA"/>
        </w:rPr>
        <w:t>……………………………………………………………………（页码）</w:t>
      </w:r>
    </w:p>
    <w:p>
      <w:pPr>
        <w:widowControl w:val="0"/>
        <w:numPr>
          <w:ilvl w:val="0"/>
          <w:numId w:val="11"/>
        </w:numPr>
        <w:snapToGrid w:val="0"/>
        <w:spacing w:line="360" w:lineRule="auto"/>
        <w:ind w:left="425" w:hanging="425"/>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其他必要提供的资料…………………………………</w:t>
      </w:r>
      <w:r>
        <w:rPr>
          <w:rFonts w:hint="eastAsia" w:ascii="宋体" w:hAnsi="宋体" w:eastAsia="宋体" w:cs="宋体"/>
          <w:color w:val="auto"/>
          <w:kern w:val="0"/>
          <w:sz w:val="24"/>
          <w:szCs w:val="21"/>
          <w:highlight w:val="none"/>
          <w:lang w:val="en-US" w:eastAsia="zh-CN" w:bidi="ar-SA"/>
        </w:rPr>
        <w:t>…</w:t>
      </w:r>
      <w:r>
        <w:rPr>
          <w:rFonts w:hint="eastAsia" w:ascii="宋体" w:hAnsi="宋体" w:eastAsia="宋体" w:cs="宋体"/>
          <w:color w:val="auto"/>
          <w:kern w:val="2"/>
          <w:sz w:val="24"/>
          <w:szCs w:val="24"/>
          <w:highlight w:val="none"/>
          <w:lang w:val="en-US" w:eastAsia="zh-CN" w:bidi="ar-SA"/>
        </w:rPr>
        <w:t>…………………（页码）</w:t>
      </w:r>
    </w:p>
    <w:p>
      <w:pPr>
        <w:widowControl w:val="0"/>
        <w:numPr>
          <w:ilvl w:val="0"/>
          <w:numId w:val="11"/>
        </w:numPr>
        <w:snapToGrid w:val="0"/>
        <w:spacing w:line="360" w:lineRule="auto"/>
        <w:ind w:left="425" w:hanging="425"/>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投标供应商认为需要的其他文件资料……………………………………（页码）</w:t>
      </w:r>
    </w:p>
    <w:p>
      <w:pPr>
        <w:shd w:val="clear" w:color="auto" w:fill="FFFFFF"/>
        <w:snapToGrid w:val="0"/>
        <w:spacing w:line="360" w:lineRule="auto"/>
        <w:jc w:val="left"/>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注：以上目录是编制投标技术文件的基本格式要求，各投标供应商可根据自身情况进一步细化。</w:t>
      </w:r>
    </w:p>
    <w:p>
      <w:pPr>
        <w:widowControl w:val="0"/>
        <w:snapToGrid w:val="0"/>
        <w:spacing w:line="360" w:lineRule="auto"/>
        <w:ind w:firstLine="480" w:firstLineChars="200"/>
        <w:jc w:val="center"/>
        <w:outlineLvl w:val="2"/>
        <w:rPr>
          <w:rFonts w:ascii="宋体" w:hAnsi="宋体" w:eastAsia="宋体" w:cs="宋体"/>
          <w:b/>
          <w:color w:val="auto"/>
          <w:kern w:val="2"/>
          <w:sz w:val="32"/>
          <w:szCs w:val="32"/>
          <w:highlight w:val="none"/>
          <w:lang w:val="zh-CN" w:eastAsia="zh-CN" w:bidi="ar-SA"/>
        </w:rPr>
      </w:pPr>
      <w:r>
        <w:rPr>
          <w:rFonts w:hint="eastAsia" w:ascii="宋体" w:hAnsi="宋体" w:eastAsia="宋体" w:cs="宋体"/>
          <w:color w:val="auto"/>
          <w:kern w:val="2"/>
          <w:sz w:val="24"/>
          <w:szCs w:val="21"/>
          <w:highlight w:val="none"/>
          <w:lang w:val="en-US" w:eastAsia="zh-CN" w:bidi="ar-SA"/>
        </w:rPr>
        <w:br w:type="page"/>
      </w:r>
      <w:bookmarkEnd w:id="145"/>
      <w:r>
        <w:rPr>
          <w:rFonts w:hint="eastAsia" w:ascii="宋体" w:hAnsi="宋体" w:eastAsia="宋体" w:cs="宋体"/>
          <w:b/>
          <w:color w:val="auto"/>
          <w:kern w:val="2"/>
          <w:sz w:val="32"/>
          <w:szCs w:val="32"/>
          <w:highlight w:val="none"/>
          <w:lang w:val="zh-CN" w:eastAsia="zh-CN" w:bidi="ar-SA"/>
        </w:rPr>
        <w:t>一、法定代表人授权委托书</w:t>
      </w:r>
    </w:p>
    <w:p>
      <w:pPr>
        <w:shd w:val="clear" w:color="auto" w:fill="FFFFFF"/>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苍南县旅游投资集团有限公司</w:t>
      </w:r>
    </w:p>
    <w:p>
      <w:pPr>
        <w:shd w:val="clear" w:color="auto" w:fill="FFFFFF"/>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浙江之信工程项目管理有限公司：</w:t>
      </w:r>
    </w:p>
    <w:p>
      <w:pPr>
        <w:shd w:val="clear" w:color="auto" w:fill="FFFFFF"/>
        <w:snapToGrid w:val="0"/>
        <w:spacing w:line="360" w:lineRule="auto"/>
        <w:ind w:firstLine="480" w:firstLineChars="2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兹委派我公司</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先生/女士(其在本公司的职务是：</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，联系电话：</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)，代表我公司全权处理</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val="en-US" w:eastAsia="zh-CN"/>
        </w:rPr>
        <w:t>项目名称：</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项目</w:t>
      </w: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)政府采购投标的一切事项，若中标则全权代表本公司签订相关合同，</w:t>
      </w:r>
      <w:r>
        <w:rPr>
          <w:rFonts w:hint="eastAsia" w:ascii="宋体" w:hAnsi="宋体" w:eastAsia="宋体" w:cs="宋体"/>
          <w:color w:val="auto"/>
          <w:kern w:val="0"/>
          <w:sz w:val="24"/>
          <w:highlight w:val="none"/>
          <w:lang w:val="zh-CN"/>
        </w:rPr>
        <w:t>并负责处理合同履行等事宜。</w:t>
      </w:r>
    </w:p>
    <w:p>
      <w:pPr>
        <w:shd w:val="clear" w:color="auto" w:fill="FFFFFF"/>
        <w:snapToGrid w:val="0"/>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hd w:val="clear" w:color="auto" w:fill="FFFFFF"/>
        <w:snapToGrid w:val="0"/>
        <w:spacing w:line="360" w:lineRule="auto"/>
        <w:rPr>
          <w:rFonts w:ascii="宋体" w:hAnsi="宋体" w:eastAsia="宋体" w:cs="宋体"/>
          <w:color w:val="auto"/>
          <w:kern w:val="0"/>
          <w:sz w:val="24"/>
          <w:highlight w:val="none"/>
        </w:rPr>
      </w:pPr>
    </w:p>
    <w:p>
      <w:pPr>
        <w:shd w:val="clear" w:color="auto" w:fill="FFFFFF"/>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投标供应商名称(公章)：</w:t>
      </w:r>
    </w:p>
    <w:p>
      <w:pPr>
        <w:shd w:val="clear" w:color="auto" w:fill="FFFFFF"/>
        <w:snapToGrid w:val="0"/>
        <w:spacing w:line="360" w:lineRule="auto"/>
        <w:ind w:left="4800" w:hanging="4800" w:hangingChars="20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sz w:val="24"/>
          <w:szCs w:val="28"/>
          <w:highlight w:val="none"/>
        </w:rPr>
        <w:t>法定代表人或授权代表人签字（或盖章）</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hd w:val="clear" w:color="auto" w:fill="FFFFFF"/>
        <w:snapToGrid w:val="0"/>
        <w:spacing w:line="360" w:lineRule="auto"/>
        <w:ind w:right="480"/>
        <w:jc w:val="center"/>
        <w:rPr>
          <w:rFonts w:ascii="宋体" w:hAnsi="宋体" w:eastAsia="宋体" w:cs="宋体"/>
          <w:b/>
          <w:bCs/>
          <w:color w:val="auto"/>
          <w:kern w:val="0"/>
          <w:sz w:val="24"/>
          <w:highlight w:val="none"/>
          <w:lang w:val="zh-CN"/>
        </w:rPr>
      </w:pPr>
    </w:p>
    <w:p>
      <w:pPr>
        <w:shd w:val="clear" w:color="auto" w:fill="FFFFFF"/>
        <w:snapToGrid w:val="0"/>
        <w:spacing w:line="360" w:lineRule="auto"/>
        <w:ind w:firstLine="482" w:firstLineChars="200"/>
        <w:rPr>
          <w:rFonts w:ascii="宋体" w:hAnsi="宋体" w:eastAsia="宋体" w:cs="宋体"/>
          <w:b/>
          <w:bCs/>
          <w:color w:val="auto"/>
          <w:kern w:val="0"/>
          <w:sz w:val="24"/>
          <w:highlight w:val="none"/>
          <w:lang w:val="zh-CN"/>
        </w:rPr>
      </w:pPr>
    </w:p>
    <w:p>
      <w:pPr>
        <w:widowControl w:val="0"/>
        <w:snapToGrid w:val="0"/>
        <w:spacing w:line="360" w:lineRule="auto"/>
        <w:ind w:firstLine="643" w:firstLineChars="200"/>
        <w:jc w:val="left"/>
        <w:outlineLvl w:val="2"/>
        <w:rPr>
          <w:rFonts w:ascii="宋体" w:hAnsi="宋体" w:eastAsia="宋体" w:cs="宋体"/>
          <w:b/>
          <w:color w:val="auto"/>
          <w:kern w:val="2"/>
          <w:sz w:val="32"/>
          <w:szCs w:val="32"/>
          <w:highlight w:val="none"/>
          <w:lang w:val="zh-CN" w:eastAsia="zh-CN" w:bidi="ar-SA"/>
        </w:rPr>
      </w:pPr>
      <w:r>
        <w:rPr>
          <w:rFonts w:hint="eastAsia" w:ascii="宋体" w:hAnsi="宋体" w:eastAsia="宋体" w:cs="宋体"/>
          <w:b/>
          <w:color w:val="auto"/>
          <w:kern w:val="2"/>
          <w:sz w:val="32"/>
          <w:szCs w:val="32"/>
          <w:highlight w:val="none"/>
          <w:lang w:val="zh-CN" w:eastAsia="zh-CN" w:bidi="ar-SA"/>
        </w:rPr>
        <w:t>二、法定代表人及授权代表人的身份证 (复印件加盖公章)</w:t>
      </w:r>
    </w:p>
    <w:p>
      <w:pPr>
        <w:shd w:val="clear" w:color="auto" w:fill="FFFFFF"/>
        <w:snapToGrid w:val="0"/>
        <w:spacing w:line="360" w:lineRule="auto"/>
        <w:ind w:right="480"/>
        <w:jc w:val="center"/>
        <w:rPr>
          <w:rFonts w:ascii="宋体" w:hAnsi="宋体" w:eastAsia="宋体" w:cs="宋体"/>
          <w:b/>
          <w:bCs/>
          <w:color w:val="auto"/>
          <w:kern w:val="0"/>
          <w:sz w:val="24"/>
          <w:highlight w:val="none"/>
          <w:lang w:val="zh-CN"/>
        </w:rPr>
      </w:pPr>
    </w:p>
    <w:p>
      <w:pPr>
        <w:keepNext/>
        <w:spacing w:line="360" w:lineRule="auto"/>
        <w:jc w:val="center"/>
        <w:outlineLvl w:val="0"/>
        <w:rPr>
          <w:rFonts w:ascii="宋体" w:hAnsi="宋体" w:eastAsia="宋体" w:cs="宋体"/>
          <w:b w:val="0"/>
          <w:bCs/>
          <w:color w:val="auto"/>
          <w:kern w:val="0"/>
          <w:sz w:val="24"/>
          <w:szCs w:val="28"/>
          <w:highlight w:val="none"/>
          <w:lang w:val="zh-CN" w:eastAsia="zh-CN" w:bidi="ar-SA"/>
        </w:rPr>
      </w:pPr>
    </w:p>
    <w:p>
      <w:pPr>
        <w:rPr>
          <w:rFonts w:ascii="宋体" w:hAnsi="宋体" w:eastAsia="宋体" w:cs="宋体"/>
          <w:b/>
          <w:bCs/>
          <w:color w:val="auto"/>
          <w:kern w:val="0"/>
          <w:sz w:val="24"/>
          <w:highlight w:val="none"/>
          <w:lang w:val="zh-CN"/>
        </w:rPr>
      </w:pPr>
    </w:p>
    <w:p>
      <w:pPr>
        <w:keepNext/>
        <w:spacing w:line="360" w:lineRule="auto"/>
        <w:jc w:val="center"/>
        <w:outlineLvl w:val="0"/>
        <w:rPr>
          <w:rFonts w:ascii="宋体" w:hAnsi="宋体" w:eastAsia="宋体" w:cs="宋体"/>
          <w:b/>
          <w:color w:val="auto"/>
          <w:kern w:val="36"/>
          <w:sz w:val="32"/>
          <w:szCs w:val="28"/>
          <w:highlight w:val="none"/>
          <w:lang w:val="zh-CN" w:eastAsia="zh-CN" w:bidi="ar-SA"/>
        </w:rPr>
      </w:pPr>
    </w:p>
    <w:p>
      <w:pPr>
        <w:shd w:val="clear" w:color="auto" w:fill="FFFFFF"/>
        <w:snapToGrid w:val="0"/>
        <w:spacing w:line="360" w:lineRule="auto"/>
        <w:ind w:right="480"/>
        <w:rPr>
          <w:rFonts w:ascii="宋体" w:hAnsi="宋体" w:eastAsia="宋体" w:cs="宋体"/>
          <w:b/>
          <w:bCs/>
          <w:color w:val="auto"/>
          <w:kern w:val="0"/>
          <w:sz w:val="24"/>
          <w:highlight w:val="none"/>
          <w:lang w:val="zh-CN"/>
        </w:rPr>
      </w:pPr>
    </w:p>
    <w:p>
      <w:pPr>
        <w:widowControl w:val="0"/>
        <w:snapToGrid w:val="0"/>
        <w:spacing w:line="360" w:lineRule="auto"/>
        <w:ind w:firstLine="2891" w:firstLineChars="900"/>
        <w:jc w:val="left"/>
        <w:outlineLvl w:val="2"/>
        <w:rPr>
          <w:rFonts w:ascii="宋体" w:hAnsi="宋体" w:eastAsia="宋体" w:cs="宋体"/>
          <w:b/>
          <w:color w:val="auto"/>
          <w:kern w:val="2"/>
          <w:sz w:val="32"/>
          <w:szCs w:val="32"/>
          <w:highlight w:val="none"/>
          <w:lang w:val="zh-CN" w:eastAsia="zh-CN" w:bidi="ar-SA"/>
        </w:rPr>
      </w:pPr>
      <w:r>
        <w:rPr>
          <w:rFonts w:hint="eastAsia" w:ascii="宋体" w:hAnsi="宋体" w:eastAsia="宋体" w:cs="宋体"/>
          <w:b/>
          <w:color w:val="auto"/>
          <w:kern w:val="2"/>
          <w:sz w:val="32"/>
          <w:szCs w:val="32"/>
          <w:highlight w:val="none"/>
          <w:lang w:val="zh-CN" w:eastAsia="zh-CN" w:bidi="ar-SA"/>
        </w:rPr>
        <w:t xml:space="preserve">三、资质文件（如有） </w:t>
      </w:r>
    </w:p>
    <w:p>
      <w:pPr>
        <w:snapToGrid w:val="0"/>
        <w:spacing w:line="360" w:lineRule="auto"/>
        <w:rPr>
          <w:rFonts w:ascii="宋体" w:hAnsi="宋体" w:eastAsia="宋体" w:cs="宋体"/>
          <w:b/>
          <w:color w:val="auto"/>
          <w:kern w:val="0"/>
          <w:sz w:val="24"/>
          <w:highlight w:val="none"/>
        </w:rPr>
      </w:pPr>
    </w:p>
    <w:p>
      <w:pPr>
        <w:shd w:val="clear" w:color="auto" w:fill="FFFFFF"/>
        <w:snapToGrid w:val="0"/>
        <w:spacing w:line="360" w:lineRule="auto"/>
        <w:rPr>
          <w:rFonts w:ascii="宋体" w:hAnsi="宋体" w:eastAsia="宋体" w:cs="宋体"/>
          <w:color w:val="auto"/>
          <w:sz w:val="24"/>
          <w:highlight w:val="none"/>
        </w:rPr>
      </w:pPr>
    </w:p>
    <w:p>
      <w:pPr>
        <w:shd w:val="clear" w:color="auto" w:fill="FFFFFF"/>
        <w:snapToGrid w:val="0"/>
        <w:spacing w:line="360" w:lineRule="auto"/>
        <w:rPr>
          <w:rFonts w:ascii="宋体" w:hAnsi="宋体" w:eastAsia="宋体" w:cs="宋体"/>
          <w:color w:val="auto"/>
          <w:sz w:val="24"/>
          <w:highlight w:val="none"/>
        </w:rPr>
      </w:pPr>
    </w:p>
    <w:p>
      <w:pPr>
        <w:shd w:val="clear" w:color="auto" w:fill="FFFFFF"/>
        <w:snapToGrid w:val="0"/>
        <w:spacing w:line="360" w:lineRule="auto"/>
        <w:rPr>
          <w:rFonts w:ascii="宋体" w:hAnsi="宋体" w:eastAsia="宋体" w:cs="宋体"/>
          <w:color w:val="auto"/>
          <w:sz w:val="24"/>
          <w:highlight w:val="none"/>
        </w:rPr>
      </w:pPr>
    </w:p>
    <w:p>
      <w:pPr>
        <w:autoSpaceDE w:val="0"/>
        <w:autoSpaceDN w:val="0"/>
        <w:adjustRightInd w:val="0"/>
        <w:spacing w:line="440" w:lineRule="atLeast"/>
        <w:ind w:firstLine="3413"/>
        <w:outlineLvl w:val="0"/>
        <w:rPr>
          <w:rFonts w:ascii="宋体" w:hAnsi="宋体" w:eastAsia="宋体" w:cs="宋体"/>
          <w:b/>
          <w:color w:val="auto"/>
          <w:sz w:val="32"/>
          <w:szCs w:val="32"/>
          <w:highlight w:val="none"/>
          <w:lang w:val="zh-CN"/>
        </w:rPr>
      </w:pPr>
    </w:p>
    <w:p>
      <w:pPr>
        <w:autoSpaceDE w:val="0"/>
        <w:autoSpaceDN w:val="0"/>
        <w:adjustRightInd w:val="0"/>
        <w:spacing w:line="440" w:lineRule="atLeast"/>
        <w:ind w:firstLine="3413"/>
        <w:outlineLvl w:val="0"/>
        <w:rPr>
          <w:rFonts w:ascii="宋体" w:hAnsi="宋体" w:eastAsia="宋体" w:cs="宋体"/>
          <w:b/>
          <w:color w:val="auto"/>
          <w:sz w:val="32"/>
          <w:szCs w:val="32"/>
          <w:highlight w:val="none"/>
          <w:lang w:val="zh-CN"/>
        </w:rPr>
      </w:pPr>
    </w:p>
    <w:p>
      <w:pPr>
        <w:autoSpaceDE w:val="0"/>
        <w:autoSpaceDN w:val="0"/>
        <w:adjustRightInd w:val="0"/>
        <w:spacing w:line="440" w:lineRule="atLeast"/>
        <w:ind w:firstLine="3413"/>
        <w:outlineLvl w:val="0"/>
        <w:rPr>
          <w:rFonts w:ascii="宋体" w:hAnsi="宋体" w:eastAsia="宋体" w:cs="宋体"/>
          <w:b/>
          <w:color w:val="auto"/>
          <w:sz w:val="32"/>
          <w:szCs w:val="32"/>
          <w:highlight w:val="none"/>
          <w:lang w:val="zh-CN"/>
        </w:rPr>
      </w:pPr>
    </w:p>
    <w:p>
      <w:pPr>
        <w:widowControl w:val="0"/>
        <w:snapToGrid w:val="0"/>
        <w:spacing w:line="360" w:lineRule="auto"/>
        <w:ind w:firstLine="643" w:firstLineChars="200"/>
        <w:jc w:val="center"/>
        <w:outlineLvl w:val="2"/>
        <w:rPr>
          <w:rFonts w:ascii="宋体" w:hAnsi="宋体" w:eastAsia="宋体" w:cs="宋体"/>
          <w:b/>
          <w:color w:val="auto"/>
          <w:kern w:val="2"/>
          <w:sz w:val="32"/>
          <w:szCs w:val="32"/>
          <w:highlight w:val="none"/>
          <w:lang w:val="en-US" w:eastAsia="zh-CN" w:bidi="ar-SA"/>
        </w:rPr>
      </w:pPr>
    </w:p>
    <w:p>
      <w:pPr>
        <w:widowControl w:val="0"/>
        <w:snapToGrid w:val="0"/>
        <w:spacing w:line="360" w:lineRule="auto"/>
        <w:jc w:val="center"/>
        <w:outlineLvl w:val="2"/>
        <w:rPr>
          <w:rFonts w:ascii="宋体" w:hAnsi="宋体" w:eastAsia="宋体" w:cs="宋体"/>
          <w:b/>
          <w:color w:val="auto"/>
          <w:kern w:val="2"/>
          <w:sz w:val="32"/>
          <w:szCs w:val="32"/>
          <w:highlight w:val="none"/>
          <w:lang w:val="zh-CN" w:eastAsia="zh-CN" w:bidi="ar-SA"/>
        </w:rPr>
      </w:pPr>
      <w:r>
        <w:rPr>
          <w:rFonts w:hint="eastAsia" w:ascii="宋体" w:hAnsi="宋体" w:eastAsia="宋体" w:cs="宋体"/>
          <w:b/>
          <w:color w:val="auto"/>
          <w:kern w:val="2"/>
          <w:sz w:val="32"/>
          <w:szCs w:val="32"/>
          <w:highlight w:val="none"/>
          <w:lang w:val="en-US" w:eastAsia="zh-CN" w:bidi="ar-SA"/>
        </w:rPr>
        <w:t>四、</w:t>
      </w:r>
      <w:r>
        <w:rPr>
          <w:rFonts w:hint="eastAsia" w:ascii="宋体" w:hAnsi="宋体" w:eastAsia="宋体" w:cs="宋体"/>
          <w:b/>
          <w:color w:val="auto"/>
          <w:kern w:val="2"/>
          <w:sz w:val="32"/>
          <w:szCs w:val="32"/>
          <w:highlight w:val="none"/>
          <w:lang w:val="zh-CN" w:eastAsia="zh-CN" w:bidi="ar-SA"/>
        </w:rPr>
        <w:t>投标产品配置表</w:t>
      </w:r>
    </w:p>
    <w:p>
      <w:pPr>
        <w:spacing w:line="400" w:lineRule="exact"/>
        <w:jc w:val="left"/>
        <w:rPr>
          <w:rFonts w:ascii="宋体" w:hAnsi="宋体" w:eastAsia="宋体" w:cs="宋体"/>
          <w:color w:val="auto"/>
          <w:highlight w:val="none"/>
        </w:rPr>
      </w:pPr>
      <w:r>
        <w:rPr>
          <w:rFonts w:hint="eastAsia" w:ascii="宋体" w:hAnsi="宋体" w:eastAsia="宋体" w:cs="宋体"/>
          <w:b/>
          <w:color w:val="auto"/>
          <w:sz w:val="24"/>
          <w:highlight w:val="none"/>
        </w:rPr>
        <w:t xml:space="preserve">采购单位： </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 xml:space="preserve"> 项目编号： </w:t>
      </w:r>
    </w:p>
    <w:tbl>
      <w:tblPr>
        <w:tblStyle w:val="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38"/>
        <w:gridCol w:w="1953"/>
        <w:gridCol w:w="1756"/>
        <w:gridCol w:w="1582"/>
        <w:gridCol w:w="1289"/>
        <w:gridCol w:w="14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1953"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货物名称</w:t>
            </w:r>
          </w:p>
        </w:tc>
        <w:tc>
          <w:tcPr>
            <w:tcW w:w="1756"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品牌及产地</w:t>
            </w:r>
          </w:p>
        </w:tc>
        <w:tc>
          <w:tcPr>
            <w:tcW w:w="1582"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主要型号</w:t>
            </w:r>
          </w:p>
        </w:tc>
        <w:tc>
          <w:tcPr>
            <w:tcW w:w="1289"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数量</w:t>
            </w:r>
          </w:p>
        </w:tc>
        <w:tc>
          <w:tcPr>
            <w:tcW w:w="1471"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Cs/>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9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756"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582"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289"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c>
          <w:tcPr>
            <w:tcW w:w="1471" w:type="dxa"/>
          </w:tcPr>
          <w:p>
            <w:pPr>
              <w:keepNext w:val="0"/>
              <w:keepLines w:val="0"/>
              <w:suppressLineNumbers w:val="0"/>
              <w:spacing w:before="0" w:beforeAutospacing="0" w:after="0" w:afterAutospacing="0" w:line="340" w:lineRule="exact"/>
              <w:ind w:left="0" w:right="0"/>
              <w:jc w:val="center"/>
              <w:rPr>
                <w:rFonts w:hint="default"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5" w:hRule="atLeast"/>
          <w:jc w:val="center"/>
        </w:trPr>
        <w:tc>
          <w:tcPr>
            <w:tcW w:w="10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1953"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756" w:type="dxa"/>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582" w:type="dxa"/>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289" w:type="dxa"/>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c>
          <w:tcPr>
            <w:tcW w:w="1471" w:type="dxa"/>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p>
        </w:tc>
      </w:tr>
    </w:tbl>
    <w:p>
      <w:pPr>
        <w:spacing w:line="500" w:lineRule="exact"/>
        <w:rPr>
          <w:rFonts w:ascii="宋体" w:hAnsi="宋体" w:eastAsia="宋体" w:cs="宋体"/>
          <w:color w:val="auto"/>
          <w:sz w:val="24"/>
          <w:highlight w:val="none"/>
        </w:rPr>
      </w:pPr>
      <w:r>
        <w:rPr>
          <w:rFonts w:hint="eastAsia" w:ascii="宋体" w:hAnsi="宋体" w:eastAsia="宋体" w:cs="宋体"/>
          <w:color w:val="auto"/>
          <w:sz w:val="24"/>
          <w:highlight w:val="none"/>
        </w:rPr>
        <w:t>注：此表可按原有格式进行复制。</w:t>
      </w:r>
    </w:p>
    <w:p>
      <w:pPr>
        <w:widowControl w:val="0"/>
        <w:spacing w:line="460" w:lineRule="atLeast"/>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不提供此表格的将视为没有实质性响应招标文件。</w:t>
      </w:r>
    </w:p>
    <w:p>
      <w:pPr>
        <w:spacing w:line="500" w:lineRule="exact"/>
        <w:rPr>
          <w:rFonts w:ascii="宋体" w:hAnsi="宋体" w:eastAsia="宋体" w:cs="宋体"/>
          <w:color w:val="auto"/>
          <w:sz w:val="24"/>
          <w:highlight w:val="none"/>
        </w:rPr>
      </w:pPr>
      <w:r>
        <w:rPr>
          <w:rFonts w:hint="eastAsia" w:ascii="宋体" w:hAnsi="宋体" w:eastAsia="宋体" w:cs="宋体"/>
          <w:color w:val="auto"/>
          <w:sz w:val="24"/>
          <w:highlight w:val="none"/>
        </w:rPr>
        <w:t>投标人全称：</w:t>
      </w:r>
    </w:p>
    <w:p>
      <w:pPr>
        <w:spacing w:line="400" w:lineRule="exact"/>
        <w:rPr>
          <w:rFonts w:ascii="宋体" w:hAnsi="宋体" w:eastAsia="宋体" w:cs="宋体"/>
          <w:color w:val="auto"/>
          <w:sz w:val="24"/>
          <w:highlight w:val="none"/>
        </w:rPr>
      </w:pPr>
      <w:r>
        <w:rPr>
          <w:rFonts w:hint="eastAsia" w:ascii="宋体" w:hAnsi="宋体" w:eastAsia="宋体" w:cs="宋体"/>
          <w:color w:val="auto"/>
          <w:sz w:val="24"/>
          <w:highlight w:val="none"/>
        </w:rPr>
        <w:t xml:space="preserve">日    期： </w:t>
      </w:r>
    </w:p>
    <w:p>
      <w:pPr>
        <w:autoSpaceDE w:val="0"/>
        <w:autoSpaceDN w:val="0"/>
        <w:adjustRightInd w:val="0"/>
        <w:spacing w:line="440" w:lineRule="atLeast"/>
        <w:ind w:firstLine="3413"/>
        <w:outlineLvl w:val="0"/>
        <w:rPr>
          <w:rFonts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br w:type="page"/>
      </w:r>
      <w:bookmarkStart w:id="157" w:name="_Toc1682056625"/>
      <w:r>
        <w:rPr>
          <w:rFonts w:hint="eastAsia" w:ascii="宋体" w:hAnsi="宋体" w:eastAsia="宋体" w:cs="宋体"/>
          <w:b/>
          <w:color w:val="auto"/>
          <w:sz w:val="32"/>
          <w:szCs w:val="32"/>
          <w:highlight w:val="none"/>
        </w:rPr>
        <w:t>五</w:t>
      </w:r>
      <w:r>
        <w:rPr>
          <w:rFonts w:hint="eastAsia" w:ascii="宋体" w:hAnsi="宋体" w:eastAsia="宋体" w:cs="宋体"/>
          <w:b/>
          <w:color w:val="auto"/>
          <w:sz w:val="32"/>
          <w:szCs w:val="32"/>
          <w:highlight w:val="none"/>
          <w:lang w:val="zh-CN"/>
        </w:rPr>
        <w:t>、商 务 偏 离 表</w:t>
      </w:r>
      <w:bookmarkEnd w:id="157"/>
      <w:r>
        <w:rPr>
          <w:rFonts w:hint="eastAsia" w:ascii="宋体" w:hAnsi="宋体" w:eastAsia="宋体" w:cs="宋体"/>
          <w:b/>
          <w:color w:val="auto"/>
          <w:sz w:val="32"/>
          <w:szCs w:val="32"/>
          <w:highlight w:val="none"/>
        </w:rPr>
        <w:t xml:space="preserve"> </w:t>
      </w:r>
    </w:p>
    <w:p>
      <w:pPr>
        <w:autoSpaceDE w:val="0"/>
        <w:autoSpaceDN w:val="0"/>
        <w:adjustRightInd w:val="0"/>
        <w:spacing w:line="440" w:lineRule="atLeast"/>
        <w:ind w:firstLine="3413"/>
        <w:rPr>
          <w:rFonts w:ascii="宋体" w:hAnsi="宋体" w:eastAsia="宋体" w:cs="宋体"/>
          <w:b/>
          <w:color w:val="auto"/>
          <w:sz w:val="36"/>
          <w:highlight w:val="none"/>
          <w:lang w:val="zh-CN"/>
        </w:rPr>
      </w:pPr>
    </w:p>
    <w:tbl>
      <w:tblPr>
        <w:tblStyle w:val="2"/>
        <w:tblW w:w="9337" w:type="dxa"/>
        <w:jc w:val="center"/>
        <w:tblLayout w:type="fixed"/>
        <w:tblCellMar>
          <w:top w:w="0" w:type="dxa"/>
          <w:left w:w="108" w:type="dxa"/>
          <w:bottom w:w="0" w:type="dxa"/>
          <w:right w:w="108" w:type="dxa"/>
        </w:tblCellMar>
      </w:tblPr>
      <w:tblGrid>
        <w:gridCol w:w="875"/>
        <w:gridCol w:w="1751"/>
        <w:gridCol w:w="2591"/>
        <w:gridCol w:w="2052"/>
        <w:gridCol w:w="2068"/>
      </w:tblGrid>
      <w:tr>
        <w:tblPrEx>
          <w:tblCellMar>
            <w:top w:w="0" w:type="dxa"/>
            <w:left w:w="108" w:type="dxa"/>
            <w:bottom w:w="0" w:type="dxa"/>
            <w:right w:w="108" w:type="dxa"/>
          </w:tblCellMar>
        </w:tblPrEx>
        <w:trPr>
          <w:trHeight w:val="936" w:hRule="atLeast"/>
          <w:jc w:val="center"/>
        </w:trPr>
        <w:tc>
          <w:tcPr>
            <w:tcW w:w="87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序 号</w:t>
            </w:r>
          </w:p>
        </w:tc>
        <w:tc>
          <w:tcPr>
            <w:tcW w:w="175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内容</w:t>
            </w:r>
          </w:p>
        </w:tc>
        <w:tc>
          <w:tcPr>
            <w:tcW w:w="259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招标文件规范要求</w:t>
            </w:r>
          </w:p>
        </w:tc>
        <w:tc>
          <w:tcPr>
            <w:tcW w:w="205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投标文件</w:t>
            </w:r>
          </w:p>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对应规范</w:t>
            </w:r>
          </w:p>
        </w:tc>
        <w:tc>
          <w:tcPr>
            <w:tcW w:w="206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备 注</w:t>
            </w: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36" w:hRule="atLeast"/>
          <w:jc w:val="center"/>
        </w:trPr>
        <w:tc>
          <w:tcPr>
            <w:tcW w:w="87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bl>
    <w:p>
      <w:pPr>
        <w:jc w:val="left"/>
        <w:rPr>
          <w:rFonts w:ascii="等线" w:hAnsi="等线" w:eastAsia="宋体" w:cs="Times New Roman"/>
          <w:color w:val="auto"/>
          <w:highlight w:val="none"/>
          <w:lang w:val="zh-CN"/>
        </w:rPr>
      </w:pPr>
      <w:r>
        <w:rPr>
          <w:rFonts w:ascii="等线" w:hAnsi="等线" w:eastAsia="宋体" w:cs="Times New Roman"/>
          <w:color w:val="auto"/>
          <w:highlight w:val="none"/>
          <w:lang w:val="zh-CN"/>
        </w:rPr>
        <w:t>注：若不填写或只填写“无”视作完全响应采购文件的要求。</w:t>
      </w:r>
    </w:p>
    <w:p>
      <w:pPr>
        <w:autoSpaceDE w:val="0"/>
        <w:autoSpaceDN w:val="0"/>
        <w:adjustRightInd w:val="0"/>
        <w:spacing w:line="440" w:lineRule="atLeast"/>
        <w:outlineLvl w:val="0"/>
        <w:rPr>
          <w:rFonts w:ascii="宋体" w:hAnsi="宋体" w:eastAsia="宋体" w:cs="宋体"/>
          <w:b/>
          <w:color w:val="auto"/>
          <w:sz w:val="32"/>
          <w:highlight w:val="none"/>
          <w:lang w:val="zh-CN"/>
        </w:rPr>
      </w:pPr>
    </w:p>
    <w:p>
      <w:pPr>
        <w:autoSpaceDE w:val="0"/>
        <w:autoSpaceDN w:val="0"/>
        <w:adjustRightInd w:val="0"/>
        <w:spacing w:line="440" w:lineRule="atLeast"/>
        <w:outlineLvl w:val="0"/>
        <w:rPr>
          <w:rFonts w:ascii="宋体" w:hAnsi="宋体" w:eastAsia="宋体" w:cs="宋体"/>
          <w:b/>
          <w:color w:val="auto"/>
          <w:sz w:val="32"/>
          <w:highlight w:val="none"/>
          <w:lang w:val="zh-CN"/>
        </w:rPr>
      </w:pPr>
    </w:p>
    <w:p>
      <w:pPr>
        <w:spacing w:line="360" w:lineRule="auto"/>
        <w:jc w:val="left"/>
        <w:rPr>
          <w:rFonts w:ascii="宋体" w:hAnsi="宋体" w:eastAsia="宋体" w:cs="宋体"/>
          <w:color w:val="auto"/>
          <w:sz w:val="24"/>
          <w:szCs w:val="28"/>
          <w:highlight w:val="none"/>
        </w:rPr>
      </w:pPr>
      <w:r>
        <w:rPr>
          <w:rFonts w:hint="eastAsia" w:ascii="宋体" w:hAnsi="宋体" w:eastAsia="宋体" w:cs="宋体"/>
          <w:color w:val="auto"/>
          <w:sz w:val="24"/>
          <w:szCs w:val="28"/>
          <w:highlight w:val="none"/>
        </w:rPr>
        <w:t>投标供应商（盖章）：</w:t>
      </w:r>
    </w:p>
    <w:p>
      <w:pPr>
        <w:spacing w:line="360" w:lineRule="auto"/>
        <w:jc w:val="left"/>
        <w:rPr>
          <w:rFonts w:ascii="宋体" w:hAnsi="宋体" w:eastAsia="宋体" w:cs="宋体"/>
          <w:color w:val="auto"/>
          <w:sz w:val="24"/>
          <w:szCs w:val="28"/>
          <w:highlight w:val="none"/>
        </w:rPr>
      </w:pPr>
    </w:p>
    <w:p>
      <w:pPr>
        <w:spacing w:line="360" w:lineRule="auto"/>
        <w:jc w:val="left"/>
        <w:rPr>
          <w:rFonts w:ascii="宋体" w:hAnsi="宋体" w:eastAsia="宋体" w:cs="宋体"/>
          <w:color w:val="auto"/>
          <w:sz w:val="24"/>
          <w:szCs w:val="28"/>
          <w:highlight w:val="none"/>
        </w:rPr>
      </w:pPr>
      <w:r>
        <w:rPr>
          <w:rFonts w:hint="eastAsia" w:ascii="宋体" w:hAnsi="宋体" w:eastAsia="宋体" w:cs="宋体"/>
          <w:color w:val="auto"/>
          <w:sz w:val="24"/>
          <w:szCs w:val="28"/>
          <w:highlight w:val="none"/>
        </w:rPr>
        <w:t>日期：</w:t>
      </w:r>
    </w:p>
    <w:p>
      <w:pPr>
        <w:autoSpaceDE w:val="0"/>
        <w:autoSpaceDN w:val="0"/>
        <w:adjustRightInd w:val="0"/>
        <w:spacing w:line="440" w:lineRule="atLeast"/>
        <w:ind w:firstLine="3213" w:firstLineChars="1000"/>
        <w:outlineLvl w:val="0"/>
        <w:rPr>
          <w:rFonts w:ascii="宋体" w:hAnsi="宋体" w:eastAsia="宋体" w:cs="宋体"/>
          <w:b/>
          <w:color w:val="auto"/>
          <w:sz w:val="32"/>
          <w:szCs w:val="32"/>
          <w:highlight w:val="none"/>
          <w:lang w:val="zh-CN"/>
        </w:rPr>
      </w:pPr>
      <w:bookmarkStart w:id="158" w:name="_Toc1498505934"/>
      <w:r>
        <w:rPr>
          <w:rFonts w:hint="eastAsia" w:ascii="宋体" w:hAnsi="宋体" w:eastAsia="宋体" w:cs="宋体"/>
          <w:b/>
          <w:color w:val="auto"/>
          <w:sz w:val="32"/>
          <w:szCs w:val="32"/>
          <w:highlight w:val="none"/>
        </w:rPr>
        <w:t>五</w:t>
      </w:r>
      <w:r>
        <w:rPr>
          <w:rFonts w:hint="eastAsia" w:ascii="宋体" w:hAnsi="宋体" w:eastAsia="宋体" w:cs="宋体"/>
          <w:b/>
          <w:color w:val="auto"/>
          <w:sz w:val="32"/>
          <w:szCs w:val="32"/>
          <w:highlight w:val="none"/>
          <w:lang w:val="zh-CN"/>
        </w:rPr>
        <w:t>（二）技术偏离表</w:t>
      </w:r>
      <w:bookmarkEnd w:id="158"/>
      <w:r>
        <w:rPr>
          <w:rFonts w:hint="eastAsia" w:ascii="宋体" w:hAnsi="宋体" w:eastAsia="宋体" w:cs="宋体"/>
          <w:b/>
          <w:color w:val="auto"/>
          <w:sz w:val="32"/>
          <w:szCs w:val="32"/>
          <w:highlight w:val="none"/>
        </w:rPr>
        <w:t xml:space="preserve"> </w:t>
      </w:r>
    </w:p>
    <w:p>
      <w:pPr>
        <w:autoSpaceDE w:val="0"/>
        <w:autoSpaceDN w:val="0"/>
        <w:adjustRightInd w:val="0"/>
        <w:spacing w:line="440" w:lineRule="atLeast"/>
        <w:outlineLvl w:val="0"/>
        <w:rPr>
          <w:rFonts w:ascii="宋体" w:hAnsi="宋体" w:eastAsia="宋体" w:cs="宋体"/>
          <w:b/>
          <w:color w:val="auto"/>
          <w:sz w:val="32"/>
          <w:highlight w:val="none"/>
        </w:rPr>
      </w:pPr>
    </w:p>
    <w:tbl>
      <w:tblPr>
        <w:tblStyle w:val="2"/>
        <w:tblW w:w="9398" w:type="dxa"/>
        <w:jc w:val="center"/>
        <w:tblLayout w:type="fixed"/>
        <w:tblCellMar>
          <w:top w:w="0" w:type="dxa"/>
          <w:left w:w="108" w:type="dxa"/>
          <w:bottom w:w="0" w:type="dxa"/>
          <w:right w:w="108" w:type="dxa"/>
        </w:tblCellMar>
      </w:tblPr>
      <w:tblGrid>
        <w:gridCol w:w="863"/>
        <w:gridCol w:w="1726"/>
        <w:gridCol w:w="2206"/>
        <w:gridCol w:w="2235"/>
        <w:gridCol w:w="2368"/>
      </w:tblGrid>
      <w:tr>
        <w:tblPrEx>
          <w:tblCellMar>
            <w:top w:w="0" w:type="dxa"/>
            <w:left w:w="108" w:type="dxa"/>
            <w:bottom w:w="0" w:type="dxa"/>
            <w:right w:w="108" w:type="dxa"/>
          </w:tblCellMar>
        </w:tblPrEx>
        <w:trPr>
          <w:trHeight w:val="883" w:hRule="atLeast"/>
          <w:jc w:val="center"/>
        </w:trPr>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序 号</w:t>
            </w:r>
          </w:p>
        </w:tc>
        <w:tc>
          <w:tcPr>
            <w:tcW w:w="172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内容</w:t>
            </w:r>
          </w:p>
        </w:tc>
        <w:tc>
          <w:tcPr>
            <w:tcW w:w="220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招标文件规范要求</w:t>
            </w:r>
          </w:p>
        </w:tc>
        <w:tc>
          <w:tcPr>
            <w:tcW w:w="223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w w:val="90"/>
                <w:sz w:val="24"/>
                <w:highlight w:val="none"/>
              </w:rPr>
            </w:pPr>
            <w:r>
              <w:rPr>
                <w:rFonts w:hint="eastAsia" w:ascii="宋体" w:hAnsi="宋体" w:eastAsia="宋体" w:cs="宋体"/>
                <w:b/>
                <w:color w:val="auto"/>
                <w:w w:val="90"/>
                <w:sz w:val="24"/>
                <w:highlight w:val="none"/>
              </w:rPr>
              <w:t>投标响应（逐</w:t>
            </w:r>
          </w:p>
          <w:p>
            <w:pPr>
              <w:keepNext w:val="0"/>
              <w:keepLines w:val="0"/>
              <w:suppressLineNumbers w:val="0"/>
              <w:spacing w:before="0" w:beforeAutospacing="0" w:after="0" w:afterAutospacing="0"/>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w w:val="90"/>
                <w:sz w:val="24"/>
                <w:highlight w:val="none"/>
              </w:rPr>
              <w:t>对应）</w:t>
            </w:r>
          </w:p>
        </w:tc>
        <w:tc>
          <w:tcPr>
            <w:tcW w:w="236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24"/>
                <w:highlight w:val="none"/>
                <w:lang w:val="zh-CN"/>
              </w:rPr>
            </w:pPr>
            <w:r>
              <w:rPr>
                <w:rFonts w:hint="eastAsia" w:ascii="宋体" w:hAnsi="宋体" w:eastAsia="宋体" w:cs="宋体"/>
                <w:b/>
                <w:color w:val="auto"/>
                <w:w w:val="90"/>
                <w:sz w:val="24"/>
                <w:highlight w:val="none"/>
              </w:rPr>
              <w:t>偏离说明</w:t>
            </w: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89" w:hRule="atLeast"/>
          <w:jc w:val="center"/>
        </w:trPr>
        <w:tc>
          <w:tcPr>
            <w:tcW w:w="86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40" w:lineRule="atLeast"/>
              <w:ind w:left="0" w:right="0"/>
              <w:jc w:val="center"/>
              <w:rPr>
                <w:rFonts w:hint="default" w:ascii="宋体" w:hAnsi="宋体" w:eastAsia="宋体" w:cs="宋体"/>
                <w:b/>
                <w:color w:val="auto"/>
                <w:sz w:val="24"/>
                <w:highlight w:val="none"/>
                <w:lang w:val="zh-CN"/>
              </w:rPr>
            </w:pPr>
          </w:p>
        </w:tc>
      </w:tr>
    </w:tbl>
    <w:p>
      <w:pPr>
        <w:jc w:val="left"/>
        <w:rPr>
          <w:rFonts w:ascii="等线" w:hAnsi="等线" w:eastAsia="宋体" w:cs="Times New Roman"/>
          <w:color w:val="auto"/>
          <w:highlight w:val="none"/>
          <w:lang w:val="zh-CN"/>
        </w:rPr>
      </w:pPr>
      <w:r>
        <w:rPr>
          <w:rFonts w:ascii="等线" w:hAnsi="等线" w:eastAsia="宋体" w:cs="Times New Roman"/>
          <w:color w:val="auto"/>
          <w:highlight w:val="none"/>
          <w:lang w:val="zh-CN"/>
        </w:rPr>
        <w:t>注：若不填写或只填写“无”视作完全响应采购文件的要求。</w:t>
      </w:r>
    </w:p>
    <w:p>
      <w:pPr>
        <w:spacing w:line="360" w:lineRule="auto"/>
        <w:jc w:val="left"/>
        <w:rPr>
          <w:rFonts w:ascii="宋体" w:hAnsi="宋体" w:eastAsia="宋体" w:cs="宋体"/>
          <w:color w:val="auto"/>
          <w:sz w:val="24"/>
          <w:szCs w:val="28"/>
          <w:highlight w:val="none"/>
        </w:rPr>
      </w:pPr>
    </w:p>
    <w:p>
      <w:pPr>
        <w:spacing w:line="360" w:lineRule="auto"/>
        <w:jc w:val="left"/>
        <w:rPr>
          <w:rFonts w:ascii="宋体" w:hAnsi="宋体" w:eastAsia="宋体" w:cs="宋体"/>
          <w:color w:val="auto"/>
          <w:sz w:val="24"/>
          <w:szCs w:val="28"/>
          <w:highlight w:val="none"/>
        </w:rPr>
      </w:pPr>
      <w:r>
        <w:rPr>
          <w:rFonts w:hint="eastAsia" w:ascii="宋体" w:hAnsi="宋体" w:eastAsia="宋体" w:cs="宋体"/>
          <w:color w:val="auto"/>
          <w:sz w:val="24"/>
          <w:szCs w:val="28"/>
          <w:highlight w:val="none"/>
        </w:rPr>
        <w:t>投标供应商（盖章）：</w:t>
      </w:r>
    </w:p>
    <w:p>
      <w:pPr>
        <w:spacing w:line="360" w:lineRule="auto"/>
        <w:jc w:val="left"/>
        <w:rPr>
          <w:rFonts w:ascii="宋体" w:hAnsi="宋体" w:eastAsia="宋体" w:cs="宋体"/>
          <w:color w:val="auto"/>
          <w:sz w:val="24"/>
          <w:szCs w:val="28"/>
          <w:highlight w:val="none"/>
        </w:rPr>
      </w:pPr>
    </w:p>
    <w:p>
      <w:pPr>
        <w:spacing w:line="360" w:lineRule="auto"/>
        <w:jc w:val="left"/>
        <w:rPr>
          <w:rFonts w:ascii="宋体" w:hAnsi="宋体" w:eastAsia="宋体" w:cs="宋体"/>
          <w:color w:val="auto"/>
          <w:sz w:val="24"/>
          <w:szCs w:val="28"/>
          <w:highlight w:val="none"/>
        </w:rPr>
      </w:pPr>
      <w:r>
        <w:rPr>
          <w:rFonts w:hint="eastAsia" w:ascii="宋体" w:hAnsi="宋体" w:eastAsia="宋体" w:cs="宋体"/>
          <w:color w:val="auto"/>
          <w:sz w:val="24"/>
          <w:szCs w:val="28"/>
          <w:highlight w:val="none"/>
        </w:rPr>
        <w:t>日期：</w:t>
      </w:r>
    </w:p>
    <w:p>
      <w:pPr>
        <w:autoSpaceDE w:val="0"/>
        <w:autoSpaceDN w:val="0"/>
        <w:adjustRightInd w:val="0"/>
        <w:jc w:val="left"/>
        <w:rPr>
          <w:rFonts w:ascii="宋体" w:hAnsi="宋体" w:cs="宋体"/>
          <w:b/>
          <w:color w:val="auto"/>
          <w:sz w:val="32"/>
          <w:highlight w:val="none"/>
        </w:rPr>
        <w:sectPr>
          <w:pgSz w:w="11906" w:h="16838"/>
          <w:pgMar w:top="1440" w:right="1106" w:bottom="1440" w:left="1622" w:header="851" w:footer="992" w:gutter="0"/>
          <w:cols w:space="720" w:num="1"/>
          <w:docGrid w:linePitch="312" w:charSpace="0"/>
        </w:sectPr>
      </w:pPr>
    </w:p>
    <w:p>
      <w:pPr>
        <w:widowControl w:val="0"/>
        <w:snapToGrid w:val="0"/>
        <w:spacing w:line="360" w:lineRule="auto"/>
        <w:ind w:firstLine="0"/>
        <w:jc w:val="both"/>
        <w:rPr>
          <w:rFonts w:ascii="宋体" w:hAnsi="宋体" w:eastAsia="宋体" w:cs="宋体"/>
          <w:color w:val="auto"/>
          <w:kern w:val="0"/>
          <w:sz w:val="24"/>
          <w:szCs w:val="28"/>
          <w:highlight w:val="none"/>
          <w:lang w:val="zh-CN" w:eastAsia="zh-CN" w:bidi="ar-SA"/>
        </w:rPr>
      </w:pPr>
    </w:p>
    <w:p>
      <w:pPr>
        <w:spacing w:line="360" w:lineRule="auto"/>
        <w:jc w:val="center"/>
        <w:rPr>
          <w:rFonts w:ascii="宋体" w:hAnsi="宋体" w:eastAsia="宋体" w:cs="宋体"/>
          <w:b/>
          <w:bCs/>
          <w:color w:val="auto"/>
          <w:sz w:val="36"/>
          <w:szCs w:val="36"/>
          <w:highlight w:val="none"/>
        </w:rPr>
      </w:pPr>
      <w:r>
        <w:rPr>
          <w:rFonts w:hint="eastAsia" w:ascii="宋体" w:hAnsi="宋体" w:eastAsia="宋体" w:cs="宋体"/>
          <w:b/>
          <w:color w:val="auto"/>
          <w:sz w:val="32"/>
          <w:szCs w:val="32"/>
          <w:highlight w:val="none"/>
        </w:rPr>
        <w:t>六</w:t>
      </w:r>
      <w:r>
        <w:rPr>
          <w:rFonts w:hint="eastAsia" w:ascii="宋体" w:hAnsi="宋体" w:eastAsia="宋体" w:cs="宋体"/>
          <w:b/>
          <w:color w:val="auto"/>
          <w:sz w:val="32"/>
          <w:szCs w:val="32"/>
          <w:highlight w:val="none"/>
          <w:lang w:val="zh-CN"/>
        </w:rPr>
        <w:t>、</w:t>
      </w:r>
      <w:r>
        <w:rPr>
          <w:rFonts w:hint="eastAsia" w:ascii="宋体" w:hAnsi="宋体" w:eastAsia="宋体" w:cs="宋体"/>
          <w:b/>
          <w:bCs/>
          <w:color w:val="auto"/>
          <w:sz w:val="36"/>
          <w:szCs w:val="36"/>
          <w:highlight w:val="none"/>
        </w:rPr>
        <w:t>供应商项目业绩一览表</w:t>
      </w:r>
    </w:p>
    <w:p>
      <w:pPr>
        <w:spacing w:line="360" w:lineRule="auto"/>
        <w:rPr>
          <w:rFonts w:ascii="宋体" w:hAnsi="宋体" w:eastAsia="宋体" w:cs="宋体"/>
          <w:color w:val="auto"/>
          <w:highlight w:val="none"/>
        </w:rPr>
      </w:pPr>
      <w:r>
        <w:rPr>
          <w:rFonts w:hint="eastAsia" w:ascii="宋体" w:hAnsi="宋体" w:eastAsia="宋体" w:cs="宋体"/>
          <w:color w:val="auto"/>
          <w:highlight w:val="none"/>
        </w:rPr>
        <w:t xml:space="preserve">项目编号：                                            </w:t>
      </w:r>
    </w:p>
    <w:tbl>
      <w:tblPr>
        <w:tblStyle w:val="2"/>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043"/>
        <w:gridCol w:w="1655"/>
        <w:gridCol w:w="1318"/>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2301" w:type="dxa"/>
            <w:tcBorders>
              <w:top w:val="single" w:color="auto" w:sz="12" w:space="0"/>
              <w:left w:val="single" w:color="auto" w:sz="12"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cs="宋体"/>
                <w:bCs/>
                <w:color w:val="auto"/>
                <w:highlight w:val="none"/>
                <w:lang w:val="zh-CN"/>
              </w:rPr>
            </w:pPr>
            <w:r>
              <w:rPr>
                <w:rFonts w:hint="eastAsia" w:ascii="宋体" w:hAnsi="宋体" w:eastAsia="宋体" w:cs="宋体"/>
                <w:bCs/>
                <w:color w:val="auto"/>
                <w:highlight w:val="none"/>
                <w:lang w:val="zh-CN"/>
              </w:rPr>
              <w:t>用户名称</w:t>
            </w:r>
          </w:p>
        </w:tc>
        <w:tc>
          <w:tcPr>
            <w:tcW w:w="2043" w:type="dxa"/>
            <w:tcBorders>
              <w:top w:val="single" w:color="auto" w:sz="12" w:space="0"/>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cs="宋体"/>
                <w:bCs/>
                <w:color w:val="auto"/>
                <w:highlight w:val="none"/>
                <w:lang w:val="zh-CN"/>
              </w:rPr>
            </w:pPr>
            <w:r>
              <w:rPr>
                <w:rFonts w:hint="eastAsia" w:ascii="宋体" w:hAnsi="宋体" w:eastAsia="宋体" w:cs="宋体"/>
                <w:bCs/>
                <w:color w:val="auto"/>
                <w:highlight w:val="none"/>
                <w:lang w:val="zh-CN"/>
              </w:rPr>
              <w:t>地址、联系电话</w:t>
            </w:r>
          </w:p>
        </w:tc>
        <w:tc>
          <w:tcPr>
            <w:tcW w:w="1655" w:type="dxa"/>
            <w:tcBorders>
              <w:top w:val="single" w:color="auto" w:sz="12" w:space="0"/>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cs="宋体"/>
                <w:bCs/>
                <w:color w:val="auto"/>
                <w:highlight w:val="none"/>
                <w:lang w:val="zh-CN"/>
              </w:rPr>
            </w:pPr>
            <w:r>
              <w:rPr>
                <w:rFonts w:hint="eastAsia" w:ascii="宋体" w:hAnsi="宋体" w:eastAsia="宋体" w:cs="宋体"/>
                <w:bCs/>
                <w:color w:val="auto"/>
                <w:highlight w:val="none"/>
                <w:lang w:val="zh-CN"/>
              </w:rPr>
              <w:t>合同起止时间</w:t>
            </w:r>
          </w:p>
        </w:tc>
        <w:tc>
          <w:tcPr>
            <w:tcW w:w="1318" w:type="dxa"/>
            <w:tcBorders>
              <w:top w:val="single" w:color="auto" w:sz="12" w:space="0"/>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cs="宋体"/>
                <w:bCs/>
                <w:color w:val="auto"/>
                <w:highlight w:val="none"/>
                <w:lang w:val="zh-CN"/>
              </w:rPr>
            </w:pPr>
            <w:r>
              <w:rPr>
                <w:rFonts w:hint="eastAsia" w:ascii="宋体" w:hAnsi="宋体" w:eastAsia="宋体" w:cs="宋体"/>
                <w:bCs/>
                <w:color w:val="auto"/>
                <w:highlight w:val="none"/>
                <w:lang w:val="zh-CN"/>
              </w:rPr>
              <w:t>合同金额</w:t>
            </w:r>
          </w:p>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cs="宋体"/>
                <w:bCs/>
                <w:color w:val="auto"/>
                <w:highlight w:val="none"/>
                <w:lang w:val="zh-CN"/>
              </w:rPr>
            </w:pPr>
            <w:r>
              <w:rPr>
                <w:rFonts w:hint="eastAsia" w:ascii="宋体" w:hAnsi="宋体" w:eastAsia="宋体" w:cs="宋体"/>
                <w:bCs/>
                <w:color w:val="auto"/>
                <w:highlight w:val="none"/>
                <w:lang w:val="zh-CN"/>
              </w:rPr>
              <w:t>（万元）</w:t>
            </w:r>
          </w:p>
        </w:tc>
        <w:tc>
          <w:tcPr>
            <w:tcW w:w="1592" w:type="dxa"/>
            <w:tcBorders>
              <w:top w:val="single" w:color="auto" w:sz="12" w:space="0"/>
              <w:left w:val="single" w:color="auto" w:sz="4" w:space="0"/>
              <w:bottom w:val="single" w:color="auto" w:sz="4"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cs="宋体"/>
                <w:bCs/>
                <w:color w:val="auto"/>
                <w:highlight w:val="none"/>
                <w:lang w:val="zh-CN"/>
              </w:rPr>
            </w:pPr>
            <w:r>
              <w:rPr>
                <w:rFonts w:hint="eastAsia" w:ascii="宋体" w:hAnsi="宋体" w:eastAsia="宋体" w:cs="宋体"/>
                <w:bCs/>
                <w:color w:val="auto"/>
                <w:highlight w:val="none"/>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301" w:type="dxa"/>
            <w:tcBorders>
              <w:top w:val="single" w:color="auto" w:sz="4" w:space="0"/>
              <w:left w:val="single" w:color="auto" w:sz="12" w:space="0"/>
              <w:bottom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2043"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655"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318"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301" w:type="dxa"/>
            <w:tcBorders>
              <w:top w:val="single" w:color="auto" w:sz="4" w:space="0"/>
              <w:left w:val="single" w:color="auto" w:sz="12" w:space="0"/>
              <w:bottom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2043"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655"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318"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301" w:type="dxa"/>
            <w:tcBorders>
              <w:top w:val="single" w:color="auto" w:sz="4" w:space="0"/>
              <w:left w:val="single" w:color="auto" w:sz="12" w:space="0"/>
              <w:bottom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2043"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655"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318"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2301" w:type="dxa"/>
            <w:tcBorders>
              <w:top w:val="single" w:color="auto" w:sz="4" w:space="0"/>
              <w:left w:val="single" w:color="auto" w:sz="12" w:space="0"/>
              <w:bottom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2043"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655"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318" w:type="dxa"/>
            <w:tcBorders>
              <w:left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eastAsia="宋体" w:cs="宋体"/>
                <w:color w:val="auto"/>
                <w:sz w:val="24"/>
                <w:highlight w:val="none"/>
                <w:lang w:val="zh-CN"/>
              </w:rPr>
            </w:pPr>
          </w:p>
        </w:tc>
      </w:tr>
    </w:tbl>
    <w:p>
      <w:pPr>
        <w:snapToGrid w:val="0"/>
        <w:spacing w:line="360" w:lineRule="auto"/>
        <w:ind w:right="-21" w:rightChars="-10"/>
        <w:rPr>
          <w:rFonts w:ascii="宋体" w:hAnsi="宋体" w:eastAsia="宋体" w:cs="宋体"/>
          <w:color w:val="auto"/>
          <w:sz w:val="24"/>
          <w:highlight w:val="none"/>
        </w:rPr>
      </w:pPr>
      <w:r>
        <w:rPr>
          <w:rFonts w:hint="eastAsia" w:ascii="宋体" w:hAnsi="宋体" w:eastAsia="宋体" w:cs="宋体"/>
          <w:color w:val="auto"/>
          <w:sz w:val="24"/>
          <w:highlight w:val="none"/>
        </w:rPr>
        <w:t>附注：1.. 供应商可按此表格式复制。2、后附证明材料，证明材料详见评审办法及评分标准。</w:t>
      </w:r>
    </w:p>
    <w:p>
      <w:pPr>
        <w:snapToGrid w:val="0"/>
        <w:spacing w:line="360" w:lineRule="auto"/>
        <w:ind w:right="-21" w:rightChars="-10"/>
        <w:rPr>
          <w:rFonts w:ascii="宋体" w:hAnsi="宋体" w:eastAsia="宋体" w:cs="宋体"/>
          <w:color w:val="auto"/>
          <w:sz w:val="24"/>
          <w:highlight w:val="none"/>
        </w:rPr>
      </w:pPr>
    </w:p>
    <w:p>
      <w:pPr>
        <w:snapToGrid w:val="0"/>
        <w:spacing w:line="360" w:lineRule="auto"/>
        <w:ind w:right="-21" w:rightChars="-10"/>
        <w:rPr>
          <w:rFonts w:ascii="宋体" w:hAnsi="宋体" w:eastAsia="宋体" w:cs="宋体"/>
          <w:color w:val="auto"/>
          <w:sz w:val="24"/>
          <w:highlight w:val="none"/>
        </w:rPr>
      </w:pPr>
    </w:p>
    <w:p>
      <w:pPr>
        <w:snapToGrid w:val="0"/>
        <w:spacing w:line="360" w:lineRule="auto"/>
        <w:ind w:right="-21" w:rightChars="-10"/>
        <w:rPr>
          <w:rFonts w:ascii="宋体" w:hAnsi="宋体" w:eastAsia="宋体" w:cs="宋体"/>
          <w:color w:val="auto"/>
          <w:sz w:val="24"/>
          <w:highlight w:val="none"/>
        </w:rPr>
      </w:pPr>
      <w:r>
        <w:rPr>
          <w:rFonts w:hint="eastAsia" w:ascii="宋体" w:hAnsi="宋体" w:eastAsia="宋体" w:cs="宋体"/>
          <w:color w:val="auto"/>
          <w:sz w:val="24"/>
          <w:highlight w:val="none"/>
        </w:rPr>
        <w:t xml:space="preserve">供应商全称（公章）： </w:t>
      </w:r>
    </w:p>
    <w:p>
      <w:pPr>
        <w:snapToGrid w:val="0"/>
        <w:spacing w:line="360" w:lineRule="auto"/>
        <w:ind w:right="-21" w:rightChars="-10"/>
        <w:rPr>
          <w:rFonts w:ascii="宋体" w:hAnsi="宋体" w:eastAsia="宋体" w:cs="宋体"/>
          <w:color w:val="auto"/>
          <w:sz w:val="24"/>
          <w:highlight w:val="none"/>
        </w:rPr>
      </w:pPr>
    </w:p>
    <w:p>
      <w:pPr>
        <w:snapToGrid w:val="0"/>
        <w:spacing w:line="360" w:lineRule="auto"/>
        <w:ind w:right="-21" w:rightChars="-10"/>
        <w:rPr>
          <w:rFonts w:ascii="宋体" w:hAnsi="宋体" w:eastAsia="宋体" w:cs="宋体"/>
          <w:color w:val="auto"/>
          <w:sz w:val="24"/>
          <w:highlight w:val="none"/>
        </w:rPr>
      </w:pPr>
      <w:r>
        <w:rPr>
          <w:rFonts w:hint="eastAsia" w:ascii="宋体" w:hAnsi="宋体" w:eastAsia="宋体" w:cs="宋体"/>
          <w:color w:val="auto"/>
          <w:sz w:val="24"/>
          <w:highlight w:val="none"/>
        </w:rPr>
        <w:t>日期：</w:t>
      </w:r>
    </w:p>
    <w:p>
      <w:pPr>
        <w:shd w:val="clear" w:color="auto" w:fill="FFFFFF"/>
        <w:snapToGrid w:val="0"/>
        <w:spacing w:line="360" w:lineRule="auto"/>
        <w:ind w:firstLine="5160" w:firstLineChars="2150"/>
        <w:rPr>
          <w:rFonts w:ascii="宋体" w:hAnsi="宋体" w:eastAsia="宋体" w:cs="宋体"/>
          <w:color w:val="auto"/>
          <w:kern w:val="0"/>
          <w:sz w:val="24"/>
          <w:highlight w:val="none"/>
          <w:lang w:val="zh-CN"/>
        </w:rPr>
      </w:pPr>
    </w:p>
    <w:p>
      <w:pPr>
        <w:shd w:val="clear" w:color="auto" w:fill="FFFFFF"/>
        <w:snapToGrid w:val="0"/>
        <w:spacing w:line="360" w:lineRule="auto"/>
        <w:rPr>
          <w:rFonts w:ascii="宋体" w:hAnsi="宋体" w:eastAsia="宋体" w:cs="宋体"/>
          <w:color w:val="auto"/>
          <w:sz w:val="24"/>
          <w:highlight w:val="none"/>
        </w:rPr>
      </w:pPr>
    </w:p>
    <w:p>
      <w:pPr>
        <w:shd w:val="clear" w:color="auto" w:fill="FFFFFF"/>
        <w:snapToGrid w:val="0"/>
        <w:spacing w:line="360" w:lineRule="auto"/>
        <w:rPr>
          <w:rFonts w:ascii="宋体" w:hAnsi="宋体" w:eastAsia="宋体" w:cs="宋体"/>
          <w:color w:val="auto"/>
          <w:sz w:val="24"/>
          <w:highlight w:val="none"/>
        </w:rPr>
      </w:pPr>
    </w:p>
    <w:p>
      <w:pPr>
        <w:spacing w:line="400" w:lineRule="exact"/>
        <w:jc w:val="center"/>
        <w:rPr>
          <w:rFonts w:ascii="宋体" w:hAnsi="宋体" w:eastAsia="宋体" w:cs="宋体"/>
          <w:b/>
          <w:color w:val="auto"/>
          <w:sz w:val="32"/>
          <w:szCs w:val="32"/>
          <w:highlight w:val="none"/>
          <w:lang w:val="zh-CN"/>
        </w:rPr>
      </w:pPr>
    </w:p>
    <w:p>
      <w:pPr>
        <w:spacing w:line="400" w:lineRule="exact"/>
        <w:jc w:val="center"/>
        <w:rPr>
          <w:rFonts w:ascii="宋体" w:hAnsi="宋体" w:eastAsia="宋体" w:cs="宋体"/>
          <w:b/>
          <w:color w:val="auto"/>
          <w:sz w:val="32"/>
          <w:szCs w:val="32"/>
          <w:highlight w:val="none"/>
          <w:lang w:val="zh-CN"/>
        </w:rPr>
      </w:pPr>
    </w:p>
    <w:p>
      <w:pPr>
        <w:widowControl w:val="0"/>
        <w:autoSpaceDE w:val="0"/>
        <w:autoSpaceDN w:val="0"/>
        <w:adjustRightInd w:val="0"/>
        <w:spacing w:line="360" w:lineRule="auto"/>
        <w:ind w:firstLine="420"/>
        <w:jc w:val="both"/>
        <w:rPr>
          <w:rFonts w:ascii="宋体" w:hAnsi="宋体" w:eastAsia="宋体" w:cs="宋体"/>
          <w:color w:val="auto"/>
          <w:kern w:val="2"/>
          <w:sz w:val="24"/>
          <w:szCs w:val="28"/>
          <w:highlight w:val="none"/>
          <w:lang w:val="zh-CN" w:eastAsia="zh-CN" w:bidi="ar-SA"/>
        </w:rPr>
      </w:pPr>
    </w:p>
    <w:p>
      <w:pPr>
        <w:spacing w:line="400" w:lineRule="exact"/>
        <w:jc w:val="center"/>
        <w:rPr>
          <w:rFonts w:ascii="宋体" w:hAnsi="宋体" w:eastAsia="宋体" w:cs="宋体"/>
          <w:b/>
          <w:color w:val="auto"/>
          <w:sz w:val="32"/>
          <w:szCs w:val="32"/>
          <w:highlight w:val="none"/>
          <w:lang w:val="zh-CN"/>
        </w:rPr>
      </w:pPr>
    </w:p>
    <w:p>
      <w:pPr>
        <w:spacing w:line="400" w:lineRule="exact"/>
        <w:jc w:val="center"/>
        <w:rPr>
          <w:rFonts w:ascii="宋体" w:hAnsi="宋体" w:eastAsia="宋体" w:cs="宋体"/>
          <w:b/>
          <w:color w:val="auto"/>
          <w:sz w:val="32"/>
          <w:szCs w:val="32"/>
          <w:highlight w:val="none"/>
          <w:lang w:val="zh-CN"/>
        </w:rPr>
      </w:pPr>
    </w:p>
    <w:p>
      <w:pPr>
        <w:spacing w:line="400" w:lineRule="exact"/>
        <w:jc w:val="center"/>
        <w:rPr>
          <w:rFonts w:ascii="宋体" w:hAnsi="宋体" w:eastAsia="宋体" w:cs="宋体"/>
          <w:b/>
          <w:color w:val="auto"/>
          <w:sz w:val="32"/>
          <w:szCs w:val="32"/>
          <w:highlight w:val="none"/>
          <w:lang w:val="zh-CN"/>
        </w:rPr>
      </w:pPr>
    </w:p>
    <w:p>
      <w:pPr>
        <w:spacing w:line="400" w:lineRule="exact"/>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七</w:t>
      </w:r>
      <w:r>
        <w:rPr>
          <w:rFonts w:hint="eastAsia" w:ascii="宋体" w:hAnsi="宋体" w:eastAsia="宋体" w:cs="宋体"/>
          <w:b/>
          <w:color w:val="auto"/>
          <w:sz w:val="32"/>
          <w:szCs w:val="32"/>
          <w:highlight w:val="none"/>
          <w:lang w:val="zh-CN"/>
        </w:rPr>
        <w:t>、</w:t>
      </w:r>
      <w:r>
        <w:rPr>
          <w:rFonts w:hint="eastAsia" w:ascii="宋体" w:hAnsi="宋体" w:eastAsia="宋体" w:cs="宋体"/>
          <w:b/>
          <w:color w:val="auto"/>
          <w:sz w:val="32"/>
          <w:szCs w:val="32"/>
          <w:highlight w:val="none"/>
        </w:rPr>
        <w:t xml:space="preserve">项目方案说明（自行编制） </w:t>
      </w:r>
    </w:p>
    <w:p>
      <w:pPr>
        <w:widowControl w:val="0"/>
        <w:snapToGrid w:val="0"/>
        <w:spacing w:line="360" w:lineRule="auto"/>
        <w:ind w:firstLine="643" w:firstLineChars="200"/>
        <w:jc w:val="center"/>
        <w:outlineLvl w:val="2"/>
        <w:rPr>
          <w:rFonts w:ascii="宋体" w:hAnsi="宋体" w:eastAsia="宋体" w:cs="宋体"/>
          <w:b/>
          <w:color w:val="auto"/>
          <w:kern w:val="2"/>
          <w:sz w:val="32"/>
          <w:szCs w:val="32"/>
          <w:highlight w:val="none"/>
          <w:lang w:val="zh-CN" w:eastAsia="zh-CN" w:bidi="ar-SA"/>
        </w:rPr>
      </w:pPr>
    </w:p>
    <w:p>
      <w:pPr>
        <w:tabs>
          <w:tab w:val="left" w:pos="930"/>
        </w:tabs>
        <w:autoSpaceDE w:val="0"/>
        <w:autoSpaceDN w:val="0"/>
        <w:snapToGrid w:val="0"/>
        <w:spacing w:line="360" w:lineRule="auto"/>
        <w:ind w:firstLine="480"/>
        <w:rPr>
          <w:rFonts w:ascii="宋体" w:hAnsi="宋体" w:eastAsia="宋体" w:cs="宋体"/>
          <w:color w:val="auto"/>
          <w:kern w:val="0"/>
          <w:sz w:val="24"/>
          <w:highlight w:val="none"/>
          <w:lang w:val="zh-CN"/>
        </w:rPr>
      </w:pPr>
    </w:p>
    <w:p>
      <w:pPr>
        <w:keepNext/>
        <w:spacing w:line="360" w:lineRule="auto"/>
        <w:jc w:val="center"/>
        <w:outlineLvl w:val="0"/>
        <w:rPr>
          <w:rFonts w:ascii="宋体" w:hAnsi="宋体" w:eastAsia="宋体" w:cs="宋体"/>
          <w:b/>
          <w:color w:val="auto"/>
          <w:kern w:val="36"/>
          <w:sz w:val="32"/>
          <w:szCs w:val="28"/>
          <w:highlight w:val="none"/>
          <w:lang w:val="zh-CN" w:eastAsia="zh-CN" w:bidi="ar-SA"/>
        </w:rPr>
      </w:pPr>
    </w:p>
    <w:p>
      <w:pPr>
        <w:widowControl w:val="0"/>
        <w:snapToGrid w:val="0"/>
        <w:spacing w:line="360" w:lineRule="auto"/>
        <w:ind w:firstLine="0"/>
        <w:jc w:val="center"/>
        <w:rPr>
          <w:rFonts w:ascii="宋体" w:hAnsi="宋体" w:eastAsia="宋体" w:cs="宋体"/>
          <w:color w:val="auto"/>
          <w:kern w:val="2"/>
          <w:sz w:val="24"/>
          <w:szCs w:val="28"/>
          <w:highlight w:val="none"/>
          <w:lang w:val="en-US" w:eastAsia="zh-CN" w:bidi="ar-SA"/>
        </w:rPr>
      </w:pPr>
    </w:p>
    <w:p>
      <w:pPr>
        <w:autoSpaceDE w:val="0"/>
        <w:autoSpaceDN w:val="0"/>
        <w:snapToGrid w:val="0"/>
        <w:spacing w:line="360" w:lineRule="auto"/>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ascii="宋体" w:hAnsi="宋体" w:eastAsia="宋体" w:cs="宋体"/>
          <w:color w:val="auto"/>
          <w:kern w:val="0"/>
          <w:sz w:val="24"/>
          <w:highlight w:val="none"/>
          <w:lang w:val="zh-CN"/>
        </w:rPr>
      </w:pPr>
    </w:p>
    <w:p>
      <w:pPr>
        <w:autoSpaceDE w:val="0"/>
        <w:autoSpaceDN w:val="0"/>
        <w:snapToGrid w:val="0"/>
        <w:spacing w:line="360" w:lineRule="auto"/>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widowControl w:val="0"/>
        <w:snapToGrid w:val="0"/>
        <w:spacing w:line="360" w:lineRule="auto"/>
        <w:ind w:firstLine="0"/>
        <w:jc w:val="center"/>
        <w:rPr>
          <w:rFonts w:ascii="宋体" w:hAnsi="宋体" w:eastAsia="宋体" w:cs="宋体"/>
          <w:color w:val="auto"/>
          <w:kern w:val="2"/>
          <w:sz w:val="24"/>
          <w:szCs w:val="28"/>
          <w:highlight w:val="none"/>
          <w:lang w:val="en-US" w:eastAsia="zh-CN" w:bidi="ar-SA"/>
        </w:rPr>
      </w:pPr>
    </w:p>
    <w:p>
      <w:pPr>
        <w:widowControl w:val="0"/>
        <w:snapToGrid w:val="0"/>
        <w:spacing w:line="360" w:lineRule="auto"/>
        <w:ind w:firstLine="0"/>
        <w:jc w:val="center"/>
        <w:rPr>
          <w:rFonts w:ascii="宋体" w:hAnsi="宋体" w:eastAsia="宋体" w:cs="宋体"/>
          <w:color w:val="auto"/>
          <w:kern w:val="2"/>
          <w:sz w:val="24"/>
          <w:szCs w:val="28"/>
          <w:highlight w:val="none"/>
          <w:lang w:val="en-US" w:eastAsia="zh-CN" w:bidi="ar-SA"/>
        </w:rPr>
      </w:pPr>
    </w:p>
    <w:p>
      <w:pPr>
        <w:autoSpaceDE w:val="0"/>
        <w:autoSpaceDN w:val="0"/>
        <w:snapToGrid w:val="0"/>
        <w:spacing w:line="360" w:lineRule="auto"/>
        <w:rPr>
          <w:rFonts w:ascii="宋体" w:hAnsi="宋体" w:eastAsia="宋体" w:cs="宋体"/>
          <w:color w:val="auto"/>
          <w:kern w:val="0"/>
          <w:sz w:val="24"/>
          <w:highlight w:val="none"/>
          <w:lang w:val="zh-CN"/>
        </w:rPr>
      </w:pPr>
    </w:p>
    <w:p>
      <w:pPr>
        <w:widowControl w:val="0"/>
        <w:snapToGrid w:val="0"/>
        <w:spacing w:line="360" w:lineRule="auto"/>
        <w:ind w:firstLine="570"/>
        <w:jc w:val="both"/>
        <w:rPr>
          <w:rFonts w:ascii="宋体" w:hAnsi="宋体" w:eastAsia="宋体" w:cs="宋体"/>
          <w:color w:val="auto"/>
          <w:kern w:val="2"/>
          <w:sz w:val="28"/>
          <w:szCs w:val="28"/>
          <w:highlight w:val="none"/>
          <w:lang w:val="zh-CN" w:eastAsia="zh-CN" w:bidi="ar-SA"/>
        </w:rPr>
      </w:pPr>
    </w:p>
    <w:p>
      <w:pPr>
        <w:spacing w:line="500" w:lineRule="exact"/>
        <w:ind w:firstLine="321" w:firstLineChars="100"/>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八、投标方案、优惠和承诺、维护方案、售后服务方案</w:t>
      </w:r>
      <w:r>
        <w:rPr>
          <w:rFonts w:hint="eastAsia" w:ascii="宋体" w:hAnsi="宋体" w:eastAsia="宋体" w:cs="宋体"/>
          <w:color w:val="auto"/>
          <w:sz w:val="32"/>
          <w:szCs w:val="32"/>
          <w:highlight w:val="none"/>
        </w:rPr>
        <w:t xml:space="preserve">（自行编制） </w:t>
      </w:r>
    </w:p>
    <w:p>
      <w:pPr>
        <w:spacing w:line="500" w:lineRule="exact"/>
        <w:ind w:firstLine="241" w:firstLineChars="100"/>
        <w:jc w:val="center"/>
        <w:rPr>
          <w:rFonts w:ascii="宋体" w:hAnsi="宋体" w:eastAsia="宋体" w:cs="宋体"/>
          <w:b/>
          <w:color w:val="auto"/>
          <w:sz w:val="24"/>
          <w:highlight w:val="none"/>
        </w:rPr>
      </w:pPr>
    </w:p>
    <w:p>
      <w:pPr>
        <w:spacing w:line="500" w:lineRule="exact"/>
        <w:ind w:left="942" w:leftChars="71" w:hanging="793" w:hangingChars="247"/>
        <w:jc w:val="center"/>
        <w:rPr>
          <w:rFonts w:ascii="宋体" w:hAnsi="宋体" w:eastAsia="宋体" w:cs="宋体"/>
          <w:b/>
          <w:color w:val="auto"/>
          <w:sz w:val="32"/>
          <w:szCs w:val="32"/>
          <w:highlight w:val="none"/>
        </w:rPr>
      </w:pPr>
    </w:p>
    <w:p>
      <w:pPr>
        <w:keepNext/>
        <w:spacing w:line="360" w:lineRule="auto"/>
        <w:jc w:val="center"/>
        <w:outlineLvl w:val="0"/>
        <w:rPr>
          <w:rFonts w:ascii="宋体" w:hAnsi="宋体" w:eastAsia="宋体" w:cs="宋体"/>
          <w:b/>
          <w:color w:val="auto"/>
          <w:kern w:val="36"/>
          <w:sz w:val="32"/>
          <w:szCs w:val="28"/>
          <w:highlight w:val="none"/>
          <w:lang w:val="en-US" w:eastAsia="zh-CN" w:bidi="ar-SA"/>
        </w:rPr>
      </w:pPr>
    </w:p>
    <w:p>
      <w:pPr>
        <w:autoSpaceDE w:val="0"/>
        <w:autoSpaceDN w:val="0"/>
        <w:snapToGrid w:val="0"/>
        <w:spacing w:line="360" w:lineRule="auto"/>
        <w:ind w:firstLine="5160" w:firstLineChars="2150"/>
        <w:rPr>
          <w:rFonts w:ascii="宋体" w:hAnsi="宋体" w:eastAsia="宋体" w:cs="宋体"/>
          <w:color w:val="auto"/>
          <w:kern w:val="0"/>
          <w:sz w:val="24"/>
          <w:highlight w:val="none"/>
          <w:lang w:val="zh-CN"/>
        </w:rPr>
      </w:pPr>
    </w:p>
    <w:p>
      <w:pPr>
        <w:autoSpaceDE w:val="0"/>
        <w:autoSpaceDN w:val="0"/>
        <w:snapToGrid w:val="0"/>
        <w:spacing w:line="360" w:lineRule="auto"/>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ascii="宋体" w:hAnsi="宋体" w:eastAsia="宋体" w:cs="宋体"/>
          <w:color w:val="auto"/>
          <w:kern w:val="0"/>
          <w:sz w:val="24"/>
          <w:highlight w:val="none"/>
          <w:lang w:val="zh-CN"/>
        </w:rPr>
      </w:pPr>
    </w:p>
    <w:p>
      <w:pPr>
        <w:autoSpaceDE w:val="0"/>
        <w:autoSpaceDN w:val="0"/>
        <w:snapToGrid w:val="0"/>
        <w:spacing w:line="360" w:lineRule="auto"/>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autoSpaceDE w:val="0"/>
        <w:autoSpaceDN w:val="0"/>
        <w:snapToGrid w:val="0"/>
        <w:spacing w:line="360" w:lineRule="auto"/>
        <w:ind w:firstLine="5160" w:firstLineChars="2150"/>
        <w:rPr>
          <w:rFonts w:ascii="宋体" w:hAnsi="宋体" w:eastAsia="宋体" w:cs="宋体"/>
          <w:color w:val="auto"/>
          <w:kern w:val="0"/>
          <w:sz w:val="24"/>
          <w:highlight w:val="none"/>
          <w:lang w:val="zh-CN"/>
        </w:rPr>
      </w:pPr>
    </w:p>
    <w:p>
      <w:pPr>
        <w:snapToGrid w:val="0"/>
        <w:spacing w:line="360" w:lineRule="auto"/>
        <w:ind w:firstLine="211" w:firstLineChars="100"/>
        <w:rPr>
          <w:rFonts w:ascii="宋体" w:hAnsi="宋体" w:eastAsia="宋体" w:cs="宋体"/>
          <w:b/>
          <w:bCs/>
          <w:color w:val="auto"/>
          <w:highlight w:val="none"/>
        </w:rPr>
      </w:pPr>
    </w:p>
    <w:p>
      <w:pPr>
        <w:autoSpaceDE w:val="0"/>
        <w:autoSpaceDN w:val="0"/>
        <w:snapToGrid w:val="0"/>
        <w:spacing w:line="360" w:lineRule="auto"/>
        <w:jc w:val="left"/>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九、                 服务承诺</w:t>
      </w:r>
      <w:r>
        <w:rPr>
          <w:rFonts w:hint="eastAsia" w:ascii="宋体" w:hAnsi="宋体" w:eastAsia="宋体" w:cs="宋体"/>
          <w:color w:val="auto"/>
          <w:sz w:val="32"/>
          <w:szCs w:val="32"/>
          <w:highlight w:val="none"/>
        </w:rPr>
        <w:t>（自行编制）</w:t>
      </w:r>
    </w:p>
    <w:p>
      <w:pPr>
        <w:widowControl w:val="0"/>
        <w:snapToGrid w:val="0"/>
        <w:spacing w:line="360" w:lineRule="auto"/>
        <w:jc w:val="center"/>
        <w:outlineLvl w:val="2"/>
        <w:rPr>
          <w:rFonts w:ascii="宋体" w:hAnsi="宋体" w:eastAsia="宋体" w:cs="宋体"/>
          <w:color w:val="auto"/>
          <w:kern w:val="2"/>
          <w:sz w:val="32"/>
          <w:szCs w:val="32"/>
          <w:highlight w:val="none"/>
          <w:lang w:val="en-US" w:eastAsia="zh-CN" w:bidi="ar-SA"/>
        </w:rPr>
      </w:pPr>
    </w:p>
    <w:p>
      <w:pPr>
        <w:widowControl w:val="0"/>
        <w:snapToGrid w:val="0"/>
        <w:spacing w:line="360" w:lineRule="auto"/>
        <w:jc w:val="both"/>
        <w:outlineLvl w:val="2"/>
        <w:rPr>
          <w:rFonts w:ascii="宋体" w:hAnsi="宋体" w:eastAsia="宋体" w:cs="宋体"/>
          <w:color w:val="auto"/>
          <w:kern w:val="2"/>
          <w:sz w:val="32"/>
          <w:szCs w:val="32"/>
          <w:highlight w:val="none"/>
          <w:lang w:val="en-US" w:eastAsia="zh-CN" w:bidi="ar-SA"/>
        </w:rPr>
      </w:pPr>
    </w:p>
    <w:p>
      <w:pPr>
        <w:autoSpaceDE w:val="0"/>
        <w:autoSpaceDN w:val="0"/>
        <w:snapToGrid w:val="0"/>
        <w:spacing w:line="360" w:lineRule="auto"/>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ascii="宋体" w:hAnsi="宋体" w:eastAsia="宋体" w:cs="宋体"/>
          <w:color w:val="auto"/>
          <w:kern w:val="0"/>
          <w:sz w:val="24"/>
          <w:highlight w:val="none"/>
          <w:lang w:val="zh-CN"/>
        </w:rPr>
      </w:pPr>
    </w:p>
    <w:p>
      <w:pPr>
        <w:autoSpaceDE w:val="0"/>
        <w:autoSpaceDN w:val="0"/>
        <w:snapToGrid w:val="0"/>
        <w:spacing w:line="360" w:lineRule="auto"/>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widowControl w:val="0"/>
        <w:snapToGrid w:val="0"/>
        <w:spacing w:line="360" w:lineRule="auto"/>
        <w:ind w:firstLine="643" w:firstLineChars="200"/>
        <w:jc w:val="center"/>
        <w:outlineLvl w:val="2"/>
        <w:rPr>
          <w:rFonts w:ascii="宋体" w:hAnsi="宋体" w:eastAsia="宋体" w:cs="宋体"/>
          <w:b/>
          <w:color w:val="auto"/>
          <w:kern w:val="2"/>
          <w:sz w:val="32"/>
          <w:szCs w:val="32"/>
          <w:highlight w:val="none"/>
          <w:lang w:val="en-US" w:eastAsia="zh-CN" w:bidi="ar-SA"/>
        </w:rPr>
      </w:pPr>
    </w:p>
    <w:p>
      <w:pPr>
        <w:widowControl w:val="0"/>
        <w:snapToGrid w:val="0"/>
        <w:spacing w:line="360" w:lineRule="auto"/>
        <w:ind w:firstLine="643" w:firstLineChars="200"/>
        <w:jc w:val="center"/>
        <w:outlineLvl w:val="2"/>
        <w:rPr>
          <w:rFonts w:ascii="宋体" w:hAnsi="宋体" w:eastAsia="宋体" w:cs="宋体"/>
          <w:b/>
          <w:color w:val="auto"/>
          <w:kern w:val="2"/>
          <w:sz w:val="32"/>
          <w:szCs w:val="32"/>
          <w:highlight w:val="none"/>
          <w:lang w:val="zh-CN" w:eastAsia="zh-CN" w:bidi="ar-SA"/>
        </w:rPr>
      </w:pPr>
      <w:r>
        <w:rPr>
          <w:rFonts w:hint="eastAsia" w:ascii="宋体" w:hAnsi="宋体" w:eastAsia="宋体" w:cs="宋体"/>
          <w:b/>
          <w:color w:val="auto"/>
          <w:kern w:val="2"/>
          <w:sz w:val="32"/>
          <w:szCs w:val="32"/>
          <w:highlight w:val="none"/>
          <w:lang w:val="en-US" w:eastAsia="zh-CN" w:bidi="ar-SA"/>
        </w:rPr>
        <w:t>十</w:t>
      </w:r>
      <w:r>
        <w:rPr>
          <w:rFonts w:hint="eastAsia" w:ascii="宋体" w:hAnsi="宋体" w:eastAsia="宋体" w:cs="宋体"/>
          <w:b/>
          <w:color w:val="auto"/>
          <w:kern w:val="2"/>
          <w:sz w:val="32"/>
          <w:szCs w:val="32"/>
          <w:highlight w:val="none"/>
          <w:lang w:val="zh-CN" w:eastAsia="zh-CN" w:bidi="ar-SA"/>
        </w:rPr>
        <w:t>、其他必要提供的资料</w:t>
      </w:r>
    </w:p>
    <w:p>
      <w:pPr>
        <w:shd w:val="clear" w:color="auto" w:fill="FFFFFF"/>
        <w:snapToGrid w:val="0"/>
        <w:spacing w:line="360" w:lineRule="auto"/>
        <w:jc w:val="center"/>
        <w:rPr>
          <w:rFonts w:ascii="宋体" w:hAnsi="宋体" w:eastAsia="宋体" w:cs="宋体"/>
          <w:b/>
          <w:bCs/>
          <w:color w:val="auto"/>
          <w:sz w:val="24"/>
          <w:highlight w:val="none"/>
        </w:rPr>
      </w:pPr>
    </w:p>
    <w:p>
      <w:pPr>
        <w:keepNext/>
        <w:spacing w:line="360" w:lineRule="auto"/>
        <w:jc w:val="center"/>
        <w:outlineLvl w:val="0"/>
        <w:rPr>
          <w:rFonts w:ascii="宋体" w:hAnsi="宋体" w:eastAsia="宋体" w:cs="宋体"/>
          <w:b w:val="0"/>
          <w:bCs/>
          <w:color w:val="auto"/>
          <w:kern w:val="36"/>
          <w:sz w:val="24"/>
          <w:szCs w:val="28"/>
          <w:highlight w:val="none"/>
          <w:lang w:val="en-US" w:eastAsia="zh-CN" w:bidi="ar-SA"/>
        </w:rPr>
      </w:pPr>
    </w:p>
    <w:p>
      <w:pPr>
        <w:rPr>
          <w:rFonts w:ascii="宋体" w:hAnsi="宋体" w:eastAsia="宋体" w:cs="宋体"/>
          <w:b/>
          <w:bCs/>
          <w:color w:val="auto"/>
          <w:sz w:val="24"/>
          <w:highlight w:val="none"/>
        </w:rPr>
      </w:pPr>
    </w:p>
    <w:p>
      <w:pPr>
        <w:keepNext/>
        <w:spacing w:line="360" w:lineRule="auto"/>
        <w:jc w:val="center"/>
        <w:outlineLvl w:val="0"/>
        <w:rPr>
          <w:rFonts w:ascii="宋体" w:hAnsi="宋体" w:eastAsia="宋体" w:cs="宋体"/>
          <w:b/>
          <w:color w:val="auto"/>
          <w:kern w:val="36"/>
          <w:sz w:val="32"/>
          <w:szCs w:val="28"/>
          <w:highlight w:val="none"/>
          <w:lang w:val="en-US" w:eastAsia="zh-CN" w:bidi="ar-SA"/>
        </w:rPr>
      </w:pPr>
    </w:p>
    <w:p>
      <w:pPr>
        <w:autoSpaceDE w:val="0"/>
        <w:autoSpaceDN w:val="0"/>
        <w:snapToGrid w:val="0"/>
        <w:spacing w:line="360" w:lineRule="auto"/>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ascii="宋体" w:hAnsi="宋体" w:eastAsia="宋体" w:cs="宋体"/>
          <w:color w:val="auto"/>
          <w:kern w:val="0"/>
          <w:sz w:val="24"/>
          <w:highlight w:val="none"/>
          <w:lang w:val="zh-CN"/>
        </w:rPr>
      </w:pPr>
    </w:p>
    <w:p>
      <w:pPr>
        <w:autoSpaceDE w:val="0"/>
        <w:autoSpaceDN w:val="0"/>
        <w:snapToGrid w:val="0"/>
        <w:spacing w:line="360" w:lineRule="auto"/>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widowControl w:val="0"/>
        <w:autoSpaceDE w:val="0"/>
        <w:autoSpaceDN w:val="0"/>
        <w:adjustRightInd w:val="0"/>
        <w:spacing w:line="360" w:lineRule="auto"/>
        <w:ind w:firstLine="420"/>
        <w:jc w:val="both"/>
        <w:rPr>
          <w:rFonts w:ascii="宋体" w:hAnsi="宋体" w:eastAsia="宋体" w:cs="宋体"/>
          <w:color w:val="auto"/>
          <w:kern w:val="0"/>
          <w:sz w:val="24"/>
          <w:szCs w:val="28"/>
          <w:highlight w:val="none"/>
          <w:lang w:val="zh-CN" w:eastAsia="zh-CN" w:bidi="ar-SA"/>
        </w:rPr>
      </w:pPr>
    </w:p>
    <w:p>
      <w:pPr>
        <w:widowControl w:val="0"/>
        <w:autoSpaceDE w:val="0"/>
        <w:autoSpaceDN w:val="0"/>
        <w:adjustRightInd w:val="0"/>
        <w:spacing w:line="360" w:lineRule="auto"/>
        <w:ind w:firstLine="420"/>
        <w:jc w:val="both"/>
        <w:rPr>
          <w:rFonts w:ascii="宋体" w:hAnsi="宋体" w:eastAsia="宋体" w:cs="宋体"/>
          <w:color w:val="auto"/>
          <w:kern w:val="0"/>
          <w:sz w:val="24"/>
          <w:szCs w:val="28"/>
          <w:highlight w:val="none"/>
          <w:lang w:val="zh-CN" w:eastAsia="zh-CN" w:bidi="ar-SA"/>
        </w:rPr>
      </w:pPr>
    </w:p>
    <w:p>
      <w:pPr>
        <w:shd w:val="clear" w:color="auto" w:fill="FFFFFF"/>
        <w:snapToGrid w:val="0"/>
        <w:spacing w:line="360" w:lineRule="auto"/>
        <w:jc w:val="center"/>
        <w:rPr>
          <w:rFonts w:ascii="宋体" w:hAnsi="宋体" w:eastAsia="宋体" w:cs="宋体"/>
          <w:b/>
          <w:bCs/>
          <w:color w:val="auto"/>
          <w:sz w:val="24"/>
          <w:highlight w:val="none"/>
        </w:rPr>
      </w:pPr>
      <w:r>
        <w:rPr>
          <w:rFonts w:hint="eastAsia" w:ascii="宋体" w:hAnsi="宋体" w:eastAsia="宋体" w:cs="宋体"/>
          <w:b/>
          <w:color w:val="auto"/>
          <w:sz w:val="32"/>
          <w:szCs w:val="32"/>
          <w:highlight w:val="none"/>
        </w:rPr>
        <w:t>十一</w:t>
      </w:r>
      <w:r>
        <w:rPr>
          <w:rFonts w:hint="eastAsia" w:ascii="宋体" w:hAnsi="宋体" w:eastAsia="宋体" w:cs="宋体"/>
          <w:b/>
          <w:color w:val="auto"/>
          <w:sz w:val="32"/>
          <w:szCs w:val="32"/>
          <w:highlight w:val="none"/>
          <w:lang w:val="zh-CN"/>
        </w:rPr>
        <w:t>、投标供应商认为需要的其他文件资料</w:t>
      </w:r>
    </w:p>
    <w:p>
      <w:pPr>
        <w:keepNext/>
        <w:spacing w:line="360" w:lineRule="auto"/>
        <w:jc w:val="center"/>
        <w:outlineLvl w:val="0"/>
        <w:rPr>
          <w:rFonts w:ascii="宋体" w:hAnsi="宋体" w:eastAsia="宋体" w:cs="宋体"/>
          <w:b w:val="0"/>
          <w:bCs/>
          <w:color w:val="auto"/>
          <w:kern w:val="36"/>
          <w:sz w:val="24"/>
          <w:szCs w:val="28"/>
          <w:highlight w:val="none"/>
          <w:lang w:val="en-US" w:eastAsia="zh-CN" w:bidi="ar-SA"/>
        </w:rPr>
      </w:pPr>
    </w:p>
    <w:p>
      <w:pPr>
        <w:rPr>
          <w:rFonts w:ascii="宋体" w:hAnsi="宋体" w:eastAsia="宋体" w:cs="宋体"/>
          <w:b/>
          <w:bCs/>
          <w:color w:val="auto"/>
          <w:sz w:val="24"/>
          <w:highlight w:val="none"/>
        </w:rPr>
      </w:pPr>
    </w:p>
    <w:p>
      <w:pPr>
        <w:keepNext/>
        <w:spacing w:line="360" w:lineRule="auto"/>
        <w:jc w:val="center"/>
        <w:outlineLvl w:val="0"/>
        <w:rPr>
          <w:rFonts w:ascii="宋体" w:hAnsi="宋体" w:eastAsia="宋体" w:cs="宋体"/>
          <w:b/>
          <w:color w:val="auto"/>
          <w:kern w:val="36"/>
          <w:sz w:val="32"/>
          <w:szCs w:val="28"/>
          <w:highlight w:val="none"/>
          <w:lang w:val="en-US" w:eastAsia="zh-CN" w:bidi="ar-SA"/>
        </w:rPr>
      </w:pPr>
    </w:p>
    <w:p>
      <w:pPr>
        <w:autoSpaceDE w:val="0"/>
        <w:autoSpaceDN w:val="0"/>
        <w:snapToGrid w:val="0"/>
        <w:spacing w:line="360" w:lineRule="auto"/>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ascii="宋体" w:hAnsi="宋体" w:eastAsia="宋体" w:cs="宋体"/>
          <w:color w:val="auto"/>
          <w:kern w:val="0"/>
          <w:sz w:val="24"/>
          <w:highlight w:val="none"/>
          <w:lang w:val="zh-CN"/>
        </w:rPr>
      </w:pPr>
    </w:p>
    <w:p>
      <w:pPr>
        <w:autoSpaceDE w:val="0"/>
        <w:autoSpaceDN w:val="0"/>
        <w:snapToGrid w:val="0"/>
        <w:spacing w:line="360" w:lineRule="auto"/>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rPr>
          <w:rFonts w:ascii="宋体" w:hAnsi="宋体" w:eastAsia="宋体" w:cs="宋体"/>
          <w:color w:val="auto"/>
          <w:highlight w:val="none"/>
        </w:rPr>
      </w:pPr>
    </w:p>
    <w:p>
      <w:pPr>
        <w:keepNext/>
        <w:keepLines/>
        <w:numPr>
          <w:ilvl w:val="2"/>
          <w:numId w:val="12"/>
        </w:numPr>
        <w:tabs>
          <w:tab w:val="left" w:pos="3600"/>
        </w:tabs>
        <w:spacing w:before="0" w:after="120" w:line="700" w:lineRule="exact"/>
        <w:jc w:val="center"/>
        <w:outlineLvl w:val="2"/>
        <w:rPr>
          <w:rFonts w:ascii="宋体" w:hAnsi="宋体" w:eastAsia="宋体" w:cs="宋体"/>
          <w:b/>
          <w:color w:val="auto"/>
          <w:sz w:val="32"/>
          <w:szCs w:val="28"/>
          <w:highlight w:val="none"/>
          <w:lang w:val="en-US" w:eastAsia="zh-CN" w:bidi="ar-SA"/>
        </w:rPr>
      </w:pPr>
    </w:p>
    <w:p>
      <w:pPr>
        <w:keepNext/>
        <w:keepLines/>
        <w:numPr>
          <w:ilvl w:val="2"/>
          <w:numId w:val="12"/>
        </w:numPr>
        <w:tabs>
          <w:tab w:val="left" w:pos="3600"/>
        </w:tabs>
        <w:spacing w:before="0" w:after="120" w:line="700" w:lineRule="exact"/>
        <w:jc w:val="center"/>
        <w:outlineLvl w:val="2"/>
        <w:rPr>
          <w:rFonts w:ascii="宋体" w:hAnsi="宋体" w:eastAsia="宋体" w:cs="宋体"/>
          <w:b/>
          <w:color w:val="auto"/>
          <w:sz w:val="32"/>
          <w:szCs w:val="28"/>
          <w:highlight w:val="none"/>
          <w:lang w:val="en-US" w:eastAsia="zh-CN" w:bidi="ar-SA"/>
        </w:rPr>
      </w:pPr>
    </w:p>
    <w:p>
      <w:pPr>
        <w:keepNext/>
        <w:keepLines/>
        <w:numPr>
          <w:ilvl w:val="2"/>
          <w:numId w:val="12"/>
        </w:numPr>
        <w:tabs>
          <w:tab w:val="left" w:pos="3600"/>
        </w:tabs>
        <w:spacing w:before="0" w:after="120" w:line="700" w:lineRule="exact"/>
        <w:jc w:val="center"/>
        <w:outlineLvl w:val="2"/>
        <w:rPr>
          <w:rFonts w:ascii="宋体" w:hAnsi="宋体" w:eastAsia="宋体" w:cs="宋体"/>
          <w:b/>
          <w:color w:val="auto"/>
          <w:sz w:val="32"/>
          <w:szCs w:val="28"/>
          <w:highlight w:val="none"/>
          <w:lang w:val="en-US" w:eastAsia="zh-CN" w:bidi="ar-SA"/>
        </w:rPr>
      </w:pPr>
    </w:p>
    <w:p>
      <w:pPr>
        <w:rPr>
          <w:rFonts w:ascii="宋体" w:hAnsi="宋体" w:eastAsia="宋体" w:cs="宋体"/>
          <w:color w:val="auto"/>
          <w:highlight w:val="none"/>
        </w:rPr>
      </w:pPr>
    </w:p>
    <w:p>
      <w:pPr>
        <w:widowControl w:val="0"/>
        <w:spacing w:line="480" w:lineRule="atLeast"/>
        <w:ind w:firstLine="570"/>
        <w:jc w:val="both"/>
        <w:rPr>
          <w:rFonts w:ascii="宋体" w:hAnsi="宋体" w:eastAsia="宋体" w:cs="宋体"/>
          <w:color w:val="auto"/>
          <w:kern w:val="2"/>
          <w:sz w:val="28"/>
          <w:szCs w:val="28"/>
          <w:highlight w:val="none"/>
          <w:lang w:val="en-US" w:eastAsia="zh-CN" w:bidi="ar-SA"/>
        </w:rPr>
      </w:pPr>
    </w:p>
    <w:p>
      <w:pPr>
        <w:rPr>
          <w:rFonts w:ascii="宋体" w:hAnsi="宋体" w:eastAsia="宋体" w:cs="宋体"/>
          <w:color w:val="auto"/>
          <w:highlight w:val="none"/>
        </w:rPr>
      </w:pPr>
    </w:p>
    <w:p>
      <w:pPr>
        <w:widowControl w:val="0"/>
        <w:spacing w:line="480" w:lineRule="atLeast"/>
        <w:ind w:firstLine="570"/>
        <w:jc w:val="both"/>
        <w:rPr>
          <w:rFonts w:ascii="宋体" w:hAnsi="宋体" w:eastAsia="宋体" w:cs="宋体"/>
          <w:color w:val="auto"/>
          <w:kern w:val="2"/>
          <w:sz w:val="28"/>
          <w:szCs w:val="28"/>
          <w:highlight w:val="none"/>
          <w:lang w:val="en-US" w:eastAsia="zh-CN" w:bidi="ar-SA"/>
        </w:rPr>
      </w:pPr>
    </w:p>
    <w:p>
      <w:pPr>
        <w:rPr>
          <w:rFonts w:ascii="宋体" w:hAnsi="宋体" w:eastAsia="宋体" w:cs="宋体"/>
          <w:color w:val="auto"/>
          <w:highlight w:val="none"/>
        </w:rPr>
      </w:pPr>
    </w:p>
    <w:p>
      <w:pPr>
        <w:widowControl w:val="0"/>
        <w:spacing w:line="480" w:lineRule="atLeast"/>
        <w:ind w:firstLine="570"/>
        <w:jc w:val="both"/>
        <w:rPr>
          <w:rFonts w:ascii="宋体" w:hAnsi="宋体" w:eastAsia="宋体" w:cs="宋体"/>
          <w:color w:val="auto"/>
          <w:kern w:val="2"/>
          <w:sz w:val="28"/>
          <w:szCs w:val="28"/>
          <w:highlight w:val="none"/>
          <w:lang w:val="en-US" w:eastAsia="zh-CN" w:bidi="ar-SA"/>
        </w:rPr>
      </w:pPr>
    </w:p>
    <w:p>
      <w:pPr>
        <w:pageBreakBefore/>
        <w:shd w:val="clear" w:color="auto" w:fill="FFFFFF"/>
        <w:snapToGrid w:val="0"/>
        <w:spacing w:line="360" w:lineRule="auto"/>
        <w:outlineLvl w:val="2"/>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投标文件封面</w:t>
      </w:r>
    </w:p>
    <w:p>
      <w:pPr>
        <w:shd w:val="clear" w:color="auto" w:fill="FFFFFF"/>
        <w:snapToGrid w:val="0"/>
        <w:spacing w:line="36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正（副）本</w:t>
      </w:r>
    </w:p>
    <w:p>
      <w:pPr>
        <w:shd w:val="clear" w:color="auto" w:fill="FFFFFF"/>
        <w:tabs>
          <w:tab w:val="left" w:pos="4500"/>
        </w:tabs>
        <w:snapToGrid w:val="0"/>
        <w:spacing w:line="360" w:lineRule="auto"/>
        <w:jc w:val="center"/>
        <w:textAlignment w:val="bottom"/>
        <w:rPr>
          <w:rFonts w:hint="eastAsia" w:ascii="宋体" w:hAnsi="宋体" w:eastAsia="宋体" w:cs="宋体"/>
          <w:b/>
          <w:bCs/>
          <w:color w:val="auto"/>
          <w:spacing w:val="-17"/>
          <w:sz w:val="52"/>
          <w:szCs w:val="52"/>
          <w:highlight w:val="none"/>
          <w:lang w:eastAsia="zh-CN"/>
        </w:rPr>
      </w:pPr>
      <w:r>
        <w:rPr>
          <w:rFonts w:hint="eastAsia" w:ascii="宋体" w:hAnsi="宋体" w:eastAsia="宋体" w:cs="宋体"/>
          <w:b/>
          <w:bCs/>
          <w:color w:val="auto"/>
          <w:spacing w:val="-17"/>
          <w:sz w:val="52"/>
          <w:szCs w:val="52"/>
          <w:highlight w:val="none"/>
          <w:lang w:eastAsia="zh-CN"/>
        </w:rPr>
        <w:t>玉苍山旅游集散中心三期-鹅峰书院数字化项目</w:t>
      </w:r>
    </w:p>
    <w:p>
      <w:pPr>
        <w:shd w:val="clear" w:color="auto" w:fill="FFFFFF"/>
        <w:snapToGrid w:val="0"/>
        <w:spacing w:line="360" w:lineRule="auto"/>
        <w:rPr>
          <w:rFonts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 xml:space="preserve">   （资格文件/报价文件/商务技术文件）</w:t>
      </w:r>
    </w:p>
    <w:p>
      <w:pPr>
        <w:shd w:val="clear" w:color="auto" w:fill="FFFFFF"/>
        <w:snapToGrid w:val="0"/>
        <w:spacing w:line="360" w:lineRule="auto"/>
        <w:ind w:firstLine="2209" w:firstLineChars="500"/>
        <w:rPr>
          <w:rFonts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 xml:space="preserve">项目编号：      </w:t>
      </w:r>
    </w:p>
    <w:bookmarkEnd w:id="25"/>
    <w:bookmarkEnd w:id="26"/>
    <w:bookmarkEnd w:id="27"/>
    <w:bookmarkEnd w:id="28"/>
    <w:bookmarkEnd w:id="135"/>
    <w:p>
      <w:pPr>
        <w:snapToGrid w:val="0"/>
        <w:spacing w:line="360" w:lineRule="auto"/>
        <w:jc w:val="center"/>
        <w:rPr>
          <w:rFonts w:ascii="宋体" w:hAnsi="宋体" w:eastAsia="宋体" w:cs="宋体"/>
          <w:color w:val="auto"/>
          <w:sz w:val="72"/>
          <w:szCs w:val="72"/>
          <w:highlight w:val="none"/>
        </w:rPr>
      </w:pPr>
      <w:r>
        <w:rPr>
          <w:rFonts w:hint="eastAsia" w:ascii="宋体" w:hAnsi="宋体" w:eastAsia="宋体" w:cs="宋体"/>
          <w:color w:val="auto"/>
          <w:sz w:val="72"/>
          <w:szCs w:val="72"/>
          <w:highlight w:val="none"/>
        </w:rPr>
        <w:t>投</w:t>
      </w:r>
    </w:p>
    <w:p>
      <w:pPr>
        <w:snapToGrid w:val="0"/>
        <w:spacing w:line="360" w:lineRule="auto"/>
        <w:jc w:val="center"/>
        <w:rPr>
          <w:rFonts w:ascii="宋体" w:hAnsi="宋体" w:eastAsia="宋体" w:cs="宋体"/>
          <w:color w:val="auto"/>
          <w:sz w:val="72"/>
          <w:szCs w:val="72"/>
          <w:highlight w:val="none"/>
        </w:rPr>
      </w:pPr>
      <w:r>
        <w:rPr>
          <w:rFonts w:hint="eastAsia" w:ascii="宋体" w:hAnsi="宋体" w:eastAsia="宋体" w:cs="宋体"/>
          <w:color w:val="auto"/>
          <w:sz w:val="72"/>
          <w:szCs w:val="72"/>
          <w:highlight w:val="none"/>
        </w:rPr>
        <w:t>标</w:t>
      </w:r>
    </w:p>
    <w:p>
      <w:pPr>
        <w:snapToGrid w:val="0"/>
        <w:spacing w:line="360" w:lineRule="auto"/>
        <w:jc w:val="center"/>
        <w:rPr>
          <w:rFonts w:ascii="宋体" w:hAnsi="宋体" w:eastAsia="宋体" w:cs="宋体"/>
          <w:color w:val="auto"/>
          <w:sz w:val="72"/>
          <w:szCs w:val="72"/>
          <w:highlight w:val="none"/>
        </w:rPr>
      </w:pPr>
      <w:r>
        <w:rPr>
          <w:rFonts w:hint="eastAsia" w:ascii="宋体" w:hAnsi="宋体" w:eastAsia="宋体" w:cs="宋体"/>
          <w:color w:val="auto"/>
          <w:sz w:val="72"/>
          <w:szCs w:val="72"/>
          <w:highlight w:val="none"/>
        </w:rPr>
        <w:t>文</w:t>
      </w:r>
    </w:p>
    <w:p>
      <w:pPr>
        <w:snapToGrid w:val="0"/>
        <w:spacing w:line="360" w:lineRule="auto"/>
        <w:jc w:val="center"/>
        <w:rPr>
          <w:rFonts w:ascii="宋体" w:hAnsi="宋体" w:eastAsia="宋体" w:cs="宋体"/>
          <w:color w:val="auto"/>
          <w:sz w:val="72"/>
          <w:szCs w:val="72"/>
          <w:highlight w:val="none"/>
        </w:rPr>
      </w:pPr>
      <w:r>
        <w:rPr>
          <w:rFonts w:hint="eastAsia" w:ascii="宋体" w:hAnsi="宋体" w:eastAsia="宋体" w:cs="宋体"/>
          <w:color w:val="auto"/>
          <w:sz w:val="72"/>
          <w:szCs w:val="72"/>
          <w:highlight w:val="none"/>
        </w:rPr>
        <w:t>件</w:t>
      </w:r>
    </w:p>
    <w:p>
      <w:pPr>
        <w:snapToGrid w:val="0"/>
        <w:spacing w:line="360" w:lineRule="auto"/>
        <w:jc w:val="center"/>
        <w:rPr>
          <w:rFonts w:ascii="宋体" w:hAnsi="宋体" w:eastAsia="宋体" w:cs="宋体"/>
          <w:color w:val="auto"/>
          <w:sz w:val="24"/>
          <w:highlight w:val="none"/>
        </w:rPr>
      </w:pPr>
    </w:p>
    <w:p>
      <w:pPr>
        <w:snapToGrid w:val="0"/>
        <w:spacing w:line="360" w:lineRule="auto"/>
        <w:ind w:firstLine="2160" w:firstLineChars="600"/>
        <w:rPr>
          <w:rFonts w:ascii="宋体" w:hAnsi="宋体" w:eastAsia="宋体" w:cs="宋体"/>
          <w:color w:val="auto"/>
          <w:sz w:val="36"/>
          <w:szCs w:val="36"/>
          <w:highlight w:val="none"/>
        </w:rPr>
      </w:pPr>
      <w:r>
        <w:rPr>
          <w:rFonts w:hint="eastAsia" w:ascii="宋体" w:hAnsi="宋体" w:eastAsia="宋体" w:cs="宋体"/>
          <w:color w:val="auto"/>
          <w:sz w:val="36"/>
          <w:szCs w:val="36"/>
          <w:highlight w:val="none"/>
        </w:rPr>
        <w:t>投标供应商全称：（加盖单位公章）</w:t>
      </w:r>
    </w:p>
    <w:p>
      <w:pPr>
        <w:snapToGrid w:val="0"/>
        <w:spacing w:line="360" w:lineRule="auto"/>
        <w:jc w:val="center"/>
        <w:rPr>
          <w:rFonts w:ascii="宋体" w:hAnsi="宋体" w:eastAsia="宋体" w:cs="宋体"/>
          <w:color w:val="auto"/>
          <w:sz w:val="36"/>
          <w:szCs w:val="36"/>
          <w:highlight w:val="none"/>
        </w:rPr>
      </w:pPr>
      <w:r>
        <w:rPr>
          <w:rFonts w:hint="eastAsia" w:ascii="宋体" w:hAnsi="宋体" w:eastAsia="宋体" w:cs="宋体"/>
          <w:color w:val="auto"/>
          <w:sz w:val="36"/>
          <w:szCs w:val="36"/>
          <w:highlight w:val="none"/>
        </w:rPr>
        <w:t>年   月   日</w:t>
      </w: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widowControl w:val="0"/>
        <w:snapToGrid w:val="0"/>
        <w:spacing w:before="156" w:line="500" w:lineRule="exact"/>
        <w:ind w:left="426"/>
        <w:jc w:val="center"/>
        <w:rPr>
          <w:rFonts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br w:type="page"/>
      </w:r>
      <w:r>
        <w:rPr>
          <w:rFonts w:hint="eastAsia" w:ascii="宋体" w:hAnsi="宋体" w:eastAsia="宋体" w:cs="宋体"/>
          <w:color w:val="auto"/>
          <w:kern w:val="2"/>
          <w:sz w:val="32"/>
          <w:szCs w:val="32"/>
          <w:highlight w:val="none"/>
          <w:lang w:val="en-US" w:eastAsia="zh-CN" w:bidi="ar-SA"/>
        </w:rPr>
        <w:t>采购活动现场确认声明书</w:t>
      </w:r>
    </w:p>
    <w:p>
      <w:pPr>
        <w:widowControl w:val="0"/>
        <w:snapToGrid w:val="0"/>
        <w:spacing w:before="156" w:line="500" w:lineRule="exact"/>
        <w:ind w:left="426"/>
        <w:jc w:val="both"/>
        <w:rPr>
          <w:rFonts w:ascii="宋体" w:hAnsi="宋体" w:eastAsia="宋体" w:cs="宋体"/>
          <w:color w:val="auto"/>
          <w:kern w:val="0"/>
          <w:sz w:val="28"/>
          <w:szCs w:val="28"/>
          <w:highlight w:val="none"/>
          <w:lang w:val="en-US" w:eastAsia="zh-CN" w:bidi="ar-SA"/>
        </w:rPr>
      </w:pPr>
      <w:r>
        <w:rPr>
          <w:rFonts w:hint="eastAsia" w:ascii="宋体" w:hAnsi="宋体" w:eastAsia="宋体" w:cs="宋体"/>
          <w:b/>
          <w:color w:val="auto"/>
          <w:kern w:val="2"/>
          <w:sz w:val="24"/>
          <w:szCs w:val="24"/>
          <w:highlight w:val="none"/>
          <w:lang w:val="en-US" w:eastAsia="zh-CN" w:bidi="ar-SA"/>
        </w:rPr>
        <w:t xml:space="preserve">              （</w:t>
      </w:r>
      <w:r>
        <w:rPr>
          <w:rFonts w:hint="eastAsia" w:ascii="宋体" w:hAnsi="宋体" w:eastAsia="宋体" w:cs="宋体"/>
          <w:color w:val="auto"/>
          <w:kern w:val="0"/>
          <w:sz w:val="24"/>
          <w:highlight w:val="none"/>
          <w:lang w:val="en-US" w:eastAsia="zh-CN" w:bidi="ar-SA"/>
        </w:rPr>
        <w:t>投标文件在线解密结束后，通过在线询标形式发送</w:t>
      </w:r>
      <w:r>
        <w:rPr>
          <w:rFonts w:hint="eastAsia" w:ascii="宋体" w:hAnsi="宋体" w:eastAsia="宋体" w:cs="宋体"/>
          <w:b/>
          <w:color w:val="auto"/>
          <w:kern w:val="2"/>
          <w:sz w:val="24"/>
          <w:szCs w:val="24"/>
          <w:highlight w:val="none"/>
          <w:lang w:val="en-US" w:eastAsia="zh-CN" w:bidi="ar-SA"/>
        </w:rPr>
        <w:t>）</w:t>
      </w:r>
    </w:p>
    <w:p>
      <w:pPr>
        <w:widowControl w:val="0"/>
        <w:snapToGrid w:val="0"/>
        <w:spacing w:before="156" w:line="440" w:lineRule="exact"/>
        <w:ind w:left="426"/>
        <w:jc w:val="both"/>
        <w:rPr>
          <w:rFonts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浙江之信工程项目管理有限公司</w:t>
      </w:r>
      <w:r>
        <w:rPr>
          <w:rFonts w:hint="eastAsia" w:ascii="宋体" w:hAnsi="宋体" w:eastAsia="宋体" w:cs="宋体"/>
          <w:color w:val="auto"/>
          <w:kern w:val="0"/>
          <w:sz w:val="24"/>
          <w:szCs w:val="24"/>
          <w:highlight w:val="none"/>
          <w:lang w:val="en-US" w:eastAsia="zh-CN" w:bidi="ar-SA"/>
        </w:rPr>
        <w:t>：</w:t>
      </w:r>
    </w:p>
    <w:p>
      <w:pPr>
        <w:widowControl w:val="0"/>
        <w:snapToGrid w:val="0"/>
        <w:spacing w:before="156" w:line="240" w:lineRule="auto"/>
        <w:ind w:left="425" w:firstLine="504" w:firstLineChars="200"/>
        <w:jc w:val="both"/>
        <w:rPr>
          <w:rFonts w:ascii="宋体" w:hAnsi="宋体" w:eastAsia="宋体" w:cs="宋体"/>
          <w:color w:val="auto"/>
          <w:spacing w:val="6"/>
          <w:kern w:val="2"/>
          <w:sz w:val="24"/>
          <w:szCs w:val="24"/>
          <w:highlight w:val="none"/>
          <w:lang w:val="en-US" w:eastAsia="zh-CN" w:bidi="ar-SA"/>
        </w:rPr>
      </w:pPr>
      <w:r>
        <w:rPr>
          <w:rFonts w:hint="eastAsia" w:ascii="宋体" w:hAnsi="宋体" w:eastAsia="宋体" w:cs="宋体"/>
          <w:color w:val="auto"/>
          <w:spacing w:val="6"/>
          <w:kern w:val="2"/>
          <w:sz w:val="24"/>
          <w:szCs w:val="24"/>
          <w:highlight w:val="none"/>
          <w:lang w:val="en-US" w:eastAsia="zh-CN" w:bidi="ar-SA"/>
        </w:rPr>
        <w:t>本人</w:t>
      </w:r>
      <w:r>
        <w:rPr>
          <w:rFonts w:hint="eastAsia" w:ascii="宋体" w:hAnsi="宋体" w:eastAsia="宋体" w:cs="宋体"/>
          <w:color w:val="auto"/>
          <w:spacing w:val="6"/>
          <w:kern w:val="2"/>
          <w:sz w:val="24"/>
          <w:szCs w:val="24"/>
          <w:highlight w:val="none"/>
          <w:u w:val="single"/>
          <w:lang w:val="en-US" w:eastAsia="zh-CN" w:bidi="ar-SA"/>
        </w:rPr>
        <w:t xml:space="preserve">        </w:t>
      </w:r>
      <w:r>
        <w:rPr>
          <w:rFonts w:hint="eastAsia" w:ascii="宋体" w:hAnsi="宋体" w:eastAsia="宋体" w:cs="宋体"/>
          <w:color w:val="auto"/>
          <w:spacing w:val="6"/>
          <w:kern w:val="2"/>
          <w:sz w:val="24"/>
          <w:szCs w:val="24"/>
          <w:highlight w:val="none"/>
          <w:lang w:val="en-US" w:eastAsia="zh-CN" w:bidi="ar-SA"/>
        </w:rPr>
        <w:t>（授权代表姓名），经由</w:t>
      </w:r>
      <w:r>
        <w:rPr>
          <w:rFonts w:hint="eastAsia" w:ascii="宋体" w:hAnsi="宋体" w:eastAsia="宋体" w:cs="宋体"/>
          <w:color w:val="auto"/>
          <w:spacing w:val="6"/>
          <w:kern w:val="2"/>
          <w:sz w:val="24"/>
          <w:szCs w:val="24"/>
          <w:highlight w:val="none"/>
          <w:u w:val="single"/>
          <w:lang w:val="en-US" w:eastAsia="zh-CN" w:bidi="ar-SA"/>
        </w:rPr>
        <w:t xml:space="preserve">                         </w:t>
      </w:r>
      <w:r>
        <w:rPr>
          <w:rFonts w:hint="eastAsia" w:ascii="宋体" w:hAnsi="宋体" w:eastAsia="宋体" w:cs="宋体"/>
          <w:color w:val="auto"/>
          <w:spacing w:val="6"/>
          <w:kern w:val="2"/>
          <w:sz w:val="24"/>
          <w:szCs w:val="24"/>
          <w:highlight w:val="none"/>
          <w:lang w:val="en-US" w:eastAsia="zh-CN" w:bidi="ar-SA"/>
        </w:rPr>
        <w:t>（单位）</w:t>
      </w:r>
      <w:r>
        <w:rPr>
          <w:rFonts w:hint="eastAsia" w:ascii="宋体" w:hAnsi="宋体" w:eastAsia="宋体" w:cs="宋体"/>
          <w:color w:val="auto"/>
          <w:spacing w:val="6"/>
          <w:kern w:val="2"/>
          <w:sz w:val="24"/>
          <w:szCs w:val="24"/>
          <w:highlight w:val="none"/>
          <w:u w:val="single"/>
          <w:lang w:val="en-US" w:eastAsia="zh-CN" w:bidi="ar-SA"/>
        </w:rPr>
        <w:t xml:space="preserve">         </w:t>
      </w:r>
      <w:r>
        <w:rPr>
          <w:rFonts w:hint="eastAsia" w:ascii="宋体" w:hAnsi="宋体" w:eastAsia="宋体" w:cs="宋体"/>
          <w:color w:val="auto"/>
          <w:spacing w:val="6"/>
          <w:kern w:val="2"/>
          <w:sz w:val="24"/>
          <w:szCs w:val="24"/>
          <w:highlight w:val="none"/>
          <w:lang w:val="en-US" w:eastAsia="zh-CN" w:bidi="ar-SA"/>
        </w:rPr>
        <w:t>（法定代表人姓名）合法授权参加</w:t>
      </w:r>
      <w:r>
        <w:rPr>
          <w:rFonts w:hint="eastAsia" w:ascii="宋体" w:hAnsi="宋体" w:eastAsia="宋体" w:cs="宋体"/>
          <w:color w:val="auto"/>
          <w:spacing w:val="6"/>
          <w:kern w:val="2"/>
          <w:sz w:val="24"/>
          <w:szCs w:val="24"/>
          <w:highlight w:val="none"/>
          <w:u w:val="single"/>
          <w:lang w:val="en-US" w:eastAsia="zh-CN" w:bidi="ar-SA"/>
        </w:rPr>
        <w:t>玉苍山旅游集散中心三期-鹅峰书院数字化项目</w:t>
      </w:r>
      <w:r>
        <w:rPr>
          <w:rFonts w:hint="eastAsia" w:ascii="宋体" w:hAnsi="宋体" w:eastAsia="宋体" w:cs="宋体"/>
          <w:color w:val="auto"/>
          <w:spacing w:val="6"/>
          <w:kern w:val="2"/>
          <w:sz w:val="24"/>
          <w:szCs w:val="24"/>
          <w:highlight w:val="none"/>
          <w:lang w:val="en-US" w:eastAsia="zh-CN" w:bidi="ar-SA"/>
        </w:rPr>
        <w:t>（项目编号：</w:t>
      </w:r>
      <w:r>
        <w:rPr>
          <w:rFonts w:hint="eastAsia" w:ascii="宋体" w:hAnsi="宋体" w:eastAsia="宋体" w:cs="宋体"/>
          <w:color w:val="auto"/>
          <w:kern w:val="2"/>
          <w:sz w:val="24"/>
          <w:highlight w:val="none"/>
          <w:u w:val="single"/>
          <w:lang w:val="en-US" w:eastAsia="zh-CN" w:bidi="ar-SA"/>
        </w:rPr>
        <w:t xml:space="preserve">       </w:t>
      </w:r>
      <w:r>
        <w:rPr>
          <w:rFonts w:hint="eastAsia" w:ascii="宋体" w:hAnsi="宋体" w:eastAsia="宋体" w:cs="宋体"/>
          <w:color w:val="auto"/>
          <w:spacing w:val="6"/>
          <w:kern w:val="2"/>
          <w:sz w:val="24"/>
          <w:szCs w:val="24"/>
          <w:highlight w:val="none"/>
          <w:u w:val="single"/>
          <w:lang w:val="en-US" w:eastAsia="zh-CN" w:bidi="ar-SA"/>
        </w:rPr>
        <w:t xml:space="preserve"> </w:t>
      </w:r>
      <w:r>
        <w:rPr>
          <w:rFonts w:hint="eastAsia" w:ascii="宋体" w:hAnsi="宋体" w:eastAsia="宋体" w:cs="宋体"/>
          <w:color w:val="auto"/>
          <w:spacing w:val="6"/>
          <w:kern w:val="2"/>
          <w:sz w:val="24"/>
          <w:szCs w:val="24"/>
          <w:highlight w:val="none"/>
          <w:lang w:val="en-US" w:eastAsia="zh-CN" w:bidi="ar-SA"/>
        </w:rPr>
        <w:t xml:space="preserve">）采购活动，经与本单位法人代表（负责人）联系确认，现就有关公平竞争事项郑重声明如下： </w:t>
      </w:r>
    </w:p>
    <w:p>
      <w:pPr>
        <w:widowControl/>
        <w:numPr>
          <w:ilvl w:val="0"/>
          <w:numId w:val="13"/>
        </w:numPr>
        <w:snapToGrid w:val="0"/>
        <w:spacing w:before="156" w:line="240" w:lineRule="auto"/>
        <w:ind w:left="425" w:firstLine="453" w:firstLineChars="189"/>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本单位与采购人之间 □不存在利害关系 □存在下列利害关系</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w:t>
      </w:r>
    </w:p>
    <w:p>
      <w:pPr>
        <w:widowControl/>
        <w:snapToGrid w:val="0"/>
        <w:spacing w:before="156" w:line="240" w:lineRule="auto"/>
        <w:ind w:left="425"/>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A.投资关系    B.行政隶属关系    C.业务指导关系</w:t>
      </w:r>
    </w:p>
    <w:p>
      <w:pPr>
        <w:widowControl/>
        <w:snapToGrid w:val="0"/>
        <w:spacing w:before="156" w:line="240" w:lineRule="auto"/>
        <w:ind w:left="425"/>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D.其他可能</w:t>
      </w:r>
      <w:r>
        <w:rPr>
          <w:rFonts w:hint="eastAsia" w:ascii="宋体" w:hAnsi="宋体" w:eastAsia="宋体" w:cs="宋体"/>
          <w:color w:val="auto"/>
          <w:kern w:val="2"/>
          <w:sz w:val="24"/>
          <w:szCs w:val="24"/>
          <w:highlight w:val="none"/>
          <w:lang w:val="en-US" w:eastAsia="zh-CN" w:bidi="ar-SA"/>
        </w:rPr>
        <w:t>影响采购公正的</w:t>
      </w:r>
      <w:r>
        <w:rPr>
          <w:rFonts w:hint="eastAsia" w:ascii="宋体" w:hAnsi="宋体" w:eastAsia="宋体" w:cs="宋体"/>
          <w:color w:val="auto"/>
          <w:kern w:val="0"/>
          <w:sz w:val="24"/>
          <w:szCs w:val="24"/>
          <w:highlight w:val="none"/>
          <w:lang w:val="en-US" w:eastAsia="zh-CN" w:bidi="ar-SA"/>
        </w:rPr>
        <w:t xml:space="preserve">利害关系（如有，请如实说明） </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w:t>
      </w:r>
    </w:p>
    <w:p>
      <w:pPr>
        <w:widowControl/>
        <w:numPr>
          <w:ilvl w:val="0"/>
          <w:numId w:val="13"/>
        </w:numPr>
        <w:snapToGrid w:val="0"/>
        <w:spacing w:before="156" w:line="240" w:lineRule="auto"/>
        <w:ind w:left="425" w:firstLine="453" w:firstLineChars="189"/>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现已清楚知道参加本项目采购活动的其他所有供应商名称，本单位 □与其他所有供应商之间均不存在利害关系 □与 </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（供应商名称）之间存在下列利害关系</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w:t>
      </w:r>
    </w:p>
    <w:p>
      <w:pPr>
        <w:widowControl w:val="0"/>
        <w:snapToGrid w:val="0"/>
        <w:spacing w:before="156" w:line="240" w:lineRule="auto"/>
        <w:ind w:left="425"/>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A.法定代表人或负责人或实际控制人是同一人</w:t>
      </w:r>
    </w:p>
    <w:p>
      <w:pPr>
        <w:widowControl w:val="0"/>
        <w:snapToGrid w:val="0"/>
        <w:spacing w:before="156" w:line="240" w:lineRule="auto"/>
        <w:ind w:left="425"/>
        <w:jc w:val="both"/>
        <w:rPr>
          <w:rFonts w:ascii="宋体" w:hAnsi="宋体" w:eastAsia="宋体" w:cs="宋体"/>
          <w:color w:val="auto"/>
          <w:spacing w:val="6"/>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B.法定代表人或负责人或实际控制人是夫妻关系</w:t>
      </w:r>
    </w:p>
    <w:p>
      <w:pPr>
        <w:widowControl w:val="0"/>
        <w:snapToGrid w:val="0"/>
        <w:spacing w:before="156" w:line="240" w:lineRule="auto"/>
        <w:ind w:left="425"/>
        <w:jc w:val="both"/>
        <w:rPr>
          <w:rFonts w:ascii="宋体" w:hAnsi="宋体" w:eastAsia="宋体" w:cs="宋体"/>
          <w:color w:val="auto"/>
          <w:spacing w:val="6"/>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C.法定代表人或负责人或实际控制人是直系血亲关系</w:t>
      </w:r>
    </w:p>
    <w:p>
      <w:pPr>
        <w:widowControl w:val="0"/>
        <w:snapToGrid w:val="0"/>
        <w:spacing w:before="156" w:line="240" w:lineRule="auto"/>
        <w:ind w:left="425"/>
        <w:jc w:val="both"/>
        <w:rPr>
          <w:rFonts w:ascii="宋体" w:hAnsi="宋体" w:eastAsia="宋体" w:cs="宋体"/>
          <w:color w:val="auto"/>
          <w:spacing w:val="6"/>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D.法定代表人或负责人或实际控制人存在三代以内旁系血亲关系</w:t>
      </w:r>
    </w:p>
    <w:p>
      <w:pPr>
        <w:widowControl w:val="0"/>
        <w:snapToGrid w:val="0"/>
        <w:spacing w:before="156" w:line="240" w:lineRule="auto"/>
        <w:ind w:left="425"/>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E.法定代表人或负责人或实际控制人存在近姻亲关系</w:t>
      </w:r>
    </w:p>
    <w:p>
      <w:pPr>
        <w:widowControl w:val="0"/>
        <w:snapToGrid w:val="0"/>
        <w:spacing w:before="156" w:line="240" w:lineRule="auto"/>
        <w:ind w:left="425"/>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F.法定代表人或负责人或实际控制人存在股份控制或实际控制关系</w:t>
      </w:r>
    </w:p>
    <w:p>
      <w:pPr>
        <w:widowControl w:val="0"/>
        <w:snapToGrid w:val="0"/>
        <w:spacing w:before="156" w:line="240" w:lineRule="auto"/>
        <w:ind w:left="425"/>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G.存在共同直接或间接投资设立子公司、联营企业和合营企业情况</w:t>
      </w:r>
    </w:p>
    <w:p>
      <w:pPr>
        <w:widowControl w:val="0"/>
        <w:snapToGrid w:val="0"/>
        <w:spacing w:before="156" w:line="240" w:lineRule="auto"/>
        <w:ind w:left="425"/>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H.存在分级代理或代销关系、同一生产制造商关系、</w:t>
      </w:r>
      <w:r>
        <w:rPr>
          <w:rFonts w:hint="eastAsia" w:ascii="宋体" w:hAnsi="宋体" w:eastAsia="宋体" w:cs="宋体"/>
          <w:color w:val="auto"/>
          <w:kern w:val="2"/>
          <w:sz w:val="24"/>
          <w:szCs w:val="24"/>
          <w:highlight w:val="none"/>
          <w:lang w:val="en-US" w:eastAsia="zh-CN" w:bidi="ar-SA"/>
        </w:rPr>
        <w:t>管理关系、重要业务（占主营业务收入50%以上）或重要财务往来关系（如融资）等其他实质性控制关系</w:t>
      </w:r>
    </w:p>
    <w:p>
      <w:pPr>
        <w:widowControl w:val="0"/>
        <w:snapToGrid w:val="0"/>
        <w:spacing w:before="156" w:line="240" w:lineRule="auto"/>
        <w:ind w:left="425"/>
        <w:jc w:val="both"/>
        <w:rPr>
          <w:rFonts w:ascii="宋体" w:hAnsi="宋体" w:eastAsia="宋体" w:cs="宋体"/>
          <w:color w:val="auto"/>
          <w:spacing w:val="6"/>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I</w:t>
      </w:r>
      <w:r>
        <w:rPr>
          <w:rFonts w:hint="eastAsia" w:ascii="宋体" w:hAnsi="宋体" w:eastAsia="宋体" w:cs="宋体"/>
          <w:color w:val="auto"/>
          <w:kern w:val="0"/>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其他利害关系情况</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w:t>
      </w:r>
    </w:p>
    <w:p>
      <w:pPr>
        <w:widowControl/>
        <w:numPr>
          <w:ilvl w:val="0"/>
          <w:numId w:val="14"/>
        </w:numPr>
        <w:snapToGrid w:val="0"/>
        <w:spacing w:before="156" w:line="240" w:lineRule="auto"/>
        <w:ind w:left="425" w:firstLine="453" w:firstLineChars="189"/>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现已清楚知道并</w:t>
      </w:r>
      <w:r>
        <w:rPr>
          <w:rFonts w:hint="eastAsia" w:ascii="宋体" w:hAnsi="宋体" w:eastAsia="宋体" w:cs="宋体"/>
          <w:color w:val="auto"/>
          <w:kern w:val="0"/>
          <w:sz w:val="24"/>
          <w:szCs w:val="24"/>
          <w:highlight w:val="none"/>
          <w:lang w:val="en-US" w:eastAsia="zh-CN" w:bidi="ar-SA"/>
        </w:rPr>
        <w:t>严格遵守采购法律法规和现场纪律。</w:t>
      </w:r>
    </w:p>
    <w:p>
      <w:pPr>
        <w:widowControl/>
        <w:numPr>
          <w:ilvl w:val="0"/>
          <w:numId w:val="14"/>
        </w:numPr>
        <w:snapToGrid w:val="0"/>
        <w:spacing w:before="156" w:line="240" w:lineRule="auto"/>
        <w:ind w:left="425" w:firstLine="453" w:firstLineChars="189"/>
        <w:jc w:val="both"/>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我发现</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供应商之间存在或可能存在上述第二条第</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项利害关系。</w:t>
      </w:r>
    </w:p>
    <w:p>
      <w:pPr>
        <w:widowControl w:val="0"/>
        <w:snapToGrid w:val="0"/>
        <w:spacing w:before="156" w:line="240" w:lineRule="auto"/>
        <w:ind w:left="425"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w:t>
      </w:r>
    </w:p>
    <w:p>
      <w:pPr>
        <w:widowControl w:val="0"/>
        <w:snapToGrid w:val="0"/>
        <w:spacing w:before="156" w:line="240" w:lineRule="auto"/>
        <w:ind w:left="425" w:firstLine="4080" w:firstLineChars="17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（加盖单位公章）：</w:t>
      </w:r>
    </w:p>
    <w:p>
      <w:pPr>
        <w:widowControl w:val="0"/>
        <w:snapToGrid w:val="0"/>
        <w:spacing w:before="156" w:line="240" w:lineRule="auto"/>
        <w:ind w:left="425" w:firstLine="480" w:firstLineChars="200"/>
        <w:jc w:val="both"/>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年  月   日</w:t>
      </w:r>
    </w:p>
    <w:p/>
    <w:sectPr>
      <w:headerReference r:id="rId4" w:type="default"/>
      <w:footerReference r:id="rId5" w:type="default"/>
      <w:footerReference r:id="rId6" w:type="even"/>
      <w:pgSz w:w="11906" w:h="16838"/>
      <w:pgMar w:top="993" w:right="1474" w:bottom="1134" w:left="1474" w:header="851" w:footer="641"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Times New Roman" w:hAnsi="Times New Roman" w:eastAsia="??" w:cs="Times New Roman"/>
        <w:kern w:val="2"/>
        <w:sz w:val="18"/>
        <w:szCs w:val="28"/>
        <w:lang w:val="en-US" w:eastAsia="zh-CN" w:bidi="ar-SA"/>
      </w:rPr>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2" name="文本框 2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rPr>
                              <w:rFonts w:ascii="Times New Roman" w:hAnsi="Times New Roman" w:eastAsia="宋体" w:cs="Times New Roman"/>
                              <w:kern w:val="2"/>
                              <w:sz w:val="18"/>
                              <w:szCs w:val="28"/>
                              <w:lang w:val="en-US" w:eastAsia="zh-CN" w:bidi="ar-SA"/>
                            </w:rPr>
                          </w:pPr>
                          <w:r>
                            <w:rPr>
                              <w:rFonts w:hint="eastAsia" w:ascii="Times New Roman" w:hAnsi="Times New Roman" w:eastAsia="??" w:cs="Times New Roman"/>
                              <w:kern w:val="2"/>
                              <w:sz w:val="18"/>
                              <w:szCs w:val="28"/>
                              <w:lang w:val="en-US" w:eastAsia="zh-CN" w:bidi="ar-SA"/>
                            </w:rPr>
                            <w:fldChar w:fldCharType="begin"/>
                          </w:r>
                          <w:r>
                            <w:rPr>
                              <w:rFonts w:hint="eastAsia" w:ascii="Times New Roman" w:hAnsi="Times New Roman" w:eastAsia="??" w:cs="Times New Roman"/>
                              <w:kern w:val="2"/>
                              <w:sz w:val="18"/>
                              <w:szCs w:val="28"/>
                              <w:lang w:val="en-US" w:eastAsia="zh-CN" w:bidi="ar-SA"/>
                            </w:rPr>
                            <w:instrText xml:space="preserve"> PAGE  \* MERGEFORMAT </w:instrText>
                          </w:r>
                          <w:r>
                            <w:rPr>
                              <w:rFonts w:hint="eastAsia" w:ascii="Times New Roman" w:hAnsi="Times New Roman" w:eastAsia="??" w:cs="Times New Roman"/>
                              <w:kern w:val="2"/>
                              <w:sz w:val="18"/>
                              <w:szCs w:val="28"/>
                              <w:lang w:val="en-US" w:eastAsia="zh-CN" w:bidi="ar-SA"/>
                            </w:rPr>
                            <w:fldChar w:fldCharType="separate"/>
                          </w:r>
                          <w:r>
                            <w:rPr>
                              <w:rFonts w:ascii="Times New Roman" w:hAnsi="Times New Roman" w:eastAsia="??" w:cs="Times New Roman"/>
                              <w:kern w:val="2"/>
                              <w:sz w:val="18"/>
                              <w:szCs w:val="28"/>
                              <w:lang w:val="en-US" w:eastAsia="zh-CN" w:bidi="ar-SA"/>
                            </w:rPr>
                            <w:t>48</w:t>
                          </w:r>
                          <w:r>
                            <w:rPr>
                              <w:rFonts w:hint="eastAsia" w:ascii="Times New Roman" w:hAnsi="Times New Roman" w:eastAsia="??" w:cs="Times New Roman"/>
                              <w:kern w:val="2"/>
                              <w:sz w:val="18"/>
                              <w:szCs w:val="28"/>
                              <w:lang w:val="en-US" w:eastAsia="zh-CN" w:bidi="ar-S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HGM7GwwEAAJEDAAAOAAAAAAAAAAEAIAAAAB4BAABkcnMvZTJvRG9jLnhtbFBL&#10;BQYAAAAABgAGAFkBAABTBQAAAAA=&#10;">
              <v:fill on="f" focussize="0,0"/>
              <v:stroke on="f"/>
              <v:imagedata o:title=""/>
              <o:lock v:ext="edit" aspectratio="f"/>
              <v:textbox inset="0mm,0mm,0mm,0mm" style="mso-fit-shape-to-text:t;">
                <w:txbxContent>
                  <w:p>
                    <w:pPr>
                      <w:widowControl w:val="0"/>
                      <w:tabs>
                        <w:tab w:val="center" w:pos="4153"/>
                        <w:tab w:val="right" w:pos="8306"/>
                      </w:tabs>
                      <w:snapToGrid w:val="0"/>
                      <w:rPr>
                        <w:rFonts w:ascii="Times New Roman" w:hAnsi="Times New Roman" w:eastAsia="宋体" w:cs="Times New Roman"/>
                        <w:kern w:val="2"/>
                        <w:sz w:val="18"/>
                        <w:szCs w:val="28"/>
                        <w:lang w:val="en-US" w:eastAsia="zh-CN" w:bidi="ar-SA"/>
                      </w:rPr>
                    </w:pPr>
                    <w:r>
                      <w:rPr>
                        <w:rFonts w:hint="eastAsia" w:ascii="Times New Roman" w:hAnsi="Times New Roman" w:eastAsia="??" w:cs="Times New Roman"/>
                        <w:kern w:val="2"/>
                        <w:sz w:val="18"/>
                        <w:szCs w:val="28"/>
                        <w:lang w:val="en-US" w:eastAsia="zh-CN" w:bidi="ar-SA"/>
                      </w:rPr>
                      <w:fldChar w:fldCharType="begin"/>
                    </w:r>
                    <w:r>
                      <w:rPr>
                        <w:rFonts w:hint="eastAsia" w:ascii="Times New Roman" w:hAnsi="Times New Roman" w:eastAsia="??" w:cs="Times New Roman"/>
                        <w:kern w:val="2"/>
                        <w:sz w:val="18"/>
                        <w:szCs w:val="28"/>
                        <w:lang w:val="en-US" w:eastAsia="zh-CN" w:bidi="ar-SA"/>
                      </w:rPr>
                      <w:instrText xml:space="preserve"> PAGE  \* MERGEFORMAT </w:instrText>
                    </w:r>
                    <w:r>
                      <w:rPr>
                        <w:rFonts w:hint="eastAsia" w:ascii="Times New Roman" w:hAnsi="Times New Roman" w:eastAsia="??" w:cs="Times New Roman"/>
                        <w:kern w:val="2"/>
                        <w:sz w:val="18"/>
                        <w:szCs w:val="28"/>
                        <w:lang w:val="en-US" w:eastAsia="zh-CN" w:bidi="ar-SA"/>
                      </w:rPr>
                      <w:fldChar w:fldCharType="separate"/>
                    </w:r>
                    <w:r>
                      <w:rPr>
                        <w:rFonts w:ascii="Times New Roman" w:hAnsi="Times New Roman" w:eastAsia="??" w:cs="Times New Roman"/>
                        <w:kern w:val="2"/>
                        <w:sz w:val="18"/>
                        <w:szCs w:val="28"/>
                        <w:lang w:val="en-US" w:eastAsia="zh-CN" w:bidi="ar-SA"/>
                      </w:rPr>
                      <w:t>48</w:t>
                    </w:r>
                    <w:r>
                      <w:rPr>
                        <w:rFonts w:hint="eastAsia" w:ascii="Times New Roman" w:hAnsi="Times New Roman" w:eastAsia="??" w:cs="Times New Roman"/>
                        <w:kern w:val="2"/>
                        <w:sz w:val="1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Times New Roman" w:hAnsi="Times New Roman" w:eastAsia="??" w:cs="Times New Roman"/>
        <w:kern w:val="2"/>
        <w:sz w:val="18"/>
        <w:szCs w:val="28"/>
        <w:lang w:val="en-US" w:eastAsia="zh-CN" w:bidi="ar-SA"/>
      </w:rPr>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4" name="文本框 2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rPr>
                              <w:rFonts w:ascii="Times New Roman" w:hAnsi="Times New Roman" w:eastAsia="??" w:cs="Times New Roman"/>
                              <w:kern w:val="2"/>
                              <w:sz w:val="18"/>
                              <w:szCs w:val="28"/>
                              <w:lang w:val="en-US" w:eastAsia="zh-CN" w:bidi="ar-SA"/>
                            </w:rPr>
                          </w:pPr>
                          <w:r>
                            <w:rPr>
                              <w:rFonts w:ascii="Times New Roman" w:hAnsi="Times New Roman" w:eastAsia="??" w:cs="Times New Roman"/>
                              <w:kern w:val="2"/>
                              <w:sz w:val="18"/>
                              <w:szCs w:val="28"/>
                              <w:lang w:val="en-US" w:eastAsia="zh-CN" w:bidi="ar-SA"/>
                            </w:rPr>
                            <w:fldChar w:fldCharType="begin"/>
                          </w:r>
                          <w:r>
                            <w:rPr>
                              <w:rFonts w:ascii="等线" w:hAnsi="等线" w:eastAsia="宋体" w:cs="Times New Roman"/>
                              <w:kern w:val="2"/>
                              <w:sz w:val="21"/>
                              <w:szCs w:val="24"/>
                              <w:lang w:val="en-US" w:eastAsia="zh-CN" w:bidi="ar-SA"/>
                            </w:rPr>
                            <w:instrText xml:space="preserve">PAGE  </w:instrText>
                          </w:r>
                          <w:r>
                            <w:rPr>
                              <w:rFonts w:ascii="Times New Roman" w:hAnsi="Times New Roman" w:eastAsia="??" w:cs="Times New Roman"/>
                              <w:kern w:val="2"/>
                              <w:sz w:val="18"/>
                              <w:szCs w:val="28"/>
                              <w:lang w:val="en-US" w:eastAsia="zh-CN" w:bidi="ar-SA"/>
                            </w:rPr>
                            <w:fldChar w:fldCharType="separate"/>
                          </w:r>
                          <w:r>
                            <w:rPr>
                              <w:rFonts w:ascii="等线" w:hAnsi="等线" w:eastAsia="宋体" w:cs="Times New Roman"/>
                              <w:kern w:val="2"/>
                              <w:sz w:val="21"/>
                              <w:szCs w:val="24"/>
                              <w:lang w:val="en-US" w:eastAsia="zh-CN" w:bidi="ar-SA"/>
                            </w:rPr>
                            <w:t>65</w:t>
                          </w:r>
                          <w:r>
                            <w:rPr>
                              <w:rFonts w:ascii="Times New Roman" w:hAnsi="Times New Roman" w:eastAsia="??" w:cs="Times New Roman"/>
                              <w:kern w:val="2"/>
                              <w:sz w:val="18"/>
                              <w:szCs w:val="28"/>
                              <w:lang w:val="en-US" w:eastAsia="zh-CN" w:bidi="ar-S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J05ZcQBAACR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OXb15Q4bnHk558/zr/+nH9/&#10;J9mJEvUBasy8DZibhvd+wMWZ/YDOzHxQ0eYvciIYR4FPF4HlkIjIj1bL1arCkMDYfEF8dv88REgf&#10;pLckGw2NOMEiLD9+gjSmzim5mvM32pgyReP+cyBm9rDc+9hjttKwGyZCO9+ekE+Pw2+ow12nxHx0&#10;qG3ek9mIs7GbjFwDwrtDwsKln4w6Qk3FcFKF0bRVeRX+vZes+z9p8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HJ05ZcQBAACRAwAADgAAAAAAAAABACAAAAAeAQAAZHJzL2Uyb0RvYy54bWxQ&#10;SwUGAAAAAAYABgBZAQAAVAUAAAAA&#10;">
              <v:fill on="f" focussize="0,0"/>
              <v:stroke on="f"/>
              <v:imagedata o:title=""/>
              <o:lock v:ext="edit" aspectratio="f"/>
              <v:textbox inset="0mm,0mm,0mm,0mm" style="mso-fit-shape-to-text:t;">
                <w:txbxContent>
                  <w:p>
                    <w:pPr>
                      <w:widowControl w:val="0"/>
                      <w:tabs>
                        <w:tab w:val="center" w:pos="4153"/>
                        <w:tab w:val="right" w:pos="8306"/>
                      </w:tabs>
                      <w:snapToGrid w:val="0"/>
                      <w:rPr>
                        <w:rFonts w:ascii="Times New Roman" w:hAnsi="Times New Roman" w:eastAsia="??" w:cs="Times New Roman"/>
                        <w:kern w:val="2"/>
                        <w:sz w:val="18"/>
                        <w:szCs w:val="28"/>
                        <w:lang w:val="en-US" w:eastAsia="zh-CN" w:bidi="ar-SA"/>
                      </w:rPr>
                    </w:pPr>
                    <w:r>
                      <w:rPr>
                        <w:rFonts w:ascii="Times New Roman" w:hAnsi="Times New Roman" w:eastAsia="??" w:cs="Times New Roman"/>
                        <w:kern w:val="2"/>
                        <w:sz w:val="18"/>
                        <w:szCs w:val="28"/>
                        <w:lang w:val="en-US" w:eastAsia="zh-CN" w:bidi="ar-SA"/>
                      </w:rPr>
                      <w:fldChar w:fldCharType="begin"/>
                    </w:r>
                    <w:r>
                      <w:rPr>
                        <w:rFonts w:ascii="等线" w:hAnsi="等线" w:eastAsia="宋体" w:cs="Times New Roman"/>
                        <w:kern w:val="2"/>
                        <w:sz w:val="21"/>
                        <w:szCs w:val="24"/>
                        <w:lang w:val="en-US" w:eastAsia="zh-CN" w:bidi="ar-SA"/>
                      </w:rPr>
                      <w:instrText xml:space="preserve">PAGE  </w:instrText>
                    </w:r>
                    <w:r>
                      <w:rPr>
                        <w:rFonts w:ascii="Times New Roman" w:hAnsi="Times New Roman" w:eastAsia="??" w:cs="Times New Roman"/>
                        <w:kern w:val="2"/>
                        <w:sz w:val="18"/>
                        <w:szCs w:val="28"/>
                        <w:lang w:val="en-US" w:eastAsia="zh-CN" w:bidi="ar-SA"/>
                      </w:rPr>
                      <w:fldChar w:fldCharType="separate"/>
                    </w:r>
                    <w:r>
                      <w:rPr>
                        <w:rFonts w:ascii="等线" w:hAnsi="等线" w:eastAsia="宋体" w:cs="Times New Roman"/>
                        <w:kern w:val="2"/>
                        <w:sz w:val="21"/>
                        <w:szCs w:val="24"/>
                        <w:lang w:val="en-US" w:eastAsia="zh-CN" w:bidi="ar-SA"/>
                      </w:rPr>
                      <w:t>65</w:t>
                    </w:r>
                    <w:r>
                      <w:rPr>
                        <w:rFonts w:ascii="Times New Roman" w:hAnsi="Times New Roman" w:eastAsia="??" w:cs="Times New Roman"/>
                        <w:kern w:val="2"/>
                        <w:sz w:val="18"/>
                        <w:szCs w:val="2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rPr>
        <w:rFonts w:ascii="Times New Roman" w:hAnsi="Times New Roman" w:eastAsia="??" w:cs="Times New Roman"/>
        <w:kern w:val="2"/>
        <w:sz w:val="18"/>
        <w:szCs w:val="28"/>
        <w:lang w:val="en-US" w:eastAsia="zh-CN" w:bidi="ar-SA"/>
      </w:rPr>
    </w:pPr>
    <w:r>
      <w:rPr>
        <w:rFonts w:ascii="Times New Roman" w:hAnsi="Times New Roman" w:eastAsia="??" w:cs="Times New Roman"/>
        <w:kern w:val="2"/>
        <w:sz w:val="18"/>
        <w:szCs w:val="28"/>
        <w:lang w:val="en-US" w:eastAsia="zh-CN" w:bidi="ar-SA"/>
      </w:rPr>
      <w:fldChar w:fldCharType="begin"/>
    </w:r>
    <w:r>
      <w:rPr>
        <w:rFonts w:ascii="等线" w:hAnsi="等线" w:eastAsia="宋体" w:cs="Times New Roman"/>
        <w:kern w:val="2"/>
        <w:sz w:val="21"/>
        <w:szCs w:val="24"/>
        <w:lang w:val="en-US" w:eastAsia="zh-CN" w:bidi="ar-SA"/>
      </w:rPr>
      <w:instrText xml:space="preserve">PAGE  </w:instrText>
    </w:r>
    <w:r>
      <w:rPr>
        <w:rFonts w:ascii="Times New Roman" w:hAnsi="Times New Roman" w:eastAsia="??" w:cs="Times New Roman"/>
        <w:kern w:val="2"/>
        <w:sz w:val="18"/>
        <w:szCs w:val="28"/>
        <w:lang w:val="en-US" w:eastAsia="zh-CN" w:bidi="ar-SA"/>
      </w:rPr>
      <w:fldChar w:fldCharType="end"/>
    </w:r>
  </w:p>
  <w:p>
    <w:pPr>
      <w:widowControl w:val="0"/>
      <w:tabs>
        <w:tab w:val="center" w:pos="4153"/>
        <w:tab w:val="right" w:pos="8306"/>
      </w:tabs>
      <w:snapToGrid w:val="0"/>
      <w:rPr>
        <w:rFonts w:ascii="Times New Roman" w:hAnsi="Times New Roman" w:eastAsia="??" w:cs="Times New Roman"/>
        <w:kern w:val="2"/>
        <w:sz w:val="18"/>
        <w:szCs w:val="2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 w:cs="Times New Roman"/>
        <w:kern w:val="2"/>
        <w:sz w:val="18"/>
        <w:szCs w:val="2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D8544"/>
    <w:multiLevelType w:val="singleLevel"/>
    <w:tmpl w:val="85FD8544"/>
    <w:lvl w:ilvl="0" w:tentative="0">
      <w:start w:val="1"/>
      <w:numFmt w:val="decimal"/>
      <w:lvlText w:val="%1)"/>
      <w:lvlJc w:val="left"/>
      <w:pPr>
        <w:ind w:left="425" w:hanging="425"/>
      </w:pPr>
      <w:rPr>
        <w:rFonts w:hint="default"/>
      </w:rPr>
    </w:lvl>
  </w:abstractNum>
  <w:abstractNum w:abstractNumId="1">
    <w:nsid w:val="929C8498"/>
    <w:multiLevelType w:val="singleLevel"/>
    <w:tmpl w:val="929C8498"/>
    <w:lvl w:ilvl="0" w:tentative="0">
      <w:start w:val="1"/>
      <w:numFmt w:val="decimal"/>
      <w:suff w:val="nothing"/>
      <w:lvlText w:val="%1）"/>
      <w:lvlJc w:val="left"/>
    </w:lvl>
  </w:abstractNum>
  <w:abstractNum w:abstractNumId="2">
    <w:nsid w:val="B87AFEFF"/>
    <w:multiLevelType w:val="singleLevel"/>
    <w:tmpl w:val="B87AFEFF"/>
    <w:lvl w:ilvl="0" w:tentative="0">
      <w:start w:val="3"/>
      <w:numFmt w:val="chineseCounting"/>
      <w:suff w:val="space"/>
      <w:lvlText w:val="第%1部分"/>
      <w:lvlJc w:val="left"/>
      <w:rPr>
        <w:rFonts w:hint="eastAsia"/>
      </w:rPr>
    </w:lvl>
  </w:abstractNum>
  <w:abstractNum w:abstractNumId="3">
    <w:nsid w:val="BBDE56A7"/>
    <w:multiLevelType w:val="singleLevel"/>
    <w:tmpl w:val="BBDE56A7"/>
    <w:lvl w:ilvl="0" w:tentative="0">
      <w:start w:val="2"/>
      <w:numFmt w:val="decimal"/>
      <w:suff w:val="nothing"/>
      <w:lvlText w:val="%1、"/>
      <w:lvlJc w:val="left"/>
    </w:lvl>
  </w:abstractNum>
  <w:abstractNum w:abstractNumId="4">
    <w:nsid w:val="C2E97D9D"/>
    <w:multiLevelType w:val="singleLevel"/>
    <w:tmpl w:val="C2E97D9D"/>
    <w:lvl w:ilvl="0" w:tentative="0">
      <w:start w:val="2"/>
      <w:numFmt w:val="chineseCounting"/>
      <w:suff w:val="nothing"/>
      <w:lvlText w:val="%1、"/>
      <w:lvlJc w:val="left"/>
      <w:rPr>
        <w:rFonts w:hint="eastAsia"/>
      </w:rPr>
    </w:lvl>
  </w:abstractNum>
  <w:abstractNum w:abstractNumId="5">
    <w:nsid w:val="068E1A3F"/>
    <w:multiLevelType w:val="multilevel"/>
    <w:tmpl w:val="068E1A3F"/>
    <w:lvl w:ilvl="0" w:tentative="0">
      <w:start w:val="1"/>
      <w:numFmt w:val="bullet"/>
      <w:lvlText w:val="l"/>
      <w:lvlJc w:val="left"/>
      <w:pPr>
        <w:tabs>
          <w:tab w:val="left" w:pos="900"/>
        </w:tabs>
        <w:ind w:left="900" w:hanging="420"/>
      </w:pPr>
      <w:rPr>
        <w:rFonts w:hint="default" w:ascii="Wingdings" w:hAnsi="Wingdings"/>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6">
    <w:nsid w:val="27D855DB"/>
    <w:multiLevelType w:val="multilevel"/>
    <w:tmpl w:val="27D855DB"/>
    <w:lvl w:ilvl="0" w:tentative="0">
      <w:start w:val="1"/>
      <w:numFmt w:val="chineseCounting"/>
      <w:lvlText w:val="%1、"/>
      <w:lvlJc w:val="left"/>
      <w:pPr>
        <w:tabs>
          <w:tab w:val="left" w:pos="1800"/>
        </w:tabs>
        <w:ind w:left="432" w:hanging="432"/>
      </w:pPr>
      <w:rPr>
        <w:rFonts w:hint="default"/>
        <w:b/>
        <w:bCs w:val="0"/>
        <w:i w:val="0"/>
      </w:rPr>
    </w:lvl>
    <w:lvl w:ilvl="1" w:tentative="0">
      <w:start w:val="1"/>
      <w:numFmt w:val="chineseCountingThousand"/>
      <w:lvlText w:val="(%2)"/>
      <w:lvlJc w:val="left"/>
      <w:pPr>
        <w:ind w:left="420" w:hanging="420"/>
      </w:pPr>
    </w:lvl>
    <w:lvl w:ilvl="2" w:tentative="0">
      <w:start w:val="1"/>
      <w:numFmt w:val="decimal"/>
      <w:lvlText w:val="%3."/>
      <w:lvlJc w:val="left"/>
      <w:pPr>
        <w:ind w:left="600" w:hanging="420"/>
      </w:pPr>
      <w:rPr>
        <w:rFonts w:hint="default"/>
      </w:rPr>
    </w:lvl>
    <w:lvl w:ilvl="3" w:tentative="0">
      <w:start w:val="1"/>
      <w:numFmt w:val="decimal"/>
      <w:isLgl/>
      <w:lvlText w:val="%1.%2.%3.%4"/>
      <w:lvlJc w:val="left"/>
      <w:pPr>
        <w:tabs>
          <w:tab w:val="left" w:pos="1404"/>
        </w:tabs>
        <w:ind w:left="1404" w:hanging="864"/>
      </w:pPr>
      <w:rPr>
        <w:rFonts w:hint="eastAsia"/>
      </w:rPr>
    </w:lvl>
    <w:lvl w:ilvl="4" w:tentative="0">
      <w:start w:val="1"/>
      <w:numFmt w:val="decimal"/>
      <w:isLgl/>
      <w:lvlText w:val="%1.%2.%3.%4.%5"/>
      <w:lvlJc w:val="left"/>
      <w:pPr>
        <w:tabs>
          <w:tab w:val="left" w:pos="1008"/>
        </w:tabs>
        <w:ind w:left="1008" w:hanging="1008"/>
      </w:pPr>
      <w:rPr>
        <w:rFonts w:hint="eastAsia"/>
      </w:rPr>
    </w:lvl>
    <w:lvl w:ilvl="5" w:tentative="0">
      <w:start w:val="1"/>
      <w:numFmt w:val="decimal"/>
      <w:isLgl/>
      <w:lvlText w:val="%1.%2.%3.%4.%5.%6"/>
      <w:lvlJc w:val="left"/>
      <w:pPr>
        <w:tabs>
          <w:tab w:val="left" w:pos="1152"/>
        </w:tabs>
        <w:ind w:left="1152" w:hanging="1152"/>
      </w:pPr>
      <w:rPr>
        <w:rFonts w:hint="eastAsia"/>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9F84D04"/>
    <w:multiLevelType w:val="singleLevel"/>
    <w:tmpl w:val="59F84D04"/>
    <w:lvl w:ilvl="0" w:tentative="0">
      <w:start w:val="1"/>
      <w:numFmt w:val="chineseCounting"/>
      <w:suff w:val="nothing"/>
      <w:lvlText w:val="%1、"/>
      <w:lvlJc w:val="left"/>
    </w:lvl>
  </w:abstractNum>
  <w:abstractNum w:abstractNumId="10">
    <w:nsid w:val="5B0C4E53"/>
    <w:multiLevelType w:val="singleLevel"/>
    <w:tmpl w:val="5B0C4E53"/>
    <w:lvl w:ilvl="0" w:tentative="0">
      <w:start w:val="1"/>
      <w:numFmt w:val="decimal"/>
      <w:suff w:val="space"/>
      <w:lvlText w:val="%1."/>
      <w:lvlJc w:val="left"/>
    </w:lvl>
  </w:abstractNum>
  <w:abstractNum w:abstractNumId="11">
    <w:nsid w:val="60AE39CC"/>
    <w:multiLevelType w:val="multilevel"/>
    <w:tmpl w:val="60AE39CC"/>
    <w:lvl w:ilvl="0" w:tentative="0">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2">
    <w:nsid w:val="765316F3"/>
    <w:multiLevelType w:val="multilevel"/>
    <w:tmpl w:val="765316F3"/>
    <w:lvl w:ilvl="0" w:tentative="0">
      <w:start w:val="1"/>
      <w:numFmt w:val="chineseCountingThousand"/>
      <w:lvlText w:val="%1、"/>
      <w:lvlJc w:val="left"/>
      <w:pPr>
        <w:tabs>
          <w:tab w:val="left" w:pos="1110"/>
        </w:tabs>
        <w:ind w:left="106" w:firstLine="454"/>
      </w:pPr>
      <w:rPr>
        <w:rFonts w:hint="default" w:ascii="??" w:hAnsi="??" w:eastAsia="??"/>
        <w:b/>
        <w:i w:val="0"/>
        <w:iCs w:val="0"/>
        <w:caps w:val="0"/>
        <w:smallCaps w:val="0"/>
        <w:strike w:val="0"/>
        <w:dstrike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3">
    <w:nsid w:val="7C0C3AEC"/>
    <w:multiLevelType w:val="singleLevel"/>
    <w:tmpl w:val="7C0C3AEC"/>
    <w:lvl w:ilvl="0" w:tentative="0">
      <w:start w:val="1"/>
      <w:numFmt w:val="decimal"/>
      <w:suff w:val="space"/>
      <w:lvlText w:val="%1."/>
      <w:lvlJc w:val="left"/>
    </w:lvl>
  </w:abstractNum>
  <w:num w:numId="1">
    <w:abstractNumId w:val="12"/>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4"/>
  </w:num>
  <w:num w:numId="7">
    <w:abstractNumId w:val="6"/>
  </w:num>
  <w:num w:numId="8">
    <w:abstractNumId w:val="10"/>
  </w:num>
  <w:num w:numId="9">
    <w:abstractNumId w:val="13"/>
  </w:num>
  <w:num w:numId="10">
    <w:abstractNumId w:val="9"/>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5ODk0YWFlN2U0ZjQ1ZTc5NjUxNDAyMTUwZjhkNWUifQ=="/>
  </w:docVars>
  <w:rsids>
    <w:rsidRoot w:val="699763A5"/>
    <w:rsid w:val="099F5C8C"/>
    <w:rsid w:val="0DE819AF"/>
    <w:rsid w:val="16C84A74"/>
    <w:rsid w:val="16F77107"/>
    <w:rsid w:val="19FD4A34"/>
    <w:rsid w:val="1AF5395E"/>
    <w:rsid w:val="1D500EF0"/>
    <w:rsid w:val="256F255E"/>
    <w:rsid w:val="28971587"/>
    <w:rsid w:val="33D04B10"/>
    <w:rsid w:val="3DCC00F6"/>
    <w:rsid w:val="3E126376"/>
    <w:rsid w:val="46B20361"/>
    <w:rsid w:val="4DF5092A"/>
    <w:rsid w:val="4ED82D9F"/>
    <w:rsid w:val="51CA0DD8"/>
    <w:rsid w:val="55A77279"/>
    <w:rsid w:val="573375E6"/>
    <w:rsid w:val="5AAE0E58"/>
    <w:rsid w:val="5F013EFE"/>
    <w:rsid w:val="62B64D4D"/>
    <w:rsid w:val="699763A5"/>
    <w:rsid w:val="6CC12C6C"/>
    <w:rsid w:val="6D817CF2"/>
    <w:rsid w:val="752637B6"/>
    <w:rsid w:val="75C80BC8"/>
    <w:rsid w:val="75F419BD"/>
    <w:rsid w:val="77514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2024-03-22T09:14:00Z</dcterms:created>
  <dc:creator>WPS_1646785374</dc:creator>
  <cp:lastModifiedBy>WPS_1646785374</cp:lastModifiedBy>
  <dcterms:modified xsi:type="dcterms:W3CDTF">2024-03-25T08:23:33Z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811FF56A3AC647FB9B1997FAF0AB3A37_13</vt:lpwstr>
  </property>
</Properties>
</file>