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76742">
      <w:pPr>
        <w:spacing w:line="360" w:lineRule="auto"/>
        <w:jc w:val="right"/>
        <w:rPr>
          <w:rFonts w:ascii="楷体" w:hAnsi="楷体" w:eastAsia="楷体" w:cs="楷体"/>
          <w:color w:val="000000" w:themeColor="text1"/>
          <w:w w:val="80"/>
          <w:sz w:val="28"/>
          <w:szCs w:val="28"/>
          <w:lang w:bidi="th-TH"/>
          <w14:textFill>
            <w14:solidFill>
              <w14:schemeClr w14:val="tx1"/>
            </w14:solidFill>
          </w14:textFill>
        </w:rPr>
      </w:pPr>
    </w:p>
    <w:p w14:paraId="0DF545A1">
      <w:pPr>
        <w:snapToGrid w:val="0"/>
        <w:spacing w:line="360" w:lineRule="auto"/>
        <w:jc w:val="center"/>
        <w:rPr>
          <w:rFonts w:ascii="楷体" w:hAnsi="楷体" w:eastAsia="楷体" w:cs="楷体"/>
          <w:color w:val="000000" w:themeColor="text1"/>
          <w:sz w:val="44"/>
          <w:szCs w:val="44"/>
          <w14:textFill>
            <w14:solidFill>
              <w14:schemeClr w14:val="tx1"/>
            </w14:solidFill>
          </w14:textFill>
        </w:rPr>
      </w:pPr>
    </w:p>
    <w:p w14:paraId="17C29010">
      <w:pPr>
        <w:tabs>
          <w:tab w:val="left" w:pos="8222"/>
        </w:tabs>
        <w:spacing w:line="720" w:lineRule="auto"/>
        <w:jc w:val="center"/>
        <w:rPr>
          <w:rFonts w:ascii="楷体" w:hAnsi="楷体" w:eastAsia="楷体" w:cs="楷体"/>
          <w:color w:val="000000" w:themeColor="text1"/>
          <w:sz w:val="48"/>
          <w:szCs w:val="48"/>
          <w14:textFill>
            <w14:solidFill>
              <w14:schemeClr w14:val="tx1"/>
            </w14:solidFill>
          </w14:textFill>
        </w:rPr>
      </w:pPr>
      <w:bookmarkStart w:id="0" w:name="OLE_LINK12"/>
      <w:r>
        <w:rPr>
          <w:rFonts w:hint="eastAsia" w:ascii="楷体" w:hAnsi="楷体" w:eastAsia="楷体" w:cs="楷体"/>
          <w:color w:val="000000" w:themeColor="text1"/>
          <w:sz w:val="52"/>
          <w:szCs w:val="52"/>
          <w14:textFill>
            <w14:solidFill>
              <w14:schemeClr w14:val="tx1"/>
            </w14:solidFill>
          </w14:textFill>
        </w:rPr>
        <w:t>2026年灵溪镇小额工程监理服务</w:t>
      </w:r>
      <w:r>
        <w:rPr>
          <w:rFonts w:hint="eastAsia" w:ascii="楷体" w:hAnsi="楷体" w:eastAsia="楷体" w:cs="楷体"/>
          <w:color w:val="000000" w:themeColor="text1"/>
          <w:sz w:val="48"/>
          <w:szCs w:val="48"/>
          <w14:textFill>
            <w14:solidFill>
              <w14:schemeClr w14:val="tx1"/>
            </w14:solidFill>
          </w14:textFill>
        </w:rPr>
        <w:t xml:space="preserve"> </w:t>
      </w:r>
    </w:p>
    <w:p w14:paraId="3F460E6D">
      <w:pPr>
        <w:spacing w:line="360" w:lineRule="auto"/>
        <w:jc w:val="center"/>
        <w:rPr>
          <w:rFonts w:ascii="楷体" w:hAnsi="楷体" w:eastAsia="楷体" w:cs="楷体"/>
          <w:color w:val="000000" w:themeColor="text1"/>
          <w:sz w:val="48"/>
          <w:szCs w:val="48"/>
          <w14:textFill>
            <w14:solidFill>
              <w14:schemeClr w14:val="tx1"/>
            </w14:solidFill>
          </w14:textFill>
        </w:rPr>
      </w:pPr>
    </w:p>
    <w:p w14:paraId="64AD2A3F">
      <w:pPr>
        <w:spacing w:line="360" w:lineRule="auto"/>
        <w:jc w:val="center"/>
        <w:rPr>
          <w:rFonts w:ascii="楷体" w:hAnsi="楷体" w:eastAsia="楷体" w:cs="楷体"/>
          <w:color w:val="000000" w:themeColor="text1"/>
          <w:sz w:val="48"/>
          <w:szCs w:val="48"/>
          <w14:textFill>
            <w14:solidFill>
              <w14:schemeClr w14:val="tx1"/>
            </w14:solidFill>
          </w14:textFill>
        </w:rPr>
      </w:pPr>
      <w:r>
        <w:rPr>
          <w:rFonts w:hint="eastAsia" w:ascii="楷体" w:hAnsi="楷体" w:eastAsia="楷体" w:cs="楷体"/>
          <w:color w:val="000000" w:themeColor="text1"/>
          <w:sz w:val="48"/>
          <w:szCs w:val="48"/>
          <w14:textFill>
            <w14:solidFill>
              <w14:schemeClr w14:val="tx1"/>
            </w14:solidFill>
          </w14:textFill>
        </w:rPr>
        <w:t>采购文件</w:t>
      </w:r>
    </w:p>
    <w:p w14:paraId="1EAC8BCA">
      <w:pPr>
        <w:spacing w:line="360" w:lineRule="auto"/>
        <w:jc w:val="center"/>
        <w:rPr>
          <w:rFonts w:ascii="楷体" w:hAnsi="楷体" w:eastAsia="楷体" w:cs="楷体"/>
          <w:b/>
          <w:color w:val="000000" w:themeColor="text1"/>
          <w:sz w:val="44"/>
          <w:szCs w:val="44"/>
          <w14:textFill>
            <w14:solidFill>
              <w14:schemeClr w14:val="tx1"/>
            </w14:solidFill>
          </w14:textFill>
        </w:rPr>
      </w:pPr>
      <w:r>
        <w:rPr>
          <w:rFonts w:hint="eastAsia" w:ascii="楷体" w:hAnsi="楷体" w:eastAsia="楷体" w:cs="楷体"/>
          <w:b/>
          <w:color w:val="000000" w:themeColor="text1"/>
          <w:sz w:val="44"/>
          <w:szCs w:val="44"/>
          <w14:textFill>
            <w14:solidFill>
              <w14:schemeClr w14:val="tx1"/>
            </w14:solidFill>
          </w14:textFill>
        </w:rPr>
        <w:t>（电子招投标）</w:t>
      </w:r>
    </w:p>
    <w:p w14:paraId="41D1F2D3">
      <w:pPr>
        <w:tabs>
          <w:tab w:val="left" w:pos="3305"/>
          <w:tab w:val="center" w:pos="4153"/>
        </w:tabs>
        <w:snapToGrid w:val="0"/>
        <w:spacing w:line="360" w:lineRule="auto"/>
        <w:jc w:val="left"/>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ab/>
      </w:r>
      <w:r>
        <w:rPr>
          <w:rFonts w:hint="eastAsia" w:ascii="楷体" w:hAnsi="楷体" w:eastAsia="楷体" w:cs="楷体"/>
          <w:color w:val="000000" w:themeColor="text1"/>
          <w:sz w:val="28"/>
          <w:szCs w:val="28"/>
          <w14:textFill>
            <w14:solidFill>
              <w14:schemeClr w14:val="tx1"/>
            </w14:solidFill>
          </w14:textFill>
        </w:rPr>
        <w:tab/>
      </w:r>
      <w:r>
        <w:rPr>
          <w:rFonts w:hint="eastAsia" w:ascii="楷体" w:hAnsi="楷体" w:eastAsia="楷体" w:cs="楷体"/>
          <w:color w:val="000000" w:themeColor="text1"/>
          <w:sz w:val="28"/>
          <w:szCs w:val="28"/>
          <w14:textFill>
            <w14:solidFill>
              <w14:schemeClr w14:val="tx1"/>
            </w14:solidFill>
          </w14:textFill>
        </w:rPr>
        <w:t xml:space="preserve">  </w:t>
      </w:r>
    </w:p>
    <w:p w14:paraId="777E0C2E">
      <w:pPr>
        <w:spacing w:line="360" w:lineRule="auto"/>
        <w:ind w:firstLine="880"/>
        <w:jc w:val="center"/>
        <w:rPr>
          <w:rFonts w:ascii="楷体" w:hAnsi="楷体" w:eastAsia="楷体" w:cs="楷体"/>
          <w:b/>
          <w:color w:val="000000" w:themeColor="text1"/>
          <w:sz w:val="44"/>
          <w:szCs w:val="44"/>
          <w14:textFill>
            <w14:solidFill>
              <w14:schemeClr w14:val="tx1"/>
            </w14:solidFill>
          </w14:textFill>
        </w:rPr>
      </w:pPr>
      <w:bookmarkStart w:id="554" w:name="_GoBack"/>
      <w:bookmarkEnd w:id="554"/>
    </w:p>
    <w:p w14:paraId="4E52DA71">
      <w:pPr>
        <w:spacing w:line="360" w:lineRule="auto"/>
        <w:ind w:firstLine="880"/>
        <w:jc w:val="center"/>
        <w:rPr>
          <w:rFonts w:ascii="楷体" w:hAnsi="楷体" w:eastAsia="楷体" w:cs="楷体"/>
          <w:b/>
          <w:color w:val="000000" w:themeColor="text1"/>
          <w:sz w:val="44"/>
          <w:szCs w:val="44"/>
          <w14:textFill>
            <w14:solidFill>
              <w14:schemeClr w14:val="tx1"/>
            </w14:solidFill>
          </w14:textFill>
        </w:rPr>
      </w:pPr>
    </w:p>
    <w:p w14:paraId="391CD5E4">
      <w:pPr>
        <w:spacing w:line="360" w:lineRule="auto"/>
        <w:jc w:val="center"/>
        <w:rPr>
          <w:rFonts w:ascii="楷体" w:hAnsi="楷体" w:eastAsia="楷体" w:cs="楷体"/>
          <w:b/>
          <w:color w:val="000000" w:themeColor="text1"/>
          <w:sz w:val="44"/>
          <w:szCs w:val="44"/>
          <w14:textFill>
            <w14:solidFill>
              <w14:schemeClr w14:val="tx1"/>
            </w14:solidFill>
          </w14:textFill>
        </w:rPr>
      </w:pPr>
    </w:p>
    <w:p w14:paraId="30FBCD50">
      <w:pPr>
        <w:spacing w:line="360" w:lineRule="auto"/>
        <w:jc w:val="center"/>
        <w:rPr>
          <w:rFonts w:ascii="楷体" w:hAnsi="楷体" w:eastAsia="楷体" w:cs="楷体"/>
          <w:color w:val="000000" w:themeColor="text1"/>
          <w:sz w:val="24"/>
          <w14:textFill>
            <w14:solidFill>
              <w14:schemeClr w14:val="tx1"/>
            </w14:solidFill>
          </w14:textFill>
        </w:rPr>
      </w:pPr>
    </w:p>
    <w:p w14:paraId="419E0FEB">
      <w:pPr>
        <w:spacing w:line="360" w:lineRule="auto"/>
        <w:jc w:val="center"/>
        <w:rPr>
          <w:rFonts w:ascii="楷体" w:hAnsi="楷体" w:eastAsia="楷体" w:cs="楷体"/>
          <w:color w:val="000000" w:themeColor="text1"/>
          <w:sz w:val="24"/>
          <w14:textFill>
            <w14:solidFill>
              <w14:schemeClr w14:val="tx1"/>
            </w14:solidFill>
          </w14:textFill>
        </w:rPr>
      </w:pPr>
    </w:p>
    <w:p w14:paraId="55F6B59B">
      <w:pPr>
        <w:spacing w:line="360" w:lineRule="auto"/>
        <w:jc w:val="center"/>
        <w:rPr>
          <w:rFonts w:ascii="楷体" w:hAnsi="楷体" w:eastAsia="楷体" w:cs="楷体"/>
          <w:color w:val="000000" w:themeColor="text1"/>
          <w:sz w:val="24"/>
          <w14:textFill>
            <w14:solidFill>
              <w14:schemeClr w14:val="tx1"/>
            </w14:solidFill>
          </w14:textFill>
        </w:rPr>
      </w:pPr>
    </w:p>
    <w:p w14:paraId="4A4DA656">
      <w:pPr>
        <w:spacing w:line="360" w:lineRule="auto"/>
        <w:jc w:val="center"/>
        <w:rPr>
          <w:rFonts w:ascii="楷体" w:hAnsi="楷体" w:eastAsia="楷体" w:cs="楷体"/>
          <w:color w:val="000000" w:themeColor="text1"/>
          <w:sz w:val="24"/>
          <w14:textFill>
            <w14:solidFill>
              <w14:schemeClr w14:val="tx1"/>
            </w14:solidFill>
          </w14:textFill>
        </w:rPr>
      </w:pPr>
    </w:p>
    <w:p w14:paraId="150D5212">
      <w:pPr>
        <w:spacing w:line="360" w:lineRule="auto"/>
        <w:jc w:val="center"/>
        <w:rPr>
          <w:rFonts w:ascii="楷体" w:hAnsi="楷体" w:eastAsia="楷体" w:cs="楷体"/>
          <w:color w:val="000000" w:themeColor="text1"/>
          <w:sz w:val="24"/>
          <w14:textFill>
            <w14:solidFill>
              <w14:schemeClr w14:val="tx1"/>
            </w14:solidFill>
          </w14:textFill>
        </w:rPr>
      </w:pPr>
    </w:p>
    <w:p w14:paraId="2ABAB66D">
      <w:pPr>
        <w:spacing w:line="360" w:lineRule="auto"/>
        <w:jc w:val="center"/>
        <w:rPr>
          <w:rFonts w:ascii="楷体" w:hAnsi="楷体" w:eastAsia="楷体" w:cs="楷体"/>
          <w:color w:val="000000" w:themeColor="text1"/>
          <w:sz w:val="24"/>
          <w14:textFill>
            <w14:solidFill>
              <w14:schemeClr w14:val="tx1"/>
            </w14:solidFill>
          </w14:textFill>
        </w:rPr>
      </w:pPr>
    </w:p>
    <w:p w14:paraId="393DB3BF">
      <w:pPr>
        <w:pStyle w:val="4"/>
        <w:spacing w:line="360" w:lineRule="auto"/>
        <w:ind w:firstLine="643"/>
        <w:rPr>
          <w:rFonts w:ascii="楷体" w:hAnsi="楷体" w:eastAsia="楷体" w:cs="楷体"/>
          <w:color w:val="000000" w:themeColor="text1"/>
          <w:sz w:val="32"/>
          <w:szCs w:val="32"/>
          <w14:textFill>
            <w14:solidFill>
              <w14:schemeClr w14:val="tx1"/>
            </w14:solidFill>
          </w14:textFill>
        </w:rPr>
      </w:pPr>
    </w:p>
    <w:p w14:paraId="58443883">
      <w:pPr>
        <w:pStyle w:val="4"/>
        <w:spacing w:line="360" w:lineRule="auto"/>
        <w:ind w:firstLine="643"/>
        <w:rPr>
          <w:rFonts w:ascii="楷体" w:hAnsi="楷体" w:eastAsia="楷体" w:cs="楷体"/>
          <w:color w:val="000000" w:themeColor="text1"/>
          <w:sz w:val="32"/>
          <w:szCs w:val="32"/>
          <w14:textFill>
            <w14:solidFill>
              <w14:schemeClr w14:val="tx1"/>
            </w14:solidFill>
          </w14:textFill>
        </w:rPr>
      </w:pPr>
    </w:p>
    <w:p w14:paraId="78DDE1F7">
      <w:pPr>
        <w:pStyle w:val="4"/>
        <w:spacing w:line="360" w:lineRule="auto"/>
        <w:ind w:firstLine="643"/>
        <w:rPr>
          <w:rFonts w:ascii="楷体" w:hAnsi="楷体" w:eastAsia="楷体" w:cs="楷体"/>
          <w:color w:val="000000" w:themeColor="text1"/>
          <w:sz w:val="32"/>
          <w:szCs w:val="32"/>
          <w14:textFill>
            <w14:solidFill>
              <w14:schemeClr w14:val="tx1"/>
            </w14:solidFill>
          </w14:textFill>
        </w:rPr>
      </w:pPr>
    </w:p>
    <w:p w14:paraId="64325756">
      <w:pPr>
        <w:pStyle w:val="4"/>
        <w:spacing w:line="360" w:lineRule="auto"/>
        <w:ind w:firstLine="643"/>
        <w:jc w:val="center"/>
        <w:rPr>
          <w:rFonts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苍南县灵溪镇人民政府</w:t>
      </w:r>
    </w:p>
    <w:p w14:paraId="66CD216A">
      <w:pPr>
        <w:snapToGrid w:val="0"/>
        <w:spacing w:line="360" w:lineRule="auto"/>
        <w:ind w:firstLine="643"/>
        <w:jc w:val="center"/>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温州市信合工程咨询有限公司</w:t>
      </w:r>
    </w:p>
    <w:p w14:paraId="6FFEB216">
      <w:pPr>
        <w:snapToGrid w:val="0"/>
        <w:spacing w:line="360" w:lineRule="auto"/>
        <w:ind w:firstLine="643"/>
        <w:jc w:val="center"/>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二〇二六年四月</w:t>
      </w:r>
      <w:bookmarkStart w:id="1" w:name="_Hlt67893495"/>
      <w:bookmarkEnd w:id="1"/>
    </w:p>
    <w:p w14:paraId="255FA86E">
      <w:pPr>
        <w:spacing w:line="360" w:lineRule="auto"/>
        <w:jc w:val="center"/>
        <w:rPr>
          <w:rFonts w:ascii="楷体" w:hAnsi="楷体" w:eastAsia="楷体" w:cs="楷体"/>
          <w:b/>
          <w:bCs/>
          <w:color w:val="000000" w:themeColor="text1"/>
          <w:spacing w:val="170"/>
          <w:sz w:val="56"/>
          <w:szCs w:val="96"/>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titlePg/>
          <w:docGrid w:type="lines" w:linePitch="312" w:charSpace="0"/>
        </w:sectPr>
      </w:pPr>
    </w:p>
    <w:bookmarkEnd w:id="0"/>
    <w:p w14:paraId="02CB313B">
      <w:pPr>
        <w:rPr>
          <w:rFonts w:ascii="楷体" w:hAnsi="楷体" w:eastAsia="楷体" w:cs="楷体"/>
          <w:color w:val="000000" w:themeColor="text1"/>
          <w14:textFill>
            <w14:solidFill>
              <w14:schemeClr w14:val="tx1"/>
            </w14:solidFill>
          </w14:textFill>
        </w:rPr>
      </w:pPr>
    </w:p>
    <w:p w14:paraId="7A08854D">
      <w:pPr>
        <w:spacing w:line="480" w:lineRule="auto"/>
        <w:jc w:val="center"/>
        <w:rPr>
          <w:rFonts w:ascii="楷体" w:hAnsi="楷体" w:eastAsia="楷体" w:cs="楷体"/>
          <w:b/>
          <w:bCs/>
          <w:color w:val="000000" w:themeColor="text1"/>
          <w:sz w:val="36"/>
          <w:szCs w:val="36"/>
          <w14:textFill>
            <w14:solidFill>
              <w14:schemeClr w14:val="tx1"/>
            </w14:solidFill>
          </w14:textFill>
        </w:rPr>
      </w:pPr>
      <w:r>
        <w:rPr>
          <w:rFonts w:hint="eastAsia" w:ascii="楷体" w:hAnsi="楷体" w:eastAsia="楷体" w:cs="楷体"/>
          <w:b/>
          <w:bCs/>
          <w:color w:val="000000" w:themeColor="text1"/>
          <w:sz w:val="36"/>
          <w:szCs w:val="36"/>
          <w14:textFill>
            <w14:solidFill>
              <w14:schemeClr w14:val="tx1"/>
            </w14:solidFill>
          </w14:textFill>
        </w:rPr>
        <w:t>目录</w:t>
      </w:r>
    </w:p>
    <w:p w14:paraId="37D447D6">
      <w:pPr>
        <w:pStyle w:val="35"/>
        <w:spacing w:line="700" w:lineRule="exact"/>
        <w:rPr>
          <w:rFonts w:ascii="楷体" w:hAnsi="楷体" w:eastAsia="楷体" w:cs="楷体"/>
          <w:bCs w:val="0"/>
          <w:caps w:val="0"/>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fldChar w:fldCharType="begin"/>
      </w:r>
      <w:r>
        <w:rPr>
          <w:rFonts w:hint="eastAsia" w:ascii="楷体" w:hAnsi="楷体" w:eastAsia="楷体" w:cs="楷体"/>
          <w:color w:val="000000" w:themeColor="text1"/>
          <w:sz w:val="28"/>
          <w:szCs w:val="28"/>
          <w14:textFill>
            <w14:solidFill>
              <w14:schemeClr w14:val="tx1"/>
            </w14:solidFill>
          </w14:textFill>
        </w:rPr>
        <w:instrText xml:space="preserve">TOC \o "1-2" \h \u </w:instrText>
      </w:r>
      <w:r>
        <w:rPr>
          <w:rFonts w:hint="eastAsia" w:ascii="楷体" w:hAnsi="楷体" w:eastAsia="楷体" w:cs="楷体"/>
          <w:color w:val="000000" w:themeColor="text1"/>
          <w:sz w:val="28"/>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"_Toc225868266" </w:instrText>
      </w:r>
      <w:r>
        <w:rPr>
          <w:color w:val="000000" w:themeColor="text1"/>
          <w14:textFill>
            <w14:solidFill>
              <w14:schemeClr w14:val="tx1"/>
            </w14:solidFill>
          </w14:textFill>
        </w:rPr>
        <w:fldChar w:fldCharType="separate"/>
      </w:r>
      <w:r>
        <w:rPr>
          <w:rStyle w:val="52"/>
          <w:rFonts w:hint="eastAsia" w:ascii="楷体" w:hAnsi="楷体" w:eastAsia="楷体" w:cs="楷体"/>
          <w:b/>
          <w:color w:val="000000" w:themeColor="text1"/>
          <w:sz w:val="28"/>
          <w:szCs w:val="28"/>
          <w14:textFill>
            <w14:solidFill>
              <w14:schemeClr w14:val="tx1"/>
            </w14:solidFill>
          </w14:textFill>
        </w:rPr>
        <w:t>第一部分  采购公告</w:t>
      </w:r>
      <w:r>
        <w:rPr>
          <w:rFonts w:hint="eastAsia" w:ascii="楷体" w:hAnsi="楷体" w:eastAsia="楷体" w:cs="楷体"/>
          <w:color w:val="000000" w:themeColor="text1"/>
          <w:sz w:val="28"/>
          <w:szCs w:val="28"/>
          <w14:textFill>
            <w14:solidFill>
              <w14:schemeClr w14:val="tx1"/>
            </w14:solidFill>
          </w14:textFill>
        </w:rPr>
        <w:tab/>
      </w:r>
      <w:r>
        <w:rPr>
          <w:rFonts w:hint="eastAsia" w:ascii="楷体" w:hAnsi="楷体" w:eastAsia="楷体" w:cs="楷体"/>
          <w:color w:val="000000" w:themeColor="text1"/>
          <w:sz w:val="28"/>
          <w:szCs w:val="28"/>
          <w14:textFill>
            <w14:solidFill>
              <w14:schemeClr w14:val="tx1"/>
            </w14:solidFill>
          </w14:textFill>
        </w:rPr>
        <w:fldChar w:fldCharType="begin"/>
      </w:r>
      <w:r>
        <w:rPr>
          <w:rFonts w:hint="eastAsia" w:ascii="楷体" w:hAnsi="楷体" w:eastAsia="楷体" w:cs="楷体"/>
          <w:color w:val="000000" w:themeColor="text1"/>
          <w:sz w:val="28"/>
          <w:szCs w:val="28"/>
          <w14:textFill>
            <w14:solidFill>
              <w14:schemeClr w14:val="tx1"/>
            </w14:solidFill>
          </w14:textFill>
        </w:rPr>
        <w:instrText xml:space="preserve"> PAGEREF _Toc225868266 \h </w:instrText>
      </w:r>
      <w:r>
        <w:rPr>
          <w:rFonts w:hint="eastAsia" w:ascii="楷体" w:hAnsi="楷体" w:eastAsia="楷体" w:cs="楷体"/>
          <w:color w:val="000000" w:themeColor="text1"/>
          <w:sz w:val="28"/>
          <w:szCs w:val="28"/>
          <w14:textFill>
            <w14:solidFill>
              <w14:schemeClr w14:val="tx1"/>
            </w14:solidFill>
          </w14:textFill>
        </w:rPr>
        <w:fldChar w:fldCharType="separate"/>
      </w:r>
      <w:r>
        <w:rPr>
          <w:rFonts w:hint="eastAsia" w:ascii="楷体" w:hAnsi="楷体" w:eastAsia="楷体" w:cs="楷体"/>
          <w:color w:val="000000" w:themeColor="text1"/>
          <w:sz w:val="28"/>
          <w:szCs w:val="28"/>
          <w14:textFill>
            <w14:solidFill>
              <w14:schemeClr w14:val="tx1"/>
            </w14:solidFill>
          </w14:textFill>
        </w:rPr>
        <w:t>- 5 -</w:t>
      </w:r>
      <w:r>
        <w:rPr>
          <w:rFonts w:hint="eastAsia" w:ascii="楷体" w:hAnsi="楷体" w:eastAsia="楷体" w:cs="楷体"/>
          <w:color w:val="000000" w:themeColor="text1"/>
          <w:sz w:val="28"/>
          <w:szCs w:val="28"/>
          <w14:textFill>
            <w14:solidFill>
              <w14:schemeClr w14:val="tx1"/>
            </w14:solidFill>
          </w14:textFill>
        </w:rPr>
        <w:fldChar w:fldCharType="end"/>
      </w:r>
      <w:r>
        <w:rPr>
          <w:rFonts w:hint="eastAsia" w:ascii="楷体" w:hAnsi="楷体" w:eastAsia="楷体" w:cs="楷体"/>
          <w:color w:val="000000" w:themeColor="text1"/>
          <w:sz w:val="28"/>
          <w:szCs w:val="28"/>
          <w14:textFill>
            <w14:solidFill>
              <w14:schemeClr w14:val="tx1"/>
            </w14:solidFill>
          </w14:textFill>
        </w:rPr>
        <w:fldChar w:fldCharType="end"/>
      </w:r>
    </w:p>
    <w:p w14:paraId="331F41B8">
      <w:pPr>
        <w:pStyle w:val="35"/>
        <w:spacing w:line="700" w:lineRule="exact"/>
        <w:rPr>
          <w:rFonts w:ascii="楷体" w:hAnsi="楷体" w:eastAsia="楷体" w:cs="楷体"/>
          <w:bCs w:val="0"/>
          <w:caps w:val="0"/>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"_Toc225868267" </w:instrText>
      </w:r>
      <w:r>
        <w:rPr>
          <w:color w:val="000000" w:themeColor="text1"/>
          <w14:textFill>
            <w14:solidFill>
              <w14:schemeClr w14:val="tx1"/>
            </w14:solidFill>
          </w14:textFill>
        </w:rPr>
        <w:fldChar w:fldCharType="separate"/>
      </w:r>
      <w:r>
        <w:rPr>
          <w:rStyle w:val="52"/>
          <w:rFonts w:hint="eastAsia" w:ascii="楷体" w:hAnsi="楷体" w:eastAsia="楷体" w:cs="楷体"/>
          <w:b/>
          <w:color w:val="000000" w:themeColor="text1"/>
          <w:sz w:val="28"/>
          <w:szCs w:val="28"/>
          <w14:textFill>
            <w14:solidFill>
              <w14:schemeClr w14:val="tx1"/>
            </w14:solidFill>
          </w14:textFill>
        </w:rPr>
        <w:t>第二部分  投标须知</w:t>
      </w:r>
      <w:r>
        <w:rPr>
          <w:rFonts w:hint="eastAsia" w:ascii="楷体" w:hAnsi="楷体" w:eastAsia="楷体" w:cs="楷体"/>
          <w:color w:val="000000" w:themeColor="text1"/>
          <w:sz w:val="28"/>
          <w:szCs w:val="28"/>
          <w14:textFill>
            <w14:solidFill>
              <w14:schemeClr w14:val="tx1"/>
            </w14:solidFill>
          </w14:textFill>
        </w:rPr>
        <w:tab/>
      </w:r>
      <w:r>
        <w:rPr>
          <w:rFonts w:hint="eastAsia" w:ascii="楷体" w:hAnsi="楷体" w:eastAsia="楷体" w:cs="楷体"/>
          <w:color w:val="000000" w:themeColor="text1"/>
          <w:sz w:val="28"/>
          <w:szCs w:val="28"/>
          <w14:textFill>
            <w14:solidFill>
              <w14:schemeClr w14:val="tx1"/>
            </w14:solidFill>
          </w14:textFill>
        </w:rPr>
        <w:fldChar w:fldCharType="begin"/>
      </w:r>
      <w:r>
        <w:rPr>
          <w:rFonts w:hint="eastAsia" w:ascii="楷体" w:hAnsi="楷体" w:eastAsia="楷体" w:cs="楷体"/>
          <w:color w:val="000000" w:themeColor="text1"/>
          <w:sz w:val="28"/>
          <w:szCs w:val="28"/>
          <w14:textFill>
            <w14:solidFill>
              <w14:schemeClr w14:val="tx1"/>
            </w14:solidFill>
          </w14:textFill>
        </w:rPr>
        <w:instrText xml:space="preserve"> PAGEREF _Toc225868267 \h </w:instrText>
      </w:r>
      <w:r>
        <w:rPr>
          <w:rFonts w:hint="eastAsia" w:ascii="楷体" w:hAnsi="楷体" w:eastAsia="楷体" w:cs="楷体"/>
          <w:color w:val="000000" w:themeColor="text1"/>
          <w:sz w:val="28"/>
          <w:szCs w:val="28"/>
          <w14:textFill>
            <w14:solidFill>
              <w14:schemeClr w14:val="tx1"/>
            </w14:solidFill>
          </w14:textFill>
        </w:rPr>
        <w:fldChar w:fldCharType="separate"/>
      </w:r>
      <w:r>
        <w:rPr>
          <w:rFonts w:hint="eastAsia" w:ascii="楷体" w:hAnsi="楷体" w:eastAsia="楷体" w:cs="楷体"/>
          <w:color w:val="000000" w:themeColor="text1"/>
          <w:sz w:val="28"/>
          <w:szCs w:val="28"/>
          <w14:textFill>
            <w14:solidFill>
              <w14:schemeClr w14:val="tx1"/>
            </w14:solidFill>
          </w14:textFill>
        </w:rPr>
        <w:t>- 18 -</w:t>
      </w:r>
      <w:r>
        <w:rPr>
          <w:rFonts w:hint="eastAsia" w:ascii="楷体" w:hAnsi="楷体" w:eastAsia="楷体" w:cs="楷体"/>
          <w:color w:val="000000" w:themeColor="text1"/>
          <w:sz w:val="28"/>
          <w:szCs w:val="28"/>
          <w14:textFill>
            <w14:solidFill>
              <w14:schemeClr w14:val="tx1"/>
            </w14:solidFill>
          </w14:textFill>
        </w:rPr>
        <w:fldChar w:fldCharType="end"/>
      </w:r>
      <w:r>
        <w:rPr>
          <w:rFonts w:hint="eastAsia" w:ascii="楷体" w:hAnsi="楷体" w:eastAsia="楷体" w:cs="楷体"/>
          <w:color w:val="000000" w:themeColor="text1"/>
          <w:sz w:val="28"/>
          <w:szCs w:val="28"/>
          <w14:textFill>
            <w14:solidFill>
              <w14:schemeClr w14:val="tx1"/>
            </w14:solidFill>
          </w14:textFill>
        </w:rPr>
        <w:fldChar w:fldCharType="end"/>
      </w:r>
    </w:p>
    <w:p w14:paraId="453C5FD4">
      <w:pPr>
        <w:pStyle w:val="35"/>
        <w:spacing w:line="700" w:lineRule="exact"/>
        <w:rPr>
          <w:rFonts w:ascii="楷体" w:hAnsi="楷体" w:eastAsia="楷体" w:cs="楷体"/>
          <w:bCs w:val="0"/>
          <w:caps w:val="0"/>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"_Toc225868274" </w:instrText>
      </w:r>
      <w:r>
        <w:rPr>
          <w:color w:val="000000" w:themeColor="text1"/>
          <w14:textFill>
            <w14:solidFill>
              <w14:schemeClr w14:val="tx1"/>
            </w14:solidFill>
          </w14:textFill>
        </w:rPr>
        <w:fldChar w:fldCharType="separate"/>
      </w:r>
      <w:r>
        <w:rPr>
          <w:rStyle w:val="52"/>
          <w:rFonts w:hint="eastAsia" w:ascii="楷体" w:hAnsi="楷体" w:eastAsia="楷体" w:cs="楷体"/>
          <w:b/>
          <w:color w:val="000000" w:themeColor="text1"/>
          <w:sz w:val="28"/>
          <w:szCs w:val="28"/>
          <w14:textFill>
            <w14:solidFill>
              <w14:schemeClr w14:val="tx1"/>
            </w14:solidFill>
          </w14:textFill>
        </w:rPr>
        <w:t>第三部分 采购需求</w:t>
      </w:r>
      <w:r>
        <w:rPr>
          <w:rFonts w:hint="eastAsia" w:ascii="楷体" w:hAnsi="楷体" w:eastAsia="楷体" w:cs="楷体"/>
          <w:color w:val="000000" w:themeColor="text1"/>
          <w:sz w:val="28"/>
          <w:szCs w:val="28"/>
          <w14:textFill>
            <w14:solidFill>
              <w14:schemeClr w14:val="tx1"/>
            </w14:solidFill>
          </w14:textFill>
        </w:rPr>
        <w:tab/>
      </w:r>
      <w:r>
        <w:rPr>
          <w:rFonts w:hint="eastAsia" w:ascii="楷体" w:hAnsi="楷体" w:eastAsia="楷体" w:cs="楷体"/>
          <w:color w:val="000000" w:themeColor="text1"/>
          <w:sz w:val="28"/>
          <w:szCs w:val="28"/>
          <w14:textFill>
            <w14:solidFill>
              <w14:schemeClr w14:val="tx1"/>
            </w14:solidFill>
          </w14:textFill>
        </w:rPr>
        <w:fldChar w:fldCharType="begin"/>
      </w:r>
      <w:r>
        <w:rPr>
          <w:rFonts w:hint="eastAsia" w:ascii="楷体" w:hAnsi="楷体" w:eastAsia="楷体" w:cs="楷体"/>
          <w:color w:val="000000" w:themeColor="text1"/>
          <w:sz w:val="28"/>
          <w:szCs w:val="28"/>
          <w14:textFill>
            <w14:solidFill>
              <w14:schemeClr w14:val="tx1"/>
            </w14:solidFill>
          </w14:textFill>
        </w:rPr>
        <w:instrText xml:space="preserve"> PAGEREF _Toc225868274 \h </w:instrText>
      </w:r>
      <w:r>
        <w:rPr>
          <w:rFonts w:hint="eastAsia" w:ascii="楷体" w:hAnsi="楷体" w:eastAsia="楷体" w:cs="楷体"/>
          <w:color w:val="000000" w:themeColor="text1"/>
          <w:sz w:val="28"/>
          <w:szCs w:val="28"/>
          <w14:textFill>
            <w14:solidFill>
              <w14:schemeClr w14:val="tx1"/>
            </w14:solidFill>
          </w14:textFill>
        </w:rPr>
        <w:fldChar w:fldCharType="separate"/>
      </w:r>
      <w:r>
        <w:rPr>
          <w:rFonts w:hint="eastAsia" w:ascii="楷体" w:hAnsi="楷体" w:eastAsia="楷体" w:cs="楷体"/>
          <w:color w:val="000000" w:themeColor="text1"/>
          <w:sz w:val="28"/>
          <w:szCs w:val="28"/>
          <w14:textFill>
            <w14:solidFill>
              <w14:schemeClr w14:val="tx1"/>
            </w14:solidFill>
          </w14:textFill>
        </w:rPr>
        <w:t>- 32 -</w:t>
      </w:r>
      <w:r>
        <w:rPr>
          <w:rFonts w:hint="eastAsia" w:ascii="楷体" w:hAnsi="楷体" w:eastAsia="楷体" w:cs="楷体"/>
          <w:color w:val="000000" w:themeColor="text1"/>
          <w:sz w:val="28"/>
          <w:szCs w:val="28"/>
          <w14:textFill>
            <w14:solidFill>
              <w14:schemeClr w14:val="tx1"/>
            </w14:solidFill>
          </w14:textFill>
        </w:rPr>
        <w:fldChar w:fldCharType="end"/>
      </w:r>
      <w:r>
        <w:rPr>
          <w:rFonts w:hint="eastAsia" w:ascii="楷体" w:hAnsi="楷体" w:eastAsia="楷体" w:cs="楷体"/>
          <w:color w:val="000000" w:themeColor="text1"/>
          <w:sz w:val="28"/>
          <w:szCs w:val="28"/>
          <w14:textFill>
            <w14:solidFill>
              <w14:schemeClr w14:val="tx1"/>
            </w14:solidFill>
          </w14:textFill>
        </w:rPr>
        <w:fldChar w:fldCharType="end"/>
      </w:r>
    </w:p>
    <w:p w14:paraId="704A2F58">
      <w:pPr>
        <w:pStyle w:val="35"/>
        <w:spacing w:line="700" w:lineRule="exact"/>
        <w:rPr>
          <w:rFonts w:ascii="楷体" w:hAnsi="楷体" w:eastAsia="楷体" w:cs="楷体"/>
          <w:bCs w:val="0"/>
          <w:caps w:val="0"/>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"_Toc225868277" </w:instrText>
      </w:r>
      <w:r>
        <w:rPr>
          <w:color w:val="000000" w:themeColor="text1"/>
          <w14:textFill>
            <w14:solidFill>
              <w14:schemeClr w14:val="tx1"/>
            </w14:solidFill>
          </w14:textFill>
        </w:rPr>
        <w:fldChar w:fldCharType="separate"/>
      </w:r>
      <w:r>
        <w:rPr>
          <w:rStyle w:val="52"/>
          <w:rFonts w:hint="eastAsia" w:ascii="楷体" w:hAnsi="楷体" w:eastAsia="楷体" w:cs="楷体"/>
          <w:b/>
          <w:color w:val="000000" w:themeColor="text1"/>
          <w:sz w:val="28"/>
          <w:szCs w:val="28"/>
          <w14:textFill>
            <w14:solidFill>
              <w14:schemeClr w14:val="tx1"/>
            </w14:solidFill>
          </w14:textFill>
        </w:rPr>
        <w:t>第四部分  合同条款（仅供参考）</w:t>
      </w:r>
      <w:r>
        <w:rPr>
          <w:rFonts w:hint="eastAsia" w:ascii="楷体" w:hAnsi="楷体" w:eastAsia="楷体" w:cs="楷体"/>
          <w:color w:val="000000" w:themeColor="text1"/>
          <w:sz w:val="28"/>
          <w:szCs w:val="28"/>
          <w14:textFill>
            <w14:solidFill>
              <w14:schemeClr w14:val="tx1"/>
            </w14:solidFill>
          </w14:textFill>
        </w:rPr>
        <w:tab/>
      </w:r>
      <w:r>
        <w:rPr>
          <w:rFonts w:hint="eastAsia" w:ascii="楷体" w:hAnsi="楷体" w:eastAsia="楷体" w:cs="楷体"/>
          <w:color w:val="000000" w:themeColor="text1"/>
          <w:sz w:val="28"/>
          <w:szCs w:val="28"/>
          <w14:textFill>
            <w14:solidFill>
              <w14:schemeClr w14:val="tx1"/>
            </w14:solidFill>
          </w14:textFill>
        </w:rPr>
        <w:fldChar w:fldCharType="begin"/>
      </w:r>
      <w:r>
        <w:rPr>
          <w:rFonts w:hint="eastAsia" w:ascii="楷体" w:hAnsi="楷体" w:eastAsia="楷体" w:cs="楷体"/>
          <w:color w:val="000000" w:themeColor="text1"/>
          <w:sz w:val="28"/>
          <w:szCs w:val="28"/>
          <w14:textFill>
            <w14:solidFill>
              <w14:schemeClr w14:val="tx1"/>
            </w14:solidFill>
          </w14:textFill>
        </w:rPr>
        <w:instrText xml:space="preserve"> PAGEREF _Toc225868277 \h </w:instrText>
      </w:r>
      <w:r>
        <w:rPr>
          <w:rFonts w:hint="eastAsia" w:ascii="楷体" w:hAnsi="楷体" w:eastAsia="楷体" w:cs="楷体"/>
          <w:color w:val="000000" w:themeColor="text1"/>
          <w:sz w:val="28"/>
          <w:szCs w:val="28"/>
          <w14:textFill>
            <w14:solidFill>
              <w14:schemeClr w14:val="tx1"/>
            </w14:solidFill>
          </w14:textFill>
        </w:rPr>
        <w:fldChar w:fldCharType="separate"/>
      </w:r>
      <w:r>
        <w:rPr>
          <w:rFonts w:hint="eastAsia" w:ascii="楷体" w:hAnsi="楷体" w:eastAsia="楷体" w:cs="楷体"/>
          <w:color w:val="000000" w:themeColor="text1"/>
          <w:sz w:val="28"/>
          <w:szCs w:val="28"/>
          <w14:textFill>
            <w14:solidFill>
              <w14:schemeClr w14:val="tx1"/>
            </w14:solidFill>
          </w14:textFill>
        </w:rPr>
        <w:t>- 41 -</w:t>
      </w:r>
      <w:r>
        <w:rPr>
          <w:rFonts w:hint="eastAsia" w:ascii="楷体" w:hAnsi="楷体" w:eastAsia="楷体" w:cs="楷体"/>
          <w:color w:val="000000" w:themeColor="text1"/>
          <w:sz w:val="28"/>
          <w:szCs w:val="28"/>
          <w14:textFill>
            <w14:solidFill>
              <w14:schemeClr w14:val="tx1"/>
            </w14:solidFill>
          </w14:textFill>
        </w:rPr>
        <w:fldChar w:fldCharType="end"/>
      </w:r>
      <w:r>
        <w:rPr>
          <w:rFonts w:hint="eastAsia" w:ascii="楷体" w:hAnsi="楷体" w:eastAsia="楷体" w:cs="楷体"/>
          <w:color w:val="000000" w:themeColor="text1"/>
          <w:sz w:val="28"/>
          <w:szCs w:val="28"/>
          <w14:textFill>
            <w14:solidFill>
              <w14:schemeClr w14:val="tx1"/>
            </w14:solidFill>
          </w14:textFill>
        </w:rPr>
        <w:fldChar w:fldCharType="end"/>
      </w:r>
    </w:p>
    <w:p w14:paraId="63426A7B">
      <w:pPr>
        <w:pStyle w:val="35"/>
        <w:spacing w:line="700" w:lineRule="exact"/>
        <w:rPr>
          <w:rFonts w:ascii="楷体" w:hAnsi="楷体" w:eastAsia="楷体" w:cs="楷体"/>
          <w:bCs w:val="0"/>
          <w:caps w:val="0"/>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"_Toc225868334" </w:instrText>
      </w:r>
      <w:r>
        <w:rPr>
          <w:color w:val="000000" w:themeColor="text1"/>
          <w14:textFill>
            <w14:solidFill>
              <w14:schemeClr w14:val="tx1"/>
            </w14:solidFill>
          </w14:textFill>
        </w:rPr>
        <w:fldChar w:fldCharType="separate"/>
      </w:r>
      <w:r>
        <w:rPr>
          <w:rStyle w:val="52"/>
          <w:rFonts w:hint="eastAsia" w:ascii="楷体" w:hAnsi="楷体" w:eastAsia="楷体" w:cs="楷体"/>
          <w:b/>
          <w:color w:val="000000" w:themeColor="text1"/>
          <w:sz w:val="28"/>
          <w:szCs w:val="28"/>
          <w14:textFill>
            <w14:solidFill>
              <w14:schemeClr w14:val="tx1"/>
            </w14:solidFill>
          </w14:textFill>
        </w:rPr>
        <w:t>第五部分  投标文件格式</w:t>
      </w:r>
      <w:r>
        <w:rPr>
          <w:rFonts w:hint="eastAsia" w:ascii="楷体" w:hAnsi="楷体" w:eastAsia="楷体" w:cs="楷体"/>
          <w:color w:val="000000" w:themeColor="text1"/>
          <w:sz w:val="28"/>
          <w:szCs w:val="28"/>
          <w14:textFill>
            <w14:solidFill>
              <w14:schemeClr w14:val="tx1"/>
            </w14:solidFill>
          </w14:textFill>
        </w:rPr>
        <w:tab/>
      </w:r>
      <w:r>
        <w:rPr>
          <w:rFonts w:hint="eastAsia" w:ascii="楷体" w:hAnsi="楷体" w:eastAsia="楷体" w:cs="楷体"/>
          <w:color w:val="000000" w:themeColor="text1"/>
          <w:sz w:val="28"/>
          <w:szCs w:val="28"/>
          <w14:textFill>
            <w14:solidFill>
              <w14:schemeClr w14:val="tx1"/>
            </w14:solidFill>
          </w14:textFill>
        </w:rPr>
        <w:fldChar w:fldCharType="begin"/>
      </w:r>
      <w:r>
        <w:rPr>
          <w:rFonts w:hint="eastAsia" w:ascii="楷体" w:hAnsi="楷体" w:eastAsia="楷体" w:cs="楷体"/>
          <w:color w:val="000000" w:themeColor="text1"/>
          <w:sz w:val="28"/>
          <w:szCs w:val="28"/>
          <w14:textFill>
            <w14:solidFill>
              <w14:schemeClr w14:val="tx1"/>
            </w14:solidFill>
          </w14:textFill>
        </w:rPr>
        <w:instrText xml:space="preserve"> PAGEREF _Toc225868334 \h </w:instrText>
      </w:r>
      <w:r>
        <w:rPr>
          <w:rFonts w:hint="eastAsia" w:ascii="楷体" w:hAnsi="楷体" w:eastAsia="楷体" w:cs="楷体"/>
          <w:color w:val="000000" w:themeColor="text1"/>
          <w:sz w:val="28"/>
          <w:szCs w:val="28"/>
          <w14:textFill>
            <w14:solidFill>
              <w14:schemeClr w14:val="tx1"/>
            </w14:solidFill>
          </w14:textFill>
        </w:rPr>
        <w:fldChar w:fldCharType="separate"/>
      </w:r>
      <w:r>
        <w:rPr>
          <w:rFonts w:hint="eastAsia" w:ascii="楷体" w:hAnsi="楷体" w:eastAsia="楷体" w:cs="楷体"/>
          <w:color w:val="000000" w:themeColor="text1"/>
          <w:sz w:val="28"/>
          <w:szCs w:val="28"/>
          <w14:textFill>
            <w14:solidFill>
              <w14:schemeClr w14:val="tx1"/>
            </w14:solidFill>
          </w14:textFill>
        </w:rPr>
        <w:t>- 67 -</w:t>
      </w:r>
      <w:r>
        <w:rPr>
          <w:rFonts w:hint="eastAsia" w:ascii="楷体" w:hAnsi="楷体" w:eastAsia="楷体" w:cs="楷体"/>
          <w:color w:val="000000" w:themeColor="text1"/>
          <w:sz w:val="28"/>
          <w:szCs w:val="28"/>
          <w14:textFill>
            <w14:solidFill>
              <w14:schemeClr w14:val="tx1"/>
            </w14:solidFill>
          </w14:textFill>
        </w:rPr>
        <w:fldChar w:fldCharType="end"/>
      </w:r>
      <w:r>
        <w:rPr>
          <w:rFonts w:hint="eastAsia" w:ascii="楷体" w:hAnsi="楷体" w:eastAsia="楷体" w:cs="楷体"/>
          <w:color w:val="000000" w:themeColor="text1"/>
          <w:sz w:val="28"/>
          <w:szCs w:val="28"/>
          <w14:textFill>
            <w14:solidFill>
              <w14:schemeClr w14:val="tx1"/>
            </w14:solidFill>
          </w14:textFill>
        </w:rPr>
        <w:fldChar w:fldCharType="end"/>
      </w:r>
    </w:p>
    <w:p w14:paraId="217F8C4F">
      <w:pPr>
        <w:pStyle w:val="35"/>
        <w:spacing w:line="700" w:lineRule="exact"/>
        <w:rPr>
          <w:rFonts w:ascii="楷体" w:hAnsi="楷体" w:eastAsia="楷体" w:cs="楷体"/>
          <w:bCs w:val="0"/>
          <w:caps w:val="0"/>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"_Toc225868339" </w:instrText>
      </w:r>
      <w:r>
        <w:rPr>
          <w:color w:val="000000" w:themeColor="text1"/>
          <w14:textFill>
            <w14:solidFill>
              <w14:schemeClr w14:val="tx1"/>
            </w14:solidFill>
          </w14:textFill>
        </w:rPr>
        <w:fldChar w:fldCharType="separate"/>
      </w:r>
      <w:r>
        <w:rPr>
          <w:rStyle w:val="52"/>
          <w:rFonts w:hint="eastAsia" w:ascii="楷体" w:hAnsi="楷体" w:eastAsia="楷体" w:cs="楷体"/>
          <w:b/>
          <w:color w:val="000000" w:themeColor="text1"/>
          <w:sz w:val="28"/>
          <w:szCs w:val="28"/>
          <w14:textFill>
            <w14:solidFill>
              <w14:schemeClr w14:val="tx1"/>
            </w14:solidFill>
          </w14:textFill>
        </w:rPr>
        <w:t>第六部分  评标办法（综合评分法）</w:t>
      </w:r>
      <w:r>
        <w:rPr>
          <w:rFonts w:hint="eastAsia" w:ascii="楷体" w:hAnsi="楷体" w:eastAsia="楷体" w:cs="楷体"/>
          <w:color w:val="000000" w:themeColor="text1"/>
          <w:sz w:val="28"/>
          <w:szCs w:val="28"/>
          <w14:textFill>
            <w14:solidFill>
              <w14:schemeClr w14:val="tx1"/>
            </w14:solidFill>
          </w14:textFill>
        </w:rPr>
        <w:tab/>
      </w:r>
      <w:r>
        <w:rPr>
          <w:rFonts w:hint="eastAsia" w:ascii="楷体" w:hAnsi="楷体" w:eastAsia="楷体" w:cs="楷体"/>
          <w:color w:val="000000" w:themeColor="text1"/>
          <w:sz w:val="28"/>
          <w:szCs w:val="28"/>
          <w14:textFill>
            <w14:solidFill>
              <w14:schemeClr w14:val="tx1"/>
            </w14:solidFill>
          </w14:textFill>
        </w:rPr>
        <w:fldChar w:fldCharType="begin"/>
      </w:r>
      <w:r>
        <w:rPr>
          <w:rFonts w:hint="eastAsia" w:ascii="楷体" w:hAnsi="楷体" w:eastAsia="楷体" w:cs="楷体"/>
          <w:color w:val="000000" w:themeColor="text1"/>
          <w:sz w:val="28"/>
          <w:szCs w:val="28"/>
          <w14:textFill>
            <w14:solidFill>
              <w14:schemeClr w14:val="tx1"/>
            </w14:solidFill>
          </w14:textFill>
        </w:rPr>
        <w:instrText xml:space="preserve"> PAGEREF _Toc225868339 \h </w:instrText>
      </w:r>
      <w:r>
        <w:rPr>
          <w:rFonts w:hint="eastAsia" w:ascii="楷体" w:hAnsi="楷体" w:eastAsia="楷体" w:cs="楷体"/>
          <w:color w:val="000000" w:themeColor="text1"/>
          <w:sz w:val="28"/>
          <w:szCs w:val="28"/>
          <w14:textFill>
            <w14:solidFill>
              <w14:schemeClr w14:val="tx1"/>
            </w14:solidFill>
          </w14:textFill>
        </w:rPr>
        <w:fldChar w:fldCharType="separate"/>
      </w:r>
      <w:r>
        <w:rPr>
          <w:rFonts w:hint="eastAsia" w:ascii="楷体" w:hAnsi="楷体" w:eastAsia="楷体" w:cs="楷体"/>
          <w:color w:val="000000" w:themeColor="text1"/>
          <w:sz w:val="28"/>
          <w:szCs w:val="28"/>
          <w14:textFill>
            <w14:solidFill>
              <w14:schemeClr w14:val="tx1"/>
            </w14:solidFill>
          </w14:textFill>
        </w:rPr>
        <w:t>- 95 -</w:t>
      </w:r>
      <w:r>
        <w:rPr>
          <w:rFonts w:hint="eastAsia" w:ascii="楷体" w:hAnsi="楷体" w:eastAsia="楷体" w:cs="楷体"/>
          <w:color w:val="000000" w:themeColor="text1"/>
          <w:sz w:val="28"/>
          <w:szCs w:val="28"/>
          <w14:textFill>
            <w14:solidFill>
              <w14:schemeClr w14:val="tx1"/>
            </w14:solidFill>
          </w14:textFill>
        </w:rPr>
        <w:fldChar w:fldCharType="end"/>
      </w:r>
      <w:r>
        <w:rPr>
          <w:rFonts w:hint="eastAsia" w:ascii="楷体" w:hAnsi="楷体" w:eastAsia="楷体" w:cs="楷体"/>
          <w:color w:val="000000" w:themeColor="text1"/>
          <w:sz w:val="28"/>
          <w:szCs w:val="28"/>
          <w14:textFill>
            <w14:solidFill>
              <w14:schemeClr w14:val="tx1"/>
            </w14:solidFill>
          </w14:textFill>
        </w:rPr>
        <w:fldChar w:fldCharType="end"/>
      </w:r>
    </w:p>
    <w:p w14:paraId="2CB11FEA">
      <w:pPr>
        <w:pStyle w:val="35"/>
        <w:spacing w:line="700" w:lineRule="exact"/>
        <w:rPr>
          <w:rFonts w:ascii="楷体" w:hAnsi="楷体" w:eastAsia="楷体" w:cs="楷体"/>
          <w:bCs w:val="0"/>
          <w:caps w:val="0"/>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"_Toc225868345" </w:instrText>
      </w:r>
      <w:r>
        <w:rPr>
          <w:color w:val="000000" w:themeColor="text1"/>
          <w14:textFill>
            <w14:solidFill>
              <w14:schemeClr w14:val="tx1"/>
            </w14:solidFill>
          </w14:textFill>
        </w:rPr>
        <w:fldChar w:fldCharType="separate"/>
      </w:r>
      <w:r>
        <w:rPr>
          <w:rStyle w:val="52"/>
          <w:rFonts w:hint="eastAsia" w:ascii="楷体" w:hAnsi="楷体" w:eastAsia="楷体" w:cs="楷体"/>
          <w:b/>
          <w:color w:val="000000" w:themeColor="text1"/>
          <w:sz w:val="28"/>
          <w:szCs w:val="28"/>
          <w14:textFill>
            <w14:solidFill>
              <w14:schemeClr w14:val="tx1"/>
            </w14:solidFill>
          </w14:textFill>
        </w:rPr>
        <w:t>第七部分   其它</w:t>
      </w:r>
      <w:r>
        <w:rPr>
          <w:rFonts w:hint="eastAsia" w:ascii="楷体" w:hAnsi="楷体" w:eastAsia="楷体" w:cs="楷体"/>
          <w:color w:val="000000" w:themeColor="text1"/>
          <w:sz w:val="28"/>
          <w:szCs w:val="28"/>
          <w14:textFill>
            <w14:solidFill>
              <w14:schemeClr w14:val="tx1"/>
            </w14:solidFill>
          </w14:textFill>
        </w:rPr>
        <w:tab/>
      </w:r>
      <w:r>
        <w:rPr>
          <w:rFonts w:hint="eastAsia" w:ascii="楷体" w:hAnsi="楷体" w:eastAsia="楷体" w:cs="楷体"/>
          <w:color w:val="000000" w:themeColor="text1"/>
          <w:sz w:val="28"/>
          <w:szCs w:val="28"/>
          <w14:textFill>
            <w14:solidFill>
              <w14:schemeClr w14:val="tx1"/>
            </w14:solidFill>
          </w14:textFill>
        </w:rPr>
        <w:fldChar w:fldCharType="begin"/>
      </w:r>
      <w:r>
        <w:rPr>
          <w:rFonts w:hint="eastAsia" w:ascii="楷体" w:hAnsi="楷体" w:eastAsia="楷体" w:cs="楷体"/>
          <w:color w:val="000000" w:themeColor="text1"/>
          <w:sz w:val="28"/>
          <w:szCs w:val="28"/>
          <w14:textFill>
            <w14:solidFill>
              <w14:schemeClr w14:val="tx1"/>
            </w14:solidFill>
          </w14:textFill>
        </w:rPr>
        <w:instrText xml:space="preserve"> PAGEREF _Toc225868345 \h </w:instrText>
      </w:r>
      <w:r>
        <w:rPr>
          <w:rFonts w:hint="eastAsia" w:ascii="楷体" w:hAnsi="楷体" w:eastAsia="楷体" w:cs="楷体"/>
          <w:color w:val="000000" w:themeColor="text1"/>
          <w:sz w:val="28"/>
          <w:szCs w:val="28"/>
          <w14:textFill>
            <w14:solidFill>
              <w14:schemeClr w14:val="tx1"/>
            </w14:solidFill>
          </w14:textFill>
        </w:rPr>
        <w:fldChar w:fldCharType="separate"/>
      </w:r>
      <w:r>
        <w:rPr>
          <w:rFonts w:hint="eastAsia" w:ascii="楷体" w:hAnsi="楷体" w:eastAsia="楷体" w:cs="楷体"/>
          <w:color w:val="000000" w:themeColor="text1"/>
          <w:sz w:val="28"/>
          <w:szCs w:val="28"/>
          <w14:textFill>
            <w14:solidFill>
              <w14:schemeClr w14:val="tx1"/>
            </w14:solidFill>
          </w14:textFill>
        </w:rPr>
        <w:t>- 107 -</w:t>
      </w:r>
      <w:r>
        <w:rPr>
          <w:rFonts w:hint="eastAsia" w:ascii="楷体" w:hAnsi="楷体" w:eastAsia="楷体" w:cs="楷体"/>
          <w:color w:val="000000" w:themeColor="text1"/>
          <w:sz w:val="28"/>
          <w:szCs w:val="28"/>
          <w14:textFill>
            <w14:solidFill>
              <w14:schemeClr w14:val="tx1"/>
            </w14:solidFill>
          </w14:textFill>
        </w:rPr>
        <w:fldChar w:fldCharType="end"/>
      </w:r>
      <w:r>
        <w:rPr>
          <w:rFonts w:hint="eastAsia" w:ascii="楷体" w:hAnsi="楷体" w:eastAsia="楷体" w:cs="楷体"/>
          <w:color w:val="000000" w:themeColor="text1"/>
          <w:sz w:val="28"/>
          <w:szCs w:val="28"/>
          <w14:textFill>
            <w14:solidFill>
              <w14:schemeClr w14:val="tx1"/>
            </w14:solidFill>
          </w14:textFill>
        </w:rPr>
        <w:fldChar w:fldCharType="end"/>
      </w:r>
    </w:p>
    <w:p w14:paraId="2AAD45F5">
      <w:pPr>
        <w:spacing w:line="700" w:lineRule="exact"/>
        <w:rPr>
          <w:rFonts w:ascii="楷体" w:hAnsi="楷体" w:eastAsia="楷体" w:cs="楷体"/>
          <w:color w:val="000000" w:themeColor="text1"/>
          <w14:textFill>
            <w14:solidFill>
              <w14:schemeClr w14:val="tx1"/>
            </w14:solidFill>
          </w14:textFill>
        </w:rPr>
      </w:pPr>
      <w:r>
        <w:rPr>
          <w:rFonts w:hint="eastAsia" w:ascii="楷体" w:hAnsi="楷体" w:eastAsia="楷体" w:cs="楷体"/>
          <w:bCs/>
          <w:color w:val="000000" w:themeColor="text1"/>
          <w:sz w:val="28"/>
          <w:szCs w:val="28"/>
          <w14:textFill>
            <w14:solidFill>
              <w14:schemeClr w14:val="tx1"/>
            </w14:solidFill>
          </w14:textFill>
        </w:rPr>
        <w:fldChar w:fldCharType="end"/>
      </w:r>
    </w:p>
    <w:p w14:paraId="417668EC">
      <w:pPr>
        <w:rPr>
          <w:rFonts w:ascii="楷体" w:hAnsi="楷体" w:eastAsia="楷体" w:cs="楷体"/>
          <w:color w:val="000000" w:themeColor="text1"/>
          <w14:textFill>
            <w14:solidFill>
              <w14:schemeClr w14:val="tx1"/>
            </w14:solidFill>
          </w14:textFill>
        </w:rPr>
      </w:pPr>
    </w:p>
    <w:p w14:paraId="03E70A94">
      <w:pPr>
        <w:adjustRightInd w:val="0"/>
        <w:snapToGrid w:val="0"/>
        <w:spacing w:before="120" w:beforeLines="50" w:after="120" w:afterLines="50" w:line="360" w:lineRule="auto"/>
        <w:jc w:val="center"/>
        <w:outlineLvl w:val="0"/>
        <w:rPr>
          <w:rFonts w:ascii="楷体" w:hAnsi="楷体" w:eastAsia="楷体" w:cs="楷体"/>
          <w:b/>
          <w:color w:val="000000" w:themeColor="text1"/>
          <w:sz w:val="30"/>
          <w:szCs w:val="30"/>
          <w14:textFill>
            <w14:solidFill>
              <w14:schemeClr w14:val="tx1"/>
            </w14:solidFill>
          </w14:textFill>
        </w:rPr>
      </w:pPr>
      <w:bookmarkStart w:id="2" w:name="_Toc17726"/>
      <w:bookmarkStart w:id="3" w:name="_Toc25700"/>
      <w:bookmarkStart w:id="4" w:name="_Toc15602"/>
      <w:bookmarkStart w:id="5" w:name="_Toc9069"/>
      <w:bookmarkStart w:id="6" w:name="_Toc17687"/>
      <w:bookmarkStart w:id="7" w:name="_Toc13674"/>
      <w:bookmarkStart w:id="8" w:name="_Toc3687"/>
      <w:bookmarkStart w:id="9" w:name="_Toc32073"/>
      <w:bookmarkStart w:id="10" w:name="_Toc11997"/>
      <w:bookmarkStart w:id="11" w:name="_Toc14801"/>
      <w:bookmarkStart w:id="12" w:name="_Toc27223"/>
      <w:bookmarkStart w:id="13" w:name="_Toc21665"/>
      <w:bookmarkStart w:id="14" w:name="_Toc9298"/>
      <w:bookmarkStart w:id="15" w:name="_Toc22046"/>
      <w:r>
        <w:rPr>
          <w:rFonts w:hint="eastAsia" w:ascii="楷体" w:hAnsi="楷体" w:eastAsia="楷体" w:cs="楷体"/>
          <w:b/>
          <w:color w:val="000000" w:themeColor="text1"/>
          <w:sz w:val="30"/>
          <w:szCs w:val="30"/>
          <w14:textFill>
            <w14:solidFill>
              <w14:schemeClr w14:val="tx1"/>
            </w14:solidFill>
          </w14:textFill>
        </w:rPr>
        <w:br w:type="page"/>
      </w:r>
      <w:bookmarkStart w:id="16" w:name="_Toc225868266"/>
      <w:r>
        <w:rPr>
          <w:rFonts w:hint="eastAsia" w:ascii="楷体" w:hAnsi="楷体" w:eastAsia="楷体" w:cs="楷体"/>
          <w:b/>
          <w:color w:val="000000" w:themeColor="text1"/>
          <w:sz w:val="30"/>
          <w:szCs w:val="30"/>
          <w14:textFill>
            <w14:solidFill>
              <w14:schemeClr w14:val="tx1"/>
            </w14:solidFill>
          </w14:textFill>
        </w:rPr>
        <w:t xml:space="preserve">第一部分  </w:t>
      </w:r>
      <w:bookmarkStart w:id="17" w:name="OLE_LINK24"/>
      <w:bookmarkStart w:id="18" w:name="OLE_LINK26"/>
      <w:r>
        <w:rPr>
          <w:rFonts w:hint="eastAsia" w:ascii="楷体" w:hAnsi="楷体" w:eastAsia="楷体" w:cs="楷体"/>
          <w:b/>
          <w:color w:val="000000" w:themeColor="text1"/>
          <w:sz w:val="30"/>
          <w:szCs w:val="30"/>
          <w14:textFill>
            <w14:solidFill>
              <w14:schemeClr w14:val="tx1"/>
            </w14:solidFill>
          </w14:textFill>
        </w:rPr>
        <w:t>采购公告</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bl>
      <w:tblPr>
        <w:tblStyle w:val="46"/>
        <w:tblW w:w="8869"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9"/>
      </w:tblGrid>
      <w:tr w14:paraId="49F8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869" w:type="dxa"/>
            <w:vAlign w:val="center"/>
          </w:tcPr>
          <w:p w14:paraId="212D1D93">
            <w:pPr>
              <w:widowControl/>
              <w:adjustRightInd w:val="0"/>
              <w:snapToGrid w:val="0"/>
              <w:spacing w:line="360" w:lineRule="auto"/>
              <w:rPr>
                <w:rFonts w:ascii="楷体" w:hAnsi="楷体" w:eastAsia="楷体" w:cs="楷体"/>
                <w:color w:val="000000" w:themeColor="text1"/>
                <w:sz w:val="24"/>
                <w14:textFill>
                  <w14:solidFill>
                    <w14:schemeClr w14:val="tx1"/>
                  </w14:solidFill>
                </w14:textFill>
              </w:rPr>
            </w:pPr>
            <w:bookmarkStart w:id="19" w:name="OLE_LINK25"/>
            <w:r>
              <w:rPr>
                <w:rFonts w:hint="eastAsia" w:ascii="楷体" w:hAnsi="楷体" w:eastAsia="楷体" w:cs="楷体"/>
                <w:color w:val="000000" w:themeColor="text1"/>
                <w:sz w:val="24"/>
                <w14:textFill>
                  <w14:solidFill>
                    <w14:schemeClr w14:val="tx1"/>
                  </w14:solidFill>
                </w14:textFill>
              </w:rPr>
              <w:t>项目概况</w:t>
            </w:r>
          </w:p>
          <w:p w14:paraId="3C0E7C8C">
            <w:pPr>
              <w:widowControl/>
              <w:adjustRightInd w:val="0"/>
              <w:snapToGrid w:val="0"/>
              <w:spacing w:line="336"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w:t>
            </w:r>
            <w:r>
              <w:rPr>
                <w:rFonts w:hint="eastAsia" w:ascii="楷体" w:hAnsi="楷体" w:eastAsia="楷体" w:cs="楷体"/>
                <w:color w:val="000000" w:themeColor="text1"/>
                <w:sz w:val="24"/>
                <w:u w:val="single"/>
                <w14:textFill>
                  <w14:solidFill>
                    <w14:schemeClr w14:val="tx1"/>
                  </w14:solidFill>
                </w14:textFill>
              </w:rPr>
              <w:t xml:space="preserve"> 2026年灵溪镇小额工程监理服务  </w:t>
            </w:r>
            <w:r>
              <w:rPr>
                <w:rFonts w:hint="eastAsia" w:ascii="楷体" w:hAnsi="楷体" w:eastAsia="楷体" w:cs="楷体"/>
                <w:color w:val="000000" w:themeColor="text1"/>
                <w:sz w:val="24"/>
                <w14:textFill>
                  <w14:solidFill>
                    <w14:schemeClr w14:val="tx1"/>
                  </w14:solidFill>
                </w14:textFill>
              </w:rPr>
              <w:t>招标项目的潜在投标人应在</w:t>
            </w:r>
            <w:r>
              <w:rPr>
                <w:rFonts w:hint="eastAsia" w:ascii="楷体" w:hAnsi="楷体" w:eastAsia="楷体" w:cs="楷体"/>
                <w:color w:val="000000" w:themeColor="text1"/>
                <w:sz w:val="24"/>
                <w:u w:val="single"/>
                <w14:textFill>
                  <w14:solidFill>
                    <w14:schemeClr w14:val="tx1"/>
                  </w14:solidFill>
                </w14:textFill>
              </w:rPr>
              <w:t>政采云平台（https://www.zcygov.cn）</w:t>
            </w:r>
            <w:r>
              <w:rPr>
                <w:rFonts w:hint="eastAsia" w:ascii="楷体" w:hAnsi="楷体" w:eastAsia="楷体" w:cs="楷体"/>
                <w:color w:val="000000" w:themeColor="text1"/>
                <w:sz w:val="24"/>
                <w14:textFill>
                  <w14:solidFill>
                    <w14:schemeClr w14:val="tx1"/>
                  </w14:solidFill>
                </w14:textFill>
              </w:rPr>
              <w:t>（下载）招标文件，并于 </w:t>
            </w:r>
            <w:r>
              <w:rPr>
                <w:rFonts w:hint="eastAsia" w:ascii="楷体" w:hAnsi="楷体" w:eastAsia="楷体" w:cs="楷体"/>
                <w:color w:val="000000" w:themeColor="text1"/>
                <w:sz w:val="24"/>
                <w:u w:val="single"/>
                <w14:textFill>
                  <w14:solidFill>
                    <w14:schemeClr w14:val="tx1"/>
                  </w14:solidFill>
                </w14:textFill>
              </w:rPr>
              <w:t xml:space="preserve"> 2026年05月15日09:30 </w:t>
            </w:r>
            <w:r>
              <w:rPr>
                <w:rFonts w:hint="eastAsia" w:ascii="楷体" w:hAnsi="楷体" w:eastAsia="楷体" w:cs="楷体"/>
                <w:color w:val="000000" w:themeColor="text1"/>
                <w:sz w:val="24"/>
                <w14:textFill>
                  <w14:solidFill>
                    <w14:schemeClr w14:val="tx1"/>
                  </w14:solidFill>
                </w14:textFill>
              </w:rPr>
              <w:t>（北京时间）前递交（上传）投标文件。</w:t>
            </w:r>
          </w:p>
        </w:tc>
      </w:tr>
    </w:tbl>
    <w:p w14:paraId="6832AD0F">
      <w:pPr>
        <w:widowControl/>
        <w:spacing w:line="360" w:lineRule="exac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一、项目基本情况</w:t>
      </w:r>
    </w:p>
    <w:p w14:paraId="2B17363A">
      <w:pPr>
        <w:widowControl/>
        <w:adjustRightInd w:val="0"/>
        <w:snapToGrid w:val="0"/>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项目编号：</w:t>
      </w:r>
      <w:bookmarkStart w:id="20" w:name="OLE_LINK11"/>
      <w:r>
        <w:rPr>
          <w:rFonts w:hint="eastAsia" w:ascii="楷体" w:hAnsi="楷体" w:eastAsia="楷体" w:cs="楷体"/>
          <w:color w:val="000000" w:themeColor="text1"/>
          <w:kern w:val="0"/>
          <w:sz w:val="24"/>
          <w14:textFill>
            <w14:solidFill>
              <w14:schemeClr w14:val="tx1"/>
            </w14:solidFill>
          </w14:textFill>
        </w:rPr>
        <w:t xml:space="preserve">330327265050010000029-CNDL2026058  </w:t>
      </w:r>
    </w:p>
    <w:bookmarkEnd w:id="20"/>
    <w:p w14:paraId="5B13FD1A">
      <w:pPr>
        <w:widowControl/>
        <w:adjustRightInd w:val="0"/>
        <w:snapToGrid w:val="0"/>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项目名称：</w:t>
      </w:r>
      <w:r>
        <w:rPr>
          <w:rFonts w:hint="eastAsia" w:ascii="楷体" w:hAnsi="楷体" w:eastAsia="楷体" w:cs="楷体"/>
          <w:color w:val="000000" w:themeColor="text1"/>
          <w:sz w:val="24"/>
          <w14:textFill>
            <w14:solidFill>
              <w14:schemeClr w14:val="tx1"/>
            </w14:solidFill>
          </w14:textFill>
        </w:rPr>
        <w:t>2026年灵溪镇小额工程监理服务</w:t>
      </w:r>
    </w:p>
    <w:p w14:paraId="7985BEB2">
      <w:pPr>
        <w:widowControl/>
        <w:adjustRightInd w:val="0"/>
        <w:snapToGrid w:val="0"/>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预算金额（</w:t>
      </w:r>
      <w:r>
        <w:rPr>
          <w:rFonts w:hint="eastAsia" w:ascii="楷体" w:hAnsi="楷体" w:eastAsia="楷体" w:cs="楷体"/>
          <w:color w:val="000000" w:themeColor="text1"/>
          <w:kern w:val="0"/>
          <w:sz w:val="24"/>
          <w14:textFill>
            <w14:solidFill>
              <w14:schemeClr w14:val="tx1"/>
            </w14:solidFill>
          </w14:textFill>
        </w:rPr>
        <w:t>元）：</w:t>
      </w:r>
      <w:r>
        <w:rPr>
          <w:rFonts w:ascii="楷体" w:hAnsi="楷体" w:eastAsia="楷体" w:cs="楷体"/>
          <w:color w:val="000000" w:themeColor="text1"/>
          <w:kern w:val="0"/>
          <w:sz w:val="24"/>
          <w14:textFill>
            <w14:solidFill>
              <w14:schemeClr w14:val="tx1"/>
            </w14:solidFill>
          </w14:textFill>
        </w:rPr>
        <w:t>14</w:t>
      </w:r>
      <w:r>
        <w:rPr>
          <w:rFonts w:hint="eastAsia" w:ascii="楷体" w:hAnsi="楷体" w:eastAsia="楷体" w:cs="楷体"/>
          <w:color w:val="000000" w:themeColor="text1"/>
          <w:kern w:val="0"/>
          <w:sz w:val="24"/>
          <w14:textFill>
            <w14:solidFill>
              <w14:schemeClr w14:val="tx1"/>
            </w14:solidFill>
          </w14:textFill>
        </w:rPr>
        <w:t>00000</w:t>
      </w:r>
    </w:p>
    <w:p w14:paraId="6E3D0ECE">
      <w:pPr>
        <w:widowControl/>
        <w:adjustRightInd w:val="0"/>
        <w:snapToGrid w:val="0"/>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最高限价（元）：</w:t>
      </w:r>
      <w:r>
        <w:rPr>
          <w:rFonts w:ascii="楷体" w:hAnsi="楷体" w:eastAsia="楷体" w:cs="楷体"/>
          <w:color w:val="000000" w:themeColor="text1"/>
          <w:kern w:val="0"/>
          <w:sz w:val="24"/>
          <w14:textFill>
            <w14:solidFill>
              <w14:schemeClr w14:val="tx1"/>
            </w14:solidFill>
          </w14:textFill>
        </w:rPr>
        <w:t>55</w:t>
      </w:r>
      <w:r>
        <w:rPr>
          <w:rFonts w:hint="eastAsia" w:ascii="楷体" w:hAnsi="楷体" w:eastAsia="楷体" w:cs="楷体"/>
          <w:color w:val="000000" w:themeColor="text1"/>
          <w:kern w:val="0"/>
          <w:sz w:val="24"/>
          <w14:textFill>
            <w14:solidFill>
              <w14:schemeClr w14:val="tx1"/>
            </w14:solidFill>
          </w14:textFill>
        </w:rPr>
        <w:t>0000；</w:t>
      </w:r>
      <w:r>
        <w:rPr>
          <w:rFonts w:ascii="楷体" w:hAnsi="楷体" w:eastAsia="楷体" w:cs="楷体"/>
          <w:color w:val="000000" w:themeColor="text1"/>
          <w:kern w:val="0"/>
          <w:sz w:val="24"/>
          <w14:textFill>
            <w14:solidFill>
              <w14:schemeClr w14:val="tx1"/>
            </w14:solidFill>
          </w14:textFill>
        </w:rPr>
        <w:t>55</w:t>
      </w:r>
      <w:r>
        <w:rPr>
          <w:rFonts w:hint="eastAsia" w:ascii="楷体" w:hAnsi="楷体" w:eastAsia="楷体" w:cs="楷体"/>
          <w:color w:val="000000" w:themeColor="text1"/>
          <w:kern w:val="0"/>
          <w:sz w:val="24"/>
          <w14:textFill>
            <w14:solidFill>
              <w14:schemeClr w14:val="tx1"/>
            </w14:solidFill>
          </w14:textFill>
        </w:rPr>
        <w:t>0000；</w:t>
      </w:r>
      <w:r>
        <w:rPr>
          <w:rFonts w:ascii="楷体" w:hAnsi="楷体" w:eastAsia="楷体" w:cs="楷体"/>
          <w:color w:val="000000" w:themeColor="text1"/>
          <w:kern w:val="0"/>
          <w:sz w:val="24"/>
          <w14:textFill>
            <w14:solidFill>
              <w14:schemeClr w14:val="tx1"/>
            </w14:solidFill>
          </w14:textFill>
        </w:rPr>
        <w:t>3</w:t>
      </w:r>
      <w:r>
        <w:rPr>
          <w:rFonts w:hint="eastAsia" w:ascii="楷体" w:hAnsi="楷体" w:eastAsia="楷体" w:cs="楷体"/>
          <w:color w:val="000000" w:themeColor="text1"/>
          <w:kern w:val="0"/>
          <w:sz w:val="24"/>
          <w14:textFill>
            <w14:solidFill>
              <w14:schemeClr w14:val="tx1"/>
            </w14:solidFill>
          </w14:textFill>
        </w:rPr>
        <w:t>00000</w:t>
      </w:r>
    </w:p>
    <w:p w14:paraId="16F44661">
      <w:pPr>
        <w:widowControl/>
        <w:adjustRightInd w:val="0"/>
        <w:snapToGrid w:val="0"/>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采购需求：</w:t>
      </w:r>
    </w:p>
    <w:p w14:paraId="466945E5">
      <w:pPr>
        <w:widowControl/>
        <w:adjustRightInd w:val="0"/>
        <w:snapToGrid w:val="0"/>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bookmarkStart w:id="21" w:name="OLE_LINK7"/>
      <w:bookmarkStart w:id="22" w:name="OLE_LINK6"/>
    </w:p>
    <w:p w14:paraId="1BF8599C">
      <w:pPr>
        <w:widowControl/>
        <w:adjustRightInd w:val="0"/>
        <w:snapToGrid w:val="0"/>
        <w:spacing w:line="360" w:lineRule="exact"/>
        <w:ind w:firstLine="482" w:firstLineChars="200"/>
        <w:jc w:val="left"/>
        <w:rPr>
          <w:rFonts w:ascii="楷体" w:hAnsi="楷体" w:eastAsia="楷体" w:cs="楷体"/>
          <w:b/>
          <w:bCs/>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标项一</w:t>
      </w:r>
    </w:p>
    <w:p w14:paraId="4E151B17">
      <w:pPr>
        <w:widowControl/>
        <w:adjustRightInd w:val="0"/>
        <w:snapToGrid w:val="0"/>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标项名称：2026年灵溪镇小额工程监理服务-水利工程</w:t>
      </w:r>
    </w:p>
    <w:p w14:paraId="045BE52E">
      <w:pPr>
        <w:widowControl/>
        <w:adjustRightInd w:val="0"/>
        <w:snapToGrid w:val="0"/>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数量：1年</w:t>
      </w:r>
    </w:p>
    <w:p w14:paraId="5CAC7452">
      <w:pPr>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预算金额（元）: </w:t>
      </w:r>
      <w:r>
        <w:rPr>
          <w:rFonts w:ascii="楷体" w:hAnsi="楷体" w:eastAsia="楷体" w:cs="楷体"/>
          <w:color w:val="000000" w:themeColor="text1"/>
          <w:kern w:val="0"/>
          <w:sz w:val="24"/>
          <w14:textFill>
            <w14:solidFill>
              <w14:schemeClr w14:val="tx1"/>
            </w14:solidFill>
          </w14:textFill>
        </w:rPr>
        <w:t>55</w:t>
      </w:r>
      <w:r>
        <w:rPr>
          <w:rFonts w:hint="eastAsia" w:ascii="楷体" w:hAnsi="楷体" w:eastAsia="楷体" w:cs="楷体"/>
          <w:color w:val="000000" w:themeColor="text1"/>
          <w:kern w:val="0"/>
          <w:sz w:val="24"/>
          <w14:textFill>
            <w14:solidFill>
              <w14:schemeClr w14:val="tx1"/>
            </w14:solidFill>
          </w14:textFill>
        </w:rPr>
        <w:t>0000</w:t>
      </w:r>
    </w:p>
    <w:p w14:paraId="12CC8A05">
      <w:pPr>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简要规格描述或项目基本概况介绍、用途：</w:t>
      </w:r>
      <w:bookmarkStart w:id="23" w:name="OLE_LINK16"/>
      <w:bookmarkStart w:id="24" w:name="OLE_LINK4"/>
      <w:bookmarkStart w:id="25" w:name="OLE_LINK15"/>
      <w:bookmarkStart w:id="26" w:name="OLE_LINK14"/>
      <w:bookmarkStart w:id="27" w:name="OLE_LINK3"/>
      <w:r>
        <w:rPr>
          <w:rFonts w:hint="eastAsia" w:ascii="楷体" w:hAnsi="楷体" w:eastAsia="楷体" w:cs="楷体"/>
          <w:color w:val="000000" w:themeColor="text1"/>
          <w:kern w:val="0"/>
          <w:sz w:val="24"/>
          <w14:textFill>
            <w14:solidFill>
              <w14:schemeClr w14:val="tx1"/>
            </w14:solidFill>
          </w14:textFill>
        </w:rPr>
        <w:t>施工图及预算范围内施工及保修阶段全过程监理，具体详见采购文件要求。</w:t>
      </w:r>
      <w:bookmarkEnd w:id="23"/>
      <w:bookmarkEnd w:id="24"/>
    </w:p>
    <w:bookmarkEnd w:id="21"/>
    <w:bookmarkEnd w:id="22"/>
    <w:bookmarkEnd w:id="25"/>
    <w:bookmarkEnd w:id="26"/>
    <w:p w14:paraId="08F88762">
      <w:pPr>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p>
    <w:p w14:paraId="0F32B228">
      <w:pPr>
        <w:widowControl/>
        <w:adjustRightInd w:val="0"/>
        <w:snapToGrid w:val="0"/>
        <w:spacing w:line="360" w:lineRule="exact"/>
        <w:ind w:firstLine="482" w:firstLineChars="200"/>
        <w:jc w:val="left"/>
        <w:rPr>
          <w:rFonts w:ascii="楷体" w:hAnsi="楷体" w:eastAsia="楷体" w:cs="楷体"/>
          <w:b/>
          <w:bCs/>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标项二</w:t>
      </w:r>
    </w:p>
    <w:p w14:paraId="6CDF0BEE">
      <w:pPr>
        <w:widowControl/>
        <w:adjustRightInd w:val="0"/>
        <w:snapToGrid w:val="0"/>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标项名称：</w:t>
      </w:r>
      <w:r>
        <w:rPr>
          <w:rFonts w:hint="eastAsia" w:ascii="楷体" w:hAnsi="楷体" w:eastAsia="楷体" w:cs="楷体"/>
          <w:color w:val="000000" w:themeColor="text1"/>
          <w:kern w:val="0"/>
          <w:sz w:val="24"/>
          <w14:textFill>
            <w14:solidFill>
              <w14:schemeClr w14:val="tx1"/>
            </w14:solidFill>
          </w14:textFill>
        </w:rPr>
        <w:t>2026年灵溪镇小额工程监理服务-市政园林（市政公用工程）</w:t>
      </w:r>
    </w:p>
    <w:p w14:paraId="252EE177">
      <w:pPr>
        <w:widowControl/>
        <w:adjustRightInd w:val="0"/>
        <w:snapToGrid w:val="0"/>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数量：1年</w:t>
      </w:r>
    </w:p>
    <w:p w14:paraId="60141D8F">
      <w:pPr>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预算金额（元）:</w:t>
      </w:r>
      <w:r>
        <w:rPr>
          <w:rFonts w:ascii="楷体" w:hAnsi="楷体" w:eastAsia="楷体" w:cs="楷体"/>
          <w:color w:val="000000" w:themeColor="text1"/>
          <w:kern w:val="0"/>
          <w:sz w:val="24"/>
          <w14:textFill>
            <w14:solidFill>
              <w14:schemeClr w14:val="tx1"/>
            </w14:solidFill>
          </w14:textFill>
        </w:rPr>
        <w:t>55</w:t>
      </w:r>
      <w:r>
        <w:rPr>
          <w:rFonts w:hint="eastAsia" w:ascii="楷体" w:hAnsi="楷体" w:eastAsia="楷体" w:cs="楷体"/>
          <w:color w:val="000000" w:themeColor="text1"/>
          <w:kern w:val="0"/>
          <w:sz w:val="24"/>
          <w14:textFill>
            <w14:solidFill>
              <w14:schemeClr w14:val="tx1"/>
            </w14:solidFill>
          </w14:textFill>
        </w:rPr>
        <w:t>0000</w:t>
      </w:r>
    </w:p>
    <w:p w14:paraId="28124ABA">
      <w:pPr>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简要规格描述或项目基本概况介绍、用途：施工图及预算范围内施工及保修阶段全过程监理，具体详见采购文件要求。</w:t>
      </w:r>
    </w:p>
    <w:p w14:paraId="57BF1835">
      <w:pPr>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p>
    <w:p w14:paraId="7ACF06A7">
      <w:pPr>
        <w:widowControl/>
        <w:adjustRightInd w:val="0"/>
        <w:snapToGrid w:val="0"/>
        <w:spacing w:line="360" w:lineRule="exact"/>
        <w:ind w:firstLine="482" w:firstLineChars="200"/>
        <w:jc w:val="left"/>
        <w:rPr>
          <w:rFonts w:ascii="楷体" w:hAnsi="楷体" w:eastAsia="楷体" w:cs="楷体"/>
          <w:b/>
          <w:bCs/>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标项三</w:t>
      </w:r>
    </w:p>
    <w:p w14:paraId="60456A4A">
      <w:pPr>
        <w:widowControl/>
        <w:adjustRightInd w:val="0"/>
        <w:snapToGrid w:val="0"/>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标项名称：</w:t>
      </w:r>
      <w:r>
        <w:rPr>
          <w:rFonts w:hint="eastAsia" w:ascii="楷体" w:hAnsi="楷体" w:eastAsia="楷体" w:cs="楷体"/>
          <w:color w:val="000000" w:themeColor="text1"/>
          <w:kern w:val="0"/>
          <w:sz w:val="24"/>
          <w14:textFill>
            <w14:solidFill>
              <w14:schemeClr w14:val="tx1"/>
            </w14:solidFill>
          </w14:textFill>
        </w:rPr>
        <w:t>2026年灵溪镇小额工程监理服务-交通（公路工程）</w:t>
      </w:r>
    </w:p>
    <w:p w14:paraId="6F446D3E">
      <w:pPr>
        <w:widowControl/>
        <w:adjustRightInd w:val="0"/>
        <w:snapToGrid w:val="0"/>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数量：1年</w:t>
      </w:r>
    </w:p>
    <w:p w14:paraId="5B622CD2">
      <w:pPr>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预算金额（元）:</w:t>
      </w:r>
      <w:r>
        <w:rPr>
          <w:rFonts w:ascii="楷体" w:hAnsi="楷体" w:eastAsia="楷体" w:cs="楷体"/>
          <w:color w:val="000000" w:themeColor="text1"/>
          <w:kern w:val="0"/>
          <w:sz w:val="24"/>
          <w14:textFill>
            <w14:solidFill>
              <w14:schemeClr w14:val="tx1"/>
            </w14:solidFill>
          </w14:textFill>
        </w:rPr>
        <w:t>30</w:t>
      </w:r>
      <w:r>
        <w:rPr>
          <w:rFonts w:hint="eastAsia" w:ascii="楷体" w:hAnsi="楷体" w:eastAsia="楷体" w:cs="楷体"/>
          <w:color w:val="000000" w:themeColor="text1"/>
          <w:kern w:val="0"/>
          <w:sz w:val="24"/>
          <w14:textFill>
            <w14:solidFill>
              <w14:schemeClr w14:val="tx1"/>
            </w14:solidFill>
          </w14:textFill>
        </w:rPr>
        <w:t>0000</w:t>
      </w:r>
    </w:p>
    <w:p w14:paraId="1CCCA06E">
      <w:pPr>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简要规格描述或项目基本概况介绍、用途：施工图及预算范围内施工及保修阶段全过程监理，具体详见采购文件要求。</w:t>
      </w:r>
    </w:p>
    <w:bookmarkEnd w:id="27"/>
    <w:p w14:paraId="6C073567">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备注：/。</w:t>
      </w:r>
    </w:p>
    <w:p w14:paraId="060F29EA">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合同履行期限：自监理服务合同签订后，接采购人通知之日起至项目竣工结算完成且工程保修期满结束，具体详见采购文件。</w:t>
      </w:r>
    </w:p>
    <w:p w14:paraId="38518A3C">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本项目（否）接受联合体</w:t>
      </w:r>
      <w:r>
        <w:rPr>
          <w:rFonts w:hint="eastAsia" w:ascii="楷体" w:hAnsi="楷体" w:eastAsia="楷体" w:cs="楷体"/>
          <w:color w:val="000000" w:themeColor="text1"/>
          <w:kern w:val="0"/>
          <w:sz w:val="24"/>
          <w14:textFill>
            <w14:solidFill>
              <w14:schemeClr w14:val="tx1"/>
            </w14:solidFill>
          </w14:textFill>
        </w:rPr>
        <w:t>投标。</w:t>
      </w:r>
    </w:p>
    <w:p w14:paraId="79192181">
      <w:pPr>
        <w:widowControl/>
        <w:spacing w:line="360" w:lineRule="exac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二、申请人的资格要求：</w:t>
      </w:r>
    </w:p>
    <w:p w14:paraId="4FB21192">
      <w:pPr>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88D517D">
      <w:pPr>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2.落实政府采购政策需满足的资格要求：标项1、</w:t>
      </w:r>
      <w:r>
        <w:rPr>
          <w:rFonts w:hint="eastAsia" w:ascii="楷体" w:hAnsi="楷体" w:eastAsia="楷体" w:cs="楷体"/>
          <w:color w:val="000000" w:themeColor="text1"/>
          <w:kern w:val="0"/>
          <w:sz w:val="24"/>
          <w14:textFill>
            <w14:solidFill>
              <w14:schemeClr w14:val="tx1"/>
            </w14:solidFill>
          </w14:textFill>
        </w:rPr>
        <w:t>2、3,；</w:t>
      </w:r>
      <w:r>
        <w:rPr>
          <w:rFonts w:hint="eastAsia" w:ascii="楷体" w:hAnsi="楷体" w:eastAsia="楷体" w:cs="楷体"/>
          <w:color w:val="000000" w:themeColor="text1"/>
          <w:sz w:val="24"/>
          <w14:textFill>
            <w14:solidFill>
              <w14:schemeClr w14:val="tx1"/>
            </w14:solidFill>
          </w14:textFill>
        </w:rPr>
        <w:t>本项目为专门面向中小企业采购。供应商须为中、小、微型企业或监狱企业或残疾人福利性单位。</w:t>
      </w:r>
    </w:p>
    <w:p w14:paraId="29C3AC35">
      <w:pPr>
        <w:spacing w:line="36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3.本项目的特定资格要求：</w:t>
      </w:r>
      <w:r>
        <w:rPr>
          <w:rFonts w:hint="eastAsia" w:ascii="楷体" w:hAnsi="楷体" w:eastAsia="楷体" w:cs="楷体"/>
          <w:color w:val="000000" w:themeColor="text1"/>
          <w:sz w:val="24"/>
          <w14:textFill>
            <w14:solidFill>
              <w14:schemeClr w14:val="tx1"/>
            </w14:solidFill>
          </w14:textFill>
        </w:rPr>
        <w:t>1）标项1：具备国家相关部门颁发的水利工程施工监理乙级及以上资质（水利工程施工监理专业为丙级资质，资质证书仍在有效期内视同水利工程施工监理专业乙级。）；2）标项2：具备工程监理综合资质或市政公用工程监理乙级及以上资质；3）标项3：具有交通运输主管部门颁发的公路工程乙级及以上资质。</w:t>
      </w:r>
    </w:p>
    <w:p w14:paraId="4EF88DBB">
      <w:pPr>
        <w:widowControl/>
        <w:spacing w:line="360" w:lineRule="exac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三、获取招标文件</w:t>
      </w:r>
    </w:p>
    <w:p w14:paraId="70419976">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时间：</w:t>
      </w:r>
      <w:r>
        <w:rPr>
          <w:rFonts w:hint="eastAsia" w:ascii="楷体" w:hAnsi="楷体" w:eastAsia="楷体" w:cs="楷体"/>
          <w:color w:val="000000" w:themeColor="text1"/>
          <w:kern w:val="0"/>
          <w:sz w:val="24"/>
          <w:u w:val="single"/>
          <w14:textFill>
            <w14:solidFill>
              <w14:schemeClr w14:val="tx1"/>
            </w14:solidFill>
          </w14:textFill>
        </w:rPr>
        <w:t> </w:t>
      </w:r>
      <w:r>
        <w:rPr>
          <w:rFonts w:hint="eastAsia" w:ascii="楷体" w:hAnsi="楷体" w:eastAsia="楷体" w:cs="楷体"/>
          <w:i/>
          <w:iCs/>
          <w:color w:val="000000" w:themeColor="text1"/>
          <w:sz w:val="24"/>
          <w:u w:val="single"/>
          <w14:textFill>
            <w14:solidFill>
              <w14:schemeClr w14:val="tx1"/>
            </w14:solidFill>
          </w14:textFill>
        </w:rPr>
        <w:t>/</w:t>
      </w:r>
      <w:r>
        <w:rPr>
          <w:rFonts w:hint="eastAsia" w:ascii="楷体" w:hAnsi="楷体" w:eastAsia="楷体" w:cs="楷体"/>
          <w:color w:val="000000" w:themeColor="text1"/>
          <w:kern w:val="0"/>
          <w:sz w:val="24"/>
          <w:u w:val="single"/>
          <w14:textFill>
            <w14:solidFill>
              <w14:schemeClr w14:val="tx1"/>
            </w14:solidFill>
          </w14:textFill>
        </w:rPr>
        <w:t> </w:t>
      </w:r>
      <w:r>
        <w:rPr>
          <w:rFonts w:hint="eastAsia" w:ascii="楷体" w:hAnsi="楷体" w:eastAsia="楷体" w:cs="楷体"/>
          <w:color w:val="000000" w:themeColor="text1"/>
          <w:kern w:val="0"/>
          <w:sz w:val="24"/>
          <w14:textFill>
            <w14:solidFill>
              <w14:schemeClr w14:val="tx1"/>
            </w14:solidFill>
          </w14:textFill>
        </w:rPr>
        <w:t>至 2026年05月15日，每天上午</w:t>
      </w:r>
      <w:r>
        <w:rPr>
          <w:rFonts w:hint="eastAsia" w:ascii="楷体" w:hAnsi="楷体" w:eastAsia="楷体" w:cs="楷体"/>
          <w:color w:val="000000" w:themeColor="text1"/>
          <w:kern w:val="0"/>
          <w:sz w:val="24"/>
          <w:u w:val="single"/>
          <w14:textFill>
            <w14:solidFill>
              <w14:schemeClr w14:val="tx1"/>
            </w14:solidFill>
          </w14:textFill>
        </w:rPr>
        <w:t> 00:00至12:00</w:t>
      </w:r>
      <w:r>
        <w:rPr>
          <w:rFonts w:hint="eastAsia" w:ascii="楷体" w:hAnsi="楷体" w:eastAsia="楷体" w:cs="楷体"/>
          <w:color w:val="000000" w:themeColor="text1"/>
          <w:kern w:val="0"/>
          <w:sz w:val="24"/>
          <w14:textFill>
            <w14:solidFill>
              <w14:schemeClr w14:val="tx1"/>
            </w14:solidFill>
          </w14:textFill>
        </w:rPr>
        <w:t> ，下午</w:t>
      </w:r>
      <w:r>
        <w:rPr>
          <w:rFonts w:hint="eastAsia" w:ascii="楷体" w:hAnsi="楷体" w:eastAsia="楷体" w:cs="楷体"/>
          <w:color w:val="000000" w:themeColor="text1"/>
          <w:kern w:val="0"/>
          <w:sz w:val="24"/>
          <w:u w:val="single"/>
          <w14:textFill>
            <w14:solidFill>
              <w14:schemeClr w14:val="tx1"/>
            </w14:solidFill>
          </w14:textFill>
        </w:rPr>
        <w:t> 12:00至23:59 </w:t>
      </w:r>
      <w:r>
        <w:rPr>
          <w:rFonts w:hint="eastAsia" w:ascii="楷体" w:hAnsi="楷体" w:eastAsia="楷体" w:cs="楷体"/>
          <w:color w:val="000000" w:themeColor="text1"/>
          <w:kern w:val="0"/>
          <w:sz w:val="24"/>
          <w14:textFill>
            <w14:solidFill>
              <w14:schemeClr w14:val="tx1"/>
            </w14:solidFill>
          </w14:textFill>
        </w:rPr>
        <w:t>（北京时间，线上获取法定节假日均可，线下获取文件法定节假日除外）</w:t>
      </w:r>
    </w:p>
    <w:p w14:paraId="61AF84C4">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地点（网址）：政采云平台（https://www.zcygov.cn） </w:t>
      </w:r>
    </w:p>
    <w:p w14:paraId="1CF6EE68">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方式：供应商登录政采云平台（https://www.zcygov.cn/）在线申请获取采购文件（进入“项目采购”应用，在获取采购文件菜单中选择项目，申请获取采购文件）</w:t>
      </w:r>
    </w:p>
    <w:p w14:paraId="03D58998">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售价（元）：0 </w:t>
      </w:r>
    </w:p>
    <w:p w14:paraId="34FC6CC6">
      <w:pPr>
        <w:widowControl/>
        <w:spacing w:line="360" w:lineRule="exac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四、提交投标文件截止时间、开标时间和地点</w:t>
      </w:r>
    </w:p>
    <w:p w14:paraId="3740E629">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提交投标文件截止时间：</w:t>
      </w:r>
      <w:r>
        <w:rPr>
          <w:rFonts w:hint="eastAsia" w:ascii="楷体" w:hAnsi="楷体" w:eastAsia="楷体" w:cs="楷体"/>
          <w:color w:val="000000" w:themeColor="text1"/>
          <w:kern w:val="0"/>
          <w:sz w:val="24"/>
          <w:u w:val="single"/>
          <w14:textFill>
            <w14:solidFill>
              <w14:schemeClr w14:val="tx1"/>
            </w14:solidFill>
          </w14:textFill>
        </w:rPr>
        <w:t xml:space="preserve"> 2026年05月15日 9:30 （</w:t>
      </w:r>
      <w:r>
        <w:rPr>
          <w:rFonts w:hint="eastAsia" w:ascii="楷体" w:hAnsi="楷体" w:eastAsia="楷体" w:cs="楷体"/>
          <w:color w:val="000000" w:themeColor="text1"/>
          <w:kern w:val="0"/>
          <w:sz w:val="24"/>
          <w14:textFill>
            <w14:solidFill>
              <w14:schemeClr w14:val="tx1"/>
            </w14:solidFill>
          </w14:textFill>
        </w:rPr>
        <w:t>北京时间）</w:t>
      </w:r>
    </w:p>
    <w:p w14:paraId="5AF6C3FF">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投标地点（网址）：“政府采购云平台（www.zcygov.cn）”实行在线投标响应</w:t>
      </w:r>
    </w:p>
    <w:p w14:paraId="6C2E524F">
      <w:pPr>
        <w:widowControl/>
        <w:spacing w:line="360" w:lineRule="exact"/>
        <w:ind w:firstLine="480" w:firstLineChars="200"/>
        <w:jc w:val="left"/>
        <w:rPr>
          <w:rFonts w:ascii="楷体" w:hAnsi="楷体" w:eastAsia="楷体" w:cs="楷体"/>
          <w:color w:val="000000" w:themeColor="text1"/>
          <w:kern w:val="0"/>
          <w:sz w:val="24"/>
          <w:u w:val="single"/>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开标时间：</w:t>
      </w:r>
      <w:r>
        <w:rPr>
          <w:rFonts w:hint="eastAsia" w:ascii="楷体" w:hAnsi="楷体" w:eastAsia="楷体" w:cs="楷体"/>
          <w:color w:val="000000" w:themeColor="text1"/>
          <w:kern w:val="0"/>
          <w:sz w:val="24"/>
          <w:u w:val="single"/>
          <w14:textFill>
            <w14:solidFill>
              <w14:schemeClr w14:val="tx1"/>
            </w14:solidFill>
          </w14:textFill>
        </w:rPr>
        <w:t xml:space="preserve"> 2026年05月15日 9:30 （</w:t>
      </w:r>
      <w:r>
        <w:rPr>
          <w:rFonts w:hint="eastAsia" w:ascii="楷体" w:hAnsi="楷体" w:eastAsia="楷体" w:cs="楷体"/>
          <w:color w:val="000000" w:themeColor="text1"/>
          <w:kern w:val="0"/>
          <w:sz w:val="24"/>
          <w14:textFill>
            <w14:solidFill>
              <w14:schemeClr w14:val="tx1"/>
            </w14:solidFill>
          </w14:textFill>
        </w:rPr>
        <w:t>北京时间）</w:t>
      </w:r>
    </w:p>
    <w:p w14:paraId="22658274">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开标地点（网址）：苍南县灵溪镇春晖路公投大厦--苍南县公共资源交易中心/“政府采购云平台（www.zcygov.cn）”</w:t>
      </w:r>
    </w:p>
    <w:p w14:paraId="276EC117">
      <w:pPr>
        <w:widowControl/>
        <w:spacing w:line="360" w:lineRule="exac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五、公告期限</w:t>
      </w:r>
    </w:p>
    <w:p w14:paraId="6BED8CA5">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自本公告发布之日起5个工作日。</w:t>
      </w:r>
    </w:p>
    <w:p w14:paraId="5A9AC9FB">
      <w:pPr>
        <w:widowControl/>
        <w:spacing w:line="360" w:lineRule="exac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六、其他补充事宜</w:t>
      </w:r>
    </w:p>
    <w:p w14:paraId="07F0F05F">
      <w:pPr>
        <w:widowControl/>
        <w:spacing w:line="360" w:lineRule="exact"/>
        <w:ind w:firstLine="384"/>
        <w:jc w:val="left"/>
        <w:rPr>
          <w:rFonts w:ascii="楷体" w:hAnsi="楷体" w:eastAsia="楷体" w:cs="楷体"/>
          <w:color w:val="000000" w:themeColor="text1"/>
          <w:kern w:val="0"/>
          <w:sz w:val="24"/>
          <w14:textFill>
            <w14:solidFill>
              <w14:schemeClr w14:val="tx1"/>
            </w14:solidFill>
          </w14:textFill>
        </w:rPr>
      </w:pPr>
      <w:bookmarkStart w:id="28" w:name="OLE_LINK5"/>
      <w:r>
        <w:rPr>
          <w:rFonts w:hint="eastAsia" w:ascii="楷体" w:hAnsi="楷体" w:eastAsia="楷体" w:cs="楷体"/>
          <w:color w:val="000000" w:themeColor="text1"/>
          <w:kern w:val="0"/>
          <w:sz w:val="24"/>
          <w14:textFill>
            <w14:solidFill>
              <w14:schemeClr w14:val="tx1"/>
            </w14:solidFill>
          </w14:textFill>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6BB5B8D">
      <w:pPr>
        <w:widowControl/>
        <w:spacing w:line="360" w:lineRule="exact"/>
        <w:ind w:firstLine="384"/>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39B6C42">
      <w:pPr>
        <w:widowControl/>
        <w:spacing w:line="360" w:lineRule="exact"/>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6B8AF3D">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4、其他事项</w:t>
      </w:r>
    </w:p>
    <w:p w14:paraId="4C3BB6AD">
      <w:pPr>
        <w:widowControl/>
        <w:spacing w:line="360" w:lineRule="exact"/>
        <w:ind w:firstLine="480" w:firstLineChars="200"/>
        <w:jc w:val="left"/>
        <w:rPr>
          <w:rFonts w:ascii="楷体" w:hAnsi="楷体" w:eastAsia="楷体" w:cs="楷体"/>
          <w:i/>
          <w:iCs/>
          <w:color w:val="000000" w:themeColor="text1"/>
          <w:kern w:val="0"/>
          <w:sz w:val="24"/>
          <w14:textFill>
            <w14:solidFill>
              <w14:schemeClr w14:val="tx1"/>
            </w14:solidFill>
          </w14:textFill>
        </w:rPr>
      </w:pPr>
      <w:bookmarkStart w:id="29" w:name="OLE_LINK18"/>
      <w:r>
        <w:rPr>
          <w:rFonts w:hint="eastAsia" w:ascii="楷体" w:hAnsi="楷体" w:eastAsia="楷体" w:cs="楷体"/>
          <w:color w:val="000000" w:themeColor="text1"/>
          <w:kern w:val="0"/>
          <w:sz w:val="24"/>
          <w14:textFill>
            <w14:solidFill>
              <w14:schemeClr w14:val="tx1"/>
            </w14:solidFill>
          </w14:textFill>
        </w:rPr>
        <w:t>（1）采购项目需要落实的政府采购政策：《政府采购促进中小企业发展管理办法》、《关于促进残疾人就业政府采购政策的通知》（财库〔2017〕141号）、《关于政府采购支持监狱企业发展有关问题的通知》（财库[2014]68号）、《关于调整优化节能产品环境标志产品政府采购执行机制的通知》（财库[2019]9号）。</w:t>
      </w:r>
    </w:p>
    <w:p w14:paraId="152F747D">
      <w:pPr>
        <w:widowControl/>
        <w:spacing w:line="360" w:lineRule="exact"/>
        <w:ind w:firstLine="384"/>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（2）本项目采取电子招投标，电子招投标有关事项说明：</w:t>
      </w:r>
    </w:p>
    <w:p w14:paraId="366AB9A5">
      <w:pPr>
        <w:widowControl/>
        <w:spacing w:line="360" w:lineRule="exact"/>
        <w:ind w:firstLine="384"/>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A.本项目通过“浙江政府采购网（http://zfcg.czt.zj.gov.cn）”实行电子投标，供应商须安装客户端软件，并按照采购文件和电子交易平台的要求制作投标文件。</w:t>
      </w:r>
    </w:p>
    <w:p w14:paraId="3293E17A">
      <w:pPr>
        <w:widowControl/>
        <w:spacing w:line="360" w:lineRule="exact"/>
        <w:ind w:firstLine="384"/>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客户端软件下载方式：供应商可通过“浙江政府采购网-下载专区-电子交易客户端”进行下载。</w:t>
      </w:r>
    </w:p>
    <w:p w14:paraId="076363D1">
      <w:pPr>
        <w:widowControl/>
        <w:spacing w:line="360" w:lineRule="exact"/>
        <w:ind w:firstLine="384"/>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B.供应商须申领CA，并在浙江政府采购网完成绑定方可进行投标文件的编制，CA相关操作可参考“浙江政府采购网-下载专区-电子交易客户端-CA驱动和申领流程”。</w:t>
      </w:r>
    </w:p>
    <w:p w14:paraId="60D34081">
      <w:pPr>
        <w:widowControl/>
        <w:spacing w:line="360" w:lineRule="exact"/>
        <w:ind w:firstLine="384"/>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C.供应商登录浙江政府采购网（http://zfcg.czt.zj.gov.cn/）进入政采云系统“项目采购”模块“获取采购文件”菜单，进行网上获取采购文件。</w:t>
      </w:r>
    </w:p>
    <w:p w14:paraId="3B79FD14">
      <w:pPr>
        <w:widowControl/>
        <w:spacing w:line="360" w:lineRule="exact"/>
        <w:ind w:firstLine="384"/>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D.</w:t>
      </w:r>
      <w:r>
        <w:rPr>
          <w:rFonts w:hint="eastAsia" w:ascii="楷体" w:hAnsi="楷体" w:eastAsia="楷体" w:cs="楷体"/>
          <w:b/>
          <w:bCs/>
          <w:color w:val="000000" w:themeColor="text1"/>
          <w:sz w:val="24"/>
          <w:u w:val="single"/>
          <w14:textFill>
            <w14:solidFill>
              <w14:schemeClr w14:val="tx1"/>
            </w14:solidFill>
          </w14:textFill>
        </w:rPr>
        <w:t>对未按上述方式获取采购文件的供应商对该文件提出的质疑，采购人或采购代理机构将依据《政府采购质疑和投诉办法》第十一条规定不予受理。</w:t>
      </w:r>
    </w:p>
    <w:p w14:paraId="1EE38B39">
      <w:pPr>
        <w:widowControl/>
        <w:spacing w:line="360" w:lineRule="exact"/>
        <w:ind w:firstLine="384"/>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（3）说明：</w:t>
      </w:r>
    </w:p>
    <w:p w14:paraId="121276AB">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A.根据《浙江省财政厅关于规范政府采购供应商资格设定及资格审查的通知》（浙财采监[2013]24号）第6条规定接受金融、保险、通讯等特定行业的全国性企业所设立的区域性分支机构，以及个体工商户、个人独资企业、合伙企业，且已经依法办理了工商、税务和社保登记手续，并且获得总机构授权或能够提供房产权证或其他有效财产证明材料，证明其具备实际承担责任的能力和法定的缔结合同能力； 　　</w:t>
      </w:r>
    </w:p>
    <w:p w14:paraId="48E60027">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B.</w:t>
      </w:r>
      <w:r>
        <w:rPr>
          <w:rFonts w:hint="eastAsia" w:ascii="楷体" w:hAnsi="楷体" w:eastAsia="楷体" w:cs="楷体"/>
          <w:color w:val="000000" w:themeColor="text1"/>
          <w:w w:val="96"/>
          <w:kern w:val="0"/>
          <w:sz w:val="24"/>
          <w14:textFill>
            <w14:solidFill>
              <w14:schemeClr w14:val="tx1"/>
            </w14:solidFill>
          </w14:textFill>
        </w:rPr>
        <w:t>供应商未被列入失信被执行人名单、重大税收违法案件当事人名单、政府采购严重违法失信行为记录名单，信用信息以信用中国网站（www.creditchina.gov.cn）、中国政府采购网（www.ccgp.gov.cn）公布为准； 　</w:t>
      </w:r>
      <w:r>
        <w:rPr>
          <w:rFonts w:hint="eastAsia" w:ascii="楷体" w:hAnsi="楷体" w:eastAsia="楷体" w:cs="楷体"/>
          <w:color w:val="000000" w:themeColor="text1"/>
          <w:kern w:val="0"/>
          <w:sz w:val="24"/>
          <w14:textFill>
            <w14:solidFill>
              <w14:schemeClr w14:val="tx1"/>
            </w14:solidFill>
          </w14:textFill>
        </w:rPr>
        <w:t>　</w:t>
      </w:r>
    </w:p>
    <w:p w14:paraId="592BEDA8">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C.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3BD8439">
      <w:pPr>
        <w:widowControl/>
        <w:spacing w:line="360" w:lineRule="exact"/>
        <w:ind w:firstLine="480" w:firstLineChars="2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D.依据《政府采购质疑和投诉办法》第十条第二款规定，本项目要求供应商在法定质疑期内一次性提出针对同一采购程序环节的质疑。供应商在法定质疑期内多次提出针对同一采购程序环节的质疑的，采购人或采购代理机构只受理该供应商的第一次有效质疑。</w:t>
      </w:r>
      <w:bookmarkEnd w:id="28"/>
    </w:p>
    <w:bookmarkEnd w:id="29"/>
    <w:p w14:paraId="4E300C58">
      <w:pPr>
        <w:widowControl/>
        <w:spacing w:line="360" w:lineRule="exac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七、对本次采购提出询问、质疑、投诉，请按以下方式联系</w:t>
      </w:r>
    </w:p>
    <w:p w14:paraId="1BD2702C">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1.采购人信息</w:t>
      </w:r>
    </w:p>
    <w:p w14:paraId="31D10992">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名    称：</w:t>
      </w:r>
      <w:bookmarkStart w:id="30" w:name="OLE_LINK22"/>
      <w:r>
        <w:rPr>
          <w:rFonts w:hint="eastAsia" w:ascii="楷体" w:hAnsi="楷体" w:eastAsia="楷体" w:cs="楷体"/>
          <w:color w:val="000000" w:themeColor="text1"/>
          <w:sz w:val="24"/>
          <w14:textFill>
            <w14:solidFill>
              <w14:schemeClr w14:val="tx1"/>
            </w14:solidFill>
          </w14:textFill>
        </w:rPr>
        <w:t>苍南县灵溪镇人民政府</w:t>
      </w:r>
      <w:bookmarkEnd w:id="30"/>
      <w:r>
        <w:rPr>
          <w:rFonts w:hint="eastAsia" w:ascii="楷体" w:hAnsi="楷体" w:eastAsia="楷体" w:cs="楷体"/>
          <w:color w:val="000000" w:themeColor="text1"/>
          <w:sz w:val="24"/>
          <w14:textFill>
            <w14:solidFill>
              <w14:schemeClr w14:val="tx1"/>
            </w14:solidFill>
          </w14:textFill>
        </w:rPr>
        <w:t xml:space="preserve">   　　　　　　　　　</w:t>
      </w:r>
    </w:p>
    <w:p w14:paraId="333A3E35">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地    址：浙江省温州市苍南县玉苍路61号</w:t>
      </w:r>
    </w:p>
    <w:p w14:paraId="7088FB16">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传    真：/  </w:t>
      </w:r>
    </w:p>
    <w:p w14:paraId="55A4AAA2">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项目联系人（询问）：李女士       　　　　　　　　　</w:t>
      </w:r>
    </w:p>
    <w:p w14:paraId="61307824">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项目联系方式（询问）：0577-</w:t>
      </w:r>
      <w:bookmarkStart w:id="31" w:name="OLE_LINK23"/>
      <w:r>
        <w:rPr>
          <w:rFonts w:hint="eastAsia" w:ascii="楷体" w:hAnsi="楷体" w:eastAsia="楷体" w:cs="楷体"/>
          <w:color w:val="000000" w:themeColor="text1"/>
          <w:sz w:val="24"/>
          <w14:textFill>
            <w14:solidFill>
              <w14:schemeClr w14:val="tx1"/>
            </w14:solidFill>
          </w14:textFill>
        </w:rPr>
        <w:t xml:space="preserve">68680085  </w:t>
      </w:r>
      <w:bookmarkEnd w:id="31"/>
      <w:r>
        <w:rPr>
          <w:rFonts w:hint="eastAsia" w:ascii="楷体" w:hAnsi="楷体" w:eastAsia="楷体" w:cs="楷体"/>
          <w:color w:val="000000" w:themeColor="text1"/>
          <w:sz w:val="24"/>
          <w14:textFill>
            <w14:solidFill>
              <w14:schemeClr w14:val="tx1"/>
            </w14:solidFill>
          </w14:textFill>
        </w:rPr>
        <w:t xml:space="preserve">    </w:t>
      </w:r>
    </w:p>
    <w:p w14:paraId="74338147">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质疑联系人：李女士               </w:t>
      </w:r>
    </w:p>
    <w:p w14:paraId="7DDD669F">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质疑联系方式：0577-68680085      　　　　　　　　</w:t>
      </w:r>
    </w:p>
    <w:p w14:paraId="297BE747">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2.采购代理机构信息</w:t>
      </w:r>
    </w:p>
    <w:p w14:paraId="3D5C1A6F">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名   称： 温州市信合工程咨询有限公司　　　　　　　　　　　</w:t>
      </w:r>
    </w:p>
    <w:p w14:paraId="33002A03">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地   址： 苍南县灵溪镇鑫鑫财富中心1幢605室</w:t>
      </w:r>
    </w:p>
    <w:p w14:paraId="059514D2">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传    真：0577-68882001</w:t>
      </w:r>
    </w:p>
    <w:p w14:paraId="489BCBE9">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项目联系人（询问）：吴先生  　   　　　　　　　　　　　</w:t>
      </w:r>
    </w:p>
    <w:p w14:paraId="6616C4EF">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项目联系方式（询问）：0577-68882000</w:t>
      </w:r>
    </w:p>
    <w:p w14:paraId="1B72A461">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质疑联系人：  金先生               </w:t>
      </w:r>
    </w:p>
    <w:p w14:paraId="6A9B38D1">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质疑联系方式：13587836240　　　　　　　　　　　　　　　　　</w:t>
      </w:r>
    </w:p>
    <w:p w14:paraId="56750E72">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3.同级政府采购监督管理部门</w:t>
      </w:r>
    </w:p>
    <w:p w14:paraId="4986800B">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名    称：苍南县财政局（浙江省政府采购行政裁决服务中心（温州））</w:t>
      </w:r>
    </w:p>
    <w:p w14:paraId="23D2959C">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地    址：温州市鹿城区滨江街道瓯江路展银大厦1606室</w:t>
      </w:r>
    </w:p>
    <w:p w14:paraId="43749522">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传    真：</w:t>
      </w:r>
    </w:p>
    <w:p w14:paraId="49B9CB11">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联 系 人：李老师、王老师</w:t>
      </w:r>
    </w:p>
    <w:p w14:paraId="44DFC950">
      <w:pPr>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监督投诉电话：0577-85501561，0577-85501562 </w:t>
      </w:r>
    </w:p>
    <w:p w14:paraId="61B86A95">
      <w:pPr>
        <w:spacing w:line="360" w:lineRule="exact"/>
        <w:rPr>
          <w:rFonts w:ascii="楷体" w:hAnsi="楷体" w:eastAsia="楷体" w:cs="楷体"/>
          <w:b/>
          <w:bCs/>
          <w:color w:val="000000" w:themeColor="text1"/>
          <w:sz w:val="24"/>
          <w14:textFill>
            <w14:solidFill>
              <w14:schemeClr w14:val="tx1"/>
            </w14:solidFill>
          </w14:textFill>
        </w:rPr>
        <w:sectPr>
          <w:footerReference r:id="rId5" w:type="default"/>
          <w:pgSz w:w="11906" w:h="16838"/>
          <w:pgMar w:top="1440" w:right="1800" w:bottom="1440" w:left="1800" w:header="851" w:footer="992" w:gutter="0"/>
          <w:pgNumType w:fmt="numberInDash"/>
          <w:cols w:space="720" w:num="1"/>
          <w:docGrid w:linePitch="312" w:charSpace="0"/>
        </w:sectPr>
      </w:pPr>
      <w:r>
        <w:rPr>
          <w:rFonts w:hint="eastAsia" w:ascii="楷体" w:hAnsi="楷体" w:eastAsia="楷体" w:cs="楷体"/>
          <w:b/>
          <w:bCs/>
          <w:color w:val="000000" w:themeColor="text1"/>
          <w:sz w:val="24"/>
          <w14:textFill>
            <w14:solidFill>
              <w14:schemeClr w14:val="tx1"/>
            </w14:solidFill>
          </w14:textFill>
        </w:rPr>
        <w:t>注：</w:t>
      </w:r>
      <w:r>
        <w:rPr>
          <w:rFonts w:hint="eastAsia" w:ascii="楷体" w:hAnsi="楷体" w:eastAsia="楷体" w:cs="楷体"/>
          <w:color w:val="000000" w:themeColor="text1"/>
          <w:sz w:val="24"/>
          <w14:textFill>
            <w14:solidFill>
              <w14:schemeClr w14:val="tx1"/>
            </w14:solidFill>
          </w14:textFill>
        </w:rPr>
        <w:t>若对项目采购电子交易系统操作有疑问，可登录政采（https://www.zcygov.cn/），点击右侧咨询小采，获取采小蜜智能服务管家帮助，或拨打政采云服务热95763获取热线服务帮助。CA问题联系电话（人工）：汇信CA 400-888-4636；天谷CA 400-087-8198。</w:t>
      </w:r>
    </w:p>
    <w:bookmarkEnd w:id="17"/>
    <w:bookmarkEnd w:id="18"/>
    <w:bookmarkEnd w:id="19"/>
    <w:p w14:paraId="796EBD2C">
      <w:pPr>
        <w:widowControl/>
        <w:tabs>
          <w:tab w:val="left" w:pos="8647"/>
        </w:tabs>
        <w:adjustRightInd w:val="0"/>
        <w:snapToGrid w:val="0"/>
        <w:spacing w:line="360" w:lineRule="auto"/>
        <w:ind w:right="-59"/>
        <w:jc w:val="center"/>
        <w:rPr>
          <w:rFonts w:ascii="楷体" w:hAnsi="楷体" w:eastAsia="楷体" w:cs="楷体"/>
          <w:b/>
          <w:color w:val="000000" w:themeColor="text1"/>
          <w:sz w:val="30"/>
          <w:szCs w:val="30"/>
          <w14:textFill>
            <w14:solidFill>
              <w14:schemeClr w14:val="tx1"/>
            </w14:solidFill>
          </w14:textFill>
        </w:rPr>
      </w:pPr>
      <w:r>
        <w:rPr>
          <w:rFonts w:hint="eastAsia" w:ascii="楷体" w:hAnsi="楷体" w:eastAsia="楷体" w:cs="楷体"/>
          <w:b/>
          <w:color w:val="000000" w:themeColor="text1"/>
          <w:sz w:val="30"/>
          <w:szCs w:val="30"/>
          <w14:textFill>
            <w14:solidFill>
              <w14:schemeClr w14:val="tx1"/>
            </w14:solidFill>
          </w14:textFill>
        </w:rPr>
        <w:t>前 附 表</w:t>
      </w:r>
    </w:p>
    <w:tbl>
      <w:tblPr>
        <w:tblStyle w:val="4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3"/>
        <w:gridCol w:w="1470"/>
        <w:gridCol w:w="6427"/>
      </w:tblGrid>
      <w:tr w14:paraId="733106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83" w:type="dxa"/>
            <w:vAlign w:val="center"/>
          </w:tcPr>
          <w:p w14:paraId="135CA6B6">
            <w:pPr>
              <w:adjustRightInd w:val="0"/>
              <w:spacing w:line="360" w:lineRule="exact"/>
              <w:jc w:val="center"/>
              <w:rPr>
                <w:rFonts w:ascii="楷体" w:hAnsi="楷体" w:eastAsia="楷体" w:cs="楷体"/>
                <w:b/>
                <w:bCs/>
                <w:color w:val="000000" w:themeColor="text1"/>
                <w:sz w:val="22"/>
                <w:szCs w:val="22"/>
                <w14:textFill>
                  <w14:solidFill>
                    <w14:schemeClr w14:val="tx1"/>
                  </w14:solidFill>
                </w14:textFill>
              </w:rPr>
            </w:pPr>
            <w:r>
              <w:rPr>
                <w:rFonts w:hint="eastAsia" w:ascii="楷体" w:hAnsi="楷体" w:eastAsia="楷体" w:cs="楷体"/>
                <w:b/>
                <w:bCs/>
                <w:color w:val="000000" w:themeColor="text1"/>
                <w:sz w:val="22"/>
                <w:szCs w:val="22"/>
                <w14:textFill>
                  <w14:solidFill>
                    <w14:schemeClr w14:val="tx1"/>
                  </w14:solidFill>
                </w14:textFill>
              </w:rPr>
              <w:t>序号</w:t>
            </w:r>
          </w:p>
        </w:tc>
        <w:tc>
          <w:tcPr>
            <w:tcW w:w="1470" w:type="dxa"/>
            <w:vAlign w:val="center"/>
          </w:tcPr>
          <w:p w14:paraId="13C589CF">
            <w:pPr>
              <w:adjustRightInd w:val="0"/>
              <w:spacing w:line="360" w:lineRule="exact"/>
              <w:jc w:val="center"/>
              <w:rPr>
                <w:rFonts w:ascii="楷体" w:hAnsi="楷体" w:eastAsia="楷体" w:cs="楷体"/>
                <w:b/>
                <w:bCs/>
                <w:color w:val="000000" w:themeColor="text1"/>
                <w:sz w:val="22"/>
                <w:szCs w:val="22"/>
                <w14:textFill>
                  <w14:solidFill>
                    <w14:schemeClr w14:val="tx1"/>
                  </w14:solidFill>
                </w14:textFill>
              </w:rPr>
            </w:pPr>
            <w:r>
              <w:rPr>
                <w:rFonts w:hint="eastAsia" w:ascii="楷体" w:hAnsi="楷体" w:eastAsia="楷体" w:cs="楷体"/>
                <w:b/>
                <w:bCs/>
                <w:color w:val="000000" w:themeColor="text1"/>
                <w:sz w:val="22"/>
                <w:szCs w:val="22"/>
                <w14:textFill>
                  <w14:solidFill>
                    <w14:schemeClr w14:val="tx1"/>
                  </w14:solidFill>
                </w14:textFill>
              </w:rPr>
              <w:t>项   目</w:t>
            </w:r>
          </w:p>
        </w:tc>
        <w:tc>
          <w:tcPr>
            <w:tcW w:w="6427" w:type="dxa"/>
            <w:vAlign w:val="center"/>
          </w:tcPr>
          <w:p w14:paraId="6CC84468">
            <w:pPr>
              <w:adjustRightInd w:val="0"/>
              <w:spacing w:line="360" w:lineRule="exact"/>
              <w:jc w:val="center"/>
              <w:rPr>
                <w:rFonts w:ascii="楷体" w:hAnsi="楷体" w:eastAsia="楷体" w:cs="楷体"/>
                <w:b/>
                <w:bCs/>
                <w:color w:val="000000" w:themeColor="text1"/>
                <w:sz w:val="22"/>
                <w:szCs w:val="22"/>
                <w14:textFill>
                  <w14:solidFill>
                    <w14:schemeClr w14:val="tx1"/>
                  </w14:solidFill>
                </w14:textFill>
              </w:rPr>
            </w:pPr>
            <w:r>
              <w:rPr>
                <w:rFonts w:hint="eastAsia" w:ascii="楷体" w:hAnsi="楷体" w:eastAsia="楷体" w:cs="楷体"/>
                <w:b/>
                <w:bCs/>
                <w:color w:val="000000" w:themeColor="text1"/>
                <w:sz w:val="22"/>
                <w:szCs w:val="22"/>
                <w14:textFill>
                  <w14:solidFill>
                    <w14:schemeClr w14:val="tx1"/>
                  </w14:solidFill>
                </w14:textFill>
              </w:rPr>
              <w:t>内       容</w:t>
            </w:r>
          </w:p>
        </w:tc>
      </w:tr>
      <w:tr w14:paraId="21FC8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21FC1A59">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w:t>
            </w:r>
          </w:p>
        </w:tc>
        <w:tc>
          <w:tcPr>
            <w:tcW w:w="1470" w:type="dxa"/>
            <w:vAlign w:val="center"/>
          </w:tcPr>
          <w:p w14:paraId="53C675F3">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项目名称</w:t>
            </w:r>
          </w:p>
        </w:tc>
        <w:tc>
          <w:tcPr>
            <w:tcW w:w="6427" w:type="dxa"/>
            <w:vAlign w:val="center"/>
          </w:tcPr>
          <w:p w14:paraId="3ED503D8">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2026年灵溪镇小额工程监理服务</w:t>
            </w:r>
          </w:p>
        </w:tc>
      </w:tr>
      <w:tr w14:paraId="758CC0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2F28DF5F">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w:t>
            </w:r>
          </w:p>
        </w:tc>
        <w:tc>
          <w:tcPr>
            <w:tcW w:w="1470" w:type="dxa"/>
            <w:vAlign w:val="center"/>
          </w:tcPr>
          <w:p w14:paraId="62A5631F">
            <w:pPr>
              <w:adjustRightInd w:val="0"/>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服务地点</w:t>
            </w:r>
          </w:p>
        </w:tc>
        <w:tc>
          <w:tcPr>
            <w:tcW w:w="6427" w:type="dxa"/>
            <w:vAlign w:val="center"/>
          </w:tcPr>
          <w:p w14:paraId="058A8A35">
            <w:pPr>
              <w:adjustRightInd w:val="0"/>
              <w:snapToGrid w:val="0"/>
              <w:spacing w:line="360" w:lineRule="exact"/>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苍南县灵溪镇人民政府</w:t>
            </w:r>
          </w:p>
        </w:tc>
      </w:tr>
      <w:tr w14:paraId="36B3A0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259CBBE8">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3</w:t>
            </w:r>
          </w:p>
        </w:tc>
        <w:tc>
          <w:tcPr>
            <w:tcW w:w="1470" w:type="dxa"/>
            <w:vAlign w:val="center"/>
          </w:tcPr>
          <w:p w14:paraId="3CD686E3">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采购编号</w:t>
            </w:r>
          </w:p>
        </w:tc>
        <w:tc>
          <w:tcPr>
            <w:tcW w:w="6427" w:type="dxa"/>
            <w:vAlign w:val="center"/>
          </w:tcPr>
          <w:p w14:paraId="51AD5E7F">
            <w:pPr>
              <w:snapToGrid w:val="0"/>
              <w:spacing w:line="360" w:lineRule="exact"/>
              <w:rPr>
                <w:rFonts w:ascii="楷体" w:hAnsi="楷体" w:eastAsia="楷体" w:cs="楷体"/>
                <w:bCs/>
                <w:color w:val="000000" w:themeColor="text1"/>
                <w:sz w:val="22"/>
                <w:szCs w:val="22"/>
                <w14:textFill>
                  <w14:solidFill>
                    <w14:schemeClr w14:val="tx1"/>
                  </w14:solidFill>
                </w14:textFill>
              </w:rPr>
            </w:pPr>
            <w:r>
              <w:rPr>
                <w:rFonts w:hint="eastAsia" w:ascii="楷体" w:hAnsi="楷体" w:eastAsia="楷体" w:cs="楷体"/>
                <w:bCs/>
                <w:color w:val="000000" w:themeColor="text1"/>
                <w:sz w:val="22"/>
                <w:szCs w:val="22"/>
                <w14:textFill>
                  <w14:solidFill>
                    <w14:schemeClr w14:val="tx1"/>
                  </w14:solidFill>
                </w14:textFill>
              </w:rPr>
              <w:t xml:space="preserve">330327265050010000029-CNDL2026058 </w:t>
            </w:r>
          </w:p>
        </w:tc>
      </w:tr>
      <w:tr w14:paraId="739C1E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74D26CBA">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4</w:t>
            </w:r>
          </w:p>
        </w:tc>
        <w:tc>
          <w:tcPr>
            <w:tcW w:w="1470" w:type="dxa"/>
            <w:vAlign w:val="center"/>
          </w:tcPr>
          <w:p w14:paraId="1CFE174A">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采购方式</w:t>
            </w:r>
          </w:p>
        </w:tc>
        <w:tc>
          <w:tcPr>
            <w:tcW w:w="6427" w:type="dxa"/>
            <w:vAlign w:val="center"/>
          </w:tcPr>
          <w:p w14:paraId="436D9652">
            <w:pPr>
              <w:snapToGrid w:val="0"/>
              <w:spacing w:line="360" w:lineRule="exact"/>
              <w:rPr>
                <w:rFonts w:ascii="楷体" w:hAnsi="楷体" w:eastAsia="楷体" w:cs="楷体"/>
                <w:bCs/>
                <w:color w:val="000000" w:themeColor="text1"/>
                <w:sz w:val="22"/>
                <w:szCs w:val="22"/>
                <w14:textFill>
                  <w14:solidFill>
                    <w14:schemeClr w14:val="tx1"/>
                  </w14:solidFill>
                </w14:textFill>
              </w:rPr>
            </w:pPr>
            <w:r>
              <w:rPr>
                <w:rFonts w:hint="eastAsia" w:ascii="楷体" w:hAnsi="楷体" w:eastAsia="楷体" w:cs="楷体"/>
                <w:bCs/>
                <w:color w:val="000000" w:themeColor="text1"/>
                <w:sz w:val="22"/>
                <w:szCs w:val="22"/>
                <w14:textFill>
                  <w14:solidFill>
                    <w14:schemeClr w14:val="tx1"/>
                  </w14:solidFill>
                </w14:textFill>
              </w:rPr>
              <w:t>公开招标</w:t>
            </w:r>
          </w:p>
        </w:tc>
      </w:tr>
      <w:tr w14:paraId="4E807A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83" w:type="dxa"/>
            <w:vAlign w:val="center"/>
          </w:tcPr>
          <w:p w14:paraId="23CD20BA">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5</w:t>
            </w:r>
          </w:p>
        </w:tc>
        <w:tc>
          <w:tcPr>
            <w:tcW w:w="1470" w:type="dxa"/>
            <w:vAlign w:val="center"/>
          </w:tcPr>
          <w:p w14:paraId="54225095">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采购内容</w:t>
            </w:r>
          </w:p>
        </w:tc>
        <w:tc>
          <w:tcPr>
            <w:tcW w:w="6427" w:type="dxa"/>
            <w:vAlign w:val="center"/>
          </w:tcPr>
          <w:p w14:paraId="20696410">
            <w:pPr>
              <w:spacing w:line="360" w:lineRule="exact"/>
              <w:jc w:val="lef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kern w:val="0"/>
                <w:sz w:val="22"/>
                <w:szCs w:val="22"/>
                <w14:textFill>
                  <w14:solidFill>
                    <w14:schemeClr w14:val="tx1"/>
                  </w14:solidFill>
                </w14:textFill>
              </w:rPr>
              <w:t>具体详见采购文件要求。</w:t>
            </w:r>
          </w:p>
        </w:tc>
      </w:tr>
      <w:tr w14:paraId="02E252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52F6F320">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6</w:t>
            </w:r>
          </w:p>
        </w:tc>
        <w:tc>
          <w:tcPr>
            <w:tcW w:w="1470" w:type="dxa"/>
            <w:vAlign w:val="center"/>
          </w:tcPr>
          <w:p w14:paraId="43FD4173">
            <w:pPr>
              <w:adjustRightInd w:val="0"/>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b/>
                <w:color w:val="000000" w:themeColor="text1"/>
                <w:sz w:val="22"/>
                <w:szCs w:val="22"/>
                <w14:textFill>
                  <w14:solidFill>
                    <w14:schemeClr w14:val="tx1"/>
                  </w14:solidFill>
                </w14:textFill>
              </w:rPr>
              <w:t>▲</w:t>
            </w:r>
            <w:r>
              <w:rPr>
                <w:rFonts w:hint="eastAsia" w:ascii="楷体" w:hAnsi="楷体" w:eastAsia="楷体" w:cs="楷体"/>
                <w:snapToGrid w:val="0"/>
                <w:color w:val="000000" w:themeColor="text1"/>
                <w:kern w:val="0"/>
                <w:sz w:val="22"/>
                <w:szCs w:val="22"/>
                <w14:textFill>
                  <w14:solidFill>
                    <w14:schemeClr w14:val="tx1"/>
                  </w14:solidFill>
                </w14:textFill>
              </w:rPr>
              <w:t>服务期</w:t>
            </w:r>
          </w:p>
        </w:tc>
        <w:tc>
          <w:tcPr>
            <w:tcW w:w="6427" w:type="dxa"/>
            <w:vAlign w:val="center"/>
          </w:tcPr>
          <w:p w14:paraId="724F1886">
            <w:pPr>
              <w:spacing w:line="360" w:lineRule="exact"/>
              <w:jc w:val="lef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本项目为三个专业年度监理服务，每个专业服务期为每个单独</w:t>
            </w:r>
            <w:r>
              <w:rPr>
                <w:rFonts w:hint="eastAsia" w:ascii="楷体" w:hAnsi="楷体" w:eastAsia="楷体" w:cs="楷体"/>
                <w:color w:val="000000" w:themeColor="text1"/>
                <w:kern w:val="0"/>
                <w:sz w:val="24"/>
                <w14:textFill>
                  <w14:solidFill>
                    <w14:schemeClr w14:val="tx1"/>
                  </w14:solidFill>
                </w14:textFill>
              </w:rPr>
              <w:t>监理服务合同签订后，接采购人通知之日起至项目竣工结算完成且工程保修期满</w:t>
            </w:r>
            <w:r>
              <w:rPr>
                <w:rFonts w:hint="eastAsia" w:ascii="楷体" w:hAnsi="楷体" w:eastAsia="楷体" w:cs="楷体"/>
                <w:color w:val="000000" w:themeColor="text1"/>
                <w:sz w:val="22"/>
                <w:szCs w:val="22"/>
                <w14:textFill>
                  <w14:solidFill>
                    <w14:schemeClr w14:val="tx1"/>
                  </w14:solidFill>
                </w14:textFill>
              </w:rPr>
              <w:t>。</w:t>
            </w:r>
          </w:p>
        </w:tc>
      </w:tr>
      <w:tr w14:paraId="24ADD9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4C007864">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7</w:t>
            </w:r>
          </w:p>
        </w:tc>
        <w:tc>
          <w:tcPr>
            <w:tcW w:w="1470" w:type="dxa"/>
            <w:vAlign w:val="center"/>
          </w:tcPr>
          <w:p w14:paraId="0A243A04">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资金来源</w:t>
            </w:r>
          </w:p>
        </w:tc>
        <w:tc>
          <w:tcPr>
            <w:tcW w:w="6427" w:type="dxa"/>
            <w:vAlign w:val="center"/>
          </w:tcPr>
          <w:p w14:paraId="1371ABB0">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财政资金。</w:t>
            </w:r>
          </w:p>
        </w:tc>
      </w:tr>
      <w:tr w14:paraId="6B1636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4295D930">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8</w:t>
            </w:r>
          </w:p>
        </w:tc>
        <w:tc>
          <w:tcPr>
            <w:tcW w:w="1470" w:type="dxa"/>
            <w:vAlign w:val="center"/>
          </w:tcPr>
          <w:p w14:paraId="6140B680">
            <w:pPr>
              <w:snapToGrid w:val="0"/>
              <w:spacing w:line="360" w:lineRule="exact"/>
              <w:jc w:val="center"/>
              <w:rPr>
                <w:rFonts w:ascii="楷体" w:hAnsi="楷体" w:eastAsia="楷体" w:cs="楷体"/>
                <w:b/>
                <w:color w:val="000000" w:themeColor="text1"/>
                <w:sz w:val="22"/>
                <w:szCs w:val="22"/>
                <w14:textFill>
                  <w14:solidFill>
                    <w14:schemeClr w14:val="tx1"/>
                  </w14:solidFill>
                </w14:textFill>
              </w:rPr>
            </w:pPr>
            <w:r>
              <w:rPr>
                <w:rFonts w:hint="eastAsia" w:ascii="楷体" w:hAnsi="楷体" w:eastAsia="楷体" w:cs="楷体"/>
                <w:b/>
                <w:color w:val="000000" w:themeColor="text1"/>
                <w:sz w:val="22"/>
                <w:szCs w:val="22"/>
                <w14:textFill>
                  <w14:solidFill>
                    <w14:schemeClr w14:val="tx1"/>
                  </w14:solidFill>
                </w14:textFill>
              </w:rPr>
              <w:t>▲采购预算</w:t>
            </w:r>
          </w:p>
        </w:tc>
        <w:tc>
          <w:tcPr>
            <w:tcW w:w="6427" w:type="dxa"/>
            <w:vAlign w:val="center"/>
          </w:tcPr>
          <w:p w14:paraId="2A47DB90">
            <w:pPr>
              <w:snapToGrid w:val="0"/>
              <w:spacing w:line="360" w:lineRule="auto"/>
              <w:rPr>
                <w:rFonts w:ascii="楷体" w:hAnsi="楷体" w:eastAsia="楷体" w:cs="楷体"/>
                <w:b/>
                <w:color w:val="000000" w:themeColor="text1"/>
                <w:sz w:val="22"/>
                <w:szCs w:val="22"/>
                <w14:textFill>
                  <w14:solidFill>
                    <w14:schemeClr w14:val="tx1"/>
                  </w14:solidFill>
                </w14:textFill>
              </w:rPr>
            </w:pPr>
            <w:r>
              <w:rPr>
                <w:rFonts w:hint="eastAsia" w:ascii="楷体" w:hAnsi="楷体" w:eastAsia="楷体" w:cs="楷体"/>
                <w:b/>
                <w:bCs/>
                <w:color w:val="000000" w:themeColor="text1"/>
                <w:sz w:val="24"/>
                <w:szCs w:val="32"/>
                <w14:textFill>
                  <w14:solidFill>
                    <w14:schemeClr w14:val="tx1"/>
                  </w14:solidFill>
                </w14:textFill>
              </w:rPr>
              <w:t>本项目采购预算为人民币</w:t>
            </w:r>
            <w:r>
              <w:rPr>
                <w:rFonts w:hint="eastAsia" w:ascii="楷体" w:hAnsi="楷体" w:eastAsia="楷体" w:cs="楷体"/>
                <w:b/>
                <w:bCs/>
                <w:color w:val="000000" w:themeColor="text1"/>
                <w:sz w:val="24"/>
                <w:szCs w:val="32"/>
                <w:u w:val="single"/>
                <w14:textFill>
                  <w14:solidFill>
                    <w14:schemeClr w14:val="tx1"/>
                  </w14:solidFill>
                </w14:textFill>
              </w:rPr>
              <w:t>1400000</w:t>
            </w:r>
            <w:r>
              <w:rPr>
                <w:rFonts w:hint="eastAsia" w:ascii="楷体" w:hAnsi="楷体" w:eastAsia="楷体" w:cs="楷体"/>
                <w:b/>
                <w:bCs/>
                <w:color w:val="000000" w:themeColor="text1"/>
                <w:sz w:val="24"/>
                <w:szCs w:val="32"/>
                <w14:textFill>
                  <w14:solidFill>
                    <w14:schemeClr w14:val="tx1"/>
                  </w14:solidFill>
                </w14:textFill>
              </w:rPr>
              <w:t>元。超过此预算的报价将作无效标处理。其中标项1：</w:t>
            </w:r>
            <w:r>
              <w:rPr>
                <w:rFonts w:hint="eastAsia" w:ascii="楷体" w:hAnsi="楷体" w:eastAsia="楷体" w:cs="楷体"/>
                <w:b/>
                <w:bCs/>
                <w:color w:val="000000" w:themeColor="text1"/>
                <w:sz w:val="24"/>
                <w:szCs w:val="32"/>
                <w:u w:val="single"/>
                <w14:textFill>
                  <w14:solidFill>
                    <w14:schemeClr w14:val="tx1"/>
                  </w14:solidFill>
                </w14:textFill>
              </w:rPr>
              <w:t>550000</w:t>
            </w:r>
            <w:r>
              <w:rPr>
                <w:rFonts w:hint="eastAsia" w:ascii="楷体" w:hAnsi="楷体" w:eastAsia="楷体" w:cs="楷体"/>
                <w:b/>
                <w:bCs/>
                <w:color w:val="000000" w:themeColor="text1"/>
                <w:sz w:val="24"/>
                <w:szCs w:val="32"/>
                <w14:textFill>
                  <w14:solidFill>
                    <w14:schemeClr w14:val="tx1"/>
                  </w14:solidFill>
                </w14:textFill>
              </w:rPr>
              <w:t>元；标项2：</w:t>
            </w:r>
            <w:r>
              <w:rPr>
                <w:rFonts w:hint="eastAsia" w:ascii="楷体" w:hAnsi="楷体" w:eastAsia="楷体" w:cs="楷体"/>
                <w:b/>
                <w:bCs/>
                <w:color w:val="000000" w:themeColor="text1"/>
                <w:sz w:val="24"/>
                <w:szCs w:val="32"/>
                <w:u w:val="single"/>
                <w14:textFill>
                  <w14:solidFill>
                    <w14:schemeClr w14:val="tx1"/>
                  </w14:solidFill>
                </w14:textFill>
              </w:rPr>
              <w:t>550000</w:t>
            </w:r>
            <w:r>
              <w:rPr>
                <w:rFonts w:hint="eastAsia" w:ascii="楷体" w:hAnsi="楷体" w:eastAsia="楷体" w:cs="楷体"/>
                <w:b/>
                <w:bCs/>
                <w:color w:val="000000" w:themeColor="text1"/>
                <w:sz w:val="24"/>
                <w:szCs w:val="32"/>
                <w14:textFill>
                  <w14:solidFill>
                    <w14:schemeClr w14:val="tx1"/>
                  </w14:solidFill>
                </w14:textFill>
              </w:rPr>
              <w:t>元；标项3:</w:t>
            </w:r>
            <w:r>
              <w:rPr>
                <w:rFonts w:hint="eastAsia" w:ascii="楷体" w:hAnsi="楷体" w:eastAsia="楷体" w:cs="楷体"/>
                <w:b/>
                <w:bCs/>
                <w:color w:val="000000" w:themeColor="text1"/>
                <w:sz w:val="24"/>
                <w:szCs w:val="32"/>
                <w:u w:val="single"/>
                <w14:textFill>
                  <w14:solidFill>
                    <w14:schemeClr w14:val="tx1"/>
                  </w14:solidFill>
                </w14:textFill>
              </w:rPr>
              <w:t>300000</w:t>
            </w:r>
            <w:r>
              <w:rPr>
                <w:rFonts w:hint="eastAsia" w:ascii="楷体" w:hAnsi="楷体" w:eastAsia="楷体" w:cs="楷体"/>
                <w:b/>
                <w:bCs/>
                <w:color w:val="000000" w:themeColor="text1"/>
                <w:sz w:val="24"/>
                <w:szCs w:val="32"/>
                <w14:textFill>
                  <w14:solidFill>
                    <w14:schemeClr w14:val="tx1"/>
                  </w14:solidFill>
                </w14:textFill>
              </w:rPr>
              <w:t>元；</w:t>
            </w:r>
          </w:p>
        </w:tc>
      </w:tr>
      <w:tr w14:paraId="2BB465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6A96302C">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9</w:t>
            </w:r>
          </w:p>
        </w:tc>
        <w:tc>
          <w:tcPr>
            <w:tcW w:w="1470" w:type="dxa"/>
            <w:vAlign w:val="center"/>
          </w:tcPr>
          <w:p w14:paraId="1DBF28DB">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资格审查方式</w:t>
            </w:r>
          </w:p>
        </w:tc>
        <w:tc>
          <w:tcPr>
            <w:tcW w:w="6427" w:type="dxa"/>
            <w:vAlign w:val="center"/>
          </w:tcPr>
          <w:p w14:paraId="11513586">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资格后审。</w:t>
            </w:r>
          </w:p>
          <w:p w14:paraId="0A81BF90">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资格后审是指在开标后由采购人或采购代理机构代表根据采购文件的规定对投标人进行的资格审查，资格后审不合格的投标人，其投标作无效标处理。</w:t>
            </w:r>
          </w:p>
        </w:tc>
      </w:tr>
      <w:tr w14:paraId="220E77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61FC5F73">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10</w:t>
            </w:r>
          </w:p>
        </w:tc>
        <w:tc>
          <w:tcPr>
            <w:tcW w:w="1470" w:type="dxa"/>
            <w:vAlign w:val="center"/>
          </w:tcPr>
          <w:p w14:paraId="3897658B">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投标保证金</w:t>
            </w:r>
          </w:p>
        </w:tc>
        <w:tc>
          <w:tcPr>
            <w:tcW w:w="6427" w:type="dxa"/>
            <w:vAlign w:val="center"/>
          </w:tcPr>
          <w:p w14:paraId="716812C5">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本项目不收取投标保证金。但违反政府采购相关规定给采购人造成损失的投标人应当承担赔偿责任。赔偿金额为项目预算金额的2%，如实际损失超过前述金额的，投标人需赔偿超过前述金额部分的实际损失。</w:t>
            </w:r>
          </w:p>
        </w:tc>
      </w:tr>
      <w:tr w14:paraId="1A0C79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83" w:type="dxa"/>
            <w:vAlign w:val="center"/>
          </w:tcPr>
          <w:p w14:paraId="00875E4D">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11</w:t>
            </w:r>
          </w:p>
        </w:tc>
        <w:tc>
          <w:tcPr>
            <w:tcW w:w="1470" w:type="dxa"/>
            <w:vAlign w:val="center"/>
          </w:tcPr>
          <w:p w14:paraId="01486D5F">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踏勘现场</w:t>
            </w:r>
          </w:p>
        </w:tc>
        <w:tc>
          <w:tcPr>
            <w:tcW w:w="6427" w:type="dxa"/>
            <w:vAlign w:val="center"/>
          </w:tcPr>
          <w:p w14:paraId="44F2DF9C">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采购人不组织现场踏勘。</w:t>
            </w:r>
          </w:p>
        </w:tc>
      </w:tr>
      <w:tr w14:paraId="36AD76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345A47A9">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12</w:t>
            </w:r>
          </w:p>
        </w:tc>
        <w:tc>
          <w:tcPr>
            <w:tcW w:w="1470" w:type="dxa"/>
            <w:vAlign w:val="center"/>
          </w:tcPr>
          <w:p w14:paraId="708EA1AF">
            <w:pPr>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招标答疑</w:t>
            </w:r>
          </w:p>
        </w:tc>
        <w:tc>
          <w:tcPr>
            <w:tcW w:w="6427" w:type="dxa"/>
            <w:vAlign w:val="center"/>
          </w:tcPr>
          <w:p w14:paraId="50C2EE7F">
            <w:pPr>
              <w:snapToGrid w:val="0"/>
              <w:spacing w:line="360" w:lineRule="exact"/>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投标人如认为采购文件表述不清晰的，必须在</w:t>
            </w:r>
            <w:r>
              <w:rPr>
                <w:rFonts w:hint="eastAsia" w:ascii="楷体" w:hAnsi="楷体" w:eastAsia="楷体" w:cs="楷体"/>
                <w:color w:val="000000" w:themeColor="text1"/>
                <w:sz w:val="22"/>
                <w:szCs w:val="22"/>
                <w14:textFill>
                  <w14:solidFill>
                    <w14:schemeClr w14:val="tx1"/>
                  </w14:solidFill>
                </w14:textFill>
              </w:rPr>
              <w:t xml:space="preserve"> 2026年04月30日</w:t>
            </w:r>
            <w:r>
              <w:rPr>
                <w:rFonts w:hint="eastAsia" w:ascii="楷体" w:hAnsi="楷体" w:eastAsia="楷体" w:cs="楷体"/>
                <w:snapToGrid w:val="0"/>
                <w:color w:val="000000" w:themeColor="text1"/>
                <w:kern w:val="0"/>
                <w:sz w:val="22"/>
                <w:szCs w:val="22"/>
                <w14:textFill>
                  <w14:solidFill>
                    <w14:schemeClr w14:val="tx1"/>
                  </w14:solidFill>
                </w14:textFill>
              </w:rPr>
              <w:t>17时之前、将要求答疑的问题传真至</w:t>
            </w:r>
            <w:r>
              <w:rPr>
                <w:rFonts w:hint="eastAsia" w:ascii="楷体" w:hAnsi="楷体" w:eastAsia="楷体" w:cs="楷体"/>
                <w:bCs/>
                <w:snapToGrid w:val="0"/>
                <w:color w:val="000000" w:themeColor="text1"/>
                <w:kern w:val="0"/>
                <w:sz w:val="22"/>
                <w:szCs w:val="22"/>
                <w:u w:val="single"/>
                <w14:textFill>
                  <w14:solidFill>
                    <w14:schemeClr w14:val="tx1"/>
                  </w14:solidFill>
                </w14:textFill>
              </w:rPr>
              <w:t>0577-68882000</w:t>
            </w:r>
            <w:r>
              <w:rPr>
                <w:rFonts w:hint="eastAsia" w:ascii="楷体" w:hAnsi="楷体" w:eastAsia="楷体" w:cs="楷体"/>
                <w:b/>
                <w:bCs/>
                <w:snapToGrid w:val="0"/>
                <w:color w:val="000000" w:themeColor="text1"/>
                <w:kern w:val="0"/>
                <w:sz w:val="22"/>
                <w:szCs w:val="22"/>
                <w14:textFill>
                  <w14:solidFill>
                    <w14:schemeClr w14:val="tx1"/>
                  </w14:solidFill>
                </w14:textFill>
              </w:rPr>
              <w:t>,</w:t>
            </w:r>
            <w:r>
              <w:rPr>
                <w:rFonts w:hint="eastAsia" w:ascii="楷体" w:hAnsi="楷体" w:eastAsia="楷体" w:cs="楷体"/>
                <w:snapToGrid w:val="0"/>
                <w:color w:val="000000" w:themeColor="text1"/>
                <w:kern w:val="0"/>
                <w:sz w:val="22"/>
                <w:szCs w:val="22"/>
                <w14:textFill>
                  <w14:solidFill>
                    <w14:schemeClr w14:val="tx1"/>
                  </w14:solidFill>
                </w14:textFill>
              </w:rPr>
              <w:t>并发电子邮件至</w:t>
            </w:r>
            <w:r>
              <w:rPr>
                <w:rFonts w:hint="eastAsia" w:ascii="楷体" w:hAnsi="楷体" w:eastAsia="楷体" w:cs="楷体"/>
                <w:snapToGrid w:val="0"/>
                <w:color w:val="000000" w:themeColor="text1"/>
                <w:kern w:val="0"/>
                <w:sz w:val="22"/>
                <w:szCs w:val="22"/>
                <w:u w:val="single"/>
                <w14:textFill>
                  <w14:solidFill>
                    <w14:schemeClr w14:val="tx1"/>
                  </w14:solidFill>
                </w14:textFill>
              </w:rPr>
              <w:t xml:space="preserve">1045023931@qq.com  </w:t>
            </w:r>
            <w:r>
              <w:rPr>
                <w:rFonts w:hint="eastAsia" w:ascii="楷体" w:hAnsi="楷体" w:eastAsia="楷体" w:cs="楷体"/>
                <w:color w:val="000000" w:themeColor="text1"/>
                <w:sz w:val="22"/>
                <w:szCs w:val="22"/>
                <w14:textFill>
                  <w14:solidFill>
                    <w14:schemeClr w14:val="tx1"/>
                  </w14:solidFill>
                </w14:textFill>
              </w:rPr>
              <w:t>（</w:t>
            </w:r>
            <w:r>
              <w:rPr>
                <w:rFonts w:hint="eastAsia" w:ascii="楷体" w:hAnsi="楷体" w:eastAsia="楷体" w:cs="楷体"/>
                <w:color w:val="000000" w:themeColor="text1"/>
                <w:sz w:val="22"/>
                <w:szCs w:val="22"/>
                <w:lang w:val="zh-CN"/>
                <w14:textFill>
                  <w14:solidFill>
                    <w14:schemeClr w14:val="tx1"/>
                  </w14:solidFill>
                </w14:textFill>
              </w:rPr>
              <w:t>电子邮件与书面文件有不一致的</w:t>
            </w:r>
            <w:r>
              <w:rPr>
                <w:rFonts w:hint="eastAsia" w:ascii="楷体" w:hAnsi="楷体" w:eastAsia="楷体" w:cs="楷体"/>
                <w:color w:val="000000" w:themeColor="text1"/>
                <w:sz w:val="22"/>
                <w:szCs w:val="22"/>
                <w14:textFill>
                  <w14:solidFill>
                    <w14:schemeClr w14:val="tx1"/>
                  </w14:solidFill>
                </w14:textFill>
              </w:rPr>
              <w:t>，</w:t>
            </w:r>
            <w:r>
              <w:rPr>
                <w:rFonts w:hint="eastAsia" w:ascii="楷体" w:hAnsi="楷体" w:eastAsia="楷体" w:cs="楷体"/>
                <w:color w:val="000000" w:themeColor="text1"/>
                <w:sz w:val="22"/>
                <w:szCs w:val="22"/>
                <w:lang w:val="zh-CN"/>
                <w14:textFill>
                  <w14:solidFill>
                    <w14:schemeClr w14:val="tx1"/>
                  </w14:solidFill>
                </w14:textFill>
              </w:rPr>
              <w:t>一律以书面文件为准</w:t>
            </w:r>
            <w:r>
              <w:rPr>
                <w:rFonts w:hint="eastAsia" w:ascii="楷体" w:hAnsi="楷体" w:eastAsia="楷体" w:cs="楷体"/>
                <w:color w:val="000000" w:themeColor="text1"/>
                <w:sz w:val="22"/>
                <w:szCs w:val="22"/>
                <w14:textFill>
                  <w14:solidFill>
                    <w14:schemeClr w14:val="tx1"/>
                  </w14:solidFill>
                </w14:textFill>
              </w:rPr>
              <w:t>）</w:t>
            </w:r>
            <w:r>
              <w:rPr>
                <w:rFonts w:hint="eastAsia" w:ascii="楷体" w:hAnsi="楷体" w:eastAsia="楷体" w:cs="楷体"/>
                <w:color w:val="000000" w:themeColor="text1"/>
                <w:sz w:val="22"/>
                <w:szCs w:val="22"/>
                <w:lang w:val="zh-CN"/>
                <w14:textFill>
                  <w14:solidFill>
                    <w14:schemeClr w14:val="tx1"/>
                  </w14:solidFill>
                </w14:textFill>
              </w:rPr>
              <w:t>。截止期后的疑问将不予受理、答复。</w:t>
            </w:r>
            <w:r>
              <w:rPr>
                <w:rFonts w:hint="eastAsia" w:ascii="楷体" w:hAnsi="楷体" w:eastAsia="楷体" w:cs="楷体"/>
                <w:color w:val="000000" w:themeColor="text1"/>
                <w:sz w:val="22"/>
                <w:szCs w:val="22"/>
                <w14:textFill>
                  <w14:solidFill>
                    <w14:schemeClr w14:val="tx1"/>
                  </w14:solidFill>
                </w14:textFill>
              </w:rPr>
              <w:t>答疑回复内容是采购文件的组成部份，并将以更正（澄清）公告形式告知所有获取采购文件的投标人。请投标人密切关注公告信息。</w:t>
            </w:r>
          </w:p>
        </w:tc>
      </w:tr>
      <w:tr w14:paraId="15DF8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60EAB8B9">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13</w:t>
            </w:r>
          </w:p>
        </w:tc>
        <w:tc>
          <w:tcPr>
            <w:tcW w:w="1470" w:type="dxa"/>
            <w:vAlign w:val="center"/>
          </w:tcPr>
          <w:p w14:paraId="4EE830CB">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采购文件的澄清与修改</w:t>
            </w:r>
          </w:p>
        </w:tc>
        <w:tc>
          <w:tcPr>
            <w:tcW w:w="6427" w:type="dxa"/>
            <w:vAlign w:val="center"/>
          </w:tcPr>
          <w:p w14:paraId="57262D2F">
            <w:pPr>
              <w:snapToGrid w:val="0"/>
              <w:spacing w:line="360" w:lineRule="exact"/>
              <w:ind w:right="105" w:rightChars="50"/>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在投标截止时间15天前，采购人有权澄清和修改采购文件，并以更正（澄清）公告形式通知所有已获取采购文件的投标人。修改和澄清（答疑）答复的内容作为采购文件的补充和组成部分，对所有投标人均有约束力。</w:t>
            </w:r>
            <w:r>
              <w:rPr>
                <w:rFonts w:hint="eastAsia" w:ascii="楷体" w:hAnsi="楷体" w:eastAsia="楷体" w:cs="楷体"/>
                <w:color w:val="000000" w:themeColor="text1"/>
                <w:sz w:val="22"/>
                <w:szCs w:val="22"/>
                <w14:textFill>
                  <w14:solidFill>
                    <w14:schemeClr w14:val="tx1"/>
                  </w14:solidFill>
                </w14:textFill>
              </w:rPr>
              <w:t>请投标人密切关注公告信息。</w:t>
            </w:r>
          </w:p>
        </w:tc>
      </w:tr>
      <w:tr w14:paraId="40D30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5AC5480F">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14</w:t>
            </w:r>
          </w:p>
        </w:tc>
        <w:tc>
          <w:tcPr>
            <w:tcW w:w="1470" w:type="dxa"/>
            <w:vAlign w:val="center"/>
          </w:tcPr>
          <w:p w14:paraId="3BB057C6">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投标文件形式</w:t>
            </w:r>
          </w:p>
        </w:tc>
        <w:tc>
          <w:tcPr>
            <w:tcW w:w="6427" w:type="dxa"/>
            <w:vAlign w:val="center"/>
          </w:tcPr>
          <w:p w14:paraId="64A89303">
            <w:pPr>
              <w:snapToGrid w:val="0"/>
              <w:spacing w:line="360" w:lineRule="exact"/>
              <w:ind w:right="105" w:rightChars="50"/>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电子投标文件包括“电子加密投标文件”和“备份投标文件”，在投标文件编制完成后同时生成。</w:t>
            </w:r>
          </w:p>
          <w:p w14:paraId="1EEE5E8B">
            <w:pPr>
              <w:snapToGrid w:val="0"/>
              <w:spacing w:line="360" w:lineRule="exact"/>
              <w:ind w:right="105" w:rightChars="50"/>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1.“电子加密投标文件”是指通过“政采云电子交易客户端”完成投标文件编制后生成并加密的数据电文形式的投标文件。</w:t>
            </w:r>
          </w:p>
          <w:p w14:paraId="79B9D1CB">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14:paraId="5A1A0A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3B1A6C46">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15</w:t>
            </w:r>
          </w:p>
        </w:tc>
        <w:tc>
          <w:tcPr>
            <w:tcW w:w="1470" w:type="dxa"/>
            <w:vAlign w:val="center"/>
          </w:tcPr>
          <w:p w14:paraId="031D4D5C">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投标文件份数</w:t>
            </w:r>
          </w:p>
        </w:tc>
        <w:tc>
          <w:tcPr>
            <w:tcW w:w="6427" w:type="dxa"/>
            <w:vAlign w:val="center"/>
          </w:tcPr>
          <w:p w14:paraId="25790BB8">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1.一份电子加密标书（后缀格式为.jmbs），一份备份标书文件（后缀格式为.bfbs）。</w:t>
            </w:r>
          </w:p>
          <w:p w14:paraId="0933AFD2">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每份电子投标文件应包括资格响应文件、商务技术响应文件及报价响应文件三部分内容。</w:t>
            </w:r>
          </w:p>
          <w:p w14:paraId="4136A4F0">
            <w:pPr>
              <w:pStyle w:val="19"/>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2.如中标，中标人需根据招标人要求提供纸质投标文件至少</w:t>
            </w:r>
            <w:r>
              <w:rPr>
                <w:rFonts w:hint="eastAsia" w:ascii="楷体" w:hAnsi="楷体" w:eastAsia="楷体" w:cs="楷体"/>
                <w:color w:val="000000" w:themeColor="text1"/>
                <w:sz w:val="22"/>
                <w:szCs w:val="22"/>
                <w:u w:val="single"/>
                <w14:textFill>
                  <w14:solidFill>
                    <w14:schemeClr w14:val="tx1"/>
                  </w14:solidFill>
                </w14:textFill>
              </w:rPr>
              <w:t xml:space="preserve"> 3 </w:t>
            </w:r>
            <w:r>
              <w:rPr>
                <w:rFonts w:hint="eastAsia" w:ascii="楷体" w:hAnsi="楷体" w:eastAsia="楷体" w:cs="楷体"/>
                <w:color w:val="000000" w:themeColor="text1"/>
                <w:sz w:val="22"/>
                <w:szCs w:val="22"/>
                <w14:textFill>
                  <w14:solidFill>
                    <w14:schemeClr w14:val="tx1"/>
                  </w14:solidFill>
                </w14:textFill>
              </w:rPr>
              <w:t>份。</w:t>
            </w:r>
          </w:p>
        </w:tc>
      </w:tr>
      <w:tr w14:paraId="2CA707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Merge w:val="restart"/>
            <w:vAlign w:val="center"/>
          </w:tcPr>
          <w:p w14:paraId="6C7CE415">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16</w:t>
            </w:r>
          </w:p>
        </w:tc>
        <w:tc>
          <w:tcPr>
            <w:tcW w:w="1470" w:type="dxa"/>
            <w:vMerge w:val="restart"/>
            <w:vAlign w:val="center"/>
          </w:tcPr>
          <w:p w14:paraId="3DC6EABA">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投标文件的上传和递交</w:t>
            </w:r>
          </w:p>
        </w:tc>
        <w:tc>
          <w:tcPr>
            <w:tcW w:w="6427" w:type="dxa"/>
            <w:vAlign w:val="center"/>
          </w:tcPr>
          <w:p w14:paraId="12173282">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1.电子加密投标文件：投标文件制作完成并生成加密标书，在投标截止时间前，供应商需将加密的投标文件上传至政采云平台，在开标时间开始后</w:t>
            </w:r>
            <w:r>
              <w:rPr>
                <w:rFonts w:hint="eastAsia" w:ascii="楷体" w:hAnsi="楷体" w:eastAsia="楷体" w:cs="楷体"/>
                <w:color w:val="000000" w:themeColor="text1"/>
                <w:sz w:val="22"/>
                <w:szCs w:val="22"/>
                <w:u w:val="single"/>
                <w14:textFill>
                  <w14:solidFill>
                    <w14:schemeClr w14:val="tx1"/>
                  </w14:solidFill>
                </w14:textFill>
              </w:rPr>
              <w:t xml:space="preserve"> 30 </w:t>
            </w:r>
            <w:r>
              <w:rPr>
                <w:rFonts w:hint="eastAsia" w:ascii="楷体" w:hAnsi="楷体" w:eastAsia="楷体" w:cs="楷体"/>
                <w:color w:val="000000" w:themeColor="text1"/>
                <w:sz w:val="22"/>
                <w:szCs w:val="22"/>
                <w14:textFill>
                  <w14:solidFill>
                    <w14:schemeClr w14:val="tx1"/>
                  </w14:solidFill>
                </w14:textFill>
              </w:rPr>
              <w:t>分钟内，解密投标文件。</w:t>
            </w:r>
          </w:p>
          <w:p w14:paraId="5374A646">
            <w:pPr>
              <w:snapToGrid w:val="0"/>
              <w:spacing w:line="360" w:lineRule="exact"/>
              <w:rPr>
                <w:rFonts w:ascii="楷体" w:hAnsi="楷体" w:eastAsia="楷体" w:cs="楷体"/>
                <w:b/>
                <w:bCs/>
                <w:color w:val="000000" w:themeColor="text1"/>
                <w:sz w:val="22"/>
                <w:szCs w:val="22"/>
                <w14:textFill>
                  <w14:solidFill>
                    <w14:schemeClr w14:val="tx1"/>
                  </w14:solidFill>
                </w14:textFill>
              </w:rPr>
            </w:pPr>
            <w:r>
              <w:rPr>
                <w:rFonts w:hint="eastAsia" w:ascii="楷体" w:hAnsi="楷体" w:eastAsia="楷体" w:cs="楷体"/>
                <w:b/>
                <w:bCs/>
                <w:color w:val="000000" w:themeColor="text1"/>
                <w:sz w:val="22"/>
                <w:szCs w:val="22"/>
                <w14:textFill>
                  <w14:solidFill>
                    <w14:schemeClr w14:val="tx1"/>
                  </w14:solidFill>
                </w14:textFill>
              </w:rPr>
              <w:t>a.供应商未能在投标截止时间前成功上传电子加密投标文件的投标无效。</w:t>
            </w:r>
          </w:p>
          <w:p w14:paraId="2821D51A">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b.供应商成功上传电子加密投标文件后，可自行打印投标文件接收回执。</w:t>
            </w:r>
          </w:p>
        </w:tc>
      </w:tr>
      <w:tr w14:paraId="717118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Merge w:val="continue"/>
            <w:vAlign w:val="center"/>
          </w:tcPr>
          <w:p w14:paraId="5325AB0B">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p>
        </w:tc>
        <w:tc>
          <w:tcPr>
            <w:tcW w:w="1470" w:type="dxa"/>
            <w:vMerge w:val="continue"/>
            <w:vAlign w:val="center"/>
          </w:tcPr>
          <w:p w14:paraId="576C717D">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p>
        </w:tc>
        <w:tc>
          <w:tcPr>
            <w:tcW w:w="6427" w:type="dxa"/>
            <w:vAlign w:val="center"/>
          </w:tcPr>
          <w:p w14:paraId="6E5E7622">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b/>
                <w:bCs/>
                <w:color w:val="000000" w:themeColor="text1"/>
                <w:sz w:val="22"/>
                <w:szCs w:val="22"/>
                <w14:textFill>
                  <w14:solidFill>
                    <w14:schemeClr w14:val="tx1"/>
                  </w14:solidFill>
                </w14:textFill>
              </w:rPr>
              <w:t>2.备份投标文件（不作强制要求）：</w:t>
            </w:r>
            <w:r>
              <w:rPr>
                <w:rFonts w:hint="eastAsia" w:ascii="楷体" w:hAnsi="楷体" w:eastAsia="楷体" w:cs="楷体"/>
                <w:color w:val="000000" w:themeColor="text1"/>
                <w:sz w:val="22"/>
                <w:szCs w:val="22"/>
                <w14:textFill>
                  <w14:solidFill>
                    <w14:schemeClr w14:val="tx1"/>
                  </w14:solidFill>
                </w14:textFill>
              </w:rPr>
              <w:t>供应商确保在投标截止时间前，将备份投标文件通过快递形式寄达采购代理机构处，以便标书解密异常时应急使用（邮寄地址：苍南县灵溪镇鑫鑫财富中心1幢605室，收件人：金先生， 联系电话：13587836240）。</w:t>
            </w:r>
          </w:p>
          <w:p w14:paraId="0A337D2A">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a.备份投标文件递交要求：供应商须将备份投标文件以光盘或U盘形式放在密封袋中，密封后并在密封袋上注明投标项目名称、投标单位名称并加盖公章(联合体投标的，包装物封面需注明联合体投标，并注明联合体成员各方的名称和联合协议中约定的牵头人的名称)。未密封包装或者逾期邮寄送达的“备份投标文件”将不予接收。</w:t>
            </w:r>
          </w:p>
          <w:p w14:paraId="2E4559D4">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b.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14:paraId="14E851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Merge w:val="continue"/>
            <w:vAlign w:val="center"/>
          </w:tcPr>
          <w:p w14:paraId="730422A2">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p>
        </w:tc>
        <w:tc>
          <w:tcPr>
            <w:tcW w:w="1470" w:type="dxa"/>
            <w:vMerge w:val="continue"/>
            <w:vAlign w:val="center"/>
          </w:tcPr>
          <w:p w14:paraId="5A88A1E8">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p>
        </w:tc>
        <w:tc>
          <w:tcPr>
            <w:tcW w:w="6427" w:type="dxa"/>
            <w:vAlign w:val="center"/>
          </w:tcPr>
          <w:p w14:paraId="1E97D507">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3.电子加密投标文件的解密和异常情况处理：</w:t>
            </w:r>
          </w:p>
          <w:p w14:paraId="4373A50A">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a.开标后，各投标供应商代表应当在限定时间内自行完成“电子加密投标文件”的在线解密。</w:t>
            </w:r>
          </w:p>
          <w:p w14:paraId="09F4042D">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b.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1D99132B">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c.投标截止时间前，投标供应商仅递交了“备份投标文件”而未将电子加密投标文件上传至“政府采购云平台”的，投标无效。</w:t>
            </w:r>
          </w:p>
        </w:tc>
      </w:tr>
      <w:tr w14:paraId="35B323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63B291FE">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17</w:t>
            </w:r>
          </w:p>
        </w:tc>
        <w:tc>
          <w:tcPr>
            <w:tcW w:w="1470" w:type="dxa"/>
            <w:vAlign w:val="center"/>
          </w:tcPr>
          <w:p w14:paraId="79542B3B">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投标文件、流程文件签章</w:t>
            </w:r>
          </w:p>
        </w:tc>
        <w:tc>
          <w:tcPr>
            <w:tcW w:w="6427" w:type="dxa"/>
            <w:vAlign w:val="center"/>
          </w:tcPr>
          <w:p w14:paraId="02F7F1BC">
            <w:pPr>
              <w:numPr>
                <w:ilvl w:val="0"/>
                <w:numId w:val="5"/>
              </w:num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电子投标文件必须有电子签章；</w:t>
            </w:r>
          </w:p>
          <w:p w14:paraId="078AB484">
            <w:pPr>
              <w:numPr>
                <w:ilvl w:val="0"/>
                <w:numId w:val="5"/>
              </w:num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开标后，相关信息记录确认、澄清说明、回复等内容，电子签章、或者签章后上传相关文件，均认可；</w:t>
            </w:r>
          </w:p>
          <w:p w14:paraId="729549FB">
            <w:pPr>
              <w:numPr>
                <w:ilvl w:val="0"/>
                <w:numId w:val="5"/>
              </w:num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政采云系统平台有新的操作流程的，按其规定。</w:t>
            </w:r>
          </w:p>
        </w:tc>
      </w:tr>
      <w:tr w14:paraId="1D00FB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783" w:type="dxa"/>
            <w:vAlign w:val="center"/>
          </w:tcPr>
          <w:p w14:paraId="78E330C8">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18</w:t>
            </w:r>
          </w:p>
        </w:tc>
        <w:tc>
          <w:tcPr>
            <w:tcW w:w="1470" w:type="dxa"/>
            <w:vAlign w:val="center"/>
          </w:tcPr>
          <w:p w14:paraId="571B3241">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评标办法</w:t>
            </w:r>
          </w:p>
        </w:tc>
        <w:tc>
          <w:tcPr>
            <w:tcW w:w="6427" w:type="dxa"/>
            <w:vAlign w:val="center"/>
          </w:tcPr>
          <w:p w14:paraId="4E6E4F70">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综合评分法</w:t>
            </w:r>
          </w:p>
        </w:tc>
      </w:tr>
      <w:tr w14:paraId="5CD61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66E0A98B">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19</w:t>
            </w:r>
          </w:p>
        </w:tc>
        <w:tc>
          <w:tcPr>
            <w:tcW w:w="1470" w:type="dxa"/>
            <w:vAlign w:val="center"/>
          </w:tcPr>
          <w:p w14:paraId="06433A1D">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投标文件上传截止时间及开标时间</w:t>
            </w:r>
          </w:p>
        </w:tc>
        <w:tc>
          <w:tcPr>
            <w:tcW w:w="6427" w:type="dxa"/>
            <w:vAlign w:val="center"/>
          </w:tcPr>
          <w:p w14:paraId="5F530BA5">
            <w:pPr>
              <w:adjustRightInd w:val="0"/>
              <w:snapToGrid w:val="0"/>
              <w:spacing w:line="360" w:lineRule="exact"/>
              <w:ind w:left="15" w:hanging="15" w:hangingChars="7"/>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kern w:val="0"/>
                <w:sz w:val="22"/>
                <w:szCs w:val="22"/>
                <w14:textFill>
                  <w14:solidFill>
                    <w14:schemeClr w14:val="tx1"/>
                  </w14:solidFill>
                </w14:textFill>
              </w:rPr>
              <w:t xml:space="preserve"> 2026年05月15日 9时30分00秒（北京时间） </w:t>
            </w:r>
          </w:p>
        </w:tc>
      </w:tr>
      <w:tr w14:paraId="10D642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13CD4D10">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20</w:t>
            </w:r>
          </w:p>
        </w:tc>
        <w:tc>
          <w:tcPr>
            <w:tcW w:w="1470" w:type="dxa"/>
            <w:vAlign w:val="center"/>
          </w:tcPr>
          <w:p w14:paraId="76DAD904">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开标程序</w:t>
            </w:r>
          </w:p>
        </w:tc>
        <w:tc>
          <w:tcPr>
            <w:tcW w:w="6427" w:type="dxa"/>
            <w:vAlign w:val="center"/>
          </w:tcPr>
          <w:p w14:paraId="4BF36101">
            <w:pPr>
              <w:adjustRightInd w:val="0"/>
              <w:snapToGrid w:val="0"/>
              <w:spacing w:line="360" w:lineRule="exact"/>
              <w:ind w:left="15" w:hanging="15" w:hangingChars="7"/>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1.采购代理机构按照招标文件规定的时间通过电子交易平台组织开标，所有投标人均应当准时在线参加。投标人不足3家的，不得开标。</w:t>
            </w:r>
          </w:p>
          <w:p w14:paraId="58FB860A">
            <w:pPr>
              <w:adjustRightInd w:val="0"/>
              <w:snapToGrid w:val="0"/>
              <w:spacing w:line="360" w:lineRule="exact"/>
              <w:ind w:left="15" w:hanging="15" w:hangingChars="7"/>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2.开标时，采购代理机构点击【开始解密】，供应商应在</w:t>
            </w:r>
            <w:r>
              <w:rPr>
                <w:rFonts w:hint="eastAsia" w:ascii="楷体" w:hAnsi="楷体" w:eastAsia="楷体" w:cs="楷体"/>
                <w:color w:val="000000" w:themeColor="text1"/>
                <w:sz w:val="22"/>
                <w:szCs w:val="22"/>
                <w:u w:val="single"/>
                <w14:textFill>
                  <w14:solidFill>
                    <w14:schemeClr w14:val="tx1"/>
                  </w14:solidFill>
                </w14:textFill>
              </w:rPr>
              <w:t xml:space="preserve"> 30 </w:t>
            </w:r>
            <w:r>
              <w:rPr>
                <w:rFonts w:hint="eastAsia" w:ascii="楷体" w:hAnsi="楷体" w:eastAsia="楷体" w:cs="楷体"/>
                <w:color w:val="000000" w:themeColor="text1"/>
                <w:sz w:val="22"/>
                <w:szCs w:val="22"/>
                <w14:textFill>
                  <w14:solidFill>
                    <w14:schemeClr w14:val="tx1"/>
                  </w14:solidFill>
                </w14:textFill>
              </w:rPr>
              <w:t>分钟内完成解密。供应商在规定的时间内都已完成解密，则系统自动结束解密；供应商超过解密时限，默认自动放弃；</w:t>
            </w:r>
          </w:p>
          <w:p w14:paraId="6BF407B7">
            <w:pPr>
              <w:adjustRightInd w:val="0"/>
              <w:snapToGrid w:val="0"/>
              <w:spacing w:line="360" w:lineRule="exact"/>
              <w:ind w:left="15" w:hanging="15" w:hangingChars="7"/>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异常处理：如供应商在开标时因遗失CA或其他原因导致解密不成功时，如供应商已按规定递交了“备份投标文件”的，采购代理机构通过【异常处理】端口对备份投标文件上传、解密；</w:t>
            </w:r>
          </w:p>
          <w:p w14:paraId="4ECF3299">
            <w:pPr>
              <w:adjustRightInd w:val="0"/>
              <w:snapToGrid w:val="0"/>
              <w:spacing w:line="360" w:lineRule="exact"/>
              <w:ind w:left="15" w:hanging="15" w:hangingChars="7"/>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3.商务技术文件开启后30分钟内，供应商通过在线询标形式将经授权代表签署的《政府采购活动现场确认声明书》（格式见采购文件第七部分）上传。</w:t>
            </w:r>
          </w:p>
          <w:p w14:paraId="7F656E33">
            <w:pPr>
              <w:adjustRightInd w:val="0"/>
              <w:snapToGrid w:val="0"/>
              <w:spacing w:line="360" w:lineRule="exact"/>
              <w:ind w:left="15" w:hanging="15" w:hangingChars="7"/>
              <w:rPr>
                <w:rFonts w:ascii="楷体" w:hAnsi="楷体" w:eastAsia="楷体" w:cs="楷体"/>
                <w:b/>
                <w:bCs/>
                <w:color w:val="000000" w:themeColor="text1"/>
                <w:sz w:val="22"/>
                <w:szCs w:val="22"/>
                <w14:textFill>
                  <w14:solidFill>
                    <w14:schemeClr w14:val="tx1"/>
                  </w14:solidFill>
                </w14:textFill>
              </w:rPr>
            </w:pPr>
            <w:r>
              <w:rPr>
                <w:rFonts w:hint="eastAsia" w:ascii="楷体" w:hAnsi="楷体" w:eastAsia="楷体" w:cs="楷体"/>
                <w:b/>
                <w:bCs/>
                <w:color w:val="000000" w:themeColor="text1"/>
                <w:sz w:val="22"/>
                <w:szCs w:val="22"/>
                <w14:textFill>
                  <w14:solidFill>
                    <w14:schemeClr w14:val="tx1"/>
                  </w14:solidFill>
                </w14:textFill>
              </w:rPr>
              <w:t>说明：不填写或未按规定提交的，视同默认不存在确认声明书中的相关违规情形。</w:t>
            </w:r>
          </w:p>
          <w:p w14:paraId="4F6CAFCE">
            <w:pPr>
              <w:adjustRightInd w:val="0"/>
              <w:snapToGrid w:val="0"/>
              <w:spacing w:line="360" w:lineRule="exact"/>
              <w:ind w:left="15" w:hanging="15" w:hangingChars="7"/>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4.采购组织机构点击【开启标书信息】，开启标书成功后进入开标流程。</w:t>
            </w:r>
          </w:p>
          <w:p w14:paraId="61755DB1">
            <w:pPr>
              <w:pStyle w:val="22"/>
              <w:spacing w:line="360" w:lineRule="exact"/>
              <w:ind w:firstLine="0"/>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5.政采云系统平台有新的操作流程的，按其规定。</w:t>
            </w:r>
          </w:p>
        </w:tc>
      </w:tr>
      <w:tr w14:paraId="2A3DC8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26775A6B">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21</w:t>
            </w:r>
          </w:p>
        </w:tc>
        <w:tc>
          <w:tcPr>
            <w:tcW w:w="1470" w:type="dxa"/>
            <w:vAlign w:val="center"/>
          </w:tcPr>
          <w:p w14:paraId="255B231F">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资格审查</w:t>
            </w:r>
          </w:p>
        </w:tc>
        <w:tc>
          <w:tcPr>
            <w:tcW w:w="6427" w:type="dxa"/>
            <w:vAlign w:val="center"/>
          </w:tcPr>
          <w:p w14:paraId="5449F9F6">
            <w:pPr>
              <w:adjustRightInd w:val="0"/>
              <w:snapToGrid w:val="0"/>
              <w:spacing w:line="360" w:lineRule="exact"/>
              <w:ind w:left="15" w:hanging="15" w:hangingChars="7"/>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1.开标后，由采购人或采购代理机构代表根据采购文件的规定对投标人的基本资格条件、落实政府采购政策需满足的资格要求及特定资格条件进行审。</w:t>
            </w:r>
          </w:p>
          <w:p w14:paraId="627C2A97">
            <w:pPr>
              <w:adjustRightInd w:val="0"/>
              <w:snapToGrid w:val="0"/>
              <w:spacing w:line="360" w:lineRule="exact"/>
              <w:ind w:left="15" w:hanging="15" w:hangingChars="7"/>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2.投标人未按照招标文件要求提供与基本资格条件、特定资格条件相应的有效资格证明材料的，视为投标人不具备招标文件中规定的资格要求，其投标无效。</w:t>
            </w:r>
          </w:p>
          <w:p w14:paraId="3179C88E">
            <w:pPr>
              <w:adjustRightInd w:val="0"/>
              <w:snapToGrid w:val="0"/>
              <w:spacing w:line="360" w:lineRule="exact"/>
              <w:ind w:left="15" w:hanging="15" w:hangingChars="7"/>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3.对未通过资格审查的投标人，采购人或采购机构告知其未通过的原因。</w:t>
            </w:r>
          </w:p>
          <w:p w14:paraId="5FED0AE0">
            <w:pPr>
              <w:adjustRightInd w:val="0"/>
              <w:snapToGrid w:val="0"/>
              <w:spacing w:line="360" w:lineRule="exact"/>
              <w:ind w:left="15" w:hanging="15" w:hangingChars="7"/>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4.合格投标人不足3家的，不再评标。</w:t>
            </w:r>
          </w:p>
        </w:tc>
      </w:tr>
      <w:tr w14:paraId="4B4758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48A9A72F">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22</w:t>
            </w:r>
          </w:p>
        </w:tc>
        <w:tc>
          <w:tcPr>
            <w:tcW w:w="1470" w:type="dxa"/>
            <w:vAlign w:val="center"/>
          </w:tcPr>
          <w:p w14:paraId="43A75B35">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评标程序</w:t>
            </w:r>
          </w:p>
        </w:tc>
        <w:tc>
          <w:tcPr>
            <w:tcW w:w="6427" w:type="dxa"/>
            <w:vAlign w:val="center"/>
          </w:tcPr>
          <w:p w14:paraId="558C0D5A">
            <w:pPr>
              <w:pStyle w:val="27"/>
              <w:numPr>
                <w:ilvl w:val="0"/>
                <w:numId w:val="6"/>
              </w:num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符合性评审：依据采购文件的规定，对商务技术文件的有效性、完整性和对采购文件的响应程度进行审查，以确定是否对采购文件的实质性要求作出响应。具体审查内容见评标办法“无效投标的认定”。</w:t>
            </w:r>
          </w:p>
          <w:p w14:paraId="70430401">
            <w:pPr>
              <w:pStyle w:val="27"/>
              <w:numPr>
                <w:ilvl w:val="0"/>
                <w:numId w:val="6"/>
              </w:num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商务技术评分：由评标委员会对各投标人的技术商务文件充分审核、讨论及评议后，独立评分。</w:t>
            </w:r>
          </w:p>
          <w:p w14:paraId="6533BAB7">
            <w:pPr>
              <w:pStyle w:val="27"/>
              <w:numPr>
                <w:ilvl w:val="0"/>
                <w:numId w:val="6"/>
              </w:num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商务技术评分汇总。</w:t>
            </w:r>
          </w:p>
          <w:p w14:paraId="0A74190A">
            <w:pPr>
              <w:pStyle w:val="27"/>
              <w:numPr>
                <w:ilvl w:val="0"/>
                <w:numId w:val="6"/>
              </w:num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商务技术结果公布：代理机构在线公布经商务技术评审后有效投标人的名单，同时公布其商务技术部分得分情况。</w:t>
            </w:r>
          </w:p>
          <w:p w14:paraId="11B7A192">
            <w:pPr>
              <w:pStyle w:val="27"/>
              <w:numPr>
                <w:ilvl w:val="0"/>
                <w:numId w:val="6"/>
              </w:num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开启报价响应文件：采购代理机构成功开启报价响应文件后，方可查看各供应商报价情况。</w:t>
            </w:r>
          </w:p>
          <w:p w14:paraId="0AE6612F">
            <w:pPr>
              <w:pStyle w:val="27"/>
              <w:numPr>
                <w:ilvl w:val="0"/>
                <w:numId w:val="6"/>
              </w:num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报价评审：由评标委员会对报价文件的有效性及报价的合理性、准确性等进行审查核实</w:t>
            </w:r>
            <w:bookmarkStart w:id="32" w:name="OLE_LINK2"/>
            <w:r>
              <w:rPr>
                <w:rFonts w:hint="eastAsia" w:ascii="楷体" w:hAnsi="楷体" w:eastAsia="楷体" w:cs="楷体"/>
                <w:color w:val="000000" w:themeColor="text1"/>
                <w:sz w:val="22"/>
                <w:szCs w:val="22"/>
                <w14:textFill>
                  <w14:solidFill>
                    <w14:schemeClr w14:val="tx1"/>
                  </w14:solidFill>
                </w14:textFill>
              </w:rPr>
              <w:t>。</w:t>
            </w:r>
            <w:bookmarkEnd w:id="32"/>
          </w:p>
          <w:p w14:paraId="0A3F51B0">
            <w:pPr>
              <w:pStyle w:val="27"/>
              <w:numPr>
                <w:ilvl w:val="0"/>
                <w:numId w:val="6"/>
              </w:num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得分汇总。</w:t>
            </w:r>
          </w:p>
          <w:p w14:paraId="68E68E0B">
            <w:pPr>
              <w:pStyle w:val="27"/>
              <w:numPr>
                <w:ilvl w:val="0"/>
                <w:numId w:val="6"/>
              </w:num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结果公布：供应商可通过在线平台查看评审结果。</w:t>
            </w:r>
          </w:p>
          <w:p w14:paraId="6A4504A1">
            <w:pPr>
              <w:pStyle w:val="27"/>
              <w:snapToGrid w:val="0"/>
              <w:spacing w:line="360" w:lineRule="exact"/>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注：除邮件交互外，如政采云平台提供信息发布、澄清说明、数据交换等操作方式的，或者政采云系统平台有新的操作流程的，按其规定。</w:t>
            </w:r>
          </w:p>
        </w:tc>
      </w:tr>
      <w:tr w14:paraId="1DA010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2CCFF63D">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23</w:t>
            </w:r>
          </w:p>
        </w:tc>
        <w:tc>
          <w:tcPr>
            <w:tcW w:w="1470" w:type="dxa"/>
            <w:vAlign w:val="center"/>
          </w:tcPr>
          <w:p w14:paraId="0A0D4BDD">
            <w:pPr>
              <w:adjustRightInd w:val="0"/>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询标澄清</w:t>
            </w:r>
          </w:p>
        </w:tc>
        <w:tc>
          <w:tcPr>
            <w:tcW w:w="6427" w:type="dxa"/>
            <w:vAlign w:val="center"/>
          </w:tcPr>
          <w:p w14:paraId="6FD1EBD5">
            <w:pPr>
              <w:pStyle w:val="27"/>
              <w:adjustRightInd w:val="0"/>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在评标过程中，如评审小组对投标文件有疑问，由评审组长将问题汇总后发起询标澄清函（或由采购代理机构代替评审组长发起询标澄清函），供应商应在规定截止时间前回复相关内容并加盖供应商电子签章后上传提交（或通过平台上传经授权代表签字或加盖公章的扫描件）。逾期答复的，投标人自行承担由此可能导致的对其不利的评审结果，评标委员会按少数服从多数原则对相关内容进行评判。</w:t>
            </w:r>
          </w:p>
        </w:tc>
      </w:tr>
      <w:tr w14:paraId="7D7F56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356BCAC6">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24</w:t>
            </w:r>
          </w:p>
        </w:tc>
        <w:tc>
          <w:tcPr>
            <w:tcW w:w="1470" w:type="dxa"/>
            <w:vAlign w:val="center"/>
          </w:tcPr>
          <w:p w14:paraId="534A42F5">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投标有效期</w:t>
            </w:r>
          </w:p>
        </w:tc>
        <w:tc>
          <w:tcPr>
            <w:tcW w:w="6427" w:type="dxa"/>
            <w:vAlign w:val="center"/>
          </w:tcPr>
          <w:p w14:paraId="7DE96F60">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投标截止日后</w:t>
            </w:r>
            <w:r>
              <w:rPr>
                <w:rFonts w:hint="eastAsia" w:ascii="楷体" w:hAnsi="楷体" w:eastAsia="楷体" w:cs="楷体"/>
                <w:b/>
                <w:bCs/>
                <w:color w:val="000000" w:themeColor="text1"/>
                <w:sz w:val="22"/>
                <w:szCs w:val="22"/>
                <w14:textFill>
                  <w14:solidFill>
                    <w14:schemeClr w14:val="tx1"/>
                  </w14:solidFill>
                </w14:textFill>
              </w:rPr>
              <w:t>90天</w:t>
            </w:r>
            <w:r>
              <w:rPr>
                <w:rFonts w:hint="eastAsia" w:ascii="楷体" w:hAnsi="楷体" w:eastAsia="楷体" w:cs="楷体"/>
                <w:color w:val="000000" w:themeColor="text1"/>
                <w:sz w:val="22"/>
                <w:szCs w:val="22"/>
                <w14:textFill>
                  <w14:solidFill>
                    <w14:schemeClr w14:val="tx1"/>
                  </w14:solidFill>
                </w14:textFill>
              </w:rPr>
              <w:t>内有效，不足有效期的，其投标视为无效标。</w:t>
            </w:r>
          </w:p>
        </w:tc>
      </w:tr>
      <w:tr w14:paraId="335131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3D4B5CF5">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25</w:t>
            </w:r>
          </w:p>
        </w:tc>
        <w:tc>
          <w:tcPr>
            <w:tcW w:w="1470" w:type="dxa"/>
            <w:vAlign w:val="center"/>
          </w:tcPr>
          <w:p w14:paraId="6B8E2D63">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履约保证金</w:t>
            </w:r>
          </w:p>
        </w:tc>
        <w:tc>
          <w:tcPr>
            <w:tcW w:w="6427" w:type="dxa"/>
            <w:vAlign w:val="center"/>
          </w:tcPr>
          <w:p w14:paraId="15A289F2">
            <w:pPr>
              <w:pStyle w:val="27"/>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本项目不适用。</w:t>
            </w:r>
          </w:p>
        </w:tc>
      </w:tr>
      <w:tr w14:paraId="6325C4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83" w:type="dxa"/>
            <w:vAlign w:val="center"/>
          </w:tcPr>
          <w:p w14:paraId="274046F3">
            <w:pPr>
              <w:adjustRightIn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26</w:t>
            </w:r>
          </w:p>
        </w:tc>
        <w:tc>
          <w:tcPr>
            <w:tcW w:w="1470" w:type="dxa"/>
            <w:vAlign w:val="center"/>
          </w:tcPr>
          <w:p w14:paraId="569B7C46">
            <w:pPr>
              <w:adjustRightInd w:val="0"/>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公告发布媒体</w:t>
            </w:r>
          </w:p>
        </w:tc>
        <w:tc>
          <w:tcPr>
            <w:tcW w:w="6427" w:type="dxa"/>
            <w:vAlign w:val="center"/>
          </w:tcPr>
          <w:p w14:paraId="0328B401">
            <w:pPr>
              <w:pStyle w:val="27"/>
              <w:adjustRightInd w:val="0"/>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kern w:val="0"/>
                <w:sz w:val="22"/>
                <w:szCs w:val="22"/>
                <w14:textFill>
                  <w14:solidFill>
                    <w14:schemeClr w14:val="tx1"/>
                  </w14:solidFill>
                </w14:textFill>
              </w:rPr>
              <w:t>浙江政府采购网</w:t>
            </w:r>
          </w:p>
        </w:tc>
      </w:tr>
      <w:tr w14:paraId="5B859D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4807BAD8">
            <w:pPr>
              <w:adjustRightIn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27</w:t>
            </w:r>
          </w:p>
        </w:tc>
        <w:tc>
          <w:tcPr>
            <w:tcW w:w="1470" w:type="dxa"/>
            <w:vAlign w:val="center"/>
          </w:tcPr>
          <w:p w14:paraId="03600764">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质疑</w:t>
            </w:r>
          </w:p>
        </w:tc>
        <w:tc>
          <w:tcPr>
            <w:tcW w:w="6427" w:type="dxa"/>
            <w:vAlign w:val="center"/>
          </w:tcPr>
          <w:p w14:paraId="7981F1C9">
            <w:pPr>
              <w:snapToGrid w:val="0"/>
              <w:spacing w:line="360" w:lineRule="exact"/>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根据《中华人民共和国政府采购法》第五十二条、《中华人民共和国政府采购法实施条例》第五十三条、《政府采购质疑和投诉办法》的规定：</w:t>
            </w:r>
          </w:p>
          <w:p w14:paraId="34191FAB">
            <w:pPr>
              <w:snapToGrid w:val="0"/>
              <w:spacing w:line="360" w:lineRule="exact"/>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投标人认为采购（招标）文件、采购过程、中标或者成交结果使自己的权益受到损害的，可以在知道或者应知其权益受到损害之日起7个工作日内，以书面形式向采购人、采购代理机构提出质疑。</w:t>
            </w:r>
          </w:p>
          <w:p w14:paraId="3AFCC7A9">
            <w:pPr>
              <w:snapToGrid w:val="0"/>
              <w:spacing w:line="360" w:lineRule="exact"/>
              <w:rPr>
                <w:rFonts w:ascii="楷体" w:hAnsi="楷体" w:eastAsia="楷体" w:cs="楷体"/>
                <w:b/>
                <w:bCs/>
                <w:snapToGrid w:val="0"/>
                <w:color w:val="000000" w:themeColor="text1"/>
                <w:kern w:val="0"/>
                <w:sz w:val="22"/>
                <w:szCs w:val="22"/>
                <w14:textFill>
                  <w14:solidFill>
                    <w14:schemeClr w14:val="tx1"/>
                  </w14:solidFill>
                </w14:textFill>
              </w:rPr>
            </w:pPr>
            <w:r>
              <w:rPr>
                <w:rFonts w:hint="eastAsia" w:ascii="楷体" w:hAnsi="楷体" w:eastAsia="楷体" w:cs="楷体"/>
                <w:b/>
                <w:bCs/>
                <w:snapToGrid w:val="0"/>
                <w:color w:val="000000" w:themeColor="text1"/>
                <w:kern w:val="0"/>
                <w:sz w:val="22"/>
                <w:szCs w:val="22"/>
                <w14:textFill>
                  <w14:solidFill>
                    <w14:schemeClr w14:val="tx1"/>
                  </w14:solidFill>
                </w14:textFill>
              </w:rPr>
              <w:t>本项目要求投标人在法定质疑期内一次性提出针对同一采购程序环节的质疑，否则不予受理</w:t>
            </w:r>
            <w:r>
              <w:rPr>
                <w:rFonts w:hint="eastAsia" w:ascii="楷体" w:hAnsi="楷体" w:eastAsia="楷体" w:cs="楷体"/>
                <w:snapToGrid w:val="0"/>
                <w:color w:val="000000" w:themeColor="text1"/>
                <w:kern w:val="0"/>
                <w:sz w:val="22"/>
                <w:szCs w:val="22"/>
                <w14:textFill>
                  <w14:solidFill>
                    <w14:schemeClr w14:val="tx1"/>
                  </w14:solidFill>
                </w14:textFill>
              </w:rPr>
              <w:t>。</w:t>
            </w:r>
          </w:p>
        </w:tc>
      </w:tr>
      <w:tr w14:paraId="5AF25E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2AC58BEA">
            <w:pPr>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28</w:t>
            </w:r>
          </w:p>
        </w:tc>
        <w:tc>
          <w:tcPr>
            <w:tcW w:w="1470" w:type="dxa"/>
            <w:vAlign w:val="center"/>
          </w:tcPr>
          <w:p w14:paraId="0E290744">
            <w:pPr>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投诉</w:t>
            </w:r>
          </w:p>
        </w:tc>
        <w:tc>
          <w:tcPr>
            <w:tcW w:w="6427" w:type="dxa"/>
            <w:vAlign w:val="center"/>
          </w:tcPr>
          <w:p w14:paraId="23249931">
            <w:pPr>
              <w:snapToGrid w:val="0"/>
              <w:spacing w:line="360" w:lineRule="exact"/>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根据《政府采购法》第五十五条的规定，质疑供应商对采购人、采购代理机构的答复不满意或者采购人、采购代理机构未在规定的时间内作出答复的，可以在答复期满后十五个工作日内向同级政府采购监督管理部门投诉。</w:t>
            </w:r>
          </w:p>
          <w:p w14:paraId="3FB4FE2A">
            <w:pPr>
              <w:snapToGrid w:val="0"/>
              <w:spacing w:line="360" w:lineRule="exact"/>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以联合体形式参加政府采购活动的，其投诉应当由组成联合体的所有供应商共同提出。</w:t>
            </w:r>
          </w:p>
        </w:tc>
      </w:tr>
      <w:tr w14:paraId="1B0387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85" w:hRule="atLeast"/>
          <w:jc w:val="center"/>
        </w:trPr>
        <w:tc>
          <w:tcPr>
            <w:tcW w:w="783" w:type="dxa"/>
            <w:vAlign w:val="center"/>
          </w:tcPr>
          <w:p w14:paraId="35887D55">
            <w:pPr>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29</w:t>
            </w:r>
          </w:p>
        </w:tc>
        <w:tc>
          <w:tcPr>
            <w:tcW w:w="1470" w:type="dxa"/>
            <w:vAlign w:val="center"/>
          </w:tcPr>
          <w:p w14:paraId="5587D9D7">
            <w:pPr>
              <w:snapToGrid w:val="0"/>
              <w:spacing w:line="360" w:lineRule="exact"/>
              <w:jc w:val="center"/>
              <w:rPr>
                <w:rFonts w:ascii="楷体" w:hAnsi="楷体" w:eastAsia="楷体" w:cs="楷体"/>
                <w:b/>
                <w:color w:val="000000" w:themeColor="text1"/>
                <w:sz w:val="22"/>
                <w:szCs w:val="22"/>
                <w14:textFill>
                  <w14:solidFill>
                    <w14:schemeClr w14:val="tx1"/>
                  </w14:solidFill>
                </w14:textFill>
              </w:rPr>
            </w:pPr>
            <w:r>
              <w:rPr>
                <w:rFonts w:hint="eastAsia" w:ascii="楷体" w:hAnsi="楷体" w:eastAsia="楷体" w:cs="楷体"/>
                <w:b/>
                <w:color w:val="000000" w:themeColor="text1"/>
                <w:sz w:val="22"/>
                <w:szCs w:val="22"/>
                <w14:textFill>
                  <w14:solidFill>
                    <w14:schemeClr w14:val="tx1"/>
                  </w14:solidFill>
                </w14:textFill>
              </w:rPr>
              <w:t>特别说明</w:t>
            </w:r>
          </w:p>
        </w:tc>
        <w:tc>
          <w:tcPr>
            <w:tcW w:w="6427" w:type="dxa"/>
            <w:vAlign w:val="center"/>
          </w:tcPr>
          <w:p w14:paraId="01F8E045">
            <w:pPr>
              <w:pStyle w:val="27"/>
              <w:adjustRightInd w:val="0"/>
              <w:snapToGrid w:val="0"/>
              <w:spacing w:line="360" w:lineRule="exact"/>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1）投标人应无条件的、认真仔细的、不厌其烦的阅读本采购文件及其澄清答疑、修改答复的补充文件，严格按照采购文件及补充文件的规定和要求编制投标文件。在编制投标文件过程中，应严格遵循实事求是、诚信投标的原则，针对采购文件中第三部分用户需求、第四部分合同条款等各项内容进行确认，如有偏离，应如实填写响应偏离表。</w:t>
            </w:r>
          </w:p>
          <w:p w14:paraId="75DC5D40">
            <w:pPr>
              <w:pStyle w:val="27"/>
              <w:adjustRightInd w:val="0"/>
              <w:snapToGrid w:val="0"/>
              <w:spacing w:line="360" w:lineRule="exact"/>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2）本项目中标公示期间，投标人不得通过非正当途径、更不得通过非正当手段获取法律法规规定评标委员会（包括其他相关人员）应当保密的相关内容。即便由此获得资料并作为向采购人或采购代理机构或监督管理部门提出异（质）疑或投诉或法院起诉的理由，均属于非法索取的依据。</w:t>
            </w:r>
          </w:p>
          <w:p w14:paraId="35462F97">
            <w:pPr>
              <w:pStyle w:val="27"/>
              <w:adjustRightInd w:val="0"/>
              <w:snapToGrid w:val="0"/>
              <w:spacing w:line="360" w:lineRule="exact"/>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（3）质疑、投诉人未按前列序号第27、</w:t>
            </w:r>
            <w:bookmarkStart w:id="33" w:name="OLE_LINK13"/>
            <w:r>
              <w:rPr>
                <w:rFonts w:hint="eastAsia" w:ascii="楷体" w:hAnsi="楷体" w:eastAsia="楷体" w:cs="楷体"/>
                <w:snapToGrid w:val="0"/>
                <w:color w:val="000000" w:themeColor="text1"/>
                <w:kern w:val="0"/>
                <w:sz w:val="22"/>
                <w:szCs w:val="22"/>
                <w14:textFill>
                  <w14:solidFill>
                    <w14:schemeClr w14:val="tx1"/>
                  </w14:solidFill>
                </w14:textFill>
              </w:rPr>
              <w:t>28</w:t>
            </w:r>
            <w:bookmarkEnd w:id="33"/>
            <w:r>
              <w:rPr>
                <w:rFonts w:hint="eastAsia" w:ascii="楷体" w:hAnsi="楷体" w:eastAsia="楷体" w:cs="楷体"/>
                <w:snapToGrid w:val="0"/>
                <w:color w:val="000000" w:themeColor="text1"/>
                <w:kern w:val="0"/>
                <w:sz w:val="22"/>
                <w:szCs w:val="22"/>
                <w14:textFill>
                  <w14:solidFill>
                    <w14:schemeClr w14:val="tx1"/>
                  </w14:solidFill>
                </w14:textFill>
              </w:rPr>
              <w:t>条规定进行质疑、投诉（申诉）、举报等，均属于扰乱政府采购市场不良行为。</w:t>
            </w:r>
          </w:p>
          <w:p w14:paraId="5082A831">
            <w:pPr>
              <w:pStyle w:val="27"/>
              <w:adjustRightInd w:val="0"/>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（4）采购文件中凡标注“▲”的条款均为实质性要求，不响应的投标文件将作无效标处理。</w:t>
            </w:r>
          </w:p>
          <w:p w14:paraId="1BEAB77D">
            <w:pPr>
              <w:pStyle w:val="27"/>
              <w:adjustRightInd w:val="0"/>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（5）供应商未上传电子加密投标文件，其投标无效。</w:t>
            </w:r>
          </w:p>
          <w:p w14:paraId="3F767E22">
            <w:pPr>
              <w:pStyle w:val="27"/>
              <w:adjustRightInd w:val="0"/>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（6）供应商上传了电子加密投标文件，未提供备份投标文件，解密出现问题后，由此导致对该供应商投标无法评审的，其后果由该供应商自行承担。</w:t>
            </w:r>
          </w:p>
          <w:p w14:paraId="0C5E8F52">
            <w:pPr>
              <w:pStyle w:val="27"/>
              <w:adjustRightInd w:val="0"/>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（7）各供应商自行在浙江政府采购网下载或查阅采购文件和相关更正公告等，不另行通知，如有遗漏采购人、采购代理机构概不负责。</w:t>
            </w:r>
          </w:p>
          <w:p w14:paraId="40AF14C7">
            <w:pPr>
              <w:pStyle w:val="27"/>
              <w:snapToGrid w:val="0"/>
              <w:spacing w:line="360" w:lineRule="exact"/>
              <w:rPr>
                <w:rFonts w:ascii="楷体" w:hAnsi="楷体" w:eastAsia="楷体" w:cs="楷体"/>
                <w:b/>
                <w:bCs/>
                <w:snapToGrid w:val="0"/>
                <w:color w:val="000000" w:themeColor="text1"/>
                <w:kern w:val="0"/>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（8）两家或两家以上供应商提供的投标文件出自同一终端设备的，或在相同Internet主机分配地址（相同IP地址）报名或网上投标的，后果由供应商自行承担。</w:t>
            </w:r>
          </w:p>
        </w:tc>
      </w:tr>
      <w:tr w14:paraId="586F1C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783" w:type="dxa"/>
            <w:vAlign w:val="center"/>
          </w:tcPr>
          <w:p w14:paraId="677302F5">
            <w:pPr>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30</w:t>
            </w:r>
          </w:p>
        </w:tc>
        <w:tc>
          <w:tcPr>
            <w:tcW w:w="1470" w:type="dxa"/>
            <w:vAlign w:val="center"/>
          </w:tcPr>
          <w:p w14:paraId="3C1A34F4">
            <w:pPr>
              <w:adjustRightInd w:val="0"/>
              <w:snapToGrid w:val="0"/>
              <w:spacing w:line="360" w:lineRule="exact"/>
              <w:jc w:val="center"/>
              <w:rPr>
                <w:rFonts w:ascii="楷体" w:hAnsi="楷体" w:eastAsia="楷体" w:cs="楷体"/>
                <w:b/>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采购代理服务费</w:t>
            </w:r>
          </w:p>
        </w:tc>
        <w:tc>
          <w:tcPr>
            <w:tcW w:w="6427" w:type="dxa"/>
            <w:vAlign w:val="center"/>
          </w:tcPr>
          <w:p w14:paraId="7BBC8AFA">
            <w:pPr>
              <w:adjustRightInd w:val="0"/>
              <w:snapToGrid w:val="0"/>
              <w:spacing w:line="360" w:lineRule="exact"/>
              <w:rPr>
                <w:rFonts w:ascii="楷体" w:hAnsi="楷体" w:eastAsia="楷体" w:cs="楷体"/>
                <w:color w:val="000000" w:themeColor="text1"/>
                <w:sz w:val="22"/>
                <w:szCs w:val="22"/>
                <w14:textFill>
                  <w14:solidFill>
                    <w14:schemeClr w14:val="tx1"/>
                  </w14:solidFill>
                </w14:textFill>
              </w:rPr>
            </w:pPr>
            <w:bookmarkStart w:id="34" w:name="OLE_LINK19"/>
            <w:r>
              <w:rPr>
                <w:rFonts w:hint="eastAsia" w:ascii="楷体" w:hAnsi="楷体" w:eastAsia="楷体" w:cs="楷体"/>
                <w:color w:val="000000" w:themeColor="text1"/>
                <w:sz w:val="22"/>
                <w:szCs w:val="22"/>
                <w14:textFill>
                  <w14:solidFill>
                    <w14:schemeClr w14:val="tx1"/>
                  </w14:solidFill>
                </w14:textFill>
              </w:rPr>
              <w:t xml:space="preserve">本项目的采购代理费由中标人支付，收费标准按投标总价参考原国家计委（计价格[2002]1980号）和国家发展改革委办公厅（发改办价格[2011]534号）文件计取，标项1： </w:t>
            </w:r>
            <w:r>
              <w:rPr>
                <w:rFonts w:ascii="楷体" w:hAnsi="楷体" w:eastAsia="楷体" w:cs="楷体"/>
                <w:color w:val="000000" w:themeColor="text1"/>
                <w:sz w:val="22"/>
                <w:szCs w:val="22"/>
                <w14:textFill>
                  <w14:solidFill>
                    <w14:schemeClr w14:val="tx1"/>
                  </w14:solidFill>
                </w14:textFill>
              </w:rPr>
              <w:t>75</w:t>
            </w:r>
            <w:r>
              <w:rPr>
                <w:rFonts w:hint="eastAsia" w:ascii="楷体" w:hAnsi="楷体" w:eastAsia="楷体" w:cs="楷体"/>
                <w:color w:val="000000" w:themeColor="text1"/>
                <w:sz w:val="22"/>
                <w:szCs w:val="22"/>
                <w14:textFill>
                  <w14:solidFill>
                    <w14:schemeClr w14:val="tx1"/>
                  </w14:solidFill>
                </w14:textFill>
              </w:rPr>
              <w:t>00元、标项2:</w:t>
            </w:r>
            <w:r>
              <w:rPr>
                <w:rFonts w:ascii="楷体" w:hAnsi="楷体" w:eastAsia="楷体" w:cs="楷体"/>
                <w:color w:val="000000" w:themeColor="text1"/>
                <w:sz w:val="22"/>
                <w:szCs w:val="22"/>
                <w14:textFill>
                  <w14:solidFill>
                    <w14:schemeClr w14:val="tx1"/>
                  </w14:solidFill>
                </w14:textFill>
              </w:rPr>
              <w:t>7500</w:t>
            </w:r>
            <w:r>
              <w:rPr>
                <w:rFonts w:hint="eastAsia" w:ascii="楷体" w:hAnsi="楷体" w:eastAsia="楷体" w:cs="楷体"/>
                <w:color w:val="000000" w:themeColor="text1"/>
                <w:sz w:val="22"/>
                <w:szCs w:val="22"/>
                <w14:textFill>
                  <w14:solidFill>
                    <w14:schemeClr w14:val="tx1"/>
                  </w14:solidFill>
                </w14:textFill>
              </w:rPr>
              <w:t xml:space="preserve">元、标项3: </w:t>
            </w:r>
            <w:r>
              <w:rPr>
                <w:rFonts w:ascii="楷体" w:hAnsi="楷体" w:eastAsia="楷体" w:cs="楷体"/>
                <w:color w:val="000000" w:themeColor="text1"/>
                <w:sz w:val="22"/>
                <w:szCs w:val="22"/>
                <w14:textFill>
                  <w14:solidFill>
                    <w14:schemeClr w14:val="tx1"/>
                  </w14:solidFill>
                </w14:textFill>
              </w:rPr>
              <w:t>4</w:t>
            </w:r>
            <w:r>
              <w:rPr>
                <w:rFonts w:hint="eastAsia" w:ascii="楷体" w:hAnsi="楷体" w:eastAsia="楷体" w:cs="楷体"/>
                <w:color w:val="000000" w:themeColor="text1"/>
                <w:sz w:val="22"/>
                <w:szCs w:val="22"/>
                <w14:textFill>
                  <w14:solidFill>
                    <w14:schemeClr w14:val="tx1"/>
                  </w14:solidFill>
                </w14:textFill>
              </w:rPr>
              <w:t>500元，由中标人在领取中标通知书时一次性向采购代理机构付清。</w:t>
            </w:r>
          </w:p>
          <w:bookmarkEnd w:id="34"/>
          <w:p w14:paraId="15055003">
            <w:pPr>
              <w:autoSpaceDE w:val="0"/>
              <w:autoSpaceDN w:val="0"/>
              <w:adjustRightInd w:val="0"/>
              <w:snapToGrid w:val="0"/>
              <w:spacing w:line="360" w:lineRule="exact"/>
              <w:textAlignment w:val="bottom"/>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招标代理服务费汇入以下帐号：</w:t>
            </w:r>
          </w:p>
          <w:p w14:paraId="478B1A1A">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名称：温州市信合工程咨询有限公司</w:t>
            </w:r>
          </w:p>
          <w:p w14:paraId="2BB5E470">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开户银行：中国农业银行苍南华融支行</w:t>
            </w:r>
          </w:p>
          <w:p w14:paraId="3EB06596">
            <w:pPr>
              <w:adjustRightInd w:val="0"/>
              <w:snapToGrid w:val="0"/>
              <w:spacing w:line="360" w:lineRule="exact"/>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银行账户：19255201040000164</w:t>
            </w:r>
          </w:p>
        </w:tc>
      </w:tr>
      <w:tr w14:paraId="5F466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13D73E56">
            <w:pPr>
              <w:adjustRightInd w:val="0"/>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31</w:t>
            </w:r>
          </w:p>
        </w:tc>
        <w:tc>
          <w:tcPr>
            <w:tcW w:w="1470" w:type="dxa"/>
            <w:vAlign w:val="center"/>
          </w:tcPr>
          <w:p w14:paraId="0538E53E">
            <w:pPr>
              <w:adjustRightInd w:val="0"/>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节能环保要求</w:t>
            </w:r>
          </w:p>
        </w:tc>
        <w:tc>
          <w:tcPr>
            <w:tcW w:w="6427" w:type="dxa"/>
            <w:vAlign w:val="center"/>
          </w:tcPr>
          <w:p w14:paraId="0E035FDA">
            <w:pPr>
              <w:adjustRightInd w:val="0"/>
              <w:snapToGrid w:val="0"/>
              <w:spacing w:line="360" w:lineRule="exact"/>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不适用</w:t>
            </w:r>
          </w:p>
        </w:tc>
      </w:tr>
      <w:tr w14:paraId="4D04B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83" w:type="dxa"/>
            <w:vAlign w:val="center"/>
          </w:tcPr>
          <w:p w14:paraId="36EA036F">
            <w:pPr>
              <w:adjustRightInd w:val="0"/>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32</w:t>
            </w:r>
          </w:p>
        </w:tc>
        <w:tc>
          <w:tcPr>
            <w:tcW w:w="1470" w:type="dxa"/>
            <w:vAlign w:val="center"/>
          </w:tcPr>
          <w:p w14:paraId="321AC951">
            <w:pPr>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进口产品投标</w:t>
            </w:r>
          </w:p>
        </w:tc>
        <w:tc>
          <w:tcPr>
            <w:tcW w:w="6427" w:type="dxa"/>
            <w:vAlign w:val="center"/>
          </w:tcPr>
          <w:p w14:paraId="3DAB4E71">
            <w:pPr>
              <w:spacing w:line="360" w:lineRule="exact"/>
              <w:rPr>
                <w:rFonts w:ascii="楷体" w:hAnsi="楷体" w:eastAsia="楷体" w:cs="楷体"/>
                <w:bCs/>
                <w:color w:val="000000" w:themeColor="text1"/>
                <w:sz w:val="22"/>
                <w:szCs w:val="22"/>
                <w14:textFill>
                  <w14:solidFill>
                    <w14:schemeClr w14:val="tx1"/>
                  </w14:solidFill>
                </w14:textFill>
              </w:rPr>
            </w:pPr>
            <w:r>
              <w:rPr>
                <w:rFonts w:hint="eastAsia" w:ascii="楷体" w:hAnsi="楷体" w:eastAsia="楷体" w:cs="楷体"/>
                <w:bCs/>
                <w:color w:val="000000" w:themeColor="text1"/>
                <w:sz w:val="22"/>
                <w:szCs w:val="22"/>
                <w14:textFill>
                  <w14:solidFill>
                    <w14:schemeClr w14:val="tx1"/>
                  </w14:solidFill>
                </w14:textFill>
              </w:rPr>
              <w:t>不适用</w:t>
            </w:r>
          </w:p>
        </w:tc>
      </w:tr>
      <w:tr w14:paraId="703CDB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5C2D2A3B">
            <w:pPr>
              <w:adjustRightInd w:val="0"/>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33</w:t>
            </w:r>
          </w:p>
        </w:tc>
        <w:tc>
          <w:tcPr>
            <w:tcW w:w="1470" w:type="dxa"/>
            <w:vAlign w:val="center"/>
          </w:tcPr>
          <w:p w14:paraId="3FC0753A">
            <w:pPr>
              <w:adjustRightInd w:val="0"/>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是否专门面向</w:t>
            </w:r>
          </w:p>
          <w:p w14:paraId="48349AEE">
            <w:pPr>
              <w:adjustRightInd w:val="0"/>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中小微企业采购</w:t>
            </w:r>
          </w:p>
        </w:tc>
        <w:tc>
          <w:tcPr>
            <w:tcW w:w="6427" w:type="dxa"/>
            <w:vAlign w:val="center"/>
          </w:tcPr>
          <w:p w14:paraId="15A58F14">
            <w:pPr>
              <w:widowControl/>
              <w:spacing w:line="360" w:lineRule="exact"/>
              <w:jc w:val="lef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☑是 □否</w:t>
            </w:r>
          </w:p>
          <w:p w14:paraId="52D3CFB4">
            <w:pPr>
              <w:widowControl/>
              <w:spacing w:line="360" w:lineRule="exact"/>
              <w:jc w:val="lef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以联合体形式参加政府采购活动，联合体各方均为中小企业的，联合体视同中小企业。其中，联合体各方均为小微企业的，联合体视同小微企业。</w:t>
            </w:r>
          </w:p>
        </w:tc>
      </w:tr>
      <w:tr w14:paraId="4EE45C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486D6EBC">
            <w:pPr>
              <w:adjustRightInd w:val="0"/>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34</w:t>
            </w:r>
          </w:p>
        </w:tc>
        <w:tc>
          <w:tcPr>
            <w:tcW w:w="1470" w:type="dxa"/>
            <w:vAlign w:val="center"/>
          </w:tcPr>
          <w:p w14:paraId="6543A80B">
            <w:pPr>
              <w:adjustRightInd w:val="0"/>
              <w:snapToGrid w:val="0"/>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采购人是否允许分包</w:t>
            </w:r>
          </w:p>
        </w:tc>
        <w:tc>
          <w:tcPr>
            <w:tcW w:w="6427" w:type="dxa"/>
            <w:vAlign w:val="center"/>
          </w:tcPr>
          <w:p w14:paraId="6BC716A1">
            <w:pPr>
              <w:widowControl/>
              <w:spacing w:line="360" w:lineRule="exact"/>
              <w:jc w:val="lef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□是 ☑否</w:t>
            </w:r>
          </w:p>
          <w:p w14:paraId="2724841D">
            <w:pPr>
              <w:widowControl/>
              <w:spacing w:line="360" w:lineRule="exact"/>
              <w:jc w:val="lef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（可对本项目非主体、非关键性工作进行分包）</w:t>
            </w:r>
          </w:p>
          <w:p w14:paraId="1E353200">
            <w:pPr>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中小企业享受扶持政策获得政府采购合同的，小微企业不得将合同分包给大中型企业，中型企业不得将合同分包给大型企业。</w:t>
            </w:r>
          </w:p>
          <w:p w14:paraId="4A1F480C">
            <w:pPr>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供应商拟将项目非主体、非关键性的工作分包又符合价格优惠政策的，应在投标文件中提供分包意向协议，否则不予享受价格优惠政策。接受分包的供应商应具有相应资质且不得再次分包。</w:t>
            </w:r>
          </w:p>
          <w:p w14:paraId="7998644A">
            <w:pPr>
              <w:widowControl/>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合同分包履行的，中标人应当就采购项目和分包项目向采购人负责，分包投标人就分包项目承担连带责任。</w:t>
            </w:r>
          </w:p>
        </w:tc>
      </w:tr>
      <w:tr w14:paraId="23C0F0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jc w:val="center"/>
        </w:trPr>
        <w:tc>
          <w:tcPr>
            <w:tcW w:w="783" w:type="dxa"/>
            <w:vAlign w:val="center"/>
          </w:tcPr>
          <w:p w14:paraId="63444BEE">
            <w:pPr>
              <w:adjustRightInd w:val="0"/>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35</w:t>
            </w:r>
          </w:p>
        </w:tc>
        <w:tc>
          <w:tcPr>
            <w:tcW w:w="1470" w:type="dxa"/>
            <w:vAlign w:val="center"/>
          </w:tcPr>
          <w:p w14:paraId="2F7C4D0E">
            <w:pPr>
              <w:adjustRightInd w:val="0"/>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支持中小企业</w:t>
            </w:r>
          </w:p>
        </w:tc>
        <w:tc>
          <w:tcPr>
            <w:tcW w:w="6427" w:type="dxa"/>
            <w:vAlign w:val="center"/>
          </w:tcPr>
          <w:p w14:paraId="309648D1">
            <w:pPr>
              <w:adjustRightInd w:val="0"/>
              <w:snapToGrid w:val="0"/>
              <w:spacing w:line="360" w:lineRule="exact"/>
              <w:rPr>
                <w:rFonts w:ascii="楷体" w:hAnsi="楷体" w:eastAsia="楷体" w:cs="楷体"/>
                <w:b/>
                <w:bCs/>
                <w:color w:val="000000" w:themeColor="text1"/>
                <w:sz w:val="22"/>
                <w:szCs w:val="22"/>
                <w14:textFill>
                  <w14:solidFill>
                    <w14:schemeClr w14:val="tx1"/>
                  </w14:solidFill>
                </w14:textFill>
              </w:rPr>
            </w:pPr>
            <w:r>
              <w:rPr>
                <w:rFonts w:hint="eastAsia" w:ascii="楷体" w:hAnsi="楷体" w:eastAsia="楷体" w:cs="楷体"/>
                <w:b/>
                <w:bCs/>
                <w:color w:val="000000" w:themeColor="text1"/>
                <w:sz w:val="22"/>
                <w:szCs w:val="22"/>
                <w14:textFill>
                  <w14:solidFill>
                    <w14:schemeClr w14:val="tx1"/>
                  </w14:solidFill>
                </w14:textFill>
              </w:rPr>
              <w:t>一、说明</w:t>
            </w:r>
          </w:p>
          <w:p w14:paraId="3A9ACB4C">
            <w:pPr>
              <w:adjustRightInd w:val="0"/>
              <w:snapToGrid w:val="0"/>
              <w:spacing w:line="360" w:lineRule="exact"/>
              <w:rPr>
                <w:rFonts w:ascii="楷体" w:hAnsi="楷体" w:eastAsia="楷体" w:cs="楷体"/>
                <w:b/>
                <w:bCs/>
                <w:color w:val="000000" w:themeColor="text1"/>
                <w:sz w:val="22"/>
                <w:szCs w:val="22"/>
                <w14:textFill>
                  <w14:solidFill>
                    <w14:schemeClr w14:val="tx1"/>
                  </w14:solidFill>
                </w14:textFill>
              </w:rPr>
            </w:pPr>
            <w:r>
              <w:rPr>
                <w:rFonts w:hint="eastAsia" w:ascii="楷体" w:hAnsi="楷体" w:eastAsia="楷体" w:cs="楷体"/>
                <w:b/>
                <w:bCs/>
                <w:color w:val="000000" w:themeColor="text1"/>
                <w:sz w:val="22"/>
                <w:szCs w:val="22"/>
                <w14:textFill>
                  <w14:solidFill>
                    <w14:schemeClr w14:val="tx1"/>
                  </w14:solidFill>
                </w14:textFill>
              </w:rPr>
              <w:t>1、企业类型</w:t>
            </w:r>
          </w:p>
          <w:p w14:paraId="1D5539FA">
            <w:pPr>
              <w:adjustRightInd w:val="0"/>
              <w:snapToGrid w:val="0"/>
              <w:spacing w:line="360" w:lineRule="exact"/>
              <w:rPr>
                <w:rFonts w:ascii="楷体" w:hAnsi="楷体" w:eastAsia="楷体" w:cs="楷体"/>
                <w:b/>
                <w:bCs/>
                <w:color w:val="000000" w:themeColor="text1"/>
                <w:sz w:val="22"/>
                <w:szCs w:val="22"/>
                <w14:textFill>
                  <w14:solidFill>
                    <w14:schemeClr w14:val="tx1"/>
                  </w14:solidFill>
                </w14:textFill>
              </w:rPr>
            </w:pPr>
            <w:r>
              <w:rPr>
                <w:rFonts w:hint="eastAsia" w:ascii="楷体" w:hAnsi="楷体" w:eastAsia="楷体" w:cs="楷体"/>
                <w:b/>
                <w:bCs/>
                <w:color w:val="000000" w:themeColor="text1"/>
                <w:sz w:val="22"/>
                <w:szCs w:val="22"/>
                <w14:textFill>
                  <w14:solidFill>
                    <w14:schemeClr w14:val="tx1"/>
                  </w14:solidFill>
                </w14:textFill>
              </w:rPr>
              <w:t>（1）中小企业</w:t>
            </w:r>
          </w:p>
          <w:p w14:paraId="1EF38E69">
            <w:pPr>
              <w:adjustRightInd w:val="0"/>
              <w:snapToGrid w:val="0"/>
              <w:spacing w:line="360" w:lineRule="exact"/>
              <w:ind w:firstLine="440" w:firstLineChars="200"/>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467A67A">
            <w:pPr>
              <w:adjustRightInd w:val="0"/>
              <w:snapToGrid w:val="0"/>
              <w:spacing w:line="360" w:lineRule="exact"/>
              <w:ind w:firstLine="440" w:firstLineChars="200"/>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符合中小企业划分标准的个体工商户，在政府采购活动中视同中小企业。</w:t>
            </w:r>
          </w:p>
          <w:p w14:paraId="605973E3">
            <w:pPr>
              <w:adjustRightInd w:val="0"/>
              <w:snapToGrid w:val="0"/>
              <w:spacing w:line="360" w:lineRule="exact"/>
              <w:ind w:firstLine="440" w:firstLineChars="200"/>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在服务采购项目中，服务由中小企业承接，即提供服务的人员为中小企业依照《中华人民共和国劳动合同法》订立劳动合同的从业人员。可享受相关中小企业扶持政策。</w:t>
            </w:r>
          </w:p>
          <w:p w14:paraId="59BC9DF9">
            <w:pPr>
              <w:adjustRightInd w:val="0"/>
              <w:snapToGrid w:val="0"/>
              <w:spacing w:line="360" w:lineRule="exact"/>
              <w:ind w:firstLine="440" w:firstLineChars="200"/>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以联合体形式参加政府采购活动，联合体各方均为中小企业的，联合体视同中小企业。其中，联合体各方均为小微企业的，联合体视同小微企业。</w:t>
            </w:r>
          </w:p>
          <w:p w14:paraId="19102CD0">
            <w:pPr>
              <w:adjustRightInd w:val="0"/>
              <w:snapToGrid w:val="0"/>
              <w:spacing w:line="360" w:lineRule="exact"/>
              <w:ind w:firstLine="440" w:firstLineChars="200"/>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投标文件中须同时出具《政府采购促进中小企业发展管理办法》【财库（2020）46号】规定的《中小企业声明函》</w:t>
            </w:r>
          </w:p>
          <w:p w14:paraId="43BE93C9">
            <w:pPr>
              <w:adjustRightInd w:val="0"/>
              <w:snapToGrid w:val="0"/>
              <w:spacing w:line="360" w:lineRule="exact"/>
              <w:rPr>
                <w:rFonts w:ascii="楷体" w:hAnsi="楷体" w:eastAsia="楷体" w:cs="楷体"/>
                <w:b/>
                <w:bCs/>
                <w:color w:val="000000" w:themeColor="text1"/>
                <w:sz w:val="22"/>
                <w:szCs w:val="22"/>
                <w14:textFill>
                  <w14:solidFill>
                    <w14:schemeClr w14:val="tx1"/>
                  </w14:solidFill>
                </w14:textFill>
              </w:rPr>
            </w:pPr>
            <w:r>
              <w:rPr>
                <w:rFonts w:hint="eastAsia" w:ascii="楷体" w:hAnsi="楷体" w:eastAsia="楷体" w:cs="楷体"/>
                <w:b/>
                <w:bCs/>
                <w:color w:val="000000" w:themeColor="text1"/>
                <w:sz w:val="22"/>
                <w:szCs w:val="22"/>
                <w14:textFill>
                  <w14:solidFill>
                    <w14:schemeClr w14:val="tx1"/>
                  </w14:solidFill>
                </w14:textFill>
              </w:rPr>
              <w:t>（2）残疾人福利性单位</w:t>
            </w:r>
          </w:p>
          <w:p w14:paraId="0569B72D">
            <w:pPr>
              <w:adjustRightInd w:val="0"/>
              <w:snapToGrid w:val="0"/>
              <w:spacing w:line="360" w:lineRule="exact"/>
              <w:ind w:firstLine="440" w:firstLineChars="200"/>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符合《关于促进残疾人就业政府采购政策的通知》（财库〔2017〕141号）规定的条件并提供提供《残疾人福利性单位声明函》的残疾人福利性单位视同小型、微型企业；</w:t>
            </w:r>
          </w:p>
          <w:p w14:paraId="0177590B">
            <w:pPr>
              <w:adjustRightInd w:val="0"/>
              <w:snapToGrid w:val="0"/>
              <w:spacing w:line="360" w:lineRule="exact"/>
              <w:rPr>
                <w:rFonts w:ascii="楷体" w:hAnsi="楷体" w:eastAsia="楷体" w:cs="楷体"/>
                <w:b/>
                <w:bCs/>
                <w:color w:val="000000" w:themeColor="text1"/>
                <w:sz w:val="22"/>
                <w:szCs w:val="22"/>
                <w14:textFill>
                  <w14:solidFill>
                    <w14:schemeClr w14:val="tx1"/>
                  </w14:solidFill>
                </w14:textFill>
              </w:rPr>
            </w:pPr>
            <w:r>
              <w:rPr>
                <w:rFonts w:hint="eastAsia" w:ascii="楷体" w:hAnsi="楷体" w:eastAsia="楷体" w:cs="楷体"/>
                <w:b/>
                <w:bCs/>
                <w:color w:val="000000" w:themeColor="text1"/>
                <w:sz w:val="22"/>
                <w:szCs w:val="22"/>
                <w14:textFill>
                  <w14:solidFill>
                    <w14:schemeClr w14:val="tx1"/>
                  </w14:solidFill>
                </w14:textFill>
              </w:rPr>
              <w:t>（3）监狱企业</w:t>
            </w:r>
          </w:p>
          <w:p w14:paraId="1D4D1811">
            <w:pPr>
              <w:adjustRightInd w:val="0"/>
              <w:snapToGrid w:val="0"/>
              <w:spacing w:line="360" w:lineRule="exact"/>
              <w:ind w:firstLine="440" w:firstLineChars="200"/>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根据《关于政府采购支持监狱企业发展有关问题的通知》（财库[2014]68号）的规定，投标人提供由省级以上监狱管理局、戒毒管理局（含新疆生产建设兵团）出具的属于监狱企业证明文件的，视同为小型和微型企业。</w:t>
            </w:r>
          </w:p>
          <w:p w14:paraId="240EA88C">
            <w:pPr>
              <w:adjustRightInd w:val="0"/>
              <w:snapToGrid w:val="0"/>
              <w:spacing w:line="360" w:lineRule="exact"/>
              <w:rPr>
                <w:rFonts w:ascii="楷体" w:hAnsi="楷体" w:eastAsia="楷体" w:cs="楷体"/>
                <w:b/>
                <w:bCs/>
                <w:color w:val="000000" w:themeColor="text1"/>
                <w:sz w:val="22"/>
                <w:szCs w:val="22"/>
                <w14:textFill>
                  <w14:solidFill>
                    <w14:schemeClr w14:val="tx1"/>
                  </w14:solidFill>
                </w14:textFill>
              </w:rPr>
            </w:pPr>
            <w:r>
              <w:rPr>
                <w:rFonts w:hint="eastAsia" w:ascii="楷体" w:hAnsi="楷体" w:eastAsia="楷体" w:cs="楷体"/>
                <w:b/>
                <w:bCs/>
                <w:color w:val="000000" w:themeColor="text1"/>
                <w:sz w:val="22"/>
                <w:szCs w:val="22"/>
                <w14:textFill>
                  <w14:solidFill>
                    <w14:schemeClr w14:val="tx1"/>
                  </w14:solidFill>
                </w14:textFill>
              </w:rPr>
              <w:t>2.价格扣除有关政策（本项目为专门面向中小微企业采购项目，不再执行价格扣减。）</w:t>
            </w:r>
          </w:p>
          <w:p w14:paraId="091FFA97">
            <w:pPr>
              <w:adjustRightInd w:val="0"/>
              <w:snapToGrid w:val="0"/>
              <w:spacing w:line="360" w:lineRule="exact"/>
              <w:ind w:firstLine="440" w:firstLineChars="200"/>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根据财政部、工业和信息化部发布的《政府采购促进中小企业发展管理办法》【财库（2020）46号】规定，对于经主管预算单位统筹后未预留份额专门面向中小企业采购的采购项目，以及预留份额项目中的非预留部分采购包，采购人、采购代理机构应当对符合本办法规定的小微企业报价给予10%-20%的扣除，用扣除后的价格参加评审。</w:t>
            </w:r>
          </w:p>
          <w:p w14:paraId="39C99A39">
            <w:pPr>
              <w:adjustRightInd w:val="0"/>
              <w:snapToGrid w:val="0"/>
              <w:spacing w:line="360" w:lineRule="exact"/>
              <w:ind w:firstLine="440" w:firstLineChars="200"/>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30%以上的，采购人、采购代理机构应当对联合体或者大中型企业的报价给予4%-6%的扣除，用扣除后的价格参加评审。</w:t>
            </w:r>
          </w:p>
          <w:p w14:paraId="1865F6BA">
            <w:pPr>
              <w:adjustRightInd w:val="0"/>
              <w:snapToGrid w:val="0"/>
              <w:spacing w:line="360" w:lineRule="exact"/>
              <w:ind w:firstLine="440" w:firstLineChars="200"/>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组成联合体或者接受分包的小微企业与联合体内其他企业、分包企业之间存在直接控股、管理关系的，不享受价格扣除优惠政策。</w:t>
            </w:r>
          </w:p>
          <w:p w14:paraId="6F9BB033">
            <w:pPr>
              <w:adjustRightInd w:val="0"/>
              <w:snapToGrid w:val="0"/>
              <w:spacing w:line="360" w:lineRule="auto"/>
              <w:rPr>
                <w:rFonts w:ascii="楷体" w:hAnsi="楷体" w:eastAsia="楷体" w:cs="楷体"/>
                <w:b/>
                <w:bCs/>
                <w:color w:val="000000" w:themeColor="text1"/>
                <w:sz w:val="22"/>
                <w:szCs w:val="22"/>
                <w14:textFill>
                  <w14:solidFill>
                    <w14:schemeClr w14:val="tx1"/>
                  </w14:solidFill>
                </w14:textFill>
              </w:rPr>
            </w:pPr>
            <w:r>
              <w:rPr>
                <w:rFonts w:hint="eastAsia" w:ascii="楷体" w:hAnsi="楷体" w:eastAsia="楷体" w:cs="楷体"/>
                <w:b/>
                <w:bCs/>
                <w:color w:val="000000" w:themeColor="text1"/>
                <w:sz w:val="22"/>
                <w:szCs w:val="22"/>
                <w14:textFill>
                  <w14:solidFill>
                    <w14:schemeClr w14:val="tx1"/>
                  </w14:solidFill>
                </w14:textFill>
              </w:rPr>
              <w:t>二、针对本项目的相关规定</w:t>
            </w:r>
          </w:p>
          <w:p w14:paraId="5A34BDFF">
            <w:pPr>
              <w:spacing w:line="360" w:lineRule="auto"/>
              <w:rPr>
                <w:rFonts w:ascii="楷体" w:hAnsi="楷体" w:eastAsia="楷体" w:cs="楷体"/>
                <w:b/>
                <w:bCs/>
                <w:color w:val="000000" w:themeColor="text1"/>
                <w:sz w:val="22"/>
                <w:szCs w:val="28"/>
                <w14:textFill>
                  <w14:solidFill>
                    <w14:schemeClr w14:val="tx1"/>
                  </w14:solidFill>
                </w14:textFill>
              </w:rPr>
            </w:pPr>
            <w:r>
              <w:rPr>
                <w:rFonts w:hint="eastAsia" w:ascii="楷体" w:hAnsi="楷体" w:eastAsia="楷体" w:cs="楷体"/>
                <w:b/>
                <w:bCs/>
                <w:color w:val="000000" w:themeColor="text1"/>
                <w:sz w:val="22"/>
                <w:szCs w:val="28"/>
                <w14:textFill>
                  <w14:solidFill>
                    <w14:schemeClr w14:val="tx1"/>
                  </w14:solidFill>
                </w14:textFill>
              </w:rPr>
              <w:t>1.采购标的：2026年灵溪镇小额工程监理服务</w:t>
            </w:r>
          </w:p>
          <w:p w14:paraId="15FB758B">
            <w:pPr>
              <w:spacing w:line="360" w:lineRule="auto"/>
              <w:rPr>
                <w:rFonts w:ascii="楷体" w:hAnsi="楷体" w:eastAsia="楷体" w:cs="楷体"/>
                <w:b/>
                <w:bCs/>
                <w:color w:val="000000" w:themeColor="text1"/>
                <w:sz w:val="22"/>
                <w:szCs w:val="28"/>
                <w14:textFill>
                  <w14:solidFill>
                    <w14:schemeClr w14:val="tx1"/>
                  </w14:solidFill>
                </w14:textFill>
              </w:rPr>
            </w:pPr>
            <w:r>
              <w:rPr>
                <w:rFonts w:hint="eastAsia" w:ascii="楷体" w:hAnsi="楷体" w:eastAsia="楷体" w:cs="楷体"/>
                <w:b/>
                <w:bCs/>
                <w:color w:val="000000" w:themeColor="text1"/>
                <w:sz w:val="22"/>
                <w:szCs w:val="28"/>
                <w14:textFill>
                  <w14:solidFill>
                    <w14:schemeClr w14:val="tx1"/>
                  </w14:solidFill>
                </w14:textFill>
              </w:rPr>
              <w:t>2.政府采购目录类别：</w:t>
            </w:r>
            <w:r>
              <w:rPr>
                <w:rFonts w:hint="eastAsia" w:ascii="楷体" w:hAnsi="楷体" w:eastAsia="楷体" w:cs="楷体"/>
                <w:b/>
                <w:bCs/>
                <w:color w:val="000000" w:themeColor="text1"/>
                <w:sz w:val="22"/>
                <w:szCs w:val="28"/>
                <w:u w:val="single"/>
                <w14:textFill>
                  <w14:solidFill>
                    <w14:schemeClr w14:val="tx1"/>
                  </w14:solidFill>
                </w14:textFill>
              </w:rPr>
              <w:t>服务类</w:t>
            </w:r>
            <w:r>
              <w:rPr>
                <w:rFonts w:hint="eastAsia" w:ascii="楷体" w:hAnsi="楷体" w:eastAsia="楷体" w:cs="楷体"/>
                <w:b/>
                <w:bCs/>
                <w:color w:val="000000" w:themeColor="text1"/>
                <w:sz w:val="22"/>
                <w:szCs w:val="28"/>
                <w14:textFill>
                  <w14:solidFill>
                    <w14:schemeClr w14:val="tx1"/>
                  </w14:solidFill>
                </w14:textFill>
              </w:rPr>
              <w:t>。</w:t>
            </w:r>
          </w:p>
          <w:p w14:paraId="6D6C760C">
            <w:pPr>
              <w:spacing w:line="360" w:lineRule="auto"/>
              <w:rPr>
                <w:rFonts w:ascii="楷体" w:hAnsi="楷体" w:eastAsia="楷体" w:cs="楷体"/>
                <w:b/>
                <w:bCs/>
                <w:color w:val="000000" w:themeColor="text1"/>
                <w:sz w:val="22"/>
                <w:szCs w:val="28"/>
                <w14:textFill>
                  <w14:solidFill>
                    <w14:schemeClr w14:val="tx1"/>
                  </w14:solidFill>
                </w14:textFill>
              </w:rPr>
            </w:pPr>
            <w:r>
              <w:rPr>
                <w:rFonts w:hint="eastAsia" w:ascii="楷体" w:hAnsi="楷体" w:eastAsia="楷体" w:cs="楷体"/>
                <w:b/>
                <w:bCs/>
                <w:color w:val="000000" w:themeColor="text1"/>
                <w:sz w:val="22"/>
                <w:szCs w:val="28"/>
                <w14:textFill>
                  <w14:solidFill>
                    <w14:schemeClr w14:val="tx1"/>
                  </w14:solidFill>
                </w14:textFill>
              </w:rPr>
              <w:t>3.本项目为专门面向中小微企业采购项目，不再执行价格扣减。</w:t>
            </w:r>
          </w:p>
          <w:p w14:paraId="77727224">
            <w:pPr>
              <w:spacing w:line="360" w:lineRule="auto"/>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b/>
                <w:bCs/>
                <w:color w:val="000000" w:themeColor="text1"/>
                <w:sz w:val="22"/>
                <w:szCs w:val="28"/>
                <w14:textFill>
                  <w14:solidFill>
                    <w14:schemeClr w14:val="tx1"/>
                  </w14:solidFill>
                </w14:textFill>
              </w:rPr>
              <w:t>4.本项目采购标的对应的中小企业计划分标准所属行业为：</w:t>
            </w:r>
            <w:r>
              <w:rPr>
                <w:rFonts w:hint="eastAsia" w:ascii="楷体" w:hAnsi="楷体" w:eastAsia="楷体" w:cs="楷体"/>
                <w:b/>
                <w:bCs/>
                <w:color w:val="000000" w:themeColor="text1"/>
                <w:sz w:val="22"/>
                <w:szCs w:val="28"/>
                <w:u w:val="single"/>
                <w14:textFill>
                  <w14:solidFill>
                    <w14:schemeClr w14:val="tx1"/>
                  </w14:solidFill>
                </w14:textFill>
              </w:rPr>
              <w:t xml:space="preserve"> 其他未列明行业 </w:t>
            </w:r>
            <w:r>
              <w:rPr>
                <w:rFonts w:hint="eastAsia" w:ascii="楷体" w:hAnsi="楷体" w:eastAsia="楷体" w:cs="楷体"/>
                <w:b/>
                <w:bCs/>
                <w:color w:val="000000" w:themeColor="text1"/>
                <w:sz w:val="22"/>
                <w:szCs w:val="28"/>
                <w14:textFill>
                  <w14:solidFill>
                    <w14:schemeClr w14:val="tx1"/>
                  </w14:solidFill>
                </w14:textFill>
              </w:rPr>
              <w:t>。</w:t>
            </w:r>
          </w:p>
        </w:tc>
      </w:tr>
      <w:tr w14:paraId="14A7C3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Merge w:val="restart"/>
            <w:vAlign w:val="center"/>
          </w:tcPr>
          <w:p w14:paraId="49A4AB95">
            <w:pPr>
              <w:adjustRightInd w:val="0"/>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36</w:t>
            </w:r>
          </w:p>
        </w:tc>
        <w:tc>
          <w:tcPr>
            <w:tcW w:w="1470" w:type="dxa"/>
            <w:vMerge w:val="restart"/>
            <w:vAlign w:val="center"/>
          </w:tcPr>
          <w:p w14:paraId="4706126F">
            <w:pPr>
              <w:adjustRightInd w:val="0"/>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投标人信用信息事项</w:t>
            </w:r>
          </w:p>
        </w:tc>
        <w:tc>
          <w:tcPr>
            <w:tcW w:w="6427" w:type="dxa"/>
            <w:vAlign w:val="center"/>
          </w:tcPr>
          <w:p w14:paraId="2E6471CE">
            <w:pPr>
              <w:adjustRightInd w:val="0"/>
              <w:snapToGrid w:val="0"/>
              <w:spacing w:line="360" w:lineRule="exact"/>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信用信息查询渠道：“信用中国”网站(www.creditchina.gov.cn)、中国政府采购网(www.ccgp.gov.cn)。</w:t>
            </w:r>
          </w:p>
        </w:tc>
      </w:tr>
      <w:tr w14:paraId="78D581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Merge w:val="continue"/>
            <w:vAlign w:val="center"/>
          </w:tcPr>
          <w:p w14:paraId="5C660793">
            <w:pPr>
              <w:spacing w:line="360" w:lineRule="exact"/>
              <w:jc w:val="center"/>
              <w:rPr>
                <w:rFonts w:ascii="楷体" w:hAnsi="楷体" w:eastAsia="楷体" w:cs="楷体"/>
                <w:color w:val="000000" w:themeColor="text1"/>
                <w:sz w:val="22"/>
                <w:szCs w:val="22"/>
                <w14:textFill>
                  <w14:solidFill>
                    <w14:schemeClr w14:val="tx1"/>
                  </w14:solidFill>
                </w14:textFill>
              </w:rPr>
            </w:pPr>
          </w:p>
        </w:tc>
        <w:tc>
          <w:tcPr>
            <w:tcW w:w="1470" w:type="dxa"/>
            <w:vMerge w:val="continue"/>
            <w:vAlign w:val="center"/>
          </w:tcPr>
          <w:p w14:paraId="1C8927D3">
            <w:pPr>
              <w:snapToGrid w:val="0"/>
              <w:spacing w:line="360" w:lineRule="exact"/>
              <w:rPr>
                <w:rFonts w:ascii="楷体" w:hAnsi="楷体" w:eastAsia="楷体" w:cs="楷体"/>
                <w:b/>
                <w:color w:val="000000" w:themeColor="text1"/>
                <w:sz w:val="22"/>
                <w:szCs w:val="22"/>
                <w14:textFill>
                  <w14:solidFill>
                    <w14:schemeClr w14:val="tx1"/>
                  </w14:solidFill>
                </w14:textFill>
              </w:rPr>
            </w:pPr>
          </w:p>
        </w:tc>
        <w:tc>
          <w:tcPr>
            <w:tcW w:w="6427" w:type="dxa"/>
            <w:vAlign w:val="center"/>
          </w:tcPr>
          <w:p w14:paraId="36E4E243">
            <w:pPr>
              <w:adjustRightInd w:val="0"/>
              <w:snapToGrid w:val="0"/>
              <w:spacing w:line="360" w:lineRule="exact"/>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信用信息查询记录和证据留存的具体方式：采购代理机构开标当天查询投标人的信用记录，查询结果经确认后与采购文件一起存档。</w:t>
            </w:r>
          </w:p>
        </w:tc>
      </w:tr>
      <w:tr w14:paraId="7081B6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Merge w:val="continue"/>
            <w:vAlign w:val="center"/>
          </w:tcPr>
          <w:p w14:paraId="2922113C">
            <w:pPr>
              <w:spacing w:line="360" w:lineRule="exact"/>
              <w:jc w:val="center"/>
              <w:rPr>
                <w:rFonts w:ascii="楷体" w:hAnsi="楷体" w:eastAsia="楷体" w:cs="楷体"/>
                <w:color w:val="000000" w:themeColor="text1"/>
                <w:sz w:val="22"/>
                <w:szCs w:val="22"/>
                <w14:textFill>
                  <w14:solidFill>
                    <w14:schemeClr w14:val="tx1"/>
                  </w14:solidFill>
                </w14:textFill>
              </w:rPr>
            </w:pPr>
          </w:p>
        </w:tc>
        <w:tc>
          <w:tcPr>
            <w:tcW w:w="1470" w:type="dxa"/>
            <w:vMerge w:val="continue"/>
            <w:vAlign w:val="center"/>
          </w:tcPr>
          <w:p w14:paraId="54690C92">
            <w:pPr>
              <w:snapToGrid w:val="0"/>
              <w:spacing w:line="360" w:lineRule="exact"/>
              <w:rPr>
                <w:rFonts w:ascii="楷体" w:hAnsi="楷体" w:eastAsia="楷体" w:cs="楷体"/>
                <w:b/>
                <w:color w:val="000000" w:themeColor="text1"/>
                <w:sz w:val="22"/>
                <w:szCs w:val="22"/>
                <w14:textFill>
                  <w14:solidFill>
                    <w14:schemeClr w14:val="tx1"/>
                  </w14:solidFill>
                </w14:textFill>
              </w:rPr>
            </w:pPr>
          </w:p>
        </w:tc>
        <w:tc>
          <w:tcPr>
            <w:tcW w:w="6427" w:type="dxa"/>
            <w:vAlign w:val="center"/>
          </w:tcPr>
          <w:p w14:paraId="7D7295CD">
            <w:pPr>
              <w:tabs>
                <w:tab w:val="left" w:pos="210"/>
                <w:tab w:val="left" w:pos="640"/>
              </w:tabs>
              <w:snapToGrid w:val="0"/>
              <w:spacing w:line="360" w:lineRule="exact"/>
              <w:jc w:val="left"/>
              <w:outlineLvl w:val="2"/>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信用信息的使用规则：经查询列入失信被执行人名单、重大税收违法案件当事人名单、政府采购严重违法失信行为记录名单的投标人的投标文件将被拒绝。</w:t>
            </w:r>
          </w:p>
          <w:p w14:paraId="65856044">
            <w:pPr>
              <w:tabs>
                <w:tab w:val="left" w:pos="210"/>
                <w:tab w:val="left" w:pos="640"/>
              </w:tabs>
              <w:snapToGrid w:val="0"/>
              <w:spacing w:line="360" w:lineRule="exact"/>
              <w:jc w:val="left"/>
              <w:outlineLvl w:val="2"/>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55D13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Merge w:val="restart"/>
            <w:vAlign w:val="center"/>
          </w:tcPr>
          <w:p w14:paraId="64CDA07A">
            <w:pPr>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37</w:t>
            </w:r>
          </w:p>
        </w:tc>
        <w:tc>
          <w:tcPr>
            <w:tcW w:w="1470" w:type="dxa"/>
            <w:vMerge w:val="restart"/>
            <w:vAlign w:val="center"/>
          </w:tcPr>
          <w:p w14:paraId="2BE60193">
            <w:pPr>
              <w:snapToGrid w:val="0"/>
              <w:spacing w:line="360" w:lineRule="exact"/>
              <w:rPr>
                <w:rFonts w:ascii="楷体" w:hAnsi="楷体" w:eastAsia="楷体" w:cs="楷体"/>
                <w:b/>
                <w:color w:val="000000" w:themeColor="text1"/>
                <w:sz w:val="22"/>
                <w:szCs w:val="22"/>
                <w14:textFill>
                  <w14:solidFill>
                    <w14:schemeClr w14:val="tx1"/>
                  </w14:solidFill>
                </w14:textFill>
              </w:rPr>
            </w:pPr>
            <w:r>
              <w:rPr>
                <w:rFonts w:hint="eastAsia" w:ascii="楷体" w:hAnsi="楷体" w:eastAsia="楷体" w:cs="楷体"/>
                <w:bCs/>
                <w:color w:val="000000" w:themeColor="text1"/>
                <w:sz w:val="22"/>
                <w:szCs w:val="22"/>
                <w14:textFill>
                  <w14:solidFill>
                    <w14:schemeClr w14:val="tx1"/>
                  </w14:solidFill>
                </w14:textFill>
              </w:rPr>
              <w:t>联合体投标说明</w:t>
            </w:r>
          </w:p>
        </w:tc>
        <w:tc>
          <w:tcPr>
            <w:tcW w:w="6427" w:type="dxa"/>
            <w:vAlign w:val="center"/>
          </w:tcPr>
          <w:p w14:paraId="18F9E060">
            <w:pPr>
              <w:pStyle w:val="27"/>
              <w:snapToGrid w:val="0"/>
              <w:spacing w:line="360" w:lineRule="exact"/>
              <w:rPr>
                <w:rFonts w:ascii="楷体" w:hAnsi="楷体" w:eastAsia="楷体" w:cs="楷体"/>
                <w:color w:val="000000" w:themeColor="text1"/>
                <w:kern w:val="28"/>
                <w:sz w:val="22"/>
                <w:szCs w:val="22"/>
                <w14:textFill>
                  <w14:solidFill>
                    <w14:schemeClr w14:val="tx1"/>
                  </w14:solidFill>
                </w14:textFill>
              </w:rPr>
            </w:pPr>
            <w:r>
              <w:rPr>
                <w:rFonts w:hint="eastAsia" w:ascii="楷体" w:hAnsi="楷体" w:eastAsia="楷体" w:cs="楷体"/>
                <w:color w:val="000000" w:themeColor="text1"/>
                <w:kern w:val="28"/>
                <w:sz w:val="22"/>
                <w:szCs w:val="22"/>
                <w14:textFill>
                  <w14:solidFill>
                    <w14:schemeClr w14:val="tx1"/>
                  </w14:solidFill>
                </w14:textFill>
              </w:rPr>
              <w:t>业绩证明材料</w:t>
            </w:r>
          </w:p>
          <w:p w14:paraId="36C7B528">
            <w:pPr>
              <w:pStyle w:val="27"/>
              <w:snapToGrid w:val="0"/>
              <w:spacing w:line="360" w:lineRule="exact"/>
              <w:rPr>
                <w:rFonts w:ascii="楷体" w:hAnsi="楷体" w:eastAsia="楷体" w:cs="楷体"/>
                <w:color w:val="000000" w:themeColor="text1"/>
                <w:kern w:val="0"/>
                <w:sz w:val="22"/>
                <w:szCs w:val="22"/>
                <w14:textFill>
                  <w14:solidFill>
                    <w14:schemeClr w14:val="tx1"/>
                  </w14:solidFill>
                </w14:textFill>
              </w:rPr>
            </w:pPr>
            <w:r>
              <w:rPr>
                <w:rFonts w:hint="eastAsia" w:ascii="楷体" w:hAnsi="楷体" w:eastAsia="楷体" w:cs="楷体"/>
                <w:color w:val="000000" w:themeColor="text1"/>
                <w:kern w:val="28"/>
                <w:sz w:val="22"/>
                <w:szCs w:val="22"/>
                <w14:textFill>
                  <w14:solidFill>
                    <w14:schemeClr w14:val="tx1"/>
                  </w14:solidFill>
                </w14:textFill>
              </w:rPr>
              <w:t>联合体投标的，按联合体协议约定的分工内容出具相应的业绩证明材料。承担相同工作的各方或工作内容存在部分相同的，业绩数量以提供材料较少的一方为准。</w:t>
            </w:r>
          </w:p>
        </w:tc>
      </w:tr>
      <w:tr w14:paraId="21D5F2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Merge w:val="continue"/>
            <w:vAlign w:val="center"/>
          </w:tcPr>
          <w:p w14:paraId="2CE7A17F">
            <w:pPr>
              <w:spacing w:line="360" w:lineRule="exact"/>
              <w:jc w:val="center"/>
              <w:rPr>
                <w:rFonts w:ascii="楷体" w:hAnsi="楷体" w:eastAsia="楷体" w:cs="楷体"/>
                <w:color w:val="000000" w:themeColor="text1"/>
                <w:sz w:val="22"/>
                <w:szCs w:val="22"/>
                <w14:textFill>
                  <w14:solidFill>
                    <w14:schemeClr w14:val="tx1"/>
                  </w14:solidFill>
                </w14:textFill>
              </w:rPr>
            </w:pPr>
          </w:p>
        </w:tc>
        <w:tc>
          <w:tcPr>
            <w:tcW w:w="1470" w:type="dxa"/>
            <w:vMerge w:val="continue"/>
            <w:vAlign w:val="center"/>
          </w:tcPr>
          <w:p w14:paraId="2C5C90AD">
            <w:pPr>
              <w:snapToGrid w:val="0"/>
              <w:spacing w:line="360" w:lineRule="exact"/>
              <w:rPr>
                <w:rFonts w:ascii="楷体" w:hAnsi="楷体" w:eastAsia="楷体" w:cs="楷体"/>
                <w:b/>
                <w:color w:val="000000" w:themeColor="text1"/>
                <w:sz w:val="22"/>
                <w:szCs w:val="22"/>
                <w14:textFill>
                  <w14:solidFill>
                    <w14:schemeClr w14:val="tx1"/>
                  </w14:solidFill>
                </w14:textFill>
              </w:rPr>
            </w:pPr>
          </w:p>
        </w:tc>
        <w:tc>
          <w:tcPr>
            <w:tcW w:w="6427" w:type="dxa"/>
            <w:vAlign w:val="center"/>
          </w:tcPr>
          <w:p w14:paraId="21D7ACED">
            <w:pPr>
              <w:pStyle w:val="27"/>
              <w:snapToGrid w:val="0"/>
              <w:spacing w:line="360" w:lineRule="exact"/>
              <w:rPr>
                <w:rFonts w:ascii="楷体" w:hAnsi="楷体" w:eastAsia="楷体" w:cs="楷体"/>
                <w:color w:val="000000" w:themeColor="text1"/>
                <w:kern w:val="28"/>
                <w:sz w:val="22"/>
                <w:szCs w:val="22"/>
                <w14:textFill>
                  <w14:solidFill>
                    <w14:schemeClr w14:val="tx1"/>
                  </w14:solidFill>
                </w14:textFill>
              </w:rPr>
            </w:pPr>
            <w:r>
              <w:rPr>
                <w:rFonts w:hint="eastAsia" w:ascii="楷体" w:hAnsi="楷体" w:eastAsia="楷体" w:cs="楷体"/>
                <w:color w:val="000000" w:themeColor="text1"/>
                <w:kern w:val="28"/>
                <w:sz w:val="22"/>
                <w:szCs w:val="22"/>
                <w14:textFill>
                  <w14:solidFill>
                    <w14:schemeClr w14:val="tx1"/>
                  </w14:solidFill>
                </w14:textFill>
              </w:rPr>
              <w:t>其他资信证明材料：</w:t>
            </w:r>
          </w:p>
          <w:p w14:paraId="32D4419C">
            <w:pPr>
              <w:pStyle w:val="27"/>
              <w:snapToGrid w:val="0"/>
              <w:spacing w:line="360" w:lineRule="exact"/>
              <w:rPr>
                <w:rFonts w:ascii="楷体" w:hAnsi="楷体" w:eastAsia="楷体" w:cs="楷体"/>
                <w:color w:val="000000" w:themeColor="text1"/>
                <w:kern w:val="0"/>
                <w:sz w:val="22"/>
                <w:szCs w:val="22"/>
                <w14:textFill>
                  <w14:solidFill>
                    <w14:schemeClr w14:val="tx1"/>
                  </w14:solidFill>
                </w14:textFill>
              </w:rPr>
            </w:pPr>
            <w:r>
              <w:rPr>
                <w:rFonts w:hint="eastAsia" w:ascii="楷体" w:hAnsi="楷体" w:eastAsia="楷体" w:cs="楷体"/>
                <w:color w:val="000000" w:themeColor="text1"/>
                <w:kern w:val="28"/>
                <w:sz w:val="22"/>
                <w:szCs w:val="22"/>
                <w14:textFill>
                  <w14:solidFill>
                    <w14:schemeClr w14:val="tx1"/>
                  </w14:solidFill>
                </w14:textFill>
              </w:rPr>
              <w:t>联合体投标的，联合体各方均需按招标文件第四部分评标标准要求提供资信证明文件，否则视为不符合相关要求。</w:t>
            </w:r>
          </w:p>
        </w:tc>
      </w:tr>
      <w:tr w14:paraId="64902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40B90C9C">
            <w:pPr>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38</w:t>
            </w:r>
          </w:p>
        </w:tc>
        <w:tc>
          <w:tcPr>
            <w:tcW w:w="1470" w:type="dxa"/>
            <w:vAlign w:val="center"/>
          </w:tcPr>
          <w:p w14:paraId="62EDAE4B">
            <w:pPr>
              <w:adjustRightInd w:val="0"/>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snapToGrid w:val="0"/>
                <w:color w:val="000000" w:themeColor="text1"/>
                <w:kern w:val="0"/>
                <w:sz w:val="22"/>
                <w:szCs w:val="22"/>
                <w14:textFill>
                  <w14:solidFill>
                    <w14:schemeClr w14:val="tx1"/>
                  </w14:solidFill>
                </w14:textFill>
              </w:rPr>
              <w:t>演示</w:t>
            </w:r>
          </w:p>
        </w:tc>
        <w:tc>
          <w:tcPr>
            <w:tcW w:w="6427" w:type="dxa"/>
            <w:vAlign w:val="center"/>
          </w:tcPr>
          <w:p w14:paraId="0D97D4E7">
            <w:pPr>
              <w:widowControl/>
              <w:spacing w:line="360" w:lineRule="exact"/>
              <w:jc w:val="lef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□是 ☑否</w:t>
            </w:r>
          </w:p>
          <w:p w14:paraId="09E9593B">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本项目采用录制视频演示形式。要求投标人在投标截止时间前将视频演示文件密封递交至：苍南县灵溪镇鑫鑫财富中心1幢605室，收件人：金先生， 联系电话：13587836240，未在规定时间内递交的视为自动放弃。</w:t>
            </w:r>
          </w:p>
          <w:p w14:paraId="506AFD30">
            <w:pPr>
              <w:numPr>
                <w:ilvl w:val="0"/>
                <w:numId w:val="7"/>
              </w:numPr>
              <w:snapToGrid w:val="0"/>
              <w:spacing w:line="360" w:lineRule="exact"/>
              <w:rPr>
                <w:rFonts w:ascii="楷体" w:hAnsi="楷体" w:eastAsia="楷体" w:cs="楷体"/>
                <w:color w:val="000000" w:themeColor="text1"/>
                <w:sz w:val="22"/>
                <w:szCs w:val="22"/>
                <w:lang w:val="zh-CN"/>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演示时间不超过15分钟。</w:t>
            </w:r>
          </w:p>
          <w:p w14:paraId="14236C40">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（2）视频演示必须是实时动态系统或动态原型演示（建议实时动态系统），采用静态页面、PPT截图或录屏等其他方式演示不得分，不演示不得分。</w:t>
            </w:r>
          </w:p>
          <w:p w14:paraId="3304E05B">
            <w:pPr>
              <w:snapToGrid w:val="0"/>
              <w:spacing w:line="360" w:lineRule="exact"/>
              <w:rPr>
                <w:rFonts w:ascii="楷体" w:hAnsi="楷体" w:eastAsia="楷体" w:cs="楷体"/>
                <w:color w:val="000000" w:themeColor="text1"/>
                <w:sz w:val="22"/>
                <w:szCs w:val="22"/>
                <w:lang w:val="zh-CN"/>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（3）演示顺序：以投标文件解密</w:t>
            </w:r>
            <w:r>
              <w:rPr>
                <w:rFonts w:hint="eastAsia" w:ascii="楷体" w:hAnsi="楷体" w:eastAsia="楷体" w:cs="楷体"/>
                <w:color w:val="000000" w:themeColor="text1"/>
                <w:sz w:val="22"/>
                <w:szCs w:val="22"/>
                <w:lang w:val="zh-CN"/>
                <w14:textFill>
                  <w14:solidFill>
                    <w14:schemeClr w14:val="tx1"/>
                  </w14:solidFill>
                </w14:textFill>
              </w:rPr>
              <w:t>先后次序为准，如遇不演示或</w:t>
            </w:r>
            <w:r>
              <w:rPr>
                <w:rFonts w:hint="eastAsia" w:ascii="楷体" w:hAnsi="楷体" w:eastAsia="楷体" w:cs="楷体"/>
                <w:color w:val="000000" w:themeColor="text1"/>
                <w:sz w:val="22"/>
                <w:szCs w:val="22"/>
                <w14:textFill>
                  <w14:solidFill>
                    <w14:schemeClr w14:val="tx1"/>
                  </w14:solidFill>
                </w14:textFill>
              </w:rPr>
              <w:t>视频播放不成功</w:t>
            </w:r>
            <w:r>
              <w:rPr>
                <w:rFonts w:hint="eastAsia" w:ascii="楷体" w:hAnsi="楷体" w:eastAsia="楷体" w:cs="楷体"/>
                <w:color w:val="000000" w:themeColor="text1"/>
                <w:sz w:val="22"/>
                <w:szCs w:val="22"/>
                <w:lang w:val="zh-CN"/>
                <w14:textFill>
                  <w14:solidFill>
                    <w14:schemeClr w14:val="tx1"/>
                  </w14:solidFill>
                </w14:textFill>
              </w:rPr>
              <w:t>的投标人则自动至下一次序投标人。</w:t>
            </w:r>
          </w:p>
          <w:p w14:paraId="66C04F74">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注：因投标人自身原因导致无法演示或者演示效果不理想的，责任自负。演示内容及要求详见第三部分采购需求。</w:t>
            </w:r>
          </w:p>
        </w:tc>
      </w:tr>
      <w:tr w14:paraId="56295F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3" w:type="dxa"/>
            <w:vAlign w:val="center"/>
          </w:tcPr>
          <w:p w14:paraId="7A94E8D4">
            <w:pPr>
              <w:spacing w:line="360" w:lineRule="exact"/>
              <w:jc w:val="center"/>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39</w:t>
            </w:r>
          </w:p>
        </w:tc>
        <w:tc>
          <w:tcPr>
            <w:tcW w:w="1470" w:type="dxa"/>
            <w:vAlign w:val="center"/>
          </w:tcPr>
          <w:p w14:paraId="26F09706">
            <w:pPr>
              <w:adjustRightInd w:val="0"/>
              <w:snapToGrid w:val="0"/>
              <w:spacing w:line="360" w:lineRule="exact"/>
              <w:jc w:val="center"/>
              <w:rPr>
                <w:rFonts w:ascii="楷体" w:hAnsi="楷体" w:eastAsia="楷体" w:cs="楷体"/>
                <w:snapToGrid w:val="0"/>
                <w:color w:val="000000" w:themeColor="text1"/>
                <w:kern w:val="0"/>
                <w:sz w:val="22"/>
                <w:szCs w:val="22"/>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异常低价投标（响应）审查程序</w:t>
            </w:r>
          </w:p>
        </w:tc>
        <w:tc>
          <w:tcPr>
            <w:tcW w:w="6427" w:type="dxa"/>
            <w:vAlign w:val="center"/>
          </w:tcPr>
          <w:p w14:paraId="0378FFC8">
            <w:pPr>
              <w:snapToGrid w:val="0"/>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1.根据《关于推动解决政府采购异常低价问题的通知财库〔2026〕2号》文件规定，政府采购评审中出现下列情形之一的，评审委员会应当启动异常低价投标（响应）审查程序： </w:t>
            </w:r>
          </w:p>
          <w:p w14:paraId="041CAF98">
            <w:pPr>
              <w:snapToGrid w:val="0"/>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（1）.投标（响应）报价低于全部通过符合性审查供应商投标（响应）报价平均值50%的，即投标（响应）报价&lt;全部通过符合性审查供应商投标（响应）报价平均值×50%； </w:t>
            </w:r>
          </w:p>
          <w:p w14:paraId="7FB61AB0">
            <w:pPr>
              <w:snapToGrid w:val="0"/>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（2）.投标（响应）报价低于通过符合性审查的次低报价供应商投标（响应）报价50%的，即投标（响应）报价&lt;通过符合性审查的次低报价供应商投标（响应）报价×50%； </w:t>
            </w:r>
          </w:p>
          <w:p w14:paraId="6DB1A0E3">
            <w:pPr>
              <w:snapToGrid w:val="0"/>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（3）.投标（响应）报价低于采购项目最高限价50%的，即投标（响应）报价&lt;采购项目最高限价×50%； </w:t>
            </w:r>
          </w:p>
          <w:p w14:paraId="5A66C526">
            <w:pPr>
              <w:snapToGrid w:val="0"/>
              <w:spacing w:line="36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（4）.评审委员会基于专业判断，认为供应商报价过低，有可能影响产品质量或者不能诚信履约的其他情形。</w:t>
            </w:r>
          </w:p>
          <w:p w14:paraId="55D6364B">
            <w:pPr>
              <w:snapToGrid w:val="0"/>
              <w:spacing w:line="360" w:lineRule="exact"/>
              <w:rPr>
                <w:rFonts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评审委员会启动异常低价投标（响应）审查后，属于前述第1项至第4项情形的，将在政采云系统发起询标要求相关供应商在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tc>
      </w:tr>
    </w:tbl>
    <w:p w14:paraId="6C24928E">
      <w:pPr>
        <w:rPr>
          <w:rFonts w:ascii="楷体" w:hAnsi="楷体" w:eastAsia="楷体" w:cs="楷体"/>
          <w:color w:val="000000" w:themeColor="text1"/>
          <w:sz w:val="22"/>
          <w:szCs w:val="22"/>
          <w14:textFill>
            <w14:solidFill>
              <w14:schemeClr w14:val="tx1"/>
            </w14:solidFill>
          </w14:textFill>
        </w:rPr>
      </w:pPr>
    </w:p>
    <w:p w14:paraId="265B4FA7">
      <w:pPr>
        <w:ind w:firstLine="482" w:firstLineChars="200"/>
        <w:rPr>
          <w:rFonts w:ascii="楷体" w:hAnsi="楷体" w:eastAsia="楷体" w:cs="楷体"/>
          <w:b/>
          <w:bCs/>
          <w:color w:val="000000" w:themeColor="text1"/>
          <w:sz w:val="22"/>
          <w:szCs w:val="22"/>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注：以上内容如有变化将另行公告通知。如通知其中某一内容发生变化，其余未提及的将不作变动。</w:t>
      </w:r>
      <w:bookmarkStart w:id="35" w:name="_Toc240450076"/>
      <w:bookmarkStart w:id="36" w:name="_Toc251566649"/>
    </w:p>
    <w:p w14:paraId="023F84BB">
      <w:pPr>
        <w:adjustRightInd w:val="0"/>
        <w:snapToGrid w:val="0"/>
        <w:spacing w:before="120" w:beforeLines="50" w:after="120" w:afterLines="50" w:line="360" w:lineRule="auto"/>
        <w:jc w:val="center"/>
        <w:outlineLvl w:val="0"/>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br w:type="page"/>
      </w:r>
      <w:bookmarkStart w:id="37" w:name="_Toc5639"/>
      <w:bookmarkStart w:id="38" w:name="_Toc9599"/>
      <w:bookmarkStart w:id="39" w:name="_Toc2187"/>
      <w:bookmarkStart w:id="40" w:name="_Toc29700"/>
      <w:bookmarkStart w:id="41" w:name="_Toc3524"/>
      <w:bookmarkStart w:id="42" w:name="_Toc20997"/>
      <w:bookmarkStart w:id="43" w:name="_Toc11957"/>
      <w:bookmarkStart w:id="44" w:name="_Toc30274"/>
      <w:bookmarkStart w:id="45" w:name="_Toc30768"/>
      <w:bookmarkStart w:id="46" w:name="_Toc21314"/>
      <w:bookmarkStart w:id="47" w:name="_Toc16202"/>
      <w:bookmarkStart w:id="48" w:name="_Toc5601"/>
      <w:bookmarkStart w:id="49" w:name="_Toc23577"/>
      <w:bookmarkStart w:id="50" w:name="_Toc30225"/>
      <w:bookmarkStart w:id="51" w:name="_Toc225868267"/>
      <w:bookmarkStart w:id="52" w:name="_Toc18610"/>
      <w:r>
        <w:rPr>
          <w:rFonts w:hint="eastAsia" w:ascii="楷体" w:hAnsi="楷体" w:eastAsia="楷体" w:cs="楷体"/>
          <w:b/>
          <w:color w:val="000000" w:themeColor="text1"/>
          <w:sz w:val="30"/>
          <w:szCs w:val="30"/>
          <w14:textFill>
            <w14:solidFill>
              <w14:schemeClr w14:val="tx1"/>
            </w14:solidFill>
          </w14:textFill>
        </w:rPr>
        <w:t>第二部分  投标须知</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A0A4C14">
      <w:pPr>
        <w:pStyle w:val="3"/>
        <w:snapToGrid w:val="0"/>
        <w:spacing w:before="120" w:beforeLines="50" w:after="120" w:afterLines="50" w:line="360" w:lineRule="auto"/>
        <w:rPr>
          <w:rFonts w:ascii="楷体" w:hAnsi="楷体" w:cs="楷体"/>
          <w:color w:val="000000" w:themeColor="text1"/>
          <w:sz w:val="24"/>
          <w:szCs w:val="24"/>
          <w14:textFill>
            <w14:solidFill>
              <w14:schemeClr w14:val="tx1"/>
            </w14:solidFill>
          </w14:textFill>
        </w:rPr>
      </w:pPr>
      <w:bookmarkStart w:id="53" w:name="_Toc6916"/>
      <w:bookmarkStart w:id="54" w:name="_Toc20471"/>
      <w:bookmarkStart w:id="55" w:name="_Toc20783"/>
      <w:bookmarkStart w:id="56" w:name="_Toc5882"/>
      <w:bookmarkStart w:id="57" w:name="_Toc30002"/>
      <w:bookmarkStart w:id="58" w:name="_Toc18876"/>
      <w:bookmarkStart w:id="59" w:name="_Toc10609"/>
      <w:bookmarkStart w:id="60" w:name="_Toc15671"/>
      <w:bookmarkStart w:id="61" w:name="_Toc16744"/>
      <w:bookmarkStart w:id="62" w:name="_Toc4494"/>
      <w:bookmarkStart w:id="63" w:name="_Toc6853"/>
      <w:bookmarkStart w:id="64" w:name="_Toc17601"/>
      <w:bookmarkStart w:id="65" w:name="_Toc240450077"/>
      <w:bookmarkStart w:id="66" w:name="_Toc3291"/>
      <w:bookmarkStart w:id="67" w:name="_Toc225867066"/>
      <w:bookmarkStart w:id="68" w:name="_Toc251566650"/>
      <w:bookmarkStart w:id="69" w:name="_Toc9838"/>
      <w:bookmarkStart w:id="70" w:name="_Toc12000"/>
      <w:bookmarkStart w:id="71" w:name="_Toc225868268"/>
      <w:r>
        <w:rPr>
          <w:rFonts w:hint="eastAsia" w:ascii="楷体" w:hAnsi="楷体" w:cs="楷体"/>
          <w:color w:val="000000" w:themeColor="text1"/>
          <w:sz w:val="24"/>
          <w:szCs w:val="24"/>
          <w14:textFill>
            <w14:solidFill>
              <w14:schemeClr w14:val="tx1"/>
            </w14:solidFill>
          </w14:textFill>
        </w:rPr>
        <w:t>一、总则</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E3709DC">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本次招标工作是按照《中华人民共和国政府采购法》、《中华人民共和国政府采购法实施条例》、《政府采购货物和服务招标投标管理办法》等相关法律法规组织和实施，并接受政府采购监督管理部门的监督。</w:t>
      </w:r>
    </w:p>
    <w:p w14:paraId="29CE1516">
      <w:pPr>
        <w:adjustRightInd w:val="0"/>
        <w:snapToGrid w:val="0"/>
        <w:spacing w:before="120" w:beforeLines="50"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1．适用范围</w:t>
      </w:r>
    </w:p>
    <w:p w14:paraId="56944DFA">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1.1 本采购文件仅适用于本次招标项目。</w:t>
      </w:r>
    </w:p>
    <w:p w14:paraId="13880C5B">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1.2 本项目采购方式为公开招标。</w:t>
      </w:r>
    </w:p>
    <w:p w14:paraId="3402CDB1">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1.3 投标须知为招标文件的通用条款，如通用条款与前附表、用户需求、合同条款等特定条款不一致的，请按特定条款执行。</w:t>
      </w:r>
    </w:p>
    <w:p w14:paraId="19ED1615">
      <w:pPr>
        <w:adjustRightInd w:val="0"/>
        <w:snapToGrid w:val="0"/>
        <w:spacing w:before="120" w:beforeLines="50"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2．定义</w:t>
      </w:r>
    </w:p>
    <w:p w14:paraId="03450AA6">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2.1“采购人”系指苍南县灵溪镇人民政府 。</w:t>
      </w:r>
    </w:p>
    <w:p w14:paraId="042061EC">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2.2“采购代理机构”系指温州市信合工程咨询有限公司。</w:t>
      </w:r>
    </w:p>
    <w:p w14:paraId="5507F806">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2.3“监督管理部门”系指苍南县财政局。</w:t>
      </w:r>
    </w:p>
    <w:p w14:paraId="3B9BEE55">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2.4“投标人”系指响应本次招标，参加本次投标的独立法人。</w:t>
      </w:r>
    </w:p>
    <w:p w14:paraId="4377F68A">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2.5“服务”系指采购文件或合同规定投标人须承担的服务以及其他类似的义务。</w:t>
      </w:r>
    </w:p>
    <w:p w14:paraId="672F3E21">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2.6“实质性条款”系指采购文件条款前标注“▲”标识的条款。</w:t>
      </w:r>
    </w:p>
    <w:p w14:paraId="7683C113">
      <w:pPr>
        <w:adjustRightIn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2.7电子签章：本文件所提及电子签章系指各供应商通过CA锁对投标文件中对应内容进行签章，表明签名人认可其中的内容。</w:t>
      </w:r>
    </w:p>
    <w:p w14:paraId="00D6B829">
      <w:pPr>
        <w:adjustRightIn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2.8公章：系指单位法定名称章。</w:t>
      </w:r>
    </w:p>
    <w:p w14:paraId="7D07ED58">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2.9官方指定网站公示的内容视为书面告知。</w:t>
      </w:r>
    </w:p>
    <w:p w14:paraId="121D1901">
      <w:pPr>
        <w:adjustRightInd w:val="0"/>
        <w:snapToGrid w:val="0"/>
        <w:spacing w:before="120" w:beforeLines="50"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3．合格的投标人及合格的投标货物和服务</w:t>
      </w:r>
    </w:p>
    <w:p w14:paraId="5B638F26">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3.1合格的投标人，详见采购公告第二条规定的投标人必须具备的资格条件并经采购人或采购代理机构审查通过的。</w:t>
      </w:r>
    </w:p>
    <w:p w14:paraId="5EE8E633">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3.2对投标人的限制</w:t>
      </w:r>
    </w:p>
    <w:p w14:paraId="143C3D9C">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3.2.1单位负责人（指法定代表人或者法律、行政法规规定代表单位行使职权的主要负责人）为同一人或者存在直接控股、管理关系的不同供应商不得分别参加同一合同项下的采购活动。违反本条规定的，相关投标均无效；</w:t>
      </w:r>
    </w:p>
    <w:p w14:paraId="4C875E32">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3.2.2为本项目提供过整体设计、规范编制或者项目管理、检测等服务的供应商，不得再参加该采购项目的其他采购活动；</w:t>
      </w:r>
    </w:p>
    <w:p w14:paraId="467B3E3A">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3.2.3以联合体形式参加政府采购活动的，联合体各方不得再单独参加或者与其他投标人另外组成联合体参加同一合同项下的政府采购活动；</w:t>
      </w:r>
    </w:p>
    <w:p w14:paraId="368F4CB0">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3.2.4为证明投标人拥有的业绩、荣誉、知识产权、项目案例等而在投标文件中提供的证明材料必须为投标人自身所有。不同法人、其他组织的资料与投标人无关。</w:t>
      </w:r>
    </w:p>
    <w:p w14:paraId="4D716BDE">
      <w:pPr>
        <w:adjustRightInd w:val="0"/>
        <w:snapToGrid w:val="0"/>
        <w:spacing w:before="120" w:beforeLines="50"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4．相关说明</w:t>
      </w:r>
    </w:p>
    <w:p w14:paraId="50333F3C">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4.1 投标费用</w:t>
      </w:r>
    </w:p>
    <w:p w14:paraId="3441F6E6">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投标人应承担其参加投标所涉及的一切费用，不管投标结果如何，采购人对这些费用不负任何责任。</w:t>
      </w:r>
    </w:p>
    <w:p w14:paraId="3EC71062">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4.2 投标人应仔细阅读采购文件的所有内容，按照采购文件的要求提交投标文件。投标文件应对采购文件的要求作出实质性响应，并对所提供的全部资料的真实性承担法律责任。</w:t>
      </w:r>
    </w:p>
    <w:p w14:paraId="32798B03">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4.3投标人投标所使用的资格、信誉、荣誉、业绩与企业认证必须为本法人所拥有。投标人投标拟派项目实施人员必须为本法人员工。</w:t>
      </w:r>
    </w:p>
    <w:p w14:paraId="35317235">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4.4投标人应仔细阅读采购文件的所有内容，按照采购文件的要求提交投标文件，并对所提供的全部资料的真实性承担法律责任。</w:t>
      </w:r>
    </w:p>
    <w:p w14:paraId="7BA6A959">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4.5投标人在投标活动中提供任何虚假材料,其投标无效，并报监管部门查处；中标后发现的,按《政府采购货物和服务招标投标管理办法》（财政部令第87号）相关规定承担相应的法律责任。</w:t>
      </w:r>
    </w:p>
    <w:p w14:paraId="3F19CA76">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4.6采购人优先采购被认定为首台套产品和“制造精品”的自主创新产品。对省级以上主管部门认定的首台套产品，自纳入《省推广应用指导目录》起三年内参加政府采购活动,视同已具备相应销售业绩,业绩分为满分。</w:t>
      </w:r>
    </w:p>
    <w:p w14:paraId="7C94187A">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5.  支持创新发展</w:t>
      </w:r>
    </w:p>
    <w:p w14:paraId="5BBF4BB0">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5.1 采购人优先采购被认定为首台套产品和“制造精品”的自主创新产品。</w:t>
      </w:r>
    </w:p>
    <w:p w14:paraId="35436557">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5.2 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0B761F3C">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6. 平等对待内外资企业和符合条件的破产重整企业</w:t>
      </w:r>
    </w:p>
    <w:p w14:paraId="0C53A82D">
      <w:pPr>
        <w:adjustRightInd w:val="0"/>
        <w:snapToGrid w:val="0"/>
        <w:spacing w:line="360" w:lineRule="auto"/>
        <w:ind w:firstLine="482"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平等对待内外资企业和符合条件的破产重整企业，切实保障企业公平竞争，平等维护企业的合法利益。</w:t>
      </w:r>
    </w:p>
    <w:p w14:paraId="19394433">
      <w:pPr>
        <w:pStyle w:val="3"/>
        <w:snapToGrid w:val="0"/>
        <w:spacing w:before="120" w:beforeLines="50" w:after="120" w:afterLines="50" w:line="360" w:lineRule="auto"/>
        <w:rPr>
          <w:rFonts w:ascii="楷体" w:hAnsi="楷体" w:cs="楷体"/>
          <w:color w:val="000000" w:themeColor="text1"/>
          <w:sz w:val="24"/>
          <w:szCs w:val="24"/>
          <w14:textFill>
            <w14:solidFill>
              <w14:schemeClr w14:val="tx1"/>
            </w14:solidFill>
          </w14:textFill>
        </w:rPr>
      </w:pPr>
      <w:bookmarkStart w:id="72" w:name="_Toc251566651"/>
      <w:bookmarkStart w:id="73" w:name="_Toc240450078"/>
      <w:bookmarkStart w:id="74" w:name="_Toc6197"/>
      <w:bookmarkStart w:id="75" w:name="_Toc30624"/>
      <w:bookmarkStart w:id="76" w:name="_Toc225868269"/>
      <w:bookmarkStart w:id="77" w:name="_Toc18851"/>
      <w:bookmarkStart w:id="78" w:name="_Toc7314"/>
      <w:bookmarkStart w:id="79" w:name="_Toc3057"/>
      <w:bookmarkStart w:id="80" w:name="_Toc15593"/>
      <w:bookmarkStart w:id="81" w:name="_Toc17120"/>
      <w:bookmarkStart w:id="82" w:name="_Toc3702"/>
      <w:bookmarkStart w:id="83" w:name="_Toc225867067"/>
      <w:bookmarkStart w:id="84" w:name="_Toc5187"/>
      <w:bookmarkStart w:id="85" w:name="_Toc12268"/>
      <w:bookmarkStart w:id="86" w:name="_Toc24139"/>
      <w:bookmarkStart w:id="87" w:name="_Toc19257"/>
      <w:bookmarkStart w:id="88" w:name="_Toc5089"/>
      <w:bookmarkStart w:id="89" w:name="_Toc25015"/>
      <w:bookmarkStart w:id="90" w:name="_Toc27862"/>
      <w:r>
        <w:rPr>
          <w:rFonts w:hint="eastAsia" w:ascii="楷体" w:hAnsi="楷体" w:cs="楷体"/>
          <w:color w:val="000000" w:themeColor="text1"/>
          <w:sz w:val="24"/>
          <w:szCs w:val="24"/>
          <w14:textFill>
            <w14:solidFill>
              <w14:schemeClr w14:val="tx1"/>
            </w14:solidFill>
          </w14:textFill>
        </w:rPr>
        <w:t>二、</w:t>
      </w:r>
      <w:bookmarkEnd w:id="72"/>
      <w:bookmarkEnd w:id="73"/>
      <w:r>
        <w:rPr>
          <w:rFonts w:hint="eastAsia" w:ascii="楷体" w:hAnsi="楷体" w:cs="楷体"/>
          <w:color w:val="000000" w:themeColor="text1"/>
          <w:sz w:val="24"/>
          <w:szCs w:val="24"/>
          <w14:textFill>
            <w14:solidFill>
              <w14:schemeClr w14:val="tx1"/>
            </w14:solidFill>
          </w14:textFill>
        </w:rPr>
        <w:t>采购文件</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D5CC967">
      <w:pPr>
        <w:adjustRightInd w:val="0"/>
        <w:snapToGrid w:val="0"/>
        <w:spacing w:before="120" w:beforeLines="50"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5．采购文件构成</w:t>
      </w:r>
    </w:p>
    <w:p w14:paraId="137688AF">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5.1 本采购文件包括目录所示内容及所有按本须知第6、7条发出的补充资料。</w:t>
      </w:r>
    </w:p>
    <w:p w14:paraId="70CC47CE">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5.2 除上述所列内容外，采购人和采购代理机构的任何工作人员对投标人所作的任何口头解释、介绍、答复，只能供投标人参考，对采购人、采购代理机构和投标人无任何约束力。</w:t>
      </w:r>
    </w:p>
    <w:p w14:paraId="4EE6355D">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5.3 采购文件是招标过程进行的有效依据，也是成交后签订合同的依据，对双方均具有约束力，凡不遵守采购文件规定或对采购文件的实质性内容不响应的，将可能被拒绝或以无效标处理。</w:t>
      </w:r>
    </w:p>
    <w:p w14:paraId="470B2BC3">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5.4 本采购文件由采购人或采购代理机构依据相关法律、法规、规章、省市规定及采购文件进行解释。</w:t>
      </w:r>
    </w:p>
    <w:p w14:paraId="1D486347">
      <w:pPr>
        <w:adjustRightInd w:val="0"/>
        <w:snapToGrid w:val="0"/>
        <w:spacing w:before="120" w:beforeLines="50"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6．采购文件的澄清</w:t>
      </w:r>
    </w:p>
    <w:p w14:paraId="5BB74E96">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6.1 投标人在获取采购文件后，若有问题需要澄清或认为有必要与采购人进行技术交流，应于前附表规定的时间前，将问题传真至</w:t>
      </w:r>
      <w:r>
        <w:rPr>
          <w:rFonts w:hint="eastAsia" w:ascii="楷体" w:hAnsi="楷体" w:eastAsia="楷体" w:cs="楷体"/>
          <w:snapToGrid w:val="0"/>
          <w:color w:val="000000" w:themeColor="text1"/>
          <w:kern w:val="0"/>
          <w:sz w:val="24"/>
          <w:u w:val="single"/>
          <w14:textFill>
            <w14:solidFill>
              <w14:schemeClr w14:val="tx1"/>
            </w14:solidFill>
          </w14:textFill>
        </w:rPr>
        <w:t>0577-68882000</w:t>
      </w:r>
      <w:r>
        <w:rPr>
          <w:rFonts w:hint="eastAsia" w:ascii="楷体" w:hAnsi="楷体" w:eastAsia="楷体" w:cs="楷体"/>
          <w:snapToGrid w:val="0"/>
          <w:color w:val="000000" w:themeColor="text1"/>
          <w:kern w:val="0"/>
          <w:sz w:val="24"/>
          <w14:textFill>
            <w14:solidFill>
              <w14:schemeClr w14:val="tx1"/>
            </w14:solidFill>
          </w14:textFill>
        </w:rPr>
        <w:t>，同时将问题发电子邮件至</w:t>
      </w:r>
      <w:r>
        <w:rPr>
          <w:rFonts w:hint="eastAsia" w:ascii="楷体" w:hAnsi="楷体" w:eastAsia="楷体" w:cs="楷体"/>
          <w:snapToGrid w:val="0"/>
          <w:color w:val="000000" w:themeColor="text1"/>
          <w:kern w:val="0"/>
          <w:sz w:val="24"/>
          <w:u w:val="single"/>
          <w14:textFill>
            <w14:solidFill>
              <w14:schemeClr w14:val="tx1"/>
            </w14:solidFill>
          </w14:textFill>
        </w:rPr>
        <w:t xml:space="preserve"> 1045023931@qq.com </w:t>
      </w:r>
      <w:r>
        <w:rPr>
          <w:rFonts w:hint="eastAsia" w:ascii="楷体" w:hAnsi="楷体" w:eastAsia="楷体" w:cs="楷体"/>
          <w:snapToGrid w:val="0"/>
          <w:color w:val="000000" w:themeColor="text1"/>
          <w:kern w:val="0"/>
          <w:sz w:val="24"/>
          <w14:textFill>
            <w14:solidFill>
              <w14:schemeClr w14:val="tx1"/>
            </w14:solidFill>
          </w14:textFill>
        </w:rPr>
        <w:t>（电子邮件与书面文件有不一致的，以书面文件为准）。截止期后的疑问将不予受理、答复。</w:t>
      </w:r>
    </w:p>
    <w:p w14:paraId="64B43C95">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6.2 投标人要求解释或澄清的问题应以书面或邮件形式提交，并加盖公章、写明日期。</w:t>
      </w:r>
    </w:p>
    <w:p w14:paraId="17398884">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6.3 所有要求解释或澄清的问题都予以解答，答疑内容与补充内容以更正（澄清）公告形式告知所有获取采购文件的投标人。</w:t>
      </w:r>
    </w:p>
    <w:p w14:paraId="465E35B8">
      <w:pPr>
        <w:adjustRightInd w:val="0"/>
        <w:snapToGrid w:val="0"/>
        <w:spacing w:before="120" w:beforeLines="50"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7．采购文件的修改</w:t>
      </w:r>
    </w:p>
    <w:p w14:paraId="258CA4CD">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7.1 采购人或者采购代理机构可以对已发出的采购文件进行必要的澄清或者修改。澄清或者修改的内容可能影响投标文件编制的，采购人或者采购代理机构应当在投标截止时间至少15日前，以更正（澄清）公告形式通知所有获取采购文件的潜在投标人；不足15日的，采购人或者采购代理机构应当顺延提交投标文件的截止时间。</w:t>
      </w:r>
    </w:p>
    <w:p w14:paraId="265464F5">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7.2 采购文件的修改将以更正（澄清）公告通知所有获取采购文件的投标人，并对其具有约束力。</w:t>
      </w:r>
      <w:r>
        <w:rPr>
          <w:rFonts w:hint="eastAsia" w:ascii="楷体" w:hAnsi="楷体" w:eastAsia="楷体" w:cs="楷体"/>
          <w:color w:val="000000" w:themeColor="text1"/>
          <w:sz w:val="24"/>
          <w14:textFill>
            <w14:solidFill>
              <w14:schemeClr w14:val="tx1"/>
            </w14:solidFill>
          </w14:textFill>
        </w:rPr>
        <w:t>投标人应及时关注浙江政府采购网上该项目的公告信息</w:t>
      </w:r>
      <w:r>
        <w:rPr>
          <w:rFonts w:hint="eastAsia" w:ascii="楷体" w:hAnsi="楷体" w:eastAsia="楷体" w:cs="楷体"/>
          <w:snapToGrid w:val="0"/>
          <w:color w:val="000000" w:themeColor="text1"/>
          <w:kern w:val="0"/>
          <w:sz w:val="24"/>
          <w14:textFill>
            <w14:solidFill>
              <w14:schemeClr w14:val="tx1"/>
            </w14:solidFill>
          </w14:textFill>
        </w:rPr>
        <w:t>。</w:t>
      </w:r>
    </w:p>
    <w:p w14:paraId="02BD18DD">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7.3 在更正（澄清）公告发布后，如果投标人认为编制投标文件的时间不充分的，必须在公告发布之日的24小时内通知采购人和采购代理机构。否则，视同投标人有充足时间编制投标文件。</w:t>
      </w:r>
    </w:p>
    <w:p w14:paraId="5A507C3B">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7.4采购文件澄清、答复、修改、补充的内容为采购文件的组成部分。当采购文件与采购文件的答复、澄清、修改、补充通知就同一内容的表述不一致时，以最后发出的更正（澄清）公告为准。</w:t>
      </w:r>
    </w:p>
    <w:p w14:paraId="2C112933">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7.6 采购文件的澄清、答复、修改或补充都应该通过本代理机构以法定形式发布，除此以外的发布不属于采购文件的组成部分。</w:t>
      </w:r>
    </w:p>
    <w:p w14:paraId="73E900B5">
      <w:pPr>
        <w:pStyle w:val="3"/>
        <w:snapToGrid w:val="0"/>
        <w:spacing w:before="120" w:beforeLines="50" w:after="120" w:afterLines="50" w:line="360" w:lineRule="auto"/>
        <w:rPr>
          <w:rFonts w:ascii="楷体" w:hAnsi="楷体" w:cs="楷体"/>
          <w:color w:val="000000" w:themeColor="text1"/>
          <w:sz w:val="24"/>
          <w:szCs w:val="24"/>
          <w14:textFill>
            <w14:solidFill>
              <w14:schemeClr w14:val="tx1"/>
            </w14:solidFill>
          </w14:textFill>
        </w:rPr>
      </w:pPr>
      <w:bookmarkStart w:id="91" w:name="_Toc240450079"/>
      <w:bookmarkStart w:id="92" w:name="_Toc31368"/>
      <w:bookmarkStart w:id="93" w:name="_Toc27977"/>
      <w:bookmarkStart w:id="94" w:name="_Toc8352"/>
      <w:bookmarkStart w:id="95" w:name="_Toc225868270"/>
      <w:bookmarkStart w:id="96" w:name="_Toc12133"/>
      <w:bookmarkStart w:id="97" w:name="_Toc225867068"/>
      <w:bookmarkStart w:id="98" w:name="_Toc3081"/>
      <w:bookmarkStart w:id="99" w:name="_Toc21376"/>
      <w:bookmarkStart w:id="100" w:name="_Toc31668"/>
      <w:bookmarkStart w:id="101" w:name="_Toc8541"/>
      <w:bookmarkStart w:id="102" w:name="_Toc6282"/>
      <w:bookmarkStart w:id="103" w:name="_Toc18720"/>
      <w:bookmarkStart w:id="104" w:name="_Toc16774"/>
      <w:bookmarkStart w:id="105" w:name="_Toc27250"/>
      <w:bookmarkStart w:id="106" w:name="_Toc251566652"/>
      <w:bookmarkStart w:id="107" w:name="_Toc2685"/>
      <w:bookmarkStart w:id="108" w:name="_Toc21787"/>
      <w:bookmarkStart w:id="109" w:name="_Toc8363"/>
      <w:r>
        <w:rPr>
          <w:rFonts w:hint="eastAsia" w:ascii="楷体" w:hAnsi="楷体" w:cs="楷体"/>
          <w:color w:val="000000" w:themeColor="text1"/>
          <w:sz w:val="24"/>
          <w:szCs w:val="24"/>
          <w14:textFill>
            <w14:solidFill>
              <w14:schemeClr w14:val="tx1"/>
            </w14:solidFill>
          </w14:textFill>
        </w:rPr>
        <w:t>三、投标文件的编制</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B2354A1">
      <w:pPr>
        <w:adjustRightInd w:val="0"/>
        <w:snapToGrid w:val="0"/>
        <w:spacing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投标人应认真阅读采购文件中所有的事项、格式、条款和技术要求等。如果投标人没有按照采购文件要求和规定编制投标文件及提交全部资料，或者投标没有对采购文件中各方面作出实质性响应，其风险应由投标人承担。</w:t>
      </w:r>
    </w:p>
    <w:p w14:paraId="31A66466">
      <w:pPr>
        <w:adjustRightInd w:val="0"/>
        <w:snapToGrid w:val="0"/>
        <w:spacing w:before="120" w:beforeLines="50"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8．投标文件的语言、计量单位、形式及效力</w:t>
      </w:r>
    </w:p>
    <w:p w14:paraId="036897E4">
      <w:pPr>
        <w:adjustRightInd w:val="0"/>
        <w:snapToGrid w:val="0"/>
        <w:spacing w:before="120" w:beforeLines="50"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8.1语言及计量单位</w:t>
      </w:r>
    </w:p>
    <w:p w14:paraId="3A696CAC">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8.1.1 投标文件及投标人与采购人之间与投标有关的来往通知、函件和文件均应使用简体中文。除签名、盖章、专用名称等特殊情形外，以中文汉语以外的文字表述的投标文件视同未提供。投标人提交的支持文件和印刷的文献可以用另一种语言，但相应内容应附有中文翻译文本，在解释投标文件时以中文翻译文本为准。</w:t>
      </w:r>
    </w:p>
    <w:p w14:paraId="30EC2E90">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8.1.2 除采购文件另有规定外，投标文件所使用的计量单位，均须采用中华人民共和国法定计量单位，否则视同未响应。</w:t>
      </w:r>
    </w:p>
    <w:p w14:paraId="329CA33E">
      <w:pPr>
        <w:adjustRightInd w:val="0"/>
        <w:snapToGrid w:val="0"/>
        <w:spacing w:before="120" w:beforeLines="50"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8.2投标文件的形式和效力</w:t>
      </w:r>
    </w:p>
    <w:p w14:paraId="1C2BC7A5">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8.2.1投标文件为电子投标文件，电子投标文件按“政采云供应商项目采购-电子招投标操作指南”及本招标文件要求制作、加密传输。</w:t>
      </w:r>
    </w:p>
    <w:p w14:paraId="693BF1A2">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8.2.2投标文件未在投标截止时间前完成传输的，视为未按时递交投标文件；投标文件未按时解密，视为投标文件撤回。</w:t>
      </w:r>
    </w:p>
    <w:p w14:paraId="43584BA6">
      <w:pPr>
        <w:adjustRightInd w:val="0"/>
        <w:snapToGrid w:val="0"/>
        <w:spacing w:before="120" w:beforeLines="50"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9．投标文件构成</w:t>
      </w:r>
    </w:p>
    <w:p w14:paraId="51C6EBE8">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投标人向采购人递交的投标文件均由</w:t>
      </w:r>
      <w:r>
        <w:rPr>
          <w:rFonts w:hint="eastAsia" w:ascii="楷体" w:hAnsi="楷体" w:eastAsia="楷体" w:cs="楷体"/>
          <w:b/>
          <w:bCs/>
          <w:snapToGrid w:val="0"/>
          <w:color w:val="000000" w:themeColor="text1"/>
          <w:kern w:val="0"/>
          <w:sz w:val="24"/>
          <w14:textFill>
            <w14:solidFill>
              <w14:schemeClr w14:val="tx1"/>
            </w14:solidFill>
          </w14:textFill>
        </w:rPr>
        <w:t>资格文件、商务技术文件、报价文件</w:t>
      </w:r>
      <w:r>
        <w:rPr>
          <w:rFonts w:hint="eastAsia" w:ascii="楷体" w:hAnsi="楷体" w:eastAsia="楷体" w:cs="楷体"/>
          <w:snapToGrid w:val="0"/>
          <w:color w:val="000000" w:themeColor="text1"/>
          <w:kern w:val="0"/>
          <w:sz w:val="24"/>
          <w14:textFill>
            <w14:solidFill>
              <w14:schemeClr w14:val="tx1"/>
            </w14:solidFill>
          </w14:textFill>
        </w:rPr>
        <w:t>组成，具体内容如下：</w:t>
      </w:r>
    </w:p>
    <w:p w14:paraId="497EEDF1">
      <w:pPr>
        <w:autoSpaceDE w:val="0"/>
        <w:autoSpaceDN w:val="0"/>
        <w:adjustRightInd w:val="0"/>
        <w:snapToGrid w:val="0"/>
        <w:spacing w:line="360" w:lineRule="auto"/>
        <w:ind w:firstLine="482" w:firstLineChars="200"/>
        <w:textAlignment w:val="bottom"/>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9.1资格文件</w:t>
      </w:r>
    </w:p>
    <w:p w14:paraId="6116C1CD">
      <w:pPr>
        <w:tabs>
          <w:tab w:val="left" w:pos="720"/>
        </w:tabs>
        <w:adjustRightInd w:val="0"/>
        <w:snapToGrid w:val="0"/>
        <w:spacing w:line="360" w:lineRule="auto"/>
        <w:ind w:left="420"/>
        <w:jc w:val="left"/>
        <w:rPr>
          <w:rFonts w:ascii="楷体" w:hAnsi="楷体" w:eastAsia="楷体" w:cs="楷体"/>
          <w:bCs/>
          <w:snapToGrid w:val="0"/>
          <w:color w:val="000000" w:themeColor="text1"/>
          <w:kern w:val="0"/>
          <w:sz w:val="24"/>
          <w14:textFill>
            <w14:solidFill>
              <w14:schemeClr w14:val="tx1"/>
            </w14:solidFill>
          </w14:textFill>
        </w:rPr>
      </w:pPr>
      <w:r>
        <w:rPr>
          <w:rFonts w:hint="eastAsia" w:ascii="楷体" w:hAnsi="楷体" w:eastAsia="楷体" w:cs="楷体"/>
          <w:bCs/>
          <w:snapToGrid w:val="0"/>
          <w:color w:val="000000" w:themeColor="text1"/>
          <w:kern w:val="0"/>
          <w:sz w:val="24"/>
          <w14:textFill>
            <w14:solidFill>
              <w14:schemeClr w14:val="tx1"/>
            </w14:solidFill>
          </w14:textFill>
        </w:rPr>
        <w:t>如下为资格证明材料所需内容：</w:t>
      </w:r>
    </w:p>
    <w:p w14:paraId="31AD6258">
      <w:pPr>
        <w:tabs>
          <w:tab w:val="left" w:pos="720"/>
        </w:tabs>
        <w:adjustRightInd w:val="0"/>
        <w:snapToGrid w:val="0"/>
        <w:spacing w:line="360" w:lineRule="auto"/>
        <w:ind w:left="420"/>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（1）基本资格条件：符合《中华人民共和国政府采购法》第二十二条的规定；</w:t>
      </w:r>
    </w:p>
    <w:p w14:paraId="7066B936">
      <w:pPr>
        <w:tabs>
          <w:tab w:val="left" w:pos="720"/>
        </w:tabs>
        <w:adjustRightInd w:val="0"/>
        <w:snapToGrid w:val="0"/>
        <w:spacing w:line="360" w:lineRule="auto"/>
        <w:ind w:firstLine="480" w:firstLineChars="200"/>
        <w:jc w:val="left"/>
        <w:rPr>
          <w:rFonts w:ascii="楷体" w:hAnsi="楷体" w:eastAsia="楷体" w:cs="楷体"/>
          <w:bCs/>
          <w:snapToGrid w:val="0"/>
          <w:color w:val="000000" w:themeColor="text1"/>
          <w:kern w:val="0"/>
          <w:sz w:val="24"/>
          <w14:textFill>
            <w14:solidFill>
              <w14:schemeClr w14:val="tx1"/>
            </w14:solidFill>
          </w14:textFill>
        </w:rPr>
      </w:pPr>
      <w:r>
        <w:rPr>
          <w:rFonts w:hint="eastAsia" w:ascii="楷体" w:hAnsi="楷体" w:eastAsia="楷体" w:cs="楷体"/>
          <w:bCs/>
          <w:snapToGrid w:val="0"/>
          <w:color w:val="000000" w:themeColor="text1"/>
          <w:kern w:val="0"/>
          <w:sz w:val="24"/>
          <w14:textFill>
            <w14:solidFill>
              <w14:schemeClr w14:val="tx1"/>
            </w14:solidFill>
          </w14:textFill>
        </w:rPr>
        <w:t>各投标人须在投标文件中出具对应证明材料。（商业信誉可提前自查，投标文件中可不提供）</w:t>
      </w:r>
    </w:p>
    <w:p w14:paraId="5C72A06A">
      <w:pPr>
        <w:pStyle w:val="42"/>
        <w:numPr>
          <w:ilvl w:val="0"/>
          <w:numId w:val="8"/>
        </w:numPr>
        <w:tabs>
          <w:tab w:val="left" w:pos="630"/>
          <w:tab w:val="left" w:pos="840"/>
          <w:tab w:val="left" w:pos="1050"/>
        </w:tabs>
        <w:adjustRightInd w:val="0"/>
        <w:snapToGrid w:val="0"/>
        <w:spacing w:before="0" w:beforeAutospacing="0" w:after="0" w:afterAutospacing="0" w:line="360" w:lineRule="auto"/>
        <w:ind w:hanging="5"/>
        <w:rPr>
          <w:rFonts w:ascii="楷体" w:hAnsi="楷体" w:eastAsia="楷体" w:cs="楷体"/>
          <w:bCs/>
          <w:color w:val="000000" w:themeColor="text1"/>
          <w:sz w:val="24"/>
          <w:szCs w:val="24"/>
          <w14:textFill>
            <w14:solidFill>
              <w14:schemeClr w14:val="tx1"/>
            </w14:solidFill>
          </w14:textFill>
        </w:rPr>
      </w:pPr>
      <w:r>
        <w:rPr>
          <w:rFonts w:hint="eastAsia" w:ascii="楷体" w:hAnsi="楷体" w:eastAsia="楷体" w:cs="楷体"/>
          <w:bCs/>
          <w:color w:val="000000" w:themeColor="text1"/>
          <w:sz w:val="24"/>
          <w:szCs w:val="24"/>
          <w14:textFill>
            <w14:solidFill>
              <w14:schemeClr w14:val="tx1"/>
            </w14:solidFill>
          </w14:textFill>
        </w:rPr>
        <w:t>具有独立承担民事责任能力的证明材料（可提供b项代替）；</w:t>
      </w:r>
    </w:p>
    <w:p w14:paraId="1D59B0C0">
      <w:pPr>
        <w:pStyle w:val="42"/>
        <w:tabs>
          <w:tab w:val="left" w:pos="630"/>
          <w:tab w:val="left" w:pos="840"/>
          <w:tab w:val="left" w:pos="1050"/>
        </w:tabs>
        <w:adjustRightInd w:val="0"/>
        <w:snapToGrid w:val="0"/>
        <w:spacing w:before="0" w:beforeAutospacing="0" w:after="0" w:afterAutospacing="0" w:line="360" w:lineRule="auto"/>
        <w:ind w:left="420"/>
        <w:rPr>
          <w:rFonts w:ascii="楷体" w:hAnsi="楷体" w:eastAsia="楷体" w:cs="楷体"/>
          <w:bCs/>
          <w:color w:val="000000" w:themeColor="text1"/>
          <w:sz w:val="24"/>
          <w:szCs w:val="24"/>
          <w14:textFill>
            <w14:solidFill>
              <w14:schemeClr w14:val="tx1"/>
            </w14:solidFill>
          </w14:textFill>
        </w:rPr>
      </w:pPr>
      <w:r>
        <w:rPr>
          <w:rFonts w:hint="eastAsia" w:ascii="楷体" w:hAnsi="楷体" w:eastAsia="楷体" w:cs="楷体"/>
          <w:bCs/>
          <w:color w:val="000000" w:themeColor="text1"/>
          <w:sz w:val="24"/>
          <w:szCs w:val="24"/>
          <w14:textFill>
            <w14:solidFill>
              <w14:schemeClr w14:val="tx1"/>
            </w14:solidFill>
          </w14:textFill>
        </w:rPr>
        <w:t>投标人须在投标文件中出具符合以下情况的证明材料复印件（五选一）：</w:t>
      </w:r>
    </w:p>
    <w:p w14:paraId="78C0B4FB">
      <w:pPr>
        <w:pStyle w:val="42"/>
        <w:numPr>
          <w:ilvl w:val="0"/>
          <w:numId w:val="9"/>
        </w:numPr>
        <w:tabs>
          <w:tab w:val="left" w:pos="312"/>
        </w:tabs>
        <w:adjustRightInd w:val="0"/>
        <w:snapToGrid w:val="0"/>
        <w:spacing w:before="0" w:beforeAutospacing="0" w:after="0" w:afterAutospacing="0" w:line="360" w:lineRule="auto"/>
        <w:ind w:firstLine="480" w:firstLineChars="200"/>
        <w:rPr>
          <w:rFonts w:ascii="楷体" w:hAnsi="楷体" w:eastAsia="楷体" w:cs="楷体"/>
          <w:bCs/>
          <w:color w:val="000000" w:themeColor="text1"/>
          <w:sz w:val="24"/>
          <w:szCs w:val="24"/>
          <w14:textFill>
            <w14:solidFill>
              <w14:schemeClr w14:val="tx1"/>
            </w14:solidFill>
          </w14:textFill>
        </w:rPr>
      </w:pPr>
      <w:r>
        <w:rPr>
          <w:rFonts w:hint="eastAsia" w:ascii="楷体" w:hAnsi="楷体" w:eastAsia="楷体" w:cs="楷体"/>
          <w:bCs/>
          <w:color w:val="000000" w:themeColor="text1"/>
          <w:sz w:val="24"/>
          <w:szCs w:val="24"/>
          <w14:textFill>
            <w14:solidFill>
              <w14:schemeClr w14:val="tx1"/>
            </w14:solidFill>
          </w14:textFill>
        </w:rPr>
        <w:t>如投标人是企业（包括合伙企业），提供在工商部门注册的有效“企业法人营业执照”或“营业执照”；</w:t>
      </w:r>
    </w:p>
    <w:p w14:paraId="3E1F9039">
      <w:pPr>
        <w:pStyle w:val="42"/>
        <w:numPr>
          <w:ilvl w:val="0"/>
          <w:numId w:val="9"/>
        </w:numPr>
        <w:tabs>
          <w:tab w:val="left" w:pos="312"/>
        </w:tabs>
        <w:adjustRightInd w:val="0"/>
        <w:snapToGrid w:val="0"/>
        <w:spacing w:before="0" w:beforeAutospacing="0" w:after="0" w:afterAutospacing="0" w:line="360" w:lineRule="auto"/>
        <w:ind w:firstLine="480" w:firstLineChars="200"/>
        <w:rPr>
          <w:rFonts w:ascii="楷体" w:hAnsi="楷体" w:eastAsia="楷体" w:cs="楷体"/>
          <w:bCs/>
          <w:color w:val="000000" w:themeColor="text1"/>
          <w:sz w:val="24"/>
          <w:szCs w:val="24"/>
          <w14:textFill>
            <w14:solidFill>
              <w14:schemeClr w14:val="tx1"/>
            </w14:solidFill>
          </w14:textFill>
        </w:rPr>
      </w:pPr>
      <w:r>
        <w:rPr>
          <w:rFonts w:hint="eastAsia" w:ascii="楷体" w:hAnsi="楷体" w:eastAsia="楷体" w:cs="楷体"/>
          <w:bCs/>
          <w:color w:val="000000" w:themeColor="text1"/>
          <w:sz w:val="24"/>
          <w:szCs w:val="24"/>
          <w14:textFill>
            <w14:solidFill>
              <w14:schemeClr w14:val="tx1"/>
            </w14:solidFill>
          </w14:textFill>
        </w:rPr>
        <w:t>如投标人是事业单位，提供有效的“事业单位法人证书”；</w:t>
      </w:r>
    </w:p>
    <w:p w14:paraId="6DA36F14">
      <w:pPr>
        <w:pStyle w:val="42"/>
        <w:numPr>
          <w:ilvl w:val="0"/>
          <w:numId w:val="9"/>
        </w:numPr>
        <w:tabs>
          <w:tab w:val="left" w:pos="312"/>
        </w:tabs>
        <w:adjustRightInd w:val="0"/>
        <w:snapToGrid w:val="0"/>
        <w:spacing w:before="0" w:beforeAutospacing="0" w:after="0" w:afterAutospacing="0" w:line="360" w:lineRule="auto"/>
        <w:ind w:firstLine="480" w:firstLineChars="200"/>
        <w:rPr>
          <w:rFonts w:ascii="楷体" w:hAnsi="楷体" w:eastAsia="楷体" w:cs="楷体"/>
          <w:bCs/>
          <w:color w:val="000000" w:themeColor="text1"/>
          <w:sz w:val="24"/>
          <w:szCs w:val="24"/>
          <w14:textFill>
            <w14:solidFill>
              <w14:schemeClr w14:val="tx1"/>
            </w14:solidFill>
          </w14:textFill>
        </w:rPr>
      </w:pPr>
      <w:r>
        <w:rPr>
          <w:rFonts w:hint="eastAsia" w:ascii="楷体" w:hAnsi="楷体" w:eastAsia="楷体" w:cs="楷体"/>
          <w:bCs/>
          <w:color w:val="000000" w:themeColor="text1"/>
          <w:sz w:val="24"/>
          <w:szCs w:val="24"/>
          <w14:textFill>
            <w14:solidFill>
              <w14:schemeClr w14:val="tx1"/>
            </w14:solidFill>
          </w14:textFill>
        </w:rPr>
        <w:t>如投标人是非企业专业服务机构的，提供执业许可证等证明文件；</w:t>
      </w:r>
    </w:p>
    <w:p w14:paraId="61F278C2">
      <w:pPr>
        <w:pStyle w:val="42"/>
        <w:numPr>
          <w:ilvl w:val="0"/>
          <w:numId w:val="9"/>
        </w:numPr>
        <w:tabs>
          <w:tab w:val="left" w:pos="312"/>
        </w:tabs>
        <w:adjustRightInd w:val="0"/>
        <w:snapToGrid w:val="0"/>
        <w:spacing w:before="0" w:beforeAutospacing="0" w:after="0" w:afterAutospacing="0" w:line="360" w:lineRule="auto"/>
        <w:ind w:firstLine="480" w:firstLineChars="200"/>
        <w:rPr>
          <w:rFonts w:ascii="楷体" w:hAnsi="楷体" w:eastAsia="楷体" w:cs="楷体"/>
          <w:bCs/>
          <w:color w:val="000000" w:themeColor="text1"/>
          <w:sz w:val="24"/>
          <w:szCs w:val="24"/>
          <w14:textFill>
            <w14:solidFill>
              <w14:schemeClr w14:val="tx1"/>
            </w14:solidFill>
          </w14:textFill>
        </w:rPr>
      </w:pPr>
      <w:r>
        <w:rPr>
          <w:rFonts w:hint="eastAsia" w:ascii="楷体" w:hAnsi="楷体" w:eastAsia="楷体" w:cs="楷体"/>
          <w:bCs/>
          <w:color w:val="000000" w:themeColor="text1"/>
          <w:sz w:val="24"/>
          <w:szCs w:val="24"/>
          <w14:textFill>
            <w14:solidFill>
              <w14:schemeClr w14:val="tx1"/>
            </w14:solidFill>
          </w14:textFill>
        </w:rPr>
        <w:t>如投标人是个体工商户，提供有效的“个体工商户营业执照”；</w:t>
      </w:r>
    </w:p>
    <w:p w14:paraId="4D2781C0">
      <w:pPr>
        <w:pStyle w:val="42"/>
        <w:numPr>
          <w:ilvl w:val="0"/>
          <w:numId w:val="9"/>
        </w:numPr>
        <w:tabs>
          <w:tab w:val="left" w:pos="312"/>
        </w:tabs>
        <w:adjustRightInd w:val="0"/>
        <w:snapToGrid w:val="0"/>
        <w:spacing w:before="0" w:beforeAutospacing="0" w:after="0" w:afterAutospacing="0" w:line="360" w:lineRule="auto"/>
        <w:ind w:firstLine="480" w:firstLineChars="200"/>
        <w:rPr>
          <w:rFonts w:ascii="楷体" w:hAnsi="楷体" w:eastAsia="楷体" w:cs="楷体"/>
          <w:bCs/>
          <w:color w:val="000000" w:themeColor="text1"/>
          <w:sz w:val="24"/>
          <w:szCs w:val="24"/>
          <w14:textFill>
            <w14:solidFill>
              <w14:schemeClr w14:val="tx1"/>
            </w14:solidFill>
          </w14:textFill>
        </w:rPr>
      </w:pPr>
      <w:r>
        <w:rPr>
          <w:rFonts w:hint="eastAsia" w:ascii="楷体" w:hAnsi="楷体" w:eastAsia="楷体" w:cs="楷体"/>
          <w:bCs/>
          <w:color w:val="000000" w:themeColor="text1"/>
          <w:sz w:val="24"/>
          <w:szCs w:val="24"/>
          <w14:textFill>
            <w14:solidFill>
              <w14:schemeClr w14:val="tx1"/>
            </w14:solidFill>
          </w14:textFill>
        </w:rPr>
        <w:t>如投标人是自然人，提供有效的自然人身份证明（居民身份证正反面或公安机关出具的临时居民身份证正反面或港澳台胞证或护照）。</w:t>
      </w:r>
    </w:p>
    <w:p w14:paraId="546A772C">
      <w:pPr>
        <w:pStyle w:val="42"/>
        <w:tabs>
          <w:tab w:val="left" w:pos="630"/>
          <w:tab w:val="left" w:pos="840"/>
          <w:tab w:val="left" w:pos="1050"/>
        </w:tabs>
        <w:adjustRightInd w:val="0"/>
        <w:snapToGrid w:val="0"/>
        <w:spacing w:before="0" w:beforeAutospacing="0" w:after="0" w:afterAutospacing="0" w:line="360" w:lineRule="auto"/>
        <w:ind w:firstLine="480" w:firstLineChars="200"/>
        <w:rPr>
          <w:rFonts w:ascii="楷体" w:hAnsi="楷体" w:eastAsia="楷体" w:cs="楷体"/>
          <w:bCs/>
          <w:color w:val="000000" w:themeColor="text1"/>
          <w:sz w:val="24"/>
          <w:szCs w:val="24"/>
          <w14:textFill>
            <w14:solidFill>
              <w14:schemeClr w14:val="tx1"/>
            </w14:solidFill>
          </w14:textFill>
        </w:rPr>
      </w:pPr>
      <w:r>
        <w:rPr>
          <w:rFonts w:hint="eastAsia" w:ascii="楷体" w:hAnsi="楷体" w:eastAsia="楷体" w:cs="楷体"/>
          <w:bCs/>
          <w:color w:val="000000" w:themeColor="text1"/>
          <w:sz w:val="24"/>
          <w:szCs w:val="24"/>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71E5D42D">
      <w:pPr>
        <w:pStyle w:val="42"/>
        <w:numPr>
          <w:ilvl w:val="0"/>
          <w:numId w:val="8"/>
        </w:numPr>
        <w:tabs>
          <w:tab w:val="left" w:pos="630"/>
          <w:tab w:val="left" w:pos="840"/>
          <w:tab w:val="left" w:pos="1050"/>
        </w:tabs>
        <w:adjustRightInd w:val="0"/>
        <w:snapToGrid w:val="0"/>
        <w:spacing w:before="0" w:beforeAutospacing="0" w:after="0" w:afterAutospacing="0" w:line="360" w:lineRule="auto"/>
        <w:ind w:left="5" w:firstLine="415"/>
        <w:rPr>
          <w:rFonts w:ascii="楷体" w:hAnsi="楷体" w:eastAsia="楷体" w:cs="楷体"/>
          <w:bCs/>
          <w:color w:val="000000" w:themeColor="text1"/>
          <w:sz w:val="24"/>
          <w:szCs w:val="24"/>
          <w14:textFill>
            <w14:solidFill>
              <w14:schemeClr w14:val="tx1"/>
            </w14:solidFill>
          </w14:textFill>
        </w:rPr>
      </w:pPr>
      <w:r>
        <w:rPr>
          <w:rFonts w:hint="eastAsia" w:ascii="楷体" w:hAnsi="楷体" w:eastAsia="楷体" w:cs="楷体"/>
          <w:bCs/>
          <w:color w:val="000000" w:themeColor="text1"/>
          <w:sz w:val="24"/>
          <w:szCs w:val="24"/>
          <w14:textFill>
            <w14:solidFill>
              <w14:schemeClr w14:val="tx1"/>
            </w14:solidFill>
          </w14:textFill>
        </w:rPr>
        <w:t>符合参与政府采购活动资格条件的承诺函；（参考格式见本文件第五部分）</w:t>
      </w:r>
    </w:p>
    <w:p w14:paraId="7E8FDD87">
      <w:pPr>
        <w:pStyle w:val="42"/>
        <w:tabs>
          <w:tab w:val="left" w:pos="630"/>
          <w:tab w:val="left" w:pos="840"/>
          <w:tab w:val="left" w:pos="1050"/>
        </w:tabs>
        <w:adjustRightInd w:val="0"/>
        <w:snapToGrid w:val="0"/>
        <w:spacing w:before="0" w:beforeAutospacing="0" w:after="0" w:afterAutospacing="0" w:line="360" w:lineRule="auto"/>
        <w:ind w:firstLine="559" w:firstLineChars="233"/>
        <w:rPr>
          <w:rFonts w:ascii="楷体" w:hAnsi="楷体" w:eastAsia="楷体" w:cs="楷体"/>
          <w:bCs/>
          <w:color w:val="000000" w:themeColor="text1"/>
          <w:sz w:val="24"/>
          <w:szCs w:val="24"/>
          <w14:textFill>
            <w14:solidFill>
              <w14:schemeClr w14:val="tx1"/>
            </w14:solidFill>
          </w14:textFill>
        </w:rPr>
      </w:pPr>
      <w:r>
        <w:rPr>
          <w:rFonts w:hint="eastAsia" w:ascii="楷体" w:hAnsi="楷体" w:eastAsia="楷体" w:cs="楷体"/>
          <w:bCs/>
          <w:color w:val="000000" w:themeColor="text1"/>
          <w:sz w:val="24"/>
          <w:szCs w:val="24"/>
          <w14:textFill>
            <w14:solidFill>
              <w14:schemeClr w14:val="tx1"/>
            </w14:solidFill>
          </w14:textFill>
        </w:rPr>
        <w:t>特别说明：已完成信用修复的“缴纳税收和社会保障等方面的失信记录”不包含在《承诺函》第3点所述情形内（属于重大违法纪录情形的除外）。</w:t>
      </w:r>
    </w:p>
    <w:p w14:paraId="075BFA07">
      <w:pPr>
        <w:pStyle w:val="42"/>
        <w:numPr>
          <w:ilvl w:val="0"/>
          <w:numId w:val="8"/>
        </w:numPr>
        <w:tabs>
          <w:tab w:val="left" w:pos="630"/>
          <w:tab w:val="left" w:pos="840"/>
          <w:tab w:val="left" w:pos="1050"/>
        </w:tabs>
        <w:adjustRightInd w:val="0"/>
        <w:snapToGrid w:val="0"/>
        <w:spacing w:before="0" w:beforeAutospacing="0" w:after="0" w:afterAutospacing="0" w:line="360" w:lineRule="auto"/>
        <w:ind w:hanging="5"/>
        <w:rPr>
          <w:rFonts w:ascii="楷体" w:hAnsi="楷体" w:eastAsia="楷体" w:cs="楷体"/>
          <w:bCs/>
          <w:color w:val="000000" w:themeColor="text1"/>
          <w:sz w:val="24"/>
          <w:szCs w:val="24"/>
          <w14:textFill>
            <w14:solidFill>
              <w14:schemeClr w14:val="tx1"/>
            </w14:solidFill>
          </w14:textFill>
        </w:rPr>
      </w:pPr>
      <w:r>
        <w:rPr>
          <w:rFonts w:hint="eastAsia" w:ascii="楷体" w:hAnsi="楷体" w:eastAsia="楷体" w:cs="楷体"/>
          <w:bCs/>
          <w:color w:val="000000" w:themeColor="text1"/>
          <w:sz w:val="24"/>
          <w:szCs w:val="24"/>
          <w14:textFill>
            <w14:solidFill>
              <w14:schemeClr w14:val="tx1"/>
            </w14:solidFill>
          </w14:textFill>
        </w:rPr>
        <w:t>商业信誉：</w:t>
      </w:r>
    </w:p>
    <w:p w14:paraId="6554C14A">
      <w:pPr>
        <w:pStyle w:val="42"/>
        <w:adjustRightInd w:val="0"/>
        <w:snapToGrid w:val="0"/>
        <w:spacing w:before="0" w:beforeAutospacing="0" w:after="0" w:afterAutospacing="0" w:line="360" w:lineRule="auto"/>
        <w:ind w:firstLine="476" w:firstLineChars="209"/>
        <w:rPr>
          <w:rFonts w:ascii="楷体" w:hAnsi="楷体" w:eastAsia="楷体" w:cs="楷体"/>
          <w:bCs/>
          <w:color w:val="000000" w:themeColor="text1"/>
          <w:spacing w:val="-6"/>
          <w:sz w:val="24"/>
          <w:szCs w:val="24"/>
          <w14:textFill>
            <w14:solidFill>
              <w14:schemeClr w14:val="tx1"/>
            </w14:solidFill>
          </w14:textFill>
        </w:rPr>
      </w:pPr>
      <w:r>
        <w:rPr>
          <w:rFonts w:hint="eastAsia" w:ascii="楷体" w:hAnsi="楷体" w:eastAsia="楷体" w:cs="楷体"/>
          <w:bCs/>
          <w:color w:val="000000" w:themeColor="text1"/>
          <w:spacing w:val="-6"/>
          <w:sz w:val="24"/>
          <w:szCs w:val="24"/>
          <w14:textFill>
            <w14:solidFill>
              <w14:schemeClr w14:val="tx1"/>
            </w14:solidFill>
          </w14:textFill>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76404D8F">
      <w:pPr>
        <w:pStyle w:val="42"/>
        <w:adjustRightInd w:val="0"/>
        <w:snapToGrid w:val="0"/>
        <w:spacing w:before="0" w:beforeAutospacing="0" w:after="0" w:afterAutospacing="0" w:line="360" w:lineRule="auto"/>
        <w:ind w:firstLine="476" w:firstLineChars="209"/>
        <w:rPr>
          <w:rFonts w:ascii="楷体" w:hAnsi="楷体" w:eastAsia="楷体" w:cs="楷体"/>
          <w:bCs/>
          <w:color w:val="000000" w:themeColor="text1"/>
          <w:spacing w:val="-6"/>
          <w:sz w:val="24"/>
          <w:szCs w:val="24"/>
          <w14:textFill>
            <w14:solidFill>
              <w14:schemeClr w14:val="tx1"/>
            </w14:solidFill>
          </w14:textFill>
        </w:rPr>
      </w:pPr>
      <w:r>
        <w:rPr>
          <w:rFonts w:hint="eastAsia" w:ascii="楷体" w:hAnsi="楷体" w:eastAsia="楷体" w:cs="楷体"/>
          <w:bCs/>
          <w:color w:val="000000" w:themeColor="text1"/>
          <w:spacing w:val="-6"/>
          <w:sz w:val="24"/>
          <w:szCs w:val="24"/>
          <w14:textFill>
            <w14:solidFill>
              <w14:schemeClr w14:val="tx1"/>
            </w14:solidFill>
          </w14:textFill>
        </w:rPr>
        <w:t>经查询列入失信被执行人、重大税收违法案件当事人名单、政府采购严重违法失信行为记录名单，截至本项目开标前三年内因违法经营收到刑事处罚或者责令停产停业、吊销许可证或者执照、较大数额罚款等行政处罚的，其投标无效，无效投标人的信用记录查询结果截图将作为项目材料的组成部分。</w:t>
      </w:r>
    </w:p>
    <w:p w14:paraId="606DFB0E">
      <w:pPr>
        <w:numPr>
          <w:ilvl w:val="0"/>
          <w:numId w:val="10"/>
        </w:numPr>
        <w:tabs>
          <w:tab w:val="left" w:pos="840"/>
          <w:tab w:val="left" w:pos="1050"/>
        </w:tabs>
        <w:adjustRightInd w:val="0"/>
        <w:snapToGrid w:val="0"/>
        <w:spacing w:line="360" w:lineRule="auto"/>
        <w:ind w:firstLine="482" w:firstLineChars="200"/>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落实政府采购政策需满足的资格要求所对应的证明材料：</w:t>
      </w:r>
      <w:r>
        <w:rPr>
          <w:rFonts w:hint="eastAsia" w:ascii="楷体" w:hAnsi="楷体" w:eastAsia="楷体" w:cs="楷体"/>
          <w:color w:val="000000" w:themeColor="text1"/>
          <w:sz w:val="24"/>
          <w14:textFill>
            <w14:solidFill>
              <w14:schemeClr w14:val="tx1"/>
            </w14:solidFill>
          </w14:textFill>
        </w:rPr>
        <w:t>本项目为专门面向中小企业采购。供应商须为中、小、微型企业或监狱企业或残疾人福利性单位。</w:t>
      </w:r>
    </w:p>
    <w:p w14:paraId="02C932DD">
      <w:pPr>
        <w:tabs>
          <w:tab w:val="left" w:pos="840"/>
          <w:tab w:val="left" w:pos="1050"/>
        </w:tabs>
        <w:adjustRightInd w:val="0"/>
        <w:snapToGrid w:val="0"/>
        <w:spacing w:line="360" w:lineRule="auto"/>
        <w:ind w:left="422"/>
        <w:jc w:val="left"/>
        <w:rPr>
          <w:rFonts w:ascii="楷体" w:hAnsi="楷体" w:eastAsia="楷体" w:cs="楷体"/>
          <w:bCs/>
          <w:snapToGrid w:val="0"/>
          <w:color w:val="000000" w:themeColor="text1"/>
          <w:kern w:val="0"/>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（2.1）中小企业声明函</w:t>
      </w:r>
    </w:p>
    <w:p w14:paraId="64CABAC1">
      <w:pPr>
        <w:tabs>
          <w:tab w:val="left" w:pos="840"/>
          <w:tab w:val="left" w:pos="1050"/>
        </w:tabs>
        <w:adjustRightInd w:val="0"/>
        <w:snapToGrid w:val="0"/>
        <w:spacing w:line="360" w:lineRule="auto"/>
        <w:ind w:firstLine="482" w:firstLineChars="200"/>
        <w:jc w:val="left"/>
        <w:rPr>
          <w:rFonts w:ascii="楷体" w:hAnsi="楷体" w:eastAsia="楷体" w:cs="楷体"/>
          <w:bCs/>
          <w:snapToGrid w:val="0"/>
          <w:color w:val="000000" w:themeColor="text1"/>
          <w:kern w:val="0"/>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本项目服务全部由符合政策要求的中小微企业承接。</w:t>
      </w:r>
      <w:r>
        <w:rPr>
          <w:rFonts w:hint="eastAsia" w:ascii="楷体" w:hAnsi="楷体" w:eastAsia="楷体" w:cs="楷体"/>
          <w:b/>
          <w:bCs/>
          <w:snapToGrid w:val="0"/>
          <w:color w:val="000000" w:themeColor="text1"/>
          <w:kern w:val="0"/>
          <w:sz w:val="24"/>
          <w14:textFill>
            <w14:solidFill>
              <w14:schemeClr w14:val="tx1"/>
            </w14:solidFill>
          </w14:textFill>
        </w:rPr>
        <w:t xml:space="preserve"> </w:t>
      </w:r>
      <w:r>
        <w:rPr>
          <w:rFonts w:hint="eastAsia" w:ascii="楷体" w:hAnsi="楷体" w:eastAsia="楷体" w:cs="楷体"/>
          <w:bCs/>
          <w:snapToGrid w:val="0"/>
          <w:color w:val="000000" w:themeColor="text1"/>
          <w:kern w:val="0"/>
          <w:sz w:val="24"/>
          <w14:textFill>
            <w14:solidFill>
              <w14:schemeClr w14:val="tx1"/>
            </w14:solidFill>
          </w14:textFill>
        </w:rPr>
        <w:t xml:space="preserve"> </w:t>
      </w:r>
    </w:p>
    <w:p w14:paraId="61D67E38">
      <w:pPr>
        <w:adjustRightInd w:val="0"/>
        <w:snapToGrid w:val="0"/>
        <w:spacing w:line="360" w:lineRule="auto"/>
        <w:ind w:firstLine="482" w:firstLineChars="20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中小企业应当按照《政府采购促进中小企业发展管理办法》规定和《中小企业划型标准规定》（工信部联企业〔2011〕300号），如实填写并提交《中小企业声明函》。</w:t>
      </w:r>
    </w:p>
    <w:p w14:paraId="31AB817F">
      <w:pPr>
        <w:adjustRightInd w:val="0"/>
        <w:snapToGrid w:val="0"/>
        <w:spacing w:line="360" w:lineRule="auto"/>
        <w:ind w:firstLine="482" w:firstLineChars="20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投标人在填写声明函前，须先自查本企业是否满足小微企业认定标准（可通过国务院客户端和工业和信息化部网站上的自测小程序进行自查）。</w:t>
      </w:r>
    </w:p>
    <w:p w14:paraId="3F2DD781">
      <w:pPr>
        <w:adjustRightInd w:val="0"/>
        <w:snapToGrid w:val="0"/>
        <w:spacing w:line="360" w:lineRule="auto"/>
        <w:ind w:firstLine="482" w:firstLineChars="20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中小企业对其声明内容的真实性负责，因声明函内容不实而导致享受了不该享受的待遇的，属于提供虚假材料谋取中标、成交，依照《中华人民共和国政府采购法》等国家有关规定追究相应责任。</w:t>
      </w:r>
    </w:p>
    <w:p w14:paraId="0337F9AA">
      <w:pPr>
        <w:tabs>
          <w:tab w:val="left" w:pos="840"/>
          <w:tab w:val="left" w:pos="1050"/>
        </w:tabs>
        <w:adjustRightInd w:val="0"/>
        <w:snapToGrid w:val="0"/>
        <w:spacing w:line="360" w:lineRule="auto"/>
        <w:ind w:firstLine="480" w:firstLineChars="200"/>
        <w:jc w:val="left"/>
        <w:rPr>
          <w:rFonts w:ascii="楷体" w:hAnsi="楷体" w:eastAsia="楷体" w:cs="楷体"/>
          <w:bCs/>
          <w:snapToGrid w:val="0"/>
          <w:color w:val="000000" w:themeColor="text1"/>
          <w:kern w:val="0"/>
          <w:sz w:val="24"/>
          <w14:textFill>
            <w14:solidFill>
              <w14:schemeClr w14:val="tx1"/>
            </w14:solidFill>
          </w14:textFill>
        </w:rPr>
      </w:pPr>
      <w:r>
        <w:rPr>
          <w:rFonts w:hint="eastAsia" w:ascii="楷体" w:hAnsi="楷体" w:eastAsia="楷体" w:cs="楷体"/>
          <w:bCs/>
          <w:snapToGrid w:val="0"/>
          <w:color w:val="000000" w:themeColor="text1"/>
          <w:kern w:val="0"/>
          <w:sz w:val="24"/>
          <w14:textFill>
            <w14:solidFill>
              <w14:schemeClr w14:val="tx1"/>
            </w14:solidFill>
          </w14:textFill>
        </w:rPr>
        <w:t>（2.2）投标人为监狱企业的证明文件：省级以上监狱管理局、戒毒管理局（含新疆生产建设兵团）出具（如有）</w:t>
      </w:r>
    </w:p>
    <w:p w14:paraId="2375923B">
      <w:pPr>
        <w:tabs>
          <w:tab w:val="left" w:pos="840"/>
          <w:tab w:val="left" w:pos="1050"/>
        </w:tabs>
        <w:adjustRightInd w:val="0"/>
        <w:snapToGrid w:val="0"/>
        <w:spacing w:line="360" w:lineRule="auto"/>
        <w:ind w:firstLine="480" w:firstLineChars="200"/>
        <w:jc w:val="left"/>
        <w:rPr>
          <w:rFonts w:ascii="楷体" w:hAnsi="楷体" w:eastAsia="楷体" w:cs="楷体"/>
          <w:bCs/>
          <w:snapToGrid w:val="0"/>
          <w:color w:val="000000" w:themeColor="text1"/>
          <w:kern w:val="0"/>
          <w:sz w:val="24"/>
          <w14:textFill>
            <w14:solidFill>
              <w14:schemeClr w14:val="tx1"/>
            </w14:solidFill>
          </w14:textFill>
        </w:rPr>
      </w:pPr>
      <w:r>
        <w:rPr>
          <w:rFonts w:hint="eastAsia" w:ascii="楷体" w:hAnsi="楷体" w:eastAsia="楷体" w:cs="楷体"/>
          <w:bCs/>
          <w:snapToGrid w:val="0"/>
          <w:color w:val="000000" w:themeColor="text1"/>
          <w:kern w:val="0"/>
          <w:sz w:val="24"/>
          <w14:textFill>
            <w14:solidFill>
              <w14:schemeClr w14:val="tx1"/>
            </w14:solidFill>
          </w14:textFill>
        </w:rPr>
        <w:t>（2.3）投标人如符合《财政部、民政部、中国残疾人联合会关于促进残疾人就业政府采购政策的通知》（财库〔2017〕141号）政策规定的，须提供《残疾人福利性单位声明函》；（如有）</w:t>
      </w:r>
    </w:p>
    <w:p w14:paraId="1171815F">
      <w:pPr>
        <w:pStyle w:val="22"/>
        <w:ind w:firstLine="420"/>
        <w:rPr>
          <w:rFonts w:ascii="楷体" w:hAnsi="楷体" w:eastAsia="楷体" w:cs="楷体"/>
          <w:color w:val="000000" w:themeColor="text1"/>
          <w:kern w:val="0"/>
          <w:szCs w:val="24"/>
          <w14:textFill>
            <w14:solidFill>
              <w14:schemeClr w14:val="tx1"/>
            </w14:solidFill>
          </w14:textFill>
        </w:rPr>
      </w:pPr>
      <w:r>
        <w:rPr>
          <w:rFonts w:hint="eastAsia" w:ascii="楷体" w:hAnsi="楷体" w:eastAsia="楷体" w:cs="楷体"/>
          <w:b/>
          <w:snapToGrid w:val="0"/>
          <w:color w:val="000000" w:themeColor="text1"/>
          <w:kern w:val="0"/>
          <w:szCs w:val="24"/>
          <w14:textFill>
            <w14:solidFill>
              <w14:schemeClr w14:val="tx1"/>
            </w14:solidFill>
          </w14:textFill>
        </w:rPr>
        <w:t>（3）特定资格条件对应的证明材料</w:t>
      </w:r>
      <w:r>
        <w:rPr>
          <w:rFonts w:hint="eastAsia" w:ascii="楷体" w:hAnsi="楷体" w:eastAsia="楷体" w:cs="楷体"/>
          <w:b/>
          <w:snapToGrid w:val="0"/>
          <w:color w:val="000000" w:themeColor="text1"/>
          <w:kern w:val="0"/>
          <w:szCs w:val="24"/>
          <w14:textFill>
            <w14:solidFill>
              <w14:schemeClr w14:val="tx1"/>
            </w14:solidFill>
          </w14:textFill>
        </w:rPr>
        <w:t>：</w:t>
      </w:r>
      <w:r>
        <w:rPr>
          <w:rFonts w:hint="eastAsia" w:ascii="楷体" w:hAnsi="楷体" w:eastAsia="楷体" w:cs="楷体"/>
          <w:color w:val="000000" w:themeColor="text1"/>
          <w:kern w:val="0"/>
          <w:szCs w:val="24"/>
          <w14:textFill>
            <w14:solidFill>
              <w14:schemeClr w14:val="tx1"/>
            </w14:solidFill>
          </w14:textFill>
        </w:rPr>
        <w:t>1）标项1：具备国家相关部门颁发的水利工程施工监理乙级及以上资质（水利工程施工监理专业为丙级资质，资质证书仍在有效期内视同水利工程施工监理专业乙级。）；2）标项2：具备工程监理综合资质或市政公用工程监理乙级及以上资质；3）标项3：具有交通运输主管部门颁发的公路工程乙级及以上资质。</w:t>
      </w:r>
    </w:p>
    <w:p w14:paraId="23CFDB55">
      <w:pPr>
        <w:pStyle w:val="22"/>
        <w:ind w:firstLine="420"/>
        <w:rPr>
          <w:rFonts w:ascii="楷体" w:hAnsi="楷体" w:eastAsia="楷体" w:cs="楷体"/>
          <w:b/>
          <w:snapToGrid w:val="0"/>
          <w:color w:val="000000" w:themeColor="text1"/>
          <w:kern w:val="0"/>
          <w:szCs w:val="24"/>
          <w14:textFill>
            <w14:solidFill>
              <w14:schemeClr w14:val="tx1"/>
            </w14:solidFill>
          </w14:textFill>
        </w:rPr>
      </w:pPr>
      <w:r>
        <w:rPr>
          <w:rFonts w:hint="eastAsia" w:ascii="楷体" w:hAnsi="楷体" w:eastAsia="楷体" w:cs="楷体"/>
          <w:b/>
          <w:snapToGrid w:val="0"/>
          <w:color w:val="000000" w:themeColor="text1"/>
          <w:kern w:val="0"/>
          <w:szCs w:val="24"/>
          <w14:textFill>
            <w14:solidFill>
              <w14:schemeClr w14:val="tx1"/>
            </w14:solidFill>
          </w14:textFill>
        </w:rPr>
        <w:t>（4）</w:t>
      </w:r>
      <w:bookmarkStart w:id="110" w:name="OLE_LINK8"/>
      <w:r>
        <w:rPr>
          <w:rFonts w:hint="eastAsia" w:ascii="楷体" w:hAnsi="楷体" w:eastAsia="楷体" w:cs="楷体"/>
          <w:b/>
          <w:snapToGrid w:val="0"/>
          <w:color w:val="000000" w:themeColor="text1"/>
          <w:kern w:val="0"/>
          <w:szCs w:val="24"/>
          <w14:textFill>
            <w14:solidFill>
              <w14:schemeClr w14:val="tx1"/>
            </w14:solidFill>
          </w14:textFill>
        </w:rPr>
        <w:t>联合体协议（如有，以联合体形式参加政府采购活动的，须提供联合体协议及联合体各方的资格证明材料）</w:t>
      </w:r>
      <w:bookmarkEnd w:id="110"/>
    </w:p>
    <w:p w14:paraId="7B58A712">
      <w:pPr>
        <w:pStyle w:val="19"/>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（5）分包意向协议（如有）</w:t>
      </w:r>
    </w:p>
    <w:p w14:paraId="44534D83">
      <w:pPr>
        <w:autoSpaceDE w:val="0"/>
        <w:autoSpaceDN w:val="0"/>
        <w:adjustRightInd w:val="0"/>
        <w:snapToGrid w:val="0"/>
        <w:spacing w:line="360" w:lineRule="auto"/>
        <w:ind w:firstLine="482" w:firstLineChars="200"/>
        <w:textAlignment w:val="bottom"/>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9.2 商务技术文件</w:t>
      </w:r>
    </w:p>
    <w:p w14:paraId="54FBB94F">
      <w:pPr>
        <w:autoSpaceDE w:val="0"/>
        <w:autoSpaceDN w:val="0"/>
        <w:adjustRightInd w:val="0"/>
        <w:snapToGrid w:val="0"/>
        <w:spacing w:line="360" w:lineRule="auto"/>
        <w:ind w:firstLine="482" w:firstLineChars="200"/>
        <w:textAlignment w:val="bottom"/>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9.2.1商务文件</w:t>
      </w:r>
    </w:p>
    <w:p w14:paraId="247A95C0">
      <w:pPr>
        <w:tabs>
          <w:tab w:val="left" w:pos="851"/>
          <w:tab w:val="left" w:pos="900"/>
          <w:tab w:val="left" w:pos="1080"/>
        </w:tabs>
        <w:adjustRightInd w:val="0"/>
        <w:snapToGrid w:val="0"/>
        <w:spacing w:line="360" w:lineRule="auto"/>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包括但不限于以下内容：</w:t>
      </w:r>
    </w:p>
    <w:p w14:paraId="5A1B2BFA">
      <w:pPr>
        <w:numPr>
          <w:ilvl w:val="0"/>
          <w:numId w:val="11"/>
        </w:numPr>
        <w:tabs>
          <w:tab w:val="left" w:pos="851"/>
          <w:tab w:val="left" w:pos="900"/>
          <w:tab w:val="left" w:pos="1080"/>
        </w:tabs>
        <w:adjustRightInd w:val="0"/>
        <w:snapToGrid w:val="0"/>
        <w:spacing w:line="360" w:lineRule="auto"/>
        <w:ind w:left="0" w:firstLine="3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评分索引表；</w:t>
      </w:r>
    </w:p>
    <w:p w14:paraId="5E78AEED">
      <w:pPr>
        <w:numPr>
          <w:ilvl w:val="0"/>
          <w:numId w:val="11"/>
        </w:numPr>
        <w:tabs>
          <w:tab w:val="left" w:pos="851"/>
          <w:tab w:val="left" w:pos="900"/>
          <w:tab w:val="left" w:pos="1080"/>
        </w:tabs>
        <w:adjustRightInd w:val="0"/>
        <w:snapToGrid w:val="0"/>
        <w:spacing w:line="360" w:lineRule="auto"/>
        <w:ind w:left="0" w:firstLine="3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投标函；</w:t>
      </w:r>
    </w:p>
    <w:p w14:paraId="60F14298">
      <w:pPr>
        <w:numPr>
          <w:ilvl w:val="0"/>
          <w:numId w:val="11"/>
        </w:numPr>
        <w:tabs>
          <w:tab w:val="left" w:pos="851"/>
          <w:tab w:val="left" w:pos="900"/>
          <w:tab w:val="left" w:pos="1080"/>
        </w:tabs>
        <w:adjustRightInd w:val="0"/>
        <w:snapToGrid w:val="0"/>
        <w:spacing w:line="360" w:lineRule="auto"/>
        <w:ind w:left="0" w:firstLine="3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投标响应一览表；</w:t>
      </w:r>
    </w:p>
    <w:p w14:paraId="229866CC">
      <w:pPr>
        <w:numPr>
          <w:ilvl w:val="0"/>
          <w:numId w:val="11"/>
        </w:numPr>
        <w:tabs>
          <w:tab w:val="left" w:pos="851"/>
          <w:tab w:val="left" w:pos="900"/>
          <w:tab w:val="left" w:pos="1080"/>
        </w:tabs>
        <w:adjustRightInd w:val="0"/>
        <w:snapToGrid w:val="0"/>
        <w:spacing w:line="360" w:lineRule="auto"/>
        <w:ind w:left="0" w:firstLine="34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投标人基本情况表；</w:t>
      </w:r>
    </w:p>
    <w:p w14:paraId="013193B7">
      <w:pPr>
        <w:numPr>
          <w:ilvl w:val="0"/>
          <w:numId w:val="11"/>
        </w:numPr>
        <w:tabs>
          <w:tab w:val="left" w:pos="851"/>
          <w:tab w:val="left" w:pos="900"/>
          <w:tab w:val="left" w:pos="1080"/>
        </w:tabs>
        <w:adjustRightInd w:val="0"/>
        <w:snapToGrid w:val="0"/>
        <w:spacing w:line="360" w:lineRule="auto"/>
        <w:ind w:left="0" w:firstLine="34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授权委托书，同时须附授权委托人的有效身份证复印件；</w:t>
      </w:r>
    </w:p>
    <w:p w14:paraId="2A1F2004">
      <w:pPr>
        <w:numPr>
          <w:ilvl w:val="0"/>
          <w:numId w:val="11"/>
        </w:numPr>
        <w:tabs>
          <w:tab w:val="left" w:pos="851"/>
          <w:tab w:val="left" w:pos="900"/>
          <w:tab w:val="left" w:pos="1080"/>
        </w:tabs>
        <w:adjustRightInd w:val="0"/>
        <w:snapToGrid w:val="0"/>
        <w:spacing w:line="360" w:lineRule="auto"/>
        <w:ind w:left="0" w:firstLine="34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政府采购供应商廉洁自律承诺书；</w:t>
      </w:r>
    </w:p>
    <w:p w14:paraId="027DD760">
      <w:pPr>
        <w:numPr>
          <w:ilvl w:val="0"/>
          <w:numId w:val="11"/>
        </w:numPr>
        <w:tabs>
          <w:tab w:val="left" w:pos="851"/>
          <w:tab w:val="left" w:pos="900"/>
          <w:tab w:val="left" w:pos="1080"/>
        </w:tabs>
        <w:adjustRightInd w:val="0"/>
        <w:snapToGrid w:val="0"/>
        <w:spacing w:line="360" w:lineRule="auto"/>
        <w:ind w:left="0" w:firstLine="3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廉政承诺书；</w:t>
      </w:r>
    </w:p>
    <w:p w14:paraId="2715CDC6">
      <w:pPr>
        <w:numPr>
          <w:ilvl w:val="0"/>
          <w:numId w:val="11"/>
        </w:numPr>
        <w:tabs>
          <w:tab w:val="left" w:pos="851"/>
          <w:tab w:val="left" w:pos="900"/>
          <w:tab w:val="left" w:pos="1080"/>
        </w:tabs>
        <w:adjustRightInd w:val="0"/>
        <w:snapToGrid w:val="0"/>
        <w:spacing w:line="360" w:lineRule="auto"/>
        <w:ind w:left="0" w:firstLine="3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投标人拥有的其它资质、荣誉证书；（如有，出具复印件加盖公章）</w:t>
      </w:r>
    </w:p>
    <w:p w14:paraId="3A2D6246">
      <w:pPr>
        <w:numPr>
          <w:ilvl w:val="0"/>
          <w:numId w:val="11"/>
        </w:numPr>
        <w:tabs>
          <w:tab w:val="left" w:pos="851"/>
          <w:tab w:val="left" w:pos="900"/>
          <w:tab w:val="left" w:pos="1080"/>
        </w:tabs>
        <w:adjustRightInd w:val="0"/>
        <w:snapToGrid w:val="0"/>
        <w:spacing w:line="360" w:lineRule="auto"/>
        <w:ind w:left="0" w:firstLine="3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投标人曾承担过的同类项目业绩情况（如有，须附清晰可辨的合同复印件。涉及评分项的，证明材料需满足评分细则的相关要求）；</w:t>
      </w:r>
    </w:p>
    <w:p w14:paraId="367ABD1D">
      <w:pPr>
        <w:numPr>
          <w:ilvl w:val="0"/>
          <w:numId w:val="11"/>
        </w:numPr>
        <w:tabs>
          <w:tab w:val="left" w:pos="851"/>
          <w:tab w:val="left" w:pos="900"/>
          <w:tab w:val="left" w:pos="1080"/>
        </w:tabs>
        <w:adjustRightInd w:val="0"/>
        <w:snapToGrid w:val="0"/>
        <w:spacing w:line="360" w:lineRule="auto"/>
        <w:ind w:left="0" w:firstLine="3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合同条款偏离表/商务条款偏离表；</w:t>
      </w:r>
    </w:p>
    <w:p w14:paraId="0386FAA1">
      <w:pPr>
        <w:numPr>
          <w:ilvl w:val="0"/>
          <w:numId w:val="11"/>
        </w:numPr>
        <w:tabs>
          <w:tab w:val="left" w:pos="851"/>
          <w:tab w:val="left" w:pos="900"/>
          <w:tab w:val="left" w:pos="1080"/>
        </w:tabs>
        <w:adjustRightInd w:val="0"/>
        <w:snapToGrid w:val="0"/>
        <w:spacing w:line="360" w:lineRule="auto"/>
        <w:ind w:left="0" w:firstLine="3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与商务资信标评分有关的其他材料。</w:t>
      </w:r>
    </w:p>
    <w:p w14:paraId="6966FBCF">
      <w:pPr>
        <w:tabs>
          <w:tab w:val="left" w:pos="851"/>
          <w:tab w:val="left" w:pos="900"/>
          <w:tab w:val="left" w:pos="1080"/>
        </w:tabs>
        <w:adjustRightInd w:val="0"/>
        <w:snapToGrid w:val="0"/>
        <w:spacing w:line="360" w:lineRule="auto"/>
        <w:ind w:left="340"/>
        <w:jc w:val="left"/>
        <w:rPr>
          <w:rFonts w:ascii="楷体" w:hAnsi="楷体" w:eastAsia="楷体" w:cs="楷体"/>
          <w:b/>
          <w:i/>
          <w:iCs/>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9.2.2技术文件</w:t>
      </w:r>
    </w:p>
    <w:p w14:paraId="0ABCB120">
      <w:pPr>
        <w:tabs>
          <w:tab w:val="left" w:pos="851"/>
          <w:tab w:val="left" w:pos="900"/>
          <w:tab w:val="left" w:pos="1080"/>
        </w:tabs>
        <w:adjustRightInd w:val="0"/>
        <w:snapToGrid w:val="0"/>
        <w:spacing w:line="360" w:lineRule="auto"/>
        <w:ind w:left="34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包括但不限于以下内容：（结合评分办法编制）</w:t>
      </w:r>
    </w:p>
    <w:p w14:paraId="0B2CCDA8">
      <w:pPr>
        <w:numPr>
          <w:ilvl w:val="0"/>
          <w:numId w:val="12"/>
        </w:numPr>
        <w:tabs>
          <w:tab w:val="left" w:pos="851"/>
          <w:tab w:val="left" w:pos="900"/>
          <w:tab w:val="left" w:pos="1080"/>
        </w:tabs>
        <w:adjustRightInd w:val="0"/>
        <w:snapToGrid w:val="0"/>
        <w:spacing w:line="360" w:lineRule="auto"/>
        <w:ind w:left="80" w:firstLine="34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评分索引表；</w:t>
      </w:r>
    </w:p>
    <w:p w14:paraId="7EC8FB05">
      <w:pPr>
        <w:numPr>
          <w:ilvl w:val="0"/>
          <w:numId w:val="12"/>
        </w:numPr>
        <w:tabs>
          <w:tab w:val="left" w:pos="851"/>
          <w:tab w:val="left" w:pos="900"/>
          <w:tab w:val="left" w:pos="1080"/>
        </w:tabs>
        <w:adjustRightInd w:val="0"/>
        <w:snapToGrid w:val="0"/>
        <w:spacing w:line="360" w:lineRule="auto"/>
        <w:ind w:left="80" w:firstLine="34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服务方案：</w:t>
      </w:r>
    </w:p>
    <w:p w14:paraId="01BA1DA8">
      <w:pPr>
        <w:numPr>
          <w:ilvl w:val="0"/>
          <w:numId w:val="13"/>
        </w:numPr>
        <w:tabs>
          <w:tab w:val="left" w:pos="851"/>
          <w:tab w:val="left" w:pos="900"/>
          <w:tab w:val="left" w:pos="1080"/>
        </w:tabs>
        <w:adjustRightInd w:val="0"/>
        <w:snapToGrid w:val="0"/>
        <w:spacing w:line="360" w:lineRule="auto"/>
        <w:ind w:firstLine="8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对本项目的理解</w:t>
      </w:r>
    </w:p>
    <w:p w14:paraId="7D622A5C">
      <w:pPr>
        <w:numPr>
          <w:ilvl w:val="0"/>
          <w:numId w:val="13"/>
        </w:numPr>
        <w:tabs>
          <w:tab w:val="left" w:pos="851"/>
          <w:tab w:val="left" w:pos="900"/>
          <w:tab w:val="left" w:pos="1080"/>
        </w:tabs>
        <w:adjustRightInd w:val="0"/>
        <w:snapToGrid w:val="0"/>
        <w:spacing w:line="360" w:lineRule="auto"/>
        <w:ind w:firstLine="8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本项目建设及服务方案、内容</w:t>
      </w:r>
    </w:p>
    <w:p w14:paraId="5BF4FDEE">
      <w:pPr>
        <w:numPr>
          <w:ilvl w:val="0"/>
          <w:numId w:val="13"/>
        </w:numPr>
        <w:tabs>
          <w:tab w:val="left" w:pos="851"/>
          <w:tab w:val="left" w:pos="900"/>
          <w:tab w:val="left" w:pos="1080"/>
        </w:tabs>
        <w:adjustRightInd w:val="0"/>
        <w:snapToGrid w:val="0"/>
        <w:spacing w:line="360" w:lineRule="auto"/>
        <w:ind w:firstLine="8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提供优质服务的质量管理方案</w:t>
      </w:r>
    </w:p>
    <w:p w14:paraId="3F8421C1">
      <w:pPr>
        <w:numPr>
          <w:ilvl w:val="0"/>
          <w:numId w:val="13"/>
        </w:numPr>
        <w:tabs>
          <w:tab w:val="left" w:pos="851"/>
          <w:tab w:val="left" w:pos="900"/>
          <w:tab w:val="left" w:pos="1080"/>
        </w:tabs>
        <w:adjustRightInd w:val="0"/>
        <w:snapToGrid w:val="0"/>
        <w:spacing w:line="360" w:lineRule="auto"/>
        <w:ind w:firstLine="8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应急处理及售后服务方案</w:t>
      </w:r>
    </w:p>
    <w:p w14:paraId="15747B37">
      <w:pPr>
        <w:numPr>
          <w:ilvl w:val="0"/>
          <w:numId w:val="12"/>
        </w:numPr>
        <w:tabs>
          <w:tab w:val="left" w:pos="851"/>
          <w:tab w:val="left" w:pos="900"/>
          <w:tab w:val="left" w:pos="1080"/>
          <w:tab w:val="clear" w:pos="937"/>
        </w:tabs>
        <w:adjustRightInd w:val="0"/>
        <w:snapToGrid w:val="0"/>
        <w:spacing w:line="360" w:lineRule="auto"/>
        <w:ind w:left="80" w:firstLine="3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针对本项目的详细实施计划，及组织实施方案；</w:t>
      </w:r>
    </w:p>
    <w:p w14:paraId="0DB37126">
      <w:pPr>
        <w:numPr>
          <w:ilvl w:val="0"/>
          <w:numId w:val="12"/>
        </w:numPr>
        <w:tabs>
          <w:tab w:val="left" w:pos="851"/>
          <w:tab w:val="left" w:pos="900"/>
          <w:tab w:val="left" w:pos="1080"/>
          <w:tab w:val="clear" w:pos="937"/>
        </w:tabs>
        <w:adjustRightInd w:val="0"/>
        <w:snapToGrid w:val="0"/>
        <w:spacing w:line="360" w:lineRule="auto"/>
        <w:ind w:left="80" w:firstLine="3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项目班子配备情况；拟派项目负责人、服务团队情况，及专业服务水平、经历的说明及证明材料</w:t>
      </w:r>
    </w:p>
    <w:p w14:paraId="0DDBEE27">
      <w:pPr>
        <w:numPr>
          <w:ilvl w:val="0"/>
          <w:numId w:val="12"/>
        </w:numPr>
        <w:tabs>
          <w:tab w:val="left" w:pos="851"/>
          <w:tab w:val="left" w:pos="900"/>
          <w:tab w:val="left" w:pos="1080"/>
          <w:tab w:val="clear" w:pos="937"/>
        </w:tabs>
        <w:adjustRightInd w:val="0"/>
        <w:snapToGrid w:val="0"/>
        <w:spacing w:line="360" w:lineRule="auto"/>
        <w:ind w:left="80" w:firstLine="3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售后服务承诺：包括但不限于满足安全责任要求、技术支持、提供专家技术团队力量结构、分组情况、人员具体安排情况等的服务承诺；</w:t>
      </w:r>
    </w:p>
    <w:p w14:paraId="24038659">
      <w:pPr>
        <w:numPr>
          <w:ilvl w:val="0"/>
          <w:numId w:val="12"/>
        </w:numPr>
        <w:tabs>
          <w:tab w:val="left" w:pos="851"/>
          <w:tab w:val="left" w:pos="900"/>
          <w:tab w:val="left" w:pos="1080"/>
          <w:tab w:val="clear" w:pos="937"/>
        </w:tabs>
        <w:adjustRightInd w:val="0"/>
        <w:snapToGrid w:val="0"/>
        <w:spacing w:line="360" w:lineRule="auto"/>
        <w:ind w:left="80" w:firstLine="34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投标人认为需要提供的其它文件及资料。（如有）</w:t>
      </w:r>
    </w:p>
    <w:p w14:paraId="3D4B97AF">
      <w:pPr>
        <w:adjustRightInd w:val="0"/>
        <w:snapToGrid w:val="0"/>
        <w:spacing w:line="360" w:lineRule="auto"/>
        <w:ind w:firstLine="482"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9.3报价文件</w:t>
      </w:r>
    </w:p>
    <w:p w14:paraId="0CAE3E2A">
      <w:pPr>
        <w:numPr>
          <w:ilvl w:val="0"/>
          <w:numId w:val="14"/>
        </w:numPr>
        <w:adjustRightInd w:val="0"/>
        <w:snapToGrid w:val="0"/>
        <w:spacing w:line="360" w:lineRule="auto"/>
        <w:ind w:left="993" w:hanging="571"/>
        <w:jc w:val="left"/>
        <w:rPr>
          <w:rFonts w:ascii="楷体" w:hAnsi="楷体" w:eastAsia="楷体" w:cs="楷体"/>
          <w:bCs/>
          <w:snapToGrid w:val="0"/>
          <w:color w:val="000000" w:themeColor="text1"/>
          <w:kern w:val="0"/>
          <w:sz w:val="24"/>
          <w14:textFill>
            <w14:solidFill>
              <w14:schemeClr w14:val="tx1"/>
            </w14:solidFill>
          </w14:textFill>
        </w:rPr>
      </w:pPr>
      <w:r>
        <w:rPr>
          <w:rFonts w:hint="eastAsia" w:ascii="楷体" w:hAnsi="楷体" w:eastAsia="楷体" w:cs="楷体"/>
          <w:bCs/>
          <w:snapToGrid w:val="0"/>
          <w:color w:val="000000" w:themeColor="text1"/>
          <w:kern w:val="0"/>
          <w:sz w:val="24"/>
          <w14:textFill>
            <w14:solidFill>
              <w14:schemeClr w14:val="tx1"/>
            </w14:solidFill>
          </w14:textFill>
        </w:rPr>
        <w:t>开标一览表；</w:t>
      </w:r>
    </w:p>
    <w:p w14:paraId="1F37EBDB">
      <w:pPr>
        <w:numPr>
          <w:ilvl w:val="0"/>
          <w:numId w:val="14"/>
        </w:numPr>
        <w:adjustRightInd w:val="0"/>
        <w:snapToGrid w:val="0"/>
        <w:spacing w:line="360" w:lineRule="auto"/>
        <w:ind w:left="993" w:hanging="571"/>
        <w:jc w:val="left"/>
        <w:rPr>
          <w:rFonts w:ascii="楷体" w:hAnsi="楷体" w:eastAsia="楷体" w:cs="楷体"/>
          <w:bCs/>
          <w:snapToGrid w:val="0"/>
          <w:color w:val="000000" w:themeColor="text1"/>
          <w:kern w:val="0"/>
          <w:sz w:val="24"/>
          <w14:textFill>
            <w14:solidFill>
              <w14:schemeClr w14:val="tx1"/>
            </w14:solidFill>
          </w14:textFill>
        </w:rPr>
      </w:pPr>
      <w:r>
        <w:rPr>
          <w:rFonts w:hint="eastAsia" w:ascii="楷体" w:hAnsi="楷体" w:eastAsia="楷体" w:cs="楷体"/>
          <w:bCs/>
          <w:snapToGrid w:val="0"/>
          <w:color w:val="000000" w:themeColor="text1"/>
          <w:kern w:val="0"/>
          <w:sz w:val="24"/>
          <w14:textFill>
            <w14:solidFill>
              <w14:schemeClr w14:val="tx1"/>
            </w14:solidFill>
          </w14:textFill>
        </w:rPr>
        <w:t>投标报价明细表；</w:t>
      </w:r>
    </w:p>
    <w:p w14:paraId="0165A96C">
      <w:pPr>
        <w:numPr>
          <w:ilvl w:val="0"/>
          <w:numId w:val="14"/>
        </w:numPr>
        <w:tabs>
          <w:tab w:val="left" w:pos="840"/>
          <w:tab w:val="left" w:pos="1050"/>
        </w:tabs>
        <w:adjustRightInd w:val="0"/>
        <w:snapToGrid w:val="0"/>
        <w:spacing w:line="360" w:lineRule="auto"/>
        <w:ind w:left="993" w:hanging="571"/>
        <w:jc w:val="left"/>
        <w:rPr>
          <w:rFonts w:ascii="楷体" w:hAnsi="楷体" w:eastAsia="楷体" w:cs="楷体"/>
          <w:bCs/>
          <w:snapToGrid w:val="0"/>
          <w:color w:val="000000" w:themeColor="text1"/>
          <w:kern w:val="0"/>
          <w:sz w:val="24"/>
          <w14:textFill>
            <w14:solidFill>
              <w14:schemeClr w14:val="tx1"/>
            </w14:solidFill>
          </w14:textFill>
        </w:rPr>
      </w:pPr>
      <w:r>
        <w:rPr>
          <w:rFonts w:hint="eastAsia" w:ascii="楷体" w:hAnsi="楷体" w:eastAsia="楷体" w:cs="楷体"/>
          <w:bCs/>
          <w:snapToGrid w:val="0"/>
          <w:color w:val="000000" w:themeColor="text1"/>
          <w:kern w:val="0"/>
          <w:sz w:val="24"/>
          <w14:textFill>
            <w14:solidFill>
              <w14:schemeClr w14:val="tx1"/>
            </w14:solidFill>
          </w14:textFill>
        </w:rPr>
        <w:t>投标人认为针对报价需要说明的其他文件及资料。</w:t>
      </w:r>
    </w:p>
    <w:p w14:paraId="6F75906A">
      <w:pPr>
        <w:adjustRightInd w:val="0"/>
        <w:snapToGrid w:val="0"/>
        <w:spacing w:before="120" w:beforeLines="50"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10．投标函</w:t>
      </w:r>
    </w:p>
    <w:p w14:paraId="150A7840">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10.1 投标人应完整地填写采购文件中提供的投标函和投标相关附件。</w:t>
      </w:r>
    </w:p>
    <w:p w14:paraId="75FC096A">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10.2 投标文件应当对采购文件中有关投标有效期、采购需求等实质性内容作出响应。投标人在满足采购文件实质性要求的基础上，可以提出比采购文件要求更有利于采购人的承诺。</w:t>
      </w:r>
    </w:p>
    <w:p w14:paraId="0976BBBD">
      <w:pPr>
        <w:pStyle w:val="22"/>
        <w:snapToGrid w:val="0"/>
        <w:spacing w:before="120" w:beforeLines="50"/>
        <w:ind w:firstLine="482" w:firstLineChars="200"/>
        <w:rPr>
          <w:rFonts w:ascii="楷体" w:hAnsi="楷体" w:eastAsia="楷体" w:cs="楷体"/>
          <w:b/>
          <w:bCs/>
          <w:snapToGrid w:val="0"/>
          <w:color w:val="000000" w:themeColor="text1"/>
          <w:kern w:val="0"/>
          <w:szCs w:val="24"/>
          <w14:textFill>
            <w14:solidFill>
              <w14:schemeClr w14:val="tx1"/>
            </w14:solidFill>
          </w14:textFill>
        </w:rPr>
      </w:pPr>
      <w:r>
        <w:rPr>
          <w:rFonts w:hint="eastAsia" w:ascii="楷体" w:hAnsi="楷体" w:eastAsia="楷体" w:cs="楷体"/>
          <w:b/>
          <w:bCs/>
          <w:snapToGrid w:val="0"/>
          <w:color w:val="000000" w:themeColor="text1"/>
          <w:kern w:val="0"/>
          <w:szCs w:val="24"/>
          <w14:textFill>
            <w14:solidFill>
              <w14:schemeClr w14:val="tx1"/>
            </w14:solidFill>
          </w14:textFill>
        </w:rPr>
        <w:t>11．投标报价</w:t>
      </w:r>
    </w:p>
    <w:p w14:paraId="4E6BB9DC">
      <w:pPr>
        <w:pStyle w:val="22"/>
        <w:snapToGrid w:val="0"/>
        <w:ind w:firstLine="480" w:firstLineChars="200"/>
        <w:rPr>
          <w:rFonts w:ascii="楷体" w:hAnsi="楷体" w:eastAsia="楷体" w:cs="楷体"/>
          <w:snapToGrid w:val="0"/>
          <w:color w:val="000000" w:themeColor="text1"/>
          <w:kern w:val="0"/>
          <w:szCs w:val="24"/>
          <w14:textFill>
            <w14:solidFill>
              <w14:schemeClr w14:val="tx1"/>
            </w14:solidFill>
          </w14:textFill>
        </w:rPr>
      </w:pPr>
      <w:r>
        <w:rPr>
          <w:rFonts w:hint="eastAsia" w:ascii="楷体" w:hAnsi="楷体" w:eastAsia="楷体" w:cs="楷体"/>
          <w:snapToGrid w:val="0"/>
          <w:color w:val="000000" w:themeColor="text1"/>
          <w:kern w:val="0"/>
          <w:szCs w:val="24"/>
          <w14:textFill>
            <w14:solidFill>
              <w14:schemeClr w14:val="tx1"/>
            </w14:solidFill>
          </w14:textFill>
        </w:rPr>
        <w:t>11.1投标人应按采购文件中规定填写报价相关表单；</w:t>
      </w:r>
    </w:p>
    <w:p w14:paraId="5BA4CCEC">
      <w:pPr>
        <w:pStyle w:val="22"/>
        <w:snapToGrid w:val="0"/>
        <w:ind w:firstLine="482" w:firstLineChars="200"/>
        <w:rPr>
          <w:rFonts w:ascii="楷体" w:hAnsi="楷体" w:eastAsia="楷体" w:cs="楷体"/>
          <w:b/>
          <w:bCs/>
          <w:snapToGrid w:val="0"/>
          <w:color w:val="000000" w:themeColor="text1"/>
          <w:kern w:val="0"/>
          <w:szCs w:val="24"/>
          <w14:textFill>
            <w14:solidFill>
              <w14:schemeClr w14:val="tx1"/>
            </w14:solidFill>
          </w14:textFill>
        </w:rPr>
      </w:pPr>
      <w:r>
        <w:rPr>
          <w:rFonts w:hint="eastAsia" w:ascii="楷体" w:hAnsi="楷体" w:eastAsia="楷体" w:cs="楷体"/>
          <w:b/>
          <w:bCs/>
          <w:snapToGrid w:val="0"/>
          <w:color w:val="000000" w:themeColor="text1"/>
          <w:kern w:val="0"/>
          <w:szCs w:val="24"/>
          <w14:textFill>
            <w14:solidFill>
              <w14:schemeClr w14:val="tx1"/>
            </w14:solidFill>
          </w14:textFill>
        </w:rPr>
        <w:t>11.2本次报价方式为</w:t>
      </w:r>
      <w:r>
        <w:rPr>
          <w:rFonts w:hint="eastAsia" w:ascii="楷体" w:hAnsi="楷体" w:eastAsia="楷体" w:cs="楷体"/>
          <w:b/>
          <w:bCs/>
          <w:snapToGrid w:val="0"/>
          <w:color w:val="000000" w:themeColor="text1"/>
          <w:kern w:val="0"/>
          <w:szCs w:val="24"/>
          <w:u w:val="single"/>
          <w14:textFill>
            <w14:solidFill>
              <w14:schemeClr w14:val="tx1"/>
            </w14:solidFill>
          </w14:textFill>
        </w:rPr>
        <w:t>中标监理费费率</w:t>
      </w:r>
      <w:r>
        <w:rPr>
          <w:rFonts w:hint="eastAsia" w:ascii="楷体" w:hAnsi="楷体" w:eastAsia="楷体" w:cs="楷体"/>
          <w:b/>
          <w:bCs/>
          <w:snapToGrid w:val="0"/>
          <w:color w:val="000000" w:themeColor="text1"/>
          <w:kern w:val="0"/>
          <w:szCs w:val="24"/>
          <w14:textFill>
            <w14:solidFill>
              <w14:schemeClr w14:val="tx1"/>
            </w14:solidFill>
          </w14:textFill>
        </w:rPr>
        <w:t>包干，全部采用人民币报价。</w:t>
      </w:r>
    </w:p>
    <w:p w14:paraId="0411F5EE">
      <w:pPr>
        <w:pStyle w:val="22"/>
        <w:snapToGrid w:val="0"/>
        <w:ind w:firstLine="482" w:firstLineChars="200"/>
        <w:rPr>
          <w:rFonts w:ascii="楷体" w:hAnsi="楷体" w:eastAsia="楷体" w:cs="楷体"/>
          <w:b/>
          <w:bCs/>
          <w:snapToGrid w:val="0"/>
          <w:color w:val="000000" w:themeColor="text1"/>
          <w:kern w:val="0"/>
          <w:szCs w:val="24"/>
          <w14:textFill>
            <w14:solidFill>
              <w14:schemeClr w14:val="tx1"/>
            </w14:solidFill>
          </w14:textFill>
        </w:rPr>
      </w:pPr>
      <w:r>
        <w:rPr>
          <w:rFonts w:hint="eastAsia" w:ascii="楷体" w:hAnsi="楷体" w:eastAsia="楷体" w:cs="楷体"/>
          <w:b/>
          <w:bCs/>
          <w:snapToGrid w:val="0"/>
          <w:color w:val="000000" w:themeColor="text1"/>
          <w:kern w:val="0"/>
          <w:szCs w:val="24"/>
          <w14:textFill>
            <w14:solidFill>
              <w14:schemeClr w14:val="tx1"/>
            </w14:solidFill>
          </w14:textFill>
        </w:rPr>
        <w:t>此报价应包括但不限于</w:t>
      </w:r>
      <w:r>
        <w:rPr>
          <w:rFonts w:hint="eastAsia" w:ascii="楷体" w:hAnsi="楷体" w:eastAsia="楷体" w:cs="楷体"/>
          <w:b/>
          <w:bCs/>
          <w:snapToGrid w:val="0"/>
          <w:color w:val="000000" w:themeColor="text1"/>
          <w:kern w:val="0"/>
          <w:szCs w:val="24"/>
          <w:u w:val="single"/>
          <w14:textFill>
            <w14:solidFill>
              <w14:schemeClr w14:val="tx1"/>
            </w14:solidFill>
          </w14:textFill>
        </w:rPr>
        <w:t>全部工作内容的所需的各类服务所需的人员、差旅、以及利润、税金</w:t>
      </w:r>
      <w:r>
        <w:rPr>
          <w:rFonts w:hint="eastAsia" w:ascii="楷体" w:hAnsi="楷体" w:eastAsia="楷体" w:cs="楷体"/>
          <w:b/>
          <w:bCs/>
          <w:snapToGrid w:val="0"/>
          <w:color w:val="000000" w:themeColor="text1"/>
          <w:kern w:val="0"/>
          <w:szCs w:val="24"/>
          <w14:textFill>
            <w14:solidFill>
              <w14:schemeClr w14:val="tx1"/>
            </w14:solidFill>
          </w14:textFill>
        </w:rPr>
        <w:t>等各项可能涉及的费用</w:t>
      </w:r>
      <w:r>
        <w:rPr>
          <w:rFonts w:hint="eastAsia" w:ascii="楷体" w:hAnsi="楷体" w:eastAsia="楷体" w:cs="楷体"/>
          <w:b/>
          <w:bCs/>
          <w:snapToGrid w:val="0"/>
          <w:color w:val="000000" w:themeColor="text1"/>
          <w:kern w:val="0"/>
          <w:szCs w:val="24"/>
          <w14:textFill>
            <w14:solidFill>
              <w14:schemeClr w14:val="tx1"/>
            </w14:solidFill>
          </w14:textFill>
        </w:rPr>
        <w:t>。</w:t>
      </w:r>
    </w:p>
    <w:p w14:paraId="1EA4B3C1">
      <w:pPr>
        <w:pStyle w:val="22"/>
        <w:snapToGrid w:val="0"/>
        <w:ind w:firstLine="482" w:firstLineChars="200"/>
        <w:rPr>
          <w:rFonts w:ascii="楷体" w:hAnsi="楷体" w:eastAsia="楷体" w:cs="楷体"/>
          <w:b/>
          <w:bCs/>
          <w:snapToGrid w:val="0"/>
          <w:color w:val="000000" w:themeColor="text1"/>
          <w:kern w:val="0"/>
          <w:szCs w:val="24"/>
          <w14:textFill>
            <w14:solidFill>
              <w14:schemeClr w14:val="tx1"/>
            </w14:solidFill>
          </w14:textFill>
        </w:rPr>
      </w:pPr>
      <w:r>
        <w:rPr>
          <w:rFonts w:hint="eastAsia" w:ascii="楷体" w:hAnsi="楷体" w:eastAsia="楷体" w:cs="楷体"/>
          <w:b/>
          <w:bCs/>
          <w:snapToGrid w:val="0"/>
          <w:color w:val="000000" w:themeColor="text1"/>
          <w:kern w:val="0"/>
          <w:szCs w:val="24"/>
          <w14:textFill>
            <w14:solidFill>
              <w14:schemeClr w14:val="tx1"/>
            </w14:solidFill>
          </w14:textFill>
        </w:rPr>
        <w:t>完成本项目服务所涉及的一律费用由供应商承担。费用清单需详细列明，不详细的部分采购人有权按最好效果、最高标准执行。</w:t>
      </w:r>
    </w:p>
    <w:p w14:paraId="4B7E83B0">
      <w:pPr>
        <w:pStyle w:val="22"/>
        <w:snapToGrid w:val="0"/>
        <w:ind w:firstLine="482" w:firstLineChars="200"/>
        <w:rPr>
          <w:rFonts w:ascii="楷体" w:hAnsi="楷体" w:eastAsia="楷体" w:cs="楷体"/>
          <w:b/>
          <w:bCs/>
          <w:snapToGrid w:val="0"/>
          <w:color w:val="000000" w:themeColor="text1"/>
          <w:kern w:val="0"/>
          <w:szCs w:val="24"/>
          <w14:textFill>
            <w14:solidFill>
              <w14:schemeClr w14:val="tx1"/>
            </w14:solidFill>
          </w14:textFill>
        </w:rPr>
      </w:pPr>
      <w:r>
        <w:rPr>
          <w:rFonts w:hint="eastAsia" w:ascii="楷体" w:hAnsi="楷体" w:eastAsia="楷体" w:cs="楷体"/>
          <w:b/>
          <w:bCs/>
          <w:snapToGrid w:val="0"/>
          <w:color w:val="000000" w:themeColor="text1"/>
          <w:kern w:val="0"/>
          <w:szCs w:val="24"/>
          <w14:textFill>
            <w14:solidFill>
              <w14:schemeClr w14:val="tx1"/>
            </w14:solidFill>
          </w14:textFill>
        </w:rPr>
        <w:t>投标人应认真计算可能发生的各相关费用并计入报价内，在项目实施过程中不得藉此要求增加任何费用，并不得出现选择性的报价。</w:t>
      </w:r>
    </w:p>
    <w:p w14:paraId="2E3A959D">
      <w:pPr>
        <w:widowControl/>
        <w:adjustRightInd w:val="0"/>
        <w:snapToGrid w:val="0"/>
        <w:spacing w:line="360" w:lineRule="auto"/>
        <w:ind w:firstLine="482"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11.3本项目采购代理服务费由中标人向采购代理机构支付，相关成本支出由投标人自行考虑。采购代理服务费计取标准见前附表。</w:t>
      </w:r>
    </w:p>
    <w:p w14:paraId="5B2BA134">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11.4本项目只允许一次报价，不允许以开标后调整的报价作为评标的依据（但按本采购文件投标须知投标文件错误的修正并经评标委员会认定或经投标人确认同意的除外）。</w:t>
      </w:r>
    </w:p>
    <w:p w14:paraId="620DDFC2">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11.5其它需在报价中考虑的因素：</w:t>
      </w:r>
    </w:p>
    <w:p w14:paraId="167863C6">
      <w:pPr>
        <w:numPr>
          <w:ilvl w:val="0"/>
          <w:numId w:val="15"/>
        </w:numPr>
        <w:tabs>
          <w:tab w:val="left" w:pos="993"/>
        </w:tabs>
        <w:adjustRightInd w:val="0"/>
        <w:snapToGrid w:val="0"/>
        <w:spacing w:line="360" w:lineRule="auto"/>
        <w:ind w:left="0" w:firstLine="420"/>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用户需求中明确的需供应商承担的费用均应含在投标总价中；</w:t>
      </w:r>
    </w:p>
    <w:p w14:paraId="55DB1577">
      <w:pPr>
        <w:numPr>
          <w:ilvl w:val="0"/>
          <w:numId w:val="15"/>
        </w:numPr>
        <w:tabs>
          <w:tab w:val="left" w:pos="993"/>
        </w:tabs>
        <w:adjustRightInd w:val="0"/>
        <w:snapToGrid w:val="0"/>
        <w:spacing w:line="360" w:lineRule="auto"/>
        <w:ind w:left="0" w:firstLine="420"/>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采购文件未明示但投标人认为可能产生的潜在费用支出均需自行考虑并计入投标总价中；</w:t>
      </w:r>
    </w:p>
    <w:p w14:paraId="03A48541">
      <w:pPr>
        <w:numPr>
          <w:ilvl w:val="0"/>
          <w:numId w:val="15"/>
        </w:numPr>
        <w:tabs>
          <w:tab w:val="left" w:pos="993"/>
        </w:tabs>
        <w:adjustRightInd w:val="0"/>
        <w:snapToGrid w:val="0"/>
        <w:spacing w:line="360" w:lineRule="auto"/>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对于没有填报的项目，采购人将不再支付，并均认为已包含在报价内。</w:t>
      </w:r>
    </w:p>
    <w:p w14:paraId="0788AA18">
      <w:pPr>
        <w:pStyle w:val="22"/>
        <w:snapToGrid w:val="0"/>
        <w:spacing w:before="120" w:beforeLines="50"/>
        <w:ind w:firstLine="482" w:firstLineChars="200"/>
        <w:rPr>
          <w:rFonts w:ascii="楷体" w:hAnsi="楷体" w:eastAsia="楷体" w:cs="楷体"/>
          <w:b/>
          <w:bCs/>
          <w:snapToGrid w:val="0"/>
          <w:color w:val="000000" w:themeColor="text1"/>
          <w:kern w:val="0"/>
          <w:szCs w:val="24"/>
          <w14:textFill>
            <w14:solidFill>
              <w14:schemeClr w14:val="tx1"/>
            </w14:solidFill>
          </w14:textFill>
        </w:rPr>
      </w:pPr>
      <w:r>
        <w:rPr>
          <w:rFonts w:hint="eastAsia" w:ascii="楷体" w:hAnsi="楷体" w:eastAsia="楷体" w:cs="楷体"/>
          <w:b/>
          <w:bCs/>
          <w:snapToGrid w:val="0"/>
          <w:color w:val="000000" w:themeColor="text1"/>
          <w:kern w:val="0"/>
          <w:szCs w:val="24"/>
          <w14:textFill>
            <w14:solidFill>
              <w14:schemeClr w14:val="tx1"/>
            </w14:solidFill>
          </w14:textFill>
        </w:rPr>
        <w:t>12．投标货币</w:t>
      </w:r>
    </w:p>
    <w:p w14:paraId="41B9BE76">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投标人用人民币报价。</w:t>
      </w:r>
    </w:p>
    <w:p w14:paraId="3A683E40">
      <w:pPr>
        <w:pStyle w:val="22"/>
        <w:numPr>
          <w:ilvl w:val="0"/>
          <w:numId w:val="16"/>
        </w:numPr>
        <w:snapToGrid w:val="0"/>
        <w:spacing w:before="120" w:beforeLines="50"/>
        <w:ind w:firstLine="482" w:firstLineChars="200"/>
        <w:rPr>
          <w:rFonts w:ascii="楷体" w:hAnsi="楷体" w:eastAsia="楷体" w:cs="楷体"/>
          <w:b/>
          <w:bCs/>
          <w:snapToGrid w:val="0"/>
          <w:color w:val="000000" w:themeColor="text1"/>
          <w:kern w:val="0"/>
          <w:szCs w:val="24"/>
          <w14:textFill>
            <w14:solidFill>
              <w14:schemeClr w14:val="tx1"/>
            </w14:solidFill>
          </w14:textFill>
        </w:rPr>
      </w:pPr>
      <w:r>
        <w:rPr>
          <w:rFonts w:hint="eastAsia" w:ascii="楷体" w:hAnsi="楷体" w:eastAsia="楷体" w:cs="楷体"/>
          <w:b/>
          <w:bCs/>
          <w:snapToGrid w:val="0"/>
          <w:color w:val="000000" w:themeColor="text1"/>
          <w:kern w:val="0"/>
          <w:szCs w:val="24"/>
          <w14:textFill>
            <w14:solidFill>
              <w14:schemeClr w14:val="tx1"/>
            </w14:solidFill>
          </w14:textFill>
        </w:rPr>
        <w:t>投标保证金</w:t>
      </w:r>
    </w:p>
    <w:p w14:paraId="3ADF8322">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13.1 本项目不收取投标保证金。但违反政府采购相关规定给采购人造成损失的，投标人应当承担赔偿责任。</w:t>
      </w:r>
    </w:p>
    <w:p w14:paraId="0FBCB7E9">
      <w:pPr>
        <w:pStyle w:val="22"/>
        <w:snapToGrid w:val="0"/>
        <w:spacing w:before="120" w:beforeLines="50"/>
        <w:ind w:firstLine="482" w:firstLineChars="200"/>
        <w:rPr>
          <w:rFonts w:ascii="楷体" w:hAnsi="楷体" w:eastAsia="楷体" w:cs="楷体"/>
          <w:b/>
          <w:bCs/>
          <w:snapToGrid w:val="0"/>
          <w:color w:val="000000" w:themeColor="text1"/>
          <w:kern w:val="0"/>
          <w:szCs w:val="24"/>
          <w14:textFill>
            <w14:solidFill>
              <w14:schemeClr w14:val="tx1"/>
            </w14:solidFill>
          </w14:textFill>
        </w:rPr>
      </w:pPr>
      <w:r>
        <w:rPr>
          <w:rFonts w:hint="eastAsia" w:ascii="楷体" w:hAnsi="楷体" w:eastAsia="楷体" w:cs="楷体"/>
          <w:b/>
          <w:bCs/>
          <w:snapToGrid w:val="0"/>
          <w:color w:val="000000" w:themeColor="text1"/>
          <w:kern w:val="0"/>
          <w:szCs w:val="24"/>
          <w14:textFill>
            <w14:solidFill>
              <w14:schemeClr w14:val="tx1"/>
            </w14:solidFill>
          </w14:textFill>
        </w:rPr>
        <w:t>14．投标有效期</w:t>
      </w:r>
    </w:p>
    <w:p w14:paraId="0FA2D6B8">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14.1 投标文件在开标之日起90个日历天内有效。</w:t>
      </w:r>
    </w:p>
    <w:p w14:paraId="5EDB9E33">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14.2 在原定投标有效期满之前，如果出现特殊情况，采购人可以以书面形式向投标人提出延长投标有效期的要求。这种要求与答复均应采用书面形式如传真或信件等。投标人可以拒绝接受采购人的这种要求而放弃投标。接受延长投标有效期的投标人将不会被要求和允许修正其投标。</w:t>
      </w:r>
    </w:p>
    <w:p w14:paraId="172FABCE">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14.3 中标人的投标文件自开标之日起至合同履行完毕止均应保持有效。</w:t>
      </w:r>
    </w:p>
    <w:p w14:paraId="0FDA5CAC">
      <w:pPr>
        <w:pStyle w:val="22"/>
        <w:snapToGrid w:val="0"/>
        <w:spacing w:before="120" w:beforeLines="50"/>
        <w:ind w:firstLine="482" w:firstLineChars="200"/>
        <w:rPr>
          <w:rFonts w:ascii="楷体" w:hAnsi="楷体" w:eastAsia="楷体" w:cs="楷体"/>
          <w:b/>
          <w:bCs/>
          <w:snapToGrid w:val="0"/>
          <w:color w:val="000000" w:themeColor="text1"/>
          <w:kern w:val="0"/>
          <w:szCs w:val="24"/>
          <w14:textFill>
            <w14:solidFill>
              <w14:schemeClr w14:val="tx1"/>
            </w14:solidFill>
          </w14:textFill>
        </w:rPr>
      </w:pPr>
      <w:r>
        <w:rPr>
          <w:rFonts w:hint="eastAsia" w:ascii="楷体" w:hAnsi="楷体" w:eastAsia="楷体" w:cs="楷体"/>
          <w:b/>
          <w:bCs/>
          <w:snapToGrid w:val="0"/>
          <w:color w:val="000000" w:themeColor="text1"/>
          <w:kern w:val="0"/>
          <w:szCs w:val="24"/>
          <w14:textFill>
            <w14:solidFill>
              <w14:schemeClr w14:val="tx1"/>
            </w14:solidFill>
          </w14:textFill>
        </w:rPr>
        <w:t>15．投标文件的式样</w:t>
      </w:r>
    </w:p>
    <w:p w14:paraId="50942734">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15.1 投标人通过“政采云”平台制作电子投标文件，投标文件制作详见“供应商-政府采购项目电子交易操作指南”。</w:t>
      </w:r>
    </w:p>
    <w:p w14:paraId="5606BAE7">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15.2 投标文件是电子投标文件，包括“电子加密投标文件”和“备份投标文件”，在投标文件编制完成后同时生成。</w:t>
      </w:r>
    </w:p>
    <w:p w14:paraId="0874CD01">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（1）“电子加密投标文件”是指通过“政采云电子交易客户端”完成投标文件编制后生成并加密的数据电文形式的投标文件。</w:t>
      </w:r>
    </w:p>
    <w:p w14:paraId="131FAAFD">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p w14:paraId="0D2735F0">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（3）一份电子加密标书（后缀格式为.jmbs），一份备份标书文件（后缀格式为.bfbs）</w:t>
      </w:r>
    </w:p>
    <w:p w14:paraId="68D3BED6">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（4）每份电子投标文件应包括资格响应文件、商务技术响应文件、报价响应文件三部分内容。</w:t>
      </w:r>
    </w:p>
    <w:p w14:paraId="7CEB0418">
      <w:pPr>
        <w:adjustRightInd w:val="0"/>
        <w:snapToGrid w:val="0"/>
        <w:spacing w:line="360" w:lineRule="auto"/>
        <w:ind w:firstLine="482" w:firstLineChars="20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15.3 投标文件中投标函、授权委托书的格式、签字、盖章及内容均应符合采购文件格式要求，否则投标文件无效。</w:t>
      </w:r>
    </w:p>
    <w:p w14:paraId="2461DED3">
      <w:pPr>
        <w:pStyle w:val="22"/>
        <w:rPr>
          <w:rFonts w:ascii="楷体" w:hAnsi="楷体" w:eastAsia="楷体" w:cs="楷体"/>
          <w:color w:val="000000" w:themeColor="text1"/>
          <w:szCs w:val="24"/>
          <w14:textFill>
            <w14:solidFill>
              <w14:schemeClr w14:val="tx1"/>
            </w14:solidFill>
          </w14:textFill>
        </w:rPr>
      </w:pPr>
      <w:r>
        <w:rPr>
          <w:rFonts w:hint="eastAsia" w:ascii="楷体" w:hAnsi="楷体" w:eastAsia="楷体" w:cs="楷体"/>
          <w:b/>
          <w:bCs/>
          <w:snapToGrid w:val="0"/>
          <w:color w:val="000000" w:themeColor="text1"/>
          <w:kern w:val="0"/>
          <w:szCs w:val="24"/>
          <w14:textFill>
            <w14:solidFill>
              <w14:schemeClr w14:val="tx1"/>
            </w14:solidFill>
          </w14:textFill>
        </w:rPr>
        <w:t>说明：凡采购文件要求投标人盖公章的部分，采用电子签章或加盖投标人公章后扫描上传的，均视为符合要求。</w:t>
      </w:r>
    </w:p>
    <w:p w14:paraId="3D1856A2">
      <w:pPr>
        <w:adjustRightInd w:val="0"/>
        <w:snapToGrid w:val="0"/>
        <w:spacing w:line="360" w:lineRule="auto"/>
        <w:ind w:firstLine="482" w:firstLineChars="20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15.4投标人应根据“政采云供应商项目采购-电子招投标操作指南”及本招标文件规定编制电子投标文件并进行关联定位，以便评标委员会在评标时，点击评分项，可直接定位到该评分项内容。</w:t>
      </w:r>
    </w:p>
    <w:p w14:paraId="7704A93D">
      <w:pPr>
        <w:adjustRightInd w:val="0"/>
        <w:snapToGrid w:val="0"/>
        <w:spacing w:line="360" w:lineRule="auto"/>
        <w:ind w:firstLine="482" w:firstLineChars="20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如对招标文件的某项要求，投标人的投标响应文件未能提供相应的内容与其对应，则评标委员会在评审时会提示投标人未对此项招标要求提供相应内容。由此产生的评分影响由投标人自行承担。</w:t>
      </w:r>
    </w:p>
    <w:p w14:paraId="568720DA">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投标文件内容不完整、编排混乱导致投标文件被误读、漏读，或者在按采购文件规定的部分查找不到相关内容的，是投标人的责任。</w:t>
      </w:r>
    </w:p>
    <w:p w14:paraId="15633C0D">
      <w:pPr>
        <w:pStyle w:val="3"/>
        <w:snapToGrid w:val="0"/>
        <w:spacing w:before="120" w:beforeLines="50" w:after="120" w:afterLines="50" w:line="360" w:lineRule="auto"/>
        <w:rPr>
          <w:rFonts w:ascii="楷体" w:hAnsi="楷体" w:cs="楷体"/>
          <w:color w:val="000000" w:themeColor="text1"/>
          <w:sz w:val="24"/>
          <w:szCs w:val="24"/>
          <w14:textFill>
            <w14:solidFill>
              <w14:schemeClr w14:val="tx1"/>
            </w14:solidFill>
          </w14:textFill>
        </w:rPr>
      </w:pPr>
      <w:bookmarkStart w:id="111" w:name="_Toc3488"/>
      <w:bookmarkStart w:id="112" w:name="_Toc23499"/>
      <w:bookmarkStart w:id="113" w:name="_Toc18937"/>
      <w:bookmarkStart w:id="114" w:name="_Toc225867069"/>
      <w:bookmarkStart w:id="115" w:name="_Toc11450"/>
      <w:bookmarkStart w:id="116" w:name="_Toc11534"/>
      <w:bookmarkStart w:id="117" w:name="_Toc415"/>
      <w:bookmarkStart w:id="118" w:name="_Toc32432"/>
      <w:bookmarkStart w:id="119" w:name="_Toc251566653"/>
      <w:bookmarkStart w:id="120" w:name="_Toc240450080"/>
      <w:bookmarkStart w:id="121" w:name="_Toc13563"/>
      <w:bookmarkStart w:id="122" w:name="_Toc30345"/>
      <w:bookmarkStart w:id="123" w:name="_Toc21966"/>
      <w:bookmarkStart w:id="124" w:name="_Toc225868271"/>
      <w:bookmarkStart w:id="125" w:name="_Toc11108"/>
      <w:bookmarkStart w:id="126" w:name="_Toc11446"/>
      <w:bookmarkStart w:id="127" w:name="_Toc1575"/>
      <w:bookmarkStart w:id="128" w:name="_Toc2228"/>
      <w:bookmarkStart w:id="129" w:name="_Toc1375"/>
      <w:bookmarkStart w:id="130" w:name="_Toc8695"/>
      <w:r>
        <w:rPr>
          <w:rFonts w:hint="eastAsia" w:ascii="楷体" w:hAnsi="楷体" w:cs="楷体"/>
          <w:color w:val="000000" w:themeColor="text1"/>
          <w:sz w:val="24"/>
          <w:szCs w:val="24"/>
          <w14:textFill>
            <w14:solidFill>
              <w14:schemeClr w14:val="tx1"/>
            </w14:solidFill>
          </w14:textFill>
        </w:rPr>
        <w:t>四、投标文件的递交</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2B199160">
      <w:pPr>
        <w:adjustRightInd w:val="0"/>
        <w:snapToGrid w:val="0"/>
        <w:spacing w:before="120" w:beforeLines="50"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16．投标文件的递交</w:t>
      </w:r>
    </w:p>
    <w:p w14:paraId="0EA8C4AD">
      <w:pPr>
        <w:pStyle w:val="27"/>
        <w:adjustRightInd w:val="0"/>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16.1 电子加密投标文件：投标文件制作完成并生成加密标书，在投标截止时间前，投标人需将加密的投标文件上传至政采云平台，到达开标时间后，解密投标文件。</w:t>
      </w:r>
    </w:p>
    <w:p w14:paraId="7B54C82A">
      <w:pPr>
        <w:pStyle w:val="27"/>
        <w:adjustRightInd w:val="0"/>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a.投标人未能在投标截止时间前成功上传电子加密投标文件的投标无效。</w:t>
      </w:r>
    </w:p>
    <w:p w14:paraId="0BF052BE">
      <w:pPr>
        <w:pStyle w:val="27"/>
        <w:adjustRightInd w:val="0"/>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b.投标人成功上传电子加密投标文件后，可自行打印投标文件接收回执。</w:t>
      </w:r>
    </w:p>
    <w:p w14:paraId="0B62BD71">
      <w:pPr>
        <w:pStyle w:val="27"/>
        <w:adjustRightInd w:val="0"/>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16.2备份投标文件：供应商确保在投标截止时间前，将备份投标文件通过快递形式寄达采购代理机构处，以便标书解密异常时应急使用。</w:t>
      </w:r>
    </w:p>
    <w:p w14:paraId="0B8A3BC8">
      <w:pPr>
        <w:pStyle w:val="27"/>
        <w:numPr>
          <w:ilvl w:val="0"/>
          <w:numId w:val="17"/>
        </w:numPr>
        <w:adjustRightInd w:val="0"/>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备份投标文件递交要求：投标人须将备份投标文件以光盘或U盘形式放在密封袋中，密封后并在密封袋上注明投标项目名称、投标单位名称并加盖公章。未密封包装或者逾期邮寄送达的“备份投标文件”将不予接收。</w:t>
      </w:r>
    </w:p>
    <w:p w14:paraId="2FDB8989">
      <w:pPr>
        <w:pStyle w:val="27"/>
        <w:numPr>
          <w:ilvl w:val="0"/>
          <w:numId w:val="17"/>
        </w:numPr>
        <w:adjustRightInd w:val="0"/>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投标人仅提交备份投标文件的，投标无效。</w:t>
      </w:r>
    </w:p>
    <w:p w14:paraId="6576134A">
      <w:pPr>
        <w:adjustRightInd w:val="0"/>
        <w:snapToGrid w:val="0"/>
        <w:spacing w:before="120" w:beforeLines="50"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17．投标截止期</w:t>
      </w:r>
    </w:p>
    <w:p w14:paraId="5A4C9D4D">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17.1 投标人应按前附表规定的日期、时间和方式上传、递交投标文件。</w:t>
      </w:r>
    </w:p>
    <w:p w14:paraId="220F82DA">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17.2 采购人可以按本须知第7条规定，通过修改采购文件适当延长投标截止日期。在此情况下，采购人与投标人受投标截止期制约的所有权利和义务均应延长至新的截止期。</w:t>
      </w:r>
    </w:p>
    <w:p w14:paraId="10051AC9">
      <w:pPr>
        <w:adjustRightInd w:val="0"/>
        <w:snapToGrid w:val="0"/>
        <w:spacing w:before="120" w:beforeLines="50"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18．迟交的投标文件</w:t>
      </w:r>
    </w:p>
    <w:p w14:paraId="5222C188">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在本须知第17条规定的截止期后收到的任何投标文件，采购人将不予接收。</w:t>
      </w:r>
    </w:p>
    <w:p w14:paraId="6BC4A35F">
      <w:pPr>
        <w:adjustRightInd w:val="0"/>
        <w:snapToGrid w:val="0"/>
        <w:spacing w:before="120" w:beforeLines="50"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19．投标文件的修改与撤回</w:t>
      </w:r>
    </w:p>
    <w:p w14:paraId="4B98BDD4">
      <w:pPr>
        <w:pStyle w:val="27"/>
        <w:adjustRightInd w:val="0"/>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snapToGrid w:val="0"/>
          <w:color w:val="000000" w:themeColor="text1"/>
          <w:kern w:val="0"/>
          <w:sz w:val="24"/>
          <w:szCs w:val="24"/>
          <w14:textFill>
            <w14:solidFill>
              <w14:schemeClr w14:val="tx1"/>
            </w14:solidFill>
          </w14:textFill>
        </w:rPr>
        <w:t>19.1 投标人在递交投标文件后，在规定的投标截止时间前，</w:t>
      </w:r>
      <w:r>
        <w:rPr>
          <w:rFonts w:hint="eastAsia" w:ascii="楷体" w:hAnsi="楷体" w:eastAsia="楷体" w:cs="楷体"/>
          <w:color w:val="000000" w:themeColor="text1"/>
          <w:sz w:val="24"/>
          <w:szCs w:val="24"/>
          <w14:textFill>
            <w14:solidFill>
              <w14:schemeClr w14:val="tx1"/>
            </w14:solidFill>
          </w14:textFill>
        </w:rPr>
        <w:t>可以补充、修改或者撤回电子交易文件。补充或者修改电子交易文件的，应当先行撤回原文件，补充、修改后重新传输递交。投标截止时间前未完成传输的，视为投标文件撤回，投标无效。</w:t>
      </w:r>
    </w:p>
    <w:p w14:paraId="588DB0CF">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19.2 在投标截止期之后，投标人不得对其投标作任何修改。</w:t>
      </w:r>
    </w:p>
    <w:p w14:paraId="23BC9018">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19.3 从投标截止期至投标人在投标函格式中确定的投标有效期期满这段时间内，投标人不得撤回其投标。</w:t>
      </w:r>
    </w:p>
    <w:p w14:paraId="04CF7DEE">
      <w:pPr>
        <w:pStyle w:val="3"/>
        <w:snapToGrid w:val="0"/>
        <w:spacing w:before="120" w:beforeLines="50" w:after="120" w:afterLines="50" w:line="360" w:lineRule="auto"/>
        <w:rPr>
          <w:rFonts w:ascii="楷体" w:hAnsi="楷体" w:cs="楷体"/>
          <w:color w:val="000000" w:themeColor="text1"/>
          <w:sz w:val="24"/>
          <w:szCs w:val="24"/>
          <w14:textFill>
            <w14:solidFill>
              <w14:schemeClr w14:val="tx1"/>
            </w14:solidFill>
          </w14:textFill>
        </w:rPr>
      </w:pPr>
      <w:bookmarkStart w:id="131" w:name="_Toc14566"/>
      <w:bookmarkStart w:id="132" w:name="_Toc19704"/>
      <w:bookmarkStart w:id="133" w:name="_Toc240450081"/>
      <w:bookmarkStart w:id="134" w:name="_Toc1066"/>
      <w:bookmarkStart w:id="135" w:name="_Toc225867070"/>
      <w:bookmarkStart w:id="136" w:name="_Toc225868272"/>
      <w:bookmarkStart w:id="137" w:name="_Toc13578"/>
      <w:bookmarkStart w:id="138" w:name="_Toc23222"/>
      <w:bookmarkStart w:id="139" w:name="_Toc16607"/>
      <w:bookmarkStart w:id="140" w:name="_Toc251566654"/>
      <w:bookmarkStart w:id="141" w:name="_Toc10993"/>
      <w:bookmarkStart w:id="142" w:name="_Toc24588"/>
      <w:bookmarkStart w:id="143" w:name="_Toc22113"/>
      <w:bookmarkStart w:id="144" w:name="_Toc29481"/>
      <w:bookmarkStart w:id="145" w:name="_Toc9549"/>
      <w:bookmarkStart w:id="146" w:name="_Toc16027"/>
      <w:bookmarkStart w:id="147" w:name="_Toc28143"/>
      <w:bookmarkStart w:id="148" w:name="_Toc30082"/>
      <w:bookmarkStart w:id="149" w:name="_Toc13966"/>
      <w:bookmarkStart w:id="150" w:name="_Toc20333"/>
      <w:r>
        <w:rPr>
          <w:rFonts w:hint="eastAsia" w:ascii="楷体" w:hAnsi="楷体" w:cs="楷体"/>
          <w:color w:val="000000" w:themeColor="text1"/>
          <w:sz w:val="24"/>
          <w:szCs w:val="24"/>
          <w14:textFill>
            <w14:solidFill>
              <w14:schemeClr w14:val="tx1"/>
            </w14:solidFill>
          </w14:textFill>
        </w:rPr>
        <w:t>五、开标与评标</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E32CE4D">
      <w:pPr>
        <w:adjustRightInd w:val="0"/>
        <w:snapToGrid w:val="0"/>
        <w:spacing w:before="120" w:beforeLines="50"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20．开标</w:t>
      </w:r>
    </w:p>
    <w:p w14:paraId="5A5051CF">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20.1 采购人将于前附表规定的时间和地点公开开标。若采购人按本须知第7条规定，通过修改采购文件更改了开标时间和地点的，以后者为准。</w:t>
      </w:r>
    </w:p>
    <w:p w14:paraId="7C04AD35">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20.2开评标期间，投标人代表应在线操作，并关注政采云有关信息公布、澄清等情况。投标人代表不参加开标程序的，事后不得对采购相关人员、开标过程和开标结果提出异议。</w:t>
      </w:r>
    </w:p>
    <w:p w14:paraId="69AD6F3B">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20.3 开标程序</w:t>
      </w:r>
    </w:p>
    <w:p w14:paraId="4C69F7C4">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详见前附表序号第20项。</w:t>
      </w:r>
    </w:p>
    <w:p w14:paraId="7593BEC1">
      <w:pPr>
        <w:adjustRightInd w:val="0"/>
        <w:snapToGrid w:val="0"/>
        <w:spacing w:before="120" w:beforeLines="50"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21．评标</w:t>
      </w:r>
    </w:p>
    <w:p w14:paraId="036E21B4">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详见采购文件第六部分“评标办法”。</w:t>
      </w:r>
    </w:p>
    <w:p w14:paraId="20C2210E">
      <w:pPr>
        <w:adjustRightInd w:val="0"/>
        <w:snapToGrid w:val="0"/>
        <w:spacing w:before="120" w:beforeLines="50"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22．串通投标</w:t>
      </w:r>
    </w:p>
    <w:p w14:paraId="77DEB076">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有下列情形之一的，视为供应商串通投标，其投标无效：</w:t>
      </w:r>
    </w:p>
    <w:p w14:paraId="1952D4C7">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（1）不同供应商的投标文件由同一单位或者个人编制；</w:t>
      </w:r>
    </w:p>
    <w:p w14:paraId="01D3AEFD">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（2）不同供应商委托同一单位或者个人办理投标事宜；</w:t>
      </w:r>
    </w:p>
    <w:p w14:paraId="40DC2EEF">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（3）不同供应商的投标文件载明的项目管理成员或者联系人员为同一人；</w:t>
      </w:r>
    </w:p>
    <w:p w14:paraId="55E3039B">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（4）不同供应商的投标文件异常一致或者投标报价呈规律性差异；</w:t>
      </w:r>
    </w:p>
    <w:p w14:paraId="179D6DAE">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（5）不同供应商的投标文件相互混装。</w:t>
      </w:r>
    </w:p>
    <w:p w14:paraId="11AB2D2C">
      <w:pPr>
        <w:adjustRightInd w:val="0"/>
        <w:snapToGrid w:val="0"/>
        <w:spacing w:before="120" w:beforeLines="50"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23．废标</w:t>
      </w:r>
    </w:p>
    <w:p w14:paraId="535E6270">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23.1根据《中华人民共和国政府采购法》第三十六条，出现下列情形之一的，应予以废标：</w:t>
      </w:r>
    </w:p>
    <w:p w14:paraId="1EDA735A">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（1）符合专业条件的供应商或者对采购文件作实质响应的供应商不足三家的；</w:t>
      </w:r>
    </w:p>
    <w:p w14:paraId="532AAC01">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（2）出现影响采购公正的违法、违规行为的；</w:t>
      </w:r>
    </w:p>
    <w:p w14:paraId="1FA37FF0">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（3）所有投标人的报价均超过了采购预算，采购人不能支付的；</w:t>
      </w:r>
    </w:p>
    <w:p w14:paraId="4D2BE5EC">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（4）因重大变故，采购任务取消的。</w:t>
      </w:r>
    </w:p>
    <w:p w14:paraId="336D5C5E">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23.2采购过程中出现以下情形，导致电子交易平台无法正常运行，或者无法保证电子交易的公平、公正和安全时，采购组织机构可中止电子交易活动：</w:t>
      </w:r>
    </w:p>
    <w:p w14:paraId="4EAAD499">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 xml:space="preserve">（1）电子交易平台发生故障而无法登录访问的； </w:t>
      </w:r>
    </w:p>
    <w:p w14:paraId="1CD9AAAC">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（2）电子交易平台应用或数据库出现错误，不能进行正常操作的；</w:t>
      </w:r>
    </w:p>
    <w:p w14:paraId="25D2CEA0">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（3）电子交易平台发现严重安全漏洞，有潜在泄密危险的；</w:t>
      </w:r>
    </w:p>
    <w:p w14:paraId="1BADAC45">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 xml:space="preserve">（4）病毒发作导致不能进行正常操作的； </w:t>
      </w:r>
    </w:p>
    <w:p w14:paraId="28E5A30B">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（5）其他无法保证电子交易的公平、公正和安全的情况。</w:t>
      </w:r>
    </w:p>
    <w:p w14:paraId="56845423">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5B968A7D">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23.3 废标后，采购人应当将废标理由通知所有投标人并重新组织招标；或者经主管部门批准，采取其他方式组织采购。</w:t>
      </w:r>
    </w:p>
    <w:p w14:paraId="0DD348CD">
      <w:pPr>
        <w:pStyle w:val="3"/>
        <w:snapToGrid w:val="0"/>
        <w:spacing w:before="120" w:beforeLines="50" w:after="120" w:afterLines="50" w:line="360" w:lineRule="auto"/>
        <w:rPr>
          <w:rFonts w:ascii="楷体" w:hAnsi="楷体" w:cs="楷体"/>
          <w:color w:val="000000" w:themeColor="text1"/>
          <w:sz w:val="24"/>
          <w:szCs w:val="24"/>
          <w14:textFill>
            <w14:solidFill>
              <w14:schemeClr w14:val="tx1"/>
            </w14:solidFill>
          </w14:textFill>
        </w:rPr>
      </w:pPr>
      <w:bookmarkStart w:id="151" w:name="_Toc27035"/>
      <w:bookmarkStart w:id="152" w:name="_Toc20730"/>
      <w:bookmarkStart w:id="153" w:name="_Toc10139"/>
      <w:bookmarkStart w:id="154" w:name="_Toc14710"/>
      <w:bookmarkStart w:id="155" w:name="_Toc225867071"/>
      <w:bookmarkStart w:id="156" w:name="_Toc251566655"/>
      <w:bookmarkStart w:id="157" w:name="_Toc225868273"/>
      <w:bookmarkStart w:id="158" w:name="_Toc4485"/>
      <w:bookmarkStart w:id="159" w:name="_Toc28905"/>
      <w:bookmarkStart w:id="160" w:name="_Toc20725"/>
      <w:bookmarkStart w:id="161" w:name="_Toc26186"/>
      <w:bookmarkStart w:id="162" w:name="_Toc7703"/>
      <w:bookmarkStart w:id="163" w:name="_Toc22318"/>
      <w:bookmarkStart w:id="164" w:name="_Toc17262"/>
      <w:bookmarkStart w:id="165" w:name="_Toc17778"/>
      <w:bookmarkStart w:id="166" w:name="_Toc240450082"/>
      <w:bookmarkStart w:id="167" w:name="_Toc27169"/>
      <w:bookmarkStart w:id="168" w:name="_Toc21436"/>
      <w:bookmarkStart w:id="169" w:name="_Toc32586"/>
      <w:r>
        <w:rPr>
          <w:rFonts w:hint="eastAsia" w:ascii="楷体" w:hAnsi="楷体" w:cs="楷体"/>
          <w:color w:val="000000" w:themeColor="text1"/>
          <w:sz w:val="24"/>
          <w:szCs w:val="24"/>
          <w14:textFill>
            <w14:solidFill>
              <w14:schemeClr w14:val="tx1"/>
            </w14:solidFill>
          </w14:textFill>
        </w:rPr>
        <w:t>六、确定中标人及授予合同</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5D3D34F">
      <w:pPr>
        <w:adjustRightInd w:val="0"/>
        <w:snapToGrid w:val="0"/>
        <w:spacing w:before="120" w:beforeLines="50"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24．中标人的确定</w:t>
      </w:r>
    </w:p>
    <w:p w14:paraId="5D9BC2F6">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24.1 采购代理机构应当自评审结束之日起2个工作日内将评审报告送交采购人。</w:t>
      </w:r>
    </w:p>
    <w:p w14:paraId="7C2C62D6">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采购人应当自收到评标报告之日起５个工作日内，在评标报告确定的中标候选人名单中按顺序确定中标人。中标候选人并列的，由采购人或者采购人委托评标委员会按照采购文件规定的方式确定中标人；采购文件未规定的，采取随机抽取的方式确定。</w:t>
      </w:r>
    </w:p>
    <w:p w14:paraId="2A5038B6">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采购人在收到评标报告5个工作日内未按评标报告推荐的中标候选人顺序确定中标人，又不能说明合法理由的，视同按评标报告推荐的顺序确定排名第一的中标候选人为中标人。</w:t>
      </w:r>
    </w:p>
    <w:p w14:paraId="75A3FE3D">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采购人或者采购代理机构应当自中标人确定之日起2个工作日内，在省级以上财政部门指定的媒体上公告中标结果。中标人享受中小企业扶持政策的，采购人、采购代理机构应当随中标结果公开中标人的《中小企业声明函》。</w:t>
      </w:r>
    </w:p>
    <w:p w14:paraId="1F534178">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公告期限为1个工作日。</w:t>
      </w:r>
    </w:p>
    <w:p w14:paraId="61DB9527">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24.2 除国务院财政部门规定的情形外，采购人、采购代理机构不得以任何理由组织重新评审。采购人、采购代理机构按照国务院财政部门的规定组织重新评审的，应当书面报告本级人民政府财政部门。</w:t>
      </w:r>
    </w:p>
    <w:p w14:paraId="23794856">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 xml:space="preserve">24.3中标通知书发出后，采购人不得违法改变中标结果，中标人无正当理由不得放弃中标。 </w:t>
      </w:r>
    </w:p>
    <w:p w14:paraId="509EB781">
      <w:pPr>
        <w:adjustRightInd w:val="0"/>
        <w:snapToGrid w:val="0"/>
        <w:spacing w:line="360" w:lineRule="auto"/>
        <w:ind w:firstLine="482" w:firstLineChars="200"/>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24.4中标人应为浙江政府采购注册供应商，如尚未注册，必须在投标截止前按照《浙江省政府采购供应商注册及诚信管理暂行办法》（浙财采监字［2009］28号）的相关规定，及时办理更新或供应商注册事项。</w:t>
      </w:r>
    </w:p>
    <w:p w14:paraId="5961969A">
      <w:pPr>
        <w:adjustRightInd w:val="0"/>
        <w:snapToGrid w:val="0"/>
        <w:spacing w:before="120" w:beforeLines="50"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25．合同授予</w:t>
      </w:r>
    </w:p>
    <w:p w14:paraId="7F22A48D">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25.1 本项目的合同将授予按本须知第24.1款所确定的中标人。</w:t>
      </w:r>
    </w:p>
    <w:p w14:paraId="26DFAF9C">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25.2 中标或者成交供应商拒绝与采购人签订合同的，采购人可以按照评审报告推荐的中标或者成交候选人名单排序，确定下一候选人为中标或者成交供应商，也可以重新开展政府采购活动。</w:t>
      </w:r>
    </w:p>
    <w:p w14:paraId="7FFC7B85">
      <w:pPr>
        <w:adjustRightInd w:val="0"/>
        <w:snapToGrid w:val="0"/>
        <w:spacing w:before="120" w:beforeLines="50"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26．签订合同</w:t>
      </w:r>
    </w:p>
    <w:p w14:paraId="12EA1951">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26.1 中标人应按中标通知书规定的时间与采购人签订合同。如中标人为联合体的，由联合体成员各方法定代表人或其授权代表与采购人代表签订合同。中标人在领取中标通知书时须向采购人提供一份关于本项目在实施过程中的相关人员的通讯录作为合同附件。</w:t>
      </w:r>
    </w:p>
    <w:p w14:paraId="34250637">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26.2 中标人如不遵守采购文件或投标文件各项条款的邀约与要约，或在接到中标通知书后借故拖延，拒签合同的，采购人将依据国家和采购文件有关规定要求中标人予以赔偿，同时采购人可根据25.2的原则另行选择中标人；</w:t>
      </w:r>
    </w:p>
    <w:p w14:paraId="02DAF7A2">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26.3 采购文件、中标人的投标文件及投标修改文件、评标过程中有关澄清文件及经投标人法定代表人或授权代表签字确认的询标回复和承诺及中标通知书均作为合同组成部分。</w:t>
      </w:r>
    </w:p>
    <w:p w14:paraId="7C56E24F">
      <w:pPr>
        <w:adjustRightInd w:val="0"/>
        <w:snapToGrid w:val="0"/>
        <w:spacing w:before="120" w:beforeLines="50"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27．履约保证金</w:t>
      </w:r>
    </w:p>
    <w:p w14:paraId="5D3481B0">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27.1 履约保证金具体要求详见前附表。</w:t>
      </w:r>
    </w:p>
    <w:p w14:paraId="514DA293">
      <w:pPr>
        <w:adjustRightInd w:val="0"/>
        <w:snapToGrid w:val="0"/>
        <w:spacing w:before="120" w:beforeLines="50"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28.采购代理服务费</w:t>
      </w:r>
    </w:p>
    <w:p w14:paraId="6EF38D9D">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本项目的采购代理费由中标人支付，</w:t>
      </w:r>
      <w:r>
        <w:rPr>
          <w:rFonts w:hint="eastAsia" w:ascii="楷体" w:hAnsi="楷体" w:eastAsia="楷体" w:cs="楷体"/>
          <w:color w:val="000000" w:themeColor="text1"/>
          <w:sz w:val="24"/>
          <w14:textFill>
            <w14:solidFill>
              <w14:schemeClr w14:val="tx1"/>
            </w14:solidFill>
          </w14:textFill>
        </w:rPr>
        <w:t>收费标准详见前附表。</w:t>
      </w:r>
    </w:p>
    <w:p w14:paraId="34EC4DA0">
      <w:pPr>
        <w:adjustRightInd w:val="0"/>
        <w:snapToGrid w:val="0"/>
        <w:spacing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29.质疑与投诉</w:t>
      </w:r>
    </w:p>
    <w:p w14:paraId="1EABDC13">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根据《中华人民共和国政府采购法》、《财政部关于加强政府采购供应商投诉受理审查工作的通知》(财库〔2007〕1号)和《政府采购质疑和投诉办法》（财政部令第94号）的规定，政府采购供应商（投标人，下同）可以依法提起质疑和投诉。</w:t>
      </w:r>
    </w:p>
    <w:p w14:paraId="2A153F1A">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质疑函范本、投诉书范本详见本文件第七部分。</w:t>
      </w:r>
    </w:p>
    <w:p w14:paraId="1E01D15F">
      <w:pPr>
        <w:adjustRightInd w:val="0"/>
        <w:snapToGrid w:val="0"/>
        <w:spacing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29.1供应商询问</w:t>
      </w:r>
    </w:p>
    <w:p w14:paraId="52AAD24B">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供应商对政府采购活动事项有疑问的，可以向采购机构提出询问，采购人或者采购代理机构应当在3个工作日内对供应商依法提出的询问作出答复，但答复的内容不得涉及商业秘密。</w:t>
      </w:r>
    </w:p>
    <w:p w14:paraId="533C88D3">
      <w:pPr>
        <w:adjustRightInd w:val="0"/>
        <w:snapToGrid w:val="0"/>
        <w:spacing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29.2供应商质疑</w:t>
      </w:r>
    </w:p>
    <w:p w14:paraId="58E6F1D5">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29.2.1投标人认为采购文件、采购过程、中标或者成交结果使自己的权益受到损害的，可以在知道或者应知其权益受到损害之日起7个工作日内，以书面形式向采购人、采购代理机构提出质疑。</w:t>
      </w:r>
    </w:p>
    <w:p w14:paraId="06A53739">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本项目要求投标人在法定质疑期内一次性提出针对同一采购程序环节的质疑。</w:t>
      </w:r>
    </w:p>
    <w:p w14:paraId="090278AE">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29.2.2提出质疑的投标人（以下简称质疑人）应当是参与所质疑项目采购活动的投标人。</w:t>
      </w:r>
    </w:p>
    <w:p w14:paraId="54A55FDF">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潜在投标人已依法获取其可质疑的采购文件的，可以对该文件提出质疑。对采购文件提出质疑的，应当在获取采购文件或者采购文件公告期限届满之日起7个工作日内提出。</w:t>
      </w:r>
    </w:p>
    <w:p w14:paraId="31955A23">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29.2.3投标人提出质疑应当提交质疑函和必要的证明材料。质疑函应当包括下列内容：</w:t>
      </w:r>
    </w:p>
    <w:p w14:paraId="212E89C2">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（一）投标人的姓名或者名称、地址、邮编、联系人及联系电话；</w:t>
      </w:r>
    </w:p>
    <w:p w14:paraId="1838B9D7">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（二）质疑项目的名称、编号；</w:t>
      </w:r>
    </w:p>
    <w:p w14:paraId="210D820A">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（三）具体、明确的质疑事项和与质疑事项相关的请求；</w:t>
      </w:r>
    </w:p>
    <w:p w14:paraId="3DEAE201">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（四）事实依据；</w:t>
      </w:r>
    </w:p>
    <w:p w14:paraId="36E3AEC3">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（五）必要的法律依据；</w:t>
      </w:r>
    </w:p>
    <w:p w14:paraId="02B5A01B">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（六）提出质疑的日期。</w:t>
      </w:r>
    </w:p>
    <w:p w14:paraId="44CB1AA3">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投标人为自然人的，应当由本人签字；投标人为法人或者其他组织的，应当由法定代表人、主要负责人，或者其授权代表签字或者盖章，并加盖公章。</w:t>
      </w:r>
    </w:p>
    <w:p w14:paraId="148FA85B">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29.3.4采购人、采购代理机构在收到法定质疑期内发出的质疑函后7个工作日内作出答复，并以书面形式通知质疑人和其他有关投标人。质疑答复的内容不得涉及商业秘密。</w:t>
      </w:r>
    </w:p>
    <w:p w14:paraId="28A05086">
      <w:pPr>
        <w:adjustRightInd w:val="0"/>
        <w:snapToGrid w:val="0"/>
        <w:spacing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29.3供应商投诉</w:t>
      </w:r>
    </w:p>
    <w:p w14:paraId="21022BDA">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质疑供应商对采购机构的答复不满意或者采购机构未在规定的时间内作出答复的，可以在答复期满后十五个工作日内向同级政府采购监督管理部门提出投诉。</w:t>
      </w:r>
    </w:p>
    <w:p w14:paraId="05CFE644">
      <w:pPr>
        <w:adjustRightInd w:val="0"/>
        <w:snapToGrid w:val="0"/>
        <w:spacing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30．采购结束</w:t>
      </w:r>
    </w:p>
    <w:p w14:paraId="2DB43B6D">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30.1中标人与采购人签订合同生效后即为采购结束。</w:t>
      </w:r>
    </w:p>
    <w:p w14:paraId="01635692">
      <w:pPr>
        <w:adjustRightInd w:val="0"/>
        <w:snapToGrid w:val="0"/>
        <w:spacing w:line="360" w:lineRule="auto"/>
        <w:ind w:firstLine="480" w:firstLineChars="200"/>
        <w:rPr>
          <w:rFonts w:ascii="楷体" w:hAnsi="楷体" w:eastAsia="楷体" w:cs="楷体"/>
          <w:snapToGrid w:val="0"/>
          <w:color w:val="000000" w:themeColor="text1"/>
          <w:kern w:val="0"/>
          <w:szCs w:val="21"/>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30.2本项目的投标文件不予退回。</w:t>
      </w:r>
    </w:p>
    <w:p w14:paraId="0141F89E">
      <w:pPr>
        <w:adjustRightInd w:val="0"/>
        <w:snapToGrid w:val="0"/>
        <w:spacing w:line="360" w:lineRule="auto"/>
        <w:ind w:firstLine="420" w:firstLineChars="200"/>
        <w:jc w:val="left"/>
        <w:rPr>
          <w:rFonts w:ascii="楷体" w:hAnsi="楷体" w:eastAsia="楷体" w:cs="楷体"/>
          <w:snapToGrid w:val="0"/>
          <w:color w:val="000000" w:themeColor="text1"/>
          <w:kern w:val="0"/>
          <w:szCs w:val="21"/>
          <w14:textFill>
            <w14:solidFill>
              <w14:schemeClr w14:val="tx1"/>
            </w14:solidFill>
          </w14:textFill>
        </w:rPr>
      </w:pPr>
    </w:p>
    <w:p w14:paraId="6C832EB5">
      <w:pPr>
        <w:numPr>
          <w:ilvl w:val="0"/>
          <w:numId w:val="18"/>
        </w:numPr>
        <w:adjustRightInd w:val="0"/>
        <w:snapToGrid w:val="0"/>
        <w:spacing w:before="120" w:beforeLines="50" w:after="120" w:afterLines="50" w:line="360" w:lineRule="auto"/>
        <w:jc w:val="center"/>
        <w:outlineLvl w:val="0"/>
        <w:rPr>
          <w:rFonts w:ascii="楷体" w:hAnsi="楷体" w:eastAsia="楷体" w:cs="楷体"/>
          <w:b/>
          <w:bCs/>
          <w:color w:val="000000" w:themeColor="text1"/>
          <w:sz w:val="28"/>
          <w:szCs w:val="28"/>
          <w14:textFill>
            <w14:solidFill>
              <w14:schemeClr w14:val="tx1"/>
            </w14:solidFill>
          </w14:textFill>
        </w:rPr>
      </w:pPr>
      <w:r>
        <w:rPr>
          <w:rFonts w:hint="eastAsia" w:ascii="楷体" w:hAnsi="楷体" w:eastAsia="楷体" w:cs="楷体"/>
          <w:b/>
          <w:bCs/>
          <w:color w:val="000000" w:themeColor="text1"/>
          <w:sz w:val="28"/>
          <w:szCs w:val="21"/>
          <w14:textFill>
            <w14:solidFill>
              <w14:schemeClr w14:val="tx1"/>
            </w14:solidFill>
          </w14:textFill>
        </w:rPr>
        <w:br w:type="page"/>
      </w:r>
      <w:bookmarkStart w:id="170" w:name="_Toc20127"/>
      <w:bookmarkStart w:id="171" w:name="_Toc242012796"/>
      <w:bookmarkStart w:id="172" w:name="_Toc10125"/>
      <w:bookmarkStart w:id="173" w:name="_Toc12200"/>
      <w:bookmarkStart w:id="174" w:name="_Toc27217"/>
      <w:bookmarkStart w:id="175" w:name="_Toc25446"/>
      <w:bookmarkStart w:id="176" w:name="_Toc31190"/>
      <w:bookmarkStart w:id="177" w:name="_Toc17070"/>
      <w:bookmarkStart w:id="178" w:name="_Toc13524"/>
      <w:bookmarkStart w:id="179" w:name="_Toc225868274"/>
      <w:bookmarkStart w:id="180" w:name="_Toc20802"/>
      <w:bookmarkStart w:id="181" w:name="_Toc11970"/>
      <w:bookmarkStart w:id="182" w:name="_Toc16976"/>
      <w:bookmarkStart w:id="183" w:name="_Toc10717"/>
      <w:bookmarkStart w:id="184" w:name="_Toc30074"/>
      <w:bookmarkStart w:id="185" w:name="_Toc10935"/>
      <w:bookmarkStart w:id="186" w:name="_Toc16989"/>
      <w:r>
        <w:rPr>
          <w:rFonts w:hint="eastAsia" w:ascii="楷体" w:hAnsi="楷体" w:eastAsia="楷体" w:cs="楷体"/>
          <w:b/>
          <w:bCs/>
          <w:color w:val="000000" w:themeColor="text1"/>
          <w:sz w:val="32"/>
          <w:szCs w:val="32"/>
          <w14:textFill>
            <w14:solidFill>
              <w14:schemeClr w14:val="tx1"/>
            </w14:solidFill>
          </w14:textFill>
        </w:rPr>
        <w:t>采购需求</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Start w:id="187" w:name="_Toc11863"/>
      <w:bookmarkStart w:id="188" w:name="_Toc19650"/>
      <w:bookmarkStart w:id="189" w:name="_Toc21032"/>
      <w:bookmarkStart w:id="190" w:name="_Toc12873"/>
      <w:bookmarkStart w:id="191" w:name="_Toc18136"/>
      <w:bookmarkStart w:id="192" w:name="_Toc242012824"/>
      <w:bookmarkStart w:id="193" w:name="_Toc19271"/>
      <w:bookmarkStart w:id="194" w:name="_Toc32624"/>
      <w:bookmarkStart w:id="195" w:name="_Toc17612"/>
      <w:bookmarkStart w:id="196" w:name="_Toc17807"/>
      <w:bookmarkStart w:id="197" w:name="_Toc5467"/>
      <w:bookmarkStart w:id="198" w:name="_Toc14705"/>
    </w:p>
    <w:bookmarkEnd w:id="187"/>
    <w:p w14:paraId="0AEA9390">
      <w:pPr>
        <w:autoSpaceDE w:val="0"/>
        <w:autoSpaceDN w:val="0"/>
        <w:adjustRightInd w:val="0"/>
        <w:snapToGrid w:val="0"/>
        <w:spacing w:line="360" w:lineRule="auto"/>
        <w:textAlignment w:val="bottom"/>
        <w:rPr>
          <w:rFonts w:ascii="楷体" w:hAnsi="楷体" w:eastAsia="楷体" w:cs="楷体"/>
          <w:b/>
          <w:color w:val="000000" w:themeColor="text1"/>
          <w:sz w:val="24"/>
          <w14:textFill>
            <w14:solidFill>
              <w14:schemeClr w14:val="tx1"/>
            </w14:solidFill>
          </w14:textFill>
        </w:rPr>
      </w:pPr>
      <w:bookmarkStart w:id="199" w:name="_Toc8880"/>
      <w:bookmarkStart w:id="200" w:name="_Toc11118"/>
      <w:bookmarkStart w:id="201" w:name="_Toc110090678"/>
      <w:bookmarkStart w:id="202" w:name="_Toc19016"/>
      <w:bookmarkStart w:id="203" w:name="_Toc29138"/>
      <w:bookmarkStart w:id="204" w:name="_Toc18849"/>
      <w:bookmarkStart w:id="205" w:name="_Toc25156"/>
      <w:bookmarkStart w:id="206" w:name="_Toc11333"/>
      <w:bookmarkStart w:id="207" w:name="_Toc7195"/>
      <w:bookmarkStart w:id="208" w:name="_Toc20848"/>
      <w:bookmarkStart w:id="209" w:name="_Toc404873903"/>
      <w:bookmarkStart w:id="210" w:name="_Toc22470"/>
      <w:bookmarkStart w:id="211" w:name="_Toc10745"/>
      <w:bookmarkStart w:id="212" w:name="_Toc41560145"/>
      <w:bookmarkStart w:id="213" w:name="_Toc342633574"/>
      <w:bookmarkStart w:id="214" w:name="_Toc16633"/>
      <w:bookmarkStart w:id="215" w:name="_Toc15855"/>
      <w:bookmarkStart w:id="216" w:name="_Toc9843"/>
      <w:bookmarkStart w:id="217" w:name="_Toc26018"/>
      <w:bookmarkStart w:id="218" w:name="_Toc9862"/>
      <w:bookmarkStart w:id="219" w:name="_Toc2925"/>
      <w:bookmarkStart w:id="220" w:name="_Toc127361155"/>
      <w:bookmarkStart w:id="221" w:name="_Toc130201591"/>
      <w:bookmarkStart w:id="222" w:name="_Toc19646"/>
      <w:bookmarkStart w:id="223" w:name="_Toc9719"/>
      <w:bookmarkStart w:id="224" w:name="_Toc30131"/>
      <w:bookmarkStart w:id="225" w:name="_Toc25293"/>
      <w:bookmarkStart w:id="226" w:name="_Toc26571"/>
      <w:bookmarkStart w:id="227" w:name="_Toc12251"/>
      <w:bookmarkStart w:id="228" w:name="_Toc22295"/>
      <w:bookmarkStart w:id="229" w:name="_Toc7956"/>
      <w:r>
        <w:rPr>
          <w:rFonts w:hint="eastAsia" w:ascii="楷体" w:hAnsi="楷体" w:eastAsia="楷体" w:cs="楷体"/>
          <w:b/>
          <w:color w:val="000000" w:themeColor="text1"/>
          <w:sz w:val="24"/>
          <w14:textFill>
            <w14:solidFill>
              <w14:schemeClr w14:val="tx1"/>
            </w14:solidFill>
          </w14:textFill>
        </w:rPr>
        <w:t>一、总述</w:t>
      </w:r>
      <w:bookmarkEnd w:id="199"/>
    </w:p>
    <w:p w14:paraId="54B038E0">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1、本章节是采购人对采购需求的基本描述，并未对所有技术细节作出规定，投标供应商应提供符合本需求以及国家标准、行业标准的优质产品前来投标。</w:t>
      </w:r>
    </w:p>
    <w:p w14:paraId="06BFC662">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2、投标供应商的投标产品与采购需求不一致时，应在投标文件中如实说明，供评标委员会进行评审。供应商如未在投标文件中提出异议，则视为供应商提供的产品完全响应采购要求。</w:t>
      </w:r>
    </w:p>
    <w:p w14:paraId="74EB1B1E">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3、技术要求及标准的执行</w:t>
      </w:r>
    </w:p>
    <w:p w14:paraId="772F2AC7">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供应商提供的产品应标明所执行的质量标准，若同一标准已颁发新标准，则按最新标准执行。若同一产品同时有几个标准（国际标准、国家标准、行业标准、企业标准等），则按最高层次的标准执行。</w:t>
      </w:r>
    </w:p>
    <w:p w14:paraId="36678AEC">
      <w:pPr>
        <w:numPr>
          <w:ilvl w:val="0"/>
          <w:numId w:val="19"/>
        </w:numPr>
        <w:spacing w:before="120" w:beforeLines="50" w:after="120" w:afterLines="50" w:line="360" w:lineRule="auto"/>
        <w:rPr>
          <w:rFonts w:ascii="楷体" w:hAnsi="楷体" w:eastAsia="楷体" w:cs="楷体"/>
          <w:b/>
          <w:color w:val="000000" w:themeColor="text1"/>
          <w:sz w:val="24"/>
          <w14:textFill>
            <w14:solidFill>
              <w14:schemeClr w14:val="tx1"/>
            </w14:solidFill>
          </w14:textFill>
        </w:rPr>
      </w:pPr>
      <w:bookmarkStart w:id="230" w:name="_Toc22675"/>
      <w:r>
        <w:rPr>
          <w:rFonts w:hint="eastAsia" w:ascii="楷体" w:hAnsi="楷体" w:eastAsia="楷体" w:cs="楷体"/>
          <w:b/>
          <w:color w:val="000000" w:themeColor="text1"/>
          <w:sz w:val="24"/>
          <w14:textFill>
            <w14:solidFill>
              <w14:schemeClr w14:val="tx1"/>
            </w14:solidFill>
          </w14:textFill>
        </w:rPr>
        <w:t>采购内容及要求</w:t>
      </w:r>
      <w:bookmarkEnd w:id="230"/>
      <w:r>
        <w:rPr>
          <w:rFonts w:hint="eastAsia" w:ascii="楷体" w:hAnsi="楷体" w:eastAsia="楷体" w:cs="楷体"/>
          <w:b/>
          <w:color w:val="000000" w:themeColor="text1"/>
          <w:sz w:val="24"/>
          <w14:textFill>
            <w14:solidFill>
              <w14:schemeClr w14:val="tx1"/>
            </w14:solidFill>
          </w14:textFill>
        </w:rPr>
        <w:t xml:space="preserve">  </w:t>
      </w:r>
    </w:p>
    <w:p w14:paraId="6CB1FB1D">
      <w:pPr>
        <w:pStyle w:val="5"/>
        <w:spacing w:after="120"/>
        <w:rPr>
          <w:rFonts w:ascii="楷体" w:hAnsi="楷体" w:eastAsia="楷体" w:cs="楷体"/>
          <w:color w:val="000000" w:themeColor="text1"/>
          <w:sz w:val="24"/>
          <w:szCs w:val="24"/>
          <w14:textFill>
            <w14:solidFill>
              <w14:schemeClr w14:val="tx1"/>
            </w14:solidFill>
          </w14:textFill>
        </w:rPr>
      </w:pPr>
      <w:bookmarkStart w:id="231" w:name="_Toc411166776"/>
      <w:bookmarkStart w:id="232" w:name="_Toc13024"/>
      <w:r>
        <w:rPr>
          <w:rFonts w:hint="eastAsia" w:ascii="楷体" w:hAnsi="楷体" w:eastAsia="楷体" w:cs="楷体"/>
          <w:color w:val="000000" w:themeColor="text1"/>
          <w:sz w:val="24"/>
          <w:szCs w:val="24"/>
          <w14:textFill>
            <w14:solidFill>
              <w14:schemeClr w14:val="tx1"/>
            </w14:solidFill>
          </w14:textFill>
        </w:rPr>
        <w:t>（一）</w:t>
      </w:r>
      <w:bookmarkEnd w:id="231"/>
      <w:r>
        <w:rPr>
          <w:rFonts w:hint="eastAsia" w:ascii="楷体" w:hAnsi="楷体" w:eastAsia="楷体" w:cs="楷体"/>
          <w:color w:val="000000" w:themeColor="text1"/>
          <w:sz w:val="24"/>
          <w:szCs w:val="24"/>
          <w14:textFill>
            <w14:solidFill>
              <w14:schemeClr w14:val="tx1"/>
            </w14:solidFill>
          </w14:textFill>
        </w:rPr>
        <w:t>工作范围</w:t>
      </w:r>
    </w:p>
    <w:p w14:paraId="7A05D2F3">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1.1本项目为年度施工监理服务，分为三个标项。标项1：水利工程；标项2：市政园林（市政公用工程，含建筑）；标项3：交通（公路工程）。</w:t>
      </w:r>
    </w:p>
    <w:p w14:paraId="7A1BA91D">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1.2工程监理服务范围：项目</w:t>
      </w:r>
      <w:r>
        <w:rPr>
          <w:rFonts w:hint="eastAsia" w:ascii="楷体" w:hAnsi="楷体" w:eastAsia="楷体" w:cs="楷体"/>
          <w:color w:val="000000" w:themeColor="text1"/>
          <w:sz w:val="24"/>
          <w14:textFill>
            <w14:solidFill>
              <w14:schemeClr w14:val="tx1"/>
            </w14:solidFill>
          </w14:textFill>
        </w:rPr>
        <w:t>前期阶段、施工准备阶段、施工阶段、竣工结算阶段、质量保修阶段等全过程监理服务。</w:t>
      </w:r>
    </w:p>
    <w:p w14:paraId="1DD2248A">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（1）前期阶段监理服务期：签订合同至项目开工为止</w:t>
      </w:r>
    </w:p>
    <w:p w14:paraId="1D8939CC">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（2）施工阶段监理服务期：从施工准备、施工图审查至全部工程完工并办理竣工验收、备案、保修期满为止；</w:t>
      </w:r>
    </w:p>
    <w:p w14:paraId="5659FE98">
      <w:pPr>
        <w:spacing w:line="360" w:lineRule="auto"/>
        <w:ind w:firstLine="240" w:firstLineChars="1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（3）保修阶段监理服务期：从工程竣工验收合格、备案完成之日起 2 年。</w:t>
      </w:r>
    </w:p>
    <w:p w14:paraId="59109747">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w:t>
      </w:r>
      <w:r>
        <w:rPr>
          <w:rFonts w:ascii="楷体" w:hAnsi="楷体" w:eastAsia="楷体" w:cs="楷体"/>
          <w:color w:val="000000" w:themeColor="text1"/>
          <w:sz w:val="24"/>
          <w14:textFill>
            <w14:solidFill>
              <w14:schemeClr w14:val="tx1"/>
            </w14:solidFill>
          </w14:textFill>
        </w:rPr>
        <w:t xml:space="preserve">.3 </w:t>
      </w:r>
      <w:r>
        <w:rPr>
          <w:rFonts w:hint="eastAsia" w:ascii="楷体" w:hAnsi="楷体" w:eastAsia="楷体" w:cs="楷体"/>
          <w:color w:val="000000" w:themeColor="text1"/>
          <w:sz w:val="24"/>
          <w14:textFill>
            <w14:solidFill>
              <w14:schemeClr w14:val="tx1"/>
            </w14:solidFill>
          </w14:textFill>
        </w:rPr>
        <w:t>标项1-水</w:t>
      </w:r>
      <w:bookmarkStart w:id="233" w:name="OLE_LINK28"/>
      <w:bookmarkStart w:id="234" w:name="OLE_LINK27"/>
      <w:r>
        <w:rPr>
          <w:rFonts w:hint="eastAsia" w:ascii="楷体" w:hAnsi="楷体" w:eastAsia="楷体" w:cs="楷体"/>
          <w:color w:val="000000" w:themeColor="text1"/>
          <w:sz w:val="24"/>
          <w14:textFill>
            <w14:solidFill>
              <w14:schemeClr w14:val="tx1"/>
            </w14:solidFill>
          </w14:textFill>
        </w:rPr>
        <w:t>利</w:t>
      </w:r>
      <w:r>
        <w:rPr>
          <w:rFonts w:ascii="楷体" w:hAnsi="楷体" w:eastAsia="楷体" w:cs="楷体"/>
          <w:color w:val="000000" w:themeColor="text1"/>
          <w:sz w:val="24"/>
          <w14:textFill>
            <w14:solidFill>
              <w14:schemeClr w14:val="tx1"/>
            </w14:solidFill>
          </w14:textFill>
        </w:rPr>
        <w:t>工程</w:t>
      </w:r>
      <w:r>
        <w:rPr>
          <w:rFonts w:hint="eastAsia" w:ascii="楷体" w:hAnsi="楷体" w:eastAsia="楷体" w:cs="楷体"/>
          <w:color w:val="000000" w:themeColor="text1"/>
          <w:sz w:val="24"/>
          <w14:textFill>
            <w14:solidFill>
              <w14:schemeClr w14:val="tx1"/>
            </w14:solidFill>
          </w14:textFill>
        </w:rPr>
        <w:t>施工监理服务</w:t>
      </w:r>
      <w:r>
        <w:rPr>
          <w:rFonts w:ascii="楷体" w:hAnsi="楷体" w:eastAsia="楷体" w:cs="楷体"/>
          <w:color w:val="000000" w:themeColor="text1"/>
          <w:sz w:val="24"/>
          <w14:textFill>
            <w14:solidFill>
              <w14:schemeClr w14:val="tx1"/>
            </w14:solidFill>
          </w14:textFill>
        </w:rPr>
        <w:t>范围</w:t>
      </w:r>
      <w:bookmarkEnd w:id="233"/>
      <w:bookmarkEnd w:id="234"/>
      <w:r>
        <w:rPr>
          <w:rFonts w:ascii="楷体" w:hAnsi="楷体" w:eastAsia="楷体" w:cs="楷体"/>
          <w:color w:val="000000" w:themeColor="text1"/>
          <w:sz w:val="24"/>
          <w14:textFill>
            <w14:solidFill>
              <w14:schemeClr w14:val="tx1"/>
            </w14:solidFill>
          </w14:textFill>
        </w:rPr>
        <w:t>：</w:t>
      </w:r>
      <w:r>
        <w:rPr>
          <w:rFonts w:hint="eastAsia" w:ascii="楷体" w:hAnsi="楷体" w:eastAsia="楷体" w:cs="楷体"/>
          <w:color w:val="000000" w:themeColor="text1"/>
          <w:sz w:val="24"/>
          <w14:textFill>
            <w14:solidFill>
              <w14:schemeClr w14:val="tx1"/>
            </w14:solidFill>
          </w14:textFill>
        </w:rPr>
        <w:t>包括但不限于主体建筑工程（水工建筑物、土石方工程、混凝土与钢筋混凝土工程、地基与基础处理工程）、施工导流与截流工程（围堰、导流明渠/隧洞）、施工道路、桥梁、临时码头等，具体以签订</w:t>
      </w:r>
      <w:r>
        <w:rPr>
          <w:rFonts w:ascii="楷体" w:hAnsi="楷体" w:eastAsia="楷体" w:cs="楷体"/>
          <w:color w:val="000000" w:themeColor="text1"/>
          <w:sz w:val="24"/>
          <w14:textFill>
            <w14:solidFill>
              <w14:schemeClr w14:val="tx1"/>
            </w14:solidFill>
          </w14:textFill>
        </w:rPr>
        <w:t>的</w:t>
      </w:r>
      <w:r>
        <w:rPr>
          <w:rFonts w:hint="eastAsia" w:ascii="楷体" w:hAnsi="楷体" w:eastAsia="楷体" w:cs="楷体"/>
          <w:color w:val="000000" w:themeColor="text1"/>
          <w:sz w:val="24"/>
          <w14:textFill>
            <w14:solidFill>
              <w14:schemeClr w14:val="tx1"/>
            </w14:solidFill>
          </w14:textFill>
        </w:rPr>
        <w:t>合同中施工范围为准</w:t>
      </w:r>
      <w:r>
        <w:rPr>
          <w:rFonts w:ascii="楷体" w:hAnsi="楷体" w:eastAsia="楷体" w:cs="楷体"/>
          <w:color w:val="000000" w:themeColor="text1"/>
          <w:sz w:val="24"/>
          <w14:textFill>
            <w14:solidFill>
              <w14:schemeClr w14:val="tx1"/>
            </w14:solidFill>
          </w14:textFill>
        </w:rPr>
        <w:t>；</w:t>
      </w:r>
    </w:p>
    <w:p w14:paraId="370B32B2">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标项</w:t>
      </w:r>
      <w:r>
        <w:rPr>
          <w:rFonts w:ascii="楷体" w:hAnsi="楷体" w:eastAsia="楷体" w:cs="楷体"/>
          <w:color w:val="000000" w:themeColor="text1"/>
          <w:sz w:val="24"/>
          <w14:textFill>
            <w14:solidFill>
              <w14:schemeClr w14:val="tx1"/>
            </w14:solidFill>
          </w14:textFill>
        </w:rPr>
        <w:t>2</w:t>
      </w:r>
      <w:bookmarkStart w:id="235" w:name="OLE_LINK43"/>
      <w:r>
        <w:rPr>
          <w:rFonts w:hint="eastAsia" w:ascii="楷体" w:hAnsi="楷体" w:eastAsia="楷体" w:cs="楷体"/>
          <w:color w:val="000000" w:themeColor="text1"/>
          <w:sz w:val="24"/>
          <w14:textFill>
            <w14:solidFill>
              <w14:schemeClr w14:val="tx1"/>
            </w14:solidFill>
          </w14:textFill>
        </w:rPr>
        <w:t>-市政园林</w:t>
      </w:r>
      <w:bookmarkEnd w:id="235"/>
      <w:r>
        <w:rPr>
          <w:rFonts w:hint="eastAsia" w:ascii="楷体" w:hAnsi="楷体" w:eastAsia="楷体" w:cs="楷体"/>
          <w:color w:val="000000" w:themeColor="text1"/>
          <w:sz w:val="24"/>
          <w14:textFill>
            <w14:solidFill>
              <w14:schemeClr w14:val="tx1"/>
            </w14:solidFill>
          </w14:textFill>
        </w:rPr>
        <w:t>施工监理服务</w:t>
      </w:r>
      <w:r>
        <w:rPr>
          <w:rFonts w:ascii="楷体" w:hAnsi="楷体" w:eastAsia="楷体" w:cs="楷体"/>
          <w:color w:val="000000" w:themeColor="text1"/>
          <w:sz w:val="24"/>
          <w14:textFill>
            <w14:solidFill>
              <w14:schemeClr w14:val="tx1"/>
            </w14:solidFill>
          </w14:textFill>
        </w:rPr>
        <w:t>范围：</w:t>
      </w:r>
      <w:r>
        <w:rPr>
          <w:rFonts w:hint="eastAsia" w:ascii="楷体" w:hAnsi="楷体" w:eastAsia="楷体" w:cs="楷体"/>
          <w:color w:val="000000" w:themeColor="text1"/>
          <w:sz w:val="24"/>
          <w14:textFill>
            <w14:solidFill>
              <w14:schemeClr w14:val="tx1"/>
            </w14:solidFill>
          </w14:textFill>
        </w:rPr>
        <w:t>包括但不限于绿化种植工程、园林景观建筑工程（园建工程）、园林给排水及电气照明工程、配套建筑工程等，具体以签订</w:t>
      </w:r>
      <w:r>
        <w:rPr>
          <w:rFonts w:ascii="楷体" w:hAnsi="楷体" w:eastAsia="楷体" w:cs="楷体"/>
          <w:color w:val="000000" w:themeColor="text1"/>
          <w:sz w:val="24"/>
          <w14:textFill>
            <w14:solidFill>
              <w14:schemeClr w14:val="tx1"/>
            </w14:solidFill>
          </w14:textFill>
        </w:rPr>
        <w:t>的</w:t>
      </w:r>
      <w:r>
        <w:rPr>
          <w:rFonts w:hint="eastAsia" w:ascii="楷体" w:hAnsi="楷体" w:eastAsia="楷体" w:cs="楷体"/>
          <w:color w:val="000000" w:themeColor="text1"/>
          <w:sz w:val="24"/>
          <w14:textFill>
            <w14:solidFill>
              <w14:schemeClr w14:val="tx1"/>
            </w14:solidFill>
          </w14:textFill>
        </w:rPr>
        <w:t>合同中施工范围为准</w:t>
      </w:r>
      <w:r>
        <w:rPr>
          <w:rFonts w:ascii="楷体" w:hAnsi="楷体" w:eastAsia="楷体" w:cs="楷体"/>
          <w:color w:val="000000" w:themeColor="text1"/>
          <w:sz w:val="24"/>
          <w14:textFill>
            <w14:solidFill>
              <w14:schemeClr w14:val="tx1"/>
            </w14:solidFill>
          </w14:textFill>
        </w:rPr>
        <w:t>；</w:t>
      </w:r>
    </w:p>
    <w:p w14:paraId="3085AC98">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标项</w:t>
      </w:r>
      <w:r>
        <w:rPr>
          <w:rFonts w:ascii="楷体" w:hAnsi="楷体" w:eastAsia="楷体" w:cs="楷体"/>
          <w:color w:val="000000" w:themeColor="text1"/>
          <w:sz w:val="24"/>
          <w14:textFill>
            <w14:solidFill>
              <w14:schemeClr w14:val="tx1"/>
            </w14:solidFill>
          </w14:textFill>
        </w:rPr>
        <w:t>3</w:t>
      </w:r>
      <w:bookmarkStart w:id="236" w:name="OLE_LINK36"/>
      <w:r>
        <w:rPr>
          <w:rFonts w:hint="eastAsia" w:ascii="楷体" w:hAnsi="楷体" w:eastAsia="楷体" w:cs="楷体"/>
          <w:color w:val="000000" w:themeColor="text1"/>
          <w:sz w:val="24"/>
          <w14:textFill>
            <w14:solidFill>
              <w14:schemeClr w14:val="tx1"/>
            </w14:solidFill>
          </w14:textFill>
        </w:rPr>
        <w:t>-交通（公路工程）</w:t>
      </w:r>
      <w:bookmarkEnd w:id="236"/>
      <w:r>
        <w:rPr>
          <w:rFonts w:hint="eastAsia" w:ascii="楷体" w:hAnsi="楷体" w:eastAsia="楷体" w:cs="楷体"/>
          <w:color w:val="000000" w:themeColor="text1"/>
          <w:sz w:val="24"/>
          <w14:textFill>
            <w14:solidFill>
              <w14:schemeClr w14:val="tx1"/>
            </w14:solidFill>
          </w14:textFill>
        </w:rPr>
        <w:t>施工监理服务</w:t>
      </w:r>
      <w:r>
        <w:rPr>
          <w:rFonts w:ascii="楷体" w:hAnsi="楷体" w:eastAsia="楷体" w:cs="楷体"/>
          <w:color w:val="000000" w:themeColor="text1"/>
          <w:sz w:val="24"/>
          <w14:textFill>
            <w14:solidFill>
              <w14:schemeClr w14:val="tx1"/>
            </w14:solidFill>
          </w14:textFill>
        </w:rPr>
        <w:t>范围：</w:t>
      </w:r>
      <w:r>
        <w:rPr>
          <w:rFonts w:hint="eastAsia" w:ascii="楷体" w:hAnsi="楷体" w:eastAsia="楷体" w:cs="楷体"/>
          <w:color w:val="000000" w:themeColor="text1"/>
          <w:sz w:val="24"/>
          <w14:textFill>
            <w14:solidFill>
              <w14:schemeClr w14:val="tx1"/>
            </w14:solidFill>
          </w14:textFill>
        </w:rPr>
        <w:t>包括但不限于路基工程（场地清理、土石方工程、防护与支挡工程、排水工程）、路面工程、隧道工程、交通安全设施工程（标志标牌、标线、护栏、隔离栅、防眩板、轮廓标、突起路标等）、桥涵工程、绿化及环境保护工程（中央分隔带及边坡绿化、声屏障、污水处理设施）等，具体以签订</w:t>
      </w:r>
      <w:r>
        <w:rPr>
          <w:rFonts w:ascii="楷体" w:hAnsi="楷体" w:eastAsia="楷体" w:cs="楷体"/>
          <w:color w:val="000000" w:themeColor="text1"/>
          <w:sz w:val="24"/>
          <w14:textFill>
            <w14:solidFill>
              <w14:schemeClr w14:val="tx1"/>
            </w14:solidFill>
          </w14:textFill>
        </w:rPr>
        <w:t>的</w:t>
      </w:r>
      <w:r>
        <w:rPr>
          <w:rFonts w:hint="eastAsia" w:ascii="楷体" w:hAnsi="楷体" w:eastAsia="楷体" w:cs="楷体"/>
          <w:color w:val="000000" w:themeColor="text1"/>
          <w:sz w:val="24"/>
          <w14:textFill>
            <w14:solidFill>
              <w14:schemeClr w14:val="tx1"/>
            </w14:solidFill>
          </w14:textFill>
        </w:rPr>
        <w:t>合同中施工范围为准</w:t>
      </w:r>
      <w:r>
        <w:rPr>
          <w:rFonts w:ascii="楷体" w:hAnsi="楷体" w:eastAsia="楷体" w:cs="楷体"/>
          <w:color w:val="000000" w:themeColor="text1"/>
          <w:sz w:val="24"/>
          <w14:textFill>
            <w14:solidFill>
              <w14:schemeClr w14:val="tx1"/>
            </w14:solidFill>
          </w14:textFill>
        </w:rPr>
        <w:t>；</w:t>
      </w:r>
    </w:p>
    <w:p w14:paraId="07E70B1C">
      <w:pPr>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w:t>
      </w:r>
      <w:r>
        <w:rPr>
          <w:rFonts w:ascii="楷体" w:hAnsi="楷体" w:eastAsia="楷体" w:cs="楷体"/>
          <w:color w:val="000000" w:themeColor="text1"/>
          <w:sz w:val="24"/>
          <w14:textFill>
            <w14:solidFill>
              <w14:schemeClr w14:val="tx1"/>
            </w14:solidFill>
          </w14:textFill>
        </w:rPr>
        <w:t>4</w:t>
      </w:r>
      <w:r>
        <w:rPr>
          <w:rFonts w:hint="eastAsia" w:ascii="楷体" w:hAnsi="楷体" w:eastAsia="楷体" w:cs="楷体"/>
          <w:color w:val="000000" w:themeColor="text1"/>
          <w:sz w:val="24"/>
          <w14:textFill>
            <w14:solidFill>
              <w14:schemeClr w14:val="tx1"/>
            </w14:solidFill>
          </w14:textFill>
        </w:rPr>
        <w:t>质量目标要求：合格。</w:t>
      </w:r>
    </w:p>
    <w:p w14:paraId="394AB532">
      <w:pPr>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w:t>
      </w:r>
      <w:r>
        <w:rPr>
          <w:rFonts w:ascii="楷体" w:hAnsi="楷体" w:eastAsia="楷体" w:cs="楷体"/>
          <w:color w:val="000000" w:themeColor="text1"/>
          <w:sz w:val="24"/>
          <w14:textFill>
            <w14:solidFill>
              <w14:schemeClr w14:val="tx1"/>
            </w14:solidFill>
          </w14:textFill>
        </w:rPr>
        <w:t>5</w:t>
      </w:r>
      <w:r>
        <w:rPr>
          <w:rFonts w:hint="eastAsia" w:ascii="楷体" w:hAnsi="楷体" w:eastAsia="楷体" w:cs="楷体"/>
          <w:color w:val="000000" w:themeColor="text1"/>
          <w:sz w:val="24"/>
          <w14:textFill>
            <w14:solidFill>
              <w14:schemeClr w14:val="tx1"/>
            </w14:solidFill>
          </w14:textFill>
        </w:rPr>
        <w:t>项目地点：苍南县。</w:t>
      </w:r>
    </w:p>
    <w:p w14:paraId="4315790D">
      <w:pPr>
        <w:pStyle w:val="5"/>
        <w:spacing w:after="12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（二）服务质量标准</w:t>
      </w:r>
    </w:p>
    <w:p w14:paraId="08374E54">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1.1监理单位在项目中受建设单位委托，代表建设方的利益，投资控制、控制质量、确保进度，依据合同及设计方案对项目的施工阶段全过程进行监督管理，并站在第三方的立场上，公正地对待承建方，协调建设方和承建方的关系，最终圆满完成项目建设。</w:t>
      </w:r>
    </w:p>
    <w:p w14:paraId="396BF76B">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1.2监理依据:</w:t>
      </w:r>
    </w:p>
    <w:p w14:paraId="171309F3">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(1)《中华人民共和国建筑法》</w:t>
      </w:r>
    </w:p>
    <w:p w14:paraId="6127CB50">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(2)《建设工程质理管理条例》</w:t>
      </w:r>
    </w:p>
    <w:p w14:paraId="0027DC41">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(3)《中华人民共和国招标投标法》</w:t>
      </w:r>
    </w:p>
    <w:p w14:paraId="3301D13C">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 中华人民共和国《工程建设标准强制性条文》</w:t>
      </w:r>
    </w:p>
    <w:p w14:paraId="094EC669">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(5)《建设工程监理规范》、《公路工程施工监理规范》、《水运工程施工监理规范》</w:t>
      </w:r>
    </w:p>
    <w:p w14:paraId="0F67F39A">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(6)《工程建设监理规定》</w:t>
      </w:r>
    </w:p>
    <w:p w14:paraId="4AADD9FF">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(7)《建设工程安全生产管理条例》</w:t>
      </w:r>
    </w:p>
    <w:p w14:paraId="094A8057">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(8)《市政工程建设项目施工监理规范》</w:t>
      </w:r>
    </w:p>
    <w:p w14:paraId="71D5504D">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(9)施工图设计文件所指的技术规范、标准、规程、图集等。</w:t>
      </w:r>
    </w:p>
    <w:p w14:paraId="04C39F57">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(10)其它国家有关技术标准和规范</w:t>
      </w:r>
    </w:p>
    <w:p w14:paraId="5C536D4C">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(11)在合同履行期间，如果工程适用的技术标准或规范有修改或重新颁布，应遵照执行最新的。</w:t>
      </w:r>
    </w:p>
    <w:p w14:paraId="64587008">
      <w:pPr>
        <w:pStyle w:val="5"/>
        <w:spacing w:after="12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(三)</w:t>
      </w:r>
      <w:r>
        <w:rPr>
          <w:rFonts w:hint="eastAsia" w:ascii="楷体" w:hAnsi="楷体" w:eastAsia="楷体" w:cs="楷体"/>
          <w:color w:val="000000" w:themeColor="text1"/>
          <w14:textFill>
            <w14:solidFill>
              <w14:schemeClr w14:val="tx1"/>
            </w14:solidFill>
          </w14:textFill>
        </w:rPr>
        <w:t xml:space="preserve"> </w:t>
      </w:r>
      <w:r>
        <w:rPr>
          <w:rFonts w:hint="eastAsia" w:ascii="楷体" w:hAnsi="楷体" w:eastAsia="楷体" w:cs="楷体"/>
          <w:color w:val="000000" w:themeColor="text1"/>
          <w:sz w:val="24"/>
          <w:szCs w:val="24"/>
          <w14:textFill>
            <w14:solidFill>
              <w14:schemeClr w14:val="tx1"/>
            </w14:solidFill>
          </w14:textFill>
        </w:rPr>
        <w:t>监理服务内容和要求</w:t>
      </w:r>
    </w:p>
    <w:p w14:paraId="61C5B14E">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1.1监理服务内容</w:t>
      </w:r>
    </w:p>
    <w:p w14:paraId="1C5D886F">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(1)工程监理服务内容包括:对工程的投资造价、质量、建设工期采用科学的方法和手段，进行控制及安全文明施工管理；协调有关单位之间的关系，对本工程的设计及施工提出合理化建议；</w:t>
      </w:r>
    </w:p>
    <w:p w14:paraId="14E0E2AA">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向采购人提交完整的监理档案资料:参与工程的交工和竣工验收；建设工程监理规范(GB50319-2013) 上所要求其他内容。</w:t>
      </w:r>
    </w:p>
    <w:p w14:paraId="0BABB5D9">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(2)在本工程质量保修期内，监理单位应承担相应的义务和责任。</w:t>
      </w:r>
    </w:p>
    <w:p w14:paraId="7DB0717B">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(3)监理单位必须严格按照国家、省和地方有关建设监理以及国家现行施工技术规范的规定进行监理。</w:t>
      </w:r>
    </w:p>
    <w:p w14:paraId="4C0C1AD9">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(4)监理单位对本工程所使用的大宗材料和主要、重要材料的检测试验，做好见证取样工作，其方法和检测频率必须按照国家有关规定执行。如发生质量争议需送建设行采购人管部门指定单位检测试验的，应事先报告采购人并经采购人代表同意后，检测费用由采购人支付或按合同约定结算。</w:t>
      </w:r>
    </w:p>
    <w:p w14:paraId="438354FF">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(5)监理单位不得与承担本工程的施工承包人及材料、设备供应商发生经济利益关系。</w:t>
      </w:r>
    </w:p>
    <w:p w14:paraId="384992BB">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1.2工程资料要求</w:t>
      </w:r>
    </w:p>
    <w:p w14:paraId="542B1E25">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监理单位必须在开工前组织勘察工程现场，编制合理的工程监理规划，并及时提交采购人。监理规划包括以下内容:①质量目标控制及手段；②进度目标控制及手段；③针对本工程施工难点的监理措施；④对现场安全生产、文明施工管理的措施及手段；⑤投资目标控制及手段；⑥合同管理、工程信息资料管理等措施；⑦有必要说明的其他内容。</w:t>
      </w:r>
    </w:p>
    <w:p w14:paraId="2C5C4B6A">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(2)监理工程师必须督促施工承包商及时完成施工资料，并在工程完工时提供齐全的、符合有关要求的竣工资料。</w:t>
      </w:r>
    </w:p>
    <w:p w14:paraId="3AB412A7">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(3)监理工程师必须对这些资料进行严格的审核，以减少采购人为此而额外承担的风险。</w:t>
      </w:r>
    </w:p>
    <w:p w14:paraId="0B0B258C">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(4)同时，监理工程师还必须及时按照质量监督单位、工程管理单位和采购人的要求完成自身的监理资料，并在完工后15天内将齐全的且已经有关部门检查通过的监理资料提交工程管理单位和采购人。</w:t>
      </w:r>
    </w:p>
    <w:p w14:paraId="58EE20FF">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(5)监理工程师应及时地使以上所有资料均符合质量监督等有关单位的要求。</w:t>
      </w:r>
    </w:p>
    <w:p w14:paraId="29CA6A1D">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1.3监理组织机构及监理人员的基本要求</w:t>
      </w:r>
    </w:p>
    <w:p w14:paraId="393CF2BC">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监理人应根据招标文件的要求、投标文件的承诺和工程的实际情况派出与工程规模相适应的监理班子，做好本工程的监理工作。监理人必须按照国家和有关建设工程监理规定进行监理，代表采购人对工程建设进行全过程、全方位监理，监理人按自行职责对工程质量终身负责。</w:t>
      </w:r>
    </w:p>
    <w:p w14:paraId="2B0CAE41">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(2)投标供应商应结合本项目实际情况，配备项目班子，对各相关专业、资料档案(合同管理)和造价控制等派驻专业监理人员，专业配备人员需满足工程实际需要。</w:t>
      </w:r>
    </w:p>
    <w:p w14:paraId="3490A2FF">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监理人在合同期间，应运用合理的技能，为采购人提供相适应的咨询意见，并应配备经验丰富的专业技术人员审核施工图纸的设计质量，对设计存在的不合理、不完整、不准确、不安全等情况应及时书面向采购人和设计单位提出修正意见。</w:t>
      </w:r>
    </w:p>
    <w:p w14:paraId="0120A500">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(4)监理组织机构严禁挂靠，一旦发现挂靠行为，采购人报请招标投标管理机构核备后有权取消其投标和中标资格。</w:t>
      </w:r>
    </w:p>
    <w:p w14:paraId="073167F5">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投标供应商应按招标文件中规定的格式填报拟委派的驻现场监理人员名单，一旦中标，监理单位必须按合可规定的日期进驻工程现场开展工作，按投标承诺的人数及名单到位。经确定的总监及各专业监理工程师在中标后不得更换，如遇特殊情况确需更换的，必须先经建设单位的同意。合同执行期间采购人对不称职的监理人员有权提出更换，监理单位不得拒绝或拖延。</w:t>
      </w:r>
    </w:p>
    <w:p w14:paraId="4DE2B5C9">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(6)总监理工程师必须具有国家注册监理工程师注册证书（其专业符合采购</w:t>
      </w:r>
      <w:r>
        <w:rPr>
          <w:rFonts w:ascii="楷体" w:hAnsi="楷体" w:eastAsia="楷体" w:cs="楷体"/>
          <w:color w:val="000000" w:themeColor="text1"/>
          <w:sz w:val="24"/>
          <w14:textFill>
            <w14:solidFill>
              <w14:schemeClr w14:val="tx1"/>
            </w14:solidFill>
          </w14:textFill>
        </w:rPr>
        <w:t>文件</w:t>
      </w:r>
      <w:r>
        <w:rPr>
          <w:rFonts w:hint="eastAsia" w:ascii="楷体" w:hAnsi="楷体" w:eastAsia="楷体" w:cs="楷体"/>
          <w:color w:val="000000" w:themeColor="text1"/>
          <w:sz w:val="24"/>
          <w14:textFill>
            <w14:solidFill>
              <w14:schemeClr w14:val="tx1"/>
            </w14:solidFill>
          </w14:textFill>
        </w:rPr>
        <w:t>要求）。</w:t>
      </w:r>
    </w:p>
    <w:p w14:paraId="550B8077">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(7)各专业监理工程师应具有监理上岗证书，监理员应具有监理上岗证书。</w:t>
      </w:r>
    </w:p>
    <w:p w14:paraId="201914FC">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(8)投标供应商的监理人员必须是本单位正式在职人员，所有监理人员均应专业对口，身体健康。</w:t>
      </w:r>
    </w:p>
    <w:p w14:paraId="2BF2CB98">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(9)监理工作人员不得与承包本工程的有关承包人及其施工管理人员及材料设备供应商发生经济利益关系。</w:t>
      </w:r>
    </w:p>
    <w:p w14:paraId="6A90BC11">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1.4供应商须针对本监理项目专门成立监理工作组，具体要求如下：</w:t>
      </w:r>
    </w:p>
    <w:tbl>
      <w:tblPr>
        <w:tblStyle w:val="46"/>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88"/>
        <w:gridCol w:w="944"/>
        <w:gridCol w:w="5256"/>
        <w:gridCol w:w="1070"/>
      </w:tblGrid>
      <w:tr w14:paraId="3D86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158" w:type="dxa"/>
            <w:gridSpan w:val="4"/>
            <w:tcBorders>
              <w:top w:val="single" w:color="auto" w:sz="12" w:space="0"/>
              <w:left w:val="single" w:color="auto" w:sz="12" w:space="0"/>
              <w:right w:val="single" w:color="auto" w:sz="12" w:space="0"/>
            </w:tcBorders>
            <w:tcMar>
              <w:top w:w="28" w:type="dxa"/>
              <w:bottom w:w="28" w:type="dxa"/>
            </w:tcMar>
            <w:vAlign w:val="center"/>
          </w:tcPr>
          <w:p w14:paraId="38A15F75">
            <w:pPr>
              <w:spacing w:line="370" w:lineRule="exact"/>
              <w:jc w:val="left"/>
              <w:rPr>
                <w:rFonts w:ascii="楷体" w:hAnsi="楷体" w:eastAsia="楷体" w:cs="楷体"/>
                <w:b/>
                <w:color w:val="000000" w:themeColor="text1"/>
                <w:sz w:val="24"/>
                <w:u w:val="single"/>
                <w14:textFill>
                  <w14:solidFill>
                    <w14:schemeClr w14:val="tx1"/>
                  </w14:solidFill>
                </w14:textFill>
              </w:rPr>
            </w:pPr>
            <w:r>
              <w:rPr>
                <w:rFonts w:hint="eastAsia" w:ascii="楷体" w:hAnsi="楷体" w:eastAsia="楷体" w:cs="楷体"/>
                <w:b/>
                <w:color w:val="000000" w:themeColor="text1"/>
                <w:sz w:val="24"/>
                <w:u w:val="single"/>
                <w14:textFill>
                  <w14:solidFill>
                    <w14:schemeClr w14:val="tx1"/>
                  </w14:solidFill>
                </w14:textFill>
              </w:rPr>
              <w:t>标项1</w:t>
            </w:r>
            <w:r>
              <w:rPr>
                <w:rFonts w:ascii="楷体" w:hAnsi="楷体" w:eastAsia="楷体" w:cs="楷体"/>
                <w:b/>
                <w:color w:val="000000" w:themeColor="text1"/>
                <w:sz w:val="24"/>
                <w:u w:val="single"/>
                <w14:textFill>
                  <w14:solidFill>
                    <w14:schemeClr w14:val="tx1"/>
                  </w14:solidFill>
                </w14:textFill>
              </w:rPr>
              <w:t>-</w:t>
            </w:r>
            <w:r>
              <w:rPr>
                <w:rFonts w:hint="eastAsia" w:ascii="楷体" w:hAnsi="楷体" w:eastAsia="楷体" w:cs="楷体"/>
                <w:b/>
                <w:color w:val="000000" w:themeColor="text1"/>
                <w:sz w:val="24"/>
                <w:u w:val="single"/>
                <w14:textFill>
                  <w14:solidFill>
                    <w14:schemeClr w14:val="tx1"/>
                  </w14:solidFill>
                </w14:textFill>
              </w:rPr>
              <w:t>水利工程 人员配置：</w:t>
            </w:r>
          </w:p>
        </w:tc>
      </w:tr>
      <w:tr w14:paraId="4DD6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888" w:type="dxa"/>
            <w:tcBorders>
              <w:top w:val="single" w:color="auto" w:sz="12" w:space="0"/>
              <w:left w:val="single" w:color="auto" w:sz="12" w:space="0"/>
              <w:right w:val="single" w:color="auto" w:sz="6" w:space="0"/>
            </w:tcBorders>
            <w:tcMar>
              <w:top w:w="28" w:type="dxa"/>
              <w:bottom w:w="28" w:type="dxa"/>
            </w:tcMar>
            <w:vAlign w:val="center"/>
          </w:tcPr>
          <w:p w14:paraId="742B3F35">
            <w:pPr>
              <w:spacing w:line="370" w:lineRule="exact"/>
              <w:ind w:firstLine="424" w:firstLineChars="177"/>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监理岗位</w:t>
            </w:r>
          </w:p>
        </w:tc>
        <w:tc>
          <w:tcPr>
            <w:tcW w:w="944" w:type="dxa"/>
            <w:tcBorders>
              <w:top w:val="single" w:color="auto" w:sz="12" w:space="0"/>
              <w:left w:val="single" w:color="auto" w:sz="6" w:space="0"/>
              <w:right w:val="single" w:color="auto" w:sz="6" w:space="0"/>
            </w:tcBorders>
            <w:tcMar>
              <w:top w:w="28" w:type="dxa"/>
              <w:bottom w:w="28" w:type="dxa"/>
            </w:tcMar>
            <w:vAlign w:val="center"/>
          </w:tcPr>
          <w:p w14:paraId="79511824">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人数</w:t>
            </w:r>
          </w:p>
        </w:tc>
        <w:tc>
          <w:tcPr>
            <w:tcW w:w="5256" w:type="dxa"/>
            <w:tcBorders>
              <w:top w:val="single" w:color="auto" w:sz="12" w:space="0"/>
              <w:left w:val="single" w:color="auto" w:sz="6" w:space="0"/>
              <w:right w:val="single" w:color="auto" w:sz="6" w:space="0"/>
            </w:tcBorders>
            <w:tcMar>
              <w:top w:w="28" w:type="dxa"/>
              <w:bottom w:w="28" w:type="dxa"/>
            </w:tcMar>
            <w:vAlign w:val="center"/>
          </w:tcPr>
          <w:p w14:paraId="199537E9">
            <w:pPr>
              <w:spacing w:line="370" w:lineRule="exact"/>
              <w:ind w:firstLine="424" w:firstLineChars="177"/>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监理资格</w:t>
            </w:r>
          </w:p>
        </w:tc>
        <w:tc>
          <w:tcPr>
            <w:tcW w:w="1070" w:type="dxa"/>
            <w:tcBorders>
              <w:top w:val="single" w:color="auto" w:sz="12" w:space="0"/>
              <w:left w:val="single" w:color="auto" w:sz="6" w:space="0"/>
              <w:right w:val="single" w:color="auto" w:sz="12" w:space="0"/>
            </w:tcBorders>
            <w:tcMar>
              <w:top w:w="28" w:type="dxa"/>
              <w:bottom w:w="28" w:type="dxa"/>
            </w:tcMar>
            <w:vAlign w:val="center"/>
          </w:tcPr>
          <w:p w14:paraId="5211F0D4">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  注</w:t>
            </w:r>
          </w:p>
        </w:tc>
      </w:tr>
      <w:tr w14:paraId="43F9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888" w:type="dxa"/>
            <w:tcBorders>
              <w:top w:val="single" w:color="auto" w:sz="6" w:space="0"/>
              <w:left w:val="single" w:color="auto" w:sz="12" w:space="0"/>
              <w:bottom w:val="single" w:color="auto" w:sz="6" w:space="0"/>
              <w:right w:val="single" w:color="auto" w:sz="6" w:space="0"/>
            </w:tcBorders>
            <w:vAlign w:val="center"/>
          </w:tcPr>
          <w:p w14:paraId="3ABCE458">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总监理工程师</w:t>
            </w:r>
          </w:p>
        </w:tc>
        <w:tc>
          <w:tcPr>
            <w:tcW w:w="944" w:type="dxa"/>
            <w:tcBorders>
              <w:top w:val="single" w:color="auto" w:sz="6" w:space="0"/>
              <w:left w:val="single" w:color="auto" w:sz="6" w:space="0"/>
              <w:bottom w:val="single" w:color="auto" w:sz="6" w:space="0"/>
              <w:right w:val="single" w:color="auto" w:sz="6" w:space="0"/>
            </w:tcBorders>
            <w:vAlign w:val="center"/>
          </w:tcPr>
          <w:p w14:paraId="4F85E840">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56"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0018CFFF">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应具有注册在投标人单位的国家注册监理工程师注册证书（水利工程），注册执业单位必须为投标人本单位</w:t>
            </w:r>
          </w:p>
        </w:tc>
        <w:tc>
          <w:tcPr>
            <w:tcW w:w="1070" w:type="dxa"/>
            <w:tcBorders>
              <w:top w:val="single" w:color="auto" w:sz="6" w:space="0"/>
              <w:left w:val="single" w:color="auto" w:sz="6" w:space="0"/>
              <w:bottom w:val="single" w:color="auto" w:sz="6" w:space="0"/>
              <w:right w:val="single" w:color="auto" w:sz="12" w:space="0"/>
            </w:tcBorders>
            <w:tcMar>
              <w:top w:w="28" w:type="dxa"/>
              <w:bottom w:w="28" w:type="dxa"/>
            </w:tcMar>
            <w:vAlign w:val="center"/>
          </w:tcPr>
          <w:p w14:paraId="5D053C29">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4D4F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888" w:type="dxa"/>
            <w:tcBorders>
              <w:top w:val="single" w:color="auto" w:sz="6" w:space="0"/>
              <w:left w:val="single" w:color="auto" w:sz="12" w:space="0"/>
              <w:right w:val="single" w:color="auto" w:sz="6" w:space="0"/>
            </w:tcBorders>
            <w:vAlign w:val="center"/>
          </w:tcPr>
          <w:p w14:paraId="34C96D82">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专业监理工程师</w:t>
            </w:r>
          </w:p>
          <w:p w14:paraId="422F23DB">
            <w:pPr>
              <w:pStyle w:val="27"/>
              <w:spacing w:line="370" w:lineRule="exact"/>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（水利工程专业）</w:t>
            </w:r>
          </w:p>
        </w:tc>
        <w:tc>
          <w:tcPr>
            <w:tcW w:w="944" w:type="dxa"/>
            <w:tcBorders>
              <w:top w:val="single" w:color="auto" w:sz="6" w:space="0"/>
              <w:left w:val="single" w:color="auto" w:sz="6" w:space="0"/>
              <w:bottom w:val="single" w:color="auto" w:sz="6" w:space="0"/>
              <w:right w:val="single" w:color="auto" w:sz="6" w:space="0"/>
            </w:tcBorders>
            <w:vAlign w:val="center"/>
          </w:tcPr>
          <w:p w14:paraId="11743B17">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56"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1220FF09">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必须持有《中华人民共和国注册监理工程师注册执业证书》或相关部门或协会核发的专业监理工程师资格，注册执业单位必须为投标人本单位。</w:t>
            </w:r>
          </w:p>
        </w:tc>
        <w:tc>
          <w:tcPr>
            <w:tcW w:w="1070" w:type="dxa"/>
            <w:tcBorders>
              <w:top w:val="single" w:color="auto" w:sz="6" w:space="0"/>
              <w:left w:val="single" w:color="auto" w:sz="6" w:space="0"/>
              <w:bottom w:val="single" w:color="auto" w:sz="6" w:space="0"/>
              <w:right w:val="single" w:color="auto" w:sz="12" w:space="0"/>
            </w:tcBorders>
            <w:tcMar>
              <w:top w:w="28" w:type="dxa"/>
              <w:bottom w:w="28" w:type="dxa"/>
            </w:tcMar>
          </w:tcPr>
          <w:p w14:paraId="43CA786B">
            <w:pP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6E8D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888" w:type="dxa"/>
            <w:tcBorders>
              <w:top w:val="single" w:color="auto" w:sz="6" w:space="0"/>
              <w:left w:val="single" w:color="auto" w:sz="12" w:space="0"/>
              <w:bottom w:val="single" w:color="auto" w:sz="6" w:space="0"/>
              <w:right w:val="single" w:color="auto" w:sz="6" w:space="0"/>
            </w:tcBorders>
            <w:vAlign w:val="center"/>
          </w:tcPr>
          <w:p w14:paraId="3CAAF8DD">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监理员</w:t>
            </w:r>
          </w:p>
          <w:p w14:paraId="06DD81E1">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（水利工程专业）</w:t>
            </w:r>
          </w:p>
        </w:tc>
        <w:tc>
          <w:tcPr>
            <w:tcW w:w="944" w:type="dxa"/>
            <w:tcBorders>
              <w:top w:val="single" w:color="auto" w:sz="6" w:space="0"/>
              <w:left w:val="single" w:color="auto" w:sz="6" w:space="0"/>
              <w:bottom w:val="single" w:color="auto" w:sz="6" w:space="0"/>
              <w:right w:val="single" w:color="auto" w:sz="6" w:space="0"/>
            </w:tcBorders>
            <w:vAlign w:val="center"/>
          </w:tcPr>
          <w:p w14:paraId="19ACD044">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w:t>
            </w:r>
            <w:bookmarkStart w:id="237" w:name="OLE_LINK1"/>
            <w:bookmarkStart w:id="238" w:name="OLE_LINK32"/>
            <w:r>
              <w:rPr>
                <w:rFonts w:hint="eastAsia" w:ascii="楷体" w:hAnsi="楷体" w:eastAsia="楷体" w:cs="楷体"/>
                <w:color w:val="000000" w:themeColor="text1"/>
                <w:sz w:val="24"/>
                <w14:textFill>
                  <w14:solidFill>
                    <w14:schemeClr w14:val="tx1"/>
                  </w14:solidFill>
                </w14:textFill>
              </w:rPr>
              <w:t>人</w:t>
            </w:r>
            <w:bookmarkEnd w:id="237"/>
            <w:bookmarkEnd w:id="238"/>
          </w:p>
        </w:tc>
        <w:tc>
          <w:tcPr>
            <w:tcW w:w="5256"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1F9E403B">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必须持有《中华人民共和国注册监理工程师注册执业证书》或相关部门或协会核发的监理员培训证书，注册执业单位必须为投标人本单位。</w:t>
            </w:r>
          </w:p>
        </w:tc>
        <w:tc>
          <w:tcPr>
            <w:tcW w:w="1070" w:type="dxa"/>
            <w:tcBorders>
              <w:top w:val="single" w:color="auto" w:sz="6" w:space="0"/>
              <w:left w:val="single" w:color="auto" w:sz="6" w:space="0"/>
              <w:bottom w:val="single" w:color="auto" w:sz="6" w:space="0"/>
              <w:right w:val="single" w:color="auto" w:sz="12" w:space="0"/>
            </w:tcBorders>
            <w:tcMar>
              <w:top w:w="28" w:type="dxa"/>
              <w:bottom w:w="28" w:type="dxa"/>
            </w:tcMar>
          </w:tcPr>
          <w:p w14:paraId="30264260">
            <w:pP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0D54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158" w:type="dxa"/>
            <w:gridSpan w:val="4"/>
            <w:tcBorders>
              <w:top w:val="single" w:color="auto" w:sz="6" w:space="0"/>
              <w:left w:val="single" w:color="auto" w:sz="12" w:space="0"/>
              <w:bottom w:val="single" w:color="auto" w:sz="6" w:space="0"/>
              <w:right w:val="single" w:color="auto" w:sz="12" w:space="0"/>
            </w:tcBorders>
            <w:vAlign w:val="center"/>
          </w:tcPr>
          <w:p w14:paraId="321AFB86">
            <w:pPr>
              <w:spacing w:line="370" w:lineRule="exact"/>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注：本表所列专业岗位，包括但不限于以上人员，不得低于本表最低数量要求。中标人在合同签订前办理好以上专业岗位的人员备案手续，并且人员及其他配置、人员必须满足当地施工监理备案要求。中标后押证时项目班组必须配备见证员1人，投标时不需要提供，允许配备人员中兼任，但应按规定完成备案。</w:t>
            </w:r>
          </w:p>
        </w:tc>
      </w:tr>
    </w:tbl>
    <w:p w14:paraId="2C58D81C">
      <w:pPr>
        <w:spacing w:line="360" w:lineRule="auto"/>
        <w:ind w:firstLine="424" w:firstLineChars="177"/>
        <w:rPr>
          <w:rFonts w:ascii="楷体" w:hAnsi="楷体" w:eastAsia="楷体" w:cs="楷体"/>
          <w:color w:val="000000" w:themeColor="text1"/>
          <w:sz w:val="24"/>
          <w14:textFill>
            <w14:solidFill>
              <w14:schemeClr w14:val="tx1"/>
            </w14:solidFill>
          </w14:textFill>
        </w:rPr>
      </w:pPr>
    </w:p>
    <w:tbl>
      <w:tblPr>
        <w:tblStyle w:val="46"/>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88"/>
        <w:gridCol w:w="944"/>
        <w:gridCol w:w="5233"/>
        <w:gridCol w:w="1093"/>
      </w:tblGrid>
      <w:tr w14:paraId="1E06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158" w:type="dxa"/>
            <w:gridSpan w:val="4"/>
            <w:tcBorders>
              <w:top w:val="single" w:color="auto" w:sz="12" w:space="0"/>
              <w:left w:val="single" w:color="auto" w:sz="12" w:space="0"/>
              <w:right w:val="single" w:color="auto" w:sz="12" w:space="0"/>
            </w:tcBorders>
            <w:tcMar>
              <w:top w:w="28" w:type="dxa"/>
              <w:bottom w:w="28" w:type="dxa"/>
            </w:tcMar>
            <w:vAlign w:val="center"/>
          </w:tcPr>
          <w:p w14:paraId="23402C8C">
            <w:pPr>
              <w:spacing w:line="370" w:lineRule="exact"/>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color w:val="000000" w:themeColor="text1"/>
                <w:sz w:val="24"/>
                <w:u w:val="single"/>
                <w14:textFill>
                  <w14:solidFill>
                    <w14:schemeClr w14:val="tx1"/>
                  </w14:solidFill>
                </w14:textFill>
              </w:rPr>
              <w:t>标项</w:t>
            </w:r>
            <w:r>
              <w:rPr>
                <w:rFonts w:ascii="楷体" w:hAnsi="楷体" w:eastAsia="楷体" w:cs="楷体"/>
                <w:b/>
                <w:color w:val="000000" w:themeColor="text1"/>
                <w:sz w:val="24"/>
                <w:u w:val="single"/>
                <w14:textFill>
                  <w14:solidFill>
                    <w14:schemeClr w14:val="tx1"/>
                  </w14:solidFill>
                </w14:textFill>
              </w:rPr>
              <w:t>2-</w:t>
            </w:r>
            <w:r>
              <w:rPr>
                <w:rFonts w:hint="eastAsia" w:ascii="楷体" w:hAnsi="楷体" w:eastAsia="楷体" w:cs="楷体"/>
                <w:b/>
                <w:color w:val="000000" w:themeColor="text1"/>
                <w:sz w:val="24"/>
                <w:u w:val="single"/>
                <w14:textFill>
                  <w14:solidFill>
                    <w14:schemeClr w14:val="tx1"/>
                  </w14:solidFill>
                </w14:textFill>
              </w:rPr>
              <w:t>市政园林（市政公用工程）人员配置：</w:t>
            </w:r>
          </w:p>
        </w:tc>
      </w:tr>
      <w:tr w14:paraId="490B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888" w:type="dxa"/>
            <w:tcBorders>
              <w:top w:val="single" w:color="auto" w:sz="12" w:space="0"/>
              <w:left w:val="single" w:color="auto" w:sz="12" w:space="0"/>
              <w:right w:val="single" w:color="auto" w:sz="6" w:space="0"/>
            </w:tcBorders>
            <w:tcMar>
              <w:top w:w="28" w:type="dxa"/>
              <w:bottom w:w="28" w:type="dxa"/>
            </w:tcMar>
            <w:vAlign w:val="center"/>
          </w:tcPr>
          <w:p w14:paraId="2365FE3D">
            <w:pPr>
              <w:spacing w:line="370" w:lineRule="exact"/>
              <w:ind w:firstLine="424" w:firstLineChars="177"/>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监理岗位</w:t>
            </w:r>
          </w:p>
        </w:tc>
        <w:tc>
          <w:tcPr>
            <w:tcW w:w="944" w:type="dxa"/>
            <w:tcBorders>
              <w:top w:val="single" w:color="auto" w:sz="12" w:space="0"/>
              <w:left w:val="single" w:color="auto" w:sz="6" w:space="0"/>
              <w:right w:val="single" w:color="auto" w:sz="6" w:space="0"/>
            </w:tcBorders>
            <w:tcMar>
              <w:top w:w="28" w:type="dxa"/>
              <w:bottom w:w="28" w:type="dxa"/>
            </w:tcMar>
            <w:vAlign w:val="center"/>
          </w:tcPr>
          <w:p w14:paraId="6D4DE5C2">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人数</w:t>
            </w:r>
          </w:p>
        </w:tc>
        <w:tc>
          <w:tcPr>
            <w:tcW w:w="5233" w:type="dxa"/>
            <w:tcBorders>
              <w:top w:val="single" w:color="auto" w:sz="12" w:space="0"/>
              <w:left w:val="single" w:color="auto" w:sz="6" w:space="0"/>
              <w:right w:val="single" w:color="auto" w:sz="6" w:space="0"/>
            </w:tcBorders>
            <w:tcMar>
              <w:top w:w="28" w:type="dxa"/>
              <w:bottom w:w="28" w:type="dxa"/>
            </w:tcMar>
            <w:vAlign w:val="center"/>
          </w:tcPr>
          <w:p w14:paraId="4924CFEF">
            <w:pPr>
              <w:spacing w:line="370" w:lineRule="exact"/>
              <w:ind w:firstLine="424" w:firstLineChars="177"/>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监理资格</w:t>
            </w:r>
          </w:p>
        </w:tc>
        <w:tc>
          <w:tcPr>
            <w:tcW w:w="1093" w:type="dxa"/>
            <w:tcBorders>
              <w:top w:val="single" w:color="auto" w:sz="12" w:space="0"/>
              <w:left w:val="single" w:color="auto" w:sz="6" w:space="0"/>
              <w:right w:val="single" w:color="auto" w:sz="12" w:space="0"/>
            </w:tcBorders>
            <w:tcMar>
              <w:top w:w="28" w:type="dxa"/>
              <w:bottom w:w="28" w:type="dxa"/>
            </w:tcMar>
            <w:vAlign w:val="center"/>
          </w:tcPr>
          <w:p w14:paraId="25FA2C80">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  注</w:t>
            </w:r>
          </w:p>
        </w:tc>
      </w:tr>
      <w:tr w14:paraId="7E01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888" w:type="dxa"/>
            <w:tcBorders>
              <w:top w:val="single" w:color="auto" w:sz="6" w:space="0"/>
              <w:left w:val="single" w:color="auto" w:sz="12" w:space="0"/>
              <w:bottom w:val="single" w:color="auto" w:sz="6" w:space="0"/>
              <w:right w:val="single" w:color="auto" w:sz="6" w:space="0"/>
            </w:tcBorders>
            <w:vAlign w:val="center"/>
          </w:tcPr>
          <w:p w14:paraId="0F9AA1EC">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总监理工程师</w:t>
            </w:r>
          </w:p>
        </w:tc>
        <w:tc>
          <w:tcPr>
            <w:tcW w:w="944" w:type="dxa"/>
            <w:tcBorders>
              <w:top w:val="single" w:color="auto" w:sz="6" w:space="0"/>
              <w:left w:val="single" w:color="auto" w:sz="6" w:space="0"/>
              <w:bottom w:val="single" w:color="auto" w:sz="6" w:space="0"/>
              <w:right w:val="single" w:color="auto" w:sz="6" w:space="0"/>
            </w:tcBorders>
            <w:vAlign w:val="center"/>
          </w:tcPr>
          <w:p w14:paraId="3E617130">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w:t>
            </w:r>
            <w:bookmarkStart w:id="239" w:name="OLE_LINK29"/>
            <w:bookmarkStart w:id="240" w:name="OLE_LINK30"/>
            <w:r>
              <w:rPr>
                <w:rFonts w:hint="eastAsia" w:ascii="楷体" w:hAnsi="楷体" w:eastAsia="楷体" w:cs="楷体"/>
                <w:color w:val="000000" w:themeColor="text1"/>
                <w:sz w:val="24"/>
                <w14:textFill>
                  <w14:solidFill>
                    <w14:schemeClr w14:val="tx1"/>
                  </w14:solidFill>
                </w14:textFill>
              </w:rPr>
              <w:t>人</w:t>
            </w:r>
            <w:bookmarkEnd w:id="239"/>
            <w:bookmarkEnd w:id="240"/>
          </w:p>
        </w:tc>
        <w:tc>
          <w:tcPr>
            <w:tcW w:w="5233"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0D26D649">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应具有注册在投标人单位的建设部颁发的国家注册监理工程师注册证书（市政公用工程专业），注册执业单位必须为投标人本单位</w:t>
            </w:r>
          </w:p>
        </w:tc>
        <w:tc>
          <w:tcPr>
            <w:tcW w:w="1093" w:type="dxa"/>
            <w:tcBorders>
              <w:top w:val="single" w:color="auto" w:sz="6" w:space="0"/>
              <w:left w:val="single" w:color="auto" w:sz="6" w:space="0"/>
              <w:bottom w:val="single" w:color="auto" w:sz="6" w:space="0"/>
              <w:right w:val="single" w:color="auto" w:sz="12" w:space="0"/>
            </w:tcBorders>
            <w:tcMar>
              <w:top w:w="28" w:type="dxa"/>
              <w:bottom w:w="28" w:type="dxa"/>
            </w:tcMar>
            <w:vAlign w:val="center"/>
          </w:tcPr>
          <w:p w14:paraId="58014AC8">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469F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888" w:type="dxa"/>
            <w:tcBorders>
              <w:top w:val="single" w:color="auto" w:sz="6" w:space="0"/>
              <w:left w:val="single" w:color="auto" w:sz="12" w:space="0"/>
              <w:right w:val="single" w:color="auto" w:sz="6" w:space="0"/>
            </w:tcBorders>
            <w:vAlign w:val="center"/>
          </w:tcPr>
          <w:p w14:paraId="5AF7F5EA">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专业监理工程师</w:t>
            </w:r>
          </w:p>
          <w:p w14:paraId="7107E433">
            <w:pPr>
              <w:pStyle w:val="27"/>
              <w:spacing w:line="370" w:lineRule="exact"/>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w:t>
            </w:r>
            <w:r>
              <w:rPr>
                <w:rFonts w:hint="eastAsia" w:ascii="楷体" w:hAnsi="楷体" w:eastAsia="楷体" w:cs="楷体"/>
                <w:color w:val="000000" w:themeColor="text1"/>
                <w:sz w:val="24"/>
                <w14:textFill>
                  <w14:solidFill>
                    <w14:schemeClr w14:val="tx1"/>
                  </w14:solidFill>
                </w14:textFill>
              </w:rPr>
              <w:t>市政公用工程专业</w:t>
            </w:r>
            <w:r>
              <w:rPr>
                <w:rFonts w:hint="eastAsia" w:ascii="楷体" w:hAnsi="楷体" w:eastAsia="楷体" w:cs="楷体"/>
                <w:color w:val="000000" w:themeColor="text1"/>
                <w:sz w:val="24"/>
                <w:szCs w:val="24"/>
                <w14:textFill>
                  <w14:solidFill>
                    <w14:schemeClr w14:val="tx1"/>
                  </w14:solidFill>
                </w14:textFill>
              </w:rPr>
              <w:t>）</w:t>
            </w:r>
          </w:p>
        </w:tc>
        <w:tc>
          <w:tcPr>
            <w:tcW w:w="944" w:type="dxa"/>
            <w:tcBorders>
              <w:top w:val="single" w:color="auto" w:sz="6" w:space="0"/>
              <w:left w:val="single" w:color="auto" w:sz="6" w:space="0"/>
              <w:bottom w:val="single" w:color="auto" w:sz="6" w:space="0"/>
              <w:right w:val="single" w:color="auto" w:sz="6" w:space="0"/>
            </w:tcBorders>
            <w:vAlign w:val="center"/>
          </w:tcPr>
          <w:p w14:paraId="203F7380">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33"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2FAF2CC6">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必须持有《中华人民共和国注册监理工程师注册执业证书》或省级建设工程监理管理协会《监理工程师培训合格证书》或市级全过程工程咨询与监理管理协会《培训合格证书》，注册执业单位必须为投标人本单位</w:t>
            </w:r>
          </w:p>
        </w:tc>
        <w:tc>
          <w:tcPr>
            <w:tcW w:w="1093" w:type="dxa"/>
            <w:tcBorders>
              <w:top w:val="single" w:color="auto" w:sz="6" w:space="0"/>
              <w:left w:val="single" w:color="auto" w:sz="6" w:space="0"/>
              <w:bottom w:val="single" w:color="auto" w:sz="6" w:space="0"/>
              <w:right w:val="single" w:color="auto" w:sz="12" w:space="0"/>
            </w:tcBorders>
            <w:tcMar>
              <w:top w:w="28" w:type="dxa"/>
              <w:bottom w:w="28" w:type="dxa"/>
            </w:tcMar>
            <w:vAlign w:val="center"/>
          </w:tcPr>
          <w:p w14:paraId="4C48F97E">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3E3D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888" w:type="dxa"/>
            <w:tcBorders>
              <w:top w:val="single" w:color="auto" w:sz="6" w:space="0"/>
              <w:left w:val="single" w:color="auto" w:sz="12" w:space="0"/>
              <w:bottom w:val="single" w:color="auto" w:sz="6" w:space="0"/>
              <w:right w:val="single" w:color="auto" w:sz="6" w:space="0"/>
            </w:tcBorders>
            <w:vAlign w:val="center"/>
          </w:tcPr>
          <w:p w14:paraId="066ED9EF">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监理员（市政公用工程专业）</w:t>
            </w:r>
          </w:p>
        </w:tc>
        <w:tc>
          <w:tcPr>
            <w:tcW w:w="944" w:type="dxa"/>
            <w:tcBorders>
              <w:top w:val="single" w:color="auto" w:sz="6" w:space="0"/>
              <w:left w:val="single" w:color="auto" w:sz="6" w:space="0"/>
              <w:bottom w:val="single" w:color="auto" w:sz="6" w:space="0"/>
              <w:right w:val="single" w:color="auto" w:sz="6" w:space="0"/>
            </w:tcBorders>
            <w:vAlign w:val="center"/>
          </w:tcPr>
          <w:p w14:paraId="03684A04">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33"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216E9E86">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必须持有《中华人民共和国注册监理工程师注册执业证书》或省级建设工程监理管理协会《监理员培训合格证》或市级全过程工程咨询与监理管理协会《监理员培训合格》，注册执业单位必须为投标人本单位</w:t>
            </w:r>
          </w:p>
        </w:tc>
        <w:tc>
          <w:tcPr>
            <w:tcW w:w="1093" w:type="dxa"/>
            <w:tcBorders>
              <w:top w:val="single" w:color="auto" w:sz="6" w:space="0"/>
              <w:left w:val="single" w:color="auto" w:sz="6" w:space="0"/>
              <w:bottom w:val="single" w:color="auto" w:sz="6" w:space="0"/>
              <w:right w:val="single" w:color="auto" w:sz="12" w:space="0"/>
            </w:tcBorders>
            <w:tcMar>
              <w:top w:w="28" w:type="dxa"/>
              <w:bottom w:w="28" w:type="dxa"/>
            </w:tcMar>
            <w:vAlign w:val="center"/>
          </w:tcPr>
          <w:p w14:paraId="0AAB8817">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5408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158" w:type="dxa"/>
            <w:gridSpan w:val="4"/>
            <w:tcBorders>
              <w:top w:val="single" w:color="auto" w:sz="6" w:space="0"/>
              <w:left w:val="single" w:color="auto" w:sz="12" w:space="0"/>
              <w:bottom w:val="single" w:color="auto" w:sz="6" w:space="0"/>
              <w:right w:val="single" w:color="auto" w:sz="12" w:space="0"/>
            </w:tcBorders>
            <w:vAlign w:val="center"/>
          </w:tcPr>
          <w:p w14:paraId="068F7BF3">
            <w:pPr>
              <w:spacing w:line="370" w:lineRule="exact"/>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注：本表所列专业岗位，包括但不限于以上人员，不得低于本表最低数量要求。中标人在合同签订前办理好以上专业岗位的人员备案手续，并且人员及其他配置、人员必须满足当地施工监理备案要求。中标后押证时项目班组必须配备见证员1人，投标时不需要提供，允许配备人员中兼任，但应按规定完成备案。</w:t>
            </w:r>
          </w:p>
        </w:tc>
      </w:tr>
    </w:tbl>
    <w:p w14:paraId="5706D76C">
      <w:pPr>
        <w:spacing w:line="360" w:lineRule="auto"/>
        <w:ind w:firstLine="424" w:firstLineChars="177"/>
        <w:rPr>
          <w:rFonts w:ascii="楷体" w:hAnsi="楷体" w:eastAsia="楷体" w:cs="楷体"/>
          <w:color w:val="000000" w:themeColor="text1"/>
          <w:sz w:val="24"/>
          <w14:textFill>
            <w14:solidFill>
              <w14:schemeClr w14:val="tx1"/>
            </w14:solidFill>
          </w14:textFill>
        </w:rPr>
      </w:pPr>
    </w:p>
    <w:tbl>
      <w:tblPr>
        <w:tblStyle w:val="46"/>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88"/>
        <w:gridCol w:w="944"/>
        <w:gridCol w:w="5233"/>
        <w:gridCol w:w="1093"/>
      </w:tblGrid>
      <w:tr w14:paraId="602E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158" w:type="dxa"/>
            <w:gridSpan w:val="4"/>
            <w:tcBorders>
              <w:top w:val="single" w:color="auto" w:sz="12" w:space="0"/>
              <w:left w:val="single" w:color="auto" w:sz="12" w:space="0"/>
              <w:right w:val="single" w:color="auto" w:sz="12" w:space="0"/>
            </w:tcBorders>
            <w:tcMar>
              <w:top w:w="28" w:type="dxa"/>
              <w:bottom w:w="28" w:type="dxa"/>
            </w:tcMar>
            <w:vAlign w:val="center"/>
          </w:tcPr>
          <w:p w14:paraId="62425497">
            <w:pPr>
              <w:spacing w:line="370" w:lineRule="exact"/>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color w:val="000000" w:themeColor="text1"/>
                <w:sz w:val="24"/>
                <w:u w:val="single"/>
                <w14:textFill>
                  <w14:solidFill>
                    <w14:schemeClr w14:val="tx1"/>
                  </w14:solidFill>
                </w14:textFill>
              </w:rPr>
              <w:t>标项</w:t>
            </w:r>
            <w:r>
              <w:rPr>
                <w:rFonts w:ascii="楷体" w:hAnsi="楷体" w:eastAsia="楷体" w:cs="楷体"/>
                <w:b/>
                <w:color w:val="000000" w:themeColor="text1"/>
                <w:sz w:val="24"/>
                <w:u w:val="single"/>
                <w14:textFill>
                  <w14:solidFill>
                    <w14:schemeClr w14:val="tx1"/>
                  </w14:solidFill>
                </w14:textFill>
              </w:rPr>
              <w:t>3-</w:t>
            </w:r>
            <w:r>
              <w:rPr>
                <w:rFonts w:hint="eastAsia" w:ascii="楷体" w:hAnsi="楷体" w:eastAsia="楷体" w:cs="楷体"/>
                <w:b/>
                <w:color w:val="000000" w:themeColor="text1"/>
                <w:sz w:val="24"/>
                <w:u w:val="single"/>
                <w14:textFill>
                  <w14:solidFill>
                    <w14:schemeClr w14:val="tx1"/>
                  </w14:solidFill>
                </w14:textFill>
              </w:rPr>
              <w:t>交通（公路</w:t>
            </w:r>
            <w:r>
              <w:rPr>
                <w:rFonts w:ascii="楷体" w:hAnsi="楷体" w:eastAsia="楷体" w:cs="楷体"/>
                <w:b/>
                <w:color w:val="000000" w:themeColor="text1"/>
                <w:sz w:val="24"/>
                <w:u w:val="single"/>
                <w14:textFill>
                  <w14:solidFill>
                    <w14:schemeClr w14:val="tx1"/>
                  </w14:solidFill>
                </w14:textFill>
              </w:rPr>
              <w:t>工程</w:t>
            </w:r>
            <w:r>
              <w:rPr>
                <w:rFonts w:hint="eastAsia" w:ascii="楷体" w:hAnsi="楷体" w:eastAsia="楷体" w:cs="楷体"/>
                <w:b/>
                <w:color w:val="000000" w:themeColor="text1"/>
                <w:sz w:val="24"/>
                <w:u w:val="single"/>
                <w14:textFill>
                  <w14:solidFill>
                    <w14:schemeClr w14:val="tx1"/>
                  </w14:solidFill>
                </w14:textFill>
              </w:rPr>
              <w:t>）人员配置：</w:t>
            </w:r>
          </w:p>
        </w:tc>
      </w:tr>
      <w:tr w14:paraId="3EE0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888" w:type="dxa"/>
            <w:tcBorders>
              <w:top w:val="single" w:color="auto" w:sz="12" w:space="0"/>
              <w:left w:val="single" w:color="auto" w:sz="12" w:space="0"/>
              <w:right w:val="single" w:color="auto" w:sz="6" w:space="0"/>
            </w:tcBorders>
            <w:tcMar>
              <w:top w:w="28" w:type="dxa"/>
              <w:bottom w:w="28" w:type="dxa"/>
            </w:tcMar>
            <w:vAlign w:val="center"/>
          </w:tcPr>
          <w:p w14:paraId="2E03FC76">
            <w:pPr>
              <w:spacing w:line="370" w:lineRule="exact"/>
              <w:ind w:firstLine="424" w:firstLineChars="177"/>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监理岗位</w:t>
            </w:r>
          </w:p>
        </w:tc>
        <w:tc>
          <w:tcPr>
            <w:tcW w:w="944" w:type="dxa"/>
            <w:tcBorders>
              <w:top w:val="single" w:color="auto" w:sz="12" w:space="0"/>
              <w:left w:val="single" w:color="auto" w:sz="6" w:space="0"/>
              <w:right w:val="single" w:color="auto" w:sz="6" w:space="0"/>
            </w:tcBorders>
            <w:tcMar>
              <w:top w:w="28" w:type="dxa"/>
              <w:bottom w:w="28" w:type="dxa"/>
            </w:tcMar>
            <w:vAlign w:val="center"/>
          </w:tcPr>
          <w:p w14:paraId="04798AC9">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人数</w:t>
            </w:r>
          </w:p>
        </w:tc>
        <w:tc>
          <w:tcPr>
            <w:tcW w:w="5233" w:type="dxa"/>
            <w:tcBorders>
              <w:top w:val="single" w:color="auto" w:sz="12" w:space="0"/>
              <w:left w:val="single" w:color="auto" w:sz="6" w:space="0"/>
              <w:right w:val="single" w:color="auto" w:sz="6" w:space="0"/>
            </w:tcBorders>
            <w:tcMar>
              <w:top w:w="28" w:type="dxa"/>
              <w:bottom w:w="28" w:type="dxa"/>
            </w:tcMar>
            <w:vAlign w:val="center"/>
          </w:tcPr>
          <w:p w14:paraId="720034BD">
            <w:pPr>
              <w:spacing w:line="370" w:lineRule="exact"/>
              <w:ind w:firstLine="424" w:firstLineChars="177"/>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监理资格</w:t>
            </w:r>
          </w:p>
        </w:tc>
        <w:tc>
          <w:tcPr>
            <w:tcW w:w="1093" w:type="dxa"/>
            <w:tcBorders>
              <w:top w:val="single" w:color="auto" w:sz="12" w:space="0"/>
              <w:left w:val="single" w:color="auto" w:sz="6" w:space="0"/>
              <w:right w:val="single" w:color="auto" w:sz="12" w:space="0"/>
            </w:tcBorders>
            <w:tcMar>
              <w:top w:w="28" w:type="dxa"/>
              <w:bottom w:w="28" w:type="dxa"/>
            </w:tcMar>
            <w:vAlign w:val="center"/>
          </w:tcPr>
          <w:p w14:paraId="44652C3D">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  注</w:t>
            </w:r>
          </w:p>
        </w:tc>
      </w:tr>
      <w:tr w14:paraId="58C8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64" w:hRule="atLeast"/>
          <w:jc w:val="center"/>
        </w:trPr>
        <w:tc>
          <w:tcPr>
            <w:tcW w:w="1888" w:type="dxa"/>
            <w:tcBorders>
              <w:top w:val="single" w:color="auto" w:sz="6" w:space="0"/>
              <w:left w:val="single" w:color="auto" w:sz="12" w:space="0"/>
              <w:bottom w:val="single" w:color="auto" w:sz="6" w:space="0"/>
              <w:right w:val="single" w:color="auto" w:sz="6" w:space="0"/>
            </w:tcBorders>
            <w:vAlign w:val="center"/>
          </w:tcPr>
          <w:p w14:paraId="50FBBE68">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总监理工程师</w:t>
            </w:r>
          </w:p>
        </w:tc>
        <w:tc>
          <w:tcPr>
            <w:tcW w:w="944" w:type="dxa"/>
            <w:tcBorders>
              <w:top w:val="single" w:color="auto" w:sz="6" w:space="0"/>
              <w:left w:val="single" w:color="auto" w:sz="6" w:space="0"/>
              <w:bottom w:val="single" w:color="auto" w:sz="6" w:space="0"/>
              <w:right w:val="single" w:color="auto" w:sz="6" w:space="0"/>
            </w:tcBorders>
            <w:vAlign w:val="center"/>
          </w:tcPr>
          <w:p w14:paraId="56C0680D">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33"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7129117F">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应具有注册在投标人单位的国家注册监理工程师注册证书（公路工程），注册执业单位必须为投标人本单位</w:t>
            </w:r>
          </w:p>
        </w:tc>
        <w:tc>
          <w:tcPr>
            <w:tcW w:w="1093" w:type="dxa"/>
            <w:tcBorders>
              <w:top w:val="single" w:color="auto" w:sz="6" w:space="0"/>
              <w:left w:val="single" w:color="auto" w:sz="6" w:space="0"/>
              <w:bottom w:val="single" w:color="auto" w:sz="6" w:space="0"/>
              <w:right w:val="single" w:color="auto" w:sz="12" w:space="0"/>
            </w:tcBorders>
            <w:tcMar>
              <w:top w:w="28" w:type="dxa"/>
              <w:bottom w:w="28" w:type="dxa"/>
            </w:tcMar>
            <w:vAlign w:val="center"/>
          </w:tcPr>
          <w:p w14:paraId="3B550130">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486D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888" w:type="dxa"/>
            <w:tcBorders>
              <w:top w:val="single" w:color="auto" w:sz="6" w:space="0"/>
              <w:left w:val="single" w:color="auto" w:sz="12" w:space="0"/>
              <w:right w:val="single" w:color="auto" w:sz="6" w:space="0"/>
            </w:tcBorders>
            <w:vAlign w:val="center"/>
          </w:tcPr>
          <w:p w14:paraId="7FFF57B6">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专业监理工程师</w:t>
            </w:r>
          </w:p>
          <w:p w14:paraId="26DCE31F">
            <w:pPr>
              <w:pStyle w:val="27"/>
              <w:spacing w:line="370" w:lineRule="exact"/>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（公路工程专业）</w:t>
            </w:r>
          </w:p>
        </w:tc>
        <w:tc>
          <w:tcPr>
            <w:tcW w:w="944" w:type="dxa"/>
            <w:tcBorders>
              <w:top w:val="single" w:color="auto" w:sz="6" w:space="0"/>
              <w:left w:val="single" w:color="auto" w:sz="6" w:space="0"/>
              <w:bottom w:val="single" w:color="auto" w:sz="6" w:space="0"/>
              <w:right w:val="single" w:color="auto" w:sz="6" w:space="0"/>
            </w:tcBorders>
            <w:vAlign w:val="center"/>
          </w:tcPr>
          <w:p w14:paraId="628E36FD">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33"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5525F792">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必须持有《中华人民共和国注册监理工程师注册执业证书》或相关部门或协会核发的专业监理工程师资格，注册执业单位必须为投标人本单位。</w:t>
            </w:r>
          </w:p>
        </w:tc>
        <w:tc>
          <w:tcPr>
            <w:tcW w:w="1093" w:type="dxa"/>
            <w:tcBorders>
              <w:top w:val="single" w:color="auto" w:sz="6" w:space="0"/>
              <w:left w:val="single" w:color="auto" w:sz="6" w:space="0"/>
              <w:bottom w:val="single" w:color="auto" w:sz="6" w:space="0"/>
              <w:right w:val="single" w:color="auto" w:sz="12" w:space="0"/>
            </w:tcBorders>
            <w:tcMar>
              <w:top w:w="28" w:type="dxa"/>
              <w:bottom w:w="28" w:type="dxa"/>
            </w:tcMar>
          </w:tcPr>
          <w:p w14:paraId="0F28BFAA">
            <w:pP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59F7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888" w:type="dxa"/>
            <w:tcBorders>
              <w:top w:val="single" w:color="auto" w:sz="6" w:space="0"/>
              <w:left w:val="single" w:color="auto" w:sz="12" w:space="0"/>
              <w:bottom w:val="single" w:color="auto" w:sz="6" w:space="0"/>
              <w:right w:val="single" w:color="auto" w:sz="6" w:space="0"/>
            </w:tcBorders>
            <w:vAlign w:val="center"/>
          </w:tcPr>
          <w:p w14:paraId="6BCDBEE6">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监理员</w:t>
            </w:r>
          </w:p>
          <w:p w14:paraId="162C99AF">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（公路工程专业）</w:t>
            </w:r>
          </w:p>
        </w:tc>
        <w:tc>
          <w:tcPr>
            <w:tcW w:w="944" w:type="dxa"/>
            <w:tcBorders>
              <w:top w:val="single" w:color="auto" w:sz="6" w:space="0"/>
              <w:left w:val="single" w:color="auto" w:sz="6" w:space="0"/>
              <w:bottom w:val="single" w:color="auto" w:sz="6" w:space="0"/>
              <w:right w:val="single" w:color="auto" w:sz="6" w:space="0"/>
            </w:tcBorders>
            <w:vAlign w:val="center"/>
          </w:tcPr>
          <w:p w14:paraId="38DFE859">
            <w:pPr>
              <w:spacing w:line="370" w:lineRule="exact"/>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33"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31253DBA">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必须持有《中华人民共和国注册监理工程师注册执业证书》或相关部门或协会核发的监理员培训证书，注册执业单位必须为投标人本单位。</w:t>
            </w:r>
          </w:p>
        </w:tc>
        <w:tc>
          <w:tcPr>
            <w:tcW w:w="1093" w:type="dxa"/>
            <w:tcBorders>
              <w:top w:val="single" w:color="auto" w:sz="6" w:space="0"/>
              <w:left w:val="single" w:color="auto" w:sz="6" w:space="0"/>
              <w:bottom w:val="single" w:color="auto" w:sz="6" w:space="0"/>
              <w:right w:val="single" w:color="auto" w:sz="12" w:space="0"/>
            </w:tcBorders>
            <w:tcMar>
              <w:top w:w="28" w:type="dxa"/>
              <w:bottom w:w="28" w:type="dxa"/>
            </w:tcMar>
          </w:tcPr>
          <w:p w14:paraId="5909FA7F">
            <w:pPr>
              <w:rPr>
                <w:rFonts w:ascii="楷体" w:hAnsi="楷体" w:eastAsia="楷体" w:cs="楷体"/>
                <w:color w:val="000000" w:themeColor="text1"/>
                <w14:textFill>
                  <w14:solidFill>
                    <w14:schemeClr w14:val="tx1"/>
                  </w14:solidFill>
                </w14:textFill>
              </w:rPr>
            </w:pPr>
            <w:bookmarkStart w:id="241" w:name="OLE_LINK55"/>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bookmarkEnd w:id="241"/>
          </w:p>
        </w:tc>
      </w:tr>
      <w:tr w14:paraId="10F0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158" w:type="dxa"/>
            <w:gridSpan w:val="4"/>
            <w:tcBorders>
              <w:top w:val="single" w:color="auto" w:sz="6" w:space="0"/>
              <w:left w:val="single" w:color="auto" w:sz="12" w:space="0"/>
              <w:bottom w:val="single" w:color="auto" w:sz="6" w:space="0"/>
              <w:right w:val="single" w:color="auto" w:sz="12" w:space="0"/>
            </w:tcBorders>
            <w:vAlign w:val="center"/>
          </w:tcPr>
          <w:p w14:paraId="4AFF16F5">
            <w:pPr>
              <w:spacing w:line="370" w:lineRule="exact"/>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注：本表所列专业岗位，包括但不限于以上人员，不得低于本表最低数量要求。中标人在合同签订前办理好以上专业岗位的人员备案手续，并且人员及其他配置、人员必须满足当地施工监理备案要求。中标后押证时项目班组必须配备见证员1人，投标时不需要提供，允许配备人员中兼任，但应按规定完成备案。</w:t>
            </w:r>
          </w:p>
        </w:tc>
      </w:tr>
    </w:tbl>
    <w:p w14:paraId="71C6247A">
      <w:pPr>
        <w:spacing w:line="360" w:lineRule="auto"/>
        <w:ind w:firstLine="426" w:firstLineChars="177"/>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注：（1）上述所列人员为本项目每个标项最低配备要求，若项目实际情况采购人认为项目人员不足，则根据采购人要求增加相应人员，供应商无条件服从，须在投标文件中做出承诺，格式自拟。</w:t>
      </w:r>
    </w:p>
    <w:p w14:paraId="6E964364">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（2）项目总监开工后进场，现场管理人员随项目开始时间进场。本表的项目人员要求具有相应的职称证书的，应后附相关证书复印件加盖供应商公章。</w:t>
      </w:r>
    </w:p>
    <w:p w14:paraId="0988D6E5">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具体人员配备按监理服务要求。本表要求的监理人员中，总监、专业监理工程师等主要人员的人数原则上保持不变，因部分工程施工开始或结束时间不同，部分专业监理工程师的进、退场可有先有后，监理员的人数也应根据工程进展情况作出适当的调整。监理人员的进、退场情况应事先取得发包人的书面同意。</w:t>
      </w:r>
    </w:p>
    <w:p w14:paraId="47A959A0">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1.5项目监理实施要求：</w:t>
      </w:r>
    </w:p>
    <w:p w14:paraId="2115B62D">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1.5.1本项目不得分包、转包。</w:t>
      </w:r>
    </w:p>
    <w:p w14:paraId="0EAE0D51">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1.5.2技术标准与规范：监理过程和成果必须符合国家有关监理方面现行的标准、规范、规程、定额、办法、示例以及项目所在地关于监理方面的文件、规定。在项目实施过程中，如果国家或有关部门颁布了新的技术标准或规范，则应采用新的标准或规范进行监理任务。</w:t>
      </w:r>
    </w:p>
    <w:p w14:paraId="27352F28">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1.5.3监理服务所需的交通设备、办公设备及检测仪器和工具应满足项目监理需求，由供应商自备。上述相关费用已包含在响应报价中。</w:t>
      </w:r>
    </w:p>
    <w:p w14:paraId="69577FEB">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2.1供应商拟派的总监理工程师是供应商派驻工地的全权负责人，应严格按合格规定的供应商义务、责任的权利履行其职责，每月驻工地的天数不得少于10天（含）；专业监理工程师和监理员每月驻工地的天数不得少于22天（含）；如业主方认为供应商指派的总监理工程师未具备良好的履行合同能力时，供应商应无条件予以更换；供应商更换总监理工程师，也应事先征得业主方同意，若未经同意私自更换，则视为违约。</w:t>
      </w:r>
    </w:p>
    <w:p w14:paraId="286B3D07">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2.2员工劳动保障</w:t>
      </w:r>
    </w:p>
    <w:p w14:paraId="39DD056C">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（1）必须与员工签订书面劳动合同，招收人员在主管部门备案。</w:t>
      </w:r>
    </w:p>
    <w:p w14:paraId="500B1AE5">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（2）执行《劳动法》《劳动合同法》有关员工保障的其他规定，由劳动部门查实的，根据查实情况处罚。</w:t>
      </w:r>
    </w:p>
    <w:p w14:paraId="41E2A87F">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（3）▲供应商投入监理相关岗位人员不得少于招标文件规定的人数，且本次招标要求的所有人员均须由供应商按相关规定缴纳社保。</w:t>
      </w:r>
    </w:p>
    <w:p w14:paraId="0B3224DA">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结合本项目具体情况，要求本次投标供应商员工基本工资最低不得低于苍南县本年度最低工资标准（最低工资不包括下列四项收入：延长工作时间的工资；中班、夜班、高温、低温、有毒有害等特殊工作环境、条件下的津贴；贴补伙食、住房等支付给劳动者的非货币性收入； 法律、法规和国家规定的劳动者福利待遇等）。</w:t>
      </w:r>
    </w:p>
    <w:p w14:paraId="4039116C">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2.3▲此次投标所涉及的人员及人员办公</w:t>
      </w:r>
      <w:bookmarkStart w:id="242" w:name="_Hlk136613081"/>
      <w:r>
        <w:rPr>
          <w:rFonts w:hint="eastAsia" w:ascii="楷体" w:hAnsi="楷体" w:eastAsia="楷体" w:cs="楷体"/>
          <w:color w:val="000000" w:themeColor="text1"/>
          <w:sz w:val="24"/>
          <w14:textFill>
            <w14:solidFill>
              <w14:schemeClr w14:val="tx1"/>
            </w14:solidFill>
          </w14:textFill>
        </w:rPr>
        <w:t>、</w:t>
      </w:r>
      <w:bookmarkEnd w:id="242"/>
      <w:r>
        <w:rPr>
          <w:rFonts w:hint="eastAsia" w:ascii="楷体" w:hAnsi="楷体" w:eastAsia="楷体" w:cs="楷体"/>
          <w:color w:val="000000" w:themeColor="text1"/>
          <w:sz w:val="24"/>
          <w14:textFill>
            <w14:solidFill>
              <w14:schemeClr w14:val="tx1"/>
            </w14:solidFill>
          </w14:textFill>
        </w:rPr>
        <w:t>食宿、交通工具和作业工具、办公用品等全部由中标供应商自行负责解决。</w:t>
      </w:r>
    </w:p>
    <w:p w14:paraId="52EF0538">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2.4劳动及安全保护(在服务期内若出现安全事故，中标供应商应自行承担全部责任与采购人无关。)</w:t>
      </w:r>
    </w:p>
    <w:p w14:paraId="057DDD2E">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（1）供应商应加强对员工的安全教育。供应商应加强对危险作业的安全检查，做好安检工作，确保人员生命安全。所有工作人员安全由中标供应商全权负责，若发生安全事故，与采购人无涉。</w:t>
      </w:r>
    </w:p>
    <w:p w14:paraId="133898B4">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（2）供应商须遵守国家颁布的有关安全规程。若供应商责任区内发生重大安全事故，供应商应立即如实通告采购人，并在事故发生后48小时内，向采购人提交事故情况的书面报告。</w:t>
      </w:r>
    </w:p>
    <w:p w14:paraId="13D50CD5">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3.1成果要求</w:t>
      </w:r>
      <w:bookmarkStart w:id="243" w:name="_Toc90217156"/>
      <w:r>
        <w:rPr>
          <w:rFonts w:hint="eastAsia" w:ascii="楷体" w:hAnsi="楷体" w:eastAsia="楷体" w:cs="楷体"/>
          <w:color w:val="000000" w:themeColor="text1"/>
          <w:sz w:val="24"/>
          <w14:textFill>
            <w14:solidFill>
              <w14:schemeClr w14:val="tx1"/>
            </w14:solidFill>
          </w14:textFill>
        </w:rPr>
        <w:t>：做好工程项目监理总结，做好施工现场记录与信息反馈；按照监理合同附件的要求编制监理周、月、年报，及时提供完整的监理档案资料一式两份原件。负责各种技术资料和竣工验收资料的收集、审核、整理工作，按期整编工程资料和工程档案，及时提供完整的施工技术档案资料一式两份原件。</w:t>
      </w:r>
    </w:p>
    <w:p w14:paraId="2C4518D4">
      <w:pPr>
        <w:spacing w:line="360" w:lineRule="auto"/>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w:t>
      </w:r>
      <w:r>
        <w:rPr>
          <w:rFonts w:hint="eastAsia" w:ascii="楷体" w:hAnsi="楷体" w:eastAsia="楷体" w:cs="楷体"/>
          <w:b/>
          <w:bCs/>
          <w:color w:val="000000" w:themeColor="text1"/>
          <w:sz w:val="24"/>
          <w14:textFill>
            <w14:solidFill>
              <w14:schemeClr w14:val="tx1"/>
            </w14:solidFill>
          </w14:textFill>
        </w:rPr>
        <w:t>监理的设施、设备</w:t>
      </w:r>
    </w:p>
    <w:p w14:paraId="4B1565A6">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(1)监理人员办公用房及设施由投标供应商自行解决，费用自理。</w:t>
      </w:r>
    </w:p>
    <w:p w14:paraId="7F534605">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(2)监理人应配备常用测量仪器和试验器具，其费用应包含在投标报价内。</w:t>
      </w:r>
    </w:p>
    <w:p w14:paraId="54189530">
      <w:pPr>
        <w:spacing w:line="360" w:lineRule="auto"/>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5.1其他要求</w:t>
      </w:r>
    </w:p>
    <w:p w14:paraId="4855AE73">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（1）中标供应商需严格按照合同要求，每个标项安排至少一名监理员，长期驻点于灵溪镇人民政府的办公场所，确保在项目实施期间能够全程、持续地进行现场监督与协调工作。</w:t>
      </w:r>
    </w:p>
    <w:p w14:paraId="10448BBE">
      <w:pPr>
        <w:spacing w:line="360" w:lineRule="auto"/>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（2）每个标项中标供应商应为本项目配备必需的</w:t>
      </w:r>
      <w:r>
        <w:rPr>
          <w:rFonts w:ascii="楷体" w:hAnsi="楷体" w:eastAsia="楷体" w:cs="楷体"/>
          <w:color w:val="000000" w:themeColor="text1"/>
          <w:sz w:val="24"/>
          <w14:textFill>
            <w14:solidFill>
              <w14:schemeClr w14:val="tx1"/>
            </w14:solidFill>
          </w14:textFill>
        </w:rPr>
        <w:t>交通工具</w:t>
      </w:r>
      <w:r>
        <w:rPr>
          <w:rFonts w:hint="eastAsia" w:ascii="楷体" w:hAnsi="楷体" w:eastAsia="楷体" w:cs="楷体"/>
          <w:color w:val="000000" w:themeColor="text1"/>
          <w:sz w:val="24"/>
          <w14:textFill>
            <w14:solidFill>
              <w14:schemeClr w14:val="tx1"/>
            </w14:solidFill>
          </w14:textFill>
        </w:rPr>
        <w:t>，专供项目人员日常出行及外出执行任务时使用，以确保项目人员能够便捷、高效地往返于不同工作地点，满足项目执行过程中的交通需求，保障各项工作的顺利开展与人员出行的便利性。</w:t>
      </w:r>
    </w:p>
    <w:bookmarkEnd w:id="243"/>
    <w:p w14:paraId="2255843C">
      <w:pPr>
        <w:pStyle w:val="3"/>
        <w:spacing w:after="120"/>
        <w:rPr>
          <w:rFonts w:ascii="楷体" w:hAnsi="楷体" w:cs="楷体"/>
          <w:color w:val="000000" w:themeColor="text1"/>
          <w:sz w:val="24"/>
          <w:szCs w:val="24"/>
          <w14:textFill>
            <w14:solidFill>
              <w14:schemeClr w14:val="tx1"/>
            </w14:solidFill>
          </w14:textFill>
        </w:rPr>
      </w:pPr>
      <w:bookmarkStart w:id="244" w:name="_Toc225867073"/>
      <w:bookmarkStart w:id="245" w:name="_Toc411166783"/>
      <w:bookmarkStart w:id="246" w:name="_Toc225868275"/>
      <w:bookmarkStart w:id="247" w:name="_Toc413201523"/>
      <w:r>
        <w:rPr>
          <w:rFonts w:hint="eastAsia" w:ascii="楷体" w:hAnsi="楷体" w:cs="楷体"/>
          <w:color w:val="000000" w:themeColor="text1"/>
          <w:sz w:val="24"/>
          <w:szCs w:val="24"/>
          <w14:textFill>
            <w14:solidFill>
              <w14:schemeClr w14:val="tx1"/>
            </w14:solidFill>
          </w14:textFill>
        </w:rPr>
        <w:t>三、其他特别要求及说明</w:t>
      </w:r>
      <w:bookmarkEnd w:id="244"/>
      <w:bookmarkEnd w:id="245"/>
      <w:bookmarkEnd w:id="246"/>
      <w:bookmarkEnd w:id="247"/>
    </w:p>
    <w:p w14:paraId="259D24B5">
      <w:pPr>
        <w:spacing w:line="360" w:lineRule="auto"/>
        <w:ind w:firstLine="463" w:firstLineChars="193"/>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u w:val="single"/>
          <w14:textFill>
            <w14:solidFill>
              <w14:schemeClr w14:val="tx1"/>
            </w14:solidFill>
          </w14:textFill>
        </w:rPr>
        <w:t>（▲本部分要求均为实质性要求，任何负偏离都将作无效标处理）</w:t>
      </w:r>
    </w:p>
    <w:p w14:paraId="7236456A">
      <w:pPr>
        <w:spacing w:line="360" w:lineRule="auto"/>
        <w:ind w:firstLine="463" w:firstLineChars="193"/>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u w:val="single"/>
          <w14:textFill>
            <w14:solidFill>
              <w14:schemeClr w14:val="tx1"/>
            </w14:solidFill>
          </w14:textFill>
        </w:rPr>
        <w:t>1、本项目按费率报价；要求如下</w:t>
      </w:r>
    </w:p>
    <w:p w14:paraId="466FE3C7">
      <w:pPr>
        <w:spacing w:line="360" w:lineRule="auto"/>
        <w:ind w:firstLine="463" w:firstLineChars="193"/>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u w:val="single"/>
          <w14:textFill>
            <w14:solidFill>
              <w14:schemeClr w14:val="tx1"/>
            </w14:solidFill>
          </w14:textFill>
        </w:rPr>
        <w:t>标项1：水利工程</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3343"/>
        <w:gridCol w:w="2454"/>
        <w:gridCol w:w="2673"/>
      </w:tblGrid>
      <w:tr w14:paraId="7003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vAlign w:val="center"/>
          </w:tcPr>
          <w:p w14:paraId="7E65AF91">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序号</w:t>
            </w:r>
          </w:p>
        </w:tc>
        <w:tc>
          <w:tcPr>
            <w:tcW w:w="3343" w:type="dxa"/>
            <w:vAlign w:val="center"/>
          </w:tcPr>
          <w:p w14:paraId="0556B244">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工程结算金额</w:t>
            </w:r>
          </w:p>
        </w:tc>
        <w:tc>
          <w:tcPr>
            <w:tcW w:w="2454" w:type="dxa"/>
            <w:vAlign w:val="center"/>
          </w:tcPr>
          <w:p w14:paraId="6CDECD8D">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费率最高限价（%）</w:t>
            </w:r>
          </w:p>
        </w:tc>
        <w:tc>
          <w:tcPr>
            <w:tcW w:w="2673" w:type="dxa"/>
          </w:tcPr>
          <w:p w14:paraId="17C27E11">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备注</w:t>
            </w:r>
          </w:p>
        </w:tc>
      </w:tr>
      <w:tr w14:paraId="665F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vAlign w:val="center"/>
          </w:tcPr>
          <w:p w14:paraId="608406F4">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w:t>
            </w:r>
          </w:p>
        </w:tc>
        <w:tc>
          <w:tcPr>
            <w:tcW w:w="3343" w:type="dxa"/>
            <w:vAlign w:val="center"/>
          </w:tcPr>
          <w:p w14:paraId="76DA21D2">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50万以下</w:t>
            </w:r>
          </w:p>
        </w:tc>
        <w:tc>
          <w:tcPr>
            <w:tcW w:w="2454" w:type="dxa"/>
            <w:vAlign w:val="center"/>
          </w:tcPr>
          <w:p w14:paraId="6FCAA33D">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w:t>
            </w:r>
          </w:p>
        </w:tc>
        <w:tc>
          <w:tcPr>
            <w:tcW w:w="2673" w:type="dxa"/>
            <w:vMerge w:val="restart"/>
          </w:tcPr>
          <w:p w14:paraId="3C795653">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投标供应商按此档间报价，且不得超过最高限价，否则按无效标处理</w:t>
            </w:r>
          </w:p>
        </w:tc>
      </w:tr>
      <w:tr w14:paraId="0031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vAlign w:val="center"/>
          </w:tcPr>
          <w:p w14:paraId="16575A7E">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w:t>
            </w:r>
          </w:p>
        </w:tc>
        <w:tc>
          <w:tcPr>
            <w:tcW w:w="3343" w:type="dxa"/>
            <w:vAlign w:val="center"/>
          </w:tcPr>
          <w:p w14:paraId="4BF47E2E">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50万-200万以下</w:t>
            </w:r>
          </w:p>
        </w:tc>
        <w:tc>
          <w:tcPr>
            <w:tcW w:w="2454" w:type="dxa"/>
            <w:vAlign w:val="center"/>
          </w:tcPr>
          <w:p w14:paraId="5A7131A6">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2.5%</w:t>
            </w:r>
          </w:p>
        </w:tc>
        <w:tc>
          <w:tcPr>
            <w:tcW w:w="2673" w:type="dxa"/>
            <w:vMerge w:val="continue"/>
          </w:tcPr>
          <w:p w14:paraId="3628025D">
            <w:pPr>
              <w:spacing w:line="360" w:lineRule="auto"/>
              <w:rPr>
                <w:rFonts w:ascii="楷体" w:hAnsi="楷体" w:eastAsia="楷体" w:cs="楷体"/>
                <w:color w:val="000000" w:themeColor="text1"/>
                <w:sz w:val="24"/>
                <w14:textFill>
                  <w14:solidFill>
                    <w14:schemeClr w14:val="tx1"/>
                  </w14:solidFill>
                </w14:textFill>
              </w:rPr>
            </w:pPr>
          </w:p>
        </w:tc>
      </w:tr>
      <w:tr w14:paraId="7ED7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vAlign w:val="center"/>
          </w:tcPr>
          <w:p w14:paraId="0AE5C970">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w:t>
            </w:r>
          </w:p>
        </w:tc>
        <w:tc>
          <w:tcPr>
            <w:tcW w:w="3343" w:type="dxa"/>
            <w:vAlign w:val="center"/>
          </w:tcPr>
          <w:p w14:paraId="7D8263BC">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200万以上</w:t>
            </w:r>
          </w:p>
        </w:tc>
        <w:tc>
          <w:tcPr>
            <w:tcW w:w="2454" w:type="dxa"/>
            <w:vAlign w:val="center"/>
          </w:tcPr>
          <w:p w14:paraId="615A2DF8">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w:t>
            </w:r>
          </w:p>
        </w:tc>
        <w:tc>
          <w:tcPr>
            <w:tcW w:w="2673" w:type="dxa"/>
            <w:vMerge w:val="continue"/>
          </w:tcPr>
          <w:p w14:paraId="743ECF3E">
            <w:pPr>
              <w:spacing w:line="360" w:lineRule="auto"/>
              <w:rPr>
                <w:rFonts w:ascii="楷体" w:hAnsi="楷体" w:eastAsia="楷体" w:cs="楷体"/>
                <w:color w:val="000000" w:themeColor="text1"/>
                <w:sz w:val="24"/>
                <w14:textFill>
                  <w14:solidFill>
                    <w14:schemeClr w14:val="tx1"/>
                  </w14:solidFill>
                </w14:textFill>
              </w:rPr>
            </w:pPr>
          </w:p>
        </w:tc>
      </w:tr>
    </w:tbl>
    <w:p w14:paraId="3DE7EB3F">
      <w:pPr>
        <w:spacing w:line="360" w:lineRule="auto"/>
        <w:ind w:firstLine="463" w:firstLineChars="193"/>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u w:val="single"/>
          <w14:textFill>
            <w14:solidFill>
              <w14:schemeClr w14:val="tx1"/>
            </w14:solidFill>
          </w14:textFill>
        </w:rPr>
        <w:t>标项</w:t>
      </w:r>
      <w:r>
        <w:rPr>
          <w:rFonts w:ascii="楷体" w:hAnsi="楷体" w:eastAsia="楷体" w:cs="楷体"/>
          <w:color w:val="000000" w:themeColor="text1"/>
          <w:sz w:val="24"/>
          <w:u w:val="single"/>
          <w14:textFill>
            <w14:solidFill>
              <w14:schemeClr w14:val="tx1"/>
            </w14:solidFill>
          </w14:textFill>
        </w:rPr>
        <w:t>2</w:t>
      </w:r>
      <w:r>
        <w:rPr>
          <w:rFonts w:hint="eastAsia" w:ascii="楷体" w:hAnsi="楷体" w:eastAsia="楷体" w:cs="楷体"/>
          <w:color w:val="000000" w:themeColor="text1"/>
          <w:sz w:val="24"/>
          <w:u w:val="single"/>
          <w14:textFill>
            <w14:solidFill>
              <w14:schemeClr w14:val="tx1"/>
            </w14:solidFill>
          </w14:textFill>
        </w:rPr>
        <w:t>：市政园林</w:t>
      </w:r>
      <w:r>
        <w:rPr>
          <w:rFonts w:ascii="楷体" w:hAnsi="楷体" w:eastAsia="楷体" w:cs="楷体"/>
          <w:color w:val="000000" w:themeColor="text1"/>
          <w:sz w:val="24"/>
          <w:u w:val="single"/>
          <w14:textFill>
            <w14:solidFill>
              <w14:schemeClr w14:val="tx1"/>
            </w14:solidFill>
          </w14:textFill>
        </w:rPr>
        <w:t>（</w:t>
      </w:r>
      <w:r>
        <w:rPr>
          <w:rFonts w:hint="eastAsia" w:ascii="楷体" w:hAnsi="楷体" w:eastAsia="楷体" w:cs="楷体"/>
          <w:color w:val="000000" w:themeColor="text1"/>
          <w:sz w:val="24"/>
          <w:u w:val="single"/>
          <w14:textFill>
            <w14:solidFill>
              <w14:schemeClr w14:val="tx1"/>
            </w14:solidFill>
          </w14:textFill>
        </w:rPr>
        <w:t>市政公用</w:t>
      </w:r>
      <w:r>
        <w:rPr>
          <w:rFonts w:ascii="楷体" w:hAnsi="楷体" w:eastAsia="楷体" w:cs="楷体"/>
          <w:color w:val="000000" w:themeColor="text1"/>
          <w:sz w:val="24"/>
          <w:u w:val="single"/>
          <w14:textFill>
            <w14:solidFill>
              <w14:schemeClr w14:val="tx1"/>
            </w14:solidFill>
          </w14:textFill>
        </w:rPr>
        <w:t>工程）</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369"/>
        <w:gridCol w:w="2440"/>
        <w:gridCol w:w="2673"/>
      </w:tblGrid>
      <w:tr w14:paraId="36E0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6" w:type="dxa"/>
            <w:vAlign w:val="center"/>
          </w:tcPr>
          <w:p w14:paraId="34233200">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序号</w:t>
            </w:r>
          </w:p>
        </w:tc>
        <w:tc>
          <w:tcPr>
            <w:tcW w:w="3369" w:type="dxa"/>
            <w:vAlign w:val="center"/>
          </w:tcPr>
          <w:p w14:paraId="5E65934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工程结算金额</w:t>
            </w:r>
          </w:p>
        </w:tc>
        <w:tc>
          <w:tcPr>
            <w:tcW w:w="2440" w:type="dxa"/>
            <w:vAlign w:val="center"/>
          </w:tcPr>
          <w:p w14:paraId="7FF077FB">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费率最高限价（%）</w:t>
            </w:r>
          </w:p>
        </w:tc>
        <w:tc>
          <w:tcPr>
            <w:tcW w:w="2673" w:type="dxa"/>
          </w:tcPr>
          <w:p w14:paraId="6173798F">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备注</w:t>
            </w:r>
          </w:p>
        </w:tc>
      </w:tr>
      <w:tr w14:paraId="726F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6" w:type="dxa"/>
          </w:tcPr>
          <w:p w14:paraId="42BE0C07">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w:t>
            </w:r>
          </w:p>
        </w:tc>
        <w:tc>
          <w:tcPr>
            <w:tcW w:w="3369" w:type="dxa"/>
          </w:tcPr>
          <w:p w14:paraId="0D3B56A1">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50万以下</w:t>
            </w:r>
          </w:p>
        </w:tc>
        <w:tc>
          <w:tcPr>
            <w:tcW w:w="2440" w:type="dxa"/>
          </w:tcPr>
          <w:p w14:paraId="02909922">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w:t>
            </w:r>
          </w:p>
        </w:tc>
        <w:tc>
          <w:tcPr>
            <w:tcW w:w="2673" w:type="dxa"/>
            <w:vMerge w:val="restart"/>
          </w:tcPr>
          <w:p w14:paraId="01D66F33">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投标供应商按此档间报价，且不得超过最高限价，否则按无效标处理</w:t>
            </w:r>
          </w:p>
        </w:tc>
      </w:tr>
      <w:tr w14:paraId="2304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6" w:type="dxa"/>
          </w:tcPr>
          <w:p w14:paraId="445DABC2">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w:t>
            </w:r>
          </w:p>
        </w:tc>
        <w:tc>
          <w:tcPr>
            <w:tcW w:w="3369" w:type="dxa"/>
          </w:tcPr>
          <w:p w14:paraId="3A037DC1">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50万-200万以下</w:t>
            </w:r>
          </w:p>
        </w:tc>
        <w:tc>
          <w:tcPr>
            <w:tcW w:w="2440" w:type="dxa"/>
          </w:tcPr>
          <w:p w14:paraId="36FEDC3C">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2.5%</w:t>
            </w:r>
          </w:p>
        </w:tc>
        <w:tc>
          <w:tcPr>
            <w:tcW w:w="2673" w:type="dxa"/>
            <w:vMerge w:val="continue"/>
          </w:tcPr>
          <w:p w14:paraId="6F725202">
            <w:pPr>
              <w:spacing w:line="360" w:lineRule="auto"/>
              <w:rPr>
                <w:rFonts w:ascii="楷体" w:hAnsi="楷体" w:eastAsia="楷体" w:cs="楷体"/>
                <w:color w:val="000000" w:themeColor="text1"/>
                <w:sz w:val="24"/>
                <w14:textFill>
                  <w14:solidFill>
                    <w14:schemeClr w14:val="tx1"/>
                  </w14:solidFill>
                </w14:textFill>
              </w:rPr>
            </w:pPr>
          </w:p>
        </w:tc>
      </w:tr>
      <w:tr w14:paraId="2987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6" w:type="dxa"/>
          </w:tcPr>
          <w:p w14:paraId="231DAE1D">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w:t>
            </w:r>
          </w:p>
        </w:tc>
        <w:tc>
          <w:tcPr>
            <w:tcW w:w="3369" w:type="dxa"/>
          </w:tcPr>
          <w:p w14:paraId="29D3AFEB">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200万以上</w:t>
            </w:r>
          </w:p>
        </w:tc>
        <w:tc>
          <w:tcPr>
            <w:tcW w:w="2440" w:type="dxa"/>
          </w:tcPr>
          <w:p w14:paraId="4B754877">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w:t>
            </w:r>
          </w:p>
        </w:tc>
        <w:tc>
          <w:tcPr>
            <w:tcW w:w="2673" w:type="dxa"/>
            <w:vMerge w:val="continue"/>
          </w:tcPr>
          <w:p w14:paraId="7FD80934">
            <w:pPr>
              <w:spacing w:line="360" w:lineRule="auto"/>
              <w:rPr>
                <w:rFonts w:ascii="楷体" w:hAnsi="楷体" w:eastAsia="楷体" w:cs="楷体"/>
                <w:color w:val="000000" w:themeColor="text1"/>
                <w:sz w:val="24"/>
                <w14:textFill>
                  <w14:solidFill>
                    <w14:schemeClr w14:val="tx1"/>
                  </w14:solidFill>
                </w14:textFill>
              </w:rPr>
            </w:pPr>
          </w:p>
        </w:tc>
      </w:tr>
    </w:tbl>
    <w:p w14:paraId="5E15B396">
      <w:pPr>
        <w:spacing w:line="360" w:lineRule="auto"/>
        <w:ind w:firstLine="463" w:firstLineChars="193"/>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u w:val="single"/>
          <w14:textFill>
            <w14:solidFill>
              <w14:schemeClr w14:val="tx1"/>
            </w14:solidFill>
          </w14:textFill>
        </w:rPr>
        <w:t>标项</w:t>
      </w:r>
      <w:r>
        <w:rPr>
          <w:rFonts w:ascii="楷体" w:hAnsi="楷体" w:eastAsia="楷体" w:cs="楷体"/>
          <w:color w:val="000000" w:themeColor="text1"/>
          <w:sz w:val="24"/>
          <w:u w:val="single"/>
          <w14:textFill>
            <w14:solidFill>
              <w14:schemeClr w14:val="tx1"/>
            </w14:solidFill>
          </w14:textFill>
        </w:rPr>
        <w:t>3</w:t>
      </w:r>
      <w:r>
        <w:rPr>
          <w:rFonts w:hint="eastAsia" w:ascii="楷体" w:hAnsi="楷体" w:eastAsia="楷体" w:cs="楷体"/>
          <w:color w:val="000000" w:themeColor="text1"/>
          <w:sz w:val="24"/>
          <w:u w:val="single"/>
          <w14:textFill>
            <w14:solidFill>
              <w14:schemeClr w14:val="tx1"/>
            </w14:solidFill>
          </w14:textFill>
        </w:rPr>
        <w:t>：交通（公路工程）</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3357"/>
        <w:gridCol w:w="2440"/>
        <w:gridCol w:w="2673"/>
      </w:tblGrid>
      <w:tr w14:paraId="40B9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vAlign w:val="center"/>
          </w:tcPr>
          <w:p w14:paraId="15CB9D4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序号</w:t>
            </w:r>
          </w:p>
        </w:tc>
        <w:tc>
          <w:tcPr>
            <w:tcW w:w="3357" w:type="dxa"/>
            <w:vAlign w:val="center"/>
          </w:tcPr>
          <w:p w14:paraId="497A7621">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工程结算金额</w:t>
            </w:r>
          </w:p>
        </w:tc>
        <w:tc>
          <w:tcPr>
            <w:tcW w:w="2440" w:type="dxa"/>
            <w:vAlign w:val="center"/>
          </w:tcPr>
          <w:p w14:paraId="17B431C8">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费率最高限价（%）</w:t>
            </w:r>
          </w:p>
        </w:tc>
        <w:tc>
          <w:tcPr>
            <w:tcW w:w="2673" w:type="dxa"/>
            <w:vAlign w:val="center"/>
          </w:tcPr>
          <w:p w14:paraId="2A21A965">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备注</w:t>
            </w:r>
          </w:p>
        </w:tc>
      </w:tr>
      <w:tr w14:paraId="4150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vAlign w:val="center"/>
          </w:tcPr>
          <w:p w14:paraId="116E3AB7">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w:t>
            </w:r>
          </w:p>
        </w:tc>
        <w:tc>
          <w:tcPr>
            <w:tcW w:w="3357" w:type="dxa"/>
            <w:vAlign w:val="bottom"/>
          </w:tcPr>
          <w:p w14:paraId="5CB19FE5">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50万以下</w:t>
            </w:r>
          </w:p>
        </w:tc>
        <w:tc>
          <w:tcPr>
            <w:tcW w:w="2440" w:type="dxa"/>
            <w:vAlign w:val="center"/>
          </w:tcPr>
          <w:p w14:paraId="6443A549">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w:t>
            </w:r>
          </w:p>
        </w:tc>
        <w:tc>
          <w:tcPr>
            <w:tcW w:w="2673" w:type="dxa"/>
            <w:vMerge w:val="restart"/>
            <w:vAlign w:val="center"/>
          </w:tcPr>
          <w:p w14:paraId="4D2FC8E4">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投标供应商按此档间报价，且不得超过最高限价，否则按无效标处理</w:t>
            </w:r>
          </w:p>
        </w:tc>
      </w:tr>
      <w:tr w14:paraId="75B7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tcPr>
          <w:p w14:paraId="133B5670">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w:t>
            </w:r>
          </w:p>
        </w:tc>
        <w:tc>
          <w:tcPr>
            <w:tcW w:w="3357" w:type="dxa"/>
            <w:vAlign w:val="bottom"/>
          </w:tcPr>
          <w:p w14:paraId="5C7ACCB9">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50万-200万以下</w:t>
            </w:r>
          </w:p>
        </w:tc>
        <w:tc>
          <w:tcPr>
            <w:tcW w:w="2440" w:type="dxa"/>
          </w:tcPr>
          <w:p w14:paraId="7B2B78A0">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2.5%</w:t>
            </w:r>
          </w:p>
        </w:tc>
        <w:tc>
          <w:tcPr>
            <w:tcW w:w="2673" w:type="dxa"/>
            <w:vMerge w:val="continue"/>
          </w:tcPr>
          <w:p w14:paraId="4D334529">
            <w:pPr>
              <w:spacing w:line="360" w:lineRule="auto"/>
              <w:rPr>
                <w:rFonts w:ascii="楷体" w:hAnsi="楷体" w:eastAsia="楷体" w:cs="楷体"/>
                <w:color w:val="000000" w:themeColor="text1"/>
                <w:sz w:val="24"/>
                <w14:textFill>
                  <w14:solidFill>
                    <w14:schemeClr w14:val="tx1"/>
                  </w14:solidFill>
                </w14:textFill>
              </w:rPr>
            </w:pPr>
          </w:p>
        </w:tc>
      </w:tr>
      <w:tr w14:paraId="59C2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tcPr>
          <w:p w14:paraId="7B94C546">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w:t>
            </w:r>
          </w:p>
        </w:tc>
        <w:tc>
          <w:tcPr>
            <w:tcW w:w="3357" w:type="dxa"/>
            <w:vAlign w:val="bottom"/>
          </w:tcPr>
          <w:p w14:paraId="078048D9">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200万以上</w:t>
            </w:r>
          </w:p>
        </w:tc>
        <w:tc>
          <w:tcPr>
            <w:tcW w:w="2440" w:type="dxa"/>
          </w:tcPr>
          <w:p w14:paraId="45D0E2C6">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w:t>
            </w:r>
          </w:p>
        </w:tc>
        <w:tc>
          <w:tcPr>
            <w:tcW w:w="2673" w:type="dxa"/>
            <w:vMerge w:val="continue"/>
          </w:tcPr>
          <w:p w14:paraId="2DD65A25">
            <w:pPr>
              <w:spacing w:line="360" w:lineRule="auto"/>
              <w:rPr>
                <w:rFonts w:ascii="楷体" w:hAnsi="楷体" w:eastAsia="楷体" w:cs="楷体"/>
                <w:color w:val="000000" w:themeColor="text1"/>
                <w:sz w:val="24"/>
                <w14:textFill>
                  <w14:solidFill>
                    <w14:schemeClr w14:val="tx1"/>
                  </w14:solidFill>
                </w14:textFill>
              </w:rPr>
            </w:pPr>
          </w:p>
        </w:tc>
      </w:tr>
    </w:tbl>
    <w:p w14:paraId="398F1BA3">
      <w:pPr>
        <w:spacing w:line="360" w:lineRule="auto"/>
        <w:ind w:firstLine="463" w:firstLineChars="193"/>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u w:val="single"/>
          <w14:textFill>
            <w14:solidFill>
              <w14:schemeClr w14:val="tx1"/>
            </w14:solidFill>
          </w14:textFill>
        </w:rPr>
        <w:t>2、合同期内中标单位所属人员、如发生各种意外事故全部责任由中标单位承担，依照法律法规妥善处理。</w:t>
      </w:r>
    </w:p>
    <w:p w14:paraId="5404DAFC">
      <w:pPr>
        <w:spacing w:line="360" w:lineRule="auto"/>
        <w:ind w:firstLine="463" w:firstLineChars="193"/>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u w:val="single"/>
          <w14:textFill>
            <w14:solidFill>
              <w14:schemeClr w14:val="tx1"/>
            </w14:solidFill>
          </w14:textFill>
        </w:rPr>
        <w:t>3、投标前，各投标单位应自行勘察现场，以获取制定各种方案所需的现场勘查资料。</w:t>
      </w:r>
    </w:p>
    <w:p w14:paraId="5B9CF058">
      <w:pPr>
        <w:spacing w:line="360" w:lineRule="auto"/>
        <w:ind w:firstLine="463" w:firstLineChars="193"/>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u w:val="single"/>
          <w14:textFill>
            <w14:solidFill>
              <w14:schemeClr w14:val="tx1"/>
            </w14:solidFill>
          </w14:textFill>
        </w:rPr>
        <w:t>4、本项目不得分包、转包，未经招标人允许也不得更换人员，否则，招标人有权取消合同并罚没全部履约保证金；如果出现上述情况但合同还未签订或履约保证金尚未缴纳的，将被取消中标资格，同时投标保证金将被没收。</w:t>
      </w:r>
    </w:p>
    <w:p w14:paraId="180596AC">
      <w:pPr>
        <w:spacing w:line="360" w:lineRule="auto"/>
        <w:ind w:firstLine="463" w:firstLineChars="193"/>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u w:val="single"/>
          <w14:textFill>
            <w14:solidFill>
              <w14:schemeClr w14:val="tx1"/>
            </w14:solidFill>
          </w14:textFill>
        </w:rPr>
        <w:t>5、合同执行期间，中标单位如对招标人发出的整改要求拒不执行的，招标人有权取消合同罚没全部履约保证金，并自行选择承包单位，直至剩余合同期满后再重新组织招标。</w:t>
      </w:r>
    </w:p>
    <w:p w14:paraId="1AD4881E">
      <w:pPr>
        <w:spacing w:line="360" w:lineRule="auto"/>
        <w:ind w:firstLine="463" w:firstLineChars="193"/>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u w:val="single"/>
          <w14:textFill>
            <w14:solidFill>
              <w14:schemeClr w14:val="tx1"/>
            </w14:solidFill>
          </w14:textFill>
        </w:rPr>
        <w:t>6、合同执行期间，遇有国家政策性最低工资调整或养老保险或人身意外险调整，投标人必须及时做出相应调整。该风险由投标人自行考虑，包含在投标总价内，招标人不再单独追加。</w:t>
      </w:r>
    </w:p>
    <w:p w14:paraId="623AB1E6">
      <w:pPr>
        <w:spacing w:line="360" w:lineRule="auto"/>
        <w:ind w:firstLine="463" w:firstLineChars="193"/>
        <w:rPr>
          <w:rFonts w:ascii="楷体" w:hAnsi="楷体" w:eastAsia="楷体" w:cs="楷体"/>
          <w:color w:val="000000" w:themeColor="text1"/>
          <w:sz w:val="24"/>
          <w:u w:val="single"/>
          <w14:textFill>
            <w14:solidFill>
              <w14:schemeClr w14:val="tx1"/>
            </w14:solidFill>
          </w14:textFill>
        </w:rPr>
      </w:pPr>
      <w:bookmarkStart w:id="248" w:name="OLE_LINK45"/>
      <w:bookmarkStart w:id="249" w:name="OLE_LINK44"/>
      <w:r>
        <w:rPr>
          <w:rFonts w:hint="eastAsia" w:ascii="楷体" w:hAnsi="楷体" w:eastAsia="楷体" w:cs="楷体"/>
          <w:color w:val="000000" w:themeColor="text1"/>
          <w:sz w:val="24"/>
          <w:u w:val="single"/>
          <w14:textFill>
            <w14:solidFill>
              <w14:schemeClr w14:val="tx1"/>
            </w14:solidFill>
          </w14:textFill>
        </w:rPr>
        <w:t>▲7</w:t>
      </w:r>
      <w:bookmarkEnd w:id="248"/>
      <w:bookmarkEnd w:id="249"/>
      <w:r>
        <w:rPr>
          <w:rFonts w:hint="eastAsia" w:ascii="楷体" w:hAnsi="楷体" w:eastAsia="楷体" w:cs="楷体"/>
          <w:color w:val="000000" w:themeColor="text1"/>
          <w:sz w:val="24"/>
          <w:u w:val="single"/>
          <w14:textFill>
            <w14:solidFill>
              <w14:schemeClr w14:val="tx1"/>
            </w14:solidFill>
          </w14:textFill>
        </w:rPr>
        <w:t>、在采购合同履行过程中，若中标供应商年度内累计有三个（含三个）以上项目的履约记录显示，其因自身责任问题（如未能按时按质提供服务、未能履行合同约定的核心义务等）导致项目执行出现重大偏差或未达到合同要求，采购人将有权根据合同条款及法律规定，单方面宣布解除双方签订的采购合同。同时，采购人有权全额没收中标供应商已提交的履约保证金作为违约金，且不再支付该供应商在相关项目中的任何未结服务费用，中标供应商亦无权就此提出任何经济或履约补偿要求。</w:t>
      </w:r>
    </w:p>
    <w:p w14:paraId="1E173CB8">
      <w:pPr>
        <w:spacing w:line="360" w:lineRule="auto"/>
        <w:ind w:firstLine="463" w:firstLineChars="193"/>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sz w:val="24"/>
          <w:u w:val="single"/>
          <w14:textFill>
            <w14:solidFill>
              <w14:schemeClr w14:val="tx1"/>
            </w14:solidFill>
          </w14:textFill>
        </w:rPr>
        <w:t>▲</w:t>
      </w:r>
      <w:r>
        <w:rPr>
          <w:rFonts w:ascii="楷体" w:hAnsi="楷体" w:eastAsia="楷体" w:cs="楷体"/>
          <w:color w:val="000000" w:themeColor="text1"/>
          <w:sz w:val="24"/>
          <w:u w:val="single"/>
          <w14:textFill>
            <w14:solidFill>
              <w14:schemeClr w14:val="tx1"/>
            </w14:solidFill>
          </w14:textFill>
        </w:rPr>
        <w:t>8</w:t>
      </w:r>
      <w:r>
        <w:rPr>
          <w:rFonts w:hint="eastAsia" w:ascii="楷体" w:hAnsi="楷体" w:eastAsia="楷体" w:cs="楷体"/>
          <w:color w:val="000000" w:themeColor="text1"/>
          <w:sz w:val="24"/>
          <w:u w:val="single"/>
          <w14:textFill>
            <w14:solidFill>
              <w14:schemeClr w14:val="tx1"/>
            </w14:solidFill>
          </w14:textFill>
        </w:rPr>
        <w:t>、若分部分项</w:t>
      </w:r>
      <w:r>
        <w:rPr>
          <w:rFonts w:ascii="楷体" w:hAnsi="楷体" w:eastAsia="楷体" w:cs="楷体"/>
          <w:color w:val="000000" w:themeColor="text1"/>
          <w:sz w:val="24"/>
          <w:u w:val="single"/>
          <w14:textFill>
            <w14:solidFill>
              <w14:schemeClr w14:val="tx1"/>
            </w14:solidFill>
          </w14:textFill>
        </w:rPr>
        <w:t>工程</w:t>
      </w:r>
      <w:r>
        <w:rPr>
          <w:rFonts w:hint="eastAsia" w:ascii="楷体" w:hAnsi="楷体" w:eastAsia="楷体" w:cs="楷体"/>
          <w:color w:val="000000" w:themeColor="text1"/>
          <w:sz w:val="24"/>
          <w:u w:val="single"/>
          <w14:textFill>
            <w14:solidFill>
              <w14:schemeClr w14:val="tx1"/>
            </w14:solidFill>
          </w14:textFill>
        </w:rPr>
        <w:t>经相关建设职能部门</w:t>
      </w:r>
      <w:r>
        <w:rPr>
          <w:rFonts w:ascii="楷体" w:hAnsi="楷体" w:eastAsia="楷体" w:cs="楷体"/>
          <w:color w:val="000000" w:themeColor="text1"/>
          <w:sz w:val="24"/>
          <w:u w:val="single"/>
          <w14:textFill>
            <w14:solidFill>
              <w14:schemeClr w14:val="tx1"/>
            </w14:solidFill>
          </w14:textFill>
        </w:rPr>
        <w:t>或</w:t>
      </w:r>
      <w:r>
        <w:rPr>
          <w:rFonts w:hint="eastAsia" w:ascii="楷体" w:hAnsi="楷体" w:eastAsia="楷体" w:cs="楷体"/>
          <w:color w:val="000000" w:themeColor="text1"/>
          <w:sz w:val="24"/>
          <w:u w:val="single"/>
          <w14:textFill>
            <w14:solidFill>
              <w14:schemeClr w14:val="tx1"/>
            </w14:solidFill>
          </w14:textFill>
        </w:rPr>
        <w:t>具备相关</w:t>
      </w:r>
      <w:r>
        <w:rPr>
          <w:rFonts w:ascii="楷体" w:hAnsi="楷体" w:eastAsia="楷体" w:cs="楷体"/>
          <w:color w:val="000000" w:themeColor="text1"/>
          <w:sz w:val="24"/>
          <w:u w:val="single"/>
          <w14:textFill>
            <w14:solidFill>
              <w14:schemeClr w14:val="tx1"/>
            </w14:solidFill>
          </w14:textFill>
        </w:rPr>
        <w:t>资质</w:t>
      </w:r>
      <w:r>
        <w:rPr>
          <w:rFonts w:hint="eastAsia" w:ascii="楷体" w:hAnsi="楷体" w:eastAsia="楷体" w:cs="楷体"/>
          <w:color w:val="000000" w:themeColor="text1"/>
          <w:sz w:val="24"/>
          <w:u w:val="single"/>
          <w14:textFill>
            <w14:solidFill>
              <w14:schemeClr w14:val="tx1"/>
            </w14:solidFill>
          </w14:textFill>
        </w:rPr>
        <w:t>的</w:t>
      </w:r>
      <w:r>
        <w:rPr>
          <w:rFonts w:ascii="楷体" w:hAnsi="楷体" w:eastAsia="楷体" w:cs="楷体"/>
          <w:color w:val="000000" w:themeColor="text1"/>
          <w:sz w:val="24"/>
          <w:u w:val="single"/>
          <w14:textFill>
            <w14:solidFill>
              <w14:schemeClr w14:val="tx1"/>
            </w14:solidFill>
          </w14:textFill>
        </w:rPr>
        <w:t>检测单位</w:t>
      </w:r>
      <w:r>
        <w:rPr>
          <w:rFonts w:hint="eastAsia" w:ascii="楷体" w:hAnsi="楷体" w:eastAsia="楷体" w:cs="楷体"/>
          <w:color w:val="000000" w:themeColor="text1"/>
          <w:sz w:val="24"/>
          <w:u w:val="single"/>
          <w14:textFill>
            <w14:solidFill>
              <w14:schemeClr w14:val="tx1"/>
            </w14:solidFill>
          </w14:textFill>
        </w:rPr>
        <w:t>检测、验收不合格的，监理</w:t>
      </w:r>
      <w:r>
        <w:rPr>
          <w:rFonts w:ascii="楷体" w:hAnsi="楷体" w:eastAsia="楷体" w:cs="楷体"/>
          <w:color w:val="000000" w:themeColor="text1"/>
          <w:sz w:val="24"/>
          <w:u w:val="single"/>
          <w14:textFill>
            <w14:solidFill>
              <w14:schemeClr w14:val="tx1"/>
            </w14:solidFill>
          </w14:textFill>
        </w:rPr>
        <w:t>单位</w:t>
      </w:r>
      <w:r>
        <w:rPr>
          <w:rFonts w:hint="eastAsia" w:ascii="楷体" w:hAnsi="楷体" w:eastAsia="楷体" w:cs="楷体"/>
          <w:color w:val="000000" w:themeColor="text1"/>
          <w:sz w:val="24"/>
          <w:u w:val="single"/>
          <w14:textFill>
            <w14:solidFill>
              <w14:schemeClr w14:val="tx1"/>
            </w14:solidFill>
          </w14:textFill>
        </w:rPr>
        <w:t>必须支付所造成损失额</w:t>
      </w:r>
      <w:r>
        <w:rPr>
          <w:rFonts w:ascii="楷体" w:hAnsi="楷体" w:eastAsia="楷体" w:cs="楷体"/>
          <w:color w:val="000000" w:themeColor="text1"/>
          <w:sz w:val="24"/>
          <w:u w:val="single"/>
          <w14:textFill>
            <w14:solidFill>
              <w14:schemeClr w14:val="tx1"/>
            </w14:solidFill>
          </w14:textFill>
        </w:rPr>
        <w:t>的</w:t>
      </w:r>
      <w:r>
        <w:rPr>
          <w:rFonts w:hint="eastAsia" w:ascii="楷体" w:hAnsi="楷体" w:eastAsia="楷体" w:cs="楷体"/>
          <w:color w:val="000000" w:themeColor="text1"/>
          <w:sz w:val="24"/>
          <w:u w:val="single"/>
          <w14:textFill>
            <w14:solidFill>
              <w14:schemeClr w14:val="tx1"/>
            </w14:solidFill>
          </w14:textFill>
        </w:rPr>
        <w:t>1</w:t>
      </w:r>
      <w:r>
        <w:rPr>
          <w:rFonts w:ascii="楷体" w:hAnsi="楷体" w:eastAsia="楷体" w:cs="楷体"/>
          <w:color w:val="000000" w:themeColor="text1"/>
          <w:sz w:val="24"/>
          <w:u w:val="single"/>
          <w14:textFill>
            <w14:solidFill>
              <w14:schemeClr w14:val="tx1"/>
            </w14:solidFill>
          </w14:textFill>
        </w:rPr>
        <w:t>0%</w:t>
      </w:r>
      <w:r>
        <w:rPr>
          <w:rFonts w:hint="eastAsia" w:ascii="楷体" w:hAnsi="楷体" w:eastAsia="楷体" w:cs="楷体"/>
          <w:color w:val="000000" w:themeColor="text1"/>
          <w:sz w:val="24"/>
          <w:u w:val="single"/>
          <w14:textFill>
            <w14:solidFill>
              <w14:schemeClr w14:val="tx1"/>
            </w14:solidFill>
          </w14:textFill>
        </w:rPr>
        <w:t>赔偿金给采购人，并且该工程的监理费不予支付</w:t>
      </w:r>
      <w:r>
        <w:rPr>
          <w:rFonts w:ascii="楷体" w:hAnsi="楷体" w:eastAsia="楷体" w:cs="楷体"/>
          <w:color w:val="000000" w:themeColor="text1"/>
          <w:sz w:val="24"/>
          <w:u w:val="single"/>
          <w14:textFill>
            <w14:solidFill>
              <w14:schemeClr w14:val="tx1"/>
            </w14:solidFill>
          </w14:textFill>
        </w:rPr>
        <w:t>。</w:t>
      </w:r>
    </w:p>
    <w:p w14:paraId="2F26E155">
      <w:pPr>
        <w:pStyle w:val="3"/>
        <w:spacing w:after="120"/>
        <w:rPr>
          <w:rFonts w:ascii="楷体" w:hAnsi="楷体" w:cs="楷体"/>
          <w:color w:val="000000" w:themeColor="text1"/>
          <w:sz w:val="24"/>
          <w:szCs w:val="24"/>
          <w14:textFill>
            <w14:solidFill>
              <w14:schemeClr w14:val="tx1"/>
            </w14:solidFill>
          </w14:textFill>
        </w:rPr>
      </w:pPr>
      <w:bookmarkStart w:id="250" w:name="_Toc225867074"/>
      <w:bookmarkStart w:id="251" w:name="_Toc225868276"/>
      <w:r>
        <w:rPr>
          <w:rFonts w:hint="eastAsia" w:ascii="楷体" w:hAnsi="楷体" w:cs="楷体"/>
          <w:color w:val="000000" w:themeColor="text1"/>
          <w:sz w:val="24"/>
          <w:szCs w:val="24"/>
          <w14:textFill>
            <w14:solidFill>
              <w14:schemeClr w14:val="tx1"/>
            </w14:solidFill>
          </w14:textFill>
        </w:rPr>
        <w:t>四、商务要求</w:t>
      </w:r>
      <w:bookmarkEnd w:id="250"/>
      <w:bookmarkEnd w:id="251"/>
    </w:p>
    <w:p w14:paraId="63918CD0">
      <w:pPr>
        <w:spacing w:line="360" w:lineRule="auto"/>
        <w:ind w:firstLine="463" w:firstLineChars="193"/>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（▲本部分要求均为实质性要求，任何负偏离都将作无效标处理）</w:t>
      </w:r>
    </w:p>
    <w:p w14:paraId="59CDD12D">
      <w:pPr>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4.1合同款结算方式：</w:t>
      </w:r>
    </w:p>
    <w:p w14:paraId="6C4A1452">
      <w:pPr>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4.1.1本工程签约合同价</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14:textFill>
            <w14:solidFill>
              <w14:schemeClr w14:val="tx1"/>
            </w14:solidFill>
          </w14:textFill>
        </w:rPr>
        <w:t>中标监理费费率；</w:t>
      </w:r>
    </w:p>
    <w:p w14:paraId="69A8A44F">
      <w:pPr>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4.1.2监理费费率实行一次性包干，服务期限到项目开始</w:t>
      </w:r>
      <w:r>
        <w:rPr>
          <w:rFonts w:ascii="楷体" w:hAnsi="楷体" w:eastAsia="楷体" w:cs="楷体"/>
          <w:color w:val="000000" w:themeColor="text1"/>
          <w:sz w:val="24"/>
          <w14:textFill>
            <w14:solidFill>
              <w14:schemeClr w14:val="tx1"/>
            </w14:solidFill>
          </w14:textFill>
        </w:rPr>
        <w:t>至</w:t>
      </w:r>
      <w:r>
        <w:rPr>
          <w:rFonts w:hint="eastAsia" w:ascii="楷体" w:hAnsi="楷体" w:eastAsia="楷体" w:cs="楷体"/>
          <w:color w:val="000000" w:themeColor="text1"/>
          <w:sz w:val="24"/>
          <w14:textFill>
            <w14:solidFill>
              <w14:schemeClr w14:val="tx1"/>
            </w14:solidFill>
          </w14:textFill>
        </w:rPr>
        <w:t>全部完成为止。监理费以监理范围内工程结算工程总造价为计算基数，费率按相应的中标费率；如工程工程总造价发生变化，则根据费率相应调整监理费。监理费以监理范围内经财政部门或国家审计机关或其他相关部门等审定的工程结算建安总造价为计算基数，费率按相应的中标费率；如造价变化，则相应增减监理费。</w:t>
      </w:r>
    </w:p>
    <w:p w14:paraId="5059F098">
      <w:pPr>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监理费（结算）=经第三方审计单位审定的工程结算建安总造价×中标费率。（监理费按实际结算）</w:t>
      </w:r>
    </w:p>
    <w:p w14:paraId="509F387F">
      <w:pPr>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fldChar w:fldCharType="begin"/>
      </w:r>
      <w:r>
        <w:rPr>
          <w:rFonts w:hint="eastAsia" w:ascii="楷体" w:hAnsi="楷体" w:eastAsia="楷体" w:cs="楷体"/>
          <w:color w:val="000000" w:themeColor="text1"/>
          <w:sz w:val="24"/>
          <w14:textFill>
            <w14:solidFill>
              <w14:schemeClr w14:val="tx1"/>
            </w14:solidFill>
          </w14:textFill>
        </w:rPr>
        <w:instrText xml:space="preserve"> = 1 \* GB3 </w:instrText>
      </w:r>
      <w:r>
        <w:rPr>
          <w:rFonts w:hint="eastAsia" w:ascii="楷体" w:hAnsi="楷体" w:eastAsia="楷体" w:cs="楷体"/>
          <w:color w:val="000000" w:themeColor="text1"/>
          <w:sz w:val="24"/>
          <w14:textFill>
            <w14:solidFill>
              <w14:schemeClr w14:val="tx1"/>
            </w14:solidFill>
          </w14:textFill>
        </w:rPr>
        <w:fldChar w:fldCharType="separate"/>
      </w:r>
      <w:r>
        <w:rPr>
          <w:rFonts w:hint="eastAsia" w:ascii="楷体" w:hAnsi="楷体" w:eastAsia="楷体" w:cs="楷体"/>
          <w:color w:val="000000" w:themeColor="text1"/>
          <w:sz w:val="24"/>
          <w14:textFill>
            <w14:solidFill>
              <w14:schemeClr w14:val="tx1"/>
            </w14:solidFill>
          </w14:textFill>
        </w:rPr>
        <w:t>①</w:t>
      </w:r>
      <w:r>
        <w:rPr>
          <w:rFonts w:hint="eastAsia" w:ascii="楷体" w:hAnsi="楷体" w:eastAsia="楷体" w:cs="楷体"/>
          <w:color w:val="000000" w:themeColor="text1"/>
          <w:sz w:val="24"/>
          <w14:textFill>
            <w14:solidFill>
              <w14:schemeClr w14:val="tx1"/>
            </w14:solidFill>
          </w14:textFill>
        </w:rPr>
        <w:fldChar w:fldCharType="end"/>
      </w:r>
      <w:r>
        <w:rPr>
          <w:rFonts w:hint="eastAsia" w:ascii="楷体" w:hAnsi="楷体" w:eastAsia="楷体" w:cs="楷体"/>
          <w:color w:val="000000" w:themeColor="text1"/>
          <w:sz w:val="24"/>
          <w14:textFill>
            <w14:solidFill>
              <w14:schemeClr w14:val="tx1"/>
            </w14:solidFill>
          </w14:textFill>
        </w:rPr>
        <w:t>监理工作实施过程中的额外工作时间、附加工作时间、夜班施工、节假日休息时间加班等相关费用己包括在报价内，不再另外计取。</w:t>
      </w:r>
    </w:p>
    <w:p w14:paraId="79307439">
      <w:pPr>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fldChar w:fldCharType="begin"/>
      </w:r>
      <w:r>
        <w:rPr>
          <w:rFonts w:hint="eastAsia" w:ascii="楷体" w:hAnsi="楷体" w:eastAsia="楷体" w:cs="楷体"/>
          <w:color w:val="000000" w:themeColor="text1"/>
          <w:sz w:val="24"/>
          <w14:textFill>
            <w14:solidFill>
              <w14:schemeClr w14:val="tx1"/>
            </w14:solidFill>
          </w14:textFill>
        </w:rPr>
        <w:instrText xml:space="preserve"> = 2 \* GB3 </w:instrText>
      </w:r>
      <w:r>
        <w:rPr>
          <w:rFonts w:hint="eastAsia" w:ascii="楷体" w:hAnsi="楷体" w:eastAsia="楷体" w:cs="楷体"/>
          <w:color w:val="000000" w:themeColor="text1"/>
          <w:sz w:val="24"/>
          <w14:textFill>
            <w14:solidFill>
              <w14:schemeClr w14:val="tx1"/>
            </w14:solidFill>
          </w14:textFill>
        </w:rPr>
        <w:fldChar w:fldCharType="separate"/>
      </w:r>
      <w:r>
        <w:rPr>
          <w:rFonts w:hint="eastAsia" w:ascii="楷体" w:hAnsi="楷体" w:eastAsia="楷体" w:cs="楷体"/>
          <w:color w:val="000000" w:themeColor="text1"/>
          <w:sz w:val="24"/>
          <w14:textFill>
            <w14:solidFill>
              <w14:schemeClr w14:val="tx1"/>
            </w14:solidFill>
          </w14:textFill>
        </w:rPr>
        <w:t>②</w:t>
      </w:r>
      <w:r>
        <w:rPr>
          <w:rFonts w:hint="eastAsia" w:ascii="楷体" w:hAnsi="楷体" w:eastAsia="楷体" w:cs="楷体"/>
          <w:color w:val="000000" w:themeColor="text1"/>
          <w:sz w:val="24"/>
          <w14:textFill>
            <w14:solidFill>
              <w14:schemeClr w14:val="tx1"/>
            </w14:solidFill>
          </w14:textFill>
        </w:rPr>
        <w:fldChar w:fldCharType="end"/>
      </w:r>
      <w:r>
        <w:rPr>
          <w:rFonts w:hint="eastAsia" w:ascii="楷体" w:hAnsi="楷体" w:eastAsia="楷体" w:cs="楷体"/>
          <w:color w:val="000000" w:themeColor="text1"/>
          <w:sz w:val="24"/>
          <w14:textFill>
            <w14:solidFill>
              <w14:schemeClr w14:val="tx1"/>
            </w14:solidFill>
          </w14:textFill>
        </w:rPr>
        <w:t>本监理工程项目为工程施工全过程监理，工程项目可能因多种原因造成工程的暂停及延期（含政策处理、图纸修改、施工非正常停工等），监理单位无条件在重新开始施工之日继续监理，且不追加任何费用（风险自负，在报价时自行考虑）。</w:t>
      </w:r>
    </w:p>
    <w:p w14:paraId="3E3B4037">
      <w:pPr>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③如发生工期延误等一切因素监理费用不予增加。</w:t>
      </w:r>
    </w:p>
    <w:p w14:paraId="06B97CEB">
      <w:pPr>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④监理服务期包括前期阶段、施工阶段监理服务期、保修阶段监理服务期：从施工准备至全部工程完工并办理竣工验收、备案及工程结算，从工程竣工验收合格后至保修期满为止。</w:t>
      </w:r>
    </w:p>
    <w:p w14:paraId="329C9DA1">
      <w:pPr>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(3).本项目监理付费按进度分期付款。</w:t>
      </w:r>
    </w:p>
    <w:p w14:paraId="23FDA41D">
      <w:pPr>
        <w:snapToGrid w:val="0"/>
        <w:spacing w:line="360" w:lineRule="auto"/>
        <w:ind w:firstLine="482"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4.1.3按项目分别付款：</w:t>
      </w:r>
    </w:p>
    <w:p w14:paraId="0F0E06E6">
      <w:pPr>
        <w:snapToGrid w:val="0"/>
        <w:spacing w:line="360" w:lineRule="auto"/>
        <w:ind w:firstLine="482" w:firstLineChars="200"/>
        <w:jc w:val="left"/>
        <w:rPr>
          <w:rFonts w:ascii="楷体" w:hAnsi="楷体" w:eastAsia="楷体" w:cs="楷体"/>
          <w:b/>
          <w:color w:val="000000" w:themeColor="text1"/>
          <w:sz w:val="24"/>
          <w14:textFill>
            <w14:solidFill>
              <w14:schemeClr w14:val="tx1"/>
            </w14:solidFill>
          </w14:textFill>
        </w:rPr>
      </w:pPr>
      <w:bookmarkStart w:id="252" w:name="OLE_LINK33"/>
      <w:bookmarkStart w:id="253" w:name="OLE_LINK47"/>
      <w:r>
        <w:rPr>
          <w:rFonts w:hint="eastAsia" w:ascii="楷体" w:hAnsi="楷体" w:eastAsia="楷体" w:cs="楷体"/>
          <w:b/>
          <w:color w:val="000000" w:themeColor="text1"/>
          <w:sz w:val="24"/>
          <w14:textFill>
            <w14:solidFill>
              <w14:schemeClr w14:val="tx1"/>
            </w14:solidFill>
          </w14:textFill>
        </w:rPr>
        <w:t>（1）监理服务费</w:t>
      </w:r>
      <w:r>
        <w:rPr>
          <w:rFonts w:ascii="楷体" w:hAnsi="楷体" w:eastAsia="楷体" w:cs="楷体"/>
          <w:b/>
          <w:color w:val="000000" w:themeColor="text1"/>
          <w:sz w:val="24"/>
          <w14:textFill>
            <w14:solidFill>
              <w14:schemeClr w14:val="tx1"/>
            </w14:solidFill>
          </w14:textFill>
        </w:rPr>
        <w:t>按</w:t>
      </w:r>
      <w:r>
        <w:rPr>
          <w:rFonts w:hint="eastAsia" w:ascii="楷体" w:hAnsi="楷体" w:eastAsia="楷体" w:cs="楷体"/>
          <w:b/>
          <w:color w:val="000000" w:themeColor="text1"/>
          <w:sz w:val="24"/>
          <w14:textFill>
            <w14:solidFill>
              <w14:schemeClr w14:val="tx1"/>
            </w14:solidFill>
          </w14:textFill>
        </w:rPr>
        <w:t>年度结算或是金额达到预设值进行结算</w:t>
      </w:r>
      <w:r>
        <w:rPr>
          <w:rFonts w:ascii="楷体" w:hAnsi="楷体" w:eastAsia="楷体" w:cs="楷体"/>
          <w:b/>
          <w:color w:val="000000" w:themeColor="text1"/>
          <w:sz w:val="24"/>
          <w14:textFill>
            <w14:solidFill>
              <w14:schemeClr w14:val="tx1"/>
            </w14:solidFill>
          </w14:textFill>
        </w:rPr>
        <w:t>。</w:t>
      </w:r>
      <w:r>
        <w:rPr>
          <w:rFonts w:hint="eastAsia" w:ascii="楷体" w:hAnsi="楷体" w:eastAsia="楷体" w:cs="楷体"/>
          <w:b/>
          <w:color w:val="000000" w:themeColor="text1"/>
          <w:sz w:val="24"/>
          <w14:textFill>
            <w14:solidFill>
              <w14:schemeClr w14:val="tx1"/>
            </w14:solidFill>
          </w14:textFill>
        </w:rPr>
        <w:t>每期服务期满，乙方提交当期监理工作总结、结算申请及合规票据，甲方审核无误后办理当期款项支付。</w:t>
      </w:r>
    </w:p>
    <w:p w14:paraId="5EC3693C">
      <w:pPr>
        <w:snapToGrid w:val="0"/>
        <w:spacing w:line="360" w:lineRule="auto"/>
        <w:ind w:firstLine="482"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（2）工程竣工验收合格后支付至合同价款的</w:t>
      </w:r>
      <w:r>
        <w:rPr>
          <w:rFonts w:ascii="楷体" w:hAnsi="楷体" w:eastAsia="楷体" w:cs="楷体"/>
          <w:b/>
          <w:color w:val="000000" w:themeColor="text1"/>
          <w:sz w:val="24"/>
          <w14:textFill>
            <w14:solidFill>
              <w14:schemeClr w14:val="tx1"/>
            </w14:solidFill>
          </w14:textFill>
        </w:rPr>
        <w:t>70</w:t>
      </w:r>
      <w:r>
        <w:rPr>
          <w:rFonts w:hint="eastAsia" w:ascii="楷体" w:hAnsi="楷体" w:eastAsia="楷体" w:cs="楷体"/>
          <w:b/>
          <w:color w:val="000000" w:themeColor="text1"/>
          <w:sz w:val="24"/>
          <w14:textFill>
            <w14:solidFill>
              <w14:schemeClr w14:val="tx1"/>
            </w14:solidFill>
          </w14:textFill>
        </w:rPr>
        <w:t>%；待监理单位提交监理资料，经资料验收合格，办理竣工结算完成后支付至合同</w:t>
      </w:r>
      <w:r>
        <w:rPr>
          <w:rFonts w:ascii="楷体" w:hAnsi="楷体" w:eastAsia="楷体" w:cs="楷体"/>
          <w:b/>
          <w:color w:val="000000" w:themeColor="text1"/>
          <w:sz w:val="24"/>
          <w14:textFill>
            <w14:solidFill>
              <w14:schemeClr w14:val="tx1"/>
            </w14:solidFill>
          </w14:textFill>
        </w:rPr>
        <w:t>价款的</w:t>
      </w:r>
      <w:r>
        <w:rPr>
          <w:rFonts w:hint="eastAsia" w:ascii="楷体" w:hAnsi="楷体" w:eastAsia="楷体" w:cs="楷体"/>
          <w:b/>
          <w:color w:val="000000" w:themeColor="text1"/>
          <w:sz w:val="24"/>
          <w14:textFill>
            <w14:solidFill>
              <w14:schemeClr w14:val="tx1"/>
            </w14:solidFill>
          </w14:textFill>
        </w:rPr>
        <w:t>9</w:t>
      </w:r>
      <w:r>
        <w:rPr>
          <w:rFonts w:ascii="楷体" w:hAnsi="楷体" w:eastAsia="楷体" w:cs="楷体"/>
          <w:b/>
          <w:color w:val="000000" w:themeColor="text1"/>
          <w:sz w:val="24"/>
          <w14:textFill>
            <w14:solidFill>
              <w14:schemeClr w14:val="tx1"/>
            </w14:solidFill>
          </w14:textFill>
        </w:rPr>
        <w:t>5%</w:t>
      </w:r>
      <w:r>
        <w:rPr>
          <w:rFonts w:hint="eastAsia" w:ascii="楷体" w:hAnsi="楷体" w:eastAsia="楷体" w:cs="楷体"/>
          <w:b/>
          <w:color w:val="000000" w:themeColor="text1"/>
          <w:sz w:val="24"/>
          <w14:textFill>
            <w14:solidFill>
              <w14:schemeClr w14:val="tx1"/>
            </w14:solidFill>
          </w14:textFill>
        </w:rPr>
        <w:t>，待项目 2年质保期满后一次性付清余款。备注：结合考核情况支付。</w:t>
      </w:r>
    </w:p>
    <w:bookmarkEnd w:id="252"/>
    <w:bookmarkEnd w:id="253"/>
    <w:p w14:paraId="07360734">
      <w:pPr>
        <w:snapToGrid w:val="0"/>
        <w:spacing w:line="360" w:lineRule="auto"/>
        <w:ind w:firstLine="482"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4.1.4监理服务期：从签订合同之日开始至工程竣工验收合格及保修期满为止。</w:t>
      </w:r>
    </w:p>
    <w:p w14:paraId="19700E9D">
      <w:pPr>
        <w:snapToGrid w:val="0"/>
        <w:spacing w:line="360" w:lineRule="auto"/>
        <w:ind w:firstLine="482"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4.1.5工程监理服务期内，个别工程项目可能因多种原因造成工程的暂停，监理单位无条件在重新开始施工之日继续监理，且不追加任何费用（风险自负，在报价时自行考虑）</w:t>
      </w:r>
    </w:p>
    <w:p w14:paraId="5AB63BCB">
      <w:pPr>
        <w:spacing w:line="360" w:lineRule="auto"/>
        <w:ind w:firstLine="463" w:firstLineChars="193"/>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合同服务期限：自双方正式签署本合同之日起开始计算，服务期一年，或直至合同累计执行金额达到约定的预算总金额为止。服务期的终止以两者中先发生的条件为准。（备注：若在合同约定的服务期内相关工程项目未能完成竣工，则合同中规定的监理责任与服务义务将自动延续，直至该项目全部完工并最终验收通过后终止。）</w:t>
      </w:r>
    </w:p>
    <w:p w14:paraId="6C5C5C5B">
      <w:pPr>
        <w:jc w:val="center"/>
        <w:rPr>
          <w:b/>
          <w:color w:val="000000" w:themeColor="text1"/>
          <w:sz w:val="36"/>
          <w:szCs w:val="36"/>
          <w14:textFill>
            <w14:solidFill>
              <w14:schemeClr w14:val="tx1"/>
            </w14:solidFill>
          </w14:textFill>
        </w:rPr>
        <w:sectPr>
          <w:pgSz w:w="11910" w:h="16850"/>
          <w:pgMar w:top="1480" w:right="1057" w:bottom="1140" w:left="1200" w:header="567" w:footer="567" w:gutter="0"/>
          <w:pgNumType w:fmt="numberInDash"/>
          <w:cols w:space="720" w:num="1"/>
        </w:sectPr>
      </w:pPr>
    </w:p>
    <w:p w14:paraId="19126890">
      <w:pPr>
        <w:jc w:val="center"/>
        <w:rPr>
          <w:rFonts w:ascii="楷体" w:hAnsi="楷体" w:eastAsia="楷体"/>
          <w:b/>
          <w:color w:val="000000" w:themeColor="text1"/>
          <w:sz w:val="36"/>
          <w:szCs w:val="36"/>
          <w14:textFill>
            <w14:solidFill>
              <w14:schemeClr w14:val="tx1"/>
            </w14:solidFill>
          </w14:textFill>
        </w:rPr>
      </w:pPr>
      <w:r>
        <w:rPr>
          <w:rFonts w:hint="eastAsia" w:ascii="楷体" w:hAnsi="楷体" w:eastAsia="楷体"/>
          <w:b/>
          <w:color w:val="000000" w:themeColor="text1"/>
          <w:sz w:val="36"/>
          <w:szCs w:val="36"/>
          <w14:textFill>
            <w14:solidFill>
              <w14:schemeClr w14:val="tx1"/>
            </w14:solidFill>
          </w14:textFill>
        </w:rPr>
        <w:t>表1</w:t>
      </w:r>
      <w:r>
        <w:rPr>
          <w:rFonts w:ascii="楷体" w:hAnsi="楷体" w:eastAsia="楷体"/>
          <w:b/>
          <w:color w:val="000000" w:themeColor="text1"/>
          <w:sz w:val="36"/>
          <w:szCs w:val="36"/>
          <w14:textFill>
            <w14:solidFill>
              <w14:schemeClr w14:val="tx1"/>
            </w14:solidFill>
          </w14:textFill>
        </w:rPr>
        <w:t xml:space="preserve"> </w:t>
      </w:r>
      <w:r>
        <w:rPr>
          <w:rFonts w:hint="eastAsia" w:ascii="楷体" w:hAnsi="楷体" w:eastAsia="楷体"/>
          <w:b/>
          <w:color w:val="000000" w:themeColor="text1"/>
          <w:sz w:val="36"/>
          <w:szCs w:val="36"/>
          <w14:textFill>
            <w14:solidFill>
              <w14:schemeClr w14:val="tx1"/>
            </w14:solidFill>
          </w14:textFill>
        </w:rPr>
        <w:t>监理</w:t>
      </w:r>
      <w:r>
        <w:rPr>
          <w:rFonts w:ascii="楷体" w:hAnsi="楷体" w:eastAsia="楷体"/>
          <w:b/>
          <w:color w:val="000000" w:themeColor="text1"/>
          <w:sz w:val="36"/>
          <w:szCs w:val="36"/>
          <w14:textFill>
            <w14:solidFill>
              <w14:schemeClr w14:val="tx1"/>
            </w14:solidFill>
          </w14:textFill>
        </w:rPr>
        <w:t>单位项目</w:t>
      </w:r>
      <w:r>
        <w:rPr>
          <w:rFonts w:hint="eastAsia" w:ascii="楷体" w:hAnsi="楷体" w:eastAsia="楷体"/>
          <w:b/>
          <w:color w:val="000000" w:themeColor="text1"/>
          <w:sz w:val="36"/>
          <w:szCs w:val="36"/>
          <w14:textFill>
            <w14:solidFill>
              <w14:schemeClr w14:val="tx1"/>
            </w14:solidFill>
          </w14:textFill>
        </w:rPr>
        <w:t>评分表-项目管理部门</w:t>
      </w:r>
    </w:p>
    <w:tbl>
      <w:tblPr>
        <w:tblStyle w:val="47"/>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1973"/>
        <w:gridCol w:w="1979"/>
        <w:gridCol w:w="1973"/>
        <w:gridCol w:w="1981"/>
      </w:tblGrid>
      <w:tr w14:paraId="0870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879" w:type="dxa"/>
            <w:gridSpan w:val="5"/>
            <w:vAlign w:val="center"/>
          </w:tcPr>
          <w:p w14:paraId="0A18AD59">
            <w:pPr>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 xml:space="preserve">工程名称： </w:t>
            </w:r>
            <w:r>
              <w:rPr>
                <w:rFonts w:ascii="楷体" w:hAnsi="楷体" w:eastAsia="楷体"/>
                <w:color w:val="000000" w:themeColor="text1"/>
                <w:sz w:val="24"/>
                <w14:textFill>
                  <w14:solidFill>
                    <w14:schemeClr w14:val="tx1"/>
                  </w14:solidFill>
                </w14:textFill>
              </w:rPr>
              <w:t xml:space="preserve">                                     </w:t>
            </w:r>
            <w:r>
              <w:rPr>
                <w:rFonts w:hint="eastAsia" w:ascii="楷体" w:hAnsi="楷体" w:eastAsia="楷体"/>
                <w:color w:val="000000" w:themeColor="text1"/>
                <w:sz w:val="24"/>
                <w14:textFill>
                  <w14:solidFill>
                    <w14:schemeClr w14:val="tx1"/>
                  </w14:solidFill>
                </w14:textFill>
              </w:rPr>
              <w:t>管理部门：</w:t>
            </w:r>
          </w:p>
        </w:tc>
      </w:tr>
      <w:tr w14:paraId="3744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79" w:type="dxa"/>
            <w:gridSpan w:val="5"/>
            <w:vAlign w:val="center"/>
          </w:tcPr>
          <w:p w14:paraId="3D29EFE8">
            <w:pPr>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监理</w:t>
            </w:r>
            <w:r>
              <w:rPr>
                <w:rFonts w:ascii="楷体" w:hAnsi="楷体" w:eastAsia="楷体"/>
                <w:color w:val="000000" w:themeColor="text1"/>
                <w:sz w:val="24"/>
                <w14:textFill>
                  <w14:solidFill>
                    <w14:schemeClr w14:val="tx1"/>
                  </w14:solidFill>
                </w14:textFill>
              </w:rPr>
              <w:t>单位</w:t>
            </w:r>
            <w:r>
              <w:rPr>
                <w:rFonts w:hint="eastAsia" w:ascii="楷体" w:hAnsi="楷体" w:eastAsia="楷体"/>
                <w:color w:val="000000" w:themeColor="text1"/>
                <w:sz w:val="24"/>
                <w14:textFill>
                  <w14:solidFill>
                    <w14:schemeClr w14:val="tx1"/>
                  </w14:solidFill>
                </w14:textFill>
              </w:rPr>
              <w:t xml:space="preserve">： </w:t>
            </w:r>
            <w:r>
              <w:rPr>
                <w:rFonts w:ascii="楷体" w:hAnsi="楷体" w:eastAsia="楷体"/>
                <w:color w:val="000000" w:themeColor="text1"/>
                <w:sz w:val="24"/>
                <w14:textFill>
                  <w14:solidFill>
                    <w14:schemeClr w14:val="tx1"/>
                  </w14:solidFill>
                </w14:textFill>
              </w:rPr>
              <w:t xml:space="preserve">                                     </w:t>
            </w:r>
            <w:r>
              <w:rPr>
                <w:rFonts w:hint="eastAsia" w:ascii="楷体" w:hAnsi="楷体" w:eastAsia="楷体"/>
                <w:color w:val="000000" w:themeColor="text1"/>
                <w:sz w:val="24"/>
                <w14:textFill>
                  <w14:solidFill>
                    <w14:schemeClr w14:val="tx1"/>
                  </w14:solidFill>
                </w14:textFill>
              </w:rPr>
              <w:t>合同金额</w:t>
            </w:r>
            <w:r>
              <w:rPr>
                <w:rFonts w:ascii="楷体" w:hAnsi="楷体" w:eastAsia="楷体"/>
                <w:color w:val="000000" w:themeColor="text1"/>
                <w:sz w:val="24"/>
                <w14:textFill>
                  <w14:solidFill>
                    <w14:schemeClr w14:val="tx1"/>
                  </w14:solidFill>
                </w14:textFill>
              </w:rPr>
              <w:t>：</w:t>
            </w:r>
          </w:p>
        </w:tc>
      </w:tr>
      <w:tr w14:paraId="099A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73" w:type="dxa"/>
            <w:vAlign w:val="center"/>
          </w:tcPr>
          <w:p w14:paraId="64E76352">
            <w:pPr>
              <w:jc w:val="center"/>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业主</w:t>
            </w:r>
          </w:p>
        </w:tc>
        <w:tc>
          <w:tcPr>
            <w:tcW w:w="1973" w:type="dxa"/>
            <w:vAlign w:val="center"/>
          </w:tcPr>
          <w:p w14:paraId="776A73C9">
            <w:pPr>
              <w:jc w:val="center"/>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参考</w:t>
            </w:r>
            <w:r>
              <w:rPr>
                <w:rFonts w:ascii="楷体" w:hAnsi="楷体" w:eastAsia="楷体"/>
                <w:color w:val="000000" w:themeColor="text1"/>
                <w:sz w:val="24"/>
                <w14:textFill>
                  <w14:solidFill>
                    <w14:schemeClr w14:val="tx1"/>
                  </w14:solidFill>
                </w14:textFill>
              </w:rPr>
              <w:t>分值</w:t>
            </w:r>
          </w:p>
        </w:tc>
        <w:tc>
          <w:tcPr>
            <w:tcW w:w="1977" w:type="dxa"/>
            <w:vAlign w:val="center"/>
          </w:tcPr>
          <w:p w14:paraId="7AEC0EC8">
            <w:pPr>
              <w:jc w:val="center"/>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评分</w:t>
            </w:r>
          </w:p>
        </w:tc>
        <w:tc>
          <w:tcPr>
            <w:tcW w:w="1973" w:type="dxa"/>
            <w:vAlign w:val="center"/>
          </w:tcPr>
          <w:p w14:paraId="307C5D67">
            <w:pPr>
              <w:jc w:val="center"/>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签名</w:t>
            </w:r>
          </w:p>
        </w:tc>
        <w:tc>
          <w:tcPr>
            <w:tcW w:w="1980" w:type="dxa"/>
            <w:vAlign w:val="center"/>
          </w:tcPr>
          <w:p w14:paraId="47E9C6FE">
            <w:pPr>
              <w:jc w:val="center"/>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备注</w:t>
            </w:r>
          </w:p>
        </w:tc>
      </w:tr>
      <w:tr w14:paraId="3180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73" w:type="dxa"/>
            <w:vAlign w:val="center"/>
          </w:tcPr>
          <w:p w14:paraId="233BA824">
            <w:pPr>
              <w:jc w:val="center"/>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经办人</w:t>
            </w:r>
          </w:p>
        </w:tc>
        <w:tc>
          <w:tcPr>
            <w:tcW w:w="1973" w:type="dxa"/>
            <w:vMerge w:val="restart"/>
          </w:tcPr>
          <w:p w14:paraId="034A2182">
            <w:pPr>
              <w:rPr>
                <w:rFonts w:ascii="楷体" w:hAnsi="楷体" w:eastAsia="楷体"/>
                <w:color w:val="000000" w:themeColor="text1"/>
                <w:sz w:val="24"/>
                <w14:textFill>
                  <w14:solidFill>
                    <w14:schemeClr w14:val="tx1"/>
                  </w14:solidFill>
                </w14:textFill>
              </w:rPr>
            </w:pPr>
          </w:p>
        </w:tc>
        <w:tc>
          <w:tcPr>
            <w:tcW w:w="1977" w:type="dxa"/>
          </w:tcPr>
          <w:p w14:paraId="14E0B309">
            <w:pPr>
              <w:rPr>
                <w:rFonts w:ascii="楷体" w:hAnsi="楷体" w:eastAsia="楷体"/>
                <w:color w:val="000000" w:themeColor="text1"/>
                <w:sz w:val="24"/>
                <w14:textFill>
                  <w14:solidFill>
                    <w14:schemeClr w14:val="tx1"/>
                  </w14:solidFill>
                </w14:textFill>
              </w:rPr>
            </w:pPr>
          </w:p>
        </w:tc>
        <w:tc>
          <w:tcPr>
            <w:tcW w:w="1973" w:type="dxa"/>
          </w:tcPr>
          <w:p w14:paraId="2879EEBC">
            <w:pPr>
              <w:rPr>
                <w:rFonts w:ascii="楷体" w:hAnsi="楷体" w:eastAsia="楷体"/>
                <w:color w:val="000000" w:themeColor="text1"/>
                <w:sz w:val="24"/>
                <w14:textFill>
                  <w14:solidFill>
                    <w14:schemeClr w14:val="tx1"/>
                  </w14:solidFill>
                </w14:textFill>
              </w:rPr>
            </w:pPr>
          </w:p>
        </w:tc>
        <w:tc>
          <w:tcPr>
            <w:tcW w:w="1980" w:type="dxa"/>
          </w:tcPr>
          <w:p w14:paraId="0B601084">
            <w:pPr>
              <w:rPr>
                <w:rFonts w:ascii="楷体" w:hAnsi="楷体" w:eastAsia="楷体"/>
                <w:color w:val="000000" w:themeColor="text1"/>
                <w:sz w:val="24"/>
                <w14:textFill>
                  <w14:solidFill>
                    <w14:schemeClr w14:val="tx1"/>
                  </w14:solidFill>
                </w14:textFill>
              </w:rPr>
            </w:pPr>
          </w:p>
        </w:tc>
      </w:tr>
      <w:tr w14:paraId="2A8D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73" w:type="dxa"/>
            <w:vAlign w:val="center"/>
          </w:tcPr>
          <w:p w14:paraId="1C1A02AF">
            <w:pPr>
              <w:jc w:val="center"/>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部门</w:t>
            </w:r>
            <w:r>
              <w:rPr>
                <w:rFonts w:ascii="楷体" w:hAnsi="楷体" w:eastAsia="楷体"/>
                <w:color w:val="000000" w:themeColor="text1"/>
                <w:sz w:val="24"/>
                <w14:textFill>
                  <w14:solidFill>
                    <w14:schemeClr w14:val="tx1"/>
                  </w14:solidFill>
                </w14:textFill>
              </w:rPr>
              <w:t>负责人</w:t>
            </w:r>
          </w:p>
        </w:tc>
        <w:tc>
          <w:tcPr>
            <w:tcW w:w="1973" w:type="dxa"/>
            <w:vMerge w:val="continue"/>
          </w:tcPr>
          <w:p w14:paraId="2C751411">
            <w:pPr>
              <w:rPr>
                <w:rFonts w:ascii="楷体" w:hAnsi="楷体" w:eastAsia="楷体"/>
                <w:color w:val="000000" w:themeColor="text1"/>
                <w:sz w:val="24"/>
                <w14:textFill>
                  <w14:solidFill>
                    <w14:schemeClr w14:val="tx1"/>
                  </w14:solidFill>
                </w14:textFill>
              </w:rPr>
            </w:pPr>
          </w:p>
        </w:tc>
        <w:tc>
          <w:tcPr>
            <w:tcW w:w="1977" w:type="dxa"/>
          </w:tcPr>
          <w:p w14:paraId="5F23F400">
            <w:pPr>
              <w:rPr>
                <w:rFonts w:ascii="楷体" w:hAnsi="楷体" w:eastAsia="楷体"/>
                <w:color w:val="000000" w:themeColor="text1"/>
                <w:sz w:val="24"/>
                <w14:textFill>
                  <w14:solidFill>
                    <w14:schemeClr w14:val="tx1"/>
                  </w14:solidFill>
                </w14:textFill>
              </w:rPr>
            </w:pPr>
          </w:p>
        </w:tc>
        <w:tc>
          <w:tcPr>
            <w:tcW w:w="1973" w:type="dxa"/>
          </w:tcPr>
          <w:p w14:paraId="15B2CB21">
            <w:pPr>
              <w:rPr>
                <w:rFonts w:ascii="楷体" w:hAnsi="楷体" w:eastAsia="楷体"/>
                <w:color w:val="000000" w:themeColor="text1"/>
                <w:sz w:val="24"/>
                <w14:textFill>
                  <w14:solidFill>
                    <w14:schemeClr w14:val="tx1"/>
                  </w14:solidFill>
                </w14:textFill>
              </w:rPr>
            </w:pPr>
          </w:p>
        </w:tc>
        <w:tc>
          <w:tcPr>
            <w:tcW w:w="1980" w:type="dxa"/>
          </w:tcPr>
          <w:p w14:paraId="0D6105D7">
            <w:pPr>
              <w:rPr>
                <w:rFonts w:ascii="楷体" w:hAnsi="楷体" w:eastAsia="楷体"/>
                <w:color w:val="000000" w:themeColor="text1"/>
                <w:sz w:val="24"/>
                <w14:textFill>
                  <w14:solidFill>
                    <w14:schemeClr w14:val="tx1"/>
                  </w14:solidFill>
                </w14:textFill>
              </w:rPr>
            </w:pPr>
          </w:p>
        </w:tc>
      </w:tr>
      <w:tr w14:paraId="7F88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925" w:type="dxa"/>
            <w:gridSpan w:val="3"/>
            <w:vAlign w:val="center"/>
          </w:tcPr>
          <w:p w14:paraId="7ACC3A0F">
            <w:pPr>
              <w:jc w:val="center"/>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分管领导</w:t>
            </w:r>
          </w:p>
        </w:tc>
        <w:tc>
          <w:tcPr>
            <w:tcW w:w="3954" w:type="dxa"/>
            <w:gridSpan w:val="2"/>
          </w:tcPr>
          <w:p w14:paraId="54F428D3">
            <w:pPr>
              <w:rPr>
                <w:rFonts w:ascii="楷体" w:hAnsi="楷体" w:eastAsia="楷体"/>
                <w:color w:val="000000" w:themeColor="text1"/>
                <w:sz w:val="24"/>
                <w14:textFill>
                  <w14:solidFill>
                    <w14:schemeClr w14:val="tx1"/>
                  </w14:solidFill>
                </w14:textFill>
              </w:rPr>
            </w:pPr>
          </w:p>
        </w:tc>
      </w:tr>
      <w:tr w14:paraId="5B65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1" w:hRule="atLeast"/>
        </w:trPr>
        <w:tc>
          <w:tcPr>
            <w:tcW w:w="9879" w:type="dxa"/>
            <w:gridSpan w:val="5"/>
          </w:tcPr>
          <w:p w14:paraId="719F708A">
            <w:pPr>
              <w:spacing w:line="470" w:lineRule="exact"/>
              <w:rPr>
                <w:rFonts w:ascii="楷体" w:hAnsi="楷体" w:eastAsia="楷体"/>
                <w:b/>
                <w:bCs/>
                <w:color w:val="000000" w:themeColor="text1"/>
                <w:sz w:val="24"/>
                <w14:textFill>
                  <w14:solidFill>
                    <w14:schemeClr w14:val="tx1"/>
                  </w14:solidFill>
                </w14:textFill>
              </w:rPr>
            </w:pPr>
            <w:r>
              <w:rPr>
                <w:rFonts w:hint="eastAsia" w:ascii="楷体" w:hAnsi="楷体" w:eastAsia="楷体"/>
                <w:b/>
                <w:bCs/>
                <w:color w:val="000000" w:themeColor="text1"/>
                <w:sz w:val="24"/>
                <w14:textFill>
                  <w14:solidFill>
                    <w14:schemeClr w14:val="tx1"/>
                  </w14:solidFill>
                </w14:textFill>
              </w:rPr>
              <w:t>（一）质量控制（30 分）</w:t>
            </w:r>
          </w:p>
          <w:p w14:paraId="1AF79925">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1.施工质量巡查与隐患整改（15 分）：建立完整质量巡查制度，每日巡查记录详实得 5 分；发现质量隐患及时下发整改通知，整改闭环率 100% 得 10 分，每降低 10% 扣 2 分，扣完为止。</w:t>
            </w:r>
          </w:p>
          <w:p w14:paraId="38679EAB">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2.原材料与设备检验监督（8 分）：严格核查进场原材料、设备合格证及检测报告，核查覆盖率 100% 得 4 分；见证取样规范、送检及时得 4 分，出现漏检、假检一次扣 4 分。</w:t>
            </w:r>
          </w:p>
          <w:p w14:paraId="79C82F59">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3.分部分项工程验收（7 分）：验收程序合规、标准明确得 3 分；验收结果准确，无不合格工程签字通过情况得 4 分，出现一次违规验收扣 7 分。</w:t>
            </w:r>
          </w:p>
          <w:p w14:paraId="6A4BADB0">
            <w:pPr>
              <w:spacing w:line="470" w:lineRule="exact"/>
              <w:rPr>
                <w:rFonts w:ascii="楷体" w:hAnsi="楷体" w:eastAsia="楷体"/>
                <w:b/>
                <w:bCs/>
                <w:color w:val="000000" w:themeColor="text1"/>
                <w:sz w:val="24"/>
                <w14:textFill>
                  <w14:solidFill>
                    <w14:schemeClr w14:val="tx1"/>
                  </w14:solidFill>
                </w14:textFill>
              </w:rPr>
            </w:pPr>
            <w:r>
              <w:rPr>
                <w:rFonts w:hint="eastAsia" w:ascii="楷体" w:hAnsi="楷体" w:eastAsia="楷体"/>
                <w:b/>
                <w:bCs/>
                <w:color w:val="000000" w:themeColor="text1"/>
                <w:sz w:val="24"/>
                <w14:textFill>
                  <w14:solidFill>
                    <w14:schemeClr w14:val="tx1"/>
                  </w14:solidFill>
                </w14:textFill>
              </w:rPr>
              <w:t>（二）进度管理（15 分）</w:t>
            </w:r>
          </w:p>
          <w:p w14:paraId="4A20556D">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1.进度计划审核与跟踪（8 分）：及时审核施工单位进度计划，提出合理优化建议得 4 分；定期跟踪进度执行情况，每周提交进度分析报告得 4 分，未按时提交或报告失真一次扣 2 分。</w:t>
            </w:r>
          </w:p>
          <w:p w14:paraId="6DF99822">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2.进度偏差处理（7 分）：发现进度偏差后，及时协调相关方制定纠偏措施得 4 分；纠偏措施有效，进度偏差控制在合同约定范围内得 3 分，未及时处理或纠偏无效一次扣 3 分。</w:t>
            </w:r>
          </w:p>
          <w:p w14:paraId="2D42E53A">
            <w:pPr>
              <w:spacing w:line="470" w:lineRule="exact"/>
              <w:rPr>
                <w:rFonts w:ascii="楷体" w:hAnsi="楷体" w:eastAsia="楷体"/>
                <w:b/>
                <w:bCs/>
                <w:color w:val="000000" w:themeColor="text1"/>
                <w:sz w:val="24"/>
                <w14:textFill>
                  <w14:solidFill>
                    <w14:schemeClr w14:val="tx1"/>
                  </w14:solidFill>
                </w14:textFill>
              </w:rPr>
            </w:pPr>
            <w:r>
              <w:rPr>
                <w:rFonts w:hint="eastAsia" w:ascii="楷体" w:hAnsi="楷体" w:eastAsia="楷体"/>
                <w:b/>
                <w:bCs/>
                <w:color w:val="000000" w:themeColor="text1"/>
                <w:sz w:val="24"/>
                <w14:textFill>
                  <w14:solidFill>
                    <w14:schemeClr w14:val="tx1"/>
                  </w14:solidFill>
                </w14:textFill>
              </w:rPr>
              <w:t>（三）安全监理（20 分）</w:t>
            </w:r>
          </w:p>
          <w:p w14:paraId="218C8693">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1.安全管理制度落实（8 分）：督促施工单位建立健全安全管理制度，核查到位得 4 分；定期开展安全专项检查得 4 分，未开展检查一次扣 4 分。</w:t>
            </w:r>
          </w:p>
          <w:p w14:paraId="2723B3EB">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2.安全隐患排查与整改（7 分）：及时发现安全隐患并下发整改通知得 3 分；跟踪整改到位，重大安全隐患零遗留得 4 分，重大隐患未整改一次扣 7 分。</w:t>
            </w:r>
          </w:p>
          <w:p w14:paraId="7A1F66BA">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3.安全事故处理（5 分）：项目无安全事故得 5 分；发生一般安全事故扣 3 分，发生较大及以上安全事故扣 5 分，并按合同追究责任。</w:t>
            </w:r>
          </w:p>
          <w:p w14:paraId="61D28618">
            <w:pPr>
              <w:spacing w:line="470" w:lineRule="exact"/>
              <w:rPr>
                <w:rFonts w:ascii="楷体" w:hAnsi="楷体" w:eastAsia="楷体"/>
                <w:b/>
                <w:bCs/>
                <w:color w:val="000000" w:themeColor="text1"/>
                <w:sz w:val="24"/>
                <w14:textFill>
                  <w14:solidFill>
                    <w14:schemeClr w14:val="tx1"/>
                  </w14:solidFill>
                </w14:textFill>
              </w:rPr>
            </w:pPr>
            <w:r>
              <w:rPr>
                <w:rFonts w:hint="eastAsia" w:ascii="楷体" w:hAnsi="楷体" w:eastAsia="楷体"/>
                <w:b/>
                <w:bCs/>
                <w:color w:val="000000" w:themeColor="text1"/>
                <w:sz w:val="24"/>
                <w14:textFill>
                  <w14:solidFill>
                    <w14:schemeClr w14:val="tx1"/>
                  </w14:solidFill>
                </w14:textFill>
              </w:rPr>
              <w:t>（四）合同与资料管理（15 分）</w:t>
            </w:r>
          </w:p>
          <w:p w14:paraId="35AB1B18">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1.合同履约监督（7 分）：监督施工单位按合同约定施工，无违规转包、分包得 4 分；及时处理合同争议得 3 分，处理不当一次扣 3 分。</w:t>
            </w:r>
          </w:p>
          <w:p w14:paraId="698F7BC4">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2.监理资料管理（8 分）：监理资料齐全、规范，及时归档得 4 分；资料真实、准确，无虚假记录得 4 分，资料缺失或虚假一次扣 2 分。</w:t>
            </w:r>
          </w:p>
          <w:p w14:paraId="2EA1F708">
            <w:pPr>
              <w:spacing w:line="470" w:lineRule="exact"/>
              <w:rPr>
                <w:rFonts w:ascii="楷体" w:hAnsi="楷体" w:eastAsia="楷体"/>
                <w:b/>
                <w:bCs/>
                <w:color w:val="000000" w:themeColor="text1"/>
                <w:sz w:val="24"/>
                <w14:textFill>
                  <w14:solidFill>
                    <w14:schemeClr w14:val="tx1"/>
                  </w14:solidFill>
                </w14:textFill>
              </w:rPr>
            </w:pPr>
            <w:r>
              <w:rPr>
                <w:rFonts w:hint="eastAsia" w:ascii="楷体" w:hAnsi="楷体" w:eastAsia="楷体"/>
                <w:b/>
                <w:bCs/>
                <w:color w:val="000000" w:themeColor="text1"/>
                <w:sz w:val="24"/>
                <w14:textFill>
                  <w14:solidFill>
                    <w14:schemeClr w14:val="tx1"/>
                  </w14:solidFill>
                </w14:textFill>
              </w:rPr>
              <w:t>（五）沟通协调与服务态度（10 分）</w:t>
            </w:r>
          </w:p>
          <w:p w14:paraId="3EFDCACA">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1.沟通协调（6 分）：与建设单位、施工单位等相关方沟通顺畅，及时反馈问题得 3 分；有效协调各方矛盾得 3 分，协调不力一次扣 2 分。</w:t>
            </w:r>
          </w:p>
          <w:p w14:paraId="5AB8528C">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2.服务态度（4 分）：服务主动、热情，响应建设单位需求及时得 2 分；接受监督，积极改进工作得 2 分，服务态度差一次扣 1 分。</w:t>
            </w:r>
          </w:p>
          <w:p w14:paraId="67545F2E">
            <w:pPr>
              <w:spacing w:line="470" w:lineRule="exact"/>
              <w:rPr>
                <w:rFonts w:ascii="楷体" w:hAnsi="楷体" w:eastAsia="楷体"/>
                <w:b/>
                <w:bCs/>
                <w:color w:val="000000" w:themeColor="text1"/>
                <w:sz w:val="24"/>
                <w14:textFill>
                  <w14:solidFill>
                    <w14:schemeClr w14:val="tx1"/>
                  </w14:solidFill>
                </w14:textFill>
              </w:rPr>
            </w:pPr>
            <w:r>
              <w:rPr>
                <w:rFonts w:hint="eastAsia" w:ascii="楷体" w:hAnsi="楷体" w:eastAsia="楷体"/>
                <w:b/>
                <w:bCs/>
                <w:color w:val="000000" w:themeColor="text1"/>
                <w:sz w:val="24"/>
                <w14:textFill>
                  <w14:solidFill>
                    <w14:schemeClr w14:val="tx1"/>
                  </w14:solidFill>
                </w14:textFill>
              </w:rPr>
              <w:t>（六）加分项（最高加 10 分）</w:t>
            </w:r>
          </w:p>
          <w:p w14:paraId="7F3BC710">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1.提出合理化建议被采纳，有效节约成本或提升工程质量、效率，每项加 2-3 分；</w:t>
            </w:r>
          </w:p>
          <w:p w14:paraId="4B9F4E60">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2.成功避免重大质量、安全事故，加 3-5 分；</w:t>
            </w:r>
          </w:p>
          <w:p w14:paraId="3DEA8168">
            <w:pPr>
              <w:spacing w:line="47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3.监理工作获行业主管部门表彰或奖励，加 3-5 分。</w:t>
            </w:r>
          </w:p>
        </w:tc>
      </w:tr>
      <w:tr w14:paraId="0525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9879" w:type="dxa"/>
            <w:gridSpan w:val="5"/>
          </w:tcPr>
          <w:p w14:paraId="24FD5EB2">
            <w:pPr>
              <w:snapToGrid w:val="0"/>
              <w:spacing w:line="360" w:lineRule="auto"/>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①考核得分≥90分，全额支付服务费；</w:t>
            </w:r>
          </w:p>
          <w:p w14:paraId="5EB8C971">
            <w:pPr>
              <w:snapToGrid w:val="0"/>
              <w:spacing w:line="360" w:lineRule="auto"/>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②考核得分为80分（含）至90分，支付90%服务费；</w:t>
            </w:r>
          </w:p>
          <w:p w14:paraId="6CB33895">
            <w:pPr>
              <w:snapToGrid w:val="0"/>
              <w:spacing w:line="360" w:lineRule="auto"/>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③考核得分为70分（含）至80分，支付80%服务费；</w:t>
            </w:r>
          </w:p>
          <w:p w14:paraId="17302B46">
            <w:pPr>
              <w:snapToGrid w:val="0"/>
              <w:spacing w:line="360" w:lineRule="auto"/>
              <w:jc w:val="left"/>
              <w:rPr>
                <w:rFonts w:ascii="楷体" w:hAnsi="楷体" w:eastAsia="楷体"/>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④考核得分＜70分，采购人有权解除采购合同。</w:t>
            </w:r>
          </w:p>
        </w:tc>
      </w:tr>
    </w:tbl>
    <w:p w14:paraId="329DD205">
      <w:pPr>
        <w:rPr>
          <w:color w:val="000000" w:themeColor="text1"/>
          <w14:textFill>
            <w14:solidFill>
              <w14:schemeClr w14:val="tx1"/>
            </w14:solidFill>
          </w14:textFill>
        </w:rPr>
      </w:pPr>
    </w:p>
    <w:p w14:paraId="0F9EB1D8">
      <w:pPr>
        <w:rPr>
          <w:color w:val="000000" w:themeColor="text1"/>
          <w14:textFill>
            <w14:solidFill>
              <w14:schemeClr w14:val="tx1"/>
            </w14:solidFill>
          </w14:textFill>
        </w:rPr>
      </w:pPr>
    </w:p>
    <w:p w14:paraId="15B00E63">
      <w:pPr>
        <w:jc w:val="center"/>
        <w:rPr>
          <w:rFonts w:ascii="楷体" w:hAnsi="楷体" w:eastAsia="楷体"/>
          <w:b/>
          <w:color w:val="000000" w:themeColor="text1"/>
          <w:sz w:val="36"/>
          <w:szCs w:val="36"/>
          <w14:textFill>
            <w14:solidFill>
              <w14:schemeClr w14:val="tx1"/>
            </w14:solidFill>
          </w14:textFill>
        </w:rPr>
      </w:pPr>
    </w:p>
    <w:p w14:paraId="0186943E">
      <w:pPr>
        <w:pStyle w:val="55"/>
        <w:rPr>
          <w:rFonts w:eastAsiaTheme="minorEastAsia"/>
          <w:color w:val="000000" w:themeColor="text1"/>
          <w14:textFill>
            <w14:solidFill>
              <w14:schemeClr w14:val="tx1"/>
            </w14:solidFill>
          </w14:textFill>
        </w:rPr>
      </w:pPr>
    </w:p>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2"/>
    <w:p w14:paraId="02BF1725">
      <w:pPr>
        <w:spacing w:line="360" w:lineRule="auto"/>
        <w:ind w:firstLine="463" w:firstLineChars="193"/>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w:t>
      </w:r>
    </w:p>
    <w:p w14:paraId="1F0E91D9">
      <w:pPr>
        <w:snapToGrid w:val="0"/>
        <w:spacing w:line="360" w:lineRule="auto"/>
        <w:ind w:firstLine="480" w:firstLineChars="200"/>
        <w:rPr>
          <w:rFonts w:ascii="楷体" w:hAnsi="楷体" w:eastAsia="楷体" w:cs="楷体"/>
          <w:bCs/>
          <w:color w:val="000000" w:themeColor="text1"/>
          <w:sz w:val="24"/>
          <w14:textFill>
            <w14:solidFill>
              <w14:schemeClr w14:val="tx1"/>
            </w14:solidFill>
          </w14:textFill>
        </w:rPr>
      </w:pPr>
    </w:p>
    <w:p w14:paraId="3F13B144">
      <w:pPr>
        <w:adjustRightInd w:val="0"/>
        <w:snapToGrid w:val="0"/>
        <w:spacing w:before="120" w:beforeLines="50" w:after="120" w:afterLines="50" w:line="360" w:lineRule="auto"/>
        <w:jc w:val="center"/>
        <w:outlineLvl w:val="0"/>
        <w:rPr>
          <w:rFonts w:ascii="楷体" w:hAnsi="楷体" w:eastAsia="楷体" w:cs="楷体"/>
          <w:color w:val="000000" w:themeColor="text1"/>
          <w:sz w:val="36"/>
          <w14:textFill>
            <w14:solidFill>
              <w14:schemeClr w14:val="tx1"/>
            </w14:solidFill>
          </w14:textFill>
        </w:rPr>
      </w:pPr>
      <w:bookmarkStart w:id="254" w:name="_Toc28769"/>
      <w:r>
        <w:rPr>
          <w:rFonts w:hint="eastAsia" w:ascii="楷体" w:hAnsi="楷体" w:eastAsia="楷体" w:cs="楷体"/>
          <w:b/>
          <w:color w:val="000000" w:themeColor="text1"/>
          <w:sz w:val="30"/>
          <w:szCs w:val="30"/>
          <w14:textFill>
            <w14:solidFill>
              <w14:schemeClr w14:val="tx1"/>
            </w14:solidFill>
          </w14:textFill>
        </w:rPr>
        <w:br w:type="page"/>
      </w:r>
      <w:bookmarkStart w:id="255" w:name="_Toc14359"/>
      <w:bookmarkStart w:id="256" w:name="_Toc5881"/>
      <w:bookmarkStart w:id="257" w:name="_Toc225868277"/>
      <w:bookmarkStart w:id="258" w:name="_Toc18325"/>
      <w:bookmarkStart w:id="259" w:name="_Toc17277"/>
      <w:r>
        <w:rPr>
          <w:rFonts w:hint="eastAsia" w:ascii="楷体" w:hAnsi="楷体" w:eastAsia="楷体" w:cs="楷体"/>
          <w:b/>
          <w:color w:val="000000" w:themeColor="text1"/>
          <w:sz w:val="30"/>
          <w:szCs w:val="30"/>
          <w14:textFill>
            <w14:solidFill>
              <w14:schemeClr w14:val="tx1"/>
            </w14:solidFill>
          </w14:textFill>
        </w:rPr>
        <w:t>第四部分  合同条款</w:t>
      </w:r>
      <w:bookmarkEnd w:id="188"/>
      <w:bookmarkEnd w:id="189"/>
      <w:bookmarkEnd w:id="190"/>
      <w:bookmarkEnd w:id="191"/>
      <w:bookmarkEnd w:id="192"/>
      <w:bookmarkEnd w:id="193"/>
      <w:bookmarkEnd w:id="194"/>
      <w:bookmarkEnd w:id="195"/>
      <w:bookmarkEnd w:id="196"/>
      <w:bookmarkEnd w:id="197"/>
      <w:bookmarkEnd w:id="198"/>
      <w:bookmarkEnd w:id="254"/>
      <w:r>
        <w:rPr>
          <w:rFonts w:hint="eastAsia" w:ascii="楷体" w:hAnsi="楷体" w:eastAsia="楷体" w:cs="楷体"/>
          <w:b/>
          <w:color w:val="000000" w:themeColor="text1"/>
          <w:sz w:val="30"/>
          <w:szCs w:val="30"/>
          <w14:textFill>
            <w14:solidFill>
              <w14:schemeClr w14:val="tx1"/>
            </w14:solidFill>
          </w14:textFill>
        </w:rPr>
        <w:t>（仅供参考）</w:t>
      </w:r>
      <w:bookmarkEnd w:id="255"/>
      <w:bookmarkEnd w:id="256"/>
      <w:bookmarkEnd w:id="257"/>
      <w:bookmarkEnd w:id="258"/>
      <w:bookmarkEnd w:id="259"/>
    </w:p>
    <w:p w14:paraId="0E288DA2">
      <w:pPr>
        <w:wordWrap w:val="0"/>
        <w:spacing w:line="360" w:lineRule="auto"/>
        <w:ind w:firstLine="480" w:firstLineChars="200"/>
        <w:jc w:val="right"/>
        <w:rPr>
          <w:rFonts w:ascii="楷体" w:hAnsi="楷体" w:eastAsia="楷体" w:cs="楷体"/>
          <w:color w:val="000000" w:themeColor="text1"/>
          <w:kern w:val="0"/>
          <w:sz w:val="24"/>
          <w14:textFill>
            <w14:solidFill>
              <w14:schemeClr w14:val="tx1"/>
            </w14:solidFill>
          </w14:textFill>
        </w:rPr>
      </w:pPr>
      <w:bookmarkStart w:id="260" w:name="_Hlk534720381"/>
      <w:bookmarkStart w:id="261" w:name="_Toc249760790"/>
      <w:bookmarkStart w:id="262" w:name="_Toc251566661"/>
      <w:r>
        <w:rPr>
          <w:rFonts w:hint="eastAsia" w:ascii="楷体" w:hAnsi="楷体" w:eastAsia="楷体" w:cs="楷体"/>
          <w:color w:val="000000" w:themeColor="text1"/>
          <w:kern w:val="0"/>
          <w:sz w:val="24"/>
          <w:lang w:bidi="ar"/>
          <w14:textFill>
            <w14:solidFill>
              <w14:schemeClr w14:val="tx1"/>
            </w14:solidFill>
          </w14:textFill>
        </w:rPr>
        <w:t xml:space="preserve">采购编号：330327265050010000029-CNDL2026058 </w:t>
      </w:r>
      <w:r>
        <w:rPr>
          <w:rFonts w:hint="eastAsia" w:ascii="楷体" w:hAnsi="楷体" w:eastAsia="楷体" w:cs="楷体"/>
          <w:color w:val="000000" w:themeColor="text1"/>
          <w:kern w:val="0"/>
          <w:sz w:val="24"/>
          <w:lang w:bidi="ar"/>
          <w14:textFill>
            <w14:solidFill>
              <w14:schemeClr w14:val="tx1"/>
            </w14:solidFill>
          </w14:textFill>
        </w:rPr>
        <w:t xml:space="preserve">    </w:t>
      </w:r>
    </w:p>
    <w:p w14:paraId="237D1B65">
      <w:pPr>
        <w:spacing w:line="4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本章内容直接引用中华人民共和国住房和城乡建设部和国家工商行政管理总局制定的《建设工程监理合同》（GF－2012－0202）。以各专业范本为准。</w:t>
      </w:r>
    </w:p>
    <w:p w14:paraId="3AF1EDC7">
      <w:pPr>
        <w:spacing w:line="400" w:lineRule="exact"/>
        <w:rPr>
          <w:rFonts w:ascii="楷体" w:hAnsi="楷体" w:eastAsia="楷体" w:cs="楷体"/>
          <w:color w:val="000000" w:themeColor="text1"/>
          <w:sz w:val="24"/>
          <w14:textFill>
            <w14:solidFill>
              <w14:schemeClr w14:val="tx1"/>
            </w14:solidFill>
          </w14:textFill>
        </w:rPr>
      </w:pPr>
    </w:p>
    <w:p w14:paraId="0B4DB2D3">
      <w:pPr>
        <w:spacing w:line="40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第一部分   协议书</w:t>
      </w:r>
    </w:p>
    <w:p w14:paraId="31093425">
      <w:pPr>
        <w:spacing w:line="40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第二部分   通用条件</w:t>
      </w:r>
    </w:p>
    <w:p w14:paraId="5C223CEE">
      <w:pPr>
        <w:spacing w:line="40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第三部分   专用条件</w:t>
      </w:r>
    </w:p>
    <w:p w14:paraId="2A4B0E54">
      <w:pPr>
        <w:pageBreakBefore/>
        <w:adjustRightInd w:val="0"/>
        <w:snapToGrid w:val="0"/>
        <w:spacing w:line="400" w:lineRule="exact"/>
        <w:jc w:val="center"/>
        <w:rPr>
          <w:rFonts w:ascii="楷体" w:hAnsi="楷体" w:eastAsia="楷体" w:cs="楷体"/>
          <w:b/>
          <w:color w:val="000000" w:themeColor="text1"/>
          <w:sz w:val="24"/>
          <w14:textFill>
            <w14:solidFill>
              <w14:schemeClr w14:val="tx1"/>
            </w14:solidFill>
          </w14:textFill>
        </w:rPr>
        <w:sectPr>
          <w:pgSz w:w="11910" w:h="16850"/>
          <w:pgMar w:top="1480" w:right="1057" w:bottom="1140" w:left="1200" w:header="567" w:footer="567" w:gutter="0"/>
          <w:pgNumType w:fmt="numberInDash"/>
          <w:cols w:space="720" w:num="1"/>
        </w:sectPr>
      </w:pPr>
    </w:p>
    <w:p w14:paraId="2ACD8250">
      <w:pPr>
        <w:spacing w:line="400" w:lineRule="exact"/>
        <w:jc w:val="center"/>
        <w:rPr>
          <w:rFonts w:ascii="楷体" w:hAnsi="楷体" w:eastAsia="楷体" w:cs="楷体"/>
          <w:b/>
          <w:color w:val="000000" w:themeColor="text1"/>
          <w:kern w:val="0"/>
          <w:sz w:val="24"/>
          <w:lang w:val="zh-CN"/>
          <w14:textFill>
            <w14:solidFill>
              <w14:schemeClr w14:val="tx1"/>
            </w14:solidFill>
          </w14:textFill>
        </w:rPr>
      </w:pPr>
      <w:r>
        <w:rPr>
          <w:rFonts w:hint="eastAsia" w:ascii="楷体" w:hAnsi="楷体" w:eastAsia="楷体" w:cs="楷体"/>
          <w:b/>
          <w:color w:val="000000" w:themeColor="text1"/>
          <w:kern w:val="0"/>
          <w:sz w:val="24"/>
          <w:lang w:val="zh-CN"/>
          <w14:textFill>
            <w14:solidFill>
              <w14:schemeClr w14:val="tx1"/>
            </w14:solidFill>
          </w14:textFill>
        </w:rPr>
        <w:t>第一部分   协议书</w:t>
      </w:r>
    </w:p>
    <w:p w14:paraId="37048BAD">
      <w:pPr>
        <w:adjustRightInd w:val="0"/>
        <w:snapToGrid w:val="0"/>
        <w:spacing w:line="360" w:lineRule="auto"/>
        <w:ind w:firstLine="482" w:firstLineChars="200"/>
        <w:rPr>
          <w:rFonts w:ascii="楷体" w:hAnsi="楷体" w:eastAsia="楷体" w:cs="楷体"/>
          <w:b/>
          <w:color w:val="000000" w:themeColor="text1"/>
          <w:sz w:val="24"/>
          <w:u w:val="single"/>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委托人（全称）：</w:t>
      </w:r>
      <w:r>
        <w:rPr>
          <w:rFonts w:hint="eastAsia" w:ascii="楷体" w:hAnsi="楷体" w:eastAsia="楷体" w:cs="楷体"/>
          <w:b/>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u w:val="single"/>
          <w14:textFill>
            <w14:solidFill>
              <w14:schemeClr w14:val="tx1"/>
            </w14:solidFill>
          </w14:textFill>
        </w:rPr>
        <w:t xml:space="preserve">  </w:t>
      </w:r>
    </w:p>
    <w:p w14:paraId="0BF78F8C">
      <w:pPr>
        <w:adjustRightInd w:val="0"/>
        <w:snapToGrid w:val="0"/>
        <w:spacing w:line="360" w:lineRule="auto"/>
        <w:ind w:firstLine="482"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监理人（全称）：</w:t>
      </w:r>
      <w:r>
        <w:rPr>
          <w:rFonts w:hint="eastAsia" w:ascii="楷体" w:hAnsi="楷体" w:eastAsia="楷体" w:cs="楷体"/>
          <w:b/>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u w:val="single"/>
          <w14:textFill>
            <w14:solidFill>
              <w14:schemeClr w14:val="tx1"/>
            </w14:solidFill>
          </w14:textFill>
        </w:rPr>
        <w:t xml:space="preserve">  </w:t>
      </w:r>
    </w:p>
    <w:p w14:paraId="2DD711DE">
      <w:pPr>
        <w:adjustRightInd w:val="0"/>
        <w:snapToGrid w:val="0"/>
        <w:spacing w:line="360" w:lineRule="auto"/>
        <w:ind w:firstLine="480" w:firstLineChars="200"/>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根据《中华人民共和国</w:t>
      </w:r>
      <w:r>
        <w:rPr>
          <w:rFonts w:hint="eastAsia" w:ascii="楷体" w:hAnsi="楷体" w:eastAsia="楷体" w:cs="楷体"/>
          <w:color w:val="000000" w:themeColor="text1"/>
          <w:sz w:val="24"/>
          <w:lang w:eastAsia="zh-Hans"/>
          <w14:textFill>
            <w14:solidFill>
              <w14:schemeClr w14:val="tx1"/>
            </w14:solidFill>
          </w14:textFill>
        </w:rPr>
        <w:t>民法典</w:t>
      </w:r>
      <w:r>
        <w:rPr>
          <w:rFonts w:hint="eastAsia" w:ascii="楷体" w:hAnsi="楷体" w:eastAsia="楷体" w:cs="楷体"/>
          <w:color w:val="000000" w:themeColor="text1"/>
          <w:sz w:val="24"/>
          <w14:textFill>
            <w14:solidFill>
              <w14:schemeClr w14:val="tx1"/>
            </w14:solidFill>
          </w14:textFill>
        </w:rPr>
        <w:t>》、《中华人民共和国建筑法》及其他有关法律、法规，遵循平等、自愿、公平和诚信的原则，双方就下述工程委托监理与相关服务事项协商一致，订立本合同。</w:t>
      </w:r>
    </w:p>
    <w:p w14:paraId="1DDC1407">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263" w:name="_Toc225868278"/>
      <w:bookmarkStart w:id="264" w:name="_Toc225867076"/>
      <w:r>
        <w:rPr>
          <w:rFonts w:hint="eastAsia" w:ascii="楷体" w:hAnsi="楷体" w:eastAsia="楷体" w:cs="楷体"/>
          <w:b/>
          <w:color w:val="000000" w:themeColor="text1"/>
          <w:sz w:val="24"/>
          <w14:textFill>
            <w14:solidFill>
              <w14:schemeClr w14:val="tx1"/>
            </w14:solidFill>
          </w14:textFill>
        </w:rPr>
        <w:t>一、工程概况</w:t>
      </w:r>
      <w:bookmarkEnd w:id="263"/>
      <w:bookmarkEnd w:id="264"/>
    </w:p>
    <w:p w14:paraId="1C2D4636">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 工程名称：</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w:t>
      </w:r>
    </w:p>
    <w:p w14:paraId="37FD0705">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 工程地点：</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w:t>
      </w:r>
    </w:p>
    <w:p w14:paraId="58A549E5">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 工程规模：</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w:t>
      </w:r>
    </w:p>
    <w:p w14:paraId="4FFE8C4A">
      <w:pPr>
        <w:adjustRightInd w:val="0"/>
        <w:snapToGrid w:val="0"/>
        <w:spacing w:line="360" w:lineRule="auto"/>
        <w:ind w:firstLine="475" w:firstLineChars="198"/>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 工程</w:t>
      </w:r>
      <w:r>
        <w:rPr>
          <w:rFonts w:hint="eastAsia" w:ascii="楷体" w:hAnsi="楷体" w:eastAsia="楷体" w:cs="楷体"/>
          <w:color w:val="000000" w:themeColor="text1"/>
          <w:kern w:val="0"/>
          <w:sz w:val="24"/>
          <w14:textFill>
            <w14:solidFill>
              <w14:schemeClr w14:val="tx1"/>
            </w14:solidFill>
          </w14:textFill>
        </w:rPr>
        <w:t>概算投资额或建筑安装工程费</w:t>
      </w:r>
      <w:r>
        <w:rPr>
          <w:rFonts w:hint="eastAsia" w:ascii="楷体" w:hAnsi="楷体" w:eastAsia="楷体" w:cs="楷体"/>
          <w:color w:val="000000" w:themeColor="text1"/>
          <w:sz w:val="24"/>
          <w14:textFill>
            <w14:solidFill>
              <w14:schemeClr w14:val="tx1"/>
            </w14:solidFill>
          </w14:textFill>
        </w:rPr>
        <w:t>：</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w:t>
      </w:r>
    </w:p>
    <w:p w14:paraId="198A187A">
      <w:pPr>
        <w:spacing w:line="360" w:lineRule="auto"/>
        <w:ind w:firstLine="477" w:firstLineChars="198"/>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二、词语限定</w:t>
      </w:r>
    </w:p>
    <w:p w14:paraId="4E072998">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协议书中相关词语的含义与通用条件中的定义与解释相同。</w:t>
      </w:r>
    </w:p>
    <w:p w14:paraId="44DFBB95">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265" w:name="_Toc225867077"/>
      <w:bookmarkStart w:id="266" w:name="_Toc225868279"/>
      <w:r>
        <w:rPr>
          <w:rFonts w:hint="eastAsia" w:ascii="楷体" w:hAnsi="楷体" w:eastAsia="楷体" w:cs="楷体"/>
          <w:b/>
          <w:color w:val="000000" w:themeColor="text1"/>
          <w:sz w:val="24"/>
          <w14:textFill>
            <w14:solidFill>
              <w14:schemeClr w14:val="tx1"/>
            </w14:solidFill>
          </w14:textFill>
        </w:rPr>
        <w:t>三、组成本合同的文件</w:t>
      </w:r>
      <w:bookmarkEnd w:id="265"/>
      <w:bookmarkEnd w:id="266"/>
    </w:p>
    <w:p w14:paraId="64D98279">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267" w:name="_Toc225868280"/>
      <w:bookmarkStart w:id="268" w:name="_Toc225867078"/>
      <w:r>
        <w:rPr>
          <w:rFonts w:hint="eastAsia" w:ascii="楷体" w:hAnsi="楷体" w:eastAsia="楷体" w:cs="楷体"/>
          <w:color w:val="000000" w:themeColor="text1"/>
          <w:sz w:val="24"/>
          <w14:textFill>
            <w14:solidFill>
              <w14:schemeClr w14:val="tx1"/>
            </w14:solidFill>
          </w14:textFill>
        </w:rPr>
        <w:t>1. 协议书；</w:t>
      </w:r>
      <w:bookmarkEnd w:id="267"/>
      <w:bookmarkEnd w:id="268"/>
    </w:p>
    <w:p w14:paraId="39511F00">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269" w:name="_Toc225868281"/>
      <w:bookmarkStart w:id="270" w:name="_Toc225867079"/>
      <w:r>
        <w:rPr>
          <w:rFonts w:hint="eastAsia" w:ascii="楷体" w:hAnsi="楷体" w:eastAsia="楷体" w:cs="楷体"/>
          <w:color w:val="000000" w:themeColor="text1"/>
          <w:sz w:val="24"/>
          <w14:textFill>
            <w14:solidFill>
              <w14:schemeClr w14:val="tx1"/>
            </w14:solidFill>
          </w14:textFill>
        </w:rPr>
        <w:t>2. 中标通知书（适用于招标工程）或委托书（适用于非招标工程）；</w:t>
      </w:r>
      <w:bookmarkEnd w:id="269"/>
      <w:bookmarkEnd w:id="270"/>
    </w:p>
    <w:p w14:paraId="2255944B">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271" w:name="_Toc225867080"/>
      <w:bookmarkStart w:id="272" w:name="_Toc225868282"/>
      <w:r>
        <w:rPr>
          <w:rFonts w:hint="eastAsia" w:ascii="楷体" w:hAnsi="楷体" w:eastAsia="楷体" w:cs="楷体"/>
          <w:color w:val="000000" w:themeColor="text1"/>
          <w:sz w:val="24"/>
          <w14:textFill>
            <w14:solidFill>
              <w14:schemeClr w14:val="tx1"/>
            </w14:solidFill>
          </w14:textFill>
        </w:rPr>
        <w:t>3. 投标文件（适用于招标工程）或监理与相关服务建议书（适用于非招标工程）；</w:t>
      </w:r>
      <w:bookmarkEnd w:id="271"/>
      <w:bookmarkEnd w:id="272"/>
    </w:p>
    <w:p w14:paraId="523CC2C8">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273" w:name="_Toc225868283"/>
      <w:bookmarkStart w:id="274" w:name="_Toc225867081"/>
      <w:r>
        <w:rPr>
          <w:rFonts w:hint="eastAsia" w:ascii="楷体" w:hAnsi="楷体" w:eastAsia="楷体" w:cs="楷体"/>
          <w:color w:val="000000" w:themeColor="text1"/>
          <w:sz w:val="24"/>
          <w14:textFill>
            <w14:solidFill>
              <w14:schemeClr w14:val="tx1"/>
            </w14:solidFill>
          </w14:textFill>
        </w:rPr>
        <w:t>4. 专用条件；</w:t>
      </w:r>
      <w:bookmarkEnd w:id="273"/>
      <w:bookmarkEnd w:id="274"/>
    </w:p>
    <w:p w14:paraId="16150717">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275" w:name="_Toc225868284"/>
      <w:bookmarkStart w:id="276" w:name="_Toc225867082"/>
      <w:r>
        <w:rPr>
          <w:rFonts w:hint="eastAsia" w:ascii="楷体" w:hAnsi="楷体" w:eastAsia="楷体" w:cs="楷体"/>
          <w:color w:val="000000" w:themeColor="text1"/>
          <w:sz w:val="24"/>
          <w14:textFill>
            <w14:solidFill>
              <w14:schemeClr w14:val="tx1"/>
            </w14:solidFill>
          </w14:textFill>
        </w:rPr>
        <w:t>5. 通用条件；</w:t>
      </w:r>
      <w:bookmarkEnd w:id="275"/>
      <w:bookmarkEnd w:id="276"/>
    </w:p>
    <w:p w14:paraId="547AB89C">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277" w:name="_Toc225868285"/>
      <w:bookmarkStart w:id="278" w:name="_Toc225867083"/>
      <w:r>
        <w:rPr>
          <w:rFonts w:hint="eastAsia" w:ascii="楷体" w:hAnsi="楷体" w:eastAsia="楷体" w:cs="楷体"/>
          <w:color w:val="000000" w:themeColor="text1"/>
          <w:sz w:val="24"/>
          <w14:textFill>
            <w14:solidFill>
              <w14:schemeClr w14:val="tx1"/>
            </w14:solidFill>
          </w14:textFill>
        </w:rPr>
        <w:t>6. 附录，即：</w:t>
      </w:r>
      <w:bookmarkEnd w:id="277"/>
      <w:bookmarkEnd w:id="278"/>
    </w:p>
    <w:p w14:paraId="675256D2">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279" w:name="_Toc225867084"/>
      <w:bookmarkStart w:id="280" w:name="_Toc225868286"/>
      <w:r>
        <w:rPr>
          <w:rFonts w:hint="eastAsia" w:ascii="楷体" w:hAnsi="楷体" w:eastAsia="楷体" w:cs="楷体"/>
          <w:color w:val="000000" w:themeColor="text1"/>
          <w:sz w:val="24"/>
          <w14:textFill>
            <w14:solidFill>
              <w14:schemeClr w14:val="tx1"/>
            </w14:solidFill>
          </w14:textFill>
        </w:rPr>
        <w:t>附录A  相关服务的范围和内容</w:t>
      </w:r>
      <w:bookmarkEnd w:id="279"/>
      <w:bookmarkEnd w:id="280"/>
    </w:p>
    <w:p w14:paraId="273A26A4">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281" w:name="_Toc225868287"/>
      <w:bookmarkStart w:id="282" w:name="_Toc225867085"/>
      <w:r>
        <w:rPr>
          <w:rFonts w:hint="eastAsia" w:ascii="楷体" w:hAnsi="楷体" w:eastAsia="楷体" w:cs="楷体"/>
          <w:color w:val="000000" w:themeColor="text1"/>
          <w:sz w:val="24"/>
          <w14:textFill>
            <w14:solidFill>
              <w14:schemeClr w14:val="tx1"/>
            </w14:solidFill>
          </w14:textFill>
        </w:rPr>
        <w:t>附录B  委托人派遣的人员和提供的房屋、资料、设备</w:t>
      </w:r>
      <w:bookmarkEnd w:id="281"/>
      <w:bookmarkEnd w:id="282"/>
    </w:p>
    <w:p w14:paraId="2F514ADE">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283" w:name="_Toc225868288"/>
      <w:bookmarkStart w:id="284" w:name="_Toc225867086"/>
      <w:r>
        <w:rPr>
          <w:rFonts w:hint="eastAsia" w:ascii="楷体" w:hAnsi="楷体" w:eastAsia="楷体" w:cs="楷体"/>
          <w:color w:val="000000" w:themeColor="text1"/>
          <w:sz w:val="24"/>
          <w14:textFill>
            <w14:solidFill>
              <w14:schemeClr w14:val="tx1"/>
            </w14:solidFill>
          </w14:textFill>
        </w:rPr>
        <w:t>本合同签订后，双方依法签订的补充协议也是本合同文件的组成部分。</w:t>
      </w:r>
      <w:bookmarkEnd w:id="283"/>
      <w:bookmarkEnd w:id="284"/>
    </w:p>
    <w:p w14:paraId="35522587">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285" w:name="_Toc225868289"/>
      <w:bookmarkStart w:id="286" w:name="_Toc225867087"/>
      <w:r>
        <w:rPr>
          <w:rFonts w:hint="eastAsia" w:ascii="楷体" w:hAnsi="楷体" w:eastAsia="楷体" w:cs="楷体"/>
          <w:b/>
          <w:color w:val="000000" w:themeColor="text1"/>
          <w:sz w:val="24"/>
          <w14:textFill>
            <w14:solidFill>
              <w14:schemeClr w14:val="tx1"/>
            </w14:solidFill>
          </w14:textFill>
        </w:rPr>
        <w:t>四、总监理工程师</w:t>
      </w:r>
      <w:bookmarkEnd w:id="285"/>
      <w:bookmarkEnd w:id="286"/>
    </w:p>
    <w:p w14:paraId="611B8B09">
      <w:pPr>
        <w:adjustRightInd w:val="0"/>
        <w:snapToGrid w:val="0"/>
        <w:spacing w:line="360" w:lineRule="auto"/>
        <w:ind w:firstLine="475" w:firstLineChars="198"/>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总监理工程师姓名：</w:t>
      </w:r>
      <w:r>
        <w:rPr>
          <w:rFonts w:hint="eastAsia" w:ascii="楷体" w:hAnsi="楷体" w:eastAsia="楷体" w:cs="楷体"/>
          <w:color w:val="000000" w:themeColor="text1"/>
          <w:kern w:val="0"/>
          <w:sz w:val="24"/>
          <w:u w:val="single"/>
          <w14:textFill>
            <w14:solidFill>
              <w14:schemeClr w14:val="tx1"/>
            </w14:solidFill>
          </w14:textFill>
        </w:rPr>
        <w:t xml:space="preserve">           </w:t>
      </w:r>
      <w:r>
        <w:rPr>
          <w:rFonts w:hint="eastAsia" w:ascii="楷体" w:hAnsi="楷体" w:eastAsia="楷体" w:cs="楷体"/>
          <w:color w:val="000000" w:themeColor="text1"/>
          <w:kern w:val="0"/>
          <w:sz w:val="24"/>
          <w14:textFill>
            <w14:solidFill>
              <w14:schemeClr w14:val="tx1"/>
            </w14:solidFill>
          </w14:textFill>
        </w:rPr>
        <w:t>，身份证号码：</w:t>
      </w:r>
      <w:r>
        <w:rPr>
          <w:rFonts w:hint="eastAsia" w:ascii="楷体" w:hAnsi="楷体" w:eastAsia="楷体" w:cs="楷体"/>
          <w:color w:val="000000" w:themeColor="text1"/>
          <w:kern w:val="0"/>
          <w:sz w:val="24"/>
          <w:u w:val="single"/>
          <w14:textFill>
            <w14:solidFill>
              <w14:schemeClr w14:val="tx1"/>
            </w14:solidFill>
          </w14:textFill>
        </w:rPr>
        <w:t xml:space="preserve">            </w:t>
      </w:r>
      <w:r>
        <w:rPr>
          <w:rFonts w:hint="eastAsia" w:ascii="楷体" w:hAnsi="楷体" w:eastAsia="楷体" w:cs="楷体"/>
          <w:color w:val="000000" w:themeColor="text1"/>
          <w:kern w:val="0"/>
          <w:sz w:val="24"/>
          <w14:textFill>
            <w14:solidFill>
              <w14:schemeClr w14:val="tx1"/>
            </w14:solidFill>
          </w14:textFill>
        </w:rPr>
        <w:t>，注册号：</w:t>
      </w:r>
      <w:r>
        <w:rPr>
          <w:rFonts w:hint="eastAsia" w:ascii="楷体" w:hAnsi="楷体" w:eastAsia="楷体" w:cs="楷体"/>
          <w:color w:val="000000" w:themeColor="text1"/>
          <w:kern w:val="0"/>
          <w:sz w:val="24"/>
          <w:u w:val="single"/>
          <w14:textFill>
            <w14:solidFill>
              <w14:schemeClr w14:val="tx1"/>
            </w14:solidFill>
          </w14:textFill>
        </w:rPr>
        <w:t xml:space="preserve">                 </w:t>
      </w:r>
      <w:r>
        <w:rPr>
          <w:rFonts w:hint="eastAsia" w:ascii="楷体" w:hAnsi="楷体" w:eastAsia="楷体" w:cs="楷体"/>
          <w:color w:val="000000" w:themeColor="text1"/>
          <w:kern w:val="0"/>
          <w:sz w:val="24"/>
          <w14:textFill>
            <w14:solidFill>
              <w14:schemeClr w14:val="tx1"/>
            </w14:solidFill>
          </w14:textFill>
        </w:rPr>
        <w:t>。</w:t>
      </w:r>
    </w:p>
    <w:p w14:paraId="6FD195CD">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287" w:name="_Toc225867088"/>
      <w:bookmarkStart w:id="288" w:name="_Toc225868290"/>
      <w:r>
        <w:rPr>
          <w:rFonts w:hint="eastAsia" w:ascii="楷体" w:hAnsi="楷体" w:eastAsia="楷体" w:cs="楷体"/>
          <w:b/>
          <w:color w:val="000000" w:themeColor="text1"/>
          <w:sz w:val="24"/>
          <w14:textFill>
            <w14:solidFill>
              <w14:schemeClr w14:val="tx1"/>
            </w14:solidFill>
          </w14:textFill>
        </w:rPr>
        <w:t>五、签约</w:t>
      </w:r>
      <w:bookmarkEnd w:id="287"/>
      <w:bookmarkEnd w:id="288"/>
      <w:r>
        <w:rPr>
          <w:rFonts w:ascii="楷体" w:hAnsi="楷体" w:eastAsia="楷体" w:cs="楷体"/>
          <w:b/>
          <w:color w:val="000000" w:themeColor="text1"/>
          <w:sz w:val="24"/>
          <w14:textFill>
            <w14:solidFill>
              <w14:schemeClr w14:val="tx1"/>
            </w14:solidFill>
          </w14:textFill>
        </w:rPr>
        <w:t>监理费率</w:t>
      </w:r>
    </w:p>
    <w:p w14:paraId="793EBC5F">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签约</w:t>
      </w:r>
      <w:r>
        <w:rPr>
          <w:rFonts w:ascii="楷体" w:hAnsi="楷体" w:eastAsia="楷体" w:cs="楷体"/>
          <w:color w:val="000000" w:themeColor="text1"/>
          <w:sz w:val="24"/>
          <w14:textFill>
            <w14:solidFill>
              <w14:schemeClr w14:val="tx1"/>
            </w14:solidFill>
          </w14:textFill>
        </w:rPr>
        <w:t>费率</w:t>
      </w:r>
      <w:r>
        <w:rPr>
          <w:rFonts w:hint="eastAsia" w:ascii="楷体" w:hAnsi="楷体" w:eastAsia="楷体" w:cs="楷体"/>
          <w:color w:val="000000" w:themeColor="text1"/>
          <w:sz w:val="24"/>
          <w14:textFill>
            <w14:solidFill>
              <w14:schemeClr w14:val="tx1"/>
            </w14:solidFill>
          </w14:textFill>
        </w:rPr>
        <w:t>（大写）：</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w:t>
      </w:r>
      <w:r>
        <w:rPr>
          <w:rFonts w:hint="eastAsia" w:ascii="楷体" w:hAnsi="楷体" w:eastAsia="楷体" w:cs="楷体"/>
          <w:color w:val="000000" w:themeColor="text1"/>
          <w:sz w:val="24"/>
          <w:u w:val="single"/>
          <w14:textFill>
            <w14:solidFill>
              <w14:schemeClr w14:val="tx1"/>
            </w14:solidFill>
          </w14:textFill>
        </w:rPr>
        <w:t xml:space="preserve">        </w:t>
      </w:r>
      <w:r>
        <w:rPr>
          <w:rFonts w:ascii="楷体" w:hAnsi="楷体" w:eastAsia="楷体" w:cs="楷体"/>
          <w:color w:val="000000" w:themeColor="text1"/>
          <w:sz w:val="24"/>
          <w:u w:val="single"/>
          <w14:textFill>
            <w14:solidFill>
              <w14:schemeClr w14:val="tx1"/>
            </w14:solidFill>
          </w14:textFill>
        </w:rPr>
        <w:t>%</w:t>
      </w:r>
      <w:r>
        <w:rPr>
          <w:rFonts w:hint="eastAsia" w:ascii="楷体" w:hAnsi="楷体" w:eastAsia="楷体" w:cs="楷体"/>
          <w:color w:val="000000" w:themeColor="text1"/>
          <w:sz w:val="24"/>
          <w14:textFill>
            <w14:solidFill>
              <w14:schemeClr w14:val="tx1"/>
            </w14:solidFill>
          </w14:textFill>
        </w:rPr>
        <w:t>）。</w:t>
      </w:r>
    </w:p>
    <w:p w14:paraId="38847959">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包括：</w:t>
      </w:r>
    </w:p>
    <w:p w14:paraId="019F3EEA">
      <w:pPr>
        <w:adjustRightInd w:val="0"/>
        <w:snapToGrid w:val="0"/>
        <w:spacing w:line="360" w:lineRule="auto"/>
        <w:ind w:firstLine="600" w:firstLineChars="2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 监理酬金：</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w:t>
      </w:r>
    </w:p>
    <w:p w14:paraId="1221076F">
      <w:pPr>
        <w:adjustRightInd w:val="0"/>
        <w:snapToGrid w:val="0"/>
        <w:spacing w:line="360" w:lineRule="auto"/>
        <w:ind w:firstLine="600" w:firstLineChars="2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 相关服务酬金：</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w:t>
      </w:r>
    </w:p>
    <w:p w14:paraId="0FC21BE4">
      <w:pPr>
        <w:adjustRightInd w:val="0"/>
        <w:snapToGrid w:val="0"/>
        <w:spacing w:line="360" w:lineRule="auto"/>
        <w:ind w:firstLine="600" w:firstLineChars="2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其中：</w:t>
      </w:r>
    </w:p>
    <w:p w14:paraId="07DBA721">
      <w:pPr>
        <w:adjustRightInd w:val="0"/>
        <w:snapToGrid w:val="0"/>
        <w:spacing w:line="360" w:lineRule="auto"/>
        <w:ind w:firstLine="960" w:firstLineChars="4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（1）施工阶段服务</w:t>
      </w:r>
      <w:r>
        <w:rPr>
          <w:rFonts w:hint="eastAsia" w:ascii="楷体" w:hAnsi="楷体" w:eastAsia="楷体" w:cs="楷体"/>
          <w:color w:val="000000" w:themeColor="text1"/>
          <w:sz w:val="24"/>
          <w14:textFill>
            <w14:solidFill>
              <w14:schemeClr w14:val="tx1"/>
            </w14:solidFill>
          </w14:textFill>
        </w:rPr>
        <w:t>酬金：</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w:t>
      </w:r>
    </w:p>
    <w:p w14:paraId="5FAC518C">
      <w:pPr>
        <w:adjustRightInd w:val="0"/>
        <w:snapToGrid w:val="0"/>
        <w:spacing w:line="360" w:lineRule="auto"/>
        <w:ind w:firstLine="960" w:firstLineChars="4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w:t>
      </w:r>
      <w:r>
        <w:rPr>
          <w:rFonts w:hint="eastAsia" w:ascii="楷体" w:hAnsi="楷体" w:eastAsia="楷体" w:cs="楷体"/>
          <w:color w:val="000000" w:themeColor="text1"/>
          <w:sz w:val="24"/>
          <w14:textFill>
            <w14:solidFill>
              <w14:schemeClr w14:val="tx1"/>
            </w14:solidFill>
          </w14:textFill>
        </w:rPr>
        <w:t>其他相关服务酬金：</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w:t>
      </w:r>
    </w:p>
    <w:p w14:paraId="1936EA1A">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289" w:name="_Toc225867089"/>
      <w:bookmarkStart w:id="290" w:name="_Toc225868291"/>
      <w:r>
        <w:rPr>
          <w:rFonts w:hint="eastAsia" w:ascii="楷体" w:hAnsi="楷体" w:eastAsia="楷体" w:cs="楷体"/>
          <w:b/>
          <w:color w:val="000000" w:themeColor="text1"/>
          <w:sz w:val="24"/>
          <w14:textFill>
            <w14:solidFill>
              <w14:schemeClr w14:val="tx1"/>
            </w14:solidFill>
          </w14:textFill>
        </w:rPr>
        <w:t>六、期限</w:t>
      </w:r>
      <w:bookmarkEnd w:id="289"/>
      <w:bookmarkEnd w:id="290"/>
    </w:p>
    <w:p w14:paraId="3AFE09F4">
      <w:pPr>
        <w:adjustRightInd w:val="0"/>
        <w:snapToGrid w:val="0"/>
        <w:spacing w:line="360" w:lineRule="auto"/>
        <w:ind w:firstLine="600" w:firstLineChars="25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1. </w:t>
      </w:r>
      <w:r>
        <w:rPr>
          <w:rFonts w:hint="eastAsia" w:ascii="楷体" w:hAnsi="楷体" w:eastAsia="楷体" w:cs="楷体"/>
          <w:color w:val="000000" w:themeColor="text1"/>
          <w:sz w:val="24"/>
          <w14:textFill>
            <w14:solidFill>
              <w14:schemeClr w14:val="tx1"/>
            </w14:solidFill>
          </w14:textFill>
        </w:rPr>
        <w:t>监理期限：</w:t>
      </w:r>
    </w:p>
    <w:p w14:paraId="517A1AF6">
      <w:pPr>
        <w:adjustRightInd w:val="0"/>
        <w:snapToGrid w:val="0"/>
        <w:spacing w:line="360" w:lineRule="auto"/>
        <w:ind w:firstLine="600" w:firstLineChars="25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自</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年</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日始，至</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年</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日止。</w:t>
      </w:r>
    </w:p>
    <w:p w14:paraId="612A97DF">
      <w:pPr>
        <w:adjustRightInd w:val="0"/>
        <w:snapToGrid w:val="0"/>
        <w:spacing w:line="360" w:lineRule="auto"/>
        <w:ind w:firstLine="600" w:firstLineChars="2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2. </w:t>
      </w:r>
      <w:r>
        <w:rPr>
          <w:rFonts w:hint="eastAsia" w:ascii="楷体" w:hAnsi="楷体" w:eastAsia="楷体" w:cs="楷体"/>
          <w:color w:val="000000" w:themeColor="text1"/>
          <w:sz w:val="24"/>
          <w14:textFill>
            <w14:solidFill>
              <w14:schemeClr w14:val="tx1"/>
            </w14:solidFill>
          </w14:textFill>
        </w:rPr>
        <w:t>相关服务期限：</w:t>
      </w:r>
    </w:p>
    <w:p w14:paraId="1BCE8594">
      <w:pPr>
        <w:adjustRightInd w:val="0"/>
        <w:snapToGrid w:val="0"/>
        <w:spacing w:line="360" w:lineRule="auto"/>
        <w:ind w:firstLine="600" w:firstLineChars="2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（1）施工阶段</w:t>
      </w:r>
      <w:r>
        <w:rPr>
          <w:rFonts w:hint="eastAsia" w:ascii="楷体" w:hAnsi="楷体" w:eastAsia="楷体" w:cs="楷体"/>
          <w:color w:val="000000" w:themeColor="text1"/>
          <w:sz w:val="24"/>
          <w14:textFill>
            <w14:solidFill>
              <w14:schemeClr w14:val="tx1"/>
            </w14:solidFill>
          </w14:textFill>
        </w:rPr>
        <w:t>服务期限自</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年</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日始，至</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年</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日止。</w:t>
      </w:r>
    </w:p>
    <w:p w14:paraId="14FFA9AF">
      <w:pPr>
        <w:adjustRightInd w:val="0"/>
        <w:snapToGrid w:val="0"/>
        <w:spacing w:line="360" w:lineRule="auto"/>
        <w:ind w:firstLine="600" w:firstLineChars="2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（2）保修阶段</w:t>
      </w:r>
      <w:r>
        <w:rPr>
          <w:rFonts w:hint="eastAsia" w:ascii="楷体" w:hAnsi="楷体" w:eastAsia="楷体" w:cs="楷体"/>
          <w:color w:val="000000" w:themeColor="text1"/>
          <w:sz w:val="24"/>
          <w14:textFill>
            <w14:solidFill>
              <w14:schemeClr w14:val="tx1"/>
            </w14:solidFill>
          </w14:textFill>
        </w:rPr>
        <w:t>服务期限自</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年</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日始，至</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年</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日止。</w:t>
      </w:r>
    </w:p>
    <w:p w14:paraId="028936DA">
      <w:pPr>
        <w:adjustRightInd w:val="0"/>
        <w:snapToGrid w:val="0"/>
        <w:spacing w:line="360" w:lineRule="auto"/>
        <w:ind w:firstLine="600" w:firstLineChars="2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w:t>
      </w:r>
      <w:r>
        <w:rPr>
          <w:rFonts w:hint="eastAsia" w:ascii="楷体" w:hAnsi="楷体" w:eastAsia="楷体" w:cs="楷体"/>
          <w:color w:val="000000" w:themeColor="text1"/>
          <w:sz w:val="24"/>
          <w14:textFill>
            <w14:solidFill>
              <w14:schemeClr w14:val="tx1"/>
            </w14:solidFill>
          </w14:textFill>
        </w:rPr>
        <w:t>其他相关服务期限自</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年</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日始，至</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年</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日止。</w:t>
      </w:r>
    </w:p>
    <w:p w14:paraId="7D5CD653">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291" w:name="_Toc225868292"/>
      <w:bookmarkStart w:id="292" w:name="_Toc225867090"/>
      <w:r>
        <w:rPr>
          <w:rFonts w:hint="eastAsia" w:ascii="楷体" w:hAnsi="楷体" w:eastAsia="楷体" w:cs="楷体"/>
          <w:b/>
          <w:color w:val="000000" w:themeColor="text1"/>
          <w:sz w:val="24"/>
          <w14:textFill>
            <w14:solidFill>
              <w14:schemeClr w14:val="tx1"/>
            </w14:solidFill>
          </w14:textFill>
        </w:rPr>
        <w:t>七、双方承诺</w:t>
      </w:r>
      <w:bookmarkEnd w:id="291"/>
      <w:bookmarkEnd w:id="292"/>
    </w:p>
    <w:p w14:paraId="5CE66C76">
      <w:pPr>
        <w:spacing w:line="360" w:lineRule="auto"/>
        <w:ind w:firstLine="475" w:firstLineChars="198"/>
        <w:outlineLvl w:val="0"/>
        <w:rPr>
          <w:rFonts w:ascii="楷体" w:hAnsi="楷体" w:eastAsia="楷体" w:cs="楷体"/>
          <w:b/>
          <w:color w:val="000000" w:themeColor="text1"/>
          <w:sz w:val="24"/>
          <w14:textFill>
            <w14:solidFill>
              <w14:schemeClr w14:val="tx1"/>
            </w14:solidFill>
          </w14:textFill>
        </w:rPr>
      </w:pPr>
      <w:bookmarkStart w:id="293" w:name="_Toc225867091"/>
      <w:bookmarkStart w:id="294" w:name="_Toc225868293"/>
      <w:r>
        <w:rPr>
          <w:rFonts w:hint="eastAsia" w:ascii="楷体" w:hAnsi="楷体" w:eastAsia="楷体" w:cs="楷体"/>
          <w:color w:val="000000" w:themeColor="text1"/>
          <w:sz w:val="24"/>
          <w14:textFill>
            <w14:solidFill>
              <w14:schemeClr w14:val="tx1"/>
            </w14:solidFill>
          </w14:textFill>
        </w:rPr>
        <w:t>1. 监理人向委托人承诺，按照本合同约定</w:t>
      </w:r>
      <w:r>
        <w:rPr>
          <w:rFonts w:hint="eastAsia" w:ascii="楷体" w:hAnsi="楷体" w:eastAsia="楷体" w:cs="楷体"/>
          <w:color w:val="000000" w:themeColor="text1"/>
          <w:kern w:val="0"/>
          <w:sz w:val="24"/>
          <w14:textFill>
            <w14:solidFill>
              <w14:schemeClr w14:val="tx1"/>
            </w14:solidFill>
          </w14:textFill>
        </w:rPr>
        <w:t>提供</w:t>
      </w:r>
      <w:r>
        <w:rPr>
          <w:rFonts w:hint="eastAsia" w:ascii="楷体" w:hAnsi="楷体" w:eastAsia="楷体" w:cs="楷体"/>
          <w:color w:val="000000" w:themeColor="text1"/>
          <w:sz w:val="24"/>
          <w14:textFill>
            <w14:solidFill>
              <w14:schemeClr w14:val="tx1"/>
            </w14:solidFill>
          </w14:textFill>
        </w:rPr>
        <w:t>监理与相关服务。</w:t>
      </w:r>
      <w:bookmarkEnd w:id="293"/>
      <w:bookmarkEnd w:id="294"/>
    </w:p>
    <w:p w14:paraId="3E9FF9B4">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295" w:name="_Toc225867092"/>
      <w:bookmarkStart w:id="296" w:name="_Toc225868294"/>
      <w:r>
        <w:rPr>
          <w:rFonts w:hint="eastAsia" w:ascii="楷体" w:hAnsi="楷体" w:eastAsia="楷体" w:cs="楷体"/>
          <w:color w:val="000000" w:themeColor="text1"/>
          <w:sz w:val="24"/>
          <w14:textFill>
            <w14:solidFill>
              <w14:schemeClr w14:val="tx1"/>
            </w14:solidFill>
          </w14:textFill>
        </w:rPr>
        <w:t>2. 委托人向监理人承诺，按照本合同约定派遣相应的人员，提供</w:t>
      </w:r>
      <w:r>
        <w:rPr>
          <w:rFonts w:hint="eastAsia" w:ascii="楷体" w:hAnsi="楷体" w:eastAsia="楷体" w:cs="楷体"/>
          <w:bCs/>
          <w:color w:val="000000" w:themeColor="text1"/>
          <w:sz w:val="24"/>
          <w14:textFill>
            <w14:solidFill>
              <w14:schemeClr w14:val="tx1"/>
            </w14:solidFill>
          </w14:textFill>
        </w:rPr>
        <w:t>房屋、资料</w:t>
      </w:r>
      <w:r>
        <w:rPr>
          <w:rFonts w:hint="eastAsia" w:ascii="楷体" w:hAnsi="楷体" w:eastAsia="楷体" w:cs="楷体"/>
          <w:color w:val="000000" w:themeColor="text1"/>
          <w:sz w:val="24"/>
          <w14:textFill>
            <w14:solidFill>
              <w14:schemeClr w14:val="tx1"/>
            </w14:solidFill>
          </w14:textFill>
        </w:rPr>
        <w:t>、设备，并按本合同约定支付酬金。</w:t>
      </w:r>
      <w:bookmarkEnd w:id="295"/>
      <w:bookmarkEnd w:id="296"/>
    </w:p>
    <w:p w14:paraId="53176BEA">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297" w:name="_Toc225868295"/>
      <w:bookmarkStart w:id="298" w:name="_Toc225867093"/>
      <w:r>
        <w:rPr>
          <w:rFonts w:hint="eastAsia" w:ascii="楷体" w:hAnsi="楷体" w:eastAsia="楷体" w:cs="楷体"/>
          <w:b/>
          <w:color w:val="000000" w:themeColor="text1"/>
          <w:sz w:val="24"/>
          <w14:textFill>
            <w14:solidFill>
              <w14:schemeClr w14:val="tx1"/>
            </w14:solidFill>
          </w14:textFill>
        </w:rPr>
        <w:t>八、合同订立</w:t>
      </w:r>
      <w:bookmarkEnd w:id="297"/>
      <w:bookmarkEnd w:id="298"/>
    </w:p>
    <w:p w14:paraId="26144306">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 订立时间：</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年</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日。</w:t>
      </w:r>
    </w:p>
    <w:p w14:paraId="2233AF67">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 订立地点：</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w:t>
      </w:r>
    </w:p>
    <w:p w14:paraId="66FFA01A">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 本合同一式</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份，具有同等法律效力，双方各执</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份。</w:t>
      </w:r>
    </w:p>
    <w:p w14:paraId="38DAA48F">
      <w:pPr>
        <w:rPr>
          <w:rFonts w:ascii="楷体" w:hAnsi="楷体" w:eastAsia="楷体" w:cs="楷体"/>
          <w:color w:val="000000" w:themeColor="text1"/>
          <w:sz w:val="24"/>
          <w14:textFill>
            <w14:solidFill>
              <w14:schemeClr w14:val="tx1"/>
            </w14:solidFill>
          </w14:textFill>
        </w:rPr>
      </w:pPr>
    </w:p>
    <w:p w14:paraId="41EE8B62">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委托人：</w:t>
      </w:r>
      <w:r>
        <w:rPr>
          <w:rFonts w:hint="eastAsia" w:ascii="楷体" w:hAnsi="楷体" w:eastAsia="楷体" w:cs="楷体"/>
          <w:color w:val="000000" w:themeColor="text1"/>
          <w:sz w:val="24"/>
          <w:u w:val="single"/>
          <w14:textFill>
            <w14:solidFill>
              <w14:schemeClr w14:val="tx1"/>
            </w14:solidFill>
          </w14:textFill>
        </w:rPr>
        <w:t xml:space="preserve">   （盖章）          </w:t>
      </w:r>
      <w:r>
        <w:rPr>
          <w:rFonts w:hint="eastAsia" w:ascii="楷体" w:hAnsi="楷体" w:eastAsia="楷体" w:cs="楷体"/>
          <w:color w:val="000000" w:themeColor="text1"/>
          <w:sz w:val="24"/>
          <w14:textFill>
            <w14:solidFill>
              <w14:schemeClr w14:val="tx1"/>
            </w14:solidFill>
          </w14:textFill>
        </w:rPr>
        <w:t xml:space="preserve">   监理人：</w:t>
      </w:r>
      <w:r>
        <w:rPr>
          <w:rFonts w:hint="eastAsia" w:ascii="楷体" w:hAnsi="楷体" w:eastAsia="楷体" w:cs="楷体"/>
          <w:color w:val="000000" w:themeColor="text1"/>
          <w:sz w:val="24"/>
          <w:u w:val="single"/>
          <w14:textFill>
            <w14:solidFill>
              <w14:schemeClr w14:val="tx1"/>
            </w14:solidFill>
          </w14:textFill>
        </w:rPr>
        <w:t xml:space="preserve">   （盖章）          </w:t>
      </w:r>
    </w:p>
    <w:p w14:paraId="096C17B3">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住所： </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 xml:space="preserve">    住所： </w:t>
      </w:r>
      <w:r>
        <w:rPr>
          <w:rFonts w:hint="eastAsia" w:ascii="楷体" w:hAnsi="楷体" w:eastAsia="楷体" w:cs="楷体"/>
          <w:color w:val="000000" w:themeColor="text1"/>
          <w:sz w:val="24"/>
          <w:u w:val="single"/>
          <w14:textFill>
            <w14:solidFill>
              <w14:schemeClr w14:val="tx1"/>
            </w14:solidFill>
          </w14:textFill>
        </w:rPr>
        <w:t xml:space="preserve">                      </w:t>
      </w:r>
    </w:p>
    <w:p w14:paraId="4BCBFBF4">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邮政编码：</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 xml:space="preserve">   邮政编码：</w:t>
      </w:r>
      <w:r>
        <w:rPr>
          <w:rFonts w:hint="eastAsia" w:ascii="楷体" w:hAnsi="楷体" w:eastAsia="楷体" w:cs="楷体"/>
          <w:color w:val="000000" w:themeColor="text1"/>
          <w:sz w:val="24"/>
          <w:u w:val="single"/>
          <w14:textFill>
            <w14:solidFill>
              <w14:schemeClr w14:val="tx1"/>
            </w14:solidFill>
          </w14:textFill>
        </w:rPr>
        <w:t xml:space="preserve">                   </w:t>
      </w:r>
    </w:p>
    <w:p w14:paraId="73855276">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法定代表人或其授权              法定代表人或其授权</w:t>
      </w:r>
    </w:p>
    <w:p w14:paraId="06E51D4A">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的代理人：</w:t>
      </w:r>
      <w:r>
        <w:rPr>
          <w:rFonts w:hint="eastAsia" w:ascii="楷体" w:hAnsi="楷体" w:eastAsia="楷体" w:cs="楷体"/>
          <w:color w:val="000000" w:themeColor="text1"/>
          <w:sz w:val="24"/>
          <w:u w:val="single"/>
          <w14:textFill>
            <w14:solidFill>
              <w14:schemeClr w14:val="tx1"/>
            </w14:solidFill>
          </w14:textFill>
        </w:rPr>
        <w:t xml:space="preserve">（签字）           </w:t>
      </w:r>
      <w:r>
        <w:rPr>
          <w:rFonts w:hint="eastAsia" w:ascii="楷体" w:hAnsi="楷体" w:eastAsia="楷体" w:cs="楷体"/>
          <w:color w:val="000000" w:themeColor="text1"/>
          <w:sz w:val="24"/>
          <w14:textFill>
            <w14:solidFill>
              <w14:schemeClr w14:val="tx1"/>
            </w14:solidFill>
          </w14:textFill>
        </w:rPr>
        <w:t xml:space="preserve">   的代理人：</w:t>
      </w:r>
      <w:r>
        <w:rPr>
          <w:rFonts w:hint="eastAsia" w:ascii="楷体" w:hAnsi="楷体" w:eastAsia="楷体" w:cs="楷体"/>
          <w:color w:val="000000" w:themeColor="text1"/>
          <w:sz w:val="24"/>
          <w:u w:val="single"/>
          <w14:textFill>
            <w14:solidFill>
              <w14:schemeClr w14:val="tx1"/>
            </w14:solidFill>
          </w14:textFill>
        </w:rPr>
        <w:t xml:space="preserve">（签字）           </w:t>
      </w:r>
    </w:p>
    <w:p w14:paraId="3E08D72C">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开户银行：</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 xml:space="preserve">   开户银行：</w:t>
      </w:r>
      <w:r>
        <w:rPr>
          <w:rFonts w:hint="eastAsia" w:ascii="楷体" w:hAnsi="楷体" w:eastAsia="楷体" w:cs="楷体"/>
          <w:color w:val="000000" w:themeColor="text1"/>
          <w:sz w:val="24"/>
          <w:u w:val="single"/>
          <w14:textFill>
            <w14:solidFill>
              <w14:schemeClr w14:val="tx1"/>
            </w14:solidFill>
          </w14:textFill>
        </w:rPr>
        <w:t xml:space="preserve">                   </w:t>
      </w:r>
    </w:p>
    <w:p w14:paraId="5BE8C37A">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账号：</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 xml:space="preserve">   账号：</w:t>
      </w:r>
      <w:r>
        <w:rPr>
          <w:rFonts w:hint="eastAsia" w:ascii="楷体" w:hAnsi="楷体" w:eastAsia="楷体" w:cs="楷体"/>
          <w:color w:val="000000" w:themeColor="text1"/>
          <w:sz w:val="24"/>
          <w:u w:val="single"/>
          <w14:textFill>
            <w14:solidFill>
              <w14:schemeClr w14:val="tx1"/>
            </w14:solidFill>
          </w14:textFill>
        </w:rPr>
        <w:t xml:space="preserve">                       </w:t>
      </w:r>
    </w:p>
    <w:p w14:paraId="62A366A0">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电话：</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 xml:space="preserve">   电话：</w:t>
      </w:r>
      <w:r>
        <w:rPr>
          <w:rFonts w:hint="eastAsia" w:ascii="楷体" w:hAnsi="楷体" w:eastAsia="楷体" w:cs="楷体"/>
          <w:color w:val="000000" w:themeColor="text1"/>
          <w:sz w:val="24"/>
          <w:u w:val="single"/>
          <w14:textFill>
            <w14:solidFill>
              <w14:schemeClr w14:val="tx1"/>
            </w14:solidFill>
          </w14:textFill>
        </w:rPr>
        <w:t xml:space="preserve">                       </w:t>
      </w:r>
    </w:p>
    <w:p w14:paraId="656DFA69">
      <w:pPr>
        <w:adjustRightInd w:val="0"/>
        <w:snapToGrid w:val="0"/>
        <w:spacing w:line="360" w:lineRule="auto"/>
        <w:ind w:firstLine="475" w:firstLineChars="198"/>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传真：</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 xml:space="preserve">   传真：</w:t>
      </w:r>
      <w:r>
        <w:rPr>
          <w:rFonts w:hint="eastAsia" w:ascii="楷体" w:hAnsi="楷体" w:eastAsia="楷体" w:cs="楷体"/>
          <w:color w:val="000000" w:themeColor="text1"/>
          <w:sz w:val="24"/>
          <w:u w:val="single"/>
          <w14:textFill>
            <w14:solidFill>
              <w14:schemeClr w14:val="tx1"/>
            </w14:solidFill>
          </w14:textFill>
        </w:rPr>
        <w:t xml:space="preserve">                       </w:t>
      </w:r>
    </w:p>
    <w:p w14:paraId="5E12479B">
      <w:pPr>
        <w:adjustRightInd w:val="0"/>
        <w:snapToGrid w:val="0"/>
        <w:spacing w:line="360" w:lineRule="auto"/>
        <w:ind w:firstLine="475" w:firstLineChars="198"/>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电子邮箱：</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 xml:space="preserve">   电子邮箱：</w:t>
      </w:r>
      <w:r>
        <w:rPr>
          <w:rFonts w:hint="eastAsia" w:ascii="楷体" w:hAnsi="楷体" w:eastAsia="楷体" w:cs="楷体"/>
          <w:color w:val="000000" w:themeColor="text1"/>
          <w:sz w:val="24"/>
          <w:u w:val="single"/>
          <w14:textFill>
            <w14:solidFill>
              <w14:schemeClr w14:val="tx1"/>
            </w14:solidFill>
          </w14:textFill>
        </w:rPr>
        <w:t xml:space="preserve">                   </w:t>
      </w:r>
    </w:p>
    <w:p w14:paraId="75E52CFF">
      <w:pPr>
        <w:pageBreakBefore/>
        <w:adjustRightInd w:val="0"/>
        <w:snapToGrid w:val="0"/>
        <w:spacing w:line="400" w:lineRule="exact"/>
        <w:jc w:val="center"/>
        <w:rPr>
          <w:rFonts w:ascii="楷体" w:hAnsi="楷体" w:eastAsia="楷体" w:cs="楷体"/>
          <w:b/>
          <w:color w:val="000000" w:themeColor="text1"/>
          <w:sz w:val="24"/>
          <w14:textFill>
            <w14:solidFill>
              <w14:schemeClr w14:val="tx1"/>
            </w14:solidFill>
          </w14:textFill>
        </w:rPr>
        <w:sectPr>
          <w:pgSz w:w="11910" w:h="16850"/>
          <w:pgMar w:top="1480" w:right="1057" w:bottom="1140" w:left="1200" w:header="0" w:footer="943" w:gutter="0"/>
          <w:cols w:space="720" w:num="1"/>
        </w:sectPr>
      </w:pPr>
    </w:p>
    <w:p w14:paraId="636C2893">
      <w:pPr>
        <w:spacing w:line="400" w:lineRule="exact"/>
        <w:jc w:val="center"/>
        <w:rPr>
          <w:rFonts w:ascii="楷体" w:hAnsi="楷体" w:eastAsia="楷体" w:cs="楷体"/>
          <w:b/>
          <w:color w:val="000000" w:themeColor="text1"/>
          <w:kern w:val="0"/>
          <w:sz w:val="24"/>
          <w:lang w:val="zh-CN"/>
          <w14:textFill>
            <w14:solidFill>
              <w14:schemeClr w14:val="tx1"/>
            </w14:solidFill>
          </w14:textFill>
        </w:rPr>
      </w:pPr>
      <w:r>
        <w:rPr>
          <w:rFonts w:hint="eastAsia" w:ascii="楷体" w:hAnsi="楷体" w:eastAsia="楷体" w:cs="楷体"/>
          <w:b/>
          <w:color w:val="000000" w:themeColor="text1"/>
          <w:kern w:val="0"/>
          <w:sz w:val="24"/>
          <w:lang w:val="zh-CN"/>
          <w14:textFill>
            <w14:solidFill>
              <w14:schemeClr w14:val="tx1"/>
            </w14:solidFill>
          </w14:textFill>
        </w:rPr>
        <w:t>第二部分   通用条件</w:t>
      </w:r>
    </w:p>
    <w:p w14:paraId="2EE92DC5">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299" w:name="_Toc225868296"/>
      <w:bookmarkStart w:id="300" w:name="_Toc225867094"/>
      <w:r>
        <w:rPr>
          <w:rFonts w:hint="eastAsia" w:ascii="楷体" w:hAnsi="楷体" w:eastAsia="楷体" w:cs="楷体"/>
          <w:b/>
          <w:color w:val="000000" w:themeColor="text1"/>
          <w:sz w:val="24"/>
          <w14:textFill>
            <w14:solidFill>
              <w14:schemeClr w14:val="tx1"/>
            </w14:solidFill>
          </w14:textFill>
        </w:rPr>
        <w:t>1. 定义与解释</w:t>
      </w:r>
      <w:bookmarkEnd w:id="299"/>
      <w:bookmarkEnd w:id="300"/>
    </w:p>
    <w:p w14:paraId="6C2BAE92">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01" w:name="_Toc225867095"/>
      <w:bookmarkStart w:id="302" w:name="_Toc225868297"/>
      <w:r>
        <w:rPr>
          <w:rFonts w:hint="eastAsia" w:ascii="楷体" w:hAnsi="楷体" w:eastAsia="楷体" w:cs="楷体"/>
          <w:color w:val="000000" w:themeColor="text1"/>
          <w:sz w:val="24"/>
          <w14:textFill>
            <w14:solidFill>
              <w14:schemeClr w14:val="tx1"/>
            </w14:solidFill>
          </w14:textFill>
        </w:rPr>
        <w:t>1.1 定义</w:t>
      </w:r>
      <w:bookmarkEnd w:id="301"/>
      <w:bookmarkEnd w:id="302"/>
    </w:p>
    <w:p w14:paraId="08ED2DC9">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03" w:name="_Toc225868298"/>
      <w:bookmarkStart w:id="304" w:name="_Toc225867096"/>
      <w:r>
        <w:rPr>
          <w:rFonts w:hint="eastAsia" w:ascii="楷体" w:hAnsi="楷体" w:eastAsia="楷体" w:cs="楷体"/>
          <w:color w:val="000000" w:themeColor="text1"/>
          <w:sz w:val="24"/>
          <w14:textFill>
            <w14:solidFill>
              <w14:schemeClr w14:val="tx1"/>
            </w14:solidFill>
          </w14:textFill>
        </w:rPr>
        <w:t>除根据上下文另有其意义外，组成本合同的全部文件中的下列名词和用语应具有本款所赋予的含义：</w:t>
      </w:r>
      <w:bookmarkEnd w:id="303"/>
      <w:bookmarkEnd w:id="304"/>
    </w:p>
    <w:p w14:paraId="54624519">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05" w:name="_Toc225868299"/>
      <w:bookmarkStart w:id="306" w:name="_Toc225867097"/>
      <w:r>
        <w:rPr>
          <w:rFonts w:hint="eastAsia" w:ascii="楷体" w:hAnsi="楷体" w:eastAsia="楷体" w:cs="楷体"/>
          <w:color w:val="000000" w:themeColor="text1"/>
          <w:sz w:val="24"/>
          <w14:textFill>
            <w14:solidFill>
              <w14:schemeClr w14:val="tx1"/>
            </w14:solidFill>
          </w14:textFill>
        </w:rPr>
        <w:t>1.1.1 “工程”是指按照本合同约定实施监理与相关服务的建设工程。</w:t>
      </w:r>
      <w:bookmarkEnd w:id="305"/>
      <w:bookmarkEnd w:id="306"/>
    </w:p>
    <w:p w14:paraId="3B1AF319">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07" w:name="_Toc225868300"/>
      <w:bookmarkStart w:id="308" w:name="_Toc225867098"/>
      <w:r>
        <w:rPr>
          <w:rFonts w:hint="eastAsia" w:ascii="楷体" w:hAnsi="楷体" w:eastAsia="楷体" w:cs="楷体"/>
          <w:color w:val="000000" w:themeColor="text1"/>
          <w:sz w:val="24"/>
          <w14:textFill>
            <w14:solidFill>
              <w14:schemeClr w14:val="tx1"/>
            </w14:solidFill>
          </w14:textFill>
        </w:rPr>
        <w:t>1.1.2 “委托人”是指本合同中委托监理与相关服务的一方，及其合法的继承人或受让人。</w:t>
      </w:r>
      <w:bookmarkEnd w:id="307"/>
      <w:bookmarkEnd w:id="308"/>
    </w:p>
    <w:p w14:paraId="72866D57">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09" w:name="_Toc225868301"/>
      <w:bookmarkStart w:id="310" w:name="_Toc225867099"/>
      <w:r>
        <w:rPr>
          <w:rFonts w:hint="eastAsia" w:ascii="楷体" w:hAnsi="楷体" w:eastAsia="楷体" w:cs="楷体"/>
          <w:color w:val="000000" w:themeColor="text1"/>
          <w:sz w:val="24"/>
          <w14:textFill>
            <w14:solidFill>
              <w14:schemeClr w14:val="tx1"/>
            </w14:solidFill>
          </w14:textFill>
        </w:rPr>
        <w:t>1.1.3 “监理人”是指本合同中提供监理与相关服务的一方，及其合法的继承人。</w:t>
      </w:r>
      <w:bookmarkEnd w:id="309"/>
      <w:bookmarkEnd w:id="310"/>
    </w:p>
    <w:p w14:paraId="46242C82">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11" w:name="_Toc225868302"/>
      <w:bookmarkStart w:id="312" w:name="_Toc225867100"/>
      <w:r>
        <w:rPr>
          <w:rFonts w:hint="eastAsia" w:ascii="楷体" w:hAnsi="楷体" w:eastAsia="楷体" w:cs="楷体"/>
          <w:color w:val="000000" w:themeColor="text1"/>
          <w:sz w:val="24"/>
          <w14:textFill>
            <w14:solidFill>
              <w14:schemeClr w14:val="tx1"/>
            </w14:solidFill>
          </w14:textFill>
        </w:rPr>
        <w:t>1.1.4 “承包人”是指在工程范围内与委托人签订勘察、设计、施工等有关合同的当事人，及其合法的继承人。</w:t>
      </w:r>
      <w:bookmarkEnd w:id="311"/>
      <w:bookmarkEnd w:id="312"/>
    </w:p>
    <w:p w14:paraId="15CD0C95">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13" w:name="_Toc225867101"/>
      <w:bookmarkStart w:id="314" w:name="_Toc225868303"/>
      <w:r>
        <w:rPr>
          <w:rFonts w:hint="eastAsia" w:ascii="楷体" w:hAnsi="楷体" w:eastAsia="楷体" w:cs="楷体"/>
          <w:color w:val="000000" w:themeColor="text1"/>
          <w:sz w:val="24"/>
          <w14:textFill>
            <w14:solidFill>
              <w14:schemeClr w14:val="tx1"/>
            </w14:solidFill>
          </w14:textFill>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bookmarkEnd w:id="313"/>
      <w:bookmarkEnd w:id="314"/>
    </w:p>
    <w:p w14:paraId="18156D5F">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15" w:name="_Toc225868304"/>
      <w:bookmarkStart w:id="316" w:name="_Toc225867102"/>
      <w:r>
        <w:rPr>
          <w:rFonts w:hint="eastAsia" w:ascii="楷体" w:hAnsi="楷体" w:eastAsia="楷体" w:cs="楷体"/>
          <w:color w:val="000000" w:themeColor="text1"/>
          <w:sz w:val="24"/>
          <w14:textFill>
            <w14:solidFill>
              <w14:schemeClr w14:val="tx1"/>
            </w14:solidFill>
          </w14:textFill>
        </w:rPr>
        <w:t>1.1.6 “相关服务”是指监理人受委托人的委托 ，按照本合同约定，在勘察、设计、保修等阶段提供的服务活动。</w:t>
      </w:r>
      <w:bookmarkEnd w:id="315"/>
      <w:bookmarkEnd w:id="316"/>
    </w:p>
    <w:p w14:paraId="344D17B8">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17" w:name="_Toc225867103"/>
      <w:bookmarkStart w:id="318" w:name="_Toc225868305"/>
      <w:r>
        <w:rPr>
          <w:rFonts w:hint="eastAsia" w:ascii="楷体" w:hAnsi="楷体" w:eastAsia="楷体" w:cs="楷体"/>
          <w:color w:val="000000" w:themeColor="text1"/>
          <w:sz w:val="24"/>
          <w14:textFill>
            <w14:solidFill>
              <w14:schemeClr w14:val="tx1"/>
            </w14:solidFill>
          </w14:textFill>
        </w:rPr>
        <w:t>1.1.7 “正常工作”指本合同订立时通用条件和专用条件中约定的监理人的工作。</w:t>
      </w:r>
      <w:bookmarkEnd w:id="317"/>
      <w:bookmarkEnd w:id="318"/>
    </w:p>
    <w:p w14:paraId="235FBC49">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19" w:name="_Toc225867104"/>
      <w:bookmarkStart w:id="320" w:name="_Toc225868306"/>
      <w:r>
        <w:rPr>
          <w:rFonts w:hint="eastAsia" w:ascii="楷体" w:hAnsi="楷体" w:eastAsia="楷体" w:cs="楷体"/>
          <w:color w:val="000000" w:themeColor="text1"/>
          <w:sz w:val="24"/>
          <w14:textFill>
            <w14:solidFill>
              <w14:schemeClr w14:val="tx1"/>
            </w14:solidFill>
          </w14:textFill>
        </w:rPr>
        <w:t>1.1.8 “附加工作”是指本合同约定的正常工作以外监理人的工作。</w:t>
      </w:r>
      <w:bookmarkEnd w:id="319"/>
      <w:bookmarkEnd w:id="320"/>
    </w:p>
    <w:p w14:paraId="741E5EE7">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21" w:name="_Toc225867105"/>
      <w:bookmarkStart w:id="322" w:name="_Toc225868307"/>
      <w:r>
        <w:rPr>
          <w:rFonts w:hint="eastAsia" w:ascii="楷体" w:hAnsi="楷体" w:eastAsia="楷体" w:cs="楷体"/>
          <w:color w:val="000000" w:themeColor="text1"/>
          <w:sz w:val="24"/>
          <w14:textFill>
            <w14:solidFill>
              <w14:schemeClr w14:val="tx1"/>
            </w14:solidFill>
          </w14:textFill>
        </w:rPr>
        <w:t>1.1.9 “项目监理机构”是指监理人派驻工程负责履行本合同的组织机构。</w:t>
      </w:r>
      <w:bookmarkEnd w:id="321"/>
      <w:bookmarkEnd w:id="322"/>
    </w:p>
    <w:p w14:paraId="14B6F96A">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23" w:name="_Toc225867106"/>
      <w:bookmarkStart w:id="324" w:name="_Toc225868308"/>
      <w:r>
        <w:rPr>
          <w:rFonts w:hint="eastAsia" w:ascii="楷体" w:hAnsi="楷体" w:eastAsia="楷体" w:cs="楷体"/>
          <w:color w:val="000000" w:themeColor="text1"/>
          <w:sz w:val="24"/>
          <w14:textFill>
            <w14:solidFill>
              <w14:schemeClr w14:val="tx1"/>
            </w14:solidFill>
          </w14:textFill>
        </w:rPr>
        <w:t>1.1.10 “总监理工程师”是指由监理人的法定代表人书面授权，全面负责履行本合同、主持项目监理机构工作的注册监理工程师。</w:t>
      </w:r>
      <w:bookmarkEnd w:id="323"/>
      <w:bookmarkEnd w:id="324"/>
    </w:p>
    <w:p w14:paraId="2BDA4B56">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25" w:name="_Toc225868309"/>
      <w:bookmarkStart w:id="326" w:name="_Toc225867107"/>
      <w:r>
        <w:rPr>
          <w:rFonts w:hint="eastAsia" w:ascii="楷体" w:hAnsi="楷体" w:eastAsia="楷体" w:cs="楷体"/>
          <w:color w:val="000000" w:themeColor="text1"/>
          <w:sz w:val="24"/>
          <w14:textFill>
            <w14:solidFill>
              <w14:schemeClr w14:val="tx1"/>
            </w14:solidFill>
          </w14:textFill>
        </w:rPr>
        <w:t>1.1.11 “酬金”是指监理人履行本合同义务，委托人按照本合同约定给付监理人的金额。</w:t>
      </w:r>
      <w:bookmarkEnd w:id="325"/>
      <w:bookmarkEnd w:id="326"/>
    </w:p>
    <w:p w14:paraId="0214DD0D">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27" w:name="_Toc225867108"/>
      <w:bookmarkStart w:id="328" w:name="_Toc225868310"/>
      <w:r>
        <w:rPr>
          <w:rFonts w:hint="eastAsia" w:ascii="楷体" w:hAnsi="楷体" w:eastAsia="楷体" w:cs="楷体"/>
          <w:color w:val="000000" w:themeColor="text1"/>
          <w:sz w:val="24"/>
          <w14:textFill>
            <w14:solidFill>
              <w14:schemeClr w14:val="tx1"/>
            </w14:solidFill>
          </w14:textFill>
        </w:rPr>
        <w:t>1.1.12 “正常工作酬金”是指监理人完成正常工作，委托人应给付监理人并在协议书中载明的签约酬金额。</w:t>
      </w:r>
      <w:bookmarkEnd w:id="327"/>
      <w:bookmarkEnd w:id="328"/>
    </w:p>
    <w:p w14:paraId="0A8119F1">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29" w:name="_Toc225867109"/>
      <w:bookmarkStart w:id="330" w:name="_Toc225868311"/>
      <w:r>
        <w:rPr>
          <w:rFonts w:hint="eastAsia" w:ascii="楷体" w:hAnsi="楷体" w:eastAsia="楷体" w:cs="楷体"/>
          <w:color w:val="000000" w:themeColor="text1"/>
          <w:sz w:val="24"/>
          <w14:textFill>
            <w14:solidFill>
              <w14:schemeClr w14:val="tx1"/>
            </w14:solidFill>
          </w14:textFill>
        </w:rPr>
        <w:t>1.1.13 “附加工作酬金”是指监理人完成附加工作，委托人应给付监理人的金额。</w:t>
      </w:r>
      <w:bookmarkEnd w:id="329"/>
      <w:bookmarkEnd w:id="330"/>
    </w:p>
    <w:p w14:paraId="4284D944">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31" w:name="_Toc225868312"/>
      <w:bookmarkStart w:id="332" w:name="_Toc225867110"/>
      <w:r>
        <w:rPr>
          <w:rFonts w:hint="eastAsia" w:ascii="楷体" w:hAnsi="楷体" w:eastAsia="楷体" w:cs="楷体"/>
          <w:color w:val="000000" w:themeColor="text1"/>
          <w:sz w:val="24"/>
          <w14:textFill>
            <w14:solidFill>
              <w14:schemeClr w14:val="tx1"/>
            </w14:solidFill>
          </w14:textFill>
        </w:rPr>
        <w:t>1.1.14 “一方”是指委托人或监理人；“双方”是指委托人和监理人；“第三方”是指除委托人和监理人以外的有关方。</w:t>
      </w:r>
      <w:bookmarkEnd w:id="331"/>
      <w:bookmarkEnd w:id="332"/>
    </w:p>
    <w:p w14:paraId="1EFDFA36">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33" w:name="_Toc225868313"/>
      <w:bookmarkStart w:id="334" w:name="_Toc225867111"/>
      <w:r>
        <w:rPr>
          <w:rFonts w:hint="eastAsia" w:ascii="楷体" w:hAnsi="楷体" w:eastAsia="楷体" w:cs="楷体"/>
          <w:color w:val="000000" w:themeColor="text1"/>
          <w:sz w:val="24"/>
          <w14:textFill>
            <w14:solidFill>
              <w14:schemeClr w14:val="tx1"/>
            </w14:solidFill>
          </w14:textFill>
        </w:rPr>
        <w:t>1.1.15 “书面形式”是指合同书、信件和数据电文（包括电报、电传、传真、电子数据交换和电子邮件）等可以有形地表现所载内容的形式。</w:t>
      </w:r>
      <w:bookmarkEnd w:id="333"/>
      <w:bookmarkEnd w:id="334"/>
    </w:p>
    <w:p w14:paraId="7136E9F0">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35" w:name="_Toc225868314"/>
      <w:bookmarkStart w:id="336" w:name="_Toc225867112"/>
      <w:r>
        <w:rPr>
          <w:rFonts w:hint="eastAsia" w:ascii="楷体" w:hAnsi="楷体" w:eastAsia="楷体" w:cs="楷体"/>
          <w:color w:val="000000" w:themeColor="text1"/>
          <w:sz w:val="24"/>
          <w14:textFill>
            <w14:solidFill>
              <w14:schemeClr w14:val="tx1"/>
            </w14:solidFill>
          </w14:textFill>
        </w:rPr>
        <w:t>1.1.16 “天”是指第一天零时至第二天零时的时间。</w:t>
      </w:r>
      <w:bookmarkEnd w:id="335"/>
      <w:bookmarkEnd w:id="336"/>
    </w:p>
    <w:p w14:paraId="0BC5CE65">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37" w:name="_Toc225868315"/>
      <w:bookmarkStart w:id="338" w:name="_Toc225867113"/>
      <w:r>
        <w:rPr>
          <w:rFonts w:hint="eastAsia" w:ascii="楷体" w:hAnsi="楷体" w:eastAsia="楷体" w:cs="楷体"/>
          <w:color w:val="000000" w:themeColor="text1"/>
          <w:sz w:val="24"/>
          <w14:textFill>
            <w14:solidFill>
              <w14:schemeClr w14:val="tx1"/>
            </w14:solidFill>
          </w14:textFill>
        </w:rPr>
        <w:t>1.1.17“月”是指按公历从一个月中任何一天开始的一个公历月时间。</w:t>
      </w:r>
      <w:bookmarkEnd w:id="337"/>
      <w:bookmarkEnd w:id="338"/>
    </w:p>
    <w:p w14:paraId="15BB79FE">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39" w:name="_Toc225868316"/>
      <w:bookmarkStart w:id="340" w:name="_Toc225867114"/>
      <w:r>
        <w:rPr>
          <w:rFonts w:hint="eastAsia" w:ascii="楷体" w:hAnsi="楷体" w:eastAsia="楷体" w:cs="楷体"/>
          <w:color w:val="000000" w:themeColor="text1"/>
          <w:sz w:val="24"/>
          <w14:textFill>
            <w14:solidFill>
              <w14:schemeClr w14:val="tx1"/>
            </w14:solidFill>
          </w14:textFill>
        </w:rPr>
        <w:t>1.1.18 “不可抗力”是指委托人和监理人在订立本合同时不可预见，在工程施工过程中不可避免发生并不能克服的自然灾害和社会性突发事件，如地震、海啸、瘟疫、水灾、骚乱、暴动、战争和专用条件约定的其他情形。</w:t>
      </w:r>
      <w:bookmarkEnd w:id="339"/>
      <w:bookmarkEnd w:id="340"/>
    </w:p>
    <w:p w14:paraId="43594624">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41" w:name="_Toc225868317"/>
      <w:bookmarkStart w:id="342" w:name="_Toc225867115"/>
      <w:r>
        <w:rPr>
          <w:rFonts w:hint="eastAsia" w:ascii="楷体" w:hAnsi="楷体" w:eastAsia="楷体" w:cs="楷体"/>
          <w:color w:val="000000" w:themeColor="text1"/>
          <w:sz w:val="24"/>
          <w14:textFill>
            <w14:solidFill>
              <w14:schemeClr w14:val="tx1"/>
            </w14:solidFill>
          </w14:textFill>
        </w:rPr>
        <w:t>1.2 解释</w:t>
      </w:r>
      <w:bookmarkEnd w:id="341"/>
      <w:bookmarkEnd w:id="342"/>
    </w:p>
    <w:p w14:paraId="3A1265F1">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43" w:name="_Toc225868318"/>
      <w:bookmarkStart w:id="344" w:name="_Toc225867116"/>
      <w:r>
        <w:rPr>
          <w:rFonts w:hint="eastAsia" w:ascii="楷体" w:hAnsi="楷体" w:eastAsia="楷体" w:cs="楷体"/>
          <w:color w:val="000000" w:themeColor="text1"/>
          <w:sz w:val="24"/>
          <w14:textFill>
            <w14:solidFill>
              <w14:schemeClr w14:val="tx1"/>
            </w14:solidFill>
          </w14:textFill>
        </w:rPr>
        <w:t>1.2.1本合同使用中文书写、解释和说明。如专用条件约定使用两种及以上语言文字时，应以中文为准。</w:t>
      </w:r>
      <w:bookmarkEnd w:id="343"/>
      <w:bookmarkEnd w:id="344"/>
    </w:p>
    <w:p w14:paraId="01499D8E">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45" w:name="_Toc225867117"/>
      <w:bookmarkStart w:id="346" w:name="_Toc225868319"/>
      <w:r>
        <w:rPr>
          <w:rFonts w:hint="eastAsia" w:ascii="楷体" w:hAnsi="楷体" w:eastAsia="楷体" w:cs="楷体"/>
          <w:color w:val="000000" w:themeColor="text1"/>
          <w:sz w:val="24"/>
          <w14:textFill>
            <w14:solidFill>
              <w14:schemeClr w14:val="tx1"/>
            </w14:solidFill>
          </w14:textFill>
        </w:rPr>
        <w:t>1.2.2 组成本合同的下列文件彼此应能相互解释、互为说明。除专用条件另有约定外，本合同文件的解释顺序如下：</w:t>
      </w:r>
      <w:bookmarkEnd w:id="345"/>
      <w:bookmarkEnd w:id="346"/>
    </w:p>
    <w:p w14:paraId="057E16F0">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47" w:name="_Toc225867118"/>
      <w:bookmarkStart w:id="348" w:name="_Toc225868320"/>
      <w:r>
        <w:rPr>
          <w:rFonts w:hint="eastAsia" w:ascii="楷体" w:hAnsi="楷体" w:eastAsia="楷体" w:cs="楷体"/>
          <w:color w:val="000000" w:themeColor="text1"/>
          <w:sz w:val="24"/>
          <w14:textFill>
            <w14:solidFill>
              <w14:schemeClr w14:val="tx1"/>
            </w14:solidFill>
          </w14:textFill>
        </w:rPr>
        <w:t>（1）协议书；</w:t>
      </w:r>
      <w:bookmarkEnd w:id="347"/>
      <w:bookmarkEnd w:id="348"/>
    </w:p>
    <w:p w14:paraId="54DB0A35">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49" w:name="_Toc225868321"/>
      <w:bookmarkStart w:id="350" w:name="_Toc225867119"/>
      <w:r>
        <w:rPr>
          <w:rFonts w:hint="eastAsia" w:ascii="楷体" w:hAnsi="楷体" w:eastAsia="楷体" w:cs="楷体"/>
          <w:color w:val="000000" w:themeColor="text1"/>
          <w:sz w:val="24"/>
          <w14:textFill>
            <w14:solidFill>
              <w14:schemeClr w14:val="tx1"/>
            </w14:solidFill>
          </w14:textFill>
        </w:rPr>
        <w:t>（2）中标通知书（适用于招标工程）或委托书（适用于非招标工程）；</w:t>
      </w:r>
      <w:bookmarkEnd w:id="349"/>
      <w:bookmarkEnd w:id="350"/>
    </w:p>
    <w:p w14:paraId="75045BFD">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51" w:name="_Toc225868322"/>
      <w:bookmarkStart w:id="352" w:name="_Toc225867120"/>
      <w:r>
        <w:rPr>
          <w:rFonts w:hint="eastAsia" w:ascii="楷体" w:hAnsi="楷体" w:eastAsia="楷体" w:cs="楷体"/>
          <w:color w:val="000000" w:themeColor="text1"/>
          <w:sz w:val="24"/>
          <w14:textFill>
            <w14:solidFill>
              <w14:schemeClr w14:val="tx1"/>
            </w14:solidFill>
          </w14:textFill>
        </w:rPr>
        <w:t>（3）专用条件及附录A、附录B；</w:t>
      </w:r>
      <w:bookmarkEnd w:id="351"/>
      <w:bookmarkEnd w:id="352"/>
    </w:p>
    <w:p w14:paraId="1D0814A7">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53" w:name="_Toc225868323"/>
      <w:bookmarkStart w:id="354" w:name="_Toc225867121"/>
      <w:r>
        <w:rPr>
          <w:rFonts w:hint="eastAsia" w:ascii="楷体" w:hAnsi="楷体" w:eastAsia="楷体" w:cs="楷体"/>
          <w:color w:val="000000" w:themeColor="text1"/>
          <w:sz w:val="24"/>
          <w14:textFill>
            <w14:solidFill>
              <w14:schemeClr w14:val="tx1"/>
            </w14:solidFill>
          </w14:textFill>
        </w:rPr>
        <w:t>（4）通用条件；</w:t>
      </w:r>
      <w:bookmarkEnd w:id="353"/>
      <w:bookmarkEnd w:id="354"/>
    </w:p>
    <w:p w14:paraId="52FED581">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55" w:name="_Toc225868324"/>
      <w:bookmarkStart w:id="356" w:name="_Toc225867122"/>
      <w:r>
        <w:rPr>
          <w:rFonts w:hint="eastAsia" w:ascii="楷体" w:hAnsi="楷体" w:eastAsia="楷体" w:cs="楷体"/>
          <w:color w:val="000000" w:themeColor="text1"/>
          <w:sz w:val="24"/>
          <w14:textFill>
            <w14:solidFill>
              <w14:schemeClr w14:val="tx1"/>
            </w14:solidFill>
          </w14:textFill>
        </w:rPr>
        <w:t>（5）投标文件（适用于招标工程）或监理与相关服务建议书（适用于非招标工程）。</w:t>
      </w:r>
      <w:bookmarkEnd w:id="355"/>
      <w:bookmarkEnd w:id="356"/>
    </w:p>
    <w:p w14:paraId="1C7385C2">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57" w:name="_Toc225867123"/>
      <w:bookmarkStart w:id="358" w:name="_Toc225868325"/>
      <w:r>
        <w:rPr>
          <w:rFonts w:hint="eastAsia" w:ascii="楷体" w:hAnsi="楷体" w:eastAsia="楷体" w:cs="楷体"/>
          <w:color w:val="000000" w:themeColor="text1"/>
          <w:sz w:val="24"/>
          <w14:textFill>
            <w14:solidFill>
              <w14:schemeClr w14:val="tx1"/>
            </w14:solidFill>
          </w14:textFill>
        </w:rPr>
        <w:t>双方签订的补充协议与其他文件发生矛盾或歧义时，属于同一类内容的文件，应以最新签署的为准。</w:t>
      </w:r>
      <w:bookmarkEnd w:id="357"/>
      <w:bookmarkEnd w:id="358"/>
    </w:p>
    <w:p w14:paraId="7538725B">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359" w:name="_Toc225867124"/>
      <w:bookmarkStart w:id="360" w:name="_Toc225868326"/>
      <w:r>
        <w:rPr>
          <w:rFonts w:hint="eastAsia" w:ascii="楷体" w:hAnsi="楷体" w:eastAsia="楷体" w:cs="楷体"/>
          <w:b/>
          <w:color w:val="000000" w:themeColor="text1"/>
          <w:sz w:val="24"/>
          <w14:textFill>
            <w14:solidFill>
              <w14:schemeClr w14:val="tx1"/>
            </w14:solidFill>
          </w14:textFill>
        </w:rPr>
        <w:t>2. 监理人的义务</w:t>
      </w:r>
      <w:bookmarkEnd w:id="359"/>
      <w:bookmarkEnd w:id="360"/>
    </w:p>
    <w:p w14:paraId="1E43A87F">
      <w:pPr>
        <w:spacing w:line="360" w:lineRule="auto"/>
        <w:ind w:firstLine="475" w:firstLineChars="198"/>
        <w:outlineLvl w:val="0"/>
        <w:rPr>
          <w:rFonts w:ascii="楷体" w:hAnsi="楷体" w:eastAsia="楷体" w:cs="楷体"/>
          <w:color w:val="000000" w:themeColor="text1"/>
          <w:sz w:val="24"/>
          <w14:textFill>
            <w14:solidFill>
              <w14:schemeClr w14:val="tx1"/>
            </w14:solidFill>
          </w14:textFill>
        </w:rPr>
      </w:pPr>
      <w:bookmarkStart w:id="361" w:name="_Toc225867125"/>
      <w:bookmarkStart w:id="362" w:name="_Toc225868327"/>
      <w:r>
        <w:rPr>
          <w:rFonts w:hint="eastAsia" w:ascii="楷体" w:hAnsi="楷体" w:eastAsia="楷体" w:cs="楷体"/>
          <w:color w:val="000000" w:themeColor="text1"/>
          <w:sz w:val="24"/>
          <w14:textFill>
            <w14:solidFill>
              <w14:schemeClr w14:val="tx1"/>
            </w14:solidFill>
          </w14:textFill>
        </w:rPr>
        <w:t>2.1 监理的范围和工作内容</w:t>
      </w:r>
      <w:bookmarkEnd w:id="361"/>
      <w:bookmarkEnd w:id="362"/>
    </w:p>
    <w:p w14:paraId="078B58F5">
      <w:pPr>
        <w:adjustRightInd w:val="0"/>
        <w:snapToGrid w:val="0"/>
        <w:spacing w:line="360" w:lineRule="auto"/>
        <w:ind w:left="420" w:left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2.1.1 监理范围在专用条件中约定。</w:t>
      </w:r>
    </w:p>
    <w:p w14:paraId="4589F77F">
      <w:pPr>
        <w:adjustRightInd w:val="0"/>
        <w:snapToGrid w:val="0"/>
        <w:spacing w:line="360" w:lineRule="auto"/>
        <w:ind w:left="420" w:left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2.1.2 除专用条件另有约定外，监理工作内容包括：</w:t>
      </w:r>
    </w:p>
    <w:p w14:paraId="1D31688C">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（1）收到工程设计文件后编制监理规划，并在第一次工地会议7天前报委托人。根据有关规定和监理工作需要，编制监理实施细则；</w:t>
      </w:r>
    </w:p>
    <w:p w14:paraId="2AD9FD6F">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（2）熟悉工程设计文件，并参加由委托人主持的图纸会审和设计交底会议；</w:t>
      </w:r>
    </w:p>
    <w:p w14:paraId="3780945E">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（3）参加由委托人主持的第一次工地会议；主持监理例会并根据工程需要主持或参加专题会议；</w:t>
      </w:r>
    </w:p>
    <w:p w14:paraId="2EF1B989">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（4）审查施工承包人提交的施工组织设计，重点审查其中的质量安全技术措施、专项施工方案与工程建设强制性标准的符合性；</w:t>
      </w:r>
    </w:p>
    <w:p w14:paraId="71C55A7C">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（5）检查施工承包人工程质量、安全生产管理制度及组织机构和人员资格； </w:t>
      </w:r>
    </w:p>
    <w:p w14:paraId="40BE6EAB">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（6）检查施工承包人专职安全生产管理人员的配备情况；</w:t>
      </w:r>
    </w:p>
    <w:p w14:paraId="3D359DE4">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（7）审查施工承包人提交的施工进度计划，核查承包人对施工进度计划的调整；</w:t>
      </w:r>
    </w:p>
    <w:p w14:paraId="14A20255">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（8）检查施工承包人的试验室；</w:t>
      </w:r>
    </w:p>
    <w:p w14:paraId="5765580F">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（9）审核施工分包人资质条件；</w:t>
      </w:r>
    </w:p>
    <w:p w14:paraId="1F7BA1D0">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（10）查验施工承包人的施工测量放线成果；</w:t>
      </w:r>
    </w:p>
    <w:p w14:paraId="6950C5FB">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（11）审查工程开工条件，对条件具备的签发开工令；</w:t>
      </w:r>
    </w:p>
    <w:p w14:paraId="4EA3554C">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（12）审查施工承包人报送的工程材料、构配件、设备质量证明文件的有效性和符合性，并按规定对用于工程的材料采取平行检验或见证取样方式进行抽检；</w:t>
      </w:r>
    </w:p>
    <w:p w14:paraId="6E2D6F67">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（13）审核施工承包人提交的工程款支付申请，签发或出具工程款支付证书，并报委托人审核、批准；</w:t>
      </w:r>
    </w:p>
    <w:p w14:paraId="678649D9">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（14）在巡视、旁站和检验过程中，发现工程质量、施工安全存在事故隐患的，要求施工承包人整改并报委托人；</w:t>
      </w:r>
    </w:p>
    <w:p w14:paraId="7451115D">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（15）经委托人同意，签发工程暂停令和复工令；</w:t>
      </w:r>
    </w:p>
    <w:p w14:paraId="3F9C42BE">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（16）审查施工承包人提交的采用新材料、新工艺、新技术、新设备的论证材料及相关验收标准；</w:t>
      </w:r>
    </w:p>
    <w:p w14:paraId="1A4030F6">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（17）验收隐蔽工程、分部分项工程；</w:t>
      </w:r>
    </w:p>
    <w:p w14:paraId="67AF02FD">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（18）审查施工承包人提交的工程变更申请，协调处理施工进度调整、费用索赔、合同争议等事项；</w:t>
      </w:r>
    </w:p>
    <w:p w14:paraId="689D9927">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（19）审查施工承包人提交的竣工验收申请，编写工程质量评估报告；</w:t>
      </w:r>
    </w:p>
    <w:p w14:paraId="63CE9870">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（20）参加工程竣工验收，签署竣工验收意见；</w:t>
      </w:r>
    </w:p>
    <w:p w14:paraId="6C1CE43B">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（21）审查施工承包人提交的竣工结算申请并报委托人；</w:t>
      </w:r>
    </w:p>
    <w:p w14:paraId="1477134F">
      <w:pPr>
        <w:adjustRightInd w:val="0"/>
        <w:snapToGrid w:val="0"/>
        <w:spacing w:line="360" w:lineRule="auto"/>
        <w:ind w:firstLine="42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（22）编制、整理工程监理归档文件并报委托人。</w:t>
      </w:r>
    </w:p>
    <w:p w14:paraId="138D9B8E">
      <w:pPr>
        <w:spacing w:line="360" w:lineRule="auto"/>
        <w:ind w:left="420" w:leftChars="200" w:firstLine="120" w:firstLineChars="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2.1.3 相关服务的范围和内容在附录A中约定。</w:t>
      </w:r>
    </w:p>
    <w:p w14:paraId="4E0E3C97">
      <w:pPr>
        <w:spacing w:line="360" w:lineRule="auto"/>
        <w:ind w:left="420" w:leftChars="200" w:firstLine="120" w:firstLineChars="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2.2 监理与相关服务依据</w:t>
      </w:r>
    </w:p>
    <w:p w14:paraId="168DD103">
      <w:pPr>
        <w:spacing w:line="360" w:lineRule="auto"/>
        <w:ind w:left="420" w:leftChars="200" w:firstLine="120" w:firstLineChars="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2.2.1 监理依据包括：</w:t>
      </w:r>
    </w:p>
    <w:p w14:paraId="1C807842">
      <w:pPr>
        <w:adjustRightInd w:val="0"/>
        <w:snapToGrid w:val="0"/>
        <w:spacing w:line="360" w:lineRule="auto"/>
        <w:ind w:firstLine="600" w:firstLineChars="2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（1）适用的法律、行政法规及部门规章；</w:t>
      </w:r>
    </w:p>
    <w:p w14:paraId="722BD605">
      <w:pPr>
        <w:adjustRightInd w:val="0"/>
        <w:snapToGrid w:val="0"/>
        <w:spacing w:line="360" w:lineRule="auto"/>
        <w:ind w:firstLine="600" w:firstLineChars="2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（2）与工程有关的标准；</w:t>
      </w:r>
    </w:p>
    <w:p w14:paraId="78C69D6E">
      <w:pPr>
        <w:adjustRightInd w:val="0"/>
        <w:snapToGrid w:val="0"/>
        <w:spacing w:line="360" w:lineRule="auto"/>
        <w:ind w:firstLine="600" w:firstLineChars="2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（3）工程设计及有关文件；</w:t>
      </w:r>
    </w:p>
    <w:p w14:paraId="3702B57C">
      <w:pPr>
        <w:adjustRightInd w:val="0"/>
        <w:snapToGrid w:val="0"/>
        <w:spacing w:line="360" w:lineRule="auto"/>
        <w:ind w:firstLine="600" w:firstLineChars="2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（4）本合同及委托人与第三方签订的与实施工程有关的其他合同。</w:t>
      </w:r>
    </w:p>
    <w:p w14:paraId="1004A47E">
      <w:pPr>
        <w:spacing w:line="360" w:lineRule="auto"/>
        <w:ind w:left="210" w:leftChars="100"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双方根据工程的行业和地域特点，在专用条件中具体约定监理依据。</w:t>
      </w:r>
    </w:p>
    <w:p w14:paraId="107C98E2">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2.2.2 相关服务依据在专用条件中约定。</w:t>
      </w:r>
    </w:p>
    <w:p w14:paraId="21F6DBD7">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2.3 项目监理机构和人员</w:t>
      </w:r>
    </w:p>
    <w:p w14:paraId="7DD79E30">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2.3.1 监理人应组建满足工作需要的项目监理机构，配备必要的检测设备。项目监理机构的主要人员应具有相应的资格条件。</w:t>
      </w:r>
    </w:p>
    <w:p w14:paraId="69B2173C">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2.3.2本合同履行过程中，总监理工程师及重要岗位监理人员应保持相对稳定，以保证监理工作正常进行。</w:t>
      </w:r>
    </w:p>
    <w:p w14:paraId="47DC2691">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2C8902F3">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2.3.4 监理人应及时更换有下列情形之一的监理人员：</w:t>
      </w:r>
    </w:p>
    <w:p w14:paraId="3CE2893A">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（1）严重过失行为的；</w:t>
      </w:r>
    </w:p>
    <w:p w14:paraId="241E7A39">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（2）有违法行为不能履行职责的；</w:t>
      </w:r>
    </w:p>
    <w:p w14:paraId="1C3B7FEE">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（3）涉嫌犯罪的；</w:t>
      </w:r>
    </w:p>
    <w:p w14:paraId="47F1E722">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（4）不能胜任岗位职责的；</w:t>
      </w:r>
    </w:p>
    <w:p w14:paraId="4874BF7F">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（5）严重违反职业道德的；</w:t>
      </w:r>
    </w:p>
    <w:p w14:paraId="3725BA33">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（6）专用条件约定的其他情形。</w:t>
      </w:r>
    </w:p>
    <w:p w14:paraId="3CE607B1">
      <w:pPr>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2.3.5 委托人可要求监理人更换不能胜任本职工作的项目监理机构人员。</w:t>
      </w:r>
    </w:p>
    <w:p w14:paraId="481AA2A5">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2.4 履行职责</w:t>
      </w:r>
    </w:p>
    <w:p w14:paraId="3851643E">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监理人应遵循职业道德准则和行为规范，严格按照法律法规、工程建设有关标准及本合同履行职责。</w:t>
      </w:r>
    </w:p>
    <w:p w14:paraId="1F4C8642">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2.4.1 在监理与相关服务范围内，委托人和承包人提出的意见和要求，监理人应及时提出处置意见。当委托人与承包人之间发生合同争议时，监理人应协助委托人、承包人协商解决。</w:t>
      </w:r>
    </w:p>
    <w:p w14:paraId="0B34B084">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2.4.2 当委托人与承包人之间的合同争议提交仲裁机构仲裁或人民法院审理时，监理人应提供必要的证明资料。</w:t>
      </w:r>
    </w:p>
    <w:p w14:paraId="0ABB2184">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2.4.3 监理人应在专用条件约定的授权范围内，处理委托人与承包人所签订合同的变更事宜。如果变更超过授权范围，应以书面形式报委托人批准。</w:t>
      </w:r>
    </w:p>
    <w:p w14:paraId="05546464">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在紧急情况下，为了保护财产和人身安全，监理人所发出的指令未能事先报委托人批准时，应在发出指令后的24小时内以书面形式报委托人。</w:t>
      </w:r>
    </w:p>
    <w:p w14:paraId="23D7AE2D">
      <w:pPr>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2.4.4 除专用条件另有约定外，监理人发现承包人的人员不能胜任本职工作的，有权要求承包人予以调换。</w:t>
      </w:r>
    </w:p>
    <w:p w14:paraId="7CE1CB88">
      <w:pPr>
        <w:spacing w:line="360" w:lineRule="auto"/>
        <w:ind w:left="210" w:leftChars="1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2.5 提交报告</w:t>
      </w:r>
    </w:p>
    <w:p w14:paraId="683B1989">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监理人应按专用条件约定的种类、时间和份数向委托人提交监理与相关服务的报告。</w:t>
      </w:r>
    </w:p>
    <w:p w14:paraId="2CD0E73E">
      <w:pPr>
        <w:spacing w:line="360" w:lineRule="auto"/>
        <w:ind w:left="210" w:leftChars="1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2.6 文件资料</w:t>
      </w:r>
    </w:p>
    <w:p w14:paraId="29DC7B2E">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在本合同履行期内，监理人应在现场保留工作所用的图纸、报告及记录监理工</w:t>
      </w:r>
      <w:r>
        <w:rPr>
          <w:rFonts w:hint="eastAsia" w:ascii="楷体" w:hAnsi="楷体" w:eastAsia="楷体" w:cs="楷体"/>
          <w:color w:val="000000" w:themeColor="text1"/>
          <w:sz w:val="24"/>
          <w14:textFill>
            <w14:solidFill>
              <w14:schemeClr w14:val="tx1"/>
            </w14:solidFill>
          </w14:textFill>
        </w:rPr>
        <w:t>作的相关文件。工程竣工后，应当按照档案管理规定将监理有关文件归档。</w:t>
      </w:r>
    </w:p>
    <w:p w14:paraId="1CDB2B6D">
      <w:pPr>
        <w:spacing w:line="360" w:lineRule="auto"/>
        <w:ind w:left="210" w:leftChars="1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2.7 使用委托人的财产</w:t>
      </w:r>
    </w:p>
    <w:p w14:paraId="4A796BE5">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0863ECEF">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363" w:name="_Toc225868328"/>
      <w:bookmarkStart w:id="364" w:name="_Toc225867126"/>
      <w:r>
        <w:rPr>
          <w:rFonts w:hint="eastAsia" w:ascii="楷体" w:hAnsi="楷体" w:eastAsia="楷体" w:cs="楷体"/>
          <w:b/>
          <w:color w:val="000000" w:themeColor="text1"/>
          <w:sz w:val="24"/>
          <w14:textFill>
            <w14:solidFill>
              <w14:schemeClr w14:val="tx1"/>
            </w14:solidFill>
          </w14:textFill>
        </w:rPr>
        <w:t>3．委托人的义务</w:t>
      </w:r>
      <w:bookmarkEnd w:id="363"/>
      <w:bookmarkEnd w:id="364"/>
    </w:p>
    <w:p w14:paraId="478BBED5">
      <w:pPr>
        <w:spacing w:line="360" w:lineRule="auto"/>
        <w:ind w:left="210" w:leftChars="1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3.1 告知</w:t>
      </w:r>
    </w:p>
    <w:p w14:paraId="713359AB">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委托人应在委托人与承包人签订的合同中明确监理人、总监理工程师和授予项目监理机构的权限。如有变更，应及时通知承包人。</w:t>
      </w:r>
    </w:p>
    <w:p w14:paraId="591F2FD0">
      <w:pPr>
        <w:spacing w:line="360" w:lineRule="auto"/>
        <w:ind w:left="210" w:leftChars="1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3.2 提供资料</w:t>
      </w:r>
    </w:p>
    <w:p w14:paraId="2CAB28AD">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委托人应按照附录B约定，无偿向监理人提供工程有关的资料。在本合同履行过程中，委托人应及时向监理人提供最新的与工程有关的资料。</w:t>
      </w:r>
    </w:p>
    <w:p w14:paraId="0DA0A418">
      <w:pPr>
        <w:spacing w:line="360" w:lineRule="auto"/>
        <w:ind w:left="210" w:leftChars="1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3.3 提供工作条件</w:t>
      </w:r>
    </w:p>
    <w:p w14:paraId="2401EC6F">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委托人应为监理人完成监理与相关服务提供必要的条件。</w:t>
      </w:r>
    </w:p>
    <w:p w14:paraId="384DDAD5">
      <w:pPr>
        <w:spacing w:line="360" w:lineRule="auto"/>
        <w:ind w:left="210" w:leftChars="1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3.3.1 委托人应按照附录B约定，派遣相应的人员，提供房屋、设备，供监理人无偿使用。</w:t>
      </w:r>
    </w:p>
    <w:p w14:paraId="14F47BB9">
      <w:pPr>
        <w:spacing w:line="360" w:lineRule="auto"/>
        <w:ind w:left="210" w:leftChars="1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3.3.2 委托人应负责协调工程建设中所有外部关系，为监理人履行本合同提供必要的外部条件。</w:t>
      </w:r>
    </w:p>
    <w:p w14:paraId="79E34D41">
      <w:pPr>
        <w:spacing w:line="360" w:lineRule="auto"/>
        <w:ind w:left="210" w:leftChars="1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3.4 委托人代表</w:t>
      </w:r>
    </w:p>
    <w:p w14:paraId="5E84D67B">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委托人应授权一名熟悉工程情况的代表，负责与监理人联系。委托人应在双方签订本合同后7天内，将委托人代表的姓名和职责书面告知监理人。当委托人更换委托人代表时，应提前7天通知监理人。</w:t>
      </w:r>
    </w:p>
    <w:p w14:paraId="418093F6">
      <w:pPr>
        <w:spacing w:line="360" w:lineRule="auto"/>
        <w:ind w:left="210" w:leftChars="1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3.5 委托人意见或要求</w:t>
      </w:r>
    </w:p>
    <w:p w14:paraId="217D334D">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在本合同约定的监理与相关服务工作范围内，委托人对承包人的任何意见或要求应通知监理人，由监理人向承包人发出相应指令。</w:t>
      </w:r>
    </w:p>
    <w:p w14:paraId="68939566">
      <w:pPr>
        <w:spacing w:line="360" w:lineRule="auto"/>
        <w:ind w:left="210" w:leftChars="1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3.6 答复</w:t>
      </w:r>
    </w:p>
    <w:p w14:paraId="1B5FBC02">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委托人应在专用条件约定的时间内，对监理人以书面形式提交并要求作出决定的事宜，给予书面答复。逾期未答复的，视为委托人认可。</w:t>
      </w:r>
    </w:p>
    <w:p w14:paraId="6C4BC0CB">
      <w:pPr>
        <w:spacing w:line="360" w:lineRule="auto"/>
        <w:ind w:left="210" w:leftChars="1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3.7 支付</w:t>
      </w:r>
    </w:p>
    <w:p w14:paraId="33686FC3">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委托人应按本合同约定，向监理人支付酬金。</w:t>
      </w:r>
    </w:p>
    <w:p w14:paraId="290B9EE3">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365" w:name="_Toc225867127"/>
      <w:bookmarkStart w:id="366" w:name="_Toc225868329"/>
      <w:r>
        <w:rPr>
          <w:rFonts w:hint="eastAsia" w:ascii="楷体" w:hAnsi="楷体" w:eastAsia="楷体" w:cs="楷体"/>
          <w:b/>
          <w:color w:val="000000" w:themeColor="text1"/>
          <w:sz w:val="24"/>
          <w14:textFill>
            <w14:solidFill>
              <w14:schemeClr w14:val="tx1"/>
            </w14:solidFill>
          </w14:textFill>
        </w:rPr>
        <w:t>4. 违约责任</w:t>
      </w:r>
      <w:bookmarkEnd w:id="365"/>
      <w:bookmarkEnd w:id="366"/>
    </w:p>
    <w:p w14:paraId="20D44396">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4.1 监理人的违约责任</w:t>
      </w:r>
    </w:p>
    <w:p w14:paraId="1AEC7AEA">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监理人未履行本合同义务的，应承担相应的责任。</w:t>
      </w:r>
    </w:p>
    <w:p w14:paraId="5CAAAD22">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4.1.1 因监理人违反本合同约定</w:t>
      </w:r>
      <w:r>
        <w:rPr>
          <w:rFonts w:hint="eastAsia" w:ascii="楷体" w:hAnsi="楷体" w:eastAsia="楷体" w:cs="楷体"/>
          <w:color w:val="000000" w:themeColor="text1"/>
          <w:sz w:val="24"/>
          <w14:textFill>
            <w14:solidFill>
              <w14:schemeClr w14:val="tx1"/>
            </w14:solidFill>
          </w14:textFill>
        </w:rPr>
        <w:t>给委托人造成损失的，监理人应当赔偿委托人损失</w:t>
      </w:r>
      <w:r>
        <w:rPr>
          <w:rFonts w:hint="eastAsia" w:ascii="楷体" w:hAnsi="楷体" w:eastAsia="楷体" w:cs="楷体"/>
          <w:color w:val="000000" w:themeColor="text1"/>
          <w:kern w:val="0"/>
          <w:sz w:val="24"/>
          <w14:textFill>
            <w14:solidFill>
              <w14:schemeClr w14:val="tx1"/>
            </w14:solidFill>
          </w14:textFill>
        </w:rPr>
        <w:t>。赔偿金额的确定方法在专用条件中约定。监理人承担部分赔偿责任的，其承担赔偿金额由双方协商确定。</w:t>
      </w:r>
    </w:p>
    <w:p w14:paraId="3688F0A1">
      <w:pPr>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4.1.2 监理人向委托人的索赔不成立时，监理人应赔偿委托人由此发生的费用。</w:t>
      </w:r>
    </w:p>
    <w:p w14:paraId="74FDC157">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4.2 委托人的违约责任</w:t>
      </w:r>
    </w:p>
    <w:p w14:paraId="4E936BBE">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委托人未履行本合同义务的，应承担相应的责任。</w:t>
      </w:r>
    </w:p>
    <w:p w14:paraId="4C541060">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4.2.1 委托人违反本合同约定造成监理人损失的，委托人应予以赔偿。</w:t>
      </w:r>
    </w:p>
    <w:p w14:paraId="5CCD496E">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4.2.2 委托人向监理人的索赔不成立时，应赔偿监理人由此引起的费用。</w:t>
      </w:r>
    </w:p>
    <w:p w14:paraId="2C2A3190">
      <w:pPr>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4.2.3 </w:t>
      </w:r>
      <w:r>
        <w:rPr>
          <w:rFonts w:hint="eastAsia" w:ascii="楷体" w:hAnsi="楷体" w:eastAsia="楷体" w:cs="楷体"/>
          <w:color w:val="000000" w:themeColor="text1"/>
          <w:kern w:val="0"/>
          <w:sz w:val="24"/>
          <w14:textFill>
            <w14:solidFill>
              <w14:schemeClr w14:val="tx1"/>
            </w14:solidFill>
          </w14:textFill>
        </w:rPr>
        <w:t>委托人未能按期支付</w:t>
      </w:r>
      <w:r>
        <w:rPr>
          <w:rFonts w:hint="eastAsia" w:ascii="楷体" w:hAnsi="楷体" w:eastAsia="楷体" w:cs="楷体"/>
          <w:color w:val="000000" w:themeColor="text1"/>
          <w:sz w:val="24"/>
          <w14:textFill>
            <w14:solidFill>
              <w14:schemeClr w14:val="tx1"/>
            </w14:solidFill>
          </w14:textFill>
        </w:rPr>
        <w:t>酬金</w:t>
      </w:r>
      <w:r>
        <w:rPr>
          <w:rFonts w:hint="eastAsia" w:ascii="楷体" w:hAnsi="楷体" w:eastAsia="楷体" w:cs="楷体"/>
          <w:color w:val="000000" w:themeColor="text1"/>
          <w:kern w:val="0"/>
          <w:sz w:val="24"/>
          <w14:textFill>
            <w14:solidFill>
              <w14:schemeClr w14:val="tx1"/>
            </w14:solidFill>
          </w14:textFill>
        </w:rPr>
        <w:t>超过28天，应按专用条件约定支付逾期付款利息。</w:t>
      </w:r>
    </w:p>
    <w:p w14:paraId="644C0D93">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4.3 除外责任</w:t>
      </w:r>
    </w:p>
    <w:p w14:paraId="3A719659">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因非监理人的原因，且监理人无过错，发生工程质量事故、安全事故、工期延误等造成的损失，监理人不承担赔偿责任。</w:t>
      </w:r>
    </w:p>
    <w:p w14:paraId="0BDDF032">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因不可抗力导致本合同全部或部分不能履行时，双方各自承担其因此而造成的损失、损害。</w:t>
      </w:r>
    </w:p>
    <w:p w14:paraId="5922815C">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367" w:name="_Toc225867128"/>
      <w:bookmarkStart w:id="368" w:name="_Toc225868330"/>
      <w:r>
        <w:rPr>
          <w:rFonts w:hint="eastAsia" w:ascii="楷体" w:hAnsi="楷体" w:eastAsia="楷体" w:cs="楷体"/>
          <w:b/>
          <w:color w:val="000000" w:themeColor="text1"/>
          <w:sz w:val="24"/>
          <w14:textFill>
            <w14:solidFill>
              <w14:schemeClr w14:val="tx1"/>
            </w14:solidFill>
          </w14:textFill>
        </w:rPr>
        <w:t>5. 支付</w:t>
      </w:r>
      <w:bookmarkEnd w:id="367"/>
      <w:bookmarkEnd w:id="368"/>
    </w:p>
    <w:p w14:paraId="6CF16378">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5.1 支付货币</w:t>
      </w:r>
    </w:p>
    <w:p w14:paraId="39CBAC6F">
      <w:pPr>
        <w:snapToGrid w:val="0"/>
        <w:spacing w:line="360" w:lineRule="auto"/>
        <w:ind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除专用条件另有约定外，酬金均以人民币支付。涉及外币支付的，所采用的货币种类、比例和汇率在专用条件中约定。</w:t>
      </w:r>
    </w:p>
    <w:p w14:paraId="36213663">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5.2 支付申请</w:t>
      </w:r>
    </w:p>
    <w:p w14:paraId="7FFCE3B1">
      <w:pPr>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监理人应在本合同约定的每次应付款时间的7天前，向委托人提交支付申请书。支付申请书应当说明当期应付款总额，并列出当期应支付的款项及其金额。</w:t>
      </w:r>
    </w:p>
    <w:p w14:paraId="120AA3FE">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 5.3 支付酬金</w:t>
      </w:r>
    </w:p>
    <w:p w14:paraId="76428B4F">
      <w:pPr>
        <w:snapToGrid w:val="0"/>
        <w:spacing w:line="360" w:lineRule="auto"/>
        <w:ind w:firstLine="48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支付的酬金包括正常工作酬金、附加工作酬金、合理化建议奖励金额及费用。</w:t>
      </w:r>
    </w:p>
    <w:p w14:paraId="130BBE92">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  5.4 有争议部分的付款</w:t>
      </w:r>
    </w:p>
    <w:p w14:paraId="5A8589D8">
      <w:pPr>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委托人对监理人提交的支付申请书有异议时，应当在收到监理人提交的支付申请书后7天内，以书面形式向监理人发出异议通知。无异议部分的款项应按期支付，有异议部分的款项按第7条约定办理。</w:t>
      </w:r>
    </w:p>
    <w:p w14:paraId="1EA7CD78">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369" w:name="_Toc225867129"/>
      <w:bookmarkStart w:id="370" w:name="_Toc225868331"/>
      <w:r>
        <w:rPr>
          <w:rFonts w:hint="eastAsia" w:ascii="楷体" w:hAnsi="楷体" w:eastAsia="楷体" w:cs="楷体"/>
          <w:b/>
          <w:color w:val="000000" w:themeColor="text1"/>
          <w:sz w:val="24"/>
          <w14:textFill>
            <w14:solidFill>
              <w14:schemeClr w14:val="tx1"/>
            </w14:solidFill>
          </w14:textFill>
        </w:rPr>
        <w:t>6. 合同生效、变更、暂停、解除与终止</w:t>
      </w:r>
      <w:bookmarkEnd w:id="369"/>
      <w:bookmarkEnd w:id="370"/>
    </w:p>
    <w:p w14:paraId="70307C23">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6.1生效</w:t>
      </w:r>
    </w:p>
    <w:p w14:paraId="1224B46A">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除法律另有规定或者专用条件另有约定外，委托人和监理人的法定代表人或其授权代理人在协议书上签字并盖单位章后本合同生效。</w:t>
      </w:r>
    </w:p>
    <w:p w14:paraId="4B97E0EB">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6.2变更</w:t>
      </w:r>
    </w:p>
    <w:p w14:paraId="45095F6A">
      <w:pPr>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6.2.1 任何一方提出变更请求时，双方经协商一致后可进行变更。</w:t>
      </w:r>
    </w:p>
    <w:p w14:paraId="1EF3910A">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4B4A635E">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560111C2">
      <w:pPr>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6.2.4合同签订后，遇有与工程相关的法律法规、标准颁布或修订的，双方应遵照执行。由此引起监理与相关服务的范围、时间、酬金变化的，双方应通过协商进行相应调整。</w:t>
      </w:r>
    </w:p>
    <w:p w14:paraId="18771E5D">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6.2.5 因非监理人原因造成工程概算投资额或建筑安装工程费增加时，正常工作酬金应作相应调整。调整方法在专用条件中约定。</w:t>
      </w:r>
    </w:p>
    <w:p w14:paraId="647A470C">
      <w:pPr>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6.2.6 因工程规模、监理范围的变化导致监理人的正常工作量减少时，正常工作酬金应作相应调整。调整方法在专用条件中约定。</w:t>
      </w:r>
    </w:p>
    <w:p w14:paraId="1F3F2C9B">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6.3 暂停与解除</w:t>
      </w:r>
    </w:p>
    <w:p w14:paraId="4EAD9852">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除双方协商一致可以解除本合同外，当一方无正当理由未履行本合同约定的义务时，另一方可以根据本合同约定暂停履行本合同直至解除本合同。</w:t>
      </w:r>
    </w:p>
    <w:p w14:paraId="3AD0AB12">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48A60E07">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因解除本合同或解除监理人的部分义务导致监理人遭受的损失，除依法可以免除责任的情况外，应由委托人予以补偿，补偿金额由双方协商确定。</w:t>
      </w:r>
    </w:p>
    <w:p w14:paraId="4095B57F">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解除本合同的协议必须采取书面形式，协议未达成之前，本合同仍然有效。</w:t>
      </w:r>
    </w:p>
    <w:p w14:paraId="1A9FCBE3">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14E6693F">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楷体" w:hAnsi="楷体" w:eastAsia="楷体" w:cs="楷体"/>
          <w:color w:val="000000" w:themeColor="text1"/>
          <w:kern w:val="0"/>
          <w:sz w:val="24"/>
          <w14:textFill>
            <w14:solidFill>
              <w14:schemeClr w14:val="tx1"/>
            </w14:solidFill>
          </w14:textFill>
        </w:rPr>
        <w:t>的</w:t>
      </w:r>
      <w:r>
        <w:rPr>
          <w:rFonts w:hint="eastAsia" w:ascii="楷体" w:hAnsi="楷体" w:eastAsia="楷体" w:cs="楷体"/>
          <w:color w:val="000000" w:themeColor="text1"/>
          <w:sz w:val="24"/>
          <w14:textFill>
            <w14:solidFill>
              <w14:schemeClr w14:val="tx1"/>
            </w14:solidFill>
          </w14:textFill>
        </w:rPr>
        <w:t>酬金支付至本合同解除日，且应承担第4.2款约定的责任。</w:t>
      </w:r>
    </w:p>
    <w:p w14:paraId="44D5FAAA">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楷体" w:hAnsi="楷体" w:eastAsia="楷体" w:cs="楷体"/>
          <w:color w:val="000000" w:themeColor="text1"/>
          <w:kern w:val="0"/>
          <w:sz w:val="24"/>
          <w14:textFill>
            <w14:solidFill>
              <w14:schemeClr w14:val="tx1"/>
            </w14:solidFill>
          </w14:textFill>
        </w:rPr>
        <w:t>的</w:t>
      </w:r>
      <w:r>
        <w:rPr>
          <w:rFonts w:hint="eastAsia" w:ascii="楷体" w:hAnsi="楷体" w:eastAsia="楷体" w:cs="楷体"/>
          <w:color w:val="000000" w:themeColor="text1"/>
          <w:sz w:val="24"/>
          <w14:textFill>
            <w14:solidFill>
              <w14:schemeClr w14:val="tx1"/>
            </w14:solidFill>
          </w14:textFill>
        </w:rPr>
        <w:t>酬金支付至</w:t>
      </w:r>
      <w:r>
        <w:rPr>
          <w:rFonts w:hint="eastAsia" w:ascii="楷体" w:hAnsi="楷体" w:eastAsia="楷体" w:cs="楷体"/>
          <w:color w:val="000000" w:themeColor="text1"/>
          <w:kern w:val="0"/>
          <w:sz w:val="24"/>
          <w14:textFill>
            <w14:solidFill>
              <w14:schemeClr w14:val="tx1"/>
            </w14:solidFill>
          </w14:textFill>
        </w:rPr>
        <w:t>限期改正通知到达监理人之日</w:t>
      </w:r>
      <w:r>
        <w:rPr>
          <w:rFonts w:hint="eastAsia" w:ascii="楷体" w:hAnsi="楷体" w:eastAsia="楷体" w:cs="楷体"/>
          <w:color w:val="000000" w:themeColor="text1"/>
          <w:sz w:val="24"/>
          <w14:textFill>
            <w14:solidFill>
              <w14:schemeClr w14:val="tx1"/>
            </w14:solidFill>
          </w14:textFill>
        </w:rPr>
        <w:t>，但监理人应承担第4.1款约定的责任。</w:t>
      </w:r>
    </w:p>
    <w:p w14:paraId="26B6028C">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4A414EF9">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6.3.5 因不可抗力致使本合同部分或全部不能履行时，一方应立即通知另一方，可暂停或解除本合同。</w:t>
      </w:r>
    </w:p>
    <w:p w14:paraId="1FECDF35">
      <w:pPr>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6.3.6 本合同解除后，本合同约定的有关结算、清理、争议解决方式的条件仍然有效。</w:t>
      </w:r>
    </w:p>
    <w:p w14:paraId="6B924F17">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6.4 终止</w:t>
      </w:r>
    </w:p>
    <w:p w14:paraId="36142900">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以下条件全部满足时，本合同即告终止：</w:t>
      </w:r>
    </w:p>
    <w:p w14:paraId="2F06682C">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（1）监理人完成本合同约定的全部工作；</w:t>
      </w:r>
    </w:p>
    <w:p w14:paraId="157C275B">
      <w:pPr>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（2）委托人与监理人结清并支付全部酬金。</w:t>
      </w:r>
    </w:p>
    <w:p w14:paraId="053D8FC9">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371" w:name="_Toc225867130"/>
      <w:bookmarkStart w:id="372" w:name="_Toc225868332"/>
      <w:r>
        <w:rPr>
          <w:rFonts w:hint="eastAsia" w:ascii="楷体" w:hAnsi="楷体" w:eastAsia="楷体" w:cs="楷体"/>
          <w:b/>
          <w:color w:val="000000" w:themeColor="text1"/>
          <w:sz w:val="24"/>
          <w14:textFill>
            <w14:solidFill>
              <w14:schemeClr w14:val="tx1"/>
            </w14:solidFill>
          </w14:textFill>
        </w:rPr>
        <w:t>7. 争议解决</w:t>
      </w:r>
      <w:bookmarkEnd w:id="371"/>
      <w:bookmarkEnd w:id="372"/>
    </w:p>
    <w:p w14:paraId="5A74AD78">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7.1协商</w:t>
      </w:r>
    </w:p>
    <w:p w14:paraId="74E1B2E1">
      <w:pPr>
        <w:snapToGrid w:val="0"/>
        <w:spacing w:line="360" w:lineRule="auto"/>
        <w:ind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双方应本着诚信原则协商解决彼此间的争议。</w:t>
      </w:r>
    </w:p>
    <w:p w14:paraId="61260C4A">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7.2调解</w:t>
      </w:r>
    </w:p>
    <w:p w14:paraId="046AE074">
      <w:pPr>
        <w:snapToGrid w:val="0"/>
        <w:spacing w:line="360" w:lineRule="auto"/>
        <w:ind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如果双方不能在14天内或双方商定的其他时间内解决本合同争议，可以将其提交给专用条件约定的或事后达成协议的调解人进行调解。</w:t>
      </w:r>
    </w:p>
    <w:p w14:paraId="328AE188">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7.3仲裁或诉讼</w:t>
      </w:r>
    </w:p>
    <w:p w14:paraId="5B1C49AD">
      <w:pPr>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双方均有权不经调解直接向专用条件约定的仲裁机构申请仲裁或向有管辖权的人民法院提起诉讼。</w:t>
      </w:r>
    </w:p>
    <w:p w14:paraId="628F1818">
      <w:pPr>
        <w:spacing w:line="360" w:lineRule="auto"/>
        <w:ind w:firstLine="477" w:firstLineChars="198"/>
        <w:outlineLvl w:val="0"/>
        <w:rPr>
          <w:rFonts w:ascii="楷体" w:hAnsi="楷体" w:eastAsia="楷体" w:cs="楷体"/>
          <w:b/>
          <w:color w:val="000000" w:themeColor="text1"/>
          <w:sz w:val="24"/>
          <w14:textFill>
            <w14:solidFill>
              <w14:schemeClr w14:val="tx1"/>
            </w14:solidFill>
          </w14:textFill>
        </w:rPr>
      </w:pPr>
      <w:bookmarkStart w:id="373" w:name="_Toc225868333"/>
      <w:bookmarkStart w:id="374" w:name="_Toc225867131"/>
      <w:r>
        <w:rPr>
          <w:rFonts w:hint="eastAsia" w:ascii="楷体" w:hAnsi="楷体" w:eastAsia="楷体" w:cs="楷体"/>
          <w:b/>
          <w:color w:val="000000" w:themeColor="text1"/>
          <w:sz w:val="24"/>
          <w14:textFill>
            <w14:solidFill>
              <w14:schemeClr w14:val="tx1"/>
            </w14:solidFill>
          </w14:textFill>
        </w:rPr>
        <w:t>8. 其他</w:t>
      </w:r>
      <w:bookmarkEnd w:id="373"/>
      <w:bookmarkEnd w:id="374"/>
    </w:p>
    <w:p w14:paraId="5385661D">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8.1 外出考察费用</w:t>
      </w:r>
    </w:p>
    <w:p w14:paraId="1DB557AF">
      <w:pPr>
        <w:snapToGrid w:val="0"/>
        <w:spacing w:line="360" w:lineRule="auto"/>
        <w:ind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经委托人同意，监理人员外出考察发生的费用由委托人审核后支付。</w:t>
      </w:r>
    </w:p>
    <w:p w14:paraId="35953609">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8.2 检测费用</w:t>
      </w:r>
    </w:p>
    <w:p w14:paraId="0662D971">
      <w:pPr>
        <w:snapToGrid w:val="0"/>
        <w:spacing w:line="360" w:lineRule="auto"/>
        <w:ind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委托人要求监理人进行的材料和设备检测所发生的费用，由委托人支付，支付时间在专用条件中约定。</w:t>
      </w:r>
    </w:p>
    <w:p w14:paraId="74B7478C">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8.3 咨询费用</w:t>
      </w:r>
    </w:p>
    <w:p w14:paraId="3F165DA3">
      <w:pPr>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经委托人同意，根据工程需要由监理人组织的相关咨询论证会以及聘请相关专家等发生的费用由委托人支付，支付时间在专用条件中约定。</w:t>
      </w:r>
    </w:p>
    <w:p w14:paraId="0A010EF9">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8.4 奖励</w:t>
      </w:r>
    </w:p>
    <w:p w14:paraId="07065535">
      <w:pPr>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监理人在服务过程中提出的合理化建议，使委托人获得经济效益的，双方在专用条件中约定奖励金额的确定方法。奖励金额在合理化建议被采纳后，与最近一期的正常工作酬金同期支付。</w:t>
      </w:r>
    </w:p>
    <w:p w14:paraId="7EDAFA33">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8.5 守法诚信</w:t>
      </w:r>
    </w:p>
    <w:p w14:paraId="0AC63370">
      <w:pPr>
        <w:snapToGrid w:val="0"/>
        <w:spacing w:line="360" w:lineRule="auto"/>
        <w:ind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监理人及其工作人员不得从与实施工程有关的第三方处获得任何经济利益。</w:t>
      </w:r>
    </w:p>
    <w:p w14:paraId="53B3EB05">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8.6 保密</w:t>
      </w:r>
    </w:p>
    <w:p w14:paraId="547BF9F1">
      <w:pPr>
        <w:snapToGrid w:val="0"/>
        <w:spacing w:line="360" w:lineRule="auto"/>
        <w:ind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双方不得泄露对方申明的保密资料，亦不得泄露与实施工程有关的第三方所提供的保密资料，保密事项在专用条件中约定。</w:t>
      </w:r>
    </w:p>
    <w:p w14:paraId="290C3F11">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8.7 通知</w:t>
      </w:r>
    </w:p>
    <w:p w14:paraId="1564EC02">
      <w:pPr>
        <w:snapToGrid w:val="0"/>
        <w:spacing w:line="360" w:lineRule="auto"/>
        <w:ind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本合同涉及的通知均应当采用书面形式，并在送达对方时生效，收件人应书面签收。</w:t>
      </w:r>
    </w:p>
    <w:p w14:paraId="6B56B0C9">
      <w:pPr>
        <w:adjustRightInd w:val="0"/>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8.8 著作权</w:t>
      </w:r>
    </w:p>
    <w:p w14:paraId="7019411C">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监理人对其编制的文件拥有著作权。</w:t>
      </w:r>
    </w:p>
    <w:p w14:paraId="3D25F47B">
      <w:pPr>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5D86B68B">
      <w:pPr>
        <w:pageBreakBefore/>
        <w:adjustRightInd w:val="0"/>
        <w:snapToGrid w:val="0"/>
        <w:spacing w:line="400" w:lineRule="exact"/>
        <w:jc w:val="center"/>
        <w:rPr>
          <w:rFonts w:ascii="楷体" w:hAnsi="楷体" w:eastAsia="楷体" w:cs="楷体"/>
          <w:b/>
          <w:color w:val="000000" w:themeColor="text1"/>
          <w:sz w:val="24"/>
          <w14:textFill>
            <w14:solidFill>
              <w14:schemeClr w14:val="tx1"/>
            </w14:solidFill>
          </w14:textFill>
        </w:rPr>
        <w:sectPr>
          <w:pgSz w:w="11910" w:h="16850"/>
          <w:pgMar w:top="1480" w:right="1057" w:bottom="1140" w:left="1200" w:header="0" w:footer="943" w:gutter="0"/>
          <w:cols w:space="720" w:num="1"/>
        </w:sectPr>
      </w:pPr>
    </w:p>
    <w:p w14:paraId="5B1BCB0C">
      <w:pPr>
        <w:pageBreakBefore/>
        <w:adjustRightInd w:val="0"/>
        <w:snapToGrid w:val="0"/>
        <w:spacing w:line="400" w:lineRule="exact"/>
        <w:jc w:val="center"/>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第三部分  专用条件</w:t>
      </w:r>
    </w:p>
    <w:p w14:paraId="441AEFB9">
      <w:pPr>
        <w:snapToGrid w:val="0"/>
        <w:spacing w:line="360" w:lineRule="auto"/>
        <w:ind w:firstLine="482" w:firstLineChars="200"/>
        <w:rPr>
          <w:rFonts w:ascii="楷体" w:hAnsi="楷体" w:eastAsia="楷体" w:cs="楷体"/>
          <w:b/>
          <w:color w:val="000000" w:themeColor="text1"/>
          <w:kern w:val="0"/>
          <w:sz w:val="24"/>
          <w14:textFill>
            <w14:solidFill>
              <w14:schemeClr w14:val="tx1"/>
            </w14:solidFill>
          </w14:textFill>
        </w:rPr>
      </w:pPr>
      <w:r>
        <w:rPr>
          <w:rFonts w:hint="eastAsia" w:ascii="楷体" w:hAnsi="楷体" w:eastAsia="楷体" w:cs="楷体"/>
          <w:b/>
          <w:color w:val="000000" w:themeColor="text1"/>
          <w:kern w:val="0"/>
          <w:sz w:val="24"/>
          <w14:textFill>
            <w14:solidFill>
              <w14:schemeClr w14:val="tx1"/>
            </w14:solidFill>
          </w14:textFill>
        </w:rPr>
        <w:t>1. 定义与解释</w:t>
      </w:r>
    </w:p>
    <w:p w14:paraId="5B37D83E">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1.2  解释</w:t>
      </w:r>
    </w:p>
    <w:p w14:paraId="10F73A10">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1.2.1 本合同文件除使用中文外，还可用</w:t>
      </w:r>
      <w:r>
        <w:rPr>
          <w:rFonts w:hint="eastAsia" w:ascii="楷体" w:hAnsi="楷体" w:eastAsia="楷体" w:cs="楷体"/>
          <w:color w:val="000000" w:themeColor="text1"/>
          <w:kern w:val="0"/>
          <w:sz w:val="24"/>
          <w:u w:val="single"/>
          <w14:textFill>
            <w14:solidFill>
              <w14:schemeClr w14:val="tx1"/>
            </w14:solidFill>
          </w14:textFill>
        </w:rPr>
        <w:t xml:space="preserve">  /  </w:t>
      </w:r>
      <w:r>
        <w:rPr>
          <w:rFonts w:hint="eastAsia" w:ascii="楷体" w:hAnsi="楷体" w:eastAsia="楷体" w:cs="楷体"/>
          <w:color w:val="000000" w:themeColor="text1"/>
          <w:kern w:val="0"/>
          <w:sz w:val="24"/>
          <w14:textFill>
            <w14:solidFill>
              <w14:schemeClr w14:val="tx1"/>
            </w14:solidFill>
          </w14:textFill>
        </w:rPr>
        <w:t>。</w:t>
      </w:r>
    </w:p>
    <w:p w14:paraId="73C596A2">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1.2.2 约定本合同文件的解释顺序为：</w:t>
      </w:r>
      <w:r>
        <w:rPr>
          <w:rFonts w:hint="eastAsia" w:ascii="楷体" w:hAnsi="楷体" w:eastAsia="楷体" w:cs="楷体"/>
          <w:color w:val="000000" w:themeColor="text1"/>
          <w:kern w:val="0"/>
          <w:sz w:val="24"/>
          <w:u w:val="single"/>
          <w14:textFill>
            <w14:solidFill>
              <w14:schemeClr w14:val="tx1"/>
            </w14:solidFill>
          </w14:textFill>
        </w:rPr>
        <w:t xml:space="preserve"> 按通用条件规定 </w:t>
      </w:r>
      <w:r>
        <w:rPr>
          <w:rFonts w:hint="eastAsia" w:ascii="楷体" w:hAnsi="楷体" w:eastAsia="楷体" w:cs="楷体"/>
          <w:color w:val="000000" w:themeColor="text1"/>
          <w:kern w:val="0"/>
          <w:sz w:val="24"/>
          <w14:textFill>
            <w14:solidFill>
              <w14:schemeClr w14:val="tx1"/>
            </w14:solidFill>
          </w14:textFill>
        </w:rPr>
        <w:t>。</w:t>
      </w:r>
    </w:p>
    <w:p w14:paraId="006C8A21">
      <w:pPr>
        <w:snapToGrid w:val="0"/>
        <w:spacing w:line="360" w:lineRule="auto"/>
        <w:ind w:firstLine="482" w:firstLineChars="200"/>
        <w:rPr>
          <w:rFonts w:ascii="楷体" w:hAnsi="楷体" w:eastAsia="楷体" w:cs="楷体"/>
          <w:b/>
          <w:color w:val="000000" w:themeColor="text1"/>
          <w:kern w:val="0"/>
          <w:sz w:val="24"/>
          <w14:textFill>
            <w14:solidFill>
              <w14:schemeClr w14:val="tx1"/>
            </w14:solidFill>
          </w14:textFill>
        </w:rPr>
      </w:pPr>
      <w:r>
        <w:rPr>
          <w:rFonts w:hint="eastAsia" w:ascii="楷体" w:hAnsi="楷体" w:eastAsia="楷体" w:cs="楷体"/>
          <w:b/>
          <w:color w:val="000000" w:themeColor="text1"/>
          <w:kern w:val="0"/>
          <w:sz w:val="24"/>
          <w14:textFill>
            <w14:solidFill>
              <w14:schemeClr w14:val="tx1"/>
            </w14:solidFill>
          </w14:textFill>
        </w:rPr>
        <w:t>2. 监理人义务</w:t>
      </w:r>
    </w:p>
    <w:p w14:paraId="6F85383C">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2.1 监理的范围和</w:t>
      </w:r>
      <w:r>
        <w:rPr>
          <w:rFonts w:hint="eastAsia" w:ascii="楷体" w:hAnsi="楷体" w:eastAsia="楷体" w:cs="楷体"/>
          <w:bCs/>
          <w:color w:val="000000" w:themeColor="text1"/>
          <w:kern w:val="0"/>
          <w:sz w:val="24"/>
          <w14:textFill>
            <w14:solidFill>
              <w14:schemeClr w14:val="tx1"/>
            </w14:solidFill>
          </w14:textFill>
        </w:rPr>
        <w:t>内容</w:t>
      </w:r>
    </w:p>
    <w:p w14:paraId="70438A59">
      <w:pPr>
        <w:tabs>
          <w:tab w:val="left" w:pos="0"/>
          <w:tab w:val="left" w:pos="2835"/>
        </w:tabs>
        <w:spacing w:line="360" w:lineRule="auto"/>
        <w:ind w:firstLine="480" w:firstLineChars="200"/>
        <w:textAlignment w:val="center"/>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2.1.1 监理范围包括：</w:t>
      </w:r>
      <w:r>
        <w:rPr>
          <w:rFonts w:hint="eastAsia" w:ascii="楷体" w:hAnsi="楷体" w:eastAsia="楷体" w:cs="楷体"/>
          <w:color w:val="000000" w:themeColor="text1"/>
          <w:kern w:val="0"/>
          <w:sz w:val="24"/>
          <w:u w:val="single"/>
          <w14:textFill>
            <w14:solidFill>
              <w14:schemeClr w14:val="tx1"/>
            </w14:solidFill>
          </w14:textFill>
        </w:rPr>
        <w:t>本工程包括施工阶段的全部专业工程及附属工程监理工作。全过程负责施工阶段对建设工程质量、进度、造价进行控制，对合同、信息进行管理，对工程建设相关方的关系进行协调，并履行建设工程安全生产管理法定职责的服务活动。中标单位应根据招标人的要求，选派一定数量的专业技术管理人员，协同招标人参与本工程的前期筹备工作。</w:t>
      </w:r>
    </w:p>
    <w:p w14:paraId="55C8BBCB">
      <w:pPr>
        <w:snapToGrid w:val="0"/>
        <w:spacing w:line="360" w:lineRule="auto"/>
        <w:ind w:firstLine="480" w:firstLineChars="200"/>
        <w:rPr>
          <w:rFonts w:ascii="楷体" w:hAnsi="楷体" w:eastAsia="楷体" w:cs="楷体"/>
          <w:color w:val="000000" w:themeColor="text1"/>
          <w:kern w:val="0"/>
          <w:sz w:val="24"/>
          <w:u w:val="single"/>
          <w:lang w:val="zh-CN"/>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2.1.2 监理工作内容还包括：</w:t>
      </w:r>
      <w:r>
        <w:rPr>
          <w:rFonts w:hint="eastAsia" w:ascii="楷体" w:hAnsi="楷体" w:eastAsia="楷体" w:cs="楷体"/>
          <w:color w:val="000000" w:themeColor="text1"/>
          <w:kern w:val="0"/>
          <w:sz w:val="24"/>
          <w:u w:val="single"/>
          <w14:textFill>
            <w14:solidFill>
              <w14:schemeClr w14:val="tx1"/>
            </w14:solidFill>
          </w14:textFill>
        </w:rPr>
        <w:t xml:space="preserve"> 1．协助委托人签订施工承包合同；2．协助验收施工图设计文件；3．协助审查施工图设计预算；4．协助委托人与施工单位编写开工报告；5．协助组织设计交底与图纸会审；6．审核承建单位提出的施工组织设计，施工技术方案和施工进度计划；7．对承建单位执行工程承包合同和国家工程技术规范标准的情况进行督促，检查，对承（发）包双方向对方提出的意见和要求（包括索赔要求）进行审核，并拿出处置意见。参与违约事件的处理；8．审查承建单位提出的材料和设备清单，对工程使用的原材料、半成品、构件、设备进行检查，有权拒绝使用不符合合同要求和标准规定的材料，构件，设备；9．检查工程进度和施工质量，验收分部分项工程和各项隐蔽工程，签署每月的工程量清单和支付报表以及合同终止时支付报表，以作为委托人向施工单位支付的依据；10．组织委托人、设计、施工单位处理工程质量事故，监督事故技术处理方案的实施，并对事故处理进行验收和签证；11．根据2004年2月1日起实施的«建设工程安全生产管理条例»督促施工单位做好安全工作。12．整理监理文件和技术档案资料；按«建设工程文件归档整理规范»要求整理档案资料。13．组织设计单位和施工单位进行工程竣工初步验收；14．协助委托人进行竣工验收工作；15．提交监理工作总结报告；16.未尽事宜见«建设工程监理规范»。 </w:t>
      </w:r>
    </w:p>
    <w:p w14:paraId="593B346D">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2.2 监理与相关服务依据</w:t>
      </w:r>
    </w:p>
    <w:p w14:paraId="5D5D5C31">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2.2.1监理依据包括：</w:t>
      </w:r>
    </w:p>
    <w:p w14:paraId="63B3F5F8">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u w:val="single"/>
          <w14:textFill>
            <w14:solidFill>
              <w14:schemeClr w14:val="tx1"/>
            </w14:solidFill>
          </w14:textFill>
        </w:rPr>
        <w:t>1.国家、温州市有关工程建设的法律、法规、规章和其他有关规定，建设工程监理规范（GB50319—2013）；2.依法成立的工程建设合同及监理合同；3.经上级主管部门批准的项目报建书及批准文件，施工图纸和其它有关文件4.施工的招投标文件及相关记录；5.现行的工程建设规范和质量检验评定标准；6.建设工程安全生产管理条例（中华人民共和国国务院令第393号）；7. 建设工程质量管理条例（中华人民共和国国务院令第279号）；8.其它有关的文件及要求。</w:t>
      </w:r>
    </w:p>
    <w:p w14:paraId="29CF2505">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2.2.2 相关服务依据包括：</w:t>
      </w:r>
      <w:r>
        <w:rPr>
          <w:rFonts w:hint="eastAsia" w:ascii="楷体" w:hAnsi="楷体" w:eastAsia="楷体" w:cs="楷体"/>
          <w:color w:val="000000" w:themeColor="text1"/>
          <w:kern w:val="0"/>
          <w:sz w:val="24"/>
          <w:u w:val="single"/>
          <w14:textFill>
            <w14:solidFill>
              <w14:schemeClr w14:val="tx1"/>
            </w14:solidFill>
          </w14:textFill>
        </w:rPr>
        <w:t xml:space="preserve">  /  </w:t>
      </w:r>
      <w:r>
        <w:rPr>
          <w:rFonts w:hint="eastAsia" w:ascii="楷体" w:hAnsi="楷体" w:eastAsia="楷体" w:cs="楷体"/>
          <w:color w:val="000000" w:themeColor="text1"/>
          <w:kern w:val="0"/>
          <w:sz w:val="24"/>
          <w14:textFill>
            <w14:solidFill>
              <w14:schemeClr w14:val="tx1"/>
            </w14:solidFill>
          </w14:textFill>
        </w:rPr>
        <w:t>。</w:t>
      </w:r>
    </w:p>
    <w:p w14:paraId="4E445A79">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2.3项目监理机构和人员</w:t>
      </w:r>
    </w:p>
    <w:p w14:paraId="5744CC16">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本款补充第2.3.6项～第2.3.11项：</w:t>
      </w:r>
    </w:p>
    <w:p w14:paraId="63169026">
      <w:pPr>
        <w:spacing w:line="360" w:lineRule="auto"/>
        <w:ind w:firstLine="360"/>
        <w:jc w:val="center"/>
        <w:rPr>
          <w:rFonts w:ascii="楷体" w:hAnsi="楷体" w:eastAsia="楷体" w:cs="楷体"/>
          <w:b/>
          <w:color w:val="000000" w:themeColor="text1"/>
          <w:szCs w:val="21"/>
          <w14:textFill>
            <w14:solidFill>
              <w14:schemeClr w14:val="tx1"/>
            </w14:solidFill>
          </w14:textFill>
        </w:rPr>
      </w:pPr>
      <w:r>
        <w:rPr>
          <w:rFonts w:hint="eastAsia" w:ascii="楷体" w:hAnsi="楷体" w:eastAsia="楷体" w:cs="楷体"/>
          <w:b/>
          <w:color w:val="000000" w:themeColor="text1"/>
          <w:szCs w:val="21"/>
          <w14:textFill>
            <w14:solidFill>
              <w14:schemeClr w14:val="tx1"/>
            </w14:solidFill>
          </w14:textFill>
        </w:rPr>
        <w:t xml:space="preserve">监理机构岗位设置要求表 </w:t>
      </w:r>
    </w:p>
    <w:tbl>
      <w:tblPr>
        <w:tblStyle w:val="46"/>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88"/>
        <w:gridCol w:w="944"/>
        <w:gridCol w:w="5256"/>
        <w:gridCol w:w="1070"/>
      </w:tblGrid>
      <w:tr w14:paraId="6938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158" w:type="dxa"/>
            <w:gridSpan w:val="4"/>
            <w:tcBorders>
              <w:top w:val="single" w:color="auto" w:sz="12" w:space="0"/>
              <w:left w:val="single" w:color="auto" w:sz="12" w:space="0"/>
              <w:right w:val="single" w:color="auto" w:sz="12" w:space="0"/>
            </w:tcBorders>
            <w:tcMar>
              <w:top w:w="28" w:type="dxa"/>
              <w:bottom w:w="28" w:type="dxa"/>
            </w:tcMar>
            <w:vAlign w:val="center"/>
          </w:tcPr>
          <w:p w14:paraId="77C24B3B">
            <w:pPr>
              <w:spacing w:line="370" w:lineRule="exact"/>
              <w:jc w:val="left"/>
              <w:rPr>
                <w:rFonts w:ascii="楷体" w:hAnsi="楷体" w:eastAsia="楷体" w:cs="楷体"/>
                <w:b/>
                <w:color w:val="000000" w:themeColor="text1"/>
                <w:sz w:val="24"/>
                <w:u w:val="single"/>
                <w14:textFill>
                  <w14:solidFill>
                    <w14:schemeClr w14:val="tx1"/>
                  </w14:solidFill>
                </w14:textFill>
              </w:rPr>
            </w:pPr>
            <w:r>
              <w:rPr>
                <w:rFonts w:hint="eastAsia" w:ascii="楷体" w:hAnsi="楷体" w:eastAsia="楷体" w:cs="楷体"/>
                <w:b/>
                <w:color w:val="000000" w:themeColor="text1"/>
                <w:sz w:val="24"/>
                <w:u w:val="single"/>
                <w14:textFill>
                  <w14:solidFill>
                    <w14:schemeClr w14:val="tx1"/>
                  </w14:solidFill>
                </w14:textFill>
              </w:rPr>
              <w:t>标项1</w:t>
            </w:r>
            <w:r>
              <w:rPr>
                <w:rFonts w:ascii="楷体" w:hAnsi="楷体" w:eastAsia="楷体" w:cs="楷体"/>
                <w:b/>
                <w:color w:val="000000" w:themeColor="text1"/>
                <w:sz w:val="24"/>
                <w:u w:val="single"/>
                <w14:textFill>
                  <w14:solidFill>
                    <w14:schemeClr w14:val="tx1"/>
                  </w14:solidFill>
                </w14:textFill>
              </w:rPr>
              <w:t>-</w:t>
            </w:r>
            <w:r>
              <w:rPr>
                <w:rFonts w:hint="eastAsia" w:ascii="楷体" w:hAnsi="楷体" w:eastAsia="楷体" w:cs="楷体"/>
                <w:b/>
                <w:color w:val="000000" w:themeColor="text1"/>
                <w:sz w:val="24"/>
                <w:u w:val="single"/>
                <w14:textFill>
                  <w14:solidFill>
                    <w14:schemeClr w14:val="tx1"/>
                  </w14:solidFill>
                </w14:textFill>
              </w:rPr>
              <w:t>水利工程 人员配置：</w:t>
            </w:r>
          </w:p>
        </w:tc>
      </w:tr>
      <w:tr w14:paraId="4E02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888" w:type="dxa"/>
            <w:tcBorders>
              <w:top w:val="single" w:color="auto" w:sz="12" w:space="0"/>
              <w:left w:val="single" w:color="auto" w:sz="12" w:space="0"/>
              <w:right w:val="single" w:color="auto" w:sz="6" w:space="0"/>
            </w:tcBorders>
            <w:tcMar>
              <w:top w:w="28" w:type="dxa"/>
              <w:bottom w:w="28" w:type="dxa"/>
            </w:tcMar>
            <w:vAlign w:val="center"/>
          </w:tcPr>
          <w:p w14:paraId="53C7561A">
            <w:pPr>
              <w:spacing w:line="370" w:lineRule="exact"/>
              <w:ind w:firstLine="424" w:firstLineChars="177"/>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监理岗位</w:t>
            </w:r>
          </w:p>
        </w:tc>
        <w:tc>
          <w:tcPr>
            <w:tcW w:w="944" w:type="dxa"/>
            <w:tcBorders>
              <w:top w:val="single" w:color="auto" w:sz="12" w:space="0"/>
              <w:left w:val="single" w:color="auto" w:sz="6" w:space="0"/>
              <w:right w:val="single" w:color="auto" w:sz="6" w:space="0"/>
            </w:tcBorders>
            <w:tcMar>
              <w:top w:w="28" w:type="dxa"/>
              <w:bottom w:w="28" w:type="dxa"/>
            </w:tcMar>
            <w:vAlign w:val="center"/>
          </w:tcPr>
          <w:p w14:paraId="449D2239">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人数</w:t>
            </w:r>
          </w:p>
        </w:tc>
        <w:tc>
          <w:tcPr>
            <w:tcW w:w="5256" w:type="dxa"/>
            <w:tcBorders>
              <w:top w:val="single" w:color="auto" w:sz="12" w:space="0"/>
              <w:left w:val="single" w:color="auto" w:sz="6" w:space="0"/>
              <w:right w:val="single" w:color="auto" w:sz="6" w:space="0"/>
            </w:tcBorders>
            <w:tcMar>
              <w:top w:w="28" w:type="dxa"/>
              <w:bottom w:w="28" w:type="dxa"/>
            </w:tcMar>
            <w:vAlign w:val="center"/>
          </w:tcPr>
          <w:p w14:paraId="5E769760">
            <w:pPr>
              <w:spacing w:line="370" w:lineRule="exact"/>
              <w:ind w:firstLine="424" w:firstLineChars="177"/>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监理资格</w:t>
            </w:r>
          </w:p>
        </w:tc>
        <w:tc>
          <w:tcPr>
            <w:tcW w:w="1070" w:type="dxa"/>
            <w:tcBorders>
              <w:top w:val="single" w:color="auto" w:sz="12" w:space="0"/>
              <w:left w:val="single" w:color="auto" w:sz="6" w:space="0"/>
              <w:right w:val="single" w:color="auto" w:sz="12" w:space="0"/>
            </w:tcBorders>
            <w:tcMar>
              <w:top w:w="28" w:type="dxa"/>
              <w:bottom w:w="28" w:type="dxa"/>
            </w:tcMar>
            <w:vAlign w:val="center"/>
          </w:tcPr>
          <w:p w14:paraId="7AD6483E">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  注</w:t>
            </w:r>
          </w:p>
        </w:tc>
      </w:tr>
      <w:tr w14:paraId="31D1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888" w:type="dxa"/>
            <w:tcBorders>
              <w:top w:val="single" w:color="auto" w:sz="6" w:space="0"/>
              <w:left w:val="single" w:color="auto" w:sz="12" w:space="0"/>
              <w:bottom w:val="single" w:color="auto" w:sz="6" w:space="0"/>
              <w:right w:val="single" w:color="auto" w:sz="6" w:space="0"/>
            </w:tcBorders>
            <w:vAlign w:val="center"/>
          </w:tcPr>
          <w:p w14:paraId="64F1CFCC">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总监理工程师</w:t>
            </w:r>
          </w:p>
        </w:tc>
        <w:tc>
          <w:tcPr>
            <w:tcW w:w="944" w:type="dxa"/>
            <w:tcBorders>
              <w:top w:val="single" w:color="auto" w:sz="6" w:space="0"/>
              <w:left w:val="single" w:color="auto" w:sz="6" w:space="0"/>
              <w:bottom w:val="single" w:color="auto" w:sz="6" w:space="0"/>
              <w:right w:val="single" w:color="auto" w:sz="6" w:space="0"/>
            </w:tcBorders>
            <w:vAlign w:val="center"/>
          </w:tcPr>
          <w:p w14:paraId="5230FD32">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56"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6ABC8E67">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应具有注册在投标人单位的国家注册监理工程师注册证书（水利工程），注册执业单位必须为投标人本单位</w:t>
            </w:r>
          </w:p>
        </w:tc>
        <w:tc>
          <w:tcPr>
            <w:tcW w:w="1070" w:type="dxa"/>
            <w:tcBorders>
              <w:top w:val="single" w:color="auto" w:sz="6" w:space="0"/>
              <w:left w:val="single" w:color="auto" w:sz="6" w:space="0"/>
              <w:bottom w:val="single" w:color="auto" w:sz="6" w:space="0"/>
              <w:right w:val="single" w:color="auto" w:sz="12" w:space="0"/>
            </w:tcBorders>
            <w:tcMar>
              <w:top w:w="28" w:type="dxa"/>
              <w:bottom w:w="28" w:type="dxa"/>
            </w:tcMar>
            <w:vAlign w:val="center"/>
          </w:tcPr>
          <w:p w14:paraId="2C15905A">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6F0E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888" w:type="dxa"/>
            <w:tcBorders>
              <w:top w:val="single" w:color="auto" w:sz="6" w:space="0"/>
              <w:left w:val="single" w:color="auto" w:sz="12" w:space="0"/>
              <w:right w:val="single" w:color="auto" w:sz="6" w:space="0"/>
            </w:tcBorders>
            <w:vAlign w:val="center"/>
          </w:tcPr>
          <w:p w14:paraId="38340A91">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专业监理工程师</w:t>
            </w:r>
          </w:p>
          <w:p w14:paraId="6EA03031">
            <w:pPr>
              <w:pStyle w:val="27"/>
              <w:spacing w:line="370" w:lineRule="exact"/>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（水利工程专业）</w:t>
            </w:r>
          </w:p>
        </w:tc>
        <w:tc>
          <w:tcPr>
            <w:tcW w:w="944" w:type="dxa"/>
            <w:tcBorders>
              <w:top w:val="single" w:color="auto" w:sz="6" w:space="0"/>
              <w:left w:val="single" w:color="auto" w:sz="6" w:space="0"/>
              <w:bottom w:val="single" w:color="auto" w:sz="6" w:space="0"/>
              <w:right w:val="single" w:color="auto" w:sz="6" w:space="0"/>
            </w:tcBorders>
            <w:vAlign w:val="center"/>
          </w:tcPr>
          <w:p w14:paraId="22AAB3F1">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56"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6372824C">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必须持有《中华人民共和国注册监理工程师注册执业证书》或相关部门或协会核发的专业监理工程师资格，注册执业单位必须为投标人本单位。</w:t>
            </w:r>
          </w:p>
        </w:tc>
        <w:tc>
          <w:tcPr>
            <w:tcW w:w="1070" w:type="dxa"/>
            <w:tcBorders>
              <w:top w:val="single" w:color="auto" w:sz="6" w:space="0"/>
              <w:left w:val="single" w:color="auto" w:sz="6" w:space="0"/>
              <w:bottom w:val="single" w:color="auto" w:sz="6" w:space="0"/>
              <w:right w:val="single" w:color="auto" w:sz="12" w:space="0"/>
            </w:tcBorders>
            <w:tcMar>
              <w:top w:w="28" w:type="dxa"/>
              <w:bottom w:w="28" w:type="dxa"/>
            </w:tcMar>
          </w:tcPr>
          <w:p w14:paraId="58E7DE72">
            <w:pP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7E9E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888" w:type="dxa"/>
            <w:tcBorders>
              <w:top w:val="single" w:color="auto" w:sz="6" w:space="0"/>
              <w:left w:val="single" w:color="auto" w:sz="12" w:space="0"/>
              <w:bottom w:val="single" w:color="auto" w:sz="6" w:space="0"/>
              <w:right w:val="single" w:color="auto" w:sz="6" w:space="0"/>
            </w:tcBorders>
            <w:vAlign w:val="center"/>
          </w:tcPr>
          <w:p w14:paraId="5ACD1844">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监理员</w:t>
            </w:r>
          </w:p>
          <w:p w14:paraId="1F1C94EB">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（水利工程专业）</w:t>
            </w:r>
          </w:p>
        </w:tc>
        <w:tc>
          <w:tcPr>
            <w:tcW w:w="944" w:type="dxa"/>
            <w:tcBorders>
              <w:top w:val="single" w:color="auto" w:sz="6" w:space="0"/>
              <w:left w:val="single" w:color="auto" w:sz="6" w:space="0"/>
              <w:bottom w:val="single" w:color="auto" w:sz="6" w:space="0"/>
              <w:right w:val="single" w:color="auto" w:sz="6" w:space="0"/>
            </w:tcBorders>
            <w:vAlign w:val="center"/>
          </w:tcPr>
          <w:p w14:paraId="284153D9">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56"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1EA031C9">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必须持有《中华人民共和国注册监理工程师注册执业证书》或相关部门或协会核发的监理员培训证书，注册执业单位必须为投标人本单位。</w:t>
            </w:r>
          </w:p>
        </w:tc>
        <w:tc>
          <w:tcPr>
            <w:tcW w:w="1070" w:type="dxa"/>
            <w:tcBorders>
              <w:top w:val="single" w:color="auto" w:sz="6" w:space="0"/>
              <w:left w:val="single" w:color="auto" w:sz="6" w:space="0"/>
              <w:bottom w:val="single" w:color="auto" w:sz="6" w:space="0"/>
              <w:right w:val="single" w:color="auto" w:sz="12" w:space="0"/>
            </w:tcBorders>
            <w:tcMar>
              <w:top w:w="28" w:type="dxa"/>
              <w:bottom w:w="28" w:type="dxa"/>
            </w:tcMar>
          </w:tcPr>
          <w:p w14:paraId="49B5CABF">
            <w:pP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1F76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158" w:type="dxa"/>
            <w:gridSpan w:val="4"/>
            <w:tcBorders>
              <w:top w:val="single" w:color="auto" w:sz="6" w:space="0"/>
              <w:left w:val="single" w:color="auto" w:sz="12" w:space="0"/>
              <w:bottom w:val="single" w:color="auto" w:sz="6" w:space="0"/>
              <w:right w:val="single" w:color="auto" w:sz="12" w:space="0"/>
            </w:tcBorders>
            <w:vAlign w:val="center"/>
          </w:tcPr>
          <w:p w14:paraId="3D6F3ADF">
            <w:pPr>
              <w:spacing w:line="370" w:lineRule="exact"/>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注：本表所列专业岗位，包括但不限于以上人员，不得低于本表最低数量要求。中标人在合同签订前办理好以上专业岗位的人员备案手续，并且人员及其他配置、人员必须满足当地施工监理备案要求。中标后押证时项目班组必须配备见证员1人，投标时不需要提供，允许配备人员中兼任，但应按规定完成备案。</w:t>
            </w:r>
          </w:p>
        </w:tc>
      </w:tr>
    </w:tbl>
    <w:p w14:paraId="0CBE28F9">
      <w:pPr>
        <w:spacing w:line="360" w:lineRule="auto"/>
        <w:ind w:firstLine="424" w:firstLineChars="177"/>
        <w:rPr>
          <w:rFonts w:ascii="楷体" w:hAnsi="楷体" w:eastAsia="楷体" w:cs="楷体"/>
          <w:color w:val="000000" w:themeColor="text1"/>
          <w:sz w:val="24"/>
          <w14:textFill>
            <w14:solidFill>
              <w14:schemeClr w14:val="tx1"/>
            </w14:solidFill>
          </w14:textFill>
        </w:rPr>
      </w:pPr>
    </w:p>
    <w:tbl>
      <w:tblPr>
        <w:tblStyle w:val="46"/>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88"/>
        <w:gridCol w:w="944"/>
        <w:gridCol w:w="5233"/>
        <w:gridCol w:w="1093"/>
      </w:tblGrid>
      <w:tr w14:paraId="0373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158" w:type="dxa"/>
            <w:gridSpan w:val="4"/>
            <w:tcBorders>
              <w:top w:val="single" w:color="auto" w:sz="12" w:space="0"/>
              <w:left w:val="single" w:color="auto" w:sz="12" w:space="0"/>
              <w:right w:val="single" w:color="auto" w:sz="12" w:space="0"/>
            </w:tcBorders>
            <w:tcMar>
              <w:top w:w="28" w:type="dxa"/>
              <w:bottom w:w="28" w:type="dxa"/>
            </w:tcMar>
            <w:vAlign w:val="center"/>
          </w:tcPr>
          <w:p w14:paraId="4E8EDBDE">
            <w:pPr>
              <w:spacing w:line="370" w:lineRule="exact"/>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color w:val="000000" w:themeColor="text1"/>
                <w:sz w:val="24"/>
                <w:u w:val="single"/>
                <w14:textFill>
                  <w14:solidFill>
                    <w14:schemeClr w14:val="tx1"/>
                  </w14:solidFill>
                </w14:textFill>
              </w:rPr>
              <w:t>标项</w:t>
            </w:r>
            <w:r>
              <w:rPr>
                <w:rFonts w:ascii="楷体" w:hAnsi="楷体" w:eastAsia="楷体" w:cs="楷体"/>
                <w:b/>
                <w:color w:val="000000" w:themeColor="text1"/>
                <w:sz w:val="24"/>
                <w:u w:val="single"/>
                <w14:textFill>
                  <w14:solidFill>
                    <w14:schemeClr w14:val="tx1"/>
                  </w14:solidFill>
                </w14:textFill>
              </w:rPr>
              <w:t>2-</w:t>
            </w:r>
            <w:r>
              <w:rPr>
                <w:rFonts w:hint="eastAsia" w:ascii="楷体" w:hAnsi="楷体" w:eastAsia="楷体" w:cs="楷体"/>
                <w:b/>
                <w:color w:val="000000" w:themeColor="text1"/>
                <w:sz w:val="24"/>
                <w:u w:val="single"/>
                <w14:textFill>
                  <w14:solidFill>
                    <w14:schemeClr w14:val="tx1"/>
                  </w14:solidFill>
                </w14:textFill>
              </w:rPr>
              <w:t>市政园林（市政公用工程）人员配置：</w:t>
            </w:r>
          </w:p>
        </w:tc>
      </w:tr>
      <w:tr w14:paraId="1E59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888" w:type="dxa"/>
            <w:tcBorders>
              <w:top w:val="single" w:color="auto" w:sz="12" w:space="0"/>
              <w:left w:val="single" w:color="auto" w:sz="12" w:space="0"/>
              <w:right w:val="single" w:color="auto" w:sz="6" w:space="0"/>
            </w:tcBorders>
            <w:tcMar>
              <w:top w:w="28" w:type="dxa"/>
              <w:bottom w:w="28" w:type="dxa"/>
            </w:tcMar>
            <w:vAlign w:val="center"/>
          </w:tcPr>
          <w:p w14:paraId="67833FEC">
            <w:pPr>
              <w:spacing w:line="370" w:lineRule="exact"/>
              <w:ind w:firstLine="424" w:firstLineChars="177"/>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监理岗位</w:t>
            </w:r>
          </w:p>
        </w:tc>
        <w:tc>
          <w:tcPr>
            <w:tcW w:w="944" w:type="dxa"/>
            <w:tcBorders>
              <w:top w:val="single" w:color="auto" w:sz="12" w:space="0"/>
              <w:left w:val="single" w:color="auto" w:sz="6" w:space="0"/>
              <w:right w:val="single" w:color="auto" w:sz="6" w:space="0"/>
            </w:tcBorders>
            <w:tcMar>
              <w:top w:w="28" w:type="dxa"/>
              <w:bottom w:w="28" w:type="dxa"/>
            </w:tcMar>
            <w:vAlign w:val="center"/>
          </w:tcPr>
          <w:p w14:paraId="54F0F151">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人数</w:t>
            </w:r>
          </w:p>
        </w:tc>
        <w:tc>
          <w:tcPr>
            <w:tcW w:w="5233" w:type="dxa"/>
            <w:tcBorders>
              <w:top w:val="single" w:color="auto" w:sz="12" w:space="0"/>
              <w:left w:val="single" w:color="auto" w:sz="6" w:space="0"/>
              <w:right w:val="single" w:color="auto" w:sz="6" w:space="0"/>
            </w:tcBorders>
            <w:tcMar>
              <w:top w:w="28" w:type="dxa"/>
              <w:bottom w:w="28" w:type="dxa"/>
            </w:tcMar>
            <w:vAlign w:val="center"/>
          </w:tcPr>
          <w:p w14:paraId="1D793BCF">
            <w:pPr>
              <w:spacing w:line="370" w:lineRule="exact"/>
              <w:ind w:firstLine="424" w:firstLineChars="177"/>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监理资格</w:t>
            </w:r>
          </w:p>
        </w:tc>
        <w:tc>
          <w:tcPr>
            <w:tcW w:w="1093" w:type="dxa"/>
            <w:tcBorders>
              <w:top w:val="single" w:color="auto" w:sz="12" w:space="0"/>
              <w:left w:val="single" w:color="auto" w:sz="6" w:space="0"/>
              <w:right w:val="single" w:color="auto" w:sz="12" w:space="0"/>
            </w:tcBorders>
            <w:tcMar>
              <w:top w:w="28" w:type="dxa"/>
              <w:bottom w:w="28" w:type="dxa"/>
            </w:tcMar>
            <w:vAlign w:val="center"/>
          </w:tcPr>
          <w:p w14:paraId="6ED1EBEE">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  注</w:t>
            </w:r>
          </w:p>
        </w:tc>
      </w:tr>
      <w:tr w14:paraId="2201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888" w:type="dxa"/>
            <w:tcBorders>
              <w:top w:val="single" w:color="auto" w:sz="6" w:space="0"/>
              <w:left w:val="single" w:color="auto" w:sz="12" w:space="0"/>
              <w:bottom w:val="single" w:color="auto" w:sz="6" w:space="0"/>
              <w:right w:val="single" w:color="auto" w:sz="6" w:space="0"/>
            </w:tcBorders>
            <w:vAlign w:val="center"/>
          </w:tcPr>
          <w:p w14:paraId="06398B9D">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总监理工程师</w:t>
            </w:r>
          </w:p>
        </w:tc>
        <w:tc>
          <w:tcPr>
            <w:tcW w:w="944" w:type="dxa"/>
            <w:tcBorders>
              <w:top w:val="single" w:color="auto" w:sz="6" w:space="0"/>
              <w:left w:val="single" w:color="auto" w:sz="6" w:space="0"/>
              <w:bottom w:val="single" w:color="auto" w:sz="6" w:space="0"/>
              <w:right w:val="single" w:color="auto" w:sz="6" w:space="0"/>
            </w:tcBorders>
            <w:vAlign w:val="center"/>
          </w:tcPr>
          <w:p w14:paraId="03712784">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33"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6436FE60">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应具有注册在投标人单位的建设部颁发的国家注册监理工程师注册证书（市政公用工程专业），注册执业单位必须为投标人本单位</w:t>
            </w:r>
          </w:p>
        </w:tc>
        <w:tc>
          <w:tcPr>
            <w:tcW w:w="1093" w:type="dxa"/>
            <w:tcBorders>
              <w:top w:val="single" w:color="auto" w:sz="6" w:space="0"/>
              <w:left w:val="single" w:color="auto" w:sz="6" w:space="0"/>
              <w:bottom w:val="single" w:color="auto" w:sz="6" w:space="0"/>
              <w:right w:val="single" w:color="auto" w:sz="12" w:space="0"/>
            </w:tcBorders>
            <w:tcMar>
              <w:top w:w="28" w:type="dxa"/>
              <w:bottom w:w="28" w:type="dxa"/>
            </w:tcMar>
            <w:vAlign w:val="center"/>
          </w:tcPr>
          <w:p w14:paraId="39706DF0">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7044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888" w:type="dxa"/>
            <w:tcBorders>
              <w:top w:val="single" w:color="auto" w:sz="6" w:space="0"/>
              <w:left w:val="single" w:color="auto" w:sz="12" w:space="0"/>
              <w:right w:val="single" w:color="auto" w:sz="6" w:space="0"/>
            </w:tcBorders>
            <w:vAlign w:val="center"/>
          </w:tcPr>
          <w:p w14:paraId="52B55EFA">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专业监理工程师</w:t>
            </w:r>
          </w:p>
          <w:p w14:paraId="468B1A22">
            <w:pPr>
              <w:pStyle w:val="27"/>
              <w:spacing w:line="370" w:lineRule="exact"/>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w:t>
            </w:r>
            <w:r>
              <w:rPr>
                <w:rFonts w:hint="eastAsia" w:ascii="楷体" w:hAnsi="楷体" w:eastAsia="楷体" w:cs="楷体"/>
                <w:color w:val="000000" w:themeColor="text1"/>
                <w:sz w:val="24"/>
                <w14:textFill>
                  <w14:solidFill>
                    <w14:schemeClr w14:val="tx1"/>
                  </w14:solidFill>
                </w14:textFill>
              </w:rPr>
              <w:t>市政公用工程专业</w:t>
            </w:r>
            <w:r>
              <w:rPr>
                <w:rFonts w:hint="eastAsia" w:ascii="楷体" w:hAnsi="楷体" w:eastAsia="楷体" w:cs="楷体"/>
                <w:color w:val="000000" w:themeColor="text1"/>
                <w:sz w:val="24"/>
                <w:szCs w:val="24"/>
                <w14:textFill>
                  <w14:solidFill>
                    <w14:schemeClr w14:val="tx1"/>
                  </w14:solidFill>
                </w14:textFill>
              </w:rPr>
              <w:t>）</w:t>
            </w:r>
          </w:p>
        </w:tc>
        <w:tc>
          <w:tcPr>
            <w:tcW w:w="944" w:type="dxa"/>
            <w:tcBorders>
              <w:top w:val="single" w:color="auto" w:sz="6" w:space="0"/>
              <w:left w:val="single" w:color="auto" w:sz="6" w:space="0"/>
              <w:bottom w:val="single" w:color="auto" w:sz="6" w:space="0"/>
              <w:right w:val="single" w:color="auto" w:sz="6" w:space="0"/>
            </w:tcBorders>
            <w:vAlign w:val="center"/>
          </w:tcPr>
          <w:p w14:paraId="3463F494">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33"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778782B1">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必须持有《中华人民共和国注册监理工程师注册执业证书》或省级建设工程监理管理协会《监理工程师培训合格证书》或市级全过程工程咨询与监理管理协会《培训合格证书》，注册执业单位必须为投标人本单位</w:t>
            </w:r>
          </w:p>
        </w:tc>
        <w:tc>
          <w:tcPr>
            <w:tcW w:w="1093" w:type="dxa"/>
            <w:tcBorders>
              <w:top w:val="single" w:color="auto" w:sz="6" w:space="0"/>
              <w:left w:val="single" w:color="auto" w:sz="6" w:space="0"/>
              <w:bottom w:val="single" w:color="auto" w:sz="6" w:space="0"/>
              <w:right w:val="single" w:color="auto" w:sz="12" w:space="0"/>
            </w:tcBorders>
            <w:tcMar>
              <w:top w:w="28" w:type="dxa"/>
              <w:bottom w:w="28" w:type="dxa"/>
            </w:tcMar>
            <w:vAlign w:val="center"/>
          </w:tcPr>
          <w:p w14:paraId="4A661786">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0594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888" w:type="dxa"/>
            <w:tcBorders>
              <w:top w:val="single" w:color="auto" w:sz="6" w:space="0"/>
              <w:left w:val="single" w:color="auto" w:sz="12" w:space="0"/>
              <w:bottom w:val="single" w:color="auto" w:sz="6" w:space="0"/>
              <w:right w:val="single" w:color="auto" w:sz="6" w:space="0"/>
            </w:tcBorders>
            <w:vAlign w:val="center"/>
          </w:tcPr>
          <w:p w14:paraId="104E50DC">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监理员（市政公用工程专业）</w:t>
            </w:r>
          </w:p>
        </w:tc>
        <w:tc>
          <w:tcPr>
            <w:tcW w:w="944" w:type="dxa"/>
            <w:tcBorders>
              <w:top w:val="single" w:color="auto" w:sz="6" w:space="0"/>
              <w:left w:val="single" w:color="auto" w:sz="6" w:space="0"/>
              <w:bottom w:val="single" w:color="auto" w:sz="6" w:space="0"/>
              <w:right w:val="single" w:color="auto" w:sz="6" w:space="0"/>
            </w:tcBorders>
            <w:vAlign w:val="center"/>
          </w:tcPr>
          <w:p w14:paraId="1B1A5F42">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33"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76DDEB69">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必须持有《中华人民共和国注册监理工程师注册执业证书》或省级建设工程监理管理协会《监理员培训合格证》或市级全过程工程咨询与监理管理协会《监理员培训合格》，注册执业单位必须为投标人本单位</w:t>
            </w:r>
          </w:p>
        </w:tc>
        <w:tc>
          <w:tcPr>
            <w:tcW w:w="1093" w:type="dxa"/>
            <w:tcBorders>
              <w:top w:val="single" w:color="auto" w:sz="6" w:space="0"/>
              <w:left w:val="single" w:color="auto" w:sz="6" w:space="0"/>
              <w:bottom w:val="single" w:color="auto" w:sz="6" w:space="0"/>
              <w:right w:val="single" w:color="auto" w:sz="12" w:space="0"/>
            </w:tcBorders>
            <w:tcMar>
              <w:top w:w="28" w:type="dxa"/>
              <w:bottom w:w="28" w:type="dxa"/>
            </w:tcMar>
            <w:vAlign w:val="center"/>
          </w:tcPr>
          <w:p w14:paraId="7EFF3F19">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7BA3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158" w:type="dxa"/>
            <w:gridSpan w:val="4"/>
            <w:tcBorders>
              <w:top w:val="single" w:color="auto" w:sz="6" w:space="0"/>
              <w:left w:val="single" w:color="auto" w:sz="12" w:space="0"/>
              <w:bottom w:val="single" w:color="auto" w:sz="6" w:space="0"/>
              <w:right w:val="single" w:color="auto" w:sz="12" w:space="0"/>
            </w:tcBorders>
            <w:vAlign w:val="center"/>
          </w:tcPr>
          <w:p w14:paraId="1C8BD401">
            <w:pPr>
              <w:spacing w:line="370" w:lineRule="exact"/>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注：本表所列专业岗位，包括但不限于以上人员，不得低于本表最低数量要求。中标人在合同签订前办理好以上专业岗位的人员备案手续，并且人员及其他配置、人员必须满足当地施工监理备案要求。中标后押证时项目班组必须配备见证员1人，投标时不需要提供，允许配备人员中兼任，但应按规定完成备案。</w:t>
            </w:r>
          </w:p>
        </w:tc>
      </w:tr>
    </w:tbl>
    <w:p w14:paraId="3BE6AF76">
      <w:pPr>
        <w:spacing w:line="360" w:lineRule="auto"/>
        <w:ind w:firstLine="424" w:firstLineChars="177"/>
        <w:rPr>
          <w:rFonts w:ascii="楷体" w:hAnsi="楷体" w:eastAsia="楷体" w:cs="楷体"/>
          <w:color w:val="000000" w:themeColor="text1"/>
          <w:sz w:val="24"/>
          <w14:textFill>
            <w14:solidFill>
              <w14:schemeClr w14:val="tx1"/>
            </w14:solidFill>
          </w14:textFill>
        </w:rPr>
      </w:pPr>
    </w:p>
    <w:tbl>
      <w:tblPr>
        <w:tblStyle w:val="46"/>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88"/>
        <w:gridCol w:w="944"/>
        <w:gridCol w:w="5233"/>
        <w:gridCol w:w="1093"/>
      </w:tblGrid>
      <w:tr w14:paraId="27B7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158" w:type="dxa"/>
            <w:gridSpan w:val="4"/>
            <w:tcBorders>
              <w:top w:val="single" w:color="auto" w:sz="12" w:space="0"/>
              <w:left w:val="single" w:color="auto" w:sz="12" w:space="0"/>
              <w:right w:val="single" w:color="auto" w:sz="12" w:space="0"/>
            </w:tcBorders>
            <w:tcMar>
              <w:top w:w="28" w:type="dxa"/>
              <w:bottom w:w="28" w:type="dxa"/>
            </w:tcMar>
            <w:vAlign w:val="center"/>
          </w:tcPr>
          <w:p w14:paraId="7BFE2C37">
            <w:pPr>
              <w:spacing w:line="370" w:lineRule="exact"/>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color w:val="000000" w:themeColor="text1"/>
                <w:sz w:val="24"/>
                <w:u w:val="single"/>
                <w14:textFill>
                  <w14:solidFill>
                    <w14:schemeClr w14:val="tx1"/>
                  </w14:solidFill>
                </w14:textFill>
              </w:rPr>
              <w:t>标项</w:t>
            </w:r>
            <w:r>
              <w:rPr>
                <w:rFonts w:ascii="楷体" w:hAnsi="楷体" w:eastAsia="楷体" w:cs="楷体"/>
                <w:b/>
                <w:color w:val="000000" w:themeColor="text1"/>
                <w:sz w:val="24"/>
                <w:u w:val="single"/>
                <w14:textFill>
                  <w14:solidFill>
                    <w14:schemeClr w14:val="tx1"/>
                  </w14:solidFill>
                </w14:textFill>
              </w:rPr>
              <w:t>3-</w:t>
            </w:r>
            <w:r>
              <w:rPr>
                <w:rFonts w:hint="eastAsia" w:ascii="楷体" w:hAnsi="楷体" w:eastAsia="楷体" w:cs="楷体"/>
                <w:b/>
                <w:color w:val="000000" w:themeColor="text1"/>
                <w:sz w:val="24"/>
                <w:u w:val="single"/>
                <w14:textFill>
                  <w14:solidFill>
                    <w14:schemeClr w14:val="tx1"/>
                  </w14:solidFill>
                </w14:textFill>
              </w:rPr>
              <w:t>交通（公路</w:t>
            </w:r>
            <w:r>
              <w:rPr>
                <w:rFonts w:ascii="楷体" w:hAnsi="楷体" w:eastAsia="楷体" w:cs="楷体"/>
                <w:b/>
                <w:color w:val="000000" w:themeColor="text1"/>
                <w:sz w:val="24"/>
                <w:u w:val="single"/>
                <w14:textFill>
                  <w14:solidFill>
                    <w14:schemeClr w14:val="tx1"/>
                  </w14:solidFill>
                </w14:textFill>
              </w:rPr>
              <w:t>工程</w:t>
            </w:r>
            <w:r>
              <w:rPr>
                <w:rFonts w:hint="eastAsia" w:ascii="楷体" w:hAnsi="楷体" w:eastAsia="楷体" w:cs="楷体"/>
                <w:b/>
                <w:color w:val="000000" w:themeColor="text1"/>
                <w:sz w:val="24"/>
                <w:u w:val="single"/>
                <w14:textFill>
                  <w14:solidFill>
                    <w14:schemeClr w14:val="tx1"/>
                  </w14:solidFill>
                </w14:textFill>
              </w:rPr>
              <w:t>）人员配置：</w:t>
            </w:r>
          </w:p>
        </w:tc>
      </w:tr>
      <w:tr w14:paraId="1D6F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888" w:type="dxa"/>
            <w:tcBorders>
              <w:top w:val="single" w:color="auto" w:sz="12" w:space="0"/>
              <w:left w:val="single" w:color="auto" w:sz="12" w:space="0"/>
              <w:right w:val="single" w:color="auto" w:sz="6" w:space="0"/>
            </w:tcBorders>
            <w:tcMar>
              <w:top w:w="28" w:type="dxa"/>
              <w:bottom w:w="28" w:type="dxa"/>
            </w:tcMar>
            <w:vAlign w:val="center"/>
          </w:tcPr>
          <w:p w14:paraId="39118CCB">
            <w:pPr>
              <w:spacing w:line="370" w:lineRule="exact"/>
              <w:ind w:firstLine="424" w:firstLineChars="177"/>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监理岗位</w:t>
            </w:r>
          </w:p>
        </w:tc>
        <w:tc>
          <w:tcPr>
            <w:tcW w:w="944" w:type="dxa"/>
            <w:tcBorders>
              <w:top w:val="single" w:color="auto" w:sz="12" w:space="0"/>
              <w:left w:val="single" w:color="auto" w:sz="6" w:space="0"/>
              <w:right w:val="single" w:color="auto" w:sz="6" w:space="0"/>
            </w:tcBorders>
            <w:tcMar>
              <w:top w:w="28" w:type="dxa"/>
              <w:bottom w:w="28" w:type="dxa"/>
            </w:tcMar>
            <w:vAlign w:val="center"/>
          </w:tcPr>
          <w:p w14:paraId="6CF7424A">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人数</w:t>
            </w:r>
          </w:p>
        </w:tc>
        <w:tc>
          <w:tcPr>
            <w:tcW w:w="5233" w:type="dxa"/>
            <w:tcBorders>
              <w:top w:val="single" w:color="auto" w:sz="12" w:space="0"/>
              <w:left w:val="single" w:color="auto" w:sz="6" w:space="0"/>
              <w:right w:val="single" w:color="auto" w:sz="6" w:space="0"/>
            </w:tcBorders>
            <w:tcMar>
              <w:top w:w="28" w:type="dxa"/>
              <w:bottom w:w="28" w:type="dxa"/>
            </w:tcMar>
            <w:vAlign w:val="center"/>
          </w:tcPr>
          <w:p w14:paraId="1747083C">
            <w:pPr>
              <w:spacing w:line="370" w:lineRule="exact"/>
              <w:ind w:firstLine="424" w:firstLineChars="177"/>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监理资格</w:t>
            </w:r>
          </w:p>
        </w:tc>
        <w:tc>
          <w:tcPr>
            <w:tcW w:w="1093" w:type="dxa"/>
            <w:tcBorders>
              <w:top w:val="single" w:color="auto" w:sz="12" w:space="0"/>
              <w:left w:val="single" w:color="auto" w:sz="6" w:space="0"/>
              <w:right w:val="single" w:color="auto" w:sz="12" w:space="0"/>
            </w:tcBorders>
            <w:tcMar>
              <w:top w:w="28" w:type="dxa"/>
              <w:bottom w:w="28" w:type="dxa"/>
            </w:tcMar>
            <w:vAlign w:val="center"/>
          </w:tcPr>
          <w:p w14:paraId="0626FBCF">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  注</w:t>
            </w:r>
          </w:p>
        </w:tc>
      </w:tr>
      <w:tr w14:paraId="4DFF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64" w:hRule="atLeast"/>
          <w:jc w:val="center"/>
        </w:trPr>
        <w:tc>
          <w:tcPr>
            <w:tcW w:w="1888" w:type="dxa"/>
            <w:tcBorders>
              <w:top w:val="single" w:color="auto" w:sz="6" w:space="0"/>
              <w:left w:val="single" w:color="auto" w:sz="12" w:space="0"/>
              <w:bottom w:val="single" w:color="auto" w:sz="6" w:space="0"/>
              <w:right w:val="single" w:color="auto" w:sz="6" w:space="0"/>
            </w:tcBorders>
            <w:vAlign w:val="center"/>
          </w:tcPr>
          <w:p w14:paraId="0056D4F7">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总监理工程师</w:t>
            </w:r>
          </w:p>
        </w:tc>
        <w:tc>
          <w:tcPr>
            <w:tcW w:w="944" w:type="dxa"/>
            <w:tcBorders>
              <w:top w:val="single" w:color="auto" w:sz="6" w:space="0"/>
              <w:left w:val="single" w:color="auto" w:sz="6" w:space="0"/>
              <w:bottom w:val="single" w:color="auto" w:sz="6" w:space="0"/>
              <w:right w:val="single" w:color="auto" w:sz="6" w:space="0"/>
            </w:tcBorders>
            <w:vAlign w:val="center"/>
          </w:tcPr>
          <w:p w14:paraId="6ED4118C">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33"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13EED610">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应具有注册在投标人单位的国家注册监理工程师注册证书（公路工程），注册执业单位必须为投标人本单位</w:t>
            </w:r>
          </w:p>
        </w:tc>
        <w:tc>
          <w:tcPr>
            <w:tcW w:w="1093" w:type="dxa"/>
            <w:tcBorders>
              <w:top w:val="single" w:color="auto" w:sz="6" w:space="0"/>
              <w:left w:val="single" w:color="auto" w:sz="6" w:space="0"/>
              <w:bottom w:val="single" w:color="auto" w:sz="6" w:space="0"/>
              <w:right w:val="single" w:color="auto" w:sz="12" w:space="0"/>
            </w:tcBorders>
            <w:tcMar>
              <w:top w:w="28" w:type="dxa"/>
              <w:bottom w:w="28" w:type="dxa"/>
            </w:tcMar>
            <w:vAlign w:val="center"/>
          </w:tcPr>
          <w:p w14:paraId="70BF3978">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2CA4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888" w:type="dxa"/>
            <w:tcBorders>
              <w:top w:val="single" w:color="auto" w:sz="6" w:space="0"/>
              <w:left w:val="single" w:color="auto" w:sz="12" w:space="0"/>
              <w:right w:val="single" w:color="auto" w:sz="6" w:space="0"/>
            </w:tcBorders>
            <w:vAlign w:val="center"/>
          </w:tcPr>
          <w:p w14:paraId="47831304">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专业监理工程师</w:t>
            </w:r>
          </w:p>
          <w:p w14:paraId="45D0427A">
            <w:pPr>
              <w:pStyle w:val="27"/>
              <w:spacing w:line="370" w:lineRule="exact"/>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（公路工程专业）</w:t>
            </w:r>
          </w:p>
        </w:tc>
        <w:tc>
          <w:tcPr>
            <w:tcW w:w="944" w:type="dxa"/>
            <w:tcBorders>
              <w:top w:val="single" w:color="auto" w:sz="6" w:space="0"/>
              <w:left w:val="single" w:color="auto" w:sz="6" w:space="0"/>
              <w:bottom w:val="single" w:color="auto" w:sz="6" w:space="0"/>
              <w:right w:val="single" w:color="auto" w:sz="6" w:space="0"/>
            </w:tcBorders>
            <w:vAlign w:val="center"/>
          </w:tcPr>
          <w:p w14:paraId="2EE3D36A">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33"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6E8C111E">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必须持有《中华人民共和国注册监理工程师注册执业证书》或相关部门或协会核发的专业监理工程师资格，注册执业单位必须为投标人本单位。</w:t>
            </w:r>
          </w:p>
        </w:tc>
        <w:tc>
          <w:tcPr>
            <w:tcW w:w="1093" w:type="dxa"/>
            <w:tcBorders>
              <w:top w:val="single" w:color="auto" w:sz="6" w:space="0"/>
              <w:left w:val="single" w:color="auto" w:sz="6" w:space="0"/>
              <w:bottom w:val="single" w:color="auto" w:sz="6" w:space="0"/>
              <w:right w:val="single" w:color="auto" w:sz="12" w:space="0"/>
            </w:tcBorders>
            <w:tcMar>
              <w:top w:w="28" w:type="dxa"/>
              <w:bottom w:w="28" w:type="dxa"/>
            </w:tcMar>
          </w:tcPr>
          <w:p w14:paraId="3B38A85E">
            <w:pP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4F59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888" w:type="dxa"/>
            <w:tcBorders>
              <w:top w:val="single" w:color="auto" w:sz="6" w:space="0"/>
              <w:left w:val="single" w:color="auto" w:sz="12" w:space="0"/>
              <w:bottom w:val="single" w:color="auto" w:sz="6" w:space="0"/>
              <w:right w:val="single" w:color="auto" w:sz="6" w:space="0"/>
            </w:tcBorders>
            <w:vAlign w:val="center"/>
          </w:tcPr>
          <w:p w14:paraId="7635FBC3">
            <w:pPr>
              <w:spacing w:line="37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监理员</w:t>
            </w:r>
          </w:p>
          <w:p w14:paraId="47533046">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（公路工程专业）</w:t>
            </w:r>
          </w:p>
        </w:tc>
        <w:tc>
          <w:tcPr>
            <w:tcW w:w="944" w:type="dxa"/>
            <w:tcBorders>
              <w:top w:val="single" w:color="auto" w:sz="6" w:space="0"/>
              <w:left w:val="single" w:color="auto" w:sz="6" w:space="0"/>
              <w:bottom w:val="single" w:color="auto" w:sz="6" w:space="0"/>
              <w:right w:val="single" w:color="auto" w:sz="6" w:space="0"/>
            </w:tcBorders>
            <w:vAlign w:val="center"/>
          </w:tcPr>
          <w:p w14:paraId="2F0C5724">
            <w:pPr>
              <w:spacing w:line="370" w:lineRule="exact"/>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≥1人</w:t>
            </w:r>
          </w:p>
        </w:tc>
        <w:tc>
          <w:tcPr>
            <w:tcW w:w="5233" w:type="dxa"/>
            <w:tcBorders>
              <w:top w:val="single" w:color="auto" w:sz="6" w:space="0"/>
              <w:left w:val="single" w:color="auto" w:sz="6" w:space="0"/>
              <w:bottom w:val="single" w:color="auto" w:sz="6" w:space="0"/>
              <w:right w:val="single" w:color="auto" w:sz="6" w:space="0"/>
            </w:tcBorders>
            <w:tcMar>
              <w:top w:w="28" w:type="dxa"/>
              <w:bottom w:w="28" w:type="dxa"/>
            </w:tcMar>
            <w:vAlign w:val="center"/>
          </w:tcPr>
          <w:p w14:paraId="1099CB23">
            <w:pPr>
              <w:spacing w:line="37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必须持有《中华人民共和国注册监理工程师注册执业证书》或相关部门或协会核发的监理员培训证书，注册执业单位必须为投标人本单位。</w:t>
            </w:r>
          </w:p>
        </w:tc>
        <w:tc>
          <w:tcPr>
            <w:tcW w:w="1093" w:type="dxa"/>
            <w:tcBorders>
              <w:top w:val="single" w:color="auto" w:sz="6" w:space="0"/>
              <w:left w:val="single" w:color="auto" w:sz="6" w:space="0"/>
              <w:bottom w:val="single" w:color="auto" w:sz="6" w:space="0"/>
              <w:right w:val="single" w:color="auto" w:sz="12" w:space="0"/>
            </w:tcBorders>
            <w:tcMar>
              <w:top w:w="28" w:type="dxa"/>
              <w:bottom w:w="28" w:type="dxa"/>
            </w:tcMar>
          </w:tcPr>
          <w:p w14:paraId="23A5D6E9">
            <w:pP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年龄</w:t>
            </w:r>
            <w:r>
              <w:rPr>
                <w:rFonts w:hint="eastAsia" w:ascii="楷体" w:hAnsi="楷体" w:eastAsia="楷体" w:cs="楷体"/>
                <w:b/>
                <w:bCs/>
                <w:color w:val="000000" w:themeColor="text1"/>
                <w:spacing w:val="-8"/>
                <w:sz w:val="24"/>
                <w14:textFill>
                  <w14:solidFill>
                    <w14:schemeClr w14:val="tx1"/>
                  </w14:solidFill>
                </w14:textFill>
              </w:rPr>
              <w:t>≤60</w:t>
            </w:r>
          </w:p>
        </w:tc>
      </w:tr>
      <w:tr w14:paraId="340C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158" w:type="dxa"/>
            <w:gridSpan w:val="4"/>
            <w:tcBorders>
              <w:top w:val="single" w:color="auto" w:sz="6" w:space="0"/>
              <w:left w:val="single" w:color="auto" w:sz="12" w:space="0"/>
              <w:bottom w:val="single" w:color="auto" w:sz="6" w:space="0"/>
              <w:right w:val="single" w:color="auto" w:sz="12" w:space="0"/>
            </w:tcBorders>
            <w:vAlign w:val="center"/>
          </w:tcPr>
          <w:p w14:paraId="25BAD9F7">
            <w:pPr>
              <w:spacing w:line="370" w:lineRule="exact"/>
              <w:ind w:firstLine="424" w:firstLineChars="17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备注：本表所列专业岗位，包括但不限于以上人员，不得低于本表最低数量要求。中标人在合同签订前办理好以上专业岗位的人员备案手续，并且人员及其他配置、人员必须满足当地施工监理备案要求。中标后押证时项目班组必须配备见证员1人，投标时不需要提供，允许配备人员中兼任，但应按规定完成备案。</w:t>
            </w:r>
          </w:p>
        </w:tc>
      </w:tr>
    </w:tbl>
    <w:p w14:paraId="784F2F3E">
      <w:pPr>
        <w:snapToGrid w:val="0"/>
        <w:spacing w:line="360" w:lineRule="auto"/>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2.3.7 监理人员到岗服务人月数的最低要求如下：</w:t>
      </w:r>
    </w:p>
    <w:p w14:paraId="6121BD03">
      <w:pPr>
        <w:spacing w:line="360" w:lineRule="auto"/>
        <w:jc w:val="center"/>
        <w:rPr>
          <w:rFonts w:ascii="楷体" w:hAnsi="楷体" w:eastAsia="楷体" w:cs="楷体"/>
          <w:b/>
          <w:bCs/>
          <w:snapToGrid w:val="0"/>
          <w:color w:val="000000" w:themeColor="text1"/>
          <w:kern w:val="0"/>
          <w:szCs w:val="21"/>
          <w14:textFill>
            <w14:solidFill>
              <w14:schemeClr w14:val="tx1"/>
            </w14:solidFill>
          </w14:textFill>
        </w:rPr>
      </w:pPr>
      <w:r>
        <w:rPr>
          <w:rFonts w:hint="eastAsia" w:ascii="楷体" w:hAnsi="楷体" w:eastAsia="楷体" w:cs="楷体"/>
          <w:b/>
          <w:bCs/>
          <w:snapToGrid w:val="0"/>
          <w:color w:val="000000" w:themeColor="text1"/>
          <w:kern w:val="0"/>
          <w:szCs w:val="21"/>
          <w14:textFill>
            <w14:solidFill>
              <w14:schemeClr w14:val="tx1"/>
            </w14:solidFill>
          </w14:textFill>
        </w:rPr>
        <w:t>施工阶段监理人员到岗服务人月数最低要求表</w:t>
      </w:r>
    </w:p>
    <w:tbl>
      <w:tblPr>
        <w:tblStyle w:val="46"/>
        <w:tblW w:w="7809" w:type="dxa"/>
        <w:jc w:val="center"/>
        <w:tblLayout w:type="fixed"/>
        <w:tblCellMar>
          <w:top w:w="15" w:type="dxa"/>
          <w:left w:w="15" w:type="dxa"/>
          <w:bottom w:w="15" w:type="dxa"/>
          <w:right w:w="15" w:type="dxa"/>
        </w:tblCellMar>
      </w:tblPr>
      <w:tblGrid>
        <w:gridCol w:w="638"/>
        <w:gridCol w:w="2656"/>
        <w:gridCol w:w="1455"/>
        <w:gridCol w:w="1260"/>
        <w:gridCol w:w="1800"/>
      </w:tblGrid>
      <w:tr w14:paraId="52E62537">
        <w:tblPrEx>
          <w:tblCellMar>
            <w:top w:w="15" w:type="dxa"/>
            <w:left w:w="15" w:type="dxa"/>
            <w:bottom w:w="15" w:type="dxa"/>
            <w:right w:w="15" w:type="dxa"/>
          </w:tblCellMar>
        </w:tblPrEx>
        <w:trPr>
          <w:trHeight w:val="725"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57CEDFD6">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序号</w:t>
            </w:r>
          </w:p>
        </w:tc>
        <w:tc>
          <w:tcPr>
            <w:tcW w:w="2656" w:type="dxa"/>
            <w:tcBorders>
              <w:top w:val="single" w:color="000000" w:sz="4" w:space="0"/>
              <w:left w:val="single" w:color="000000" w:sz="4" w:space="0"/>
              <w:bottom w:val="single" w:color="000000" w:sz="4" w:space="0"/>
              <w:right w:val="single" w:color="000000" w:sz="4" w:space="0"/>
            </w:tcBorders>
            <w:vAlign w:val="center"/>
          </w:tcPr>
          <w:p w14:paraId="79C1C3F4">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监理岗位</w:t>
            </w:r>
          </w:p>
        </w:tc>
        <w:tc>
          <w:tcPr>
            <w:tcW w:w="1455" w:type="dxa"/>
            <w:tcBorders>
              <w:top w:val="single" w:color="000000" w:sz="4" w:space="0"/>
              <w:left w:val="single" w:color="000000" w:sz="4" w:space="0"/>
              <w:bottom w:val="single" w:color="000000" w:sz="4" w:space="0"/>
              <w:right w:val="single" w:color="000000" w:sz="4" w:space="0"/>
            </w:tcBorders>
            <w:vAlign w:val="center"/>
          </w:tcPr>
          <w:p w14:paraId="6B94A7B2">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到岗服务时间</w:t>
            </w:r>
          </w:p>
        </w:tc>
        <w:tc>
          <w:tcPr>
            <w:tcW w:w="1260" w:type="dxa"/>
            <w:tcBorders>
              <w:top w:val="single" w:color="000000" w:sz="4" w:space="0"/>
              <w:left w:val="single" w:color="000000" w:sz="4" w:space="0"/>
              <w:bottom w:val="single" w:color="000000" w:sz="4" w:space="0"/>
              <w:right w:val="single" w:color="000000" w:sz="4" w:space="0"/>
            </w:tcBorders>
            <w:vAlign w:val="center"/>
          </w:tcPr>
          <w:p w14:paraId="3BCF746D">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数量</w:t>
            </w:r>
          </w:p>
        </w:tc>
        <w:tc>
          <w:tcPr>
            <w:tcW w:w="1800" w:type="dxa"/>
            <w:tcBorders>
              <w:top w:val="single" w:color="000000" w:sz="4" w:space="0"/>
              <w:left w:val="single" w:color="000000" w:sz="4" w:space="0"/>
              <w:bottom w:val="single" w:color="000000" w:sz="4" w:space="0"/>
              <w:right w:val="single" w:color="000000" w:sz="4" w:space="0"/>
            </w:tcBorders>
            <w:vAlign w:val="center"/>
          </w:tcPr>
          <w:p w14:paraId="21B6850E">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到岗服务人月数最低要求（人月）</w:t>
            </w:r>
          </w:p>
        </w:tc>
      </w:tr>
      <w:tr w14:paraId="0FF705AF">
        <w:tblPrEx>
          <w:tblCellMar>
            <w:top w:w="15" w:type="dxa"/>
            <w:left w:w="15" w:type="dxa"/>
            <w:bottom w:w="15" w:type="dxa"/>
            <w:right w:w="15" w:type="dxa"/>
          </w:tblCellMar>
        </w:tblPrEx>
        <w:trPr>
          <w:trHeight w:val="435"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555C4CAC">
            <w:pPr>
              <w:widowControl/>
              <w:spacing w:line="360" w:lineRule="auto"/>
              <w:jc w:val="center"/>
              <w:textAlignment w:val="center"/>
              <w:rPr>
                <w:rFonts w:ascii="楷体" w:hAnsi="楷体" w:eastAsia="楷体" w:cs="楷体"/>
                <w:b/>
                <w:color w:val="000000" w:themeColor="text1"/>
                <w:szCs w:val="21"/>
                <w14:textFill>
                  <w14:solidFill>
                    <w14:schemeClr w14:val="tx1"/>
                  </w14:solidFill>
                </w14:textFill>
              </w:rPr>
            </w:pPr>
            <w:r>
              <w:rPr>
                <w:rFonts w:hint="eastAsia" w:ascii="楷体" w:hAnsi="楷体" w:eastAsia="楷体" w:cs="楷体"/>
                <w:color w:val="000000" w:themeColor="text1"/>
                <w:kern w:val="0"/>
                <w:szCs w:val="21"/>
                <w:lang w:bidi="ar"/>
                <w14:textFill>
                  <w14:solidFill>
                    <w14:schemeClr w14:val="tx1"/>
                  </w14:solidFill>
                </w14:textFill>
              </w:rPr>
              <w:t>1</w:t>
            </w:r>
          </w:p>
        </w:tc>
        <w:tc>
          <w:tcPr>
            <w:tcW w:w="2656" w:type="dxa"/>
            <w:tcBorders>
              <w:top w:val="single" w:color="000000" w:sz="4" w:space="0"/>
              <w:left w:val="single" w:color="000000" w:sz="4" w:space="0"/>
              <w:bottom w:val="single" w:color="000000" w:sz="4" w:space="0"/>
              <w:right w:val="single" w:color="000000" w:sz="4" w:space="0"/>
            </w:tcBorders>
            <w:vAlign w:val="center"/>
          </w:tcPr>
          <w:p w14:paraId="1E214530">
            <w:pPr>
              <w:widowControl/>
              <w:spacing w:line="360" w:lineRule="auto"/>
              <w:jc w:val="left"/>
              <w:textAlignment w:val="center"/>
              <w:rPr>
                <w:rFonts w:ascii="楷体" w:hAnsi="楷体" w:eastAsia="楷体" w:cs="楷体"/>
                <w:snapToGrid w:val="0"/>
                <w:color w:val="000000" w:themeColor="text1"/>
                <w:kern w:val="0"/>
                <w:szCs w:val="21"/>
                <w14:textFill>
                  <w14:solidFill>
                    <w14:schemeClr w14:val="tx1"/>
                  </w14:solidFill>
                </w14:textFill>
              </w:rPr>
            </w:pPr>
            <w:r>
              <w:rPr>
                <w:rFonts w:hint="eastAsia" w:ascii="楷体" w:hAnsi="楷体" w:eastAsia="楷体" w:cs="楷体"/>
                <w:color w:val="000000" w:themeColor="text1"/>
                <w:kern w:val="0"/>
                <w:szCs w:val="21"/>
                <w:lang w:bidi="ar"/>
                <w14:textFill>
                  <w14:solidFill>
                    <w14:schemeClr w14:val="tx1"/>
                  </w14:solidFill>
                </w14:textFill>
              </w:rPr>
              <w:t>总监理工程师</w:t>
            </w:r>
          </w:p>
        </w:tc>
        <w:tc>
          <w:tcPr>
            <w:tcW w:w="1455" w:type="dxa"/>
            <w:tcBorders>
              <w:top w:val="single" w:color="000000" w:sz="4" w:space="0"/>
              <w:left w:val="single" w:color="000000" w:sz="4" w:space="0"/>
              <w:bottom w:val="single" w:color="000000" w:sz="4" w:space="0"/>
              <w:right w:val="single" w:color="000000" w:sz="4" w:space="0"/>
            </w:tcBorders>
            <w:vAlign w:val="center"/>
          </w:tcPr>
          <w:p w14:paraId="0D702893">
            <w:pPr>
              <w:widowControl/>
              <w:spacing w:line="360" w:lineRule="auto"/>
              <w:jc w:val="center"/>
              <w:textAlignment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 xml:space="preserve"> 个月</w:t>
            </w:r>
          </w:p>
        </w:tc>
        <w:tc>
          <w:tcPr>
            <w:tcW w:w="1260" w:type="dxa"/>
            <w:tcBorders>
              <w:top w:val="single" w:color="000000" w:sz="4" w:space="0"/>
              <w:left w:val="single" w:color="000000" w:sz="4" w:space="0"/>
              <w:bottom w:val="single" w:color="000000" w:sz="4" w:space="0"/>
              <w:right w:val="single" w:color="000000" w:sz="4" w:space="0"/>
            </w:tcBorders>
            <w:vAlign w:val="center"/>
          </w:tcPr>
          <w:p w14:paraId="3FC4215D">
            <w:pPr>
              <w:widowControl/>
              <w:spacing w:line="360" w:lineRule="auto"/>
              <w:jc w:val="center"/>
              <w:textAlignment w:val="center"/>
              <w:rPr>
                <w:rFonts w:ascii="楷体" w:hAnsi="楷体" w:eastAsia="楷体" w:cs="楷体"/>
                <w:color w:val="000000" w:themeColor="text1"/>
                <w:kern w:val="0"/>
                <w:szCs w:val="21"/>
                <w:lang w:bidi="ar"/>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DAD2D44">
            <w:pPr>
              <w:widowControl/>
              <w:spacing w:line="360" w:lineRule="auto"/>
              <w:jc w:val="center"/>
              <w:textAlignment w:val="center"/>
              <w:rPr>
                <w:rFonts w:ascii="楷体" w:hAnsi="楷体" w:eastAsia="楷体" w:cs="楷体"/>
                <w:color w:val="000000" w:themeColor="text1"/>
                <w:kern w:val="0"/>
                <w:szCs w:val="21"/>
                <w:lang w:bidi="ar"/>
                <w14:textFill>
                  <w14:solidFill>
                    <w14:schemeClr w14:val="tx1"/>
                  </w14:solidFill>
                </w14:textFill>
              </w:rPr>
            </w:pPr>
          </w:p>
        </w:tc>
      </w:tr>
      <w:tr w14:paraId="622FF333">
        <w:tblPrEx>
          <w:tblCellMar>
            <w:top w:w="15" w:type="dxa"/>
            <w:left w:w="15" w:type="dxa"/>
            <w:bottom w:w="15" w:type="dxa"/>
            <w:right w:w="15" w:type="dxa"/>
          </w:tblCellMar>
        </w:tblPrEx>
        <w:trPr>
          <w:trHeight w:val="435"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551D18A0">
            <w:pPr>
              <w:widowControl/>
              <w:spacing w:line="360" w:lineRule="auto"/>
              <w:jc w:val="center"/>
              <w:textAlignment w:val="center"/>
              <w:rPr>
                <w:rFonts w:ascii="楷体" w:hAnsi="楷体" w:eastAsia="楷体" w:cs="楷体"/>
                <w:color w:val="000000" w:themeColor="text1"/>
                <w:kern w:val="0"/>
                <w:szCs w:val="21"/>
                <w:lang w:bidi="ar"/>
                <w14:textFill>
                  <w14:solidFill>
                    <w14:schemeClr w14:val="tx1"/>
                  </w14:solidFill>
                </w14:textFill>
              </w:rPr>
            </w:pPr>
            <w:r>
              <w:rPr>
                <w:rFonts w:hint="eastAsia" w:ascii="楷体" w:hAnsi="楷体" w:eastAsia="楷体" w:cs="楷体"/>
                <w:color w:val="000000" w:themeColor="text1"/>
                <w:kern w:val="0"/>
                <w:szCs w:val="21"/>
                <w:lang w:bidi="ar"/>
                <w14:textFill>
                  <w14:solidFill>
                    <w14:schemeClr w14:val="tx1"/>
                  </w14:solidFill>
                </w14:textFill>
              </w:rPr>
              <w:t>2</w:t>
            </w:r>
          </w:p>
        </w:tc>
        <w:tc>
          <w:tcPr>
            <w:tcW w:w="2656" w:type="dxa"/>
            <w:tcBorders>
              <w:top w:val="single" w:color="000000" w:sz="4" w:space="0"/>
              <w:left w:val="single" w:color="000000" w:sz="4" w:space="0"/>
              <w:bottom w:val="single" w:color="000000" w:sz="4" w:space="0"/>
              <w:right w:val="single" w:color="000000" w:sz="4" w:space="0"/>
            </w:tcBorders>
            <w:vAlign w:val="center"/>
          </w:tcPr>
          <w:p w14:paraId="7D4DCEBC">
            <w:pPr>
              <w:widowControl/>
              <w:spacing w:line="360" w:lineRule="auto"/>
              <w:jc w:val="left"/>
              <w:textAlignment w:val="center"/>
              <w:rPr>
                <w:rFonts w:ascii="楷体" w:hAnsi="楷体" w:eastAsia="楷体" w:cs="楷体"/>
                <w:color w:val="000000" w:themeColor="text1"/>
                <w:kern w:val="0"/>
                <w:szCs w:val="21"/>
                <w:lang w:bidi="ar"/>
                <w14:textFill>
                  <w14:solidFill>
                    <w14:schemeClr w14:val="tx1"/>
                  </w14:solidFill>
                </w14:textFill>
              </w:rPr>
            </w:pPr>
            <w:r>
              <w:rPr>
                <w:rFonts w:hint="eastAsia" w:ascii="楷体" w:hAnsi="楷体" w:eastAsia="楷体" w:cs="楷体"/>
                <w:snapToGrid w:val="0"/>
                <w:color w:val="000000" w:themeColor="text1"/>
                <w:kern w:val="0"/>
                <w:szCs w:val="21"/>
                <w14:textFill>
                  <w14:solidFill>
                    <w14:schemeClr w14:val="tx1"/>
                  </w14:solidFill>
                </w14:textFill>
              </w:rPr>
              <w:t>专业监理工程师</w:t>
            </w:r>
          </w:p>
        </w:tc>
        <w:tc>
          <w:tcPr>
            <w:tcW w:w="1455" w:type="dxa"/>
            <w:tcBorders>
              <w:top w:val="single" w:color="000000" w:sz="4" w:space="0"/>
              <w:left w:val="single" w:color="000000" w:sz="4" w:space="0"/>
              <w:bottom w:val="single" w:color="000000" w:sz="4" w:space="0"/>
              <w:right w:val="single" w:color="000000" w:sz="4" w:space="0"/>
            </w:tcBorders>
            <w:vAlign w:val="center"/>
          </w:tcPr>
          <w:p w14:paraId="713F63BA">
            <w:pPr>
              <w:spacing w:line="360" w:lineRule="auto"/>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 xml:space="preserve"> 个月</w:t>
            </w:r>
          </w:p>
        </w:tc>
        <w:tc>
          <w:tcPr>
            <w:tcW w:w="1260" w:type="dxa"/>
            <w:tcBorders>
              <w:top w:val="single" w:color="000000" w:sz="4" w:space="0"/>
              <w:left w:val="single" w:color="000000" w:sz="4" w:space="0"/>
              <w:bottom w:val="single" w:color="000000" w:sz="4" w:space="0"/>
              <w:right w:val="single" w:color="000000" w:sz="4" w:space="0"/>
            </w:tcBorders>
            <w:vAlign w:val="center"/>
          </w:tcPr>
          <w:p w14:paraId="0C707E2D">
            <w:pPr>
              <w:widowControl/>
              <w:spacing w:line="360" w:lineRule="auto"/>
              <w:jc w:val="center"/>
              <w:textAlignment w:val="center"/>
              <w:rPr>
                <w:rFonts w:ascii="楷体" w:hAnsi="楷体" w:eastAsia="楷体" w:cs="楷体"/>
                <w:color w:val="000000" w:themeColor="text1"/>
                <w:szCs w:val="21"/>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796DD310">
            <w:pPr>
              <w:widowControl/>
              <w:spacing w:line="360" w:lineRule="auto"/>
              <w:jc w:val="center"/>
              <w:textAlignment w:val="center"/>
              <w:rPr>
                <w:rFonts w:ascii="楷体" w:hAnsi="楷体" w:eastAsia="楷体" w:cs="楷体"/>
                <w:color w:val="000000" w:themeColor="text1"/>
                <w:szCs w:val="21"/>
                <w14:textFill>
                  <w14:solidFill>
                    <w14:schemeClr w14:val="tx1"/>
                  </w14:solidFill>
                </w14:textFill>
              </w:rPr>
            </w:pPr>
          </w:p>
        </w:tc>
      </w:tr>
      <w:tr w14:paraId="4DC68431">
        <w:tblPrEx>
          <w:tblCellMar>
            <w:top w:w="15" w:type="dxa"/>
            <w:left w:w="15" w:type="dxa"/>
            <w:bottom w:w="15" w:type="dxa"/>
            <w:right w:w="15" w:type="dxa"/>
          </w:tblCellMar>
        </w:tblPrEx>
        <w:trPr>
          <w:trHeight w:val="435"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372D51BE">
            <w:pPr>
              <w:widowControl/>
              <w:spacing w:line="360" w:lineRule="auto"/>
              <w:jc w:val="center"/>
              <w:textAlignment w:val="center"/>
              <w:rPr>
                <w:rFonts w:ascii="楷体" w:hAnsi="楷体" w:eastAsia="楷体" w:cs="楷体"/>
                <w:b/>
                <w:color w:val="000000" w:themeColor="text1"/>
                <w:szCs w:val="21"/>
                <w14:textFill>
                  <w14:solidFill>
                    <w14:schemeClr w14:val="tx1"/>
                  </w14:solidFill>
                </w14:textFill>
              </w:rPr>
            </w:pPr>
            <w:r>
              <w:rPr>
                <w:rFonts w:hint="eastAsia" w:ascii="楷体" w:hAnsi="楷体" w:eastAsia="楷体" w:cs="楷体"/>
                <w:color w:val="000000" w:themeColor="text1"/>
                <w:kern w:val="0"/>
                <w:szCs w:val="21"/>
                <w:lang w:bidi="ar"/>
                <w14:textFill>
                  <w14:solidFill>
                    <w14:schemeClr w14:val="tx1"/>
                  </w14:solidFill>
                </w14:textFill>
              </w:rPr>
              <w:t>3</w:t>
            </w:r>
          </w:p>
        </w:tc>
        <w:tc>
          <w:tcPr>
            <w:tcW w:w="2656" w:type="dxa"/>
            <w:tcBorders>
              <w:top w:val="single" w:color="000000" w:sz="4" w:space="0"/>
              <w:left w:val="single" w:color="000000" w:sz="4" w:space="0"/>
              <w:bottom w:val="single" w:color="000000" w:sz="4" w:space="0"/>
              <w:right w:val="single" w:color="000000" w:sz="4" w:space="0"/>
            </w:tcBorders>
            <w:vAlign w:val="center"/>
          </w:tcPr>
          <w:p w14:paraId="32E6617A">
            <w:pPr>
              <w:widowControl/>
              <w:spacing w:line="360" w:lineRule="auto"/>
              <w:jc w:val="left"/>
              <w:textAlignment w:val="center"/>
              <w:rPr>
                <w:rFonts w:ascii="楷体" w:hAnsi="楷体" w:eastAsia="楷体" w:cs="楷体"/>
                <w:snapToGrid w:val="0"/>
                <w:color w:val="000000" w:themeColor="text1"/>
                <w:kern w:val="0"/>
                <w:szCs w:val="21"/>
                <w14:textFill>
                  <w14:solidFill>
                    <w14:schemeClr w14:val="tx1"/>
                  </w14:solidFill>
                </w14:textFill>
              </w:rPr>
            </w:pPr>
            <w:r>
              <w:rPr>
                <w:rFonts w:hint="eastAsia" w:ascii="楷体" w:hAnsi="楷体" w:eastAsia="楷体" w:cs="楷体"/>
                <w:color w:val="000000" w:themeColor="text1"/>
                <w:kern w:val="0"/>
                <w:szCs w:val="21"/>
                <w:lang w:bidi="ar"/>
                <w14:textFill>
                  <w14:solidFill>
                    <w14:schemeClr w14:val="tx1"/>
                  </w14:solidFill>
                </w14:textFill>
              </w:rPr>
              <w:t>监理员</w:t>
            </w:r>
          </w:p>
        </w:tc>
        <w:tc>
          <w:tcPr>
            <w:tcW w:w="1455" w:type="dxa"/>
            <w:tcBorders>
              <w:top w:val="single" w:color="000000" w:sz="4" w:space="0"/>
              <w:left w:val="single" w:color="000000" w:sz="4" w:space="0"/>
              <w:bottom w:val="single" w:color="000000" w:sz="4" w:space="0"/>
              <w:right w:val="single" w:color="000000" w:sz="4" w:space="0"/>
            </w:tcBorders>
            <w:vAlign w:val="center"/>
          </w:tcPr>
          <w:p w14:paraId="1ED0CFBD">
            <w:pPr>
              <w:spacing w:line="360" w:lineRule="auto"/>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 xml:space="preserve"> 个月</w:t>
            </w:r>
          </w:p>
        </w:tc>
        <w:tc>
          <w:tcPr>
            <w:tcW w:w="1260" w:type="dxa"/>
            <w:tcBorders>
              <w:top w:val="single" w:color="000000" w:sz="4" w:space="0"/>
              <w:left w:val="single" w:color="000000" w:sz="4" w:space="0"/>
              <w:bottom w:val="single" w:color="000000" w:sz="4" w:space="0"/>
              <w:right w:val="single" w:color="000000" w:sz="4" w:space="0"/>
            </w:tcBorders>
            <w:vAlign w:val="center"/>
          </w:tcPr>
          <w:p w14:paraId="24B6DE90">
            <w:pPr>
              <w:widowControl/>
              <w:spacing w:line="360" w:lineRule="auto"/>
              <w:jc w:val="center"/>
              <w:textAlignment w:val="center"/>
              <w:rPr>
                <w:rFonts w:ascii="楷体" w:hAnsi="楷体" w:eastAsia="楷体" w:cs="楷体"/>
                <w:color w:val="000000" w:themeColor="text1"/>
                <w:kern w:val="0"/>
                <w:szCs w:val="21"/>
                <w:lang w:bidi="ar"/>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E193C56">
            <w:pPr>
              <w:widowControl/>
              <w:spacing w:line="360" w:lineRule="auto"/>
              <w:jc w:val="center"/>
              <w:textAlignment w:val="center"/>
              <w:rPr>
                <w:rFonts w:ascii="楷体" w:hAnsi="楷体" w:eastAsia="楷体" w:cs="楷体"/>
                <w:color w:val="000000" w:themeColor="text1"/>
                <w:kern w:val="0"/>
                <w:szCs w:val="21"/>
                <w:lang w:bidi="ar"/>
                <w14:textFill>
                  <w14:solidFill>
                    <w14:schemeClr w14:val="tx1"/>
                  </w14:solidFill>
                </w14:textFill>
              </w:rPr>
            </w:pPr>
          </w:p>
        </w:tc>
      </w:tr>
      <w:tr w14:paraId="4F7FA8EC">
        <w:tblPrEx>
          <w:tblCellMar>
            <w:top w:w="15" w:type="dxa"/>
            <w:left w:w="15" w:type="dxa"/>
            <w:bottom w:w="15" w:type="dxa"/>
            <w:right w:w="15" w:type="dxa"/>
          </w:tblCellMar>
        </w:tblPrEx>
        <w:trPr>
          <w:trHeight w:val="435"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37B9343F">
            <w:pPr>
              <w:widowControl/>
              <w:spacing w:line="360" w:lineRule="auto"/>
              <w:jc w:val="center"/>
              <w:textAlignment w:val="center"/>
              <w:rPr>
                <w:rFonts w:ascii="楷体" w:hAnsi="楷体" w:eastAsia="楷体" w:cs="楷体"/>
                <w:color w:val="000000" w:themeColor="text1"/>
                <w:kern w:val="0"/>
                <w:szCs w:val="21"/>
                <w:lang w:bidi="ar"/>
                <w14:textFill>
                  <w14:solidFill>
                    <w14:schemeClr w14:val="tx1"/>
                  </w14:solidFill>
                </w14:textFill>
              </w:rPr>
            </w:pPr>
            <w:r>
              <w:rPr>
                <w:rFonts w:hint="eastAsia" w:ascii="楷体" w:hAnsi="楷体" w:eastAsia="楷体" w:cs="楷体"/>
                <w:color w:val="000000" w:themeColor="text1"/>
                <w:kern w:val="0"/>
                <w:szCs w:val="21"/>
                <w:lang w:bidi="ar"/>
                <w14:textFill>
                  <w14:solidFill>
                    <w14:schemeClr w14:val="tx1"/>
                  </w14:solidFill>
                </w14:textFill>
              </w:rPr>
              <w:t>4</w:t>
            </w:r>
          </w:p>
        </w:tc>
        <w:tc>
          <w:tcPr>
            <w:tcW w:w="2656" w:type="dxa"/>
            <w:tcBorders>
              <w:top w:val="single" w:color="000000" w:sz="4" w:space="0"/>
              <w:left w:val="single" w:color="000000" w:sz="4" w:space="0"/>
              <w:bottom w:val="single" w:color="000000" w:sz="4" w:space="0"/>
              <w:right w:val="single" w:color="000000" w:sz="4" w:space="0"/>
            </w:tcBorders>
            <w:vAlign w:val="center"/>
          </w:tcPr>
          <w:p w14:paraId="57424D3B">
            <w:pPr>
              <w:widowControl/>
              <w:spacing w:line="360" w:lineRule="auto"/>
              <w:jc w:val="left"/>
              <w:textAlignment w:val="center"/>
              <w:rPr>
                <w:rFonts w:ascii="楷体" w:hAnsi="楷体" w:eastAsia="楷体" w:cs="楷体"/>
                <w:color w:val="000000" w:themeColor="text1"/>
                <w:kern w:val="0"/>
                <w:szCs w:val="21"/>
                <w:lang w:bidi="ar"/>
                <w14:textFill>
                  <w14:solidFill>
                    <w14:schemeClr w14:val="tx1"/>
                  </w14:solidFill>
                </w14:textFill>
              </w:rPr>
            </w:pPr>
            <w:r>
              <w:rPr>
                <w:rFonts w:hint="eastAsia" w:ascii="楷体" w:hAnsi="楷体" w:eastAsia="楷体" w:cs="楷体"/>
                <w:color w:val="000000" w:themeColor="text1"/>
                <w:kern w:val="0"/>
                <w:szCs w:val="21"/>
                <w:lang w:bidi="ar"/>
                <w14:textFill>
                  <w14:solidFill>
                    <w14:schemeClr w14:val="tx1"/>
                  </w14:solidFill>
                </w14:textFill>
              </w:rPr>
              <w:t>见证员</w:t>
            </w:r>
          </w:p>
        </w:tc>
        <w:tc>
          <w:tcPr>
            <w:tcW w:w="1455" w:type="dxa"/>
            <w:tcBorders>
              <w:top w:val="single" w:color="000000" w:sz="4" w:space="0"/>
              <w:left w:val="single" w:color="000000" w:sz="4" w:space="0"/>
              <w:bottom w:val="single" w:color="000000" w:sz="4" w:space="0"/>
              <w:right w:val="single" w:color="000000" w:sz="4" w:space="0"/>
            </w:tcBorders>
            <w:vAlign w:val="center"/>
          </w:tcPr>
          <w:p w14:paraId="65865C9C">
            <w:pPr>
              <w:spacing w:line="360" w:lineRule="auto"/>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 xml:space="preserve"> 个月</w:t>
            </w:r>
          </w:p>
        </w:tc>
        <w:tc>
          <w:tcPr>
            <w:tcW w:w="1260" w:type="dxa"/>
            <w:tcBorders>
              <w:top w:val="single" w:color="000000" w:sz="4" w:space="0"/>
              <w:left w:val="single" w:color="000000" w:sz="4" w:space="0"/>
              <w:bottom w:val="single" w:color="000000" w:sz="4" w:space="0"/>
              <w:right w:val="single" w:color="000000" w:sz="4" w:space="0"/>
            </w:tcBorders>
            <w:vAlign w:val="center"/>
          </w:tcPr>
          <w:p w14:paraId="42DDB823">
            <w:pPr>
              <w:widowControl/>
              <w:spacing w:line="360" w:lineRule="auto"/>
              <w:jc w:val="center"/>
              <w:textAlignment w:val="center"/>
              <w:rPr>
                <w:rFonts w:ascii="楷体" w:hAnsi="楷体" w:eastAsia="楷体" w:cs="楷体"/>
                <w:color w:val="000000" w:themeColor="text1"/>
                <w:szCs w:val="21"/>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AA897D0">
            <w:pPr>
              <w:widowControl/>
              <w:spacing w:line="360" w:lineRule="auto"/>
              <w:jc w:val="center"/>
              <w:textAlignment w:val="center"/>
              <w:rPr>
                <w:rFonts w:ascii="楷体" w:hAnsi="楷体" w:eastAsia="楷体" w:cs="楷体"/>
                <w:color w:val="000000" w:themeColor="text1"/>
                <w:kern w:val="0"/>
                <w:szCs w:val="21"/>
                <w:lang w:bidi="ar"/>
                <w14:textFill>
                  <w14:solidFill>
                    <w14:schemeClr w14:val="tx1"/>
                  </w14:solidFill>
                </w14:textFill>
              </w:rPr>
            </w:pPr>
          </w:p>
        </w:tc>
      </w:tr>
      <w:tr w14:paraId="55397D46">
        <w:tblPrEx>
          <w:tblCellMar>
            <w:top w:w="15" w:type="dxa"/>
            <w:left w:w="15" w:type="dxa"/>
            <w:bottom w:w="15" w:type="dxa"/>
            <w:right w:w="15" w:type="dxa"/>
          </w:tblCellMar>
        </w:tblPrEx>
        <w:trPr>
          <w:trHeight w:val="26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62BDEB07">
            <w:pPr>
              <w:widowControl/>
              <w:spacing w:line="360" w:lineRule="auto"/>
              <w:jc w:val="center"/>
              <w:textAlignment w:val="center"/>
              <w:rPr>
                <w:rFonts w:ascii="楷体" w:hAnsi="楷体" w:eastAsia="楷体" w:cs="楷体"/>
                <w:b/>
                <w:bCs/>
                <w:color w:val="000000" w:themeColor="text1"/>
                <w:kern w:val="0"/>
                <w:szCs w:val="21"/>
                <w:lang w:bidi="ar"/>
                <w14:textFill>
                  <w14:solidFill>
                    <w14:schemeClr w14:val="tx1"/>
                  </w14:solidFill>
                </w14:textFill>
              </w:rPr>
            </w:pPr>
            <w:r>
              <w:rPr>
                <w:rFonts w:hint="eastAsia" w:ascii="楷体" w:hAnsi="楷体" w:eastAsia="楷体" w:cs="楷体"/>
                <w:b/>
                <w:bCs/>
                <w:color w:val="000000" w:themeColor="text1"/>
                <w:kern w:val="0"/>
                <w:szCs w:val="21"/>
                <w:lang w:bidi="ar"/>
                <w14:textFill>
                  <w14:solidFill>
                    <w14:schemeClr w14:val="tx1"/>
                  </w14:solidFill>
                </w14:textFill>
              </w:rPr>
              <w:t>5</w:t>
            </w:r>
          </w:p>
        </w:tc>
        <w:tc>
          <w:tcPr>
            <w:tcW w:w="2656" w:type="dxa"/>
            <w:tcBorders>
              <w:top w:val="single" w:color="000000" w:sz="4" w:space="0"/>
              <w:left w:val="single" w:color="000000" w:sz="4" w:space="0"/>
              <w:bottom w:val="single" w:color="000000" w:sz="4" w:space="0"/>
              <w:right w:val="single" w:color="000000" w:sz="4" w:space="0"/>
            </w:tcBorders>
            <w:vAlign w:val="center"/>
          </w:tcPr>
          <w:p w14:paraId="04FEAB2C">
            <w:pPr>
              <w:widowControl/>
              <w:spacing w:line="360" w:lineRule="auto"/>
              <w:jc w:val="left"/>
              <w:textAlignment w:val="center"/>
              <w:rPr>
                <w:rFonts w:ascii="楷体" w:hAnsi="楷体" w:eastAsia="楷体" w:cs="楷体"/>
                <w:b/>
                <w:bCs/>
                <w:snapToGrid w:val="0"/>
                <w:color w:val="000000" w:themeColor="text1"/>
                <w:kern w:val="0"/>
                <w:szCs w:val="21"/>
                <w14:textFill>
                  <w14:solidFill>
                    <w14:schemeClr w14:val="tx1"/>
                  </w14:solidFill>
                </w14:textFill>
              </w:rPr>
            </w:pPr>
            <w:r>
              <w:rPr>
                <w:rFonts w:hint="eastAsia" w:ascii="楷体" w:hAnsi="楷体" w:eastAsia="楷体" w:cs="楷体"/>
                <w:b/>
                <w:bCs/>
                <w:color w:val="000000" w:themeColor="text1"/>
                <w:kern w:val="0"/>
                <w:szCs w:val="21"/>
                <w:lang w:bidi="ar"/>
                <w14:textFill>
                  <w14:solidFill>
                    <w14:schemeClr w14:val="tx1"/>
                  </w14:solidFill>
                </w14:textFill>
              </w:rPr>
              <w:t>合计</w:t>
            </w:r>
          </w:p>
        </w:tc>
        <w:tc>
          <w:tcPr>
            <w:tcW w:w="1455" w:type="dxa"/>
            <w:tcBorders>
              <w:top w:val="single" w:color="000000" w:sz="4" w:space="0"/>
              <w:left w:val="single" w:color="000000" w:sz="4" w:space="0"/>
              <w:bottom w:val="single" w:color="000000" w:sz="4" w:space="0"/>
              <w:right w:val="single" w:color="000000" w:sz="4" w:space="0"/>
            </w:tcBorders>
            <w:vAlign w:val="center"/>
          </w:tcPr>
          <w:p w14:paraId="4551D795">
            <w:pPr>
              <w:widowControl/>
              <w:spacing w:line="360" w:lineRule="auto"/>
              <w:jc w:val="center"/>
              <w:textAlignment w:val="center"/>
              <w:rPr>
                <w:rFonts w:ascii="楷体" w:hAnsi="楷体" w:eastAsia="楷体" w:cs="楷体"/>
                <w:b/>
                <w:bCs/>
                <w:color w:val="000000" w:themeColor="text1"/>
                <w:szCs w:val="21"/>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8135F21">
            <w:pPr>
              <w:widowControl/>
              <w:spacing w:line="360" w:lineRule="auto"/>
              <w:jc w:val="center"/>
              <w:textAlignment w:val="center"/>
              <w:rPr>
                <w:rFonts w:ascii="楷体" w:hAnsi="楷体" w:eastAsia="楷体" w:cs="楷体"/>
                <w:b/>
                <w:bCs/>
                <w:color w:val="000000" w:themeColor="text1"/>
                <w:szCs w:val="21"/>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C05E785">
            <w:pPr>
              <w:widowControl/>
              <w:spacing w:line="360" w:lineRule="auto"/>
              <w:jc w:val="center"/>
              <w:textAlignment w:val="center"/>
              <w:rPr>
                <w:rFonts w:ascii="楷体" w:hAnsi="楷体" w:eastAsia="楷体" w:cs="楷体"/>
                <w:b/>
                <w:bCs/>
                <w:color w:val="000000" w:themeColor="text1"/>
                <w:szCs w:val="21"/>
                <w14:textFill>
                  <w14:solidFill>
                    <w14:schemeClr w14:val="tx1"/>
                  </w14:solidFill>
                </w14:textFill>
              </w:rPr>
            </w:pPr>
          </w:p>
        </w:tc>
      </w:tr>
    </w:tbl>
    <w:p w14:paraId="0B4A5BC5">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   注：1、</w:t>
      </w:r>
      <w:r>
        <w:rPr>
          <w:rFonts w:hint="eastAsia" w:ascii="楷体" w:hAnsi="楷体" w:eastAsia="楷体" w:cs="楷体"/>
          <w:snapToGrid w:val="0"/>
          <w:color w:val="000000" w:themeColor="text1"/>
          <w:kern w:val="0"/>
          <w:sz w:val="24"/>
          <w14:textFill>
            <w14:solidFill>
              <w14:schemeClr w14:val="tx1"/>
            </w14:solidFill>
          </w14:textFill>
        </w:rPr>
        <w:t>本监理标段，监理人员</w:t>
      </w:r>
      <w:r>
        <w:rPr>
          <w:rFonts w:hint="eastAsia" w:ascii="楷体" w:hAnsi="楷体" w:eastAsia="楷体" w:cs="楷体"/>
          <w:bCs/>
          <w:snapToGrid w:val="0"/>
          <w:color w:val="000000" w:themeColor="text1"/>
          <w:kern w:val="0"/>
          <w:sz w:val="24"/>
          <w14:textFill>
            <w14:solidFill>
              <w14:schemeClr w14:val="tx1"/>
            </w14:solidFill>
          </w14:textFill>
        </w:rPr>
        <w:t>到岗服务人月数最低要求</w:t>
      </w:r>
      <w:r>
        <w:rPr>
          <w:rFonts w:hint="eastAsia" w:ascii="楷体" w:hAnsi="楷体" w:eastAsia="楷体" w:cs="楷体"/>
          <w:color w:val="000000" w:themeColor="text1"/>
          <w:sz w:val="24"/>
          <w14:textFill>
            <w14:solidFill>
              <w14:schemeClr w14:val="tx1"/>
            </w14:solidFill>
          </w14:textFill>
        </w:rPr>
        <w:t>合计</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人月</w:t>
      </w:r>
      <w:r>
        <w:rPr>
          <w:rFonts w:hint="eastAsia" w:ascii="楷体" w:hAnsi="楷体" w:eastAsia="楷体" w:cs="楷体"/>
          <w:snapToGrid w:val="0"/>
          <w:color w:val="000000" w:themeColor="text1"/>
          <w:kern w:val="0"/>
          <w:sz w:val="24"/>
          <w14:textFill>
            <w14:solidFill>
              <w14:schemeClr w14:val="tx1"/>
            </w14:solidFill>
          </w14:textFill>
        </w:rPr>
        <w:t>（具体各阶段人月数详见上表）</w:t>
      </w:r>
      <w:r>
        <w:rPr>
          <w:rFonts w:hint="eastAsia" w:ascii="楷体" w:hAnsi="楷体" w:eastAsia="楷体" w:cs="楷体"/>
          <w:color w:val="000000" w:themeColor="text1"/>
          <w:sz w:val="24"/>
          <w14:textFill>
            <w14:solidFill>
              <w14:schemeClr w14:val="tx1"/>
            </w14:solidFill>
          </w14:textFill>
        </w:rPr>
        <w:t>。</w:t>
      </w:r>
      <w:r>
        <w:rPr>
          <w:rFonts w:hint="eastAsia" w:ascii="楷体" w:hAnsi="楷体" w:eastAsia="楷体" w:cs="楷体"/>
          <w:snapToGrid w:val="0"/>
          <w:color w:val="000000" w:themeColor="text1"/>
          <w:kern w:val="0"/>
          <w:sz w:val="24"/>
          <w14:textFill>
            <w14:solidFill>
              <w14:schemeClr w14:val="tx1"/>
            </w14:solidFill>
          </w14:textFill>
        </w:rPr>
        <w:t>上述要求的监理人员中，总监到岗服务人月数原则上保持不变；因部分工程施工开始或结束时间不同，</w:t>
      </w:r>
      <w:r>
        <w:rPr>
          <w:rFonts w:hint="eastAsia" w:ascii="楷体" w:hAnsi="楷体" w:eastAsia="楷体" w:cs="楷体"/>
          <w:b/>
          <w:snapToGrid w:val="0"/>
          <w:color w:val="000000" w:themeColor="text1"/>
          <w:kern w:val="0"/>
          <w:sz w:val="24"/>
          <w14:textFill>
            <w14:solidFill>
              <w14:schemeClr w14:val="tx1"/>
            </w14:solidFill>
          </w14:textFill>
        </w:rPr>
        <w:t>发包人可以安排监理人员的进、退场情况[即部分专业监理工程师、监理员等进、退场可有先有后，人数应根据发包人工程实际进展情况作出调整（包括可能在施工高峰时段需投入的人员数量超出上述各阶段专业监理人员的数量要求，监理人应无条件满足发包人的需要）]</w:t>
      </w:r>
      <w:r>
        <w:rPr>
          <w:rFonts w:hint="eastAsia" w:ascii="楷体" w:hAnsi="楷体" w:eastAsia="楷体" w:cs="楷体"/>
          <w:snapToGrid w:val="0"/>
          <w:color w:val="000000" w:themeColor="text1"/>
          <w:kern w:val="0"/>
          <w:sz w:val="24"/>
          <w14:textFill>
            <w14:solidFill>
              <w14:schemeClr w14:val="tx1"/>
            </w14:solidFill>
          </w14:textFill>
        </w:rPr>
        <w:t>；如由于监理人原因致使监理人员到岗服务人月数不满足本款规定，则招标人有权按合同专用条款4.1.2款约定进行处罚。</w:t>
      </w:r>
    </w:p>
    <w:p w14:paraId="6D95A02C">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2.3.8 监理人员到位率要求：①本工程的总监理工程师为</w:t>
      </w:r>
      <w:r>
        <w:rPr>
          <w:rFonts w:hint="eastAsia" w:ascii="楷体" w:hAnsi="楷体" w:eastAsia="楷体" w:cs="楷体"/>
          <w:color w:val="000000" w:themeColor="text1"/>
          <w:kern w:val="0"/>
          <w:sz w:val="24"/>
          <w:u w:val="single"/>
          <w14:textFill>
            <w14:solidFill>
              <w14:schemeClr w14:val="tx1"/>
            </w14:solidFill>
          </w14:textFill>
        </w:rPr>
        <w:t xml:space="preserve">      </w:t>
      </w:r>
      <w:r>
        <w:rPr>
          <w:rFonts w:hint="eastAsia" w:ascii="楷体" w:hAnsi="楷体" w:eastAsia="楷体" w:cs="楷体"/>
          <w:color w:val="000000" w:themeColor="text1"/>
          <w:kern w:val="0"/>
          <w:sz w:val="24"/>
          <w14:textFill>
            <w14:solidFill>
              <w14:schemeClr w14:val="tx1"/>
            </w14:solidFill>
          </w14:textFill>
        </w:rPr>
        <w:t>，总监理工程师须保证到位率为每月实际日历天数的80%以上，其它监理人员须保证到位率为每月实际日历天数90%以上（其他监理人员的到位按照工程进度进场，以委托人指令为准）；②原则上不得更换合同专用条件约定中明确的项目班子组成人员，因特殊情况，更换人员须经招标单位同意。</w:t>
      </w:r>
    </w:p>
    <w:p w14:paraId="12BE8B2E">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若合同执行期间，总监理工程师到位率未达到每月实际日历天数的80%以上；其它监理人员的到位率未达到每月实际日历天数的90%以上要求，除违约金外，委托人有权提出更换监理人员，或者直接终止监理合同。 </w:t>
      </w:r>
    </w:p>
    <w:p w14:paraId="315551D7">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2.3.9项目总监及其他监理机构人员的考勤管理具体由委托人确定。若监理人没有达到相应要求的，将扣除相应的保证金。</w:t>
      </w:r>
    </w:p>
    <w:p w14:paraId="4D7AA6A4">
      <w:pPr>
        <w:snapToGrid w:val="0"/>
        <w:spacing w:line="360" w:lineRule="auto"/>
        <w:ind w:firstLine="482" w:firstLineChars="200"/>
        <w:rPr>
          <w:rFonts w:ascii="楷体" w:hAnsi="楷体" w:eastAsia="楷体" w:cs="楷体"/>
          <w:b/>
          <w:bCs/>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2.3.10质量保修期专监和监理员的安排及到位率将由委托人根据竣工时的工程实际情况确定。当因工作需要，委托人要求总监理工程师需要返回工地时，监理人必须满足委托人的要求（否则承担招标文件规定的不到位违约金，并在服务费结算款中相应扣除）并在投标报价中综合考虑该项费用，今后不再增加费用。</w:t>
      </w:r>
    </w:p>
    <w:p w14:paraId="2154C175">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2.3.11 监理人员的管理</w:t>
      </w:r>
    </w:p>
    <w:p w14:paraId="523E0D6A">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监理人应派遣投标文件中承诺的监理人员进驻现场，监理人不得随意更换投标文件中承诺的总监、副总监</w:t>
      </w:r>
      <w:r>
        <w:rPr>
          <w:rFonts w:hint="eastAsia" w:ascii="楷体" w:hAnsi="楷体" w:eastAsia="楷体" w:cs="楷体"/>
          <w:b/>
          <w:bCs/>
          <w:color w:val="000000" w:themeColor="text1"/>
          <w:kern w:val="0"/>
          <w:sz w:val="24"/>
          <w14:textFill>
            <w14:solidFill>
              <w14:schemeClr w14:val="tx1"/>
            </w14:solidFill>
          </w14:textFill>
        </w:rPr>
        <w:t>（</w:t>
      </w:r>
      <w:r>
        <w:rPr>
          <w:rFonts w:hint="eastAsia" w:ascii="楷体" w:hAnsi="楷体" w:eastAsia="楷体" w:cs="楷体"/>
          <w:b/>
          <w:bCs/>
          <w:color w:val="000000" w:themeColor="text1"/>
          <w:kern w:val="0"/>
          <w:sz w:val="24"/>
          <w:lang w:eastAsia="zh-Hans"/>
          <w14:textFill>
            <w14:solidFill>
              <w14:schemeClr w14:val="tx1"/>
            </w14:solidFill>
          </w14:textFill>
        </w:rPr>
        <w:t>如有）</w:t>
      </w:r>
      <w:r>
        <w:rPr>
          <w:rFonts w:hint="eastAsia" w:ascii="楷体" w:hAnsi="楷体" w:eastAsia="楷体" w:cs="楷体"/>
          <w:color w:val="000000" w:themeColor="text1"/>
          <w:kern w:val="0"/>
          <w:sz w:val="24"/>
          <w14:textFill>
            <w14:solidFill>
              <w14:schemeClr w14:val="tx1"/>
            </w14:solidFill>
          </w14:textFill>
        </w:rPr>
        <w:t>和专业监理工程师等主要监理人员，不得配置不符合招标文件要求的其他专业监理工程师和监理员；否则，将视为监理人违约。进场的监理人员应保持稳定，除非委托人另有要求或其它特殊原因，不得随意更换。</w:t>
      </w:r>
    </w:p>
    <w:p w14:paraId="43895F12">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2.3.11.1 以下情况为正常调换：</w:t>
      </w:r>
    </w:p>
    <w:p w14:paraId="42D68DB0">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①投标截止期后180天，双方未签订监理合同，或虽签订了监理合同，但工程不具备开工条件且委托人未按合同规定支付监理服务费的；</w:t>
      </w:r>
    </w:p>
    <w:p w14:paraId="724B7E7A">
      <w:pPr>
        <w:snapToGrid w:val="0"/>
        <w:spacing w:line="360" w:lineRule="auto"/>
        <w:ind w:firstLine="482" w:firstLineChars="200"/>
        <w:rPr>
          <w:rFonts w:ascii="楷体" w:hAnsi="楷体" w:eastAsia="楷体" w:cs="楷体"/>
          <w:b/>
          <w:bCs/>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②委托人认为拟派监理人员不称职提出调换的。</w:t>
      </w:r>
    </w:p>
    <w:p w14:paraId="4474F2E7">
      <w:pPr>
        <w:snapToGrid w:val="0"/>
        <w:spacing w:line="360" w:lineRule="auto"/>
        <w:ind w:firstLine="480" w:firstLineChars="200"/>
        <w:rPr>
          <w:rFonts w:ascii="楷体" w:hAnsi="楷体" w:eastAsia="楷体" w:cs="楷体"/>
          <w:b/>
          <w:bCs/>
          <w:color w:val="000000" w:themeColor="text1"/>
          <w:kern w:val="0"/>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③</w:t>
      </w:r>
      <w:r>
        <w:rPr>
          <w:rFonts w:hint="eastAsia" w:ascii="楷体" w:hAnsi="楷体" w:eastAsia="楷体" w:cs="楷体"/>
          <w:b/>
          <w:bCs/>
          <w:color w:val="000000" w:themeColor="text1"/>
          <w:kern w:val="0"/>
          <w:sz w:val="24"/>
          <w14:textFill>
            <w14:solidFill>
              <w14:schemeClr w14:val="tx1"/>
            </w14:solidFill>
          </w14:textFill>
        </w:rPr>
        <w:t>拟派监理人员意外死亡提出调换的。</w:t>
      </w:r>
    </w:p>
    <w:p w14:paraId="2B2C545A">
      <w:pPr>
        <w:snapToGrid w:val="0"/>
        <w:spacing w:line="360" w:lineRule="auto"/>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   2.3.11.2 以下情况为非正常调换：</w:t>
      </w:r>
    </w:p>
    <w:p w14:paraId="6FCDE5DA">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①被替换人擅自离岗或监理人擅自调离的；</w:t>
      </w:r>
    </w:p>
    <w:p w14:paraId="5D7A52B0">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②因工作失职，发生质量或安全事故被清退的；</w:t>
      </w:r>
    </w:p>
    <w:p w14:paraId="19707107">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③因发生吃拿卡要等廉洁问题被清退的；</w:t>
      </w:r>
    </w:p>
    <w:p w14:paraId="34DFBBA9">
      <w:pPr>
        <w:snapToGrid w:val="0"/>
        <w:spacing w:line="360" w:lineRule="auto"/>
        <w:ind w:firstLine="482" w:firstLineChars="200"/>
        <w:rPr>
          <w:rFonts w:ascii="楷体" w:hAnsi="楷体" w:eastAsia="楷体" w:cs="楷体"/>
          <w:b/>
          <w:bCs/>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④因工作不称职等原因被行业主管部门、建设行政监督部门要求调换的；</w:t>
      </w:r>
    </w:p>
    <w:p w14:paraId="13ED036D">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⑤委托人认为不可接受的其他原因。</w:t>
      </w:r>
    </w:p>
    <w:p w14:paraId="5B1F7FD1">
      <w:pPr>
        <w:snapToGrid w:val="0"/>
        <w:spacing w:line="360" w:lineRule="auto"/>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    2.3.11.3 有以下情况之一的，应视为监理人违约：</w:t>
      </w:r>
    </w:p>
    <w:p w14:paraId="6653F1D4">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①属非正常调换；</w:t>
      </w:r>
    </w:p>
    <w:p w14:paraId="190D47CA">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②属正常调换，但未按合同规定程序和要求报委托人审查批准。</w:t>
      </w:r>
    </w:p>
    <w:p w14:paraId="7BBED628">
      <w:pPr>
        <w:snapToGrid w:val="0"/>
        <w:spacing w:line="360" w:lineRule="auto"/>
        <w:ind w:firstLine="42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2.3.11.4同时满足以下条件时，不应视为监理人违约：</w:t>
      </w:r>
      <w:r>
        <w:rPr>
          <w:rFonts w:hint="eastAsia" w:ascii="楷体" w:hAnsi="楷体" w:eastAsia="楷体" w:cs="楷体"/>
          <w:b/>
          <w:bCs/>
          <w:color w:val="000000" w:themeColor="text1"/>
          <w:kern w:val="0"/>
          <w:sz w:val="24"/>
          <w:u w:val="single"/>
          <w14:textFill>
            <w14:solidFill>
              <w14:schemeClr w14:val="tx1"/>
            </w14:solidFill>
          </w14:textFill>
        </w:rPr>
        <w:t>属正常调换</w:t>
      </w:r>
      <w:r>
        <w:rPr>
          <w:rFonts w:hint="eastAsia" w:ascii="楷体" w:hAnsi="楷体" w:eastAsia="楷体" w:cs="楷体"/>
          <w:color w:val="000000" w:themeColor="text1"/>
          <w:kern w:val="0"/>
          <w:sz w:val="24"/>
          <w14:textFill>
            <w14:solidFill>
              <w14:schemeClr w14:val="tx1"/>
            </w14:solidFill>
          </w14:textFill>
        </w:rPr>
        <w:t>。</w:t>
      </w:r>
    </w:p>
    <w:p w14:paraId="62B0F47D">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2.3.11.5 若监理人要求调换监理人员，必须提前14天向委托人提供以下材料并取得委托人的书面批准，才能派替换的监理人员进场：</w:t>
      </w:r>
    </w:p>
    <w:p w14:paraId="0B744B24">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（1）书面请示报告；</w:t>
      </w:r>
    </w:p>
    <w:p w14:paraId="586102FD">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（2）替换人的身份证、毕业证书、技术职称证书、监理资格证书、工作经历与业绩等有关证明材料的彩色打印件或清晰可辨的复印件（原件备查）。</w:t>
      </w:r>
    </w:p>
    <w:p w14:paraId="01632C68">
      <w:pPr>
        <w:snapToGrid w:val="0"/>
        <w:spacing w:line="360" w:lineRule="auto"/>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    2.3.11.6监理人更换监理人员构成违约的，按招标文件的相关标准在履约担保或支付的监理服务费中扣除。</w:t>
      </w:r>
    </w:p>
    <w:p w14:paraId="57DB5FC2">
      <w:pPr>
        <w:snapToGrid w:val="0"/>
        <w:spacing w:line="360" w:lineRule="auto"/>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    2.3.11.7 监理办的监理人员每个月的工作日以满足工程施工进展和监理工作的需要且不低于承诺的到位率为前提，监理人员每个月驻工地的时间为当月法定工作日。监理人员的休假应根据工程进展情况合理安排，除特殊情况外，总监、专监的休假必须事先经委托人书面同意，其他监理人员休假必须经总监理工程师书面同意。在岗监理人员人数应满足工程正常监理工作的需要。</w:t>
      </w:r>
    </w:p>
    <w:p w14:paraId="5AF36B59">
      <w:pPr>
        <w:snapToGrid w:val="0"/>
        <w:spacing w:line="360" w:lineRule="auto"/>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    2.3.11.8监理人应当结合本工程特点及监理服务范围和内容，对全体监理人员进行必要的业务培训和考核，并接受委托人组织的上岗摸底考试。对摸底考试不合格的监理人员，将被视为不能胜任监理工作岗位而予以调换。</w:t>
      </w:r>
    </w:p>
    <w:p w14:paraId="5AD86A67">
      <w:pPr>
        <w:snapToGrid w:val="0"/>
        <w:spacing w:line="360" w:lineRule="auto"/>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    2.3.11.9总监的直系或旁系亲属不得在其领导的监理办从事监理工作，也不得在监理办管辖的任何承包人及其分包人、材料供应商等与工程监理有关联的单位工作。</w:t>
      </w:r>
    </w:p>
    <w:p w14:paraId="3A82BE9C">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2.4 履行职责</w:t>
      </w:r>
    </w:p>
    <w:p w14:paraId="375A3E60">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2.4.3 对监理人的授权范围：</w:t>
      </w:r>
      <w:r>
        <w:rPr>
          <w:rFonts w:hint="eastAsia" w:ascii="楷体" w:hAnsi="楷体" w:eastAsia="楷体" w:cs="楷体"/>
          <w:color w:val="000000" w:themeColor="text1"/>
          <w:kern w:val="0"/>
          <w:sz w:val="24"/>
          <w:u w:val="single"/>
          <w14:textFill>
            <w14:solidFill>
              <w14:schemeClr w14:val="tx1"/>
            </w14:solidFill>
          </w14:textFill>
        </w:rPr>
        <w:t>工程变更、设计变更、工期及费用索赔、影响工程造价的签证及任何付款凭证等必须取得委托人批准才能行使。</w:t>
      </w:r>
    </w:p>
    <w:p w14:paraId="16E0724A">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在涉及工程延期</w:t>
      </w:r>
      <w:r>
        <w:rPr>
          <w:rFonts w:hint="eastAsia" w:ascii="楷体" w:hAnsi="楷体" w:eastAsia="楷体" w:cs="楷体"/>
          <w:color w:val="000000" w:themeColor="text1"/>
          <w:kern w:val="0"/>
          <w:sz w:val="24"/>
          <w:u w:val="single"/>
          <w14:textFill>
            <w14:solidFill>
              <w14:schemeClr w14:val="tx1"/>
            </w14:solidFill>
          </w14:textFill>
        </w:rPr>
        <w:t xml:space="preserve"> / </w:t>
      </w:r>
      <w:r>
        <w:rPr>
          <w:rFonts w:hint="eastAsia" w:ascii="楷体" w:hAnsi="楷体" w:eastAsia="楷体" w:cs="楷体"/>
          <w:color w:val="000000" w:themeColor="text1"/>
          <w:kern w:val="0"/>
          <w:sz w:val="24"/>
          <w14:textFill>
            <w14:solidFill>
              <w14:schemeClr w14:val="tx1"/>
            </w14:solidFill>
          </w14:textFill>
        </w:rPr>
        <w:t>天内和（或）金额</w:t>
      </w:r>
      <w:r>
        <w:rPr>
          <w:rFonts w:hint="eastAsia" w:ascii="楷体" w:hAnsi="楷体" w:eastAsia="楷体" w:cs="楷体"/>
          <w:color w:val="000000" w:themeColor="text1"/>
          <w:kern w:val="0"/>
          <w:sz w:val="24"/>
          <w:u w:val="single"/>
          <w14:textFill>
            <w14:solidFill>
              <w14:schemeClr w14:val="tx1"/>
            </w14:solidFill>
          </w14:textFill>
        </w:rPr>
        <w:t xml:space="preserve"> / </w:t>
      </w:r>
      <w:r>
        <w:rPr>
          <w:rFonts w:hint="eastAsia" w:ascii="楷体" w:hAnsi="楷体" w:eastAsia="楷体" w:cs="楷体"/>
          <w:color w:val="000000" w:themeColor="text1"/>
          <w:kern w:val="0"/>
          <w:sz w:val="24"/>
          <w14:textFill>
            <w14:solidFill>
              <w14:schemeClr w14:val="tx1"/>
            </w14:solidFill>
          </w14:textFill>
        </w:rPr>
        <w:t>万元内的变更，监理人不需请示委托人即可向承包人发布变更通知。</w:t>
      </w:r>
    </w:p>
    <w:p w14:paraId="1D79DB11">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2.4.4 监理人有权要求承包人调换其人员的限制条件：</w:t>
      </w:r>
      <w:r>
        <w:rPr>
          <w:rFonts w:hint="eastAsia" w:ascii="楷体" w:hAnsi="楷体" w:eastAsia="楷体" w:cs="楷体"/>
          <w:color w:val="000000" w:themeColor="text1"/>
          <w:kern w:val="0"/>
          <w:sz w:val="24"/>
          <w:u w:val="single"/>
          <w:lang w:val="zh-CN"/>
          <w14:textFill>
            <w14:solidFill>
              <w14:schemeClr w14:val="tx1"/>
            </w14:solidFill>
          </w14:textFill>
        </w:rPr>
        <w:t>需经委托人同意后方可下达指令</w:t>
      </w:r>
      <w:r>
        <w:rPr>
          <w:rFonts w:hint="eastAsia" w:ascii="楷体" w:hAnsi="楷体" w:eastAsia="楷体" w:cs="楷体"/>
          <w:color w:val="000000" w:themeColor="text1"/>
          <w:kern w:val="0"/>
          <w:sz w:val="24"/>
          <w14:textFill>
            <w14:solidFill>
              <w14:schemeClr w14:val="tx1"/>
            </w14:solidFill>
          </w14:textFill>
        </w:rPr>
        <w:t>。</w:t>
      </w:r>
    </w:p>
    <w:p w14:paraId="09ACC0DA">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2.4.5监理人严格按委托人批准的监理细则开展工作。</w:t>
      </w:r>
    </w:p>
    <w:p w14:paraId="48095B05">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2.4.6本项目可能发生夜间施工，监理人应无条件给予配合。</w:t>
      </w:r>
    </w:p>
    <w:p w14:paraId="0A8B3CA6">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2.5 提交报告</w:t>
      </w:r>
    </w:p>
    <w:p w14:paraId="7E53CE97">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监理人应提交报告的种类(包括监理规划、监理月报及约定的专项报告)、时间和份数：</w:t>
      </w:r>
    </w:p>
    <w:p w14:paraId="09D25A40">
      <w:pPr>
        <w:snapToGrid w:val="0"/>
        <w:spacing w:line="360" w:lineRule="auto"/>
        <w:ind w:firstLine="480" w:firstLineChars="200"/>
        <w:rPr>
          <w:rFonts w:ascii="楷体" w:hAnsi="楷体" w:eastAsia="楷体" w:cs="楷体"/>
          <w:color w:val="000000" w:themeColor="text1"/>
          <w:kern w:val="0"/>
          <w:sz w:val="24"/>
          <w:u w:val="single"/>
          <w:lang w:val="zh-CN"/>
          <w14:textFill>
            <w14:solidFill>
              <w14:schemeClr w14:val="tx1"/>
            </w14:solidFill>
          </w14:textFill>
        </w:rPr>
      </w:pPr>
      <w:r>
        <w:rPr>
          <w:rFonts w:hint="eastAsia" w:ascii="楷体" w:hAnsi="楷体" w:eastAsia="楷体" w:cs="楷体"/>
          <w:color w:val="000000" w:themeColor="text1"/>
          <w:kern w:val="0"/>
          <w:sz w:val="24"/>
          <w:u w:val="single"/>
          <w:lang w:val="zh-CN"/>
          <w14:textFill>
            <w14:solidFill>
              <w14:schemeClr w14:val="tx1"/>
            </w14:solidFill>
          </w14:textFill>
        </w:rPr>
        <w:t>1.监理规划应在签订建设工程监理合同及收到工程设计文件后编制， 在召开第一次工地会议前7天内报送委托人。</w:t>
      </w:r>
    </w:p>
    <w:p w14:paraId="18E61C00">
      <w:pPr>
        <w:snapToGrid w:val="0"/>
        <w:spacing w:line="360" w:lineRule="auto"/>
        <w:ind w:firstLine="480" w:firstLineChars="200"/>
        <w:rPr>
          <w:rFonts w:ascii="楷体" w:hAnsi="楷体" w:eastAsia="楷体" w:cs="楷体"/>
          <w:color w:val="000000" w:themeColor="text1"/>
          <w:kern w:val="0"/>
          <w:sz w:val="24"/>
          <w:u w:val="single"/>
          <w:lang w:val="zh-CN"/>
          <w14:textFill>
            <w14:solidFill>
              <w14:schemeClr w14:val="tx1"/>
            </w14:solidFill>
          </w14:textFill>
        </w:rPr>
      </w:pPr>
      <w:r>
        <w:rPr>
          <w:rFonts w:hint="eastAsia" w:ascii="楷体" w:hAnsi="楷体" w:eastAsia="楷体" w:cs="楷体"/>
          <w:color w:val="000000" w:themeColor="text1"/>
          <w:kern w:val="0"/>
          <w:sz w:val="24"/>
          <w:u w:val="single"/>
          <w:lang w:val="zh-CN"/>
          <w14:textFill>
            <w14:solidFill>
              <w14:schemeClr w14:val="tx1"/>
            </w14:solidFill>
          </w14:textFill>
        </w:rPr>
        <w:t>2.采用新材料、新工艺、新技术、新设备的工程，以及专业性较强、危险性较大的分部分项工程，应编制监理实施细则。监理实施细则应在相应工程施工开始前由专业监理工程师编制， 并报总监理工程师审批。</w:t>
      </w:r>
    </w:p>
    <w:p w14:paraId="2F331EEB">
      <w:pPr>
        <w:snapToGrid w:val="0"/>
        <w:spacing w:line="360" w:lineRule="auto"/>
        <w:ind w:firstLine="480" w:firstLineChars="200"/>
        <w:rPr>
          <w:rFonts w:ascii="楷体" w:hAnsi="楷体" w:eastAsia="楷体" w:cs="楷体"/>
          <w:color w:val="000000" w:themeColor="text1"/>
          <w:kern w:val="0"/>
          <w:sz w:val="24"/>
          <w:u w:val="single"/>
          <w:lang w:val="zh-CN"/>
          <w14:textFill>
            <w14:solidFill>
              <w14:schemeClr w14:val="tx1"/>
            </w14:solidFill>
          </w14:textFill>
        </w:rPr>
      </w:pPr>
      <w:r>
        <w:rPr>
          <w:rFonts w:hint="eastAsia" w:ascii="楷体" w:hAnsi="楷体" w:eastAsia="楷体" w:cs="楷体"/>
          <w:color w:val="000000" w:themeColor="text1"/>
          <w:kern w:val="0"/>
          <w:sz w:val="24"/>
          <w:u w:val="single"/>
          <w:lang w:val="zh-CN"/>
          <w14:textFill>
            <w14:solidFill>
              <w14:schemeClr w14:val="tx1"/>
            </w14:solidFill>
          </w14:textFill>
        </w:rPr>
        <w:t>3.项目监理机构每月30日前向委托人提交的建设工程监理工作及建设工程实施情况分析总结报告。</w:t>
      </w:r>
    </w:p>
    <w:p w14:paraId="626D7080">
      <w:pPr>
        <w:snapToGrid w:val="0"/>
        <w:spacing w:line="360" w:lineRule="auto"/>
        <w:ind w:firstLine="480" w:firstLineChars="200"/>
        <w:rPr>
          <w:rFonts w:ascii="楷体" w:hAnsi="楷体" w:eastAsia="楷体" w:cs="楷体"/>
          <w:color w:val="000000" w:themeColor="text1"/>
          <w:kern w:val="0"/>
          <w:sz w:val="24"/>
          <w:u w:val="single"/>
          <w:lang w:val="zh-CN"/>
          <w14:textFill>
            <w14:solidFill>
              <w14:schemeClr w14:val="tx1"/>
            </w14:solidFill>
          </w14:textFill>
        </w:rPr>
      </w:pPr>
      <w:r>
        <w:rPr>
          <w:rFonts w:hint="eastAsia" w:ascii="楷体" w:hAnsi="楷体" w:eastAsia="楷体" w:cs="楷体"/>
          <w:color w:val="000000" w:themeColor="text1"/>
          <w:kern w:val="0"/>
          <w:sz w:val="24"/>
          <w:u w:val="single"/>
          <w:lang w:val="zh-CN"/>
          <w14:textFill>
            <w14:solidFill>
              <w14:schemeClr w14:val="tx1"/>
            </w14:solidFill>
          </w14:textFill>
        </w:rPr>
        <w:t>4.项目监理机构应审查施工单位报审的施工组织设计、专项施工方案，符合要求的，由总监理工程师签认后报委托人。</w:t>
      </w:r>
    </w:p>
    <w:p w14:paraId="31D5ED5B">
      <w:pPr>
        <w:snapToGrid w:val="0"/>
        <w:spacing w:line="360" w:lineRule="auto"/>
        <w:ind w:firstLine="480" w:firstLineChars="200"/>
        <w:rPr>
          <w:rFonts w:ascii="楷体" w:hAnsi="楷体" w:eastAsia="楷体" w:cs="楷体"/>
          <w:color w:val="000000" w:themeColor="text1"/>
          <w:kern w:val="0"/>
          <w:sz w:val="24"/>
          <w:u w:val="single"/>
          <w14:textFill>
            <w14:solidFill>
              <w14:schemeClr w14:val="tx1"/>
            </w14:solidFill>
          </w14:textFill>
        </w:rPr>
      </w:pPr>
      <w:r>
        <w:rPr>
          <w:rFonts w:hint="eastAsia" w:ascii="楷体" w:hAnsi="楷体" w:eastAsia="楷体" w:cs="楷体"/>
          <w:color w:val="000000" w:themeColor="text1"/>
          <w:kern w:val="0"/>
          <w:sz w:val="24"/>
          <w:u w:val="single"/>
          <w:lang w:val="zh-CN"/>
          <w14:textFill>
            <w14:solidFill>
              <w14:schemeClr w14:val="tx1"/>
            </w14:solidFill>
          </w14:textFill>
        </w:rPr>
        <w:t>5. 其他必须向委托人提交的有关本工程投资、质量、安全、进度的监理管理工作报告。</w:t>
      </w:r>
    </w:p>
    <w:p w14:paraId="55BF1BA3">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2.7 使用委托人的财产</w:t>
      </w:r>
    </w:p>
    <w:p w14:paraId="1C742D1E">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附录B中由委托人无偿提供的房屋、设备的所有权属于：</w:t>
      </w:r>
      <w:r>
        <w:rPr>
          <w:rFonts w:hint="eastAsia" w:ascii="楷体" w:hAnsi="楷体" w:eastAsia="楷体" w:cs="楷体"/>
          <w:color w:val="000000" w:themeColor="text1"/>
          <w:kern w:val="0"/>
          <w:sz w:val="24"/>
          <w:u w:val="single"/>
          <w14:textFill>
            <w14:solidFill>
              <w14:schemeClr w14:val="tx1"/>
            </w14:solidFill>
          </w14:textFill>
        </w:rPr>
        <w:t xml:space="preserve">   /    </w:t>
      </w:r>
      <w:r>
        <w:rPr>
          <w:rFonts w:hint="eastAsia" w:ascii="楷体" w:hAnsi="楷体" w:eastAsia="楷体" w:cs="楷体"/>
          <w:color w:val="000000" w:themeColor="text1"/>
          <w:kern w:val="0"/>
          <w:sz w:val="24"/>
          <w14:textFill>
            <w14:solidFill>
              <w14:schemeClr w14:val="tx1"/>
            </w14:solidFill>
          </w14:textFill>
        </w:rPr>
        <w:t>。</w:t>
      </w:r>
    </w:p>
    <w:p w14:paraId="36744BC8">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监理人应在本合同终止后</w:t>
      </w:r>
      <w:r>
        <w:rPr>
          <w:rFonts w:hint="eastAsia" w:ascii="楷体" w:hAnsi="楷体" w:eastAsia="楷体" w:cs="楷体"/>
          <w:color w:val="000000" w:themeColor="text1"/>
          <w:kern w:val="0"/>
          <w:sz w:val="24"/>
          <w:u w:val="single"/>
          <w14:textFill>
            <w14:solidFill>
              <w14:schemeClr w14:val="tx1"/>
            </w14:solidFill>
          </w14:textFill>
        </w:rPr>
        <w:t xml:space="preserve"> 14 </w:t>
      </w:r>
      <w:r>
        <w:rPr>
          <w:rFonts w:hint="eastAsia" w:ascii="楷体" w:hAnsi="楷体" w:eastAsia="楷体" w:cs="楷体"/>
          <w:color w:val="000000" w:themeColor="text1"/>
          <w:kern w:val="0"/>
          <w:sz w:val="24"/>
          <w14:textFill>
            <w14:solidFill>
              <w14:schemeClr w14:val="tx1"/>
            </w14:solidFill>
          </w14:textFill>
        </w:rPr>
        <w:t>天内移交委托人无偿提供的房屋、设备，移交的时间和方式为：</w:t>
      </w:r>
      <w:r>
        <w:rPr>
          <w:rFonts w:hint="eastAsia" w:ascii="楷体" w:hAnsi="楷体" w:eastAsia="楷体" w:cs="楷体"/>
          <w:color w:val="000000" w:themeColor="text1"/>
          <w:kern w:val="0"/>
          <w:sz w:val="24"/>
          <w:u w:val="single"/>
          <w14:textFill>
            <w14:solidFill>
              <w14:schemeClr w14:val="tx1"/>
            </w14:solidFill>
          </w14:textFill>
        </w:rPr>
        <w:t xml:space="preserve">      /    </w:t>
      </w:r>
      <w:r>
        <w:rPr>
          <w:rFonts w:hint="eastAsia" w:ascii="楷体" w:hAnsi="楷体" w:eastAsia="楷体" w:cs="楷体"/>
          <w:color w:val="000000" w:themeColor="text1"/>
          <w:kern w:val="0"/>
          <w:sz w:val="24"/>
          <w14:textFill>
            <w14:solidFill>
              <w14:schemeClr w14:val="tx1"/>
            </w14:solidFill>
          </w14:textFill>
        </w:rPr>
        <w:t>。</w:t>
      </w:r>
    </w:p>
    <w:p w14:paraId="7F14F419">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通用合同条款补充2.8款～2.9款：</w:t>
      </w:r>
    </w:p>
    <w:p w14:paraId="4974FEBB">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2.8监理办基本设施</w:t>
      </w:r>
    </w:p>
    <w:p w14:paraId="13FA7DDB">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2.8.1 监理人应按有关监理办标准化要求进行建设监理办，其监理办的基本设施及配套辅助人员(含文秘、驾驶、后勤等），监理人生活、办公用房及必需的办公设备、生活设施、交通工具、通讯工具、测量仪器、试验设备等均由监理人自备，其费用计入监理服务费报价并平均分摊到各阶段监理服务费计量监理服务人月费用支付中，不再另行支付，由监理人在报价中综合考虑。</w:t>
      </w:r>
    </w:p>
    <w:p w14:paraId="06FCDFB2">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2.8.2 监理人未按要求配备必需的设施、设备和物品，影响工程进展，委托人有权购买任何未按规定应由监理人自备的设施、设备和物品及其安装和服务，费用均由监理人负担，并在中期支付中将此款扣除。</w:t>
      </w:r>
    </w:p>
    <w:p w14:paraId="3A9B3552">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2.9 委托人财产</w:t>
      </w:r>
    </w:p>
    <w:p w14:paraId="7B1102C0">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本工程所有设计文件、规范、报表和其他由监理人为提供监理服务而制备的文件资料（包括摄像、录音和电子文档等）均属委托人财产。监理人在监理服务完成或合同中止前，应将上述文件、图表、签认的凭证、监理日志、监理指令等资料，按规定进行汇总、整理、装订成册，作为施工监理的竣工或阶段性资料，交付给委托人，监理人保留一份副本。其所需费用应包含在监理服务费报价中。</w:t>
      </w:r>
    </w:p>
    <w:p w14:paraId="29C03EC4">
      <w:pPr>
        <w:numPr>
          <w:ilvl w:val="0"/>
          <w:numId w:val="20"/>
        </w:numPr>
        <w:snapToGrid w:val="0"/>
        <w:spacing w:line="360" w:lineRule="auto"/>
        <w:ind w:firstLine="482" w:firstLineChars="200"/>
        <w:rPr>
          <w:rFonts w:ascii="楷体" w:hAnsi="楷体" w:eastAsia="楷体" w:cs="楷体"/>
          <w:b/>
          <w:color w:val="000000" w:themeColor="text1"/>
          <w:kern w:val="0"/>
          <w:sz w:val="24"/>
          <w14:textFill>
            <w14:solidFill>
              <w14:schemeClr w14:val="tx1"/>
            </w14:solidFill>
          </w14:textFill>
        </w:rPr>
      </w:pPr>
      <w:r>
        <w:rPr>
          <w:rFonts w:hint="eastAsia" w:ascii="楷体" w:hAnsi="楷体" w:eastAsia="楷体" w:cs="楷体"/>
          <w:b/>
          <w:color w:val="000000" w:themeColor="text1"/>
          <w:kern w:val="0"/>
          <w:sz w:val="24"/>
          <w14:textFill>
            <w14:solidFill>
              <w14:schemeClr w14:val="tx1"/>
            </w14:solidFill>
          </w14:textFill>
        </w:rPr>
        <w:t xml:space="preserve">委托人义务  </w:t>
      </w:r>
    </w:p>
    <w:p w14:paraId="00E73C4C">
      <w:pPr>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4699000</wp:posOffset>
                </wp:positionH>
                <wp:positionV relativeFrom="paragraph">
                  <wp:posOffset>-736600</wp:posOffset>
                </wp:positionV>
                <wp:extent cx="114935" cy="1530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153035"/>
                        </a:xfrm>
                        <a:prstGeom prst="rect">
                          <a:avLst/>
                        </a:prstGeom>
                        <a:solidFill>
                          <a:srgbClr val="FFFFFF"/>
                        </a:solidFill>
                        <a:ln>
                          <a:noFill/>
                        </a:ln>
                      </wps:spPr>
                      <wps:txbx>
                        <w:txbxContent>
                          <w:p w14:paraId="0A541AC2"/>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12.05pt;width:9.05pt;mso-wrap-style:none;z-index:251663360;mso-width-relative:page;mso-height-relative:page;" fillcolor="#FFFFFF" filled="t" stroked="f" coordsize="21600,21600" o:gfxdata="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j8q7tsAAAAM&#10;AQAADwAAAAAAAAABACAAAAAiAAAAZHJzL2Rvd25yZXYueG1sUEsBAhQAFAAAAAgAh07iQDlWgr/g&#10;AQAAwAMAAA4AAAAAAAAAAQAgAAAAKgEAAGRycy9lMm9Eb2MueG1sUEsFBgAAAAAGAAYAWQEAAHwF&#10;AAAAAA==&#10;">
                <v:fill on="t" focussize="0,0"/>
                <v:stroke on="f"/>
                <v:imagedata o:title=""/>
                <o:lock v:ext="edit" aspectratio="f"/>
                <v:textbox inset="0mm,0mm,0mm,0mm" style="mso-fit-shape-to-text:t;">
                  <w:txbxContent>
                    <w:p w14:paraId="0A541AC2"/>
                  </w:txbxContent>
                </v:textbox>
              </v:shape>
            </w:pict>
          </mc:Fallback>
        </mc:AlternateContent>
      </w:r>
      <w:r>
        <w:rPr>
          <w:rFonts w:hint="eastAsia" w:ascii="楷体" w:hAnsi="楷体" w:eastAsia="楷体" w:cs="楷体"/>
          <w:snapToGrid w:val="0"/>
          <w:color w:val="000000" w:themeColor="text1"/>
          <w:kern w:val="0"/>
          <w:sz w:val="24"/>
          <w14:textFill>
            <w14:solidFill>
              <w14:schemeClr w14:val="tx1"/>
            </w14:solidFill>
          </w14:textFill>
        </w:rPr>
        <w:t>3.3 提供工作条件</w:t>
      </w:r>
    </w:p>
    <w:p w14:paraId="750AA630">
      <w:pPr>
        <w:spacing w:line="360" w:lineRule="auto"/>
        <w:ind w:firstLine="482" w:firstLineChars="20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删除原内容，改为：</w:t>
      </w:r>
    </w:p>
    <w:p w14:paraId="30668227">
      <w:pPr>
        <w:spacing w:line="360" w:lineRule="auto"/>
        <w:ind w:firstLine="482"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监理人应自行安排监理办的设施，具体要求详见合同专用条件2.8款规定。</w:t>
      </w:r>
    </w:p>
    <w:p w14:paraId="00A799F7">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3.4 委托人代表</w:t>
      </w:r>
    </w:p>
    <w:p w14:paraId="4A65CBCF">
      <w:pPr>
        <w:snapToGrid w:val="0"/>
        <w:spacing w:line="360" w:lineRule="auto"/>
        <w:ind w:firstLine="480" w:firstLineChars="200"/>
        <w:rPr>
          <w:rFonts w:ascii="楷体" w:hAnsi="楷体" w:eastAsia="楷体" w:cs="楷体"/>
          <w:color w:val="000000" w:themeColor="text1"/>
          <w:kern w:val="0"/>
          <w:sz w:val="24"/>
          <w:u w:val="single"/>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委托人代表为：</w:t>
      </w:r>
      <w:r>
        <w:rPr>
          <w:rFonts w:hint="eastAsia" w:ascii="楷体" w:hAnsi="楷体" w:eastAsia="楷体" w:cs="楷体"/>
          <w:color w:val="000000" w:themeColor="text1"/>
          <w:kern w:val="0"/>
          <w:sz w:val="24"/>
          <w:u w:val="single"/>
          <w14:textFill>
            <w14:solidFill>
              <w14:schemeClr w14:val="tx1"/>
            </w14:solidFill>
          </w14:textFill>
        </w:rPr>
        <w:t xml:space="preserve">  </w:t>
      </w:r>
      <w:r>
        <w:rPr>
          <w:rFonts w:hint="eastAsia" w:ascii="楷体" w:hAnsi="楷体" w:eastAsia="楷体" w:cs="楷体"/>
          <w:color w:val="000000" w:themeColor="text1"/>
          <w:kern w:val="0"/>
          <w:sz w:val="24"/>
          <w:u w:val="single"/>
          <w:lang w:val="zh-CN"/>
          <w14:textFill>
            <w14:solidFill>
              <w14:schemeClr w14:val="tx1"/>
            </w14:solidFill>
          </w14:textFill>
        </w:rPr>
        <w:t xml:space="preserve">合同签订时填写 </w:t>
      </w:r>
      <w:r>
        <w:rPr>
          <w:rFonts w:hint="eastAsia" w:ascii="楷体" w:hAnsi="楷体" w:eastAsia="楷体" w:cs="楷体"/>
          <w:color w:val="000000" w:themeColor="text1"/>
          <w:kern w:val="0"/>
          <w:sz w:val="24"/>
          <w:u w:val="single"/>
          <w14:textFill>
            <w14:solidFill>
              <w14:schemeClr w14:val="tx1"/>
            </w14:solidFill>
          </w14:textFill>
        </w:rPr>
        <w:t xml:space="preserve">    </w:t>
      </w:r>
      <w:r>
        <w:rPr>
          <w:rFonts w:hint="eastAsia" w:ascii="楷体" w:hAnsi="楷体" w:eastAsia="楷体" w:cs="楷体"/>
          <w:color w:val="000000" w:themeColor="text1"/>
          <w:kern w:val="0"/>
          <w:sz w:val="24"/>
          <w14:textFill>
            <w14:solidFill>
              <w14:schemeClr w14:val="tx1"/>
            </w14:solidFill>
          </w14:textFill>
        </w:rPr>
        <w:t>。</w:t>
      </w:r>
    </w:p>
    <w:p w14:paraId="0835FB2C">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3.6 答复</w:t>
      </w:r>
    </w:p>
    <w:p w14:paraId="44387B4E">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委托人同意在</w:t>
      </w:r>
      <w:r>
        <w:rPr>
          <w:rFonts w:hint="eastAsia" w:ascii="楷体" w:hAnsi="楷体" w:eastAsia="楷体" w:cs="楷体"/>
          <w:color w:val="000000" w:themeColor="text1"/>
          <w:kern w:val="0"/>
          <w:sz w:val="24"/>
          <w:u w:val="single"/>
          <w14:textFill>
            <w14:solidFill>
              <w14:schemeClr w14:val="tx1"/>
            </w14:solidFill>
          </w14:textFill>
        </w:rPr>
        <w:t xml:space="preserve"> 7 </w:t>
      </w:r>
      <w:r>
        <w:rPr>
          <w:rFonts w:hint="eastAsia" w:ascii="楷体" w:hAnsi="楷体" w:eastAsia="楷体" w:cs="楷体"/>
          <w:color w:val="000000" w:themeColor="text1"/>
          <w:kern w:val="0"/>
          <w:sz w:val="24"/>
          <w14:textFill>
            <w14:solidFill>
              <w14:schemeClr w14:val="tx1"/>
            </w14:solidFill>
          </w14:textFill>
        </w:rPr>
        <w:t>天内，对监理人书面提交并要求做出决定的事宜给予书面答复。</w:t>
      </w:r>
    </w:p>
    <w:p w14:paraId="3D58088E">
      <w:pPr>
        <w:snapToGrid w:val="0"/>
        <w:spacing w:line="360" w:lineRule="auto"/>
        <w:ind w:firstLine="482" w:firstLineChars="200"/>
        <w:rPr>
          <w:rFonts w:ascii="楷体" w:hAnsi="楷体" w:eastAsia="楷体" w:cs="楷体"/>
          <w:b/>
          <w:bCs/>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4. 违约责任</w:t>
      </w:r>
    </w:p>
    <w:p w14:paraId="0AC67F4D">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4.1 监理人的违约责任</w:t>
      </w:r>
    </w:p>
    <w:p w14:paraId="5F6C47D1">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4.1.1 监理人的违约</w:t>
      </w:r>
    </w:p>
    <w:p w14:paraId="7749A83E">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（1）监理人违反监理合同的约定，将监理服务的任何部分转让或分包；</w:t>
      </w:r>
    </w:p>
    <w:p w14:paraId="54708EB3">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（2）由于监理人不履行监理职责，造成工程质量、安全责任事故，具体包括：</w:t>
      </w:r>
    </w:p>
    <w:p w14:paraId="11D9AD84">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① 监理人在接到承包人书面申请检查约定时间后的24小时内未到现场，且过后又没有进行复检而造成质量问题的；</w:t>
      </w:r>
    </w:p>
    <w:p w14:paraId="4F920F42">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② 原材料、构配件、设备及已完工程实体质量的抽检频率不足的而造成质量问题的；</w:t>
      </w:r>
    </w:p>
    <w:p w14:paraId="1F69AA25">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③ 将不合格的工程、工序、材料、构配件和设备按合格签字的；</w:t>
      </w:r>
    </w:p>
    <w:p w14:paraId="22F093F9">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④ 监理人员严重失职导致质量、安全或环保事故发生的；</w:t>
      </w:r>
    </w:p>
    <w:p w14:paraId="244F3F46">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⑤ 因监理人原因未达到合同约定的对第三方履约管理的服务目标的。</w:t>
      </w:r>
    </w:p>
    <w:p w14:paraId="36383570">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（3）监理人向承包人索贿、谋取私利，或与承包人串通损害委托人利益，给委托人造成损失，具体包括：</w:t>
      </w:r>
    </w:p>
    <w:p w14:paraId="6651AD52">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① 监理人员有吃拿卡要或其它不良行为的；</w:t>
      </w:r>
    </w:p>
    <w:p w14:paraId="7B86CB7F">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② 监理人员徇私舞弊、弄虚作假或与承包人串通欺瞒委托人或质监部门的。</w:t>
      </w:r>
    </w:p>
    <w:p w14:paraId="4C6EB06F">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（4）监理人未经委托人批准，擅自撤离合同约定的重要岗位监理人员的；</w:t>
      </w:r>
    </w:p>
    <w:p w14:paraId="6CB4AC6E">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（5）监理人无法继续履行或明确表示不履行或实质上已停止履行合同；</w:t>
      </w:r>
    </w:p>
    <w:p w14:paraId="0C0435BC">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（6）监理人到岗的监理人员服务人月数不满足合同专用条件2.3.7项约定的最低要求：</w:t>
      </w:r>
    </w:p>
    <w:p w14:paraId="47D9B38F">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①监理人到岗的总监理工程师服务人月数不满足合同专用条件2.3.7项约定的最低要求。</w:t>
      </w:r>
    </w:p>
    <w:p w14:paraId="5C18A8D7">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②监理人到岗的专业监理工程师服务人月数不满足合同专用条件2.3.7项约定的最低要求。</w:t>
      </w:r>
    </w:p>
    <w:p w14:paraId="5517AF9F">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③监理人到岗的监理员服务人月数不满足合同专用条件2.3.7项约定的最低要求。</w:t>
      </w:r>
    </w:p>
    <w:p w14:paraId="139D2A11">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④</w:t>
      </w:r>
      <w:r>
        <w:rPr>
          <w:rFonts w:hint="eastAsia" w:ascii="楷体" w:hAnsi="楷体" w:eastAsia="楷体" w:cs="楷体"/>
          <w:color w:val="000000" w:themeColor="text1"/>
          <w:sz w:val="24"/>
          <w14:textFill>
            <w14:solidFill>
              <w14:schemeClr w14:val="tx1"/>
            </w14:solidFill>
          </w14:textFill>
        </w:rPr>
        <w:t>监理人到岗的见证员服务人月数不满足合同专用条件2.3.7项约定的最低要求。</w:t>
      </w:r>
    </w:p>
    <w:p w14:paraId="73EE709C">
      <w:pPr>
        <w:snapToGrid w:val="0"/>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   （7）总监以及主要监理人员发生下列情形之一的：</w:t>
      </w:r>
    </w:p>
    <w:p w14:paraId="295511EC">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①与施工单位串通、弄虚作假降低工程质量等级，提高造价；</w:t>
      </w:r>
    </w:p>
    <w:p w14:paraId="26FFD5D5">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②故意将不合格的建筑工程、材料、构配件按合格签字；</w:t>
      </w:r>
    </w:p>
    <w:p w14:paraId="2B81BD26">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③向施工单位介绍材料、构配件，分包商从中得利，遭到举报并查实的；</w:t>
      </w:r>
    </w:p>
    <w:p w14:paraId="0575114A">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④发现施工中存在质量安全隐患或违反了强制性条文未发监理通知或整改不力的；</w:t>
      </w:r>
    </w:p>
    <w:p w14:paraId="01428793">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⑤不按规定见证取样，使不合格材料混入工程实体；</w:t>
      </w:r>
    </w:p>
    <w:p w14:paraId="21C0F677">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⑥验收不认真造成严重质量问题；</w:t>
      </w:r>
    </w:p>
    <w:p w14:paraId="20998373">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⑦不按规定旁站造成严重质量安全问题的；</w:t>
      </w:r>
    </w:p>
    <w:p w14:paraId="671B424E">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⑧承包商作假资料，代签字，监理发现后未向委托人报告的；</w:t>
      </w:r>
    </w:p>
    <w:p w14:paraId="42FC451B">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⑨承包商未按设计要求施工、偷工减料，监理单位发现后未报告；</w:t>
      </w:r>
    </w:p>
    <w:p w14:paraId="415455D8">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⑩节假日或夜间施工监理部无故不予配合的，特别是在打桩、浇捣砼时；以及对与施工单位上报的工程量、工程签证与实际情况不符的。</w:t>
      </w:r>
    </w:p>
    <w:p w14:paraId="470F7E4D">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（8）监理人不按合同约定履行义务的其他情况，具体包括：</w:t>
      </w:r>
    </w:p>
    <w:p w14:paraId="40AFB91A">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① 自中标开始至施工阶段结束，监理人违约调换总监理工程师、副总监理工程师</w:t>
      </w:r>
      <w:r>
        <w:rPr>
          <w:rFonts w:hint="eastAsia" w:ascii="楷体" w:hAnsi="楷体" w:eastAsia="楷体" w:cs="楷体"/>
          <w:b/>
          <w:bCs/>
          <w:color w:val="000000" w:themeColor="text1"/>
          <w:sz w:val="24"/>
          <w14:textFill>
            <w14:solidFill>
              <w14:schemeClr w14:val="tx1"/>
            </w14:solidFill>
          </w14:textFill>
        </w:rPr>
        <w:t>（如有）</w:t>
      </w:r>
      <w:r>
        <w:rPr>
          <w:rFonts w:hint="eastAsia" w:ascii="楷体" w:hAnsi="楷体" w:eastAsia="楷体" w:cs="楷体"/>
          <w:color w:val="000000" w:themeColor="text1"/>
          <w:sz w:val="24"/>
          <w14:textFill>
            <w14:solidFill>
              <w14:schemeClr w14:val="tx1"/>
            </w14:solidFill>
          </w14:textFill>
        </w:rPr>
        <w:t>、专业监理工程师、监理员的；</w:t>
      </w:r>
    </w:p>
    <w:p w14:paraId="26A3C1AB">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② 监理人员不能胜任本职工作，而监理人又不能按委托人要求及时更换的；</w:t>
      </w:r>
    </w:p>
    <w:p w14:paraId="33B61C3B">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③ 总监理工程师、副总监理工程师</w:t>
      </w:r>
      <w:r>
        <w:rPr>
          <w:rFonts w:hint="eastAsia" w:ascii="楷体" w:hAnsi="楷体" w:eastAsia="楷体" w:cs="楷体"/>
          <w:b/>
          <w:bCs/>
          <w:color w:val="000000" w:themeColor="text1"/>
          <w:sz w:val="24"/>
          <w14:textFill>
            <w14:solidFill>
              <w14:schemeClr w14:val="tx1"/>
            </w14:solidFill>
          </w14:textFill>
        </w:rPr>
        <w:t>（如有）</w:t>
      </w:r>
      <w:r>
        <w:rPr>
          <w:rFonts w:hint="eastAsia" w:ascii="楷体" w:hAnsi="楷体" w:eastAsia="楷体" w:cs="楷体"/>
          <w:color w:val="000000" w:themeColor="text1"/>
          <w:sz w:val="24"/>
          <w14:textFill>
            <w14:solidFill>
              <w14:schemeClr w14:val="tx1"/>
            </w14:solidFill>
          </w14:textFill>
        </w:rPr>
        <w:t>的休假未经委托人书面同意，其它监理人员休假未经总监批准而影响监理工作的；</w:t>
      </w:r>
    </w:p>
    <w:p w14:paraId="0BBFFA5C">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④ 无正当理由监理人员每个月驻工地的时间少于当月法定工作日的；</w:t>
      </w:r>
    </w:p>
    <w:p w14:paraId="7DBD7D4E">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⑤ 监理人员未按规定巡视、旁站的；</w:t>
      </w:r>
    </w:p>
    <w:p w14:paraId="016990FC">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⑥ 监理人不按时提交完整的交竣工资料的；</w:t>
      </w:r>
    </w:p>
    <w:p w14:paraId="0EDCB1F3">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⑦ 在合同实施过程中，监理办标准化建设不满足招标文件专用合同条件2.8款要求，没有</w:t>
      </w:r>
      <w:r>
        <w:rPr>
          <w:rFonts w:hint="eastAsia" w:ascii="楷体" w:hAnsi="楷体" w:eastAsia="楷体" w:cs="楷体"/>
          <w:color w:val="000000" w:themeColor="text1"/>
          <w:kern w:val="0"/>
          <w:sz w:val="24"/>
          <w14:textFill>
            <w14:solidFill>
              <w14:schemeClr w14:val="tx1"/>
            </w14:solidFill>
          </w14:textFill>
        </w:rPr>
        <w:t>根据温住建发〔2011〕19号文件《关于全面开展安全生产文明施工标准化工地创建活动的通知》的要求进行</w:t>
      </w:r>
      <w:r>
        <w:rPr>
          <w:rFonts w:hint="eastAsia" w:ascii="楷体" w:hAnsi="楷体" w:eastAsia="楷体" w:cs="楷体"/>
          <w:color w:val="000000" w:themeColor="text1"/>
          <w:sz w:val="24"/>
          <w14:textFill>
            <w14:solidFill>
              <w14:schemeClr w14:val="tx1"/>
            </w14:solidFill>
          </w14:textFill>
        </w:rPr>
        <w:t>监理办标准化建设的。</w:t>
      </w:r>
    </w:p>
    <w:p w14:paraId="6DF97507">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4.1.2 监理人违约的处理</w:t>
      </w:r>
    </w:p>
    <w:p w14:paraId="20655BD2">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人违反上述约定应承担违约责任，委托人有权向监理人发出书面通知要求其限期改正。当委托人在向监理人发出书面通知的28日后未见纠正，可以向监理人课以违约金，并可通知终止合同。在发生第4.1.1（1）、4.1.1（3）、4.1.1（5）项情形时，委托人可直接发出书面通知立即终止合同。合同解除后，委托人可选派其他监理人继续完成该项目的监理服务工作，但不免除监理人在被解除合同前所完成监理工作应承担的责任。</w:t>
      </w:r>
    </w:p>
    <w:p w14:paraId="6D1BA0FE">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因监理人违约，委托人对监理人课以违约金的计算方法：</w:t>
      </w:r>
    </w:p>
    <w:p w14:paraId="3F91D84F">
      <w:pPr>
        <w:numPr>
          <w:ilvl w:val="0"/>
          <w:numId w:val="21"/>
        </w:num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监理人未按投标文件承诺的人员到位的且有4.1.1（8）项①目情形，</w:t>
      </w:r>
    </w:p>
    <w:p w14:paraId="2E153DAA">
      <w:pPr>
        <w:spacing w:line="360" w:lineRule="auto"/>
        <w:ind w:firstLine="723" w:firstLineChars="300"/>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更换总监理工程师1人次处以</w:t>
      </w:r>
      <w:r>
        <w:rPr>
          <w:rFonts w:ascii="楷体" w:hAnsi="楷体" w:eastAsia="楷体" w:cs="楷体"/>
          <w:b/>
          <w:bCs/>
          <w:color w:val="000000" w:themeColor="text1"/>
          <w:sz w:val="24"/>
          <w:u w:val="single"/>
          <w14:textFill>
            <w14:solidFill>
              <w14:schemeClr w14:val="tx1"/>
            </w14:solidFill>
          </w14:textFill>
        </w:rPr>
        <w:t>5</w:t>
      </w:r>
      <w:r>
        <w:rPr>
          <w:rFonts w:hint="eastAsia" w:ascii="楷体" w:hAnsi="楷体" w:eastAsia="楷体" w:cs="楷体"/>
          <w:b/>
          <w:bCs/>
          <w:color w:val="000000" w:themeColor="text1"/>
          <w:sz w:val="24"/>
          <w14:textFill>
            <w14:solidFill>
              <w14:schemeClr w14:val="tx1"/>
            </w14:solidFill>
          </w14:textFill>
        </w:rPr>
        <w:t>万元违约金（若擅自更换的处以</w:t>
      </w:r>
      <w:r>
        <w:rPr>
          <w:rFonts w:ascii="楷体" w:hAnsi="楷体" w:eastAsia="楷体" w:cs="楷体"/>
          <w:b/>
          <w:bCs/>
          <w:color w:val="000000" w:themeColor="text1"/>
          <w:sz w:val="24"/>
          <w:u w:val="single"/>
          <w14:textFill>
            <w14:solidFill>
              <w14:schemeClr w14:val="tx1"/>
            </w14:solidFill>
          </w14:textFill>
        </w:rPr>
        <w:t>10</w:t>
      </w:r>
      <w:r>
        <w:rPr>
          <w:rFonts w:hint="eastAsia" w:ascii="楷体" w:hAnsi="楷体" w:eastAsia="楷体" w:cs="楷体"/>
          <w:b/>
          <w:bCs/>
          <w:color w:val="000000" w:themeColor="text1"/>
          <w:sz w:val="24"/>
          <w14:textFill>
            <w14:solidFill>
              <w14:schemeClr w14:val="tx1"/>
            </w14:solidFill>
          </w14:textFill>
        </w:rPr>
        <w:t>万元违约金），除总监理工程师以外更换的人员每更换1人次处以</w:t>
      </w:r>
      <w:r>
        <w:rPr>
          <w:rFonts w:ascii="楷体" w:hAnsi="楷体" w:eastAsia="楷体" w:cs="楷体"/>
          <w:b/>
          <w:bCs/>
          <w:color w:val="000000" w:themeColor="text1"/>
          <w:sz w:val="24"/>
          <w:u w:val="single"/>
          <w14:textFill>
            <w14:solidFill>
              <w14:schemeClr w14:val="tx1"/>
            </w14:solidFill>
          </w14:textFill>
        </w:rPr>
        <w:t>2.5</w:t>
      </w:r>
      <w:r>
        <w:rPr>
          <w:rFonts w:hint="eastAsia" w:ascii="楷体" w:hAnsi="楷体" w:eastAsia="楷体" w:cs="楷体"/>
          <w:b/>
          <w:bCs/>
          <w:color w:val="000000" w:themeColor="text1"/>
          <w:sz w:val="24"/>
          <w14:textFill>
            <w14:solidFill>
              <w14:schemeClr w14:val="tx1"/>
            </w14:solidFill>
          </w14:textFill>
        </w:rPr>
        <w:t>万元违约金（若擅自更换的处以</w:t>
      </w:r>
      <w:r>
        <w:rPr>
          <w:rFonts w:ascii="楷体" w:hAnsi="楷体" w:eastAsia="楷体" w:cs="楷体"/>
          <w:b/>
          <w:bCs/>
          <w:color w:val="000000" w:themeColor="text1"/>
          <w:sz w:val="24"/>
          <w:u w:val="single"/>
          <w14:textFill>
            <w14:solidFill>
              <w14:schemeClr w14:val="tx1"/>
            </w14:solidFill>
          </w14:textFill>
        </w:rPr>
        <w:t>5</w:t>
      </w:r>
      <w:r>
        <w:rPr>
          <w:rFonts w:hint="eastAsia" w:ascii="楷体" w:hAnsi="楷体" w:eastAsia="楷体" w:cs="楷体"/>
          <w:b/>
          <w:bCs/>
          <w:color w:val="000000" w:themeColor="text1"/>
          <w:sz w:val="24"/>
          <w14:textFill>
            <w14:solidFill>
              <w14:schemeClr w14:val="tx1"/>
            </w14:solidFill>
          </w14:textFill>
        </w:rPr>
        <w:t>万元违约金）</w:t>
      </w:r>
      <w:r>
        <w:rPr>
          <w:rFonts w:hint="eastAsia" w:ascii="楷体" w:hAnsi="楷体" w:eastAsia="楷体" w:cs="楷体"/>
          <w:b/>
          <w:bCs/>
          <w:color w:val="000000" w:themeColor="text1"/>
          <w:kern w:val="0"/>
          <w:sz w:val="24"/>
          <w14:textFill>
            <w14:solidFill>
              <w14:schemeClr w14:val="tx1"/>
            </w14:solidFill>
          </w14:textFill>
        </w:rPr>
        <w:t>。</w:t>
      </w:r>
      <w:r>
        <w:rPr>
          <w:rFonts w:hint="eastAsia" w:ascii="楷体" w:hAnsi="楷体" w:eastAsia="楷体" w:cs="楷体"/>
          <w:b/>
          <w:bCs/>
          <w:color w:val="000000" w:themeColor="text1"/>
          <w:sz w:val="24"/>
          <w14:textFill>
            <w14:solidFill>
              <w14:schemeClr w14:val="tx1"/>
            </w14:solidFill>
          </w14:textFill>
        </w:rPr>
        <w:t>【更换人员须应征得采购人同意和并经有关行业主管部门备案后投标单位才可更换（项目组人员变更须严格遵守《关于印发进一步加强重点工程建设项目施工进度和关键岗位人员的管理办法（试行）》的通知(苍政发〔2021〕10号）执行。】注：人员</w:t>
      </w:r>
      <w:r>
        <w:rPr>
          <w:rFonts w:ascii="楷体" w:hAnsi="楷体" w:eastAsia="楷体" w:cs="楷体"/>
          <w:b/>
          <w:bCs/>
          <w:color w:val="000000" w:themeColor="text1"/>
          <w:sz w:val="24"/>
          <w14:textFill>
            <w14:solidFill>
              <w14:schemeClr w14:val="tx1"/>
            </w14:solidFill>
          </w14:textFill>
        </w:rPr>
        <w:t>不得随意</w:t>
      </w:r>
      <w:r>
        <w:rPr>
          <w:rFonts w:hint="eastAsia" w:ascii="楷体" w:hAnsi="楷体" w:eastAsia="楷体" w:cs="楷体"/>
          <w:b/>
          <w:bCs/>
          <w:color w:val="000000" w:themeColor="text1"/>
          <w:sz w:val="24"/>
          <w14:textFill>
            <w14:solidFill>
              <w14:schemeClr w14:val="tx1"/>
            </w14:solidFill>
          </w14:textFill>
        </w:rPr>
        <w:t>变更</w:t>
      </w:r>
      <w:r>
        <w:rPr>
          <w:rFonts w:ascii="楷体" w:hAnsi="楷体" w:eastAsia="楷体" w:cs="楷体"/>
          <w:b/>
          <w:bCs/>
          <w:color w:val="000000" w:themeColor="text1"/>
          <w:sz w:val="24"/>
          <w14:textFill>
            <w14:solidFill>
              <w14:schemeClr w14:val="tx1"/>
            </w14:solidFill>
          </w14:textFill>
        </w:rPr>
        <w:t>，</w:t>
      </w:r>
      <w:r>
        <w:rPr>
          <w:rFonts w:hint="eastAsia" w:ascii="楷体" w:hAnsi="楷体" w:eastAsia="楷体" w:cs="楷体"/>
          <w:b/>
          <w:bCs/>
          <w:color w:val="000000" w:themeColor="text1"/>
          <w:sz w:val="24"/>
          <w14:textFill>
            <w14:solidFill>
              <w14:schemeClr w14:val="tx1"/>
            </w14:solidFill>
          </w14:textFill>
        </w:rPr>
        <w:t>除羁押、判刑或死亡外，每次变更都需要缴纳违约金</w:t>
      </w:r>
      <w:r>
        <w:rPr>
          <w:rFonts w:ascii="楷体" w:hAnsi="楷体" w:eastAsia="楷体" w:cs="楷体"/>
          <w:b/>
          <w:bCs/>
          <w:color w:val="000000" w:themeColor="text1"/>
          <w:sz w:val="24"/>
          <w14:textFill>
            <w14:solidFill>
              <w14:schemeClr w14:val="tx1"/>
            </w14:solidFill>
          </w14:textFill>
        </w:rPr>
        <w:t>。</w:t>
      </w:r>
      <w:r>
        <w:rPr>
          <w:rFonts w:hint="eastAsia" w:ascii="楷体" w:hAnsi="楷体" w:eastAsia="楷体" w:cs="楷体"/>
          <w:b/>
          <w:bCs/>
          <w:color w:val="000000" w:themeColor="text1"/>
          <w:sz w:val="24"/>
          <w14:textFill>
            <w14:solidFill>
              <w14:schemeClr w14:val="tx1"/>
            </w14:solidFill>
          </w14:textFill>
        </w:rPr>
        <w:t>经采购人同意更换的人员，其资历及职称均不低于原替换掉的人员。并在支付完违约金之后方可办理。</w:t>
      </w:r>
    </w:p>
    <w:p w14:paraId="744D38C9">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（2）有4.1.1（8）项②目情形，每人次课以</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pacing w:val="6"/>
          <w:sz w:val="24"/>
          <w:u w:val="single"/>
          <w14:textFill>
            <w14:solidFill>
              <w14:schemeClr w14:val="tx1"/>
            </w14:solidFill>
          </w14:textFill>
        </w:rPr>
        <w:t xml:space="preserve"> 5000 </w:t>
      </w:r>
      <w:r>
        <w:rPr>
          <w:rFonts w:hint="eastAsia" w:ascii="楷体" w:hAnsi="楷体" w:eastAsia="楷体" w:cs="楷体"/>
          <w:color w:val="000000" w:themeColor="text1"/>
          <w:sz w:val="24"/>
          <w14:textFill>
            <w14:solidFill>
              <w14:schemeClr w14:val="tx1"/>
            </w14:solidFill>
          </w14:textFill>
        </w:rPr>
        <w:t>元的违约金；</w:t>
      </w:r>
    </w:p>
    <w:p w14:paraId="53ADE617">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（3）有4.1.1（8）项③目情形，每人次课以</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pacing w:val="6"/>
          <w:sz w:val="24"/>
          <w:u w:val="single"/>
          <w14:textFill>
            <w14:solidFill>
              <w14:schemeClr w14:val="tx1"/>
            </w14:solidFill>
          </w14:textFill>
        </w:rPr>
        <w:t xml:space="preserve">5000 </w:t>
      </w:r>
      <w:r>
        <w:rPr>
          <w:rFonts w:hint="eastAsia" w:ascii="楷体" w:hAnsi="楷体" w:eastAsia="楷体" w:cs="楷体"/>
          <w:color w:val="000000" w:themeColor="text1"/>
          <w:sz w:val="24"/>
          <w14:textFill>
            <w14:solidFill>
              <w14:schemeClr w14:val="tx1"/>
            </w14:solidFill>
          </w14:textFill>
        </w:rPr>
        <w:t>元的违约金；</w:t>
      </w:r>
    </w:p>
    <w:p w14:paraId="74227929">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（4）有4.1.1（8）项④目情形，每人每天课以</w:t>
      </w:r>
      <w:r>
        <w:rPr>
          <w:rFonts w:hint="eastAsia" w:ascii="楷体" w:hAnsi="楷体" w:eastAsia="楷体" w:cs="楷体"/>
          <w:color w:val="000000" w:themeColor="text1"/>
          <w:spacing w:val="6"/>
          <w:sz w:val="24"/>
          <w:u w:val="single"/>
          <w14:textFill>
            <w14:solidFill>
              <w14:schemeClr w14:val="tx1"/>
            </w14:solidFill>
          </w14:textFill>
        </w:rPr>
        <w:t xml:space="preserve"> 5000</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元的违约金；</w:t>
      </w:r>
    </w:p>
    <w:p w14:paraId="39B36838">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（5）有4.1.1（8）项⑤目情形，每次课以</w:t>
      </w:r>
      <w:r>
        <w:rPr>
          <w:rFonts w:hint="eastAsia" w:ascii="楷体" w:hAnsi="楷体" w:eastAsia="楷体" w:cs="楷体"/>
          <w:color w:val="000000" w:themeColor="text1"/>
          <w:spacing w:val="6"/>
          <w:sz w:val="24"/>
          <w:u w:val="single"/>
          <w14:textFill>
            <w14:solidFill>
              <w14:schemeClr w14:val="tx1"/>
            </w14:solidFill>
          </w14:textFill>
        </w:rPr>
        <w:t xml:space="preserve"> 5000 </w:t>
      </w:r>
      <w:r>
        <w:rPr>
          <w:rFonts w:hint="eastAsia" w:ascii="楷体" w:hAnsi="楷体" w:eastAsia="楷体" w:cs="楷体"/>
          <w:color w:val="000000" w:themeColor="text1"/>
          <w:sz w:val="24"/>
          <w14:textFill>
            <w14:solidFill>
              <w14:schemeClr w14:val="tx1"/>
            </w14:solidFill>
          </w14:textFill>
        </w:rPr>
        <w:t>元的违约金；</w:t>
      </w:r>
    </w:p>
    <w:p w14:paraId="31D0EFF8">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（6）有4.1.1（8）项⑥目情形，每次课以</w:t>
      </w:r>
      <w:r>
        <w:rPr>
          <w:rFonts w:hint="eastAsia" w:ascii="楷体" w:hAnsi="楷体" w:eastAsia="楷体" w:cs="楷体"/>
          <w:color w:val="000000" w:themeColor="text1"/>
          <w:spacing w:val="6"/>
          <w:sz w:val="24"/>
          <w:u w:val="single"/>
          <w14:textFill>
            <w14:solidFill>
              <w14:schemeClr w14:val="tx1"/>
            </w14:solidFill>
          </w14:textFill>
        </w:rPr>
        <w:t xml:space="preserve"> 5000 </w:t>
      </w:r>
      <w:r>
        <w:rPr>
          <w:rFonts w:hint="eastAsia" w:ascii="楷体" w:hAnsi="楷体" w:eastAsia="楷体" w:cs="楷体"/>
          <w:color w:val="000000" w:themeColor="text1"/>
          <w:sz w:val="24"/>
          <w14:textFill>
            <w14:solidFill>
              <w14:schemeClr w14:val="tx1"/>
            </w14:solidFill>
          </w14:textFill>
        </w:rPr>
        <w:t>元的违约金；</w:t>
      </w:r>
    </w:p>
    <w:p w14:paraId="727D9E9E">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（7）有4.1.1（8）项⑦目情形，每次课以监理办标准化建设完成及配套辅助人员费用总额的2%；</w:t>
      </w:r>
    </w:p>
    <w:p w14:paraId="1CE80DD1">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（8）有4.1.1（2）项①目情形，每次课以</w:t>
      </w:r>
      <w:r>
        <w:rPr>
          <w:rFonts w:hint="eastAsia" w:ascii="楷体" w:hAnsi="楷体" w:eastAsia="楷体" w:cs="楷体"/>
          <w:color w:val="000000" w:themeColor="text1"/>
          <w:spacing w:val="6"/>
          <w:sz w:val="24"/>
          <w:u w:val="single"/>
          <w14:textFill>
            <w14:solidFill>
              <w14:schemeClr w14:val="tx1"/>
            </w14:solidFill>
          </w14:textFill>
        </w:rPr>
        <w:t xml:space="preserve">  1万 </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元的违约金；</w:t>
      </w:r>
    </w:p>
    <w:p w14:paraId="7F677345">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（9）有4.1.1（2）项②目情形，每次课以</w:t>
      </w:r>
      <w:r>
        <w:rPr>
          <w:rFonts w:hint="eastAsia" w:ascii="楷体" w:hAnsi="楷体" w:eastAsia="楷体" w:cs="楷体"/>
          <w:color w:val="000000" w:themeColor="text1"/>
          <w:spacing w:val="6"/>
          <w:sz w:val="24"/>
          <w:u w:val="single"/>
          <w14:textFill>
            <w14:solidFill>
              <w14:schemeClr w14:val="tx1"/>
            </w14:solidFill>
          </w14:textFill>
        </w:rPr>
        <w:t xml:space="preserve"> 1万 </w:t>
      </w:r>
      <w:r>
        <w:rPr>
          <w:rFonts w:hint="eastAsia" w:ascii="楷体" w:hAnsi="楷体" w:eastAsia="楷体" w:cs="楷体"/>
          <w:color w:val="000000" w:themeColor="text1"/>
          <w:sz w:val="24"/>
          <w14:textFill>
            <w14:solidFill>
              <w14:schemeClr w14:val="tx1"/>
            </w14:solidFill>
          </w14:textFill>
        </w:rPr>
        <w:t>元的违约金；</w:t>
      </w:r>
    </w:p>
    <w:p w14:paraId="2535B819">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（10）有4.1.1（2）项③目情形，每次课以</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pacing w:val="6"/>
          <w:sz w:val="24"/>
          <w:u w:val="single"/>
          <w14:textFill>
            <w14:solidFill>
              <w14:schemeClr w14:val="tx1"/>
            </w14:solidFill>
          </w14:textFill>
        </w:rPr>
        <w:t xml:space="preserve"> 1万 </w:t>
      </w:r>
      <w:r>
        <w:rPr>
          <w:rFonts w:hint="eastAsia" w:ascii="楷体" w:hAnsi="楷体" w:eastAsia="楷体" w:cs="楷体"/>
          <w:color w:val="000000" w:themeColor="text1"/>
          <w:sz w:val="24"/>
          <w14:textFill>
            <w14:solidFill>
              <w14:schemeClr w14:val="tx1"/>
            </w14:solidFill>
          </w14:textFill>
        </w:rPr>
        <w:t>元的违约金；</w:t>
      </w:r>
    </w:p>
    <w:p w14:paraId="00C4EDC4">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（11）有4.1.1（2）项④目情形，委托人按事故大小、造成损失程度向监理人课以违约金和赔偿金，直至终止合同；</w:t>
      </w:r>
    </w:p>
    <w:p w14:paraId="3092B230">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（12）有4.1.1（2）项⑤目情形，每次课以</w:t>
      </w:r>
      <w:r>
        <w:rPr>
          <w:rFonts w:hint="eastAsia" w:ascii="楷体" w:hAnsi="楷体" w:eastAsia="楷体" w:cs="楷体"/>
          <w:color w:val="000000" w:themeColor="text1"/>
          <w:sz w:val="24"/>
          <w:u w:val="single"/>
          <w14:textFill>
            <w14:solidFill>
              <w14:schemeClr w14:val="tx1"/>
            </w14:solidFill>
          </w14:textFill>
        </w:rPr>
        <w:t xml:space="preserve"> 3%签约合同价</w:t>
      </w:r>
      <w:r>
        <w:rPr>
          <w:rFonts w:hint="eastAsia" w:ascii="楷体" w:hAnsi="楷体" w:eastAsia="楷体" w:cs="楷体"/>
          <w:color w:val="000000" w:themeColor="text1"/>
          <w:spacing w:val="6"/>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的违约金；</w:t>
      </w:r>
    </w:p>
    <w:p w14:paraId="6867BEA8">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（13）有4.1.1（3）项①或②目情形，委托人可直接发出书面通知立即终止合同。</w:t>
      </w:r>
    </w:p>
    <w:p w14:paraId="05904900">
      <w:pPr>
        <w:tabs>
          <w:tab w:val="left" w:pos="420"/>
        </w:tabs>
        <w:spacing w:line="360" w:lineRule="auto"/>
        <w:ind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（14）有4.1.1（6）项①目情形，按每人月课以</w:t>
      </w:r>
      <w:r>
        <w:rPr>
          <w:rFonts w:hint="eastAsia" w:ascii="楷体" w:hAnsi="楷体" w:eastAsia="楷体" w:cs="楷体"/>
          <w:bCs/>
          <w:color w:val="000000" w:themeColor="text1"/>
          <w:spacing w:val="6"/>
          <w:sz w:val="24"/>
          <w:u w:val="single"/>
          <w14:textFill>
            <w14:solidFill>
              <w14:schemeClr w14:val="tx1"/>
            </w14:solidFill>
          </w14:textFill>
        </w:rPr>
        <w:t xml:space="preserve">  24000 </w:t>
      </w:r>
      <w:r>
        <w:rPr>
          <w:rFonts w:hint="eastAsia" w:ascii="楷体" w:hAnsi="楷体" w:eastAsia="楷体" w:cs="楷体"/>
          <w:bCs/>
          <w:color w:val="000000" w:themeColor="text1"/>
          <w:sz w:val="24"/>
          <w14:textFill>
            <w14:solidFill>
              <w14:schemeClr w14:val="tx1"/>
            </w14:solidFill>
          </w14:textFill>
        </w:rPr>
        <w:t>元的违约金；</w:t>
      </w:r>
    </w:p>
    <w:p w14:paraId="318965FB">
      <w:pPr>
        <w:tabs>
          <w:tab w:val="left" w:pos="420"/>
        </w:tabs>
        <w:spacing w:line="360" w:lineRule="auto"/>
        <w:ind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（15）有4.1.1（6）项②目情形，按每人月课以</w:t>
      </w:r>
      <w:r>
        <w:rPr>
          <w:rFonts w:hint="eastAsia" w:ascii="楷体" w:hAnsi="楷体" w:eastAsia="楷体" w:cs="楷体"/>
          <w:bCs/>
          <w:color w:val="000000" w:themeColor="text1"/>
          <w:sz w:val="24"/>
          <w:u w:val="single"/>
          <w14:textFill>
            <w14:solidFill>
              <w14:schemeClr w14:val="tx1"/>
            </w14:solidFill>
          </w14:textFill>
        </w:rPr>
        <w:t xml:space="preserve"> </w:t>
      </w:r>
      <w:r>
        <w:rPr>
          <w:rFonts w:hint="eastAsia" w:ascii="楷体" w:hAnsi="楷体" w:eastAsia="楷体" w:cs="楷体"/>
          <w:bCs/>
          <w:color w:val="000000" w:themeColor="text1"/>
          <w:spacing w:val="6"/>
          <w:sz w:val="24"/>
          <w:u w:val="single"/>
          <w14:textFill>
            <w14:solidFill>
              <w14:schemeClr w14:val="tx1"/>
            </w14:solidFill>
          </w14:textFill>
        </w:rPr>
        <w:t xml:space="preserve"> 18000 </w:t>
      </w:r>
      <w:r>
        <w:rPr>
          <w:rFonts w:hint="eastAsia" w:ascii="楷体" w:hAnsi="楷体" w:eastAsia="楷体" w:cs="楷体"/>
          <w:bCs/>
          <w:color w:val="000000" w:themeColor="text1"/>
          <w:sz w:val="24"/>
          <w14:textFill>
            <w14:solidFill>
              <w14:schemeClr w14:val="tx1"/>
            </w14:solidFill>
          </w14:textFill>
        </w:rPr>
        <w:t>元的违约金；</w:t>
      </w:r>
    </w:p>
    <w:p w14:paraId="1D65F343">
      <w:pPr>
        <w:tabs>
          <w:tab w:val="left" w:pos="420"/>
        </w:tabs>
        <w:spacing w:line="360" w:lineRule="auto"/>
        <w:ind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（16）有4.1.1（6）项③目情形，按每人月课以</w:t>
      </w:r>
      <w:r>
        <w:rPr>
          <w:rFonts w:hint="eastAsia" w:ascii="楷体" w:hAnsi="楷体" w:eastAsia="楷体" w:cs="楷体"/>
          <w:bCs/>
          <w:color w:val="000000" w:themeColor="text1"/>
          <w:sz w:val="24"/>
          <w:u w:val="single"/>
          <w14:textFill>
            <w14:solidFill>
              <w14:schemeClr w14:val="tx1"/>
            </w14:solidFill>
          </w14:textFill>
        </w:rPr>
        <w:t xml:space="preserve"> </w:t>
      </w:r>
      <w:r>
        <w:rPr>
          <w:rFonts w:hint="eastAsia" w:ascii="楷体" w:hAnsi="楷体" w:eastAsia="楷体" w:cs="楷体"/>
          <w:bCs/>
          <w:color w:val="000000" w:themeColor="text1"/>
          <w:spacing w:val="6"/>
          <w:sz w:val="24"/>
          <w:u w:val="single"/>
          <w14:textFill>
            <w14:solidFill>
              <w14:schemeClr w14:val="tx1"/>
            </w14:solidFill>
          </w14:textFill>
        </w:rPr>
        <w:t xml:space="preserve"> 9000 </w:t>
      </w:r>
      <w:r>
        <w:rPr>
          <w:rFonts w:hint="eastAsia" w:ascii="楷体" w:hAnsi="楷体" w:eastAsia="楷体" w:cs="楷体"/>
          <w:bCs/>
          <w:color w:val="000000" w:themeColor="text1"/>
          <w:sz w:val="24"/>
          <w14:textFill>
            <w14:solidFill>
              <w14:schemeClr w14:val="tx1"/>
            </w14:solidFill>
          </w14:textFill>
        </w:rPr>
        <w:t>元的违约金；</w:t>
      </w:r>
    </w:p>
    <w:p w14:paraId="0B779A96">
      <w:pPr>
        <w:tabs>
          <w:tab w:val="left" w:pos="420"/>
        </w:tabs>
        <w:spacing w:line="360" w:lineRule="auto"/>
        <w:ind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（17）有4.1.1（6）项④目情形，按每人月课以</w:t>
      </w:r>
      <w:r>
        <w:rPr>
          <w:rFonts w:hint="eastAsia" w:ascii="楷体" w:hAnsi="楷体" w:eastAsia="楷体" w:cs="楷体"/>
          <w:bCs/>
          <w:color w:val="000000" w:themeColor="text1"/>
          <w:sz w:val="24"/>
          <w:u w:val="single"/>
          <w14:textFill>
            <w14:solidFill>
              <w14:schemeClr w14:val="tx1"/>
            </w14:solidFill>
          </w14:textFill>
        </w:rPr>
        <w:t xml:space="preserve"> </w:t>
      </w:r>
      <w:r>
        <w:rPr>
          <w:rFonts w:hint="eastAsia" w:ascii="楷体" w:hAnsi="楷体" w:eastAsia="楷体" w:cs="楷体"/>
          <w:bCs/>
          <w:color w:val="000000" w:themeColor="text1"/>
          <w:spacing w:val="6"/>
          <w:sz w:val="24"/>
          <w:u w:val="single"/>
          <w14:textFill>
            <w14:solidFill>
              <w14:schemeClr w14:val="tx1"/>
            </w14:solidFill>
          </w14:textFill>
        </w:rPr>
        <w:t xml:space="preserve"> 9000 </w:t>
      </w:r>
      <w:r>
        <w:rPr>
          <w:rFonts w:hint="eastAsia" w:ascii="楷体" w:hAnsi="楷体" w:eastAsia="楷体" w:cs="楷体"/>
          <w:bCs/>
          <w:color w:val="000000" w:themeColor="text1"/>
          <w:sz w:val="24"/>
          <w14:textFill>
            <w14:solidFill>
              <w14:schemeClr w14:val="tx1"/>
            </w14:solidFill>
          </w14:textFill>
        </w:rPr>
        <w:t>元的违约金；</w:t>
      </w:r>
    </w:p>
    <w:p w14:paraId="68290AA1">
      <w:pPr>
        <w:snapToGrid w:val="0"/>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（18）有4.1.1（7）项情形之一的，</w:t>
      </w:r>
      <w:r>
        <w:rPr>
          <w:rFonts w:hint="eastAsia" w:ascii="楷体" w:hAnsi="楷体" w:eastAsia="楷体" w:cs="楷体"/>
          <w:color w:val="000000" w:themeColor="text1"/>
          <w:kern w:val="0"/>
          <w:sz w:val="24"/>
          <w14:textFill>
            <w14:solidFill>
              <w14:schemeClr w14:val="tx1"/>
            </w14:solidFill>
          </w14:textFill>
        </w:rPr>
        <w:t>按发生的累计次数计算，发现第一次支付违约金3万元，发现第二次支付违约金5万元，发现第三次支付违约金7万元，委托人并将强制换人，并按以上规定处罚执行。</w:t>
      </w:r>
    </w:p>
    <w:p w14:paraId="54D39151">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违约金在履约担保或支付的监理服务费中扣除（给委托人造成经济损失的，按通用合同条款4.1.4项规定另行承担赔偿责任）。</w:t>
      </w:r>
    </w:p>
    <w:p w14:paraId="6A9D85F6">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4.1.3 因监理人违约解除合同后的付款和结清</w:t>
      </w:r>
    </w:p>
    <w:p w14:paraId="77E64776">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（1）合同解除后，委托人按监理人实际完成的监理工作计算监理服务费，并暂停对监理人的一切付款，查清各项付款和已扣款金额，包括监理人应支付的违约金。</w:t>
      </w:r>
    </w:p>
    <w:p w14:paraId="228310A7">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（2）合同双方确认上述往来款项后，出具最终结清付款证书，结清全部合同款项。</w:t>
      </w:r>
    </w:p>
    <w:p w14:paraId="794F68D2">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（3）委托人和监理人未能就解除合同后的结清达成一致而形成争议的，按第9节的约定办理。</w:t>
      </w:r>
    </w:p>
    <w:p w14:paraId="6761A915">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4.1.4 监理人的赔偿责任</w:t>
      </w:r>
    </w:p>
    <w:p w14:paraId="6FBE259D">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监理人违反监理合同的约定并造成委托人的经济损失，应向委托人赔偿，除非专用条款另有约定，赔偿金为委托人直接经济损失所对应的监理费与监理人应承担责任的比例的乘积。</w:t>
      </w:r>
    </w:p>
    <w:p w14:paraId="422BC7EF">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监理人对由于第三方责任造成的任何经济损失，不承担责任。如果监理人与委托人或第三方对有关经济损失共负责任时，应按责任比例计算赔偿。监理人的上述责任赔偿，均应按照本合同第7.4款的约定办理。</w:t>
      </w:r>
    </w:p>
    <w:p w14:paraId="3384C6B2">
      <w:pPr>
        <w:tabs>
          <w:tab w:val="left" w:pos="420"/>
        </w:tabs>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4.1.5 监理人对委托人未授权的监理服务范围不承担监理责任。</w:t>
      </w:r>
    </w:p>
    <w:p w14:paraId="7B93BADC">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4.2 委托人的违约责任</w:t>
      </w:r>
    </w:p>
    <w:p w14:paraId="5F2323D8">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4.2.3 委托人逾期付款利息按下列方法确定：</w:t>
      </w:r>
    </w:p>
    <w:p w14:paraId="4DA2391D">
      <w:pPr>
        <w:snapToGrid w:val="0"/>
        <w:spacing w:line="360" w:lineRule="auto"/>
        <w:ind w:firstLine="480" w:firstLineChars="200"/>
        <w:rPr>
          <w:rFonts w:ascii="楷体" w:hAnsi="楷体" w:eastAsia="楷体" w:cs="楷体"/>
          <w:i/>
          <w:iCs/>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逾期付款利息＝当期应付款总额×银行同期贷款利率×拖延支付天数。</w:t>
      </w:r>
    </w:p>
    <w:p w14:paraId="144944FB">
      <w:pPr>
        <w:snapToGrid w:val="0"/>
        <w:spacing w:line="360" w:lineRule="auto"/>
        <w:ind w:firstLine="482" w:firstLineChars="200"/>
        <w:rPr>
          <w:rFonts w:ascii="楷体" w:hAnsi="楷体" w:eastAsia="楷体" w:cs="楷体"/>
          <w:b/>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5. 支付</w:t>
      </w:r>
    </w:p>
    <w:p w14:paraId="4E107A3B">
      <w:pPr>
        <w:snapToGrid w:val="0"/>
        <w:spacing w:line="360" w:lineRule="auto"/>
        <w:ind w:firstLine="204" w:firstLineChars="85"/>
        <w:rPr>
          <w:rFonts w:ascii="楷体" w:hAnsi="楷体" w:eastAsia="楷体" w:cs="楷体"/>
          <w:bCs/>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  5.1 </w:t>
      </w:r>
      <w:r>
        <w:rPr>
          <w:rFonts w:hint="eastAsia" w:ascii="楷体" w:hAnsi="楷体" w:eastAsia="楷体" w:cs="楷体"/>
          <w:bCs/>
          <w:color w:val="000000" w:themeColor="text1"/>
          <w:kern w:val="0"/>
          <w:sz w:val="24"/>
          <w14:textFill>
            <w14:solidFill>
              <w14:schemeClr w14:val="tx1"/>
            </w14:solidFill>
          </w14:textFill>
        </w:rPr>
        <w:t>支付货币</w:t>
      </w:r>
    </w:p>
    <w:p w14:paraId="37029219">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币种为： 人民币  ，比例为： / ，汇率为： / 。 </w:t>
      </w:r>
    </w:p>
    <w:p w14:paraId="0A4A35E6">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5.3 支付酬金</w:t>
      </w:r>
    </w:p>
    <w:p w14:paraId="6100DCB7">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删除5.3原内容，修改为：</w:t>
      </w:r>
    </w:p>
    <w:p w14:paraId="68B01316">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监理服务费计量支付</w:t>
      </w:r>
    </w:p>
    <w:p w14:paraId="68B95272">
      <w:pPr>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5.3.1 监理服</w:t>
      </w:r>
      <w:r>
        <w:rPr>
          <w:rFonts w:hint="eastAsia" w:ascii="楷体" w:hAnsi="楷体" w:eastAsia="楷体" w:cs="楷体"/>
          <w:color w:val="000000" w:themeColor="text1"/>
          <w:sz w:val="24"/>
          <w14:textFill>
            <w14:solidFill>
              <w14:schemeClr w14:val="tx1"/>
            </w14:solidFill>
          </w14:textFill>
        </w:rPr>
        <w:t>务费计算方法</w:t>
      </w:r>
    </w:p>
    <w:p w14:paraId="0BBA4D4D">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监理服务费由正常监理服务费、附加监理服务费和额外监理服务费三个方面的费用组成。</w:t>
      </w:r>
    </w:p>
    <w:p w14:paraId="506500C2">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5.3.1.1 正常监理服务费</w:t>
      </w:r>
    </w:p>
    <w:p w14:paraId="3B3A29F3">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本项目施工阶段监理服务费实行市场调节价，投标人结合国家相关规定根据投入监理人员数量、服务时间，结合自身因素及相关风险，进行投标报价。</w:t>
      </w:r>
    </w:p>
    <w:p w14:paraId="1F323A60">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5.3.1.2 附加监理服务的费用</w:t>
      </w:r>
    </w:p>
    <w:p w14:paraId="19F2D67A">
      <w:pPr>
        <w:tabs>
          <w:tab w:val="left" w:pos="420"/>
        </w:tabs>
        <w:spacing w:line="360" w:lineRule="auto"/>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附加监理服务费用计算方法：</w:t>
      </w:r>
      <w:r>
        <w:rPr>
          <w:rFonts w:hint="eastAsia" w:ascii="楷体" w:hAnsi="楷体" w:eastAsia="楷体" w:cs="楷体"/>
          <w:b/>
          <w:color w:val="000000" w:themeColor="text1"/>
          <w:sz w:val="24"/>
          <w:u w:val="single"/>
          <w14:textFill>
            <w14:solidFill>
              <w14:schemeClr w14:val="tx1"/>
            </w14:solidFill>
          </w14:textFill>
        </w:rPr>
        <w:t>/。</w:t>
      </w:r>
    </w:p>
    <w:p w14:paraId="67CE917B">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5.3.1.3 额外服务的费用</w:t>
      </w:r>
    </w:p>
    <w:p w14:paraId="1FC289B7">
      <w:pPr>
        <w:tabs>
          <w:tab w:val="left" w:pos="420"/>
        </w:tabs>
        <w:spacing w:line="360" w:lineRule="auto"/>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额外监理服务费用计算方法：</w:t>
      </w:r>
      <w:r>
        <w:rPr>
          <w:rFonts w:hint="eastAsia" w:ascii="楷体" w:hAnsi="楷体" w:eastAsia="楷体" w:cs="楷体"/>
          <w:b/>
          <w:color w:val="000000" w:themeColor="text1"/>
          <w:sz w:val="24"/>
          <w:u w:val="single"/>
          <w14:textFill>
            <w14:solidFill>
              <w14:schemeClr w14:val="tx1"/>
            </w14:solidFill>
          </w14:textFill>
        </w:rPr>
        <w:t>/</w:t>
      </w:r>
    </w:p>
    <w:p w14:paraId="7536F156">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5.3.1.4 监理服务费的调整</w:t>
      </w:r>
    </w:p>
    <w:p w14:paraId="7E0EF0B7">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bookmarkStart w:id="375" w:name="_Toc481564366"/>
      <w:bookmarkStart w:id="376" w:name="_Toc433918095"/>
      <w:bookmarkStart w:id="377" w:name="_Toc436317238"/>
      <w:bookmarkStart w:id="378" w:name="_Toc436320525"/>
      <w:bookmarkStart w:id="379" w:name="_Toc434067597"/>
      <w:bookmarkStart w:id="380" w:name="_Toc440230968"/>
      <w:bookmarkStart w:id="381" w:name="_Toc436317773"/>
      <w:bookmarkStart w:id="382" w:name="_Toc440232045"/>
      <w:bookmarkStart w:id="383" w:name="_Toc433919411"/>
      <w:r>
        <w:rPr>
          <w:rFonts w:hint="eastAsia" w:ascii="楷体" w:hAnsi="楷体" w:eastAsia="楷体" w:cs="楷体"/>
          <w:color w:val="000000" w:themeColor="text1"/>
          <w:sz w:val="24"/>
          <w14:textFill>
            <w14:solidFill>
              <w14:schemeClr w14:val="tx1"/>
            </w14:solidFill>
          </w14:textFill>
        </w:rPr>
        <w:t>因增加附加监理服务、额外服务时监理服务费应进行调整，附加监理服务费用应按第5.3.1.2项约定进行调整，额外服务费用应按第5.3.1.3项约定予以调整。工程概算变化时（附加服务、额外服务所含内容除外），监理服务费用不予调整。</w:t>
      </w:r>
    </w:p>
    <w:p w14:paraId="5BDA83CA">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5.3.1.5加班费指法定节、假日加班和法定工作时间以外的延时工作的费用，应按《中华人民共和国劳动合同法》的相关规定计算费用。监理人在编制《报价文件》时，应充分考虑施工监理过程中可能遇到的、由各种原因引起的加班及其所发生的所有加班费用，并将该费用计入监理服务费报价中。委托人不再另行支付监理人加班费，监理人也不得以加班费或任何其它名义向承包人计取额外的报酬。</w:t>
      </w:r>
    </w:p>
    <w:p w14:paraId="2389321E">
      <w:pPr>
        <w:spacing w:line="360" w:lineRule="auto"/>
        <w:outlineLvl w:val="2"/>
        <w:rPr>
          <w:rFonts w:ascii="楷体" w:hAnsi="楷体" w:eastAsia="楷体" w:cs="楷体"/>
          <w:color w:val="000000" w:themeColor="text1"/>
          <w:sz w:val="24"/>
          <w14:textFill>
            <w14:solidFill>
              <w14:schemeClr w14:val="tx1"/>
            </w14:solidFill>
          </w14:textFill>
        </w:rPr>
      </w:pPr>
      <w:bookmarkStart w:id="384" w:name="_Toc481564413"/>
      <w:bookmarkStart w:id="385" w:name="_Toc436317285"/>
      <w:bookmarkStart w:id="386" w:name="_Toc434067644"/>
      <w:bookmarkStart w:id="387" w:name="_Toc436317820"/>
      <w:bookmarkStart w:id="388" w:name="_Toc441399921"/>
      <w:bookmarkStart w:id="389" w:name="_Toc440231015"/>
      <w:bookmarkStart w:id="390" w:name="_Toc436320572"/>
      <w:bookmarkStart w:id="391" w:name="_Toc433918141"/>
      <w:bookmarkStart w:id="392" w:name="_Toc440232092"/>
      <w:bookmarkStart w:id="393" w:name="_Toc433919457"/>
      <w:r>
        <w:rPr>
          <w:rFonts w:hint="eastAsia" w:ascii="楷体" w:hAnsi="楷体" w:eastAsia="楷体" w:cs="楷体"/>
          <w:color w:val="000000" w:themeColor="text1"/>
          <w:sz w:val="24"/>
          <w14:textFill>
            <w14:solidFill>
              <w14:schemeClr w14:val="tx1"/>
            </w14:solidFill>
          </w14:textFill>
        </w:rPr>
        <w:t xml:space="preserve">    5.3.2  暂列金额</w:t>
      </w:r>
      <w:bookmarkEnd w:id="384"/>
      <w:bookmarkEnd w:id="385"/>
      <w:bookmarkEnd w:id="386"/>
      <w:bookmarkEnd w:id="387"/>
      <w:bookmarkEnd w:id="388"/>
      <w:bookmarkEnd w:id="389"/>
      <w:bookmarkEnd w:id="390"/>
      <w:bookmarkEnd w:id="391"/>
      <w:bookmarkEnd w:id="392"/>
      <w:bookmarkEnd w:id="393"/>
    </w:p>
    <w:p w14:paraId="3DF0ECF7">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暂列金额额度：</w:t>
      </w:r>
      <w:r>
        <w:rPr>
          <w:rFonts w:hint="eastAsia" w:ascii="楷体" w:hAnsi="楷体" w:eastAsia="楷体" w:cs="楷体"/>
          <w:b/>
          <w:bCs/>
          <w:color w:val="000000" w:themeColor="text1"/>
          <w:sz w:val="24"/>
          <w:u w:val="single"/>
          <w14:textFill>
            <w14:solidFill>
              <w14:schemeClr w14:val="tx1"/>
            </w14:solidFill>
          </w14:textFill>
        </w:rPr>
        <w:t>无</w:t>
      </w:r>
      <w:r>
        <w:rPr>
          <w:rFonts w:hint="eastAsia" w:ascii="楷体" w:hAnsi="楷体" w:eastAsia="楷体" w:cs="楷体"/>
          <w:color w:val="000000" w:themeColor="text1"/>
          <w:sz w:val="24"/>
          <w14:textFill>
            <w14:solidFill>
              <w14:schemeClr w14:val="tx1"/>
            </w14:solidFill>
          </w14:textFill>
        </w:rPr>
        <w:t>。暂列金专项用于监理服务费的调整。</w:t>
      </w:r>
    </w:p>
    <w:bookmarkEnd w:id="375"/>
    <w:bookmarkEnd w:id="376"/>
    <w:bookmarkEnd w:id="377"/>
    <w:bookmarkEnd w:id="378"/>
    <w:bookmarkEnd w:id="379"/>
    <w:bookmarkEnd w:id="380"/>
    <w:bookmarkEnd w:id="381"/>
    <w:bookmarkEnd w:id="382"/>
    <w:bookmarkEnd w:id="383"/>
    <w:p w14:paraId="46D7824E">
      <w:pPr>
        <w:spacing w:line="360" w:lineRule="auto"/>
        <w:ind w:firstLine="480" w:firstLineChars="200"/>
        <w:outlineLvl w:val="2"/>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5.3.3  支付：</w:t>
      </w:r>
    </w:p>
    <w:p w14:paraId="224A9A47">
      <w:pPr>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5.3.4 关于履约保证金：无</w:t>
      </w:r>
    </w:p>
    <w:p w14:paraId="050F27CE">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5.3.5违约金和赔偿金</w:t>
      </w:r>
    </w:p>
    <w:p w14:paraId="0F31978A">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（1）根据监理专用合同条件第4.1款确定的监理人对委托人的违约金和赔偿金，由委托人从对监理人的日常支付中扣回。</w:t>
      </w:r>
    </w:p>
    <w:p w14:paraId="30F9DBFA">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（2）根据监理通用合同条件第4.2款确定的委托人对监理人的赔偿金，应由委托人在日常支付中向监理人支付。</w:t>
      </w:r>
    </w:p>
    <w:p w14:paraId="2E9EEFE0">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5.3.6结算</w:t>
      </w:r>
    </w:p>
    <w:p w14:paraId="6A42D9F9">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实际监理服务费=经第三方审计单位审定的工程结算建安总造价×中标费率。（监理费按实际结算）</w:t>
      </w:r>
    </w:p>
    <w:p w14:paraId="3BF899E3">
      <w:pPr>
        <w:tabs>
          <w:tab w:val="left" w:pos="420"/>
        </w:tabs>
        <w:spacing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在施工阶段监理服务工作结束后7日内，监理人应将至竣工验收申请之日前实际发生的监理服务费用，扣减监理人违约处罚金、赔偿金、质保期监理保证金后余额的支付申请提交至发包人，发包人应在收到该支付申请后7日内予以审批，在批复后14日内向监理人支付费用。</w:t>
      </w:r>
    </w:p>
    <w:p w14:paraId="480EA724">
      <w:pPr>
        <w:tabs>
          <w:tab w:val="left" w:pos="420"/>
        </w:tabs>
        <w:spacing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在签发工程缺陷责任终止证书后7日内，监理人应将未结清的监理服务费用和其他应由发包人向监理人支付的剩余款项，扣减其他应由发包人从监理人扣回的款项的支付申请提交发包人，发包人应在收到该支付申请后7日内予以审批，在批复后14日内向监理人支付费用。</w:t>
      </w:r>
    </w:p>
    <w:p w14:paraId="3AF0DF2C">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5.3.7 支付期限</w:t>
      </w:r>
    </w:p>
    <w:p w14:paraId="3790E367">
      <w:pPr>
        <w:tabs>
          <w:tab w:val="left" w:pos="420"/>
        </w:tabs>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委托人在收到监理人提交的书面支付申请后，应在上述条款约定的支付期限内支付监理服务费用。委托人在约定的期限内，未向监理人支付到期应付的款项，应承担违约责任，并支付逾期付款违约金，逾期付款的违约金以到期应付而未付的款项，按照中国人民银行发布的一年期贷款基准利率计算相应的利息，时间自未付款项的应付之日起算。该逾期付款违约金的支付不影响监理人的权利，如委托人仍未按合同约定支付监理服务费及违约金，并不影响本合同条款约定的监理人的权利。</w:t>
      </w:r>
    </w:p>
    <w:p w14:paraId="63A6D7C7">
      <w:pPr>
        <w:snapToGrid w:val="0"/>
        <w:spacing w:line="360" w:lineRule="auto"/>
        <w:ind w:firstLine="482" w:firstLineChars="200"/>
        <w:rPr>
          <w:rFonts w:ascii="楷体" w:hAnsi="楷体" w:eastAsia="楷体" w:cs="楷体"/>
          <w:b/>
          <w:bCs/>
          <w:color w:val="000000" w:themeColor="text1"/>
          <w:kern w:val="0"/>
          <w:sz w:val="24"/>
          <w14:textFill>
            <w14:solidFill>
              <w14:schemeClr w14:val="tx1"/>
            </w14:solidFill>
          </w14:textFill>
        </w:rPr>
      </w:pPr>
      <w:r>
        <w:rPr>
          <w:rFonts w:hint="eastAsia" w:ascii="楷体" w:hAnsi="楷体" w:eastAsia="楷体" w:cs="楷体"/>
          <w:b/>
          <w:color w:val="000000" w:themeColor="text1"/>
          <w:kern w:val="0"/>
          <w:sz w:val="24"/>
          <w14:textFill>
            <w14:solidFill>
              <w14:schemeClr w14:val="tx1"/>
            </w14:solidFill>
          </w14:textFill>
        </w:rPr>
        <w:t>6.</w:t>
      </w:r>
      <w:r>
        <w:rPr>
          <w:rFonts w:hint="eastAsia" w:ascii="楷体" w:hAnsi="楷体" w:eastAsia="楷体" w:cs="楷体"/>
          <w:b/>
          <w:bCs/>
          <w:color w:val="000000" w:themeColor="text1"/>
          <w:kern w:val="0"/>
          <w:sz w:val="24"/>
          <w14:textFill>
            <w14:solidFill>
              <w14:schemeClr w14:val="tx1"/>
            </w14:solidFill>
          </w14:textFill>
        </w:rPr>
        <w:t xml:space="preserve"> 合同生效、变更、暂停、解除与终止</w:t>
      </w:r>
    </w:p>
    <w:p w14:paraId="0F4A977E">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6.1 生效</w:t>
      </w:r>
    </w:p>
    <w:p w14:paraId="6A414315">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本合同生效条件：</w:t>
      </w:r>
      <w:r>
        <w:rPr>
          <w:rFonts w:hint="eastAsia" w:ascii="楷体" w:hAnsi="楷体" w:eastAsia="楷体" w:cs="楷体"/>
          <w:color w:val="000000" w:themeColor="text1"/>
          <w:kern w:val="0"/>
          <w:sz w:val="24"/>
          <w:u w:val="single"/>
          <w:lang w:val="zh-CN"/>
          <w14:textFill>
            <w14:solidFill>
              <w14:schemeClr w14:val="tx1"/>
            </w14:solidFill>
          </w14:textFill>
        </w:rPr>
        <w:t>合同双方签字盖章且监理人提交履约保证金后生效</w:t>
      </w:r>
      <w:r>
        <w:rPr>
          <w:rFonts w:hint="eastAsia" w:ascii="楷体" w:hAnsi="楷体" w:eastAsia="楷体" w:cs="楷体"/>
          <w:color w:val="000000" w:themeColor="text1"/>
          <w:kern w:val="0"/>
          <w:sz w:val="24"/>
          <w14:textFill>
            <w14:solidFill>
              <w14:schemeClr w14:val="tx1"/>
            </w14:solidFill>
          </w14:textFill>
        </w:rPr>
        <w:t>。</w:t>
      </w:r>
    </w:p>
    <w:p w14:paraId="3319D920">
      <w:pPr>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特别说明：签订合同后，监理方提供合同签约价</w:t>
      </w:r>
      <w:r>
        <w:rPr>
          <w:rFonts w:ascii="楷体" w:hAnsi="楷体" w:eastAsia="楷体" w:cs="楷体"/>
          <w:color w:val="000000" w:themeColor="text1"/>
          <w:kern w:val="0"/>
          <w:sz w:val="24"/>
          <w14:textFill>
            <w14:solidFill>
              <w14:schemeClr w14:val="tx1"/>
            </w14:solidFill>
          </w14:textFill>
        </w:rPr>
        <w:t>1</w:t>
      </w:r>
      <w:r>
        <w:rPr>
          <w:rFonts w:hint="eastAsia" w:ascii="楷体" w:hAnsi="楷体" w:eastAsia="楷体" w:cs="楷体"/>
          <w:color w:val="000000" w:themeColor="text1"/>
          <w:kern w:val="0"/>
          <w:sz w:val="24"/>
          <w14:textFill>
            <w14:solidFill>
              <w14:schemeClr w14:val="tx1"/>
            </w14:solidFill>
          </w14:textFill>
        </w:rPr>
        <w:t>%的履约担保，采用银行转账或银行保函的形式，若监理方在施工监理期间的相应履约保证金不足时，委托人将从当期的工程进度款中扣除填补足履约保证金。委托人在工程综合竣工验收合格后一周内退还履约保证金（不计息）。</w:t>
      </w:r>
    </w:p>
    <w:p w14:paraId="247FC906">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6.2 变更</w:t>
      </w:r>
    </w:p>
    <w:p w14:paraId="42D6747B">
      <w:pPr>
        <w:snapToGrid w:val="0"/>
        <w:spacing w:line="360" w:lineRule="auto"/>
        <w:ind w:firstLine="480" w:firstLineChars="200"/>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6.2.1 </w:t>
      </w:r>
      <w:r>
        <w:rPr>
          <w:rFonts w:hint="eastAsia" w:ascii="楷体" w:hAnsi="楷体" w:eastAsia="楷体" w:cs="楷体"/>
          <w:color w:val="000000" w:themeColor="text1"/>
          <w:kern w:val="0"/>
          <w:sz w:val="24"/>
          <w:lang w:val="zh-CN"/>
          <w14:textFill>
            <w14:solidFill>
              <w14:schemeClr w14:val="tx1"/>
            </w14:solidFill>
          </w14:textFill>
        </w:rPr>
        <w:t>实际情况发生变化导致履行中的监理合同全部或部分中止，监理人完成善后工作以及恢复服务前准备工作的附加工作酬金按下列方法确定：</w:t>
      </w:r>
      <w:r>
        <w:rPr>
          <w:rFonts w:hint="eastAsia" w:ascii="楷体" w:hAnsi="楷体" w:eastAsia="楷体" w:cs="楷体"/>
          <w:color w:val="000000" w:themeColor="text1"/>
          <w:sz w:val="24"/>
          <w:u w:val="single"/>
          <w14:textFill>
            <w14:solidFill>
              <w14:schemeClr w14:val="tx1"/>
            </w14:solidFill>
          </w14:textFill>
        </w:rPr>
        <w:t>双方另行协商。</w:t>
      </w:r>
      <w:r>
        <w:rPr>
          <w:rFonts w:hint="eastAsia" w:ascii="楷体" w:hAnsi="楷体" w:eastAsia="楷体" w:cs="楷体"/>
          <w:color w:val="000000" w:themeColor="text1"/>
          <w:kern w:val="0"/>
          <w:sz w:val="24"/>
          <w:lang w:val="zh-CN"/>
          <w14:textFill>
            <w14:solidFill>
              <w14:schemeClr w14:val="tx1"/>
            </w14:solidFill>
          </w14:textFill>
        </w:rPr>
        <w:t xml:space="preserve"> </w:t>
      </w:r>
    </w:p>
    <w:p w14:paraId="697599EF">
      <w:pPr>
        <w:autoSpaceDE w:val="0"/>
        <w:autoSpaceDN w:val="0"/>
        <w:adjustRightInd w:val="0"/>
        <w:snapToGrid w:val="0"/>
        <w:spacing w:line="360" w:lineRule="auto"/>
        <w:ind w:firstLine="480" w:firstLineChars="200"/>
        <w:jc w:val="left"/>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6.2.</w:t>
      </w:r>
      <w:r>
        <w:rPr>
          <w:rFonts w:hint="eastAsia" w:ascii="楷体" w:hAnsi="楷体" w:eastAsia="楷体" w:cs="楷体"/>
          <w:color w:val="000000" w:themeColor="text1"/>
          <w:kern w:val="0"/>
          <w:sz w:val="24"/>
          <w14:textFill>
            <w14:solidFill>
              <w14:schemeClr w14:val="tx1"/>
            </w14:solidFill>
          </w14:textFill>
        </w:rPr>
        <w:t>2</w:t>
      </w:r>
      <w:r>
        <w:rPr>
          <w:rFonts w:hint="eastAsia" w:ascii="楷体" w:hAnsi="楷体" w:eastAsia="楷体" w:cs="楷体"/>
          <w:color w:val="000000" w:themeColor="text1"/>
          <w:kern w:val="0"/>
          <w:sz w:val="24"/>
          <w:lang w:val="zh-CN"/>
          <w14:textFill>
            <w14:solidFill>
              <w14:schemeClr w14:val="tx1"/>
            </w14:solidFill>
          </w14:textFill>
        </w:rPr>
        <w:t xml:space="preserve">  委托人同意，因非监理人原因造成工程投资额或建筑安装工程费增加时，正常工作酬金增加额按下列方法确定：</w:t>
      </w:r>
      <w:r>
        <w:rPr>
          <w:rFonts w:hint="eastAsia" w:ascii="楷体" w:hAnsi="楷体" w:eastAsia="楷体" w:cs="楷体"/>
          <w:color w:val="000000" w:themeColor="text1"/>
          <w:sz w:val="24"/>
          <w:u w:val="single"/>
          <w14:textFill>
            <w14:solidFill>
              <w14:schemeClr w14:val="tx1"/>
            </w14:solidFill>
          </w14:textFill>
        </w:rPr>
        <w:t>双方另行协商。</w:t>
      </w:r>
    </w:p>
    <w:p w14:paraId="5FBFF125">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6.2.</w:t>
      </w:r>
      <w:r>
        <w:rPr>
          <w:rFonts w:hint="eastAsia" w:ascii="楷体" w:hAnsi="楷体" w:eastAsia="楷体" w:cs="楷体"/>
          <w:color w:val="000000" w:themeColor="text1"/>
          <w:kern w:val="0"/>
          <w:sz w:val="24"/>
          <w14:textFill>
            <w14:solidFill>
              <w14:schemeClr w14:val="tx1"/>
            </w14:solidFill>
          </w14:textFill>
        </w:rPr>
        <w:t>3</w:t>
      </w:r>
      <w:r>
        <w:rPr>
          <w:rFonts w:hint="eastAsia" w:ascii="楷体" w:hAnsi="楷体" w:eastAsia="楷体" w:cs="楷体"/>
          <w:color w:val="000000" w:themeColor="text1"/>
          <w:kern w:val="0"/>
          <w:sz w:val="24"/>
          <w:lang w:val="zh-CN"/>
          <w14:textFill>
            <w14:solidFill>
              <w14:schemeClr w14:val="tx1"/>
            </w14:solidFill>
          </w14:textFill>
        </w:rPr>
        <w:t xml:space="preserve"> 因工程规模或范围的变化导致正常工作减少时，按减少工作内容的比例从协议书约定的正常工作酬金中扣减相同比例的酬金。</w:t>
      </w:r>
    </w:p>
    <w:p w14:paraId="44D4198B">
      <w:pPr>
        <w:snapToGrid w:val="0"/>
        <w:spacing w:line="360" w:lineRule="auto"/>
        <w:ind w:firstLine="482" w:firstLineChars="200"/>
        <w:rPr>
          <w:rFonts w:ascii="楷体" w:hAnsi="楷体" w:eastAsia="楷体" w:cs="楷体"/>
          <w:b/>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7. 争议解决</w:t>
      </w:r>
    </w:p>
    <w:p w14:paraId="6EB8C2BB">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7.1 </w:t>
      </w:r>
      <w:r>
        <w:rPr>
          <w:rFonts w:hint="eastAsia" w:ascii="楷体" w:hAnsi="楷体" w:eastAsia="楷体" w:cs="楷体"/>
          <w:bCs/>
          <w:color w:val="000000" w:themeColor="text1"/>
          <w:kern w:val="0"/>
          <w:sz w:val="24"/>
          <w14:textFill>
            <w14:solidFill>
              <w14:schemeClr w14:val="tx1"/>
            </w14:solidFill>
          </w14:textFill>
        </w:rPr>
        <w:t>调解</w:t>
      </w:r>
    </w:p>
    <w:p w14:paraId="2883AEED">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本合同争议进行调解时，可提交</w:t>
      </w:r>
      <w:r>
        <w:rPr>
          <w:rFonts w:hint="eastAsia" w:ascii="楷体" w:hAnsi="楷体" w:eastAsia="楷体" w:cs="楷体"/>
          <w:color w:val="000000" w:themeColor="text1"/>
          <w:kern w:val="0"/>
          <w:sz w:val="24"/>
          <w:u w:val="single"/>
          <w14:textFill>
            <w14:solidFill>
              <w14:schemeClr w14:val="tx1"/>
            </w14:solidFill>
          </w14:textFill>
        </w:rPr>
        <w:t xml:space="preserve"> / </w:t>
      </w:r>
      <w:r>
        <w:rPr>
          <w:rFonts w:hint="eastAsia" w:ascii="楷体" w:hAnsi="楷体" w:eastAsia="楷体" w:cs="楷体"/>
          <w:color w:val="000000" w:themeColor="text1"/>
          <w:kern w:val="0"/>
          <w:sz w:val="24"/>
          <w14:textFill>
            <w14:solidFill>
              <w14:schemeClr w14:val="tx1"/>
            </w14:solidFill>
          </w14:textFill>
        </w:rPr>
        <w:t>进行调解。</w:t>
      </w:r>
    </w:p>
    <w:p w14:paraId="1682E550">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 xml:space="preserve">7.2 </w:t>
      </w:r>
      <w:r>
        <w:rPr>
          <w:rFonts w:hint="eastAsia" w:ascii="楷体" w:hAnsi="楷体" w:eastAsia="楷体" w:cs="楷体"/>
          <w:bCs/>
          <w:color w:val="000000" w:themeColor="text1"/>
          <w:kern w:val="0"/>
          <w:sz w:val="24"/>
          <w14:textFill>
            <w14:solidFill>
              <w14:schemeClr w14:val="tx1"/>
            </w14:solidFill>
          </w14:textFill>
        </w:rPr>
        <w:t>仲裁或诉讼</w:t>
      </w:r>
    </w:p>
    <w:p w14:paraId="53C2671C">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合同争议的最终解决方式为下列第</w:t>
      </w:r>
      <w:r>
        <w:rPr>
          <w:rFonts w:hint="eastAsia" w:ascii="楷体" w:hAnsi="楷体" w:eastAsia="楷体" w:cs="楷体"/>
          <w:color w:val="000000" w:themeColor="text1"/>
          <w:kern w:val="0"/>
          <w:sz w:val="24"/>
          <w:u w:val="single"/>
          <w14:textFill>
            <w14:solidFill>
              <w14:schemeClr w14:val="tx1"/>
            </w14:solidFill>
          </w14:textFill>
        </w:rPr>
        <w:t xml:space="preserve">  1  </w:t>
      </w:r>
      <w:r>
        <w:rPr>
          <w:rFonts w:hint="eastAsia" w:ascii="楷体" w:hAnsi="楷体" w:eastAsia="楷体" w:cs="楷体"/>
          <w:color w:val="000000" w:themeColor="text1"/>
          <w:kern w:val="0"/>
          <w:sz w:val="24"/>
          <w14:textFill>
            <w14:solidFill>
              <w14:schemeClr w14:val="tx1"/>
            </w14:solidFill>
          </w14:textFill>
        </w:rPr>
        <w:t>种方式：</w:t>
      </w:r>
    </w:p>
    <w:p w14:paraId="311280AC">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（1）提请</w:t>
      </w:r>
      <w:r>
        <w:rPr>
          <w:rFonts w:hint="eastAsia" w:ascii="楷体" w:hAnsi="楷体" w:eastAsia="楷体" w:cs="楷体"/>
          <w:color w:val="000000" w:themeColor="text1"/>
          <w:kern w:val="0"/>
          <w:sz w:val="24"/>
          <w:u w:val="single"/>
          <w14:textFill>
            <w14:solidFill>
              <w14:schemeClr w14:val="tx1"/>
            </w14:solidFill>
          </w14:textFill>
        </w:rPr>
        <w:t xml:space="preserve"> 温州 </w:t>
      </w:r>
      <w:r>
        <w:rPr>
          <w:rFonts w:hint="eastAsia" w:ascii="楷体" w:hAnsi="楷体" w:eastAsia="楷体" w:cs="楷体"/>
          <w:color w:val="000000" w:themeColor="text1"/>
          <w:kern w:val="0"/>
          <w:sz w:val="24"/>
          <w14:textFill>
            <w14:solidFill>
              <w14:schemeClr w14:val="tx1"/>
            </w14:solidFill>
          </w14:textFill>
        </w:rPr>
        <w:t>仲裁委员会进行仲裁。</w:t>
      </w:r>
    </w:p>
    <w:p w14:paraId="58EA56B3">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（2）向</w:t>
      </w:r>
      <w:r>
        <w:rPr>
          <w:rFonts w:hint="eastAsia" w:ascii="楷体" w:hAnsi="楷体" w:eastAsia="楷体" w:cs="楷体"/>
          <w:color w:val="000000" w:themeColor="text1"/>
          <w:kern w:val="0"/>
          <w:sz w:val="24"/>
          <w:u w:val="single"/>
          <w14:textFill>
            <w14:solidFill>
              <w14:schemeClr w14:val="tx1"/>
            </w14:solidFill>
          </w14:textFill>
        </w:rPr>
        <w:t xml:space="preserve"> 温州市苍南县</w:t>
      </w:r>
      <w:r>
        <w:rPr>
          <w:rFonts w:hint="eastAsia" w:ascii="楷体" w:hAnsi="楷体" w:eastAsia="楷体" w:cs="楷体"/>
          <w:color w:val="000000" w:themeColor="text1"/>
          <w:kern w:val="0"/>
          <w:sz w:val="24"/>
          <w14:textFill>
            <w14:solidFill>
              <w14:schemeClr w14:val="tx1"/>
            </w14:solidFill>
          </w14:textFill>
        </w:rPr>
        <w:t>人民法院提起诉讼。</w:t>
      </w:r>
    </w:p>
    <w:p w14:paraId="1FD5F988">
      <w:pPr>
        <w:snapToGrid w:val="0"/>
        <w:spacing w:line="360" w:lineRule="auto"/>
        <w:ind w:firstLine="482" w:firstLineChars="200"/>
        <w:rPr>
          <w:rFonts w:ascii="楷体" w:hAnsi="楷体" w:eastAsia="楷体" w:cs="楷体"/>
          <w:b/>
          <w:bCs/>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8. 其他</w:t>
      </w:r>
    </w:p>
    <w:p w14:paraId="692AD875">
      <w:pPr>
        <w:adjustRightInd w:val="0"/>
        <w:snapToGrid w:val="0"/>
        <w:spacing w:line="360" w:lineRule="auto"/>
        <w:ind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8</w:t>
      </w:r>
      <w:r>
        <w:rPr>
          <w:rFonts w:hint="eastAsia" w:ascii="楷体" w:hAnsi="楷体" w:eastAsia="楷体" w:cs="楷体"/>
          <w:color w:val="000000" w:themeColor="text1"/>
          <w:kern w:val="0"/>
          <w:sz w:val="24"/>
          <w14:textFill>
            <w14:solidFill>
              <w14:schemeClr w14:val="tx1"/>
            </w14:solidFill>
          </w14:textFill>
        </w:rPr>
        <w:t>.</w:t>
      </w:r>
      <w:r>
        <w:rPr>
          <w:rFonts w:hint="eastAsia" w:ascii="楷体" w:hAnsi="楷体" w:eastAsia="楷体" w:cs="楷体"/>
          <w:bCs/>
          <w:color w:val="000000" w:themeColor="text1"/>
          <w:sz w:val="24"/>
          <w14:textFill>
            <w14:solidFill>
              <w14:schemeClr w14:val="tx1"/>
            </w14:solidFill>
          </w14:textFill>
        </w:rPr>
        <w:t>1 检测费用</w:t>
      </w:r>
    </w:p>
    <w:p w14:paraId="0B0E04E0">
      <w:pPr>
        <w:adjustRightInd w:val="0"/>
        <w:snapToGri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 xml:space="preserve">    委托人应在检测工作完成后</w:t>
      </w:r>
      <w:r>
        <w:rPr>
          <w:rFonts w:hint="eastAsia" w:ascii="楷体" w:hAnsi="楷体" w:eastAsia="楷体" w:cs="楷体"/>
          <w:color w:val="000000" w:themeColor="text1"/>
          <w:sz w:val="24"/>
          <w:u w:val="single"/>
          <w14:textFill>
            <w14:solidFill>
              <w14:schemeClr w14:val="tx1"/>
            </w14:solidFill>
          </w14:textFill>
        </w:rPr>
        <w:t xml:space="preserve">   /  </w:t>
      </w:r>
      <w:r>
        <w:rPr>
          <w:rFonts w:hint="eastAsia" w:ascii="楷体" w:hAnsi="楷体" w:eastAsia="楷体" w:cs="楷体"/>
          <w:bCs/>
          <w:color w:val="000000" w:themeColor="text1"/>
          <w:sz w:val="24"/>
          <w14:textFill>
            <w14:solidFill>
              <w14:schemeClr w14:val="tx1"/>
            </w14:solidFill>
          </w14:textFill>
        </w:rPr>
        <w:t>天内支付检测费用。</w:t>
      </w:r>
    </w:p>
    <w:p w14:paraId="64C62095">
      <w:pPr>
        <w:adjustRightInd w:val="0"/>
        <w:snapToGri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 xml:space="preserve">    8</w:t>
      </w:r>
      <w:r>
        <w:rPr>
          <w:rFonts w:hint="eastAsia" w:ascii="楷体" w:hAnsi="楷体" w:eastAsia="楷体" w:cs="楷体"/>
          <w:color w:val="000000" w:themeColor="text1"/>
          <w:kern w:val="0"/>
          <w:sz w:val="24"/>
          <w14:textFill>
            <w14:solidFill>
              <w14:schemeClr w14:val="tx1"/>
            </w14:solidFill>
          </w14:textFill>
        </w:rPr>
        <w:t>.</w:t>
      </w:r>
      <w:r>
        <w:rPr>
          <w:rFonts w:hint="eastAsia" w:ascii="楷体" w:hAnsi="楷体" w:eastAsia="楷体" w:cs="楷体"/>
          <w:bCs/>
          <w:color w:val="000000" w:themeColor="text1"/>
          <w:sz w:val="24"/>
          <w14:textFill>
            <w14:solidFill>
              <w14:schemeClr w14:val="tx1"/>
            </w14:solidFill>
          </w14:textFill>
        </w:rPr>
        <w:t>2 咨询费用</w:t>
      </w:r>
    </w:p>
    <w:p w14:paraId="27266142">
      <w:pPr>
        <w:adjustRightInd w:val="0"/>
        <w:snapToGri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 xml:space="preserve">    委托人应在咨询工作完成后</w:t>
      </w:r>
      <w:r>
        <w:rPr>
          <w:rFonts w:hint="eastAsia" w:ascii="楷体" w:hAnsi="楷体" w:eastAsia="楷体" w:cs="楷体"/>
          <w:color w:val="000000" w:themeColor="text1"/>
          <w:sz w:val="24"/>
          <w:u w:val="single"/>
          <w14:textFill>
            <w14:solidFill>
              <w14:schemeClr w14:val="tx1"/>
            </w14:solidFill>
          </w14:textFill>
        </w:rPr>
        <w:t xml:space="preserve">   /  </w:t>
      </w:r>
      <w:r>
        <w:rPr>
          <w:rFonts w:hint="eastAsia" w:ascii="楷体" w:hAnsi="楷体" w:eastAsia="楷体" w:cs="楷体"/>
          <w:bCs/>
          <w:color w:val="000000" w:themeColor="text1"/>
          <w:sz w:val="24"/>
          <w14:textFill>
            <w14:solidFill>
              <w14:schemeClr w14:val="tx1"/>
            </w14:solidFill>
          </w14:textFill>
        </w:rPr>
        <w:t>天内支付咨询费用。</w:t>
      </w:r>
    </w:p>
    <w:p w14:paraId="07F75438">
      <w:pPr>
        <w:autoSpaceDE w:val="0"/>
        <w:autoSpaceDN w:val="0"/>
        <w:adjustRightInd w:val="0"/>
        <w:snapToGrid w:val="0"/>
        <w:spacing w:line="360" w:lineRule="auto"/>
        <w:ind w:firstLine="480" w:firstLineChars="200"/>
        <w:jc w:val="left"/>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8</w:t>
      </w:r>
      <w:r>
        <w:rPr>
          <w:rFonts w:hint="eastAsia" w:ascii="楷体" w:hAnsi="楷体" w:eastAsia="楷体" w:cs="楷体"/>
          <w:color w:val="000000" w:themeColor="text1"/>
          <w:kern w:val="0"/>
          <w:sz w:val="24"/>
          <w14:textFill>
            <w14:solidFill>
              <w14:schemeClr w14:val="tx1"/>
            </w14:solidFill>
          </w14:textFill>
        </w:rPr>
        <w:t>.3</w:t>
      </w:r>
      <w:r>
        <w:rPr>
          <w:rFonts w:hint="eastAsia" w:ascii="楷体" w:hAnsi="楷体" w:eastAsia="楷体" w:cs="楷体"/>
          <w:color w:val="000000" w:themeColor="text1"/>
          <w:kern w:val="0"/>
          <w:sz w:val="24"/>
          <w:lang w:val="zh-CN"/>
          <w14:textFill>
            <w14:solidFill>
              <w14:schemeClr w14:val="tx1"/>
            </w14:solidFill>
          </w14:textFill>
        </w:rPr>
        <w:t xml:space="preserve"> 奖励</w:t>
      </w:r>
    </w:p>
    <w:p w14:paraId="23842141">
      <w:pPr>
        <w:autoSpaceDE w:val="0"/>
        <w:autoSpaceDN w:val="0"/>
        <w:adjustRightInd w:val="0"/>
        <w:snapToGrid w:val="0"/>
        <w:spacing w:line="360" w:lineRule="auto"/>
        <w:ind w:firstLine="480" w:firstLineChars="200"/>
        <w:jc w:val="left"/>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监理人提出合理化建议的奖励金额按下列方法确定:</w:t>
      </w:r>
    </w:p>
    <w:p w14:paraId="23A485DE">
      <w:pPr>
        <w:autoSpaceDE w:val="0"/>
        <w:autoSpaceDN w:val="0"/>
        <w:adjustRightInd w:val="0"/>
        <w:snapToGrid w:val="0"/>
        <w:spacing w:line="360" w:lineRule="auto"/>
        <w:ind w:firstLine="480" w:firstLineChars="200"/>
        <w:jc w:val="left"/>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奖励金额=工程投资节省额X奖励金额的比率;</w:t>
      </w:r>
    </w:p>
    <w:p w14:paraId="3B17D0F5">
      <w:pPr>
        <w:autoSpaceDE w:val="0"/>
        <w:autoSpaceDN w:val="0"/>
        <w:adjustRightInd w:val="0"/>
        <w:snapToGrid w:val="0"/>
        <w:spacing w:line="360" w:lineRule="auto"/>
        <w:ind w:firstLine="480" w:firstLineChars="200"/>
        <w:jc w:val="left"/>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奖励金额的比率为</w:t>
      </w:r>
      <w:r>
        <w:rPr>
          <w:rFonts w:hint="eastAsia" w:ascii="楷体" w:hAnsi="楷体" w:eastAsia="楷体" w:cs="楷体"/>
          <w:color w:val="000000" w:themeColor="text1"/>
          <w:kern w:val="0"/>
          <w:sz w:val="24"/>
          <w:u w:val="single"/>
          <w:lang w:val="zh-CN"/>
          <w14:textFill>
            <w14:solidFill>
              <w14:schemeClr w14:val="tx1"/>
            </w14:solidFill>
          </w14:textFill>
        </w:rPr>
        <w:t xml:space="preserve"> / </w:t>
      </w:r>
      <w:r>
        <w:rPr>
          <w:rFonts w:hint="eastAsia" w:ascii="楷体" w:hAnsi="楷体" w:eastAsia="楷体" w:cs="楷体"/>
          <w:color w:val="000000" w:themeColor="text1"/>
          <w:kern w:val="0"/>
          <w:sz w:val="24"/>
          <w:lang w:val="zh-CN"/>
          <w14:textFill>
            <w14:solidFill>
              <w14:schemeClr w14:val="tx1"/>
            </w14:solidFill>
          </w14:textFill>
        </w:rPr>
        <w:t>%。</w:t>
      </w:r>
    </w:p>
    <w:p w14:paraId="0FDD9EE3">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8.4保密</w:t>
      </w:r>
    </w:p>
    <w:p w14:paraId="0612ABB3">
      <w:pPr>
        <w:snapToGrid w:val="0"/>
        <w:spacing w:line="360" w:lineRule="auto"/>
        <w:ind w:firstLine="480" w:firstLineChars="200"/>
        <w:rPr>
          <w:rFonts w:ascii="楷体" w:hAnsi="楷体" w:eastAsia="楷体" w:cs="楷体"/>
          <w:color w:val="000000" w:themeColor="text1"/>
          <w:kern w:val="0"/>
          <w:sz w:val="24"/>
          <w:u w:val="single"/>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委托人申明的保密事项和期限：</w:t>
      </w:r>
      <w:r>
        <w:rPr>
          <w:rFonts w:hint="eastAsia" w:ascii="楷体" w:hAnsi="楷体" w:eastAsia="楷体" w:cs="楷体"/>
          <w:color w:val="000000" w:themeColor="text1"/>
          <w:kern w:val="0"/>
          <w:sz w:val="24"/>
          <w:u w:val="single"/>
          <w14:textFill>
            <w14:solidFill>
              <w14:schemeClr w14:val="tx1"/>
            </w14:solidFill>
          </w14:textFill>
        </w:rPr>
        <w:t xml:space="preserve"> 按委托人具体要求 </w:t>
      </w:r>
      <w:r>
        <w:rPr>
          <w:rFonts w:hint="eastAsia" w:ascii="楷体" w:hAnsi="楷体" w:eastAsia="楷体" w:cs="楷体"/>
          <w:color w:val="000000" w:themeColor="text1"/>
          <w:kern w:val="0"/>
          <w:sz w:val="24"/>
          <w14:textFill>
            <w14:solidFill>
              <w14:schemeClr w14:val="tx1"/>
            </w14:solidFill>
          </w14:textFill>
        </w:rPr>
        <w:t>。</w:t>
      </w:r>
    </w:p>
    <w:p w14:paraId="3783930C">
      <w:pPr>
        <w:snapToGrid w:val="0"/>
        <w:spacing w:line="360" w:lineRule="auto"/>
        <w:ind w:firstLine="480" w:firstLineChars="200"/>
        <w:rPr>
          <w:rFonts w:ascii="楷体" w:hAnsi="楷体" w:eastAsia="楷体" w:cs="楷体"/>
          <w:color w:val="000000" w:themeColor="text1"/>
          <w:kern w:val="0"/>
          <w:sz w:val="24"/>
          <w:u w:val="single"/>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监理人申明的保密事项和期限：</w:t>
      </w:r>
      <w:r>
        <w:rPr>
          <w:rFonts w:hint="eastAsia" w:ascii="楷体" w:hAnsi="楷体" w:eastAsia="楷体" w:cs="楷体"/>
          <w:color w:val="000000" w:themeColor="text1"/>
          <w:kern w:val="0"/>
          <w:sz w:val="24"/>
          <w:u w:val="single"/>
          <w14:textFill>
            <w14:solidFill>
              <w14:schemeClr w14:val="tx1"/>
            </w14:solidFill>
          </w14:textFill>
        </w:rPr>
        <w:t xml:space="preserve"> 有关监理资料 </w:t>
      </w:r>
      <w:r>
        <w:rPr>
          <w:rFonts w:hint="eastAsia" w:ascii="楷体" w:hAnsi="楷体" w:eastAsia="楷体" w:cs="楷体"/>
          <w:color w:val="000000" w:themeColor="text1"/>
          <w:kern w:val="0"/>
          <w:sz w:val="24"/>
          <w14:textFill>
            <w14:solidFill>
              <w14:schemeClr w14:val="tx1"/>
            </w14:solidFill>
          </w14:textFill>
        </w:rPr>
        <w:t>。</w:t>
      </w:r>
    </w:p>
    <w:p w14:paraId="3CC93AF7">
      <w:pPr>
        <w:snapToGrid w:val="0"/>
        <w:spacing w:line="360" w:lineRule="auto"/>
        <w:ind w:firstLine="480" w:firstLineChars="200"/>
        <w:rPr>
          <w:rFonts w:ascii="楷体" w:hAnsi="楷体" w:eastAsia="楷体" w:cs="楷体"/>
          <w:color w:val="000000" w:themeColor="text1"/>
          <w:kern w:val="0"/>
          <w:sz w:val="24"/>
          <w:u w:val="single"/>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第三方申明的保密事项和期限：</w:t>
      </w:r>
      <w:r>
        <w:rPr>
          <w:rFonts w:hint="eastAsia" w:ascii="楷体" w:hAnsi="楷体" w:eastAsia="楷体" w:cs="楷体"/>
          <w:color w:val="000000" w:themeColor="text1"/>
          <w:kern w:val="0"/>
          <w:sz w:val="24"/>
          <w:u w:val="single"/>
          <w14:textFill>
            <w14:solidFill>
              <w14:schemeClr w14:val="tx1"/>
            </w14:solidFill>
          </w14:textFill>
        </w:rPr>
        <w:t xml:space="preserve"> / </w:t>
      </w:r>
      <w:r>
        <w:rPr>
          <w:rFonts w:hint="eastAsia" w:ascii="楷体" w:hAnsi="楷体" w:eastAsia="楷体" w:cs="楷体"/>
          <w:color w:val="000000" w:themeColor="text1"/>
          <w:kern w:val="0"/>
          <w:sz w:val="24"/>
          <w14:textFill>
            <w14:solidFill>
              <w14:schemeClr w14:val="tx1"/>
            </w14:solidFill>
          </w14:textFill>
        </w:rPr>
        <w:t>。</w:t>
      </w:r>
    </w:p>
    <w:p w14:paraId="2C35FE17">
      <w:pPr>
        <w:snapToGrid w:val="0"/>
        <w:spacing w:line="360" w:lineRule="auto"/>
        <w:ind w:firstLine="480" w:firstLineChars="200"/>
        <w:rPr>
          <w:rFonts w:ascii="楷体" w:hAnsi="楷体" w:eastAsia="楷体" w:cs="楷体"/>
          <w:bCs/>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8.5</w:t>
      </w:r>
      <w:r>
        <w:rPr>
          <w:rFonts w:hint="eastAsia" w:ascii="楷体" w:hAnsi="楷体" w:eastAsia="楷体" w:cs="楷体"/>
          <w:bCs/>
          <w:color w:val="000000" w:themeColor="text1"/>
          <w:kern w:val="0"/>
          <w:sz w:val="24"/>
          <w14:textFill>
            <w14:solidFill>
              <w14:schemeClr w14:val="tx1"/>
            </w14:solidFill>
          </w14:textFill>
        </w:rPr>
        <w:t>著作权</w:t>
      </w:r>
    </w:p>
    <w:p w14:paraId="646FE447">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监理人在本合同履行期间及本合同终止后两年内出版涉及本工程的有关监理与相关服务的资料的限制条件：</w:t>
      </w:r>
      <w:r>
        <w:rPr>
          <w:rFonts w:hint="eastAsia" w:ascii="楷体" w:hAnsi="楷体" w:eastAsia="楷体" w:cs="楷体"/>
          <w:color w:val="000000" w:themeColor="text1"/>
          <w:kern w:val="0"/>
          <w:sz w:val="24"/>
          <w:u w:val="single"/>
          <w:lang w:val="zh-CN"/>
          <w14:textFill>
            <w14:solidFill>
              <w14:schemeClr w14:val="tx1"/>
            </w14:solidFill>
          </w14:textFill>
        </w:rPr>
        <w:t>需委托人同意</w:t>
      </w:r>
      <w:r>
        <w:rPr>
          <w:rFonts w:hint="eastAsia" w:ascii="楷体" w:hAnsi="楷体" w:eastAsia="楷体" w:cs="楷体"/>
          <w:color w:val="000000" w:themeColor="text1"/>
          <w:kern w:val="0"/>
          <w:sz w:val="24"/>
          <w14:textFill>
            <w14:solidFill>
              <w14:schemeClr w14:val="tx1"/>
            </w14:solidFill>
          </w14:textFill>
        </w:rPr>
        <w:t>。</w:t>
      </w:r>
    </w:p>
    <w:p w14:paraId="2642AB3F">
      <w:pPr>
        <w:snapToGrid w:val="0"/>
        <w:spacing w:line="360" w:lineRule="auto"/>
        <w:ind w:firstLine="482" w:firstLineChars="200"/>
        <w:rPr>
          <w:rFonts w:ascii="楷体" w:hAnsi="楷体" w:eastAsia="楷体" w:cs="楷体"/>
          <w:b/>
          <w:color w:val="000000" w:themeColor="text1"/>
          <w:kern w:val="0"/>
          <w:sz w:val="24"/>
          <w14:textFill>
            <w14:solidFill>
              <w14:schemeClr w14:val="tx1"/>
            </w14:solidFill>
          </w14:textFill>
        </w:rPr>
      </w:pPr>
      <w:r>
        <w:rPr>
          <w:rFonts w:hint="eastAsia" w:ascii="楷体" w:hAnsi="楷体" w:eastAsia="楷体" w:cs="楷体"/>
          <w:b/>
          <w:color w:val="000000" w:themeColor="text1"/>
          <w:kern w:val="0"/>
          <w:sz w:val="24"/>
          <w14:textFill>
            <w14:solidFill>
              <w14:schemeClr w14:val="tx1"/>
            </w14:solidFill>
          </w14:textFill>
        </w:rPr>
        <w:t>9. 补充条款</w:t>
      </w:r>
    </w:p>
    <w:p w14:paraId="199DFAC7">
      <w:pPr>
        <w:snapToGrid w:val="0"/>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需补充的其他条款：合同的解释权归招标人所有，风险由投标人报价前综合考虑。</w:t>
      </w:r>
    </w:p>
    <w:p w14:paraId="209617B3">
      <w:pPr>
        <w:snapToGrid w:val="0"/>
        <w:spacing w:line="360" w:lineRule="auto"/>
        <w:ind w:firstLine="482"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w:t>
      </w:r>
      <w:r>
        <w:rPr>
          <w:rFonts w:ascii="楷体" w:hAnsi="楷体" w:eastAsia="楷体" w:cs="楷体"/>
          <w:b/>
          <w:color w:val="000000" w:themeColor="text1"/>
          <w:sz w:val="24"/>
          <w14:textFill>
            <w14:solidFill>
              <w14:schemeClr w14:val="tx1"/>
            </w14:solidFill>
          </w14:textFill>
        </w:rPr>
        <w:t>监理服务费按</w:t>
      </w:r>
      <w:r>
        <w:rPr>
          <w:rFonts w:hint="eastAsia" w:ascii="楷体" w:hAnsi="楷体" w:eastAsia="楷体" w:cs="楷体"/>
          <w:b/>
          <w:color w:val="000000" w:themeColor="text1"/>
          <w:sz w:val="24"/>
          <w14:textFill>
            <w14:solidFill>
              <w14:schemeClr w14:val="tx1"/>
            </w14:solidFill>
          </w14:textFill>
        </w:rPr>
        <w:t>年度结算或是金额达到预设值进行结算</w:t>
      </w:r>
      <w:r>
        <w:rPr>
          <w:rFonts w:ascii="楷体" w:hAnsi="楷体" w:eastAsia="楷体" w:cs="楷体"/>
          <w:b/>
          <w:color w:val="000000" w:themeColor="text1"/>
          <w:sz w:val="24"/>
          <w14:textFill>
            <w14:solidFill>
              <w14:schemeClr w14:val="tx1"/>
            </w14:solidFill>
          </w14:textFill>
        </w:rPr>
        <w:t>。</w:t>
      </w:r>
      <w:r>
        <w:rPr>
          <w:rFonts w:hint="eastAsia" w:ascii="楷体" w:hAnsi="楷体" w:eastAsia="楷体" w:cs="楷体"/>
          <w:b/>
          <w:color w:val="000000" w:themeColor="text1"/>
          <w:sz w:val="24"/>
          <w14:textFill>
            <w14:solidFill>
              <w14:schemeClr w14:val="tx1"/>
            </w14:solidFill>
          </w14:textFill>
        </w:rPr>
        <w:t>每期服务期满，乙方提交当期监理工作总结、结算申请及合规票据，甲方审核无误后办理当期款项支付。</w:t>
      </w:r>
    </w:p>
    <w:p w14:paraId="29EF55EC">
      <w:pPr>
        <w:snapToGrid w:val="0"/>
        <w:spacing w:line="360" w:lineRule="auto"/>
        <w:ind w:firstLine="482"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（2）支付依据：采购人及镇财政办将依据每季度对监理单位项目的考核结果，按以下标准支付服务费：</w:t>
      </w:r>
    </w:p>
    <w:p w14:paraId="7E3FD77B">
      <w:pPr>
        <w:snapToGrid w:val="0"/>
        <w:spacing w:line="360" w:lineRule="auto"/>
        <w:ind w:firstLine="482"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①考核得分≥90分，全额支付服务费；</w:t>
      </w:r>
    </w:p>
    <w:p w14:paraId="453AB590">
      <w:pPr>
        <w:snapToGrid w:val="0"/>
        <w:spacing w:line="360" w:lineRule="auto"/>
        <w:ind w:firstLine="482"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②考核得分为80分（含）至90分，支付90%服务费；</w:t>
      </w:r>
    </w:p>
    <w:p w14:paraId="57AC42E2">
      <w:pPr>
        <w:snapToGrid w:val="0"/>
        <w:spacing w:line="360" w:lineRule="auto"/>
        <w:ind w:firstLine="482"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③考核得分为70分（含）至80分，支付80%服务费；</w:t>
      </w:r>
    </w:p>
    <w:p w14:paraId="6B09F741">
      <w:pPr>
        <w:snapToGrid w:val="0"/>
        <w:spacing w:line="360" w:lineRule="auto"/>
        <w:ind w:firstLine="482"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④考核得分＜70分，采购人有权解除采购合同。</w:t>
      </w:r>
    </w:p>
    <w:p w14:paraId="58F5CDB7">
      <w:pPr>
        <w:snapToGrid w:val="0"/>
        <w:spacing w:line="360" w:lineRule="auto"/>
        <w:ind w:firstLine="482"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w:t>
      </w:r>
      <w:r>
        <w:rPr>
          <w:rFonts w:ascii="楷体" w:hAnsi="楷体" w:eastAsia="楷体" w:cs="楷体"/>
          <w:b/>
          <w:color w:val="000000" w:themeColor="text1"/>
          <w:sz w:val="24"/>
          <w14:textFill>
            <w14:solidFill>
              <w14:schemeClr w14:val="tx1"/>
            </w14:solidFill>
          </w14:textFill>
        </w:rPr>
        <w:t>3</w:t>
      </w:r>
      <w:r>
        <w:rPr>
          <w:rFonts w:hint="eastAsia" w:ascii="楷体" w:hAnsi="楷体" w:eastAsia="楷体" w:cs="楷体"/>
          <w:b/>
          <w:color w:val="000000" w:themeColor="text1"/>
          <w:sz w:val="24"/>
          <w14:textFill>
            <w14:solidFill>
              <w14:schemeClr w14:val="tx1"/>
            </w14:solidFill>
          </w14:textFill>
        </w:rPr>
        <w:t>）工程竣工验收合格后支付至合同价款的</w:t>
      </w:r>
      <w:r>
        <w:rPr>
          <w:rFonts w:ascii="楷体" w:hAnsi="楷体" w:eastAsia="楷体" w:cs="楷体"/>
          <w:b/>
          <w:color w:val="000000" w:themeColor="text1"/>
          <w:sz w:val="24"/>
          <w14:textFill>
            <w14:solidFill>
              <w14:schemeClr w14:val="tx1"/>
            </w14:solidFill>
          </w14:textFill>
        </w:rPr>
        <w:t>70</w:t>
      </w:r>
      <w:r>
        <w:rPr>
          <w:rFonts w:hint="eastAsia" w:ascii="楷体" w:hAnsi="楷体" w:eastAsia="楷体" w:cs="楷体"/>
          <w:b/>
          <w:color w:val="000000" w:themeColor="text1"/>
          <w:sz w:val="24"/>
          <w14:textFill>
            <w14:solidFill>
              <w14:schemeClr w14:val="tx1"/>
            </w14:solidFill>
          </w14:textFill>
        </w:rPr>
        <w:t>%；待监理单位提交监理资料，经资料验收合格，办理竣工结算完成后支付至合同</w:t>
      </w:r>
      <w:r>
        <w:rPr>
          <w:rFonts w:ascii="楷体" w:hAnsi="楷体" w:eastAsia="楷体" w:cs="楷体"/>
          <w:b/>
          <w:color w:val="000000" w:themeColor="text1"/>
          <w:sz w:val="24"/>
          <w14:textFill>
            <w14:solidFill>
              <w14:schemeClr w14:val="tx1"/>
            </w14:solidFill>
          </w14:textFill>
        </w:rPr>
        <w:t>价款的</w:t>
      </w:r>
      <w:r>
        <w:rPr>
          <w:rFonts w:hint="eastAsia" w:ascii="楷体" w:hAnsi="楷体" w:eastAsia="楷体" w:cs="楷体"/>
          <w:b/>
          <w:color w:val="000000" w:themeColor="text1"/>
          <w:sz w:val="24"/>
          <w14:textFill>
            <w14:solidFill>
              <w14:schemeClr w14:val="tx1"/>
            </w14:solidFill>
          </w14:textFill>
        </w:rPr>
        <w:t>9</w:t>
      </w:r>
      <w:r>
        <w:rPr>
          <w:rFonts w:ascii="楷体" w:hAnsi="楷体" w:eastAsia="楷体" w:cs="楷体"/>
          <w:b/>
          <w:color w:val="000000" w:themeColor="text1"/>
          <w:sz w:val="24"/>
          <w14:textFill>
            <w14:solidFill>
              <w14:schemeClr w14:val="tx1"/>
            </w14:solidFill>
          </w14:textFill>
        </w:rPr>
        <w:t>5%</w:t>
      </w:r>
      <w:r>
        <w:rPr>
          <w:rFonts w:hint="eastAsia" w:ascii="楷体" w:hAnsi="楷体" w:eastAsia="楷体" w:cs="楷体"/>
          <w:b/>
          <w:color w:val="000000" w:themeColor="text1"/>
          <w:sz w:val="24"/>
          <w14:textFill>
            <w14:solidFill>
              <w14:schemeClr w14:val="tx1"/>
            </w14:solidFill>
          </w14:textFill>
        </w:rPr>
        <w:t>，待项目 2年质保期满后一次性付清余款。</w:t>
      </w:r>
    </w:p>
    <w:p w14:paraId="0F8646A7">
      <w:pPr>
        <w:pStyle w:val="55"/>
        <w:rPr>
          <w:rFonts w:eastAsiaTheme="minorEastAsia"/>
          <w:color w:val="000000" w:themeColor="text1"/>
          <w14:textFill>
            <w14:solidFill>
              <w14:schemeClr w14:val="tx1"/>
            </w14:solidFill>
          </w14:textFill>
        </w:rPr>
      </w:pPr>
    </w:p>
    <w:p w14:paraId="059AAFD9">
      <w:pPr>
        <w:spacing w:line="360" w:lineRule="auto"/>
        <w:rPr>
          <w:rFonts w:ascii="楷体" w:hAnsi="楷体" w:eastAsia="楷体" w:cs="楷体"/>
          <w:color w:val="000000" w:themeColor="text1"/>
          <w:kern w:val="0"/>
          <w:szCs w:val="21"/>
          <w14:textFill>
            <w14:solidFill>
              <w14:schemeClr w14:val="tx1"/>
            </w14:solidFill>
          </w14:textFill>
        </w:rPr>
      </w:pPr>
      <w:r>
        <w:rPr>
          <w:rFonts w:hint="eastAsia" w:ascii="楷体" w:hAnsi="楷体" w:eastAsia="楷体" w:cs="楷体"/>
          <w:color w:val="000000" w:themeColor="text1"/>
          <w:kern w:val="0"/>
          <w:szCs w:val="21"/>
          <w:lang w:bidi="ar"/>
          <w14:textFill>
            <w14:solidFill>
              <w14:schemeClr w14:val="tx1"/>
            </w14:solidFill>
          </w14:textFill>
        </w:rPr>
        <w:t xml:space="preserve"> </w:t>
      </w:r>
    </w:p>
    <w:p w14:paraId="368379E9">
      <w:pPr>
        <w:spacing w:line="360" w:lineRule="auto"/>
        <w:ind w:firstLine="420" w:firstLineChars="200"/>
        <w:rPr>
          <w:rFonts w:ascii="楷体" w:hAnsi="楷体" w:eastAsia="楷体" w:cs="楷体"/>
          <w:color w:val="000000" w:themeColor="text1"/>
          <w14:textFill>
            <w14:solidFill>
              <w14:schemeClr w14:val="tx1"/>
            </w14:solidFill>
          </w14:textFill>
        </w:rPr>
      </w:pPr>
    </w:p>
    <w:bookmarkEnd w:id="260"/>
    <w:p w14:paraId="784EDE04">
      <w:pPr>
        <w:adjustRightInd w:val="0"/>
        <w:snapToGrid w:val="0"/>
        <w:spacing w:line="360" w:lineRule="auto"/>
        <w:ind w:firstLine="602" w:firstLineChars="200"/>
        <w:jc w:val="center"/>
        <w:outlineLvl w:val="0"/>
        <w:rPr>
          <w:rFonts w:ascii="楷体" w:hAnsi="楷体" w:eastAsia="楷体" w:cs="楷体"/>
          <w:b/>
          <w:bCs/>
          <w:color w:val="000000" w:themeColor="text1"/>
          <w:sz w:val="32"/>
          <w:szCs w:val="32"/>
          <w14:textFill>
            <w14:solidFill>
              <w14:schemeClr w14:val="tx1"/>
            </w14:solidFill>
          </w14:textFill>
        </w:rPr>
      </w:pPr>
      <w:bookmarkStart w:id="394" w:name="_Toc16579"/>
      <w:bookmarkStart w:id="395" w:name="_Toc26955"/>
      <w:bookmarkStart w:id="396" w:name="_Toc20466"/>
      <w:bookmarkStart w:id="397" w:name="_Toc14349"/>
      <w:bookmarkStart w:id="398" w:name="_Toc17256"/>
      <w:bookmarkStart w:id="399" w:name="_Toc30059"/>
      <w:bookmarkStart w:id="400" w:name="_Toc5237"/>
      <w:bookmarkStart w:id="401" w:name="_Toc14516"/>
      <w:bookmarkStart w:id="402" w:name="_Toc19280"/>
      <w:bookmarkStart w:id="403" w:name="_Toc1330"/>
      <w:bookmarkStart w:id="404" w:name="_Toc15843"/>
      <w:r>
        <w:rPr>
          <w:rFonts w:hint="eastAsia" w:ascii="楷体" w:hAnsi="楷体" w:eastAsia="楷体" w:cs="楷体"/>
          <w:b/>
          <w:color w:val="000000" w:themeColor="text1"/>
          <w:sz w:val="30"/>
          <w:szCs w:val="30"/>
          <w14:textFill>
            <w14:solidFill>
              <w14:schemeClr w14:val="tx1"/>
            </w14:solidFill>
          </w14:textFill>
        </w:rPr>
        <w:br w:type="page"/>
      </w:r>
      <w:bookmarkEnd w:id="261"/>
      <w:bookmarkEnd w:id="262"/>
      <w:bookmarkEnd w:id="394"/>
      <w:bookmarkEnd w:id="395"/>
      <w:bookmarkEnd w:id="396"/>
      <w:bookmarkEnd w:id="397"/>
      <w:bookmarkEnd w:id="398"/>
      <w:bookmarkEnd w:id="399"/>
      <w:bookmarkEnd w:id="400"/>
      <w:bookmarkEnd w:id="401"/>
      <w:bookmarkEnd w:id="402"/>
      <w:bookmarkEnd w:id="403"/>
      <w:bookmarkEnd w:id="404"/>
      <w:bookmarkStart w:id="405" w:name="_Toc24383"/>
      <w:bookmarkStart w:id="406" w:name="_Toc251566668"/>
      <w:bookmarkStart w:id="407" w:name="_Toc5871"/>
      <w:bookmarkStart w:id="408" w:name="_Toc1306"/>
      <w:bookmarkStart w:id="409" w:name="_Toc29423"/>
      <w:bookmarkStart w:id="410" w:name="_Toc21224"/>
      <w:bookmarkStart w:id="411" w:name="_Toc2106"/>
      <w:bookmarkStart w:id="412" w:name="_Toc225868334"/>
      <w:bookmarkStart w:id="413" w:name="_Toc30790"/>
      <w:bookmarkStart w:id="414" w:name="_Toc27054"/>
      <w:bookmarkStart w:id="415" w:name="_Toc23379"/>
      <w:bookmarkStart w:id="416" w:name="_Toc5512"/>
      <w:bookmarkStart w:id="417" w:name="_Toc249760797"/>
      <w:bookmarkStart w:id="418" w:name="_Toc8854"/>
      <w:bookmarkStart w:id="419" w:name="_Toc28666"/>
      <w:bookmarkStart w:id="420" w:name="_Toc234764855"/>
      <w:r>
        <w:rPr>
          <w:rFonts w:hint="eastAsia" w:ascii="楷体" w:hAnsi="楷体" w:eastAsia="楷体" w:cs="楷体"/>
          <w:b/>
          <w:color w:val="000000" w:themeColor="text1"/>
          <w:sz w:val="30"/>
          <w:szCs w:val="30"/>
          <w14:textFill>
            <w14:solidFill>
              <w14:schemeClr w14:val="tx1"/>
            </w14:solidFill>
          </w14:textFill>
        </w:rPr>
        <w:t>第五部分  投标文件格式</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6567D5B9">
      <w:pPr>
        <w:autoSpaceDE w:val="0"/>
        <w:autoSpaceDN w:val="0"/>
        <w:adjustRightInd w:val="0"/>
        <w:spacing w:line="360" w:lineRule="auto"/>
        <w:ind w:firstLine="480"/>
        <w:rPr>
          <w:rFonts w:ascii="楷体" w:hAnsi="楷体" w:eastAsia="楷体" w:cs="楷体"/>
          <w:color w:val="000000" w:themeColor="text1"/>
          <w:sz w:val="24"/>
          <w14:textFill>
            <w14:solidFill>
              <w14:schemeClr w14:val="tx1"/>
            </w14:solidFill>
          </w14:textFill>
        </w:rPr>
      </w:pPr>
    </w:p>
    <w:p w14:paraId="0A911032">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说明：</w:t>
      </w:r>
    </w:p>
    <w:p w14:paraId="263C2F30">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1．投标文件由投标人根据采购文件要求参照附件格式编制。</w:t>
      </w:r>
    </w:p>
    <w:p w14:paraId="375E5B7C">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2．投标人根据实际情况填写。</w:t>
      </w:r>
    </w:p>
    <w:p w14:paraId="27F86624">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3．采购文件中没有参考格式的，投标人自行编制。</w:t>
      </w:r>
    </w:p>
    <w:p w14:paraId="54AF8A2F">
      <w:pPr>
        <w:autoSpaceDE w:val="0"/>
        <w:autoSpaceDN w:val="0"/>
        <w:adjustRightInd w:val="0"/>
        <w:snapToGrid w:val="0"/>
        <w:spacing w:line="360" w:lineRule="auto"/>
        <w:outlineLvl w:val="1"/>
        <w:rPr>
          <w:rFonts w:ascii="楷体" w:hAnsi="楷体" w:eastAsia="楷体" w:cs="楷体"/>
          <w:bCs/>
          <w:snapToGrid w:val="0"/>
          <w:color w:val="000000" w:themeColor="text1"/>
          <w:kern w:val="0"/>
          <w:sz w:val="24"/>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br w:type="page"/>
      </w:r>
      <w:bookmarkStart w:id="421" w:name="_Toc1647"/>
      <w:bookmarkStart w:id="422" w:name="_Toc27220"/>
      <w:bookmarkStart w:id="423" w:name="_Toc20674"/>
      <w:bookmarkStart w:id="424" w:name="_Toc21474"/>
      <w:bookmarkStart w:id="425" w:name="_Toc225867133"/>
      <w:bookmarkStart w:id="426" w:name="_Toc32149"/>
      <w:bookmarkStart w:id="427" w:name="_Toc4406"/>
      <w:bookmarkStart w:id="428" w:name="_Toc664"/>
      <w:bookmarkStart w:id="429" w:name="_Toc17529"/>
      <w:bookmarkStart w:id="430" w:name="_Toc14840"/>
      <w:bookmarkStart w:id="431" w:name="_Toc11114"/>
      <w:bookmarkStart w:id="432" w:name="_Toc9921"/>
      <w:bookmarkStart w:id="433" w:name="_Toc12248"/>
      <w:bookmarkStart w:id="434" w:name="_Toc12921"/>
      <w:bookmarkStart w:id="435" w:name="_Toc20878"/>
      <w:bookmarkStart w:id="436" w:name="_Toc225868335"/>
      <w:bookmarkStart w:id="437" w:name="_Toc5799"/>
      <w:bookmarkStart w:id="438" w:name="_Toc27726"/>
      <w:r>
        <w:rPr>
          <w:rFonts w:hint="eastAsia" w:ascii="楷体" w:hAnsi="楷体" w:eastAsia="楷体" w:cs="楷体"/>
          <w:bCs/>
          <w:snapToGrid w:val="0"/>
          <w:color w:val="000000" w:themeColor="text1"/>
          <w:kern w:val="0"/>
          <w:sz w:val="24"/>
          <w14:textFill>
            <w14:solidFill>
              <w14:schemeClr w14:val="tx1"/>
            </w14:solidFill>
          </w14:textFill>
        </w:rPr>
        <w:t>一、</w:t>
      </w:r>
      <w:bookmarkEnd w:id="421"/>
      <w:bookmarkEnd w:id="422"/>
      <w:bookmarkStart w:id="439" w:name="_Toc32101"/>
      <w:bookmarkStart w:id="440" w:name="_Toc27346"/>
      <w:r>
        <w:rPr>
          <w:rFonts w:hint="eastAsia" w:ascii="楷体" w:hAnsi="楷体" w:eastAsia="楷体" w:cs="楷体"/>
          <w:bCs/>
          <w:snapToGrid w:val="0"/>
          <w:color w:val="000000" w:themeColor="text1"/>
          <w:kern w:val="0"/>
          <w:sz w:val="24"/>
          <w14:textFill>
            <w14:solidFill>
              <w14:schemeClr w14:val="tx1"/>
            </w14:solidFill>
          </w14:textFill>
        </w:rPr>
        <w:t>投标文件封面（格式供参考）</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A4463E9">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p>
    <w:p w14:paraId="6BF6B593">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1.1报价响应文件封面格式</w:t>
      </w:r>
    </w:p>
    <w:p w14:paraId="5572CC30">
      <w:pPr>
        <w:autoSpaceDE w:val="0"/>
        <w:autoSpaceDN w:val="0"/>
        <w:adjustRightInd w:val="0"/>
        <w:spacing w:line="360" w:lineRule="auto"/>
        <w:jc w:val="right"/>
        <w:rPr>
          <w:rFonts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 xml:space="preserve">                </w:t>
      </w:r>
    </w:p>
    <w:p w14:paraId="6003A6E3">
      <w:pPr>
        <w:autoSpaceDE w:val="0"/>
        <w:autoSpaceDN w:val="0"/>
        <w:adjustRightInd w:val="0"/>
        <w:spacing w:line="360" w:lineRule="auto"/>
        <w:jc w:val="center"/>
        <w:rPr>
          <w:rFonts w:ascii="楷体" w:hAnsi="楷体" w:eastAsia="楷体" w:cs="楷体"/>
          <w:b/>
          <w:color w:val="000000" w:themeColor="text1"/>
          <w:sz w:val="32"/>
          <w:szCs w:val="32"/>
          <w14:textFill>
            <w14:solidFill>
              <w14:schemeClr w14:val="tx1"/>
            </w14:solidFill>
          </w14:textFill>
        </w:rPr>
      </w:pPr>
    </w:p>
    <w:p w14:paraId="385895A8">
      <w:pPr>
        <w:autoSpaceDE w:val="0"/>
        <w:autoSpaceDN w:val="0"/>
        <w:adjustRightInd w:val="0"/>
        <w:spacing w:line="360" w:lineRule="auto"/>
        <w:jc w:val="center"/>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u w:val="single"/>
          <w14:textFill>
            <w14:solidFill>
              <w14:schemeClr w14:val="tx1"/>
            </w14:solidFill>
          </w14:textFill>
        </w:rPr>
        <w:t xml:space="preserve">       项目名称       </w:t>
      </w:r>
    </w:p>
    <w:p w14:paraId="2A31FF0A">
      <w:pPr>
        <w:autoSpaceDE w:val="0"/>
        <w:autoSpaceDN w:val="0"/>
        <w:adjustRightInd w:val="0"/>
        <w:spacing w:line="360" w:lineRule="auto"/>
        <w:jc w:val="center"/>
        <w:rPr>
          <w:rFonts w:ascii="楷体" w:hAnsi="楷体" w:eastAsia="楷体" w:cs="楷体"/>
          <w:color w:val="000000" w:themeColor="text1"/>
          <w:sz w:val="32"/>
          <w:szCs w:val="32"/>
          <w:u w:val="single"/>
          <w14:textFill>
            <w14:solidFill>
              <w14:schemeClr w14:val="tx1"/>
            </w14:solidFill>
          </w14:textFill>
        </w:rPr>
      </w:pPr>
    </w:p>
    <w:p w14:paraId="39DFAD79">
      <w:pPr>
        <w:autoSpaceDE w:val="0"/>
        <w:autoSpaceDN w:val="0"/>
        <w:adjustRightInd w:val="0"/>
        <w:spacing w:line="360" w:lineRule="auto"/>
        <w:jc w:val="center"/>
        <w:rPr>
          <w:rFonts w:ascii="楷体" w:hAnsi="楷体" w:eastAsia="楷体" w:cs="楷体"/>
          <w:b/>
          <w:color w:val="000000" w:themeColor="text1"/>
          <w:sz w:val="32"/>
          <w:szCs w:val="32"/>
          <w14:textFill>
            <w14:solidFill>
              <w14:schemeClr w14:val="tx1"/>
            </w14:solidFill>
          </w14:textFill>
        </w:rPr>
      </w:pPr>
    </w:p>
    <w:p w14:paraId="4AE65277">
      <w:pPr>
        <w:spacing w:line="360" w:lineRule="auto"/>
        <w:jc w:val="center"/>
        <w:rPr>
          <w:rFonts w:ascii="楷体" w:hAnsi="楷体" w:eastAsia="楷体" w:cs="楷体"/>
          <w:color w:val="000000" w:themeColor="text1"/>
          <w:spacing w:val="40"/>
          <w:w w:val="90"/>
          <w:sz w:val="96"/>
          <w:szCs w:val="96"/>
          <w:lang w:bidi="th-TH"/>
          <w14:textFill>
            <w14:solidFill>
              <w14:schemeClr w14:val="tx1"/>
            </w14:solidFill>
          </w14:textFill>
        </w:rPr>
      </w:pPr>
      <w:r>
        <w:rPr>
          <w:rFonts w:hint="eastAsia" w:ascii="楷体" w:hAnsi="楷体" w:eastAsia="楷体" w:cs="楷体"/>
          <w:color w:val="000000" w:themeColor="text1"/>
          <w:spacing w:val="40"/>
          <w:w w:val="90"/>
          <w:sz w:val="96"/>
          <w:szCs w:val="96"/>
          <w:lang w:bidi="th-TH"/>
          <w14:textFill>
            <w14:solidFill>
              <w14:schemeClr w14:val="tx1"/>
            </w14:solidFill>
          </w14:textFill>
        </w:rPr>
        <w:t>投 标 文 件</w:t>
      </w:r>
    </w:p>
    <w:p w14:paraId="1BBFCDB5">
      <w:pPr>
        <w:autoSpaceDE w:val="0"/>
        <w:autoSpaceDN w:val="0"/>
        <w:adjustRightInd w:val="0"/>
        <w:spacing w:line="360" w:lineRule="auto"/>
        <w:jc w:val="center"/>
        <w:rPr>
          <w:rFonts w:ascii="楷体" w:hAnsi="楷体" w:eastAsia="楷体" w:cs="楷体"/>
          <w:b/>
          <w:color w:val="000000" w:themeColor="text1"/>
          <w:sz w:val="44"/>
          <w:szCs w:val="44"/>
          <w14:textFill>
            <w14:solidFill>
              <w14:schemeClr w14:val="tx1"/>
            </w14:solidFill>
          </w14:textFill>
        </w:rPr>
      </w:pPr>
      <w:r>
        <w:rPr>
          <w:rFonts w:hint="eastAsia" w:ascii="楷体" w:hAnsi="楷体" w:eastAsia="楷体" w:cs="楷体"/>
          <w:b/>
          <w:color w:val="000000" w:themeColor="text1"/>
          <w:sz w:val="44"/>
          <w:szCs w:val="44"/>
          <w14:textFill>
            <w14:solidFill>
              <w14:schemeClr w14:val="tx1"/>
            </w14:solidFill>
          </w14:textFill>
        </w:rPr>
        <w:t>（报价响应文件）</w:t>
      </w:r>
    </w:p>
    <w:p w14:paraId="1D31587D">
      <w:pPr>
        <w:autoSpaceDE w:val="0"/>
        <w:autoSpaceDN w:val="0"/>
        <w:adjustRightInd w:val="0"/>
        <w:spacing w:line="360" w:lineRule="auto"/>
        <w:jc w:val="center"/>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 xml:space="preserve">采购编号：330327265050010000029-CNDL2026058     </w:t>
      </w:r>
    </w:p>
    <w:p w14:paraId="71BF13C5">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0097EAC7">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44AE1E35">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289C0CD9">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4AA09FC6">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2000109D">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投标人名称（盖公章或电子签章）：</w:t>
      </w:r>
      <w:r>
        <w:rPr>
          <w:rFonts w:hint="eastAsia" w:ascii="楷体" w:hAnsi="楷体" w:eastAsia="楷体" w:cs="楷体"/>
          <w:b/>
          <w:color w:val="000000" w:themeColor="text1"/>
          <w:sz w:val="32"/>
          <w:szCs w:val="32"/>
          <w:u w:val="single"/>
          <w14:textFill>
            <w14:solidFill>
              <w14:schemeClr w14:val="tx1"/>
            </w14:solidFill>
          </w14:textFill>
        </w:rPr>
        <w:t xml:space="preserve">                   </w:t>
      </w:r>
    </w:p>
    <w:p w14:paraId="0729507F">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6D3A2498">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322795BA">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0E3E4A59">
      <w:pPr>
        <w:autoSpaceDE w:val="0"/>
        <w:autoSpaceDN w:val="0"/>
        <w:adjustRightInd w:val="0"/>
        <w:spacing w:line="360" w:lineRule="auto"/>
        <w:jc w:val="center"/>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时间：    年   月   日</w:t>
      </w:r>
    </w:p>
    <w:p w14:paraId="177F3634">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br w:type="page"/>
      </w:r>
      <w:r>
        <w:rPr>
          <w:rFonts w:hint="eastAsia" w:ascii="楷体" w:hAnsi="楷体" w:eastAsia="楷体" w:cs="楷体"/>
          <w:bCs/>
          <w:color w:val="000000" w:themeColor="text1"/>
          <w:sz w:val="24"/>
          <w14:textFill>
            <w14:solidFill>
              <w14:schemeClr w14:val="tx1"/>
            </w14:solidFill>
          </w14:textFill>
        </w:rPr>
        <w:t>1.2资格响应文件/商务技术响应文件封面格式</w:t>
      </w:r>
    </w:p>
    <w:p w14:paraId="0B22A34A">
      <w:pPr>
        <w:autoSpaceDE w:val="0"/>
        <w:autoSpaceDN w:val="0"/>
        <w:adjustRightInd w:val="0"/>
        <w:spacing w:line="360" w:lineRule="auto"/>
        <w:rPr>
          <w:rFonts w:ascii="楷体" w:hAnsi="楷体" w:eastAsia="楷体" w:cs="楷体"/>
          <w:b/>
          <w:bCs/>
          <w:color w:val="000000" w:themeColor="text1"/>
          <w14:textFill>
            <w14:solidFill>
              <w14:schemeClr w14:val="tx1"/>
            </w14:solidFill>
          </w14:textFill>
        </w:rPr>
      </w:pPr>
    </w:p>
    <w:p w14:paraId="73C4B333">
      <w:pPr>
        <w:autoSpaceDE w:val="0"/>
        <w:autoSpaceDN w:val="0"/>
        <w:adjustRightInd w:val="0"/>
        <w:spacing w:line="360" w:lineRule="auto"/>
        <w:jc w:val="right"/>
        <w:rPr>
          <w:rFonts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 xml:space="preserve">               </w:t>
      </w:r>
    </w:p>
    <w:p w14:paraId="04E8EF48">
      <w:pPr>
        <w:autoSpaceDE w:val="0"/>
        <w:autoSpaceDN w:val="0"/>
        <w:adjustRightInd w:val="0"/>
        <w:spacing w:line="360" w:lineRule="auto"/>
        <w:jc w:val="center"/>
        <w:rPr>
          <w:rFonts w:ascii="楷体" w:hAnsi="楷体" w:eastAsia="楷体" w:cs="楷体"/>
          <w:b/>
          <w:color w:val="000000" w:themeColor="text1"/>
          <w:sz w:val="32"/>
          <w:szCs w:val="32"/>
          <w14:textFill>
            <w14:solidFill>
              <w14:schemeClr w14:val="tx1"/>
            </w14:solidFill>
          </w14:textFill>
        </w:rPr>
      </w:pPr>
    </w:p>
    <w:p w14:paraId="5F71ED1B">
      <w:pPr>
        <w:autoSpaceDE w:val="0"/>
        <w:autoSpaceDN w:val="0"/>
        <w:adjustRightInd w:val="0"/>
        <w:spacing w:line="360" w:lineRule="auto"/>
        <w:jc w:val="center"/>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u w:val="single"/>
          <w14:textFill>
            <w14:solidFill>
              <w14:schemeClr w14:val="tx1"/>
            </w14:solidFill>
          </w14:textFill>
        </w:rPr>
        <w:t xml:space="preserve">       项目名称       </w:t>
      </w:r>
    </w:p>
    <w:p w14:paraId="1D466DAD">
      <w:pPr>
        <w:autoSpaceDE w:val="0"/>
        <w:autoSpaceDN w:val="0"/>
        <w:adjustRightInd w:val="0"/>
        <w:spacing w:line="360" w:lineRule="auto"/>
        <w:jc w:val="center"/>
        <w:rPr>
          <w:rFonts w:ascii="楷体" w:hAnsi="楷体" w:eastAsia="楷体" w:cs="楷体"/>
          <w:color w:val="000000" w:themeColor="text1"/>
          <w:sz w:val="32"/>
          <w:szCs w:val="32"/>
          <w:u w:val="single"/>
          <w14:textFill>
            <w14:solidFill>
              <w14:schemeClr w14:val="tx1"/>
            </w14:solidFill>
          </w14:textFill>
        </w:rPr>
      </w:pPr>
    </w:p>
    <w:p w14:paraId="16E03936">
      <w:pPr>
        <w:autoSpaceDE w:val="0"/>
        <w:autoSpaceDN w:val="0"/>
        <w:adjustRightInd w:val="0"/>
        <w:spacing w:line="360" w:lineRule="auto"/>
        <w:jc w:val="center"/>
        <w:rPr>
          <w:rFonts w:ascii="楷体" w:hAnsi="楷体" w:eastAsia="楷体" w:cs="楷体"/>
          <w:b/>
          <w:color w:val="000000" w:themeColor="text1"/>
          <w:sz w:val="32"/>
          <w:szCs w:val="32"/>
          <w14:textFill>
            <w14:solidFill>
              <w14:schemeClr w14:val="tx1"/>
            </w14:solidFill>
          </w14:textFill>
        </w:rPr>
      </w:pPr>
    </w:p>
    <w:p w14:paraId="73A72659">
      <w:pPr>
        <w:spacing w:line="360" w:lineRule="auto"/>
        <w:jc w:val="center"/>
        <w:rPr>
          <w:rFonts w:ascii="楷体" w:hAnsi="楷体" w:eastAsia="楷体" w:cs="楷体"/>
          <w:color w:val="000000" w:themeColor="text1"/>
          <w:spacing w:val="40"/>
          <w:w w:val="90"/>
          <w:sz w:val="96"/>
          <w:szCs w:val="96"/>
          <w:lang w:bidi="th-TH"/>
          <w14:textFill>
            <w14:solidFill>
              <w14:schemeClr w14:val="tx1"/>
            </w14:solidFill>
          </w14:textFill>
        </w:rPr>
      </w:pPr>
      <w:r>
        <w:rPr>
          <w:rFonts w:hint="eastAsia" w:ascii="楷体" w:hAnsi="楷体" w:eastAsia="楷体" w:cs="楷体"/>
          <w:color w:val="000000" w:themeColor="text1"/>
          <w:spacing w:val="40"/>
          <w:w w:val="90"/>
          <w:sz w:val="96"/>
          <w:szCs w:val="96"/>
          <w:lang w:bidi="th-TH"/>
          <w14:textFill>
            <w14:solidFill>
              <w14:schemeClr w14:val="tx1"/>
            </w14:solidFill>
          </w14:textFill>
        </w:rPr>
        <w:t>投 标 文 件</w:t>
      </w:r>
    </w:p>
    <w:p w14:paraId="55B6679E">
      <w:pPr>
        <w:autoSpaceDE w:val="0"/>
        <w:autoSpaceDN w:val="0"/>
        <w:adjustRightInd w:val="0"/>
        <w:spacing w:line="360" w:lineRule="auto"/>
        <w:jc w:val="center"/>
        <w:rPr>
          <w:rFonts w:ascii="楷体" w:hAnsi="楷体" w:eastAsia="楷体" w:cs="楷体"/>
          <w:b/>
          <w:color w:val="000000" w:themeColor="text1"/>
          <w:sz w:val="44"/>
          <w:szCs w:val="44"/>
          <w14:textFill>
            <w14:solidFill>
              <w14:schemeClr w14:val="tx1"/>
            </w14:solidFill>
          </w14:textFill>
        </w:rPr>
      </w:pPr>
      <w:r>
        <w:rPr>
          <w:rFonts w:hint="eastAsia" w:ascii="楷体" w:hAnsi="楷体" w:eastAsia="楷体" w:cs="楷体"/>
          <w:b/>
          <w:color w:val="000000" w:themeColor="text1"/>
          <w:sz w:val="44"/>
          <w:szCs w:val="44"/>
          <w14:textFill>
            <w14:solidFill>
              <w14:schemeClr w14:val="tx1"/>
            </w14:solidFill>
          </w14:textFill>
        </w:rPr>
        <w:t>（资格文件/商务技术文件）</w:t>
      </w:r>
    </w:p>
    <w:p w14:paraId="5BB1F744">
      <w:pPr>
        <w:autoSpaceDE w:val="0"/>
        <w:autoSpaceDN w:val="0"/>
        <w:adjustRightInd w:val="0"/>
        <w:spacing w:line="360" w:lineRule="auto"/>
        <w:jc w:val="center"/>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 xml:space="preserve">采购编号：330327265050010000029-CNDL2026058     </w:t>
      </w:r>
    </w:p>
    <w:p w14:paraId="6577136B">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67AB7FAC">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2FA5C44E">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77384A5C">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0D737DD6">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4D819D54">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投标人名称（盖公章或电子签章）：</w:t>
      </w:r>
      <w:r>
        <w:rPr>
          <w:rFonts w:hint="eastAsia" w:ascii="楷体" w:hAnsi="楷体" w:eastAsia="楷体" w:cs="楷体"/>
          <w:b/>
          <w:color w:val="000000" w:themeColor="text1"/>
          <w:sz w:val="32"/>
          <w:szCs w:val="32"/>
          <w:u w:val="single"/>
          <w14:textFill>
            <w14:solidFill>
              <w14:schemeClr w14:val="tx1"/>
            </w14:solidFill>
          </w14:textFill>
        </w:rPr>
        <w:t xml:space="preserve">                             </w:t>
      </w:r>
    </w:p>
    <w:p w14:paraId="4C10AAB7">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21BE7057">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6C98AA31">
      <w:pPr>
        <w:autoSpaceDE w:val="0"/>
        <w:autoSpaceDN w:val="0"/>
        <w:adjustRightInd w:val="0"/>
        <w:spacing w:line="360" w:lineRule="auto"/>
        <w:rPr>
          <w:rFonts w:ascii="楷体" w:hAnsi="楷体" w:eastAsia="楷体" w:cs="楷体"/>
          <w:b/>
          <w:color w:val="000000" w:themeColor="text1"/>
          <w:sz w:val="32"/>
          <w:szCs w:val="32"/>
          <w14:textFill>
            <w14:solidFill>
              <w14:schemeClr w14:val="tx1"/>
            </w14:solidFill>
          </w14:textFill>
        </w:rPr>
      </w:pPr>
    </w:p>
    <w:p w14:paraId="2E28CD1A">
      <w:pPr>
        <w:autoSpaceDE w:val="0"/>
        <w:autoSpaceDN w:val="0"/>
        <w:adjustRightInd w:val="0"/>
        <w:spacing w:line="360" w:lineRule="auto"/>
        <w:jc w:val="center"/>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时间：    年   月   日</w:t>
      </w:r>
    </w:p>
    <w:p w14:paraId="4850DDA7">
      <w:pPr>
        <w:autoSpaceDE w:val="0"/>
        <w:autoSpaceDN w:val="0"/>
        <w:adjustRightInd w:val="0"/>
        <w:spacing w:line="360" w:lineRule="auto"/>
        <w:rPr>
          <w:rFonts w:ascii="楷体" w:hAnsi="楷体" w:eastAsia="楷体" w:cs="楷体"/>
          <w:color w:val="000000" w:themeColor="text1"/>
          <w14:textFill>
            <w14:solidFill>
              <w14:schemeClr w14:val="tx1"/>
            </w14:solidFill>
          </w14:textFill>
        </w:rPr>
      </w:pPr>
    </w:p>
    <w:p w14:paraId="764A180E">
      <w:pPr>
        <w:spacing w:line="360" w:lineRule="auto"/>
        <w:rPr>
          <w:rFonts w:ascii="楷体" w:hAnsi="楷体" w:eastAsia="楷体" w:cs="楷体"/>
          <w:color w:val="000000" w:themeColor="text1"/>
          <w14:textFill>
            <w14:solidFill>
              <w14:schemeClr w14:val="tx1"/>
            </w14:solidFill>
          </w14:textFill>
        </w:rPr>
      </w:pPr>
      <w:r>
        <w:rPr>
          <w:rFonts w:hint="eastAsia" w:ascii="楷体" w:hAnsi="楷体" w:eastAsia="楷体" w:cs="楷体"/>
          <w:snapToGrid w:val="0"/>
          <w:color w:val="000000" w:themeColor="text1"/>
          <w:kern w:val="0"/>
          <w14:textFill>
            <w14:solidFill>
              <w14:schemeClr w14:val="tx1"/>
            </w14:solidFill>
          </w14:textFill>
        </w:rPr>
        <w:br w:type="page"/>
      </w:r>
    </w:p>
    <w:p w14:paraId="5274F367">
      <w:pPr>
        <w:autoSpaceDE w:val="0"/>
        <w:autoSpaceDN w:val="0"/>
        <w:adjustRightInd w:val="0"/>
        <w:spacing w:line="360" w:lineRule="auto"/>
        <w:outlineLvl w:val="1"/>
        <w:rPr>
          <w:rFonts w:ascii="楷体" w:hAnsi="楷体" w:eastAsia="楷体" w:cs="楷体"/>
          <w:b/>
          <w:bCs/>
          <w:color w:val="000000" w:themeColor="text1"/>
          <w:sz w:val="24"/>
          <w14:textFill>
            <w14:solidFill>
              <w14:schemeClr w14:val="tx1"/>
            </w14:solidFill>
          </w14:textFill>
        </w:rPr>
      </w:pPr>
      <w:bookmarkStart w:id="441" w:name="_Toc15653"/>
      <w:bookmarkStart w:id="442" w:name="_Toc31523"/>
      <w:bookmarkStart w:id="443" w:name="_Toc24567"/>
      <w:bookmarkStart w:id="444" w:name="_Toc225867134"/>
      <w:bookmarkStart w:id="445" w:name="_Toc17007"/>
      <w:bookmarkStart w:id="446" w:name="_Toc225868336"/>
      <w:bookmarkStart w:id="447" w:name="_Toc32198"/>
      <w:bookmarkStart w:id="448" w:name="_Toc20545"/>
      <w:bookmarkStart w:id="449" w:name="_Toc20569"/>
      <w:bookmarkStart w:id="450" w:name="_Toc14264"/>
      <w:bookmarkStart w:id="451" w:name="_Toc9425"/>
      <w:bookmarkStart w:id="452" w:name="_Toc18146"/>
      <w:bookmarkStart w:id="453" w:name="_Toc22621"/>
      <w:bookmarkStart w:id="454" w:name="_Toc20723"/>
      <w:bookmarkStart w:id="455" w:name="_Toc15349"/>
      <w:bookmarkStart w:id="456" w:name="_Toc21992"/>
      <w:bookmarkStart w:id="457" w:name="_Toc27770"/>
      <w:bookmarkStart w:id="458" w:name="_Toc17525"/>
      <w:r>
        <w:rPr>
          <w:rFonts w:hint="eastAsia" w:ascii="楷体" w:hAnsi="楷体" w:eastAsia="楷体" w:cs="楷体"/>
          <w:b/>
          <w:bCs/>
          <w:color w:val="000000" w:themeColor="text1"/>
          <w:sz w:val="24"/>
          <w14:textFill>
            <w14:solidFill>
              <w14:schemeClr w14:val="tx1"/>
            </w14:solidFill>
          </w14:textFill>
        </w:rPr>
        <w:t>二、</w:t>
      </w:r>
      <w:bookmarkEnd w:id="441"/>
      <w:bookmarkEnd w:id="442"/>
      <w:r>
        <w:rPr>
          <w:rFonts w:hint="eastAsia" w:ascii="楷体" w:hAnsi="楷体" w:eastAsia="楷体" w:cs="楷体"/>
          <w:b/>
          <w:bCs/>
          <w:color w:val="000000" w:themeColor="text1"/>
          <w:sz w:val="24"/>
          <w14:textFill>
            <w14:solidFill>
              <w14:schemeClr w14:val="tx1"/>
            </w14:solidFill>
          </w14:textFill>
        </w:rPr>
        <w:t>资格响应文件</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4AA80EAF">
      <w:pPr>
        <w:autoSpaceDE w:val="0"/>
        <w:autoSpaceDN w:val="0"/>
        <w:adjustRightInd w:val="0"/>
        <w:snapToGrid w:val="0"/>
        <w:spacing w:line="360" w:lineRule="auto"/>
        <w:ind w:right="42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2.1资格审查需要的资料</w:t>
      </w:r>
    </w:p>
    <w:tbl>
      <w:tblPr>
        <w:tblStyle w:val="46"/>
        <w:tblW w:w="879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70"/>
        <w:gridCol w:w="4003"/>
        <w:gridCol w:w="1474"/>
      </w:tblGrid>
      <w:tr w14:paraId="3A04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tcBorders>
              <w:top w:val="single" w:color="auto" w:sz="12" w:space="0"/>
              <w:left w:val="single" w:color="auto" w:sz="12" w:space="0"/>
            </w:tcBorders>
            <w:vAlign w:val="center"/>
          </w:tcPr>
          <w:p w14:paraId="0C52ABD7">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序号</w:t>
            </w:r>
          </w:p>
        </w:tc>
        <w:tc>
          <w:tcPr>
            <w:tcW w:w="2670" w:type="dxa"/>
            <w:tcBorders>
              <w:top w:val="single" w:color="auto" w:sz="12" w:space="0"/>
            </w:tcBorders>
            <w:vAlign w:val="center"/>
          </w:tcPr>
          <w:p w14:paraId="5225E3AB">
            <w:pPr>
              <w:spacing w:line="360" w:lineRule="auto"/>
              <w:ind w:left="359" w:leftChars="114" w:hanging="120" w:hangingChars="50"/>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评审因素</w:t>
            </w:r>
          </w:p>
        </w:tc>
        <w:tc>
          <w:tcPr>
            <w:tcW w:w="4003" w:type="dxa"/>
            <w:tcBorders>
              <w:top w:val="single" w:color="auto" w:sz="12" w:space="0"/>
            </w:tcBorders>
            <w:vAlign w:val="center"/>
          </w:tcPr>
          <w:p w14:paraId="70DB06E5">
            <w:pPr>
              <w:spacing w:line="360" w:lineRule="auto"/>
              <w:ind w:left="2"/>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相关证明文件</w:t>
            </w:r>
          </w:p>
        </w:tc>
        <w:tc>
          <w:tcPr>
            <w:tcW w:w="1474" w:type="dxa"/>
            <w:tcBorders>
              <w:top w:val="single" w:color="auto" w:sz="12" w:space="0"/>
              <w:right w:val="single" w:color="auto" w:sz="12" w:space="0"/>
            </w:tcBorders>
            <w:vAlign w:val="center"/>
          </w:tcPr>
          <w:p w14:paraId="121C9C23">
            <w:pPr>
              <w:spacing w:line="360" w:lineRule="auto"/>
              <w:ind w:left="2"/>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申请人达到程度</w:t>
            </w:r>
          </w:p>
        </w:tc>
      </w:tr>
      <w:tr w14:paraId="36E6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648" w:type="dxa"/>
            <w:tcBorders>
              <w:left w:val="single" w:color="auto" w:sz="12" w:space="0"/>
              <w:bottom w:val="single" w:color="auto" w:sz="12" w:space="0"/>
            </w:tcBorders>
            <w:vAlign w:val="center"/>
          </w:tcPr>
          <w:p w14:paraId="55A9F176">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w:t>
            </w:r>
          </w:p>
        </w:tc>
        <w:tc>
          <w:tcPr>
            <w:tcW w:w="2670" w:type="dxa"/>
            <w:tcBorders>
              <w:bottom w:val="single" w:color="auto" w:sz="12" w:space="0"/>
            </w:tcBorders>
            <w:vAlign w:val="center"/>
          </w:tcPr>
          <w:p w14:paraId="48D43A3A">
            <w:pPr>
              <w:widowControl/>
              <w:adjustRightInd w:val="0"/>
              <w:snapToGrid w:val="0"/>
              <w:spacing w:line="360" w:lineRule="auto"/>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采购公告第二条要求</w:t>
            </w:r>
          </w:p>
        </w:tc>
        <w:tc>
          <w:tcPr>
            <w:tcW w:w="4003" w:type="dxa"/>
            <w:tcBorders>
              <w:bottom w:val="single" w:color="auto" w:sz="12" w:space="0"/>
            </w:tcBorders>
            <w:vAlign w:val="center"/>
          </w:tcPr>
          <w:p w14:paraId="3464ACC0">
            <w:pPr>
              <w:tabs>
                <w:tab w:val="left" w:pos="720"/>
              </w:tabs>
              <w:adjustRightInd w:val="0"/>
              <w:snapToGrid w:val="0"/>
              <w:spacing w:line="360" w:lineRule="auto"/>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采购文件投标须知9.1条规定的相关资料</w:t>
            </w:r>
          </w:p>
        </w:tc>
        <w:tc>
          <w:tcPr>
            <w:tcW w:w="1474" w:type="dxa"/>
            <w:tcBorders>
              <w:bottom w:val="single" w:color="auto" w:sz="12" w:space="0"/>
              <w:right w:val="single" w:color="auto" w:sz="12" w:space="0"/>
            </w:tcBorders>
            <w:vAlign w:val="center"/>
          </w:tcPr>
          <w:p w14:paraId="03309D8A">
            <w:pPr>
              <w:adjustRightInd w:val="0"/>
              <w:snapToGrid w:val="0"/>
              <w:spacing w:line="360" w:lineRule="auto"/>
              <w:jc w:val="left"/>
              <w:rPr>
                <w:rFonts w:ascii="楷体" w:hAnsi="楷体" w:eastAsia="楷体" w:cs="楷体"/>
                <w:color w:val="000000" w:themeColor="text1"/>
                <w:sz w:val="24"/>
                <w14:textFill>
                  <w14:solidFill>
                    <w14:schemeClr w14:val="tx1"/>
                  </w14:solidFill>
                </w14:textFill>
              </w:rPr>
            </w:pPr>
          </w:p>
        </w:tc>
      </w:tr>
    </w:tbl>
    <w:p w14:paraId="49639338">
      <w:pPr>
        <w:tabs>
          <w:tab w:val="left" w:pos="735"/>
        </w:tabs>
        <w:adjustRightInd w:val="0"/>
        <w:snapToGrid w:val="0"/>
        <w:spacing w:line="360" w:lineRule="auto"/>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注：证明材料附后。</w:t>
      </w:r>
    </w:p>
    <w:p w14:paraId="408C34C3">
      <w:pPr>
        <w:pStyle w:val="42"/>
        <w:tabs>
          <w:tab w:val="left" w:pos="630"/>
          <w:tab w:val="left" w:pos="840"/>
          <w:tab w:val="left" w:pos="1050"/>
        </w:tabs>
        <w:adjustRightInd w:val="0"/>
        <w:snapToGrid w:val="0"/>
        <w:spacing w:before="0" w:beforeAutospacing="0" w:after="0" w:afterAutospacing="0" w:line="360" w:lineRule="auto"/>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br w:type="page"/>
      </w:r>
      <w:r>
        <w:rPr>
          <w:rFonts w:hint="eastAsia" w:ascii="楷体" w:hAnsi="楷体" w:eastAsia="楷体" w:cs="楷体"/>
          <w:b/>
          <w:color w:val="000000" w:themeColor="text1"/>
          <w:sz w:val="24"/>
          <w:szCs w:val="24"/>
          <w14:textFill>
            <w14:solidFill>
              <w14:schemeClr w14:val="tx1"/>
            </w14:solidFill>
          </w14:textFill>
        </w:rPr>
        <w:t>2.2基本资格条件相关证明材料</w:t>
      </w:r>
    </w:p>
    <w:p w14:paraId="4D902974">
      <w:pPr>
        <w:pStyle w:val="42"/>
        <w:numPr>
          <w:ilvl w:val="0"/>
          <w:numId w:val="22"/>
        </w:numPr>
        <w:tabs>
          <w:tab w:val="left" w:pos="630"/>
          <w:tab w:val="left" w:pos="840"/>
          <w:tab w:val="left" w:pos="1050"/>
        </w:tabs>
        <w:adjustRightInd w:val="0"/>
        <w:snapToGrid w:val="0"/>
        <w:spacing w:before="0" w:beforeAutospacing="0" w:after="0" w:afterAutospacing="0" w:line="360" w:lineRule="auto"/>
        <w:ind w:hanging="5"/>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具有独立承担民事责任能力的证明材料：（可以b项代替）</w:t>
      </w:r>
    </w:p>
    <w:p w14:paraId="06D9F908">
      <w:pPr>
        <w:pStyle w:val="42"/>
        <w:tabs>
          <w:tab w:val="left" w:pos="630"/>
          <w:tab w:val="left" w:pos="840"/>
          <w:tab w:val="left" w:pos="1050"/>
        </w:tabs>
        <w:adjustRightInd w:val="0"/>
        <w:snapToGrid w:val="0"/>
        <w:spacing w:before="0" w:beforeAutospacing="0" w:after="0" w:afterAutospacing="0" w:line="360" w:lineRule="auto"/>
        <w:ind w:left="420"/>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投标人须在投标文件中出具符合以下情况的证明材料复印件（五选一）：</w:t>
      </w:r>
    </w:p>
    <w:p w14:paraId="4B8F3BFB">
      <w:pPr>
        <w:pStyle w:val="42"/>
        <w:numPr>
          <w:ilvl w:val="0"/>
          <w:numId w:val="23"/>
        </w:numPr>
        <w:tabs>
          <w:tab w:val="left" w:pos="312"/>
        </w:tabs>
        <w:adjustRightInd w:val="0"/>
        <w:snapToGrid w:val="0"/>
        <w:spacing w:before="0" w:beforeAutospacing="0" w:after="0" w:afterAutospacing="0" w:line="360" w:lineRule="auto"/>
        <w:ind w:firstLine="482" w:firstLineChars="200"/>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如投标人是企业（包括合伙企业），提供在工商部门注册的有效“企业法人营业执照”或“营业执照”；</w:t>
      </w:r>
    </w:p>
    <w:p w14:paraId="65540351">
      <w:pPr>
        <w:pStyle w:val="42"/>
        <w:numPr>
          <w:ilvl w:val="0"/>
          <w:numId w:val="23"/>
        </w:numPr>
        <w:tabs>
          <w:tab w:val="left" w:pos="312"/>
        </w:tabs>
        <w:adjustRightInd w:val="0"/>
        <w:snapToGrid w:val="0"/>
        <w:spacing w:before="0" w:beforeAutospacing="0" w:after="0" w:afterAutospacing="0" w:line="360" w:lineRule="auto"/>
        <w:ind w:firstLine="482" w:firstLineChars="200"/>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如投标人是事业单位，提供有效的“事业单位法人证书”；</w:t>
      </w:r>
    </w:p>
    <w:p w14:paraId="0DE46359">
      <w:pPr>
        <w:pStyle w:val="42"/>
        <w:numPr>
          <w:ilvl w:val="0"/>
          <w:numId w:val="23"/>
        </w:numPr>
        <w:tabs>
          <w:tab w:val="left" w:pos="312"/>
        </w:tabs>
        <w:adjustRightInd w:val="0"/>
        <w:snapToGrid w:val="0"/>
        <w:spacing w:before="0" w:beforeAutospacing="0" w:after="0" w:afterAutospacing="0" w:line="360" w:lineRule="auto"/>
        <w:ind w:firstLine="482" w:firstLineChars="200"/>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如投标人是非企业专业服务机构的，提供执业许可证等证明文件；</w:t>
      </w:r>
    </w:p>
    <w:p w14:paraId="076932EE">
      <w:pPr>
        <w:pStyle w:val="42"/>
        <w:numPr>
          <w:ilvl w:val="0"/>
          <w:numId w:val="23"/>
        </w:numPr>
        <w:tabs>
          <w:tab w:val="left" w:pos="312"/>
        </w:tabs>
        <w:adjustRightInd w:val="0"/>
        <w:snapToGrid w:val="0"/>
        <w:spacing w:before="0" w:beforeAutospacing="0" w:after="0" w:afterAutospacing="0" w:line="360" w:lineRule="auto"/>
        <w:ind w:firstLine="482" w:firstLineChars="200"/>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如投标人是个体工商户，提供有效的“个体工商户营业执照”；</w:t>
      </w:r>
    </w:p>
    <w:p w14:paraId="44BC51F5">
      <w:pPr>
        <w:pStyle w:val="42"/>
        <w:numPr>
          <w:ilvl w:val="0"/>
          <w:numId w:val="23"/>
        </w:numPr>
        <w:tabs>
          <w:tab w:val="left" w:pos="312"/>
        </w:tabs>
        <w:adjustRightInd w:val="0"/>
        <w:snapToGrid w:val="0"/>
        <w:spacing w:before="0" w:beforeAutospacing="0" w:after="0" w:afterAutospacing="0" w:line="360" w:lineRule="auto"/>
        <w:ind w:firstLine="482" w:firstLineChars="200"/>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如投标人是自然人，提供有效的自然人身份证明（居民身份证正反面或公安机关出具的临时居民身份证正反面或港澳台胞证或护照）。</w:t>
      </w:r>
    </w:p>
    <w:p w14:paraId="42E3C14F">
      <w:pPr>
        <w:pStyle w:val="42"/>
        <w:tabs>
          <w:tab w:val="left" w:pos="312"/>
        </w:tabs>
        <w:adjustRightInd w:val="0"/>
        <w:snapToGrid w:val="0"/>
        <w:spacing w:before="0" w:beforeAutospacing="0" w:after="0" w:afterAutospacing="0" w:line="360" w:lineRule="auto"/>
        <w:ind w:left="420" w:leftChars="200"/>
        <w:rPr>
          <w:rFonts w:ascii="楷体" w:hAnsi="楷体" w:eastAsia="楷体" w:cs="楷体"/>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br w:type="page"/>
      </w:r>
    </w:p>
    <w:p w14:paraId="7DFBC1DF">
      <w:pPr>
        <w:pStyle w:val="42"/>
        <w:numPr>
          <w:ilvl w:val="0"/>
          <w:numId w:val="22"/>
        </w:numPr>
        <w:tabs>
          <w:tab w:val="left" w:pos="630"/>
          <w:tab w:val="left" w:pos="840"/>
          <w:tab w:val="left" w:pos="1050"/>
        </w:tabs>
        <w:adjustRightInd w:val="0"/>
        <w:snapToGrid w:val="0"/>
        <w:spacing w:before="0" w:beforeAutospacing="0" w:after="0" w:afterAutospacing="0" w:line="360" w:lineRule="auto"/>
        <w:ind w:hanging="5"/>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符合参与政府采购活动资格条件的承诺函：</w:t>
      </w:r>
    </w:p>
    <w:p w14:paraId="4B4BD432">
      <w:pPr>
        <w:pStyle w:val="42"/>
        <w:adjustRightInd w:val="0"/>
        <w:snapToGrid w:val="0"/>
        <w:spacing w:before="0" w:beforeAutospacing="0" w:after="0" w:afterAutospacing="0" w:line="360" w:lineRule="auto"/>
        <w:ind w:left="420" w:leftChars="200"/>
        <w:rPr>
          <w:rFonts w:ascii="楷体" w:hAnsi="楷体" w:eastAsia="楷体" w:cs="楷体"/>
          <w:b/>
          <w:bCs/>
          <w:color w:val="000000" w:themeColor="text1"/>
          <w:sz w:val="24"/>
          <w:szCs w:val="24"/>
          <w14:textFill>
            <w14:solidFill>
              <w14:schemeClr w14:val="tx1"/>
            </w14:solidFill>
          </w14:textFill>
        </w:rPr>
      </w:pPr>
    </w:p>
    <w:p w14:paraId="3ECD50EA">
      <w:pPr>
        <w:pStyle w:val="42"/>
        <w:adjustRightInd w:val="0"/>
        <w:snapToGrid w:val="0"/>
        <w:spacing w:before="0" w:beforeAutospacing="0" w:after="0" w:afterAutospacing="0" w:line="360" w:lineRule="auto"/>
        <w:jc w:val="center"/>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承诺函</w:t>
      </w:r>
    </w:p>
    <w:p w14:paraId="749A6CAD">
      <w:pPr>
        <w:spacing w:line="360" w:lineRule="auto"/>
        <w:rPr>
          <w:rFonts w:ascii="楷体" w:hAnsi="楷体" w:eastAsia="楷体" w:cs="楷体"/>
          <w:color w:val="000000" w:themeColor="text1"/>
          <w:sz w:val="24"/>
          <w:u w:val="single"/>
          <w14:textFill>
            <w14:solidFill>
              <w14:schemeClr w14:val="tx1"/>
            </w14:solidFill>
          </w14:textFill>
        </w:rPr>
      </w:pPr>
    </w:p>
    <w:p w14:paraId="75790EF5">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u w:val="single"/>
          <w14:textFill>
            <w14:solidFill>
              <w14:schemeClr w14:val="tx1"/>
            </w14:solidFill>
          </w14:textFill>
        </w:rPr>
        <w:t>（采购人）：</w:t>
      </w:r>
    </w:p>
    <w:p w14:paraId="7BEB6D22">
      <w:pPr>
        <w:pStyle w:val="42"/>
        <w:spacing w:before="0" w:beforeAutospacing="0" w:after="0" w:afterAutospacing="0" w:line="360" w:lineRule="auto"/>
        <w:ind w:firstLine="964" w:firstLineChars="400"/>
        <w:rPr>
          <w:rFonts w:ascii="楷体" w:hAnsi="楷体" w:eastAsia="楷体" w:cs="楷体"/>
          <w:b/>
          <w:bCs/>
          <w:color w:val="000000" w:themeColor="text1"/>
          <w:sz w:val="24"/>
          <w:szCs w:val="24"/>
          <w14:textFill>
            <w14:solidFill>
              <w14:schemeClr w14:val="tx1"/>
            </w14:solidFill>
          </w14:textFill>
        </w:rPr>
      </w:pPr>
    </w:p>
    <w:p w14:paraId="2E42491D">
      <w:pPr>
        <w:pStyle w:val="42"/>
        <w:spacing w:before="0" w:beforeAutospacing="0" w:after="0" w:afterAutospacing="0" w:line="360" w:lineRule="auto"/>
        <w:ind w:firstLine="482" w:firstLineChars="200"/>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我方</w:t>
      </w:r>
      <w:r>
        <w:rPr>
          <w:rFonts w:hint="eastAsia" w:ascii="楷体" w:hAnsi="楷体" w:eastAsia="楷体" w:cs="楷体"/>
          <w:b/>
          <w:bCs/>
          <w:color w:val="000000" w:themeColor="text1"/>
          <w:sz w:val="24"/>
          <w:szCs w:val="24"/>
          <w:u w:val="single"/>
          <w14:textFill>
            <w14:solidFill>
              <w14:schemeClr w14:val="tx1"/>
            </w14:solidFill>
          </w14:textFill>
        </w:rPr>
        <w:t xml:space="preserve">    （投标人全称）  </w:t>
      </w:r>
      <w:r>
        <w:rPr>
          <w:rFonts w:hint="eastAsia" w:ascii="楷体" w:hAnsi="楷体" w:eastAsia="楷体" w:cs="楷体"/>
          <w:b/>
          <w:bCs/>
          <w:color w:val="000000" w:themeColor="text1"/>
          <w:sz w:val="24"/>
          <w:szCs w:val="24"/>
          <w14:textFill>
            <w14:solidFill>
              <w14:schemeClr w14:val="tx1"/>
            </w14:solidFill>
          </w14:textFill>
        </w:rPr>
        <w:t>参与</w:t>
      </w:r>
      <w:r>
        <w:rPr>
          <w:rFonts w:hint="eastAsia" w:ascii="楷体" w:hAnsi="楷体" w:eastAsia="楷体" w:cs="楷体"/>
          <w:b/>
          <w:bCs/>
          <w:color w:val="000000" w:themeColor="text1"/>
          <w:sz w:val="24"/>
          <w:szCs w:val="24"/>
          <w:u w:val="single"/>
          <w14:textFill>
            <w14:solidFill>
              <w14:schemeClr w14:val="tx1"/>
            </w14:solidFill>
          </w14:textFill>
        </w:rPr>
        <w:t xml:space="preserve">      （项目名称）   </w:t>
      </w:r>
      <w:r>
        <w:rPr>
          <w:rFonts w:hint="eastAsia" w:ascii="楷体" w:hAnsi="楷体" w:eastAsia="楷体" w:cs="楷体"/>
          <w:b/>
          <w:bCs/>
          <w:color w:val="000000" w:themeColor="text1"/>
          <w:sz w:val="24"/>
          <w:szCs w:val="24"/>
          <w14:textFill>
            <w14:solidFill>
              <w14:schemeClr w14:val="tx1"/>
            </w14:solidFill>
          </w14:textFill>
        </w:rPr>
        <w:t>政府采购活动，针对《中华人民共和国政府采购法》第二十二条所述条件做如下承诺：</w:t>
      </w:r>
    </w:p>
    <w:p w14:paraId="7BB8771B">
      <w:pPr>
        <w:pStyle w:val="42"/>
        <w:numPr>
          <w:ilvl w:val="0"/>
          <w:numId w:val="24"/>
        </w:numPr>
        <w:spacing w:before="0" w:beforeAutospacing="0" w:after="0" w:afterAutospacing="0" w:line="360" w:lineRule="auto"/>
        <w:ind w:firstLine="482" w:firstLineChars="200"/>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我方具有良好的商业信誉和健全的财务会计制度；</w:t>
      </w:r>
    </w:p>
    <w:p w14:paraId="7F8CF352">
      <w:pPr>
        <w:pStyle w:val="42"/>
        <w:numPr>
          <w:ilvl w:val="0"/>
          <w:numId w:val="24"/>
        </w:numPr>
        <w:spacing w:before="0" w:beforeAutospacing="0" w:after="0" w:afterAutospacing="0" w:line="360" w:lineRule="auto"/>
        <w:ind w:firstLine="482" w:firstLineChars="200"/>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我方具有履行本项目合同所必需的设备和专业技术能力；</w:t>
      </w:r>
    </w:p>
    <w:p w14:paraId="1E25F45E">
      <w:pPr>
        <w:pStyle w:val="42"/>
        <w:numPr>
          <w:ilvl w:val="0"/>
          <w:numId w:val="24"/>
        </w:numPr>
        <w:spacing w:before="0" w:beforeAutospacing="0" w:after="0" w:afterAutospacing="0" w:line="360" w:lineRule="auto"/>
        <w:ind w:firstLine="482" w:firstLineChars="200"/>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我方没有缴纳税收和社会保障等方面的失信记录；</w:t>
      </w:r>
    </w:p>
    <w:p w14:paraId="45BABFDB">
      <w:pPr>
        <w:pStyle w:val="42"/>
        <w:numPr>
          <w:ilvl w:val="0"/>
          <w:numId w:val="24"/>
        </w:numPr>
        <w:spacing w:before="0" w:beforeAutospacing="0" w:after="0" w:afterAutospacing="0" w:line="360" w:lineRule="auto"/>
        <w:ind w:firstLine="482" w:firstLineChars="200"/>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79B26F24">
      <w:pPr>
        <w:pStyle w:val="42"/>
        <w:spacing w:before="0" w:beforeAutospacing="0" w:after="0" w:afterAutospacing="0" w:line="360" w:lineRule="auto"/>
        <w:ind w:firstLine="482" w:firstLineChars="200"/>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我方对上述承诺内容的真实性负责。如有虚假，将依法承担相应责任。</w:t>
      </w:r>
    </w:p>
    <w:p w14:paraId="3ED3BD04">
      <w:pPr>
        <w:pStyle w:val="42"/>
        <w:spacing w:before="0" w:beforeAutospacing="0" w:after="0" w:afterAutospacing="0" w:line="360" w:lineRule="auto"/>
        <w:ind w:firstLine="482" w:firstLineChars="200"/>
        <w:rPr>
          <w:rFonts w:ascii="楷体" w:hAnsi="楷体" w:eastAsia="楷体" w:cs="楷体"/>
          <w:b/>
          <w:bCs/>
          <w:color w:val="000000" w:themeColor="text1"/>
          <w:sz w:val="24"/>
          <w:szCs w:val="24"/>
          <w14:textFill>
            <w14:solidFill>
              <w14:schemeClr w14:val="tx1"/>
            </w14:solidFill>
          </w14:textFill>
        </w:rPr>
      </w:pPr>
    </w:p>
    <w:p w14:paraId="0CCF01B6">
      <w:pPr>
        <w:pStyle w:val="42"/>
        <w:spacing w:before="0" w:beforeAutospacing="0" w:after="0" w:afterAutospacing="0" w:line="360" w:lineRule="auto"/>
        <w:ind w:firstLine="482" w:firstLineChars="200"/>
        <w:rPr>
          <w:rFonts w:ascii="楷体" w:hAnsi="楷体" w:eastAsia="楷体" w:cs="楷体"/>
          <w:b/>
          <w:bCs/>
          <w:color w:val="000000" w:themeColor="text1"/>
          <w:sz w:val="24"/>
          <w:szCs w:val="24"/>
          <w14:textFill>
            <w14:solidFill>
              <w14:schemeClr w14:val="tx1"/>
            </w14:solidFill>
          </w14:textFill>
        </w:rPr>
      </w:pPr>
    </w:p>
    <w:p w14:paraId="33014ABF">
      <w:pPr>
        <w:pStyle w:val="42"/>
        <w:spacing w:before="0" w:beforeAutospacing="0" w:after="0" w:afterAutospacing="0"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 xml:space="preserve">供应商名称（盖公章或电子签章） ： </w:t>
      </w:r>
    </w:p>
    <w:p w14:paraId="71A1F5CE">
      <w:pPr>
        <w:pStyle w:val="42"/>
        <w:spacing w:before="0" w:beforeAutospacing="0" w:after="0" w:afterAutospacing="0" w:line="360" w:lineRule="auto"/>
        <w:ind w:firstLine="480" w:firstLineChars="200"/>
        <w:rPr>
          <w:rFonts w:ascii="楷体" w:hAnsi="楷体" w:eastAsia="楷体" w:cs="楷体"/>
          <w:color w:val="000000" w:themeColor="text1"/>
          <w:sz w:val="24"/>
          <w:szCs w:val="24"/>
          <w14:textFill>
            <w14:solidFill>
              <w14:schemeClr w14:val="tx1"/>
            </w14:solidFill>
          </w14:textFill>
        </w:rPr>
      </w:pPr>
    </w:p>
    <w:p w14:paraId="6AE8C56C">
      <w:pPr>
        <w:pStyle w:val="42"/>
        <w:spacing w:before="0" w:beforeAutospacing="0" w:after="0" w:afterAutospacing="0"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 xml:space="preserve">日期：  年  月  日    </w:t>
      </w:r>
    </w:p>
    <w:p w14:paraId="29188E80">
      <w:pPr>
        <w:spacing w:line="360" w:lineRule="auto"/>
        <w:rPr>
          <w:rFonts w:ascii="楷体" w:hAnsi="楷体" w:eastAsia="楷体" w:cs="楷体"/>
          <w:color w:val="000000" w:themeColor="text1"/>
          <w:sz w:val="24"/>
          <w14:textFill>
            <w14:solidFill>
              <w14:schemeClr w14:val="tx1"/>
            </w14:solidFill>
          </w14:textFill>
        </w:rPr>
      </w:pPr>
    </w:p>
    <w:p w14:paraId="05FCCF92">
      <w:pPr>
        <w:spacing w:line="360" w:lineRule="auto"/>
        <w:rPr>
          <w:rFonts w:ascii="楷体" w:hAnsi="楷体" w:eastAsia="楷体" w:cs="楷体"/>
          <w:color w:val="000000" w:themeColor="text1"/>
          <w:sz w:val="24"/>
          <w14:textFill>
            <w14:solidFill>
              <w14:schemeClr w14:val="tx1"/>
            </w14:solidFill>
          </w14:textFill>
        </w:rPr>
      </w:pPr>
    </w:p>
    <w:p w14:paraId="54667402">
      <w:pPr>
        <w:spacing w:line="360" w:lineRule="auto"/>
        <w:rPr>
          <w:rFonts w:ascii="楷体" w:hAnsi="楷体" w:eastAsia="楷体" w:cs="楷体"/>
          <w:color w:val="000000" w:themeColor="text1"/>
          <w:sz w:val="24"/>
          <w14:textFill>
            <w14:solidFill>
              <w14:schemeClr w14:val="tx1"/>
            </w14:solidFill>
          </w14:textFill>
        </w:rPr>
      </w:pPr>
    </w:p>
    <w:p w14:paraId="5A889320">
      <w:pPr>
        <w:spacing w:line="360" w:lineRule="auto"/>
        <w:rPr>
          <w:rFonts w:ascii="楷体" w:hAnsi="楷体" w:eastAsia="楷体" w:cs="楷体"/>
          <w:color w:val="000000" w:themeColor="text1"/>
          <w:sz w:val="24"/>
          <w14:textFill>
            <w14:solidFill>
              <w14:schemeClr w14:val="tx1"/>
            </w14:solidFill>
          </w14:textFill>
        </w:rPr>
      </w:pPr>
    </w:p>
    <w:p w14:paraId="2B32A86E">
      <w:pPr>
        <w:pStyle w:val="42"/>
        <w:spacing w:before="0" w:beforeAutospacing="0" w:after="0" w:afterAutospacing="0" w:line="360" w:lineRule="auto"/>
        <w:ind w:firstLine="482" w:firstLineChars="200"/>
        <w:rPr>
          <w:rFonts w:ascii="楷体" w:hAnsi="楷体" w:eastAsia="楷体" w:cs="楷体"/>
          <w:b/>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特别说明：已完成信用修复的“缴纳税收和社会保障等方面的失信记录”不包含在上述第3点所述情形内（属于重大违法纪录情形的除外）。</w:t>
      </w:r>
    </w:p>
    <w:p w14:paraId="24775A8A">
      <w:pPr>
        <w:tabs>
          <w:tab w:val="left" w:pos="720"/>
        </w:tabs>
        <w:adjustRightInd w:val="0"/>
        <w:snapToGrid w:val="0"/>
        <w:spacing w:line="360" w:lineRule="auto"/>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br w:type="page"/>
      </w:r>
      <w:r>
        <w:rPr>
          <w:rFonts w:hint="eastAsia" w:ascii="楷体" w:hAnsi="楷体" w:eastAsia="楷体" w:cs="楷体"/>
          <w:b/>
          <w:bCs/>
          <w:color w:val="000000" w:themeColor="text1"/>
          <w:szCs w:val="21"/>
          <w14:textFill>
            <w14:solidFill>
              <w14:schemeClr w14:val="tx1"/>
            </w14:solidFill>
          </w14:textFill>
        </w:rPr>
        <w:t xml:space="preserve"> </w:t>
      </w:r>
      <w:r>
        <w:rPr>
          <w:rFonts w:hint="eastAsia" w:ascii="楷体" w:hAnsi="楷体" w:eastAsia="楷体" w:cs="楷体"/>
          <w:b/>
          <w:bCs/>
          <w:color w:val="000000" w:themeColor="text1"/>
          <w:sz w:val="24"/>
          <w14:textFill>
            <w14:solidFill>
              <w14:schemeClr w14:val="tx1"/>
            </w14:solidFill>
          </w14:textFill>
        </w:rPr>
        <w:t xml:space="preserve">   </w:t>
      </w:r>
      <w:r>
        <w:rPr>
          <w:rFonts w:hint="eastAsia" w:ascii="楷体" w:hAnsi="楷体" w:eastAsia="楷体" w:cs="楷体"/>
          <w:b/>
          <w:snapToGrid w:val="0"/>
          <w:color w:val="000000" w:themeColor="text1"/>
          <w:kern w:val="0"/>
          <w:sz w:val="24"/>
          <w14:textFill>
            <w14:solidFill>
              <w14:schemeClr w14:val="tx1"/>
            </w14:solidFill>
          </w14:textFill>
        </w:rPr>
        <w:t>2.3落实政府采购政策需满足的资格要求所对应的证</w:t>
      </w:r>
      <w:r>
        <w:rPr>
          <w:rFonts w:hint="eastAsia" w:ascii="楷体" w:hAnsi="楷体" w:eastAsia="楷体" w:cs="楷体"/>
          <w:b/>
          <w:snapToGrid w:val="0"/>
          <w:color w:val="000000" w:themeColor="text1"/>
          <w:kern w:val="0"/>
          <w:sz w:val="24"/>
          <w14:textFill>
            <w14:solidFill>
              <w14:schemeClr w14:val="tx1"/>
            </w14:solidFill>
          </w14:textFill>
        </w:rPr>
        <w:t>明材料：本项目为专门面向中小企业采购。供应商须为中、小、微型企业或监狱企业或残疾人福利性单位。</w:t>
      </w:r>
    </w:p>
    <w:p w14:paraId="45900F95">
      <w:pPr>
        <w:adjustRightInd w:val="0"/>
        <w:snapToGrid w:val="0"/>
        <w:spacing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2.3.1 中小企业声明函</w:t>
      </w:r>
    </w:p>
    <w:p w14:paraId="5BEF4B76">
      <w:pPr>
        <w:tabs>
          <w:tab w:val="left" w:pos="840"/>
          <w:tab w:val="left" w:pos="1050"/>
        </w:tabs>
        <w:adjustRightInd w:val="0"/>
        <w:snapToGrid w:val="0"/>
        <w:spacing w:line="360" w:lineRule="auto"/>
        <w:ind w:firstLine="482" w:firstLineChars="200"/>
        <w:jc w:val="left"/>
        <w:rPr>
          <w:rFonts w:ascii="楷体" w:hAnsi="楷体" w:eastAsia="楷体" w:cs="楷体"/>
          <w:bCs/>
          <w:snapToGrid w:val="0"/>
          <w:color w:val="000000" w:themeColor="text1"/>
          <w:kern w:val="0"/>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本项目服务全部由符合政策要求的中小微企业承接的。</w:t>
      </w:r>
      <w:r>
        <w:rPr>
          <w:rFonts w:hint="eastAsia" w:ascii="楷体" w:hAnsi="楷体" w:eastAsia="楷体" w:cs="楷体"/>
          <w:b/>
          <w:bCs/>
          <w:snapToGrid w:val="0"/>
          <w:color w:val="000000" w:themeColor="text1"/>
          <w:kern w:val="0"/>
          <w:sz w:val="24"/>
          <w14:textFill>
            <w14:solidFill>
              <w14:schemeClr w14:val="tx1"/>
            </w14:solidFill>
          </w14:textFill>
        </w:rPr>
        <w:t xml:space="preserve"> </w:t>
      </w:r>
      <w:r>
        <w:rPr>
          <w:rFonts w:hint="eastAsia" w:ascii="楷体" w:hAnsi="楷体" w:eastAsia="楷体" w:cs="楷体"/>
          <w:bCs/>
          <w:snapToGrid w:val="0"/>
          <w:color w:val="000000" w:themeColor="text1"/>
          <w:kern w:val="0"/>
          <w:sz w:val="24"/>
          <w14:textFill>
            <w14:solidFill>
              <w14:schemeClr w14:val="tx1"/>
            </w14:solidFill>
          </w14:textFill>
        </w:rPr>
        <w:t xml:space="preserve"> </w:t>
      </w:r>
    </w:p>
    <w:p w14:paraId="1D60F4AD">
      <w:pPr>
        <w:adjustRightInd w:val="0"/>
        <w:snapToGrid w:val="0"/>
        <w:spacing w:line="360" w:lineRule="auto"/>
        <w:ind w:firstLine="482" w:firstLineChars="20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中小企业应当按照《政府采购促进中小企业发展管理办法》规定和《中小企业划型标准规定》（工信部联企业〔2011〕300号），如实填写并提交《中小企业声明函》。</w:t>
      </w:r>
    </w:p>
    <w:p w14:paraId="7F93FA54">
      <w:pPr>
        <w:adjustRightInd w:val="0"/>
        <w:snapToGrid w:val="0"/>
        <w:spacing w:line="360" w:lineRule="auto"/>
        <w:ind w:firstLine="482" w:firstLineChars="20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投标人在填写声明函前，须先自查本企业是否满足小微企业认定标准（可通过国务院客户端和工业和信息化部网站上的自测小程序进行自查）。</w:t>
      </w:r>
    </w:p>
    <w:p w14:paraId="1A4FF06F">
      <w:pPr>
        <w:adjustRightInd w:val="0"/>
        <w:snapToGrid w:val="0"/>
        <w:spacing w:line="360" w:lineRule="auto"/>
        <w:ind w:firstLine="482" w:firstLineChars="20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中小企业对其声明内容的真实性负责，声明函内容不实的，属于提供虚假材料谋取中标、成交，依照《中华人民共和国政府采购法》等国家有关规定追究相应责任。</w:t>
      </w:r>
    </w:p>
    <w:p w14:paraId="682A9C6D">
      <w:pPr>
        <w:pStyle w:val="19"/>
        <w:rPr>
          <w:rFonts w:ascii="楷体" w:hAnsi="楷体" w:eastAsia="楷体" w:cs="楷体"/>
          <w:b/>
          <w:snapToGrid w:val="0"/>
          <w:color w:val="000000" w:themeColor="text1"/>
          <w:kern w:val="0"/>
          <w:sz w:val="24"/>
          <w14:textFill>
            <w14:solidFill>
              <w14:schemeClr w14:val="tx1"/>
            </w14:solidFill>
          </w14:textFill>
        </w:rPr>
      </w:pPr>
    </w:p>
    <w:p w14:paraId="7F9B117A">
      <w:pPr>
        <w:pStyle w:val="22"/>
        <w:ind w:firstLine="0"/>
        <w:jc w:val="center"/>
        <w:rPr>
          <w:rFonts w:ascii="楷体" w:hAnsi="楷体" w:eastAsia="楷体" w:cs="楷体"/>
          <w:b/>
          <w:bCs/>
          <w:snapToGrid w:val="0"/>
          <w:color w:val="000000" w:themeColor="text1"/>
          <w:kern w:val="0"/>
          <w:sz w:val="28"/>
          <w:szCs w:val="28"/>
          <w14:textFill>
            <w14:solidFill>
              <w14:schemeClr w14:val="tx1"/>
            </w14:solidFill>
          </w14:textFill>
        </w:rPr>
      </w:pPr>
      <w:r>
        <w:rPr>
          <w:rFonts w:hint="eastAsia" w:ascii="楷体" w:hAnsi="楷体" w:eastAsia="楷体" w:cs="楷体"/>
          <w:b/>
          <w:bCs/>
          <w:snapToGrid w:val="0"/>
          <w:color w:val="000000" w:themeColor="text1"/>
          <w:kern w:val="0"/>
          <w:sz w:val="28"/>
          <w:szCs w:val="28"/>
          <w14:textFill>
            <w14:solidFill>
              <w14:schemeClr w14:val="tx1"/>
            </w14:solidFill>
          </w14:textFill>
        </w:rPr>
        <w:br w:type="page"/>
      </w:r>
      <w:r>
        <w:rPr>
          <w:rFonts w:hint="eastAsia" w:ascii="楷体" w:hAnsi="楷体" w:eastAsia="楷体" w:cs="楷体"/>
          <w:b/>
          <w:bCs/>
          <w:snapToGrid w:val="0"/>
          <w:color w:val="000000" w:themeColor="text1"/>
          <w:kern w:val="0"/>
          <w:sz w:val="28"/>
          <w:szCs w:val="28"/>
          <w14:textFill>
            <w14:solidFill>
              <w14:schemeClr w14:val="tx1"/>
            </w14:solidFill>
          </w14:textFill>
        </w:rPr>
        <w:t>中小企业声明函（服务）</w:t>
      </w:r>
    </w:p>
    <w:p w14:paraId="1D1DD43A">
      <w:pPr>
        <w:pStyle w:val="19"/>
        <w:autoSpaceDE w:val="0"/>
        <w:autoSpaceDN w:val="0"/>
        <w:spacing w:line="360" w:lineRule="auto"/>
        <w:ind w:right="-54"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本公司（联合体）郑重声明，根据《政府采购促进中小企业发展管理办法》（财库﹝2020﹞46 号）的规定，本公司（联合体）参加</w:t>
      </w:r>
      <w:r>
        <w:rPr>
          <w:rFonts w:hint="eastAsia" w:ascii="楷体" w:hAnsi="楷体" w:eastAsia="楷体" w:cs="楷体"/>
          <w:color w:val="000000" w:themeColor="text1"/>
          <w:sz w:val="24"/>
          <w:u w:val="single"/>
          <w14:textFill>
            <w14:solidFill>
              <w14:schemeClr w14:val="tx1"/>
            </w14:solidFill>
          </w14:textFill>
        </w:rPr>
        <w:t>（单位名称）</w:t>
      </w:r>
      <w:r>
        <w:rPr>
          <w:rFonts w:hint="eastAsia" w:ascii="楷体" w:hAnsi="楷体" w:eastAsia="楷体" w:cs="楷体"/>
          <w:color w:val="000000" w:themeColor="text1"/>
          <w:sz w:val="24"/>
          <w14:textFill>
            <w14:solidFill>
              <w14:schemeClr w14:val="tx1"/>
            </w14:solidFill>
          </w14:textFill>
        </w:rPr>
        <w:t>的</w:t>
      </w:r>
      <w:r>
        <w:rPr>
          <w:rFonts w:hint="eastAsia" w:ascii="楷体" w:hAnsi="楷体" w:eastAsia="楷体" w:cs="楷体"/>
          <w:color w:val="000000" w:themeColor="text1"/>
          <w:sz w:val="24"/>
          <w:u w:val="single"/>
          <w14:textFill>
            <w14:solidFill>
              <w14:schemeClr w14:val="tx1"/>
            </w14:solidFill>
          </w14:textFill>
        </w:rPr>
        <w:t>（项目名称）</w:t>
      </w:r>
      <w:r>
        <w:rPr>
          <w:rFonts w:hint="eastAsia" w:ascii="楷体" w:hAnsi="楷体" w:eastAsia="楷体" w:cs="楷体"/>
          <w:color w:val="000000" w:themeColor="text1"/>
          <w:sz w:val="24"/>
          <w14:textFill>
            <w14:solidFill>
              <w14:schemeClr w14:val="tx1"/>
            </w14:solidFill>
          </w14:textFill>
        </w:rPr>
        <w:t>采购活动，</w:t>
      </w:r>
      <w:r>
        <w:rPr>
          <w:rFonts w:hint="eastAsia" w:ascii="楷体" w:hAnsi="楷体" w:eastAsia="楷体" w:cs="楷体"/>
          <w:b/>
          <w:bCs/>
          <w:color w:val="000000" w:themeColor="text1"/>
          <w:sz w:val="24"/>
          <w14:textFill>
            <w14:solidFill>
              <w14:schemeClr w14:val="tx1"/>
            </w14:solidFill>
          </w14:textFill>
        </w:rPr>
        <w:t>服务</w:t>
      </w:r>
      <w:r>
        <w:rPr>
          <w:rFonts w:hint="eastAsia" w:ascii="楷体" w:hAnsi="楷体" w:eastAsia="楷体" w:cs="楷体"/>
          <w:b/>
          <w:bCs/>
          <w:color w:val="000000" w:themeColor="text1"/>
          <w:w w:val="95"/>
          <w:sz w:val="24"/>
          <w14:textFill>
            <w14:solidFill>
              <w14:schemeClr w14:val="tx1"/>
            </w14:solidFill>
          </w14:textFill>
        </w:rPr>
        <w:t>全部由符合政策要求的中小企业承接。</w:t>
      </w:r>
      <w:r>
        <w:rPr>
          <w:rFonts w:hint="eastAsia" w:ascii="楷体" w:hAnsi="楷体" w:eastAsia="楷体" w:cs="楷体"/>
          <w:color w:val="000000" w:themeColor="text1"/>
          <w:w w:val="95"/>
          <w:sz w:val="24"/>
          <w14:textFill>
            <w14:solidFill>
              <w14:schemeClr w14:val="tx1"/>
            </w14:solidFill>
          </w14:textFill>
        </w:rPr>
        <w:t>相关企业（含联合</w:t>
      </w:r>
      <w:r>
        <w:rPr>
          <w:rFonts w:hint="eastAsia" w:ascii="楷体" w:hAnsi="楷体" w:eastAsia="楷体" w:cs="楷体"/>
          <w:color w:val="000000" w:themeColor="text1"/>
          <w:sz w:val="24"/>
          <w14:textFill>
            <w14:solidFill>
              <w14:schemeClr w14:val="tx1"/>
            </w14:solidFill>
          </w14:textFill>
        </w:rPr>
        <w:t>体中的中小企业、签订分包意向协议的中小企业）的具体情况如下：</w:t>
      </w:r>
    </w:p>
    <w:p w14:paraId="68A4D50A">
      <w:pPr>
        <w:pStyle w:val="64"/>
        <w:tabs>
          <w:tab w:val="left" w:pos="1243"/>
        </w:tabs>
        <w:autoSpaceDE w:val="0"/>
        <w:autoSpaceDN w:val="0"/>
        <w:spacing w:line="360" w:lineRule="auto"/>
        <w:ind w:left="19" w:firstLine="549" w:firstLineChars="239"/>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w w:val="96"/>
          <w:sz w:val="24"/>
          <w14:textFill>
            <w14:solidFill>
              <w14:schemeClr w14:val="tx1"/>
            </w14:solidFill>
          </w14:textFill>
        </w:rPr>
        <w:t>1.</w:t>
      </w:r>
      <w:r>
        <w:rPr>
          <w:rFonts w:hint="eastAsia" w:ascii="楷体" w:hAnsi="楷体" w:eastAsia="楷体" w:cs="楷体"/>
          <w:color w:val="000000" w:themeColor="text1"/>
          <w:w w:val="96"/>
          <w:sz w:val="24"/>
          <w:u w:val="single"/>
          <w14:textFill>
            <w14:solidFill>
              <w14:schemeClr w14:val="tx1"/>
            </w14:solidFill>
          </w14:textFill>
        </w:rPr>
        <w:t>（  2026年灵溪镇小额工程监理服务  ）</w:t>
      </w:r>
      <w:r>
        <w:rPr>
          <w:rFonts w:hint="eastAsia" w:ascii="楷体" w:hAnsi="楷体" w:eastAsia="楷体" w:cs="楷体"/>
          <w:color w:val="000000" w:themeColor="text1"/>
          <w:w w:val="99"/>
          <w:sz w:val="24"/>
          <w14:textFill>
            <w14:solidFill>
              <w14:schemeClr w14:val="tx1"/>
            </w14:solidFill>
          </w14:textFill>
        </w:rPr>
        <w:t>，属于</w:t>
      </w:r>
      <w:r>
        <w:rPr>
          <w:rFonts w:hint="eastAsia" w:ascii="楷体" w:hAnsi="楷体" w:eastAsia="楷体" w:cs="楷体"/>
          <w:color w:val="000000" w:themeColor="text1"/>
          <w:w w:val="96"/>
          <w:sz w:val="24"/>
          <w:u w:val="single"/>
          <w14:textFill>
            <w14:solidFill>
              <w14:schemeClr w14:val="tx1"/>
            </w14:solidFill>
          </w14:textFill>
        </w:rPr>
        <w:t xml:space="preserve">  （  其他未列明行业）  </w:t>
      </w:r>
      <w:r>
        <w:rPr>
          <w:rFonts w:hint="eastAsia" w:ascii="楷体" w:hAnsi="楷体" w:eastAsia="楷体" w:cs="楷体"/>
          <w:color w:val="000000" w:themeColor="text1"/>
          <w:w w:val="99"/>
          <w:sz w:val="24"/>
          <w14:textFill>
            <w14:solidFill>
              <w14:schemeClr w14:val="tx1"/>
            </w14:solidFill>
          </w14:textFill>
        </w:rPr>
        <w:t>；承建（承接）企业为</w:t>
      </w:r>
      <w:r>
        <w:rPr>
          <w:rFonts w:hint="eastAsia" w:ascii="楷体" w:hAnsi="楷体" w:eastAsia="楷体" w:cs="楷体"/>
          <w:color w:val="000000" w:themeColor="text1"/>
          <w:w w:val="96"/>
          <w:sz w:val="24"/>
          <w:u w:val="single"/>
          <w14:textFill>
            <w14:solidFill>
              <w14:schemeClr w14:val="tx1"/>
            </w14:solidFill>
          </w14:textFill>
        </w:rPr>
        <w:t>（企业名称）</w:t>
      </w:r>
      <w:r>
        <w:rPr>
          <w:rFonts w:hint="eastAsia" w:ascii="楷体" w:hAnsi="楷体" w:eastAsia="楷体" w:cs="楷体"/>
          <w:color w:val="000000" w:themeColor="text1"/>
          <w:w w:val="99"/>
          <w:sz w:val="24"/>
          <w14:textFill>
            <w14:solidFill>
              <w14:schemeClr w14:val="tx1"/>
            </w14:solidFill>
          </w14:textFill>
        </w:rPr>
        <w:t>，从业人员</w:t>
      </w:r>
      <w:r>
        <w:rPr>
          <w:rFonts w:hint="eastAsia" w:ascii="楷体" w:hAnsi="楷体" w:eastAsia="楷体" w:cs="楷体"/>
          <w:color w:val="000000" w:themeColor="text1"/>
          <w:w w:val="99"/>
          <w:sz w:val="24"/>
          <w:u w:val="single"/>
          <w14:textFill>
            <w14:solidFill>
              <w14:schemeClr w14:val="tx1"/>
            </w14:solidFill>
          </w14:textFill>
        </w:rPr>
        <w:t xml:space="preserve"> </w:t>
      </w:r>
      <w:r>
        <w:rPr>
          <w:rFonts w:hint="eastAsia" w:ascii="楷体" w:hAnsi="楷体" w:eastAsia="楷体" w:cs="楷体"/>
          <w:color w:val="000000" w:themeColor="text1"/>
          <w:sz w:val="24"/>
          <w:u w:val="single"/>
          <w14:textFill>
            <w14:solidFill>
              <w14:schemeClr w14:val="tx1"/>
            </w14:solidFill>
          </w14:textFill>
        </w:rPr>
        <w:tab/>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w w:val="99"/>
          <w:sz w:val="24"/>
          <w14:textFill>
            <w14:solidFill>
              <w14:schemeClr w14:val="tx1"/>
            </w14:solidFill>
          </w14:textFill>
        </w:rPr>
        <w:t>人，营业</w:t>
      </w:r>
      <w:r>
        <w:rPr>
          <w:rFonts w:hint="eastAsia" w:ascii="楷体" w:hAnsi="楷体" w:eastAsia="楷体" w:cs="楷体"/>
          <w:color w:val="000000" w:themeColor="text1"/>
          <w:sz w:val="24"/>
          <w14:textFill>
            <w14:solidFill>
              <w14:schemeClr w14:val="tx1"/>
            </w14:solidFill>
          </w14:textFill>
        </w:rPr>
        <w:t>收入为</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u w:val="single"/>
          <w14:textFill>
            <w14:solidFill>
              <w14:schemeClr w14:val="tx1"/>
            </w14:solidFill>
          </w14:textFill>
        </w:rPr>
        <w:tab/>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万元，资产总额为</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u w:val="single"/>
          <w14:textFill>
            <w14:solidFill>
              <w14:schemeClr w14:val="tx1"/>
            </w14:solidFill>
          </w14:textFill>
        </w:rPr>
        <w:tab/>
      </w:r>
      <w:r>
        <w:rPr>
          <w:rFonts w:hint="eastAsia" w:ascii="楷体" w:hAnsi="楷体" w:eastAsia="楷体" w:cs="楷体"/>
          <w:color w:val="000000" w:themeColor="text1"/>
          <w:sz w:val="24"/>
          <w14:textFill>
            <w14:solidFill>
              <w14:schemeClr w14:val="tx1"/>
            </w14:solidFill>
          </w14:textFill>
        </w:rPr>
        <w:t>万元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 </w:instrText>
      </w:r>
      <w:r>
        <w:rPr>
          <w:color w:val="000000" w:themeColor="text1"/>
          <w14:textFill>
            <w14:solidFill>
              <w14:schemeClr w14:val="tx1"/>
            </w14:solidFill>
          </w14:textFill>
        </w:rPr>
        <w:fldChar w:fldCharType="separate"/>
      </w:r>
      <w:r>
        <w:rPr>
          <w:rFonts w:hint="eastAsia" w:ascii="楷体" w:hAnsi="楷体" w:eastAsia="楷体" w:cs="楷体"/>
          <w:color w:val="000000" w:themeColor="text1"/>
          <w:sz w:val="24"/>
          <w:vertAlign w:val="superscript"/>
          <w14:textFill>
            <w14:solidFill>
              <w14:schemeClr w14:val="tx1"/>
            </w14:solidFill>
          </w14:textFill>
        </w:rPr>
        <w:t>1</w:t>
      </w:r>
      <w:r>
        <w:rPr>
          <w:rFonts w:hint="eastAsia" w:ascii="楷体" w:hAnsi="楷体" w:eastAsia="楷体" w:cs="楷体"/>
          <w:color w:val="000000" w:themeColor="text1"/>
          <w:sz w:val="24"/>
          <w:vertAlign w:val="superscript"/>
          <w14:textFill>
            <w14:solidFill>
              <w14:schemeClr w14:val="tx1"/>
            </w14:solidFill>
          </w14:textFill>
        </w:rPr>
        <w:fldChar w:fldCharType="end"/>
      </w:r>
      <w:r>
        <w:rPr>
          <w:rFonts w:hint="eastAsia" w:ascii="楷体" w:hAnsi="楷体" w:eastAsia="楷体" w:cs="楷体"/>
          <w:color w:val="000000" w:themeColor="text1"/>
          <w:sz w:val="24"/>
          <w14:textFill>
            <w14:solidFill>
              <w14:schemeClr w14:val="tx1"/>
            </w14:solidFill>
          </w14:textFill>
        </w:rPr>
        <w:t>，属于</w:t>
      </w:r>
      <w:r>
        <w:rPr>
          <w:rFonts w:hint="eastAsia" w:ascii="楷体" w:hAnsi="楷体" w:eastAsia="楷体" w:cs="楷体"/>
          <w:color w:val="000000" w:themeColor="text1"/>
          <w:sz w:val="24"/>
          <w:u w:val="single"/>
          <w14:textFill>
            <w14:solidFill>
              <w14:schemeClr w14:val="tx1"/>
            </w14:solidFill>
          </w14:textFill>
        </w:rPr>
        <w:t xml:space="preserve">  （中型企业、</w:t>
      </w:r>
      <w:r>
        <w:rPr>
          <w:rFonts w:hint="eastAsia" w:ascii="楷体" w:hAnsi="楷体" w:eastAsia="楷体" w:cs="楷体"/>
          <w:color w:val="000000" w:themeColor="text1"/>
          <w:w w:val="96"/>
          <w:sz w:val="24"/>
          <w:u w:val="single"/>
          <w14:textFill>
            <w14:solidFill>
              <w14:schemeClr w14:val="tx1"/>
            </w14:solidFill>
          </w14:textFill>
        </w:rPr>
        <w:t>小型企业、微型企业）</w:t>
      </w:r>
      <w:r>
        <w:rPr>
          <w:rFonts w:hint="eastAsia" w:ascii="楷体" w:hAnsi="楷体" w:eastAsia="楷体" w:cs="楷体"/>
          <w:color w:val="000000" w:themeColor="text1"/>
          <w:w w:val="99"/>
          <w:sz w:val="24"/>
          <w14:textFill>
            <w14:solidFill>
              <w14:schemeClr w14:val="tx1"/>
            </w14:solidFill>
          </w14:textFill>
        </w:rPr>
        <w:t>；</w:t>
      </w:r>
    </w:p>
    <w:p w14:paraId="2E23EC75">
      <w:pPr>
        <w:pStyle w:val="64"/>
        <w:tabs>
          <w:tab w:val="left" w:pos="1243"/>
          <w:tab w:val="left" w:pos="1806"/>
          <w:tab w:val="left" w:pos="5005"/>
          <w:tab w:val="left" w:pos="7213"/>
        </w:tabs>
        <w:autoSpaceDE w:val="0"/>
        <w:autoSpaceDN w:val="0"/>
        <w:spacing w:line="360" w:lineRule="auto"/>
        <w:ind w:left="15" w:right="-54" w:firstLine="547" w:firstLineChars="238"/>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w w:val="96"/>
          <w:sz w:val="24"/>
          <w14:textFill>
            <w14:solidFill>
              <w14:schemeClr w14:val="tx1"/>
            </w14:solidFill>
          </w14:textFill>
        </w:rPr>
        <w:t>2.</w:t>
      </w:r>
      <w:r>
        <w:rPr>
          <w:rFonts w:hint="eastAsia" w:ascii="楷体" w:hAnsi="楷体" w:eastAsia="楷体" w:cs="楷体"/>
          <w:color w:val="000000" w:themeColor="text1"/>
          <w:w w:val="96"/>
          <w:sz w:val="24"/>
          <w:u w:val="single"/>
          <w14:textFill>
            <w14:solidFill>
              <w14:schemeClr w14:val="tx1"/>
            </w14:solidFill>
          </w14:textFill>
        </w:rPr>
        <w:t>（标的名称）</w:t>
      </w:r>
      <w:r>
        <w:rPr>
          <w:rFonts w:hint="eastAsia" w:ascii="楷体" w:hAnsi="楷体" w:eastAsia="楷体" w:cs="楷体"/>
          <w:color w:val="000000" w:themeColor="text1"/>
          <w:w w:val="99"/>
          <w:sz w:val="24"/>
          <w14:textFill>
            <w14:solidFill>
              <w14:schemeClr w14:val="tx1"/>
            </w14:solidFill>
          </w14:textFill>
        </w:rPr>
        <w:t>，属于</w:t>
      </w:r>
      <w:r>
        <w:rPr>
          <w:rFonts w:hint="eastAsia" w:ascii="楷体" w:hAnsi="楷体" w:eastAsia="楷体" w:cs="楷体"/>
          <w:color w:val="000000" w:themeColor="text1"/>
          <w:w w:val="96"/>
          <w:sz w:val="24"/>
          <w14:textFill>
            <w14:solidFill>
              <w14:schemeClr w14:val="tx1"/>
            </w14:solidFill>
          </w14:textFill>
        </w:rPr>
        <w:t>（</w:t>
      </w:r>
      <w:r>
        <w:rPr>
          <w:rFonts w:hint="eastAsia" w:ascii="楷体" w:hAnsi="楷体" w:eastAsia="楷体" w:cs="楷体"/>
          <w:color w:val="000000" w:themeColor="text1"/>
          <w:w w:val="96"/>
          <w:sz w:val="24"/>
          <w:u w:val="single"/>
          <w14:textFill>
            <w14:solidFill>
              <w14:schemeClr w14:val="tx1"/>
            </w14:solidFill>
          </w14:textFill>
        </w:rPr>
        <w:t>采购文件中明确的所属行业）</w:t>
      </w:r>
      <w:r>
        <w:rPr>
          <w:rFonts w:hint="eastAsia" w:ascii="楷体" w:hAnsi="楷体" w:eastAsia="楷体" w:cs="楷体"/>
          <w:color w:val="000000" w:themeColor="text1"/>
          <w:w w:val="99"/>
          <w:sz w:val="24"/>
          <w14:textFill>
            <w14:solidFill>
              <w14:schemeClr w14:val="tx1"/>
            </w14:solidFill>
          </w14:textFill>
        </w:rPr>
        <w:t>； 承建（承接）企业为</w:t>
      </w:r>
      <w:r>
        <w:rPr>
          <w:rFonts w:hint="eastAsia" w:ascii="楷体" w:hAnsi="楷体" w:eastAsia="楷体" w:cs="楷体"/>
          <w:color w:val="000000" w:themeColor="text1"/>
          <w:w w:val="96"/>
          <w:sz w:val="24"/>
          <w:u w:val="single"/>
          <w14:textFill>
            <w14:solidFill>
              <w14:schemeClr w14:val="tx1"/>
            </w14:solidFill>
          </w14:textFill>
        </w:rPr>
        <w:t>（企业名称）</w:t>
      </w:r>
      <w:r>
        <w:rPr>
          <w:rFonts w:hint="eastAsia" w:ascii="楷体" w:hAnsi="楷体" w:eastAsia="楷体" w:cs="楷体"/>
          <w:color w:val="000000" w:themeColor="text1"/>
          <w:w w:val="99"/>
          <w:sz w:val="24"/>
          <w14:textFill>
            <w14:solidFill>
              <w14:schemeClr w14:val="tx1"/>
            </w14:solidFill>
          </w14:textFill>
        </w:rPr>
        <w:t>，从业人员</w:t>
      </w:r>
      <w:r>
        <w:rPr>
          <w:rFonts w:hint="eastAsia" w:ascii="楷体" w:hAnsi="楷体" w:eastAsia="楷体" w:cs="楷体"/>
          <w:color w:val="000000" w:themeColor="text1"/>
          <w:w w:val="99"/>
          <w:sz w:val="24"/>
          <w:u w:val="single"/>
          <w14:textFill>
            <w14:solidFill>
              <w14:schemeClr w14:val="tx1"/>
            </w14:solidFill>
          </w14:textFill>
        </w:rPr>
        <w:t xml:space="preserve"> </w:t>
      </w:r>
      <w:r>
        <w:rPr>
          <w:rFonts w:hint="eastAsia" w:ascii="楷体" w:hAnsi="楷体" w:eastAsia="楷体" w:cs="楷体"/>
          <w:color w:val="000000" w:themeColor="text1"/>
          <w:sz w:val="24"/>
          <w:u w:val="single"/>
          <w14:textFill>
            <w14:solidFill>
              <w14:schemeClr w14:val="tx1"/>
            </w14:solidFill>
          </w14:textFill>
        </w:rPr>
        <w:tab/>
      </w:r>
      <w:r>
        <w:rPr>
          <w:rFonts w:hint="eastAsia" w:ascii="楷体" w:hAnsi="楷体" w:eastAsia="楷体" w:cs="楷体"/>
          <w:color w:val="000000" w:themeColor="text1"/>
          <w:w w:val="99"/>
          <w:sz w:val="24"/>
          <w14:textFill>
            <w14:solidFill>
              <w14:schemeClr w14:val="tx1"/>
            </w14:solidFill>
          </w14:textFill>
        </w:rPr>
        <w:t>人，营业</w:t>
      </w:r>
      <w:r>
        <w:rPr>
          <w:rFonts w:hint="eastAsia" w:ascii="楷体" w:hAnsi="楷体" w:eastAsia="楷体" w:cs="楷体"/>
          <w:color w:val="000000" w:themeColor="text1"/>
          <w:sz w:val="24"/>
          <w14:textFill>
            <w14:solidFill>
              <w14:schemeClr w14:val="tx1"/>
            </w14:solidFill>
          </w14:textFill>
        </w:rPr>
        <w:t>收入为</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万元，资产总额为</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万元，属于</w:t>
      </w:r>
      <w:r>
        <w:rPr>
          <w:rFonts w:hint="eastAsia" w:ascii="楷体" w:hAnsi="楷体" w:eastAsia="楷体" w:cs="楷体"/>
          <w:color w:val="000000" w:themeColor="text1"/>
          <w:sz w:val="24"/>
          <w:u w:val="single"/>
          <w14:textFill>
            <w14:solidFill>
              <w14:schemeClr w14:val="tx1"/>
            </w14:solidFill>
          </w14:textFill>
        </w:rPr>
        <w:t>（中型企业、</w:t>
      </w:r>
      <w:r>
        <w:rPr>
          <w:rFonts w:hint="eastAsia" w:ascii="楷体" w:hAnsi="楷体" w:eastAsia="楷体" w:cs="楷体"/>
          <w:color w:val="000000" w:themeColor="text1"/>
          <w:w w:val="96"/>
          <w:sz w:val="24"/>
          <w:u w:val="single"/>
          <w14:textFill>
            <w14:solidFill>
              <w14:schemeClr w14:val="tx1"/>
            </w14:solidFill>
          </w14:textFill>
        </w:rPr>
        <w:t>小型企业、微型企业）</w:t>
      </w:r>
      <w:r>
        <w:rPr>
          <w:rFonts w:hint="eastAsia" w:ascii="楷体" w:hAnsi="楷体" w:eastAsia="楷体" w:cs="楷体"/>
          <w:color w:val="000000" w:themeColor="text1"/>
          <w:w w:val="99"/>
          <w:sz w:val="24"/>
          <w14:textFill>
            <w14:solidFill>
              <w14:schemeClr w14:val="tx1"/>
            </w14:solidFill>
          </w14:textFill>
        </w:rPr>
        <w:t>；</w:t>
      </w:r>
    </w:p>
    <w:p w14:paraId="294F646D">
      <w:pPr>
        <w:pStyle w:val="19"/>
        <w:autoSpaceDE w:val="0"/>
        <w:autoSpaceDN w:val="0"/>
        <w:spacing w:before="11" w:line="360" w:lineRule="auto"/>
        <w:ind w:left="86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w:t>
      </w:r>
    </w:p>
    <w:p w14:paraId="1AA1F31B">
      <w:pPr>
        <w:pStyle w:val="19"/>
        <w:autoSpaceDE w:val="0"/>
        <w:autoSpaceDN w:val="0"/>
        <w:spacing w:before="108" w:line="360" w:lineRule="auto"/>
        <w:ind w:right="-54" w:firstLine="645"/>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5DAE2227">
      <w:pPr>
        <w:pStyle w:val="19"/>
        <w:autoSpaceDE w:val="0"/>
        <w:autoSpaceDN w:val="0"/>
        <w:spacing w:line="360" w:lineRule="auto"/>
        <w:ind w:right="-54" w:firstLine="64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本企业对上述声明内容的真实性负责。如有虚假，将依法承担相应责任。</w:t>
      </w:r>
    </w:p>
    <w:p w14:paraId="16D7FF3A">
      <w:pPr>
        <w:pStyle w:val="19"/>
        <w:autoSpaceDE w:val="0"/>
        <w:autoSpaceDN w:val="0"/>
        <w:spacing w:before="29" w:line="360" w:lineRule="auto"/>
        <w:ind w:left="4060" w:right="-54"/>
        <w:rPr>
          <w:rFonts w:ascii="楷体" w:hAnsi="楷体" w:eastAsia="楷体" w:cs="楷体"/>
          <w:color w:val="000000" w:themeColor="text1"/>
          <w:w w:val="99"/>
          <w:sz w:val="24"/>
          <w14:textFill>
            <w14:solidFill>
              <w14:schemeClr w14:val="tx1"/>
            </w14:solidFill>
          </w14:textFill>
        </w:rPr>
      </w:pPr>
      <w:r>
        <w:rPr>
          <w:rFonts w:hint="eastAsia" w:ascii="楷体" w:hAnsi="楷体" w:eastAsia="楷体" w:cs="楷体"/>
          <w:color w:val="000000" w:themeColor="text1"/>
          <w:w w:val="99"/>
          <w:sz w:val="24"/>
          <w14:textFill>
            <w14:solidFill>
              <w14:schemeClr w14:val="tx1"/>
            </w14:solidFill>
          </w14:textFill>
        </w:rPr>
        <w:t>企业名称（盖章）：</w:t>
      </w:r>
    </w:p>
    <w:p w14:paraId="5C162BED">
      <w:pPr>
        <w:pStyle w:val="19"/>
        <w:autoSpaceDE w:val="0"/>
        <w:autoSpaceDN w:val="0"/>
        <w:spacing w:before="29" w:line="360" w:lineRule="auto"/>
        <w:ind w:left="4060" w:right="-54"/>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日期：</w:t>
      </w:r>
    </w:p>
    <w:p w14:paraId="0CC294AE">
      <w:pPr>
        <w:snapToGrid w:val="0"/>
        <w:spacing w:line="360" w:lineRule="auto"/>
        <w:rPr>
          <w:rFonts w:ascii="楷体" w:hAnsi="楷体" w:eastAsia="楷体" w:cs="楷体"/>
          <w:b/>
          <w:color w:val="000000" w:themeColor="text1"/>
          <w:sz w:val="24"/>
          <w14:textFill>
            <w14:solidFill>
              <w14:schemeClr w14:val="tx1"/>
            </w14:solidFill>
          </w14:textFill>
        </w:rPr>
      </w:pPr>
    </w:p>
    <w:p w14:paraId="3F9A2A24">
      <w:pPr>
        <w:snapToGrid w:val="0"/>
        <w:spacing w:line="330" w:lineRule="exac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说明：</w:t>
      </w:r>
    </w:p>
    <w:p w14:paraId="70AF67E0">
      <w:pPr>
        <w:adjustRightInd w:val="0"/>
        <w:snapToGrid w:val="0"/>
        <w:spacing w:line="330" w:lineRule="exac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1.填写要求：</w:t>
      </w:r>
    </w:p>
    <w:p w14:paraId="6CEC1BBC">
      <w:pPr>
        <w:adjustRightInd w:val="0"/>
        <w:snapToGrid w:val="0"/>
        <w:spacing w:line="330" w:lineRule="exac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①“标的名称”、“采购文件中明确的所属行业”依据招标文件第二部分投标人须知前附表中“采购标的及其对应的中小企业划分标准所属行业”的指引，逐一填写，不得缺漏；</w:t>
      </w:r>
    </w:p>
    <w:p w14:paraId="46243AF2">
      <w:pPr>
        <w:adjustRightInd w:val="0"/>
        <w:snapToGrid w:val="0"/>
        <w:spacing w:line="330" w:lineRule="exac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②从业人员、营业收入、资产总额填报上一年度数据，无上一年度数据的新成立企业可不填报；</w:t>
      </w:r>
    </w:p>
    <w:p w14:paraId="31ACBD80">
      <w:pPr>
        <w:adjustRightInd w:val="0"/>
        <w:snapToGrid w:val="0"/>
        <w:spacing w:line="330" w:lineRule="exac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③中型企业、小型企业、微型企业等3种企业类型，结合以上数据，依据《中小企业划型标准规定》（工信部联企业〔2011〕300号）确定；</w:t>
      </w:r>
    </w:p>
    <w:p w14:paraId="6FFB400A">
      <w:pPr>
        <w:adjustRightInd w:val="0"/>
        <w:snapToGrid w:val="0"/>
        <w:spacing w:line="330" w:lineRule="exac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④投标人提供的《中小企业声明函》中，“企业类型（中型企业、小型企业、微型企业）”填写错误，构成“虚假材料谋取中标、成交的”，依法承担法律责任。</w:t>
      </w:r>
    </w:p>
    <w:p w14:paraId="1E398C00">
      <w:pPr>
        <w:adjustRightInd w:val="0"/>
        <w:snapToGrid w:val="0"/>
        <w:spacing w:line="330" w:lineRule="exact"/>
        <w:ind w:left="2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2.本项目所属行业见前附表。</w:t>
      </w:r>
    </w:p>
    <w:p w14:paraId="040844F5">
      <w:pPr>
        <w:adjustRightInd w:val="0"/>
        <w:snapToGrid w:val="0"/>
        <w:spacing w:line="330" w:lineRule="exact"/>
        <w:ind w:left="20"/>
        <w:jc w:val="left"/>
        <w:rPr>
          <w:rFonts w:ascii="楷体" w:hAnsi="楷体" w:eastAsia="楷体" w:cs="楷体"/>
          <w:b/>
          <w:bCs/>
          <w:color w:val="000000" w:themeColor="text1"/>
          <w:sz w:val="24"/>
          <w14:textFill>
            <w14:solidFill>
              <w14:schemeClr w14:val="tx1"/>
            </w14:solidFill>
          </w14:textFill>
        </w:rPr>
        <w:sectPr>
          <w:footerReference r:id="rId6" w:type="default"/>
          <w:pgSz w:w="11906" w:h="16838"/>
          <w:pgMar w:top="1247" w:right="1588" w:bottom="1089" w:left="1588" w:header="851" w:footer="992" w:gutter="0"/>
          <w:pgNumType w:fmt="numberInDash"/>
          <w:cols w:space="720" w:num="1"/>
          <w:docGrid w:linePitch="312" w:charSpace="0"/>
        </w:sectPr>
      </w:pPr>
      <w:r>
        <w:rPr>
          <w:rFonts w:hint="eastAsia" w:ascii="楷体" w:hAnsi="楷体" w:eastAsia="楷体" w:cs="楷体"/>
          <w:b/>
          <w:bCs/>
          <w:color w:val="000000" w:themeColor="text1"/>
          <w:sz w:val="24"/>
          <w14:textFill>
            <w14:solidFill>
              <w14:schemeClr w14:val="tx1"/>
            </w14:solidFill>
          </w14:textFill>
        </w:rPr>
        <w:t>3.中小企业划型标准规定（工信部联企业[2011]300号）附后。</w:t>
      </w:r>
    </w:p>
    <w:p w14:paraId="0FA74486">
      <w:pPr>
        <w:adjustRightInd w:val="0"/>
        <w:snapToGrid w:val="0"/>
        <w:spacing w:line="360" w:lineRule="auto"/>
        <w:ind w:left="20"/>
        <w:jc w:val="left"/>
        <w:rPr>
          <w:rFonts w:ascii="楷体" w:hAnsi="楷体" w:eastAsia="楷体" w:cs="楷体"/>
          <w:b/>
          <w:bCs/>
          <w:color w:val="000000" w:themeColor="text1"/>
          <w:szCs w:val="21"/>
          <w14:textFill>
            <w14:solidFill>
              <w14:schemeClr w14:val="tx1"/>
            </w14:solidFill>
          </w14:textFill>
        </w:rPr>
        <w:sectPr>
          <w:pgSz w:w="16838" w:h="11906" w:orient="landscape"/>
          <w:pgMar w:top="1587" w:right="1247" w:bottom="1587" w:left="1088" w:header="851" w:footer="992" w:gutter="0"/>
          <w:pgNumType w:fmt="numberInDash"/>
          <w:cols w:space="720" w:num="1"/>
          <w:docGrid w:linePitch="312" w:charSpace="0"/>
        </w:sectPr>
      </w:pPr>
      <w:r>
        <w:rPr>
          <w:rFonts w:hint="eastAsia" w:ascii="楷体" w:hAnsi="楷体" w:eastAsia="楷体" w:cs="楷体"/>
          <w:color w:val="000000" w:themeColor="text1"/>
          <w14:textFill>
            <w14:solidFill>
              <w14:schemeClr w14:val="tx1"/>
            </w14:solidFill>
          </w14:textFill>
        </w:rPr>
        <w:drawing>
          <wp:inline distT="0" distB="0" distL="0" distR="0">
            <wp:extent cx="9088755" cy="550037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088755" cy="5500370"/>
                    </a:xfrm>
                    <a:prstGeom prst="rect">
                      <a:avLst/>
                    </a:prstGeom>
                    <a:noFill/>
                    <a:ln>
                      <a:noFill/>
                    </a:ln>
                  </pic:spPr>
                </pic:pic>
              </a:graphicData>
            </a:graphic>
          </wp:inline>
        </w:drawing>
      </w:r>
    </w:p>
    <w:p w14:paraId="3A61C66F">
      <w:pPr>
        <w:adjustRightInd w:val="0"/>
        <w:snapToGrid w:val="0"/>
        <w:spacing w:line="360" w:lineRule="auto"/>
        <w:jc w:val="left"/>
        <w:rPr>
          <w:rFonts w:ascii="楷体" w:hAnsi="楷体" w:eastAsia="楷体" w:cs="楷体"/>
          <w:b/>
          <w:color w:val="000000" w:themeColor="text1"/>
          <w:sz w:val="24"/>
          <w14:textFill>
            <w14:solidFill>
              <w14:schemeClr w14:val="tx1"/>
            </w14:solidFill>
          </w14:textFill>
        </w:rPr>
      </w:pPr>
      <w:r>
        <w:rPr>
          <w:rFonts w:ascii="楷体" w:hAnsi="楷体" w:eastAsia="楷体" w:cs="楷体"/>
          <w:color w:val="000000" w:themeColor="text1"/>
          <w:sz w:val="24"/>
          <w14:textFill>
            <w14:solidFill>
              <w14:schemeClr w14:val="tx1"/>
            </w14:solidFill>
          </w14:textFill>
        </w:rPr>
        <w:tab/>
      </w:r>
      <w:r>
        <w:rPr>
          <w:rFonts w:hint="eastAsia" w:ascii="楷体" w:hAnsi="楷体" w:eastAsia="楷体" w:cs="楷体"/>
          <w:b/>
          <w:color w:val="000000" w:themeColor="text1"/>
          <w:sz w:val="24"/>
          <w14:textFill>
            <w14:solidFill>
              <w14:schemeClr w14:val="tx1"/>
            </w14:solidFill>
          </w14:textFill>
        </w:rPr>
        <w:t>2.3.2 投标人为监狱企业的证明文件：省级以上监狱管理局、戒毒管理局（含新疆生产建设兵团）出具（如有）</w:t>
      </w:r>
    </w:p>
    <w:p w14:paraId="2E186B3D">
      <w:pPr>
        <w:adjustRightInd w:val="0"/>
        <w:snapToGrid w:val="0"/>
        <w:spacing w:line="360" w:lineRule="auto"/>
        <w:jc w:val="left"/>
        <w:rPr>
          <w:rFonts w:ascii="楷体" w:hAnsi="楷体" w:eastAsia="楷体" w:cs="楷体"/>
          <w:color w:val="000000" w:themeColor="text1"/>
          <w:szCs w:val="21"/>
          <w14:textFill>
            <w14:solidFill>
              <w14:schemeClr w14:val="tx1"/>
            </w14:solidFill>
          </w14:textFill>
        </w:rPr>
      </w:pPr>
    </w:p>
    <w:p w14:paraId="74D9118B">
      <w:pPr>
        <w:adjustRightInd w:val="0"/>
        <w:snapToGrid w:val="0"/>
        <w:spacing w:line="360" w:lineRule="auto"/>
        <w:jc w:val="left"/>
        <w:rPr>
          <w:rFonts w:ascii="楷体" w:hAnsi="楷体" w:eastAsia="楷体" w:cs="楷体"/>
          <w:color w:val="000000" w:themeColor="text1"/>
          <w:szCs w:val="21"/>
          <w14:textFill>
            <w14:solidFill>
              <w14:schemeClr w14:val="tx1"/>
            </w14:solidFill>
          </w14:textFill>
        </w:rPr>
      </w:pPr>
      <w:r>
        <w:rPr>
          <w:rFonts w:ascii="楷体" w:hAnsi="楷体" w:eastAsia="楷体" w:cs="楷体"/>
          <w:color w:val="000000" w:themeColor="text1"/>
          <w:szCs w:val="21"/>
          <w14:textFill>
            <w14:solidFill>
              <w14:schemeClr w14:val="tx1"/>
            </w14:solidFill>
          </w14:textFill>
        </w:rPr>
        <w:br w:type="page"/>
      </w:r>
    </w:p>
    <w:p w14:paraId="57C1B479">
      <w:pPr>
        <w:tabs>
          <w:tab w:val="left" w:pos="1178"/>
        </w:tabs>
        <w:spacing w:line="360" w:lineRule="auto"/>
        <w:rPr>
          <w:rFonts w:ascii="楷体" w:hAnsi="楷体" w:eastAsia="楷体" w:cs="楷体"/>
          <w:b/>
          <w:color w:val="000000" w:themeColor="text1"/>
          <w:sz w:val="24"/>
          <w14:textFill>
            <w14:solidFill>
              <w14:schemeClr w14:val="tx1"/>
            </w14:solidFill>
          </w14:textFill>
        </w:rPr>
      </w:pPr>
      <w:r>
        <w:rPr>
          <w:rFonts w:ascii="楷体" w:hAnsi="楷体" w:eastAsia="楷体" w:cs="楷体"/>
          <w:color w:val="000000" w:themeColor="text1"/>
          <w:szCs w:val="21"/>
          <w14:textFill>
            <w14:solidFill>
              <w14:schemeClr w14:val="tx1"/>
            </w14:solidFill>
          </w14:textFill>
        </w:rPr>
        <w:tab/>
      </w:r>
      <w:r>
        <w:rPr>
          <w:rFonts w:hint="eastAsia" w:ascii="楷体" w:hAnsi="楷体" w:eastAsia="楷体" w:cs="楷体"/>
          <w:snapToGrid w:val="0"/>
          <w:color w:val="000000" w:themeColor="text1"/>
          <w:kern w:val="0"/>
          <w:sz w:val="24"/>
          <w14:textFill>
            <w14:solidFill>
              <w14:schemeClr w14:val="tx1"/>
            </w14:solidFill>
          </w14:textFill>
        </w:rPr>
        <w:t xml:space="preserve">2.3.3 </w:t>
      </w:r>
      <w:r>
        <w:rPr>
          <w:rFonts w:hint="eastAsia" w:ascii="楷体" w:hAnsi="楷体" w:eastAsia="楷体" w:cs="楷体"/>
          <w:b/>
          <w:color w:val="000000" w:themeColor="text1"/>
          <w:sz w:val="24"/>
          <w14:textFill>
            <w14:solidFill>
              <w14:schemeClr w14:val="tx1"/>
            </w14:solidFill>
          </w14:textFill>
        </w:rPr>
        <w:t>残疾人福利性单位声明函（如有）</w:t>
      </w:r>
    </w:p>
    <w:p w14:paraId="5A53C78A">
      <w:pPr>
        <w:pStyle w:val="22"/>
        <w:ind w:firstLine="0"/>
        <w:jc w:val="center"/>
        <w:rPr>
          <w:rFonts w:ascii="楷体" w:hAnsi="楷体" w:eastAsia="楷体" w:cs="楷体"/>
          <w:b/>
          <w:bCs/>
          <w:snapToGrid w:val="0"/>
          <w:color w:val="000000" w:themeColor="text1"/>
          <w:kern w:val="0"/>
          <w:sz w:val="28"/>
          <w:szCs w:val="28"/>
          <w14:textFill>
            <w14:solidFill>
              <w14:schemeClr w14:val="tx1"/>
            </w14:solidFill>
          </w14:textFill>
        </w:rPr>
      </w:pPr>
    </w:p>
    <w:p w14:paraId="4D671354">
      <w:pPr>
        <w:spacing w:line="360" w:lineRule="auto"/>
        <w:jc w:val="center"/>
        <w:rPr>
          <w:rFonts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残疾人福利性单位声明函</w:t>
      </w:r>
    </w:p>
    <w:p w14:paraId="14C4E20A">
      <w:pPr>
        <w:spacing w:line="360" w:lineRule="auto"/>
        <w:rPr>
          <w:rFonts w:ascii="楷体" w:hAnsi="楷体" w:eastAsia="楷体" w:cs="楷体"/>
          <w:b/>
          <w:color w:val="000000" w:themeColor="text1"/>
          <w:spacing w:val="6"/>
          <w:sz w:val="30"/>
          <w:szCs w:val="30"/>
          <w14:textFill>
            <w14:solidFill>
              <w14:schemeClr w14:val="tx1"/>
            </w14:solidFill>
          </w14:textFill>
        </w:rPr>
      </w:pPr>
    </w:p>
    <w:p w14:paraId="540A1F78">
      <w:pPr>
        <w:spacing w:line="360" w:lineRule="auto"/>
        <w:ind w:firstLine="504" w:firstLineChars="200"/>
        <w:rPr>
          <w:rFonts w:ascii="楷体" w:hAnsi="楷体" w:eastAsia="楷体" w:cs="楷体"/>
          <w:color w:val="000000" w:themeColor="text1"/>
          <w:spacing w:val="6"/>
          <w:sz w:val="24"/>
          <w14:textFill>
            <w14:solidFill>
              <w14:schemeClr w14:val="tx1"/>
            </w14:solidFill>
          </w14:textFill>
        </w:rPr>
      </w:pPr>
      <w:r>
        <w:rPr>
          <w:rFonts w:hint="eastAsia" w:ascii="楷体" w:hAnsi="楷体" w:eastAsia="楷体" w:cs="楷体"/>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rFonts w:hint="eastAsia" w:ascii="楷体" w:hAnsi="楷体" w:eastAsia="楷体" w:cs="楷体"/>
          <w:color w:val="000000" w:themeColor="text1"/>
          <w:sz w:val="24"/>
          <w14:textFill>
            <w14:solidFill>
              <w14:schemeClr w14:val="tx1"/>
            </w14:solidFill>
          </w14:textFill>
        </w:rPr>
        <w:t>〔2017〕 141</w:t>
      </w:r>
      <w:r>
        <w:rPr>
          <w:rFonts w:hint="eastAsia" w:ascii="楷体" w:hAnsi="楷体" w:eastAsia="楷体" w:cs="楷体"/>
          <w:color w:val="000000" w:themeColor="text1"/>
          <w:spacing w:val="6"/>
          <w:sz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DBA25A">
      <w:pPr>
        <w:spacing w:line="360" w:lineRule="auto"/>
        <w:ind w:firstLine="504" w:firstLineChars="200"/>
        <w:rPr>
          <w:rFonts w:ascii="楷体" w:hAnsi="楷体" w:eastAsia="楷体" w:cs="楷体"/>
          <w:color w:val="000000" w:themeColor="text1"/>
          <w:spacing w:val="6"/>
          <w:sz w:val="24"/>
          <w14:textFill>
            <w14:solidFill>
              <w14:schemeClr w14:val="tx1"/>
            </w14:solidFill>
          </w14:textFill>
        </w:rPr>
      </w:pPr>
      <w:r>
        <w:rPr>
          <w:rFonts w:hint="eastAsia" w:ascii="楷体" w:hAnsi="楷体" w:eastAsia="楷体" w:cs="楷体"/>
          <w:color w:val="000000" w:themeColor="text1"/>
          <w:spacing w:val="6"/>
          <w:sz w:val="24"/>
          <w14:textFill>
            <w14:solidFill>
              <w14:schemeClr w14:val="tx1"/>
            </w14:solidFill>
          </w14:textFill>
        </w:rPr>
        <w:t>本单位对上述声明的真实性负责。如有虚假，将依法承担相应责任。</w:t>
      </w:r>
    </w:p>
    <w:p w14:paraId="66687549">
      <w:pPr>
        <w:spacing w:line="360" w:lineRule="auto"/>
        <w:ind w:firstLine="504" w:firstLineChars="200"/>
        <w:rPr>
          <w:rFonts w:ascii="楷体" w:hAnsi="楷体" w:eastAsia="楷体" w:cs="楷体"/>
          <w:color w:val="000000" w:themeColor="text1"/>
          <w:spacing w:val="6"/>
          <w:sz w:val="24"/>
          <w14:textFill>
            <w14:solidFill>
              <w14:schemeClr w14:val="tx1"/>
            </w14:solidFill>
          </w14:textFill>
        </w:rPr>
      </w:pPr>
    </w:p>
    <w:p w14:paraId="3533F74F">
      <w:pPr>
        <w:spacing w:line="360" w:lineRule="auto"/>
        <w:ind w:firstLine="504" w:firstLineChars="200"/>
        <w:rPr>
          <w:rFonts w:ascii="楷体" w:hAnsi="楷体" w:eastAsia="楷体" w:cs="楷体"/>
          <w:color w:val="000000" w:themeColor="text1"/>
          <w:spacing w:val="6"/>
          <w:sz w:val="24"/>
          <w14:textFill>
            <w14:solidFill>
              <w14:schemeClr w14:val="tx1"/>
            </w14:solidFill>
          </w14:textFill>
        </w:rPr>
      </w:pPr>
    </w:p>
    <w:p w14:paraId="78EBBF14">
      <w:pPr>
        <w:tabs>
          <w:tab w:val="left" w:pos="4860"/>
        </w:tabs>
        <w:spacing w:line="360" w:lineRule="auto"/>
        <w:ind w:right="1560" w:firstLine="504" w:firstLineChars="200"/>
        <w:jc w:val="center"/>
        <w:rPr>
          <w:rFonts w:ascii="楷体" w:hAnsi="楷体" w:eastAsia="楷体" w:cs="楷体"/>
          <w:color w:val="000000" w:themeColor="text1"/>
          <w:spacing w:val="6"/>
          <w:sz w:val="24"/>
          <w14:textFill>
            <w14:solidFill>
              <w14:schemeClr w14:val="tx1"/>
            </w14:solidFill>
          </w14:textFill>
        </w:rPr>
      </w:pPr>
      <w:r>
        <w:rPr>
          <w:rFonts w:hint="eastAsia" w:ascii="楷体" w:hAnsi="楷体" w:eastAsia="楷体" w:cs="楷体"/>
          <w:color w:val="000000" w:themeColor="text1"/>
          <w:spacing w:val="6"/>
          <w:sz w:val="24"/>
          <w14:textFill>
            <w14:solidFill>
              <w14:schemeClr w14:val="tx1"/>
            </w14:solidFill>
          </w14:textFill>
        </w:rPr>
        <w:t xml:space="preserve">               单位名称（盖公章或电子签章）：</w:t>
      </w:r>
    </w:p>
    <w:p w14:paraId="198EB4A7">
      <w:pPr>
        <w:tabs>
          <w:tab w:val="left" w:pos="4860"/>
        </w:tabs>
        <w:spacing w:line="360" w:lineRule="auto"/>
        <w:ind w:right="1560" w:firstLine="504" w:firstLineChars="200"/>
        <w:jc w:val="center"/>
        <w:rPr>
          <w:rFonts w:ascii="楷体" w:hAnsi="楷体" w:eastAsia="楷体" w:cs="楷体"/>
          <w:color w:val="000000" w:themeColor="text1"/>
          <w:spacing w:val="6"/>
          <w:sz w:val="24"/>
          <w14:textFill>
            <w14:solidFill>
              <w14:schemeClr w14:val="tx1"/>
            </w14:solidFill>
          </w14:textFill>
        </w:rPr>
      </w:pPr>
      <w:r>
        <w:rPr>
          <w:rFonts w:hint="eastAsia" w:ascii="楷体" w:hAnsi="楷体" w:eastAsia="楷体" w:cs="楷体"/>
          <w:color w:val="000000" w:themeColor="text1"/>
          <w:spacing w:val="6"/>
          <w:sz w:val="24"/>
          <w14:textFill>
            <w14:solidFill>
              <w14:schemeClr w14:val="tx1"/>
            </w14:solidFill>
          </w14:textFill>
        </w:rPr>
        <w:t xml:space="preserve">      日  期：</w:t>
      </w:r>
    </w:p>
    <w:p w14:paraId="584D1A59">
      <w:pPr>
        <w:pStyle w:val="22"/>
        <w:rPr>
          <w:rFonts w:ascii="楷体" w:hAnsi="楷体" w:eastAsia="楷体" w:cs="楷体"/>
          <w:color w:val="000000" w:themeColor="text1"/>
          <w:lang w:val="zh-CN"/>
          <w14:textFill>
            <w14:solidFill>
              <w14:schemeClr w14:val="tx1"/>
            </w14:solidFill>
          </w14:textFill>
        </w:rPr>
      </w:pPr>
    </w:p>
    <w:p w14:paraId="6E7CFD8D">
      <w:pPr>
        <w:tabs>
          <w:tab w:val="left" w:pos="4860"/>
        </w:tabs>
        <w:spacing w:line="360" w:lineRule="auto"/>
        <w:ind w:right="1560"/>
        <w:rPr>
          <w:rFonts w:ascii="楷体" w:hAnsi="楷体" w:eastAsia="楷体" w:cs="楷体"/>
          <w:color w:val="000000" w:themeColor="text1"/>
          <w14:textFill>
            <w14:solidFill>
              <w14:schemeClr w14:val="tx1"/>
            </w14:solidFill>
          </w14:textFill>
        </w:rPr>
        <w:sectPr>
          <w:pgSz w:w="11906" w:h="16838"/>
          <w:pgMar w:top="1247" w:right="1587" w:bottom="1088" w:left="1587" w:header="851" w:footer="992" w:gutter="0"/>
          <w:pgNumType w:fmt="numberInDash"/>
          <w:cols w:space="720" w:num="1"/>
          <w:docGrid w:linePitch="312" w:charSpace="0"/>
        </w:sectPr>
      </w:pPr>
    </w:p>
    <w:p w14:paraId="6FFCD9A5">
      <w:pPr>
        <w:tabs>
          <w:tab w:val="left" w:pos="720"/>
        </w:tabs>
        <w:adjustRightInd w:val="0"/>
        <w:snapToGrid w:val="0"/>
        <w:spacing w:line="360" w:lineRule="auto"/>
        <w:jc w:val="left"/>
        <w:rPr>
          <w:rFonts w:ascii="楷体" w:hAnsi="楷体" w:eastAsia="楷体" w:cs="楷体"/>
          <w:b/>
          <w:snapToGrid w:val="0"/>
          <w:color w:val="000000" w:themeColor="text1"/>
          <w:kern w:val="0"/>
          <w:szCs w:val="21"/>
          <w14:textFill>
            <w14:solidFill>
              <w14:schemeClr w14:val="tx1"/>
            </w14:solidFill>
          </w14:textFill>
        </w:rPr>
      </w:pPr>
    </w:p>
    <w:p w14:paraId="03CC2B36">
      <w:pPr>
        <w:tabs>
          <w:tab w:val="left" w:pos="720"/>
        </w:tabs>
        <w:adjustRightInd w:val="0"/>
        <w:snapToGrid w:val="0"/>
        <w:spacing w:line="360" w:lineRule="auto"/>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2.4特定资格条件对应的证明</w:t>
      </w:r>
      <w:r>
        <w:rPr>
          <w:rFonts w:hint="eastAsia" w:ascii="楷体" w:hAnsi="楷体" w:eastAsia="楷体" w:cs="楷体"/>
          <w:b/>
          <w:snapToGrid w:val="0"/>
          <w:color w:val="000000" w:themeColor="text1"/>
          <w:kern w:val="0"/>
          <w:sz w:val="24"/>
          <w14:textFill>
            <w14:solidFill>
              <w14:schemeClr w14:val="tx1"/>
            </w14:solidFill>
          </w14:textFill>
        </w:rPr>
        <w:t>材料（</w:t>
      </w:r>
      <w:r>
        <w:rPr>
          <w:rFonts w:hint="eastAsia" w:ascii="楷体" w:hAnsi="楷体" w:eastAsia="楷体" w:cs="楷体"/>
          <w:b/>
          <w:color w:val="000000" w:themeColor="text1"/>
          <w:kern w:val="0"/>
          <w:sz w:val="24"/>
          <w14:textFill>
            <w14:solidFill>
              <w14:schemeClr w14:val="tx1"/>
            </w14:solidFill>
          </w14:textFill>
        </w:rPr>
        <w:t>提供以下资质证书扫描件加盖公章</w:t>
      </w:r>
      <w:r>
        <w:rPr>
          <w:rFonts w:hint="eastAsia" w:ascii="楷体" w:hAnsi="楷体" w:eastAsia="楷体" w:cs="楷体"/>
          <w:b/>
          <w:snapToGrid w:val="0"/>
          <w:color w:val="000000" w:themeColor="text1"/>
          <w:kern w:val="0"/>
          <w:sz w:val="24"/>
          <w14:textFill>
            <w14:solidFill>
              <w14:schemeClr w14:val="tx1"/>
            </w14:solidFill>
          </w14:textFill>
        </w:rPr>
        <w:t>）：</w:t>
      </w:r>
      <w:r>
        <w:rPr>
          <w:rFonts w:hint="eastAsia" w:ascii="楷体" w:hAnsi="楷体" w:eastAsia="楷体" w:cs="楷体"/>
          <w:color w:val="000000" w:themeColor="text1"/>
          <w:kern w:val="0"/>
          <w:sz w:val="24"/>
          <w14:textFill>
            <w14:solidFill>
              <w14:schemeClr w14:val="tx1"/>
            </w14:solidFill>
          </w14:textFill>
        </w:rPr>
        <w:t>1）标项</w:t>
      </w:r>
      <w:r>
        <w:rPr>
          <w:rFonts w:ascii="楷体" w:hAnsi="楷体" w:eastAsia="楷体" w:cs="楷体"/>
          <w:color w:val="000000" w:themeColor="text1"/>
          <w:kern w:val="0"/>
          <w:sz w:val="24"/>
          <w14:textFill>
            <w14:solidFill>
              <w14:schemeClr w14:val="tx1"/>
            </w14:solidFill>
          </w14:textFill>
        </w:rPr>
        <w:t>1</w:t>
      </w:r>
      <w:r>
        <w:rPr>
          <w:rFonts w:hint="eastAsia" w:ascii="楷体" w:hAnsi="楷体" w:eastAsia="楷体" w:cs="楷体"/>
          <w:color w:val="000000" w:themeColor="text1"/>
          <w:kern w:val="0"/>
          <w:sz w:val="24"/>
          <w14:textFill>
            <w14:solidFill>
              <w14:schemeClr w14:val="tx1"/>
            </w14:solidFill>
          </w14:textFill>
        </w:rPr>
        <w:t>：具备国家相关部门颁发的水利工程施工监理乙级及以上资质（水利工程施工监理专业为丙级资质，资质证书仍在有效期内视同水利工程施工监理专业乙级。）</w:t>
      </w:r>
      <w:r>
        <w:rPr>
          <w:rFonts w:ascii="楷体" w:hAnsi="楷体" w:eastAsia="楷体" w:cs="楷体"/>
          <w:color w:val="000000" w:themeColor="text1"/>
          <w:kern w:val="0"/>
          <w:sz w:val="24"/>
          <w14:textFill>
            <w14:solidFill>
              <w14:schemeClr w14:val="tx1"/>
            </w14:solidFill>
          </w14:textFill>
        </w:rPr>
        <w:t>2</w:t>
      </w:r>
      <w:r>
        <w:rPr>
          <w:rFonts w:hint="eastAsia" w:ascii="楷体" w:hAnsi="楷体" w:eastAsia="楷体" w:cs="楷体"/>
          <w:color w:val="000000" w:themeColor="text1"/>
          <w:kern w:val="0"/>
          <w:sz w:val="24"/>
          <w14:textFill>
            <w14:solidFill>
              <w14:schemeClr w14:val="tx1"/>
            </w14:solidFill>
          </w14:textFill>
        </w:rPr>
        <w:t>）标项</w:t>
      </w:r>
      <w:r>
        <w:rPr>
          <w:rFonts w:ascii="楷体" w:hAnsi="楷体" w:eastAsia="楷体" w:cs="楷体"/>
          <w:color w:val="000000" w:themeColor="text1"/>
          <w:kern w:val="0"/>
          <w:sz w:val="24"/>
          <w14:textFill>
            <w14:solidFill>
              <w14:schemeClr w14:val="tx1"/>
            </w14:solidFill>
          </w14:textFill>
        </w:rPr>
        <w:t>2</w:t>
      </w:r>
      <w:r>
        <w:rPr>
          <w:rFonts w:hint="eastAsia" w:ascii="楷体" w:hAnsi="楷体" w:eastAsia="楷体" w:cs="楷体"/>
          <w:color w:val="000000" w:themeColor="text1"/>
          <w:kern w:val="0"/>
          <w:sz w:val="24"/>
          <w14:textFill>
            <w14:solidFill>
              <w14:schemeClr w14:val="tx1"/>
            </w14:solidFill>
          </w14:textFill>
        </w:rPr>
        <w:t>：具备工程监理综合资质或市政公用工程监理乙级及以上资质；</w:t>
      </w:r>
      <w:r>
        <w:rPr>
          <w:rFonts w:ascii="楷体" w:hAnsi="楷体" w:eastAsia="楷体" w:cs="楷体"/>
          <w:color w:val="000000" w:themeColor="text1"/>
          <w:kern w:val="0"/>
          <w:sz w:val="24"/>
          <w14:textFill>
            <w14:solidFill>
              <w14:schemeClr w14:val="tx1"/>
            </w14:solidFill>
          </w14:textFill>
        </w:rPr>
        <w:t>3</w:t>
      </w:r>
      <w:r>
        <w:rPr>
          <w:rFonts w:hint="eastAsia" w:ascii="楷体" w:hAnsi="楷体" w:eastAsia="楷体" w:cs="楷体"/>
          <w:color w:val="000000" w:themeColor="text1"/>
          <w:kern w:val="0"/>
          <w:sz w:val="24"/>
          <w14:textFill>
            <w14:solidFill>
              <w14:schemeClr w14:val="tx1"/>
            </w14:solidFill>
          </w14:textFill>
        </w:rPr>
        <w:t>） 标项</w:t>
      </w:r>
      <w:r>
        <w:rPr>
          <w:rFonts w:ascii="楷体" w:hAnsi="楷体" w:eastAsia="楷体" w:cs="楷体"/>
          <w:color w:val="000000" w:themeColor="text1"/>
          <w:kern w:val="0"/>
          <w:sz w:val="24"/>
          <w14:textFill>
            <w14:solidFill>
              <w14:schemeClr w14:val="tx1"/>
            </w14:solidFill>
          </w14:textFill>
        </w:rPr>
        <w:t>3</w:t>
      </w:r>
      <w:r>
        <w:rPr>
          <w:rFonts w:hint="eastAsia" w:ascii="楷体" w:hAnsi="楷体" w:eastAsia="楷体" w:cs="楷体"/>
          <w:color w:val="000000" w:themeColor="text1"/>
          <w:kern w:val="0"/>
          <w:sz w:val="24"/>
          <w14:textFill>
            <w14:solidFill>
              <w14:schemeClr w14:val="tx1"/>
            </w14:solidFill>
          </w14:textFill>
        </w:rPr>
        <w:t>：具有交通运输主管部门颁发的公路工程乙级及以上资质；</w:t>
      </w:r>
      <w:r>
        <w:rPr>
          <w:rFonts w:ascii="楷体" w:hAnsi="楷体" w:eastAsia="楷体" w:cs="楷体"/>
          <w:b/>
          <w:bCs/>
          <w:color w:val="000000" w:themeColor="text1"/>
          <w:sz w:val="24"/>
          <w14:textFill>
            <w14:solidFill>
              <w14:schemeClr w14:val="tx1"/>
            </w14:solidFill>
          </w14:textFill>
        </w:rPr>
        <w:t xml:space="preserve"> </w:t>
      </w:r>
    </w:p>
    <w:p w14:paraId="6FDAB993">
      <w:pPr>
        <w:widowControl/>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br w:type="page"/>
      </w:r>
      <w:r>
        <w:rPr>
          <w:rFonts w:hint="eastAsia" w:ascii="楷体" w:hAnsi="楷体" w:eastAsia="楷体" w:cs="楷体"/>
          <w:b/>
          <w:snapToGrid w:val="0"/>
          <w:color w:val="000000" w:themeColor="text1"/>
          <w:kern w:val="0"/>
          <w:sz w:val="24"/>
          <w14:textFill>
            <w14:solidFill>
              <w14:schemeClr w14:val="tx1"/>
            </w14:solidFill>
          </w14:textFill>
        </w:rPr>
        <w:t>2.5 联合体协议（如有）</w:t>
      </w:r>
    </w:p>
    <w:p w14:paraId="2D733846">
      <w:pPr>
        <w:widowControl/>
        <w:spacing w:line="360" w:lineRule="auto"/>
        <w:ind w:firstLine="470" w:firstLineChars="196"/>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以联合体形式参加的，提供联合协议和中小企业声明函，联合协议中中小企业合同金额应当达到招标公告载明的比例；如果供应商本身提供所有标的均由中小企业制造或承接的，视同符合了资格条件，无需再与其他中小企业组成联合体参加政府采购活动，无需提供联合协议。</w:t>
      </w:r>
    </w:p>
    <w:p w14:paraId="1136668C">
      <w:pPr>
        <w:snapToGrid w:val="0"/>
        <w:spacing w:before="50" w:after="50" w:line="360" w:lineRule="auto"/>
        <w:jc w:val="center"/>
        <w:rPr>
          <w:rFonts w:ascii="楷体" w:hAnsi="楷体" w:eastAsia="楷体" w:cs="楷体"/>
          <w:b/>
          <w:color w:val="000000" w:themeColor="text1"/>
          <w:kern w:val="0"/>
          <w:sz w:val="32"/>
          <w:szCs w:val="32"/>
          <w:lang w:val="zh-CN"/>
          <w14:textFill>
            <w14:solidFill>
              <w14:schemeClr w14:val="tx1"/>
            </w14:solidFill>
          </w14:textFill>
        </w:rPr>
      </w:pPr>
      <w:r>
        <w:rPr>
          <w:rFonts w:hint="eastAsia" w:ascii="楷体" w:hAnsi="楷体" w:eastAsia="楷体" w:cs="楷体"/>
          <w:b/>
          <w:color w:val="000000" w:themeColor="text1"/>
          <w:kern w:val="0"/>
          <w:sz w:val="32"/>
          <w:szCs w:val="32"/>
          <w:lang w:val="zh-CN"/>
          <w14:textFill>
            <w14:solidFill>
              <w14:schemeClr w14:val="tx1"/>
            </w14:solidFill>
          </w14:textFill>
        </w:rPr>
        <w:t>联合协议</w:t>
      </w:r>
    </w:p>
    <w:p w14:paraId="015AB67B">
      <w:pPr>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u w:val="single"/>
          <w14:textFill>
            <w14:solidFill>
              <w14:schemeClr w14:val="tx1"/>
            </w14:solidFill>
          </w14:textFill>
        </w:rPr>
        <w:t>（联合体所有成员名称）</w:t>
      </w:r>
      <w:r>
        <w:rPr>
          <w:rFonts w:hint="eastAsia" w:ascii="楷体" w:hAnsi="楷体" w:eastAsia="楷体" w:cs="楷体"/>
          <w:color w:val="000000" w:themeColor="text1"/>
          <w:kern w:val="0"/>
          <w:sz w:val="24"/>
          <w14:textFill>
            <w14:solidFill>
              <w14:schemeClr w14:val="tx1"/>
            </w14:solidFill>
          </w14:textFill>
        </w:rPr>
        <w:t>自愿</w:t>
      </w:r>
      <w:r>
        <w:rPr>
          <w:rFonts w:hint="eastAsia" w:ascii="楷体" w:hAnsi="楷体" w:eastAsia="楷体" w:cs="楷体"/>
          <w:color w:val="000000" w:themeColor="text1"/>
          <w:kern w:val="0"/>
          <w:sz w:val="24"/>
          <w:lang w:val="zh-CN"/>
          <w14:textFill>
            <w14:solidFill>
              <w14:schemeClr w14:val="tx1"/>
            </w14:solidFill>
          </w14:textFill>
        </w:rPr>
        <w:t>组成一个联合体，以一个投标人的身份</w:t>
      </w:r>
      <w:r>
        <w:rPr>
          <w:rFonts w:hint="eastAsia" w:ascii="楷体" w:hAnsi="楷体" w:eastAsia="楷体" w:cs="楷体"/>
          <w:color w:val="000000" w:themeColor="text1"/>
          <w:kern w:val="0"/>
          <w:sz w:val="24"/>
          <w14:textFill>
            <w14:solidFill>
              <w14:schemeClr w14:val="tx1"/>
            </w14:solidFill>
          </w14:textFill>
        </w:rPr>
        <w:t>参加</w:t>
      </w:r>
      <w:r>
        <w:rPr>
          <w:rFonts w:hint="eastAsia" w:ascii="楷体" w:hAnsi="楷体" w:eastAsia="楷体" w:cs="楷体"/>
          <w:color w:val="000000" w:themeColor="text1"/>
          <w:sz w:val="24"/>
          <w14:textFill>
            <w14:solidFill>
              <w14:schemeClr w14:val="tx1"/>
            </w14:solidFill>
          </w14:textFill>
        </w:rPr>
        <w:t>（项目名称）【招标编号：（采购编号）】</w:t>
      </w:r>
      <w:r>
        <w:rPr>
          <w:rFonts w:hint="eastAsia" w:ascii="楷体" w:hAnsi="楷体" w:eastAsia="楷体" w:cs="楷体"/>
          <w:color w:val="000000" w:themeColor="text1"/>
          <w:kern w:val="0"/>
          <w:sz w:val="24"/>
          <w:lang w:val="zh-CN"/>
          <w14:textFill>
            <w14:solidFill>
              <w14:schemeClr w14:val="tx1"/>
            </w14:solidFill>
          </w14:textFill>
        </w:rPr>
        <w:t xml:space="preserve">投标。 </w:t>
      </w:r>
    </w:p>
    <w:p w14:paraId="5F10B142">
      <w:pPr>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一、各方一致决定，</w:t>
      </w:r>
      <w:r>
        <w:rPr>
          <w:rFonts w:hint="eastAsia" w:ascii="楷体" w:hAnsi="楷体" w:eastAsia="楷体" w:cs="楷体"/>
          <w:color w:val="000000" w:themeColor="text1"/>
          <w:kern w:val="0"/>
          <w:sz w:val="24"/>
          <w:u w:val="single"/>
          <w14:textFill>
            <w14:solidFill>
              <w14:schemeClr w14:val="tx1"/>
            </w14:solidFill>
          </w14:textFill>
        </w:rPr>
        <w:t>（某联合体成员名称）</w:t>
      </w:r>
      <w:r>
        <w:rPr>
          <w:rFonts w:hint="eastAsia" w:ascii="楷体" w:hAnsi="楷体" w:eastAsia="楷体" w:cs="楷体"/>
          <w:color w:val="000000" w:themeColor="text1"/>
          <w:kern w:val="0"/>
          <w:sz w:val="24"/>
          <w14:textFill>
            <w14:solidFill>
              <w14:schemeClr w14:val="tx1"/>
            </w14:solidFill>
          </w14:textFill>
        </w:rPr>
        <w:t>为联合体</w:t>
      </w:r>
      <w:r>
        <w:rPr>
          <w:rFonts w:hint="eastAsia" w:ascii="楷体" w:hAnsi="楷体" w:eastAsia="楷体" w:cs="楷体"/>
          <w:color w:val="000000" w:themeColor="text1"/>
          <w:kern w:val="0"/>
          <w:sz w:val="24"/>
          <w:lang w:val="zh-CN"/>
          <w14:textFill>
            <w14:solidFill>
              <w14:schemeClr w14:val="tx1"/>
            </w14:solidFill>
          </w14:textFill>
        </w:rPr>
        <w:t>牵头人</w:t>
      </w:r>
      <w:r>
        <w:rPr>
          <w:rFonts w:hint="eastAsia" w:ascii="楷体" w:hAnsi="楷体" w:eastAsia="楷体" w:cs="楷体"/>
          <w:color w:val="000000" w:themeColor="text1"/>
          <w:sz w:val="24"/>
          <w14:textFill>
            <w14:solidFill>
              <w14:schemeClr w14:val="tx1"/>
            </w14:solidFill>
          </w14:textFill>
        </w:rPr>
        <w:t>，代表所有联合体成员负责投标和合同实施阶段的主办、协调工作</w:t>
      </w:r>
      <w:r>
        <w:rPr>
          <w:rFonts w:hint="eastAsia" w:ascii="楷体" w:hAnsi="楷体" w:eastAsia="楷体" w:cs="楷体"/>
          <w:color w:val="000000" w:themeColor="text1"/>
          <w:kern w:val="0"/>
          <w:sz w:val="24"/>
          <w:lang w:val="zh-CN"/>
          <w14:textFill>
            <w14:solidFill>
              <w14:schemeClr w14:val="tx1"/>
            </w14:solidFill>
          </w14:textFill>
        </w:rPr>
        <w:t>。</w:t>
      </w:r>
    </w:p>
    <w:p w14:paraId="5BD5C841">
      <w:pPr>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二、</w:t>
      </w:r>
      <w:r>
        <w:rPr>
          <w:rFonts w:hint="eastAsia" w:ascii="楷体" w:hAnsi="楷体" w:eastAsia="楷体" w:cs="楷体"/>
          <w:color w:val="000000" w:themeColor="text1"/>
          <w:sz w:val="24"/>
          <w14:textFill>
            <w14:solidFill>
              <w14:schemeClr w14:val="tx1"/>
            </w14:solidFill>
          </w14:textFill>
        </w:rPr>
        <w:t>所有联合体成员各方签署授权书，授权书载明的</w:t>
      </w:r>
      <w:r>
        <w:rPr>
          <w:rFonts w:hint="eastAsia" w:ascii="楷体" w:hAnsi="楷体" w:eastAsia="楷体" w:cs="楷体"/>
          <w:color w:val="000000" w:themeColor="text1"/>
          <w:kern w:val="0"/>
          <w:sz w:val="24"/>
          <w:lang w:val="zh-CN"/>
          <w14:textFill>
            <w14:solidFill>
              <w14:schemeClr w14:val="tx1"/>
            </w14:solidFill>
          </w14:textFill>
        </w:rPr>
        <w:t>授权代表根据招标文件规定及投标内容而对采购人、采购代理机构所作的任何合法承诺，包括书面澄清及相应等均对联合投标各方产生约束力。</w:t>
      </w:r>
    </w:p>
    <w:p w14:paraId="21821204">
      <w:pPr>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三、本次联合投标中，分工如下：</w:t>
      </w:r>
      <w:r>
        <w:rPr>
          <w:rFonts w:hint="eastAsia" w:ascii="楷体" w:hAnsi="楷体" w:eastAsia="楷体" w:cs="楷体"/>
          <w:color w:val="000000" w:themeColor="text1"/>
          <w:kern w:val="0"/>
          <w:sz w:val="24"/>
          <w:u w:val="single"/>
          <w14:textFill>
            <w14:solidFill>
              <w14:schemeClr w14:val="tx1"/>
            </w14:solidFill>
          </w14:textFill>
        </w:rPr>
        <w:t>（联合体其中一方成员名称）</w:t>
      </w:r>
      <w:r>
        <w:rPr>
          <w:rFonts w:hint="eastAsia" w:ascii="楷体" w:hAnsi="楷体" w:eastAsia="楷体" w:cs="楷体"/>
          <w:color w:val="000000" w:themeColor="text1"/>
          <w:kern w:val="0"/>
          <w:sz w:val="24"/>
          <w:lang w:val="zh-CN"/>
          <w14:textFill>
            <w14:solidFill>
              <w14:schemeClr w14:val="tx1"/>
            </w14:solidFill>
          </w14:textFill>
        </w:rPr>
        <w:t>承担的工作和义务为：</w:t>
      </w:r>
      <w:r>
        <w:rPr>
          <w:rFonts w:hint="eastAsia" w:ascii="楷体" w:hAnsi="楷体" w:eastAsia="楷体" w:cs="楷体"/>
          <w:color w:val="000000" w:themeColor="text1"/>
          <w:u w:val="single"/>
          <w14:textFill>
            <w14:solidFill>
              <w14:schemeClr w14:val="tx1"/>
            </w14:solidFill>
          </w14:textFill>
        </w:rPr>
        <w:t xml:space="preserve">             </w:t>
      </w:r>
      <w:r>
        <w:rPr>
          <w:rFonts w:hint="eastAsia" w:ascii="楷体" w:hAnsi="楷体" w:eastAsia="楷体" w:cs="楷体"/>
          <w:color w:val="000000" w:themeColor="text1"/>
          <w:kern w:val="0"/>
          <w:sz w:val="24"/>
          <w:lang w:val="zh-CN"/>
          <w14:textFill>
            <w14:solidFill>
              <w14:schemeClr w14:val="tx1"/>
            </w14:solidFill>
          </w14:textFill>
        </w:rPr>
        <w:t>；</w:t>
      </w:r>
      <w:r>
        <w:rPr>
          <w:rFonts w:hint="eastAsia" w:ascii="楷体" w:hAnsi="楷体" w:eastAsia="楷体" w:cs="楷体"/>
          <w:color w:val="000000" w:themeColor="text1"/>
          <w:kern w:val="0"/>
          <w:sz w:val="24"/>
          <w:u w:val="single"/>
          <w14:textFill>
            <w14:solidFill>
              <w14:schemeClr w14:val="tx1"/>
            </w14:solidFill>
          </w14:textFill>
        </w:rPr>
        <w:t>（联合体其中一方成员名称）</w:t>
      </w:r>
      <w:r>
        <w:rPr>
          <w:rFonts w:hint="eastAsia" w:ascii="楷体" w:hAnsi="楷体" w:eastAsia="楷体" w:cs="楷体"/>
          <w:color w:val="000000" w:themeColor="text1"/>
          <w:kern w:val="0"/>
          <w:sz w:val="24"/>
          <w:lang w:val="zh-CN"/>
          <w14:textFill>
            <w14:solidFill>
              <w14:schemeClr w14:val="tx1"/>
            </w14:solidFill>
          </w14:textFill>
        </w:rPr>
        <w:t>承担的工作和义务为：</w:t>
      </w:r>
      <w:r>
        <w:rPr>
          <w:rFonts w:hint="eastAsia" w:ascii="楷体" w:hAnsi="楷体" w:eastAsia="楷体" w:cs="楷体"/>
          <w:color w:val="000000" w:themeColor="text1"/>
          <w:u w:val="single"/>
          <w14:textFill>
            <w14:solidFill>
              <w14:schemeClr w14:val="tx1"/>
            </w14:solidFill>
          </w14:textFill>
        </w:rPr>
        <w:t xml:space="preserve">            </w:t>
      </w:r>
      <w:r>
        <w:rPr>
          <w:rFonts w:hint="eastAsia" w:ascii="楷体" w:hAnsi="楷体" w:eastAsia="楷体" w:cs="楷体"/>
          <w:color w:val="000000" w:themeColor="text1"/>
          <w:kern w:val="0"/>
          <w:sz w:val="24"/>
          <w:lang w:val="zh-CN"/>
          <w14:textFill>
            <w14:solidFill>
              <w14:schemeClr w14:val="tx1"/>
            </w14:solidFill>
          </w14:textFill>
        </w:rPr>
        <w:t xml:space="preserve"> ；……。</w:t>
      </w:r>
    </w:p>
    <w:p w14:paraId="36EA06F3">
      <w:pPr>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四、</w:t>
      </w:r>
      <w:r>
        <w:rPr>
          <w:rFonts w:hint="eastAsia" w:ascii="楷体" w:hAnsi="楷体" w:eastAsia="楷体" w:cs="楷体"/>
          <w:color w:val="000000" w:themeColor="text1"/>
          <w:sz w:val="24"/>
          <w14:textFill>
            <w14:solidFill>
              <w14:schemeClr w14:val="tx1"/>
            </w14:solidFill>
          </w14:textFill>
        </w:rPr>
        <w:t>中小企业合同金额达到</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%，小微企业合同金额达到</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w:t>
      </w:r>
      <w:r>
        <w:rPr>
          <w:rFonts w:hint="eastAsia" w:ascii="楷体" w:hAnsi="楷体" w:eastAsia="楷体" w:cs="楷体"/>
          <w:color w:val="000000" w:themeColor="text1"/>
          <w:kern w:val="0"/>
          <w:sz w:val="24"/>
          <w:lang w:val="zh-CN"/>
          <w14:textFill>
            <w14:solidFill>
              <w14:schemeClr w14:val="tx1"/>
            </w14:solidFill>
          </w14:textFill>
        </w:rPr>
        <w:t>。</w:t>
      </w:r>
    </w:p>
    <w:p w14:paraId="16927EEF">
      <w:pPr>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五、如果中标，</w:t>
      </w:r>
      <w:r>
        <w:rPr>
          <w:rFonts w:hint="eastAsia" w:ascii="楷体" w:hAnsi="楷体" w:eastAsia="楷体" w:cs="楷体"/>
          <w:color w:val="000000" w:themeColor="text1"/>
          <w:sz w:val="24"/>
          <w14:textFill>
            <w14:solidFill>
              <w14:schemeClr w14:val="tx1"/>
            </w14:solidFill>
          </w14:textFill>
        </w:rPr>
        <w:t>联合体各成员方共同与采购人签订合同，并就采购合同约定的事项对采购人承担连带责任。</w:t>
      </w:r>
    </w:p>
    <w:p w14:paraId="659F6205">
      <w:pPr>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六、有关本次联合投标的其他事宜：</w:t>
      </w:r>
    </w:p>
    <w:p w14:paraId="4FFDE646">
      <w:pPr>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1、联合体各方不再单独参加或者与其他供应商另外组成联合体参加同一合同项下的政府采购活动。</w:t>
      </w:r>
    </w:p>
    <w:p w14:paraId="10F24035">
      <w:pPr>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2、联合体中有同类资质的各方按照联合体分工承担相同工作的，按照资质等级较低的供应商确定资质等级。</w:t>
      </w:r>
    </w:p>
    <w:p w14:paraId="6528E717">
      <w:pPr>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3、本协议提交采购人、采购代理机构后，联合体各方不得以任何形式对上述内容进行修改或撤销。</w:t>
      </w:r>
    </w:p>
    <w:p w14:paraId="1F00BE7F">
      <w:pPr>
        <w:snapToGrid w:val="0"/>
        <w:spacing w:line="360" w:lineRule="auto"/>
        <w:ind w:firstLine="5040" w:firstLineChars="2100"/>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联合体成员名称(电子签名/公章)：</w:t>
      </w:r>
    </w:p>
    <w:p w14:paraId="4875BDEF">
      <w:pPr>
        <w:snapToGrid w:val="0"/>
        <w:spacing w:line="360" w:lineRule="auto"/>
        <w:ind w:firstLine="5040" w:firstLineChars="2100"/>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联合体成员名称(电子签名/公章)：</w:t>
      </w:r>
    </w:p>
    <w:p w14:paraId="09120CA2">
      <w:pPr>
        <w:snapToGrid w:val="0"/>
        <w:spacing w:line="360" w:lineRule="auto"/>
        <w:ind w:firstLine="5760" w:firstLineChars="2400"/>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w:t>
      </w:r>
    </w:p>
    <w:p w14:paraId="4BA45438">
      <w:pPr>
        <w:snapToGrid w:val="0"/>
        <w:spacing w:line="360" w:lineRule="auto"/>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 xml:space="preserve">                                               日期：  年  月   日</w:t>
      </w:r>
    </w:p>
    <w:p w14:paraId="406B5107">
      <w:pPr>
        <w:adjustRightInd w:val="0"/>
        <w:snapToGrid w:val="0"/>
        <w:spacing w:line="360" w:lineRule="auto"/>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br w:type="page"/>
      </w:r>
      <w:r>
        <w:rPr>
          <w:rFonts w:hint="eastAsia" w:ascii="楷体" w:hAnsi="楷体" w:eastAsia="楷体" w:cs="楷体"/>
          <w:b/>
          <w:color w:val="000000" w:themeColor="text1"/>
          <w:sz w:val="24"/>
          <w14:textFill>
            <w14:solidFill>
              <w14:schemeClr w14:val="tx1"/>
            </w14:solidFill>
          </w14:textFill>
        </w:rPr>
        <w:t>2.6 分包意向协议（如有）</w:t>
      </w:r>
    </w:p>
    <w:p w14:paraId="7430F044">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要求合同分包的，提供分包意向协议和中小企业声明函，分包意向协议中中小企业合同金额应当达到招标公告载明的比例；如果供应商本身提供所有标的均由中小企业制造或承接，视同符合了资格条件，无需再向中小企业分包，无需提供分包意向协议。</w:t>
      </w:r>
    </w:p>
    <w:p w14:paraId="46D1F56C">
      <w:pPr>
        <w:snapToGrid w:val="0"/>
        <w:spacing w:line="360" w:lineRule="auto"/>
        <w:ind w:firstLine="3534" w:firstLineChars="1100"/>
        <w:rPr>
          <w:rFonts w:ascii="楷体" w:hAnsi="楷体" w:eastAsia="楷体" w:cs="楷体"/>
          <w:b/>
          <w:color w:val="000000" w:themeColor="text1"/>
          <w:kern w:val="0"/>
          <w:sz w:val="32"/>
          <w:szCs w:val="32"/>
          <w14:textFill>
            <w14:solidFill>
              <w14:schemeClr w14:val="tx1"/>
            </w14:solidFill>
          </w14:textFill>
        </w:rPr>
      </w:pPr>
      <w:r>
        <w:rPr>
          <w:rFonts w:hint="eastAsia" w:ascii="楷体" w:hAnsi="楷体" w:eastAsia="楷体" w:cs="楷体"/>
          <w:b/>
          <w:color w:val="000000" w:themeColor="text1"/>
          <w:kern w:val="0"/>
          <w:sz w:val="32"/>
          <w:szCs w:val="32"/>
          <w14:textFill>
            <w14:solidFill>
              <w14:schemeClr w14:val="tx1"/>
            </w14:solidFill>
          </w14:textFill>
        </w:rPr>
        <w:t>分包意向协议</w:t>
      </w:r>
    </w:p>
    <w:p w14:paraId="23FD9CF0">
      <w:pPr>
        <w:widowControl/>
        <w:adjustRightInd w:val="0"/>
        <w:snapToGrid w:val="0"/>
        <w:spacing w:line="360" w:lineRule="auto"/>
        <w:ind w:firstLine="42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w:t>
      </w:r>
      <w:r>
        <w:rPr>
          <w:rFonts w:hint="eastAsia" w:ascii="楷体" w:hAnsi="楷体" w:eastAsia="楷体" w:cs="楷体"/>
          <w:b/>
          <w:color w:val="000000" w:themeColor="text1"/>
          <w:sz w:val="24"/>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楷体" w:hAnsi="楷体" w:eastAsia="楷体" w:cs="楷体"/>
          <w:color w:val="000000" w:themeColor="text1"/>
          <w:sz w:val="24"/>
          <w14:textFill>
            <w14:solidFill>
              <w14:schemeClr w14:val="tx1"/>
            </w14:solidFill>
          </w14:textFill>
        </w:rPr>
        <w:t>）</w:t>
      </w:r>
    </w:p>
    <w:p w14:paraId="45B3402F">
      <w:pPr>
        <w:adjustRightInd w:val="0"/>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u w:val="single"/>
          <w14:textFill>
            <w14:solidFill>
              <w14:schemeClr w14:val="tx1"/>
            </w14:solidFill>
          </w14:textFill>
        </w:rPr>
        <w:t>（投标人名称）</w:t>
      </w:r>
      <w:r>
        <w:rPr>
          <w:rFonts w:hint="eastAsia" w:ascii="楷体" w:hAnsi="楷体" w:eastAsia="楷体" w:cs="楷体"/>
          <w:color w:val="000000" w:themeColor="text1"/>
          <w:kern w:val="0"/>
          <w:sz w:val="24"/>
          <w:lang w:val="zh-CN"/>
          <w14:textFill>
            <w14:solidFill>
              <w14:schemeClr w14:val="tx1"/>
            </w14:solidFill>
          </w14:textFill>
        </w:rPr>
        <w:t>若成为</w:t>
      </w:r>
      <w:r>
        <w:rPr>
          <w:rFonts w:hint="eastAsia" w:ascii="楷体" w:hAnsi="楷体" w:eastAsia="楷体" w:cs="楷体"/>
          <w:color w:val="000000" w:themeColor="text1"/>
          <w:sz w:val="24"/>
          <w14:textFill>
            <w14:solidFill>
              <w14:schemeClr w14:val="tx1"/>
            </w14:solidFill>
          </w14:textFill>
        </w:rPr>
        <w:t>（项目名称）【招标编号：（采购编号）】</w:t>
      </w:r>
      <w:r>
        <w:rPr>
          <w:rFonts w:hint="eastAsia" w:ascii="楷体" w:hAnsi="楷体" w:eastAsia="楷体" w:cs="楷体"/>
          <w:color w:val="000000" w:themeColor="text1"/>
          <w:kern w:val="0"/>
          <w:sz w:val="24"/>
          <w:lang w:val="zh-CN"/>
          <w14:textFill>
            <w14:solidFill>
              <w14:schemeClr w14:val="tx1"/>
            </w14:solidFill>
          </w14:textFill>
        </w:rPr>
        <w:t>的中标供应商，将依法采取分包方式履行合同。</w:t>
      </w:r>
      <w:r>
        <w:rPr>
          <w:rFonts w:hint="eastAsia" w:ascii="楷体" w:hAnsi="楷体" w:eastAsia="楷体" w:cs="楷体"/>
          <w:color w:val="000000" w:themeColor="text1"/>
          <w:kern w:val="0"/>
          <w:sz w:val="24"/>
          <w:u w:val="single"/>
          <w14:textFill>
            <w14:solidFill>
              <w14:schemeClr w14:val="tx1"/>
            </w14:solidFill>
          </w14:textFill>
        </w:rPr>
        <w:t>（投标人名称）</w:t>
      </w:r>
      <w:r>
        <w:rPr>
          <w:rFonts w:hint="eastAsia" w:ascii="楷体" w:hAnsi="楷体" w:eastAsia="楷体" w:cs="楷体"/>
          <w:color w:val="000000" w:themeColor="text1"/>
          <w:kern w:val="0"/>
          <w:sz w:val="24"/>
          <w14:textFill>
            <w14:solidFill>
              <w14:schemeClr w14:val="tx1"/>
            </w14:solidFill>
          </w14:textFill>
        </w:rPr>
        <w:t>与</w:t>
      </w:r>
      <w:r>
        <w:rPr>
          <w:rFonts w:hint="eastAsia" w:ascii="楷体" w:hAnsi="楷体" w:eastAsia="楷体" w:cs="楷体"/>
          <w:color w:val="000000" w:themeColor="text1"/>
          <w:kern w:val="0"/>
          <w:sz w:val="24"/>
          <w:u w:val="single"/>
          <w14:textFill>
            <w14:solidFill>
              <w14:schemeClr w14:val="tx1"/>
            </w14:solidFill>
          </w14:textFill>
        </w:rPr>
        <w:t>（所有分包供应商名称）</w:t>
      </w:r>
      <w:r>
        <w:rPr>
          <w:rFonts w:hint="eastAsia" w:ascii="楷体" w:hAnsi="楷体" w:eastAsia="楷体" w:cs="楷体"/>
          <w:color w:val="000000" w:themeColor="text1"/>
          <w:kern w:val="0"/>
          <w:sz w:val="24"/>
          <w14:textFill>
            <w14:solidFill>
              <w14:schemeClr w14:val="tx1"/>
            </w14:solidFill>
          </w14:textFill>
        </w:rPr>
        <w:t>达成分包意向协议</w:t>
      </w:r>
      <w:r>
        <w:rPr>
          <w:rFonts w:hint="eastAsia" w:ascii="楷体" w:hAnsi="楷体" w:eastAsia="楷体" w:cs="楷体"/>
          <w:color w:val="000000" w:themeColor="text1"/>
          <w:kern w:val="0"/>
          <w:sz w:val="24"/>
          <w:lang w:val="zh-CN"/>
          <w14:textFill>
            <w14:solidFill>
              <w14:schemeClr w14:val="tx1"/>
            </w14:solidFill>
          </w14:textFill>
        </w:rPr>
        <w:t xml:space="preserve">。 </w:t>
      </w:r>
    </w:p>
    <w:p w14:paraId="273EEF74">
      <w:pPr>
        <w:adjustRightInd w:val="0"/>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一、分包标的及数量</w:t>
      </w:r>
    </w:p>
    <w:p w14:paraId="317AEC15">
      <w:pPr>
        <w:adjustRightInd w:val="0"/>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u w:val="single"/>
          <w14:textFill>
            <w14:solidFill>
              <w14:schemeClr w14:val="tx1"/>
            </w14:solidFill>
          </w14:textFill>
        </w:rPr>
        <w:t>（投标人名称）</w:t>
      </w:r>
      <w:r>
        <w:rPr>
          <w:rFonts w:hint="eastAsia" w:ascii="楷体" w:hAnsi="楷体" w:eastAsia="楷体" w:cs="楷体"/>
          <w:color w:val="000000" w:themeColor="text1"/>
          <w:kern w:val="0"/>
          <w:sz w:val="24"/>
          <w:lang w:val="zh-CN"/>
          <w14:textFill>
            <w14:solidFill>
              <w14:schemeClr w14:val="tx1"/>
            </w14:solidFill>
          </w14:textFill>
        </w:rPr>
        <w:t>将</w:t>
      </w:r>
      <w:r>
        <w:rPr>
          <w:rFonts w:hint="eastAsia" w:ascii="楷体" w:hAnsi="楷体" w:eastAsia="楷体" w:cs="楷体"/>
          <w:color w:val="000000" w:themeColor="text1"/>
          <w:u w:val="single"/>
          <w14:textFill>
            <w14:solidFill>
              <w14:schemeClr w14:val="tx1"/>
            </w14:solidFill>
          </w14:textFill>
        </w:rPr>
        <w:t xml:space="preserve">   XX工作内容   </w:t>
      </w:r>
      <w:r>
        <w:rPr>
          <w:rFonts w:hint="eastAsia" w:ascii="楷体" w:hAnsi="楷体" w:eastAsia="楷体" w:cs="楷体"/>
          <w:color w:val="000000" w:themeColor="text1"/>
          <w:sz w:val="24"/>
          <w14:textFill>
            <w14:solidFill>
              <w14:schemeClr w14:val="tx1"/>
            </w14:solidFill>
          </w14:textFill>
        </w:rPr>
        <w:t>分包给</w:t>
      </w:r>
      <w:r>
        <w:rPr>
          <w:rFonts w:hint="eastAsia" w:ascii="楷体" w:hAnsi="楷体" w:eastAsia="楷体" w:cs="楷体"/>
          <w:color w:val="000000" w:themeColor="text1"/>
          <w:kern w:val="0"/>
          <w:sz w:val="24"/>
          <w:u w:val="single"/>
          <w14:textFill>
            <w14:solidFill>
              <w14:schemeClr w14:val="tx1"/>
            </w14:solidFill>
          </w14:textFill>
        </w:rPr>
        <w:t>（某分包供应商名称）</w:t>
      </w:r>
      <w:r>
        <w:rPr>
          <w:rFonts w:hint="eastAsia" w:ascii="楷体" w:hAnsi="楷体" w:eastAsia="楷体" w:cs="楷体"/>
          <w:color w:val="000000" w:themeColor="text1"/>
          <w:kern w:val="0"/>
          <w:sz w:val="24"/>
          <w:lang w:val="zh-CN"/>
          <w14:textFill>
            <w14:solidFill>
              <w14:schemeClr w14:val="tx1"/>
            </w14:solidFill>
          </w14:textFill>
        </w:rPr>
        <w:t>，</w:t>
      </w:r>
      <w:r>
        <w:rPr>
          <w:rFonts w:hint="eastAsia" w:ascii="楷体" w:hAnsi="楷体" w:eastAsia="楷体" w:cs="楷体"/>
          <w:color w:val="000000" w:themeColor="text1"/>
          <w:kern w:val="0"/>
          <w:sz w:val="24"/>
          <w:u w:val="single"/>
          <w14:textFill>
            <w14:solidFill>
              <w14:schemeClr w14:val="tx1"/>
            </w14:solidFill>
          </w14:textFill>
        </w:rPr>
        <w:t>（某分包供应商名称），</w:t>
      </w:r>
      <w:r>
        <w:rPr>
          <w:rFonts w:hint="eastAsia" w:ascii="楷体" w:hAnsi="楷体" w:eastAsia="楷体" w:cs="楷体"/>
          <w:color w:val="000000" w:themeColor="text1"/>
          <w:kern w:val="0"/>
          <w:sz w:val="24"/>
          <w:lang w:val="zh-CN"/>
          <w14:textFill>
            <w14:solidFill>
              <w14:schemeClr w14:val="tx1"/>
            </w14:solidFill>
          </w14:textFill>
        </w:rPr>
        <w:t>具备承</w:t>
      </w:r>
      <w:r>
        <w:rPr>
          <w:rFonts w:hint="eastAsia" w:ascii="楷体" w:hAnsi="楷体" w:eastAsia="楷体" w:cs="楷体"/>
          <w:color w:val="000000" w:themeColor="text1"/>
          <w:kern w:val="0"/>
          <w:sz w:val="24"/>
          <w14:textFill>
            <w14:solidFill>
              <w14:schemeClr w14:val="tx1"/>
            </w14:solidFill>
          </w14:textFill>
        </w:rPr>
        <w:t>担</w:t>
      </w:r>
      <w:r>
        <w:rPr>
          <w:rFonts w:hint="eastAsia" w:ascii="楷体" w:hAnsi="楷体" w:eastAsia="楷体" w:cs="楷体"/>
          <w:color w:val="000000" w:themeColor="text1"/>
          <w:kern w:val="0"/>
          <w:sz w:val="24"/>
          <w:u w:val="single"/>
          <w:lang w:val="zh-CN"/>
          <w14:textFill>
            <w14:solidFill>
              <w14:schemeClr w14:val="tx1"/>
            </w14:solidFill>
          </w14:textFill>
        </w:rPr>
        <w:t>XX工作内容</w:t>
      </w:r>
      <w:r>
        <w:rPr>
          <w:rFonts w:hint="eastAsia" w:ascii="楷体" w:hAnsi="楷体" w:eastAsia="楷体" w:cs="楷体"/>
          <w:color w:val="000000" w:themeColor="text1"/>
          <w:kern w:val="0"/>
          <w:sz w:val="24"/>
          <w:lang w:val="zh-CN"/>
          <w14:textFill>
            <w14:solidFill>
              <w14:schemeClr w14:val="tx1"/>
            </w14:solidFill>
          </w14:textFill>
        </w:rPr>
        <w:t>相应资质条件且不得再次分包；</w:t>
      </w:r>
    </w:p>
    <w:p w14:paraId="2334A3D5">
      <w:pPr>
        <w:spacing w:line="360" w:lineRule="auto"/>
        <w:ind w:firstLine="420"/>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w:t>
      </w:r>
    </w:p>
    <w:p w14:paraId="3E115C7D">
      <w:pPr>
        <w:adjustRightInd w:val="0"/>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二、分包工作履行期限、地点、方式</w:t>
      </w:r>
    </w:p>
    <w:p w14:paraId="696A2471">
      <w:pPr>
        <w:adjustRightInd w:val="0"/>
        <w:snapToGrid w:val="0"/>
        <w:spacing w:line="360" w:lineRule="auto"/>
        <w:ind w:firstLine="576"/>
        <w:rPr>
          <w:rFonts w:ascii="楷体" w:hAnsi="楷体" w:eastAsia="楷体" w:cs="楷体"/>
          <w:color w:val="000000" w:themeColor="text1"/>
          <w:u w:val="single"/>
          <w14:textFill>
            <w14:solidFill>
              <w14:schemeClr w14:val="tx1"/>
            </w14:solidFill>
          </w14:textFill>
        </w:rPr>
      </w:pPr>
      <w:r>
        <w:rPr>
          <w:rFonts w:hint="eastAsia" w:ascii="楷体" w:hAnsi="楷体" w:eastAsia="楷体" w:cs="楷体"/>
          <w:color w:val="000000" w:themeColor="text1"/>
          <w:u w:val="single"/>
          <w14:textFill>
            <w14:solidFill>
              <w14:schemeClr w14:val="tx1"/>
            </w14:solidFill>
          </w14:textFill>
        </w:rPr>
        <w:t xml:space="preserve">                                                                                  </w:t>
      </w:r>
    </w:p>
    <w:p w14:paraId="6A81CD73">
      <w:pPr>
        <w:adjustRightInd w:val="0"/>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三、质量</w:t>
      </w:r>
    </w:p>
    <w:p w14:paraId="34F85918">
      <w:pPr>
        <w:adjustRightInd w:val="0"/>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u w:val="single"/>
          <w14:textFill>
            <w14:solidFill>
              <w14:schemeClr w14:val="tx1"/>
            </w14:solidFill>
          </w14:textFill>
        </w:rPr>
        <w:t xml:space="preserve">                                                                                       </w:t>
      </w:r>
    </w:p>
    <w:p w14:paraId="4EDB680A">
      <w:pPr>
        <w:adjustRightInd w:val="0"/>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四、价款或者报酬</w:t>
      </w:r>
    </w:p>
    <w:p w14:paraId="0275F375">
      <w:pPr>
        <w:adjustRightInd w:val="0"/>
        <w:snapToGrid w:val="0"/>
        <w:spacing w:line="360" w:lineRule="auto"/>
        <w:ind w:left="573" w:leftChars="273"/>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u w:val="single"/>
          <w14:textFill>
            <w14:solidFill>
              <w14:schemeClr w14:val="tx1"/>
            </w14:solidFill>
          </w14:textFill>
        </w:rPr>
        <w:t xml:space="preserve">                                                                                     </w:t>
      </w:r>
    </w:p>
    <w:p w14:paraId="1A0853F4">
      <w:pPr>
        <w:adjustRightInd w:val="0"/>
        <w:snapToGrid w:val="0"/>
        <w:spacing w:line="360" w:lineRule="auto"/>
        <w:ind w:left="573" w:leftChars="273"/>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五、违约责任</w:t>
      </w:r>
    </w:p>
    <w:p w14:paraId="440A9601">
      <w:pPr>
        <w:adjustRightInd w:val="0"/>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u w:val="single"/>
          <w14:textFill>
            <w14:solidFill>
              <w14:schemeClr w14:val="tx1"/>
            </w14:solidFill>
          </w14:textFill>
        </w:rPr>
        <w:t xml:space="preserve">                                                                                     </w:t>
      </w:r>
    </w:p>
    <w:p w14:paraId="634CC219">
      <w:pPr>
        <w:adjustRightInd w:val="0"/>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六、争议解决的办法</w:t>
      </w:r>
    </w:p>
    <w:p w14:paraId="046C8FDE">
      <w:pPr>
        <w:adjustRightInd w:val="0"/>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u w:val="single"/>
          <w14:textFill>
            <w14:solidFill>
              <w14:schemeClr w14:val="tx1"/>
            </w14:solidFill>
          </w14:textFill>
        </w:rPr>
        <w:t xml:space="preserve">                                                                                  </w:t>
      </w:r>
    </w:p>
    <w:p w14:paraId="08899F44">
      <w:pPr>
        <w:adjustRightInd w:val="0"/>
        <w:snapToGrid w:val="0"/>
        <w:spacing w:line="360" w:lineRule="auto"/>
        <w:ind w:firstLine="576"/>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七、其他</w:t>
      </w:r>
    </w:p>
    <w:p w14:paraId="0DD05769">
      <w:pPr>
        <w:adjustRightInd w:val="0"/>
        <w:snapToGrid w:val="0"/>
        <w:spacing w:line="360" w:lineRule="auto"/>
        <w:ind w:left="5758" w:leftChars="342" w:hanging="5040" w:hangingChars="2100"/>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中小企业合同金额达到</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%，小微企业合同金额达到</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w:t>
      </w:r>
      <w:r>
        <w:rPr>
          <w:rFonts w:hint="eastAsia" w:ascii="楷体" w:hAnsi="楷体" w:eastAsia="楷体" w:cs="楷体"/>
          <w:color w:val="000000" w:themeColor="text1"/>
          <w:kern w:val="0"/>
          <w:sz w:val="24"/>
          <w:lang w:val="zh-CN"/>
          <w14:textFill>
            <w14:solidFill>
              <w14:schemeClr w14:val="tx1"/>
            </w14:solidFill>
          </w14:textFill>
        </w:rPr>
        <w:t xml:space="preserve">  。                                           投标人名称(电子签名)：</w:t>
      </w:r>
    </w:p>
    <w:p w14:paraId="4E1FEB27">
      <w:pPr>
        <w:adjustRightInd w:val="0"/>
        <w:snapToGrid w:val="0"/>
        <w:spacing w:line="360" w:lineRule="auto"/>
        <w:ind w:firstLine="5640" w:firstLineChars="2350"/>
        <w:rPr>
          <w:rFonts w:ascii="楷体" w:hAnsi="楷体" w:eastAsia="楷体" w:cs="楷体"/>
          <w:color w:val="000000" w:themeColor="text1"/>
          <w:kern w:val="0"/>
          <w:sz w:val="24"/>
          <w:lang w:val="zh-CN"/>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分包供应商名称：</w:t>
      </w:r>
    </w:p>
    <w:p w14:paraId="3C414959">
      <w:pPr>
        <w:adjustRightInd w:val="0"/>
        <w:snapToGrid w:val="0"/>
        <w:spacing w:line="360" w:lineRule="auto"/>
        <w:ind w:firstLine="5760" w:firstLineChars="2400"/>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w:t>
      </w:r>
    </w:p>
    <w:p w14:paraId="12744343">
      <w:pPr>
        <w:adjustRightInd w:val="0"/>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 xml:space="preserve">                                        日期：  年  月   日</w:t>
      </w:r>
      <w:r>
        <w:rPr>
          <w:rFonts w:hint="eastAsia" w:ascii="楷体" w:hAnsi="楷体" w:eastAsia="楷体" w:cs="楷体"/>
          <w:color w:val="000000" w:themeColor="text1"/>
          <w14:textFill>
            <w14:solidFill>
              <w14:schemeClr w14:val="tx1"/>
            </w14:solidFill>
          </w14:textFill>
        </w:rPr>
        <w:br w:type="page"/>
      </w:r>
      <w:bookmarkStart w:id="459" w:name="_Toc3961"/>
    </w:p>
    <w:p w14:paraId="076818F8">
      <w:pPr>
        <w:autoSpaceDE w:val="0"/>
        <w:autoSpaceDN w:val="0"/>
        <w:adjustRightInd w:val="0"/>
        <w:spacing w:line="360" w:lineRule="auto"/>
        <w:outlineLvl w:val="1"/>
        <w:rPr>
          <w:rFonts w:ascii="楷体" w:hAnsi="楷体" w:eastAsia="楷体" w:cs="楷体"/>
          <w:b/>
          <w:bCs/>
          <w:color w:val="000000" w:themeColor="text1"/>
          <w:sz w:val="24"/>
          <w14:textFill>
            <w14:solidFill>
              <w14:schemeClr w14:val="tx1"/>
            </w14:solidFill>
          </w14:textFill>
        </w:rPr>
      </w:pPr>
      <w:bookmarkStart w:id="460" w:name="_Toc1144"/>
      <w:bookmarkStart w:id="461" w:name="_Toc4870"/>
      <w:bookmarkStart w:id="462" w:name="_Toc6948"/>
      <w:bookmarkStart w:id="463" w:name="_Toc14954"/>
      <w:bookmarkStart w:id="464" w:name="_Toc6646"/>
      <w:bookmarkStart w:id="465" w:name="_Toc25811"/>
      <w:bookmarkStart w:id="466" w:name="_Toc225867135"/>
      <w:bookmarkStart w:id="467" w:name="_Toc21444"/>
      <w:bookmarkStart w:id="468" w:name="_Toc225868337"/>
      <w:bookmarkStart w:id="469" w:name="_Toc19153"/>
      <w:bookmarkStart w:id="470" w:name="_Toc14470"/>
      <w:bookmarkStart w:id="471" w:name="_Toc4934"/>
      <w:bookmarkStart w:id="472" w:name="_Toc18443"/>
      <w:bookmarkStart w:id="473" w:name="_Toc19536"/>
      <w:bookmarkStart w:id="474" w:name="_Toc15169"/>
      <w:bookmarkStart w:id="475" w:name="_Toc9070"/>
      <w:r>
        <w:rPr>
          <w:rFonts w:hint="eastAsia" w:ascii="楷体" w:hAnsi="楷体" w:eastAsia="楷体" w:cs="楷体"/>
          <w:b/>
          <w:bCs/>
          <w:color w:val="000000" w:themeColor="text1"/>
          <w:sz w:val="24"/>
          <w14:textFill>
            <w14:solidFill>
              <w14:schemeClr w14:val="tx1"/>
            </w14:solidFill>
          </w14:textFill>
        </w:rPr>
        <w:t>三、商务技术响应文件部分格式</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23553E13">
      <w:pPr>
        <w:autoSpaceDE w:val="0"/>
        <w:autoSpaceDN w:val="0"/>
        <w:adjustRightInd w:val="0"/>
        <w:spacing w:line="360" w:lineRule="auto"/>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（顺序不做强制；未提供格式的，可自行提供）</w:t>
      </w:r>
    </w:p>
    <w:p w14:paraId="4624D8B3">
      <w:pPr>
        <w:autoSpaceDE w:val="0"/>
        <w:autoSpaceDN w:val="0"/>
        <w:adjustRightInd w:val="0"/>
        <w:spacing w:line="360" w:lineRule="auto"/>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3.1评分索引表；</w:t>
      </w:r>
    </w:p>
    <w:p w14:paraId="021FA374">
      <w:pPr>
        <w:pStyle w:val="27"/>
        <w:snapToGrid w:val="0"/>
        <w:spacing w:line="360" w:lineRule="auto"/>
        <w:jc w:val="center"/>
        <w:rPr>
          <w:rFonts w:ascii="楷体" w:hAnsi="楷体" w:eastAsia="楷体" w:cs="楷体"/>
          <w:b/>
          <w:snapToGrid w:val="0"/>
          <w:color w:val="000000" w:themeColor="text1"/>
          <w:kern w:val="0"/>
          <w:sz w:val="28"/>
          <w:szCs w:val="28"/>
          <w14:textFill>
            <w14:solidFill>
              <w14:schemeClr w14:val="tx1"/>
            </w14:solidFill>
          </w14:textFill>
        </w:rPr>
      </w:pPr>
      <w:r>
        <w:rPr>
          <w:rFonts w:hint="eastAsia" w:ascii="楷体" w:hAnsi="楷体" w:eastAsia="楷体" w:cs="楷体"/>
          <w:b/>
          <w:snapToGrid w:val="0"/>
          <w:color w:val="000000" w:themeColor="text1"/>
          <w:kern w:val="0"/>
          <w:sz w:val="28"/>
          <w:szCs w:val="28"/>
          <w14:textFill>
            <w14:solidFill>
              <w14:schemeClr w14:val="tx1"/>
            </w14:solidFill>
          </w14:textFill>
        </w:rPr>
        <w:t>评分索引表</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5033"/>
        <w:gridCol w:w="1134"/>
        <w:gridCol w:w="1082"/>
        <w:gridCol w:w="1044"/>
      </w:tblGrid>
      <w:tr w14:paraId="62E80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3C018E65">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r>
              <w:rPr>
                <w:rFonts w:hint="eastAsia" w:ascii="楷体" w:hAnsi="楷体" w:eastAsia="楷体" w:cs="楷体"/>
                <w:b/>
                <w:snapToGrid w:val="0"/>
                <w:color w:val="000000" w:themeColor="text1"/>
                <w:kern w:val="0"/>
                <w:szCs w:val="21"/>
                <w14:textFill>
                  <w14:solidFill>
                    <w14:schemeClr w14:val="tx1"/>
                  </w14:solidFill>
                </w14:textFill>
              </w:rPr>
              <w:t>序号</w:t>
            </w:r>
          </w:p>
        </w:tc>
        <w:tc>
          <w:tcPr>
            <w:tcW w:w="5033" w:type="dxa"/>
            <w:vAlign w:val="center"/>
          </w:tcPr>
          <w:p w14:paraId="1D248DBD">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r>
              <w:rPr>
                <w:rFonts w:hint="eastAsia" w:ascii="楷体" w:hAnsi="楷体" w:eastAsia="楷体" w:cs="楷体"/>
                <w:b/>
                <w:snapToGrid w:val="0"/>
                <w:color w:val="000000" w:themeColor="text1"/>
                <w:kern w:val="0"/>
                <w:szCs w:val="21"/>
                <w14:textFill>
                  <w14:solidFill>
                    <w14:schemeClr w14:val="tx1"/>
                  </w14:solidFill>
                </w14:textFill>
              </w:rPr>
              <w:t>评分细则内容</w:t>
            </w:r>
          </w:p>
        </w:tc>
        <w:tc>
          <w:tcPr>
            <w:tcW w:w="1134" w:type="dxa"/>
            <w:vAlign w:val="center"/>
          </w:tcPr>
          <w:p w14:paraId="57CD0EAB">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r>
              <w:rPr>
                <w:rFonts w:hint="eastAsia" w:ascii="楷体" w:hAnsi="楷体" w:eastAsia="楷体" w:cs="楷体"/>
                <w:b/>
                <w:snapToGrid w:val="0"/>
                <w:color w:val="000000" w:themeColor="text1"/>
                <w:kern w:val="0"/>
                <w:szCs w:val="21"/>
                <w14:textFill>
                  <w14:solidFill>
                    <w14:schemeClr w14:val="tx1"/>
                  </w14:solidFill>
                </w14:textFill>
              </w:rPr>
              <w:t>投标响应情况</w:t>
            </w:r>
          </w:p>
        </w:tc>
        <w:tc>
          <w:tcPr>
            <w:tcW w:w="1082" w:type="dxa"/>
            <w:vAlign w:val="center"/>
          </w:tcPr>
          <w:p w14:paraId="4F8C8F9C">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r>
              <w:rPr>
                <w:rFonts w:hint="eastAsia" w:ascii="楷体" w:hAnsi="楷体" w:eastAsia="楷体" w:cs="楷体"/>
                <w:b/>
                <w:snapToGrid w:val="0"/>
                <w:color w:val="000000" w:themeColor="text1"/>
                <w:kern w:val="0"/>
                <w:szCs w:val="21"/>
                <w14:textFill>
                  <w14:solidFill>
                    <w14:schemeClr w14:val="tx1"/>
                  </w14:solidFill>
                </w14:textFill>
              </w:rPr>
              <w:t>证明材料所在页码</w:t>
            </w:r>
          </w:p>
        </w:tc>
        <w:tc>
          <w:tcPr>
            <w:tcW w:w="1044" w:type="dxa"/>
            <w:vAlign w:val="center"/>
          </w:tcPr>
          <w:p w14:paraId="6B9A88D5">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r>
              <w:rPr>
                <w:rFonts w:hint="eastAsia" w:ascii="楷体" w:hAnsi="楷体" w:eastAsia="楷体" w:cs="楷体"/>
                <w:b/>
                <w:snapToGrid w:val="0"/>
                <w:color w:val="000000" w:themeColor="text1"/>
                <w:kern w:val="0"/>
                <w:szCs w:val="21"/>
                <w14:textFill>
                  <w14:solidFill>
                    <w14:schemeClr w14:val="tx1"/>
                  </w14:solidFill>
                </w14:textFill>
              </w:rPr>
              <w:t>备注</w:t>
            </w:r>
          </w:p>
        </w:tc>
      </w:tr>
      <w:tr w14:paraId="609D8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549A0AEF">
            <w:pPr>
              <w:adjustRightInd w:val="0"/>
              <w:snapToGrid w:val="0"/>
              <w:spacing w:line="360" w:lineRule="auto"/>
              <w:jc w:val="center"/>
              <w:rPr>
                <w:rFonts w:ascii="楷体" w:hAnsi="楷体" w:eastAsia="楷体" w:cs="楷体"/>
                <w:snapToGrid w:val="0"/>
                <w:color w:val="000000" w:themeColor="text1"/>
                <w:kern w:val="0"/>
                <w:szCs w:val="21"/>
                <w14:textFill>
                  <w14:solidFill>
                    <w14:schemeClr w14:val="tx1"/>
                  </w14:solidFill>
                </w14:textFill>
              </w:rPr>
            </w:pPr>
          </w:p>
        </w:tc>
        <w:tc>
          <w:tcPr>
            <w:tcW w:w="5033" w:type="dxa"/>
            <w:vAlign w:val="center"/>
          </w:tcPr>
          <w:p w14:paraId="68C11CC6">
            <w:pPr>
              <w:adjustRightInd w:val="0"/>
              <w:snapToGrid w:val="0"/>
              <w:spacing w:line="360" w:lineRule="auto"/>
              <w:rPr>
                <w:rFonts w:ascii="楷体" w:hAnsi="楷体" w:eastAsia="楷体" w:cs="楷体"/>
                <w:snapToGrid w:val="0"/>
                <w:color w:val="000000" w:themeColor="text1"/>
                <w:kern w:val="0"/>
                <w:szCs w:val="21"/>
                <w14:textFill>
                  <w14:solidFill>
                    <w14:schemeClr w14:val="tx1"/>
                  </w14:solidFill>
                </w14:textFill>
              </w:rPr>
            </w:pPr>
          </w:p>
        </w:tc>
        <w:tc>
          <w:tcPr>
            <w:tcW w:w="1134" w:type="dxa"/>
            <w:vAlign w:val="center"/>
          </w:tcPr>
          <w:p w14:paraId="637581F0">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82" w:type="dxa"/>
            <w:vAlign w:val="center"/>
          </w:tcPr>
          <w:p w14:paraId="00509CDC">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44" w:type="dxa"/>
            <w:vAlign w:val="center"/>
          </w:tcPr>
          <w:p w14:paraId="4620D8E7">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r>
      <w:tr w14:paraId="42536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4B7A03D2">
            <w:pPr>
              <w:adjustRightInd w:val="0"/>
              <w:snapToGrid w:val="0"/>
              <w:spacing w:line="360" w:lineRule="auto"/>
              <w:jc w:val="center"/>
              <w:rPr>
                <w:rFonts w:ascii="楷体" w:hAnsi="楷体" w:eastAsia="楷体" w:cs="楷体"/>
                <w:snapToGrid w:val="0"/>
                <w:color w:val="000000" w:themeColor="text1"/>
                <w:kern w:val="0"/>
                <w:szCs w:val="21"/>
                <w14:textFill>
                  <w14:solidFill>
                    <w14:schemeClr w14:val="tx1"/>
                  </w14:solidFill>
                </w14:textFill>
              </w:rPr>
            </w:pPr>
          </w:p>
        </w:tc>
        <w:tc>
          <w:tcPr>
            <w:tcW w:w="5033" w:type="dxa"/>
            <w:vAlign w:val="center"/>
          </w:tcPr>
          <w:p w14:paraId="5E3ECB27">
            <w:pPr>
              <w:adjustRightInd w:val="0"/>
              <w:snapToGrid w:val="0"/>
              <w:spacing w:line="360" w:lineRule="auto"/>
              <w:rPr>
                <w:rFonts w:ascii="楷体" w:hAnsi="楷体" w:eastAsia="楷体" w:cs="楷体"/>
                <w:color w:val="000000" w:themeColor="text1"/>
                <w:szCs w:val="21"/>
                <w14:textFill>
                  <w14:solidFill>
                    <w14:schemeClr w14:val="tx1"/>
                  </w14:solidFill>
                </w14:textFill>
              </w:rPr>
            </w:pPr>
          </w:p>
        </w:tc>
        <w:tc>
          <w:tcPr>
            <w:tcW w:w="1134" w:type="dxa"/>
            <w:vAlign w:val="center"/>
          </w:tcPr>
          <w:p w14:paraId="1917F296">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82" w:type="dxa"/>
            <w:vAlign w:val="center"/>
          </w:tcPr>
          <w:p w14:paraId="616A40BD">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44" w:type="dxa"/>
            <w:vAlign w:val="center"/>
          </w:tcPr>
          <w:p w14:paraId="21C49D1B">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r>
      <w:tr w14:paraId="718CA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6E53C04C">
            <w:pPr>
              <w:adjustRightInd w:val="0"/>
              <w:snapToGrid w:val="0"/>
              <w:spacing w:line="360" w:lineRule="auto"/>
              <w:jc w:val="center"/>
              <w:rPr>
                <w:rFonts w:ascii="楷体" w:hAnsi="楷体" w:eastAsia="楷体" w:cs="楷体"/>
                <w:snapToGrid w:val="0"/>
                <w:color w:val="000000" w:themeColor="text1"/>
                <w:kern w:val="0"/>
                <w:szCs w:val="21"/>
                <w14:textFill>
                  <w14:solidFill>
                    <w14:schemeClr w14:val="tx1"/>
                  </w14:solidFill>
                </w14:textFill>
              </w:rPr>
            </w:pPr>
          </w:p>
        </w:tc>
        <w:tc>
          <w:tcPr>
            <w:tcW w:w="5033" w:type="dxa"/>
            <w:vAlign w:val="center"/>
          </w:tcPr>
          <w:p w14:paraId="57DF7191">
            <w:pPr>
              <w:adjustRightInd w:val="0"/>
              <w:snapToGrid w:val="0"/>
              <w:spacing w:line="360" w:lineRule="auto"/>
              <w:rPr>
                <w:rFonts w:ascii="楷体" w:hAnsi="楷体" w:eastAsia="楷体" w:cs="楷体"/>
                <w:color w:val="000000" w:themeColor="text1"/>
                <w:szCs w:val="21"/>
                <w14:textFill>
                  <w14:solidFill>
                    <w14:schemeClr w14:val="tx1"/>
                  </w14:solidFill>
                </w14:textFill>
              </w:rPr>
            </w:pPr>
          </w:p>
        </w:tc>
        <w:tc>
          <w:tcPr>
            <w:tcW w:w="1134" w:type="dxa"/>
            <w:vAlign w:val="center"/>
          </w:tcPr>
          <w:p w14:paraId="5CC85747">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82" w:type="dxa"/>
            <w:vAlign w:val="center"/>
          </w:tcPr>
          <w:p w14:paraId="20A718FA">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44" w:type="dxa"/>
            <w:vAlign w:val="center"/>
          </w:tcPr>
          <w:p w14:paraId="30D97134">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r>
      <w:tr w14:paraId="7CB67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4EF9ECC5">
            <w:pPr>
              <w:adjustRightInd w:val="0"/>
              <w:snapToGrid w:val="0"/>
              <w:spacing w:line="360" w:lineRule="auto"/>
              <w:jc w:val="center"/>
              <w:rPr>
                <w:rFonts w:ascii="楷体" w:hAnsi="楷体" w:eastAsia="楷体" w:cs="楷体"/>
                <w:snapToGrid w:val="0"/>
                <w:color w:val="000000" w:themeColor="text1"/>
                <w:kern w:val="0"/>
                <w:szCs w:val="21"/>
                <w14:textFill>
                  <w14:solidFill>
                    <w14:schemeClr w14:val="tx1"/>
                  </w14:solidFill>
                </w14:textFill>
              </w:rPr>
            </w:pPr>
          </w:p>
        </w:tc>
        <w:tc>
          <w:tcPr>
            <w:tcW w:w="5033" w:type="dxa"/>
            <w:vAlign w:val="center"/>
          </w:tcPr>
          <w:p w14:paraId="3554FF4F">
            <w:pPr>
              <w:adjustRightInd w:val="0"/>
              <w:snapToGrid w:val="0"/>
              <w:spacing w:line="360" w:lineRule="auto"/>
              <w:rPr>
                <w:rFonts w:ascii="楷体" w:hAnsi="楷体" w:eastAsia="楷体" w:cs="楷体"/>
                <w:color w:val="000000" w:themeColor="text1"/>
                <w:szCs w:val="21"/>
                <w14:textFill>
                  <w14:solidFill>
                    <w14:schemeClr w14:val="tx1"/>
                  </w14:solidFill>
                </w14:textFill>
              </w:rPr>
            </w:pPr>
          </w:p>
        </w:tc>
        <w:tc>
          <w:tcPr>
            <w:tcW w:w="1134" w:type="dxa"/>
            <w:vAlign w:val="center"/>
          </w:tcPr>
          <w:p w14:paraId="20204C4B">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82" w:type="dxa"/>
            <w:vAlign w:val="center"/>
          </w:tcPr>
          <w:p w14:paraId="37D537F7">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44" w:type="dxa"/>
            <w:vAlign w:val="center"/>
          </w:tcPr>
          <w:p w14:paraId="5E65E6AD">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r>
      <w:tr w14:paraId="08841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162BD4E4">
            <w:pPr>
              <w:adjustRightInd w:val="0"/>
              <w:snapToGrid w:val="0"/>
              <w:spacing w:line="360" w:lineRule="auto"/>
              <w:jc w:val="center"/>
              <w:rPr>
                <w:rFonts w:ascii="楷体" w:hAnsi="楷体" w:eastAsia="楷体" w:cs="楷体"/>
                <w:snapToGrid w:val="0"/>
                <w:color w:val="000000" w:themeColor="text1"/>
                <w:kern w:val="0"/>
                <w:szCs w:val="21"/>
                <w14:textFill>
                  <w14:solidFill>
                    <w14:schemeClr w14:val="tx1"/>
                  </w14:solidFill>
                </w14:textFill>
              </w:rPr>
            </w:pPr>
          </w:p>
        </w:tc>
        <w:tc>
          <w:tcPr>
            <w:tcW w:w="5033" w:type="dxa"/>
            <w:vAlign w:val="center"/>
          </w:tcPr>
          <w:p w14:paraId="11FDFFB9">
            <w:pPr>
              <w:adjustRightInd w:val="0"/>
              <w:snapToGrid w:val="0"/>
              <w:spacing w:line="360" w:lineRule="auto"/>
              <w:rPr>
                <w:rFonts w:ascii="楷体" w:hAnsi="楷体" w:eastAsia="楷体" w:cs="楷体"/>
                <w:color w:val="000000" w:themeColor="text1"/>
                <w:szCs w:val="21"/>
                <w14:textFill>
                  <w14:solidFill>
                    <w14:schemeClr w14:val="tx1"/>
                  </w14:solidFill>
                </w14:textFill>
              </w:rPr>
            </w:pPr>
          </w:p>
        </w:tc>
        <w:tc>
          <w:tcPr>
            <w:tcW w:w="1134" w:type="dxa"/>
            <w:vAlign w:val="center"/>
          </w:tcPr>
          <w:p w14:paraId="5DF9D78C">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82" w:type="dxa"/>
            <w:vAlign w:val="center"/>
          </w:tcPr>
          <w:p w14:paraId="146BA0E1">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44" w:type="dxa"/>
            <w:vAlign w:val="center"/>
          </w:tcPr>
          <w:p w14:paraId="2034C10D">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r>
      <w:tr w14:paraId="36D7A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74A6D176">
            <w:pPr>
              <w:adjustRightInd w:val="0"/>
              <w:snapToGrid w:val="0"/>
              <w:spacing w:line="360" w:lineRule="auto"/>
              <w:jc w:val="center"/>
              <w:rPr>
                <w:rFonts w:ascii="楷体" w:hAnsi="楷体" w:eastAsia="楷体" w:cs="楷体"/>
                <w:snapToGrid w:val="0"/>
                <w:color w:val="000000" w:themeColor="text1"/>
                <w:kern w:val="0"/>
                <w:szCs w:val="21"/>
                <w14:textFill>
                  <w14:solidFill>
                    <w14:schemeClr w14:val="tx1"/>
                  </w14:solidFill>
                </w14:textFill>
              </w:rPr>
            </w:pPr>
          </w:p>
        </w:tc>
        <w:tc>
          <w:tcPr>
            <w:tcW w:w="5033" w:type="dxa"/>
            <w:vAlign w:val="center"/>
          </w:tcPr>
          <w:p w14:paraId="22068BFE">
            <w:pPr>
              <w:adjustRightInd w:val="0"/>
              <w:snapToGrid w:val="0"/>
              <w:spacing w:line="360" w:lineRule="auto"/>
              <w:rPr>
                <w:rFonts w:ascii="楷体" w:hAnsi="楷体" w:eastAsia="楷体" w:cs="楷体"/>
                <w:color w:val="000000" w:themeColor="text1"/>
                <w:szCs w:val="21"/>
                <w14:textFill>
                  <w14:solidFill>
                    <w14:schemeClr w14:val="tx1"/>
                  </w14:solidFill>
                </w14:textFill>
              </w:rPr>
            </w:pPr>
          </w:p>
        </w:tc>
        <w:tc>
          <w:tcPr>
            <w:tcW w:w="1134" w:type="dxa"/>
            <w:vAlign w:val="center"/>
          </w:tcPr>
          <w:p w14:paraId="17019AEC">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82" w:type="dxa"/>
            <w:vAlign w:val="center"/>
          </w:tcPr>
          <w:p w14:paraId="3DEF1557">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44" w:type="dxa"/>
            <w:vAlign w:val="center"/>
          </w:tcPr>
          <w:p w14:paraId="039684B1">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r>
      <w:tr w14:paraId="0B786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3237547C">
            <w:pPr>
              <w:adjustRightInd w:val="0"/>
              <w:snapToGrid w:val="0"/>
              <w:spacing w:line="360" w:lineRule="auto"/>
              <w:jc w:val="center"/>
              <w:rPr>
                <w:rFonts w:ascii="楷体" w:hAnsi="楷体" w:eastAsia="楷体" w:cs="楷体"/>
                <w:snapToGrid w:val="0"/>
                <w:color w:val="000000" w:themeColor="text1"/>
                <w:kern w:val="0"/>
                <w:szCs w:val="21"/>
                <w14:textFill>
                  <w14:solidFill>
                    <w14:schemeClr w14:val="tx1"/>
                  </w14:solidFill>
                </w14:textFill>
              </w:rPr>
            </w:pPr>
          </w:p>
        </w:tc>
        <w:tc>
          <w:tcPr>
            <w:tcW w:w="5033" w:type="dxa"/>
            <w:vAlign w:val="center"/>
          </w:tcPr>
          <w:p w14:paraId="37760C92">
            <w:pPr>
              <w:adjustRightInd w:val="0"/>
              <w:snapToGrid w:val="0"/>
              <w:spacing w:line="360" w:lineRule="auto"/>
              <w:rPr>
                <w:rFonts w:ascii="楷体" w:hAnsi="楷体" w:eastAsia="楷体" w:cs="楷体"/>
                <w:color w:val="000000" w:themeColor="text1"/>
                <w:szCs w:val="21"/>
                <w14:textFill>
                  <w14:solidFill>
                    <w14:schemeClr w14:val="tx1"/>
                  </w14:solidFill>
                </w14:textFill>
              </w:rPr>
            </w:pPr>
          </w:p>
        </w:tc>
        <w:tc>
          <w:tcPr>
            <w:tcW w:w="1134" w:type="dxa"/>
            <w:vAlign w:val="center"/>
          </w:tcPr>
          <w:p w14:paraId="6C985A96">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82" w:type="dxa"/>
            <w:vAlign w:val="center"/>
          </w:tcPr>
          <w:p w14:paraId="6335CF9E">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44" w:type="dxa"/>
            <w:vAlign w:val="center"/>
          </w:tcPr>
          <w:p w14:paraId="0B347C00">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r>
      <w:tr w14:paraId="39DC8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0CD786B3">
            <w:pPr>
              <w:adjustRightInd w:val="0"/>
              <w:snapToGrid w:val="0"/>
              <w:spacing w:line="360" w:lineRule="auto"/>
              <w:jc w:val="center"/>
              <w:rPr>
                <w:rFonts w:ascii="楷体" w:hAnsi="楷体" w:eastAsia="楷体" w:cs="楷体"/>
                <w:snapToGrid w:val="0"/>
                <w:color w:val="000000" w:themeColor="text1"/>
                <w:kern w:val="0"/>
                <w:szCs w:val="21"/>
                <w14:textFill>
                  <w14:solidFill>
                    <w14:schemeClr w14:val="tx1"/>
                  </w14:solidFill>
                </w14:textFill>
              </w:rPr>
            </w:pPr>
          </w:p>
        </w:tc>
        <w:tc>
          <w:tcPr>
            <w:tcW w:w="5033" w:type="dxa"/>
            <w:vAlign w:val="center"/>
          </w:tcPr>
          <w:p w14:paraId="5E7C91FB">
            <w:pPr>
              <w:adjustRightInd w:val="0"/>
              <w:snapToGrid w:val="0"/>
              <w:spacing w:line="360" w:lineRule="auto"/>
              <w:rPr>
                <w:rFonts w:ascii="楷体" w:hAnsi="楷体" w:eastAsia="楷体" w:cs="楷体"/>
                <w:color w:val="000000" w:themeColor="text1"/>
                <w:szCs w:val="21"/>
                <w14:textFill>
                  <w14:solidFill>
                    <w14:schemeClr w14:val="tx1"/>
                  </w14:solidFill>
                </w14:textFill>
              </w:rPr>
            </w:pPr>
          </w:p>
        </w:tc>
        <w:tc>
          <w:tcPr>
            <w:tcW w:w="1134" w:type="dxa"/>
            <w:vAlign w:val="center"/>
          </w:tcPr>
          <w:p w14:paraId="4733E1A7">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82" w:type="dxa"/>
            <w:vAlign w:val="center"/>
          </w:tcPr>
          <w:p w14:paraId="55E6BA94">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44" w:type="dxa"/>
            <w:vAlign w:val="center"/>
          </w:tcPr>
          <w:p w14:paraId="7A8C1601">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r>
      <w:tr w14:paraId="6BF6E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259E9673">
            <w:pPr>
              <w:adjustRightInd w:val="0"/>
              <w:snapToGrid w:val="0"/>
              <w:spacing w:line="360" w:lineRule="auto"/>
              <w:jc w:val="center"/>
              <w:rPr>
                <w:rFonts w:ascii="楷体" w:hAnsi="楷体" w:eastAsia="楷体" w:cs="楷体"/>
                <w:snapToGrid w:val="0"/>
                <w:color w:val="000000" w:themeColor="text1"/>
                <w:kern w:val="0"/>
                <w:szCs w:val="21"/>
                <w14:textFill>
                  <w14:solidFill>
                    <w14:schemeClr w14:val="tx1"/>
                  </w14:solidFill>
                </w14:textFill>
              </w:rPr>
            </w:pPr>
          </w:p>
        </w:tc>
        <w:tc>
          <w:tcPr>
            <w:tcW w:w="5033" w:type="dxa"/>
            <w:vAlign w:val="center"/>
          </w:tcPr>
          <w:p w14:paraId="3D2317A9">
            <w:pPr>
              <w:adjustRightInd w:val="0"/>
              <w:snapToGrid w:val="0"/>
              <w:spacing w:line="360" w:lineRule="auto"/>
              <w:rPr>
                <w:rFonts w:ascii="楷体" w:hAnsi="楷体" w:eastAsia="楷体" w:cs="楷体"/>
                <w:color w:val="000000" w:themeColor="text1"/>
                <w:szCs w:val="21"/>
                <w14:textFill>
                  <w14:solidFill>
                    <w14:schemeClr w14:val="tx1"/>
                  </w14:solidFill>
                </w14:textFill>
              </w:rPr>
            </w:pPr>
          </w:p>
        </w:tc>
        <w:tc>
          <w:tcPr>
            <w:tcW w:w="1134" w:type="dxa"/>
            <w:vAlign w:val="center"/>
          </w:tcPr>
          <w:p w14:paraId="4FD4F284">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82" w:type="dxa"/>
            <w:vAlign w:val="center"/>
          </w:tcPr>
          <w:p w14:paraId="5DCF4114">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44" w:type="dxa"/>
            <w:vAlign w:val="center"/>
          </w:tcPr>
          <w:p w14:paraId="2C1E1526">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r>
      <w:tr w14:paraId="00D13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745" w:type="dxa"/>
            <w:vAlign w:val="center"/>
          </w:tcPr>
          <w:p w14:paraId="37A1DA5A">
            <w:pPr>
              <w:adjustRightInd w:val="0"/>
              <w:snapToGrid w:val="0"/>
              <w:spacing w:line="360" w:lineRule="auto"/>
              <w:jc w:val="center"/>
              <w:rPr>
                <w:rFonts w:ascii="楷体" w:hAnsi="楷体" w:eastAsia="楷体" w:cs="楷体"/>
                <w:snapToGrid w:val="0"/>
                <w:color w:val="000000" w:themeColor="text1"/>
                <w:kern w:val="0"/>
                <w:szCs w:val="21"/>
                <w14:textFill>
                  <w14:solidFill>
                    <w14:schemeClr w14:val="tx1"/>
                  </w14:solidFill>
                </w14:textFill>
              </w:rPr>
            </w:pPr>
          </w:p>
        </w:tc>
        <w:tc>
          <w:tcPr>
            <w:tcW w:w="5033" w:type="dxa"/>
            <w:vAlign w:val="center"/>
          </w:tcPr>
          <w:p w14:paraId="2B803F28">
            <w:pPr>
              <w:adjustRightInd w:val="0"/>
              <w:snapToGrid w:val="0"/>
              <w:spacing w:line="360" w:lineRule="auto"/>
              <w:rPr>
                <w:rFonts w:ascii="楷体" w:hAnsi="楷体" w:eastAsia="楷体" w:cs="楷体"/>
                <w:color w:val="000000" w:themeColor="text1"/>
                <w:szCs w:val="21"/>
                <w14:textFill>
                  <w14:solidFill>
                    <w14:schemeClr w14:val="tx1"/>
                  </w14:solidFill>
                </w14:textFill>
              </w:rPr>
            </w:pPr>
          </w:p>
        </w:tc>
        <w:tc>
          <w:tcPr>
            <w:tcW w:w="1134" w:type="dxa"/>
            <w:vAlign w:val="center"/>
          </w:tcPr>
          <w:p w14:paraId="6883372E">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82" w:type="dxa"/>
            <w:vAlign w:val="center"/>
          </w:tcPr>
          <w:p w14:paraId="0963FC34">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c>
          <w:tcPr>
            <w:tcW w:w="1044" w:type="dxa"/>
            <w:vAlign w:val="center"/>
          </w:tcPr>
          <w:p w14:paraId="026B2665">
            <w:pPr>
              <w:adjustRightInd w:val="0"/>
              <w:snapToGrid w:val="0"/>
              <w:spacing w:line="360" w:lineRule="auto"/>
              <w:jc w:val="center"/>
              <w:rPr>
                <w:rFonts w:ascii="楷体" w:hAnsi="楷体" w:eastAsia="楷体" w:cs="楷体"/>
                <w:b/>
                <w:snapToGrid w:val="0"/>
                <w:color w:val="000000" w:themeColor="text1"/>
                <w:kern w:val="0"/>
                <w:szCs w:val="21"/>
                <w14:textFill>
                  <w14:solidFill>
                    <w14:schemeClr w14:val="tx1"/>
                  </w14:solidFill>
                </w14:textFill>
              </w:rPr>
            </w:pPr>
          </w:p>
        </w:tc>
      </w:tr>
    </w:tbl>
    <w:p w14:paraId="4A6C8620">
      <w:pPr>
        <w:autoSpaceDE w:val="0"/>
        <w:autoSpaceDN w:val="0"/>
        <w:adjustRightInd w:val="0"/>
        <w:spacing w:line="360" w:lineRule="auto"/>
        <w:rPr>
          <w:rFonts w:ascii="楷体" w:hAnsi="楷体" w:eastAsia="楷体" w:cs="楷体"/>
          <w:b/>
          <w:color w:val="000000" w:themeColor="text1"/>
          <w:szCs w:val="21"/>
          <w14:textFill>
            <w14:solidFill>
              <w14:schemeClr w14:val="tx1"/>
            </w14:solidFill>
          </w14:textFill>
        </w:rPr>
        <w:sectPr>
          <w:footerReference r:id="rId7" w:type="default"/>
          <w:footerReference r:id="rId8" w:type="even"/>
          <w:pgSz w:w="11906" w:h="16838"/>
          <w:pgMar w:top="1247" w:right="1588" w:bottom="1089" w:left="1588" w:header="851" w:footer="992" w:gutter="0"/>
          <w:pgNumType w:fmt="numberInDash"/>
          <w:cols w:space="720" w:num="1"/>
          <w:docGrid w:linePitch="312" w:charSpace="0"/>
        </w:sectPr>
      </w:pPr>
    </w:p>
    <w:p w14:paraId="34E2F1D7">
      <w:pPr>
        <w:autoSpaceDE w:val="0"/>
        <w:autoSpaceDN w:val="0"/>
        <w:adjustRightInd w:val="0"/>
        <w:spacing w:line="360" w:lineRule="auto"/>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3.2投标函</w:t>
      </w:r>
    </w:p>
    <w:p w14:paraId="58035A6D">
      <w:pPr>
        <w:pStyle w:val="27"/>
        <w:spacing w:line="360" w:lineRule="auto"/>
        <w:jc w:val="center"/>
        <w:rPr>
          <w:rFonts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投标函</w:t>
      </w:r>
    </w:p>
    <w:p w14:paraId="67D7D12D">
      <w:pPr>
        <w:pStyle w:val="27"/>
        <w:spacing w:line="360" w:lineRule="auto"/>
        <w:rPr>
          <w:rFonts w:ascii="楷体" w:hAnsi="楷体" w:eastAsia="楷体" w:cs="楷体"/>
          <w:color w:val="000000" w:themeColor="text1"/>
          <w:sz w:val="24"/>
          <w:szCs w:val="24"/>
          <w:u w:val="single"/>
          <w14:textFill>
            <w14:solidFill>
              <w14:schemeClr w14:val="tx1"/>
            </w14:solidFill>
          </w14:textFill>
        </w:rPr>
      </w:pPr>
      <w:r>
        <w:rPr>
          <w:rFonts w:hint="eastAsia" w:ascii="楷体" w:hAnsi="楷体" w:eastAsia="楷体" w:cs="楷体"/>
          <w:snapToGrid w:val="0"/>
          <w:color w:val="000000" w:themeColor="text1"/>
          <w:kern w:val="0"/>
          <w:sz w:val="24"/>
          <w:szCs w:val="24"/>
          <w:u w:val="single"/>
          <w14:textFill>
            <w14:solidFill>
              <w14:schemeClr w14:val="tx1"/>
            </w14:solidFill>
          </w14:textFill>
        </w:rPr>
        <w:t xml:space="preserve">                      </w:t>
      </w:r>
      <w:r>
        <w:rPr>
          <w:rFonts w:hint="eastAsia" w:ascii="楷体" w:hAnsi="楷体" w:eastAsia="楷体" w:cs="楷体"/>
          <w:color w:val="000000" w:themeColor="text1"/>
          <w:sz w:val="24"/>
          <w:szCs w:val="24"/>
          <w14:textFill>
            <w14:solidFill>
              <w14:schemeClr w14:val="tx1"/>
            </w14:solidFill>
          </w14:textFill>
        </w:rPr>
        <w:t>：</w:t>
      </w:r>
    </w:p>
    <w:p w14:paraId="34B0ADB9">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u w:val="single"/>
          <w14:textFill>
            <w14:solidFill>
              <w14:schemeClr w14:val="tx1"/>
            </w14:solidFill>
          </w14:textFill>
        </w:rPr>
        <w:t xml:space="preserve">                                       </w:t>
      </w:r>
      <w:r>
        <w:rPr>
          <w:rFonts w:hint="eastAsia" w:ascii="楷体" w:hAnsi="楷体" w:eastAsia="楷体" w:cs="楷体"/>
          <w:color w:val="000000" w:themeColor="text1"/>
          <w:sz w:val="24"/>
          <w:szCs w:val="24"/>
          <w14:textFill>
            <w14:solidFill>
              <w14:schemeClr w14:val="tx1"/>
            </w14:solidFill>
          </w14:textFill>
        </w:rPr>
        <w:t xml:space="preserve"> (投标人全称)授权</w:t>
      </w:r>
      <w:r>
        <w:rPr>
          <w:rFonts w:hint="eastAsia" w:ascii="楷体" w:hAnsi="楷体" w:eastAsia="楷体" w:cs="楷体"/>
          <w:color w:val="000000" w:themeColor="text1"/>
          <w:sz w:val="24"/>
          <w:szCs w:val="24"/>
          <w:u w:val="single"/>
          <w14:textFill>
            <w14:solidFill>
              <w14:schemeClr w14:val="tx1"/>
            </w14:solidFill>
          </w14:textFill>
        </w:rPr>
        <w:t xml:space="preserve">        </w:t>
      </w:r>
      <w:r>
        <w:rPr>
          <w:rFonts w:hint="eastAsia" w:ascii="楷体" w:hAnsi="楷体" w:eastAsia="楷体" w:cs="楷体"/>
          <w:color w:val="000000" w:themeColor="text1"/>
          <w:sz w:val="24"/>
          <w:szCs w:val="24"/>
          <w14:textFill>
            <w14:solidFill>
              <w14:schemeClr w14:val="tx1"/>
            </w14:solidFill>
          </w14:textFill>
        </w:rPr>
        <w:t>(全权代表姓名)</w:t>
      </w:r>
      <w:r>
        <w:rPr>
          <w:rFonts w:hint="eastAsia" w:ascii="楷体" w:hAnsi="楷体" w:eastAsia="楷体" w:cs="楷体"/>
          <w:color w:val="000000" w:themeColor="text1"/>
          <w:sz w:val="24"/>
          <w:szCs w:val="24"/>
          <w:u w:val="single"/>
          <w14:textFill>
            <w14:solidFill>
              <w14:schemeClr w14:val="tx1"/>
            </w14:solidFill>
          </w14:textFill>
        </w:rPr>
        <w:t xml:space="preserve">              </w:t>
      </w:r>
      <w:r>
        <w:rPr>
          <w:rFonts w:hint="eastAsia" w:ascii="楷体" w:hAnsi="楷体" w:eastAsia="楷体" w:cs="楷体"/>
          <w:color w:val="000000" w:themeColor="text1"/>
          <w:sz w:val="24"/>
          <w:szCs w:val="24"/>
          <w14:textFill>
            <w14:solidFill>
              <w14:schemeClr w14:val="tx1"/>
            </w14:solidFill>
          </w14:textFill>
        </w:rPr>
        <w:t>(职务、职称)为全权代表，参加贵方组织的</w:t>
      </w:r>
      <w:r>
        <w:rPr>
          <w:rFonts w:hint="eastAsia" w:ascii="楷体" w:hAnsi="楷体" w:eastAsia="楷体" w:cs="楷体"/>
          <w:color w:val="000000" w:themeColor="text1"/>
          <w:sz w:val="24"/>
          <w:szCs w:val="24"/>
          <w:u w:val="single"/>
          <w14:textFill>
            <w14:solidFill>
              <w14:schemeClr w14:val="tx1"/>
            </w14:solidFill>
          </w14:textFill>
        </w:rPr>
        <w:t xml:space="preserve">                       </w:t>
      </w:r>
      <w:r>
        <w:rPr>
          <w:rFonts w:hint="eastAsia" w:ascii="楷体" w:hAnsi="楷体" w:eastAsia="楷体" w:cs="楷体"/>
          <w:color w:val="000000" w:themeColor="text1"/>
          <w:sz w:val="24"/>
          <w:szCs w:val="24"/>
          <w14:textFill>
            <w14:solidFill>
              <w14:schemeClr w14:val="tx1"/>
            </w14:solidFill>
          </w14:textFill>
        </w:rPr>
        <w:t>项目 (采购编号：</w:t>
      </w:r>
      <w:r>
        <w:rPr>
          <w:rFonts w:hint="eastAsia" w:ascii="楷体" w:hAnsi="楷体" w:eastAsia="楷体" w:cs="楷体"/>
          <w:color w:val="000000" w:themeColor="text1"/>
          <w:sz w:val="24"/>
          <w:szCs w:val="24"/>
          <w:u w:val="single"/>
          <w14:textFill>
            <w14:solidFill>
              <w14:schemeClr w14:val="tx1"/>
            </w14:solidFill>
          </w14:textFill>
        </w:rPr>
        <w:t xml:space="preserve">       </w:t>
      </w:r>
      <w:r>
        <w:rPr>
          <w:rFonts w:hint="eastAsia" w:ascii="楷体" w:hAnsi="楷体" w:eastAsia="楷体" w:cs="楷体"/>
          <w:color w:val="000000" w:themeColor="text1"/>
          <w:sz w:val="24"/>
          <w:szCs w:val="24"/>
          <w14:textFill>
            <w14:solidFill>
              <w14:schemeClr w14:val="tx1"/>
            </w14:solidFill>
          </w14:textFill>
        </w:rPr>
        <w:t>)的有关活动，并对此项目进行投标。为此：</w:t>
      </w:r>
    </w:p>
    <w:p w14:paraId="366B70C4">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1、我方同意在投标人编制和提交投标文件须知规定的开标日期起遵守本投标书中的承诺且在投标有效期满（投标响应截止之日起</w:t>
      </w:r>
      <w:r>
        <w:rPr>
          <w:rFonts w:hint="eastAsia" w:ascii="楷体" w:hAnsi="楷体" w:eastAsia="楷体" w:cs="楷体"/>
          <w:color w:val="000000" w:themeColor="text1"/>
          <w:sz w:val="24"/>
          <w:szCs w:val="24"/>
          <w:u w:val="single"/>
          <w14:textFill>
            <w14:solidFill>
              <w14:schemeClr w14:val="tx1"/>
            </w14:solidFill>
          </w14:textFill>
        </w:rPr>
        <w:t xml:space="preserve">      </w:t>
      </w:r>
      <w:r>
        <w:rPr>
          <w:rFonts w:hint="eastAsia" w:ascii="楷体" w:hAnsi="楷体" w:eastAsia="楷体" w:cs="楷体"/>
          <w:color w:val="000000" w:themeColor="text1"/>
          <w:sz w:val="24"/>
          <w:szCs w:val="24"/>
          <w14:textFill>
            <w14:solidFill>
              <w14:schemeClr w14:val="tx1"/>
            </w14:solidFill>
          </w14:textFill>
        </w:rPr>
        <w:t>天）之前均具有约束力。</w:t>
      </w:r>
    </w:p>
    <w:p w14:paraId="7B1B70E8">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2、我方承诺已经具备《中华人民共和国政府采购法》中规定的参加政府采购活动的投标人应当具备的条件：</w:t>
      </w:r>
    </w:p>
    <w:p w14:paraId="5C2BEE6D">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(1)具有独立承担民事责任的能力；</w:t>
      </w:r>
    </w:p>
    <w:p w14:paraId="7EC5933A">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(2)遵守国家法律、行政法规，具有良好的信誉和商业道德；</w:t>
      </w:r>
    </w:p>
    <w:p w14:paraId="134C628A">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(3)具有履行合同的能力和良好的履行合同记录；</w:t>
      </w:r>
    </w:p>
    <w:p w14:paraId="610AFAAD">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(4)良好的资金、财务状况；</w:t>
      </w:r>
    </w:p>
    <w:p w14:paraId="39EA7FA8">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(5)没有违反政府采购法规、政策的记录；</w:t>
      </w:r>
    </w:p>
    <w:p w14:paraId="4067A4BC">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(6)没有发生重大经济纠纷和走私犯罪记录。</w:t>
      </w:r>
    </w:p>
    <w:p w14:paraId="317528D6">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3、提供编制和提交投标文件须知规定的全部投标文件，包括一份电子加密标书（后缀格式为.jmbs），一份备份标书文件（后缀格式为.bfbs）。具体内容为：</w:t>
      </w:r>
    </w:p>
    <w:p w14:paraId="17942E7B">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(1)资格文件、商务技术文件、报价文件；</w:t>
      </w:r>
    </w:p>
    <w:p w14:paraId="0360AB6D">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(2)编制和提交投标文件须知要求投标人提交的全部文件；</w:t>
      </w:r>
    </w:p>
    <w:p w14:paraId="31DC59A7">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(3)按采购文件要求提供和交付的货物和服务的投标报价详见开标一览表；</w:t>
      </w:r>
    </w:p>
    <w:p w14:paraId="11444E74">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(4)保证忠实地执行双方所签订的合同，并承担合同规定的责任和义务；</w:t>
      </w:r>
    </w:p>
    <w:p w14:paraId="1FB18116">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(5)保证遵守采购文件中的其他有关规定。</w:t>
      </w:r>
    </w:p>
    <w:p w14:paraId="0AB3487F">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4、我方完全理解贵方不一定要接受最低价的投标。</w:t>
      </w:r>
    </w:p>
    <w:p w14:paraId="6E12CFD7">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5、我方愿意向贵方提供任何与该项投标有关的数据、情况和技术资料。若贵方需要，我方愿意提供我方作出的一切承诺的证明材料。</w:t>
      </w:r>
    </w:p>
    <w:p w14:paraId="385A1B2E">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6、我方已详细审核全部采购文件，包括采购文件修改书(如果有)、参考资料及有关附件，确认无误。</w:t>
      </w:r>
    </w:p>
    <w:p w14:paraId="1A974E12">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7、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50948527">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a)提供虚假材料谋取中标、成交的；</w:t>
      </w:r>
    </w:p>
    <w:p w14:paraId="0B01904A">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b)采取不正当手段诋毁、排挤其他投标人的；</w:t>
      </w:r>
    </w:p>
    <w:p w14:paraId="4FB8AB3F">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c)与采购人、其它投标人或者采购代理机构恶意串通的；</w:t>
      </w:r>
    </w:p>
    <w:p w14:paraId="624F7304">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d)向采购人、采购代理机构行贿或者提供其他不正当利益的；</w:t>
      </w:r>
    </w:p>
    <w:p w14:paraId="4A1CD58A">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e)在招标采购过程中与采购人进行协商谈判的；</w:t>
      </w:r>
    </w:p>
    <w:p w14:paraId="19A056F5">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f)拒绝有关部门监督检查或提供虚假情况的。</w:t>
      </w:r>
    </w:p>
    <w:p w14:paraId="70E41CD2">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投标人有前款第a)至e)项情形之一的，中标、成交无效。</w:t>
      </w:r>
    </w:p>
    <w:p w14:paraId="7F8DB861">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p>
    <w:p w14:paraId="1400506B">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p>
    <w:p w14:paraId="79DC2DEC">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p>
    <w:p w14:paraId="5401AE49">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投标人（盖公章</w:t>
      </w:r>
      <w:r>
        <w:rPr>
          <w:rFonts w:hint="eastAsia" w:ascii="楷体" w:hAnsi="楷体" w:eastAsia="楷体" w:cs="楷体"/>
          <w:snapToGrid w:val="0"/>
          <w:color w:val="000000" w:themeColor="text1"/>
          <w:kern w:val="0"/>
          <w:sz w:val="24"/>
          <w:szCs w:val="24"/>
          <w14:textFill>
            <w14:solidFill>
              <w14:schemeClr w14:val="tx1"/>
            </w14:solidFill>
          </w14:textFill>
        </w:rPr>
        <w:t>或电子签章</w:t>
      </w:r>
      <w:r>
        <w:rPr>
          <w:rFonts w:hint="eastAsia" w:ascii="楷体" w:hAnsi="楷体" w:eastAsia="楷体" w:cs="楷体"/>
          <w:color w:val="000000" w:themeColor="text1"/>
          <w:sz w:val="24"/>
          <w:szCs w:val="24"/>
          <w14:textFill>
            <w14:solidFill>
              <w14:schemeClr w14:val="tx1"/>
            </w14:solidFill>
          </w14:textFill>
        </w:rPr>
        <w:t>）：</w:t>
      </w:r>
      <w:r>
        <w:rPr>
          <w:rFonts w:hint="eastAsia" w:ascii="楷体" w:hAnsi="楷体" w:eastAsia="楷体" w:cs="楷体"/>
          <w:color w:val="000000" w:themeColor="text1"/>
          <w:sz w:val="24"/>
          <w:szCs w:val="24"/>
          <w:u w:val="single"/>
          <w14:textFill>
            <w14:solidFill>
              <w14:schemeClr w14:val="tx1"/>
            </w14:solidFill>
          </w14:textFill>
        </w:rPr>
        <w:t xml:space="preserve">                      </w:t>
      </w:r>
      <w:r>
        <w:rPr>
          <w:rFonts w:hint="eastAsia" w:ascii="楷体" w:hAnsi="楷体" w:eastAsia="楷体" w:cs="楷体"/>
          <w:color w:val="000000" w:themeColor="text1"/>
          <w:sz w:val="24"/>
          <w:szCs w:val="24"/>
          <w14:textFill>
            <w14:solidFill>
              <w14:schemeClr w14:val="tx1"/>
            </w14:solidFill>
          </w14:textFill>
        </w:rPr>
        <w:t xml:space="preserve"> </w:t>
      </w:r>
    </w:p>
    <w:p w14:paraId="34D26F1A">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联系人：</w:t>
      </w:r>
      <w:r>
        <w:rPr>
          <w:rFonts w:hint="eastAsia" w:ascii="楷体" w:hAnsi="楷体" w:eastAsia="楷体" w:cs="楷体"/>
          <w:color w:val="000000" w:themeColor="text1"/>
          <w:sz w:val="24"/>
          <w:szCs w:val="24"/>
          <w:u w:val="single"/>
          <w14:textFill>
            <w14:solidFill>
              <w14:schemeClr w14:val="tx1"/>
            </w14:solidFill>
          </w14:textFill>
        </w:rPr>
        <w:t xml:space="preserve">                       </w:t>
      </w:r>
      <w:r>
        <w:rPr>
          <w:rFonts w:hint="eastAsia" w:ascii="楷体" w:hAnsi="楷体" w:eastAsia="楷体" w:cs="楷体"/>
          <w:color w:val="000000" w:themeColor="text1"/>
          <w:sz w:val="24"/>
          <w:szCs w:val="24"/>
          <w14:textFill>
            <w14:solidFill>
              <w14:schemeClr w14:val="tx1"/>
            </w14:solidFill>
          </w14:textFill>
        </w:rPr>
        <w:t xml:space="preserve">    联系电话</w:t>
      </w:r>
      <w:r>
        <w:rPr>
          <w:rFonts w:hint="eastAsia" w:ascii="楷体" w:hAnsi="楷体" w:eastAsia="楷体" w:cs="楷体"/>
          <w:color w:val="000000" w:themeColor="text1"/>
          <w:sz w:val="24"/>
          <w:szCs w:val="24"/>
          <w:u w:val="single"/>
          <w14:textFill>
            <w14:solidFill>
              <w14:schemeClr w14:val="tx1"/>
            </w14:solidFill>
          </w14:textFill>
        </w:rPr>
        <w:t xml:space="preserve">：                 </w:t>
      </w:r>
    </w:p>
    <w:p w14:paraId="141FE964">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联系地址：</w:t>
      </w:r>
      <w:r>
        <w:rPr>
          <w:rFonts w:hint="eastAsia" w:ascii="楷体" w:hAnsi="楷体" w:eastAsia="楷体" w:cs="楷体"/>
          <w:color w:val="000000" w:themeColor="text1"/>
          <w:sz w:val="24"/>
          <w:szCs w:val="24"/>
          <w:u w:val="single"/>
          <w14:textFill>
            <w14:solidFill>
              <w14:schemeClr w14:val="tx1"/>
            </w14:solidFill>
          </w14:textFill>
        </w:rPr>
        <w:t xml:space="preserve">                     </w:t>
      </w:r>
      <w:r>
        <w:rPr>
          <w:rFonts w:hint="eastAsia" w:ascii="楷体" w:hAnsi="楷体" w:eastAsia="楷体" w:cs="楷体"/>
          <w:color w:val="000000" w:themeColor="text1"/>
          <w:sz w:val="24"/>
          <w:szCs w:val="24"/>
          <w14:textFill>
            <w14:solidFill>
              <w14:schemeClr w14:val="tx1"/>
            </w14:solidFill>
          </w14:textFill>
        </w:rPr>
        <w:t xml:space="preserve">                               </w:t>
      </w:r>
    </w:p>
    <w:p w14:paraId="72DF1A7B">
      <w:pPr>
        <w:pStyle w:val="27"/>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邮政编码：</w:t>
      </w:r>
      <w:r>
        <w:rPr>
          <w:rFonts w:hint="eastAsia" w:ascii="楷体" w:hAnsi="楷体" w:eastAsia="楷体" w:cs="楷体"/>
          <w:color w:val="000000" w:themeColor="text1"/>
          <w:sz w:val="24"/>
          <w:szCs w:val="24"/>
          <w:u w:val="single"/>
          <w14:textFill>
            <w14:solidFill>
              <w14:schemeClr w14:val="tx1"/>
            </w14:solidFill>
          </w14:textFill>
        </w:rPr>
        <w:t xml:space="preserve">                     </w:t>
      </w:r>
      <w:r>
        <w:rPr>
          <w:rFonts w:hint="eastAsia" w:ascii="楷体" w:hAnsi="楷体" w:eastAsia="楷体" w:cs="楷体"/>
          <w:color w:val="000000" w:themeColor="text1"/>
          <w:sz w:val="24"/>
          <w:szCs w:val="24"/>
          <w14:textFill>
            <w14:solidFill>
              <w14:schemeClr w14:val="tx1"/>
            </w14:solidFill>
          </w14:textFill>
        </w:rPr>
        <w:t>传真号码</w:t>
      </w:r>
      <w:r>
        <w:rPr>
          <w:rFonts w:hint="eastAsia" w:ascii="楷体" w:hAnsi="楷体" w:eastAsia="楷体" w:cs="楷体"/>
          <w:color w:val="000000" w:themeColor="text1"/>
          <w:sz w:val="24"/>
          <w:szCs w:val="24"/>
          <w:u w:val="single"/>
          <w14:textFill>
            <w14:solidFill>
              <w14:schemeClr w14:val="tx1"/>
            </w14:solidFill>
          </w14:textFill>
        </w:rPr>
        <w:t xml:space="preserve">：                     </w:t>
      </w:r>
    </w:p>
    <w:p w14:paraId="44127E5D">
      <w:pPr>
        <w:autoSpaceDE w:val="0"/>
        <w:autoSpaceDN w:val="0"/>
        <w:adjustRightInd w:val="0"/>
        <w:spacing w:line="360" w:lineRule="auto"/>
        <w:ind w:firstLine="480" w:firstLineChars="200"/>
        <w:rPr>
          <w:rFonts w:ascii="楷体" w:hAnsi="楷体" w:eastAsia="楷体" w:cs="楷体"/>
          <w:b/>
          <w:color w:val="000000" w:themeColor="text1"/>
          <w:szCs w:val="21"/>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日    期：</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年</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u w:val="single"/>
          <w14:textFill>
            <w14:solidFill>
              <w14:schemeClr w14:val="tx1"/>
            </w14:solidFill>
          </w14:textFill>
        </w:rPr>
        <w:tab/>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日</w:t>
      </w:r>
      <w:r>
        <w:rPr>
          <w:rFonts w:hint="eastAsia" w:ascii="楷体" w:hAnsi="楷体" w:eastAsia="楷体" w:cs="楷体"/>
          <w:b/>
          <w:color w:val="000000" w:themeColor="text1"/>
          <w:sz w:val="24"/>
          <w14:textFill>
            <w14:solidFill>
              <w14:schemeClr w14:val="tx1"/>
            </w14:solidFill>
          </w14:textFill>
        </w:rPr>
        <w:br w:type="page"/>
      </w:r>
      <w:r>
        <w:rPr>
          <w:rFonts w:hint="eastAsia" w:ascii="楷体" w:hAnsi="楷体" w:eastAsia="楷体" w:cs="楷体"/>
          <w:b/>
          <w:color w:val="000000" w:themeColor="text1"/>
          <w:sz w:val="24"/>
          <w14:textFill>
            <w14:solidFill>
              <w14:schemeClr w14:val="tx1"/>
            </w14:solidFill>
          </w14:textFill>
        </w:rPr>
        <w:t>3.3投标响应一览表</w:t>
      </w:r>
    </w:p>
    <w:p w14:paraId="0095E0A1">
      <w:pPr>
        <w:pStyle w:val="27"/>
        <w:snapToGrid w:val="0"/>
        <w:spacing w:line="360" w:lineRule="auto"/>
        <w:jc w:val="center"/>
        <w:rPr>
          <w:rFonts w:ascii="楷体" w:hAnsi="楷体" w:eastAsia="楷体" w:cs="楷体"/>
          <w:b/>
          <w:snapToGrid w:val="0"/>
          <w:color w:val="000000" w:themeColor="text1"/>
          <w:kern w:val="0"/>
          <w:sz w:val="28"/>
          <w:szCs w:val="28"/>
          <w14:textFill>
            <w14:solidFill>
              <w14:schemeClr w14:val="tx1"/>
            </w14:solidFill>
          </w14:textFill>
        </w:rPr>
      </w:pPr>
      <w:r>
        <w:rPr>
          <w:rFonts w:hint="eastAsia" w:ascii="楷体" w:hAnsi="楷体" w:eastAsia="楷体" w:cs="楷体"/>
          <w:b/>
          <w:snapToGrid w:val="0"/>
          <w:color w:val="000000" w:themeColor="text1"/>
          <w:kern w:val="0"/>
          <w:sz w:val="28"/>
          <w:szCs w:val="28"/>
          <w14:textFill>
            <w14:solidFill>
              <w14:schemeClr w14:val="tx1"/>
            </w14:solidFill>
          </w14:textFill>
        </w:rPr>
        <w:t>投标响应一览表</w:t>
      </w:r>
    </w:p>
    <w:p w14:paraId="207EAF03">
      <w:pPr>
        <w:adjustRightInd w:val="0"/>
        <w:snapToGrid w:val="0"/>
        <w:spacing w:line="360" w:lineRule="auto"/>
        <w:rPr>
          <w:rFonts w:ascii="楷体" w:hAnsi="楷体" w:eastAsia="楷体" w:cs="楷体"/>
          <w:snapToGrid w:val="0"/>
          <w:color w:val="000000" w:themeColor="text1"/>
          <w:kern w:val="0"/>
          <w:sz w:val="24"/>
          <w:u w:val="single"/>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 xml:space="preserve">项目名称：                                                  </w:t>
      </w:r>
    </w:p>
    <w:p w14:paraId="3E4E4CBD">
      <w:pPr>
        <w:adjustRightInd w:val="0"/>
        <w:snapToGrid w:val="0"/>
        <w:spacing w:line="360" w:lineRule="auto"/>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 xml:space="preserve">采购编号：330327265050010000029-CNDL2026058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2"/>
        <w:gridCol w:w="5271"/>
      </w:tblGrid>
      <w:tr w14:paraId="4D36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2" w:type="dxa"/>
            <w:vAlign w:val="center"/>
          </w:tcPr>
          <w:p w14:paraId="36878BFB">
            <w:pPr>
              <w:adjustRightInd w:val="0"/>
              <w:snapToGrid w:val="0"/>
              <w:spacing w:line="360" w:lineRule="auto"/>
              <w:jc w:val="center"/>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服务期</w:t>
            </w:r>
          </w:p>
        </w:tc>
        <w:tc>
          <w:tcPr>
            <w:tcW w:w="5271" w:type="dxa"/>
            <w:vAlign w:val="center"/>
          </w:tcPr>
          <w:p w14:paraId="6A85285D">
            <w:pPr>
              <w:adjustRightInd w:val="0"/>
              <w:snapToGrid w:val="0"/>
              <w:spacing w:line="360" w:lineRule="auto"/>
              <w:jc w:val="center"/>
              <w:rPr>
                <w:rFonts w:ascii="楷体" w:hAnsi="楷体" w:eastAsia="楷体" w:cs="楷体"/>
                <w:snapToGrid w:val="0"/>
                <w:color w:val="000000" w:themeColor="text1"/>
                <w:kern w:val="0"/>
                <w:sz w:val="24"/>
                <w14:textFill>
                  <w14:solidFill>
                    <w14:schemeClr w14:val="tx1"/>
                  </w14:solidFill>
                </w14:textFill>
              </w:rPr>
            </w:pPr>
          </w:p>
        </w:tc>
      </w:tr>
      <w:tr w14:paraId="7A3D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2" w:type="dxa"/>
            <w:vAlign w:val="center"/>
          </w:tcPr>
          <w:p w14:paraId="4A164266">
            <w:pPr>
              <w:adjustRightInd w:val="0"/>
              <w:snapToGrid w:val="0"/>
              <w:spacing w:line="360" w:lineRule="auto"/>
              <w:jc w:val="center"/>
              <w:rPr>
                <w:rFonts w:ascii="楷体" w:hAnsi="楷体" w:eastAsia="楷体" w:cs="楷体"/>
                <w:snapToGrid w:val="0"/>
                <w:color w:val="000000" w:themeColor="text1"/>
                <w:kern w:val="0"/>
                <w:sz w:val="24"/>
                <w14:textFill>
                  <w14:solidFill>
                    <w14:schemeClr w14:val="tx1"/>
                  </w14:solidFill>
                </w14:textFill>
              </w:rPr>
            </w:pPr>
            <w:bookmarkStart w:id="476" w:name="OLE_LINK10"/>
            <w:r>
              <w:rPr>
                <w:rFonts w:hint="eastAsia" w:ascii="楷体" w:hAnsi="楷体" w:eastAsia="楷体" w:cs="楷体"/>
                <w:snapToGrid w:val="0"/>
                <w:color w:val="000000" w:themeColor="text1"/>
                <w:kern w:val="0"/>
                <w:sz w:val="24"/>
                <w14:textFill>
                  <w14:solidFill>
                    <w14:schemeClr w14:val="tx1"/>
                  </w14:solidFill>
                </w14:textFill>
              </w:rPr>
              <w:t>拟派项目负责人</w:t>
            </w:r>
            <w:bookmarkEnd w:id="476"/>
          </w:p>
        </w:tc>
        <w:tc>
          <w:tcPr>
            <w:tcW w:w="5271" w:type="dxa"/>
            <w:vAlign w:val="center"/>
          </w:tcPr>
          <w:p w14:paraId="254DCDF6">
            <w:pPr>
              <w:adjustRightInd w:val="0"/>
              <w:snapToGrid w:val="0"/>
              <w:spacing w:line="360" w:lineRule="auto"/>
              <w:jc w:val="center"/>
              <w:rPr>
                <w:rFonts w:ascii="楷体" w:hAnsi="楷体" w:eastAsia="楷体" w:cs="楷体"/>
                <w:snapToGrid w:val="0"/>
                <w:color w:val="000000" w:themeColor="text1"/>
                <w:kern w:val="0"/>
                <w:sz w:val="24"/>
                <w14:textFill>
                  <w14:solidFill>
                    <w14:schemeClr w14:val="tx1"/>
                  </w14:solidFill>
                </w14:textFill>
              </w:rPr>
            </w:pPr>
          </w:p>
        </w:tc>
      </w:tr>
    </w:tbl>
    <w:p w14:paraId="1E695D0A">
      <w:pPr>
        <w:adjustRightInd w:val="0"/>
        <w:snapToGrid w:val="0"/>
        <w:spacing w:line="360" w:lineRule="auto"/>
        <w:jc w:val="left"/>
        <w:rPr>
          <w:rFonts w:ascii="楷体" w:hAnsi="楷体" w:eastAsia="楷体" w:cs="楷体"/>
          <w:snapToGrid w:val="0"/>
          <w:color w:val="000000" w:themeColor="text1"/>
          <w:kern w:val="0"/>
          <w:sz w:val="24"/>
          <w14:textFill>
            <w14:solidFill>
              <w14:schemeClr w14:val="tx1"/>
            </w14:solidFill>
          </w14:textFill>
        </w:rPr>
      </w:pPr>
    </w:p>
    <w:p w14:paraId="6B66D7CA">
      <w:pPr>
        <w:widowControl/>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p>
    <w:p w14:paraId="13665387">
      <w:pPr>
        <w:adjustRightInd w:val="0"/>
        <w:snapToGrid w:val="0"/>
        <w:spacing w:line="360" w:lineRule="auto"/>
        <w:ind w:firstLine="5160" w:firstLineChars="2150"/>
        <w:rPr>
          <w:rFonts w:ascii="楷体" w:hAnsi="楷体" w:eastAsia="楷体" w:cs="楷体"/>
          <w:snapToGrid w:val="0"/>
          <w:color w:val="000000" w:themeColor="text1"/>
          <w:kern w:val="0"/>
          <w:sz w:val="24"/>
          <w14:textFill>
            <w14:solidFill>
              <w14:schemeClr w14:val="tx1"/>
            </w14:solidFill>
          </w14:textFill>
        </w:rPr>
      </w:pPr>
    </w:p>
    <w:p w14:paraId="66740D6F">
      <w:pPr>
        <w:adjustRightInd w:val="0"/>
        <w:snapToGrid w:val="0"/>
        <w:spacing w:line="360" w:lineRule="auto"/>
        <w:ind w:firstLine="5160" w:firstLineChars="215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投标人(盖公章或电子签章)：</w:t>
      </w:r>
    </w:p>
    <w:p w14:paraId="3D13BFA9">
      <w:pPr>
        <w:adjustRightInd w:val="0"/>
        <w:snapToGrid w:val="0"/>
        <w:spacing w:line="360" w:lineRule="auto"/>
        <w:ind w:firstLine="5160" w:firstLineChars="2150"/>
        <w:rPr>
          <w:rFonts w:ascii="楷体" w:hAnsi="楷体" w:eastAsia="楷体" w:cs="楷体"/>
          <w:snapToGrid w:val="0"/>
          <w:color w:val="000000" w:themeColor="text1"/>
          <w:kern w:val="0"/>
          <w:sz w:val="24"/>
          <w14:textFill>
            <w14:solidFill>
              <w14:schemeClr w14:val="tx1"/>
            </w14:solidFill>
          </w14:textFill>
        </w:rPr>
      </w:pPr>
    </w:p>
    <w:p w14:paraId="45A8E373">
      <w:pPr>
        <w:adjustRightInd w:val="0"/>
        <w:snapToGrid w:val="0"/>
        <w:spacing w:line="360" w:lineRule="auto"/>
        <w:ind w:firstLine="5160" w:firstLineChars="215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日期：</w:t>
      </w:r>
    </w:p>
    <w:p w14:paraId="70C9040B">
      <w:pPr>
        <w:pStyle w:val="19"/>
        <w:spacing w:line="360" w:lineRule="auto"/>
        <w:rPr>
          <w:rFonts w:ascii="楷体" w:hAnsi="楷体" w:eastAsia="楷体" w:cs="楷体"/>
          <w:color w:val="000000" w:themeColor="text1"/>
          <w14:textFill>
            <w14:solidFill>
              <w14:schemeClr w14:val="tx1"/>
            </w14:solidFill>
          </w14:textFill>
        </w:rPr>
      </w:pPr>
    </w:p>
    <w:p w14:paraId="75EE2C7E">
      <w:pPr>
        <w:pStyle w:val="19"/>
        <w:spacing w:line="360" w:lineRule="auto"/>
        <w:rPr>
          <w:rFonts w:ascii="楷体" w:hAnsi="楷体" w:eastAsia="楷体" w:cs="楷体"/>
          <w:color w:val="000000" w:themeColor="text1"/>
          <w14:textFill>
            <w14:solidFill>
              <w14:schemeClr w14:val="tx1"/>
            </w14:solidFill>
          </w14:textFill>
        </w:rPr>
      </w:pPr>
    </w:p>
    <w:p w14:paraId="6047F70E">
      <w:pPr>
        <w:autoSpaceDE w:val="0"/>
        <w:autoSpaceDN w:val="0"/>
        <w:adjustRightInd w:val="0"/>
        <w:spacing w:line="360" w:lineRule="auto"/>
        <w:rPr>
          <w:rFonts w:ascii="楷体" w:hAnsi="楷体" w:eastAsia="楷体" w:cs="楷体"/>
          <w:b/>
          <w:color w:val="000000" w:themeColor="text1"/>
          <w:szCs w:val="21"/>
          <w14:textFill>
            <w14:solidFill>
              <w14:schemeClr w14:val="tx1"/>
            </w14:solidFill>
          </w14:textFill>
        </w:rPr>
        <w:sectPr>
          <w:pgSz w:w="11906" w:h="16838"/>
          <w:pgMar w:top="1247" w:right="1588" w:bottom="1089" w:left="1588" w:header="851" w:footer="992" w:gutter="0"/>
          <w:pgNumType w:fmt="numberInDash"/>
          <w:cols w:space="720" w:num="1"/>
          <w:docGrid w:linePitch="312" w:charSpace="0"/>
        </w:sectPr>
      </w:pPr>
    </w:p>
    <w:p w14:paraId="0DA9247C">
      <w:pPr>
        <w:autoSpaceDE w:val="0"/>
        <w:autoSpaceDN w:val="0"/>
        <w:adjustRightInd w:val="0"/>
        <w:spacing w:line="360" w:lineRule="auto"/>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3.4投标人基本情况</w:t>
      </w:r>
    </w:p>
    <w:p w14:paraId="639CD83A">
      <w:pPr>
        <w:spacing w:line="360" w:lineRule="auto"/>
        <w:jc w:val="center"/>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投标人基本情况表</w:t>
      </w:r>
    </w:p>
    <w:p w14:paraId="0E8FC593">
      <w:pPr>
        <w:spacing w:line="360" w:lineRule="auto"/>
        <w:ind w:firstLine="2233" w:firstLineChars="695"/>
        <w:rPr>
          <w:rFonts w:ascii="楷体" w:hAnsi="楷体" w:eastAsia="楷体" w:cs="楷体"/>
          <w:b/>
          <w:color w:val="000000" w:themeColor="text1"/>
          <w:sz w:val="32"/>
          <w:szCs w:val="32"/>
          <w14:textFill>
            <w14:solidFill>
              <w14:schemeClr w14:val="tx1"/>
            </w14:solidFill>
          </w14:textFill>
        </w:rPr>
      </w:pPr>
    </w:p>
    <w:tbl>
      <w:tblPr>
        <w:tblStyle w:val="46"/>
        <w:tblW w:w="0" w:type="auto"/>
        <w:tblInd w:w="28" w:type="dxa"/>
        <w:tblLayout w:type="fixed"/>
        <w:tblCellMar>
          <w:top w:w="0" w:type="dxa"/>
          <w:left w:w="28" w:type="dxa"/>
          <w:bottom w:w="0" w:type="dxa"/>
          <w:right w:w="28" w:type="dxa"/>
        </w:tblCellMar>
      </w:tblPr>
      <w:tblGrid>
        <w:gridCol w:w="2368"/>
        <w:gridCol w:w="2490"/>
        <w:gridCol w:w="1575"/>
        <w:gridCol w:w="2415"/>
      </w:tblGrid>
      <w:tr w14:paraId="093AB36D">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14642F53">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投标人全称</w:t>
            </w:r>
          </w:p>
        </w:tc>
        <w:tc>
          <w:tcPr>
            <w:tcW w:w="6480" w:type="dxa"/>
            <w:gridSpan w:val="3"/>
            <w:tcBorders>
              <w:top w:val="single" w:color="auto" w:sz="6" w:space="0"/>
              <w:left w:val="single" w:color="auto" w:sz="6" w:space="0"/>
              <w:bottom w:val="single" w:color="auto" w:sz="6" w:space="0"/>
              <w:right w:val="single" w:color="auto" w:sz="6" w:space="0"/>
            </w:tcBorders>
          </w:tcPr>
          <w:p w14:paraId="4E3EE490">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p>
        </w:tc>
      </w:tr>
      <w:tr w14:paraId="298998EA">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0367F908">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企业资质</w:t>
            </w:r>
          </w:p>
        </w:tc>
        <w:tc>
          <w:tcPr>
            <w:tcW w:w="6480" w:type="dxa"/>
            <w:gridSpan w:val="3"/>
            <w:tcBorders>
              <w:top w:val="single" w:color="auto" w:sz="6" w:space="0"/>
              <w:left w:val="single" w:color="auto" w:sz="6" w:space="0"/>
              <w:bottom w:val="single" w:color="auto" w:sz="6" w:space="0"/>
              <w:right w:val="single" w:color="auto" w:sz="6" w:space="0"/>
            </w:tcBorders>
          </w:tcPr>
          <w:p w14:paraId="2BD37B99">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 xml:space="preserve">1.等级:            2.证书号:       3.发证单位: </w:t>
            </w:r>
          </w:p>
        </w:tc>
      </w:tr>
      <w:tr w14:paraId="012815BC">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6100B761">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营业执照</w:t>
            </w:r>
          </w:p>
        </w:tc>
        <w:tc>
          <w:tcPr>
            <w:tcW w:w="6480" w:type="dxa"/>
            <w:gridSpan w:val="3"/>
            <w:tcBorders>
              <w:top w:val="single" w:color="auto" w:sz="6" w:space="0"/>
              <w:left w:val="single" w:color="auto" w:sz="6" w:space="0"/>
              <w:bottom w:val="single" w:color="auto" w:sz="6" w:space="0"/>
              <w:right w:val="single" w:color="auto" w:sz="6" w:space="0"/>
            </w:tcBorders>
          </w:tcPr>
          <w:p w14:paraId="4782D5D8">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 xml:space="preserve">1.编号:            2.营业范围:     3.发照单位: </w:t>
            </w:r>
          </w:p>
        </w:tc>
      </w:tr>
      <w:tr w14:paraId="3A764FB8">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6FFB16E9">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建立日期</w:t>
            </w:r>
          </w:p>
        </w:tc>
        <w:tc>
          <w:tcPr>
            <w:tcW w:w="2490" w:type="dxa"/>
            <w:tcBorders>
              <w:top w:val="single" w:color="auto" w:sz="6" w:space="0"/>
              <w:left w:val="single" w:color="auto" w:sz="6" w:space="0"/>
              <w:bottom w:val="single" w:color="auto" w:sz="6" w:space="0"/>
              <w:right w:val="single" w:color="auto" w:sz="6" w:space="0"/>
            </w:tcBorders>
          </w:tcPr>
          <w:p w14:paraId="69C1A67F">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tcPr>
          <w:p w14:paraId="09B8E845">
            <w:pPr>
              <w:widowControl/>
              <w:autoSpaceDE w:val="0"/>
              <w:autoSpaceDN w:val="0"/>
              <w:spacing w:line="360" w:lineRule="auto"/>
              <w:jc w:val="center"/>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现有职工</w:t>
            </w:r>
          </w:p>
        </w:tc>
        <w:tc>
          <w:tcPr>
            <w:tcW w:w="2415" w:type="dxa"/>
            <w:tcBorders>
              <w:top w:val="single" w:color="auto" w:sz="6" w:space="0"/>
              <w:left w:val="single" w:color="auto" w:sz="6" w:space="0"/>
              <w:bottom w:val="single" w:color="auto" w:sz="6" w:space="0"/>
              <w:right w:val="single" w:color="auto" w:sz="6" w:space="0"/>
            </w:tcBorders>
          </w:tcPr>
          <w:p w14:paraId="3E37A7DF">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p>
        </w:tc>
      </w:tr>
      <w:tr w14:paraId="6347E023">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1E68FE4C">
            <w:pPr>
              <w:widowControl/>
              <w:autoSpaceDE w:val="0"/>
              <w:autoSpaceDN w:val="0"/>
              <w:spacing w:line="360" w:lineRule="auto"/>
              <w:jc w:val="center"/>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固定资产净值(万元)</w:t>
            </w:r>
          </w:p>
        </w:tc>
        <w:tc>
          <w:tcPr>
            <w:tcW w:w="6480" w:type="dxa"/>
            <w:gridSpan w:val="3"/>
            <w:tcBorders>
              <w:top w:val="single" w:color="auto" w:sz="6" w:space="0"/>
              <w:left w:val="single" w:color="auto" w:sz="6" w:space="0"/>
              <w:bottom w:val="single" w:color="auto" w:sz="6" w:space="0"/>
              <w:right w:val="single" w:color="auto" w:sz="6" w:space="0"/>
            </w:tcBorders>
          </w:tcPr>
          <w:p w14:paraId="31967283">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p>
        </w:tc>
      </w:tr>
      <w:tr w14:paraId="26ED1261">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3A12A76F">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行政负责人</w:t>
            </w:r>
          </w:p>
        </w:tc>
        <w:tc>
          <w:tcPr>
            <w:tcW w:w="6480" w:type="dxa"/>
            <w:gridSpan w:val="3"/>
            <w:tcBorders>
              <w:top w:val="single" w:color="auto" w:sz="6" w:space="0"/>
              <w:left w:val="single" w:color="auto" w:sz="6" w:space="0"/>
              <w:bottom w:val="single" w:color="auto" w:sz="6" w:space="0"/>
              <w:right w:val="single" w:color="auto" w:sz="6" w:space="0"/>
            </w:tcBorders>
          </w:tcPr>
          <w:p w14:paraId="0400DD77">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姓名:             职务:             职称:</w:t>
            </w:r>
          </w:p>
        </w:tc>
      </w:tr>
      <w:tr w14:paraId="624A4173">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52131015">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技术负责人</w:t>
            </w:r>
          </w:p>
        </w:tc>
        <w:tc>
          <w:tcPr>
            <w:tcW w:w="6480" w:type="dxa"/>
            <w:gridSpan w:val="3"/>
            <w:tcBorders>
              <w:top w:val="single" w:color="auto" w:sz="6" w:space="0"/>
              <w:left w:val="single" w:color="auto" w:sz="6" w:space="0"/>
              <w:bottom w:val="single" w:color="auto" w:sz="6" w:space="0"/>
              <w:right w:val="single" w:color="auto" w:sz="6" w:space="0"/>
            </w:tcBorders>
          </w:tcPr>
          <w:p w14:paraId="23382BF9">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姓名:             职务:             职称:</w:t>
            </w:r>
          </w:p>
        </w:tc>
      </w:tr>
      <w:tr w14:paraId="46ECB2F9">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vAlign w:val="center"/>
          </w:tcPr>
          <w:p w14:paraId="655EFBB1">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联系方式</w:t>
            </w:r>
          </w:p>
        </w:tc>
        <w:tc>
          <w:tcPr>
            <w:tcW w:w="6480" w:type="dxa"/>
            <w:gridSpan w:val="3"/>
            <w:tcBorders>
              <w:top w:val="single" w:color="auto" w:sz="6" w:space="0"/>
              <w:left w:val="single" w:color="auto" w:sz="6" w:space="0"/>
              <w:bottom w:val="single" w:color="auto" w:sz="6" w:space="0"/>
              <w:right w:val="single" w:color="auto" w:sz="6" w:space="0"/>
            </w:tcBorders>
          </w:tcPr>
          <w:p w14:paraId="46BFD41B">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地址</w:t>
            </w:r>
          </w:p>
          <w:p w14:paraId="400ACA72">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邮编:</w:t>
            </w:r>
          </w:p>
          <w:p w14:paraId="5C7F55EA">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 xml:space="preserve">电话:  </w:t>
            </w:r>
          </w:p>
          <w:p w14:paraId="767FE8D3">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 xml:space="preserve">传真:       </w:t>
            </w:r>
          </w:p>
        </w:tc>
      </w:tr>
      <w:tr w14:paraId="2DD43FE3">
        <w:tblPrEx>
          <w:tblCellMar>
            <w:top w:w="0" w:type="dxa"/>
            <w:left w:w="28" w:type="dxa"/>
            <w:bottom w:w="0" w:type="dxa"/>
            <w:right w:w="28" w:type="dxa"/>
          </w:tblCellMar>
        </w:tblPrEx>
        <w:trPr>
          <w:cantSplit/>
        </w:trPr>
        <w:tc>
          <w:tcPr>
            <w:tcW w:w="2368" w:type="dxa"/>
            <w:tcBorders>
              <w:top w:val="single" w:color="auto" w:sz="6" w:space="0"/>
              <w:left w:val="single" w:color="auto" w:sz="6" w:space="0"/>
              <w:bottom w:val="single" w:color="auto" w:sz="6" w:space="0"/>
              <w:right w:val="single" w:color="auto" w:sz="6" w:space="0"/>
            </w:tcBorders>
          </w:tcPr>
          <w:p w14:paraId="54A69955">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开户银行</w:t>
            </w:r>
          </w:p>
        </w:tc>
        <w:tc>
          <w:tcPr>
            <w:tcW w:w="6480" w:type="dxa"/>
            <w:gridSpan w:val="3"/>
            <w:tcBorders>
              <w:top w:val="single" w:color="auto" w:sz="6" w:space="0"/>
              <w:left w:val="single" w:color="auto" w:sz="6" w:space="0"/>
              <w:bottom w:val="single" w:color="auto" w:sz="6" w:space="0"/>
              <w:right w:val="single" w:color="auto" w:sz="6" w:space="0"/>
            </w:tcBorders>
          </w:tcPr>
          <w:p w14:paraId="7976A1B0">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 xml:space="preserve">名称:                      账号:          </w:t>
            </w:r>
          </w:p>
        </w:tc>
      </w:tr>
      <w:tr w14:paraId="24FDB419">
        <w:tblPrEx>
          <w:tblCellMar>
            <w:top w:w="0" w:type="dxa"/>
            <w:left w:w="28" w:type="dxa"/>
            <w:bottom w:w="0" w:type="dxa"/>
            <w:right w:w="28" w:type="dxa"/>
          </w:tblCellMar>
        </w:tblPrEx>
        <w:trPr>
          <w:cantSplit/>
          <w:trHeight w:val="5279" w:hRule="atLeast"/>
        </w:trPr>
        <w:tc>
          <w:tcPr>
            <w:tcW w:w="2368" w:type="dxa"/>
            <w:tcBorders>
              <w:top w:val="single" w:color="auto" w:sz="6" w:space="0"/>
              <w:left w:val="single" w:color="auto" w:sz="6" w:space="0"/>
              <w:bottom w:val="single" w:color="auto" w:sz="6" w:space="0"/>
              <w:right w:val="single" w:color="auto" w:sz="6" w:space="0"/>
            </w:tcBorders>
          </w:tcPr>
          <w:p w14:paraId="18762DBD">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p>
          <w:p w14:paraId="0EFB13FF">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p>
          <w:p w14:paraId="3F0E6853">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p>
          <w:p w14:paraId="2140BE99">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p>
          <w:p w14:paraId="2CBEA2BF">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p>
          <w:p w14:paraId="320F6FCF">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p>
          <w:p w14:paraId="6831B00C">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组织机构框图</w:t>
            </w:r>
          </w:p>
          <w:p w14:paraId="5269CBAA">
            <w:pPr>
              <w:widowControl/>
              <w:autoSpaceDE w:val="0"/>
              <w:autoSpaceDN w:val="0"/>
              <w:spacing w:line="360" w:lineRule="auto"/>
              <w:ind w:left="105"/>
              <w:jc w:val="center"/>
              <w:textAlignment w:val="bottom"/>
              <w:rPr>
                <w:rFonts w:ascii="楷体" w:hAnsi="楷体" w:eastAsia="楷体" w:cs="楷体"/>
                <w:color w:val="000000" w:themeColor="text1"/>
                <w14:textFill>
                  <w14:solidFill>
                    <w14:schemeClr w14:val="tx1"/>
                  </w14:solidFill>
                </w14:textFill>
              </w:rPr>
            </w:pPr>
          </w:p>
          <w:p w14:paraId="1E5E69C3">
            <w:pPr>
              <w:autoSpaceDE w:val="0"/>
              <w:autoSpaceDN w:val="0"/>
              <w:spacing w:line="360" w:lineRule="auto"/>
              <w:ind w:left="105"/>
              <w:textAlignment w:val="bottom"/>
              <w:rPr>
                <w:rFonts w:ascii="楷体" w:hAnsi="楷体" w:eastAsia="楷体" w:cs="楷体"/>
                <w:color w:val="000000" w:themeColor="text1"/>
                <w14:textFill>
                  <w14:solidFill>
                    <w14:schemeClr w14:val="tx1"/>
                  </w14:solidFill>
                </w14:textFill>
              </w:rPr>
            </w:pPr>
          </w:p>
        </w:tc>
        <w:tc>
          <w:tcPr>
            <w:tcW w:w="6480" w:type="dxa"/>
            <w:gridSpan w:val="3"/>
            <w:tcBorders>
              <w:top w:val="single" w:color="auto" w:sz="6" w:space="0"/>
              <w:left w:val="single" w:color="auto" w:sz="6" w:space="0"/>
              <w:bottom w:val="single" w:color="auto" w:sz="6" w:space="0"/>
              <w:right w:val="single" w:color="auto" w:sz="6" w:space="0"/>
            </w:tcBorders>
          </w:tcPr>
          <w:p w14:paraId="64DBFDF4">
            <w:pPr>
              <w:widowControl/>
              <w:autoSpaceDE w:val="0"/>
              <w:autoSpaceDN w:val="0"/>
              <w:spacing w:line="360" w:lineRule="auto"/>
              <w:textAlignment w:val="bottom"/>
              <w:rPr>
                <w:rFonts w:ascii="楷体" w:hAnsi="楷体" w:eastAsia="楷体" w:cs="楷体"/>
                <w:color w:val="000000" w:themeColor="text1"/>
                <w14:textFill>
                  <w14:solidFill>
                    <w14:schemeClr w14:val="tx1"/>
                  </w14:solidFill>
                </w14:textFill>
              </w:rPr>
            </w:pPr>
          </w:p>
        </w:tc>
      </w:tr>
    </w:tbl>
    <w:p w14:paraId="01BF9301">
      <w:pPr>
        <w:spacing w:line="360" w:lineRule="auto"/>
        <w:ind w:left="630" w:hanging="630" w:hangingChars="300"/>
        <w:rPr>
          <w:rFonts w:ascii="楷体" w:hAnsi="楷体" w:eastAsia="楷体" w:cs="楷体"/>
          <w:color w:val="000000" w:themeColor="text1"/>
          <w14:textFill>
            <w14:solidFill>
              <w14:schemeClr w14:val="tx1"/>
            </w14:solidFill>
          </w14:textFill>
        </w:rPr>
      </w:pPr>
    </w:p>
    <w:p w14:paraId="1D52006A">
      <w:pPr>
        <w:adjustRightInd w:val="0"/>
        <w:snapToGrid w:val="0"/>
        <w:spacing w:before="120" w:beforeLines="50" w:line="360" w:lineRule="auto"/>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br w:type="page"/>
      </w:r>
      <w:r>
        <w:rPr>
          <w:rFonts w:hint="eastAsia" w:ascii="楷体" w:hAnsi="楷体" w:eastAsia="楷体" w:cs="楷体"/>
          <w:b/>
          <w:color w:val="000000" w:themeColor="text1"/>
          <w:sz w:val="24"/>
          <w14:textFill>
            <w14:solidFill>
              <w14:schemeClr w14:val="tx1"/>
            </w14:solidFill>
          </w14:textFill>
        </w:rPr>
        <w:t>3.5授权委托书</w:t>
      </w:r>
    </w:p>
    <w:p w14:paraId="755AF876">
      <w:pPr>
        <w:spacing w:line="360" w:lineRule="auto"/>
        <w:rPr>
          <w:rFonts w:ascii="楷体" w:hAnsi="楷体" w:eastAsia="楷体" w:cs="楷体"/>
          <w:b/>
          <w:snapToGrid w:val="0"/>
          <w:color w:val="000000" w:themeColor="text1"/>
          <w:kern w:val="0"/>
          <w:szCs w:val="21"/>
          <w14:textFill>
            <w14:solidFill>
              <w14:schemeClr w14:val="tx1"/>
            </w14:solidFill>
          </w14:textFill>
        </w:rPr>
      </w:pPr>
    </w:p>
    <w:p w14:paraId="27A4637A">
      <w:pPr>
        <w:adjustRightInd w:val="0"/>
        <w:spacing w:line="360" w:lineRule="auto"/>
        <w:rPr>
          <w:rFonts w:ascii="楷体" w:hAnsi="楷体" w:eastAsia="楷体" w:cs="楷体"/>
          <w:snapToGrid w:val="0"/>
          <w:color w:val="000000" w:themeColor="text1"/>
          <w:kern w:val="0"/>
          <w:szCs w:val="21"/>
          <w14:textFill>
            <w14:solidFill>
              <w14:schemeClr w14:val="tx1"/>
            </w14:solidFill>
          </w14:textFill>
        </w:rPr>
      </w:pPr>
    </w:p>
    <w:p w14:paraId="5CB8F9DE">
      <w:pPr>
        <w:adjustRightInd w:val="0"/>
        <w:spacing w:line="360" w:lineRule="auto"/>
        <w:jc w:val="center"/>
        <w:rPr>
          <w:rFonts w:ascii="楷体" w:hAnsi="楷体" w:eastAsia="楷体" w:cs="楷体"/>
          <w:b/>
          <w:snapToGrid w:val="0"/>
          <w:color w:val="000000" w:themeColor="text1"/>
          <w:kern w:val="0"/>
          <w:sz w:val="28"/>
          <w:szCs w:val="28"/>
          <w14:textFill>
            <w14:solidFill>
              <w14:schemeClr w14:val="tx1"/>
            </w14:solidFill>
          </w14:textFill>
        </w:rPr>
      </w:pPr>
      <w:r>
        <w:rPr>
          <w:rFonts w:hint="eastAsia" w:ascii="楷体" w:hAnsi="楷体" w:eastAsia="楷体" w:cs="楷体"/>
          <w:b/>
          <w:bCs/>
          <w:snapToGrid w:val="0"/>
          <w:color w:val="000000" w:themeColor="text1"/>
          <w:kern w:val="0"/>
          <w:sz w:val="28"/>
          <w:szCs w:val="28"/>
          <w14:textFill>
            <w14:solidFill>
              <w14:schemeClr w14:val="tx1"/>
            </w14:solidFill>
          </w14:textFill>
        </w:rPr>
        <w:t>授权委托书</w:t>
      </w:r>
    </w:p>
    <w:p w14:paraId="3DE21385">
      <w:pPr>
        <w:adjustRightInd w:val="0"/>
        <w:spacing w:line="360" w:lineRule="auto"/>
        <w:jc w:val="left"/>
        <w:rPr>
          <w:rFonts w:ascii="楷体" w:hAnsi="楷体" w:eastAsia="楷体" w:cs="楷体"/>
          <w:b/>
          <w:snapToGrid w:val="0"/>
          <w:color w:val="000000" w:themeColor="text1"/>
          <w:kern w:val="0"/>
          <w:sz w:val="24"/>
          <w14:textFill>
            <w14:solidFill>
              <w14:schemeClr w14:val="tx1"/>
            </w14:solidFill>
          </w14:textFill>
        </w:rPr>
      </w:pPr>
    </w:p>
    <w:p w14:paraId="5F9688E7">
      <w:pPr>
        <w:adjustRightInd w:val="0"/>
        <w:spacing w:line="360" w:lineRule="auto"/>
        <w:ind w:left="4" w:firstLine="520" w:firstLineChars="217"/>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 xml:space="preserve">我 </w:t>
      </w:r>
      <w:r>
        <w:rPr>
          <w:rFonts w:hint="eastAsia" w:ascii="楷体" w:hAnsi="楷体" w:eastAsia="楷体" w:cs="楷体"/>
          <w:snapToGrid w:val="0"/>
          <w:color w:val="000000" w:themeColor="text1"/>
          <w:kern w:val="0"/>
          <w:sz w:val="24"/>
          <w:u w:val="single"/>
          <w14:textFill>
            <w14:solidFill>
              <w14:schemeClr w14:val="tx1"/>
            </w14:solidFill>
          </w14:textFill>
        </w:rPr>
        <w:t xml:space="preserve">               </w:t>
      </w:r>
      <w:r>
        <w:rPr>
          <w:rFonts w:hint="eastAsia" w:ascii="楷体" w:hAnsi="楷体" w:eastAsia="楷体" w:cs="楷体"/>
          <w:snapToGrid w:val="0"/>
          <w:color w:val="000000" w:themeColor="text1"/>
          <w:kern w:val="0"/>
          <w:sz w:val="24"/>
          <w14:textFill>
            <w14:solidFill>
              <w14:schemeClr w14:val="tx1"/>
            </w14:solidFill>
          </w14:textFill>
        </w:rPr>
        <w:t>（投标人名称），现授权委托</w:t>
      </w:r>
      <w:r>
        <w:rPr>
          <w:rFonts w:hint="eastAsia" w:ascii="楷体" w:hAnsi="楷体" w:eastAsia="楷体" w:cs="楷体"/>
          <w:snapToGrid w:val="0"/>
          <w:color w:val="000000" w:themeColor="text1"/>
          <w:kern w:val="0"/>
          <w:sz w:val="24"/>
          <w:u w:val="single"/>
          <w14:textFill>
            <w14:solidFill>
              <w14:schemeClr w14:val="tx1"/>
            </w14:solidFill>
          </w14:textFill>
        </w:rPr>
        <w:t xml:space="preserve">           </w:t>
      </w:r>
      <w:r>
        <w:rPr>
          <w:rFonts w:hint="eastAsia" w:ascii="楷体" w:hAnsi="楷体" w:eastAsia="楷体" w:cs="楷体"/>
          <w:snapToGrid w:val="0"/>
          <w:color w:val="000000" w:themeColor="text1"/>
          <w:kern w:val="0"/>
          <w:sz w:val="24"/>
          <w14:textFill>
            <w14:solidFill>
              <w14:schemeClr w14:val="tx1"/>
            </w14:solidFill>
          </w14:textFill>
        </w:rPr>
        <w:t>（姓名、身份证号）为我公司授权代表，以本公司的名义参加</w:t>
      </w:r>
      <w:r>
        <w:rPr>
          <w:rFonts w:hint="eastAsia" w:ascii="楷体" w:hAnsi="楷体" w:eastAsia="楷体" w:cs="楷体"/>
          <w:snapToGrid w:val="0"/>
          <w:color w:val="000000" w:themeColor="text1"/>
          <w:kern w:val="0"/>
          <w:sz w:val="24"/>
          <w:u w:val="single"/>
          <w14:textFill>
            <w14:solidFill>
              <w14:schemeClr w14:val="tx1"/>
            </w14:solidFill>
          </w14:textFill>
        </w:rPr>
        <w:t xml:space="preserve">   （采购人）    </w:t>
      </w:r>
      <w:r>
        <w:rPr>
          <w:rFonts w:hint="eastAsia" w:ascii="楷体" w:hAnsi="楷体" w:eastAsia="楷体" w:cs="楷体"/>
          <w:snapToGrid w:val="0"/>
          <w:color w:val="000000" w:themeColor="text1"/>
          <w:kern w:val="0"/>
          <w:sz w:val="24"/>
          <w14:textFill>
            <w14:solidFill>
              <w14:schemeClr w14:val="tx1"/>
            </w14:solidFill>
          </w14:textFill>
        </w:rPr>
        <w:t xml:space="preserve">的 </w:t>
      </w:r>
      <w:r>
        <w:rPr>
          <w:rFonts w:hint="eastAsia" w:ascii="楷体" w:hAnsi="楷体" w:eastAsia="楷体" w:cs="楷体"/>
          <w:snapToGrid w:val="0"/>
          <w:color w:val="000000" w:themeColor="text1"/>
          <w:kern w:val="0"/>
          <w:sz w:val="24"/>
          <w:u w:val="single"/>
          <w14:textFill>
            <w14:solidFill>
              <w14:schemeClr w14:val="tx1"/>
            </w14:solidFill>
          </w14:textFill>
        </w:rPr>
        <w:t xml:space="preserve">           </w:t>
      </w:r>
      <w:r>
        <w:rPr>
          <w:rFonts w:hint="eastAsia" w:ascii="楷体" w:hAnsi="楷体" w:eastAsia="楷体" w:cs="楷体"/>
          <w:snapToGrid w:val="0"/>
          <w:color w:val="000000" w:themeColor="text1"/>
          <w:kern w:val="0"/>
          <w:sz w:val="24"/>
          <w14:textFill>
            <w14:solidFill>
              <w14:schemeClr w14:val="tx1"/>
            </w14:solidFill>
          </w14:textFill>
        </w:rPr>
        <w:t>项目的投标活动。授权代表在开标、评标、合同谈判过程中所签署的一切文件和处理与之有关的一切事务，我均予以承认。</w:t>
      </w:r>
    </w:p>
    <w:p w14:paraId="238D11C6">
      <w:pPr>
        <w:adjustRightIn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授权代表无权转委托。特此委托。</w:t>
      </w:r>
    </w:p>
    <w:p w14:paraId="23105429">
      <w:pPr>
        <w:spacing w:line="360" w:lineRule="auto"/>
        <w:ind w:right="1800" w:firstLine="4320" w:firstLineChars="18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 xml:space="preserve">投标人：（盖公章或电子签章）       </w:t>
      </w:r>
    </w:p>
    <w:p w14:paraId="5BEE4848">
      <w:pPr>
        <w:autoSpaceDE w:val="0"/>
        <w:autoSpaceDN w:val="0"/>
        <w:adjustRightInd w:val="0"/>
        <w:spacing w:line="360" w:lineRule="auto"/>
        <w:ind w:right="420"/>
        <w:jc w:val="center"/>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 xml:space="preserve">           授权代表身份证号码：</w:t>
      </w:r>
    </w:p>
    <w:p w14:paraId="401DE173">
      <w:pPr>
        <w:autoSpaceDE w:val="0"/>
        <w:autoSpaceDN w:val="0"/>
        <w:adjustRightInd w:val="0"/>
        <w:spacing w:line="360" w:lineRule="auto"/>
        <w:ind w:right="420"/>
        <w:rPr>
          <w:rFonts w:ascii="楷体" w:hAnsi="楷体" w:eastAsia="楷体" w:cs="楷体"/>
          <w:snapToGrid w:val="0"/>
          <w:color w:val="000000" w:themeColor="text1"/>
          <w:kern w:val="0"/>
          <w:sz w:val="24"/>
          <w14:textFill>
            <w14:solidFill>
              <w14:schemeClr w14:val="tx1"/>
            </w14:solidFill>
          </w14:textFill>
        </w:rPr>
      </w:pPr>
    </w:p>
    <w:p w14:paraId="2EACCDB0">
      <w:pPr>
        <w:autoSpaceDE w:val="0"/>
        <w:autoSpaceDN w:val="0"/>
        <w:adjustRightInd w:val="0"/>
        <w:spacing w:line="360" w:lineRule="auto"/>
        <w:ind w:right="420"/>
        <w:jc w:val="center"/>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 xml:space="preserve">                                                年    月    日</w:t>
      </w:r>
    </w:p>
    <w:p w14:paraId="22C6AE50">
      <w:pPr>
        <w:autoSpaceDE w:val="0"/>
        <w:autoSpaceDN w:val="0"/>
        <w:adjustRightInd w:val="0"/>
        <w:snapToGrid w:val="0"/>
        <w:spacing w:line="360" w:lineRule="auto"/>
        <w:ind w:right="420"/>
        <w:rPr>
          <w:rFonts w:ascii="楷体" w:hAnsi="楷体" w:eastAsia="楷体" w:cs="楷体"/>
          <w:b/>
          <w:snapToGrid w:val="0"/>
          <w:color w:val="000000" w:themeColor="text1"/>
          <w:kern w:val="0"/>
          <w:szCs w:val="21"/>
          <w14:textFill>
            <w14:solidFill>
              <w14:schemeClr w14:val="tx1"/>
            </w14:solidFill>
          </w14:textFill>
        </w:rPr>
      </w:pPr>
    </w:p>
    <w:p w14:paraId="36DD703D">
      <w:pPr>
        <w:autoSpaceDE w:val="0"/>
        <w:autoSpaceDN w:val="0"/>
        <w:adjustRightInd w:val="0"/>
        <w:snapToGrid w:val="0"/>
        <w:spacing w:line="360" w:lineRule="auto"/>
        <w:ind w:right="420"/>
        <w:rPr>
          <w:rFonts w:ascii="楷体" w:hAnsi="楷体" w:eastAsia="楷体" w:cs="楷体"/>
          <w:b/>
          <w:snapToGrid w:val="0"/>
          <w:color w:val="000000" w:themeColor="text1"/>
          <w:kern w:val="0"/>
          <w:szCs w:val="21"/>
          <w14:textFill>
            <w14:solidFill>
              <w14:schemeClr w14:val="tx1"/>
            </w14:solidFill>
          </w14:textFill>
        </w:rPr>
      </w:pPr>
      <w:r>
        <w:rPr>
          <w:rFonts w:hint="eastAsia" w:ascii="楷体" w:hAnsi="楷体" w:eastAsia="楷体" w:cs="楷体"/>
          <w:b/>
          <w:snapToGrid w:val="0"/>
          <w:color w:val="000000" w:themeColor="text1"/>
          <w:kern w:val="0"/>
          <w:szCs w:val="21"/>
          <w14:textFill>
            <w14:solidFill>
              <w14:schemeClr w14:val="tx1"/>
            </w14:solidFill>
          </w14:textFill>
        </w:rPr>
        <w:t>附：授权代表的身份证复印件。（正反面）</w:t>
      </w:r>
    </w:p>
    <w:p w14:paraId="15DE1E27">
      <w:pPr>
        <w:autoSpaceDE w:val="0"/>
        <w:autoSpaceDN w:val="0"/>
        <w:adjustRightInd w:val="0"/>
        <w:spacing w:line="360" w:lineRule="auto"/>
        <w:rPr>
          <w:rFonts w:ascii="楷体" w:hAnsi="楷体" w:eastAsia="楷体" w:cs="楷体"/>
          <w:snapToGrid w:val="0"/>
          <w:color w:val="000000" w:themeColor="text1"/>
          <w:kern w:val="0"/>
          <w:szCs w:val="21"/>
          <w14:textFill>
            <w14:solidFill>
              <w14:schemeClr w14:val="tx1"/>
            </w14:solidFill>
          </w14:textFill>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07E4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14:paraId="692B0F01">
            <w:pPr>
              <w:autoSpaceDE w:val="0"/>
              <w:autoSpaceDN w:val="0"/>
              <w:adjustRightInd w:val="0"/>
              <w:spacing w:line="360" w:lineRule="auto"/>
              <w:rPr>
                <w:rFonts w:ascii="楷体" w:hAnsi="楷体" w:eastAsia="楷体" w:cs="楷体"/>
                <w:color w:val="000000" w:themeColor="text1"/>
                <w14:textFill>
                  <w14:solidFill>
                    <w14:schemeClr w14:val="tx1"/>
                  </w14:solidFill>
                </w14:textFill>
              </w:rPr>
            </w:pPr>
          </w:p>
          <w:p w14:paraId="505CC995">
            <w:pPr>
              <w:pStyle w:val="22"/>
              <w:rPr>
                <w:rFonts w:ascii="楷体" w:hAnsi="楷体" w:eastAsia="楷体" w:cs="楷体"/>
                <w:color w:val="000000" w:themeColor="text1"/>
                <w14:textFill>
                  <w14:solidFill>
                    <w14:schemeClr w14:val="tx1"/>
                  </w14:solidFill>
                </w14:textFill>
              </w:rPr>
            </w:pPr>
          </w:p>
          <w:p w14:paraId="5305F0F9">
            <w:pPr>
              <w:spacing w:line="360" w:lineRule="auto"/>
              <w:rPr>
                <w:rFonts w:ascii="楷体" w:hAnsi="楷体" w:eastAsia="楷体" w:cs="楷体"/>
                <w:color w:val="000000" w:themeColor="text1"/>
                <w14:textFill>
                  <w14:solidFill>
                    <w14:schemeClr w14:val="tx1"/>
                  </w14:solidFill>
                </w14:textFill>
              </w:rPr>
            </w:pPr>
          </w:p>
          <w:p w14:paraId="00038D42">
            <w:pPr>
              <w:pStyle w:val="22"/>
              <w:rPr>
                <w:rFonts w:ascii="楷体" w:hAnsi="楷体" w:eastAsia="楷体" w:cs="楷体"/>
                <w:color w:val="000000" w:themeColor="text1"/>
                <w14:textFill>
                  <w14:solidFill>
                    <w14:schemeClr w14:val="tx1"/>
                  </w14:solidFill>
                </w14:textFill>
              </w:rPr>
            </w:pPr>
          </w:p>
          <w:p w14:paraId="4A576250">
            <w:pPr>
              <w:spacing w:line="360" w:lineRule="auto"/>
              <w:rPr>
                <w:rFonts w:ascii="楷体" w:hAnsi="楷体" w:eastAsia="楷体" w:cs="楷体"/>
                <w:color w:val="000000" w:themeColor="text1"/>
                <w14:textFill>
                  <w14:solidFill>
                    <w14:schemeClr w14:val="tx1"/>
                  </w14:solidFill>
                </w14:textFill>
              </w:rPr>
            </w:pPr>
          </w:p>
          <w:p w14:paraId="339CD7B9">
            <w:pPr>
              <w:pStyle w:val="22"/>
              <w:rPr>
                <w:rFonts w:ascii="楷体" w:hAnsi="楷体" w:eastAsia="楷体" w:cs="楷体"/>
                <w:color w:val="000000" w:themeColor="text1"/>
                <w14:textFill>
                  <w14:solidFill>
                    <w14:schemeClr w14:val="tx1"/>
                  </w14:solidFill>
                </w14:textFill>
              </w:rPr>
            </w:pPr>
          </w:p>
          <w:p w14:paraId="192EC67E">
            <w:pPr>
              <w:spacing w:line="360" w:lineRule="auto"/>
              <w:rPr>
                <w:rFonts w:ascii="楷体" w:hAnsi="楷体" w:eastAsia="楷体" w:cs="楷体"/>
                <w:color w:val="000000" w:themeColor="text1"/>
                <w14:textFill>
                  <w14:solidFill>
                    <w14:schemeClr w14:val="tx1"/>
                  </w14:solidFill>
                </w14:textFill>
              </w:rPr>
            </w:pPr>
          </w:p>
          <w:p w14:paraId="56C30464">
            <w:pPr>
              <w:pStyle w:val="22"/>
              <w:rPr>
                <w:rFonts w:ascii="楷体" w:hAnsi="楷体" w:eastAsia="楷体" w:cs="楷体"/>
                <w:color w:val="000000" w:themeColor="text1"/>
                <w14:textFill>
                  <w14:solidFill>
                    <w14:schemeClr w14:val="tx1"/>
                  </w14:solidFill>
                </w14:textFill>
              </w:rPr>
            </w:pPr>
          </w:p>
          <w:p w14:paraId="66BE8FE0">
            <w:pPr>
              <w:spacing w:line="360" w:lineRule="auto"/>
              <w:rPr>
                <w:rFonts w:ascii="楷体" w:hAnsi="楷体" w:eastAsia="楷体" w:cs="楷体"/>
                <w:color w:val="000000" w:themeColor="text1"/>
                <w14:textFill>
                  <w14:solidFill>
                    <w14:schemeClr w14:val="tx1"/>
                  </w14:solidFill>
                </w14:textFill>
              </w:rPr>
            </w:pPr>
          </w:p>
          <w:p w14:paraId="551DA0D3">
            <w:pPr>
              <w:pStyle w:val="22"/>
              <w:rPr>
                <w:rFonts w:ascii="楷体" w:hAnsi="楷体" w:eastAsia="楷体" w:cs="楷体"/>
                <w:color w:val="000000" w:themeColor="text1"/>
                <w14:textFill>
                  <w14:solidFill>
                    <w14:schemeClr w14:val="tx1"/>
                  </w14:solidFill>
                </w14:textFill>
              </w:rPr>
            </w:pPr>
          </w:p>
          <w:p w14:paraId="120C3B03">
            <w:pPr>
              <w:spacing w:line="360" w:lineRule="auto"/>
              <w:rPr>
                <w:rFonts w:ascii="楷体" w:hAnsi="楷体" w:eastAsia="楷体" w:cs="楷体"/>
                <w:color w:val="000000" w:themeColor="text1"/>
                <w14:textFill>
                  <w14:solidFill>
                    <w14:schemeClr w14:val="tx1"/>
                  </w14:solidFill>
                </w14:textFill>
              </w:rPr>
            </w:pPr>
          </w:p>
          <w:p w14:paraId="007C5B2F">
            <w:pPr>
              <w:pStyle w:val="22"/>
              <w:rPr>
                <w:rFonts w:ascii="楷体" w:hAnsi="楷体" w:eastAsia="楷体" w:cs="楷体"/>
                <w:color w:val="000000" w:themeColor="text1"/>
                <w14:textFill>
                  <w14:solidFill>
                    <w14:schemeClr w14:val="tx1"/>
                  </w14:solidFill>
                </w14:textFill>
              </w:rPr>
            </w:pPr>
          </w:p>
        </w:tc>
      </w:tr>
    </w:tbl>
    <w:p w14:paraId="599D9310">
      <w:pPr>
        <w:autoSpaceDE w:val="0"/>
        <w:autoSpaceDN w:val="0"/>
        <w:adjustRightInd w:val="0"/>
        <w:spacing w:line="360" w:lineRule="auto"/>
        <w:rPr>
          <w:rFonts w:ascii="楷体" w:hAnsi="楷体" w:eastAsia="楷体" w:cs="楷体"/>
          <w:b/>
          <w:color w:val="000000" w:themeColor="text1"/>
          <w14:textFill>
            <w14:solidFill>
              <w14:schemeClr w14:val="tx1"/>
            </w14:solidFill>
          </w14:textFill>
        </w:rPr>
      </w:pPr>
      <w:r>
        <w:rPr>
          <w:rFonts w:hint="eastAsia" w:ascii="楷体" w:hAnsi="楷体" w:eastAsia="楷体" w:cs="楷体"/>
          <w:snapToGrid w:val="0"/>
          <w:color w:val="000000" w:themeColor="text1"/>
          <w:kern w:val="0"/>
          <w:szCs w:val="21"/>
          <w14:textFill>
            <w14:solidFill>
              <w14:schemeClr w14:val="tx1"/>
            </w14:solidFill>
          </w14:textFill>
        </w:rPr>
        <w:br w:type="page"/>
      </w:r>
      <w:r>
        <w:rPr>
          <w:rFonts w:hint="eastAsia" w:ascii="楷体" w:hAnsi="楷体" w:eastAsia="楷体" w:cs="楷体"/>
          <w:b/>
          <w:color w:val="000000" w:themeColor="text1"/>
          <w14:textFill>
            <w14:solidFill>
              <w14:schemeClr w14:val="tx1"/>
            </w14:solidFill>
          </w14:textFill>
        </w:rPr>
        <w:t>3.6政府采购供应商廉洁自律承诺书</w:t>
      </w:r>
    </w:p>
    <w:p w14:paraId="042F5C00">
      <w:pPr>
        <w:autoSpaceDE w:val="0"/>
        <w:autoSpaceDN w:val="0"/>
        <w:adjustRightInd w:val="0"/>
        <w:spacing w:line="360" w:lineRule="auto"/>
        <w:rPr>
          <w:rFonts w:ascii="楷体" w:hAnsi="楷体" w:eastAsia="楷体" w:cs="楷体"/>
          <w:b/>
          <w:color w:val="000000" w:themeColor="text1"/>
          <w14:textFill>
            <w14:solidFill>
              <w14:schemeClr w14:val="tx1"/>
            </w14:solidFill>
          </w14:textFill>
        </w:rPr>
      </w:pPr>
    </w:p>
    <w:p w14:paraId="21C2A346">
      <w:pPr>
        <w:adjustRightInd w:val="0"/>
        <w:spacing w:line="360" w:lineRule="auto"/>
        <w:jc w:val="center"/>
        <w:rPr>
          <w:rFonts w:ascii="楷体" w:hAnsi="楷体" w:eastAsia="楷体" w:cs="楷体"/>
          <w:b/>
          <w:bCs/>
          <w:snapToGrid w:val="0"/>
          <w:color w:val="000000" w:themeColor="text1"/>
          <w:kern w:val="0"/>
          <w:sz w:val="28"/>
          <w:szCs w:val="28"/>
          <w14:textFill>
            <w14:solidFill>
              <w14:schemeClr w14:val="tx1"/>
            </w14:solidFill>
          </w14:textFill>
        </w:rPr>
      </w:pPr>
      <w:r>
        <w:rPr>
          <w:rFonts w:hint="eastAsia" w:ascii="楷体" w:hAnsi="楷体" w:eastAsia="楷体" w:cs="楷体"/>
          <w:b/>
          <w:bCs/>
          <w:snapToGrid w:val="0"/>
          <w:color w:val="000000" w:themeColor="text1"/>
          <w:kern w:val="0"/>
          <w:sz w:val="28"/>
          <w:szCs w:val="28"/>
          <w14:textFill>
            <w14:solidFill>
              <w14:schemeClr w14:val="tx1"/>
            </w14:solidFill>
          </w14:textFill>
        </w:rPr>
        <w:t>政府采购供应商廉洁自律承诺书</w:t>
      </w:r>
    </w:p>
    <w:p w14:paraId="64123AF9">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w:t>
      </w:r>
    </w:p>
    <w:p w14:paraId="230055C3">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u w:val="single"/>
          <w14:textFill>
            <w14:solidFill>
              <w14:schemeClr w14:val="tx1"/>
            </w14:solidFill>
          </w14:textFill>
        </w:rPr>
        <w:t>采购人名称、代理机构名称：</w:t>
      </w:r>
    </w:p>
    <w:p w14:paraId="67ED2BB0">
      <w:pPr>
        <w:spacing w:line="360" w:lineRule="auto"/>
        <w:ind w:left="239" w:leftChars="114" w:firstLine="240" w:firstLineChars="1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本单位合法参加</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采购项目【编号：</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】政府采购活动，就有关廉洁自律和公平竞争事项郑重声明如下：</w:t>
      </w:r>
    </w:p>
    <w:p w14:paraId="02443185">
      <w:pPr>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一、本单位与采购人之间不存在利害关系，不存在行贿、串通等违法行为。</w:t>
      </w:r>
    </w:p>
    <w:p w14:paraId="0A5C0487">
      <w:pPr>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二、本单位与其他当事人之间不存在直接控股、管理关系等情况，不存在法定的不允许投标情形，不存在行贿、串通等违法行为。</w:t>
      </w:r>
    </w:p>
    <w:p w14:paraId="4372A969">
      <w:pPr>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三、本单位清楚知道并严格遵守政府采购法律法规、政策文件和相关纪律。</w:t>
      </w:r>
    </w:p>
    <w:p w14:paraId="2933B691">
      <w:pPr>
        <w:autoSpaceDE w:val="0"/>
        <w:autoSpaceDN w:val="0"/>
        <w:spacing w:line="360" w:lineRule="auto"/>
        <w:ind w:firstLine="5040" w:firstLineChars="2100"/>
        <w:jc w:val="left"/>
        <w:rPr>
          <w:rFonts w:ascii="楷体" w:hAnsi="楷体" w:eastAsia="楷体" w:cs="楷体"/>
          <w:color w:val="000000" w:themeColor="text1"/>
          <w:kern w:val="0"/>
          <w:sz w:val="24"/>
          <w:lang w:val="zh-CN"/>
          <w14:textFill>
            <w14:solidFill>
              <w14:schemeClr w14:val="tx1"/>
            </w14:solidFill>
          </w14:textFill>
        </w:rPr>
      </w:pPr>
    </w:p>
    <w:p w14:paraId="0F097C76">
      <w:pPr>
        <w:autoSpaceDE w:val="0"/>
        <w:autoSpaceDN w:val="0"/>
        <w:spacing w:line="360" w:lineRule="auto"/>
        <w:ind w:firstLine="5040" w:firstLineChars="2100"/>
        <w:jc w:val="left"/>
        <w:rPr>
          <w:rFonts w:ascii="楷体" w:hAnsi="楷体" w:eastAsia="楷体" w:cs="楷体"/>
          <w:color w:val="000000" w:themeColor="text1"/>
          <w:kern w:val="0"/>
          <w:sz w:val="24"/>
          <w:lang w:val="zh-CN"/>
          <w14:textFill>
            <w14:solidFill>
              <w14:schemeClr w14:val="tx1"/>
            </w14:solidFill>
          </w14:textFill>
        </w:rPr>
      </w:pPr>
    </w:p>
    <w:p w14:paraId="661DC774">
      <w:pPr>
        <w:autoSpaceDE w:val="0"/>
        <w:autoSpaceDN w:val="0"/>
        <w:spacing w:line="360" w:lineRule="auto"/>
        <w:ind w:firstLine="3840" w:firstLineChars="1600"/>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投标人名称（盖公章或电子签章）：</w:t>
      </w:r>
    </w:p>
    <w:p w14:paraId="070397CD">
      <w:pPr>
        <w:autoSpaceDE w:val="0"/>
        <w:autoSpaceDN w:val="0"/>
        <w:spacing w:line="360" w:lineRule="auto"/>
        <w:ind w:firstLine="3840" w:firstLineChars="1600"/>
        <w:rPr>
          <w:rFonts w:ascii="楷体" w:hAnsi="楷体" w:eastAsia="楷体" w:cs="楷体"/>
          <w:b/>
          <w:color w:val="000000" w:themeColor="text1"/>
          <w14:textFill>
            <w14:solidFill>
              <w14:schemeClr w14:val="tx1"/>
            </w14:solidFill>
          </w14:textFill>
        </w:rPr>
      </w:pPr>
      <w:r>
        <w:rPr>
          <w:rFonts w:hint="eastAsia" w:ascii="楷体" w:hAnsi="楷体" w:eastAsia="楷体" w:cs="楷体"/>
          <w:color w:val="000000" w:themeColor="text1"/>
          <w:kern w:val="0"/>
          <w:sz w:val="24"/>
          <w:lang w:val="zh-CN"/>
          <w14:textFill>
            <w14:solidFill>
              <w14:schemeClr w14:val="tx1"/>
            </w14:solidFill>
          </w14:textFill>
        </w:rPr>
        <w:t>日期：  年  月   日</w:t>
      </w:r>
      <w:r>
        <w:rPr>
          <w:rFonts w:hint="eastAsia" w:ascii="楷体" w:hAnsi="楷体" w:eastAsia="楷体" w:cs="楷体"/>
          <w:snapToGrid w:val="0"/>
          <w:color w:val="000000" w:themeColor="text1"/>
          <w:kern w:val="0"/>
          <w:szCs w:val="21"/>
          <w14:textFill>
            <w14:solidFill>
              <w14:schemeClr w14:val="tx1"/>
            </w14:solidFill>
          </w14:textFill>
        </w:rPr>
        <w:br w:type="page"/>
      </w:r>
      <w:r>
        <w:rPr>
          <w:rFonts w:hint="eastAsia" w:ascii="楷体" w:hAnsi="楷体" w:eastAsia="楷体" w:cs="楷体"/>
          <w:b/>
          <w:color w:val="000000" w:themeColor="text1"/>
          <w14:textFill>
            <w14:solidFill>
              <w14:schemeClr w14:val="tx1"/>
            </w14:solidFill>
          </w14:textFill>
        </w:rPr>
        <w:t>3.7廉政承诺书</w:t>
      </w:r>
    </w:p>
    <w:p w14:paraId="301DD1E9">
      <w:pPr>
        <w:autoSpaceDE w:val="0"/>
        <w:autoSpaceDN w:val="0"/>
        <w:adjustRightInd w:val="0"/>
        <w:spacing w:line="360" w:lineRule="auto"/>
        <w:jc w:val="center"/>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廉 政 承 诺 书</w:t>
      </w:r>
    </w:p>
    <w:p w14:paraId="6DB61226">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snapToGrid w:val="0"/>
          <w:color w:val="000000" w:themeColor="text1"/>
          <w:kern w:val="0"/>
          <w:sz w:val="24"/>
          <w:u w:val="single"/>
          <w14:textFill>
            <w14:solidFill>
              <w14:schemeClr w14:val="tx1"/>
            </w14:solidFill>
          </w14:textFill>
        </w:rPr>
        <w:t xml:space="preserve">             </w:t>
      </w:r>
      <w:r>
        <w:rPr>
          <w:rFonts w:hint="eastAsia" w:ascii="楷体" w:hAnsi="楷体" w:eastAsia="楷体" w:cs="楷体"/>
          <w:bCs/>
          <w:color w:val="000000" w:themeColor="text1"/>
          <w:sz w:val="24"/>
          <w14:textFill>
            <w14:solidFill>
              <w14:schemeClr w14:val="tx1"/>
            </w14:solidFill>
          </w14:textFill>
        </w:rPr>
        <w:t>：</w:t>
      </w:r>
    </w:p>
    <w:p w14:paraId="4C81236E">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 xml:space="preserve">    我单位响应你单位项目招标要求参加应标。在这次应标过程中和中标后，我们将严格遵守国家法律法规规定要求，并郑重承诺：</w:t>
      </w:r>
    </w:p>
    <w:p w14:paraId="5C56CB28">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 xml:space="preserve">    一、不向项目有关人员及部门赠送礼金礼物、有价证券、回扣以及中介费、介绍费、咨询费等好处费；</w:t>
      </w:r>
    </w:p>
    <w:p w14:paraId="2E4EA86D">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 xml:space="preserve">    二、不为项目有关人员及部门报销应由你方单位或个人支付的费用；</w:t>
      </w:r>
    </w:p>
    <w:p w14:paraId="44A3F64E">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 xml:space="preserve">    三、不向项目有关人员及部门提供有可能影响公正执行公务的宴请和健身娱乐等活动；</w:t>
      </w:r>
    </w:p>
    <w:p w14:paraId="0B545B89">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 xml:space="preserve">    四、不为项目有关人员及部门出国（境）、旅游等提供方便；</w:t>
      </w:r>
    </w:p>
    <w:p w14:paraId="6776184B">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 xml:space="preserve">    五、不为项目有关人员个人装修住房、婚丧嫁娶、配偶子女工作安排等提供好处； </w:t>
      </w:r>
    </w:p>
    <w:p w14:paraId="25C6A9F5">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 xml:space="preserve">    六、严格遵守政府采购法、民法典等法律，诚实守信，合法经营，坚决抵制各种违法违纪行为。</w:t>
      </w:r>
    </w:p>
    <w:p w14:paraId="532B04DA">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 xml:space="preserve">    如违反上述承诺，你单位有权立即取消我单位应标、中标或在建项目的资格，有权拒绝我单位在一定时期内参与你单位项目采购或其他经营活动，并通报监管部门。由此引起的相应损失均由我单位承担。</w:t>
      </w:r>
    </w:p>
    <w:p w14:paraId="57381A27">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p>
    <w:p w14:paraId="3E0884A7">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p>
    <w:p w14:paraId="653A4265">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 xml:space="preserve">投标人（盖公章或电子签章）：                </w:t>
      </w:r>
    </w:p>
    <w:p w14:paraId="0B8C3785">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 xml:space="preserve">                             </w:t>
      </w:r>
    </w:p>
    <w:p w14:paraId="214E2E67">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p>
    <w:p w14:paraId="37D5913D">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p>
    <w:p w14:paraId="719C1DC2">
      <w:pPr>
        <w:autoSpaceDE w:val="0"/>
        <w:autoSpaceDN w:val="0"/>
        <w:adjustRightIn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color w:val="000000" w:themeColor="text1"/>
          <w:spacing w:val="20"/>
          <w:sz w:val="24"/>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年  月  日</w:t>
      </w:r>
    </w:p>
    <w:p w14:paraId="7162EE30">
      <w:pPr>
        <w:autoSpaceDE w:val="0"/>
        <w:autoSpaceDN w:val="0"/>
        <w:adjustRightInd w:val="0"/>
        <w:spacing w:line="360" w:lineRule="auto"/>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br w:type="page"/>
      </w:r>
      <w:r>
        <w:rPr>
          <w:rFonts w:hint="eastAsia" w:ascii="楷体" w:hAnsi="楷体" w:eastAsia="楷体" w:cs="楷体"/>
          <w:b/>
          <w:bCs/>
          <w:color w:val="000000" w:themeColor="text1"/>
          <w:szCs w:val="21"/>
          <w14:textFill>
            <w14:solidFill>
              <w14:schemeClr w14:val="tx1"/>
            </w14:solidFill>
          </w14:textFill>
        </w:rPr>
        <w:t>3.8类似业绩</w:t>
      </w:r>
    </w:p>
    <w:p w14:paraId="0E50CC6C">
      <w:pPr>
        <w:snapToGrid w:val="0"/>
        <w:spacing w:line="360" w:lineRule="auto"/>
        <w:jc w:val="center"/>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投标人曾承担过的同类项目业绩一览表</w:t>
      </w:r>
    </w:p>
    <w:tbl>
      <w:tblPr>
        <w:tblStyle w:val="46"/>
        <w:tblW w:w="0" w:type="auto"/>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2399"/>
        <w:gridCol w:w="2213"/>
        <w:gridCol w:w="1800"/>
        <w:gridCol w:w="1800"/>
      </w:tblGrid>
      <w:tr w14:paraId="53E58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43" w:type="dxa"/>
            <w:tcBorders>
              <w:top w:val="single" w:color="auto" w:sz="4" w:space="0"/>
              <w:left w:val="single" w:color="auto" w:sz="4" w:space="0"/>
              <w:bottom w:val="single" w:color="auto" w:sz="4" w:space="0"/>
              <w:right w:val="single" w:color="auto" w:sz="4" w:space="0"/>
            </w:tcBorders>
            <w:vAlign w:val="center"/>
          </w:tcPr>
          <w:p w14:paraId="56290010">
            <w:pPr>
              <w:autoSpaceDE w:val="0"/>
              <w:autoSpaceDN w:val="0"/>
              <w:adjustRightInd w:val="0"/>
              <w:snapToGrid w:val="0"/>
              <w:spacing w:line="360" w:lineRule="auto"/>
              <w:jc w:val="center"/>
              <w:textAlignment w:val="bottom"/>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pacing w:val="30"/>
                <w14:textFill>
                  <w14:solidFill>
                    <w14:schemeClr w14:val="tx1"/>
                  </w14:solidFill>
                </w14:textFill>
              </w:rPr>
              <w:t>序号</w:t>
            </w:r>
          </w:p>
        </w:tc>
        <w:tc>
          <w:tcPr>
            <w:tcW w:w="2399" w:type="dxa"/>
            <w:tcBorders>
              <w:top w:val="single" w:color="auto" w:sz="4" w:space="0"/>
              <w:left w:val="single" w:color="auto" w:sz="4" w:space="0"/>
              <w:bottom w:val="single" w:color="auto" w:sz="4" w:space="0"/>
              <w:right w:val="single" w:color="auto" w:sz="4" w:space="0"/>
            </w:tcBorders>
            <w:vAlign w:val="center"/>
          </w:tcPr>
          <w:p w14:paraId="75235FFD">
            <w:pPr>
              <w:autoSpaceDE w:val="0"/>
              <w:autoSpaceDN w:val="0"/>
              <w:adjustRightInd w:val="0"/>
              <w:snapToGrid w:val="0"/>
              <w:spacing w:line="360" w:lineRule="auto"/>
              <w:jc w:val="center"/>
              <w:textAlignment w:val="bottom"/>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pacing w:val="30"/>
                <w14:textFill>
                  <w14:solidFill>
                    <w14:schemeClr w14:val="tx1"/>
                  </w14:solidFill>
                </w14:textFill>
              </w:rPr>
              <w:t>项目名称</w:t>
            </w:r>
          </w:p>
        </w:tc>
        <w:tc>
          <w:tcPr>
            <w:tcW w:w="2213" w:type="dxa"/>
            <w:tcBorders>
              <w:top w:val="single" w:color="auto" w:sz="4" w:space="0"/>
              <w:left w:val="single" w:color="auto" w:sz="4" w:space="0"/>
              <w:bottom w:val="single" w:color="auto" w:sz="4" w:space="0"/>
              <w:right w:val="single" w:color="auto" w:sz="4" w:space="0"/>
            </w:tcBorders>
            <w:vAlign w:val="center"/>
          </w:tcPr>
          <w:p w14:paraId="4A858635">
            <w:pPr>
              <w:autoSpaceDE w:val="0"/>
              <w:autoSpaceDN w:val="0"/>
              <w:adjustRightInd w:val="0"/>
              <w:snapToGrid w:val="0"/>
              <w:spacing w:line="360" w:lineRule="auto"/>
              <w:jc w:val="center"/>
              <w:textAlignment w:val="bottom"/>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pacing w:val="30"/>
                <w14:textFill>
                  <w14:solidFill>
                    <w14:schemeClr w14:val="tx1"/>
                  </w14:solidFill>
                </w14:textFill>
              </w:rPr>
              <w:t>业主单位</w:t>
            </w:r>
          </w:p>
        </w:tc>
        <w:tc>
          <w:tcPr>
            <w:tcW w:w="1800" w:type="dxa"/>
            <w:tcBorders>
              <w:top w:val="single" w:color="auto" w:sz="4" w:space="0"/>
              <w:left w:val="single" w:color="auto" w:sz="4" w:space="0"/>
              <w:bottom w:val="single" w:color="auto" w:sz="4" w:space="0"/>
              <w:right w:val="single" w:color="auto" w:sz="4" w:space="0"/>
            </w:tcBorders>
            <w:vAlign w:val="center"/>
          </w:tcPr>
          <w:p w14:paraId="7DFE7D36">
            <w:pPr>
              <w:autoSpaceDE w:val="0"/>
              <w:autoSpaceDN w:val="0"/>
              <w:adjustRightInd w:val="0"/>
              <w:snapToGrid w:val="0"/>
              <w:spacing w:line="360" w:lineRule="auto"/>
              <w:jc w:val="center"/>
              <w:textAlignment w:val="bottom"/>
              <w:rPr>
                <w:rFonts w:ascii="楷体" w:hAnsi="楷体" w:eastAsia="楷体" w:cs="楷体"/>
                <w:bCs/>
                <w:color w:val="000000" w:themeColor="text1"/>
                <w:szCs w:val="21"/>
                <w14:textFill>
                  <w14:solidFill>
                    <w14:schemeClr w14:val="tx1"/>
                  </w14:solidFill>
                </w14:textFill>
              </w:rPr>
            </w:pPr>
            <w:r>
              <w:rPr>
                <w:rFonts w:hint="eastAsia" w:ascii="楷体" w:hAnsi="楷体" w:eastAsia="楷体" w:cs="楷体"/>
                <w:bCs/>
                <w:color w:val="000000" w:themeColor="text1"/>
                <w:szCs w:val="21"/>
                <w14:textFill>
                  <w14:solidFill>
                    <w14:schemeClr w14:val="tx1"/>
                  </w14:solidFill>
                </w14:textFill>
              </w:rPr>
              <w:t>联系方式</w:t>
            </w:r>
          </w:p>
        </w:tc>
        <w:tc>
          <w:tcPr>
            <w:tcW w:w="1800" w:type="dxa"/>
            <w:tcBorders>
              <w:top w:val="single" w:color="auto" w:sz="4" w:space="0"/>
              <w:left w:val="single" w:color="auto" w:sz="4" w:space="0"/>
              <w:bottom w:val="single" w:color="auto" w:sz="4" w:space="0"/>
              <w:right w:val="single" w:color="auto" w:sz="4" w:space="0"/>
            </w:tcBorders>
            <w:vAlign w:val="center"/>
          </w:tcPr>
          <w:p w14:paraId="15301E06">
            <w:pPr>
              <w:adjustRightInd w:val="0"/>
              <w:snapToGrid w:val="0"/>
              <w:spacing w:line="360" w:lineRule="auto"/>
              <w:jc w:val="center"/>
              <w:rPr>
                <w:rFonts w:ascii="楷体" w:hAnsi="楷体" w:eastAsia="楷体" w:cs="楷体"/>
                <w:bCs/>
                <w:color w:val="000000" w:themeColor="text1"/>
                <w:szCs w:val="21"/>
                <w14:textFill>
                  <w14:solidFill>
                    <w14:schemeClr w14:val="tx1"/>
                  </w14:solidFill>
                </w14:textFill>
              </w:rPr>
            </w:pPr>
            <w:r>
              <w:rPr>
                <w:rFonts w:hint="eastAsia" w:ascii="楷体" w:hAnsi="楷体" w:eastAsia="楷体" w:cs="楷体"/>
                <w:color w:val="000000" w:themeColor="text1"/>
                <w:spacing w:val="30"/>
                <w14:textFill>
                  <w14:solidFill>
                    <w14:schemeClr w14:val="tx1"/>
                  </w14:solidFill>
                </w14:textFill>
              </w:rPr>
              <w:t>备注</w:t>
            </w:r>
          </w:p>
        </w:tc>
      </w:tr>
      <w:tr w14:paraId="428AC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0D4EB8D4">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14:paraId="6B6E8F6E">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tcPr>
          <w:p w14:paraId="27071DD7">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138A0B1">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FF6ED96">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r>
      <w:tr w14:paraId="367BA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1BDC0B30">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14:paraId="66B257A8">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tcPr>
          <w:p w14:paraId="6D9B5307">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1A69B3B">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2944DF4">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r>
      <w:tr w14:paraId="5FDC9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6D1590BE">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14:paraId="00A32855">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tcPr>
          <w:p w14:paraId="6720CA83">
            <w:pPr>
              <w:pStyle w:val="30"/>
              <w:snapToGrid w:val="0"/>
              <w:spacing w:before="120" w:beforeLines="50" w:after="50" w:line="360" w:lineRule="auto"/>
              <w:ind w:left="5250"/>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2FC5793">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12D6D32">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r>
      <w:tr w14:paraId="4CDDD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6ED0463A">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14:paraId="0BC7E550">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tcPr>
          <w:p w14:paraId="7F64EC25">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804957B">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69717D0">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r>
      <w:tr w14:paraId="7AA05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63D9C62C">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14:paraId="26DF2D69">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tcPr>
          <w:p w14:paraId="03A4C45D">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9607243">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582FEC6">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r>
      <w:tr w14:paraId="00B07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4879A176">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14:paraId="1E052105">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tcPr>
          <w:p w14:paraId="3D57DA3E">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16070B1">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636F2C4">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r>
      <w:tr w14:paraId="69ED3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64F15A85">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14:paraId="61BA950C">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tcPr>
          <w:p w14:paraId="16AA7AAD">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429459C">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5E5716B">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r>
      <w:tr w14:paraId="41F69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26D3BB64">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14:paraId="58AB32E3">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tcPr>
          <w:p w14:paraId="626B7A3A">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A1771F7">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D4DF286">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r>
      <w:tr w14:paraId="148C1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70F92E67">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14:paraId="45A06AC3">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tcPr>
          <w:p w14:paraId="278E420D">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BED9234">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B636C4D">
            <w:pPr>
              <w:snapToGrid w:val="0"/>
              <w:spacing w:before="120" w:beforeLines="50" w:after="50" w:line="360" w:lineRule="auto"/>
              <w:rPr>
                <w:rFonts w:ascii="楷体" w:hAnsi="楷体" w:eastAsia="楷体" w:cs="楷体"/>
                <w:color w:val="000000" w:themeColor="text1"/>
                <w:szCs w:val="21"/>
                <w14:textFill>
                  <w14:solidFill>
                    <w14:schemeClr w14:val="tx1"/>
                  </w14:solidFill>
                </w14:textFill>
              </w:rPr>
            </w:pPr>
          </w:p>
        </w:tc>
      </w:tr>
    </w:tbl>
    <w:p w14:paraId="49154F81">
      <w:pPr>
        <w:tabs>
          <w:tab w:val="left" w:pos="744"/>
        </w:tabs>
        <w:spacing w:line="360" w:lineRule="auto"/>
        <w:ind w:firstLine="352" w:firstLineChars="14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注：1.表中所列业绩如与评分有关的，出具的证明材料需满足评审依据，否则不予得分。</w:t>
      </w:r>
    </w:p>
    <w:p w14:paraId="35BE5638">
      <w:pPr>
        <w:tabs>
          <w:tab w:val="left" w:pos="744"/>
        </w:tabs>
        <w:spacing w:line="360" w:lineRule="auto"/>
        <w:ind w:firstLine="352" w:firstLineChars="147"/>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w:t>
      </w:r>
    </w:p>
    <w:p w14:paraId="01DA1A89">
      <w:pPr>
        <w:spacing w:line="360" w:lineRule="auto"/>
        <w:rPr>
          <w:rFonts w:ascii="楷体" w:hAnsi="楷体" w:eastAsia="楷体" w:cs="楷体"/>
          <w:color w:val="000000" w:themeColor="text1"/>
          <w:sz w:val="24"/>
          <w14:textFill>
            <w14:solidFill>
              <w14:schemeClr w14:val="tx1"/>
            </w14:solidFill>
          </w14:textFill>
        </w:rPr>
      </w:pPr>
    </w:p>
    <w:p w14:paraId="195F9C47">
      <w:pPr>
        <w:spacing w:line="360" w:lineRule="auto"/>
        <w:rPr>
          <w:rFonts w:ascii="楷体" w:hAnsi="楷体" w:eastAsia="楷体" w:cs="楷体"/>
          <w:color w:val="000000" w:themeColor="text1"/>
          <w:sz w:val="24"/>
          <w14:textFill>
            <w14:solidFill>
              <w14:schemeClr w14:val="tx1"/>
            </w14:solidFill>
          </w14:textFill>
        </w:rPr>
      </w:pPr>
    </w:p>
    <w:p w14:paraId="77827DEA">
      <w:pPr>
        <w:adjustRightInd w:val="0"/>
        <w:snapToGrid w:val="0"/>
        <w:spacing w:line="360" w:lineRule="auto"/>
        <w:ind w:firstLine="4752" w:firstLineChars="198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投标人(盖公章或电子签章)</w:t>
      </w:r>
    </w:p>
    <w:p w14:paraId="3773088F">
      <w:pPr>
        <w:adjustRightInd w:val="0"/>
        <w:snapToGrid w:val="0"/>
        <w:spacing w:line="360" w:lineRule="auto"/>
        <w:ind w:firstLine="4752" w:firstLineChars="1980"/>
        <w:rPr>
          <w:rFonts w:ascii="楷体" w:hAnsi="楷体" w:eastAsia="楷体" w:cs="楷体"/>
          <w:snapToGrid w:val="0"/>
          <w:color w:val="000000" w:themeColor="text1"/>
          <w:kern w:val="0"/>
          <w:sz w:val="24"/>
          <w14:textFill>
            <w14:solidFill>
              <w14:schemeClr w14:val="tx1"/>
            </w14:solidFill>
          </w14:textFill>
        </w:rPr>
      </w:pPr>
    </w:p>
    <w:p w14:paraId="31B4C7C3">
      <w:pPr>
        <w:adjustRightInd w:val="0"/>
        <w:snapToGrid w:val="0"/>
        <w:spacing w:line="360" w:lineRule="auto"/>
        <w:ind w:firstLine="4752" w:firstLineChars="198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日期：</w:t>
      </w:r>
    </w:p>
    <w:p w14:paraId="48CF4545">
      <w:pPr>
        <w:autoSpaceDE w:val="0"/>
        <w:autoSpaceDN w:val="0"/>
        <w:adjustRightInd w:val="0"/>
        <w:spacing w:line="360" w:lineRule="auto"/>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snapToGrid w:val="0"/>
          <w:color w:val="000000" w:themeColor="text1"/>
          <w:kern w:val="0"/>
          <w:szCs w:val="21"/>
          <w14:textFill>
            <w14:solidFill>
              <w14:schemeClr w14:val="tx1"/>
            </w14:solidFill>
          </w14:textFill>
        </w:rPr>
        <w:br w:type="page"/>
      </w:r>
      <w:r>
        <w:rPr>
          <w:rFonts w:hint="eastAsia" w:ascii="楷体" w:hAnsi="楷体" w:eastAsia="楷体" w:cs="楷体"/>
          <w:b/>
          <w:bCs/>
          <w:color w:val="000000" w:themeColor="text1"/>
          <w:szCs w:val="21"/>
          <w14:textFill>
            <w14:solidFill>
              <w14:schemeClr w14:val="tx1"/>
            </w14:solidFill>
          </w14:textFill>
        </w:rPr>
        <w:t>3.9合同/商务条款偏离表</w:t>
      </w:r>
    </w:p>
    <w:p w14:paraId="4F16898D">
      <w:pPr>
        <w:spacing w:line="360" w:lineRule="auto"/>
        <w:jc w:val="center"/>
        <w:rPr>
          <w:rFonts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合同/商务条款偏离表</w:t>
      </w:r>
    </w:p>
    <w:p w14:paraId="6B9121C4">
      <w:pPr>
        <w:spacing w:line="360" w:lineRule="auto"/>
        <w:jc w:val="center"/>
        <w:rPr>
          <w:rFonts w:ascii="楷体" w:hAnsi="楷体" w:eastAsia="楷体" w:cs="楷体"/>
          <w:color w:val="000000" w:themeColor="text1"/>
          <w14:textFill>
            <w14:solidFill>
              <w14:schemeClr w14:val="tx1"/>
            </w14:solidFill>
          </w14:textFill>
        </w:rPr>
      </w:pPr>
    </w:p>
    <w:tbl>
      <w:tblPr>
        <w:tblStyle w:val="4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60"/>
        <w:gridCol w:w="1785"/>
        <w:gridCol w:w="1785"/>
        <w:gridCol w:w="1785"/>
        <w:gridCol w:w="1785"/>
        <w:gridCol w:w="840"/>
      </w:tblGrid>
      <w:tr w14:paraId="76A13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74" w:hRule="atLeast"/>
          <w:jc w:val="center"/>
        </w:trPr>
        <w:tc>
          <w:tcPr>
            <w:tcW w:w="660" w:type="dxa"/>
            <w:vMerge w:val="restart"/>
            <w:tcBorders>
              <w:top w:val="single" w:color="000000" w:sz="6" w:space="0"/>
              <w:left w:val="single" w:color="000000" w:sz="6" w:space="0"/>
              <w:bottom w:val="single" w:color="000000" w:sz="6" w:space="0"/>
              <w:right w:val="single" w:color="000000" w:sz="6" w:space="0"/>
            </w:tcBorders>
            <w:vAlign w:val="center"/>
          </w:tcPr>
          <w:p w14:paraId="7D4B664C">
            <w:pPr>
              <w:spacing w:line="360" w:lineRule="auto"/>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序号</w:t>
            </w:r>
          </w:p>
        </w:tc>
        <w:tc>
          <w:tcPr>
            <w:tcW w:w="3570" w:type="dxa"/>
            <w:gridSpan w:val="2"/>
            <w:tcBorders>
              <w:top w:val="single" w:color="000000" w:sz="6" w:space="0"/>
              <w:left w:val="single" w:color="000000" w:sz="6" w:space="0"/>
              <w:bottom w:val="single" w:color="000000" w:sz="6" w:space="0"/>
              <w:right w:val="single" w:color="000000" w:sz="6" w:space="0"/>
            </w:tcBorders>
            <w:vAlign w:val="center"/>
          </w:tcPr>
          <w:p w14:paraId="6155A018">
            <w:pPr>
              <w:spacing w:line="360" w:lineRule="auto"/>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采购文件要求</w:t>
            </w:r>
          </w:p>
        </w:tc>
        <w:tc>
          <w:tcPr>
            <w:tcW w:w="3570" w:type="dxa"/>
            <w:gridSpan w:val="2"/>
            <w:tcBorders>
              <w:top w:val="single" w:color="000000" w:sz="6" w:space="0"/>
              <w:left w:val="single" w:color="000000" w:sz="6" w:space="0"/>
              <w:bottom w:val="single" w:color="000000" w:sz="6" w:space="0"/>
              <w:right w:val="single" w:color="000000" w:sz="6" w:space="0"/>
            </w:tcBorders>
            <w:vAlign w:val="center"/>
          </w:tcPr>
          <w:p w14:paraId="76892983">
            <w:pPr>
              <w:spacing w:line="360" w:lineRule="auto"/>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投标文件响应</w:t>
            </w:r>
          </w:p>
        </w:tc>
        <w:tc>
          <w:tcPr>
            <w:tcW w:w="840" w:type="dxa"/>
            <w:vMerge w:val="restart"/>
            <w:tcBorders>
              <w:top w:val="single" w:color="000000" w:sz="6" w:space="0"/>
              <w:left w:val="single" w:color="000000" w:sz="6" w:space="0"/>
              <w:bottom w:val="single" w:color="000000" w:sz="6" w:space="0"/>
              <w:right w:val="single" w:color="000000" w:sz="6" w:space="0"/>
            </w:tcBorders>
            <w:vAlign w:val="center"/>
          </w:tcPr>
          <w:p w14:paraId="5A71F8ED">
            <w:pPr>
              <w:spacing w:line="360" w:lineRule="auto"/>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备注</w:t>
            </w:r>
          </w:p>
        </w:tc>
      </w:tr>
      <w:tr w14:paraId="07EF0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0" w:type="dxa"/>
            <w:vMerge w:val="continue"/>
            <w:tcBorders>
              <w:top w:val="single" w:color="000000" w:sz="6" w:space="0"/>
              <w:left w:val="single" w:color="000000" w:sz="6" w:space="0"/>
              <w:bottom w:val="single" w:color="000000" w:sz="6" w:space="0"/>
              <w:right w:val="single" w:color="000000" w:sz="6" w:space="0"/>
            </w:tcBorders>
          </w:tcPr>
          <w:p w14:paraId="6BABEAB7">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6078DD00">
            <w:pPr>
              <w:spacing w:line="360" w:lineRule="auto"/>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章节、条款号</w:t>
            </w:r>
          </w:p>
        </w:tc>
        <w:tc>
          <w:tcPr>
            <w:tcW w:w="1785" w:type="dxa"/>
            <w:tcBorders>
              <w:top w:val="single" w:color="000000" w:sz="6" w:space="0"/>
              <w:left w:val="single" w:color="000000" w:sz="6" w:space="0"/>
              <w:bottom w:val="single" w:color="000000" w:sz="6" w:space="0"/>
              <w:right w:val="single" w:color="000000" w:sz="6" w:space="0"/>
            </w:tcBorders>
            <w:vAlign w:val="center"/>
          </w:tcPr>
          <w:p w14:paraId="559D1D45">
            <w:pPr>
              <w:spacing w:line="360" w:lineRule="auto"/>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条款内容描述</w:t>
            </w:r>
          </w:p>
        </w:tc>
        <w:tc>
          <w:tcPr>
            <w:tcW w:w="1785" w:type="dxa"/>
            <w:tcBorders>
              <w:top w:val="single" w:color="000000" w:sz="6" w:space="0"/>
              <w:left w:val="single" w:color="000000" w:sz="6" w:space="0"/>
              <w:bottom w:val="single" w:color="000000" w:sz="6" w:space="0"/>
              <w:right w:val="single" w:color="000000" w:sz="6" w:space="0"/>
            </w:tcBorders>
            <w:vAlign w:val="center"/>
          </w:tcPr>
          <w:p w14:paraId="1CF99B67">
            <w:pPr>
              <w:spacing w:line="360" w:lineRule="auto"/>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章节、条款号</w:t>
            </w:r>
          </w:p>
        </w:tc>
        <w:tc>
          <w:tcPr>
            <w:tcW w:w="1785" w:type="dxa"/>
            <w:tcBorders>
              <w:top w:val="single" w:color="000000" w:sz="6" w:space="0"/>
              <w:left w:val="single" w:color="000000" w:sz="6" w:space="0"/>
              <w:bottom w:val="single" w:color="000000" w:sz="6" w:space="0"/>
              <w:right w:val="single" w:color="000000" w:sz="6" w:space="0"/>
            </w:tcBorders>
            <w:vAlign w:val="center"/>
          </w:tcPr>
          <w:p w14:paraId="49F6DBE2">
            <w:pPr>
              <w:spacing w:line="360" w:lineRule="auto"/>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条款内容描述</w:t>
            </w:r>
          </w:p>
        </w:tc>
        <w:tc>
          <w:tcPr>
            <w:tcW w:w="840" w:type="dxa"/>
            <w:vMerge w:val="continue"/>
            <w:tcBorders>
              <w:top w:val="single" w:color="000000" w:sz="6" w:space="0"/>
              <w:left w:val="single" w:color="000000" w:sz="6" w:space="0"/>
              <w:bottom w:val="single" w:color="000000" w:sz="6" w:space="0"/>
              <w:right w:val="single" w:color="000000" w:sz="6" w:space="0"/>
            </w:tcBorders>
          </w:tcPr>
          <w:p w14:paraId="66175117">
            <w:pPr>
              <w:spacing w:line="360" w:lineRule="auto"/>
              <w:rPr>
                <w:rFonts w:ascii="楷体" w:hAnsi="楷体" w:eastAsia="楷体" w:cs="楷体"/>
                <w:color w:val="000000" w:themeColor="text1"/>
                <w:szCs w:val="21"/>
                <w14:textFill>
                  <w14:solidFill>
                    <w14:schemeClr w14:val="tx1"/>
                  </w14:solidFill>
                </w14:textFill>
              </w:rPr>
            </w:pPr>
          </w:p>
        </w:tc>
      </w:tr>
      <w:tr w14:paraId="55FFE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0" w:type="dxa"/>
            <w:tcBorders>
              <w:top w:val="single" w:color="000000" w:sz="6" w:space="0"/>
              <w:left w:val="single" w:color="000000" w:sz="6" w:space="0"/>
              <w:bottom w:val="single" w:color="000000" w:sz="6" w:space="0"/>
              <w:right w:val="single" w:color="000000" w:sz="6" w:space="0"/>
            </w:tcBorders>
          </w:tcPr>
          <w:p w14:paraId="6BCB264B">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41979E19">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468319B1">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691420D7">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0DFD6CFB">
            <w:pPr>
              <w:spacing w:line="360" w:lineRule="auto"/>
              <w:rPr>
                <w:rFonts w:ascii="楷体" w:hAnsi="楷体" w:eastAsia="楷体" w:cs="楷体"/>
                <w:color w:val="000000" w:themeColor="text1"/>
                <w:szCs w:val="21"/>
                <w14:textFill>
                  <w14:solidFill>
                    <w14:schemeClr w14:val="tx1"/>
                  </w14:solidFill>
                </w14:textFill>
              </w:rPr>
            </w:pPr>
          </w:p>
        </w:tc>
        <w:tc>
          <w:tcPr>
            <w:tcW w:w="840" w:type="dxa"/>
            <w:tcBorders>
              <w:top w:val="single" w:color="000000" w:sz="6" w:space="0"/>
              <w:left w:val="single" w:color="000000" w:sz="6" w:space="0"/>
              <w:bottom w:val="single" w:color="000000" w:sz="6" w:space="0"/>
              <w:right w:val="single" w:color="000000" w:sz="6" w:space="0"/>
            </w:tcBorders>
          </w:tcPr>
          <w:p w14:paraId="3A9626A0">
            <w:pPr>
              <w:spacing w:line="360" w:lineRule="auto"/>
              <w:rPr>
                <w:rFonts w:ascii="楷体" w:hAnsi="楷体" w:eastAsia="楷体" w:cs="楷体"/>
                <w:color w:val="000000" w:themeColor="text1"/>
                <w:szCs w:val="21"/>
                <w14:textFill>
                  <w14:solidFill>
                    <w14:schemeClr w14:val="tx1"/>
                  </w14:solidFill>
                </w14:textFill>
              </w:rPr>
            </w:pPr>
          </w:p>
        </w:tc>
      </w:tr>
      <w:tr w14:paraId="54E6B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0" w:type="dxa"/>
            <w:tcBorders>
              <w:top w:val="single" w:color="000000" w:sz="6" w:space="0"/>
              <w:left w:val="single" w:color="000000" w:sz="6" w:space="0"/>
              <w:bottom w:val="single" w:color="000000" w:sz="6" w:space="0"/>
              <w:right w:val="single" w:color="000000" w:sz="6" w:space="0"/>
            </w:tcBorders>
          </w:tcPr>
          <w:p w14:paraId="6036A660">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3BEC19BB">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7978EAB5">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25D4912B">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275392F4">
            <w:pPr>
              <w:spacing w:line="360" w:lineRule="auto"/>
              <w:rPr>
                <w:rFonts w:ascii="楷体" w:hAnsi="楷体" w:eastAsia="楷体" w:cs="楷体"/>
                <w:color w:val="000000" w:themeColor="text1"/>
                <w:szCs w:val="21"/>
                <w14:textFill>
                  <w14:solidFill>
                    <w14:schemeClr w14:val="tx1"/>
                  </w14:solidFill>
                </w14:textFill>
              </w:rPr>
            </w:pPr>
          </w:p>
        </w:tc>
        <w:tc>
          <w:tcPr>
            <w:tcW w:w="840" w:type="dxa"/>
            <w:tcBorders>
              <w:top w:val="single" w:color="000000" w:sz="6" w:space="0"/>
              <w:left w:val="single" w:color="000000" w:sz="6" w:space="0"/>
              <w:bottom w:val="single" w:color="000000" w:sz="6" w:space="0"/>
              <w:right w:val="single" w:color="000000" w:sz="6" w:space="0"/>
            </w:tcBorders>
          </w:tcPr>
          <w:p w14:paraId="59594C16">
            <w:pPr>
              <w:spacing w:line="360" w:lineRule="auto"/>
              <w:rPr>
                <w:rFonts w:ascii="楷体" w:hAnsi="楷体" w:eastAsia="楷体" w:cs="楷体"/>
                <w:color w:val="000000" w:themeColor="text1"/>
                <w:szCs w:val="21"/>
                <w14:textFill>
                  <w14:solidFill>
                    <w14:schemeClr w14:val="tx1"/>
                  </w14:solidFill>
                </w14:textFill>
              </w:rPr>
            </w:pPr>
          </w:p>
        </w:tc>
      </w:tr>
      <w:tr w14:paraId="2AC5A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0" w:type="dxa"/>
            <w:tcBorders>
              <w:top w:val="single" w:color="000000" w:sz="6" w:space="0"/>
              <w:left w:val="single" w:color="000000" w:sz="6" w:space="0"/>
              <w:bottom w:val="single" w:color="000000" w:sz="6" w:space="0"/>
              <w:right w:val="single" w:color="000000" w:sz="6" w:space="0"/>
            </w:tcBorders>
          </w:tcPr>
          <w:p w14:paraId="487094FA">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518418ED">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60E7ABC7">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56D4D327">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25A0FD70">
            <w:pPr>
              <w:spacing w:line="360" w:lineRule="auto"/>
              <w:rPr>
                <w:rFonts w:ascii="楷体" w:hAnsi="楷体" w:eastAsia="楷体" w:cs="楷体"/>
                <w:color w:val="000000" w:themeColor="text1"/>
                <w:szCs w:val="21"/>
                <w14:textFill>
                  <w14:solidFill>
                    <w14:schemeClr w14:val="tx1"/>
                  </w14:solidFill>
                </w14:textFill>
              </w:rPr>
            </w:pPr>
          </w:p>
        </w:tc>
        <w:tc>
          <w:tcPr>
            <w:tcW w:w="840" w:type="dxa"/>
            <w:tcBorders>
              <w:top w:val="single" w:color="000000" w:sz="6" w:space="0"/>
              <w:left w:val="single" w:color="000000" w:sz="6" w:space="0"/>
              <w:bottom w:val="single" w:color="000000" w:sz="6" w:space="0"/>
              <w:right w:val="single" w:color="000000" w:sz="6" w:space="0"/>
            </w:tcBorders>
          </w:tcPr>
          <w:p w14:paraId="4FC96C3C">
            <w:pPr>
              <w:spacing w:line="360" w:lineRule="auto"/>
              <w:rPr>
                <w:rFonts w:ascii="楷体" w:hAnsi="楷体" w:eastAsia="楷体" w:cs="楷体"/>
                <w:color w:val="000000" w:themeColor="text1"/>
                <w:szCs w:val="21"/>
                <w14:textFill>
                  <w14:solidFill>
                    <w14:schemeClr w14:val="tx1"/>
                  </w14:solidFill>
                </w14:textFill>
              </w:rPr>
            </w:pPr>
          </w:p>
        </w:tc>
      </w:tr>
      <w:tr w14:paraId="10F5D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0" w:type="dxa"/>
            <w:tcBorders>
              <w:top w:val="single" w:color="000000" w:sz="6" w:space="0"/>
              <w:left w:val="single" w:color="000000" w:sz="6" w:space="0"/>
              <w:bottom w:val="single" w:color="000000" w:sz="6" w:space="0"/>
              <w:right w:val="single" w:color="000000" w:sz="6" w:space="0"/>
            </w:tcBorders>
          </w:tcPr>
          <w:p w14:paraId="71C21723">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3AEF5B0E">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019D9AF8">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04BA8832">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0AF26BEA">
            <w:pPr>
              <w:spacing w:line="360" w:lineRule="auto"/>
              <w:rPr>
                <w:rFonts w:ascii="楷体" w:hAnsi="楷体" w:eastAsia="楷体" w:cs="楷体"/>
                <w:color w:val="000000" w:themeColor="text1"/>
                <w:szCs w:val="21"/>
                <w14:textFill>
                  <w14:solidFill>
                    <w14:schemeClr w14:val="tx1"/>
                  </w14:solidFill>
                </w14:textFill>
              </w:rPr>
            </w:pPr>
          </w:p>
        </w:tc>
        <w:tc>
          <w:tcPr>
            <w:tcW w:w="840" w:type="dxa"/>
            <w:tcBorders>
              <w:top w:val="single" w:color="000000" w:sz="6" w:space="0"/>
              <w:left w:val="single" w:color="000000" w:sz="6" w:space="0"/>
              <w:bottom w:val="single" w:color="000000" w:sz="6" w:space="0"/>
              <w:right w:val="single" w:color="000000" w:sz="6" w:space="0"/>
            </w:tcBorders>
          </w:tcPr>
          <w:p w14:paraId="6CA356F3">
            <w:pPr>
              <w:spacing w:line="360" w:lineRule="auto"/>
              <w:rPr>
                <w:rFonts w:ascii="楷体" w:hAnsi="楷体" w:eastAsia="楷体" w:cs="楷体"/>
                <w:color w:val="000000" w:themeColor="text1"/>
                <w:szCs w:val="21"/>
                <w14:textFill>
                  <w14:solidFill>
                    <w14:schemeClr w14:val="tx1"/>
                  </w14:solidFill>
                </w14:textFill>
              </w:rPr>
            </w:pPr>
          </w:p>
        </w:tc>
      </w:tr>
      <w:tr w14:paraId="5E253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0" w:type="dxa"/>
            <w:tcBorders>
              <w:top w:val="single" w:color="000000" w:sz="6" w:space="0"/>
              <w:left w:val="single" w:color="000000" w:sz="6" w:space="0"/>
              <w:bottom w:val="single" w:color="000000" w:sz="6" w:space="0"/>
              <w:right w:val="single" w:color="000000" w:sz="6" w:space="0"/>
            </w:tcBorders>
          </w:tcPr>
          <w:p w14:paraId="1B982C37">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553FD410">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58E43450">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0E9387AD">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373498EF">
            <w:pPr>
              <w:spacing w:line="360" w:lineRule="auto"/>
              <w:rPr>
                <w:rFonts w:ascii="楷体" w:hAnsi="楷体" w:eastAsia="楷体" w:cs="楷体"/>
                <w:color w:val="000000" w:themeColor="text1"/>
                <w:szCs w:val="21"/>
                <w14:textFill>
                  <w14:solidFill>
                    <w14:schemeClr w14:val="tx1"/>
                  </w14:solidFill>
                </w14:textFill>
              </w:rPr>
            </w:pPr>
          </w:p>
        </w:tc>
        <w:tc>
          <w:tcPr>
            <w:tcW w:w="840" w:type="dxa"/>
            <w:tcBorders>
              <w:top w:val="single" w:color="000000" w:sz="6" w:space="0"/>
              <w:left w:val="single" w:color="000000" w:sz="6" w:space="0"/>
              <w:bottom w:val="single" w:color="000000" w:sz="6" w:space="0"/>
              <w:right w:val="single" w:color="000000" w:sz="6" w:space="0"/>
            </w:tcBorders>
          </w:tcPr>
          <w:p w14:paraId="664C5694">
            <w:pPr>
              <w:spacing w:line="360" w:lineRule="auto"/>
              <w:rPr>
                <w:rFonts w:ascii="楷体" w:hAnsi="楷体" w:eastAsia="楷体" w:cs="楷体"/>
                <w:color w:val="000000" w:themeColor="text1"/>
                <w:szCs w:val="21"/>
                <w14:textFill>
                  <w14:solidFill>
                    <w14:schemeClr w14:val="tx1"/>
                  </w14:solidFill>
                </w14:textFill>
              </w:rPr>
            </w:pPr>
          </w:p>
        </w:tc>
      </w:tr>
      <w:tr w14:paraId="2BE68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0" w:type="dxa"/>
            <w:tcBorders>
              <w:top w:val="single" w:color="000000" w:sz="6" w:space="0"/>
              <w:left w:val="single" w:color="000000" w:sz="6" w:space="0"/>
              <w:bottom w:val="single" w:color="000000" w:sz="6" w:space="0"/>
              <w:right w:val="single" w:color="000000" w:sz="6" w:space="0"/>
            </w:tcBorders>
          </w:tcPr>
          <w:p w14:paraId="665B811F">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575E422D">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1D792ED8">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701ED4E6">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5773995E">
            <w:pPr>
              <w:spacing w:line="360" w:lineRule="auto"/>
              <w:rPr>
                <w:rFonts w:ascii="楷体" w:hAnsi="楷体" w:eastAsia="楷体" w:cs="楷体"/>
                <w:color w:val="000000" w:themeColor="text1"/>
                <w:szCs w:val="21"/>
                <w14:textFill>
                  <w14:solidFill>
                    <w14:schemeClr w14:val="tx1"/>
                  </w14:solidFill>
                </w14:textFill>
              </w:rPr>
            </w:pPr>
          </w:p>
        </w:tc>
        <w:tc>
          <w:tcPr>
            <w:tcW w:w="840" w:type="dxa"/>
            <w:tcBorders>
              <w:top w:val="single" w:color="000000" w:sz="6" w:space="0"/>
              <w:left w:val="single" w:color="000000" w:sz="6" w:space="0"/>
              <w:bottom w:val="single" w:color="000000" w:sz="6" w:space="0"/>
              <w:right w:val="single" w:color="000000" w:sz="6" w:space="0"/>
            </w:tcBorders>
          </w:tcPr>
          <w:p w14:paraId="4649B05A">
            <w:pPr>
              <w:spacing w:line="360" w:lineRule="auto"/>
              <w:rPr>
                <w:rFonts w:ascii="楷体" w:hAnsi="楷体" w:eastAsia="楷体" w:cs="楷体"/>
                <w:color w:val="000000" w:themeColor="text1"/>
                <w:szCs w:val="21"/>
                <w14:textFill>
                  <w14:solidFill>
                    <w14:schemeClr w14:val="tx1"/>
                  </w14:solidFill>
                </w14:textFill>
              </w:rPr>
            </w:pPr>
          </w:p>
        </w:tc>
      </w:tr>
      <w:tr w14:paraId="41458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0" w:type="dxa"/>
            <w:tcBorders>
              <w:top w:val="single" w:color="000000" w:sz="6" w:space="0"/>
              <w:left w:val="single" w:color="000000" w:sz="6" w:space="0"/>
              <w:bottom w:val="single" w:color="000000" w:sz="6" w:space="0"/>
              <w:right w:val="single" w:color="000000" w:sz="6" w:space="0"/>
            </w:tcBorders>
          </w:tcPr>
          <w:p w14:paraId="57A480DE">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2A46F62C">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5D3C1430">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6AF6654E">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2DB67D70">
            <w:pPr>
              <w:spacing w:line="360" w:lineRule="auto"/>
              <w:rPr>
                <w:rFonts w:ascii="楷体" w:hAnsi="楷体" w:eastAsia="楷体" w:cs="楷体"/>
                <w:color w:val="000000" w:themeColor="text1"/>
                <w:szCs w:val="21"/>
                <w14:textFill>
                  <w14:solidFill>
                    <w14:schemeClr w14:val="tx1"/>
                  </w14:solidFill>
                </w14:textFill>
              </w:rPr>
            </w:pPr>
          </w:p>
        </w:tc>
        <w:tc>
          <w:tcPr>
            <w:tcW w:w="840" w:type="dxa"/>
            <w:tcBorders>
              <w:top w:val="single" w:color="000000" w:sz="6" w:space="0"/>
              <w:left w:val="single" w:color="000000" w:sz="6" w:space="0"/>
              <w:bottom w:val="single" w:color="000000" w:sz="6" w:space="0"/>
              <w:right w:val="single" w:color="000000" w:sz="6" w:space="0"/>
            </w:tcBorders>
          </w:tcPr>
          <w:p w14:paraId="67406E08">
            <w:pPr>
              <w:spacing w:line="360" w:lineRule="auto"/>
              <w:rPr>
                <w:rFonts w:ascii="楷体" w:hAnsi="楷体" w:eastAsia="楷体" w:cs="楷体"/>
                <w:color w:val="000000" w:themeColor="text1"/>
                <w:szCs w:val="21"/>
                <w14:textFill>
                  <w14:solidFill>
                    <w14:schemeClr w14:val="tx1"/>
                  </w14:solidFill>
                </w14:textFill>
              </w:rPr>
            </w:pPr>
          </w:p>
        </w:tc>
      </w:tr>
      <w:tr w14:paraId="16CDE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0" w:type="dxa"/>
            <w:tcBorders>
              <w:top w:val="single" w:color="000000" w:sz="6" w:space="0"/>
              <w:left w:val="single" w:color="000000" w:sz="6" w:space="0"/>
              <w:bottom w:val="single" w:color="000000" w:sz="6" w:space="0"/>
              <w:right w:val="single" w:color="000000" w:sz="6" w:space="0"/>
            </w:tcBorders>
          </w:tcPr>
          <w:p w14:paraId="1DD50013">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26D32E37">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17079157">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3CBB42D1">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5FD344B7">
            <w:pPr>
              <w:spacing w:line="360" w:lineRule="auto"/>
              <w:rPr>
                <w:rFonts w:ascii="楷体" w:hAnsi="楷体" w:eastAsia="楷体" w:cs="楷体"/>
                <w:color w:val="000000" w:themeColor="text1"/>
                <w:szCs w:val="21"/>
                <w14:textFill>
                  <w14:solidFill>
                    <w14:schemeClr w14:val="tx1"/>
                  </w14:solidFill>
                </w14:textFill>
              </w:rPr>
            </w:pPr>
          </w:p>
        </w:tc>
        <w:tc>
          <w:tcPr>
            <w:tcW w:w="840" w:type="dxa"/>
            <w:tcBorders>
              <w:top w:val="single" w:color="000000" w:sz="6" w:space="0"/>
              <w:left w:val="single" w:color="000000" w:sz="6" w:space="0"/>
              <w:bottom w:val="single" w:color="000000" w:sz="6" w:space="0"/>
              <w:right w:val="single" w:color="000000" w:sz="6" w:space="0"/>
            </w:tcBorders>
          </w:tcPr>
          <w:p w14:paraId="6810313C">
            <w:pPr>
              <w:spacing w:line="360" w:lineRule="auto"/>
              <w:rPr>
                <w:rFonts w:ascii="楷体" w:hAnsi="楷体" w:eastAsia="楷体" w:cs="楷体"/>
                <w:color w:val="000000" w:themeColor="text1"/>
                <w:szCs w:val="21"/>
                <w14:textFill>
                  <w14:solidFill>
                    <w14:schemeClr w14:val="tx1"/>
                  </w14:solidFill>
                </w14:textFill>
              </w:rPr>
            </w:pPr>
          </w:p>
        </w:tc>
      </w:tr>
      <w:tr w14:paraId="77247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0" w:type="dxa"/>
            <w:tcBorders>
              <w:top w:val="single" w:color="000000" w:sz="6" w:space="0"/>
              <w:left w:val="single" w:color="000000" w:sz="6" w:space="0"/>
              <w:bottom w:val="single" w:color="000000" w:sz="6" w:space="0"/>
              <w:right w:val="single" w:color="000000" w:sz="6" w:space="0"/>
            </w:tcBorders>
          </w:tcPr>
          <w:p w14:paraId="65993E7D">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097FD6FF">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69ED57D9">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5B9263F8">
            <w:pPr>
              <w:spacing w:line="360" w:lineRule="auto"/>
              <w:rPr>
                <w:rFonts w:ascii="楷体" w:hAnsi="楷体" w:eastAsia="楷体" w:cs="楷体"/>
                <w:color w:val="000000" w:themeColor="text1"/>
                <w:szCs w:val="21"/>
                <w14:textFill>
                  <w14:solidFill>
                    <w14:schemeClr w14:val="tx1"/>
                  </w14:solidFill>
                </w14:textFill>
              </w:rPr>
            </w:pPr>
          </w:p>
        </w:tc>
        <w:tc>
          <w:tcPr>
            <w:tcW w:w="1785" w:type="dxa"/>
            <w:tcBorders>
              <w:top w:val="single" w:color="000000" w:sz="6" w:space="0"/>
              <w:left w:val="single" w:color="000000" w:sz="6" w:space="0"/>
              <w:bottom w:val="single" w:color="000000" w:sz="6" w:space="0"/>
              <w:right w:val="single" w:color="000000" w:sz="6" w:space="0"/>
            </w:tcBorders>
            <w:vAlign w:val="center"/>
          </w:tcPr>
          <w:p w14:paraId="722C4859">
            <w:pPr>
              <w:spacing w:line="360" w:lineRule="auto"/>
              <w:rPr>
                <w:rFonts w:ascii="楷体" w:hAnsi="楷体" w:eastAsia="楷体" w:cs="楷体"/>
                <w:color w:val="000000" w:themeColor="text1"/>
                <w:szCs w:val="21"/>
                <w14:textFill>
                  <w14:solidFill>
                    <w14:schemeClr w14:val="tx1"/>
                  </w14:solidFill>
                </w14:textFill>
              </w:rPr>
            </w:pPr>
          </w:p>
        </w:tc>
        <w:tc>
          <w:tcPr>
            <w:tcW w:w="840" w:type="dxa"/>
            <w:tcBorders>
              <w:top w:val="single" w:color="000000" w:sz="6" w:space="0"/>
              <w:left w:val="single" w:color="000000" w:sz="6" w:space="0"/>
              <w:bottom w:val="single" w:color="000000" w:sz="6" w:space="0"/>
              <w:right w:val="single" w:color="000000" w:sz="6" w:space="0"/>
            </w:tcBorders>
          </w:tcPr>
          <w:p w14:paraId="1884A9DE">
            <w:pPr>
              <w:spacing w:line="360" w:lineRule="auto"/>
              <w:rPr>
                <w:rFonts w:ascii="楷体" w:hAnsi="楷体" w:eastAsia="楷体" w:cs="楷体"/>
                <w:color w:val="000000" w:themeColor="text1"/>
                <w:szCs w:val="21"/>
                <w14:textFill>
                  <w14:solidFill>
                    <w14:schemeClr w14:val="tx1"/>
                  </w14:solidFill>
                </w14:textFill>
              </w:rPr>
            </w:pPr>
          </w:p>
        </w:tc>
      </w:tr>
    </w:tbl>
    <w:p w14:paraId="757F8DAD">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注：若不填写或只填写“无”视作完全响应采购文件的要求。</w:t>
      </w:r>
    </w:p>
    <w:p w14:paraId="3A6072C1">
      <w:pPr>
        <w:spacing w:line="360" w:lineRule="auto"/>
        <w:rPr>
          <w:rFonts w:ascii="楷体" w:hAnsi="楷体" w:eastAsia="楷体" w:cs="楷体"/>
          <w:color w:val="000000" w:themeColor="text1"/>
          <w:sz w:val="24"/>
          <w14:textFill>
            <w14:solidFill>
              <w14:schemeClr w14:val="tx1"/>
            </w14:solidFill>
          </w14:textFill>
        </w:rPr>
      </w:pPr>
    </w:p>
    <w:p w14:paraId="10053F5A">
      <w:pPr>
        <w:spacing w:line="360" w:lineRule="auto"/>
        <w:rPr>
          <w:rFonts w:ascii="楷体" w:hAnsi="楷体" w:eastAsia="楷体" w:cs="楷体"/>
          <w:color w:val="000000" w:themeColor="text1"/>
          <w:sz w:val="24"/>
          <w14:textFill>
            <w14:solidFill>
              <w14:schemeClr w14:val="tx1"/>
            </w14:solidFill>
          </w14:textFill>
        </w:rPr>
      </w:pPr>
    </w:p>
    <w:p w14:paraId="5232B922">
      <w:pPr>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投标人(盖公章</w:t>
      </w:r>
      <w:r>
        <w:rPr>
          <w:rFonts w:hint="eastAsia" w:ascii="楷体" w:hAnsi="楷体" w:eastAsia="楷体" w:cs="楷体"/>
          <w:snapToGrid w:val="0"/>
          <w:color w:val="000000" w:themeColor="text1"/>
          <w:kern w:val="0"/>
          <w:sz w:val="24"/>
          <w14:textFill>
            <w14:solidFill>
              <w14:schemeClr w14:val="tx1"/>
            </w14:solidFill>
          </w14:textFill>
        </w:rPr>
        <w:t>或电子签章</w:t>
      </w:r>
      <w:r>
        <w:rPr>
          <w:rFonts w:hint="eastAsia" w:ascii="楷体" w:hAnsi="楷体" w:eastAsia="楷体" w:cs="楷体"/>
          <w:color w:val="000000" w:themeColor="text1"/>
          <w:sz w:val="24"/>
          <w14:textFill>
            <w14:solidFill>
              <w14:schemeClr w14:val="tx1"/>
            </w14:solidFill>
          </w14:textFill>
        </w:rPr>
        <w:t>)：</w:t>
      </w:r>
    </w:p>
    <w:p w14:paraId="3F17AEAB">
      <w:pPr>
        <w:spacing w:line="360" w:lineRule="auto"/>
        <w:jc w:val="left"/>
        <w:rPr>
          <w:rFonts w:ascii="楷体" w:hAnsi="楷体" w:eastAsia="楷体" w:cs="楷体"/>
          <w:color w:val="000000" w:themeColor="text1"/>
          <w:sz w:val="24"/>
          <w14:textFill>
            <w14:solidFill>
              <w14:schemeClr w14:val="tx1"/>
            </w14:solidFill>
          </w14:textFill>
        </w:rPr>
      </w:pPr>
    </w:p>
    <w:p w14:paraId="40509B77">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w:t>
      </w:r>
    </w:p>
    <w:p w14:paraId="564A429B">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日</w:t>
      </w:r>
      <w:r>
        <w:rPr>
          <w:rFonts w:hint="eastAsia" w:ascii="楷体" w:hAnsi="楷体" w:eastAsia="楷体" w:cs="楷体"/>
          <w:color w:val="000000" w:themeColor="text1"/>
          <w:sz w:val="24"/>
          <w14:textFill>
            <w14:solidFill>
              <w14:schemeClr w14:val="tx1"/>
            </w14:solidFill>
          </w14:textFill>
        </w:rPr>
        <w:tab/>
      </w:r>
      <w:r>
        <w:rPr>
          <w:rFonts w:hint="eastAsia" w:ascii="楷体" w:hAnsi="楷体" w:eastAsia="楷体" w:cs="楷体"/>
          <w:color w:val="000000" w:themeColor="text1"/>
          <w:sz w:val="24"/>
          <w14:textFill>
            <w14:solidFill>
              <w14:schemeClr w14:val="tx1"/>
            </w14:solidFill>
          </w14:textFill>
        </w:rPr>
        <w:t>期：</w:t>
      </w:r>
    </w:p>
    <w:p w14:paraId="5F493546">
      <w:pPr>
        <w:adjustRightInd w:val="0"/>
        <w:spacing w:line="360" w:lineRule="auto"/>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br w:type="page"/>
      </w:r>
      <w:r>
        <w:rPr>
          <w:rFonts w:hint="eastAsia" w:ascii="楷体" w:hAnsi="楷体" w:eastAsia="楷体" w:cs="楷体"/>
          <w:b/>
          <w:snapToGrid w:val="0"/>
          <w:color w:val="000000" w:themeColor="text1"/>
          <w:kern w:val="0"/>
          <w:sz w:val="24"/>
          <w14:textFill>
            <w14:solidFill>
              <w14:schemeClr w14:val="tx1"/>
            </w14:solidFill>
          </w14:textFill>
        </w:rPr>
        <w:t>3.10拟派项目团队配备情况表</w:t>
      </w:r>
    </w:p>
    <w:p w14:paraId="3164C8A6">
      <w:pPr>
        <w:snapToGrid w:val="0"/>
        <w:spacing w:line="360" w:lineRule="auto"/>
        <w:jc w:val="center"/>
        <w:rPr>
          <w:rFonts w:ascii="楷体" w:hAnsi="楷体" w:eastAsia="楷体" w:cs="楷体"/>
          <w:b/>
          <w:snapToGrid w:val="0"/>
          <w:color w:val="000000" w:themeColor="text1"/>
          <w:kern w:val="0"/>
          <w:sz w:val="24"/>
          <w14:textFill>
            <w14:solidFill>
              <w14:schemeClr w14:val="tx1"/>
            </w14:solidFill>
          </w14:textFill>
        </w:rPr>
      </w:pPr>
    </w:p>
    <w:p w14:paraId="3FED203E">
      <w:pPr>
        <w:pStyle w:val="27"/>
        <w:snapToGrid w:val="0"/>
        <w:spacing w:line="360" w:lineRule="auto"/>
        <w:jc w:val="center"/>
        <w:rPr>
          <w:rFonts w:ascii="楷体" w:hAnsi="楷体" w:eastAsia="楷体" w:cs="楷体"/>
          <w:b/>
          <w:snapToGrid w:val="0"/>
          <w:color w:val="000000" w:themeColor="text1"/>
          <w:kern w:val="0"/>
          <w:sz w:val="28"/>
          <w:szCs w:val="28"/>
          <w14:textFill>
            <w14:solidFill>
              <w14:schemeClr w14:val="tx1"/>
            </w14:solidFill>
          </w14:textFill>
        </w:rPr>
      </w:pPr>
      <w:r>
        <w:rPr>
          <w:rFonts w:hint="eastAsia" w:ascii="楷体" w:hAnsi="楷体" w:eastAsia="楷体" w:cs="楷体"/>
          <w:b/>
          <w:snapToGrid w:val="0"/>
          <w:color w:val="000000" w:themeColor="text1"/>
          <w:kern w:val="0"/>
          <w:sz w:val="28"/>
          <w:szCs w:val="28"/>
          <w14:textFill>
            <w14:solidFill>
              <w14:schemeClr w14:val="tx1"/>
            </w14:solidFill>
          </w14:textFill>
        </w:rPr>
        <w:t>（1）拟派项目团队配备情况表</w:t>
      </w:r>
    </w:p>
    <w:tbl>
      <w:tblPr>
        <w:tblStyle w:val="46"/>
        <w:tblW w:w="0" w:type="auto"/>
        <w:tblInd w:w="-15" w:type="dxa"/>
        <w:tblLayout w:type="fixed"/>
        <w:tblCellMar>
          <w:top w:w="0" w:type="dxa"/>
          <w:left w:w="108" w:type="dxa"/>
          <w:bottom w:w="0" w:type="dxa"/>
          <w:right w:w="108" w:type="dxa"/>
        </w:tblCellMar>
      </w:tblPr>
      <w:tblGrid>
        <w:gridCol w:w="828"/>
        <w:gridCol w:w="1015"/>
        <w:gridCol w:w="1701"/>
        <w:gridCol w:w="749"/>
        <w:gridCol w:w="720"/>
        <w:gridCol w:w="720"/>
        <w:gridCol w:w="720"/>
        <w:gridCol w:w="1344"/>
        <w:gridCol w:w="1134"/>
      </w:tblGrid>
      <w:tr w14:paraId="594C0969">
        <w:tblPrEx>
          <w:tblCellMar>
            <w:top w:w="0" w:type="dxa"/>
            <w:left w:w="108" w:type="dxa"/>
            <w:bottom w:w="0" w:type="dxa"/>
            <w:right w:w="108" w:type="dxa"/>
          </w:tblCellMar>
        </w:tblPrEx>
        <w:trPr>
          <w:trHeight w:val="396" w:hRule="atLeast"/>
        </w:trPr>
        <w:tc>
          <w:tcPr>
            <w:tcW w:w="828" w:type="dxa"/>
            <w:tcBorders>
              <w:top w:val="single" w:color="auto" w:sz="12" w:space="0"/>
              <w:left w:val="single" w:color="auto" w:sz="12" w:space="0"/>
              <w:bottom w:val="single" w:color="auto" w:sz="12" w:space="0"/>
              <w:right w:val="single" w:color="auto" w:sz="6" w:space="0"/>
            </w:tcBorders>
            <w:vAlign w:val="center"/>
          </w:tcPr>
          <w:p w14:paraId="62C2ED0A">
            <w:pPr>
              <w:autoSpaceDE w:val="0"/>
              <w:autoSpaceDN w:val="0"/>
              <w:adjustRightInd w:val="0"/>
              <w:spacing w:line="360" w:lineRule="auto"/>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序号</w:t>
            </w:r>
          </w:p>
        </w:tc>
        <w:tc>
          <w:tcPr>
            <w:tcW w:w="1015" w:type="dxa"/>
            <w:tcBorders>
              <w:top w:val="single" w:color="auto" w:sz="12" w:space="0"/>
              <w:left w:val="single" w:color="auto" w:sz="6" w:space="0"/>
              <w:bottom w:val="single" w:color="auto" w:sz="12" w:space="0"/>
              <w:right w:val="single" w:color="auto" w:sz="6" w:space="0"/>
            </w:tcBorders>
            <w:vAlign w:val="center"/>
          </w:tcPr>
          <w:p w14:paraId="2506452B">
            <w:pPr>
              <w:autoSpaceDE w:val="0"/>
              <w:autoSpaceDN w:val="0"/>
              <w:adjustRightInd w:val="0"/>
              <w:spacing w:line="360" w:lineRule="auto"/>
              <w:jc w:val="center"/>
              <w:rPr>
                <w:rFonts w:ascii="楷体" w:hAnsi="楷体" w:eastAsia="楷体" w:cs="楷体"/>
                <w:color w:val="000000" w:themeColor="text1"/>
                <w:szCs w:val="21"/>
                <w:lang w:val="zh-CN"/>
                <w14:textFill>
                  <w14:solidFill>
                    <w14:schemeClr w14:val="tx1"/>
                  </w14:solidFill>
                </w14:textFill>
              </w:rPr>
            </w:pPr>
            <w:r>
              <w:rPr>
                <w:rFonts w:hint="eastAsia" w:ascii="楷体" w:hAnsi="楷体" w:eastAsia="楷体" w:cs="楷体"/>
                <w:color w:val="000000" w:themeColor="text1"/>
                <w:szCs w:val="21"/>
                <w:lang w:val="zh-CN"/>
                <w14:textFill>
                  <w14:solidFill>
                    <w14:schemeClr w14:val="tx1"/>
                  </w14:solidFill>
                </w14:textFill>
              </w:rPr>
              <w:t>姓名</w:t>
            </w:r>
          </w:p>
        </w:tc>
        <w:tc>
          <w:tcPr>
            <w:tcW w:w="1701" w:type="dxa"/>
            <w:tcBorders>
              <w:top w:val="single" w:color="auto" w:sz="12" w:space="0"/>
              <w:left w:val="single" w:color="auto" w:sz="6" w:space="0"/>
              <w:bottom w:val="single" w:color="auto" w:sz="12" w:space="0"/>
              <w:right w:val="single" w:color="auto" w:sz="6" w:space="0"/>
            </w:tcBorders>
            <w:vAlign w:val="center"/>
          </w:tcPr>
          <w:p w14:paraId="1E50583B">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lang w:val="zh-CN"/>
                <w14:textFill>
                  <w14:solidFill>
                    <w14:schemeClr w14:val="tx1"/>
                  </w14:solidFill>
                </w14:textFill>
              </w:rPr>
              <w:t>本项目拟任岗位</w:t>
            </w:r>
          </w:p>
        </w:tc>
        <w:tc>
          <w:tcPr>
            <w:tcW w:w="749" w:type="dxa"/>
            <w:tcBorders>
              <w:top w:val="single" w:color="auto" w:sz="12" w:space="0"/>
              <w:left w:val="single" w:color="auto" w:sz="6" w:space="0"/>
              <w:bottom w:val="single" w:color="auto" w:sz="12" w:space="0"/>
              <w:right w:val="single" w:color="auto" w:sz="6" w:space="0"/>
            </w:tcBorders>
            <w:vAlign w:val="center"/>
          </w:tcPr>
          <w:p w14:paraId="6555D8C8">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lang w:val="zh-CN"/>
                <w14:textFill>
                  <w14:solidFill>
                    <w14:schemeClr w14:val="tx1"/>
                  </w14:solidFill>
                </w14:textFill>
              </w:rPr>
              <w:t>年龄</w:t>
            </w:r>
          </w:p>
        </w:tc>
        <w:tc>
          <w:tcPr>
            <w:tcW w:w="720" w:type="dxa"/>
            <w:tcBorders>
              <w:top w:val="single" w:color="auto" w:sz="12" w:space="0"/>
              <w:left w:val="single" w:color="auto" w:sz="6" w:space="0"/>
              <w:bottom w:val="single" w:color="auto" w:sz="12" w:space="0"/>
              <w:right w:val="single" w:color="auto" w:sz="6" w:space="0"/>
            </w:tcBorders>
            <w:vAlign w:val="center"/>
          </w:tcPr>
          <w:p w14:paraId="412BD1A6">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lang w:val="zh-CN"/>
                <w14:textFill>
                  <w14:solidFill>
                    <w14:schemeClr w14:val="tx1"/>
                  </w14:solidFill>
                </w14:textFill>
              </w:rPr>
              <w:t>性别</w:t>
            </w:r>
          </w:p>
        </w:tc>
        <w:tc>
          <w:tcPr>
            <w:tcW w:w="720" w:type="dxa"/>
            <w:tcBorders>
              <w:top w:val="single" w:color="auto" w:sz="12" w:space="0"/>
              <w:left w:val="single" w:color="auto" w:sz="6" w:space="0"/>
              <w:bottom w:val="single" w:color="auto" w:sz="12" w:space="0"/>
              <w:right w:val="single" w:color="auto" w:sz="6" w:space="0"/>
            </w:tcBorders>
            <w:vAlign w:val="center"/>
          </w:tcPr>
          <w:p w14:paraId="54139284">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lang w:val="zh-CN"/>
                <w14:textFill>
                  <w14:solidFill>
                    <w14:schemeClr w14:val="tx1"/>
                  </w14:solidFill>
                </w14:textFill>
              </w:rPr>
              <w:t>专业</w:t>
            </w:r>
          </w:p>
        </w:tc>
        <w:tc>
          <w:tcPr>
            <w:tcW w:w="720" w:type="dxa"/>
            <w:tcBorders>
              <w:top w:val="single" w:color="auto" w:sz="12" w:space="0"/>
              <w:left w:val="single" w:color="auto" w:sz="6" w:space="0"/>
              <w:bottom w:val="single" w:color="auto" w:sz="12" w:space="0"/>
              <w:right w:val="single" w:color="auto" w:sz="6" w:space="0"/>
            </w:tcBorders>
            <w:vAlign w:val="center"/>
          </w:tcPr>
          <w:p w14:paraId="32F4E817">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lang w:val="zh-CN"/>
                <w14:textFill>
                  <w14:solidFill>
                    <w14:schemeClr w14:val="tx1"/>
                  </w14:solidFill>
                </w14:textFill>
              </w:rPr>
              <w:t>专业年限</w:t>
            </w:r>
          </w:p>
        </w:tc>
        <w:tc>
          <w:tcPr>
            <w:tcW w:w="1344" w:type="dxa"/>
            <w:tcBorders>
              <w:top w:val="single" w:color="auto" w:sz="12" w:space="0"/>
              <w:left w:val="single" w:color="auto" w:sz="6" w:space="0"/>
              <w:bottom w:val="single" w:color="auto" w:sz="12" w:space="0"/>
              <w:right w:val="single" w:color="auto" w:sz="6" w:space="0"/>
            </w:tcBorders>
            <w:vAlign w:val="center"/>
          </w:tcPr>
          <w:p w14:paraId="648A4EDE">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lang w:val="zh-CN"/>
                <w14:textFill>
                  <w14:solidFill>
                    <w14:schemeClr w14:val="tx1"/>
                  </w14:solidFill>
                </w14:textFill>
              </w:rPr>
              <w:t>职务和职称</w:t>
            </w:r>
          </w:p>
        </w:tc>
        <w:tc>
          <w:tcPr>
            <w:tcW w:w="1134" w:type="dxa"/>
            <w:tcBorders>
              <w:top w:val="single" w:color="auto" w:sz="12" w:space="0"/>
              <w:left w:val="single" w:color="auto" w:sz="6" w:space="0"/>
              <w:bottom w:val="single" w:color="auto" w:sz="12" w:space="0"/>
              <w:right w:val="single" w:color="auto" w:sz="12" w:space="0"/>
            </w:tcBorders>
            <w:vAlign w:val="center"/>
          </w:tcPr>
          <w:p w14:paraId="078EA303">
            <w:pPr>
              <w:autoSpaceDE w:val="0"/>
              <w:autoSpaceDN w:val="0"/>
              <w:adjustRightInd w:val="0"/>
              <w:spacing w:line="360" w:lineRule="auto"/>
              <w:jc w:val="center"/>
              <w:rPr>
                <w:rFonts w:ascii="楷体" w:hAnsi="楷体" w:eastAsia="楷体" w:cs="楷体"/>
                <w:color w:val="000000" w:themeColor="text1"/>
                <w:szCs w:val="21"/>
                <w:lang w:val="zh-CN"/>
                <w14:textFill>
                  <w14:solidFill>
                    <w14:schemeClr w14:val="tx1"/>
                  </w14:solidFill>
                </w14:textFill>
              </w:rPr>
            </w:pPr>
            <w:r>
              <w:rPr>
                <w:rFonts w:hint="eastAsia" w:ascii="楷体" w:hAnsi="楷体" w:eastAsia="楷体" w:cs="楷体"/>
                <w:color w:val="000000" w:themeColor="text1"/>
                <w:szCs w:val="21"/>
                <w:lang w:val="zh-CN"/>
                <w14:textFill>
                  <w14:solidFill>
                    <w14:schemeClr w14:val="tx1"/>
                  </w14:solidFill>
                </w14:textFill>
              </w:rPr>
              <w:t>备注</w:t>
            </w:r>
          </w:p>
        </w:tc>
      </w:tr>
      <w:tr w14:paraId="6A894486">
        <w:tblPrEx>
          <w:tblCellMar>
            <w:top w:w="0" w:type="dxa"/>
            <w:left w:w="108" w:type="dxa"/>
            <w:bottom w:w="0" w:type="dxa"/>
            <w:right w:w="108" w:type="dxa"/>
          </w:tblCellMar>
        </w:tblPrEx>
        <w:trPr>
          <w:trHeight w:val="408" w:hRule="atLeast"/>
        </w:trPr>
        <w:tc>
          <w:tcPr>
            <w:tcW w:w="828" w:type="dxa"/>
            <w:tcBorders>
              <w:top w:val="single" w:color="auto" w:sz="12" w:space="0"/>
              <w:left w:val="single" w:color="auto" w:sz="12" w:space="0"/>
              <w:bottom w:val="single" w:color="auto" w:sz="6" w:space="0"/>
              <w:right w:val="single" w:color="auto" w:sz="6" w:space="0"/>
            </w:tcBorders>
            <w:vAlign w:val="center"/>
          </w:tcPr>
          <w:p w14:paraId="75880142">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12" w:space="0"/>
              <w:left w:val="single" w:color="auto" w:sz="6" w:space="0"/>
              <w:bottom w:val="single" w:color="auto" w:sz="6" w:space="0"/>
              <w:right w:val="single" w:color="auto" w:sz="6" w:space="0"/>
            </w:tcBorders>
          </w:tcPr>
          <w:p w14:paraId="42ECDAC3">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12" w:space="0"/>
              <w:left w:val="single" w:color="auto" w:sz="6" w:space="0"/>
              <w:bottom w:val="single" w:color="auto" w:sz="6" w:space="0"/>
              <w:right w:val="single" w:color="auto" w:sz="6" w:space="0"/>
            </w:tcBorders>
            <w:vAlign w:val="center"/>
          </w:tcPr>
          <w:p w14:paraId="7CB7CFBB">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12" w:space="0"/>
              <w:left w:val="single" w:color="auto" w:sz="6" w:space="0"/>
              <w:bottom w:val="single" w:color="auto" w:sz="6" w:space="0"/>
              <w:right w:val="single" w:color="auto" w:sz="6" w:space="0"/>
            </w:tcBorders>
            <w:vAlign w:val="center"/>
          </w:tcPr>
          <w:p w14:paraId="3791C811">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12" w:space="0"/>
              <w:left w:val="single" w:color="auto" w:sz="6" w:space="0"/>
              <w:bottom w:val="single" w:color="auto" w:sz="6" w:space="0"/>
              <w:right w:val="single" w:color="auto" w:sz="6" w:space="0"/>
            </w:tcBorders>
            <w:vAlign w:val="center"/>
          </w:tcPr>
          <w:p w14:paraId="0BB9DC0D">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12" w:space="0"/>
              <w:left w:val="single" w:color="auto" w:sz="6" w:space="0"/>
              <w:bottom w:val="single" w:color="auto" w:sz="6" w:space="0"/>
              <w:right w:val="single" w:color="auto" w:sz="6" w:space="0"/>
            </w:tcBorders>
            <w:vAlign w:val="center"/>
          </w:tcPr>
          <w:p w14:paraId="369BF4B4">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12" w:space="0"/>
              <w:left w:val="single" w:color="auto" w:sz="6" w:space="0"/>
              <w:bottom w:val="single" w:color="auto" w:sz="6" w:space="0"/>
              <w:right w:val="single" w:color="auto" w:sz="6" w:space="0"/>
            </w:tcBorders>
            <w:vAlign w:val="center"/>
          </w:tcPr>
          <w:p w14:paraId="57D9BEE0">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12" w:space="0"/>
              <w:left w:val="single" w:color="auto" w:sz="6" w:space="0"/>
              <w:bottom w:val="single" w:color="auto" w:sz="6" w:space="0"/>
              <w:right w:val="single" w:color="auto" w:sz="6" w:space="0"/>
            </w:tcBorders>
            <w:vAlign w:val="center"/>
          </w:tcPr>
          <w:p w14:paraId="659C7496">
            <w:pPr>
              <w:autoSpaceDE w:val="0"/>
              <w:autoSpaceDN w:val="0"/>
              <w:adjustRightInd w:val="0"/>
              <w:spacing w:line="360" w:lineRule="auto"/>
              <w:ind w:left="5250"/>
              <w:rPr>
                <w:rFonts w:ascii="楷体" w:hAnsi="楷体" w:eastAsia="楷体" w:cs="楷体"/>
                <w:color w:val="000000" w:themeColor="text1"/>
                <w:szCs w:val="21"/>
                <w14:textFill>
                  <w14:solidFill>
                    <w14:schemeClr w14:val="tx1"/>
                  </w14:solidFill>
                </w14:textFill>
              </w:rPr>
            </w:pPr>
          </w:p>
        </w:tc>
        <w:tc>
          <w:tcPr>
            <w:tcW w:w="1134" w:type="dxa"/>
            <w:tcBorders>
              <w:top w:val="single" w:color="auto" w:sz="12" w:space="0"/>
              <w:left w:val="single" w:color="auto" w:sz="6" w:space="0"/>
              <w:bottom w:val="single" w:color="auto" w:sz="6" w:space="0"/>
              <w:right w:val="single" w:color="auto" w:sz="12" w:space="0"/>
            </w:tcBorders>
            <w:vAlign w:val="center"/>
          </w:tcPr>
          <w:p w14:paraId="0AA28F8A">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r>
      <w:tr w14:paraId="74DC2BC2">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46188754">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6" w:space="0"/>
              <w:left w:val="single" w:color="auto" w:sz="6" w:space="0"/>
              <w:bottom w:val="single" w:color="auto" w:sz="6" w:space="0"/>
              <w:right w:val="single" w:color="auto" w:sz="6" w:space="0"/>
            </w:tcBorders>
          </w:tcPr>
          <w:p w14:paraId="7AF4F658">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vAlign w:val="center"/>
          </w:tcPr>
          <w:p w14:paraId="0C676D71">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vAlign w:val="center"/>
          </w:tcPr>
          <w:p w14:paraId="080FBEEC">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10CB008B">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63AD99EF">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2A1820C1">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14:paraId="27811A6E">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12" w:space="0"/>
            </w:tcBorders>
            <w:vAlign w:val="center"/>
          </w:tcPr>
          <w:p w14:paraId="0EAB75ED">
            <w:pPr>
              <w:autoSpaceDE w:val="0"/>
              <w:autoSpaceDN w:val="0"/>
              <w:adjustRightInd w:val="0"/>
              <w:spacing w:line="360" w:lineRule="auto"/>
              <w:ind w:left="5250"/>
              <w:rPr>
                <w:rFonts w:ascii="楷体" w:hAnsi="楷体" w:eastAsia="楷体" w:cs="楷体"/>
                <w:color w:val="000000" w:themeColor="text1"/>
                <w:szCs w:val="21"/>
                <w14:textFill>
                  <w14:solidFill>
                    <w14:schemeClr w14:val="tx1"/>
                  </w14:solidFill>
                </w14:textFill>
              </w:rPr>
            </w:pPr>
          </w:p>
        </w:tc>
      </w:tr>
      <w:tr w14:paraId="62DA2A5A">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529ADDE8">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6" w:space="0"/>
              <w:left w:val="single" w:color="auto" w:sz="6" w:space="0"/>
              <w:bottom w:val="single" w:color="auto" w:sz="6" w:space="0"/>
              <w:right w:val="single" w:color="auto" w:sz="6" w:space="0"/>
            </w:tcBorders>
          </w:tcPr>
          <w:p w14:paraId="73BE5E82">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vAlign w:val="center"/>
          </w:tcPr>
          <w:p w14:paraId="478E5A5E">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vAlign w:val="center"/>
          </w:tcPr>
          <w:p w14:paraId="7C182629">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1EB5E6E8">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27489596">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0FFD364D">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14:paraId="25C0C25E">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12" w:space="0"/>
            </w:tcBorders>
            <w:vAlign w:val="center"/>
          </w:tcPr>
          <w:p w14:paraId="3607DB3C">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r>
      <w:tr w14:paraId="42325855">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3A6E9B06">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6" w:space="0"/>
              <w:left w:val="single" w:color="auto" w:sz="6" w:space="0"/>
              <w:bottom w:val="single" w:color="auto" w:sz="6" w:space="0"/>
              <w:right w:val="single" w:color="auto" w:sz="6" w:space="0"/>
            </w:tcBorders>
          </w:tcPr>
          <w:p w14:paraId="0E07647D">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vAlign w:val="center"/>
          </w:tcPr>
          <w:p w14:paraId="5DDA15BC">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vAlign w:val="center"/>
          </w:tcPr>
          <w:p w14:paraId="7DCB3200">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56E41BB9">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57DE71BF">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16A9C78F">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14:paraId="082D16A3">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12" w:space="0"/>
            </w:tcBorders>
            <w:vAlign w:val="center"/>
          </w:tcPr>
          <w:p w14:paraId="52A7CF69">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r>
      <w:tr w14:paraId="7E3926EF">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59EF4CFD">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6" w:space="0"/>
              <w:left w:val="single" w:color="auto" w:sz="6" w:space="0"/>
              <w:bottom w:val="single" w:color="auto" w:sz="6" w:space="0"/>
              <w:right w:val="single" w:color="auto" w:sz="6" w:space="0"/>
            </w:tcBorders>
          </w:tcPr>
          <w:p w14:paraId="4D45874F">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vAlign w:val="center"/>
          </w:tcPr>
          <w:p w14:paraId="557C8685">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vAlign w:val="center"/>
          </w:tcPr>
          <w:p w14:paraId="316AC619">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7C03AFA2">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57624CE5">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4A6AC8EE">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14:paraId="707FDA85">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12" w:space="0"/>
            </w:tcBorders>
            <w:vAlign w:val="center"/>
          </w:tcPr>
          <w:p w14:paraId="734ED177">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r>
      <w:tr w14:paraId="0AC3F814">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642188BE">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6" w:space="0"/>
              <w:left w:val="single" w:color="auto" w:sz="6" w:space="0"/>
              <w:bottom w:val="single" w:color="auto" w:sz="6" w:space="0"/>
              <w:right w:val="single" w:color="auto" w:sz="6" w:space="0"/>
            </w:tcBorders>
          </w:tcPr>
          <w:p w14:paraId="5C2B1B2D">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vAlign w:val="center"/>
          </w:tcPr>
          <w:p w14:paraId="58B07415">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vAlign w:val="center"/>
          </w:tcPr>
          <w:p w14:paraId="3F2A23CB">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3B815212">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1A0CE7F6">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5C877175">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14:paraId="06B4AA25">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12" w:space="0"/>
            </w:tcBorders>
            <w:vAlign w:val="center"/>
          </w:tcPr>
          <w:p w14:paraId="7B11D023">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r>
      <w:tr w14:paraId="4B5672CB">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5E3DBE27">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6" w:space="0"/>
              <w:left w:val="single" w:color="auto" w:sz="6" w:space="0"/>
              <w:bottom w:val="single" w:color="auto" w:sz="6" w:space="0"/>
              <w:right w:val="single" w:color="auto" w:sz="6" w:space="0"/>
            </w:tcBorders>
          </w:tcPr>
          <w:p w14:paraId="7B7E74B7">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vAlign w:val="center"/>
          </w:tcPr>
          <w:p w14:paraId="11669062">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vAlign w:val="center"/>
          </w:tcPr>
          <w:p w14:paraId="584115E7">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2F254B81">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1EEF48A6">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403E1B91">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14:paraId="37580EC6">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12" w:space="0"/>
            </w:tcBorders>
            <w:vAlign w:val="center"/>
          </w:tcPr>
          <w:p w14:paraId="4F4F130F">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r>
      <w:tr w14:paraId="0FCACC76">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7341312E">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6" w:space="0"/>
              <w:left w:val="single" w:color="auto" w:sz="6" w:space="0"/>
              <w:bottom w:val="single" w:color="auto" w:sz="6" w:space="0"/>
              <w:right w:val="single" w:color="auto" w:sz="6" w:space="0"/>
            </w:tcBorders>
          </w:tcPr>
          <w:p w14:paraId="31C697E2">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vAlign w:val="center"/>
          </w:tcPr>
          <w:p w14:paraId="3B0082E3">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vAlign w:val="center"/>
          </w:tcPr>
          <w:p w14:paraId="53E533E3">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01F1FD18">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7727572A">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79A77C70">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14:paraId="5C6E6B67">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12" w:space="0"/>
            </w:tcBorders>
            <w:vAlign w:val="center"/>
          </w:tcPr>
          <w:p w14:paraId="6C5BC60D">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r>
      <w:tr w14:paraId="65781592">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5F6F8E52">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6" w:space="0"/>
              <w:left w:val="single" w:color="auto" w:sz="6" w:space="0"/>
              <w:bottom w:val="single" w:color="auto" w:sz="6" w:space="0"/>
              <w:right w:val="single" w:color="auto" w:sz="6" w:space="0"/>
            </w:tcBorders>
          </w:tcPr>
          <w:p w14:paraId="36ED2D99">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vAlign w:val="center"/>
          </w:tcPr>
          <w:p w14:paraId="1E0F8B03">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vAlign w:val="center"/>
          </w:tcPr>
          <w:p w14:paraId="06F48565">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4F1F7175">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5FDF5665">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1771F1D8">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14:paraId="28475096">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12" w:space="0"/>
            </w:tcBorders>
            <w:vAlign w:val="center"/>
          </w:tcPr>
          <w:p w14:paraId="1595A189">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r>
      <w:tr w14:paraId="39ECE89E">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621E2361">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6" w:space="0"/>
              <w:left w:val="single" w:color="auto" w:sz="6" w:space="0"/>
              <w:bottom w:val="single" w:color="auto" w:sz="6" w:space="0"/>
              <w:right w:val="single" w:color="auto" w:sz="6" w:space="0"/>
            </w:tcBorders>
          </w:tcPr>
          <w:p w14:paraId="78988F01">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vAlign w:val="center"/>
          </w:tcPr>
          <w:p w14:paraId="73EEE76C">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vAlign w:val="center"/>
          </w:tcPr>
          <w:p w14:paraId="12323F08">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5D0F453D">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5718CBF5">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2BAAEFE8">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14:paraId="0EE317E6">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12" w:space="0"/>
            </w:tcBorders>
            <w:vAlign w:val="center"/>
          </w:tcPr>
          <w:p w14:paraId="04CDC7D4">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r>
      <w:tr w14:paraId="054587DE">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74744CCF">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6" w:space="0"/>
              <w:left w:val="single" w:color="auto" w:sz="6" w:space="0"/>
              <w:bottom w:val="single" w:color="auto" w:sz="6" w:space="0"/>
              <w:right w:val="single" w:color="auto" w:sz="6" w:space="0"/>
            </w:tcBorders>
          </w:tcPr>
          <w:p w14:paraId="192AC55D">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vAlign w:val="center"/>
          </w:tcPr>
          <w:p w14:paraId="668523DE">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vAlign w:val="center"/>
          </w:tcPr>
          <w:p w14:paraId="724A78DA">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477C994D">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158F5DF6">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3D271B4B">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14:paraId="41A1994A">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12" w:space="0"/>
            </w:tcBorders>
            <w:vAlign w:val="center"/>
          </w:tcPr>
          <w:p w14:paraId="4C1C9918">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r>
      <w:tr w14:paraId="0D8CA397">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0B3A2E36">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6" w:space="0"/>
              <w:left w:val="single" w:color="auto" w:sz="6" w:space="0"/>
              <w:bottom w:val="single" w:color="auto" w:sz="6" w:space="0"/>
              <w:right w:val="single" w:color="auto" w:sz="6" w:space="0"/>
            </w:tcBorders>
          </w:tcPr>
          <w:p w14:paraId="3729C6EB">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vAlign w:val="center"/>
          </w:tcPr>
          <w:p w14:paraId="670A53B8">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vAlign w:val="center"/>
          </w:tcPr>
          <w:p w14:paraId="5EF6FC7D">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59B8A05F">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59E83B15">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02AF8BF0">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14:paraId="792B94A2">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12" w:space="0"/>
            </w:tcBorders>
            <w:vAlign w:val="center"/>
          </w:tcPr>
          <w:p w14:paraId="1A61F94E">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r>
      <w:tr w14:paraId="3279754C">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01F1A7D9">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6" w:space="0"/>
              <w:left w:val="single" w:color="auto" w:sz="6" w:space="0"/>
              <w:bottom w:val="single" w:color="auto" w:sz="6" w:space="0"/>
              <w:right w:val="single" w:color="auto" w:sz="6" w:space="0"/>
            </w:tcBorders>
          </w:tcPr>
          <w:p w14:paraId="29C16FBD">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vAlign w:val="center"/>
          </w:tcPr>
          <w:p w14:paraId="74BBBFA2">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vAlign w:val="center"/>
          </w:tcPr>
          <w:p w14:paraId="382FD8F1">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1930F03F">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111122F6">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462A0573">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14:paraId="71D52ED7">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12" w:space="0"/>
            </w:tcBorders>
            <w:vAlign w:val="center"/>
          </w:tcPr>
          <w:p w14:paraId="69ABAC13">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r>
      <w:tr w14:paraId="18B91C82">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42F2820F">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6" w:space="0"/>
              <w:left w:val="single" w:color="auto" w:sz="6" w:space="0"/>
              <w:bottom w:val="single" w:color="auto" w:sz="6" w:space="0"/>
              <w:right w:val="single" w:color="auto" w:sz="6" w:space="0"/>
            </w:tcBorders>
          </w:tcPr>
          <w:p w14:paraId="35ED3666">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vAlign w:val="center"/>
          </w:tcPr>
          <w:p w14:paraId="1E6E9189">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vAlign w:val="center"/>
          </w:tcPr>
          <w:p w14:paraId="342B400A">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494549ED">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0B0AC5B2">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221ABEC7">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14:paraId="464D8653">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12" w:space="0"/>
            </w:tcBorders>
            <w:vAlign w:val="center"/>
          </w:tcPr>
          <w:p w14:paraId="3B9BD517">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r>
      <w:tr w14:paraId="396B094A">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6" w:space="0"/>
              <w:right w:val="single" w:color="auto" w:sz="6" w:space="0"/>
            </w:tcBorders>
            <w:vAlign w:val="center"/>
          </w:tcPr>
          <w:p w14:paraId="0C8B791A">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015" w:type="dxa"/>
            <w:tcBorders>
              <w:top w:val="single" w:color="auto" w:sz="6" w:space="0"/>
              <w:left w:val="single" w:color="auto" w:sz="6" w:space="0"/>
              <w:bottom w:val="single" w:color="auto" w:sz="6" w:space="0"/>
              <w:right w:val="single" w:color="auto" w:sz="6" w:space="0"/>
            </w:tcBorders>
          </w:tcPr>
          <w:p w14:paraId="40079D13">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vAlign w:val="center"/>
          </w:tcPr>
          <w:p w14:paraId="4E75AC8F">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49" w:type="dxa"/>
            <w:tcBorders>
              <w:top w:val="single" w:color="auto" w:sz="6" w:space="0"/>
              <w:left w:val="single" w:color="auto" w:sz="6" w:space="0"/>
              <w:bottom w:val="single" w:color="auto" w:sz="6" w:space="0"/>
              <w:right w:val="single" w:color="auto" w:sz="6" w:space="0"/>
            </w:tcBorders>
            <w:vAlign w:val="center"/>
          </w:tcPr>
          <w:p w14:paraId="7ADC0916">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00A48882">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5625BC3A">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vAlign w:val="center"/>
          </w:tcPr>
          <w:p w14:paraId="7F4A771E">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344" w:type="dxa"/>
            <w:tcBorders>
              <w:top w:val="single" w:color="auto" w:sz="6" w:space="0"/>
              <w:left w:val="single" w:color="auto" w:sz="6" w:space="0"/>
              <w:bottom w:val="single" w:color="auto" w:sz="6" w:space="0"/>
              <w:right w:val="single" w:color="auto" w:sz="6" w:space="0"/>
            </w:tcBorders>
            <w:vAlign w:val="center"/>
          </w:tcPr>
          <w:p w14:paraId="7C1CBD77">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12" w:space="0"/>
            </w:tcBorders>
            <w:vAlign w:val="center"/>
          </w:tcPr>
          <w:p w14:paraId="29908296">
            <w:pPr>
              <w:autoSpaceDE w:val="0"/>
              <w:autoSpaceDN w:val="0"/>
              <w:adjustRightInd w:val="0"/>
              <w:spacing w:line="360" w:lineRule="auto"/>
              <w:rPr>
                <w:rFonts w:ascii="楷体" w:hAnsi="楷体" w:eastAsia="楷体" w:cs="楷体"/>
                <w:color w:val="000000" w:themeColor="text1"/>
                <w:szCs w:val="21"/>
                <w14:textFill>
                  <w14:solidFill>
                    <w14:schemeClr w14:val="tx1"/>
                  </w14:solidFill>
                </w14:textFill>
              </w:rPr>
            </w:pPr>
          </w:p>
        </w:tc>
      </w:tr>
      <w:tr w14:paraId="0CDD95D7">
        <w:tblPrEx>
          <w:tblCellMar>
            <w:top w:w="0" w:type="dxa"/>
            <w:left w:w="108" w:type="dxa"/>
            <w:bottom w:w="0" w:type="dxa"/>
            <w:right w:w="108" w:type="dxa"/>
          </w:tblCellMar>
        </w:tblPrEx>
        <w:trPr>
          <w:trHeight w:val="408" w:hRule="atLeast"/>
        </w:trPr>
        <w:tc>
          <w:tcPr>
            <w:tcW w:w="828" w:type="dxa"/>
            <w:tcBorders>
              <w:top w:val="single" w:color="auto" w:sz="6" w:space="0"/>
              <w:left w:val="single" w:color="auto" w:sz="12" w:space="0"/>
              <w:bottom w:val="single" w:color="auto" w:sz="12" w:space="0"/>
              <w:right w:val="single" w:color="auto" w:sz="6" w:space="0"/>
            </w:tcBorders>
            <w:vAlign w:val="center"/>
          </w:tcPr>
          <w:p w14:paraId="5A0D50DF">
            <w:pPr>
              <w:autoSpaceDE w:val="0"/>
              <w:autoSpaceDN w:val="0"/>
              <w:adjustRightInd w:val="0"/>
              <w:spacing w:line="360" w:lineRule="auto"/>
              <w:rPr>
                <w:rFonts w:ascii="楷体" w:hAnsi="楷体" w:eastAsia="楷体" w:cs="楷体"/>
                <w:color w:val="000000" w:themeColor="text1"/>
                <w:sz w:val="24"/>
                <w14:textFill>
                  <w14:solidFill>
                    <w14:schemeClr w14:val="tx1"/>
                  </w14:solidFill>
                </w14:textFill>
              </w:rPr>
            </w:pPr>
          </w:p>
        </w:tc>
        <w:tc>
          <w:tcPr>
            <w:tcW w:w="1015" w:type="dxa"/>
            <w:tcBorders>
              <w:top w:val="single" w:color="auto" w:sz="6" w:space="0"/>
              <w:left w:val="single" w:color="auto" w:sz="6" w:space="0"/>
              <w:bottom w:val="single" w:color="auto" w:sz="12" w:space="0"/>
              <w:right w:val="single" w:color="auto" w:sz="6" w:space="0"/>
            </w:tcBorders>
          </w:tcPr>
          <w:p w14:paraId="51D96520">
            <w:pPr>
              <w:autoSpaceDE w:val="0"/>
              <w:autoSpaceDN w:val="0"/>
              <w:adjustRightInd w:val="0"/>
              <w:spacing w:line="360" w:lineRule="auto"/>
              <w:rPr>
                <w:rFonts w:ascii="楷体" w:hAnsi="楷体" w:eastAsia="楷体" w:cs="楷体"/>
                <w:color w:val="000000" w:themeColor="text1"/>
                <w:sz w:val="24"/>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6" w:space="0"/>
            </w:tcBorders>
            <w:vAlign w:val="center"/>
          </w:tcPr>
          <w:p w14:paraId="71B35FE2">
            <w:pPr>
              <w:autoSpaceDE w:val="0"/>
              <w:autoSpaceDN w:val="0"/>
              <w:adjustRightInd w:val="0"/>
              <w:spacing w:line="360" w:lineRule="auto"/>
              <w:rPr>
                <w:rFonts w:ascii="楷体" w:hAnsi="楷体" w:eastAsia="楷体" w:cs="楷体"/>
                <w:color w:val="000000" w:themeColor="text1"/>
                <w:sz w:val="24"/>
                <w14:textFill>
                  <w14:solidFill>
                    <w14:schemeClr w14:val="tx1"/>
                  </w14:solidFill>
                </w14:textFill>
              </w:rPr>
            </w:pPr>
          </w:p>
        </w:tc>
        <w:tc>
          <w:tcPr>
            <w:tcW w:w="749" w:type="dxa"/>
            <w:tcBorders>
              <w:top w:val="single" w:color="auto" w:sz="6" w:space="0"/>
              <w:left w:val="single" w:color="auto" w:sz="6" w:space="0"/>
              <w:bottom w:val="single" w:color="auto" w:sz="12" w:space="0"/>
              <w:right w:val="single" w:color="auto" w:sz="6" w:space="0"/>
            </w:tcBorders>
            <w:vAlign w:val="center"/>
          </w:tcPr>
          <w:p w14:paraId="6BFC6F74">
            <w:pPr>
              <w:autoSpaceDE w:val="0"/>
              <w:autoSpaceDN w:val="0"/>
              <w:adjustRightInd w:val="0"/>
              <w:spacing w:line="360" w:lineRule="auto"/>
              <w:rPr>
                <w:rFonts w:ascii="楷体" w:hAnsi="楷体" w:eastAsia="楷体" w:cs="楷体"/>
                <w:color w:val="000000" w:themeColor="text1"/>
                <w:sz w:val="24"/>
                <w14:textFill>
                  <w14:solidFill>
                    <w14:schemeClr w14:val="tx1"/>
                  </w14:solidFill>
                </w14:textFill>
              </w:rPr>
            </w:pPr>
          </w:p>
        </w:tc>
        <w:tc>
          <w:tcPr>
            <w:tcW w:w="720" w:type="dxa"/>
            <w:tcBorders>
              <w:top w:val="single" w:color="auto" w:sz="6" w:space="0"/>
              <w:left w:val="single" w:color="auto" w:sz="6" w:space="0"/>
              <w:bottom w:val="single" w:color="auto" w:sz="12" w:space="0"/>
              <w:right w:val="single" w:color="auto" w:sz="6" w:space="0"/>
            </w:tcBorders>
            <w:vAlign w:val="center"/>
          </w:tcPr>
          <w:p w14:paraId="520EED87">
            <w:pPr>
              <w:autoSpaceDE w:val="0"/>
              <w:autoSpaceDN w:val="0"/>
              <w:adjustRightInd w:val="0"/>
              <w:spacing w:line="360" w:lineRule="auto"/>
              <w:rPr>
                <w:rFonts w:ascii="楷体" w:hAnsi="楷体" w:eastAsia="楷体" w:cs="楷体"/>
                <w:color w:val="000000" w:themeColor="text1"/>
                <w:sz w:val="24"/>
                <w14:textFill>
                  <w14:solidFill>
                    <w14:schemeClr w14:val="tx1"/>
                  </w14:solidFill>
                </w14:textFill>
              </w:rPr>
            </w:pPr>
          </w:p>
        </w:tc>
        <w:tc>
          <w:tcPr>
            <w:tcW w:w="720" w:type="dxa"/>
            <w:tcBorders>
              <w:top w:val="single" w:color="auto" w:sz="6" w:space="0"/>
              <w:left w:val="single" w:color="auto" w:sz="6" w:space="0"/>
              <w:bottom w:val="single" w:color="auto" w:sz="12" w:space="0"/>
              <w:right w:val="single" w:color="auto" w:sz="6" w:space="0"/>
            </w:tcBorders>
            <w:vAlign w:val="center"/>
          </w:tcPr>
          <w:p w14:paraId="28E01EF0">
            <w:pPr>
              <w:autoSpaceDE w:val="0"/>
              <w:autoSpaceDN w:val="0"/>
              <w:adjustRightInd w:val="0"/>
              <w:spacing w:line="360" w:lineRule="auto"/>
              <w:rPr>
                <w:rFonts w:ascii="楷体" w:hAnsi="楷体" w:eastAsia="楷体" w:cs="楷体"/>
                <w:color w:val="000000" w:themeColor="text1"/>
                <w:sz w:val="24"/>
                <w14:textFill>
                  <w14:solidFill>
                    <w14:schemeClr w14:val="tx1"/>
                  </w14:solidFill>
                </w14:textFill>
              </w:rPr>
            </w:pPr>
          </w:p>
        </w:tc>
        <w:tc>
          <w:tcPr>
            <w:tcW w:w="720" w:type="dxa"/>
            <w:tcBorders>
              <w:top w:val="single" w:color="auto" w:sz="6" w:space="0"/>
              <w:left w:val="single" w:color="auto" w:sz="6" w:space="0"/>
              <w:bottom w:val="single" w:color="auto" w:sz="12" w:space="0"/>
              <w:right w:val="single" w:color="auto" w:sz="6" w:space="0"/>
            </w:tcBorders>
            <w:vAlign w:val="center"/>
          </w:tcPr>
          <w:p w14:paraId="563B74B7">
            <w:pPr>
              <w:autoSpaceDE w:val="0"/>
              <w:autoSpaceDN w:val="0"/>
              <w:adjustRightInd w:val="0"/>
              <w:spacing w:line="360" w:lineRule="auto"/>
              <w:rPr>
                <w:rFonts w:ascii="楷体" w:hAnsi="楷体" w:eastAsia="楷体" w:cs="楷体"/>
                <w:color w:val="000000" w:themeColor="text1"/>
                <w:sz w:val="24"/>
                <w14:textFill>
                  <w14:solidFill>
                    <w14:schemeClr w14:val="tx1"/>
                  </w14:solidFill>
                </w14:textFill>
              </w:rPr>
            </w:pPr>
          </w:p>
        </w:tc>
        <w:tc>
          <w:tcPr>
            <w:tcW w:w="1344" w:type="dxa"/>
            <w:tcBorders>
              <w:top w:val="single" w:color="auto" w:sz="6" w:space="0"/>
              <w:left w:val="single" w:color="auto" w:sz="6" w:space="0"/>
              <w:bottom w:val="single" w:color="auto" w:sz="12" w:space="0"/>
              <w:right w:val="single" w:color="auto" w:sz="6" w:space="0"/>
            </w:tcBorders>
            <w:vAlign w:val="center"/>
          </w:tcPr>
          <w:p w14:paraId="5F3762E7">
            <w:pPr>
              <w:autoSpaceDE w:val="0"/>
              <w:autoSpaceDN w:val="0"/>
              <w:adjustRightInd w:val="0"/>
              <w:spacing w:line="360" w:lineRule="auto"/>
              <w:rPr>
                <w:rFonts w:ascii="楷体" w:hAnsi="楷体" w:eastAsia="楷体" w:cs="楷体"/>
                <w:color w:val="000000" w:themeColor="text1"/>
                <w:sz w:val="24"/>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12" w:space="0"/>
            </w:tcBorders>
            <w:vAlign w:val="center"/>
          </w:tcPr>
          <w:p w14:paraId="5B0B9799">
            <w:pPr>
              <w:autoSpaceDE w:val="0"/>
              <w:autoSpaceDN w:val="0"/>
              <w:adjustRightInd w:val="0"/>
              <w:spacing w:line="360" w:lineRule="auto"/>
              <w:rPr>
                <w:rFonts w:ascii="楷体" w:hAnsi="楷体" w:eastAsia="楷体" w:cs="楷体"/>
                <w:color w:val="000000" w:themeColor="text1"/>
                <w:sz w:val="24"/>
                <w14:textFill>
                  <w14:solidFill>
                    <w14:schemeClr w14:val="tx1"/>
                  </w14:solidFill>
                </w14:textFill>
              </w:rPr>
            </w:pPr>
          </w:p>
        </w:tc>
      </w:tr>
    </w:tbl>
    <w:p w14:paraId="405FE22A">
      <w:pPr>
        <w:snapToGrid w:val="0"/>
        <w:spacing w:line="360" w:lineRule="auto"/>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注：涉及评分项的其它证明材料附后。</w:t>
      </w:r>
    </w:p>
    <w:p w14:paraId="7B4B6923">
      <w:pPr>
        <w:adjustRightInd w:val="0"/>
        <w:snapToGrid w:val="0"/>
        <w:spacing w:line="360" w:lineRule="auto"/>
        <w:ind w:firstLine="4752" w:firstLineChars="1980"/>
        <w:rPr>
          <w:rFonts w:ascii="楷体" w:hAnsi="楷体" w:eastAsia="楷体" w:cs="楷体"/>
          <w:snapToGrid w:val="0"/>
          <w:color w:val="000000" w:themeColor="text1"/>
          <w:kern w:val="0"/>
          <w:sz w:val="24"/>
          <w14:textFill>
            <w14:solidFill>
              <w14:schemeClr w14:val="tx1"/>
            </w14:solidFill>
          </w14:textFill>
        </w:rPr>
      </w:pPr>
    </w:p>
    <w:p w14:paraId="7F548B54">
      <w:pPr>
        <w:adjustRightInd w:val="0"/>
        <w:snapToGrid w:val="0"/>
        <w:spacing w:line="360" w:lineRule="auto"/>
        <w:ind w:firstLine="4752" w:firstLineChars="1980"/>
        <w:rPr>
          <w:rFonts w:ascii="楷体" w:hAnsi="楷体" w:eastAsia="楷体" w:cs="楷体"/>
          <w:snapToGrid w:val="0"/>
          <w:color w:val="000000" w:themeColor="text1"/>
          <w:kern w:val="0"/>
          <w:sz w:val="24"/>
          <w14:textFill>
            <w14:solidFill>
              <w14:schemeClr w14:val="tx1"/>
            </w14:solidFill>
          </w14:textFill>
        </w:rPr>
      </w:pPr>
    </w:p>
    <w:p w14:paraId="6ED4212C">
      <w:pPr>
        <w:adjustRightInd w:val="0"/>
        <w:snapToGrid w:val="0"/>
        <w:spacing w:line="360" w:lineRule="auto"/>
        <w:ind w:firstLine="4752" w:firstLineChars="198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投标人(盖公章或电子签章)</w:t>
      </w:r>
    </w:p>
    <w:p w14:paraId="0BE82897">
      <w:pPr>
        <w:snapToGrid w:val="0"/>
        <w:spacing w:line="360" w:lineRule="auto"/>
        <w:ind w:firstLine="4800" w:firstLineChars="2000"/>
        <w:rPr>
          <w:rFonts w:ascii="楷体" w:hAnsi="楷体" w:eastAsia="楷体" w:cs="楷体"/>
          <w:snapToGrid w:val="0"/>
          <w:color w:val="000000" w:themeColor="text1"/>
          <w:kern w:val="0"/>
          <w:sz w:val="24"/>
          <w14:textFill>
            <w14:solidFill>
              <w14:schemeClr w14:val="tx1"/>
            </w14:solidFill>
          </w14:textFill>
        </w:rPr>
      </w:pPr>
    </w:p>
    <w:p w14:paraId="489400B7">
      <w:pPr>
        <w:snapToGrid w:val="0"/>
        <w:spacing w:line="360" w:lineRule="auto"/>
        <w:ind w:firstLine="4800" w:firstLineChars="20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日期：</w:t>
      </w:r>
    </w:p>
    <w:p w14:paraId="1D279F32">
      <w:pPr>
        <w:adjustRightInd w:val="0"/>
        <w:snapToGrid w:val="0"/>
        <w:spacing w:line="360" w:lineRule="auto"/>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br w:type="page"/>
      </w:r>
    </w:p>
    <w:p w14:paraId="5F8D7A85">
      <w:pPr>
        <w:pStyle w:val="27"/>
        <w:snapToGrid w:val="0"/>
        <w:spacing w:line="360" w:lineRule="auto"/>
        <w:jc w:val="center"/>
        <w:rPr>
          <w:rFonts w:ascii="楷体" w:hAnsi="楷体" w:eastAsia="楷体" w:cs="楷体"/>
          <w:b/>
          <w:snapToGrid w:val="0"/>
          <w:color w:val="000000" w:themeColor="text1"/>
          <w:kern w:val="0"/>
          <w:sz w:val="28"/>
          <w:szCs w:val="28"/>
          <w14:textFill>
            <w14:solidFill>
              <w14:schemeClr w14:val="tx1"/>
            </w14:solidFill>
          </w14:textFill>
        </w:rPr>
      </w:pPr>
      <w:r>
        <w:rPr>
          <w:rFonts w:hint="eastAsia" w:ascii="楷体" w:hAnsi="楷体" w:eastAsia="楷体" w:cs="楷体"/>
          <w:b/>
          <w:snapToGrid w:val="0"/>
          <w:color w:val="000000" w:themeColor="text1"/>
          <w:kern w:val="0"/>
          <w:sz w:val="28"/>
          <w:szCs w:val="28"/>
          <w14:textFill>
            <w14:solidFill>
              <w14:schemeClr w14:val="tx1"/>
            </w14:solidFill>
          </w14:textFill>
        </w:rPr>
        <w:t>（2）项目负责人简历表</w:t>
      </w:r>
    </w:p>
    <w:tbl>
      <w:tblPr>
        <w:tblStyle w:val="46"/>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468"/>
        <w:gridCol w:w="6"/>
        <w:gridCol w:w="1389"/>
        <w:gridCol w:w="1155"/>
        <w:gridCol w:w="1050"/>
        <w:gridCol w:w="210"/>
        <w:gridCol w:w="1830"/>
        <w:gridCol w:w="262"/>
        <w:gridCol w:w="1270"/>
      </w:tblGrid>
      <w:tr w14:paraId="4E8BC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6" w:hRule="atLeast"/>
        </w:trPr>
        <w:tc>
          <w:tcPr>
            <w:tcW w:w="1474" w:type="dxa"/>
            <w:gridSpan w:val="2"/>
            <w:vAlign w:val="center"/>
          </w:tcPr>
          <w:p w14:paraId="05DCC604">
            <w:pPr>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姓   名</w:t>
            </w:r>
          </w:p>
        </w:tc>
        <w:tc>
          <w:tcPr>
            <w:tcW w:w="1389" w:type="dxa"/>
            <w:vAlign w:val="center"/>
          </w:tcPr>
          <w:p w14:paraId="377DE96D">
            <w:pPr>
              <w:snapToGrid w:val="0"/>
              <w:spacing w:line="360" w:lineRule="auto"/>
              <w:jc w:val="center"/>
              <w:rPr>
                <w:rFonts w:ascii="楷体" w:hAnsi="楷体" w:eastAsia="楷体" w:cs="楷体"/>
                <w:color w:val="000000" w:themeColor="text1"/>
                <w14:textFill>
                  <w14:solidFill>
                    <w14:schemeClr w14:val="tx1"/>
                  </w14:solidFill>
                </w14:textFill>
              </w:rPr>
            </w:pPr>
          </w:p>
        </w:tc>
        <w:tc>
          <w:tcPr>
            <w:tcW w:w="1155" w:type="dxa"/>
            <w:vAlign w:val="center"/>
          </w:tcPr>
          <w:p w14:paraId="77117FA5">
            <w:pPr>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年   龄</w:t>
            </w:r>
          </w:p>
        </w:tc>
        <w:tc>
          <w:tcPr>
            <w:tcW w:w="1260" w:type="dxa"/>
            <w:gridSpan w:val="2"/>
            <w:vAlign w:val="center"/>
          </w:tcPr>
          <w:p w14:paraId="21D4FF4B">
            <w:pPr>
              <w:snapToGrid w:val="0"/>
              <w:spacing w:line="360" w:lineRule="auto"/>
              <w:jc w:val="center"/>
              <w:rPr>
                <w:rFonts w:ascii="楷体" w:hAnsi="楷体" w:eastAsia="楷体" w:cs="楷体"/>
                <w:color w:val="000000" w:themeColor="text1"/>
                <w14:textFill>
                  <w14:solidFill>
                    <w14:schemeClr w14:val="tx1"/>
                  </w14:solidFill>
                </w14:textFill>
              </w:rPr>
            </w:pPr>
          </w:p>
        </w:tc>
        <w:tc>
          <w:tcPr>
            <w:tcW w:w="2092" w:type="dxa"/>
            <w:gridSpan w:val="2"/>
            <w:vAlign w:val="center"/>
          </w:tcPr>
          <w:p w14:paraId="0E0BBBCE">
            <w:pPr>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专   业</w:t>
            </w:r>
          </w:p>
        </w:tc>
        <w:tc>
          <w:tcPr>
            <w:tcW w:w="1270" w:type="dxa"/>
            <w:vAlign w:val="center"/>
          </w:tcPr>
          <w:p w14:paraId="35C71520">
            <w:pPr>
              <w:snapToGrid w:val="0"/>
              <w:spacing w:line="360" w:lineRule="auto"/>
              <w:jc w:val="center"/>
              <w:rPr>
                <w:rFonts w:ascii="楷体" w:hAnsi="楷体" w:eastAsia="楷体" w:cs="楷体"/>
                <w:color w:val="000000" w:themeColor="text1"/>
                <w14:textFill>
                  <w14:solidFill>
                    <w14:schemeClr w14:val="tx1"/>
                  </w14:solidFill>
                </w14:textFill>
              </w:rPr>
            </w:pPr>
          </w:p>
        </w:tc>
      </w:tr>
      <w:tr w14:paraId="49ED7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474" w:type="dxa"/>
            <w:gridSpan w:val="2"/>
            <w:vAlign w:val="center"/>
          </w:tcPr>
          <w:p w14:paraId="5479DFFC">
            <w:pPr>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职   称</w:t>
            </w:r>
          </w:p>
        </w:tc>
        <w:tc>
          <w:tcPr>
            <w:tcW w:w="1389" w:type="dxa"/>
            <w:vAlign w:val="center"/>
          </w:tcPr>
          <w:p w14:paraId="3F3A96FD">
            <w:pPr>
              <w:snapToGrid w:val="0"/>
              <w:spacing w:line="360" w:lineRule="auto"/>
              <w:jc w:val="center"/>
              <w:rPr>
                <w:rFonts w:ascii="楷体" w:hAnsi="楷体" w:eastAsia="楷体" w:cs="楷体"/>
                <w:color w:val="000000" w:themeColor="text1"/>
                <w14:textFill>
                  <w14:solidFill>
                    <w14:schemeClr w14:val="tx1"/>
                  </w14:solidFill>
                </w14:textFill>
              </w:rPr>
            </w:pPr>
          </w:p>
        </w:tc>
        <w:tc>
          <w:tcPr>
            <w:tcW w:w="1155" w:type="dxa"/>
            <w:vAlign w:val="center"/>
          </w:tcPr>
          <w:p w14:paraId="104313FB">
            <w:pPr>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职   务</w:t>
            </w:r>
          </w:p>
        </w:tc>
        <w:tc>
          <w:tcPr>
            <w:tcW w:w="1260" w:type="dxa"/>
            <w:gridSpan w:val="2"/>
            <w:vAlign w:val="center"/>
          </w:tcPr>
          <w:p w14:paraId="32DF428D">
            <w:pPr>
              <w:snapToGrid w:val="0"/>
              <w:spacing w:line="360" w:lineRule="auto"/>
              <w:jc w:val="center"/>
              <w:rPr>
                <w:rFonts w:ascii="楷体" w:hAnsi="楷体" w:eastAsia="楷体" w:cs="楷体"/>
                <w:color w:val="000000" w:themeColor="text1"/>
                <w14:textFill>
                  <w14:solidFill>
                    <w14:schemeClr w14:val="tx1"/>
                  </w14:solidFill>
                </w14:textFill>
              </w:rPr>
            </w:pPr>
          </w:p>
        </w:tc>
        <w:tc>
          <w:tcPr>
            <w:tcW w:w="2092" w:type="dxa"/>
            <w:gridSpan w:val="2"/>
            <w:vAlign w:val="center"/>
          </w:tcPr>
          <w:p w14:paraId="474DFADB">
            <w:pPr>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拟在本合同</w:t>
            </w:r>
          </w:p>
          <w:p w14:paraId="20F5C18E">
            <w:pPr>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项目担任职务</w:t>
            </w:r>
          </w:p>
        </w:tc>
        <w:tc>
          <w:tcPr>
            <w:tcW w:w="1270" w:type="dxa"/>
            <w:vAlign w:val="center"/>
          </w:tcPr>
          <w:p w14:paraId="67BFC63A">
            <w:pPr>
              <w:snapToGrid w:val="0"/>
              <w:spacing w:line="360" w:lineRule="auto"/>
              <w:jc w:val="center"/>
              <w:rPr>
                <w:rFonts w:ascii="楷体" w:hAnsi="楷体" w:eastAsia="楷体" w:cs="楷体"/>
                <w:color w:val="000000" w:themeColor="text1"/>
                <w14:textFill>
                  <w14:solidFill>
                    <w14:schemeClr w14:val="tx1"/>
                  </w14:solidFill>
                </w14:textFill>
              </w:rPr>
            </w:pPr>
          </w:p>
        </w:tc>
      </w:tr>
      <w:tr w14:paraId="141D1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4" w:hRule="atLeast"/>
        </w:trPr>
        <w:tc>
          <w:tcPr>
            <w:tcW w:w="1474" w:type="dxa"/>
            <w:gridSpan w:val="2"/>
            <w:vAlign w:val="center"/>
          </w:tcPr>
          <w:p w14:paraId="4DB70C11">
            <w:pPr>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毕业学校</w:t>
            </w:r>
          </w:p>
        </w:tc>
        <w:tc>
          <w:tcPr>
            <w:tcW w:w="7166" w:type="dxa"/>
            <w:gridSpan w:val="7"/>
            <w:vAlign w:val="center"/>
          </w:tcPr>
          <w:p w14:paraId="3B57C3A0">
            <w:pPr>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u w:val="single"/>
                <w14:textFill>
                  <w14:solidFill>
                    <w14:schemeClr w14:val="tx1"/>
                  </w14:solidFill>
                </w14:textFill>
              </w:rPr>
              <w:t xml:space="preserve">        </w:t>
            </w:r>
            <w:r>
              <w:rPr>
                <w:rFonts w:hint="eastAsia" w:ascii="楷体" w:hAnsi="楷体" w:eastAsia="楷体" w:cs="楷体"/>
                <w:color w:val="000000" w:themeColor="text1"/>
                <w14:textFill>
                  <w14:solidFill>
                    <w14:schemeClr w14:val="tx1"/>
                  </w14:solidFill>
                </w14:textFill>
              </w:rPr>
              <w:t>年</w:t>
            </w:r>
            <w:r>
              <w:rPr>
                <w:rFonts w:hint="eastAsia" w:ascii="楷体" w:hAnsi="楷体" w:eastAsia="楷体" w:cs="楷体"/>
                <w:color w:val="000000" w:themeColor="text1"/>
                <w:u w:val="single"/>
                <w14:textFill>
                  <w14:solidFill>
                    <w14:schemeClr w14:val="tx1"/>
                  </w14:solidFill>
                </w14:textFill>
              </w:rPr>
              <w:t xml:space="preserve">     </w:t>
            </w:r>
            <w:r>
              <w:rPr>
                <w:rFonts w:hint="eastAsia" w:ascii="楷体" w:hAnsi="楷体" w:eastAsia="楷体" w:cs="楷体"/>
                <w:color w:val="000000" w:themeColor="text1"/>
                <w14:textFill>
                  <w14:solidFill>
                    <w14:schemeClr w14:val="tx1"/>
                  </w14:solidFill>
                </w14:textFill>
              </w:rPr>
              <w:t>月毕业于</w:t>
            </w:r>
            <w:r>
              <w:rPr>
                <w:rFonts w:hint="eastAsia" w:ascii="楷体" w:hAnsi="楷体" w:eastAsia="楷体" w:cs="楷体"/>
                <w:color w:val="000000" w:themeColor="text1"/>
                <w:u w:val="single"/>
                <w14:textFill>
                  <w14:solidFill>
                    <w14:schemeClr w14:val="tx1"/>
                  </w14:solidFill>
                </w14:textFill>
              </w:rPr>
              <w:t xml:space="preserve">      </w:t>
            </w:r>
            <w:r>
              <w:rPr>
                <w:rFonts w:hint="eastAsia" w:ascii="楷体" w:hAnsi="楷体" w:eastAsia="楷体" w:cs="楷体"/>
                <w:color w:val="000000" w:themeColor="text1"/>
                <w14:textFill>
                  <w14:solidFill>
                    <w14:schemeClr w14:val="tx1"/>
                  </w14:solidFill>
                </w14:textFill>
              </w:rPr>
              <w:t>学校</w:t>
            </w:r>
            <w:r>
              <w:rPr>
                <w:rFonts w:hint="eastAsia" w:ascii="楷体" w:hAnsi="楷体" w:eastAsia="楷体" w:cs="楷体"/>
                <w:color w:val="000000" w:themeColor="text1"/>
                <w:u w:val="single"/>
                <w14:textFill>
                  <w14:solidFill>
                    <w14:schemeClr w14:val="tx1"/>
                  </w14:solidFill>
                </w14:textFill>
              </w:rPr>
              <w:t xml:space="preserve">    </w:t>
            </w:r>
            <w:r>
              <w:rPr>
                <w:rFonts w:hint="eastAsia" w:ascii="楷体" w:hAnsi="楷体" w:eastAsia="楷体" w:cs="楷体"/>
                <w:color w:val="000000" w:themeColor="text1"/>
                <w14:textFill>
                  <w14:solidFill>
                    <w14:schemeClr w14:val="tx1"/>
                  </w14:solidFill>
                </w14:textFill>
              </w:rPr>
              <w:t>系(科)，学制</w:t>
            </w:r>
            <w:r>
              <w:rPr>
                <w:rFonts w:hint="eastAsia" w:ascii="楷体" w:hAnsi="楷体" w:eastAsia="楷体" w:cs="楷体"/>
                <w:color w:val="000000" w:themeColor="text1"/>
                <w:u w:val="single"/>
                <w14:textFill>
                  <w14:solidFill>
                    <w14:schemeClr w14:val="tx1"/>
                  </w14:solidFill>
                </w14:textFill>
              </w:rPr>
              <w:t xml:space="preserve">    </w:t>
            </w:r>
            <w:r>
              <w:rPr>
                <w:rFonts w:hint="eastAsia" w:ascii="楷体" w:hAnsi="楷体" w:eastAsia="楷体" w:cs="楷体"/>
                <w:color w:val="000000" w:themeColor="text1"/>
                <w14:textFill>
                  <w14:solidFill>
                    <w14:schemeClr w14:val="tx1"/>
                  </w14:solidFill>
                </w14:textFill>
              </w:rPr>
              <w:t>年</w:t>
            </w:r>
          </w:p>
        </w:tc>
      </w:tr>
      <w:tr w14:paraId="5A48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0" w:hRule="atLeast"/>
        </w:trPr>
        <w:tc>
          <w:tcPr>
            <w:tcW w:w="8640" w:type="dxa"/>
            <w:gridSpan w:val="9"/>
            <w:vAlign w:val="center"/>
          </w:tcPr>
          <w:p w14:paraId="0CC03605">
            <w:pPr>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经                        历</w:t>
            </w:r>
          </w:p>
        </w:tc>
      </w:tr>
      <w:tr w14:paraId="6B5F2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1" w:hRule="atLeast"/>
        </w:trPr>
        <w:tc>
          <w:tcPr>
            <w:tcW w:w="1468" w:type="dxa"/>
            <w:vAlign w:val="center"/>
          </w:tcPr>
          <w:p w14:paraId="67CE2883">
            <w:pPr>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年   月</w:t>
            </w:r>
          </w:p>
        </w:tc>
        <w:tc>
          <w:tcPr>
            <w:tcW w:w="3600" w:type="dxa"/>
            <w:gridSpan w:val="4"/>
            <w:vAlign w:val="center"/>
          </w:tcPr>
          <w:p w14:paraId="72DFB9EB">
            <w:pPr>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工作经历</w:t>
            </w:r>
          </w:p>
        </w:tc>
        <w:tc>
          <w:tcPr>
            <w:tcW w:w="2040" w:type="dxa"/>
            <w:gridSpan w:val="2"/>
            <w:vAlign w:val="center"/>
          </w:tcPr>
          <w:p w14:paraId="4A2F1217">
            <w:pPr>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担 任 何 职</w:t>
            </w:r>
          </w:p>
        </w:tc>
        <w:tc>
          <w:tcPr>
            <w:tcW w:w="1532" w:type="dxa"/>
            <w:gridSpan w:val="2"/>
            <w:vAlign w:val="center"/>
          </w:tcPr>
          <w:p w14:paraId="2546E320">
            <w:pPr>
              <w:snapToGrid w:val="0"/>
              <w:spacing w:line="360" w:lineRule="auto"/>
              <w:jc w:val="center"/>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备   注</w:t>
            </w:r>
          </w:p>
        </w:tc>
      </w:tr>
      <w:tr w14:paraId="132C1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38" w:hRule="atLeast"/>
        </w:trPr>
        <w:tc>
          <w:tcPr>
            <w:tcW w:w="1468" w:type="dxa"/>
            <w:vAlign w:val="center"/>
          </w:tcPr>
          <w:p w14:paraId="5F324C60">
            <w:pPr>
              <w:snapToGrid w:val="0"/>
              <w:spacing w:line="360" w:lineRule="auto"/>
              <w:jc w:val="center"/>
              <w:rPr>
                <w:rFonts w:ascii="楷体" w:hAnsi="楷体" w:eastAsia="楷体" w:cs="楷体"/>
                <w:color w:val="000000" w:themeColor="text1"/>
                <w14:textFill>
                  <w14:solidFill>
                    <w14:schemeClr w14:val="tx1"/>
                  </w14:solidFill>
                </w14:textFill>
              </w:rPr>
            </w:pPr>
          </w:p>
          <w:p w14:paraId="2553EA04">
            <w:pPr>
              <w:snapToGrid w:val="0"/>
              <w:spacing w:line="360" w:lineRule="auto"/>
              <w:jc w:val="center"/>
              <w:rPr>
                <w:rFonts w:ascii="楷体" w:hAnsi="楷体" w:eastAsia="楷体" w:cs="楷体"/>
                <w:color w:val="000000" w:themeColor="text1"/>
                <w14:textFill>
                  <w14:solidFill>
                    <w14:schemeClr w14:val="tx1"/>
                  </w14:solidFill>
                </w14:textFill>
              </w:rPr>
            </w:pPr>
          </w:p>
          <w:p w14:paraId="573D808A">
            <w:pPr>
              <w:snapToGrid w:val="0"/>
              <w:spacing w:line="360" w:lineRule="auto"/>
              <w:jc w:val="center"/>
              <w:rPr>
                <w:rFonts w:ascii="楷体" w:hAnsi="楷体" w:eastAsia="楷体" w:cs="楷体"/>
                <w:color w:val="000000" w:themeColor="text1"/>
                <w14:textFill>
                  <w14:solidFill>
                    <w14:schemeClr w14:val="tx1"/>
                  </w14:solidFill>
                </w14:textFill>
              </w:rPr>
            </w:pPr>
          </w:p>
          <w:p w14:paraId="3C0D03A0">
            <w:pPr>
              <w:snapToGrid w:val="0"/>
              <w:spacing w:line="360" w:lineRule="auto"/>
              <w:jc w:val="center"/>
              <w:rPr>
                <w:rFonts w:ascii="楷体" w:hAnsi="楷体" w:eastAsia="楷体" w:cs="楷体"/>
                <w:color w:val="000000" w:themeColor="text1"/>
                <w14:textFill>
                  <w14:solidFill>
                    <w14:schemeClr w14:val="tx1"/>
                  </w14:solidFill>
                </w14:textFill>
              </w:rPr>
            </w:pPr>
          </w:p>
          <w:p w14:paraId="6588F03D">
            <w:pPr>
              <w:snapToGrid w:val="0"/>
              <w:spacing w:line="360" w:lineRule="auto"/>
              <w:jc w:val="center"/>
              <w:rPr>
                <w:rFonts w:ascii="楷体" w:hAnsi="楷体" w:eastAsia="楷体" w:cs="楷体"/>
                <w:color w:val="000000" w:themeColor="text1"/>
                <w14:textFill>
                  <w14:solidFill>
                    <w14:schemeClr w14:val="tx1"/>
                  </w14:solidFill>
                </w14:textFill>
              </w:rPr>
            </w:pPr>
          </w:p>
          <w:p w14:paraId="2698CBD8">
            <w:pPr>
              <w:snapToGrid w:val="0"/>
              <w:spacing w:line="360" w:lineRule="auto"/>
              <w:jc w:val="center"/>
              <w:rPr>
                <w:rFonts w:ascii="楷体" w:hAnsi="楷体" w:eastAsia="楷体" w:cs="楷体"/>
                <w:color w:val="000000" w:themeColor="text1"/>
                <w14:textFill>
                  <w14:solidFill>
                    <w14:schemeClr w14:val="tx1"/>
                  </w14:solidFill>
                </w14:textFill>
              </w:rPr>
            </w:pPr>
          </w:p>
          <w:p w14:paraId="30843E9B">
            <w:pPr>
              <w:snapToGrid w:val="0"/>
              <w:spacing w:line="360" w:lineRule="auto"/>
              <w:jc w:val="center"/>
              <w:rPr>
                <w:rFonts w:ascii="楷体" w:hAnsi="楷体" w:eastAsia="楷体" w:cs="楷体"/>
                <w:color w:val="000000" w:themeColor="text1"/>
                <w14:textFill>
                  <w14:solidFill>
                    <w14:schemeClr w14:val="tx1"/>
                  </w14:solidFill>
                </w14:textFill>
              </w:rPr>
            </w:pPr>
          </w:p>
          <w:p w14:paraId="5CFE8D38">
            <w:pPr>
              <w:snapToGrid w:val="0"/>
              <w:spacing w:line="360" w:lineRule="auto"/>
              <w:jc w:val="center"/>
              <w:rPr>
                <w:rFonts w:ascii="楷体" w:hAnsi="楷体" w:eastAsia="楷体" w:cs="楷体"/>
                <w:color w:val="000000" w:themeColor="text1"/>
                <w14:textFill>
                  <w14:solidFill>
                    <w14:schemeClr w14:val="tx1"/>
                  </w14:solidFill>
                </w14:textFill>
              </w:rPr>
            </w:pPr>
          </w:p>
        </w:tc>
        <w:tc>
          <w:tcPr>
            <w:tcW w:w="3600" w:type="dxa"/>
            <w:gridSpan w:val="4"/>
            <w:vAlign w:val="center"/>
          </w:tcPr>
          <w:p w14:paraId="7704C0F1">
            <w:pPr>
              <w:snapToGrid w:val="0"/>
              <w:spacing w:line="360" w:lineRule="auto"/>
              <w:jc w:val="center"/>
              <w:rPr>
                <w:rFonts w:ascii="楷体" w:hAnsi="楷体" w:eastAsia="楷体" w:cs="楷体"/>
                <w:color w:val="000000" w:themeColor="text1"/>
                <w14:textFill>
                  <w14:solidFill>
                    <w14:schemeClr w14:val="tx1"/>
                  </w14:solidFill>
                </w14:textFill>
              </w:rPr>
            </w:pPr>
          </w:p>
        </w:tc>
        <w:tc>
          <w:tcPr>
            <w:tcW w:w="2040" w:type="dxa"/>
            <w:gridSpan w:val="2"/>
            <w:vAlign w:val="center"/>
          </w:tcPr>
          <w:p w14:paraId="333B657F">
            <w:pPr>
              <w:snapToGrid w:val="0"/>
              <w:spacing w:line="360" w:lineRule="auto"/>
              <w:jc w:val="center"/>
              <w:rPr>
                <w:rFonts w:ascii="楷体" w:hAnsi="楷体" w:eastAsia="楷体" w:cs="楷体"/>
                <w:color w:val="000000" w:themeColor="text1"/>
                <w14:textFill>
                  <w14:solidFill>
                    <w14:schemeClr w14:val="tx1"/>
                  </w14:solidFill>
                </w14:textFill>
              </w:rPr>
            </w:pPr>
          </w:p>
        </w:tc>
        <w:tc>
          <w:tcPr>
            <w:tcW w:w="1532" w:type="dxa"/>
            <w:gridSpan w:val="2"/>
            <w:vAlign w:val="center"/>
          </w:tcPr>
          <w:p w14:paraId="15503A95">
            <w:pPr>
              <w:snapToGrid w:val="0"/>
              <w:spacing w:line="360" w:lineRule="auto"/>
              <w:jc w:val="center"/>
              <w:rPr>
                <w:rFonts w:ascii="楷体" w:hAnsi="楷体" w:eastAsia="楷体" w:cs="楷体"/>
                <w:color w:val="000000" w:themeColor="text1"/>
                <w14:textFill>
                  <w14:solidFill>
                    <w14:schemeClr w14:val="tx1"/>
                  </w14:solidFill>
                </w14:textFill>
              </w:rPr>
            </w:pPr>
          </w:p>
          <w:p w14:paraId="493893E2">
            <w:pPr>
              <w:snapToGrid w:val="0"/>
              <w:spacing w:line="360" w:lineRule="auto"/>
              <w:jc w:val="center"/>
              <w:rPr>
                <w:rFonts w:ascii="楷体" w:hAnsi="楷体" w:eastAsia="楷体" w:cs="楷体"/>
                <w:color w:val="000000" w:themeColor="text1"/>
                <w14:textFill>
                  <w14:solidFill>
                    <w14:schemeClr w14:val="tx1"/>
                  </w14:solidFill>
                </w14:textFill>
              </w:rPr>
            </w:pPr>
          </w:p>
          <w:p w14:paraId="5DC31D96">
            <w:pPr>
              <w:snapToGrid w:val="0"/>
              <w:spacing w:line="360" w:lineRule="auto"/>
              <w:jc w:val="center"/>
              <w:rPr>
                <w:rFonts w:ascii="楷体" w:hAnsi="楷体" w:eastAsia="楷体" w:cs="楷体"/>
                <w:color w:val="000000" w:themeColor="text1"/>
                <w14:textFill>
                  <w14:solidFill>
                    <w14:schemeClr w14:val="tx1"/>
                  </w14:solidFill>
                </w14:textFill>
              </w:rPr>
            </w:pPr>
          </w:p>
          <w:p w14:paraId="33D7F791">
            <w:pPr>
              <w:snapToGrid w:val="0"/>
              <w:spacing w:line="360" w:lineRule="auto"/>
              <w:jc w:val="center"/>
              <w:rPr>
                <w:rFonts w:ascii="楷体" w:hAnsi="楷体" w:eastAsia="楷体" w:cs="楷体"/>
                <w:color w:val="000000" w:themeColor="text1"/>
                <w14:textFill>
                  <w14:solidFill>
                    <w14:schemeClr w14:val="tx1"/>
                  </w14:solidFill>
                </w14:textFill>
              </w:rPr>
            </w:pPr>
          </w:p>
          <w:p w14:paraId="6FC61550">
            <w:pPr>
              <w:snapToGrid w:val="0"/>
              <w:spacing w:line="360" w:lineRule="auto"/>
              <w:jc w:val="center"/>
              <w:rPr>
                <w:rFonts w:ascii="楷体" w:hAnsi="楷体" w:eastAsia="楷体" w:cs="楷体"/>
                <w:color w:val="000000" w:themeColor="text1"/>
                <w14:textFill>
                  <w14:solidFill>
                    <w14:schemeClr w14:val="tx1"/>
                  </w14:solidFill>
                </w14:textFill>
              </w:rPr>
            </w:pPr>
          </w:p>
        </w:tc>
      </w:tr>
    </w:tbl>
    <w:p w14:paraId="41A7D80D">
      <w:pPr>
        <w:snapToGrid w:val="0"/>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注：与评分有关的证明材料附后。</w:t>
      </w:r>
    </w:p>
    <w:p w14:paraId="40E658C3">
      <w:pPr>
        <w:snapToGrid w:val="0"/>
        <w:spacing w:line="360" w:lineRule="auto"/>
        <w:rPr>
          <w:rFonts w:ascii="楷体" w:hAnsi="楷体" w:eastAsia="楷体" w:cs="楷体"/>
          <w:color w:val="000000" w:themeColor="text1"/>
          <w:sz w:val="24"/>
          <w14:textFill>
            <w14:solidFill>
              <w14:schemeClr w14:val="tx1"/>
            </w14:solidFill>
          </w14:textFill>
        </w:rPr>
      </w:pPr>
    </w:p>
    <w:p w14:paraId="5B3E75C8">
      <w:pPr>
        <w:snapToGrid w:val="0"/>
        <w:spacing w:line="360" w:lineRule="auto"/>
        <w:rPr>
          <w:rFonts w:ascii="楷体" w:hAnsi="楷体" w:eastAsia="楷体" w:cs="楷体"/>
          <w:color w:val="000000" w:themeColor="text1"/>
          <w:sz w:val="24"/>
          <w14:textFill>
            <w14:solidFill>
              <w14:schemeClr w14:val="tx1"/>
            </w14:solidFill>
          </w14:textFill>
        </w:rPr>
      </w:pPr>
    </w:p>
    <w:p w14:paraId="3A47A03F">
      <w:pPr>
        <w:snapToGrid w:val="0"/>
        <w:spacing w:line="360" w:lineRule="auto"/>
        <w:rPr>
          <w:rFonts w:ascii="楷体" w:hAnsi="楷体" w:eastAsia="楷体" w:cs="楷体"/>
          <w:b/>
          <w:snapToGrid w:val="0"/>
          <w:color w:val="000000" w:themeColor="text1"/>
          <w:kern w:val="0"/>
          <w:sz w:val="24"/>
          <w14:textFill>
            <w14:solidFill>
              <w14:schemeClr w14:val="tx1"/>
            </w14:solidFill>
          </w14:textFill>
        </w:rPr>
      </w:pPr>
    </w:p>
    <w:p w14:paraId="11B0B915">
      <w:pPr>
        <w:adjustRightInd w:val="0"/>
        <w:snapToGrid w:val="0"/>
        <w:spacing w:line="360" w:lineRule="auto"/>
        <w:ind w:firstLine="4752" w:firstLineChars="198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投标人(盖公章或电子签章)</w:t>
      </w:r>
    </w:p>
    <w:p w14:paraId="12932F32">
      <w:pPr>
        <w:adjustRightInd w:val="0"/>
        <w:snapToGrid w:val="0"/>
        <w:spacing w:line="360" w:lineRule="auto"/>
        <w:ind w:firstLine="4752" w:firstLineChars="1980"/>
        <w:rPr>
          <w:rFonts w:ascii="楷体" w:hAnsi="楷体" w:eastAsia="楷体" w:cs="楷体"/>
          <w:snapToGrid w:val="0"/>
          <w:color w:val="000000" w:themeColor="text1"/>
          <w:kern w:val="0"/>
          <w:sz w:val="24"/>
          <w14:textFill>
            <w14:solidFill>
              <w14:schemeClr w14:val="tx1"/>
            </w14:solidFill>
          </w14:textFill>
        </w:rPr>
      </w:pPr>
    </w:p>
    <w:p w14:paraId="2AE0E2D1">
      <w:pPr>
        <w:snapToGrid w:val="0"/>
        <w:spacing w:line="360" w:lineRule="auto"/>
        <w:ind w:firstLine="4800" w:firstLineChars="20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日期：</w:t>
      </w:r>
    </w:p>
    <w:p w14:paraId="29EDFE94">
      <w:pPr>
        <w:spacing w:line="360" w:lineRule="auto"/>
        <w:outlineLvl w:val="1"/>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snapToGrid w:val="0"/>
          <w:color w:val="000000" w:themeColor="text1"/>
          <w:kern w:val="0"/>
          <w:szCs w:val="21"/>
          <w14:textFill>
            <w14:solidFill>
              <w14:schemeClr w14:val="tx1"/>
            </w14:solidFill>
          </w14:textFill>
        </w:rPr>
        <w:br w:type="page"/>
      </w:r>
      <w:bookmarkStart w:id="477" w:name="_Toc24186"/>
      <w:bookmarkStart w:id="478" w:name="_Toc28558"/>
      <w:bookmarkStart w:id="479" w:name="_Toc4524"/>
      <w:bookmarkStart w:id="480" w:name="_Toc21969"/>
      <w:bookmarkStart w:id="481" w:name="_Toc26096"/>
      <w:bookmarkStart w:id="482" w:name="_Toc225868338"/>
      <w:bookmarkStart w:id="483" w:name="_Toc204"/>
      <w:bookmarkStart w:id="484" w:name="_Toc31556"/>
      <w:bookmarkStart w:id="485" w:name="_Toc11436"/>
      <w:bookmarkStart w:id="486" w:name="_Toc1591"/>
      <w:bookmarkStart w:id="487" w:name="_Toc6777"/>
      <w:bookmarkStart w:id="488" w:name="_Toc25468"/>
      <w:bookmarkStart w:id="489" w:name="_Toc225867136"/>
      <w:bookmarkStart w:id="490" w:name="_Toc15236"/>
      <w:bookmarkStart w:id="491" w:name="_Toc2880"/>
      <w:bookmarkStart w:id="492" w:name="_Toc1445"/>
      <w:bookmarkStart w:id="493" w:name="_Toc16927"/>
      <w:r>
        <w:rPr>
          <w:rFonts w:hint="eastAsia" w:ascii="楷体" w:hAnsi="楷体" w:eastAsia="楷体" w:cs="楷体"/>
          <w:b/>
          <w:bCs/>
          <w:color w:val="000000" w:themeColor="text1"/>
          <w:sz w:val="24"/>
          <w14:textFill>
            <w14:solidFill>
              <w14:schemeClr w14:val="tx1"/>
            </w14:solidFill>
          </w14:textFill>
        </w:rPr>
        <w:t>四、报价响应文件部分格式</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6B778340">
      <w:pPr>
        <w:autoSpaceDE w:val="0"/>
        <w:autoSpaceDN w:val="0"/>
        <w:adjustRightInd w:val="0"/>
        <w:spacing w:line="360" w:lineRule="auto"/>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4.1开标一览表</w:t>
      </w:r>
    </w:p>
    <w:p w14:paraId="6324B357">
      <w:pPr>
        <w:pStyle w:val="22"/>
        <w:ind w:firstLine="0"/>
        <w:jc w:val="center"/>
        <w:rPr>
          <w:rFonts w:ascii="楷体" w:hAnsi="楷体" w:eastAsia="楷体" w:cs="楷体"/>
          <w:b/>
          <w:bCs/>
          <w:snapToGrid w:val="0"/>
          <w:color w:val="000000" w:themeColor="text1"/>
          <w:kern w:val="0"/>
          <w:szCs w:val="24"/>
          <w14:textFill>
            <w14:solidFill>
              <w14:schemeClr w14:val="tx1"/>
            </w14:solidFill>
          </w14:textFill>
        </w:rPr>
      </w:pPr>
      <w:r>
        <w:rPr>
          <w:rFonts w:hint="eastAsia" w:ascii="楷体" w:hAnsi="楷体" w:eastAsia="楷体" w:cs="楷体"/>
          <w:b/>
          <w:bCs/>
          <w:snapToGrid w:val="0"/>
          <w:color w:val="000000" w:themeColor="text1"/>
          <w:kern w:val="0"/>
          <w:szCs w:val="24"/>
          <w14:textFill>
            <w14:solidFill>
              <w14:schemeClr w14:val="tx1"/>
            </w14:solidFill>
          </w14:textFill>
        </w:rPr>
        <w:t>开标一览表（分标项提供）</w:t>
      </w:r>
    </w:p>
    <w:p w14:paraId="5BBF5643">
      <w:pPr>
        <w:adjustRightInd w:val="0"/>
        <w:spacing w:line="360" w:lineRule="auto"/>
        <w:rPr>
          <w:rFonts w:ascii="楷体" w:hAnsi="楷体" w:eastAsia="楷体" w:cs="楷体"/>
          <w:color w:val="000000" w:themeColor="text1"/>
          <w:sz w:val="24"/>
          <w14:textFill>
            <w14:solidFill>
              <w14:schemeClr w14:val="tx1"/>
            </w14:solidFill>
          </w14:textFill>
        </w:rPr>
      </w:pPr>
    </w:p>
    <w:p w14:paraId="62A8EFDF">
      <w:pPr>
        <w:adjustRightInd w:val="0"/>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项目名称：                                 采购编号：330327265050010000029-CNDL2026058 </w:t>
      </w:r>
    </w:p>
    <w:tbl>
      <w:tblPr>
        <w:tblStyle w:val="46"/>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9"/>
        <w:gridCol w:w="2889"/>
        <w:gridCol w:w="2237"/>
        <w:gridCol w:w="1524"/>
      </w:tblGrid>
      <w:tr w14:paraId="1BB0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889" w:type="dxa"/>
            <w:vMerge w:val="restart"/>
            <w:vAlign w:val="center"/>
          </w:tcPr>
          <w:p w14:paraId="686B44A9">
            <w:pPr>
              <w:adjustRightInd w:val="0"/>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2026年灵溪镇小额工程监理服务-（标项*）</w:t>
            </w:r>
          </w:p>
        </w:tc>
        <w:tc>
          <w:tcPr>
            <w:tcW w:w="2889" w:type="dxa"/>
            <w:vMerge w:val="restart"/>
            <w:vAlign w:val="center"/>
          </w:tcPr>
          <w:p w14:paraId="5FE6AB17">
            <w:pPr>
              <w:adjustRightInd w:val="0"/>
              <w:spacing w:line="360" w:lineRule="auto"/>
              <w:jc w:val="center"/>
              <w:rPr>
                <w:rFonts w:ascii="楷体" w:hAnsi="楷体" w:eastAsia="楷体" w:cs="楷体"/>
                <w:color w:val="000000" w:themeColor="text1"/>
                <w:sz w:val="24"/>
                <w:highlight w:val="yellow"/>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监理费投标费率</w:t>
            </w:r>
          </w:p>
        </w:tc>
        <w:tc>
          <w:tcPr>
            <w:tcW w:w="2237" w:type="dxa"/>
            <w:vAlign w:val="center"/>
          </w:tcPr>
          <w:p w14:paraId="78D3C0F7">
            <w:pPr>
              <w:spacing w:line="360" w:lineRule="auto"/>
              <w:jc w:val="center"/>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50万以下</w:t>
            </w:r>
          </w:p>
        </w:tc>
        <w:tc>
          <w:tcPr>
            <w:tcW w:w="1524" w:type="dxa"/>
            <w:vAlign w:val="center"/>
          </w:tcPr>
          <w:p w14:paraId="233C8551">
            <w:pPr>
              <w:adjustRightInd w:val="0"/>
              <w:spacing w:line="360" w:lineRule="auto"/>
              <w:jc w:val="center"/>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w:t>
            </w:r>
            <w:r>
              <w:rPr>
                <w:rFonts w:hint="eastAsia" w:ascii="楷体" w:hAnsi="楷体" w:eastAsia="楷体" w:cs="楷体"/>
                <w:color w:val="000000" w:themeColor="text1"/>
                <w:sz w:val="24"/>
                <w:u w:val="single"/>
                <w14:textFill>
                  <w14:solidFill>
                    <w14:schemeClr w14:val="tx1"/>
                  </w14:solidFill>
                </w14:textFill>
              </w:rPr>
              <w:t xml:space="preserve">       %</w:t>
            </w:r>
          </w:p>
        </w:tc>
      </w:tr>
      <w:tr w14:paraId="0E0D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889" w:type="dxa"/>
            <w:vMerge w:val="continue"/>
            <w:vAlign w:val="center"/>
          </w:tcPr>
          <w:p w14:paraId="58078BC7">
            <w:pPr>
              <w:adjustRightInd w:val="0"/>
              <w:spacing w:line="360" w:lineRule="auto"/>
              <w:ind w:firstLine="1440" w:firstLineChars="600"/>
              <w:rPr>
                <w:rFonts w:ascii="楷体" w:hAnsi="楷体" w:eastAsia="楷体" w:cs="楷体"/>
                <w:color w:val="000000" w:themeColor="text1"/>
                <w:sz w:val="24"/>
                <w14:textFill>
                  <w14:solidFill>
                    <w14:schemeClr w14:val="tx1"/>
                  </w14:solidFill>
                </w14:textFill>
              </w:rPr>
            </w:pPr>
          </w:p>
        </w:tc>
        <w:tc>
          <w:tcPr>
            <w:tcW w:w="2889" w:type="dxa"/>
            <w:vMerge w:val="continue"/>
            <w:vAlign w:val="center"/>
          </w:tcPr>
          <w:p w14:paraId="6CE61BFB">
            <w:pPr>
              <w:adjustRightInd w:val="0"/>
              <w:spacing w:line="360" w:lineRule="auto"/>
              <w:ind w:firstLine="1440" w:firstLineChars="600"/>
              <w:rPr>
                <w:rFonts w:ascii="楷体" w:hAnsi="楷体" w:eastAsia="楷体" w:cs="楷体"/>
                <w:color w:val="000000" w:themeColor="text1"/>
                <w:sz w:val="24"/>
                <w14:textFill>
                  <w14:solidFill>
                    <w14:schemeClr w14:val="tx1"/>
                  </w14:solidFill>
                </w14:textFill>
              </w:rPr>
            </w:pPr>
          </w:p>
        </w:tc>
        <w:tc>
          <w:tcPr>
            <w:tcW w:w="2237" w:type="dxa"/>
            <w:vAlign w:val="center"/>
          </w:tcPr>
          <w:p w14:paraId="08C5AE55">
            <w:pPr>
              <w:spacing w:line="360" w:lineRule="auto"/>
              <w:jc w:val="center"/>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50万-200万以下</w:t>
            </w:r>
          </w:p>
        </w:tc>
        <w:tc>
          <w:tcPr>
            <w:tcW w:w="1524" w:type="dxa"/>
            <w:vAlign w:val="center"/>
          </w:tcPr>
          <w:p w14:paraId="41214AC6">
            <w:pPr>
              <w:adjustRightInd w:val="0"/>
              <w:spacing w:line="360" w:lineRule="auto"/>
              <w:jc w:val="center"/>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w:t>
            </w:r>
            <w:r>
              <w:rPr>
                <w:rFonts w:hint="eastAsia" w:ascii="楷体" w:hAnsi="楷体" w:eastAsia="楷体" w:cs="楷体"/>
                <w:color w:val="000000" w:themeColor="text1"/>
                <w:sz w:val="24"/>
                <w:u w:val="single"/>
                <w14:textFill>
                  <w14:solidFill>
                    <w14:schemeClr w14:val="tx1"/>
                  </w14:solidFill>
                </w14:textFill>
              </w:rPr>
              <w:t xml:space="preserve">       %</w:t>
            </w:r>
          </w:p>
        </w:tc>
      </w:tr>
      <w:tr w14:paraId="62B6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889" w:type="dxa"/>
            <w:vMerge w:val="continue"/>
            <w:vAlign w:val="center"/>
          </w:tcPr>
          <w:p w14:paraId="6468AEDF">
            <w:pPr>
              <w:adjustRightInd w:val="0"/>
              <w:spacing w:line="360" w:lineRule="auto"/>
              <w:ind w:firstLine="1440" w:firstLineChars="600"/>
              <w:rPr>
                <w:rFonts w:ascii="楷体" w:hAnsi="楷体" w:eastAsia="楷体" w:cs="楷体"/>
                <w:color w:val="000000" w:themeColor="text1"/>
                <w:sz w:val="24"/>
                <w14:textFill>
                  <w14:solidFill>
                    <w14:schemeClr w14:val="tx1"/>
                  </w14:solidFill>
                </w14:textFill>
              </w:rPr>
            </w:pPr>
          </w:p>
        </w:tc>
        <w:tc>
          <w:tcPr>
            <w:tcW w:w="2889" w:type="dxa"/>
            <w:vMerge w:val="continue"/>
            <w:vAlign w:val="center"/>
          </w:tcPr>
          <w:p w14:paraId="3C9F5024">
            <w:pPr>
              <w:adjustRightInd w:val="0"/>
              <w:spacing w:line="360" w:lineRule="auto"/>
              <w:ind w:firstLine="1440" w:firstLineChars="600"/>
              <w:rPr>
                <w:rFonts w:ascii="楷体" w:hAnsi="楷体" w:eastAsia="楷体" w:cs="楷体"/>
                <w:color w:val="000000" w:themeColor="text1"/>
                <w:sz w:val="24"/>
                <w14:textFill>
                  <w14:solidFill>
                    <w14:schemeClr w14:val="tx1"/>
                  </w14:solidFill>
                </w14:textFill>
              </w:rPr>
            </w:pPr>
          </w:p>
        </w:tc>
        <w:tc>
          <w:tcPr>
            <w:tcW w:w="2237" w:type="dxa"/>
            <w:vAlign w:val="center"/>
          </w:tcPr>
          <w:p w14:paraId="40896D9C">
            <w:pPr>
              <w:spacing w:line="360" w:lineRule="auto"/>
              <w:jc w:val="center"/>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200万以上</w:t>
            </w:r>
          </w:p>
        </w:tc>
        <w:tc>
          <w:tcPr>
            <w:tcW w:w="1524" w:type="dxa"/>
            <w:vAlign w:val="center"/>
          </w:tcPr>
          <w:p w14:paraId="24A05619">
            <w:pPr>
              <w:adjustRightInd w:val="0"/>
              <w:spacing w:line="360" w:lineRule="auto"/>
              <w:jc w:val="center"/>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w:t>
            </w:r>
            <w:r>
              <w:rPr>
                <w:rFonts w:hint="eastAsia" w:ascii="楷体" w:hAnsi="楷体" w:eastAsia="楷体" w:cs="楷体"/>
                <w:color w:val="000000" w:themeColor="text1"/>
                <w:sz w:val="24"/>
                <w:u w:val="single"/>
                <w14:textFill>
                  <w14:solidFill>
                    <w14:schemeClr w14:val="tx1"/>
                  </w14:solidFill>
                </w14:textFill>
              </w:rPr>
              <w:t xml:space="preserve">       %</w:t>
            </w:r>
          </w:p>
        </w:tc>
      </w:tr>
    </w:tbl>
    <w:p w14:paraId="1CDD1F61">
      <w:pPr>
        <w:adjustRightInd w:val="0"/>
        <w:spacing w:line="360" w:lineRule="auto"/>
        <w:jc w:val="left"/>
        <w:rPr>
          <w:rFonts w:ascii="楷体" w:hAnsi="楷体" w:eastAsia="楷体" w:cs="楷体"/>
          <w:color w:val="000000" w:themeColor="text1"/>
          <w:sz w:val="24"/>
          <w14:textFill>
            <w14:solidFill>
              <w14:schemeClr w14:val="tx1"/>
            </w14:solidFill>
          </w14:textFill>
        </w:rPr>
      </w:pPr>
    </w:p>
    <w:p w14:paraId="2B26D72A">
      <w:pPr>
        <w:autoSpaceDE w:val="0"/>
        <w:autoSpaceDN w:val="0"/>
        <w:adjustRightInd w:val="0"/>
        <w:spacing w:line="420" w:lineRule="exact"/>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注：“报价方式”以一次报清，完成本项目所需的所有费用必须包含在总报价中，包含不限于人员、管理服务、服装、通讯、利润、税金、保险、检测验收、技术支持与培训、招标代理服务费等完成合同所需的一切本身和不可或缺的所有工作开支、政策性文件规定及合同包含的所有风险、责任等各项全部费用组成。</w:t>
      </w:r>
    </w:p>
    <w:p w14:paraId="54721FC5">
      <w:pPr>
        <w:adjustRightInd w:val="0"/>
        <w:spacing w:line="360" w:lineRule="auto"/>
        <w:ind w:firstLine="480" w:firstLineChars="200"/>
        <w:rPr>
          <w:rFonts w:ascii="楷体" w:hAnsi="楷体" w:eastAsia="楷体" w:cs="楷体"/>
          <w:color w:val="000000" w:themeColor="text1"/>
          <w:sz w:val="24"/>
          <w14:textFill>
            <w14:solidFill>
              <w14:schemeClr w14:val="tx1"/>
            </w14:solidFill>
          </w14:textFill>
        </w:rPr>
      </w:pPr>
    </w:p>
    <w:p w14:paraId="08C9F7E8">
      <w:pPr>
        <w:adjustRightInd w:val="0"/>
        <w:spacing w:line="360" w:lineRule="auto"/>
        <w:ind w:firstLine="480" w:firstLineChars="200"/>
        <w:rPr>
          <w:rFonts w:ascii="楷体" w:hAnsi="楷体" w:eastAsia="楷体" w:cs="楷体"/>
          <w:color w:val="000000" w:themeColor="text1"/>
          <w:sz w:val="24"/>
          <w14:textFill>
            <w14:solidFill>
              <w14:schemeClr w14:val="tx1"/>
            </w14:solidFill>
          </w14:textFill>
        </w:rPr>
      </w:pPr>
    </w:p>
    <w:p w14:paraId="4C9CAE50">
      <w:pPr>
        <w:adjustRightInd w:val="0"/>
        <w:spacing w:line="360" w:lineRule="auto"/>
        <w:ind w:firstLine="5160" w:firstLineChars="21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投标人(盖公章</w:t>
      </w:r>
      <w:r>
        <w:rPr>
          <w:rFonts w:hint="eastAsia" w:ascii="楷体" w:hAnsi="楷体" w:eastAsia="楷体" w:cs="楷体"/>
          <w:snapToGrid w:val="0"/>
          <w:color w:val="000000" w:themeColor="text1"/>
          <w:kern w:val="0"/>
          <w:sz w:val="24"/>
          <w14:textFill>
            <w14:solidFill>
              <w14:schemeClr w14:val="tx1"/>
            </w14:solidFill>
          </w14:textFill>
        </w:rPr>
        <w:t>或电子签章</w:t>
      </w:r>
      <w:r>
        <w:rPr>
          <w:rFonts w:hint="eastAsia" w:ascii="楷体" w:hAnsi="楷体" w:eastAsia="楷体" w:cs="楷体"/>
          <w:color w:val="000000" w:themeColor="text1"/>
          <w:sz w:val="24"/>
          <w14:textFill>
            <w14:solidFill>
              <w14:schemeClr w14:val="tx1"/>
            </w14:solidFill>
          </w14:textFill>
        </w:rPr>
        <w:t>)</w:t>
      </w:r>
    </w:p>
    <w:p w14:paraId="5222D1A8">
      <w:pPr>
        <w:adjustRightInd w:val="0"/>
        <w:spacing w:line="360" w:lineRule="auto"/>
        <w:ind w:firstLine="5160" w:firstLineChars="2150"/>
        <w:rPr>
          <w:rFonts w:ascii="楷体" w:hAnsi="楷体" w:eastAsia="楷体" w:cs="楷体"/>
          <w:color w:val="000000" w:themeColor="text1"/>
          <w:sz w:val="24"/>
          <w14:textFill>
            <w14:solidFill>
              <w14:schemeClr w14:val="tx1"/>
            </w14:solidFill>
          </w14:textFill>
        </w:rPr>
      </w:pPr>
    </w:p>
    <w:p w14:paraId="63DB03F6">
      <w:pPr>
        <w:pStyle w:val="27"/>
        <w:spacing w:line="360" w:lineRule="auto"/>
        <w:ind w:firstLine="5160" w:firstLineChars="215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日     期：</w:t>
      </w:r>
    </w:p>
    <w:p w14:paraId="291A1EE4">
      <w:pPr>
        <w:pStyle w:val="27"/>
        <w:spacing w:line="360" w:lineRule="auto"/>
        <w:ind w:firstLine="5160" w:firstLineChars="215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br w:type="page"/>
      </w:r>
    </w:p>
    <w:p w14:paraId="6D20DB85">
      <w:pPr>
        <w:pStyle w:val="27"/>
        <w:spacing w:line="360" w:lineRule="auto"/>
        <w:jc w:val="center"/>
        <w:outlineLvl w:val="0"/>
        <w:rPr>
          <w:rFonts w:ascii="楷体" w:hAnsi="楷体" w:eastAsia="楷体" w:cs="楷体"/>
          <w:b/>
          <w:color w:val="000000" w:themeColor="text1"/>
          <w:sz w:val="30"/>
          <w:szCs w:val="30"/>
          <w14:textFill>
            <w14:solidFill>
              <w14:schemeClr w14:val="tx1"/>
            </w14:solidFill>
          </w14:textFill>
        </w:rPr>
      </w:pPr>
      <w:bookmarkStart w:id="494" w:name="_Toc225868339"/>
      <w:r>
        <w:rPr>
          <w:rFonts w:hint="eastAsia" w:ascii="楷体" w:hAnsi="楷体" w:eastAsia="楷体" w:cs="楷体"/>
          <w:b/>
          <w:color w:val="000000" w:themeColor="text1"/>
          <w:sz w:val="30"/>
          <w:szCs w:val="30"/>
          <w14:textFill>
            <w14:solidFill>
              <w14:schemeClr w14:val="tx1"/>
            </w14:solidFill>
          </w14:textFill>
        </w:rPr>
        <w:t>第六部分  评标办法（综合评分法）</w:t>
      </w:r>
      <w:bookmarkEnd w:id="494"/>
    </w:p>
    <w:p w14:paraId="30130F95">
      <w:pPr>
        <w:tabs>
          <w:tab w:val="left" w:pos="735"/>
        </w:tabs>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根据《中华人民共和国政府采购法》、《中华人民共和国政府采购法实施条例》、《政府采购货物和服务招标投标管理办法》、《浙江省政府采购活动现场组织管理办法》等有关规定，结合本项目的实际情况，按照公平、公正、科学、择优的原则，制定本评标办法</w:t>
      </w:r>
      <w:r>
        <w:rPr>
          <w:rFonts w:hint="eastAsia" w:ascii="楷体" w:hAnsi="楷体" w:eastAsia="楷体" w:cs="楷体"/>
          <w:color w:val="000000" w:themeColor="text1"/>
          <w:sz w:val="24"/>
          <w14:textFill>
            <w14:solidFill>
              <w14:schemeClr w14:val="tx1"/>
            </w14:solidFill>
          </w14:textFill>
        </w:rPr>
        <w:t>。</w:t>
      </w:r>
    </w:p>
    <w:p w14:paraId="7AB17AB3">
      <w:pPr>
        <w:pStyle w:val="3"/>
        <w:snapToGrid w:val="0"/>
        <w:spacing w:before="120" w:beforeLines="50" w:after="120" w:afterLines="50" w:line="360" w:lineRule="auto"/>
        <w:rPr>
          <w:rFonts w:ascii="楷体" w:hAnsi="楷体" w:cs="楷体"/>
          <w:color w:val="000000" w:themeColor="text1"/>
          <w:sz w:val="24"/>
          <w:szCs w:val="24"/>
          <w14:textFill>
            <w14:solidFill>
              <w14:schemeClr w14:val="tx1"/>
            </w14:solidFill>
          </w14:textFill>
        </w:rPr>
      </w:pPr>
      <w:bookmarkStart w:id="495" w:name="_Toc225868340"/>
      <w:bookmarkStart w:id="496" w:name="_Toc225867138"/>
      <w:bookmarkStart w:id="497" w:name="_Toc17875"/>
      <w:bookmarkStart w:id="498" w:name="_Toc10237"/>
      <w:bookmarkStart w:id="499" w:name="_Toc31410"/>
      <w:bookmarkStart w:id="500" w:name="_Toc6454"/>
      <w:r>
        <w:rPr>
          <w:rFonts w:hint="eastAsia" w:ascii="楷体" w:hAnsi="楷体" w:cs="楷体"/>
          <w:color w:val="000000" w:themeColor="text1"/>
          <w:sz w:val="24"/>
          <w:szCs w:val="24"/>
          <w14:textFill>
            <w14:solidFill>
              <w14:schemeClr w14:val="tx1"/>
            </w14:solidFill>
          </w14:textFill>
        </w:rPr>
        <w:t>一、总则</w:t>
      </w:r>
      <w:bookmarkEnd w:id="495"/>
      <w:bookmarkEnd w:id="496"/>
      <w:bookmarkEnd w:id="497"/>
      <w:bookmarkEnd w:id="498"/>
      <w:bookmarkEnd w:id="499"/>
      <w:bookmarkEnd w:id="500"/>
    </w:p>
    <w:p w14:paraId="16442659">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评标工作必须遵循公平、公正的竞争原则。评标委员会必须公平、公正、客观，不带任何倾向性和启发性；不得向外界透露任何与评标有关的内容；任何单位和个人不得干扰、影响评标的正常进行；评标委员会及有关工作人员不得私下与投标人接触。</w:t>
      </w:r>
    </w:p>
    <w:p w14:paraId="264A7A0B">
      <w:pPr>
        <w:pStyle w:val="3"/>
        <w:snapToGrid w:val="0"/>
        <w:spacing w:before="120" w:beforeLines="50" w:after="120" w:afterLines="50" w:line="360" w:lineRule="auto"/>
        <w:rPr>
          <w:rFonts w:ascii="楷体" w:hAnsi="楷体" w:cs="楷体"/>
          <w:color w:val="000000" w:themeColor="text1"/>
          <w:sz w:val="24"/>
          <w:szCs w:val="24"/>
          <w14:textFill>
            <w14:solidFill>
              <w14:schemeClr w14:val="tx1"/>
            </w14:solidFill>
          </w14:textFill>
        </w:rPr>
      </w:pPr>
      <w:bookmarkStart w:id="501" w:name="_Toc5112"/>
      <w:bookmarkStart w:id="502" w:name="_Toc225867139"/>
      <w:bookmarkStart w:id="503" w:name="_Toc11372"/>
      <w:bookmarkStart w:id="504" w:name="_Toc225868341"/>
      <w:bookmarkStart w:id="505" w:name="_Toc14570"/>
      <w:bookmarkStart w:id="506" w:name="_Toc16167"/>
      <w:r>
        <w:rPr>
          <w:rFonts w:hint="eastAsia" w:ascii="楷体" w:hAnsi="楷体" w:cs="楷体"/>
          <w:color w:val="000000" w:themeColor="text1"/>
          <w:sz w:val="24"/>
          <w:szCs w:val="24"/>
          <w14:textFill>
            <w14:solidFill>
              <w14:schemeClr w14:val="tx1"/>
            </w14:solidFill>
          </w14:textFill>
        </w:rPr>
        <w:t>二、评标组织</w:t>
      </w:r>
      <w:bookmarkEnd w:id="501"/>
      <w:bookmarkEnd w:id="502"/>
      <w:bookmarkEnd w:id="503"/>
      <w:bookmarkEnd w:id="504"/>
      <w:bookmarkEnd w:id="505"/>
      <w:bookmarkEnd w:id="506"/>
    </w:p>
    <w:p w14:paraId="6702A559">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评标委员会由采购人代表和评审专家组成，成员人数应当为 5 人（含）以上单数，其中评审专家不得少于成员总数的三分之二。采购预算金额在 1000 万元以上、技术复杂、社会影响较大的项目，评标委员会成员人数应当为 7 人（含）以上单数。评标委员会负责对投标文件进行审查、质询、评审等。</w:t>
      </w:r>
    </w:p>
    <w:p w14:paraId="362D3F07">
      <w:pPr>
        <w:pStyle w:val="3"/>
        <w:snapToGrid w:val="0"/>
        <w:spacing w:before="120" w:beforeLines="50" w:after="120" w:afterLines="50" w:line="360" w:lineRule="auto"/>
        <w:rPr>
          <w:rFonts w:ascii="楷体" w:hAnsi="楷体" w:cs="楷体"/>
          <w:color w:val="000000" w:themeColor="text1"/>
          <w:sz w:val="24"/>
          <w:szCs w:val="24"/>
          <w14:textFill>
            <w14:solidFill>
              <w14:schemeClr w14:val="tx1"/>
            </w14:solidFill>
          </w14:textFill>
        </w:rPr>
      </w:pPr>
      <w:bookmarkStart w:id="507" w:name="_Toc20624"/>
      <w:bookmarkStart w:id="508" w:name="_Toc225868342"/>
      <w:bookmarkStart w:id="509" w:name="_Toc13560"/>
      <w:bookmarkStart w:id="510" w:name="_Toc12059"/>
      <w:bookmarkStart w:id="511" w:name="_Toc225867140"/>
      <w:bookmarkStart w:id="512" w:name="_Toc6784"/>
      <w:r>
        <w:rPr>
          <w:rFonts w:hint="eastAsia" w:ascii="楷体" w:hAnsi="楷体" w:cs="楷体"/>
          <w:color w:val="000000" w:themeColor="text1"/>
          <w:sz w:val="24"/>
          <w:szCs w:val="24"/>
          <w14:textFill>
            <w14:solidFill>
              <w14:schemeClr w14:val="tx1"/>
            </w14:solidFill>
          </w14:textFill>
        </w:rPr>
        <w:t>三、评标纪律</w:t>
      </w:r>
      <w:bookmarkEnd w:id="507"/>
      <w:bookmarkEnd w:id="508"/>
      <w:bookmarkEnd w:id="509"/>
      <w:bookmarkEnd w:id="510"/>
      <w:bookmarkEnd w:id="511"/>
      <w:bookmarkEnd w:id="512"/>
    </w:p>
    <w:p w14:paraId="49F88CFA">
      <w:pPr>
        <w:adjustRightInd w:val="0"/>
        <w:snapToGrid w:val="0"/>
        <w:spacing w:line="360" w:lineRule="auto"/>
        <w:ind w:firstLine="484" w:firstLineChars="202"/>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1．评标是招标工作的重要环节，评标工作在评标委员会内独立进行。评标委员会将按照评标原则的要求，公正、平等地对待所有投标人。</w:t>
      </w:r>
    </w:p>
    <w:p w14:paraId="39A6D60D">
      <w:pPr>
        <w:adjustRightInd w:val="0"/>
        <w:snapToGrid w:val="0"/>
        <w:spacing w:line="360" w:lineRule="auto"/>
        <w:ind w:firstLine="484" w:firstLineChars="202"/>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2．所有评标人员应忠于职守、廉洁自律、秉公办事、不徇私情。</w:t>
      </w:r>
    </w:p>
    <w:p w14:paraId="7171E94F">
      <w:pPr>
        <w:adjustRightInd w:val="0"/>
        <w:snapToGrid w:val="0"/>
        <w:spacing w:line="360" w:lineRule="auto"/>
        <w:ind w:firstLine="484" w:firstLineChars="202"/>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3．评标人员不得接受或参加投标人或与投标有关的单位、组织或个人的有碍公务的宴请、娱乐活动等，不得以任何形式弄虚作假。</w:t>
      </w:r>
    </w:p>
    <w:p w14:paraId="235B4087">
      <w:pPr>
        <w:adjustRightInd w:val="0"/>
        <w:snapToGrid w:val="0"/>
        <w:spacing w:line="360" w:lineRule="auto"/>
        <w:ind w:firstLine="484" w:firstLineChars="202"/>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4．评标期间，评标人员不得随意出入评标地点、与外界通讯、会客等。</w:t>
      </w:r>
    </w:p>
    <w:p w14:paraId="3C0E2D3B">
      <w:pPr>
        <w:adjustRightInd w:val="0"/>
        <w:snapToGrid w:val="0"/>
        <w:spacing w:line="360" w:lineRule="auto"/>
        <w:ind w:firstLine="484" w:firstLineChars="202"/>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5．在投标文件的审查、澄清、评价和比较以及授予合同的过程中，投标人对采购人、采购代理机构人员及评标委员会成员施加影响的任何行为，都将导致被取消投标资格。</w:t>
      </w:r>
    </w:p>
    <w:p w14:paraId="7EA1C2CA">
      <w:pPr>
        <w:adjustRightInd w:val="0"/>
        <w:snapToGrid w:val="0"/>
        <w:spacing w:line="360" w:lineRule="auto"/>
        <w:ind w:firstLine="484" w:firstLineChars="202"/>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6．为保证评标的公正性，在评标过程中，评标委员会成员不得与投标人或与中标结果有利害关系的人进行私下接触。在评标工作结束后，凡与评标情况有接触的任何人，不得将评标情况扩散出评标委员会以外。</w:t>
      </w:r>
    </w:p>
    <w:p w14:paraId="3731CFC4">
      <w:pPr>
        <w:adjustRightInd w:val="0"/>
        <w:snapToGrid w:val="0"/>
        <w:spacing w:line="360" w:lineRule="auto"/>
        <w:ind w:firstLine="484" w:firstLineChars="202"/>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7．评标过程中，当发表结论性意见时，先听取专家评委意见，用户评委随后发表意见；评标专家对投标人的优劣情况，以及认为差异较大的情况等，应以书面意见作出真实、专业、诚恳负责的表述，不得违背客观、公正的原则。</w:t>
      </w:r>
    </w:p>
    <w:p w14:paraId="4AFEB288">
      <w:pPr>
        <w:adjustRightInd w:val="0"/>
        <w:snapToGrid w:val="0"/>
        <w:spacing w:line="360" w:lineRule="auto"/>
        <w:ind w:firstLine="484" w:firstLineChars="202"/>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8．评标结束后，各评标人员应将全部资料整理上交采购人，严禁将评标过程中的任何资料带出评标现场向投标人或其他单位提供。</w:t>
      </w:r>
    </w:p>
    <w:p w14:paraId="312059B2">
      <w:pPr>
        <w:adjustRightInd w:val="0"/>
        <w:snapToGrid w:val="0"/>
        <w:spacing w:line="360" w:lineRule="auto"/>
        <w:ind w:firstLine="484" w:firstLineChars="202"/>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9．在中标结果公布前应对评标委员会成员名单予以保密。</w:t>
      </w:r>
    </w:p>
    <w:p w14:paraId="08203A2F">
      <w:pPr>
        <w:adjustRightInd w:val="0"/>
        <w:snapToGrid w:val="0"/>
        <w:spacing w:line="360" w:lineRule="auto"/>
        <w:ind w:firstLine="484" w:firstLineChars="202"/>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10．评标委员会对各投标人的商业秘密予以保密。</w:t>
      </w:r>
    </w:p>
    <w:p w14:paraId="5E9DD329">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11．评标委员会成员应当客观、公正地履行职责，遵守职业道德，对所提出的评审意见承担个人责任。</w:t>
      </w:r>
    </w:p>
    <w:p w14:paraId="654C5F08">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12．在整个评标过程中，投标人企图影响招标结果的任何活动，可能导致其投标失败。如有违法行为，将依法追究其法律责任。</w:t>
      </w:r>
    </w:p>
    <w:p w14:paraId="2A4FCA31">
      <w:pPr>
        <w:pStyle w:val="3"/>
        <w:snapToGrid w:val="0"/>
        <w:spacing w:before="120" w:beforeLines="50" w:after="120" w:afterLines="50" w:line="360" w:lineRule="auto"/>
        <w:rPr>
          <w:rFonts w:ascii="楷体" w:hAnsi="楷体" w:cs="楷体"/>
          <w:b w:val="0"/>
          <w:color w:val="000000" w:themeColor="text1"/>
          <w:sz w:val="24"/>
          <w:szCs w:val="24"/>
          <w14:textFill>
            <w14:solidFill>
              <w14:schemeClr w14:val="tx1"/>
            </w14:solidFill>
          </w14:textFill>
        </w:rPr>
      </w:pPr>
      <w:bookmarkStart w:id="513" w:name="_Toc19811"/>
      <w:bookmarkStart w:id="514" w:name="_Toc12652"/>
      <w:bookmarkStart w:id="515" w:name="_Toc225868343"/>
      <w:bookmarkStart w:id="516" w:name="_Toc22350"/>
      <w:bookmarkStart w:id="517" w:name="_Toc225867141"/>
      <w:bookmarkStart w:id="518" w:name="_Toc22550"/>
      <w:r>
        <w:rPr>
          <w:rFonts w:hint="eastAsia" w:ascii="楷体" w:hAnsi="楷体" w:cs="楷体"/>
          <w:color w:val="000000" w:themeColor="text1"/>
          <w:sz w:val="24"/>
          <w:szCs w:val="24"/>
          <w14:textFill>
            <w14:solidFill>
              <w14:schemeClr w14:val="tx1"/>
            </w14:solidFill>
          </w14:textFill>
        </w:rPr>
        <w:t>四、评标程序</w:t>
      </w:r>
      <w:bookmarkEnd w:id="513"/>
      <w:bookmarkEnd w:id="514"/>
      <w:bookmarkEnd w:id="515"/>
      <w:bookmarkEnd w:id="516"/>
      <w:bookmarkEnd w:id="517"/>
      <w:bookmarkEnd w:id="518"/>
    </w:p>
    <w:p w14:paraId="36E08884">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1．本项目采用不公开方式评标，评标的依据为采购文件和投标文件。</w:t>
      </w:r>
    </w:p>
    <w:p w14:paraId="2948A952">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2．熟悉采购文件和评标办法。</w:t>
      </w:r>
    </w:p>
    <w:p w14:paraId="6F74779C">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3．采购代理机构按照采购文件规定的时间、地点及程序组织评审。流程如下：</w:t>
      </w:r>
    </w:p>
    <w:p w14:paraId="2966278A">
      <w:pPr>
        <w:numPr>
          <w:ilvl w:val="1"/>
          <w:numId w:val="25"/>
        </w:numPr>
        <w:tabs>
          <w:tab w:val="left" w:pos="0"/>
          <w:tab w:val="left" w:pos="993"/>
        </w:tabs>
        <w:adjustRightInd w:val="0"/>
        <w:snapToGrid w:val="0"/>
        <w:spacing w:line="360" w:lineRule="auto"/>
        <w:ind w:left="0" w:firstLine="426"/>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开启评审场地的录音录像采集设备，并确保其正常运行。</w:t>
      </w:r>
    </w:p>
    <w:p w14:paraId="439F0D47">
      <w:pPr>
        <w:numPr>
          <w:ilvl w:val="1"/>
          <w:numId w:val="25"/>
        </w:numPr>
        <w:tabs>
          <w:tab w:val="left" w:pos="0"/>
          <w:tab w:val="left" w:pos="993"/>
        </w:tabs>
        <w:adjustRightInd w:val="0"/>
        <w:snapToGrid w:val="0"/>
        <w:spacing w:line="360" w:lineRule="auto"/>
        <w:ind w:left="0" w:firstLine="426"/>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核验出席评审活动现场的评审小组各成员和相关监督人员身份，并要求其分别登记、签到，按规定统一收缴、保存其通讯工具，无关人员一律拒绝其进入评审现场。</w:t>
      </w:r>
    </w:p>
    <w:p w14:paraId="1ED177EE">
      <w:pPr>
        <w:numPr>
          <w:ilvl w:val="1"/>
          <w:numId w:val="25"/>
        </w:numPr>
        <w:tabs>
          <w:tab w:val="left" w:pos="0"/>
          <w:tab w:val="left" w:pos="993"/>
        </w:tabs>
        <w:adjustRightInd w:val="0"/>
        <w:snapToGrid w:val="0"/>
        <w:spacing w:line="360" w:lineRule="auto"/>
        <w:ind w:left="0" w:firstLine="426"/>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介绍评审现场的人员情况，宣布评审工作纪律，告知评审人员应当回避情形；组织推选评审小组组长。</w:t>
      </w:r>
    </w:p>
    <w:p w14:paraId="22A09F95">
      <w:pPr>
        <w:numPr>
          <w:ilvl w:val="1"/>
          <w:numId w:val="25"/>
        </w:numPr>
        <w:tabs>
          <w:tab w:val="left" w:pos="0"/>
          <w:tab w:val="left" w:pos="993"/>
        </w:tabs>
        <w:adjustRightInd w:val="0"/>
        <w:snapToGrid w:val="0"/>
        <w:spacing w:line="360" w:lineRule="auto"/>
        <w:ind w:left="0" w:firstLine="426"/>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通报报名参加本项目采购的投标人名单及资格预审情况（如有），宣读最终提交采购响应文件的投标人名单，组织评审小组各位成员签订《政府采购评审人员廉洁自律承诺书》。</w:t>
      </w:r>
    </w:p>
    <w:p w14:paraId="6BE116E8">
      <w:pPr>
        <w:numPr>
          <w:ilvl w:val="1"/>
          <w:numId w:val="25"/>
        </w:numPr>
        <w:tabs>
          <w:tab w:val="left" w:pos="0"/>
          <w:tab w:val="left" w:pos="993"/>
        </w:tabs>
        <w:adjustRightInd w:val="0"/>
        <w:snapToGrid w:val="0"/>
        <w:spacing w:line="360" w:lineRule="auto"/>
        <w:ind w:left="0" w:firstLine="426"/>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根据需要简要介绍采购文件（含补充文件）制定及质疑答复情况、按书面陈述项目基本情况及评审工作需注意事项等。</w:t>
      </w:r>
    </w:p>
    <w:p w14:paraId="772FF255">
      <w:pPr>
        <w:numPr>
          <w:ilvl w:val="1"/>
          <w:numId w:val="25"/>
        </w:numPr>
        <w:tabs>
          <w:tab w:val="left" w:pos="0"/>
          <w:tab w:val="left" w:pos="993"/>
        </w:tabs>
        <w:adjustRightInd w:val="0"/>
        <w:snapToGrid w:val="0"/>
        <w:spacing w:line="360" w:lineRule="auto"/>
        <w:ind w:left="0" w:firstLine="426"/>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评审小组组长组织评审人员独立评审。</w:t>
      </w:r>
    </w:p>
    <w:p w14:paraId="01CA89F7">
      <w:pPr>
        <w:tabs>
          <w:tab w:val="left" w:pos="0"/>
          <w:tab w:val="left" w:pos="993"/>
        </w:tabs>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评审小组对拟认定为采购响应文件无效、投标人资格不符合的，应组织相关投标人代表进行陈述、澄清或申辩；采购代理机构可协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14:paraId="164A93E1">
      <w:pPr>
        <w:numPr>
          <w:ilvl w:val="1"/>
          <w:numId w:val="25"/>
        </w:numPr>
        <w:tabs>
          <w:tab w:val="left" w:pos="0"/>
          <w:tab w:val="left" w:pos="993"/>
        </w:tabs>
        <w:adjustRightInd w:val="0"/>
        <w:snapToGrid w:val="0"/>
        <w:spacing w:line="360" w:lineRule="auto"/>
        <w:ind w:left="0" w:firstLine="426"/>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评审小组根据评审汇总情况和采购文件规定确定中标（成交）候选供应商排序名单。</w:t>
      </w:r>
      <w:r>
        <w:rPr>
          <w:rFonts w:hint="eastAsia" w:ascii="楷体" w:hAnsi="楷体" w:eastAsia="楷体" w:cs="楷体"/>
          <w:b/>
          <w:bCs/>
          <w:color w:val="000000" w:themeColor="text1"/>
          <w:sz w:val="24"/>
          <w14:textFill>
            <w14:solidFill>
              <w14:schemeClr w14:val="tx1"/>
            </w14:solidFill>
          </w14:textFill>
        </w:rPr>
        <w:t>本项目推荐一名中标候选人。</w:t>
      </w:r>
    </w:p>
    <w:p w14:paraId="694EACEA">
      <w:pPr>
        <w:numPr>
          <w:ilvl w:val="1"/>
          <w:numId w:val="25"/>
        </w:numPr>
        <w:tabs>
          <w:tab w:val="left" w:pos="0"/>
          <w:tab w:val="left" w:pos="993"/>
        </w:tabs>
        <w:adjustRightInd w:val="0"/>
        <w:snapToGrid w:val="0"/>
        <w:spacing w:line="360" w:lineRule="auto"/>
        <w:ind w:left="0" w:firstLine="426"/>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起草评审报告，所有评审人员须在评审报告上签字确认。</w:t>
      </w:r>
    </w:p>
    <w:p w14:paraId="49DCA924">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评审人员对有关采购文件、投标文件、样品（如有）、现场演示（如有）的说明、解释、要求、标准存在不同意见的，持不同意见的评审人员及其意见或理由应予以完整记录，并在评审过程中按照少数服从多数的原则表决执行。对采购文件本身不明确或存在歧义、矛盾的内容，应作对供应商而非采购人有利的解释；对因采购文件中有关产品技术参数需求表述不清导致供应商实质性响应不一致时，应终止评审，重新组织采购。评审人员拒绝在评审报告中签字又不说明其不同意见或理由的，由现场监督员记录在案后，可视为同意评审结果。</w:t>
      </w:r>
    </w:p>
    <w:p w14:paraId="6FB6843A">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评标报告是评标委员会根据全体评标成员签字的原始评标记录和评标结果编写的报告，其主要内容包括：</w:t>
      </w:r>
    </w:p>
    <w:p w14:paraId="51BF8418">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（1）采购公告刊登的媒体名称、开标日期和地点；</w:t>
      </w:r>
    </w:p>
    <w:p w14:paraId="5D8341ED">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（2）获取采购文件的投标人名单和评标委员会成员名单；</w:t>
      </w:r>
    </w:p>
    <w:p w14:paraId="218369A7">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（3）评标方法和标准；</w:t>
      </w:r>
    </w:p>
    <w:p w14:paraId="7AE3BC07">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（4）开标记录和评标情况及说明，包括投标无效投标人名单及原因；</w:t>
      </w:r>
    </w:p>
    <w:p w14:paraId="5A7A7D6E">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（5）评标结果和中标候选人排序；</w:t>
      </w:r>
    </w:p>
    <w:p w14:paraId="6700EB2C">
      <w:pPr>
        <w:adjustRightInd w:val="0"/>
        <w:snapToGrid w:val="0"/>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（6）评标委员会的授标建议。</w:t>
      </w:r>
    </w:p>
    <w:p w14:paraId="52AD334B">
      <w:pPr>
        <w:adjustRightInd w:val="0"/>
        <w:snapToGrid w:val="0"/>
        <w:spacing w:line="360" w:lineRule="auto"/>
        <w:ind w:firstLine="482" w:firstLineChars="200"/>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4.评标程序</w:t>
      </w:r>
    </w:p>
    <w:p w14:paraId="014E232D">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4.1投标文件初审。初审分为资格性检查和符合性检查。</w:t>
      </w:r>
    </w:p>
    <w:p w14:paraId="022B2B87">
      <w:pPr>
        <w:numPr>
          <w:ilvl w:val="0"/>
          <w:numId w:val="26"/>
        </w:num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资格性检查。</w:t>
      </w:r>
    </w:p>
    <w:p w14:paraId="5ECCC1E5">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开标后，采购人或采购代理机构将依据法律法规和本须知第9.1条规定对投标人的基本资格条件、落实政府采购政策需满足的资格要求及特定资格条件进行审查。</w:t>
      </w:r>
    </w:p>
    <w:p w14:paraId="45A0734C">
      <w:pPr>
        <w:numPr>
          <w:ilvl w:val="0"/>
          <w:numId w:val="26"/>
        </w:num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符合性检查。依据采购文件的规定，从投标文件的有效性、完整性和对采购文件的响应程度进行审查，以确定是否对采购文件的实质性要求作出响应。具体审查内容见“无效投标的认定”。</w:t>
      </w:r>
    </w:p>
    <w:p w14:paraId="60D07E2B">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评标委员会决定投标文件的响应性只根据投标文件本身的内容，而不寻求外部证据。</w:t>
      </w:r>
    </w:p>
    <w:p w14:paraId="6CD73697">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如果投标文件没有实质上响应采购文件的要求，评标委员会将判定无效，投标人不得通过修改或撤销不合要求的偏离或保留而使其投标成为实质性响应的投标。</w:t>
      </w:r>
    </w:p>
    <w:p w14:paraId="5A1B61BD">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4.2澄清有关问题。在评标期间，对投标文件中含义不明确、同类问题表述不一致或者有明显文字和计算错误的内容，可由评审组长将问题汇总后发起询标澄清函（或由采购代理机构代替评审组长发起询标澄清函）。投标人的澄清、说明或者补正不得超出投标文件的范围或者改变投标文件的实质性内容。</w:t>
      </w:r>
    </w:p>
    <w:p w14:paraId="0ECC9EC0">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投标供应商的澄清、说明或者补正应当加盖供应商电子签章后上传提交（或通过平台上传经授权代表签字或加盖公章的扫描件）。</w:t>
      </w:r>
    </w:p>
    <w:p w14:paraId="3FA92776">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授权代表对澄清、说明或者补正内容未签字确认的，将自行承担由此可能导致的对其不利的评审结果，评标委员会按少数服从多数原则对相关内容进行评判。</w:t>
      </w:r>
    </w:p>
    <w:p w14:paraId="4239BF76">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除邮件交互外，如政采云平台提供信息发布、澄清说明、数据交换等操作方式的，或者政采云系统平台有新的操作流程的，按其规定。</w:t>
      </w:r>
    </w:p>
    <w:p w14:paraId="4163366C">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4.3修正原则</w:t>
      </w:r>
    </w:p>
    <w:p w14:paraId="715D9D34">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投标文件报价出现前后不一致的，按照下列规定修正：</w:t>
      </w:r>
    </w:p>
    <w:p w14:paraId="53028088">
      <w:pPr>
        <w:numPr>
          <w:ilvl w:val="0"/>
          <w:numId w:val="27"/>
        </w:numPr>
        <w:tabs>
          <w:tab w:val="left" w:pos="630"/>
          <w:tab w:val="left" w:pos="840"/>
          <w:tab w:val="left" w:pos="1050"/>
        </w:tabs>
        <w:adjustRightInd w:val="0"/>
        <w:snapToGrid w:val="0"/>
        <w:spacing w:line="360" w:lineRule="auto"/>
        <w:ind w:left="5" w:firstLine="635"/>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投标文件中开标一览表(报价表)内容与投标文件中相应内容不一致的，以开标一览表(报价表)为准；</w:t>
      </w:r>
    </w:p>
    <w:p w14:paraId="14706186">
      <w:pPr>
        <w:numPr>
          <w:ilvl w:val="0"/>
          <w:numId w:val="27"/>
        </w:numPr>
        <w:tabs>
          <w:tab w:val="left" w:pos="630"/>
          <w:tab w:val="left" w:pos="840"/>
          <w:tab w:val="left" w:pos="1050"/>
        </w:tabs>
        <w:adjustRightInd w:val="0"/>
        <w:snapToGrid w:val="0"/>
        <w:spacing w:line="360" w:lineRule="auto"/>
        <w:ind w:left="5" w:firstLine="635"/>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大写金额和小写金额不一致的，以大写金额为准；</w:t>
      </w:r>
    </w:p>
    <w:p w14:paraId="0CA621A6">
      <w:pPr>
        <w:numPr>
          <w:ilvl w:val="0"/>
          <w:numId w:val="27"/>
        </w:numPr>
        <w:tabs>
          <w:tab w:val="left" w:pos="630"/>
          <w:tab w:val="left" w:pos="840"/>
          <w:tab w:val="left" w:pos="1050"/>
        </w:tabs>
        <w:adjustRightInd w:val="0"/>
        <w:snapToGrid w:val="0"/>
        <w:spacing w:line="360" w:lineRule="auto"/>
        <w:ind w:left="5" w:firstLine="635"/>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单价金额小数点或者百分比有明显错位的，以开标一览表的总价为准，并修改单价；</w:t>
      </w:r>
    </w:p>
    <w:p w14:paraId="2E39A1E5">
      <w:pPr>
        <w:numPr>
          <w:ilvl w:val="0"/>
          <w:numId w:val="27"/>
        </w:numPr>
        <w:tabs>
          <w:tab w:val="left" w:pos="630"/>
          <w:tab w:val="left" w:pos="840"/>
          <w:tab w:val="left" w:pos="1050"/>
        </w:tabs>
        <w:adjustRightInd w:val="0"/>
        <w:snapToGrid w:val="0"/>
        <w:spacing w:line="360" w:lineRule="auto"/>
        <w:ind w:left="5" w:firstLine="635"/>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总价金额与按单价汇总金额不一致的，以单价金额计算结果为准。</w:t>
      </w:r>
    </w:p>
    <w:p w14:paraId="2C367F62">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p w14:paraId="15C58C16">
      <w:pPr>
        <w:numPr>
          <w:ilvl w:val="0"/>
          <w:numId w:val="27"/>
        </w:numPr>
        <w:tabs>
          <w:tab w:val="left" w:pos="630"/>
          <w:tab w:val="left" w:pos="840"/>
          <w:tab w:val="left" w:pos="1050"/>
        </w:tabs>
        <w:adjustRightInd w:val="0"/>
        <w:snapToGrid w:val="0"/>
        <w:spacing w:line="360" w:lineRule="auto"/>
        <w:ind w:left="5" w:firstLine="635"/>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政采云平台填报的开标一览表中的价格与上传的报价响应文件中开标一览表的报价不一致的，以上传的报价响应文件中开标一览表的价格为准，修正平台上的投标报价。</w:t>
      </w:r>
    </w:p>
    <w:p w14:paraId="189B8CEE">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4.4比较与评价。</w:t>
      </w:r>
    </w:p>
    <w:p w14:paraId="2DCB4166">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按采购文件中规定的评标方法和标准，对资格性检查和符合性检查合格的投标文件进行商务和技术评估，综合比较与评价。</w:t>
      </w:r>
    </w:p>
    <w:p w14:paraId="2DBA4466">
      <w:pPr>
        <w:adjustRightInd w:val="0"/>
        <w:snapToGrid w:val="0"/>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4.5按采购文件中规定的评标方法和标准，对投标人进行排序，并推荐中标候选人。</w:t>
      </w:r>
    </w:p>
    <w:p w14:paraId="74264D19">
      <w:pPr>
        <w:adjustRightInd w:val="0"/>
        <w:snapToGrid w:val="0"/>
        <w:spacing w:line="360" w:lineRule="auto"/>
        <w:ind w:firstLine="480"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4.6编写评标报告</w:t>
      </w:r>
      <w:r>
        <w:rPr>
          <w:rFonts w:hint="eastAsia" w:ascii="楷体" w:hAnsi="楷体" w:eastAsia="楷体" w:cs="楷体"/>
          <w:b/>
          <w:color w:val="000000" w:themeColor="text1"/>
          <w:sz w:val="24"/>
          <w14:textFill>
            <w14:solidFill>
              <w14:schemeClr w14:val="tx1"/>
            </w14:solidFill>
          </w14:textFill>
        </w:rPr>
        <w:t>。</w:t>
      </w:r>
    </w:p>
    <w:p w14:paraId="6CE80CAC">
      <w:pPr>
        <w:adjustRightInd w:val="0"/>
        <w:snapToGrid w:val="0"/>
        <w:spacing w:before="120" w:beforeLines="50" w:line="360" w:lineRule="auto"/>
        <w:ind w:firstLine="482"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5．无效投标的认定</w:t>
      </w:r>
    </w:p>
    <w:p w14:paraId="6938553B">
      <w:pPr>
        <w:adjustRightInd w:val="0"/>
        <w:snapToGrid w:val="0"/>
        <w:spacing w:line="360" w:lineRule="auto"/>
        <w:ind w:firstLine="482" w:firstLineChars="20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5.1资格审查阶段</w:t>
      </w:r>
    </w:p>
    <w:p w14:paraId="35DC0C5B">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投标人未按照采购文件投标须知9.1条要求提供与基本资格条件、落实政府采购政策需满足的资格要求及特定资格条件相应的有效资格证明材料的，视为投标人不具备采购文件中规定的资格要求，其资格审查不通过。</w:t>
      </w:r>
    </w:p>
    <w:p w14:paraId="2992FDF3">
      <w:pPr>
        <w:adjustRightInd w:val="0"/>
        <w:snapToGrid w:val="0"/>
        <w:spacing w:line="360" w:lineRule="auto"/>
        <w:ind w:firstLine="482" w:firstLineChars="20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5.2商务技术文件评审阶段</w:t>
      </w:r>
    </w:p>
    <w:p w14:paraId="668D07F7">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评审时，对投标人的技术文件、商务资信和其他评审要求等，评标委员会将逐项进行审查、比较，对于实质性偏离或符合无效条款的，应当询问投标人，并允许投标人进行陈述申辩，但不允许其对偏离条款进行补充、修正或撤回。但经评标委员会认定属于投标人疏忽、笔误所造成的差错，应当允许其在评标结束之前进行修改或者补正（可以是复印件、传真件等）。修改或者补正投标文件必须以书面形式进行，并应在中标结果公告之前查核原件。限期内不补正或经补正后仍不符合采购文件要求的，应认定其投标无效。投标人修改、补正投标文件后，不影响评标委员会对其投标文件所作的评价和评分结果。</w:t>
      </w:r>
    </w:p>
    <w:p w14:paraId="7D094B23">
      <w:pPr>
        <w:adjustRightInd w:val="0"/>
        <w:snapToGrid w:val="0"/>
        <w:spacing w:line="360" w:lineRule="auto"/>
        <w:ind w:firstLine="480" w:firstLineChars="200"/>
        <w:jc w:val="left"/>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5.2.1如发现下列情形之一的，商务文件将被视为无效投标：</w:t>
      </w:r>
    </w:p>
    <w:p w14:paraId="54430750">
      <w:pPr>
        <w:numPr>
          <w:ilvl w:val="0"/>
          <w:numId w:val="28"/>
        </w:numPr>
        <w:tabs>
          <w:tab w:val="left" w:pos="900"/>
        </w:tabs>
        <w:adjustRightInd w:val="0"/>
        <w:snapToGrid w:val="0"/>
        <w:spacing w:line="360" w:lineRule="auto"/>
        <w:ind w:left="0" w:firstLine="360"/>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投标文件中授权委托书所载内容与本项目内容有异的或者授权委托书未按照采购文件要求签署、盖章的；</w:t>
      </w:r>
    </w:p>
    <w:p w14:paraId="105C32AB">
      <w:pPr>
        <w:numPr>
          <w:ilvl w:val="0"/>
          <w:numId w:val="28"/>
        </w:numPr>
        <w:tabs>
          <w:tab w:val="left" w:pos="900"/>
        </w:tabs>
        <w:adjustRightInd w:val="0"/>
        <w:snapToGrid w:val="0"/>
        <w:spacing w:line="360" w:lineRule="auto"/>
        <w:ind w:left="0" w:firstLine="360"/>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投标文件内容弄虚作假的；</w:t>
      </w:r>
    </w:p>
    <w:p w14:paraId="0C19ED34">
      <w:pPr>
        <w:numPr>
          <w:ilvl w:val="0"/>
          <w:numId w:val="28"/>
        </w:numPr>
        <w:tabs>
          <w:tab w:val="left" w:pos="900"/>
        </w:tabs>
        <w:adjustRightInd w:val="0"/>
        <w:snapToGrid w:val="0"/>
        <w:spacing w:line="360" w:lineRule="auto"/>
        <w:ind w:left="0" w:firstLine="360"/>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商务文件未按采购文件要求盖章的；</w:t>
      </w:r>
    </w:p>
    <w:p w14:paraId="3D9D4565">
      <w:pPr>
        <w:numPr>
          <w:ilvl w:val="0"/>
          <w:numId w:val="28"/>
        </w:numPr>
        <w:tabs>
          <w:tab w:val="left" w:pos="900"/>
          <w:tab w:val="left" w:pos="1080"/>
        </w:tabs>
        <w:adjustRightInd w:val="0"/>
        <w:snapToGrid w:val="0"/>
        <w:spacing w:line="360" w:lineRule="auto"/>
        <w:ind w:left="0" w:firstLine="36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不响应采购文件标注“▲”条款要求的；</w:t>
      </w:r>
    </w:p>
    <w:p w14:paraId="283CE7E3">
      <w:pPr>
        <w:numPr>
          <w:ilvl w:val="0"/>
          <w:numId w:val="28"/>
        </w:numPr>
        <w:tabs>
          <w:tab w:val="left" w:pos="900"/>
          <w:tab w:val="left" w:pos="1080"/>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投标有效期不满足采购文件要求的；</w:t>
      </w:r>
    </w:p>
    <w:p w14:paraId="4ABCD104">
      <w:pPr>
        <w:numPr>
          <w:ilvl w:val="0"/>
          <w:numId w:val="28"/>
        </w:numPr>
        <w:tabs>
          <w:tab w:val="left" w:pos="900"/>
          <w:tab w:val="left" w:pos="1080"/>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 xml:space="preserve">参与同一个采购包（标段）的投标人存在下列情形之一的，其投标（响应）文件无效： </w:t>
      </w:r>
    </w:p>
    <w:p w14:paraId="1DB0875B">
      <w:pPr>
        <w:tabs>
          <w:tab w:val="left" w:pos="900"/>
          <w:tab w:val="left" w:pos="1080"/>
        </w:tabs>
        <w:adjustRightInd w:val="0"/>
        <w:snapToGrid w:val="0"/>
        <w:spacing w:line="360" w:lineRule="auto"/>
        <w:ind w:firstLine="482" w:firstLineChars="20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（6.1）不同投标人的电子投标（响应）文件上传计算机的网卡MAC地址、CPU序列号和硬盘序列号等硬件信息相同的；</w:t>
      </w:r>
    </w:p>
    <w:p w14:paraId="0AAB0876">
      <w:pPr>
        <w:tabs>
          <w:tab w:val="left" w:pos="900"/>
          <w:tab w:val="left" w:pos="1080"/>
        </w:tabs>
        <w:adjustRightInd w:val="0"/>
        <w:snapToGrid w:val="0"/>
        <w:spacing w:line="360" w:lineRule="auto"/>
        <w:ind w:firstLine="412" w:firstLineChars="171"/>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（6.2）上传的电子投标（响应）文件若出现使用本项目其他投标（响应）人的数字证书加密的，或者加盖本项目其他投标（响应）人的电子印章的；</w:t>
      </w:r>
    </w:p>
    <w:p w14:paraId="54B98A63">
      <w:pPr>
        <w:tabs>
          <w:tab w:val="left" w:pos="900"/>
          <w:tab w:val="left" w:pos="1080"/>
        </w:tabs>
        <w:adjustRightInd w:val="0"/>
        <w:snapToGrid w:val="0"/>
        <w:spacing w:line="360" w:lineRule="auto"/>
        <w:ind w:left="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（6.3）不同投标人的投标（响应）文件的内容存在三处以上细节错误一致，且无法合理解释的；</w:t>
      </w:r>
    </w:p>
    <w:p w14:paraId="2BABA08C">
      <w:pPr>
        <w:tabs>
          <w:tab w:val="left" w:pos="900"/>
          <w:tab w:val="left" w:pos="1080"/>
        </w:tabs>
        <w:adjustRightInd w:val="0"/>
        <w:snapToGrid w:val="0"/>
        <w:spacing w:line="360" w:lineRule="auto"/>
        <w:ind w:left="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（6.4）不同投标人联系人为同一人或不同联系人的联系电话一致，且无法合理解释的。</w:t>
      </w:r>
    </w:p>
    <w:p w14:paraId="647E06D5">
      <w:pPr>
        <w:numPr>
          <w:ilvl w:val="0"/>
          <w:numId w:val="28"/>
        </w:numPr>
        <w:tabs>
          <w:tab w:val="left" w:pos="900"/>
          <w:tab w:val="left" w:pos="1080"/>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《中小企业声明函》填写企业类型错误，导致享受了不该享受的优惠政策的，投标无效。</w:t>
      </w:r>
    </w:p>
    <w:p w14:paraId="361714F0">
      <w:pPr>
        <w:numPr>
          <w:ilvl w:val="0"/>
          <w:numId w:val="28"/>
        </w:numPr>
        <w:tabs>
          <w:tab w:val="left" w:pos="900"/>
          <w:tab w:val="left" w:pos="1080"/>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存在法律、法规规定及采购文件规定的其它无效情形的。</w:t>
      </w:r>
    </w:p>
    <w:p w14:paraId="51BEE981">
      <w:pPr>
        <w:adjustRightInd w:val="0"/>
        <w:snapToGrid w:val="0"/>
        <w:spacing w:line="360" w:lineRule="auto"/>
        <w:ind w:firstLine="482" w:firstLineChars="20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5.2.2如发现下列情形之一的，技术文件将被视为无效投标：</w:t>
      </w:r>
    </w:p>
    <w:p w14:paraId="579B27F3">
      <w:pPr>
        <w:numPr>
          <w:ilvl w:val="0"/>
          <w:numId w:val="29"/>
        </w:numPr>
        <w:tabs>
          <w:tab w:val="left" w:pos="900"/>
          <w:tab w:val="left" w:pos="1080"/>
          <w:tab w:val="clear" w:pos="1273"/>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技术文件未按采购文件要求盖章的；</w:t>
      </w:r>
    </w:p>
    <w:p w14:paraId="529AFD32">
      <w:pPr>
        <w:numPr>
          <w:ilvl w:val="0"/>
          <w:numId w:val="29"/>
        </w:numPr>
        <w:tabs>
          <w:tab w:val="left" w:pos="900"/>
          <w:tab w:val="left" w:pos="1080"/>
          <w:tab w:val="clear" w:pos="1273"/>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技术文件标明的响应或偏离与事实不符或虚假投标的；</w:t>
      </w:r>
    </w:p>
    <w:p w14:paraId="2880DE05">
      <w:pPr>
        <w:numPr>
          <w:ilvl w:val="0"/>
          <w:numId w:val="29"/>
        </w:numPr>
        <w:tabs>
          <w:tab w:val="left" w:pos="900"/>
          <w:tab w:val="left" w:pos="1080"/>
          <w:tab w:val="clear" w:pos="1273"/>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服务期等条款不能满足采购文件要求的；</w:t>
      </w:r>
    </w:p>
    <w:p w14:paraId="2BCA3CC6">
      <w:pPr>
        <w:numPr>
          <w:ilvl w:val="0"/>
          <w:numId w:val="29"/>
        </w:numPr>
        <w:tabs>
          <w:tab w:val="left" w:pos="900"/>
          <w:tab w:val="left" w:pos="1080"/>
          <w:tab w:val="clear" w:pos="1273"/>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明显不符合采购内容、质量标准，或者与采购文件中标注“▲”条款存在实质性偏离的；</w:t>
      </w:r>
    </w:p>
    <w:p w14:paraId="79160675">
      <w:pPr>
        <w:numPr>
          <w:ilvl w:val="0"/>
          <w:numId w:val="29"/>
        </w:numPr>
        <w:tabs>
          <w:tab w:val="left" w:pos="900"/>
          <w:tab w:val="left" w:pos="1080"/>
          <w:tab w:val="clear" w:pos="1273"/>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投标文件含有采购人不能接受的附加条件的；</w:t>
      </w:r>
    </w:p>
    <w:p w14:paraId="03936FDD">
      <w:pPr>
        <w:numPr>
          <w:ilvl w:val="0"/>
          <w:numId w:val="29"/>
        </w:numPr>
        <w:tabs>
          <w:tab w:val="left" w:pos="900"/>
          <w:tab w:val="left" w:pos="1080"/>
          <w:tab w:val="clear" w:pos="1273"/>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存在法律、法规、规章规定的其它无效投标情况的。</w:t>
      </w:r>
    </w:p>
    <w:p w14:paraId="69321CA0">
      <w:pPr>
        <w:adjustRightInd w:val="0"/>
        <w:snapToGrid w:val="0"/>
        <w:spacing w:line="360" w:lineRule="auto"/>
        <w:ind w:firstLine="482" w:firstLineChars="200"/>
        <w:jc w:val="left"/>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5.3报价文件评审阶段</w:t>
      </w:r>
    </w:p>
    <w:p w14:paraId="76D25D43">
      <w:pPr>
        <w:tabs>
          <w:tab w:val="left" w:pos="900"/>
          <w:tab w:val="left" w:pos="1080"/>
        </w:tabs>
        <w:adjustRightInd w:val="0"/>
        <w:snapToGrid w:val="0"/>
        <w:spacing w:line="360" w:lineRule="auto"/>
        <w:ind w:left="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在报价评审时，如发现下列情形之一的，投标文件将被视为无效：</w:t>
      </w:r>
    </w:p>
    <w:p w14:paraId="2EC5AEEA">
      <w:pPr>
        <w:numPr>
          <w:ilvl w:val="0"/>
          <w:numId w:val="30"/>
        </w:numPr>
        <w:tabs>
          <w:tab w:val="left" w:pos="900"/>
          <w:tab w:val="left" w:pos="1080"/>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报价文件未按采购文件要求盖章的；</w:t>
      </w:r>
    </w:p>
    <w:p w14:paraId="079CCFB4">
      <w:pPr>
        <w:numPr>
          <w:ilvl w:val="0"/>
          <w:numId w:val="30"/>
        </w:numPr>
        <w:tabs>
          <w:tab w:val="left" w:pos="900"/>
          <w:tab w:val="left" w:pos="1080"/>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开标一览表投标报价为零的或其报价（大写）无法按正常书写方式进行报价唱标的或无投标报价的；</w:t>
      </w:r>
    </w:p>
    <w:p w14:paraId="0FAD5E78">
      <w:pPr>
        <w:numPr>
          <w:ilvl w:val="0"/>
          <w:numId w:val="30"/>
        </w:numPr>
        <w:tabs>
          <w:tab w:val="left" w:pos="900"/>
          <w:tab w:val="left" w:pos="1080"/>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政采云平台填报的开标一览表中的价格与上传的报价响应文件中开标一览表的报价不一致时，投标人不同意按“4.3修正原则”第（5）条原则修正的；</w:t>
      </w:r>
    </w:p>
    <w:p w14:paraId="04562362">
      <w:pPr>
        <w:numPr>
          <w:ilvl w:val="0"/>
          <w:numId w:val="30"/>
        </w:numPr>
        <w:tabs>
          <w:tab w:val="left" w:pos="900"/>
          <w:tab w:val="left" w:pos="1080"/>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政采云平台上传的报价响应文件缺少最基本的报价内容（如开标一览表）的；</w:t>
      </w:r>
    </w:p>
    <w:p w14:paraId="49744D5B">
      <w:pPr>
        <w:numPr>
          <w:ilvl w:val="0"/>
          <w:numId w:val="30"/>
        </w:numPr>
        <w:tabs>
          <w:tab w:val="left" w:pos="900"/>
          <w:tab w:val="left" w:pos="1080"/>
        </w:tabs>
        <w:adjustRightInd w:val="0"/>
        <w:snapToGrid w:val="0"/>
        <w:spacing w:line="360" w:lineRule="auto"/>
        <w:ind w:left="0" w:firstLine="36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投标人提交两份或多份内容不同的报价响应文件，或在一份报价响应文件中对同一内容报有两个或多个报价，且未声明哪一个为最终报价的；</w:t>
      </w:r>
    </w:p>
    <w:p w14:paraId="45FAB977">
      <w:pPr>
        <w:numPr>
          <w:ilvl w:val="0"/>
          <w:numId w:val="30"/>
        </w:numPr>
        <w:tabs>
          <w:tab w:val="left" w:pos="900"/>
          <w:tab w:val="left" w:pos="1080"/>
        </w:tabs>
        <w:adjustRightInd w:val="0"/>
        <w:snapToGrid w:val="0"/>
        <w:spacing w:line="360" w:lineRule="auto"/>
        <w:ind w:left="0" w:firstLine="360"/>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投标人的报价明显低于其他通过符合性审查投标人的报价，有可能影响服务质量或者不能诚信履约，未能按评标委员会要求其在评标现场合理的时间内提供书面说明及相关证明材料以证明其报价合理性的；</w:t>
      </w:r>
    </w:p>
    <w:p w14:paraId="3D70FA64">
      <w:pPr>
        <w:numPr>
          <w:ilvl w:val="0"/>
          <w:numId w:val="30"/>
        </w:numPr>
        <w:tabs>
          <w:tab w:val="left" w:pos="900"/>
          <w:tab w:val="left" w:pos="1080"/>
        </w:tabs>
        <w:adjustRightInd w:val="0"/>
        <w:snapToGrid w:val="0"/>
        <w:spacing w:line="360" w:lineRule="auto"/>
        <w:ind w:left="0" w:firstLine="360"/>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投标报价超过采购文件中规定的预算金额（或最高限价）的；</w:t>
      </w:r>
    </w:p>
    <w:p w14:paraId="27CD3272">
      <w:pPr>
        <w:numPr>
          <w:ilvl w:val="0"/>
          <w:numId w:val="30"/>
        </w:numPr>
        <w:tabs>
          <w:tab w:val="left" w:pos="900"/>
          <w:tab w:val="left" w:pos="1080"/>
        </w:tabs>
        <w:adjustRightInd w:val="0"/>
        <w:snapToGrid w:val="0"/>
        <w:spacing w:line="360" w:lineRule="auto"/>
        <w:ind w:left="0" w:firstLine="360"/>
        <w:jc w:val="left"/>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存在法律、法规规定及采购文件规定的其它无效情形的。</w:t>
      </w:r>
    </w:p>
    <w:p w14:paraId="79678A56">
      <w:pPr>
        <w:pStyle w:val="3"/>
        <w:snapToGrid w:val="0"/>
        <w:spacing w:before="120" w:beforeLines="50" w:after="120" w:afterLines="50" w:line="360" w:lineRule="auto"/>
        <w:rPr>
          <w:rFonts w:ascii="楷体" w:hAnsi="楷体" w:cs="楷体"/>
          <w:color w:val="000000" w:themeColor="text1"/>
          <w:sz w:val="24"/>
          <w:szCs w:val="24"/>
          <w14:textFill>
            <w14:solidFill>
              <w14:schemeClr w14:val="tx1"/>
            </w14:solidFill>
          </w14:textFill>
        </w:rPr>
      </w:pPr>
      <w:bookmarkStart w:id="519" w:name="_Toc13974"/>
      <w:bookmarkStart w:id="520" w:name="_Toc225868344"/>
      <w:bookmarkStart w:id="521" w:name="_Toc13554"/>
      <w:bookmarkStart w:id="522" w:name="_Toc21387"/>
      <w:bookmarkStart w:id="523" w:name="_Toc225867142"/>
      <w:bookmarkStart w:id="524" w:name="_Toc28003"/>
      <w:r>
        <w:rPr>
          <w:rFonts w:hint="eastAsia" w:ascii="楷体" w:hAnsi="楷体" w:cs="楷体"/>
          <w:color w:val="000000" w:themeColor="text1"/>
          <w:sz w:val="24"/>
          <w:szCs w:val="24"/>
          <w14:textFill>
            <w14:solidFill>
              <w14:schemeClr w14:val="tx1"/>
            </w14:solidFill>
          </w14:textFill>
        </w:rPr>
        <w:t>五、评标细则及标准</w:t>
      </w:r>
      <w:bookmarkEnd w:id="519"/>
      <w:bookmarkEnd w:id="520"/>
      <w:bookmarkEnd w:id="521"/>
      <w:bookmarkEnd w:id="522"/>
      <w:bookmarkEnd w:id="523"/>
      <w:bookmarkEnd w:id="524"/>
    </w:p>
    <w:p w14:paraId="251533D6">
      <w:pPr>
        <w:autoSpaceDE w:val="0"/>
        <w:autoSpaceDN w:val="0"/>
        <w:adjustRightInd w:val="0"/>
        <w:spacing w:line="360" w:lineRule="auto"/>
        <w:ind w:firstLine="480"/>
        <w:rPr>
          <w:rFonts w:ascii="楷体" w:hAnsi="楷体" w:eastAsia="楷体" w:cs="楷体"/>
          <w:b/>
          <w:color w:val="000000" w:themeColor="text1"/>
          <w:sz w:val="24"/>
          <w:lang w:val="zh-CN"/>
          <w14:textFill>
            <w14:solidFill>
              <w14:schemeClr w14:val="tx1"/>
            </w14:solidFill>
          </w14:textFill>
        </w:rPr>
      </w:pPr>
      <w:r>
        <w:rPr>
          <w:rFonts w:hint="eastAsia" w:ascii="楷体" w:hAnsi="楷体" w:eastAsia="楷体" w:cs="楷体"/>
          <w:b/>
          <w:color w:val="000000" w:themeColor="text1"/>
          <w:sz w:val="24"/>
          <w:lang w:val="zh-CN"/>
          <w14:textFill>
            <w14:solidFill>
              <w14:schemeClr w14:val="tx1"/>
            </w14:solidFill>
          </w14:textFill>
        </w:rPr>
        <w:t>（一）技术商务评审因素（满分</w:t>
      </w:r>
      <w:r>
        <w:rPr>
          <w:rFonts w:hint="eastAsia" w:ascii="楷体" w:hAnsi="楷体" w:eastAsia="楷体" w:cs="楷体"/>
          <w:b/>
          <w:color w:val="000000" w:themeColor="text1"/>
          <w:sz w:val="24"/>
          <w:u w:val="single"/>
          <w14:textFill>
            <w14:solidFill>
              <w14:schemeClr w14:val="tx1"/>
            </w14:solidFill>
          </w14:textFill>
        </w:rPr>
        <w:t xml:space="preserve"> 50</w:t>
      </w:r>
      <w:r>
        <w:rPr>
          <w:rFonts w:hint="eastAsia" w:ascii="楷体" w:hAnsi="楷体" w:eastAsia="楷体" w:cs="楷体"/>
          <w:b/>
          <w:color w:val="000000" w:themeColor="text1"/>
          <w:sz w:val="24"/>
          <w:lang w:val="zh-CN"/>
          <w14:textFill>
            <w14:solidFill>
              <w14:schemeClr w14:val="tx1"/>
            </w14:solidFill>
          </w14:textFill>
        </w:rPr>
        <w:t>分）</w:t>
      </w:r>
    </w:p>
    <w:p w14:paraId="10FD558A">
      <w:pPr>
        <w:autoSpaceDE w:val="0"/>
        <w:autoSpaceDN w:val="0"/>
        <w:adjustRightInd w:val="0"/>
        <w:spacing w:line="360" w:lineRule="auto"/>
        <w:ind w:firstLine="48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color w:val="000000" w:themeColor="text1"/>
          <w:sz w:val="24"/>
          <w:lang w:val="zh-CN"/>
          <w14:textFill>
            <w14:solidFill>
              <w14:schemeClr w14:val="tx1"/>
            </w14:solidFill>
          </w14:textFill>
        </w:rPr>
        <w:t>评标委员会对各投标人的技术商务充分审核、讨论及评议后，每人一份评分表，进行独自打分并签名。在统计得分时，如发现某一单项评分超过评分细则规定的分值范围，则该张评分表无效。投标人技术部分的得分为评标委员会各成员的有效评分的算术平均值。</w:t>
      </w:r>
      <w:r>
        <w:rPr>
          <w:rFonts w:hint="eastAsia" w:ascii="楷体" w:hAnsi="楷体" w:eastAsia="楷体" w:cs="楷体"/>
          <w:b/>
          <w:color w:val="000000" w:themeColor="text1"/>
          <w:sz w:val="24"/>
          <w:lang w:val="zh-CN"/>
          <w14:textFill>
            <w14:solidFill>
              <w14:schemeClr w14:val="tx1"/>
            </w14:solidFill>
          </w14:textFill>
        </w:rPr>
        <w:t>若评审小组成员个人主观打分偏离所有评审小组成员主观打分平均值</w:t>
      </w:r>
      <w:r>
        <w:rPr>
          <w:rFonts w:hint="eastAsia" w:ascii="楷体" w:hAnsi="楷体" w:eastAsia="楷体" w:cs="楷体"/>
          <w:b/>
          <w:color w:val="000000" w:themeColor="text1"/>
          <w:sz w:val="24"/>
          <w14:textFill>
            <w14:solidFill>
              <w14:schemeClr w14:val="tx1"/>
            </w14:solidFill>
          </w14:textFill>
        </w:rPr>
        <w:t>30%以上的，由评标委员会启动评分畸高、畸低行为认定程序。</w:t>
      </w:r>
    </w:p>
    <w:tbl>
      <w:tblPr>
        <w:tblStyle w:val="46"/>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548"/>
        <w:gridCol w:w="1311"/>
        <w:gridCol w:w="693"/>
        <w:gridCol w:w="1075"/>
        <w:gridCol w:w="4614"/>
      </w:tblGrid>
      <w:tr w14:paraId="3248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762" w:type="dxa"/>
            <w:gridSpan w:val="6"/>
            <w:noWrap/>
            <w:vAlign w:val="center"/>
          </w:tcPr>
          <w:p w14:paraId="282958B7">
            <w:pPr>
              <w:jc w:val="center"/>
              <w:rPr>
                <w:rFonts w:ascii="楷体" w:hAnsi="楷体" w:eastAsia="楷体" w:cs="楷体"/>
                <w:b/>
                <w:bCs/>
                <w:color w:val="000000" w:themeColor="text1"/>
                <w:szCs w:val="21"/>
                <w14:textFill>
                  <w14:solidFill>
                    <w14:schemeClr w14:val="tx1"/>
                  </w14:solidFill>
                </w14:textFill>
              </w:rPr>
            </w:pPr>
            <w:bookmarkStart w:id="525" w:name="OLE_LINK42"/>
            <w:bookmarkStart w:id="526" w:name="OLE_LINK41"/>
            <w:r>
              <w:rPr>
                <w:rFonts w:hint="eastAsia" w:ascii="楷体" w:hAnsi="楷体" w:eastAsia="楷体" w:cs="楷体"/>
                <w:b/>
                <w:bCs/>
                <w:color w:val="000000" w:themeColor="text1"/>
                <w:szCs w:val="21"/>
                <w14:textFill>
                  <w14:solidFill>
                    <w14:schemeClr w14:val="tx1"/>
                  </w14:solidFill>
                </w14:textFill>
              </w:rPr>
              <w:t>标项1-水利工程</w:t>
            </w:r>
          </w:p>
        </w:tc>
      </w:tr>
      <w:tr w14:paraId="2371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21" w:type="dxa"/>
            <w:noWrap/>
            <w:vAlign w:val="center"/>
          </w:tcPr>
          <w:p w14:paraId="688252F5">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序号</w:t>
            </w:r>
          </w:p>
        </w:tc>
        <w:tc>
          <w:tcPr>
            <w:tcW w:w="548" w:type="dxa"/>
            <w:noWrap/>
            <w:vAlign w:val="center"/>
          </w:tcPr>
          <w:p w14:paraId="12E710AD">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类型</w:t>
            </w:r>
          </w:p>
        </w:tc>
        <w:tc>
          <w:tcPr>
            <w:tcW w:w="1311" w:type="dxa"/>
            <w:noWrap/>
            <w:vAlign w:val="center"/>
          </w:tcPr>
          <w:p w14:paraId="4C72DF55">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评分标准</w:t>
            </w:r>
          </w:p>
        </w:tc>
        <w:tc>
          <w:tcPr>
            <w:tcW w:w="693" w:type="dxa"/>
            <w:noWrap/>
            <w:vAlign w:val="center"/>
          </w:tcPr>
          <w:p w14:paraId="790321FF">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分值权重</w:t>
            </w:r>
          </w:p>
        </w:tc>
        <w:tc>
          <w:tcPr>
            <w:tcW w:w="1075" w:type="dxa"/>
            <w:noWrap/>
            <w:vAlign w:val="center"/>
          </w:tcPr>
          <w:p w14:paraId="7D8923BD">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打分方法</w:t>
            </w:r>
          </w:p>
        </w:tc>
        <w:tc>
          <w:tcPr>
            <w:tcW w:w="4614" w:type="dxa"/>
            <w:noWrap/>
            <w:vAlign w:val="center"/>
          </w:tcPr>
          <w:p w14:paraId="44D7148C">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评分明细</w:t>
            </w:r>
          </w:p>
        </w:tc>
      </w:tr>
      <w:tr w14:paraId="7438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noWrap/>
            <w:vAlign w:val="center"/>
          </w:tcPr>
          <w:p w14:paraId="32D2DB30">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 xml:space="preserve"> 1</w:t>
            </w:r>
          </w:p>
        </w:tc>
        <w:tc>
          <w:tcPr>
            <w:tcW w:w="548" w:type="dxa"/>
            <w:noWrap/>
            <w:vAlign w:val="center"/>
          </w:tcPr>
          <w:p w14:paraId="6BBD17F2">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商务</w:t>
            </w:r>
          </w:p>
        </w:tc>
        <w:tc>
          <w:tcPr>
            <w:tcW w:w="1311" w:type="dxa"/>
            <w:noWrap/>
            <w:vAlign w:val="center"/>
          </w:tcPr>
          <w:p w14:paraId="65F4A315">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供应商资质资信情况</w:t>
            </w:r>
          </w:p>
        </w:tc>
        <w:tc>
          <w:tcPr>
            <w:tcW w:w="693" w:type="dxa"/>
            <w:noWrap/>
            <w:vAlign w:val="center"/>
          </w:tcPr>
          <w:p w14:paraId="221CC820">
            <w:pPr>
              <w:jc w:val="center"/>
              <w:rPr>
                <w:rFonts w:ascii="楷体" w:hAnsi="楷体" w:eastAsia="楷体" w:cs="楷体"/>
                <w:color w:val="000000" w:themeColor="text1"/>
                <w:szCs w:val="21"/>
                <w14:textFill>
                  <w14:solidFill>
                    <w14:schemeClr w14:val="tx1"/>
                  </w14:solidFill>
                </w14:textFill>
              </w:rPr>
            </w:pPr>
            <w:r>
              <w:rPr>
                <w:rFonts w:ascii="楷体" w:hAnsi="楷体" w:eastAsia="楷体" w:cs="楷体"/>
                <w:color w:val="000000" w:themeColor="text1"/>
                <w:szCs w:val="21"/>
                <w14:textFill>
                  <w14:solidFill>
                    <w14:schemeClr w14:val="tx1"/>
                  </w14:solidFill>
                </w14:textFill>
              </w:rPr>
              <w:t>4</w:t>
            </w:r>
          </w:p>
        </w:tc>
        <w:tc>
          <w:tcPr>
            <w:tcW w:w="1075" w:type="dxa"/>
            <w:noWrap/>
            <w:vAlign w:val="center"/>
          </w:tcPr>
          <w:p w14:paraId="48B65F54">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客观分</w:t>
            </w:r>
          </w:p>
        </w:tc>
        <w:tc>
          <w:tcPr>
            <w:tcW w:w="4614" w:type="dxa"/>
            <w:noWrap/>
            <w:vAlign w:val="center"/>
          </w:tcPr>
          <w:p w14:paraId="4DA4B8EB">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供应商具有质量体系认证证书、环境体系认证证书、职业</w:t>
            </w:r>
            <w:r>
              <w:rPr>
                <w:rFonts w:hint="eastAsia" w:ascii="楷体" w:hAnsi="楷体" w:eastAsia="楷体" w:cs="楷体"/>
                <w:color w:val="000000" w:themeColor="text1"/>
                <w:szCs w:val="21"/>
                <w14:textFill>
                  <w14:solidFill>
                    <w14:schemeClr w14:val="tx1"/>
                  </w14:solidFill>
                </w14:textFill>
              </w:rPr>
              <w:t>健康体系认证证书、</w:t>
            </w:r>
            <w:r>
              <w:rPr>
                <w:rFonts w:ascii="楷体" w:hAnsi="楷体" w:eastAsia="楷体" w:cs="楷体"/>
                <w:color w:val="000000" w:themeColor="text1"/>
                <w:szCs w:val="21"/>
                <w14:textFill>
                  <w14:solidFill>
                    <w14:schemeClr w14:val="tx1"/>
                  </w14:solidFill>
                </w14:textFill>
              </w:rPr>
              <w:t>企业诚信管理体系认证证书</w:t>
            </w:r>
            <w:r>
              <w:rPr>
                <w:rFonts w:hint="eastAsia" w:ascii="楷体" w:hAnsi="楷体" w:eastAsia="楷体" w:cs="楷体"/>
                <w:color w:val="000000" w:themeColor="text1"/>
                <w:szCs w:val="21"/>
                <w14:textFill>
                  <w14:solidFill>
                    <w14:schemeClr w14:val="tx1"/>
                  </w14:solidFill>
                </w14:textFill>
              </w:rPr>
              <w:t>，每提供1项得1分，最高4分。所有认证证书在</w:t>
            </w:r>
            <w:r>
              <w:rPr>
                <w:rFonts w:hint="eastAsia" w:ascii="楷体" w:hAnsi="楷体" w:eastAsia="楷体" w:cs="楷体"/>
                <w:color w:val="000000" w:themeColor="text1"/>
                <w:szCs w:val="21"/>
                <w14:textFill>
                  <w14:solidFill>
                    <w14:schemeClr w14:val="tx1"/>
                  </w14:solidFill>
                </w14:textFill>
              </w:rPr>
              <w:t>投标截止时间前必须仍在有效期内。 (提供证件扫描件加盖公章，未提供不得分)</w:t>
            </w:r>
          </w:p>
        </w:tc>
      </w:tr>
      <w:tr w14:paraId="2352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noWrap/>
            <w:vAlign w:val="center"/>
          </w:tcPr>
          <w:p w14:paraId="0121A96E">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2</w:t>
            </w:r>
          </w:p>
        </w:tc>
        <w:tc>
          <w:tcPr>
            <w:tcW w:w="548" w:type="dxa"/>
            <w:noWrap/>
            <w:vAlign w:val="center"/>
          </w:tcPr>
          <w:p w14:paraId="526FD2CF">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商务</w:t>
            </w:r>
          </w:p>
        </w:tc>
        <w:tc>
          <w:tcPr>
            <w:tcW w:w="1311" w:type="dxa"/>
            <w:noWrap/>
            <w:vAlign w:val="center"/>
          </w:tcPr>
          <w:p w14:paraId="66A521CF">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供应商业绩</w:t>
            </w:r>
          </w:p>
        </w:tc>
        <w:tc>
          <w:tcPr>
            <w:tcW w:w="693" w:type="dxa"/>
            <w:noWrap/>
            <w:vAlign w:val="center"/>
          </w:tcPr>
          <w:p w14:paraId="16CE4E8D">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5</w:t>
            </w:r>
          </w:p>
        </w:tc>
        <w:tc>
          <w:tcPr>
            <w:tcW w:w="1075" w:type="dxa"/>
            <w:noWrap/>
            <w:vAlign w:val="center"/>
          </w:tcPr>
          <w:p w14:paraId="676C2669">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客观分</w:t>
            </w:r>
          </w:p>
        </w:tc>
        <w:tc>
          <w:tcPr>
            <w:tcW w:w="4614" w:type="dxa"/>
            <w:noWrap/>
            <w:vAlign w:val="center"/>
          </w:tcPr>
          <w:p w14:paraId="05A3B3D4">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自202</w:t>
            </w:r>
            <w:r>
              <w:rPr>
                <w:rFonts w:ascii="楷体" w:hAnsi="楷体" w:eastAsia="楷体" w:cs="楷体"/>
                <w:color w:val="000000" w:themeColor="text1"/>
                <w:szCs w:val="21"/>
                <w14:textFill>
                  <w14:solidFill>
                    <w14:schemeClr w14:val="tx1"/>
                  </w14:solidFill>
                </w14:textFill>
              </w:rPr>
              <w:t>1</w:t>
            </w:r>
            <w:r>
              <w:rPr>
                <w:rFonts w:hint="eastAsia" w:ascii="楷体" w:hAnsi="楷体" w:eastAsia="楷体" w:cs="楷体"/>
                <w:color w:val="000000" w:themeColor="text1"/>
                <w:szCs w:val="21"/>
                <w14:textFill>
                  <w14:solidFill>
                    <w14:schemeClr w14:val="tx1"/>
                  </w14:solidFill>
                </w14:textFill>
              </w:rPr>
              <w:t>年1月1日（以竣工资料上时间为准）以来投标人具有同类监理业绩的得1分，最高</w:t>
            </w:r>
            <w:r>
              <w:rPr>
                <w:rFonts w:ascii="楷体" w:hAnsi="楷体" w:eastAsia="楷体" w:cs="楷体"/>
                <w:color w:val="000000" w:themeColor="text1"/>
                <w:szCs w:val="21"/>
                <w14:textFill>
                  <w14:solidFill>
                    <w14:schemeClr w14:val="tx1"/>
                  </w14:solidFill>
                </w14:textFill>
              </w:rPr>
              <w:t>5</w:t>
            </w:r>
            <w:r>
              <w:rPr>
                <w:rFonts w:hint="eastAsia" w:ascii="楷体" w:hAnsi="楷体" w:eastAsia="楷体" w:cs="楷体"/>
                <w:color w:val="000000" w:themeColor="text1"/>
                <w:szCs w:val="21"/>
                <w14:textFill>
                  <w14:solidFill>
                    <w14:schemeClr w14:val="tx1"/>
                  </w14:solidFill>
                </w14:textFill>
              </w:rPr>
              <w:t>分。（提供监理合同扫描件加盖公章，未提供不得分。）</w:t>
            </w:r>
          </w:p>
        </w:tc>
      </w:tr>
      <w:tr w14:paraId="1814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548730BF">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3</w:t>
            </w:r>
          </w:p>
        </w:tc>
        <w:tc>
          <w:tcPr>
            <w:tcW w:w="548" w:type="dxa"/>
            <w:noWrap/>
            <w:vAlign w:val="center"/>
          </w:tcPr>
          <w:p w14:paraId="449CD28C">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2705B44E">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项目负责人</w:t>
            </w:r>
          </w:p>
        </w:tc>
        <w:tc>
          <w:tcPr>
            <w:tcW w:w="693" w:type="dxa"/>
            <w:noWrap/>
            <w:vAlign w:val="center"/>
          </w:tcPr>
          <w:p w14:paraId="716ECC67">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5</w:t>
            </w:r>
          </w:p>
        </w:tc>
        <w:tc>
          <w:tcPr>
            <w:tcW w:w="1075" w:type="dxa"/>
            <w:noWrap/>
            <w:vAlign w:val="center"/>
          </w:tcPr>
          <w:p w14:paraId="3A7CA2A7">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客观分</w:t>
            </w:r>
          </w:p>
        </w:tc>
        <w:tc>
          <w:tcPr>
            <w:tcW w:w="4614" w:type="dxa"/>
            <w:noWrap/>
            <w:vAlign w:val="center"/>
          </w:tcPr>
          <w:p w14:paraId="424F5816">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拟派项目总监具备高级工程师（水利类）及以上职称的得3分，</w:t>
            </w:r>
            <w:bookmarkStart w:id="527" w:name="OLE_LINK46"/>
            <w:r>
              <w:rPr>
                <w:rFonts w:hint="eastAsia" w:ascii="楷体" w:hAnsi="楷体" w:eastAsia="楷体" w:cs="楷体"/>
                <w:color w:val="000000" w:themeColor="text1"/>
                <w:szCs w:val="21"/>
                <w14:textFill>
                  <w14:solidFill>
                    <w14:schemeClr w14:val="tx1"/>
                  </w14:solidFill>
                </w14:textFill>
              </w:rPr>
              <w:t>中级</w:t>
            </w:r>
            <w:bookmarkEnd w:id="527"/>
            <w:r>
              <w:rPr>
                <w:rFonts w:hint="eastAsia" w:ascii="楷体" w:hAnsi="楷体" w:eastAsia="楷体" w:cs="楷体"/>
                <w:color w:val="000000" w:themeColor="text1"/>
                <w:szCs w:val="21"/>
                <w14:textFill>
                  <w14:solidFill>
                    <w14:schemeClr w14:val="tx1"/>
                  </w14:solidFill>
                </w14:textFill>
              </w:rPr>
              <w:t>工程师职称的得1分，具有一级注册造价工程师的得2分，本项目最高得5分。</w:t>
            </w:r>
          </w:p>
          <w:p w14:paraId="5A4BE703">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注：提供专业技术资格证书、注册证书扫描件及有效社保证明（由社保部门出具在投标截止时间前三个月内任意一个月有效</w:t>
            </w:r>
            <w:r>
              <w:rPr>
                <w:rFonts w:ascii="楷体" w:hAnsi="楷体" w:eastAsia="楷体" w:cs="楷体"/>
                <w:color w:val="000000" w:themeColor="text1"/>
                <w:szCs w:val="21"/>
                <w14:textFill>
                  <w14:solidFill>
                    <w14:schemeClr w14:val="tx1"/>
                  </w14:solidFill>
                </w14:textFill>
              </w:rPr>
              <w:t>社保</w:t>
            </w:r>
            <w:r>
              <w:rPr>
                <w:rFonts w:hint="eastAsia" w:ascii="楷体" w:hAnsi="楷体" w:eastAsia="楷体" w:cs="楷体"/>
                <w:color w:val="000000" w:themeColor="text1"/>
                <w:szCs w:val="21"/>
                <w14:textFill>
                  <w14:solidFill>
                    <w14:schemeClr w14:val="tx1"/>
                  </w14:solidFill>
                </w14:textFill>
              </w:rPr>
              <w:t>证明，社保缴纳单位应与投标人名称一致。）未提供不得分。</w:t>
            </w:r>
          </w:p>
        </w:tc>
      </w:tr>
      <w:tr w14:paraId="1AF6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402302F2">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4</w:t>
            </w:r>
          </w:p>
        </w:tc>
        <w:tc>
          <w:tcPr>
            <w:tcW w:w="548" w:type="dxa"/>
            <w:noWrap/>
            <w:vAlign w:val="center"/>
          </w:tcPr>
          <w:p w14:paraId="4288ECE5">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057DACEE">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拟投入人员情况</w:t>
            </w:r>
          </w:p>
        </w:tc>
        <w:tc>
          <w:tcPr>
            <w:tcW w:w="693" w:type="dxa"/>
            <w:noWrap/>
            <w:vAlign w:val="center"/>
          </w:tcPr>
          <w:p w14:paraId="4EC886DE">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6</w:t>
            </w:r>
          </w:p>
        </w:tc>
        <w:tc>
          <w:tcPr>
            <w:tcW w:w="1075" w:type="dxa"/>
            <w:noWrap/>
            <w:vAlign w:val="center"/>
          </w:tcPr>
          <w:p w14:paraId="126F4166">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客观分</w:t>
            </w:r>
          </w:p>
        </w:tc>
        <w:tc>
          <w:tcPr>
            <w:tcW w:w="4614" w:type="dxa"/>
            <w:noWrap/>
            <w:vAlign w:val="center"/>
          </w:tcPr>
          <w:p w14:paraId="04054799">
            <w:pPr>
              <w:snapToGrid w:val="0"/>
              <w:spacing w:line="270" w:lineRule="exact"/>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投入本项目组人员中（除项目总监外），每具备以下一个注册证书得2分，按一人一证计取，本项最高得6分；</w:t>
            </w:r>
          </w:p>
          <w:p w14:paraId="7BE56156">
            <w:pPr>
              <w:snapToGrid w:val="0"/>
              <w:spacing w:line="270" w:lineRule="exact"/>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①一级注册造价工程师；②国家注册监理工程师（水利工程）；③注册安全工程师；</w:t>
            </w:r>
          </w:p>
          <w:p w14:paraId="78F4BA9F">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注：对应人员证书均提供证书原件扫描件加盖投标单位公章及有效社保证明（由社保部门出具在投标截止时间前三个月内任意一个月有效</w:t>
            </w:r>
            <w:r>
              <w:rPr>
                <w:rFonts w:ascii="楷体" w:hAnsi="楷体" w:eastAsia="楷体" w:cs="楷体"/>
                <w:color w:val="000000" w:themeColor="text1"/>
                <w:szCs w:val="21"/>
                <w14:textFill>
                  <w14:solidFill>
                    <w14:schemeClr w14:val="tx1"/>
                  </w14:solidFill>
                </w14:textFill>
              </w:rPr>
              <w:t>社保</w:t>
            </w:r>
            <w:r>
              <w:rPr>
                <w:rFonts w:hint="eastAsia" w:ascii="楷体" w:hAnsi="楷体" w:eastAsia="楷体" w:cs="楷体"/>
                <w:color w:val="000000" w:themeColor="text1"/>
                <w:szCs w:val="21"/>
                <w14:textFill>
                  <w14:solidFill>
                    <w14:schemeClr w14:val="tx1"/>
                  </w14:solidFill>
                </w14:textFill>
              </w:rPr>
              <w:t>证明，社保缴纳单位应与投标人名称一致。）未提供不得分。</w:t>
            </w:r>
          </w:p>
        </w:tc>
      </w:tr>
      <w:tr w14:paraId="50AA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006F0568">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5</w:t>
            </w:r>
          </w:p>
        </w:tc>
        <w:tc>
          <w:tcPr>
            <w:tcW w:w="548" w:type="dxa"/>
            <w:noWrap/>
            <w:vAlign w:val="center"/>
          </w:tcPr>
          <w:p w14:paraId="62BE911D">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506CBFCF">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施工进度控制</w:t>
            </w:r>
          </w:p>
        </w:tc>
        <w:tc>
          <w:tcPr>
            <w:tcW w:w="693" w:type="dxa"/>
            <w:noWrap/>
            <w:vAlign w:val="center"/>
          </w:tcPr>
          <w:p w14:paraId="60706E9E">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477FE065">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3D797922">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对各分项工程，从准备、实施、竣工到项目的保修阶段的每一道工序，所采取的进度控制措施、方法。进度控制计划与实际进度产生较大差距时，从措施的可行和效果上进行分析，由专家进行评分。评分范围（0、1、2、3、4</w:t>
            </w:r>
            <w:bookmarkStart w:id="528" w:name="OLE_LINK21"/>
            <w:bookmarkStart w:id="529" w:name="OLE_LINK20"/>
            <w:r>
              <w:rPr>
                <w:rFonts w:hint="eastAsia" w:ascii="楷体" w:hAnsi="楷体" w:eastAsia="楷体" w:cs="楷体"/>
                <w:color w:val="000000" w:themeColor="text1"/>
                <w:szCs w:val="21"/>
                <w14:textFill>
                  <w14:solidFill>
                    <w14:schemeClr w14:val="tx1"/>
                  </w14:solidFill>
                </w14:textFill>
              </w:rPr>
              <w:t>），未提供的不得分</w:t>
            </w:r>
            <w:bookmarkEnd w:id="528"/>
            <w:bookmarkEnd w:id="529"/>
            <w:r>
              <w:rPr>
                <w:rFonts w:hint="eastAsia" w:ascii="楷体" w:hAnsi="楷体" w:eastAsia="楷体" w:cs="楷体"/>
                <w:color w:val="000000" w:themeColor="text1"/>
                <w:szCs w:val="21"/>
                <w14:textFill>
                  <w14:solidFill>
                    <w14:schemeClr w14:val="tx1"/>
                  </w14:solidFill>
                </w14:textFill>
              </w:rPr>
              <w:t>。</w:t>
            </w:r>
          </w:p>
        </w:tc>
      </w:tr>
      <w:tr w14:paraId="0A13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0D7930EE">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6</w:t>
            </w:r>
          </w:p>
        </w:tc>
        <w:tc>
          <w:tcPr>
            <w:tcW w:w="548" w:type="dxa"/>
            <w:noWrap/>
            <w:vAlign w:val="center"/>
          </w:tcPr>
          <w:p w14:paraId="41BDA422">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08BBD774">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质量控制</w:t>
            </w:r>
          </w:p>
        </w:tc>
        <w:tc>
          <w:tcPr>
            <w:tcW w:w="693" w:type="dxa"/>
            <w:noWrap/>
            <w:vAlign w:val="center"/>
          </w:tcPr>
          <w:p w14:paraId="1AB08325">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31DBB07B">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2B919DD3">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针对本项目的实际情况对质量控制的保证措施手段是否科学、可靠，包括检验批、分部、分项工程的实体质量控制、隐蔽验收、专项验收、轴线，功能检测，原材料构配件、节能、质量的把关及方案审核，旁站和质量事故处理手段等，由专家进行评分。</w:t>
            </w:r>
            <w:bookmarkStart w:id="530" w:name="OLE_LINK38"/>
            <w:r>
              <w:rPr>
                <w:rFonts w:hint="eastAsia" w:ascii="楷体" w:hAnsi="楷体" w:eastAsia="楷体" w:cs="楷体"/>
                <w:color w:val="000000" w:themeColor="text1"/>
                <w:szCs w:val="21"/>
                <w14:textFill>
                  <w14:solidFill>
                    <w14:schemeClr w14:val="tx1"/>
                  </w14:solidFill>
                </w14:textFill>
              </w:rPr>
              <w:t>评分范围（0、1、2、3、4），未提供的不得分</w:t>
            </w:r>
            <w:bookmarkEnd w:id="530"/>
            <w:r>
              <w:rPr>
                <w:rFonts w:hint="eastAsia" w:ascii="楷体" w:hAnsi="楷体" w:eastAsia="楷体" w:cs="楷体"/>
                <w:color w:val="000000" w:themeColor="text1"/>
                <w:szCs w:val="21"/>
                <w14:textFill>
                  <w14:solidFill>
                    <w14:schemeClr w14:val="tx1"/>
                  </w14:solidFill>
                </w14:textFill>
              </w:rPr>
              <w:t>。</w:t>
            </w:r>
          </w:p>
        </w:tc>
      </w:tr>
      <w:tr w14:paraId="3D8A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521" w:type="dxa"/>
            <w:noWrap/>
            <w:vAlign w:val="center"/>
          </w:tcPr>
          <w:p w14:paraId="6C111E0C">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7</w:t>
            </w:r>
          </w:p>
        </w:tc>
        <w:tc>
          <w:tcPr>
            <w:tcW w:w="548" w:type="dxa"/>
            <w:noWrap/>
            <w:vAlign w:val="center"/>
          </w:tcPr>
          <w:p w14:paraId="6FA7D6F5">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0DDAEA90">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投资控制</w:t>
            </w:r>
          </w:p>
        </w:tc>
        <w:tc>
          <w:tcPr>
            <w:tcW w:w="693" w:type="dxa"/>
            <w:noWrap/>
            <w:vAlign w:val="center"/>
          </w:tcPr>
          <w:p w14:paraId="6D88B0BB">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30FB05D5">
            <w:pPr>
              <w:jc w:val="center"/>
              <w:rPr>
                <w:rFonts w:ascii="楷体" w:hAnsi="楷体" w:eastAsia="楷体" w:cs="楷体"/>
                <w:color w:val="000000" w:themeColor="text1"/>
                <w:szCs w:val="21"/>
                <w14:textFill>
                  <w14:solidFill>
                    <w14:schemeClr w14:val="tx1"/>
                  </w14:solidFill>
                </w14:textFill>
              </w:rPr>
            </w:pPr>
            <w:bookmarkStart w:id="531" w:name="OLE_LINK17"/>
            <w:bookmarkStart w:id="532" w:name="OLE_LINK37"/>
            <w:r>
              <w:rPr>
                <w:rFonts w:hint="eastAsia" w:ascii="楷体" w:hAnsi="楷体" w:eastAsia="楷体" w:cs="楷体"/>
                <w:color w:val="000000" w:themeColor="text1"/>
                <w:szCs w:val="21"/>
                <w14:textFill>
                  <w14:solidFill>
                    <w14:schemeClr w14:val="tx1"/>
                  </w14:solidFill>
                </w14:textFill>
              </w:rPr>
              <w:t>主观分</w:t>
            </w:r>
            <w:bookmarkEnd w:id="531"/>
            <w:bookmarkEnd w:id="532"/>
          </w:p>
        </w:tc>
        <w:tc>
          <w:tcPr>
            <w:tcW w:w="4614" w:type="dxa"/>
            <w:noWrap/>
            <w:vAlign w:val="center"/>
          </w:tcPr>
          <w:p w14:paraId="07E90D7C">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对本项目投资控制，包括施工阶段的设计、设计变更、索赔、工程计量、现场签证、支付审核、结算审核等有效办法和措施，由专家进行评分。</w:t>
            </w:r>
          </w:p>
          <w:p w14:paraId="0EA3B48D">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评分范围（0、1、2、3、4），未提供的不得分。</w:t>
            </w:r>
          </w:p>
        </w:tc>
      </w:tr>
      <w:tr w14:paraId="254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1" w:type="dxa"/>
            <w:noWrap/>
            <w:vAlign w:val="center"/>
          </w:tcPr>
          <w:p w14:paraId="063C3919">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8</w:t>
            </w:r>
          </w:p>
        </w:tc>
        <w:tc>
          <w:tcPr>
            <w:tcW w:w="548" w:type="dxa"/>
            <w:noWrap/>
            <w:vAlign w:val="center"/>
          </w:tcPr>
          <w:p w14:paraId="7324551C">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1F340B9C">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安全文明施工管理</w:t>
            </w:r>
          </w:p>
        </w:tc>
        <w:tc>
          <w:tcPr>
            <w:tcW w:w="693" w:type="dxa"/>
            <w:noWrap/>
            <w:vAlign w:val="center"/>
          </w:tcPr>
          <w:p w14:paraId="3B684264">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1B64A1C5">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41A50454">
            <w:pPr>
              <w:tabs>
                <w:tab w:val="left" w:pos="840"/>
              </w:tabs>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对本项目安全文明管理施工，根据安全生产措施、文明施工措施、环境保护措施等，由专家进行评分。评分范围评分范围（0、1、2、3、4），</w:t>
            </w:r>
            <w:bookmarkStart w:id="533" w:name="OLE_LINK40"/>
            <w:bookmarkStart w:id="534" w:name="OLE_LINK39"/>
            <w:r>
              <w:rPr>
                <w:rFonts w:hint="eastAsia" w:ascii="楷体" w:hAnsi="楷体" w:eastAsia="楷体" w:cs="楷体"/>
                <w:color w:val="000000" w:themeColor="text1"/>
                <w:szCs w:val="21"/>
                <w14:textFill>
                  <w14:solidFill>
                    <w14:schemeClr w14:val="tx1"/>
                  </w14:solidFill>
                </w14:textFill>
              </w:rPr>
              <w:t>未提供的不得分。</w:t>
            </w:r>
            <w:bookmarkEnd w:id="533"/>
            <w:bookmarkEnd w:id="534"/>
          </w:p>
        </w:tc>
      </w:tr>
      <w:tr w14:paraId="00A2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68510505">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9</w:t>
            </w:r>
          </w:p>
        </w:tc>
        <w:tc>
          <w:tcPr>
            <w:tcW w:w="548" w:type="dxa"/>
            <w:noWrap/>
            <w:vAlign w:val="center"/>
          </w:tcPr>
          <w:p w14:paraId="49AE5899">
            <w:pPr>
              <w:rPr>
                <w:rFonts w:ascii="楷体" w:hAnsi="楷体" w:eastAsia="楷体" w:cs="楷体"/>
                <w:color w:val="000000" w:themeColor="text1"/>
                <w:szCs w:val="21"/>
                <w14:textFill>
                  <w14:solidFill>
                    <w14:schemeClr w14:val="tx1"/>
                  </w14:solidFill>
                </w14:textFill>
              </w:rPr>
            </w:pPr>
            <w:bookmarkStart w:id="535" w:name="OLE_LINK31"/>
            <w:r>
              <w:rPr>
                <w:rFonts w:hint="eastAsia" w:ascii="楷体" w:hAnsi="楷体" w:eastAsia="楷体" w:cs="楷体"/>
                <w:color w:val="000000" w:themeColor="text1"/>
                <w:szCs w:val="21"/>
                <w14:textFill>
                  <w14:solidFill>
                    <w14:schemeClr w14:val="tx1"/>
                  </w14:solidFill>
                </w14:textFill>
              </w:rPr>
              <w:t>技术</w:t>
            </w:r>
            <w:bookmarkEnd w:id="535"/>
          </w:p>
        </w:tc>
        <w:tc>
          <w:tcPr>
            <w:tcW w:w="1311" w:type="dxa"/>
            <w:noWrap/>
            <w:vAlign w:val="center"/>
          </w:tcPr>
          <w:p w14:paraId="5E8FA43E">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拟投入设备</w:t>
            </w:r>
          </w:p>
        </w:tc>
        <w:tc>
          <w:tcPr>
            <w:tcW w:w="693" w:type="dxa"/>
            <w:noWrap/>
            <w:vAlign w:val="center"/>
          </w:tcPr>
          <w:p w14:paraId="2BFA246E">
            <w:pPr>
              <w:jc w:val="center"/>
              <w:rPr>
                <w:rFonts w:ascii="楷体" w:hAnsi="楷体" w:eastAsia="楷体" w:cs="楷体"/>
                <w:color w:val="000000" w:themeColor="text1"/>
                <w:szCs w:val="21"/>
                <w14:textFill>
                  <w14:solidFill>
                    <w14:schemeClr w14:val="tx1"/>
                  </w14:solidFill>
                </w14:textFill>
              </w:rPr>
            </w:pPr>
            <w:r>
              <w:rPr>
                <w:rFonts w:ascii="楷体" w:hAnsi="楷体" w:eastAsia="楷体" w:cs="楷体"/>
                <w:color w:val="000000" w:themeColor="text1"/>
                <w:szCs w:val="21"/>
                <w14:textFill>
                  <w14:solidFill>
                    <w14:schemeClr w14:val="tx1"/>
                  </w14:solidFill>
                </w14:textFill>
              </w:rPr>
              <w:t>6</w:t>
            </w:r>
          </w:p>
        </w:tc>
        <w:tc>
          <w:tcPr>
            <w:tcW w:w="1075" w:type="dxa"/>
            <w:noWrap/>
            <w:vAlign w:val="center"/>
          </w:tcPr>
          <w:p w14:paraId="3D55E823">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2E89380F">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供应商针对本项目拟投入检测仪器和工具是否能满足工程要求，由专家进行评分。评分范围评分范围（0、1、2、3、4、5、6），未提供的不得分。</w:t>
            </w:r>
          </w:p>
        </w:tc>
      </w:tr>
      <w:tr w14:paraId="7F4D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71E8B5AF">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10</w:t>
            </w:r>
          </w:p>
        </w:tc>
        <w:tc>
          <w:tcPr>
            <w:tcW w:w="548" w:type="dxa"/>
            <w:noWrap/>
            <w:vAlign w:val="center"/>
          </w:tcPr>
          <w:p w14:paraId="5CE58653">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736B560D">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资料整理及组织实施计划方案</w:t>
            </w:r>
          </w:p>
        </w:tc>
        <w:tc>
          <w:tcPr>
            <w:tcW w:w="693" w:type="dxa"/>
            <w:noWrap/>
            <w:vAlign w:val="center"/>
          </w:tcPr>
          <w:p w14:paraId="42B11EFA">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5ECF562A">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4FEB67B8">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供应商针对本项目技术资料编制及制作的组织实施计划等情况，由专家进行评分。评分范围评分范围（0、1、2、3、4），未提供的不得分。</w:t>
            </w:r>
          </w:p>
        </w:tc>
      </w:tr>
      <w:tr w14:paraId="53E7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79567AC1">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11</w:t>
            </w:r>
          </w:p>
        </w:tc>
        <w:tc>
          <w:tcPr>
            <w:tcW w:w="548" w:type="dxa"/>
            <w:noWrap/>
            <w:vAlign w:val="center"/>
          </w:tcPr>
          <w:p w14:paraId="5F7DE3C1">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0A120080">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总体方案</w:t>
            </w:r>
          </w:p>
        </w:tc>
        <w:tc>
          <w:tcPr>
            <w:tcW w:w="693" w:type="dxa"/>
            <w:noWrap/>
            <w:vAlign w:val="center"/>
          </w:tcPr>
          <w:p w14:paraId="70F49BCC">
            <w:pPr>
              <w:jc w:val="center"/>
              <w:rPr>
                <w:rFonts w:ascii="楷体" w:hAnsi="楷体" w:eastAsia="楷体" w:cs="楷体"/>
                <w:color w:val="000000" w:themeColor="text1"/>
                <w:szCs w:val="21"/>
                <w14:textFill>
                  <w14:solidFill>
                    <w14:schemeClr w14:val="tx1"/>
                  </w14:solidFill>
                </w14:textFill>
              </w:rPr>
            </w:pPr>
            <w:r>
              <w:rPr>
                <w:rFonts w:ascii="楷体" w:hAnsi="楷体" w:eastAsia="楷体" w:cs="楷体"/>
                <w:color w:val="000000" w:themeColor="text1"/>
                <w:szCs w:val="21"/>
                <w14:textFill>
                  <w14:solidFill>
                    <w14:schemeClr w14:val="tx1"/>
                  </w14:solidFill>
                </w14:textFill>
              </w:rPr>
              <w:t>4</w:t>
            </w:r>
          </w:p>
        </w:tc>
        <w:tc>
          <w:tcPr>
            <w:tcW w:w="1075" w:type="dxa"/>
            <w:noWrap/>
            <w:vAlign w:val="center"/>
          </w:tcPr>
          <w:p w14:paraId="1585E8BD">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2E457B3B">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根据供应商针对本项目提出的总体方案情况，由专家进行评分。评分范围评分范围（0、</w:t>
            </w:r>
            <w:r>
              <w:rPr>
                <w:rFonts w:ascii="楷体" w:hAnsi="楷体" w:eastAsia="楷体" w:cs="楷体"/>
                <w:color w:val="000000" w:themeColor="text1"/>
                <w:szCs w:val="21"/>
                <w14:textFill>
                  <w14:solidFill>
                    <w14:schemeClr w14:val="tx1"/>
                  </w14:solidFill>
                </w14:textFill>
              </w:rPr>
              <w:t>1</w:t>
            </w:r>
            <w:r>
              <w:rPr>
                <w:rFonts w:hint="eastAsia" w:ascii="楷体" w:hAnsi="楷体" w:eastAsia="楷体" w:cs="楷体"/>
                <w:color w:val="000000" w:themeColor="text1"/>
                <w:szCs w:val="21"/>
                <w14:textFill>
                  <w14:solidFill>
                    <w14:schemeClr w14:val="tx1"/>
                  </w14:solidFill>
                </w14:textFill>
              </w:rPr>
              <w:t>、</w:t>
            </w:r>
            <w:r>
              <w:rPr>
                <w:rFonts w:ascii="楷体" w:hAnsi="楷体" w:eastAsia="楷体" w:cs="楷体"/>
                <w:color w:val="000000" w:themeColor="text1"/>
                <w:szCs w:val="21"/>
                <w14:textFill>
                  <w14:solidFill>
                    <w14:schemeClr w14:val="tx1"/>
                  </w14:solidFill>
                </w14:textFill>
              </w:rPr>
              <w:t>2</w:t>
            </w:r>
            <w:r>
              <w:rPr>
                <w:rFonts w:hint="eastAsia" w:ascii="楷体" w:hAnsi="楷体" w:eastAsia="楷体" w:cs="楷体"/>
                <w:color w:val="000000" w:themeColor="text1"/>
                <w:szCs w:val="21"/>
                <w14:textFill>
                  <w14:solidFill>
                    <w14:schemeClr w14:val="tx1"/>
                  </w14:solidFill>
                </w14:textFill>
              </w:rPr>
              <w:t>、</w:t>
            </w:r>
            <w:r>
              <w:rPr>
                <w:rFonts w:ascii="楷体" w:hAnsi="楷体" w:eastAsia="楷体" w:cs="楷体"/>
                <w:color w:val="000000" w:themeColor="text1"/>
                <w:szCs w:val="21"/>
                <w14:textFill>
                  <w14:solidFill>
                    <w14:schemeClr w14:val="tx1"/>
                  </w14:solidFill>
                </w14:textFill>
              </w:rPr>
              <w:t>3</w:t>
            </w:r>
            <w:r>
              <w:rPr>
                <w:rFonts w:hint="eastAsia" w:ascii="楷体" w:hAnsi="楷体" w:eastAsia="楷体" w:cs="楷体"/>
                <w:color w:val="000000" w:themeColor="text1"/>
                <w:szCs w:val="21"/>
                <w14:textFill>
                  <w14:solidFill>
                    <w14:schemeClr w14:val="tx1"/>
                  </w14:solidFill>
                </w14:textFill>
              </w:rPr>
              <w:t>、</w:t>
            </w:r>
            <w:r>
              <w:rPr>
                <w:rFonts w:ascii="楷体" w:hAnsi="楷体" w:eastAsia="楷体" w:cs="楷体"/>
                <w:color w:val="000000" w:themeColor="text1"/>
                <w:szCs w:val="21"/>
                <w14:textFill>
                  <w14:solidFill>
                    <w14:schemeClr w14:val="tx1"/>
                  </w14:solidFill>
                </w14:textFill>
              </w:rPr>
              <w:t>4</w:t>
            </w:r>
            <w:r>
              <w:rPr>
                <w:rFonts w:hint="eastAsia" w:ascii="楷体" w:hAnsi="楷体" w:eastAsia="楷体" w:cs="楷体"/>
                <w:color w:val="000000" w:themeColor="text1"/>
                <w:szCs w:val="21"/>
                <w14:textFill>
                  <w14:solidFill>
                    <w14:schemeClr w14:val="tx1"/>
                  </w14:solidFill>
                </w14:textFill>
              </w:rPr>
              <w:t>），未提供的不得分。</w:t>
            </w:r>
          </w:p>
        </w:tc>
      </w:tr>
      <w:bookmarkEnd w:id="525"/>
      <w:bookmarkEnd w:id="526"/>
    </w:tbl>
    <w:p w14:paraId="25BEE4D0">
      <w:pPr>
        <w:autoSpaceDE w:val="0"/>
        <w:autoSpaceDN w:val="0"/>
        <w:adjustRightInd w:val="0"/>
        <w:spacing w:line="360" w:lineRule="auto"/>
        <w:ind w:firstLine="480"/>
        <w:rPr>
          <w:rFonts w:ascii="楷体" w:hAnsi="楷体" w:eastAsia="楷体" w:cs="楷体"/>
          <w:b/>
          <w:color w:val="000000" w:themeColor="text1"/>
          <w:szCs w:val="21"/>
          <w:lang w:val="zh-CN"/>
          <w14:textFill>
            <w14:solidFill>
              <w14:schemeClr w14:val="tx1"/>
            </w14:solidFill>
          </w14:textFill>
        </w:rPr>
      </w:pPr>
    </w:p>
    <w:tbl>
      <w:tblPr>
        <w:tblStyle w:val="46"/>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548"/>
        <w:gridCol w:w="1311"/>
        <w:gridCol w:w="693"/>
        <w:gridCol w:w="1075"/>
        <w:gridCol w:w="4614"/>
      </w:tblGrid>
      <w:tr w14:paraId="0D44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762" w:type="dxa"/>
            <w:gridSpan w:val="6"/>
            <w:noWrap/>
            <w:vAlign w:val="center"/>
          </w:tcPr>
          <w:p w14:paraId="6D35ADED">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标项</w:t>
            </w:r>
            <w:r>
              <w:rPr>
                <w:rFonts w:ascii="楷体" w:hAnsi="楷体" w:eastAsia="楷体" w:cs="楷体"/>
                <w:b/>
                <w:bCs/>
                <w:color w:val="000000" w:themeColor="text1"/>
                <w:szCs w:val="21"/>
                <w14:textFill>
                  <w14:solidFill>
                    <w14:schemeClr w14:val="tx1"/>
                  </w14:solidFill>
                </w14:textFill>
              </w:rPr>
              <w:t>2</w:t>
            </w:r>
            <w:r>
              <w:rPr>
                <w:rFonts w:hint="eastAsia" w:ascii="楷体" w:hAnsi="楷体" w:eastAsia="楷体" w:cs="楷体"/>
                <w:b/>
                <w:bCs/>
                <w:color w:val="000000" w:themeColor="text1"/>
                <w:szCs w:val="21"/>
                <w14:textFill>
                  <w14:solidFill>
                    <w14:schemeClr w14:val="tx1"/>
                  </w14:solidFill>
                </w14:textFill>
              </w:rPr>
              <w:t>-市政园林</w:t>
            </w:r>
            <w:r>
              <w:rPr>
                <w:rFonts w:ascii="楷体" w:hAnsi="楷体" w:eastAsia="楷体" w:cs="楷体"/>
                <w:b/>
                <w:bCs/>
                <w:color w:val="000000" w:themeColor="text1"/>
                <w:szCs w:val="21"/>
                <w14:textFill>
                  <w14:solidFill>
                    <w14:schemeClr w14:val="tx1"/>
                  </w14:solidFill>
                </w14:textFill>
              </w:rPr>
              <w:t>（</w:t>
            </w:r>
            <w:r>
              <w:rPr>
                <w:rFonts w:hint="eastAsia" w:ascii="楷体" w:hAnsi="楷体" w:eastAsia="楷体" w:cs="楷体"/>
                <w:b/>
                <w:bCs/>
                <w:color w:val="000000" w:themeColor="text1"/>
                <w:szCs w:val="21"/>
                <w14:textFill>
                  <w14:solidFill>
                    <w14:schemeClr w14:val="tx1"/>
                  </w14:solidFill>
                </w14:textFill>
              </w:rPr>
              <w:t>市政公用工程</w:t>
            </w:r>
            <w:r>
              <w:rPr>
                <w:rFonts w:ascii="楷体" w:hAnsi="楷体" w:eastAsia="楷体" w:cs="楷体"/>
                <w:b/>
                <w:bCs/>
                <w:color w:val="000000" w:themeColor="text1"/>
                <w:szCs w:val="21"/>
                <w14:textFill>
                  <w14:solidFill>
                    <w14:schemeClr w14:val="tx1"/>
                  </w14:solidFill>
                </w14:textFill>
              </w:rPr>
              <w:t>）</w:t>
            </w:r>
          </w:p>
        </w:tc>
      </w:tr>
      <w:tr w14:paraId="36AB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21" w:type="dxa"/>
            <w:noWrap/>
            <w:vAlign w:val="center"/>
          </w:tcPr>
          <w:p w14:paraId="70323780">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序号</w:t>
            </w:r>
          </w:p>
        </w:tc>
        <w:tc>
          <w:tcPr>
            <w:tcW w:w="548" w:type="dxa"/>
            <w:noWrap/>
            <w:vAlign w:val="center"/>
          </w:tcPr>
          <w:p w14:paraId="682C023B">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类型</w:t>
            </w:r>
          </w:p>
        </w:tc>
        <w:tc>
          <w:tcPr>
            <w:tcW w:w="1311" w:type="dxa"/>
            <w:noWrap/>
            <w:vAlign w:val="center"/>
          </w:tcPr>
          <w:p w14:paraId="2A5D68A3">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评分标准</w:t>
            </w:r>
          </w:p>
        </w:tc>
        <w:tc>
          <w:tcPr>
            <w:tcW w:w="693" w:type="dxa"/>
            <w:noWrap/>
            <w:vAlign w:val="center"/>
          </w:tcPr>
          <w:p w14:paraId="3228D68D">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分值权重</w:t>
            </w:r>
          </w:p>
        </w:tc>
        <w:tc>
          <w:tcPr>
            <w:tcW w:w="1075" w:type="dxa"/>
            <w:noWrap/>
            <w:vAlign w:val="center"/>
          </w:tcPr>
          <w:p w14:paraId="23F8EF87">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打分方法</w:t>
            </w:r>
          </w:p>
        </w:tc>
        <w:tc>
          <w:tcPr>
            <w:tcW w:w="4614" w:type="dxa"/>
            <w:noWrap/>
            <w:vAlign w:val="center"/>
          </w:tcPr>
          <w:p w14:paraId="19902166">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评分明细</w:t>
            </w:r>
          </w:p>
        </w:tc>
      </w:tr>
      <w:tr w14:paraId="3F4E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noWrap/>
            <w:vAlign w:val="center"/>
          </w:tcPr>
          <w:p w14:paraId="5B2AF90C">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 xml:space="preserve"> 1</w:t>
            </w:r>
          </w:p>
        </w:tc>
        <w:tc>
          <w:tcPr>
            <w:tcW w:w="548" w:type="dxa"/>
            <w:noWrap/>
            <w:vAlign w:val="center"/>
          </w:tcPr>
          <w:p w14:paraId="12B42CB9">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商务</w:t>
            </w:r>
          </w:p>
        </w:tc>
        <w:tc>
          <w:tcPr>
            <w:tcW w:w="1311" w:type="dxa"/>
            <w:noWrap/>
            <w:vAlign w:val="center"/>
          </w:tcPr>
          <w:p w14:paraId="0EED19B4">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供应商资质资信情况</w:t>
            </w:r>
          </w:p>
        </w:tc>
        <w:tc>
          <w:tcPr>
            <w:tcW w:w="693" w:type="dxa"/>
            <w:noWrap/>
            <w:vAlign w:val="center"/>
          </w:tcPr>
          <w:p w14:paraId="7C995171">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7</w:t>
            </w:r>
          </w:p>
        </w:tc>
        <w:tc>
          <w:tcPr>
            <w:tcW w:w="1075" w:type="dxa"/>
            <w:noWrap/>
            <w:vAlign w:val="center"/>
          </w:tcPr>
          <w:p w14:paraId="4ACBFD1A">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客观分</w:t>
            </w:r>
          </w:p>
        </w:tc>
        <w:tc>
          <w:tcPr>
            <w:tcW w:w="4614" w:type="dxa"/>
            <w:noWrap/>
            <w:vAlign w:val="center"/>
          </w:tcPr>
          <w:p w14:paraId="19C35C64">
            <w:pPr>
              <w:numPr>
                <w:ilvl w:val="0"/>
                <w:numId w:val="31"/>
              </w:num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供应商具有质量体系认证证书、环境体系认证证书、职业健康体系认证证书、社会责任管理体系认证证书，每提供1项得1分，最高4分。所有认证证书在投标截止时间前必须仍在有效期内。 (提供证件扫描件加盖公章，未提供不得分)</w:t>
            </w:r>
          </w:p>
          <w:p w14:paraId="3AB45718">
            <w:pPr>
              <w:numPr>
                <w:ilvl w:val="0"/>
                <w:numId w:val="31"/>
              </w:num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评标标准信用分值A级3分，B级2分，C级1分，注:信用评价等级以投标截止时间当月(如投标截止时间前有修订以修订内容为准)建筑行业信用评级子系统(https://pingjia.zjj.wenzhou.gov.cn/)“公告通知”中发布的“工程监理企业信用评价等级公布(当月)”为准。</w:t>
            </w:r>
          </w:p>
        </w:tc>
      </w:tr>
      <w:tr w14:paraId="078C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noWrap/>
            <w:vAlign w:val="center"/>
          </w:tcPr>
          <w:p w14:paraId="717EDD68">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2</w:t>
            </w:r>
          </w:p>
        </w:tc>
        <w:tc>
          <w:tcPr>
            <w:tcW w:w="548" w:type="dxa"/>
            <w:noWrap/>
            <w:vAlign w:val="center"/>
          </w:tcPr>
          <w:p w14:paraId="388ECE4F">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商务</w:t>
            </w:r>
          </w:p>
        </w:tc>
        <w:tc>
          <w:tcPr>
            <w:tcW w:w="1311" w:type="dxa"/>
            <w:noWrap/>
            <w:vAlign w:val="center"/>
          </w:tcPr>
          <w:p w14:paraId="04D74F6A">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供应商业绩</w:t>
            </w:r>
          </w:p>
        </w:tc>
        <w:tc>
          <w:tcPr>
            <w:tcW w:w="693" w:type="dxa"/>
            <w:noWrap/>
            <w:vAlign w:val="center"/>
          </w:tcPr>
          <w:p w14:paraId="20220BB8">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5</w:t>
            </w:r>
          </w:p>
        </w:tc>
        <w:tc>
          <w:tcPr>
            <w:tcW w:w="1075" w:type="dxa"/>
            <w:noWrap/>
            <w:vAlign w:val="center"/>
          </w:tcPr>
          <w:p w14:paraId="1BD49BFC">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客观分</w:t>
            </w:r>
          </w:p>
        </w:tc>
        <w:tc>
          <w:tcPr>
            <w:tcW w:w="4614" w:type="dxa"/>
            <w:noWrap/>
            <w:vAlign w:val="center"/>
          </w:tcPr>
          <w:p w14:paraId="49084B81">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自2021年1月1日（以竣工资料上时间为准）以来投标人具有类似监理业绩（市政道路工程）的得1分，最高得5分。（提供监理合同及竣工验收证明材料扫描件加盖公章，未提供不得分。）</w:t>
            </w:r>
          </w:p>
        </w:tc>
      </w:tr>
      <w:tr w14:paraId="619E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2AF9E15B">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3</w:t>
            </w:r>
          </w:p>
        </w:tc>
        <w:tc>
          <w:tcPr>
            <w:tcW w:w="548" w:type="dxa"/>
            <w:noWrap/>
            <w:vAlign w:val="center"/>
          </w:tcPr>
          <w:p w14:paraId="3B2B9B02">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77B82631">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项目负责人</w:t>
            </w:r>
          </w:p>
        </w:tc>
        <w:tc>
          <w:tcPr>
            <w:tcW w:w="693" w:type="dxa"/>
            <w:noWrap/>
            <w:vAlign w:val="center"/>
          </w:tcPr>
          <w:p w14:paraId="7C3D4853">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3</w:t>
            </w:r>
          </w:p>
        </w:tc>
        <w:tc>
          <w:tcPr>
            <w:tcW w:w="1075" w:type="dxa"/>
            <w:noWrap/>
            <w:vAlign w:val="center"/>
          </w:tcPr>
          <w:p w14:paraId="11C40C20">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客观分</w:t>
            </w:r>
          </w:p>
        </w:tc>
        <w:tc>
          <w:tcPr>
            <w:tcW w:w="4614" w:type="dxa"/>
            <w:noWrap/>
            <w:vAlign w:val="center"/>
          </w:tcPr>
          <w:p w14:paraId="02E8BF10">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1、拟派项目总监具备高级工程师（市政类）及以上职称的得3分，中级工程师职称的得1分，本项目最高得3分。</w:t>
            </w:r>
          </w:p>
          <w:p w14:paraId="7C959AD0">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注：提供专业技术资格证书扫描件及有效社保证明（由社保部门出具在投标截止时间前三个月内任意一个月有效</w:t>
            </w:r>
            <w:r>
              <w:rPr>
                <w:rFonts w:ascii="楷体" w:hAnsi="楷体" w:eastAsia="楷体" w:cs="楷体"/>
                <w:color w:val="000000" w:themeColor="text1"/>
                <w:szCs w:val="21"/>
                <w14:textFill>
                  <w14:solidFill>
                    <w14:schemeClr w14:val="tx1"/>
                  </w14:solidFill>
                </w14:textFill>
              </w:rPr>
              <w:t>社保</w:t>
            </w:r>
            <w:r>
              <w:rPr>
                <w:rFonts w:hint="eastAsia" w:ascii="楷体" w:hAnsi="楷体" w:eastAsia="楷体" w:cs="楷体"/>
                <w:color w:val="000000" w:themeColor="text1"/>
                <w:szCs w:val="21"/>
                <w14:textFill>
                  <w14:solidFill>
                    <w14:schemeClr w14:val="tx1"/>
                  </w14:solidFill>
                </w14:textFill>
              </w:rPr>
              <w:t>证明，社保缴纳单位应与投标人名称一致。）未提供不得分。</w:t>
            </w:r>
          </w:p>
        </w:tc>
      </w:tr>
      <w:tr w14:paraId="5B99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21" w:type="dxa"/>
            <w:vMerge w:val="restart"/>
            <w:noWrap/>
            <w:vAlign w:val="center"/>
          </w:tcPr>
          <w:p w14:paraId="62E601D0">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4</w:t>
            </w:r>
          </w:p>
        </w:tc>
        <w:tc>
          <w:tcPr>
            <w:tcW w:w="548" w:type="dxa"/>
            <w:vMerge w:val="restart"/>
            <w:noWrap/>
            <w:vAlign w:val="center"/>
          </w:tcPr>
          <w:p w14:paraId="31878786">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vMerge w:val="restart"/>
            <w:noWrap/>
            <w:vAlign w:val="center"/>
          </w:tcPr>
          <w:p w14:paraId="38AF9E2E">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拟投入人员情况</w:t>
            </w:r>
          </w:p>
        </w:tc>
        <w:tc>
          <w:tcPr>
            <w:tcW w:w="693" w:type="dxa"/>
            <w:vMerge w:val="restart"/>
            <w:noWrap/>
            <w:vAlign w:val="center"/>
          </w:tcPr>
          <w:p w14:paraId="67D0E021">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8</w:t>
            </w:r>
          </w:p>
        </w:tc>
        <w:tc>
          <w:tcPr>
            <w:tcW w:w="1075" w:type="dxa"/>
            <w:vMerge w:val="restart"/>
            <w:noWrap/>
            <w:vAlign w:val="center"/>
          </w:tcPr>
          <w:p w14:paraId="70844DA3">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客观分</w:t>
            </w:r>
          </w:p>
        </w:tc>
        <w:tc>
          <w:tcPr>
            <w:tcW w:w="4614" w:type="dxa"/>
            <w:noWrap/>
            <w:vAlign w:val="center"/>
          </w:tcPr>
          <w:p w14:paraId="053BA84D">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拟派的项目成员中具有建筑工程相关专业高级工程师及以上职称的得3分，中级工程师职称的得1分，本项目最高得3分。</w:t>
            </w:r>
          </w:p>
          <w:p w14:paraId="4046D502">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注：提供专业技术资格证书扫描件及有效社保证明（由社保部门出具在投标截止时间前三个月内任意一个月有效</w:t>
            </w:r>
            <w:r>
              <w:rPr>
                <w:rFonts w:ascii="楷体" w:hAnsi="楷体" w:eastAsia="楷体" w:cs="楷体"/>
                <w:color w:val="000000" w:themeColor="text1"/>
                <w:szCs w:val="21"/>
                <w14:textFill>
                  <w14:solidFill>
                    <w14:schemeClr w14:val="tx1"/>
                  </w14:solidFill>
                </w14:textFill>
              </w:rPr>
              <w:t>社保</w:t>
            </w:r>
            <w:r>
              <w:rPr>
                <w:rFonts w:hint="eastAsia" w:ascii="楷体" w:hAnsi="楷体" w:eastAsia="楷体" w:cs="楷体"/>
                <w:color w:val="000000" w:themeColor="text1"/>
                <w:szCs w:val="21"/>
                <w14:textFill>
                  <w14:solidFill>
                    <w14:schemeClr w14:val="tx1"/>
                  </w14:solidFill>
                </w14:textFill>
              </w:rPr>
              <w:t>证明，社保缴纳单位应与投标人名称一致。）未提供不得分。</w:t>
            </w:r>
          </w:p>
        </w:tc>
      </w:tr>
      <w:tr w14:paraId="03D3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21" w:type="dxa"/>
            <w:vMerge w:val="continue"/>
            <w:noWrap/>
            <w:vAlign w:val="center"/>
          </w:tcPr>
          <w:p w14:paraId="5DB5BF9C">
            <w:pPr>
              <w:rPr>
                <w:rFonts w:ascii="楷体" w:hAnsi="楷体" w:eastAsia="楷体" w:cs="楷体"/>
                <w:b/>
                <w:bCs/>
                <w:color w:val="000000" w:themeColor="text1"/>
                <w:szCs w:val="21"/>
                <w14:textFill>
                  <w14:solidFill>
                    <w14:schemeClr w14:val="tx1"/>
                  </w14:solidFill>
                </w14:textFill>
              </w:rPr>
            </w:pPr>
          </w:p>
        </w:tc>
        <w:tc>
          <w:tcPr>
            <w:tcW w:w="548" w:type="dxa"/>
            <w:vMerge w:val="continue"/>
            <w:noWrap/>
            <w:vAlign w:val="center"/>
          </w:tcPr>
          <w:p w14:paraId="1D810411">
            <w:pPr>
              <w:rPr>
                <w:rFonts w:ascii="楷体" w:hAnsi="楷体" w:eastAsia="楷体" w:cs="楷体"/>
                <w:color w:val="000000" w:themeColor="text1"/>
                <w:szCs w:val="21"/>
                <w14:textFill>
                  <w14:solidFill>
                    <w14:schemeClr w14:val="tx1"/>
                  </w14:solidFill>
                </w14:textFill>
              </w:rPr>
            </w:pPr>
          </w:p>
        </w:tc>
        <w:tc>
          <w:tcPr>
            <w:tcW w:w="1311" w:type="dxa"/>
            <w:vMerge w:val="continue"/>
            <w:noWrap/>
            <w:vAlign w:val="center"/>
          </w:tcPr>
          <w:p w14:paraId="4B041A2C">
            <w:pPr>
              <w:jc w:val="center"/>
              <w:rPr>
                <w:rFonts w:ascii="楷体" w:hAnsi="楷体" w:eastAsia="楷体" w:cs="楷体"/>
                <w:color w:val="000000" w:themeColor="text1"/>
                <w:szCs w:val="21"/>
                <w14:textFill>
                  <w14:solidFill>
                    <w14:schemeClr w14:val="tx1"/>
                  </w14:solidFill>
                </w14:textFill>
              </w:rPr>
            </w:pPr>
          </w:p>
        </w:tc>
        <w:tc>
          <w:tcPr>
            <w:tcW w:w="693" w:type="dxa"/>
            <w:vMerge w:val="continue"/>
            <w:noWrap/>
            <w:vAlign w:val="center"/>
          </w:tcPr>
          <w:p w14:paraId="619E52DB">
            <w:pPr>
              <w:jc w:val="center"/>
              <w:rPr>
                <w:rFonts w:ascii="楷体" w:hAnsi="楷体" w:eastAsia="楷体" w:cs="楷体"/>
                <w:color w:val="000000" w:themeColor="text1"/>
                <w:szCs w:val="21"/>
                <w14:textFill>
                  <w14:solidFill>
                    <w14:schemeClr w14:val="tx1"/>
                  </w14:solidFill>
                </w14:textFill>
              </w:rPr>
            </w:pPr>
          </w:p>
        </w:tc>
        <w:tc>
          <w:tcPr>
            <w:tcW w:w="1075" w:type="dxa"/>
            <w:vMerge w:val="continue"/>
            <w:noWrap/>
            <w:vAlign w:val="center"/>
          </w:tcPr>
          <w:p w14:paraId="0FBEED38">
            <w:pPr>
              <w:rPr>
                <w:rFonts w:ascii="楷体" w:hAnsi="楷体" w:eastAsia="楷体" w:cs="楷体"/>
                <w:color w:val="000000" w:themeColor="text1"/>
                <w:szCs w:val="21"/>
                <w14:textFill>
                  <w14:solidFill>
                    <w14:schemeClr w14:val="tx1"/>
                  </w14:solidFill>
                </w14:textFill>
              </w:rPr>
            </w:pPr>
          </w:p>
        </w:tc>
        <w:tc>
          <w:tcPr>
            <w:tcW w:w="4614" w:type="dxa"/>
            <w:noWrap/>
            <w:vAlign w:val="center"/>
          </w:tcPr>
          <w:p w14:paraId="7FC1502E">
            <w:pPr>
              <w:snapToGrid w:val="0"/>
              <w:spacing w:line="270" w:lineRule="exact"/>
              <w:rPr>
                <w:rFonts w:ascii="楷体" w:hAnsi="楷体" w:eastAsia="楷体" w:cs="楷体"/>
                <w:color w:val="000000" w:themeColor="text1"/>
                <w:szCs w:val="21"/>
                <w14:textFill>
                  <w14:solidFill>
                    <w14:schemeClr w14:val="tx1"/>
                  </w14:solidFill>
                </w14:textFill>
              </w:rPr>
            </w:pPr>
            <w:bookmarkStart w:id="536" w:name="OLE_LINK34"/>
            <w:r>
              <w:rPr>
                <w:rFonts w:hint="eastAsia" w:ascii="楷体" w:hAnsi="楷体" w:eastAsia="楷体" w:cs="楷体"/>
                <w:color w:val="000000" w:themeColor="text1"/>
                <w:szCs w:val="21"/>
                <w14:textFill>
                  <w14:solidFill>
                    <w14:schemeClr w14:val="tx1"/>
                  </w14:solidFill>
                </w14:textFill>
              </w:rPr>
              <w:t>投入本项目组人员中（除项目总监外），每具备以下一个注册证书得1分，按一人一证计取，本项最高得5分；</w:t>
            </w:r>
          </w:p>
          <w:p w14:paraId="5BD9D397">
            <w:pPr>
              <w:snapToGrid w:val="0"/>
              <w:spacing w:line="270" w:lineRule="exact"/>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①一级注册造价工程师；②注册电气工程师；③注册环保工程师；④注册土木工程师（道路工程）；⑤注册安全工程师；</w:t>
            </w:r>
          </w:p>
          <w:p w14:paraId="2F4294F2">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注：对应人员证书均提供证书原件扫描件加盖投标单位公章及有效社保证明（由社保部门出具在投标截止时间前三个月内任意一个月有效</w:t>
            </w:r>
            <w:r>
              <w:rPr>
                <w:rFonts w:ascii="楷体" w:hAnsi="楷体" w:eastAsia="楷体" w:cs="楷体"/>
                <w:color w:val="000000" w:themeColor="text1"/>
                <w:szCs w:val="21"/>
                <w14:textFill>
                  <w14:solidFill>
                    <w14:schemeClr w14:val="tx1"/>
                  </w14:solidFill>
                </w14:textFill>
              </w:rPr>
              <w:t>社保</w:t>
            </w:r>
            <w:r>
              <w:rPr>
                <w:rFonts w:hint="eastAsia" w:ascii="楷体" w:hAnsi="楷体" w:eastAsia="楷体" w:cs="楷体"/>
                <w:color w:val="000000" w:themeColor="text1"/>
                <w:szCs w:val="21"/>
                <w14:textFill>
                  <w14:solidFill>
                    <w14:schemeClr w14:val="tx1"/>
                  </w14:solidFill>
                </w14:textFill>
              </w:rPr>
              <w:t>证明，社保缴纳单位应与投标人名称一致。）未提供不得分。</w:t>
            </w:r>
            <w:bookmarkEnd w:id="536"/>
          </w:p>
        </w:tc>
      </w:tr>
      <w:tr w14:paraId="48E2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0AB595DC">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5</w:t>
            </w:r>
          </w:p>
        </w:tc>
        <w:tc>
          <w:tcPr>
            <w:tcW w:w="548" w:type="dxa"/>
            <w:noWrap/>
            <w:vAlign w:val="center"/>
          </w:tcPr>
          <w:p w14:paraId="2EF21C43">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4D2AF8EB">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施工进度控制</w:t>
            </w:r>
          </w:p>
        </w:tc>
        <w:tc>
          <w:tcPr>
            <w:tcW w:w="693" w:type="dxa"/>
            <w:noWrap/>
            <w:vAlign w:val="center"/>
          </w:tcPr>
          <w:p w14:paraId="4E81EA17">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7E4FF26F">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4ED490BD">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对各分项工程，从准备、实施、竣工到项目的保修阶段的每一道工序，所采取的进度控制措施、方法。进度控制计划与实际进度产生较大差距时，从措施的可行和效果上进行分析，由专家进行评分。评分范围（0、1、2、3、4），未提供的不得分。</w:t>
            </w:r>
          </w:p>
        </w:tc>
      </w:tr>
      <w:tr w14:paraId="14F3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21" w:type="dxa"/>
            <w:noWrap/>
            <w:vAlign w:val="center"/>
          </w:tcPr>
          <w:p w14:paraId="79FCB8C6">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6</w:t>
            </w:r>
          </w:p>
        </w:tc>
        <w:tc>
          <w:tcPr>
            <w:tcW w:w="548" w:type="dxa"/>
            <w:noWrap/>
            <w:vAlign w:val="center"/>
          </w:tcPr>
          <w:p w14:paraId="5896F3A7">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2D9975F0">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质量控制</w:t>
            </w:r>
          </w:p>
        </w:tc>
        <w:tc>
          <w:tcPr>
            <w:tcW w:w="693" w:type="dxa"/>
            <w:noWrap/>
            <w:vAlign w:val="center"/>
          </w:tcPr>
          <w:p w14:paraId="138BEB82">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5529A4E6">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1F1E3D72">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针对本项目的实际情况对质量控制的保证措施手段是否科学、可靠，包括检验批、分部、分项工程的实体质量控制、隐蔽验收、专项验收、轴线，功能检测，原材料构配件、节能、质量的把关及方案审核，旁站和质量事故处理手段等，由专家进行评分。评分范围（0、1、2、3、4），未提供的不得分。</w:t>
            </w:r>
          </w:p>
        </w:tc>
      </w:tr>
      <w:tr w14:paraId="1E35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521" w:type="dxa"/>
            <w:noWrap/>
            <w:vAlign w:val="center"/>
          </w:tcPr>
          <w:p w14:paraId="7E1BF1FC">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7</w:t>
            </w:r>
          </w:p>
        </w:tc>
        <w:tc>
          <w:tcPr>
            <w:tcW w:w="548" w:type="dxa"/>
            <w:noWrap/>
            <w:vAlign w:val="center"/>
          </w:tcPr>
          <w:p w14:paraId="799132AD">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4642414A">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投资控制</w:t>
            </w:r>
          </w:p>
        </w:tc>
        <w:tc>
          <w:tcPr>
            <w:tcW w:w="693" w:type="dxa"/>
            <w:noWrap/>
            <w:vAlign w:val="center"/>
          </w:tcPr>
          <w:p w14:paraId="67D6E1D4">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71440981">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0709ED8A">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对本项目投资控制，包括施工阶段的设计、设计变更、索赔、工程计量、现场签证、支付审核、结算审核等有效办法和措施，由专家进行评分。</w:t>
            </w:r>
          </w:p>
          <w:p w14:paraId="6CC49165">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评分范围（0、1、2、3、4），未提供的不得分。</w:t>
            </w:r>
          </w:p>
        </w:tc>
      </w:tr>
      <w:tr w14:paraId="1D6D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1" w:type="dxa"/>
            <w:noWrap/>
            <w:vAlign w:val="center"/>
          </w:tcPr>
          <w:p w14:paraId="5E2B867F">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8</w:t>
            </w:r>
          </w:p>
        </w:tc>
        <w:tc>
          <w:tcPr>
            <w:tcW w:w="548" w:type="dxa"/>
            <w:noWrap/>
            <w:vAlign w:val="center"/>
          </w:tcPr>
          <w:p w14:paraId="1303741D">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0B614A35">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安全文明施工管理</w:t>
            </w:r>
          </w:p>
        </w:tc>
        <w:tc>
          <w:tcPr>
            <w:tcW w:w="693" w:type="dxa"/>
            <w:noWrap/>
            <w:vAlign w:val="center"/>
          </w:tcPr>
          <w:p w14:paraId="6B10919C">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72E412F6">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02A29C69">
            <w:pPr>
              <w:tabs>
                <w:tab w:val="left" w:pos="840"/>
              </w:tabs>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对本项目安全文明管理施工，根据安全生产措施、文明施工措施、环境保护措施等，由专家进行评分。评分范围评分范围（0、1、2、3、4），未提供的不得分。</w:t>
            </w:r>
          </w:p>
        </w:tc>
      </w:tr>
      <w:tr w14:paraId="2DD0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39597605">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9</w:t>
            </w:r>
          </w:p>
        </w:tc>
        <w:tc>
          <w:tcPr>
            <w:tcW w:w="548" w:type="dxa"/>
            <w:noWrap/>
            <w:vAlign w:val="center"/>
          </w:tcPr>
          <w:p w14:paraId="663DD839">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70607DE6">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拟投入设备</w:t>
            </w:r>
          </w:p>
        </w:tc>
        <w:tc>
          <w:tcPr>
            <w:tcW w:w="693" w:type="dxa"/>
            <w:noWrap/>
            <w:vAlign w:val="center"/>
          </w:tcPr>
          <w:p w14:paraId="5968964F">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67D04275">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0BA29008">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供应商针对本项目拟投入检测仪器和工具是否能满足工程要求，由专家进行评分。评分范围评分范围（0、1、2、3、4），未提供的不得分。</w:t>
            </w:r>
          </w:p>
        </w:tc>
      </w:tr>
      <w:tr w14:paraId="473A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1FF6FF74">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10</w:t>
            </w:r>
          </w:p>
        </w:tc>
        <w:tc>
          <w:tcPr>
            <w:tcW w:w="548" w:type="dxa"/>
            <w:noWrap/>
            <w:vAlign w:val="center"/>
          </w:tcPr>
          <w:p w14:paraId="3C4FDADC">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7B1C973A">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资料整理及组织实施计划方案</w:t>
            </w:r>
          </w:p>
        </w:tc>
        <w:tc>
          <w:tcPr>
            <w:tcW w:w="693" w:type="dxa"/>
            <w:noWrap/>
            <w:vAlign w:val="center"/>
          </w:tcPr>
          <w:p w14:paraId="76843B09">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48FA34BE">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13622A6E">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供应商针对本项目技术资料编制及制作的组织实施计划等情况，由专家进行评分。评分范围评分范围（0、1、2、3、4），未提供的不得分。</w:t>
            </w:r>
          </w:p>
        </w:tc>
      </w:tr>
      <w:tr w14:paraId="451C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62D9CE19">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11</w:t>
            </w:r>
          </w:p>
        </w:tc>
        <w:tc>
          <w:tcPr>
            <w:tcW w:w="548" w:type="dxa"/>
            <w:noWrap/>
            <w:vAlign w:val="center"/>
          </w:tcPr>
          <w:p w14:paraId="11661A60">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1" w:type="dxa"/>
            <w:noWrap/>
            <w:vAlign w:val="center"/>
          </w:tcPr>
          <w:p w14:paraId="6EC4E0F5">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总体方案</w:t>
            </w:r>
          </w:p>
        </w:tc>
        <w:tc>
          <w:tcPr>
            <w:tcW w:w="693" w:type="dxa"/>
            <w:noWrap/>
            <w:vAlign w:val="center"/>
          </w:tcPr>
          <w:p w14:paraId="089A338F">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3</w:t>
            </w:r>
          </w:p>
        </w:tc>
        <w:tc>
          <w:tcPr>
            <w:tcW w:w="1075" w:type="dxa"/>
            <w:noWrap/>
            <w:vAlign w:val="center"/>
          </w:tcPr>
          <w:p w14:paraId="0BF6D699">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20BCA78E">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根据供应商针对本项目提出的总体方案情况，由专家进行评分。评分范围评分范围（0、1、2、3），未提供的不得分。</w:t>
            </w:r>
          </w:p>
        </w:tc>
      </w:tr>
    </w:tbl>
    <w:p w14:paraId="59E3BFFF">
      <w:pPr>
        <w:autoSpaceDE w:val="0"/>
        <w:autoSpaceDN w:val="0"/>
        <w:adjustRightInd w:val="0"/>
        <w:spacing w:line="360" w:lineRule="auto"/>
        <w:ind w:firstLine="480"/>
        <w:rPr>
          <w:rFonts w:ascii="楷体" w:hAnsi="楷体" w:eastAsia="楷体" w:cs="楷体"/>
          <w:b/>
          <w:color w:val="000000" w:themeColor="text1"/>
          <w:szCs w:val="21"/>
          <w:lang w:val="zh-CN"/>
          <w14:textFill>
            <w14:solidFill>
              <w14:schemeClr w14:val="tx1"/>
            </w14:solidFill>
          </w14:textFill>
        </w:rPr>
      </w:pPr>
    </w:p>
    <w:tbl>
      <w:tblPr>
        <w:tblStyle w:val="46"/>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547"/>
        <w:gridCol w:w="1312"/>
        <w:gridCol w:w="693"/>
        <w:gridCol w:w="1075"/>
        <w:gridCol w:w="4614"/>
      </w:tblGrid>
      <w:tr w14:paraId="12DC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762" w:type="dxa"/>
            <w:gridSpan w:val="6"/>
            <w:noWrap/>
            <w:vAlign w:val="center"/>
          </w:tcPr>
          <w:p w14:paraId="3A653B8E">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标项</w:t>
            </w:r>
            <w:r>
              <w:rPr>
                <w:rFonts w:ascii="楷体" w:hAnsi="楷体" w:eastAsia="楷体" w:cs="楷体"/>
                <w:b/>
                <w:bCs/>
                <w:color w:val="000000" w:themeColor="text1"/>
                <w:szCs w:val="21"/>
                <w14:textFill>
                  <w14:solidFill>
                    <w14:schemeClr w14:val="tx1"/>
                  </w14:solidFill>
                </w14:textFill>
              </w:rPr>
              <w:t>3</w:t>
            </w:r>
            <w:r>
              <w:rPr>
                <w:rFonts w:hint="eastAsia" w:ascii="楷体" w:hAnsi="楷体" w:eastAsia="楷体" w:cs="楷体"/>
                <w:b/>
                <w:bCs/>
                <w:color w:val="000000" w:themeColor="text1"/>
                <w:szCs w:val="21"/>
                <w14:textFill>
                  <w14:solidFill>
                    <w14:schemeClr w14:val="tx1"/>
                  </w14:solidFill>
                </w14:textFill>
              </w:rPr>
              <w:t>-交通（公路工程）</w:t>
            </w:r>
          </w:p>
        </w:tc>
      </w:tr>
      <w:tr w14:paraId="1FDB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21" w:type="dxa"/>
            <w:noWrap/>
            <w:vAlign w:val="center"/>
          </w:tcPr>
          <w:p w14:paraId="3A5A9FA6">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序号</w:t>
            </w:r>
          </w:p>
        </w:tc>
        <w:tc>
          <w:tcPr>
            <w:tcW w:w="547" w:type="dxa"/>
            <w:noWrap/>
            <w:vAlign w:val="center"/>
          </w:tcPr>
          <w:p w14:paraId="1693ECCF">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类型</w:t>
            </w:r>
          </w:p>
        </w:tc>
        <w:tc>
          <w:tcPr>
            <w:tcW w:w="1312" w:type="dxa"/>
            <w:noWrap/>
            <w:vAlign w:val="center"/>
          </w:tcPr>
          <w:p w14:paraId="6EB2D90A">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评分标准</w:t>
            </w:r>
          </w:p>
        </w:tc>
        <w:tc>
          <w:tcPr>
            <w:tcW w:w="693" w:type="dxa"/>
            <w:noWrap/>
            <w:vAlign w:val="center"/>
          </w:tcPr>
          <w:p w14:paraId="7D786550">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分值权重</w:t>
            </w:r>
          </w:p>
        </w:tc>
        <w:tc>
          <w:tcPr>
            <w:tcW w:w="1075" w:type="dxa"/>
            <w:noWrap/>
            <w:vAlign w:val="center"/>
          </w:tcPr>
          <w:p w14:paraId="38687154">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打分方法</w:t>
            </w:r>
          </w:p>
        </w:tc>
        <w:tc>
          <w:tcPr>
            <w:tcW w:w="4614" w:type="dxa"/>
            <w:noWrap/>
            <w:vAlign w:val="center"/>
          </w:tcPr>
          <w:p w14:paraId="75159109">
            <w:pPr>
              <w:jc w:val="cente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评分明细</w:t>
            </w:r>
          </w:p>
        </w:tc>
      </w:tr>
      <w:tr w14:paraId="5543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noWrap/>
            <w:vAlign w:val="center"/>
          </w:tcPr>
          <w:p w14:paraId="00797391">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 xml:space="preserve"> 1</w:t>
            </w:r>
          </w:p>
        </w:tc>
        <w:tc>
          <w:tcPr>
            <w:tcW w:w="547" w:type="dxa"/>
            <w:noWrap/>
            <w:vAlign w:val="center"/>
          </w:tcPr>
          <w:p w14:paraId="0E645D9D">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商务</w:t>
            </w:r>
          </w:p>
        </w:tc>
        <w:tc>
          <w:tcPr>
            <w:tcW w:w="1312" w:type="dxa"/>
            <w:noWrap/>
            <w:vAlign w:val="center"/>
          </w:tcPr>
          <w:p w14:paraId="399FD20F">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供应商资质资信情况</w:t>
            </w:r>
          </w:p>
        </w:tc>
        <w:tc>
          <w:tcPr>
            <w:tcW w:w="693" w:type="dxa"/>
            <w:noWrap/>
            <w:vAlign w:val="center"/>
          </w:tcPr>
          <w:p w14:paraId="06A87727">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7</w:t>
            </w:r>
          </w:p>
        </w:tc>
        <w:tc>
          <w:tcPr>
            <w:tcW w:w="1075" w:type="dxa"/>
            <w:noWrap/>
            <w:vAlign w:val="center"/>
          </w:tcPr>
          <w:p w14:paraId="62FB59C0">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客观分</w:t>
            </w:r>
          </w:p>
        </w:tc>
        <w:tc>
          <w:tcPr>
            <w:tcW w:w="4614" w:type="dxa"/>
            <w:noWrap/>
            <w:vAlign w:val="center"/>
          </w:tcPr>
          <w:p w14:paraId="71E9C248">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1.供应商具有质量体系认证证书、环境体系认证证书、职业健康体系认证证书、社会责任管理体系认证证书，每提供1项得1分，最高4分。所有认证证书在投标截止时间前必须仍在有效期内。 (提供证件扫描件加盖公章，未提供不得分)</w:t>
            </w:r>
          </w:p>
          <w:p w14:paraId="19A30570">
            <w:pPr>
              <w:rPr>
                <w:rFonts w:ascii="楷体" w:hAnsi="楷体" w:eastAsia="楷体" w:cs="楷体"/>
                <w:color w:val="000000" w:themeColor="text1"/>
                <w:szCs w:val="21"/>
                <w14:textFill>
                  <w14:solidFill>
                    <w14:schemeClr w14:val="tx1"/>
                  </w14:solidFill>
                </w14:textFill>
              </w:rPr>
            </w:pPr>
          </w:p>
          <w:p w14:paraId="547816CB">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2. 监理人信用等级：</w:t>
            </w:r>
          </w:p>
          <w:p w14:paraId="236CE5AC">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AA级：得3分；A级：得 2 分；B级：得 0 分；（监理人信用等级以浙江省交通运输厅公布最新的监理企业信用评价结果为准，浙江省交通运输厅最新的监理企业信用评价结果未涉及的按B级计算。提供证件扫描件加盖公章和平台截图证明材料，未提供不得分)</w:t>
            </w:r>
          </w:p>
        </w:tc>
      </w:tr>
      <w:tr w14:paraId="79AC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noWrap/>
            <w:vAlign w:val="center"/>
          </w:tcPr>
          <w:p w14:paraId="2D482E1D">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2</w:t>
            </w:r>
          </w:p>
        </w:tc>
        <w:tc>
          <w:tcPr>
            <w:tcW w:w="547" w:type="dxa"/>
            <w:noWrap/>
            <w:vAlign w:val="center"/>
          </w:tcPr>
          <w:p w14:paraId="3F76163B">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商务</w:t>
            </w:r>
          </w:p>
        </w:tc>
        <w:tc>
          <w:tcPr>
            <w:tcW w:w="1312" w:type="dxa"/>
            <w:noWrap/>
            <w:vAlign w:val="center"/>
          </w:tcPr>
          <w:p w14:paraId="5CE89399">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供应商业绩</w:t>
            </w:r>
          </w:p>
        </w:tc>
        <w:tc>
          <w:tcPr>
            <w:tcW w:w="693" w:type="dxa"/>
            <w:noWrap/>
            <w:vAlign w:val="center"/>
          </w:tcPr>
          <w:p w14:paraId="467C3F46">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5</w:t>
            </w:r>
          </w:p>
        </w:tc>
        <w:tc>
          <w:tcPr>
            <w:tcW w:w="1075" w:type="dxa"/>
            <w:noWrap/>
            <w:vAlign w:val="center"/>
          </w:tcPr>
          <w:p w14:paraId="3A286C99">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客观分</w:t>
            </w:r>
          </w:p>
        </w:tc>
        <w:tc>
          <w:tcPr>
            <w:tcW w:w="4614" w:type="dxa"/>
            <w:noWrap/>
            <w:vAlign w:val="center"/>
          </w:tcPr>
          <w:p w14:paraId="22B5A2B9">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自202</w:t>
            </w:r>
            <w:r>
              <w:rPr>
                <w:rFonts w:ascii="楷体" w:hAnsi="楷体" w:eastAsia="楷体" w:cs="楷体"/>
                <w:color w:val="000000" w:themeColor="text1"/>
                <w:szCs w:val="21"/>
                <w14:textFill>
                  <w14:solidFill>
                    <w14:schemeClr w14:val="tx1"/>
                  </w14:solidFill>
                </w14:textFill>
              </w:rPr>
              <w:t>1</w:t>
            </w:r>
            <w:r>
              <w:rPr>
                <w:rFonts w:hint="eastAsia" w:ascii="楷体" w:hAnsi="楷体" w:eastAsia="楷体" w:cs="楷体"/>
                <w:color w:val="000000" w:themeColor="text1"/>
                <w:szCs w:val="21"/>
                <w14:textFill>
                  <w14:solidFill>
                    <w14:schemeClr w14:val="tx1"/>
                  </w14:solidFill>
                </w14:textFill>
              </w:rPr>
              <w:t>年1月1日（以竣工资料上时间为准）以来投标人具有类似监理业绩的得1分，最高5分。</w:t>
            </w:r>
            <w:bookmarkStart w:id="537" w:name="OLE_LINK35"/>
            <w:r>
              <w:rPr>
                <w:rFonts w:hint="eastAsia" w:ascii="楷体" w:hAnsi="楷体" w:eastAsia="楷体" w:cs="楷体"/>
                <w:color w:val="000000" w:themeColor="text1"/>
                <w:szCs w:val="21"/>
                <w14:textFill>
                  <w14:solidFill>
                    <w14:schemeClr w14:val="tx1"/>
                  </w14:solidFill>
                </w14:textFill>
              </w:rPr>
              <w:t>（提供监理合同及竣工验收证明材料扫描件加盖公章，未提供不得分。）</w:t>
            </w:r>
            <w:bookmarkEnd w:id="537"/>
          </w:p>
        </w:tc>
      </w:tr>
      <w:tr w14:paraId="2C5A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70A70E4F">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3</w:t>
            </w:r>
          </w:p>
        </w:tc>
        <w:tc>
          <w:tcPr>
            <w:tcW w:w="547" w:type="dxa"/>
            <w:noWrap/>
            <w:vAlign w:val="center"/>
          </w:tcPr>
          <w:p w14:paraId="239B9DEA">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2" w:type="dxa"/>
            <w:noWrap/>
            <w:vAlign w:val="center"/>
          </w:tcPr>
          <w:p w14:paraId="1943DCB2">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项目负责人</w:t>
            </w:r>
          </w:p>
        </w:tc>
        <w:tc>
          <w:tcPr>
            <w:tcW w:w="693" w:type="dxa"/>
            <w:noWrap/>
            <w:vAlign w:val="center"/>
          </w:tcPr>
          <w:p w14:paraId="105DCE31">
            <w:pPr>
              <w:jc w:val="center"/>
              <w:rPr>
                <w:rFonts w:ascii="楷体" w:hAnsi="楷体" w:eastAsia="楷体" w:cs="楷体"/>
                <w:color w:val="000000" w:themeColor="text1"/>
                <w:szCs w:val="21"/>
                <w14:textFill>
                  <w14:solidFill>
                    <w14:schemeClr w14:val="tx1"/>
                  </w14:solidFill>
                </w14:textFill>
              </w:rPr>
            </w:pPr>
            <w:r>
              <w:rPr>
                <w:rFonts w:ascii="楷体" w:hAnsi="楷体" w:eastAsia="楷体" w:cs="楷体"/>
                <w:color w:val="000000" w:themeColor="text1"/>
                <w:szCs w:val="21"/>
                <w14:textFill>
                  <w14:solidFill>
                    <w14:schemeClr w14:val="tx1"/>
                  </w14:solidFill>
                </w14:textFill>
              </w:rPr>
              <w:t>7</w:t>
            </w:r>
          </w:p>
        </w:tc>
        <w:tc>
          <w:tcPr>
            <w:tcW w:w="1075" w:type="dxa"/>
            <w:noWrap/>
            <w:vAlign w:val="center"/>
          </w:tcPr>
          <w:p w14:paraId="5AE51DC2">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客观分</w:t>
            </w:r>
          </w:p>
        </w:tc>
        <w:tc>
          <w:tcPr>
            <w:tcW w:w="4614" w:type="dxa"/>
            <w:noWrap/>
            <w:vAlign w:val="center"/>
          </w:tcPr>
          <w:p w14:paraId="671AF782">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1、拟派项目总监具备高级工程师（公路类）及以上职称的得3分，中级工程师职称的得1分，本项目最高得3分。</w:t>
            </w:r>
          </w:p>
          <w:p w14:paraId="65788F0F">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注：提供专业技术资格证书扫描件及有效社保证明（由社保部门出具在投标截止时间前三个月内任意一个月有效</w:t>
            </w:r>
            <w:r>
              <w:rPr>
                <w:rFonts w:ascii="楷体" w:hAnsi="楷体" w:eastAsia="楷体" w:cs="楷体"/>
                <w:color w:val="000000" w:themeColor="text1"/>
                <w:szCs w:val="21"/>
                <w14:textFill>
                  <w14:solidFill>
                    <w14:schemeClr w14:val="tx1"/>
                  </w14:solidFill>
                </w14:textFill>
              </w:rPr>
              <w:t>社保</w:t>
            </w:r>
            <w:r>
              <w:rPr>
                <w:rFonts w:hint="eastAsia" w:ascii="楷体" w:hAnsi="楷体" w:eastAsia="楷体" w:cs="楷体"/>
                <w:color w:val="000000" w:themeColor="text1"/>
                <w:szCs w:val="21"/>
                <w14:textFill>
                  <w14:solidFill>
                    <w14:schemeClr w14:val="tx1"/>
                  </w14:solidFill>
                </w14:textFill>
              </w:rPr>
              <w:t>证明，社保缴纳单位应与投标人名称一致。）未提供不得分。</w:t>
            </w:r>
          </w:p>
          <w:p w14:paraId="19181955">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2、</w:t>
            </w:r>
            <w:r>
              <w:rPr>
                <w:rFonts w:ascii="楷体" w:hAnsi="楷体" w:eastAsia="楷体" w:cs="楷体"/>
                <w:color w:val="000000" w:themeColor="text1"/>
                <w:szCs w:val="21"/>
                <w14:textFill>
                  <w14:solidFill>
                    <w14:schemeClr w14:val="tx1"/>
                  </w14:solidFill>
                </w14:textFill>
              </w:rPr>
              <w:t>根据交通运输部监理工程师最近评价年度扣分，监理工程师个人评价周期扣分大于等于12 分但小于24 分的，扣 2 分，扣分大于24 分的扣4 分。浙江省交通运输厅公布的最近一个周期浙江省公路水运工程总监信用评价结果得分。评价结果得分计算原则如下：</w:t>
            </w:r>
          </w:p>
          <w:p w14:paraId="108D6F49">
            <w:pPr>
              <w:rPr>
                <w:rFonts w:ascii="楷体" w:hAnsi="楷体" w:eastAsia="楷体" w:cs="楷体"/>
                <w:color w:val="000000" w:themeColor="text1"/>
                <w:szCs w:val="21"/>
                <w14:textFill>
                  <w14:solidFill>
                    <w14:schemeClr w14:val="tx1"/>
                  </w14:solidFill>
                </w14:textFill>
              </w:rPr>
            </w:pPr>
            <w:r>
              <w:rPr>
                <w:rFonts w:ascii="楷体" w:hAnsi="楷体" w:eastAsia="楷体" w:cs="楷体"/>
                <w:color w:val="000000" w:themeColor="text1"/>
                <w:szCs w:val="21"/>
                <w14:textFill>
                  <w14:solidFill>
                    <w14:schemeClr w14:val="tx1"/>
                  </w14:solidFill>
                </w14:textFill>
              </w:rPr>
              <w:t>（1）总监的信用评价等级得分为：AA 得4 分；A得 2 分；B 得1分；</w:t>
            </w:r>
          </w:p>
          <w:p w14:paraId="07F0B2F3">
            <w:pPr>
              <w:rPr>
                <w:rFonts w:ascii="楷体" w:hAnsi="楷体" w:eastAsia="楷体" w:cs="楷体"/>
                <w:color w:val="000000" w:themeColor="text1"/>
                <w:szCs w:val="21"/>
                <w14:textFill>
                  <w14:solidFill>
                    <w14:schemeClr w14:val="tx1"/>
                  </w14:solidFill>
                </w14:textFill>
              </w:rPr>
            </w:pPr>
            <w:r>
              <w:rPr>
                <w:rFonts w:ascii="楷体" w:hAnsi="楷体" w:eastAsia="楷体" w:cs="楷体"/>
                <w:color w:val="000000" w:themeColor="text1"/>
                <w:szCs w:val="21"/>
                <w14:textFill>
                  <w14:solidFill>
                    <w14:schemeClr w14:val="tx1"/>
                  </w14:solidFill>
                </w14:textFill>
              </w:rPr>
              <w:t>（2）对于未参加总监信用评价的得0 分。</w:t>
            </w:r>
          </w:p>
          <w:p w14:paraId="727A52C5">
            <w:pPr>
              <w:rPr>
                <w:rFonts w:ascii="楷体" w:hAnsi="楷体" w:eastAsia="楷体" w:cs="楷体"/>
                <w:color w:val="000000" w:themeColor="text1"/>
                <w:szCs w:val="21"/>
                <w14:textFill>
                  <w14:solidFill>
                    <w14:schemeClr w14:val="tx1"/>
                  </w14:solidFill>
                </w14:textFill>
              </w:rPr>
            </w:pPr>
            <w:r>
              <w:rPr>
                <w:rFonts w:ascii="楷体" w:hAnsi="楷体" w:eastAsia="楷体" w:cs="楷体"/>
                <w:color w:val="000000" w:themeColor="text1"/>
                <w:szCs w:val="21"/>
                <w14:textFill>
                  <w14:solidFill>
                    <w14:schemeClr w14:val="tx1"/>
                  </w14:solidFill>
                </w14:textFill>
              </w:rPr>
              <w:t>（3）加分奖励标准与总监岗位登记单位挂钩，对于总监从业登记在最近信用评价周期内发生变更的，若其信用评价为 AA、A 级的，每变更一次降一个等级计算，降至 B 级为止</w:t>
            </w:r>
          </w:p>
          <w:p w14:paraId="2289192E">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（提供有效期内的信用等级证书复印件并加盖公章和平台截图证明材料，未提供不得分）</w:t>
            </w:r>
          </w:p>
        </w:tc>
      </w:tr>
      <w:tr w14:paraId="7F45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74987E2B">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4</w:t>
            </w:r>
          </w:p>
        </w:tc>
        <w:tc>
          <w:tcPr>
            <w:tcW w:w="547" w:type="dxa"/>
            <w:noWrap/>
            <w:vAlign w:val="center"/>
          </w:tcPr>
          <w:p w14:paraId="476452B2">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2" w:type="dxa"/>
            <w:noWrap/>
            <w:vAlign w:val="center"/>
          </w:tcPr>
          <w:p w14:paraId="7009FFF4">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拟投入人员情况</w:t>
            </w:r>
          </w:p>
        </w:tc>
        <w:tc>
          <w:tcPr>
            <w:tcW w:w="693" w:type="dxa"/>
            <w:noWrap/>
            <w:vAlign w:val="center"/>
          </w:tcPr>
          <w:p w14:paraId="104F807E">
            <w:pPr>
              <w:jc w:val="center"/>
              <w:rPr>
                <w:rFonts w:ascii="楷体" w:hAnsi="楷体" w:eastAsia="楷体" w:cs="楷体"/>
                <w:color w:val="000000" w:themeColor="text1"/>
                <w:szCs w:val="21"/>
                <w14:textFill>
                  <w14:solidFill>
                    <w14:schemeClr w14:val="tx1"/>
                  </w14:solidFill>
                </w14:textFill>
              </w:rPr>
            </w:pPr>
            <w:r>
              <w:rPr>
                <w:rFonts w:ascii="楷体" w:hAnsi="楷体" w:eastAsia="楷体" w:cs="楷体"/>
                <w:color w:val="000000" w:themeColor="text1"/>
                <w:szCs w:val="21"/>
                <w14:textFill>
                  <w14:solidFill>
                    <w14:schemeClr w14:val="tx1"/>
                  </w14:solidFill>
                </w14:textFill>
              </w:rPr>
              <w:t>6</w:t>
            </w:r>
          </w:p>
        </w:tc>
        <w:tc>
          <w:tcPr>
            <w:tcW w:w="1075" w:type="dxa"/>
            <w:noWrap/>
            <w:vAlign w:val="center"/>
          </w:tcPr>
          <w:p w14:paraId="600EA64F">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客观分</w:t>
            </w:r>
          </w:p>
        </w:tc>
        <w:tc>
          <w:tcPr>
            <w:tcW w:w="4614" w:type="dxa"/>
            <w:noWrap/>
            <w:vAlign w:val="center"/>
          </w:tcPr>
          <w:p w14:paraId="3EFC9DBF">
            <w:pPr>
              <w:snapToGrid w:val="0"/>
              <w:spacing w:line="270" w:lineRule="exact"/>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投入本项目组人员中（除项目总监外），每具备以下一个注册证书得1</w:t>
            </w:r>
            <w:r>
              <w:rPr>
                <w:rFonts w:ascii="楷体" w:hAnsi="楷体" w:eastAsia="楷体" w:cs="楷体"/>
                <w:color w:val="000000" w:themeColor="text1"/>
                <w:szCs w:val="21"/>
                <w14:textFill>
                  <w14:solidFill>
                    <w14:schemeClr w14:val="tx1"/>
                  </w14:solidFill>
                </w14:textFill>
              </w:rPr>
              <w:t>.5</w:t>
            </w:r>
            <w:r>
              <w:rPr>
                <w:rFonts w:hint="eastAsia" w:ascii="楷体" w:hAnsi="楷体" w:eastAsia="楷体" w:cs="楷体"/>
                <w:color w:val="000000" w:themeColor="text1"/>
                <w:szCs w:val="21"/>
                <w14:textFill>
                  <w14:solidFill>
                    <w14:schemeClr w14:val="tx1"/>
                  </w14:solidFill>
                </w14:textFill>
              </w:rPr>
              <w:t>分，按一人一证计取，本项最高得</w:t>
            </w:r>
            <w:r>
              <w:rPr>
                <w:rFonts w:ascii="楷体" w:hAnsi="楷体" w:eastAsia="楷体" w:cs="楷体"/>
                <w:color w:val="000000" w:themeColor="text1"/>
                <w:szCs w:val="21"/>
                <w14:textFill>
                  <w14:solidFill>
                    <w14:schemeClr w14:val="tx1"/>
                  </w14:solidFill>
                </w14:textFill>
              </w:rPr>
              <w:t>6</w:t>
            </w:r>
            <w:r>
              <w:rPr>
                <w:rFonts w:hint="eastAsia" w:ascii="楷体" w:hAnsi="楷体" w:eastAsia="楷体" w:cs="楷体"/>
                <w:color w:val="000000" w:themeColor="text1"/>
                <w:szCs w:val="21"/>
                <w14:textFill>
                  <w14:solidFill>
                    <w14:schemeClr w14:val="tx1"/>
                  </w14:solidFill>
                </w14:textFill>
              </w:rPr>
              <w:t>分；</w:t>
            </w:r>
          </w:p>
          <w:p w14:paraId="6D4B5902">
            <w:pPr>
              <w:snapToGrid w:val="0"/>
              <w:spacing w:line="270" w:lineRule="exact"/>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①一级注册造价工程师；②一级建造师（公路</w:t>
            </w:r>
            <w:r>
              <w:rPr>
                <w:rFonts w:ascii="楷体" w:hAnsi="楷体" w:eastAsia="楷体" w:cs="楷体"/>
                <w:color w:val="000000" w:themeColor="text1"/>
                <w:szCs w:val="21"/>
                <w14:textFill>
                  <w14:solidFill>
                    <w14:schemeClr w14:val="tx1"/>
                  </w14:solidFill>
                </w14:textFill>
              </w:rPr>
              <w:t>工程专业</w:t>
            </w:r>
            <w:r>
              <w:rPr>
                <w:rFonts w:hint="eastAsia" w:ascii="楷体" w:hAnsi="楷体" w:eastAsia="楷体" w:cs="楷体"/>
                <w:color w:val="000000" w:themeColor="text1"/>
                <w:szCs w:val="21"/>
                <w14:textFill>
                  <w14:solidFill>
                    <w14:schemeClr w14:val="tx1"/>
                  </w14:solidFill>
                </w14:textFill>
              </w:rPr>
              <w:t>）；③注册环保工程师；④注册安全工程师；</w:t>
            </w:r>
          </w:p>
          <w:p w14:paraId="638CDD61">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注：对应人员证书均提供证书原件扫描件加盖投标单位公章及有效社保证明（由社保部门出具在投标截止时间前三个月内任意一个月有效</w:t>
            </w:r>
            <w:r>
              <w:rPr>
                <w:rFonts w:ascii="楷体" w:hAnsi="楷体" w:eastAsia="楷体" w:cs="楷体"/>
                <w:color w:val="000000" w:themeColor="text1"/>
                <w:szCs w:val="21"/>
                <w14:textFill>
                  <w14:solidFill>
                    <w14:schemeClr w14:val="tx1"/>
                  </w14:solidFill>
                </w14:textFill>
              </w:rPr>
              <w:t>社保</w:t>
            </w:r>
            <w:r>
              <w:rPr>
                <w:rFonts w:hint="eastAsia" w:ascii="楷体" w:hAnsi="楷体" w:eastAsia="楷体" w:cs="楷体"/>
                <w:color w:val="000000" w:themeColor="text1"/>
                <w:szCs w:val="21"/>
                <w14:textFill>
                  <w14:solidFill>
                    <w14:schemeClr w14:val="tx1"/>
                  </w14:solidFill>
                </w14:textFill>
              </w:rPr>
              <w:t>证明，社保缴纳单位应与投标人名称一致。）未提供不得分。</w:t>
            </w:r>
          </w:p>
        </w:tc>
      </w:tr>
      <w:tr w14:paraId="7675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315FEAFC">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5</w:t>
            </w:r>
          </w:p>
        </w:tc>
        <w:tc>
          <w:tcPr>
            <w:tcW w:w="547" w:type="dxa"/>
            <w:noWrap/>
            <w:vAlign w:val="center"/>
          </w:tcPr>
          <w:p w14:paraId="7E3E23A3">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2" w:type="dxa"/>
            <w:noWrap/>
            <w:vAlign w:val="center"/>
          </w:tcPr>
          <w:p w14:paraId="66EBC424">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施工进度控制</w:t>
            </w:r>
          </w:p>
        </w:tc>
        <w:tc>
          <w:tcPr>
            <w:tcW w:w="693" w:type="dxa"/>
            <w:noWrap/>
            <w:vAlign w:val="center"/>
          </w:tcPr>
          <w:p w14:paraId="6CEA9087">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68B5F14D">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229682FF">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对各分项工程，从准备、实施、竣工到项目的保修阶段的每一道工序，所采取的进度控制措施、方法。进度控制计划与实际进度产生较大差距时，从措施的可行和效果上进行分析，由专家进行评分。评分范围（0、1、2、3、4），未提供的不得分。</w:t>
            </w:r>
          </w:p>
        </w:tc>
      </w:tr>
      <w:tr w14:paraId="1BAC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655AB3FA">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6</w:t>
            </w:r>
          </w:p>
        </w:tc>
        <w:tc>
          <w:tcPr>
            <w:tcW w:w="547" w:type="dxa"/>
            <w:noWrap/>
            <w:vAlign w:val="center"/>
          </w:tcPr>
          <w:p w14:paraId="3122E3A3">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2" w:type="dxa"/>
            <w:noWrap/>
            <w:vAlign w:val="center"/>
          </w:tcPr>
          <w:p w14:paraId="32CF8D29">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质量控制</w:t>
            </w:r>
          </w:p>
        </w:tc>
        <w:tc>
          <w:tcPr>
            <w:tcW w:w="693" w:type="dxa"/>
            <w:noWrap/>
            <w:vAlign w:val="center"/>
          </w:tcPr>
          <w:p w14:paraId="28F54CBA">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607817DF">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310F52B4">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针对本项目的实际情况对质量控制的保证措施手段是否科学、可靠，包括检验批、分部、分项工程的实体质量控制、隐蔽验收、专项验收、轴线，功能检测，原材料构配件、节能、质量的把关及方案审核，旁站和质量事故处理手段等，由专家进行评分。评分范围（0、1、2、3、4），未提供的不得分。</w:t>
            </w:r>
          </w:p>
        </w:tc>
      </w:tr>
      <w:tr w14:paraId="2E7B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521" w:type="dxa"/>
            <w:noWrap/>
            <w:vAlign w:val="center"/>
          </w:tcPr>
          <w:p w14:paraId="438E92A6">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7</w:t>
            </w:r>
          </w:p>
        </w:tc>
        <w:tc>
          <w:tcPr>
            <w:tcW w:w="547" w:type="dxa"/>
            <w:noWrap/>
            <w:vAlign w:val="center"/>
          </w:tcPr>
          <w:p w14:paraId="284F347E">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2" w:type="dxa"/>
            <w:noWrap/>
            <w:vAlign w:val="center"/>
          </w:tcPr>
          <w:p w14:paraId="1FFE9DD3">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投资控制</w:t>
            </w:r>
          </w:p>
        </w:tc>
        <w:tc>
          <w:tcPr>
            <w:tcW w:w="693" w:type="dxa"/>
            <w:noWrap/>
            <w:vAlign w:val="center"/>
          </w:tcPr>
          <w:p w14:paraId="73E47CF8">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672A7338">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5795CB87">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对本项目投资控制，包括施工阶段的设计、设计变更、索赔、工程计量、现场签证、支付审核、结算审核等有效办法和措施，由专家进行评分。</w:t>
            </w:r>
          </w:p>
          <w:p w14:paraId="6E8E2829">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评分范围（0、1、2、3、4），未提供的不得分。</w:t>
            </w:r>
          </w:p>
        </w:tc>
      </w:tr>
      <w:tr w14:paraId="7A4C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1" w:type="dxa"/>
            <w:noWrap/>
            <w:vAlign w:val="center"/>
          </w:tcPr>
          <w:p w14:paraId="4F81DAA9">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8</w:t>
            </w:r>
          </w:p>
        </w:tc>
        <w:tc>
          <w:tcPr>
            <w:tcW w:w="547" w:type="dxa"/>
            <w:noWrap/>
            <w:vAlign w:val="center"/>
          </w:tcPr>
          <w:p w14:paraId="3058EAD1">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2" w:type="dxa"/>
            <w:noWrap/>
            <w:vAlign w:val="center"/>
          </w:tcPr>
          <w:p w14:paraId="0AFCFDBA">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安全文明施工管理</w:t>
            </w:r>
          </w:p>
        </w:tc>
        <w:tc>
          <w:tcPr>
            <w:tcW w:w="693" w:type="dxa"/>
            <w:noWrap/>
            <w:vAlign w:val="center"/>
          </w:tcPr>
          <w:p w14:paraId="067E7969">
            <w:pPr>
              <w:jc w:val="center"/>
              <w:rPr>
                <w:rFonts w:ascii="楷体" w:hAnsi="楷体" w:eastAsia="楷体" w:cs="楷体"/>
                <w:color w:val="000000" w:themeColor="text1"/>
                <w:szCs w:val="21"/>
                <w14:textFill>
                  <w14:solidFill>
                    <w14:schemeClr w14:val="tx1"/>
                  </w14:solidFill>
                </w14:textFill>
              </w:rPr>
            </w:pPr>
            <w:r>
              <w:rPr>
                <w:rFonts w:ascii="楷体" w:hAnsi="楷体" w:eastAsia="楷体" w:cs="楷体"/>
                <w:color w:val="000000" w:themeColor="text1"/>
                <w:szCs w:val="21"/>
                <w14:textFill>
                  <w14:solidFill>
                    <w14:schemeClr w14:val="tx1"/>
                  </w14:solidFill>
                </w14:textFill>
              </w:rPr>
              <w:t>3</w:t>
            </w:r>
          </w:p>
        </w:tc>
        <w:tc>
          <w:tcPr>
            <w:tcW w:w="1075" w:type="dxa"/>
            <w:noWrap/>
            <w:vAlign w:val="center"/>
          </w:tcPr>
          <w:p w14:paraId="36E4376B">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0B97A1EF">
            <w:pPr>
              <w:tabs>
                <w:tab w:val="left" w:pos="840"/>
              </w:tabs>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对本项目安全文明管理施工，根据安全生产措施、文明施工措施、环境保护措施等，由专家进行评分。评分范围评分范围（0、1、2、3），未提供的不得分。</w:t>
            </w:r>
          </w:p>
        </w:tc>
      </w:tr>
      <w:tr w14:paraId="0C6C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356BB3AA">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9</w:t>
            </w:r>
          </w:p>
        </w:tc>
        <w:tc>
          <w:tcPr>
            <w:tcW w:w="547" w:type="dxa"/>
            <w:noWrap/>
            <w:vAlign w:val="center"/>
          </w:tcPr>
          <w:p w14:paraId="668404AE">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2" w:type="dxa"/>
            <w:noWrap/>
            <w:vAlign w:val="center"/>
          </w:tcPr>
          <w:p w14:paraId="59857A7A">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拟投入设备</w:t>
            </w:r>
          </w:p>
        </w:tc>
        <w:tc>
          <w:tcPr>
            <w:tcW w:w="693" w:type="dxa"/>
            <w:noWrap/>
            <w:vAlign w:val="center"/>
          </w:tcPr>
          <w:p w14:paraId="14E831C3">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075" w:type="dxa"/>
            <w:noWrap/>
            <w:vAlign w:val="center"/>
          </w:tcPr>
          <w:p w14:paraId="0577BB97">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0B04E4E3">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供应商针对本项目拟投入检测仪器和工具是否能满足工程要求，由专家进行评分。评分范围评分范围（0、1、2、3、4），未提供的不得分。</w:t>
            </w:r>
          </w:p>
        </w:tc>
      </w:tr>
      <w:tr w14:paraId="6F40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339D6064">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10</w:t>
            </w:r>
          </w:p>
        </w:tc>
        <w:tc>
          <w:tcPr>
            <w:tcW w:w="547" w:type="dxa"/>
            <w:noWrap/>
            <w:vAlign w:val="center"/>
          </w:tcPr>
          <w:p w14:paraId="23D15B4D">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2" w:type="dxa"/>
            <w:noWrap/>
            <w:vAlign w:val="center"/>
          </w:tcPr>
          <w:p w14:paraId="522D7885">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资料整理及组织实施计划方案</w:t>
            </w:r>
          </w:p>
        </w:tc>
        <w:tc>
          <w:tcPr>
            <w:tcW w:w="693" w:type="dxa"/>
            <w:noWrap/>
            <w:vAlign w:val="center"/>
          </w:tcPr>
          <w:p w14:paraId="5E2B0438">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3</w:t>
            </w:r>
          </w:p>
        </w:tc>
        <w:tc>
          <w:tcPr>
            <w:tcW w:w="1075" w:type="dxa"/>
            <w:noWrap/>
            <w:vAlign w:val="center"/>
          </w:tcPr>
          <w:p w14:paraId="60D9C8C7">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7CA08959">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供应商针对本项目技术资料编制及制作的组织实施计划等情况，由专家进行评分。评分范围评分范围（0、1、2、3），未提供的不得分。</w:t>
            </w:r>
          </w:p>
        </w:tc>
      </w:tr>
      <w:tr w14:paraId="39CC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1" w:type="dxa"/>
            <w:noWrap/>
            <w:vAlign w:val="center"/>
          </w:tcPr>
          <w:p w14:paraId="671529DB">
            <w:pPr>
              <w:rPr>
                <w:rFonts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11</w:t>
            </w:r>
          </w:p>
        </w:tc>
        <w:tc>
          <w:tcPr>
            <w:tcW w:w="547" w:type="dxa"/>
            <w:noWrap/>
            <w:vAlign w:val="center"/>
          </w:tcPr>
          <w:p w14:paraId="3AAEDC5C">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技术</w:t>
            </w:r>
          </w:p>
        </w:tc>
        <w:tc>
          <w:tcPr>
            <w:tcW w:w="1312" w:type="dxa"/>
            <w:noWrap/>
            <w:vAlign w:val="center"/>
          </w:tcPr>
          <w:p w14:paraId="2F300954">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总体方案</w:t>
            </w:r>
          </w:p>
        </w:tc>
        <w:tc>
          <w:tcPr>
            <w:tcW w:w="693" w:type="dxa"/>
            <w:noWrap/>
            <w:vAlign w:val="center"/>
          </w:tcPr>
          <w:p w14:paraId="734DF2E6">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3</w:t>
            </w:r>
          </w:p>
        </w:tc>
        <w:tc>
          <w:tcPr>
            <w:tcW w:w="1075" w:type="dxa"/>
            <w:noWrap/>
            <w:vAlign w:val="center"/>
          </w:tcPr>
          <w:p w14:paraId="62E1E6FC">
            <w:pPr>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主观分</w:t>
            </w:r>
          </w:p>
        </w:tc>
        <w:tc>
          <w:tcPr>
            <w:tcW w:w="4614" w:type="dxa"/>
            <w:noWrap/>
            <w:vAlign w:val="center"/>
          </w:tcPr>
          <w:p w14:paraId="59B12278">
            <w:pP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根据供应商针对本项目提出的总体方案情况，由专家进行评分。评分范围评分范围（0、1、2、3），未提供的不得分。</w:t>
            </w:r>
          </w:p>
        </w:tc>
      </w:tr>
    </w:tbl>
    <w:p w14:paraId="561F6CBD">
      <w:pPr>
        <w:autoSpaceDE w:val="0"/>
        <w:autoSpaceDN w:val="0"/>
        <w:adjustRightInd w:val="0"/>
        <w:spacing w:line="360" w:lineRule="auto"/>
        <w:ind w:firstLine="480"/>
        <w:rPr>
          <w:rFonts w:ascii="楷体" w:hAnsi="楷体" w:eastAsia="楷体" w:cs="楷体"/>
          <w:b/>
          <w:color w:val="000000" w:themeColor="text1"/>
          <w:szCs w:val="21"/>
          <w:lang w:val="zh-CN"/>
          <w14:textFill>
            <w14:solidFill>
              <w14:schemeClr w14:val="tx1"/>
            </w14:solidFill>
          </w14:textFill>
        </w:rPr>
      </w:pPr>
    </w:p>
    <w:p w14:paraId="79DA0EFB">
      <w:pPr>
        <w:autoSpaceDE w:val="0"/>
        <w:autoSpaceDN w:val="0"/>
        <w:adjustRightInd w:val="0"/>
        <w:spacing w:line="360" w:lineRule="auto"/>
        <w:ind w:firstLine="480"/>
        <w:rPr>
          <w:rFonts w:ascii="楷体" w:hAnsi="楷体" w:eastAsia="楷体" w:cs="楷体"/>
          <w:b/>
          <w:color w:val="000000" w:themeColor="text1"/>
          <w:sz w:val="24"/>
          <w:lang w:val="zh-CN"/>
          <w14:textFill>
            <w14:solidFill>
              <w14:schemeClr w14:val="tx1"/>
            </w14:solidFill>
          </w14:textFill>
        </w:rPr>
      </w:pPr>
      <w:r>
        <w:rPr>
          <w:rFonts w:hint="eastAsia" w:ascii="楷体" w:hAnsi="楷体" w:eastAsia="楷体" w:cs="楷体"/>
          <w:b/>
          <w:color w:val="000000" w:themeColor="text1"/>
          <w:sz w:val="24"/>
          <w:lang w:val="zh-CN"/>
          <w14:textFill>
            <w14:solidFill>
              <w14:schemeClr w14:val="tx1"/>
            </w14:solidFill>
          </w14:textFill>
        </w:rPr>
        <w:t>（</w:t>
      </w:r>
      <w:r>
        <w:rPr>
          <w:rFonts w:hint="eastAsia" w:ascii="楷体" w:hAnsi="楷体" w:eastAsia="楷体" w:cs="楷体"/>
          <w:b/>
          <w:color w:val="000000" w:themeColor="text1"/>
          <w:sz w:val="24"/>
          <w14:textFill>
            <w14:solidFill>
              <w14:schemeClr w14:val="tx1"/>
            </w14:solidFill>
          </w14:textFill>
        </w:rPr>
        <w:t>二</w:t>
      </w:r>
      <w:r>
        <w:rPr>
          <w:rFonts w:hint="eastAsia" w:ascii="楷体" w:hAnsi="楷体" w:eastAsia="楷体" w:cs="楷体"/>
          <w:b/>
          <w:color w:val="000000" w:themeColor="text1"/>
          <w:sz w:val="24"/>
          <w:lang w:val="zh-CN"/>
          <w14:textFill>
            <w14:solidFill>
              <w14:schemeClr w14:val="tx1"/>
            </w14:solidFill>
          </w14:textFill>
        </w:rPr>
        <w:t>）商务报价（满分</w:t>
      </w:r>
      <w:r>
        <w:rPr>
          <w:rFonts w:hint="eastAsia" w:ascii="楷体" w:hAnsi="楷体" w:eastAsia="楷体" w:cs="楷体"/>
          <w:b/>
          <w:color w:val="000000" w:themeColor="text1"/>
          <w:sz w:val="24"/>
          <w:u w:val="single"/>
          <w14:textFill>
            <w14:solidFill>
              <w14:schemeClr w14:val="tx1"/>
            </w14:solidFill>
          </w14:textFill>
        </w:rPr>
        <w:t xml:space="preserve">50 </w:t>
      </w:r>
      <w:r>
        <w:rPr>
          <w:rFonts w:hint="eastAsia" w:ascii="楷体" w:hAnsi="楷体" w:eastAsia="楷体" w:cs="楷体"/>
          <w:b/>
          <w:color w:val="000000" w:themeColor="text1"/>
          <w:sz w:val="24"/>
          <w:lang w:val="zh-CN"/>
          <w14:textFill>
            <w14:solidFill>
              <w14:schemeClr w14:val="tx1"/>
            </w14:solidFill>
          </w14:textFill>
        </w:rPr>
        <w:t>分）</w:t>
      </w:r>
    </w:p>
    <w:p w14:paraId="3531C07E">
      <w:pPr>
        <w:adjustRightInd w:val="0"/>
        <w:snapToGrid w:val="0"/>
        <w:spacing w:line="360" w:lineRule="auto"/>
        <w:ind w:firstLine="482" w:firstLineChars="200"/>
        <w:rPr>
          <w:rFonts w:ascii="楷体" w:hAnsi="楷体" w:eastAsia="楷体" w:cs="楷体"/>
          <w:b/>
          <w:bCs/>
          <w:color w:val="000000" w:themeColor="text1"/>
          <w:sz w:val="24"/>
          <w:lang w:val="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w:t>
      </w:r>
      <w:r>
        <w:rPr>
          <w:rFonts w:hint="eastAsia" w:ascii="楷体" w:hAnsi="楷体" w:eastAsia="楷体" w:cs="楷体"/>
          <w:b/>
          <w:bCs/>
          <w:color w:val="000000" w:themeColor="text1"/>
          <w:sz w:val="24"/>
          <w:lang w:val="zh-CN"/>
          <w14:textFill>
            <w14:solidFill>
              <w14:schemeClr w14:val="tx1"/>
            </w14:solidFill>
          </w14:textFill>
        </w:rPr>
        <w:t>投标价格的合理性：</w:t>
      </w:r>
    </w:p>
    <w:p w14:paraId="789DAF1C">
      <w:pPr>
        <w:adjustRightInd w:val="0"/>
        <w:snapToGrid w:val="0"/>
        <w:spacing w:line="360" w:lineRule="auto"/>
        <w:ind w:firstLine="480" w:firstLineChars="200"/>
        <w:rPr>
          <w:rFonts w:ascii="楷体" w:hAnsi="楷体" w:eastAsia="楷体" w:cs="楷体"/>
          <w:color w:val="000000" w:themeColor="text1"/>
          <w:sz w:val="24"/>
          <w:lang w:val="zh-CN"/>
          <w14:textFill>
            <w14:solidFill>
              <w14:schemeClr w14:val="tx1"/>
            </w14:solidFill>
          </w14:textFill>
        </w:rPr>
      </w:pPr>
      <w:r>
        <w:rPr>
          <w:rFonts w:hint="eastAsia" w:ascii="楷体" w:hAnsi="楷体" w:eastAsia="楷体" w:cs="楷体"/>
          <w:color w:val="000000" w:themeColor="text1"/>
          <w:sz w:val="24"/>
          <w:lang w:val="zh-CN"/>
          <w14:textFill>
            <w14:solidFill>
              <w14:schemeClr w14:val="tx1"/>
            </w14:solidFill>
          </w14:textFill>
        </w:rPr>
        <w:t>分析总报价及各个分项报价是否合理，报价范围是否完整，有否重大错漏项，评标委员会认为投标报价出现异常时，有权要求投标人在评标期间对投标报价的详细组成作出解释和澄清，并确认其投标报价是否有效。</w:t>
      </w:r>
    </w:p>
    <w:p w14:paraId="4F3DFE78">
      <w:pPr>
        <w:adjustRightInd w:val="0"/>
        <w:snapToGrid w:val="0"/>
        <w:spacing w:line="360" w:lineRule="auto"/>
        <w:ind w:firstLine="482" w:firstLineChars="200"/>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2.商务报价计算</w:t>
      </w:r>
    </w:p>
    <w:p w14:paraId="751F6864">
      <w:pPr>
        <w:adjustRightInd w:val="0"/>
        <w:snapToGrid w:val="0"/>
        <w:spacing w:line="360" w:lineRule="auto"/>
        <w:ind w:firstLine="480" w:firstLineChars="200"/>
        <w:rPr>
          <w:rFonts w:ascii="楷体" w:hAnsi="楷体" w:eastAsia="楷体" w:cs="楷体"/>
          <w:color w:val="000000" w:themeColor="text1"/>
          <w:sz w:val="24"/>
          <w:lang w:val="zh-CN"/>
          <w14:textFill>
            <w14:solidFill>
              <w14:schemeClr w14:val="tx1"/>
            </w14:solidFill>
          </w14:textFill>
        </w:rPr>
      </w:pPr>
      <w:r>
        <w:rPr>
          <w:rFonts w:hint="eastAsia" w:ascii="楷体" w:hAnsi="楷体" w:eastAsia="楷体" w:cs="楷体"/>
          <w:color w:val="000000" w:themeColor="text1"/>
          <w:sz w:val="24"/>
          <w:lang w:val="zh-CN"/>
          <w14:textFill>
            <w14:solidFill>
              <w14:schemeClr w14:val="tx1"/>
            </w14:solidFill>
          </w14:textFill>
        </w:rPr>
        <w:t>各投标人的商务报价得分统一采用低价优先法计算，即满足采购文件要求且投标价格最低的投标报价为评标基准价，其价格分为满分</w:t>
      </w:r>
      <w:r>
        <w:rPr>
          <w:rFonts w:hint="eastAsia" w:ascii="楷体" w:hAnsi="楷体" w:eastAsia="楷体" w:cs="楷体"/>
          <w:color w:val="000000" w:themeColor="text1"/>
          <w:sz w:val="24"/>
          <w:u w:val="single"/>
          <w14:textFill>
            <w14:solidFill>
              <w14:schemeClr w14:val="tx1"/>
            </w14:solidFill>
          </w14:textFill>
        </w:rPr>
        <w:t>50</w:t>
      </w:r>
      <w:r>
        <w:rPr>
          <w:rFonts w:hint="eastAsia" w:ascii="楷体" w:hAnsi="楷体" w:eastAsia="楷体" w:cs="楷体"/>
          <w:color w:val="000000" w:themeColor="text1"/>
          <w:sz w:val="24"/>
          <w14:textFill>
            <w14:solidFill>
              <w14:schemeClr w14:val="tx1"/>
            </w14:solidFill>
          </w14:textFill>
        </w:rPr>
        <w:t>分</w:t>
      </w:r>
      <w:r>
        <w:rPr>
          <w:rFonts w:hint="eastAsia" w:ascii="楷体" w:hAnsi="楷体" w:eastAsia="楷体" w:cs="楷体"/>
          <w:color w:val="000000" w:themeColor="text1"/>
          <w:sz w:val="24"/>
          <w:lang w:val="zh-CN"/>
          <w14:textFill>
            <w14:solidFill>
              <w14:schemeClr w14:val="tx1"/>
            </w14:solidFill>
          </w14:textFill>
        </w:rPr>
        <w:t>。其他投标人的商务报价得分统一按照下列公式计算：</w:t>
      </w:r>
    </w:p>
    <w:p w14:paraId="243AFF7A">
      <w:pPr>
        <w:adjustRightInd w:val="0"/>
        <w:snapToGrid w:val="0"/>
        <w:spacing w:line="360" w:lineRule="auto"/>
        <w:ind w:firstLine="480" w:firstLineChars="200"/>
        <w:rPr>
          <w:rFonts w:ascii="楷体" w:hAnsi="楷体" w:eastAsia="楷体" w:cs="楷体"/>
          <w:color w:val="000000" w:themeColor="text1"/>
          <w:sz w:val="24"/>
          <w:lang w:val="zh-CN"/>
          <w14:textFill>
            <w14:solidFill>
              <w14:schemeClr w14:val="tx1"/>
            </w14:solidFill>
          </w14:textFill>
        </w:rPr>
      </w:pPr>
      <w:r>
        <w:rPr>
          <w:rFonts w:hint="eastAsia" w:ascii="楷体" w:hAnsi="楷体" w:eastAsia="楷体" w:cs="楷体"/>
          <w:color w:val="000000" w:themeColor="text1"/>
          <w:sz w:val="24"/>
          <w:lang w:val="zh-CN"/>
          <w14:textFill>
            <w14:solidFill>
              <w14:schemeClr w14:val="tx1"/>
            </w14:solidFill>
          </w14:textFill>
        </w:rPr>
        <w:t>投标报价得分=（评标基准价/投标报价）×价格权值（即</w:t>
      </w:r>
      <w:r>
        <w:rPr>
          <w:rFonts w:hint="eastAsia" w:ascii="楷体" w:hAnsi="楷体" w:eastAsia="楷体" w:cs="楷体"/>
          <w:color w:val="000000" w:themeColor="text1"/>
          <w:sz w:val="24"/>
          <w:u w:val="single"/>
          <w14:textFill>
            <w14:solidFill>
              <w14:schemeClr w14:val="tx1"/>
            </w14:solidFill>
          </w14:textFill>
        </w:rPr>
        <w:t>50</w:t>
      </w:r>
      <w:r>
        <w:rPr>
          <w:rFonts w:hint="eastAsia" w:ascii="楷体" w:hAnsi="楷体" w:eastAsia="楷体" w:cs="楷体"/>
          <w:color w:val="000000" w:themeColor="text1"/>
          <w:sz w:val="24"/>
          <w:lang w:val="zh-CN"/>
          <w14:textFill>
            <w14:solidFill>
              <w14:schemeClr w14:val="tx1"/>
            </w14:solidFill>
          </w14:textFill>
        </w:rPr>
        <w:t>%）×100</w:t>
      </w:r>
    </w:p>
    <w:p w14:paraId="281985D7">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标项一：</w:t>
      </w:r>
      <w:r>
        <w:rPr>
          <w:rFonts w:hint="eastAsia" w:ascii="楷体" w:hAnsi="楷体" w:eastAsia="楷体" w:cs="楷体"/>
          <w:color w:val="000000" w:themeColor="text1"/>
          <w:sz w:val="24"/>
          <w14:textFill>
            <w14:solidFill>
              <w14:schemeClr w14:val="tx1"/>
            </w14:solidFill>
          </w14:textFill>
        </w:rPr>
        <w:t>50万以下</w:t>
      </w:r>
      <w:r>
        <w:rPr>
          <w:rFonts w:hint="eastAsia" w:ascii="楷体" w:hAnsi="楷体" w:eastAsia="楷体" w:cs="楷体"/>
          <w:snapToGrid w:val="0"/>
          <w:color w:val="000000" w:themeColor="text1"/>
          <w:kern w:val="0"/>
          <w:sz w:val="24"/>
          <w14:textFill>
            <w14:solidFill>
              <w14:schemeClr w14:val="tx1"/>
            </w14:solidFill>
          </w14:textFill>
        </w:rPr>
        <w:t>报价为20分，</w:t>
      </w:r>
      <w:r>
        <w:rPr>
          <w:rFonts w:hint="eastAsia" w:ascii="楷体" w:hAnsi="楷体" w:eastAsia="楷体" w:cs="楷体"/>
          <w:color w:val="000000" w:themeColor="text1"/>
          <w:sz w:val="24"/>
          <w14:textFill>
            <w14:solidFill>
              <w14:schemeClr w14:val="tx1"/>
            </w14:solidFill>
          </w14:textFill>
        </w:rPr>
        <w:t>50万-200万以下</w:t>
      </w:r>
      <w:r>
        <w:rPr>
          <w:rFonts w:hint="eastAsia" w:ascii="楷体" w:hAnsi="楷体" w:eastAsia="楷体" w:cs="楷体"/>
          <w:snapToGrid w:val="0"/>
          <w:color w:val="000000" w:themeColor="text1"/>
          <w:kern w:val="0"/>
          <w:sz w:val="24"/>
          <w14:textFill>
            <w14:solidFill>
              <w14:schemeClr w14:val="tx1"/>
            </w14:solidFill>
          </w14:textFill>
        </w:rPr>
        <w:t>报价为20分，</w:t>
      </w:r>
      <w:r>
        <w:rPr>
          <w:rFonts w:hint="eastAsia" w:ascii="楷体" w:hAnsi="楷体" w:eastAsia="楷体" w:cs="楷体"/>
          <w:color w:val="000000" w:themeColor="text1"/>
          <w:sz w:val="24"/>
          <w14:textFill>
            <w14:solidFill>
              <w14:schemeClr w14:val="tx1"/>
            </w14:solidFill>
          </w14:textFill>
        </w:rPr>
        <w:t>200万以上</w:t>
      </w:r>
      <w:r>
        <w:rPr>
          <w:rFonts w:hint="eastAsia" w:ascii="楷体" w:hAnsi="楷体" w:eastAsia="楷体" w:cs="楷体"/>
          <w:snapToGrid w:val="0"/>
          <w:color w:val="000000" w:themeColor="text1"/>
          <w:kern w:val="0"/>
          <w:sz w:val="24"/>
          <w14:textFill>
            <w14:solidFill>
              <w14:schemeClr w14:val="tx1"/>
            </w14:solidFill>
          </w14:textFill>
        </w:rPr>
        <w:t>报价为10分，最终分别计算各区间报价得分后的合计得分即为最终的报价得分，得满分50分。</w:t>
      </w:r>
    </w:p>
    <w:p w14:paraId="78C3EB08">
      <w:pPr>
        <w:adjustRightInd w:val="0"/>
        <w:snapToGrid w:val="0"/>
        <w:spacing w:line="360" w:lineRule="auto"/>
        <w:ind w:firstLine="482" w:firstLineChars="200"/>
        <w:rPr>
          <w:rFonts w:ascii="楷体" w:hAnsi="楷体" w:eastAsia="楷体" w:cs="楷体"/>
          <w:b/>
          <w:bCs/>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标项二：</w:t>
      </w:r>
      <w:r>
        <w:rPr>
          <w:rFonts w:hint="eastAsia" w:ascii="楷体" w:hAnsi="楷体" w:eastAsia="楷体" w:cs="楷体"/>
          <w:color w:val="000000" w:themeColor="text1"/>
          <w:sz w:val="24"/>
          <w14:textFill>
            <w14:solidFill>
              <w14:schemeClr w14:val="tx1"/>
            </w14:solidFill>
          </w14:textFill>
        </w:rPr>
        <w:t>50万以下</w:t>
      </w:r>
      <w:r>
        <w:rPr>
          <w:rFonts w:hint="eastAsia" w:ascii="楷体" w:hAnsi="楷体" w:eastAsia="楷体" w:cs="楷体"/>
          <w:snapToGrid w:val="0"/>
          <w:color w:val="000000" w:themeColor="text1"/>
          <w:kern w:val="0"/>
          <w:sz w:val="24"/>
          <w14:textFill>
            <w14:solidFill>
              <w14:schemeClr w14:val="tx1"/>
            </w14:solidFill>
          </w14:textFill>
        </w:rPr>
        <w:t>报价为20分，</w:t>
      </w:r>
      <w:r>
        <w:rPr>
          <w:rFonts w:hint="eastAsia" w:ascii="楷体" w:hAnsi="楷体" w:eastAsia="楷体" w:cs="楷体"/>
          <w:color w:val="000000" w:themeColor="text1"/>
          <w:sz w:val="24"/>
          <w14:textFill>
            <w14:solidFill>
              <w14:schemeClr w14:val="tx1"/>
            </w14:solidFill>
          </w14:textFill>
        </w:rPr>
        <w:t>50万-200万以下</w:t>
      </w:r>
      <w:r>
        <w:rPr>
          <w:rFonts w:hint="eastAsia" w:ascii="楷体" w:hAnsi="楷体" w:eastAsia="楷体" w:cs="楷体"/>
          <w:snapToGrid w:val="0"/>
          <w:color w:val="000000" w:themeColor="text1"/>
          <w:kern w:val="0"/>
          <w:sz w:val="24"/>
          <w14:textFill>
            <w14:solidFill>
              <w14:schemeClr w14:val="tx1"/>
            </w14:solidFill>
          </w14:textFill>
        </w:rPr>
        <w:t>报价为20分，</w:t>
      </w:r>
      <w:r>
        <w:rPr>
          <w:rFonts w:hint="eastAsia" w:ascii="楷体" w:hAnsi="楷体" w:eastAsia="楷体" w:cs="楷体"/>
          <w:color w:val="000000" w:themeColor="text1"/>
          <w:sz w:val="24"/>
          <w14:textFill>
            <w14:solidFill>
              <w14:schemeClr w14:val="tx1"/>
            </w14:solidFill>
          </w14:textFill>
        </w:rPr>
        <w:t>200万以上</w:t>
      </w:r>
      <w:r>
        <w:rPr>
          <w:rFonts w:hint="eastAsia" w:ascii="楷体" w:hAnsi="楷体" w:eastAsia="楷体" w:cs="楷体"/>
          <w:snapToGrid w:val="0"/>
          <w:color w:val="000000" w:themeColor="text1"/>
          <w:kern w:val="0"/>
          <w:sz w:val="24"/>
          <w14:textFill>
            <w14:solidFill>
              <w14:schemeClr w14:val="tx1"/>
            </w14:solidFill>
          </w14:textFill>
        </w:rPr>
        <w:t>报价为10分，最终分别计算各区间报价得分后的合计得分即为最终的报价得分，得满分50分。</w:t>
      </w:r>
    </w:p>
    <w:p w14:paraId="0762095B">
      <w:pPr>
        <w:adjustRightInd w:val="0"/>
        <w:snapToGrid w:val="0"/>
        <w:spacing w:line="360" w:lineRule="auto"/>
        <w:ind w:firstLine="482"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b/>
          <w:bCs/>
          <w:snapToGrid w:val="0"/>
          <w:color w:val="000000" w:themeColor="text1"/>
          <w:kern w:val="0"/>
          <w:sz w:val="24"/>
          <w14:textFill>
            <w14:solidFill>
              <w14:schemeClr w14:val="tx1"/>
            </w14:solidFill>
          </w14:textFill>
        </w:rPr>
        <w:t>标项三：</w:t>
      </w:r>
      <w:r>
        <w:rPr>
          <w:rFonts w:hint="eastAsia" w:ascii="楷体" w:hAnsi="楷体" w:eastAsia="楷体" w:cs="楷体"/>
          <w:color w:val="000000" w:themeColor="text1"/>
          <w:sz w:val="24"/>
          <w14:textFill>
            <w14:solidFill>
              <w14:schemeClr w14:val="tx1"/>
            </w14:solidFill>
          </w14:textFill>
        </w:rPr>
        <w:t>50万以下</w:t>
      </w:r>
      <w:r>
        <w:rPr>
          <w:rFonts w:hint="eastAsia" w:ascii="楷体" w:hAnsi="楷体" w:eastAsia="楷体" w:cs="楷体"/>
          <w:snapToGrid w:val="0"/>
          <w:color w:val="000000" w:themeColor="text1"/>
          <w:kern w:val="0"/>
          <w:sz w:val="24"/>
          <w14:textFill>
            <w14:solidFill>
              <w14:schemeClr w14:val="tx1"/>
            </w14:solidFill>
          </w14:textFill>
        </w:rPr>
        <w:t>报价为20分，</w:t>
      </w:r>
      <w:r>
        <w:rPr>
          <w:rFonts w:hint="eastAsia" w:ascii="楷体" w:hAnsi="楷体" w:eastAsia="楷体" w:cs="楷体"/>
          <w:color w:val="000000" w:themeColor="text1"/>
          <w:sz w:val="24"/>
          <w14:textFill>
            <w14:solidFill>
              <w14:schemeClr w14:val="tx1"/>
            </w14:solidFill>
          </w14:textFill>
        </w:rPr>
        <w:t>50万-200万以下</w:t>
      </w:r>
      <w:r>
        <w:rPr>
          <w:rFonts w:hint="eastAsia" w:ascii="楷体" w:hAnsi="楷体" w:eastAsia="楷体" w:cs="楷体"/>
          <w:snapToGrid w:val="0"/>
          <w:color w:val="000000" w:themeColor="text1"/>
          <w:kern w:val="0"/>
          <w:sz w:val="24"/>
          <w14:textFill>
            <w14:solidFill>
              <w14:schemeClr w14:val="tx1"/>
            </w14:solidFill>
          </w14:textFill>
        </w:rPr>
        <w:t>报价为20分，</w:t>
      </w:r>
      <w:r>
        <w:rPr>
          <w:rFonts w:hint="eastAsia" w:ascii="楷体" w:hAnsi="楷体" w:eastAsia="楷体" w:cs="楷体"/>
          <w:color w:val="000000" w:themeColor="text1"/>
          <w:sz w:val="24"/>
          <w14:textFill>
            <w14:solidFill>
              <w14:schemeClr w14:val="tx1"/>
            </w14:solidFill>
          </w14:textFill>
        </w:rPr>
        <w:t>200万以上</w:t>
      </w:r>
      <w:r>
        <w:rPr>
          <w:rFonts w:hint="eastAsia" w:ascii="楷体" w:hAnsi="楷体" w:eastAsia="楷体" w:cs="楷体"/>
          <w:snapToGrid w:val="0"/>
          <w:color w:val="000000" w:themeColor="text1"/>
          <w:kern w:val="0"/>
          <w:sz w:val="24"/>
          <w14:textFill>
            <w14:solidFill>
              <w14:schemeClr w14:val="tx1"/>
            </w14:solidFill>
          </w14:textFill>
        </w:rPr>
        <w:t>报价为10分，最终分别计算各区间报价得分后的合计得分即为最终的报价得分，得满分50分。</w:t>
      </w:r>
    </w:p>
    <w:p w14:paraId="4AE76F6A">
      <w:pPr>
        <w:adjustRightInd w:val="0"/>
        <w:snapToGrid w:val="0"/>
        <w:spacing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（三）其他</w:t>
      </w:r>
    </w:p>
    <w:p w14:paraId="1E48962A">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评分时保留小数点后1位小数，计算评分值时保留小数点后2位小数，由评标委员会当场统一计算。</w:t>
      </w:r>
    </w:p>
    <w:p w14:paraId="319B2CCB">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投标人的最终总得分为技术商务及报价部分二部分得分的总和。</w:t>
      </w:r>
    </w:p>
    <w:p w14:paraId="6A6A50F0">
      <w:pPr>
        <w:adjustRightInd w:val="0"/>
        <w:snapToGrid w:val="0"/>
        <w:spacing w:line="360" w:lineRule="auto"/>
        <w:ind w:firstLine="482"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报价是中标的一个重要因素，但最低报价不是中标的唯一依据。</w:t>
      </w:r>
    </w:p>
    <w:p w14:paraId="1F1BDEB1">
      <w:pPr>
        <w:adjustRightInd w:val="0"/>
        <w:snapToGrid w:val="0"/>
        <w:spacing w:line="360" w:lineRule="auto"/>
        <w:ind w:firstLine="482" w:firstLineChars="200"/>
        <w:rPr>
          <w:rFonts w:ascii="楷体" w:hAnsi="楷体" w:eastAsia="楷体" w:cs="楷体"/>
          <w:b/>
          <w:snapToGrid w:val="0"/>
          <w:color w:val="000000" w:themeColor="text1"/>
          <w:kern w:val="0"/>
          <w:sz w:val="24"/>
          <w14:textFill>
            <w14:solidFill>
              <w14:schemeClr w14:val="tx1"/>
            </w14:solidFill>
          </w14:textFill>
        </w:rPr>
      </w:pPr>
      <w:r>
        <w:rPr>
          <w:rFonts w:hint="eastAsia" w:ascii="楷体" w:hAnsi="楷体" w:eastAsia="楷体" w:cs="楷体"/>
          <w:b/>
          <w:snapToGrid w:val="0"/>
          <w:color w:val="000000" w:themeColor="text1"/>
          <w:kern w:val="0"/>
          <w:sz w:val="24"/>
          <w14:textFill>
            <w14:solidFill>
              <w14:schemeClr w14:val="tx1"/>
            </w14:solidFill>
          </w14:textFill>
        </w:rPr>
        <w:t>▲（四）特别说明</w:t>
      </w:r>
    </w:p>
    <w:p w14:paraId="5257E031">
      <w:pPr>
        <w:adjustRightInd w:val="0"/>
        <w:snapToGrid w:val="0"/>
        <w:spacing w:line="360" w:lineRule="auto"/>
        <w:ind w:firstLine="480" w:firstLineChars="200"/>
        <w:rPr>
          <w:rFonts w:ascii="楷体" w:hAnsi="楷体" w:eastAsia="楷体" w:cs="楷体"/>
          <w:snapToGrid w:val="0"/>
          <w:color w:val="000000" w:themeColor="text1"/>
          <w:kern w:val="0"/>
          <w:sz w:val="24"/>
          <w14:textFill>
            <w14:solidFill>
              <w14:schemeClr w14:val="tx1"/>
            </w14:solidFill>
          </w14:textFill>
        </w:rPr>
      </w:pPr>
      <w:r>
        <w:rPr>
          <w:rFonts w:hint="eastAsia" w:ascii="楷体" w:hAnsi="楷体" w:eastAsia="楷体" w:cs="楷体"/>
          <w:snapToGrid w:val="0"/>
          <w:color w:val="000000" w:themeColor="text1"/>
          <w:kern w:val="0"/>
          <w:sz w:val="24"/>
          <w14:textFill>
            <w14:solidFill>
              <w14:schemeClr w14:val="tx1"/>
            </w14:solidFill>
          </w14:textFill>
        </w:rPr>
        <w:t>1.本项目三个标项将按标项顺序依次评审。并规定：</w:t>
      </w:r>
      <w:r>
        <w:rPr>
          <w:rFonts w:ascii="楷体" w:hAnsi="楷体" w:eastAsia="楷体" w:cs="楷体"/>
          <w:snapToGrid w:val="0"/>
          <w:color w:val="000000" w:themeColor="text1"/>
          <w:kern w:val="0"/>
          <w:sz w:val="24"/>
          <w14:textFill>
            <w14:solidFill>
              <w14:schemeClr w14:val="tx1"/>
            </w14:solidFill>
          </w14:textFill>
        </w:rPr>
        <w:t>①</w:t>
      </w:r>
      <w:r>
        <w:rPr>
          <w:rFonts w:hint="eastAsia" w:ascii="楷体" w:hAnsi="楷体" w:eastAsia="楷体" w:cs="楷体"/>
          <w:snapToGrid w:val="0"/>
          <w:color w:val="000000" w:themeColor="text1"/>
          <w:kern w:val="0"/>
          <w:sz w:val="24"/>
          <w14:textFill>
            <w14:solidFill>
              <w14:schemeClr w14:val="tx1"/>
            </w14:solidFill>
          </w14:textFill>
        </w:rPr>
        <w:t>同一家供应商最多成为1个标项的第一中标候选人，如在标项1确定为第一中标候选人，则其剩余未评审标项的 “报价文件” 不再开启评审，其已公布的剩余未评审标项的资信技术得分自动取消，同时剩余未评审标项排序降至最后一名。</w:t>
      </w:r>
      <w:r>
        <w:rPr>
          <w:rFonts w:ascii="楷体" w:hAnsi="楷体" w:eastAsia="楷体" w:cs="楷体"/>
          <w:snapToGrid w:val="0"/>
          <w:color w:val="000000" w:themeColor="text1"/>
          <w:kern w:val="0"/>
          <w:sz w:val="24"/>
          <w14:textFill>
            <w14:solidFill>
              <w14:schemeClr w14:val="tx1"/>
            </w14:solidFill>
          </w14:textFill>
        </w:rPr>
        <w:t>②</w:t>
      </w:r>
      <w:r>
        <w:rPr>
          <w:rFonts w:hint="eastAsia" w:ascii="楷体" w:hAnsi="楷体" w:eastAsia="楷体" w:cs="楷体"/>
          <w:snapToGrid w:val="0"/>
          <w:color w:val="000000" w:themeColor="text1"/>
          <w:kern w:val="0"/>
          <w:sz w:val="24"/>
          <w14:textFill>
            <w14:solidFill>
              <w14:schemeClr w14:val="tx1"/>
            </w14:solidFill>
          </w14:textFill>
        </w:rPr>
        <w:t>评审汇总表将按实际情况进行各标段的最终排序。</w:t>
      </w:r>
    </w:p>
    <w:p w14:paraId="7736F028">
      <w:pPr>
        <w:tabs>
          <w:tab w:val="left" w:pos="4860"/>
        </w:tabs>
        <w:spacing w:line="360" w:lineRule="auto"/>
        <w:ind w:right="1560"/>
        <w:rPr>
          <w:rFonts w:ascii="楷体" w:hAnsi="楷体" w:eastAsia="楷体" w:cs="楷体"/>
          <w:color w:val="000000" w:themeColor="text1"/>
          <w14:textFill>
            <w14:solidFill>
              <w14:schemeClr w14:val="tx1"/>
            </w14:solidFill>
          </w14:textFill>
        </w:rPr>
        <w:sectPr>
          <w:pgSz w:w="11906" w:h="16838"/>
          <w:pgMar w:top="1247" w:right="1587" w:bottom="1088" w:left="1587" w:header="851" w:footer="992" w:gutter="0"/>
          <w:pgNumType w:fmt="numberInDash"/>
          <w:cols w:space="720" w:num="1"/>
          <w:docGrid w:linePitch="312" w:charSpace="0"/>
        </w:sectPr>
      </w:pPr>
    </w:p>
    <w:p w14:paraId="6EE0D0D5">
      <w:pPr>
        <w:adjustRightInd w:val="0"/>
        <w:snapToGrid w:val="0"/>
        <w:spacing w:before="120" w:beforeLines="50" w:after="120" w:afterLines="50" w:line="360" w:lineRule="auto"/>
        <w:jc w:val="center"/>
        <w:outlineLvl w:val="0"/>
        <w:rPr>
          <w:rFonts w:ascii="楷体" w:hAnsi="楷体" w:eastAsia="楷体" w:cs="楷体"/>
          <w:b/>
          <w:color w:val="000000" w:themeColor="text1"/>
          <w:sz w:val="30"/>
          <w:szCs w:val="30"/>
          <w14:textFill>
            <w14:solidFill>
              <w14:schemeClr w14:val="tx1"/>
            </w14:solidFill>
          </w14:textFill>
        </w:rPr>
      </w:pPr>
      <w:bookmarkStart w:id="538" w:name="_Toc22134"/>
      <w:bookmarkStart w:id="539" w:name="_Toc2463"/>
      <w:bookmarkStart w:id="540" w:name="_Toc19936"/>
      <w:bookmarkStart w:id="541" w:name="_Toc17285"/>
      <w:bookmarkStart w:id="542" w:name="_Toc13752"/>
      <w:bookmarkStart w:id="543" w:name="_Toc21885"/>
      <w:bookmarkStart w:id="544" w:name="_Toc3574"/>
      <w:bookmarkStart w:id="545" w:name="_Toc16094"/>
      <w:bookmarkStart w:id="546" w:name="_Toc5407"/>
      <w:bookmarkStart w:id="547" w:name="_Toc18417"/>
      <w:bookmarkStart w:id="548" w:name="_Toc19471"/>
      <w:bookmarkStart w:id="549" w:name="_Toc24781"/>
      <w:bookmarkStart w:id="550" w:name="_Toc27474"/>
      <w:bookmarkStart w:id="551" w:name="_Toc23164"/>
      <w:bookmarkStart w:id="552" w:name="_Toc225868345"/>
      <w:bookmarkStart w:id="553" w:name="_Toc29263"/>
      <w:r>
        <w:rPr>
          <w:rFonts w:hint="eastAsia" w:ascii="楷体" w:hAnsi="楷体" w:eastAsia="楷体" w:cs="楷体"/>
          <w:b/>
          <w:color w:val="000000" w:themeColor="text1"/>
          <w:sz w:val="30"/>
          <w:szCs w:val="30"/>
          <w14:textFill>
            <w14:solidFill>
              <w14:schemeClr w14:val="tx1"/>
            </w14:solidFill>
          </w14:textFill>
        </w:rPr>
        <w:t>第七部分   其它</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3CB2F6AC">
      <w:pPr>
        <w:pStyle w:val="136"/>
        <w:widowControl w:val="0"/>
        <w:snapToGrid w:val="0"/>
        <w:spacing w:line="360" w:lineRule="auto"/>
        <w:jc w:val="center"/>
        <w:rPr>
          <w:rFonts w:hint="default" w:ascii="楷体" w:hAnsi="楷体" w:eastAsia="楷体" w:cs="楷体"/>
          <w:b/>
          <w:color w:val="000000" w:themeColor="text1"/>
          <w:sz w:val="28"/>
          <w:szCs w:val="28"/>
          <w14:textFill>
            <w14:solidFill>
              <w14:schemeClr w14:val="tx1"/>
            </w14:solidFill>
          </w14:textFill>
        </w:rPr>
      </w:pPr>
      <w:r>
        <w:rPr>
          <w:rFonts w:ascii="楷体" w:hAnsi="楷体" w:eastAsia="楷体" w:cs="楷体"/>
          <w:b/>
          <w:color w:val="000000" w:themeColor="text1"/>
          <w:sz w:val="28"/>
          <w:szCs w:val="28"/>
          <w14:textFill>
            <w14:solidFill>
              <w14:schemeClr w14:val="tx1"/>
            </w14:solidFill>
          </w14:textFill>
        </w:rPr>
        <w:t>政府采购活动现场确认声明书</w:t>
      </w:r>
    </w:p>
    <w:p w14:paraId="7E687AE4">
      <w:pPr>
        <w:pStyle w:val="136"/>
        <w:widowControl w:val="0"/>
        <w:adjustRightInd w:val="0"/>
        <w:snapToGrid w:val="0"/>
        <w:spacing w:line="360" w:lineRule="auto"/>
        <w:jc w:val="both"/>
        <w:rPr>
          <w:rFonts w:hint="default" w:ascii="楷体" w:hAnsi="楷体" w:eastAsia="楷体" w:cs="楷体"/>
          <w:b/>
          <w:color w:val="000000" w:themeColor="text1"/>
          <w:sz w:val="24"/>
          <w:szCs w:val="24"/>
          <w14:textFill>
            <w14:solidFill>
              <w14:schemeClr w14:val="tx1"/>
            </w14:solidFill>
          </w14:textFill>
        </w:rPr>
      </w:pPr>
      <w:r>
        <w:rPr>
          <w:rFonts w:ascii="楷体" w:hAnsi="楷体" w:eastAsia="楷体" w:cs="楷体"/>
          <w:color w:val="000000" w:themeColor="text1"/>
          <w:kern w:val="0"/>
          <w:sz w:val="24"/>
          <w:szCs w:val="24"/>
          <w:u w:val="single"/>
          <w14:textFill>
            <w14:solidFill>
              <w14:schemeClr w14:val="tx1"/>
            </w14:solidFill>
          </w14:textFill>
        </w:rPr>
        <w:t>温州市信合工程咨询有限公司</w:t>
      </w:r>
      <w:r>
        <w:rPr>
          <w:rFonts w:ascii="楷体" w:hAnsi="楷体" w:eastAsia="楷体" w:cs="楷体"/>
          <w:color w:val="000000" w:themeColor="text1"/>
          <w:kern w:val="0"/>
          <w:sz w:val="24"/>
          <w:szCs w:val="24"/>
          <w14:textFill>
            <w14:solidFill>
              <w14:schemeClr w14:val="tx1"/>
            </w14:solidFill>
          </w14:textFill>
        </w:rPr>
        <w:t>：</w:t>
      </w:r>
    </w:p>
    <w:p w14:paraId="35B98332">
      <w:pPr>
        <w:pStyle w:val="136"/>
        <w:widowControl w:val="0"/>
        <w:adjustRightInd w:val="0"/>
        <w:snapToGrid w:val="0"/>
        <w:spacing w:line="360" w:lineRule="auto"/>
        <w:ind w:firstLine="504" w:firstLineChars="200"/>
        <w:jc w:val="both"/>
        <w:rPr>
          <w:rFonts w:hint="default" w:ascii="楷体" w:hAnsi="楷体" w:eastAsia="楷体" w:cs="楷体"/>
          <w:color w:val="000000" w:themeColor="text1"/>
          <w:spacing w:val="6"/>
          <w:sz w:val="24"/>
          <w:szCs w:val="24"/>
          <w14:textFill>
            <w14:solidFill>
              <w14:schemeClr w14:val="tx1"/>
            </w14:solidFill>
          </w14:textFill>
        </w:rPr>
      </w:pPr>
      <w:r>
        <w:rPr>
          <w:rFonts w:ascii="楷体" w:hAnsi="楷体" w:eastAsia="楷体" w:cs="楷体"/>
          <w:color w:val="000000" w:themeColor="text1"/>
          <w:spacing w:val="6"/>
          <w:sz w:val="24"/>
          <w:szCs w:val="24"/>
          <w14:textFill>
            <w14:solidFill>
              <w14:schemeClr w14:val="tx1"/>
            </w14:solidFill>
          </w14:textFill>
        </w:rPr>
        <w:t>本人经由</w:t>
      </w:r>
      <w:r>
        <w:rPr>
          <w:rFonts w:ascii="楷体" w:hAnsi="楷体" w:eastAsia="楷体" w:cs="楷体"/>
          <w:color w:val="000000" w:themeColor="text1"/>
          <w:spacing w:val="6"/>
          <w:sz w:val="24"/>
          <w:szCs w:val="24"/>
          <w:u w:val="single"/>
          <w14:textFill>
            <w14:solidFill>
              <w14:schemeClr w14:val="tx1"/>
            </w14:solidFill>
          </w14:textFill>
        </w:rPr>
        <w:t xml:space="preserve">              （单位）</w:t>
      </w:r>
      <w:r>
        <w:rPr>
          <w:rFonts w:ascii="楷体" w:hAnsi="楷体" w:eastAsia="楷体" w:cs="楷体"/>
          <w:color w:val="000000" w:themeColor="text1"/>
          <w:spacing w:val="6"/>
          <w:sz w:val="24"/>
          <w:szCs w:val="24"/>
          <w14:textFill>
            <w14:solidFill>
              <w14:schemeClr w14:val="tx1"/>
            </w14:solidFill>
          </w14:textFill>
        </w:rPr>
        <w:t>负责人</w:t>
      </w:r>
      <w:r>
        <w:rPr>
          <w:rFonts w:ascii="楷体" w:hAnsi="楷体" w:eastAsia="楷体" w:cs="楷体"/>
          <w:color w:val="000000" w:themeColor="text1"/>
          <w:spacing w:val="6"/>
          <w:sz w:val="24"/>
          <w:szCs w:val="24"/>
          <w:u w:val="single"/>
          <w14:textFill>
            <w14:solidFill>
              <w14:schemeClr w14:val="tx1"/>
            </w14:solidFill>
          </w14:textFill>
        </w:rPr>
        <w:t xml:space="preserve">      （姓名）</w:t>
      </w:r>
      <w:r>
        <w:rPr>
          <w:rFonts w:ascii="楷体" w:hAnsi="楷体" w:eastAsia="楷体" w:cs="楷体"/>
          <w:color w:val="000000" w:themeColor="text1"/>
          <w:spacing w:val="6"/>
          <w:sz w:val="24"/>
          <w:szCs w:val="24"/>
          <w14:textFill>
            <w14:solidFill>
              <w14:schemeClr w14:val="tx1"/>
            </w14:solidFill>
          </w14:textFill>
        </w:rPr>
        <w:t>合法授权参加</w:t>
      </w:r>
      <w:r>
        <w:rPr>
          <w:rFonts w:ascii="楷体" w:hAnsi="楷体" w:eastAsia="楷体" w:cs="楷体"/>
          <w:color w:val="000000" w:themeColor="text1"/>
          <w:spacing w:val="6"/>
          <w:sz w:val="24"/>
          <w:szCs w:val="24"/>
          <w:u w:val="single"/>
          <w14:textFill>
            <w14:solidFill>
              <w14:schemeClr w14:val="tx1"/>
            </w14:solidFill>
          </w14:textFill>
        </w:rPr>
        <w:t xml:space="preserve">           </w:t>
      </w:r>
      <w:r>
        <w:rPr>
          <w:rFonts w:ascii="楷体" w:hAnsi="楷体" w:eastAsia="楷体" w:cs="楷体"/>
          <w:color w:val="000000" w:themeColor="text1"/>
          <w:spacing w:val="6"/>
          <w:sz w:val="24"/>
          <w:szCs w:val="24"/>
          <w14:textFill>
            <w14:solidFill>
              <w14:schemeClr w14:val="tx1"/>
            </w14:solidFill>
          </w14:textFill>
        </w:rPr>
        <w:t>项目</w:t>
      </w:r>
      <w:r>
        <w:rPr>
          <w:rFonts w:ascii="楷体" w:hAnsi="楷体" w:eastAsia="楷体" w:cs="楷体"/>
          <w:color w:val="000000" w:themeColor="text1"/>
          <w:spacing w:val="6"/>
          <w:sz w:val="24"/>
          <w:szCs w:val="24"/>
          <w:u w:val="single"/>
          <w14:textFill>
            <w14:solidFill>
              <w14:schemeClr w14:val="tx1"/>
            </w14:solidFill>
          </w14:textFill>
        </w:rPr>
        <w:t>（编号：    ）</w:t>
      </w:r>
      <w:r>
        <w:rPr>
          <w:rFonts w:ascii="楷体" w:hAnsi="楷体" w:eastAsia="楷体" w:cs="楷体"/>
          <w:color w:val="000000" w:themeColor="text1"/>
          <w:spacing w:val="6"/>
          <w:sz w:val="24"/>
          <w:szCs w:val="24"/>
          <w14:textFill>
            <w14:solidFill>
              <w14:schemeClr w14:val="tx1"/>
            </w14:solidFill>
          </w14:textFill>
        </w:rPr>
        <w:t xml:space="preserve">政府采购活动，经与本单位法人代表（负责人）联系确认，现就有关公平竞争事项郑重声明如下： </w:t>
      </w:r>
    </w:p>
    <w:p w14:paraId="1DC02131">
      <w:pPr>
        <w:pStyle w:val="122"/>
        <w:widowControl/>
        <w:numPr>
          <w:ilvl w:val="0"/>
          <w:numId w:val="32"/>
        </w:numPr>
        <w:adjustRightInd w:val="0"/>
        <w:snapToGrid w:val="0"/>
        <w:spacing w:line="360" w:lineRule="auto"/>
        <w:ind w:firstLine="453" w:firstLineChars="189"/>
        <w:rPr>
          <w:rFonts w:hint="default" w:ascii="楷体" w:hAnsi="楷体" w:eastAsia="楷体" w:cs="楷体"/>
          <w:color w:val="000000" w:themeColor="text1"/>
          <w:kern w:val="0"/>
          <w:sz w:val="24"/>
          <w:szCs w:val="24"/>
          <w14:textFill>
            <w14:solidFill>
              <w14:schemeClr w14:val="tx1"/>
            </w14:solidFill>
          </w14:textFill>
        </w:rPr>
      </w:pPr>
      <w:r>
        <w:rPr>
          <w:rFonts w:ascii="楷体" w:hAnsi="楷体" w:eastAsia="楷体" w:cs="楷体"/>
          <w:color w:val="000000" w:themeColor="text1"/>
          <w:kern w:val="0"/>
          <w:sz w:val="24"/>
          <w:szCs w:val="24"/>
          <w14:textFill>
            <w14:solidFill>
              <w14:schemeClr w14:val="tx1"/>
            </w14:solidFill>
          </w14:textFill>
        </w:rPr>
        <w:t>本单位与采购人之间 □不存在利害关系 □存在下列利害关系</w:t>
      </w:r>
      <w:r>
        <w:rPr>
          <w:rFonts w:ascii="楷体" w:hAnsi="楷体" w:eastAsia="楷体" w:cs="楷体"/>
          <w:color w:val="000000" w:themeColor="text1"/>
          <w:kern w:val="0"/>
          <w:sz w:val="24"/>
          <w:szCs w:val="24"/>
          <w:u w:val="single"/>
          <w14:textFill>
            <w14:solidFill>
              <w14:schemeClr w14:val="tx1"/>
            </w14:solidFill>
          </w14:textFill>
        </w:rPr>
        <w:t xml:space="preserve">           </w:t>
      </w:r>
      <w:r>
        <w:rPr>
          <w:rFonts w:ascii="楷体" w:hAnsi="楷体" w:eastAsia="楷体" w:cs="楷体"/>
          <w:color w:val="000000" w:themeColor="text1"/>
          <w:kern w:val="0"/>
          <w:sz w:val="24"/>
          <w:szCs w:val="24"/>
          <w14:textFill>
            <w14:solidFill>
              <w14:schemeClr w14:val="tx1"/>
            </w14:solidFill>
          </w14:textFill>
        </w:rPr>
        <w:t>：</w:t>
      </w:r>
    </w:p>
    <w:p w14:paraId="6868713D">
      <w:pPr>
        <w:pStyle w:val="122"/>
        <w:widowControl/>
        <w:adjustRightInd w:val="0"/>
        <w:snapToGrid w:val="0"/>
        <w:spacing w:line="360" w:lineRule="auto"/>
        <w:ind w:firstLine="200"/>
        <w:rPr>
          <w:rFonts w:hint="default" w:ascii="楷体" w:hAnsi="楷体" w:eastAsia="楷体" w:cs="楷体"/>
          <w:color w:val="000000" w:themeColor="text1"/>
          <w:kern w:val="0"/>
          <w:sz w:val="24"/>
          <w:szCs w:val="24"/>
          <w14:textFill>
            <w14:solidFill>
              <w14:schemeClr w14:val="tx1"/>
            </w14:solidFill>
          </w14:textFill>
        </w:rPr>
      </w:pPr>
      <w:r>
        <w:rPr>
          <w:rFonts w:ascii="楷体" w:hAnsi="楷体" w:eastAsia="楷体" w:cs="楷体"/>
          <w:color w:val="000000" w:themeColor="text1"/>
          <w:kern w:val="0"/>
          <w:sz w:val="24"/>
          <w:szCs w:val="24"/>
          <w14:textFill>
            <w14:solidFill>
              <w14:schemeClr w14:val="tx1"/>
            </w14:solidFill>
          </w14:textFill>
        </w:rPr>
        <w:t xml:space="preserve">  A.投资关系    B.行政隶属关系    C.业务指导关系</w:t>
      </w:r>
    </w:p>
    <w:p w14:paraId="3EE3498E">
      <w:pPr>
        <w:pStyle w:val="122"/>
        <w:widowControl/>
        <w:adjustRightInd w:val="0"/>
        <w:snapToGrid w:val="0"/>
        <w:spacing w:line="360" w:lineRule="auto"/>
        <w:ind w:firstLine="200"/>
        <w:rPr>
          <w:rFonts w:hint="default" w:ascii="楷体" w:hAnsi="楷体" w:eastAsia="楷体" w:cs="楷体"/>
          <w:color w:val="000000" w:themeColor="text1"/>
          <w:kern w:val="0"/>
          <w:sz w:val="24"/>
          <w:szCs w:val="24"/>
          <w14:textFill>
            <w14:solidFill>
              <w14:schemeClr w14:val="tx1"/>
            </w14:solidFill>
          </w14:textFill>
        </w:rPr>
      </w:pPr>
      <w:r>
        <w:rPr>
          <w:rFonts w:ascii="楷体" w:hAnsi="楷体" w:eastAsia="楷体" w:cs="楷体"/>
          <w:color w:val="000000" w:themeColor="text1"/>
          <w:kern w:val="0"/>
          <w:sz w:val="24"/>
          <w:szCs w:val="24"/>
          <w14:textFill>
            <w14:solidFill>
              <w14:schemeClr w14:val="tx1"/>
            </w14:solidFill>
          </w14:textFill>
        </w:rPr>
        <w:t xml:space="preserve">  D.其他可能</w:t>
      </w:r>
      <w:r>
        <w:rPr>
          <w:rFonts w:ascii="楷体" w:hAnsi="楷体" w:eastAsia="楷体" w:cs="楷体"/>
          <w:color w:val="000000" w:themeColor="text1"/>
          <w:sz w:val="24"/>
          <w:szCs w:val="24"/>
          <w14:textFill>
            <w14:solidFill>
              <w14:schemeClr w14:val="tx1"/>
            </w14:solidFill>
          </w14:textFill>
        </w:rPr>
        <w:t>影响采购公正的</w:t>
      </w:r>
      <w:r>
        <w:rPr>
          <w:rFonts w:ascii="楷体" w:hAnsi="楷体" w:eastAsia="楷体" w:cs="楷体"/>
          <w:color w:val="000000" w:themeColor="text1"/>
          <w:kern w:val="0"/>
          <w:sz w:val="24"/>
          <w:szCs w:val="24"/>
          <w14:textFill>
            <w14:solidFill>
              <w14:schemeClr w14:val="tx1"/>
            </w14:solidFill>
          </w14:textFill>
        </w:rPr>
        <w:t>利害关系</w:t>
      </w:r>
      <w:r>
        <w:rPr>
          <w:rFonts w:ascii="楷体" w:hAnsi="楷体" w:eastAsia="楷体" w:cs="楷体"/>
          <w:color w:val="000000" w:themeColor="text1"/>
          <w:kern w:val="0"/>
          <w:sz w:val="24"/>
          <w:szCs w:val="24"/>
          <w:u w:val="single"/>
          <w14:textFill>
            <w14:solidFill>
              <w14:schemeClr w14:val="tx1"/>
            </w14:solidFill>
          </w14:textFill>
        </w:rPr>
        <w:t xml:space="preserve">（如有，请如实说明）                 </w:t>
      </w:r>
      <w:r>
        <w:rPr>
          <w:rFonts w:ascii="楷体" w:hAnsi="楷体" w:eastAsia="楷体" w:cs="楷体"/>
          <w:color w:val="000000" w:themeColor="text1"/>
          <w:kern w:val="0"/>
          <w:sz w:val="24"/>
          <w:szCs w:val="24"/>
          <w14:textFill>
            <w14:solidFill>
              <w14:schemeClr w14:val="tx1"/>
            </w14:solidFill>
          </w14:textFill>
        </w:rPr>
        <w:t>。</w:t>
      </w:r>
    </w:p>
    <w:p w14:paraId="35D6FB2B">
      <w:pPr>
        <w:pStyle w:val="122"/>
        <w:widowControl/>
        <w:adjustRightInd w:val="0"/>
        <w:snapToGrid w:val="0"/>
        <w:spacing w:line="360" w:lineRule="auto"/>
        <w:ind w:firstLine="200"/>
        <w:rPr>
          <w:rFonts w:hint="default" w:ascii="楷体" w:hAnsi="楷体" w:eastAsia="楷体" w:cs="楷体"/>
          <w:color w:val="000000" w:themeColor="text1"/>
          <w:kern w:val="0"/>
          <w:sz w:val="24"/>
          <w:szCs w:val="24"/>
          <w14:textFill>
            <w14:solidFill>
              <w14:schemeClr w14:val="tx1"/>
            </w14:solidFill>
          </w14:textFill>
        </w:rPr>
      </w:pPr>
      <w:r>
        <w:rPr>
          <w:rFonts w:ascii="楷体" w:hAnsi="楷体" w:eastAsia="楷体" w:cs="楷体"/>
          <w:color w:val="000000" w:themeColor="text1"/>
          <w:spacing w:val="6"/>
          <w:sz w:val="24"/>
          <w:szCs w:val="24"/>
          <w14:textFill>
            <w14:solidFill>
              <w14:schemeClr w14:val="tx1"/>
            </w14:solidFill>
          </w14:textFill>
        </w:rPr>
        <w:t xml:space="preserve">  二、</w:t>
      </w:r>
      <w:r>
        <w:rPr>
          <w:rFonts w:ascii="楷体" w:hAnsi="楷体" w:eastAsia="楷体" w:cs="楷体"/>
          <w:color w:val="000000" w:themeColor="text1"/>
          <w:kern w:val="0"/>
          <w:sz w:val="24"/>
          <w:szCs w:val="24"/>
          <w14:textFill>
            <w14:solidFill>
              <w14:schemeClr w14:val="tx1"/>
            </w14:solidFill>
          </w14:textFill>
        </w:rPr>
        <w:t>现已清楚知道参加本项目采购活动的其他所有供应商名称，本单位 □与其他所有供应商之间均不存在利害关系 □与</w:t>
      </w:r>
      <w:r>
        <w:rPr>
          <w:rFonts w:ascii="楷体" w:hAnsi="楷体" w:eastAsia="楷体" w:cs="楷体"/>
          <w:color w:val="000000" w:themeColor="text1"/>
          <w:kern w:val="0"/>
          <w:sz w:val="24"/>
          <w:szCs w:val="24"/>
          <w:u w:val="single"/>
          <w14:textFill>
            <w14:solidFill>
              <w14:schemeClr w14:val="tx1"/>
            </w14:solidFill>
          </w14:textFill>
        </w:rPr>
        <w:t xml:space="preserve">           （供应商名称）</w:t>
      </w:r>
      <w:r>
        <w:rPr>
          <w:rFonts w:ascii="楷体" w:hAnsi="楷体" w:eastAsia="楷体" w:cs="楷体"/>
          <w:color w:val="000000" w:themeColor="text1"/>
          <w:kern w:val="0"/>
          <w:sz w:val="24"/>
          <w:szCs w:val="24"/>
          <w14:textFill>
            <w14:solidFill>
              <w14:schemeClr w14:val="tx1"/>
            </w14:solidFill>
          </w14:textFill>
        </w:rPr>
        <w:t>之间存在下列利害关系</w:t>
      </w:r>
      <w:r>
        <w:rPr>
          <w:rFonts w:ascii="楷体" w:hAnsi="楷体" w:eastAsia="楷体" w:cs="楷体"/>
          <w:color w:val="000000" w:themeColor="text1"/>
          <w:kern w:val="0"/>
          <w:sz w:val="24"/>
          <w:szCs w:val="24"/>
          <w:u w:val="single"/>
          <w14:textFill>
            <w14:solidFill>
              <w14:schemeClr w14:val="tx1"/>
            </w14:solidFill>
          </w14:textFill>
        </w:rPr>
        <w:t xml:space="preserve">          </w:t>
      </w:r>
      <w:r>
        <w:rPr>
          <w:rFonts w:ascii="楷体" w:hAnsi="楷体" w:eastAsia="楷体" w:cs="楷体"/>
          <w:color w:val="000000" w:themeColor="text1"/>
          <w:kern w:val="0"/>
          <w:sz w:val="24"/>
          <w:szCs w:val="24"/>
          <w14:textFill>
            <w14:solidFill>
              <w14:schemeClr w14:val="tx1"/>
            </w14:solidFill>
          </w14:textFill>
        </w:rPr>
        <w:t>：</w:t>
      </w:r>
    </w:p>
    <w:p w14:paraId="321E5FED">
      <w:pPr>
        <w:pStyle w:val="136"/>
        <w:widowControl w:val="0"/>
        <w:adjustRightInd w:val="0"/>
        <w:snapToGrid w:val="0"/>
        <w:spacing w:line="360" w:lineRule="auto"/>
        <w:ind w:firstLine="200"/>
        <w:jc w:val="both"/>
        <w:rPr>
          <w:rFonts w:hint="default" w:ascii="楷体" w:hAnsi="楷体" w:eastAsia="楷体" w:cs="楷体"/>
          <w:color w:val="000000" w:themeColor="text1"/>
          <w:kern w:val="0"/>
          <w:sz w:val="24"/>
          <w:szCs w:val="24"/>
          <w14:textFill>
            <w14:solidFill>
              <w14:schemeClr w14:val="tx1"/>
            </w14:solidFill>
          </w14:textFill>
        </w:rPr>
      </w:pPr>
      <w:r>
        <w:rPr>
          <w:rFonts w:ascii="楷体" w:hAnsi="楷体" w:eastAsia="楷体" w:cs="楷体"/>
          <w:color w:val="000000" w:themeColor="text1"/>
          <w:kern w:val="0"/>
          <w:sz w:val="24"/>
          <w:szCs w:val="24"/>
          <w14:textFill>
            <w14:solidFill>
              <w14:schemeClr w14:val="tx1"/>
            </w14:solidFill>
          </w14:textFill>
        </w:rPr>
        <w:t xml:space="preserve">  A.法定代表人或负责人或实际控制人是同一人</w:t>
      </w:r>
    </w:p>
    <w:p w14:paraId="528D222B">
      <w:pPr>
        <w:pStyle w:val="136"/>
        <w:widowControl w:val="0"/>
        <w:adjustRightInd w:val="0"/>
        <w:snapToGrid w:val="0"/>
        <w:spacing w:line="360" w:lineRule="auto"/>
        <w:ind w:firstLine="200"/>
        <w:jc w:val="both"/>
        <w:rPr>
          <w:rFonts w:hint="default" w:ascii="楷体" w:hAnsi="楷体" w:eastAsia="楷体" w:cs="楷体"/>
          <w:color w:val="000000" w:themeColor="text1"/>
          <w:spacing w:val="6"/>
          <w:sz w:val="24"/>
          <w:szCs w:val="24"/>
          <w14:textFill>
            <w14:solidFill>
              <w14:schemeClr w14:val="tx1"/>
            </w14:solidFill>
          </w14:textFill>
        </w:rPr>
      </w:pPr>
      <w:r>
        <w:rPr>
          <w:rFonts w:ascii="楷体" w:hAnsi="楷体" w:eastAsia="楷体" w:cs="楷体"/>
          <w:color w:val="000000" w:themeColor="text1"/>
          <w:kern w:val="0"/>
          <w:sz w:val="24"/>
          <w:szCs w:val="24"/>
          <w14:textFill>
            <w14:solidFill>
              <w14:schemeClr w14:val="tx1"/>
            </w14:solidFill>
          </w14:textFill>
        </w:rPr>
        <w:t xml:space="preserve">  B.法定代表人或负责人或实际控制人是夫妻关系</w:t>
      </w:r>
    </w:p>
    <w:p w14:paraId="5E93A991">
      <w:pPr>
        <w:pStyle w:val="136"/>
        <w:widowControl w:val="0"/>
        <w:adjustRightInd w:val="0"/>
        <w:snapToGrid w:val="0"/>
        <w:spacing w:line="360" w:lineRule="auto"/>
        <w:ind w:firstLine="200"/>
        <w:jc w:val="both"/>
        <w:rPr>
          <w:rFonts w:hint="default" w:ascii="楷体" w:hAnsi="楷体" w:eastAsia="楷体" w:cs="楷体"/>
          <w:color w:val="000000" w:themeColor="text1"/>
          <w:spacing w:val="6"/>
          <w:sz w:val="24"/>
          <w:szCs w:val="24"/>
          <w14:textFill>
            <w14:solidFill>
              <w14:schemeClr w14:val="tx1"/>
            </w14:solidFill>
          </w14:textFill>
        </w:rPr>
      </w:pPr>
      <w:r>
        <w:rPr>
          <w:rFonts w:ascii="楷体" w:hAnsi="楷体" w:eastAsia="楷体" w:cs="楷体"/>
          <w:color w:val="000000" w:themeColor="text1"/>
          <w:kern w:val="0"/>
          <w:sz w:val="24"/>
          <w:szCs w:val="24"/>
          <w14:textFill>
            <w14:solidFill>
              <w14:schemeClr w14:val="tx1"/>
            </w14:solidFill>
          </w14:textFill>
        </w:rPr>
        <w:t xml:space="preserve">  C.法定代表人或负责人或实际控制人是直系血亲关系</w:t>
      </w:r>
    </w:p>
    <w:p w14:paraId="660A53AA">
      <w:pPr>
        <w:pStyle w:val="136"/>
        <w:widowControl w:val="0"/>
        <w:adjustRightInd w:val="0"/>
        <w:snapToGrid w:val="0"/>
        <w:spacing w:line="360" w:lineRule="auto"/>
        <w:ind w:firstLine="200"/>
        <w:jc w:val="both"/>
        <w:rPr>
          <w:rFonts w:hint="default" w:ascii="楷体" w:hAnsi="楷体" w:eastAsia="楷体" w:cs="楷体"/>
          <w:color w:val="000000" w:themeColor="text1"/>
          <w:spacing w:val="6"/>
          <w:sz w:val="24"/>
          <w:szCs w:val="24"/>
          <w14:textFill>
            <w14:solidFill>
              <w14:schemeClr w14:val="tx1"/>
            </w14:solidFill>
          </w14:textFill>
        </w:rPr>
      </w:pPr>
      <w:r>
        <w:rPr>
          <w:rFonts w:ascii="楷体" w:hAnsi="楷体" w:eastAsia="楷体" w:cs="楷体"/>
          <w:color w:val="000000" w:themeColor="text1"/>
          <w:kern w:val="0"/>
          <w:sz w:val="24"/>
          <w:szCs w:val="24"/>
          <w14:textFill>
            <w14:solidFill>
              <w14:schemeClr w14:val="tx1"/>
            </w14:solidFill>
          </w14:textFill>
        </w:rPr>
        <w:t xml:space="preserve">  D.法定代表人或负责人或实际控制人存在三代以内旁系血亲关系</w:t>
      </w:r>
    </w:p>
    <w:p w14:paraId="3B42754F">
      <w:pPr>
        <w:pStyle w:val="136"/>
        <w:widowControl w:val="0"/>
        <w:adjustRightInd w:val="0"/>
        <w:snapToGrid w:val="0"/>
        <w:spacing w:line="360" w:lineRule="auto"/>
        <w:ind w:firstLine="200"/>
        <w:jc w:val="both"/>
        <w:rPr>
          <w:rFonts w:hint="default" w:ascii="楷体" w:hAnsi="楷体" w:eastAsia="楷体" w:cs="楷体"/>
          <w:color w:val="000000" w:themeColor="text1"/>
          <w:kern w:val="0"/>
          <w:sz w:val="24"/>
          <w:szCs w:val="24"/>
          <w14:textFill>
            <w14:solidFill>
              <w14:schemeClr w14:val="tx1"/>
            </w14:solidFill>
          </w14:textFill>
        </w:rPr>
      </w:pPr>
      <w:r>
        <w:rPr>
          <w:rFonts w:ascii="楷体" w:hAnsi="楷体" w:eastAsia="楷体" w:cs="楷体"/>
          <w:color w:val="000000" w:themeColor="text1"/>
          <w:kern w:val="0"/>
          <w:sz w:val="24"/>
          <w:szCs w:val="24"/>
          <w14:textFill>
            <w14:solidFill>
              <w14:schemeClr w14:val="tx1"/>
            </w14:solidFill>
          </w14:textFill>
        </w:rPr>
        <w:t xml:space="preserve">  E.法定代表人或负责人或实际控制人存在近姻亲关系</w:t>
      </w:r>
    </w:p>
    <w:p w14:paraId="186585F1">
      <w:pPr>
        <w:pStyle w:val="136"/>
        <w:widowControl w:val="0"/>
        <w:adjustRightInd w:val="0"/>
        <w:snapToGrid w:val="0"/>
        <w:spacing w:line="360" w:lineRule="auto"/>
        <w:ind w:firstLine="200"/>
        <w:jc w:val="both"/>
        <w:rPr>
          <w:rFonts w:hint="default" w:ascii="楷体" w:hAnsi="楷体" w:eastAsia="楷体" w:cs="楷体"/>
          <w:color w:val="000000" w:themeColor="text1"/>
          <w:kern w:val="0"/>
          <w:sz w:val="24"/>
          <w:szCs w:val="24"/>
          <w14:textFill>
            <w14:solidFill>
              <w14:schemeClr w14:val="tx1"/>
            </w14:solidFill>
          </w14:textFill>
        </w:rPr>
      </w:pPr>
      <w:r>
        <w:rPr>
          <w:rFonts w:ascii="楷体" w:hAnsi="楷体" w:eastAsia="楷体" w:cs="楷体"/>
          <w:color w:val="000000" w:themeColor="text1"/>
          <w:kern w:val="0"/>
          <w:sz w:val="24"/>
          <w:szCs w:val="24"/>
          <w14:textFill>
            <w14:solidFill>
              <w14:schemeClr w14:val="tx1"/>
            </w14:solidFill>
          </w14:textFill>
        </w:rPr>
        <w:t xml:space="preserve">  F.法定代表人或负责人或实际控制人存在股份控制或实际控制关系</w:t>
      </w:r>
    </w:p>
    <w:p w14:paraId="3CB3EA64">
      <w:pPr>
        <w:pStyle w:val="136"/>
        <w:widowControl w:val="0"/>
        <w:adjustRightInd w:val="0"/>
        <w:snapToGrid w:val="0"/>
        <w:spacing w:line="360" w:lineRule="auto"/>
        <w:ind w:firstLine="200"/>
        <w:jc w:val="both"/>
        <w:rPr>
          <w:rFonts w:hint="default" w:ascii="楷体" w:hAnsi="楷体" w:eastAsia="楷体" w:cs="楷体"/>
          <w:color w:val="000000" w:themeColor="text1"/>
          <w:kern w:val="0"/>
          <w:sz w:val="24"/>
          <w:szCs w:val="24"/>
          <w14:textFill>
            <w14:solidFill>
              <w14:schemeClr w14:val="tx1"/>
            </w14:solidFill>
          </w14:textFill>
        </w:rPr>
      </w:pPr>
      <w:r>
        <w:rPr>
          <w:rFonts w:ascii="楷体" w:hAnsi="楷体" w:eastAsia="楷体" w:cs="楷体"/>
          <w:color w:val="000000" w:themeColor="text1"/>
          <w:kern w:val="0"/>
          <w:sz w:val="24"/>
          <w:szCs w:val="24"/>
          <w14:textFill>
            <w14:solidFill>
              <w14:schemeClr w14:val="tx1"/>
            </w14:solidFill>
          </w14:textFill>
        </w:rPr>
        <w:t xml:space="preserve">  G.存在共同直接或间接投资设立子公司、联营企业和合营企业情况</w:t>
      </w:r>
    </w:p>
    <w:p w14:paraId="189CCB8E">
      <w:pPr>
        <w:pStyle w:val="136"/>
        <w:widowControl w:val="0"/>
        <w:adjustRightInd w:val="0"/>
        <w:snapToGrid w:val="0"/>
        <w:spacing w:line="360" w:lineRule="auto"/>
        <w:ind w:firstLine="200"/>
        <w:jc w:val="both"/>
        <w:rPr>
          <w:rFonts w:hint="default" w:ascii="楷体" w:hAnsi="楷体" w:eastAsia="楷体" w:cs="楷体"/>
          <w:color w:val="000000" w:themeColor="text1"/>
          <w:sz w:val="24"/>
          <w:szCs w:val="24"/>
          <w14:textFill>
            <w14:solidFill>
              <w14:schemeClr w14:val="tx1"/>
            </w14:solidFill>
          </w14:textFill>
        </w:rPr>
      </w:pPr>
      <w:r>
        <w:rPr>
          <w:rFonts w:ascii="楷体" w:hAnsi="楷体" w:eastAsia="楷体" w:cs="楷体"/>
          <w:color w:val="000000" w:themeColor="text1"/>
          <w:kern w:val="0"/>
          <w:sz w:val="24"/>
          <w:szCs w:val="24"/>
          <w14:textFill>
            <w14:solidFill>
              <w14:schemeClr w14:val="tx1"/>
            </w14:solidFill>
          </w14:textFill>
        </w:rPr>
        <w:t xml:space="preserve">  H.存在分级代理或代销关系、同一生产制造商关系、</w:t>
      </w:r>
      <w:r>
        <w:rPr>
          <w:rFonts w:ascii="楷体" w:hAnsi="楷体" w:eastAsia="楷体" w:cs="楷体"/>
          <w:color w:val="000000" w:themeColor="text1"/>
          <w:sz w:val="24"/>
          <w:szCs w:val="24"/>
          <w14:textFill>
            <w14:solidFill>
              <w14:schemeClr w14:val="tx1"/>
            </w14:solidFill>
          </w14:textFill>
        </w:rPr>
        <w:t>管理关系、重要业务（占主营业务收入50%以上）或重要财务往来关系（如融资）等其他实质性控制关系</w:t>
      </w:r>
    </w:p>
    <w:p w14:paraId="48CD58FB">
      <w:pPr>
        <w:pStyle w:val="136"/>
        <w:widowControl w:val="0"/>
        <w:adjustRightInd w:val="0"/>
        <w:snapToGrid w:val="0"/>
        <w:spacing w:line="360" w:lineRule="auto"/>
        <w:ind w:firstLine="200"/>
        <w:jc w:val="both"/>
        <w:rPr>
          <w:rFonts w:hint="default" w:ascii="楷体" w:hAnsi="楷体" w:eastAsia="楷体" w:cs="楷体"/>
          <w:color w:val="000000" w:themeColor="text1"/>
          <w:spacing w:val="6"/>
          <w:sz w:val="24"/>
          <w:szCs w:val="24"/>
          <w14:textFill>
            <w14:solidFill>
              <w14:schemeClr w14:val="tx1"/>
            </w14:solidFill>
          </w14:textFill>
        </w:rPr>
      </w:pPr>
      <w:r>
        <w:rPr>
          <w:rFonts w:ascii="楷体" w:hAnsi="楷体" w:eastAsia="楷体" w:cs="楷体"/>
          <w:color w:val="000000" w:themeColor="text1"/>
          <w:sz w:val="24"/>
          <w:szCs w:val="24"/>
          <w14:textFill>
            <w14:solidFill>
              <w14:schemeClr w14:val="tx1"/>
            </w14:solidFill>
          </w14:textFill>
        </w:rPr>
        <w:t xml:space="preserve">   I</w:t>
      </w:r>
      <w:r>
        <w:rPr>
          <w:rFonts w:ascii="楷体" w:hAnsi="楷体" w:eastAsia="楷体" w:cs="楷体"/>
          <w:color w:val="000000" w:themeColor="text1"/>
          <w:kern w:val="0"/>
          <w:sz w:val="24"/>
          <w:szCs w:val="24"/>
          <w14:textFill>
            <w14:solidFill>
              <w14:schemeClr w14:val="tx1"/>
            </w14:solidFill>
          </w14:textFill>
        </w:rPr>
        <w:t>.</w:t>
      </w:r>
      <w:r>
        <w:rPr>
          <w:rFonts w:ascii="楷体" w:hAnsi="楷体" w:eastAsia="楷体" w:cs="楷体"/>
          <w:color w:val="000000" w:themeColor="text1"/>
          <w:sz w:val="24"/>
          <w:szCs w:val="24"/>
          <w14:textFill>
            <w14:solidFill>
              <w14:schemeClr w14:val="tx1"/>
            </w14:solidFill>
          </w14:textFill>
        </w:rPr>
        <w:t>其他利害关系情况</w:t>
      </w:r>
      <w:r>
        <w:rPr>
          <w:rFonts w:ascii="楷体" w:hAnsi="楷体" w:eastAsia="楷体" w:cs="楷体"/>
          <w:color w:val="000000" w:themeColor="text1"/>
          <w:sz w:val="24"/>
          <w:szCs w:val="24"/>
          <w:u w:val="single"/>
          <w14:textFill>
            <w14:solidFill>
              <w14:schemeClr w14:val="tx1"/>
            </w14:solidFill>
          </w14:textFill>
        </w:rPr>
        <w:t xml:space="preserve">                              </w:t>
      </w:r>
      <w:r>
        <w:rPr>
          <w:rFonts w:ascii="楷体" w:hAnsi="楷体" w:eastAsia="楷体" w:cs="楷体"/>
          <w:color w:val="000000" w:themeColor="text1"/>
          <w:kern w:val="0"/>
          <w:sz w:val="24"/>
          <w:szCs w:val="24"/>
          <w14:textFill>
            <w14:solidFill>
              <w14:schemeClr w14:val="tx1"/>
            </w14:solidFill>
          </w14:textFill>
        </w:rPr>
        <w:t>。</w:t>
      </w:r>
    </w:p>
    <w:p w14:paraId="1095F0D2">
      <w:pPr>
        <w:pStyle w:val="122"/>
        <w:widowControl/>
        <w:numPr>
          <w:ilvl w:val="0"/>
          <w:numId w:val="33"/>
        </w:numPr>
        <w:adjustRightInd w:val="0"/>
        <w:snapToGrid w:val="0"/>
        <w:spacing w:line="360" w:lineRule="auto"/>
        <w:ind w:firstLine="453" w:firstLineChars="189"/>
        <w:rPr>
          <w:rFonts w:hint="default" w:ascii="楷体" w:hAnsi="楷体" w:eastAsia="楷体" w:cs="楷体"/>
          <w:color w:val="000000" w:themeColor="text1"/>
          <w:kern w:val="0"/>
          <w:sz w:val="24"/>
          <w:szCs w:val="24"/>
          <w14:textFill>
            <w14:solidFill>
              <w14:schemeClr w14:val="tx1"/>
            </w14:solidFill>
          </w14:textFill>
        </w:rPr>
      </w:pPr>
      <w:r>
        <w:rPr>
          <w:rFonts w:ascii="楷体" w:hAnsi="楷体" w:eastAsia="楷体" w:cs="楷体"/>
          <w:color w:val="000000" w:themeColor="text1"/>
          <w:sz w:val="24"/>
          <w:szCs w:val="24"/>
          <w14:textFill>
            <w14:solidFill>
              <w14:schemeClr w14:val="tx1"/>
            </w14:solidFill>
          </w14:textFill>
        </w:rPr>
        <w:t>现已清楚知道并</w:t>
      </w:r>
      <w:r>
        <w:rPr>
          <w:rFonts w:ascii="楷体" w:hAnsi="楷体" w:eastAsia="楷体" w:cs="楷体"/>
          <w:color w:val="000000" w:themeColor="text1"/>
          <w:kern w:val="0"/>
          <w:sz w:val="24"/>
          <w:szCs w:val="24"/>
          <w14:textFill>
            <w14:solidFill>
              <w14:schemeClr w14:val="tx1"/>
            </w14:solidFill>
          </w14:textFill>
        </w:rPr>
        <w:t>严格遵守政府采购法律法规和现场纪律。</w:t>
      </w:r>
    </w:p>
    <w:p w14:paraId="4D9E7878">
      <w:pPr>
        <w:pStyle w:val="122"/>
        <w:widowControl/>
        <w:numPr>
          <w:ilvl w:val="0"/>
          <w:numId w:val="33"/>
        </w:numPr>
        <w:adjustRightInd w:val="0"/>
        <w:snapToGrid w:val="0"/>
        <w:spacing w:line="360" w:lineRule="auto"/>
        <w:ind w:firstLine="453" w:firstLineChars="189"/>
        <w:rPr>
          <w:rFonts w:hint="default" w:ascii="楷体" w:hAnsi="楷体" w:eastAsia="楷体" w:cs="楷体"/>
          <w:color w:val="000000" w:themeColor="text1"/>
          <w:kern w:val="0"/>
          <w:sz w:val="24"/>
          <w:szCs w:val="24"/>
          <w14:textFill>
            <w14:solidFill>
              <w14:schemeClr w14:val="tx1"/>
            </w14:solidFill>
          </w14:textFill>
        </w:rPr>
      </w:pPr>
      <w:r>
        <w:rPr>
          <w:rFonts w:ascii="楷体" w:hAnsi="楷体" w:eastAsia="楷体" w:cs="楷体"/>
          <w:color w:val="000000" w:themeColor="text1"/>
          <w:kern w:val="0"/>
          <w:sz w:val="24"/>
          <w:szCs w:val="24"/>
          <w14:textFill>
            <w14:solidFill>
              <w14:schemeClr w14:val="tx1"/>
            </w14:solidFill>
          </w14:textFill>
        </w:rPr>
        <w:t>我发现</w:t>
      </w:r>
      <w:r>
        <w:rPr>
          <w:rFonts w:ascii="楷体" w:hAnsi="楷体" w:eastAsia="楷体" w:cs="楷体"/>
          <w:color w:val="000000" w:themeColor="text1"/>
          <w:kern w:val="0"/>
          <w:sz w:val="24"/>
          <w:szCs w:val="24"/>
          <w:u w:val="single"/>
          <w14:textFill>
            <w14:solidFill>
              <w14:schemeClr w14:val="tx1"/>
            </w14:solidFill>
          </w14:textFill>
        </w:rPr>
        <w:t xml:space="preserve">                    </w:t>
      </w:r>
      <w:r>
        <w:rPr>
          <w:rFonts w:ascii="楷体" w:hAnsi="楷体" w:eastAsia="楷体" w:cs="楷体"/>
          <w:color w:val="000000" w:themeColor="text1"/>
          <w:kern w:val="0"/>
          <w:sz w:val="24"/>
          <w:szCs w:val="24"/>
          <w14:textFill>
            <w14:solidFill>
              <w14:schemeClr w14:val="tx1"/>
            </w14:solidFill>
          </w14:textFill>
        </w:rPr>
        <w:t>供应商之间存在或可能存在上述第二条第</w:t>
      </w:r>
      <w:r>
        <w:rPr>
          <w:rFonts w:ascii="楷体" w:hAnsi="楷体" w:eastAsia="楷体" w:cs="楷体"/>
          <w:color w:val="000000" w:themeColor="text1"/>
          <w:kern w:val="0"/>
          <w:sz w:val="24"/>
          <w:szCs w:val="24"/>
          <w:u w:val="single"/>
          <w14:textFill>
            <w14:solidFill>
              <w14:schemeClr w14:val="tx1"/>
            </w14:solidFill>
          </w14:textFill>
        </w:rPr>
        <w:t xml:space="preserve">        </w:t>
      </w:r>
      <w:r>
        <w:rPr>
          <w:rFonts w:ascii="楷体" w:hAnsi="楷体" w:eastAsia="楷体" w:cs="楷体"/>
          <w:color w:val="000000" w:themeColor="text1"/>
          <w:kern w:val="0"/>
          <w:sz w:val="24"/>
          <w:szCs w:val="24"/>
          <w14:textFill>
            <w14:solidFill>
              <w14:schemeClr w14:val="tx1"/>
            </w14:solidFill>
          </w14:textFill>
        </w:rPr>
        <w:t>项利害关系。</w:t>
      </w:r>
    </w:p>
    <w:p w14:paraId="6B6C06B9">
      <w:pPr>
        <w:pStyle w:val="136"/>
        <w:widowControl w:val="0"/>
        <w:adjustRightInd w:val="0"/>
        <w:snapToGrid w:val="0"/>
        <w:spacing w:line="360" w:lineRule="auto"/>
        <w:ind w:firstLine="480" w:firstLineChars="200"/>
        <w:jc w:val="both"/>
        <w:rPr>
          <w:rFonts w:hint="default" w:ascii="楷体" w:hAnsi="楷体" w:eastAsia="楷体" w:cs="楷体"/>
          <w:color w:val="000000" w:themeColor="text1"/>
          <w:sz w:val="24"/>
          <w:szCs w:val="24"/>
          <w14:textFill>
            <w14:solidFill>
              <w14:schemeClr w14:val="tx1"/>
            </w14:solidFill>
          </w14:textFill>
        </w:rPr>
      </w:pPr>
      <w:r>
        <w:rPr>
          <w:rFonts w:ascii="楷体" w:hAnsi="楷体" w:eastAsia="楷体" w:cs="楷体"/>
          <w:color w:val="000000" w:themeColor="text1"/>
          <w:sz w:val="24"/>
          <w:szCs w:val="24"/>
          <w14:textFill>
            <w14:solidFill>
              <w14:schemeClr w14:val="tx1"/>
            </w14:solidFill>
          </w14:textFill>
        </w:rPr>
        <w:t xml:space="preserve">                                （供应商代表签名）</w:t>
      </w:r>
    </w:p>
    <w:p w14:paraId="5BD46564">
      <w:pPr>
        <w:adjustRightInd w:val="0"/>
        <w:snapToGrid w:val="0"/>
        <w:spacing w:line="360" w:lineRule="auto"/>
        <w:jc w:val="righ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年  月  日</w:t>
      </w:r>
    </w:p>
    <w:p w14:paraId="181A56F2">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w:t>
      </w:r>
    </w:p>
    <w:p w14:paraId="7375375D">
      <w:pPr>
        <w:spacing w:line="360" w:lineRule="auto"/>
        <w:jc w:val="center"/>
        <w:rPr>
          <w:rFonts w:ascii="楷体" w:hAnsi="楷体" w:eastAsia="楷体" w:cs="楷体"/>
          <w:color w:val="000000" w:themeColor="text1"/>
          <w:sz w:val="30"/>
          <w:szCs w:val="30"/>
          <w14:textFill>
            <w14:solidFill>
              <w14:schemeClr w14:val="tx1"/>
            </w14:solidFill>
          </w14:textFill>
        </w:rPr>
      </w:pPr>
    </w:p>
    <w:p w14:paraId="05F46C6C">
      <w:pPr>
        <w:pStyle w:val="22"/>
        <w:tabs>
          <w:tab w:val="left" w:pos="2850"/>
        </w:tabs>
        <w:ind w:firstLine="0"/>
        <w:rPr>
          <w:rFonts w:ascii="楷体" w:hAnsi="楷体" w:eastAsia="楷体" w:cs="楷体"/>
          <w:b/>
          <w:bCs/>
          <w:color w:val="000000" w:themeColor="text1"/>
          <w:sz w:val="30"/>
          <w:szCs w:val="30"/>
          <w14:textFill>
            <w14:solidFill>
              <w14:schemeClr w14:val="tx1"/>
            </w14:solidFill>
          </w14:textFill>
        </w:rPr>
      </w:pPr>
      <w:r>
        <w:rPr>
          <w:rFonts w:hint="eastAsia" w:ascii="楷体" w:hAnsi="楷体" w:eastAsia="楷体" w:cs="楷体"/>
          <w:b/>
          <w:bCs/>
          <w:color w:val="000000" w:themeColor="text1"/>
          <w:sz w:val="30"/>
          <w:szCs w:val="30"/>
          <w14:textFill>
            <w14:solidFill>
              <w14:schemeClr w14:val="tx1"/>
            </w14:solidFill>
          </w14:textFill>
        </w:rPr>
        <w:t>质疑函范本</w:t>
      </w:r>
    </w:p>
    <w:p w14:paraId="25625546">
      <w:pPr>
        <w:adjustRightInd w:val="0"/>
        <w:snapToGrid w:val="0"/>
        <w:spacing w:before="240" w:beforeLines="100"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一、质疑供应商基本信息</w:t>
      </w:r>
    </w:p>
    <w:p w14:paraId="00AA1E33">
      <w:pPr>
        <w:adjustRightInd w:val="0"/>
        <w:snapToGrid w:val="0"/>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质疑供应商：</w:t>
      </w:r>
      <w:r>
        <w:rPr>
          <w:rFonts w:hint="eastAsia" w:ascii="楷体" w:hAnsi="楷体" w:eastAsia="楷体" w:cs="楷体"/>
          <w:color w:val="000000" w:themeColor="text1"/>
          <w:sz w:val="24"/>
          <w:u w:val="dotted"/>
          <w14:textFill>
            <w14:solidFill>
              <w14:schemeClr w14:val="tx1"/>
            </w14:solidFill>
          </w14:textFill>
        </w:rPr>
        <w:t xml:space="preserve">                                        </w:t>
      </w:r>
    </w:p>
    <w:p w14:paraId="738B09B3">
      <w:pPr>
        <w:adjustRightInd w:val="0"/>
        <w:snapToGrid w:val="0"/>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地址：</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邮编：</w:t>
      </w:r>
      <w:r>
        <w:rPr>
          <w:rFonts w:hint="eastAsia" w:ascii="楷体" w:hAnsi="楷体" w:eastAsia="楷体" w:cs="楷体"/>
          <w:color w:val="000000" w:themeColor="text1"/>
          <w:sz w:val="24"/>
          <w:u w:val="dotted"/>
          <w14:textFill>
            <w14:solidFill>
              <w14:schemeClr w14:val="tx1"/>
            </w14:solidFill>
          </w14:textFill>
        </w:rPr>
        <w:t xml:space="preserve">               </w:t>
      </w:r>
    </w:p>
    <w:p w14:paraId="6E51A9E5">
      <w:pPr>
        <w:adjustRightInd w:val="0"/>
        <w:snapToGrid w:val="0"/>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联系人：</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联系电话：</w:t>
      </w:r>
      <w:r>
        <w:rPr>
          <w:rFonts w:hint="eastAsia" w:ascii="楷体" w:hAnsi="楷体" w:eastAsia="楷体" w:cs="楷体"/>
          <w:color w:val="000000" w:themeColor="text1"/>
          <w:sz w:val="24"/>
          <w:u w:val="dotted"/>
          <w14:textFill>
            <w14:solidFill>
              <w14:schemeClr w14:val="tx1"/>
            </w14:solidFill>
          </w14:textFill>
        </w:rPr>
        <w:t xml:space="preserve">             </w:t>
      </w:r>
    </w:p>
    <w:p w14:paraId="5298022D">
      <w:pPr>
        <w:adjustRightInd w:val="0"/>
        <w:snapToGrid w:val="0"/>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授权代表：</w:t>
      </w:r>
      <w:r>
        <w:rPr>
          <w:rFonts w:hint="eastAsia" w:ascii="楷体" w:hAnsi="楷体" w:eastAsia="楷体" w:cs="楷体"/>
          <w:color w:val="000000" w:themeColor="text1"/>
          <w:sz w:val="24"/>
          <w:u w:val="dotted"/>
          <w14:textFill>
            <w14:solidFill>
              <w14:schemeClr w14:val="tx1"/>
            </w14:solidFill>
          </w14:textFill>
        </w:rPr>
        <w:t xml:space="preserve">                                          </w:t>
      </w:r>
    </w:p>
    <w:p w14:paraId="1AFD0F42">
      <w:pPr>
        <w:adjustRightInd w:val="0"/>
        <w:snapToGrid w:val="0"/>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联系电话：</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 xml:space="preserve"> </w:t>
      </w:r>
    </w:p>
    <w:p w14:paraId="6961C78A">
      <w:pPr>
        <w:adjustRightInd w:val="0"/>
        <w:snapToGrid w:val="0"/>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地址： </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邮编：</w:t>
      </w:r>
      <w:r>
        <w:rPr>
          <w:rFonts w:hint="eastAsia" w:ascii="楷体" w:hAnsi="楷体" w:eastAsia="楷体" w:cs="楷体"/>
          <w:color w:val="000000" w:themeColor="text1"/>
          <w:sz w:val="24"/>
          <w:u w:val="dotted"/>
          <w14:textFill>
            <w14:solidFill>
              <w14:schemeClr w14:val="tx1"/>
            </w14:solidFill>
          </w14:textFill>
        </w:rPr>
        <w:t xml:space="preserve">                </w:t>
      </w:r>
    </w:p>
    <w:p w14:paraId="265DF0FB">
      <w:pPr>
        <w:adjustRightInd w:val="0"/>
        <w:snapToGri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二、质疑项目基本情况</w:t>
      </w:r>
    </w:p>
    <w:p w14:paraId="6A48D9AD">
      <w:pPr>
        <w:adjustRightInd w:val="0"/>
        <w:snapToGrid w:val="0"/>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质疑项目的名称：</w:t>
      </w:r>
      <w:r>
        <w:rPr>
          <w:rFonts w:hint="eastAsia" w:ascii="楷体" w:hAnsi="楷体" w:eastAsia="楷体" w:cs="楷体"/>
          <w:color w:val="000000" w:themeColor="text1"/>
          <w:sz w:val="24"/>
          <w:u w:val="dotted"/>
          <w14:textFill>
            <w14:solidFill>
              <w14:schemeClr w14:val="tx1"/>
            </w14:solidFill>
          </w14:textFill>
        </w:rPr>
        <w:t xml:space="preserve">                                      </w:t>
      </w:r>
    </w:p>
    <w:p w14:paraId="483260B0">
      <w:pPr>
        <w:adjustRightInd w:val="0"/>
        <w:snapToGrid w:val="0"/>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质疑项目的编号：</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包号：</w:t>
      </w:r>
      <w:r>
        <w:rPr>
          <w:rFonts w:hint="eastAsia" w:ascii="楷体" w:hAnsi="楷体" w:eastAsia="楷体" w:cs="楷体"/>
          <w:color w:val="000000" w:themeColor="text1"/>
          <w:sz w:val="24"/>
          <w:u w:val="dotted"/>
          <w14:textFill>
            <w14:solidFill>
              <w14:schemeClr w14:val="tx1"/>
            </w14:solidFill>
          </w14:textFill>
        </w:rPr>
        <w:t xml:space="preserve">                 </w:t>
      </w:r>
    </w:p>
    <w:p w14:paraId="1A76A8AB">
      <w:pPr>
        <w:adjustRightInd w:val="0"/>
        <w:snapToGrid w:val="0"/>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采购人名称：</w:t>
      </w:r>
      <w:r>
        <w:rPr>
          <w:rFonts w:hint="eastAsia" w:ascii="楷体" w:hAnsi="楷体" w:eastAsia="楷体" w:cs="楷体"/>
          <w:color w:val="000000" w:themeColor="text1"/>
          <w:sz w:val="24"/>
          <w:u w:val="dotted"/>
          <w14:textFill>
            <w14:solidFill>
              <w14:schemeClr w14:val="tx1"/>
            </w14:solidFill>
          </w14:textFill>
        </w:rPr>
        <w:t xml:space="preserve">                                         </w:t>
      </w:r>
    </w:p>
    <w:p w14:paraId="62148BC0">
      <w:pPr>
        <w:adjustRightInd w:val="0"/>
        <w:snapToGrid w:val="0"/>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采购文件获取日期：</w:t>
      </w:r>
      <w:r>
        <w:rPr>
          <w:rFonts w:hint="eastAsia" w:ascii="楷体" w:hAnsi="楷体" w:eastAsia="楷体" w:cs="楷体"/>
          <w:color w:val="000000" w:themeColor="text1"/>
          <w:sz w:val="24"/>
          <w:u w:val="dotted"/>
          <w14:textFill>
            <w14:solidFill>
              <w14:schemeClr w14:val="tx1"/>
            </w14:solidFill>
          </w14:textFill>
        </w:rPr>
        <w:t xml:space="preserve">                                    </w:t>
      </w:r>
    </w:p>
    <w:p w14:paraId="068716AB">
      <w:pPr>
        <w:adjustRightInd w:val="0"/>
        <w:snapToGri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三、质疑事项具体内容</w:t>
      </w:r>
    </w:p>
    <w:p w14:paraId="36E0994F">
      <w:pPr>
        <w:adjustRightInd w:val="0"/>
        <w:snapToGrid w:val="0"/>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质疑事项1：</w:t>
      </w:r>
      <w:r>
        <w:rPr>
          <w:rFonts w:hint="eastAsia" w:ascii="楷体" w:hAnsi="楷体" w:eastAsia="楷体" w:cs="楷体"/>
          <w:color w:val="000000" w:themeColor="text1"/>
          <w:sz w:val="24"/>
          <w:u w:val="dotted"/>
          <w14:textFill>
            <w14:solidFill>
              <w14:schemeClr w14:val="tx1"/>
            </w14:solidFill>
          </w14:textFill>
        </w:rPr>
        <w:t xml:space="preserve">                                         </w:t>
      </w:r>
    </w:p>
    <w:p w14:paraId="6325BE19">
      <w:pPr>
        <w:adjustRightInd w:val="0"/>
        <w:snapToGrid w:val="0"/>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事实依据：</w:t>
      </w:r>
      <w:r>
        <w:rPr>
          <w:rFonts w:hint="eastAsia" w:ascii="楷体" w:hAnsi="楷体" w:eastAsia="楷体" w:cs="楷体"/>
          <w:color w:val="000000" w:themeColor="text1"/>
          <w:sz w:val="24"/>
          <w:u w:val="dotted"/>
          <w14:textFill>
            <w14:solidFill>
              <w14:schemeClr w14:val="tx1"/>
            </w14:solidFill>
          </w14:textFill>
        </w:rPr>
        <w:t xml:space="preserve">                                          </w:t>
      </w:r>
    </w:p>
    <w:p w14:paraId="3902EE9B">
      <w:pPr>
        <w:adjustRightInd w:val="0"/>
        <w:snapToGrid w:val="0"/>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u w:val="dotted"/>
          <w14:textFill>
            <w14:solidFill>
              <w14:schemeClr w14:val="tx1"/>
            </w14:solidFill>
          </w14:textFill>
        </w:rPr>
        <w:t xml:space="preserve">                                                       </w:t>
      </w:r>
    </w:p>
    <w:p w14:paraId="3650684B">
      <w:pPr>
        <w:adjustRightInd w:val="0"/>
        <w:snapToGrid w:val="0"/>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法律依据：</w:t>
      </w:r>
      <w:r>
        <w:rPr>
          <w:rFonts w:hint="eastAsia" w:ascii="楷体" w:hAnsi="楷体" w:eastAsia="楷体" w:cs="楷体"/>
          <w:color w:val="000000" w:themeColor="text1"/>
          <w:sz w:val="24"/>
          <w:u w:val="dotted"/>
          <w14:textFill>
            <w14:solidFill>
              <w14:schemeClr w14:val="tx1"/>
            </w14:solidFill>
          </w14:textFill>
        </w:rPr>
        <w:t xml:space="preserve">                                          </w:t>
      </w:r>
    </w:p>
    <w:p w14:paraId="16BDECBF">
      <w:pPr>
        <w:adjustRightInd w:val="0"/>
        <w:snapToGrid w:val="0"/>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u w:val="dotted"/>
          <w14:textFill>
            <w14:solidFill>
              <w14:schemeClr w14:val="tx1"/>
            </w14:solidFill>
          </w14:textFill>
        </w:rPr>
        <w:t xml:space="preserve">                                                     </w:t>
      </w:r>
    </w:p>
    <w:p w14:paraId="48034554">
      <w:pPr>
        <w:adjustRightInd w:val="0"/>
        <w:snapToGrid w:val="0"/>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质疑事项2</w:t>
      </w:r>
    </w:p>
    <w:p w14:paraId="623D3531">
      <w:pPr>
        <w:adjustRightInd w:val="0"/>
        <w:snapToGrid w:val="0"/>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w:t>
      </w:r>
    </w:p>
    <w:p w14:paraId="6D8492EE">
      <w:pPr>
        <w:adjustRightInd w:val="0"/>
        <w:snapToGrid w:val="0"/>
        <w:spacing w:line="360" w:lineRule="auto"/>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四、与质疑事项相关的质疑请求</w:t>
      </w:r>
    </w:p>
    <w:p w14:paraId="4CB0348A">
      <w:pPr>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请求：</w:t>
      </w:r>
      <w:r>
        <w:rPr>
          <w:rFonts w:hint="eastAsia" w:ascii="楷体" w:hAnsi="楷体" w:eastAsia="楷体" w:cs="楷体"/>
          <w:color w:val="000000" w:themeColor="text1"/>
          <w:sz w:val="24"/>
          <w:u w:val="dotted"/>
          <w14:textFill>
            <w14:solidFill>
              <w14:schemeClr w14:val="tx1"/>
            </w14:solidFill>
          </w14:textFill>
        </w:rPr>
        <w:t xml:space="preserve">                                               </w:t>
      </w:r>
    </w:p>
    <w:p w14:paraId="40199E78">
      <w:pPr>
        <w:spacing w:line="360" w:lineRule="auto"/>
        <w:rPr>
          <w:rFonts w:ascii="楷体" w:hAnsi="楷体" w:eastAsia="楷体" w:cs="楷体"/>
          <w:color w:val="000000" w:themeColor="text1"/>
          <w:sz w:val="24"/>
          <w14:textFill>
            <w14:solidFill>
              <w14:schemeClr w14:val="tx1"/>
            </w14:solidFill>
          </w14:textFill>
        </w:rPr>
      </w:pPr>
    </w:p>
    <w:p w14:paraId="38B14405">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签字(签章)：                   公章：                      </w:t>
      </w:r>
    </w:p>
    <w:p w14:paraId="4F1F1378">
      <w:pPr>
        <w:spacing w:line="360" w:lineRule="auto"/>
        <w:rPr>
          <w:rFonts w:ascii="楷体" w:hAnsi="楷体" w:eastAsia="楷体" w:cs="楷体"/>
          <w:color w:val="000000" w:themeColor="text1"/>
          <w:sz w:val="24"/>
          <w14:textFill>
            <w14:solidFill>
              <w14:schemeClr w14:val="tx1"/>
            </w14:solidFill>
          </w14:textFill>
        </w:rPr>
      </w:pPr>
    </w:p>
    <w:p w14:paraId="2E0AFD3A">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日期：    </w:t>
      </w:r>
    </w:p>
    <w:p w14:paraId="0D1BDC25">
      <w:pPr>
        <w:adjustRightInd w:val="0"/>
        <w:snapToGrid w:val="0"/>
        <w:spacing w:line="360" w:lineRule="auto"/>
        <w:rPr>
          <w:rFonts w:ascii="楷体" w:hAnsi="楷体" w:eastAsia="楷体" w:cs="楷体"/>
          <w:color w:val="000000" w:themeColor="text1"/>
          <w:sz w:val="24"/>
          <w14:textFill>
            <w14:solidFill>
              <w14:schemeClr w14:val="tx1"/>
            </w14:solidFill>
          </w14:textFill>
        </w:rPr>
      </w:pPr>
    </w:p>
    <w:p w14:paraId="2B1EE1EE">
      <w:pPr>
        <w:spacing w:line="360" w:lineRule="auto"/>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br w:type="page"/>
      </w:r>
      <w:r>
        <w:rPr>
          <w:rFonts w:hint="eastAsia" w:ascii="楷体" w:hAnsi="楷体" w:eastAsia="楷体" w:cs="楷体"/>
          <w:b/>
          <w:color w:val="000000" w:themeColor="text1"/>
          <w:sz w:val="24"/>
          <w14:textFill>
            <w14:solidFill>
              <w14:schemeClr w14:val="tx1"/>
            </w14:solidFill>
          </w14:textFill>
        </w:rPr>
        <w:t>质疑函制作说明：</w:t>
      </w:r>
    </w:p>
    <w:p w14:paraId="33BCC281">
      <w:pPr>
        <w:pStyle w:val="22"/>
        <w:rPr>
          <w:rFonts w:ascii="楷体" w:hAnsi="楷体" w:eastAsia="楷体" w:cs="楷体"/>
          <w:color w:val="000000" w:themeColor="text1"/>
          <w14:textFill>
            <w14:solidFill>
              <w14:schemeClr w14:val="tx1"/>
            </w14:solidFill>
          </w14:textFill>
        </w:rPr>
      </w:pPr>
    </w:p>
    <w:p w14:paraId="3B996AAC">
      <w:pPr>
        <w:widowControl/>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1.供应商提出质疑时，应提交质疑函和必要的证明材料。</w:t>
      </w:r>
    </w:p>
    <w:p w14:paraId="1EF4EBD0">
      <w:pPr>
        <w:widowControl/>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ascii="楷体" w:hAnsi="楷体" w:eastAsia="楷体" w:cs="楷体"/>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69A0B966">
      <w:pPr>
        <w:widowControl/>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3.质疑供应商若对项目的某一分包进行质疑，质疑函中应列明具体分包号。</w:t>
      </w:r>
    </w:p>
    <w:p w14:paraId="72B7DC7D">
      <w:pPr>
        <w:widowControl/>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4.质疑函的质疑事项应具体、明确，并有必要的事实依据和法律依据。</w:t>
      </w:r>
    </w:p>
    <w:p w14:paraId="535266AE">
      <w:pPr>
        <w:widowControl/>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5.质疑函的质疑请求应与质疑事项相关。</w:t>
      </w:r>
    </w:p>
    <w:p w14:paraId="0EAC2FF7">
      <w:pPr>
        <w:widowControl/>
        <w:spacing w:line="360" w:lineRule="auto"/>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71B58747">
      <w:pPr>
        <w:widowControl/>
        <w:spacing w:line="360" w:lineRule="auto"/>
        <w:ind w:firstLine="480" w:firstLineChars="200"/>
        <w:jc w:val="left"/>
        <w:rPr>
          <w:rFonts w:ascii="楷体" w:hAnsi="楷体" w:eastAsia="楷体" w:cs="楷体"/>
          <w:color w:val="000000" w:themeColor="text1"/>
          <w:sz w:val="24"/>
          <w14:textFill>
            <w14:solidFill>
              <w14:schemeClr w14:val="tx1"/>
            </w14:solidFill>
          </w14:textFill>
        </w:rPr>
      </w:pPr>
    </w:p>
    <w:p w14:paraId="644E000F">
      <w:pPr>
        <w:spacing w:line="360" w:lineRule="auto"/>
        <w:rPr>
          <w:rFonts w:ascii="楷体" w:hAnsi="楷体" w:eastAsia="楷体" w:cs="楷体"/>
          <w:color w:val="000000" w:themeColor="text1"/>
          <w14:textFill>
            <w14:solidFill>
              <w14:schemeClr w14:val="tx1"/>
            </w14:solidFill>
          </w14:textFill>
        </w:rPr>
      </w:pPr>
    </w:p>
    <w:p w14:paraId="2725CB64">
      <w:pPr>
        <w:spacing w:line="360" w:lineRule="auto"/>
        <w:rPr>
          <w:rFonts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br w:type="page"/>
      </w:r>
    </w:p>
    <w:p w14:paraId="5E100765">
      <w:pPr>
        <w:tabs>
          <w:tab w:val="left" w:pos="0"/>
        </w:tabs>
        <w:autoSpaceDE w:val="0"/>
        <w:autoSpaceDN w:val="0"/>
        <w:spacing w:line="360" w:lineRule="auto"/>
        <w:jc w:val="center"/>
        <w:rPr>
          <w:rFonts w:ascii="楷体" w:hAnsi="楷体" w:eastAsia="楷体" w:cs="楷体"/>
          <w:b/>
          <w:bCs/>
          <w:color w:val="000000" w:themeColor="text1"/>
          <w:sz w:val="30"/>
          <w:szCs w:val="30"/>
          <w14:textFill>
            <w14:solidFill>
              <w14:schemeClr w14:val="tx1"/>
            </w14:solidFill>
          </w14:textFill>
        </w:rPr>
      </w:pPr>
      <w:r>
        <w:rPr>
          <w:rFonts w:hint="eastAsia" w:ascii="楷体" w:hAnsi="楷体" w:eastAsia="楷体" w:cs="楷体"/>
          <w:b/>
          <w:bCs/>
          <w:color w:val="000000" w:themeColor="text1"/>
          <w:sz w:val="30"/>
          <w:szCs w:val="30"/>
          <w14:textFill>
            <w14:solidFill>
              <w14:schemeClr w14:val="tx1"/>
            </w14:solidFill>
          </w14:textFill>
        </w:rPr>
        <w:t>投诉书范本</w:t>
      </w:r>
    </w:p>
    <w:p w14:paraId="5F3EFDC6">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一、投诉相关主体基本情况</w:t>
      </w:r>
    </w:p>
    <w:p w14:paraId="3AC64BBD">
      <w:pPr>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投诉人：</w:t>
      </w:r>
      <w:r>
        <w:rPr>
          <w:rFonts w:hint="eastAsia" w:ascii="楷体" w:hAnsi="楷体" w:eastAsia="楷体" w:cs="楷体"/>
          <w:color w:val="000000" w:themeColor="text1"/>
          <w:sz w:val="24"/>
          <w:u w:val="dotted"/>
          <w14:textFill>
            <w14:solidFill>
              <w14:schemeClr w14:val="tx1"/>
            </w14:solidFill>
          </w14:textFill>
        </w:rPr>
        <w:t xml:space="preserve">                                               </w:t>
      </w:r>
    </w:p>
    <w:p w14:paraId="24431203">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地     址：</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邮编：</w:t>
      </w:r>
      <w:r>
        <w:rPr>
          <w:rFonts w:hint="eastAsia" w:ascii="楷体" w:hAnsi="楷体" w:eastAsia="楷体" w:cs="楷体"/>
          <w:color w:val="000000" w:themeColor="text1"/>
          <w:sz w:val="24"/>
          <w:u w:val="dotted"/>
          <w14:textFill>
            <w14:solidFill>
              <w14:schemeClr w14:val="tx1"/>
            </w14:solidFill>
          </w14:textFill>
        </w:rPr>
        <w:t xml:space="preserve">         </w:t>
      </w:r>
    </w:p>
    <w:p w14:paraId="7B2DDF91">
      <w:pPr>
        <w:tabs>
          <w:tab w:val="left" w:pos="6510"/>
        </w:tabs>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法定代表人/主要负责人：</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 xml:space="preserve">  </w:t>
      </w:r>
    </w:p>
    <w:p w14:paraId="30A6D0FD">
      <w:pPr>
        <w:tabs>
          <w:tab w:val="left" w:pos="6510"/>
        </w:tabs>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联系电话：</w:t>
      </w:r>
      <w:r>
        <w:rPr>
          <w:rFonts w:hint="eastAsia" w:ascii="楷体" w:hAnsi="楷体" w:eastAsia="楷体" w:cs="楷体"/>
          <w:color w:val="000000" w:themeColor="text1"/>
          <w:sz w:val="24"/>
          <w:u w:val="dotted"/>
          <w14:textFill>
            <w14:solidFill>
              <w14:schemeClr w14:val="tx1"/>
            </w14:solidFill>
          </w14:textFill>
        </w:rPr>
        <w:t xml:space="preserve">                                             </w:t>
      </w:r>
    </w:p>
    <w:p w14:paraId="57E88C11">
      <w:pPr>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授权代表：</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联系电话</w:t>
      </w:r>
      <w:r>
        <w:rPr>
          <w:rFonts w:hint="eastAsia" w:ascii="楷体" w:hAnsi="楷体" w:eastAsia="楷体" w:cs="楷体"/>
          <w:color w:val="000000" w:themeColor="text1"/>
          <w:sz w:val="24"/>
          <w:u w:val="dotted"/>
          <w14:textFill>
            <w14:solidFill>
              <w14:schemeClr w14:val="tx1"/>
            </w14:solidFill>
          </w14:textFill>
        </w:rPr>
        <w:t xml:space="preserve">：                  </w:t>
      </w:r>
    </w:p>
    <w:p w14:paraId="0AADA95D">
      <w:pPr>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地     址：</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邮编：</w:t>
      </w:r>
      <w:r>
        <w:rPr>
          <w:rFonts w:hint="eastAsia" w:ascii="楷体" w:hAnsi="楷体" w:eastAsia="楷体" w:cs="楷体"/>
          <w:color w:val="000000" w:themeColor="text1"/>
          <w:sz w:val="24"/>
          <w:u w:val="dotted"/>
          <w14:textFill>
            <w14:solidFill>
              <w14:schemeClr w14:val="tx1"/>
            </w14:solidFill>
          </w14:textFill>
        </w:rPr>
        <w:t xml:space="preserve">          </w:t>
      </w:r>
    </w:p>
    <w:p w14:paraId="7D973322">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被投诉人1：</w:t>
      </w:r>
      <w:r>
        <w:rPr>
          <w:rFonts w:hint="eastAsia" w:ascii="楷体" w:hAnsi="楷体" w:eastAsia="楷体" w:cs="楷体"/>
          <w:color w:val="000000" w:themeColor="text1"/>
          <w:sz w:val="24"/>
          <w:u w:val="dotted"/>
          <w14:textFill>
            <w14:solidFill>
              <w14:schemeClr w14:val="tx1"/>
            </w14:solidFill>
          </w14:textFill>
        </w:rPr>
        <w:t xml:space="preserve">                                           </w:t>
      </w:r>
    </w:p>
    <w:p w14:paraId="54DEE178">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地     址：</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邮编：</w:t>
      </w:r>
      <w:r>
        <w:rPr>
          <w:rFonts w:hint="eastAsia" w:ascii="楷体" w:hAnsi="楷体" w:eastAsia="楷体" w:cs="楷体"/>
          <w:color w:val="000000" w:themeColor="text1"/>
          <w:sz w:val="24"/>
          <w:u w:val="dotted"/>
          <w14:textFill>
            <w14:solidFill>
              <w14:schemeClr w14:val="tx1"/>
            </w14:solidFill>
          </w14:textFill>
        </w:rPr>
        <w:t xml:space="preserve">          </w:t>
      </w:r>
    </w:p>
    <w:p w14:paraId="53672B8A">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联系人：</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联系电话：</w:t>
      </w:r>
      <w:r>
        <w:rPr>
          <w:rFonts w:hint="eastAsia" w:ascii="楷体" w:hAnsi="楷体" w:eastAsia="楷体" w:cs="楷体"/>
          <w:color w:val="000000" w:themeColor="text1"/>
          <w:sz w:val="24"/>
          <w:u w:val="dotted"/>
          <w14:textFill>
            <w14:solidFill>
              <w14:schemeClr w14:val="tx1"/>
            </w14:solidFill>
          </w14:textFill>
        </w:rPr>
        <w:t xml:space="preserve">                      </w:t>
      </w:r>
    </w:p>
    <w:p w14:paraId="377E494F">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被投诉人2</w:t>
      </w:r>
    </w:p>
    <w:p w14:paraId="6515F547">
      <w:pPr>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w:t>
      </w:r>
    </w:p>
    <w:p w14:paraId="7B3C9FD3">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相关供应商：</w:t>
      </w:r>
      <w:r>
        <w:rPr>
          <w:rFonts w:hint="eastAsia" w:ascii="楷体" w:hAnsi="楷体" w:eastAsia="楷体" w:cs="楷体"/>
          <w:color w:val="000000" w:themeColor="text1"/>
          <w:sz w:val="24"/>
          <w:u w:val="dotted"/>
          <w14:textFill>
            <w14:solidFill>
              <w14:schemeClr w14:val="tx1"/>
            </w14:solidFill>
          </w14:textFill>
        </w:rPr>
        <w:t xml:space="preserve">                                           </w:t>
      </w:r>
    </w:p>
    <w:p w14:paraId="71200629">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地     址：</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邮编：</w:t>
      </w:r>
      <w:r>
        <w:rPr>
          <w:rFonts w:hint="eastAsia" w:ascii="楷体" w:hAnsi="楷体" w:eastAsia="楷体" w:cs="楷体"/>
          <w:color w:val="000000" w:themeColor="text1"/>
          <w:sz w:val="24"/>
          <w:u w:val="dotted"/>
          <w14:textFill>
            <w14:solidFill>
              <w14:schemeClr w14:val="tx1"/>
            </w14:solidFill>
          </w14:textFill>
        </w:rPr>
        <w:t xml:space="preserve">          </w:t>
      </w:r>
    </w:p>
    <w:p w14:paraId="267938F3">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联系人：</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联系电话：</w:t>
      </w:r>
      <w:r>
        <w:rPr>
          <w:rFonts w:hint="eastAsia" w:ascii="楷体" w:hAnsi="楷体" w:eastAsia="楷体" w:cs="楷体"/>
          <w:color w:val="000000" w:themeColor="text1"/>
          <w:sz w:val="24"/>
          <w:u w:val="dotted"/>
          <w14:textFill>
            <w14:solidFill>
              <w14:schemeClr w14:val="tx1"/>
            </w14:solidFill>
          </w14:textFill>
        </w:rPr>
        <w:t xml:space="preserve">                      </w:t>
      </w:r>
    </w:p>
    <w:p w14:paraId="4300A83E">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二、投诉项目基本情况</w:t>
      </w:r>
    </w:p>
    <w:p w14:paraId="7E4B611C">
      <w:pPr>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采购项目名称：</w:t>
      </w:r>
      <w:r>
        <w:rPr>
          <w:rFonts w:hint="eastAsia" w:ascii="楷体" w:hAnsi="楷体" w:eastAsia="楷体" w:cs="楷体"/>
          <w:color w:val="000000" w:themeColor="text1"/>
          <w:sz w:val="24"/>
          <w:u w:val="dotted"/>
          <w14:textFill>
            <w14:solidFill>
              <w14:schemeClr w14:val="tx1"/>
            </w14:solidFill>
          </w14:textFill>
        </w:rPr>
        <w:t xml:space="preserve">                                        </w:t>
      </w:r>
    </w:p>
    <w:p w14:paraId="7829DB55">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采购项目编号：</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包号：</w:t>
      </w:r>
      <w:r>
        <w:rPr>
          <w:rFonts w:hint="eastAsia" w:ascii="楷体" w:hAnsi="楷体" w:eastAsia="楷体" w:cs="楷体"/>
          <w:color w:val="000000" w:themeColor="text1"/>
          <w:sz w:val="24"/>
          <w:u w:val="dotted"/>
          <w14:textFill>
            <w14:solidFill>
              <w14:schemeClr w14:val="tx1"/>
            </w14:solidFill>
          </w14:textFill>
        </w:rPr>
        <w:t xml:space="preserve">              </w:t>
      </w:r>
    </w:p>
    <w:p w14:paraId="2C47F3E6">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采购人名称：</w:t>
      </w:r>
      <w:r>
        <w:rPr>
          <w:rFonts w:hint="eastAsia" w:ascii="楷体" w:hAnsi="楷体" w:eastAsia="楷体" w:cs="楷体"/>
          <w:color w:val="000000" w:themeColor="text1"/>
          <w:sz w:val="24"/>
          <w:u w:val="dotted"/>
          <w14:textFill>
            <w14:solidFill>
              <w14:schemeClr w14:val="tx1"/>
            </w14:solidFill>
          </w14:textFill>
        </w:rPr>
        <w:t xml:space="preserve">                                           </w:t>
      </w:r>
    </w:p>
    <w:p w14:paraId="370305A0">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代理机构名称：</w:t>
      </w:r>
      <w:r>
        <w:rPr>
          <w:rFonts w:hint="eastAsia" w:ascii="楷体" w:hAnsi="楷体" w:eastAsia="楷体" w:cs="楷体"/>
          <w:color w:val="000000" w:themeColor="text1"/>
          <w:sz w:val="24"/>
          <w:u w:val="dotted"/>
          <w14:textFill>
            <w14:solidFill>
              <w14:schemeClr w14:val="tx1"/>
            </w14:solidFill>
          </w14:textFill>
        </w:rPr>
        <w:t xml:space="preserve">                                         </w:t>
      </w:r>
    </w:p>
    <w:p w14:paraId="266F86D7">
      <w:pPr>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采购文件公告:</w:t>
      </w:r>
      <w:r>
        <w:rPr>
          <w:rFonts w:hint="eastAsia" w:ascii="楷体" w:hAnsi="楷体" w:eastAsia="楷体" w:cs="楷体"/>
          <w:color w:val="000000" w:themeColor="text1"/>
          <w:sz w:val="24"/>
          <w:u w:val="dotted"/>
          <w14:textFill>
            <w14:solidFill>
              <w14:schemeClr w14:val="tx1"/>
            </w14:solidFill>
          </w14:textFill>
        </w:rPr>
        <w:t xml:space="preserve">是/否 </w:t>
      </w:r>
      <w:r>
        <w:rPr>
          <w:rFonts w:hint="eastAsia" w:ascii="楷体" w:hAnsi="楷体" w:eastAsia="楷体" w:cs="楷体"/>
          <w:color w:val="000000" w:themeColor="text1"/>
          <w:sz w:val="24"/>
          <w14:textFill>
            <w14:solidFill>
              <w14:schemeClr w14:val="tx1"/>
            </w14:solidFill>
          </w14:textFill>
        </w:rPr>
        <w:t>公告期限：</w:t>
      </w:r>
      <w:r>
        <w:rPr>
          <w:rFonts w:hint="eastAsia" w:ascii="楷体" w:hAnsi="楷体" w:eastAsia="楷体" w:cs="楷体"/>
          <w:color w:val="000000" w:themeColor="text1"/>
          <w:sz w:val="24"/>
          <w:u w:val="dotted"/>
          <w14:textFill>
            <w14:solidFill>
              <w14:schemeClr w14:val="tx1"/>
            </w14:solidFill>
          </w14:textFill>
        </w:rPr>
        <w:t xml:space="preserve">                          </w:t>
      </w:r>
    </w:p>
    <w:p w14:paraId="4D15650F">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采购结果公告:</w:t>
      </w:r>
      <w:r>
        <w:rPr>
          <w:rFonts w:hint="eastAsia" w:ascii="楷体" w:hAnsi="楷体" w:eastAsia="楷体" w:cs="楷体"/>
          <w:color w:val="000000" w:themeColor="text1"/>
          <w:sz w:val="24"/>
          <w:u w:val="dotted"/>
          <w14:textFill>
            <w14:solidFill>
              <w14:schemeClr w14:val="tx1"/>
            </w14:solidFill>
          </w14:textFill>
        </w:rPr>
        <w:t xml:space="preserve">是/否 </w:t>
      </w:r>
      <w:r>
        <w:rPr>
          <w:rFonts w:hint="eastAsia" w:ascii="楷体" w:hAnsi="楷体" w:eastAsia="楷体" w:cs="楷体"/>
          <w:color w:val="000000" w:themeColor="text1"/>
          <w:sz w:val="24"/>
          <w14:textFill>
            <w14:solidFill>
              <w14:schemeClr w14:val="tx1"/>
            </w14:solidFill>
          </w14:textFill>
        </w:rPr>
        <w:t>公告期限：</w:t>
      </w:r>
      <w:r>
        <w:rPr>
          <w:rFonts w:hint="eastAsia" w:ascii="楷体" w:hAnsi="楷体" w:eastAsia="楷体" w:cs="楷体"/>
          <w:color w:val="000000" w:themeColor="text1"/>
          <w:sz w:val="24"/>
          <w:u w:val="dotted"/>
          <w14:textFill>
            <w14:solidFill>
              <w14:schemeClr w14:val="tx1"/>
            </w14:solidFill>
          </w14:textFill>
        </w:rPr>
        <w:t xml:space="preserve">                        </w:t>
      </w:r>
    </w:p>
    <w:p w14:paraId="731FBBF4">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三、质疑基本情况</w:t>
      </w:r>
    </w:p>
    <w:p w14:paraId="552A2370">
      <w:pPr>
        <w:spacing w:line="360" w:lineRule="auto"/>
        <w:ind w:firstLine="480" w:firstLineChars="200"/>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投诉人于</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年</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日,向</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提出质疑，质疑事项为：</w:t>
      </w:r>
      <w:r>
        <w:rPr>
          <w:rFonts w:hint="eastAsia" w:ascii="楷体" w:hAnsi="楷体" w:eastAsia="楷体" w:cs="楷体"/>
          <w:color w:val="000000" w:themeColor="text1"/>
          <w:sz w:val="24"/>
          <w:u w:val="dotted"/>
          <w14:textFill>
            <w14:solidFill>
              <w14:schemeClr w14:val="tx1"/>
            </w14:solidFill>
          </w14:textFill>
        </w:rPr>
        <w:t xml:space="preserve">                                </w:t>
      </w:r>
    </w:p>
    <w:p w14:paraId="418E0C44">
      <w:pPr>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 xml:space="preserve">  </w:t>
      </w:r>
    </w:p>
    <w:p w14:paraId="062068A1">
      <w:pPr>
        <w:spacing w:line="360" w:lineRule="auto"/>
        <w:ind w:firstLine="360" w:firstLineChars="15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u w:val="dotted"/>
          <w14:textFill>
            <w14:solidFill>
              <w14:schemeClr w14:val="tx1"/>
            </w14:solidFill>
          </w14:textFill>
        </w:rPr>
        <w:t>采购人/代理机构</w:t>
      </w:r>
      <w:r>
        <w:rPr>
          <w:rFonts w:hint="eastAsia" w:ascii="楷体" w:hAnsi="楷体" w:eastAsia="楷体" w:cs="楷体"/>
          <w:color w:val="000000" w:themeColor="text1"/>
          <w:sz w:val="24"/>
          <w14:textFill>
            <w14:solidFill>
              <w14:schemeClr w14:val="tx1"/>
            </w14:solidFill>
          </w14:textFill>
        </w:rPr>
        <w:t>于</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年</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日,就质疑事项作出了答复/没有在法定期限内作出答复。</w:t>
      </w:r>
    </w:p>
    <w:p w14:paraId="4A8470CE">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四、投诉事项具体内容</w:t>
      </w:r>
    </w:p>
    <w:p w14:paraId="7BA92D93">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投诉事项 1：</w:t>
      </w:r>
      <w:r>
        <w:rPr>
          <w:rFonts w:hint="eastAsia" w:ascii="楷体" w:hAnsi="楷体" w:eastAsia="楷体" w:cs="楷体"/>
          <w:color w:val="000000" w:themeColor="text1"/>
          <w:sz w:val="24"/>
          <w:u w:val="dotted"/>
          <w14:textFill>
            <w14:solidFill>
              <w14:schemeClr w14:val="tx1"/>
            </w14:solidFill>
          </w14:textFill>
        </w:rPr>
        <w:t xml:space="preserve">                                       </w:t>
      </w:r>
    </w:p>
    <w:p w14:paraId="14782F27">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事实依据：</w:t>
      </w:r>
      <w:r>
        <w:rPr>
          <w:rFonts w:hint="eastAsia" w:ascii="楷体" w:hAnsi="楷体" w:eastAsia="楷体" w:cs="楷体"/>
          <w:color w:val="000000" w:themeColor="text1"/>
          <w:sz w:val="24"/>
          <w:u w:val="dotted"/>
          <w14:textFill>
            <w14:solidFill>
              <w14:schemeClr w14:val="tx1"/>
            </w14:solidFill>
          </w14:textFill>
        </w:rPr>
        <w:t xml:space="preserve">                                         </w:t>
      </w:r>
    </w:p>
    <w:p w14:paraId="31856FDA">
      <w:pPr>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u w:val="dotted"/>
          <w14:textFill>
            <w14:solidFill>
              <w14:schemeClr w14:val="tx1"/>
            </w14:solidFill>
          </w14:textFill>
        </w:rPr>
        <w:t xml:space="preserve">                                                      </w:t>
      </w:r>
    </w:p>
    <w:p w14:paraId="02EE797F">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法律依据：</w:t>
      </w:r>
      <w:r>
        <w:rPr>
          <w:rFonts w:hint="eastAsia" w:ascii="楷体" w:hAnsi="楷体" w:eastAsia="楷体" w:cs="楷体"/>
          <w:color w:val="000000" w:themeColor="text1"/>
          <w:sz w:val="24"/>
          <w:u w:val="dotted"/>
          <w14:textFill>
            <w14:solidFill>
              <w14:schemeClr w14:val="tx1"/>
            </w14:solidFill>
          </w14:textFill>
        </w:rPr>
        <w:t xml:space="preserve">                                          </w:t>
      </w:r>
    </w:p>
    <w:p w14:paraId="41E0F1AB">
      <w:pPr>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u w:val="dotted"/>
          <w14:textFill>
            <w14:solidFill>
              <w14:schemeClr w14:val="tx1"/>
            </w14:solidFill>
          </w14:textFill>
        </w:rPr>
        <w:t xml:space="preserve">                                                      </w:t>
      </w:r>
    </w:p>
    <w:p w14:paraId="4BC3B95C">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投诉事项2</w:t>
      </w:r>
    </w:p>
    <w:p w14:paraId="12E5D3AC">
      <w:pPr>
        <w:spacing w:line="360" w:lineRule="auto"/>
        <w:rPr>
          <w:rFonts w:ascii="楷体" w:hAnsi="楷体" w:eastAsia="楷体" w:cs="楷体"/>
          <w:color w:val="000000" w:themeColor="text1"/>
          <w:sz w:val="24"/>
          <w:u w:val="dotted"/>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w:t>
      </w:r>
    </w:p>
    <w:p w14:paraId="1A028B11">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五、与投诉事项相关的投诉请求</w:t>
      </w:r>
    </w:p>
    <w:p w14:paraId="4F8F21EC">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请求：</w:t>
      </w:r>
      <w:r>
        <w:rPr>
          <w:rFonts w:hint="eastAsia" w:ascii="楷体" w:hAnsi="楷体" w:eastAsia="楷体" w:cs="楷体"/>
          <w:color w:val="000000" w:themeColor="text1"/>
          <w:sz w:val="24"/>
          <w:u w:val="dotted"/>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 xml:space="preserve"> </w:t>
      </w:r>
    </w:p>
    <w:p w14:paraId="4B89D960">
      <w:pPr>
        <w:spacing w:line="360" w:lineRule="auto"/>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w:t>
      </w:r>
    </w:p>
    <w:p w14:paraId="097FDC60">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签字(签章)：                   公章：                      </w:t>
      </w:r>
    </w:p>
    <w:p w14:paraId="7C36D3DB">
      <w:pPr>
        <w:spacing w:line="360"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日期：    </w:t>
      </w:r>
    </w:p>
    <w:p w14:paraId="6F758871">
      <w:pPr>
        <w:spacing w:line="360" w:lineRule="auto"/>
        <w:rPr>
          <w:rFonts w:ascii="楷体" w:hAnsi="楷体" w:eastAsia="楷体" w:cs="楷体"/>
          <w:b/>
          <w:color w:val="000000" w:themeColor="text1"/>
          <w:sz w:val="24"/>
          <w14:textFill>
            <w14:solidFill>
              <w14:schemeClr w14:val="tx1"/>
            </w14:solidFill>
          </w14:textFill>
        </w:rPr>
      </w:pPr>
    </w:p>
    <w:p w14:paraId="11467CD6">
      <w:pPr>
        <w:spacing w:line="360" w:lineRule="auto"/>
        <w:rPr>
          <w:rFonts w:ascii="楷体" w:hAnsi="楷体" w:eastAsia="楷体" w:cs="楷体"/>
          <w:b/>
          <w:color w:val="000000" w:themeColor="text1"/>
          <w:sz w:val="24"/>
          <w14:textFill>
            <w14:solidFill>
              <w14:schemeClr w14:val="tx1"/>
            </w14:solidFill>
          </w14:textFill>
        </w:rPr>
      </w:pPr>
    </w:p>
    <w:p w14:paraId="6882751D">
      <w:pPr>
        <w:spacing w:line="360" w:lineRule="auto"/>
        <w:rPr>
          <w:rFonts w:ascii="楷体" w:hAnsi="楷体" w:eastAsia="楷体" w:cs="楷体"/>
          <w:b/>
          <w:color w:val="000000" w:themeColor="text1"/>
          <w:sz w:val="24"/>
          <w14:textFill>
            <w14:solidFill>
              <w14:schemeClr w14:val="tx1"/>
            </w14:solidFill>
          </w14:textFill>
        </w:rPr>
      </w:pPr>
    </w:p>
    <w:p w14:paraId="6AA07E2C">
      <w:pPr>
        <w:spacing w:line="360" w:lineRule="auto"/>
        <w:rPr>
          <w:rFonts w:ascii="楷体" w:hAnsi="楷体" w:eastAsia="楷体" w:cs="楷体"/>
          <w:b/>
          <w:color w:val="000000" w:themeColor="text1"/>
          <w:sz w:val="24"/>
          <w14:textFill>
            <w14:solidFill>
              <w14:schemeClr w14:val="tx1"/>
            </w14:solidFill>
          </w14:textFill>
        </w:rPr>
      </w:pPr>
    </w:p>
    <w:p w14:paraId="387860CD">
      <w:pPr>
        <w:spacing w:line="360" w:lineRule="auto"/>
        <w:rPr>
          <w:rFonts w:ascii="楷体" w:hAnsi="楷体" w:eastAsia="楷体" w:cs="楷体"/>
          <w:b/>
          <w:color w:val="000000" w:themeColor="text1"/>
          <w:sz w:val="24"/>
          <w14:textFill>
            <w14:solidFill>
              <w14:schemeClr w14:val="tx1"/>
            </w14:solidFill>
          </w14:textFill>
        </w:rPr>
      </w:pPr>
    </w:p>
    <w:p w14:paraId="1423DB34">
      <w:pPr>
        <w:spacing w:line="360" w:lineRule="auto"/>
        <w:rPr>
          <w:rFonts w:ascii="楷体" w:hAnsi="楷体" w:eastAsia="楷体" w:cs="楷体"/>
          <w:b/>
          <w:color w:val="000000" w:themeColor="text1"/>
          <w:sz w:val="24"/>
          <w14:textFill>
            <w14:solidFill>
              <w14:schemeClr w14:val="tx1"/>
            </w14:solidFill>
          </w14:textFill>
        </w:rPr>
      </w:pPr>
    </w:p>
    <w:p w14:paraId="64174DCB">
      <w:pPr>
        <w:spacing w:line="360" w:lineRule="auto"/>
        <w:rPr>
          <w:rFonts w:ascii="楷体" w:hAnsi="楷体" w:eastAsia="楷体" w:cs="楷体"/>
          <w:b/>
          <w:color w:val="000000" w:themeColor="text1"/>
          <w:sz w:val="24"/>
          <w14:textFill>
            <w14:solidFill>
              <w14:schemeClr w14:val="tx1"/>
            </w14:solidFill>
          </w14:textFill>
        </w:rPr>
      </w:pPr>
    </w:p>
    <w:p w14:paraId="6F88C4CD">
      <w:pPr>
        <w:spacing w:line="360" w:lineRule="auto"/>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br w:type="page"/>
      </w:r>
    </w:p>
    <w:p w14:paraId="3DF4EEB3">
      <w:pPr>
        <w:spacing w:line="360" w:lineRule="auto"/>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投诉书制作说明：</w:t>
      </w:r>
    </w:p>
    <w:p w14:paraId="67D73D94">
      <w:pPr>
        <w:widowControl/>
        <w:spacing w:line="360" w:lineRule="auto"/>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402200F7">
      <w:pPr>
        <w:widowControl/>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ascii="楷体" w:hAnsi="楷体" w:eastAsia="楷体" w:cs="楷体"/>
          <w:color w:val="000000" w:themeColor="text1"/>
          <w:kern w:val="0"/>
          <w:sz w:val="24"/>
          <w14:textFill>
            <w14:solidFill>
              <w14:schemeClr w14:val="tx1"/>
            </w14:solidFill>
          </w14:textFill>
        </w:rPr>
        <w:t>投诉人签署的授权委托书。授权委托书应当载明代</w:t>
      </w:r>
      <w:r>
        <w:rPr>
          <w:rFonts w:hint="eastAsia" w:ascii="楷体" w:hAnsi="楷体" w:eastAsia="楷体" w:cs="楷体"/>
          <w:color w:val="000000" w:themeColor="text1"/>
          <w:sz w:val="24"/>
          <w14:textFill>
            <w14:solidFill>
              <w14:schemeClr w14:val="tx1"/>
            </w14:solidFill>
          </w14:textFill>
        </w:rPr>
        <w:t>理人的姓名或者名称、代理事项、具体权限、期限和相关事项。</w:t>
      </w:r>
    </w:p>
    <w:p w14:paraId="53E7CC04">
      <w:pPr>
        <w:widowControl/>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3.投诉人若对项目的某一分包进行投诉，投诉书应列明具体分包号。</w:t>
      </w:r>
    </w:p>
    <w:p w14:paraId="3201630B">
      <w:pPr>
        <w:widowControl/>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4.投诉书应简要列明质疑事项，质疑函、质疑答复等作为附件材料提供。</w:t>
      </w:r>
    </w:p>
    <w:p w14:paraId="2124448C">
      <w:pPr>
        <w:widowControl/>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5.投诉书的投诉事项应具体、明确，并有必要的事实依据和法律依据。</w:t>
      </w:r>
    </w:p>
    <w:p w14:paraId="0EF69410">
      <w:pPr>
        <w:widowControl/>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6.投诉书的投诉请求应与投诉事项相关。</w:t>
      </w:r>
    </w:p>
    <w:p w14:paraId="449CED4D">
      <w:pPr>
        <w:widowControl/>
        <w:spacing w:line="360" w:lineRule="auto"/>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678A3E1">
      <w:pPr>
        <w:pStyle w:val="22"/>
        <w:ind w:firstLine="0"/>
        <w:rPr>
          <w:rFonts w:ascii="楷体" w:hAnsi="楷体" w:eastAsia="楷体" w:cs="楷体"/>
          <w:color w:val="000000" w:themeColor="text1"/>
          <w14:textFill>
            <w14:solidFill>
              <w14:schemeClr w14:val="tx1"/>
            </w14:solidFill>
          </w14:textFill>
        </w:rPr>
      </w:pPr>
    </w:p>
    <w:p w14:paraId="3153172B">
      <w:pPr>
        <w:rPr>
          <w:rFonts w:ascii="楷体" w:hAnsi="楷体" w:eastAsia="楷体" w:cs="楷体"/>
          <w:color w:val="000000" w:themeColor="text1"/>
          <w14:textFill>
            <w14:solidFill>
              <w14:schemeClr w14:val="tx1"/>
            </w14:solidFill>
          </w14:textFill>
        </w:rPr>
      </w:pPr>
    </w:p>
    <w:sectPr>
      <w:pgSz w:w="11906" w:h="16838"/>
      <w:pgMar w:top="1247" w:right="1587" w:bottom="108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6A774">
    <w:pPr>
      <w:pStyle w:val="33"/>
      <w:rPr>
        <w:rFonts w:ascii="楷体" w:hAnsi="楷体" w:eastAsia="楷体" w:cs="楷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5"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59001E60">
                          <w:pPr>
                            <w:pStyle w:val="33"/>
                          </w:pP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1</w:t>
                          </w:r>
                          <w:r>
                            <w:rPr>
                              <w:rFonts w:hint="eastAsia" w:ascii="楷体" w:hAnsi="楷体" w:eastAsia="楷体" w:cs="楷体"/>
                            </w:rP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nyxwC0QAAAAIBAAAPAAAAAAAAAAEAIAAAACIAAABkcnMv&#10;ZG93bnJldi54bWxQSwECFAAUAAAACACHTuJASVjuBgoCAAACBAAADgAAAAAAAAABACAAAAAgAQAA&#10;ZHJzL2Uyb0RvYy54bWxQSwUGAAAAAAYABgBZAQAAnAUAAAAA&#10;">
              <v:fill on="f" focussize="0,0"/>
              <v:stroke on="f"/>
              <v:imagedata o:title=""/>
              <o:lock v:ext="edit" aspectratio="f"/>
              <v:textbox inset="0mm,0mm,0mm,0mm" style="mso-fit-shape-to-text:t;">
                <w:txbxContent>
                  <w:p w14:paraId="59001E60">
                    <w:pPr>
                      <w:pStyle w:val="33"/>
                    </w:pP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1</w:t>
                    </w:r>
                    <w:r>
                      <w:rPr>
                        <w:rFonts w:hint="eastAsia" w:ascii="楷体" w:hAnsi="楷体" w:eastAsia="楷体" w:cs="楷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452D5">
    <w:pPr>
      <w:pStyle w:val="33"/>
      <w:tabs>
        <w:tab w:val="left" w:pos="5768"/>
        <w:tab w:val="clear" w:pos="4153"/>
      </w:tabs>
      <w:rPr>
        <w:rFonts w:ascii="楷体" w:hAnsi="楷体" w:eastAsia="楷体" w:cs="楷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0C2FD4EB">
                          <w:pPr>
                            <w:pStyle w:val="33"/>
                            <w:rPr>
                              <w:rFonts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54</w:t>
                          </w:r>
                          <w:r>
                            <w:rPr>
                              <w:rFonts w:hint="eastAsia" w:ascii="楷体" w:hAnsi="楷体" w:eastAsia="楷体" w:cs="楷体"/>
                            </w:rPr>
                            <w:fldChar w:fldCharType="end"/>
                          </w: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1.65pt;width:22.55pt;mso-position-horizontal:center;mso-position-horizontal-relative:margin;mso-wrap-style:none;z-index:251661312;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GzHSAAAAAwEAAA8AAAAAAAAAAQAgAAAA&#10;IgAAAGRycy9kb3ducmV2LnhtbFBLAQIUABQAAAAIAIdO4kDqQu0sEQIAABEEAAAOAAAAAAAAAAEA&#10;IAAAACEBAABkcnMvZTJvRG9jLnhtbFBLBQYAAAAABgAGAFkBAACkBQAAAAA=&#10;">
              <v:fill on="f" focussize="0,0"/>
              <v:stroke on="f"/>
              <v:imagedata o:title=""/>
              <o:lock v:ext="edit" aspectratio="f"/>
              <v:textbox inset="0mm,0mm,0mm,0mm" style="mso-fit-shape-to-text:t;">
                <w:txbxContent>
                  <w:p w14:paraId="0C2FD4EB">
                    <w:pPr>
                      <w:pStyle w:val="33"/>
                      <w:rPr>
                        <w:rFonts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54</w:t>
                    </w:r>
                    <w:r>
                      <w:rPr>
                        <w:rFonts w:hint="eastAsia" w:ascii="楷体" w:hAnsi="楷体" w:eastAsia="楷体" w:cs="楷体"/>
                      </w:rPr>
                      <w:fldChar w:fldCharType="end"/>
                    </w:r>
                  </w:p>
                </w:txbxContent>
              </v:textbox>
            </v:shape>
          </w:pict>
        </mc:Fallback>
      </mc:AlternateContent>
    </w:r>
    <w:r>
      <w:rPr>
        <w:rFonts w:hint="eastAsia" w:ascii="楷体" w:hAnsi="楷体" w:eastAsia="楷体" w:cs="楷体"/>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1D853">
    <w:pPr>
      <w:pStyle w:val="19"/>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24815" cy="235585"/>
              <wp:effectExtent l="0" t="0" r="3810" b="254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424815" cy="235585"/>
                      </a:xfrm>
                      <a:prstGeom prst="rect">
                        <a:avLst/>
                      </a:prstGeom>
                      <a:noFill/>
                      <a:ln>
                        <a:noFill/>
                      </a:ln>
                      <a:effectLst/>
                    </wps:spPr>
                    <wps:txbx>
                      <w:txbxContent>
                        <w:p w14:paraId="1EA7BF18">
                          <w:pPr>
                            <w:spacing w:before="20"/>
                            <w:ind w:left="60"/>
                            <w:rPr>
                              <w:rFonts w:ascii="Tahoma"/>
                              <w:sz w:val="18"/>
                            </w:rPr>
                          </w:pPr>
                          <w:r>
                            <w:rPr>
                              <w:rFonts w:ascii="Tahoma"/>
                              <w:sz w:val="18"/>
                            </w:rPr>
                            <w:fldChar w:fldCharType="begin"/>
                          </w:r>
                          <w:r>
                            <w:rPr>
                              <w:rFonts w:ascii="Tahoma"/>
                              <w:sz w:val="18"/>
                            </w:rPr>
                            <w:instrText xml:space="preserve"> PAGE  \* MERGEFORMAT </w:instrText>
                          </w:r>
                          <w:r>
                            <w:rPr>
                              <w:rFonts w:ascii="Tahoma"/>
                              <w:sz w:val="18"/>
                            </w:rPr>
                            <w:fldChar w:fldCharType="separate"/>
                          </w:r>
                          <w:r>
                            <w:rPr>
                              <w:rFonts w:ascii="Tahoma"/>
                              <w:sz w:val="18"/>
                            </w:rPr>
                            <w:t>- 66 -</w:t>
                          </w:r>
                          <w:r>
                            <w:rPr>
                              <w:rFonts w:ascii="Tahoma"/>
                              <w:sz w:val="1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8.55pt;width:33.45pt;mso-position-horizontal:center;mso-position-horizontal-relative:margin;z-index:251659264;mso-width-relative:page;mso-height-relative:page;" filled="f" stroked="f" coordsize="21600,21600" o:gfxdata="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ph5Q9QAAAADAQAADwAAAAAAAAABACAAAAAiAAAAZHJzL2Rvd25y&#10;ZXYueG1sUEsBAhQAFAAAAAgAh07iQO3XMc0CAgAAEQQAAA4AAAAAAAAAAQAgAAAAIwEAAGRycy9l&#10;Mm9Eb2MueG1sUEsFBgAAAAAGAAYAWQEAAJcFAAAAAA==&#10;">
              <v:fill on="f" focussize="0,0"/>
              <v:stroke on="f"/>
              <v:imagedata o:title=""/>
              <o:lock v:ext="edit" aspectratio="f"/>
              <v:textbox inset="0mm,0mm,0mm,0mm">
                <w:txbxContent>
                  <w:p w14:paraId="1EA7BF18">
                    <w:pPr>
                      <w:spacing w:before="20"/>
                      <w:ind w:left="60"/>
                      <w:rPr>
                        <w:rFonts w:ascii="Tahoma"/>
                        <w:sz w:val="18"/>
                      </w:rPr>
                    </w:pPr>
                    <w:r>
                      <w:rPr>
                        <w:rFonts w:ascii="Tahoma"/>
                        <w:sz w:val="18"/>
                      </w:rPr>
                      <w:fldChar w:fldCharType="begin"/>
                    </w:r>
                    <w:r>
                      <w:rPr>
                        <w:rFonts w:ascii="Tahoma"/>
                        <w:sz w:val="18"/>
                      </w:rPr>
                      <w:instrText xml:space="preserve"> PAGE  \* MERGEFORMAT </w:instrText>
                    </w:r>
                    <w:r>
                      <w:rPr>
                        <w:rFonts w:ascii="Tahoma"/>
                        <w:sz w:val="18"/>
                      </w:rPr>
                      <w:fldChar w:fldCharType="separate"/>
                    </w:r>
                    <w:r>
                      <w:rPr>
                        <w:rFonts w:ascii="Tahoma"/>
                        <w:sz w:val="18"/>
                      </w:rPr>
                      <w:t>- 66 -</w:t>
                    </w:r>
                    <w:r>
                      <w:rPr>
                        <w:rFonts w:ascii="Tahom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83E5">
    <w:pPr>
      <w:pStyle w:val="33"/>
      <w:tabs>
        <w:tab w:val="left" w:pos="900"/>
        <w:tab w:val="clear" w:pos="4153"/>
        <w:tab w:val="clear" w:pos="8306"/>
      </w:tabs>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672B8591">
                          <w:pPr>
                            <w:pStyle w:val="33"/>
                          </w:pPr>
                          <w:r>
                            <w:fldChar w:fldCharType="begin"/>
                          </w:r>
                          <w:r>
                            <w:instrText xml:space="preserve"> PAGE  \* MERGEFORMAT </w:instrText>
                          </w:r>
                          <w:r>
                            <w:fldChar w:fldCharType="separate"/>
                          </w:r>
                          <w:r>
                            <w:t>- 113 -</w:t>
                          </w:r>
                          <w:r>
                            <w:fldChar w:fldCharType="end"/>
                          </w:r>
                        </w:p>
                      </w:txbxContent>
                    </wps:txbx>
                    <wps:bodyPr rot="0" vert="horz" wrap="none" lIns="0" tIns="0" rIns="0" bIns="0" anchor="t" anchorCtr="0" upright="1">
                      <a:spAutoFit/>
                    </wps:bodyPr>
                  </wps:wsp>
                </a:graphicData>
              </a:graphic>
            </wp:anchor>
          </w:drawing>
        </mc:Choice>
        <mc:Fallback>
          <w:pict>
            <v:shape id="文本框 18"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sUjg0AAAAAMBAAAPAAAAAAAAAAEAIAAAACIAAABkcnMv&#10;ZG93bnJldi54bWxQSwECFAAUAAAACACHTuJAYAHefQsCAAADBAAADgAAAAAAAAABACAAAAAfAQAA&#10;ZHJzL2Uyb0RvYy54bWxQSwUGAAAAAAYABgBZAQAAnAUAAAAA&#10;">
              <v:fill on="f" focussize="0,0"/>
              <v:stroke on="f"/>
              <v:imagedata o:title=""/>
              <o:lock v:ext="edit" aspectratio="f"/>
              <v:textbox inset="0mm,0mm,0mm,0mm" style="mso-fit-shape-to-text:t;">
                <w:txbxContent>
                  <w:p w14:paraId="672B8591">
                    <w:pPr>
                      <w:pStyle w:val="33"/>
                    </w:pPr>
                    <w:r>
                      <w:fldChar w:fldCharType="begin"/>
                    </w:r>
                    <w:r>
                      <w:instrText xml:space="preserve"> PAGE  \* MERGEFORMAT </w:instrText>
                    </w:r>
                    <w:r>
                      <w:fldChar w:fldCharType="separate"/>
                    </w:r>
                    <w:r>
                      <w:t>- 113 -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8F9B7">
    <w:pPr>
      <w:pStyle w:val="33"/>
      <w:framePr w:wrap="around" w:vAnchor="text" w:hAnchor="margin" w:xAlign="center" w:y="1"/>
      <w:rPr>
        <w:rStyle w:val="50"/>
      </w:rPr>
    </w:pPr>
    <w:r>
      <w:fldChar w:fldCharType="begin"/>
    </w:r>
    <w:r>
      <w:rPr>
        <w:rStyle w:val="50"/>
      </w:rPr>
      <w:instrText xml:space="preserve">PAGE  </w:instrText>
    </w:r>
    <w:r>
      <w:fldChar w:fldCharType="end"/>
    </w:r>
  </w:p>
  <w:p w14:paraId="4B284354">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AEE0">
    <w:pPr>
      <w:pStyle w:val="34"/>
      <w:pBdr>
        <w:bottom w:val="none" w:color="auto" w:sz="0" w:space="1"/>
      </w:pBdr>
      <w:jc w:val="right"/>
      <w:rPr>
        <w:rFonts w:ascii="楷体" w:hAnsi="楷体" w:eastAsia="楷体" w:cs="楷体"/>
        <w:sz w:val="20"/>
      </w:rPr>
    </w:pPr>
    <w:r>
      <w:rPr>
        <w:rFonts w:hint="eastAsia" w:ascii="楷体" w:hAnsi="楷体" w:eastAsia="楷体" w:cs="楷体"/>
        <w:sz w:val="20"/>
      </w:rP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853C1"/>
    <w:multiLevelType w:val="singleLevel"/>
    <w:tmpl w:val="837853C1"/>
    <w:lvl w:ilvl="0" w:tentative="0">
      <w:start w:val="1"/>
      <w:numFmt w:val="lowerLetter"/>
      <w:lvlText w:val="%1."/>
      <w:lvlJc w:val="left"/>
      <w:pPr>
        <w:tabs>
          <w:tab w:val="left" w:pos="312"/>
        </w:tabs>
      </w:pPr>
    </w:lvl>
  </w:abstractNum>
  <w:abstractNum w:abstractNumId="1">
    <w:nsid w:val="98C19939"/>
    <w:multiLevelType w:val="singleLevel"/>
    <w:tmpl w:val="98C19939"/>
    <w:lvl w:ilvl="0" w:tentative="0">
      <w:start w:val="1"/>
      <w:numFmt w:val="decimal"/>
      <w:suff w:val="nothing"/>
      <w:lvlText w:val="（%1）"/>
      <w:lvlJc w:val="left"/>
    </w:lvl>
  </w:abstractNum>
  <w:abstractNum w:abstractNumId="2">
    <w:nsid w:val="A299D755"/>
    <w:multiLevelType w:val="multilevel"/>
    <w:tmpl w:val="A299D755"/>
    <w:lvl w:ilvl="0" w:tentative="0">
      <w:start w:val="1"/>
      <w:numFmt w:val="decimal"/>
      <w:suff w:val="space"/>
      <w:lvlText w:val="（%1）"/>
      <w:lvlJc w:val="left"/>
      <w:pPr>
        <w:ind w:left="1262" w:hanging="500"/>
      </w:pPr>
      <w:rPr>
        <w:rFonts w:hint="eastAsia"/>
      </w:rPr>
    </w:lvl>
    <w:lvl w:ilvl="1" w:tentative="0">
      <w:start w:val="1"/>
      <w:numFmt w:val="japaneseCounting"/>
      <w:lvlText w:val="（%2）"/>
      <w:lvlJc w:val="left"/>
      <w:pPr>
        <w:ind w:left="1562" w:hanging="720"/>
      </w:pPr>
      <w:rPr>
        <w:rFonts w:hint="eastAsia"/>
      </w:rPr>
    </w:lvl>
    <w:lvl w:ilvl="2" w:tentative="0">
      <w:start w:val="1"/>
      <w:numFmt w:val="lowerRoman"/>
      <w:lvlText w:val="%3."/>
      <w:lvlJc w:val="right"/>
      <w:pPr>
        <w:tabs>
          <w:tab w:val="left" w:pos="1682"/>
        </w:tabs>
        <w:ind w:left="1682" w:hanging="420"/>
      </w:pPr>
      <w:rPr>
        <w:rFonts w:hint="eastAsia"/>
      </w:rPr>
    </w:lvl>
    <w:lvl w:ilvl="3" w:tentative="0">
      <w:start w:val="1"/>
      <w:numFmt w:val="decimal"/>
      <w:lvlText w:val="%4."/>
      <w:lvlJc w:val="left"/>
      <w:pPr>
        <w:tabs>
          <w:tab w:val="left" w:pos="2102"/>
        </w:tabs>
        <w:ind w:left="2102" w:hanging="420"/>
      </w:pPr>
      <w:rPr>
        <w:rFonts w:hint="eastAsia"/>
      </w:rPr>
    </w:lvl>
    <w:lvl w:ilvl="4" w:tentative="0">
      <w:start w:val="1"/>
      <w:numFmt w:val="lowerLetter"/>
      <w:lvlText w:val="%5)"/>
      <w:lvlJc w:val="left"/>
      <w:pPr>
        <w:tabs>
          <w:tab w:val="left" w:pos="2522"/>
        </w:tabs>
        <w:ind w:left="2522" w:hanging="420"/>
      </w:pPr>
      <w:rPr>
        <w:rFonts w:hint="eastAsia"/>
      </w:rPr>
    </w:lvl>
    <w:lvl w:ilvl="5" w:tentative="0">
      <w:start w:val="1"/>
      <w:numFmt w:val="lowerRoman"/>
      <w:lvlText w:val="%6."/>
      <w:lvlJc w:val="right"/>
      <w:pPr>
        <w:tabs>
          <w:tab w:val="left" w:pos="2942"/>
        </w:tabs>
        <w:ind w:left="2942" w:hanging="420"/>
      </w:pPr>
      <w:rPr>
        <w:rFonts w:hint="eastAsia"/>
      </w:rPr>
    </w:lvl>
    <w:lvl w:ilvl="6" w:tentative="0">
      <w:start w:val="1"/>
      <w:numFmt w:val="decimal"/>
      <w:lvlText w:val="%7."/>
      <w:lvlJc w:val="left"/>
      <w:pPr>
        <w:tabs>
          <w:tab w:val="left" w:pos="3362"/>
        </w:tabs>
        <w:ind w:left="3362" w:hanging="420"/>
      </w:pPr>
      <w:rPr>
        <w:rFonts w:hint="eastAsia"/>
      </w:rPr>
    </w:lvl>
    <w:lvl w:ilvl="7" w:tentative="0">
      <w:start w:val="1"/>
      <w:numFmt w:val="lowerLetter"/>
      <w:lvlText w:val="%8)"/>
      <w:lvlJc w:val="left"/>
      <w:pPr>
        <w:tabs>
          <w:tab w:val="left" w:pos="3782"/>
        </w:tabs>
        <w:ind w:left="3782" w:hanging="420"/>
      </w:pPr>
      <w:rPr>
        <w:rFonts w:hint="eastAsia"/>
      </w:rPr>
    </w:lvl>
    <w:lvl w:ilvl="8" w:tentative="0">
      <w:start w:val="1"/>
      <w:numFmt w:val="lowerRoman"/>
      <w:lvlText w:val="%9."/>
      <w:lvlJc w:val="right"/>
      <w:pPr>
        <w:tabs>
          <w:tab w:val="left" w:pos="4202"/>
        </w:tabs>
        <w:ind w:left="4202" w:hanging="420"/>
      </w:pPr>
      <w:rPr>
        <w:rFonts w:hint="eastAsia"/>
      </w:rPr>
    </w:lvl>
  </w:abstractNum>
  <w:abstractNum w:abstractNumId="3">
    <w:nsid w:val="A748B2BA"/>
    <w:multiLevelType w:val="singleLevel"/>
    <w:tmpl w:val="A748B2BA"/>
    <w:lvl w:ilvl="0" w:tentative="0">
      <w:start w:val="1"/>
      <w:numFmt w:val="decimal"/>
      <w:lvlText w:val="%1."/>
      <w:lvlJc w:val="left"/>
      <w:pPr>
        <w:tabs>
          <w:tab w:val="left" w:pos="312"/>
        </w:tabs>
      </w:pPr>
    </w:lvl>
  </w:abstractNum>
  <w:abstractNum w:abstractNumId="4">
    <w:nsid w:val="AB92FBAC"/>
    <w:multiLevelType w:val="singleLevel"/>
    <w:tmpl w:val="AB92FBAC"/>
    <w:lvl w:ilvl="0" w:tentative="0">
      <w:start w:val="1"/>
      <w:numFmt w:val="decimalEnclosedCircleChinese"/>
      <w:suff w:val="nothing"/>
      <w:lvlText w:val="%1　"/>
      <w:lvlJc w:val="left"/>
      <w:pPr>
        <w:ind w:left="0" w:firstLine="400"/>
      </w:pPr>
      <w:rPr>
        <w:rFonts w:hint="eastAsia"/>
      </w:rPr>
    </w:lvl>
  </w:abstractNum>
  <w:abstractNum w:abstractNumId="5">
    <w:nsid w:val="ACBB0849"/>
    <w:multiLevelType w:val="singleLevel"/>
    <w:tmpl w:val="ACBB0849"/>
    <w:lvl w:ilvl="0" w:tentative="0">
      <w:start w:val="3"/>
      <w:numFmt w:val="chineseCounting"/>
      <w:suff w:val="space"/>
      <w:lvlText w:val="第%1部分"/>
      <w:lvlJc w:val="left"/>
      <w:rPr>
        <w:rFonts w:hint="eastAsia"/>
        <w:sz w:val="32"/>
        <w:szCs w:val="32"/>
      </w:rPr>
    </w:lvl>
  </w:abstractNum>
  <w:abstractNum w:abstractNumId="6">
    <w:nsid w:val="C2E97D9D"/>
    <w:multiLevelType w:val="singleLevel"/>
    <w:tmpl w:val="C2E97D9D"/>
    <w:lvl w:ilvl="0" w:tentative="0">
      <w:start w:val="2"/>
      <w:numFmt w:val="chineseCounting"/>
      <w:suff w:val="nothing"/>
      <w:lvlText w:val="%1、"/>
      <w:lvlJc w:val="left"/>
      <w:rPr>
        <w:rFonts w:hint="eastAsia"/>
      </w:rPr>
    </w:lvl>
  </w:abstractNum>
  <w:abstractNum w:abstractNumId="7">
    <w:nsid w:val="C8E4A651"/>
    <w:multiLevelType w:val="singleLevel"/>
    <w:tmpl w:val="C8E4A651"/>
    <w:lvl w:ilvl="0" w:tentative="0">
      <w:start w:val="1"/>
      <w:numFmt w:val="decimal"/>
      <w:lvlText w:val="(%1)"/>
      <w:lvlJc w:val="left"/>
      <w:pPr>
        <w:ind w:left="425" w:hanging="425"/>
      </w:pPr>
      <w:rPr>
        <w:rFonts w:hint="default"/>
      </w:rPr>
    </w:lvl>
  </w:abstractNum>
  <w:abstractNum w:abstractNumId="8">
    <w:nsid w:val="CBC0DC41"/>
    <w:multiLevelType w:val="singleLevel"/>
    <w:tmpl w:val="CBC0DC41"/>
    <w:lvl w:ilvl="0" w:tentative="0">
      <w:start w:val="1"/>
      <w:numFmt w:val="decimal"/>
      <w:lvlText w:val="%1."/>
      <w:lvlJc w:val="left"/>
      <w:pPr>
        <w:tabs>
          <w:tab w:val="left" w:pos="312"/>
        </w:tabs>
      </w:pPr>
    </w:lvl>
  </w:abstractNum>
  <w:abstractNum w:abstractNumId="9">
    <w:nsid w:val="D59AD13F"/>
    <w:multiLevelType w:val="singleLevel"/>
    <w:tmpl w:val="D59AD13F"/>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10">
    <w:nsid w:val="E8EB985B"/>
    <w:multiLevelType w:val="singleLevel"/>
    <w:tmpl w:val="E8EB985B"/>
    <w:lvl w:ilvl="0" w:tentative="0">
      <w:start w:val="1"/>
      <w:numFmt w:val="decimal"/>
      <w:pStyle w:val="23"/>
      <w:lvlText w:val="%1."/>
      <w:lvlJc w:val="left"/>
      <w:pPr>
        <w:tabs>
          <w:tab w:val="left" w:pos="1200"/>
        </w:tabs>
        <w:ind w:left="1200" w:hanging="360"/>
      </w:pPr>
    </w:lvl>
  </w:abstractNum>
  <w:abstractNum w:abstractNumId="11">
    <w:nsid w:val="EE21F203"/>
    <w:multiLevelType w:val="multilevel"/>
    <w:tmpl w:val="EE21F203"/>
    <w:lvl w:ilvl="0" w:tentative="0">
      <w:start w:val="1"/>
      <w:numFmt w:val="decimal"/>
      <w:lvlText w:val="（%1）"/>
      <w:lvlJc w:val="left"/>
      <w:pPr>
        <w:tabs>
          <w:tab w:val="left" w:pos="937"/>
        </w:tabs>
        <w:ind w:left="1006" w:hanging="50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F1D14BBD"/>
    <w:multiLevelType w:val="multilevel"/>
    <w:tmpl w:val="F1D14BBD"/>
    <w:lvl w:ilvl="0" w:tentative="0">
      <w:start w:val="1"/>
      <w:numFmt w:val="decimal"/>
      <w:lvlText w:val="（%1）"/>
      <w:lvlJc w:val="left"/>
      <w:pPr>
        <w:ind w:left="1142" w:hanging="7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3">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14">
    <w:nsid w:val="F9AE5E18"/>
    <w:multiLevelType w:val="singleLevel"/>
    <w:tmpl w:val="F9AE5E18"/>
    <w:lvl w:ilvl="0" w:tentative="0">
      <w:start w:val="1"/>
      <w:numFmt w:val="decimalEnclosedCircleChinese"/>
      <w:suff w:val="nothing"/>
      <w:lvlText w:val="%1　"/>
      <w:lvlJc w:val="left"/>
      <w:pPr>
        <w:ind w:left="0" w:firstLine="400"/>
      </w:pPr>
      <w:rPr>
        <w:rFonts w:hint="eastAsia"/>
      </w:rPr>
    </w:lvl>
  </w:abstractNum>
  <w:abstractNum w:abstractNumId="15">
    <w:nsid w:val="FD8902AC"/>
    <w:multiLevelType w:val="singleLevel"/>
    <w:tmpl w:val="FD8902AC"/>
    <w:lvl w:ilvl="0" w:tentative="0">
      <w:start w:val="1"/>
      <w:numFmt w:val="lowerLetter"/>
      <w:lvlText w:val="%1."/>
      <w:lvlJc w:val="left"/>
      <w:pPr>
        <w:ind w:left="425" w:hanging="425"/>
      </w:pPr>
      <w:rPr>
        <w:rFonts w:hint="default"/>
      </w:rPr>
    </w:lvl>
  </w:abstractNum>
  <w:abstractNum w:abstractNumId="16">
    <w:nsid w:val="00000003"/>
    <w:multiLevelType w:val="multilevel"/>
    <w:tmpl w:val="00000003"/>
    <w:lvl w:ilvl="0" w:tentative="0">
      <w:start w:val="1"/>
      <w:numFmt w:val="decimal"/>
      <w:lvlText w:val="（%1）"/>
      <w:lvlJc w:val="left"/>
      <w:pPr>
        <w:tabs>
          <w:tab w:val="left" w:pos="937"/>
        </w:tabs>
        <w:ind w:left="926" w:hanging="50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2FCA2B6"/>
    <w:multiLevelType w:val="singleLevel"/>
    <w:tmpl w:val="02FCA2B6"/>
    <w:lvl w:ilvl="0" w:tentative="0">
      <w:start w:val="1"/>
      <w:numFmt w:val="decimal"/>
      <w:suff w:val="space"/>
      <w:lvlText w:val="%1."/>
      <w:lvlJc w:val="left"/>
    </w:lvl>
  </w:abstractNum>
  <w:abstractNum w:abstractNumId="18">
    <w:nsid w:val="176A3C49"/>
    <w:multiLevelType w:val="multilevel"/>
    <w:tmpl w:val="176A3C49"/>
    <w:lvl w:ilvl="0" w:tentative="0">
      <w:start w:val="1"/>
      <w:numFmt w:val="decimal"/>
      <w:lvlText w:val="（%1）"/>
      <w:lvlJc w:val="left"/>
      <w:pPr>
        <w:tabs>
          <w:tab w:val="left" w:pos="1273"/>
        </w:tabs>
        <w:ind w:left="1262" w:hanging="500"/>
      </w:pPr>
      <w:rPr>
        <w:rFonts w:hint="eastAsia"/>
      </w:rPr>
    </w:lvl>
    <w:lvl w:ilvl="1" w:tentative="0">
      <w:start w:val="1"/>
      <w:numFmt w:val="japaneseCounting"/>
      <w:lvlText w:val="（%2）"/>
      <w:lvlJc w:val="left"/>
      <w:pPr>
        <w:ind w:left="1562" w:hanging="720"/>
      </w:pPr>
      <w:rPr>
        <w:rFonts w:hint="default"/>
      </w:r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19">
    <w:nsid w:val="1D8D61EA"/>
    <w:multiLevelType w:val="singleLevel"/>
    <w:tmpl w:val="1D8D61EA"/>
    <w:lvl w:ilvl="0" w:tentative="0">
      <w:start w:val="1"/>
      <w:numFmt w:val="decimal"/>
      <w:lvlText w:val="%1."/>
      <w:lvlJc w:val="left"/>
      <w:pPr>
        <w:tabs>
          <w:tab w:val="left" w:pos="312"/>
        </w:tabs>
      </w:pPr>
    </w:lvl>
  </w:abstractNum>
  <w:abstractNum w:abstractNumId="20">
    <w:nsid w:val="388D096A"/>
    <w:multiLevelType w:val="singleLevel"/>
    <w:tmpl w:val="388D096A"/>
    <w:lvl w:ilvl="0" w:tentative="0">
      <w:start w:val="1"/>
      <w:numFmt w:val="decimal"/>
      <w:suff w:val="nothing"/>
      <w:lvlText w:val="（%1）"/>
      <w:lvlJc w:val="left"/>
    </w:lvl>
  </w:abstractNum>
  <w:abstractNum w:abstractNumId="21">
    <w:nsid w:val="39E4E3C9"/>
    <w:multiLevelType w:val="singleLevel"/>
    <w:tmpl w:val="39E4E3C9"/>
    <w:lvl w:ilvl="0" w:tentative="0">
      <w:start w:val="13"/>
      <w:numFmt w:val="decimal"/>
      <w:suff w:val="nothing"/>
      <w:lvlText w:val="%1．"/>
      <w:lvlJc w:val="left"/>
    </w:lvl>
  </w:abstractNum>
  <w:abstractNum w:abstractNumId="22">
    <w:nsid w:val="42A40D8A"/>
    <w:multiLevelType w:val="singleLevel"/>
    <w:tmpl w:val="42A40D8A"/>
    <w:lvl w:ilvl="0" w:tentative="0">
      <w:start w:val="1"/>
      <w:numFmt w:val="decimal"/>
      <w:pStyle w:val="13"/>
      <w:lvlText w:val="%1."/>
      <w:lvlJc w:val="left"/>
      <w:pPr>
        <w:tabs>
          <w:tab w:val="left" w:pos="360"/>
        </w:tabs>
        <w:ind w:left="360" w:hanging="360"/>
      </w:pPr>
    </w:lvl>
  </w:abstractNum>
  <w:abstractNum w:abstractNumId="23">
    <w:nsid w:val="4396DBC2"/>
    <w:multiLevelType w:val="singleLevel"/>
    <w:tmpl w:val="4396DBC2"/>
    <w:lvl w:ilvl="0" w:tentative="0">
      <w:start w:val="3"/>
      <w:numFmt w:val="decimal"/>
      <w:suff w:val="space"/>
      <w:lvlText w:val="%1."/>
      <w:lvlJc w:val="left"/>
    </w:lvl>
  </w:abstractNum>
  <w:abstractNum w:abstractNumId="24">
    <w:nsid w:val="4E533192"/>
    <w:multiLevelType w:val="singleLevel"/>
    <w:tmpl w:val="4E533192"/>
    <w:lvl w:ilvl="0" w:tentative="0">
      <w:start w:val="1"/>
      <w:numFmt w:val="decimal"/>
      <w:suff w:val="space"/>
      <w:lvlText w:val="（%1）"/>
      <w:lvlJc w:val="left"/>
    </w:lvl>
  </w:abstractNum>
  <w:abstractNum w:abstractNumId="25">
    <w:nsid w:val="54F403B5"/>
    <w:multiLevelType w:val="singleLevel"/>
    <w:tmpl w:val="54F403B5"/>
    <w:lvl w:ilvl="0" w:tentative="0">
      <w:start w:val="1"/>
      <w:numFmt w:val="chineseCounting"/>
      <w:suff w:val="nothing"/>
      <w:lvlText w:val="%1、"/>
      <w:lvlJc w:val="left"/>
    </w:lvl>
  </w:abstractNum>
  <w:abstractNum w:abstractNumId="26">
    <w:nsid w:val="557FD3DA"/>
    <w:multiLevelType w:val="singleLevel"/>
    <w:tmpl w:val="557FD3DA"/>
    <w:lvl w:ilvl="0" w:tentative="0">
      <w:start w:val="3"/>
      <w:numFmt w:val="chineseCounting"/>
      <w:suff w:val="nothing"/>
      <w:lvlText w:val="%1、"/>
      <w:lvlJc w:val="left"/>
    </w:lvl>
  </w:abstractNum>
  <w:abstractNum w:abstractNumId="27">
    <w:nsid w:val="5743E57A"/>
    <w:multiLevelType w:val="multilevel"/>
    <w:tmpl w:val="5743E57A"/>
    <w:lvl w:ilvl="0" w:tentative="0">
      <w:start w:val="1"/>
      <w:numFmt w:val="decimal"/>
      <w:pStyle w:val="131"/>
      <w:lvlText w:val="%1."/>
      <w:lvlJc w:val="left"/>
      <w:pPr>
        <w:tabs>
          <w:tab w:val="left" w:pos="704"/>
        </w:tabs>
        <w:ind w:left="704" w:hanging="420"/>
      </w:pPr>
    </w:lvl>
    <w:lvl w:ilvl="1" w:tentative="0">
      <w:start w:val="1"/>
      <w:numFmt w:val="lowerLetter"/>
      <w:lvlText w:val="%2)"/>
      <w:lvlJc w:val="left"/>
      <w:pPr>
        <w:tabs>
          <w:tab w:val="left" w:pos="1124"/>
        </w:tabs>
        <w:ind w:left="1124" w:hanging="420"/>
      </w:p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28">
    <w:nsid w:val="5A3C02B2"/>
    <w:multiLevelType w:val="singleLevel"/>
    <w:tmpl w:val="5A3C02B2"/>
    <w:lvl w:ilvl="0" w:tentative="0">
      <w:start w:val="1"/>
      <w:numFmt w:val="lowerLetter"/>
      <w:lvlText w:val="%1."/>
      <w:lvlJc w:val="left"/>
      <w:pPr>
        <w:ind w:left="425" w:hanging="425"/>
      </w:pPr>
      <w:rPr>
        <w:rFonts w:hint="default"/>
      </w:rPr>
    </w:lvl>
  </w:abstractNum>
  <w:abstractNum w:abstractNumId="29">
    <w:nsid w:val="631C03F0"/>
    <w:multiLevelType w:val="multilevel"/>
    <w:tmpl w:val="631C03F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6DEE9EAE"/>
    <w:multiLevelType w:val="singleLevel"/>
    <w:tmpl w:val="6DEE9EAE"/>
    <w:lvl w:ilvl="0" w:tentative="0">
      <w:start w:val="2"/>
      <w:numFmt w:val="decimal"/>
      <w:suff w:val="nothing"/>
      <w:lvlText w:val="（%1）"/>
      <w:lvlJc w:val="left"/>
    </w:lvl>
  </w:abstractNum>
  <w:abstractNum w:abstractNumId="31">
    <w:nsid w:val="7D4C19BB"/>
    <w:multiLevelType w:val="multilevel"/>
    <w:tmpl w:val="7D4C19BB"/>
    <w:lvl w:ilvl="0" w:tentative="0">
      <w:start w:val="1"/>
      <w:numFmt w:val="decimal"/>
      <w:lvlText w:val="（%1）"/>
      <w:lvlJc w:val="left"/>
      <w:pPr>
        <w:ind w:left="1249" w:hanging="420"/>
      </w:pPr>
      <w:rPr>
        <w:rFonts w:hint="eastAsia"/>
      </w:rPr>
    </w:lvl>
    <w:lvl w:ilvl="1" w:tentative="0">
      <w:start w:val="1"/>
      <w:numFmt w:val="decimal"/>
      <w:lvlText w:val="（%2）"/>
      <w:lvlJc w:val="left"/>
      <w:pPr>
        <w:ind w:left="3398" w:hanging="420"/>
      </w:pPr>
      <w:rPr>
        <w:rFonts w:hint="eastAsia"/>
      </w:rPr>
    </w:lvl>
    <w:lvl w:ilvl="2" w:tentative="0">
      <w:start w:val="1"/>
      <w:numFmt w:val="lowerRoman"/>
      <w:lvlText w:val="%3."/>
      <w:lvlJc w:val="right"/>
      <w:pPr>
        <w:ind w:left="2089" w:hanging="420"/>
      </w:pPr>
    </w:lvl>
    <w:lvl w:ilvl="3" w:tentative="0">
      <w:start w:val="1"/>
      <w:numFmt w:val="decimal"/>
      <w:lvlText w:val="%4."/>
      <w:lvlJc w:val="left"/>
      <w:pPr>
        <w:ind w:left="2509" w:hanging="420"/>
      </w:pPr>
    </w:lvl>
    <w:lvl w:ilvl="4" w:tentative="0">
      <w:start w:val="1"/>
      <w:numFmt w:val="lowerLetter"/>
      <w:lvlText w:val="%5)"/>
      <w:lvlJc w:val="left"/>
      <w:pPr>
        <w:ind w:left="2929" w:hanging="420"/>
      </w:pPr>
    </w:lvl>
    <w:lvl w:ilvl="5" w:tentative="0">
      <w:start w:val="1"/>
      <w:numFmt w:val="lowerRoman"/>
      <w:lvlText w:val="%6."/>
      <w:lvlJc w:val="right"/>
      <w:pPr>
        <w:ind w:left="3349" w:hanging="420"/>
      </w:pPr>
    </w:lvl>
    <w:lvl w:ilvl="6" w:tentative="0">
      <w:start w:val="1"/>
      <w:numFmt w:val="decimal"/>
      <w:lvlText w:val="%7."/>
      <w:lvlJc w:val="left"/>
      <w:pPr>
        <w:ind w:left="3769" w:hanging="420"/>
      </w:pPr>
    </w:lvl>
    <w:lvl w:ilvl="7" w:tentative="0">
      <w:start w:val="1"/>
      <w:numFmt w:val="lowerLetter"/>
      <w:lvlText w:val="%8)"/>
      <w:lvlJc w:val="left"/>
      <w:pPr>
        <w:ind w:left="4189" w:hanging="420"/>
      </w:pPr>
    </w:lvl>
    <w:lvl w:ilvl="8" w:tentative="0">
      <w:start w:val="1"/>
      <w:numFmt w:val="lowerRoman"/>
      <w:lvlText w:val="%9."/>
      <w:lvlJc w:val="right"/>
      <w:pPr>
        <w:ind w:left="4609" w:hanging="420"/>
      </w:pPr>
    </w:lvl>
  </w:abstractNum>
  <w:abstractNum w:abstractNumId="32">
    <w:nsid w:val="7FA7A710"/>
    <w:multiLevelType w:val="multilevel"/>
    <w:tmpl w:val="7FA7A710"/>
    <w:lvl w:ilvl="0" w:tentative="0">
      <w:start w:val="1"/>
      <w:numFmt w:val="decimal"/>
      <w:suff w:val="space"/>
      <w:lvlText w:val="（%1）"/>
      <w:lvlJc w:val="left"/>
      <w:pPr>
        <w:ind w:left="1262" w:hanging="500"/>
      </w:pPr>
      <w:rPr>
        <w:rFonts w:hint="eastAsia"/>
      </w:rPr>
    </w:lvl>
    <w:lvl w:ilvl="1" w:tentative="0">
      <w:start w:val="1"/>
      <w:numFmt w:val="japaneseCounting"/>
      <w:lvlText w:val="（%2）"/>
      <w:lvlJc w:val="left"/>
      <w:pPr>
        <w:ind w:left="1562" w:hanging="720"/>
      </w:pPr>
      <w:rPr>
        <w:rFonts w:hint="eastAsia"/>
      </w:rPr>
    </w:lvl>
    <w:lvl w:ilvl="2" w:tentative="0">
      <w:start w:val="1"/>
      <w:numFmt w:val="lowerRoman"/>
      <w:lvlText w:val="%3."/>
      <w:lvlJc w:val="right"/>
      <w:pPr>
        <w:tabs>
          <w:tab w:val="left" w:pos="1682"/>
        </w:tabs>
        <w:ind w:left="1682" w:hanging="420"/>
      </w:pPr>
      <w:rPr>
        <w:rFonts w:hint="eastAsia"/>
      </w:rPr>
    </w:lvl>
    <w:lvl w:ilvl="3" w:tentative="0">
      <w:start w:val="1"/>
      <w:numFmt w:val="decimal"/>
      <w:lvlText w:val="%4."/>
      <w:lvlJc w:val="left"/>
      <w:pPr>
        <w:tabs>
          <w:tab w:val="left" w:pos="2102"/>
        </w:tabs>
        <w:ind w:left="2102" w:hanging="420"/>
      </w:pPr>
      <w:rPr>
        <w:rFonts w:hint="eastAsia"/>
      </w:rPr>
    </w:lvl>
    <w:lvl w:ilvl="4" w:tentative="0">
      <w:start w:val="1"/>
      <w:numFmt w:val="lowerLetter"/>
      <w:lvlText w:val="%5)"/>
      <w:lvlJc w:val="left"/>
      <w:pPr>
        <w:tabs>
          <w:tab w:val="left" w:pos="2522"/>
        </w:tabs>
        <w:ind w:left="2522" w:hanging="420"/>
      </w:pPr>
      <w:rPr>
        <w:rFonts w:hint="eastAsia"/>
      </w:rPr>
    </w:lvl>
    <w:lvl w:ilvl="5" w:tentative="0">
      <w:start w:val="1"/>
      <w:numFmt w:val="lowerRoman"/>
      <w:lvlText w:val="%6."/>
      <w:lvlJc w:val="right"/>
      <w:pPr>
        <w:tabs>
          <w:tab w:val="left" w:pos="2942"/>
        </w:tabs>
        <w:ind w:left="2942" w:hanging="420"/>
      </w:pPr>
      <w:rPr>
        <w:rFonts w:hint="eastAsia"/>
      </w:rPr>
    </w:lvl>
    <w:lvl w:ilvl="6" w:tentative="0">
      <w:start w:val="1"/>
      <w:numFmt w:val="decimal"/>
      <w:lvlText w:val="%7."/>
      <w:lvlJc w:val="left"/>
      <w:pPr>
        <w:tabs>
          <w:tab w:val="left" w:pos="3362"/>
        </w:tabs>
        <w:ind w:left="3362" w:hanging="420"/>
      </w:pPr>
      <w:rPr>
        <w:rFonts w:hint="eastAsia"/>
      </w:rPr>
    </w:lvl>
    <w:lvl w:ilvl="7" w:tentative="0">
      <w:start w:val="1"/>
      <w:numFmt w:val="lowerLetter"/>
      <w:lvlText w:val="%8)"/>
      <w:lvlJc w:val="left"/>
      <w:pPr>
        <w:tabs>
          <w:tab w:val="left" w:pos="3782"/>
        </w:tabs>
        <w:ind w:left="3782" w:hanging="420"/>
      </w:pPr>
      <w:rPr>
        <w:rFonts w:hint="eastAsia"/>
      </w:rPr>
    </w:lvl>
    <w:lvl w:ilvl="8" w:tentative="0">
      <w:start w:val="1"/>
      <w:numFmt w:val="lowerRoman"/>
      <w:lvlText w:val="%9."/>
      <w:lvlJc w:val="right"/>
      <w:pPr>
        <w:tabs>
          <w:tab w:val="left" w:pos="4202"/>
        </w:tabs>
        <w:ind w:left="4202" w:hanging="420"/>
      </w:pPr>
      <w:rPr>
        <w:rFonts w:hint="eastAsia"/>
      </w:rPr>
    </w:lvl>
  </w:abstractNum>
  <w:num w:numId="1">
    <w:abstractNumId w:val="22"/>
  </w:num>
  <w:num w:numId="2">
    <w:abstractNumId w:val="9"/>
  </w:num>
  <w:num w:numId="3">
    <w:abstractNumId w:val="10"/>
  </w:num>
  <w:num w:numId="4">
    <w:abstractNumId w:val="27"/>
  </w:num>
  <w:num w:numId="5">
    <w:abstractNumId w:val="17"/>
  </w:num>
  <w:num w:numId="6">
    <w:abstractNumId w:val="3"/>
  </w:num>
  <w:num w:numId="7">
    <w:abstractNumId w:val="20"/>
  </w:num>
  <w:num w:numId="8">
    <w:abstractNumId w:val="28"/>
  </w:num>
  <w:num w:numId="9">
    <w:abstractNumId w:val="4"/>
  </w:num>
  <w:num w:numId="10">
    <w:abstractNumId w:val="30"/>
  </w:num>
  <w:num w:numId="11">
    <w:abstractNumId w:val="16"/>
  </w:num>
  <w:num w:numId="12">
    <w:abstractNumId w:val="11"/>
  </w:num>
  <w:num w:numId="13">
    <w:abstractNumId w:val="14"/>
  </w:num>
  <w:num w:numId="14">
    <w:abstractNumId w:val="12"/>
  </w:num>
  <w:num w:numId="15">
    <w:abstractNumId w:val="29"/>
  </w:num>
  <w:num w:numId="16">
    <w:abstractNumId w:val="21"/>
  </w:num>
  <w:num w:numId="17">
    <w:abstractNumId w:val="0"/>
  </w:num>
  <w:num w:numId="18">
    <w:abstractNumId w:val="5"/>
  </w:num>
  <w:num w:numId="19">
    <w:abstractNumId w:val="6"/>
  </w:num>
  <w:num w:numId="20">
    <w:abstractNumId w:val="23"/>
  </w:num>
  <w:num w:numId="21">
    <w:abstractNumId w:val="24"/>
  </w:num>
  <w:num w:numId="22">
    <w:abstractNumId w:val="15"/>
  </w:num>
  <w:num w:numId="23">
    <w:abstractNumId w:val="13"/>
  </w:num>
  <w:num w:numId="24">
    <w:abstractNumId w:val="8"/>
  </w:num>
  <w:num w:numId="25">
    <w:abstractNumId w:val="31"/>
  </w:num>
  <w:num w:numId="26">
    <w:abstractNumId w:val="1"/>
  </w:num>
  <w:num w:numId="27">
    <w:abstractNumId w:val="7"/>
  </w:num>
  <w:num w:numId="28">
    <w:abstractNumId w:val="2"/>
  </w:num>
  <w:num w:numId="29">
    <w:abstractNumId w:val="18"/>
  </w:num>
  <w:num w:numId="30">
    <w:abstractNumId w:val="32"/>
  </w:num>
  <w:num w:numId="31">
    <w:abstractNumId w:val="19"/>
  </w:num>
  <w:num w:numId="32">
    <w:abstractNumId w:val="2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E56"/>
    <w:rsid w:val="0000396E"/>
    <w:rsid w:val="00004478"/>
    <w:rsid w:val="000151EB"/>
    <w:rsid w:val="00016EEC"/>
    <w:rsid w:val="000173D9"/>
    <w:rsid w:val="00023C95"/>
    <w:rsid w:val="00033EE6"/>
    <w:rsid w:val="000364DE"/>
    <w:rsid w:val="00036535"/>
    <w:rsid w:val="000371E8"/>
    <w:rsid w:val="00043628"/>
    <w:rsid w:val="000445EB"/>
    <w:rsid w:val="00050BD9"/>
    <w:rsid w:val="00053E49"/>
    <w:rsid w:val="000609C3"/>
    <w:rsid w:val="000633AF"/>
    <w:rsid w:val="00063A1A"/>
    <w:rsid w:val="0006711B"/>
    <w:rsid w:val="0006742A"/>
    <w:rsid w:val="00067A80"/>
    <w:rsid w:val="00067B76"/>
    <w:rsid w:val="00067D63"/>
    <w:rsid w:val="0007753E"/>
    <w:rsid w:val="0008108E"/>
    <w:rsid w:val="00081E48"/>
    <w:rsid w:val="00082EC3"/>
    <w:rsid w:val="000830BE"/>
    <w:rsid w:val="00090329"/>
    <w:rsid w:val="00091E58"/>
    <w:rsid w:val="000935E1"/>
    <w:rsid w:val="000965D6"/>
    <w:rsid w:val="00096A49"/>
    <w:rsid w:val="000A004E"/>
    <w:rsid w:val="000A26A0"/>
    <w:rsid w:val="000A435C"/>
    <w:rsid w:val="000A7899"/>
    <w:rsid w:val="000B0696"/>
    <w:rsid w:val="000B4B41"/>
    <w:rsid w:val="000B7C98"/>
    <w:rsid w:val="000C296B"/>
    <w:rsid w:val="000C314E"/>
    <w:rsid w:val="000C6DC1"/>
    <w:rsid w:val="000E5537"/>
    <w:rsid w:val="000E6224"/>
    <w:rsid w:val="000F0E31"/>
    <w:rsid w:val="00105E79"/>
    <w:rsid w:val="00107AC9"/>
    <w:rsid w:val="0011044A"/>
    <w:rsid w:val="0011283B"/>
    <w:rsid w:val="0011379D"/>
    <w:rsid w:val="001139B8"/>
    <w:rsid w:val="00114CF3"/>
    <w:rsid w:val="00117017"/>
    <w:rsid w:val="00117A55"/>
    <w:rsid w:val="001236DA"/>
    <w:rsid w:val="00127196"/>
    <w:rsid w:val="001307EB"/>
    <w:rsid w:val="00132FF2"/>
    <w:rsid w:val="00133266"/>
    <w:rsid w:val="00140949"/>
    <w:rsid w:val="00142410"/>
    <w:rsid w:val="001474A4"/>
    <w:rsid w:val="0015771E"/>
    <w:rsid w:val="001662B9"/>
    <w:rsid w:val="001706B6"/>
    <w:rsid w:val="001718EB"/>
    <w:rsid w:val="00171A77"/>
    <w:rsid w:val="00172A27"/>
    <w:rsid w:val="00172E8E"/>
    <w:rsid w:val="001874F8"/>
    <w:rsid w:val="00193FA2"/>
    <w:rsid w:val="0019665C"/>
    <w:rsid w:val="001A2705"/>
    <w:rsid w:val="001A3C11"/>
    <w:rsid w:val="001A7515"/>
    <w:rsid w:val="001B3D36"/>
    <w:rsid w:val="001B666B"/>
    <w:rsid w:val="001C25E6"/>
    <w:rsid w:val="001C2F85"/>
    <w:rsid w:val="001C4557"/>
    <w:rsid w:val="001C45D1"/>
    <w:rsid w:val="001C5282"/>
    <w:rsid w:val="001C6FFA"/>
    <w:rsid w:val="001D028B"/>
    <w:rsid w:val="001D08BF"/>
    <w:rsid w:val="001D0DE0"/>
    <w:rsid w:val="001E041C"/>
    <w:rsid w:val="001E07E0"/>
    <w:rsid w:val="001E12F2"/>
    <w:rsid w:val="001E1764"/>
    <w:rsid w:val="001E795F"/>
    <w:rsid w:val="001F136F"/>
    <w:rsid w:val="001F4AAA"/>
    <w:rsid w:val="001F6FCE"/>
    <w:rsid w:val="0020144A"/>
    <w:rsid w:val="00203299"/>
    <w:rsid w:val="00205FDC"/>
    <w:rsid w:val="0021373A"/>
    <w:rsid w:val="002161CA"/>
    <w:rsid w:val="002167B1"/>
    <w:rsid w:val="0022279E"/>
    <w:rsid w:val="00225A52"/>
    <w:rsid w:val="00244BE9"/>
    <w:rsid w:val="00252D74"/>
    <w:rsid w:val="00255979"/>
    <w:rsid w:val="00255D75"/>
    <w:rsid w:val="00260A47"/>
    <w:rsid w:val="0026130D"/>
    <w:rsid w:val="00261C5B"/>
    <w:rsid w:val="00262411"/>
    <w:rsid w:val="0026358D"/>
    <w:rsid w:val="0026551A"/>
    <w:rsid w:val="00271A3C"/>
    <w:rsid w:val="002734F1"/>
    <w:rsid w:val="00273D40"/>
    <w:rsid w:val="00280335"/>
    <w:rsid w:val="002808C4"/>
    <w:rsid w:val="002851C3"/>
    <w:rsid w:val="0029425B"/>
    <w:rsid w:val="00295DD6"/>
    <w:rsid w:val="002A0A4C"/>
    <w:rsid w:val="002A6597"/>
    <w:rsid w:val="002B243B"/>
    <w:rsid w:val="002B7F8B"/>
    <w:rsid w:val="002C2B43"/>
    <w:rsid w:val="002C378F"/>
    <w:rsid w:val="002C3E6B"/>
    <w:rsid w:val="002D3FEA"/>
    <w:rsid w:val="002D780C"/>
    <w:rsid w:val="002E3046"/>
    <w:rsid w:val="002E355E"/>
    <w:rsid w:val="002E4523"/>
    <w:rsid w:val="002E7540"/>
    <w:rsid w:val="002F5751"/>
    <w:rsid w:val="00301A3B"/>
    <w:rsid w:val="00312338"/>
    <w:rsid w:val="00315BED"/>
    <w:rsid w:val="003167FF"/>
    <w:rsid w:val="0032401F"/>
    <w:rsid w:val="00331D9C"/>
    <w:rsid w:val="0033728A"/>
    <w:rsid w:val="00340FBD"/>
    <w:rsid w:val="003458DD"/>
    <w:rsid w:val="00346FD6"/>
    <w:rsid w:val="00351F8A"/>
    <w:rsid w:val="0035269E"/>
    <w:rsid w:val="0035663D"/>
    <w:rsid w:val="003577F6"/>
    <w:rsid w:val="0036148F"/>
    <w:rsid w:val="00361C53"/>
    <w:rsid w:val="00364816"/>
    <w:rsid w:val="00365448"/>
    <w:rsid w:val="003654EE"/>
    <w:rsid w:val="00370339"/>
    <w:rsid w:val="00371116"/>
    <w:rsid w:val="0037302D"/>
    <w:rsid w:val="00373E7F"/>
    <w:rsid w:val="00375001"/>
    <w:rsid w:val="00375ECE"/>
    <w:rsid w:val="00376577"/>
    <w:rsid w:val="00377D84"/>
    <w:rsid w:val="00380738"/>
    <w:rsid w:val="0038119B"/>
    <w:rsid w:val="00383698"/>
    <w:rsid w:val="003846B2"/>
    <w:rsid w:val="00391928"/>
    <w:rsid w:val="003919E1"/>
    <w:rsid w:val="0039712F"/>
    <w:rsid w:val="00397E60"/>
    <w:rsid w:val="003A48E1"/>
    <w:rsid w:val="003B1E58"/>
    <w:rsid w:val="003B3663"/>
    <w:rsid w:val="003B61E7"/>
    <w:rsid w:val="003C6069"/>
    <w:rsid w:val="003D0F5F"/>
    <w:rsid w:val="003D4FE5"/>
    <w:rsid w:val="003D62AA"/>
    <w:rsid w:val="003E445D"/>
    <w:rsid w:val="003E4D6D"/>
    <w:rsid w:val="003E76A2"/>
    <w:rsid w:val="003F19B5"/>
    <w:rsid w:val="003F298D"/>
    <w:rsid w:val="004026CC"/>
    <w:rsid w:val="0040408A"/>
    <w:rsid w:val="00405292"/>
    <w:rsid w:val="004241E3"/>
    <w:rsid w:val="004278F1"/>
    <w:rsid w:val="004305D8"/>
    <w:rsid w:val="0043095A"/>
    <w:rsid w:val="00431055"/>
    <w:rsid w:val="00433B4B"/>
    <w:rsid w:val="00435133"/>
    <w:rsid w:val="00435A6B"/>
    <w:rsid w:val="00436E06"/>
    <w:rsid w:val="00437005"/>
    <w:rsid w:val="004423E4"/>
    <w:rsid w:val="00447069"/>
    <w:rsid w:val="00452D82"/>
    <w:rsid w:val="0045489E"/>
    <w:rsid w:val="0046312D"/>
    <w:rsid w:val="004652D2"/>
    <w:rsid w:val="00471CFD"/>
    <w:rsid w:val="00474574"/>
    <w:rsid w:val="00474F4A"/>
    <w:rsid w:val="00477D42"/>
    <w:rsid w:val="00482E77"/>
    <w:rsid w:val="004838CE"/>
    <w:rsid w:val="00495FF1"/>
    <w:rsid w:val="00496F01"/>
    <w:rsid w:val="0049712D"/>
    <w:rsid w:val="004A09F7"/>
    <w:rsid w:val="004A1324"/>
    <w:rsid w:val="004A2BF8"/>
    <w:rsid w:val="004A3F59"/>
    <w:rsid w:val="004B212A"/>
    <w:rsid w:val="004C21B0"/>
    <w:rsid w:val="004C27DC"/>
    <w:rsid w:val="004C7606"/>
    <w:rsid w:val="004D09F0"/>
    <w:rsid w:val="004D1FE1"/>
    <w:rsid w:val="004D3A76"/>
    <w:rsid w:val="004D4D0B"/>
    <w:rsid w:val="004E0815"/>
    <w:rsid w:val="004E4922"/>
    <w:rsid w:val="004F220B"/>
    <w:rsid w:val="004F29EC"/>
    <w:rsid w:val="004F2FE1"/>
    <w:rsid w:val="004F3A58"/>
    <w:rsid w:val="004F54AA"/>
    <w:rsid w:val="004F550E"/>
    <w:rsid w:val="004F653D"/>
    <w:rsid w:val="004F6A0E"/>
    <w:rsid w:val="004F7E52"/>
    <w:rsid w:val="00500F82"/>
    <w:rsid w:val="005014F3"/>
    <w:rsid w:val="00502F01"/>
    <w:rsid w:val="00507C39"/>
    <w:rsid w:val="0051341F"/>
    <w:rsid w:val="0052516E"/>
    <w:rsid w:val="00527F3E"/>
    <w:rsid w:val="00533BE4"/>
    <w:rsid w:val="00542801"/>
    <w:rsid w:val="0054542F"/>
    <w:rsid w:val="00546EA2"/>
    <w:rsid w:val="005508E3"/>
    <w:rsid w:val="005509D4"/>
    <w:rsid w:val="0055186A"/>
    <w:rsid w:val="00565B42"/>
    <w:rsid w:val="00566AEF"/>
    <w:rsid w:val="005722BD"/>
    <w:rsid w:val="00580624"/>
    <w:rsid w:val="005923FB"/>
    <w:rsid w:val="0059694F"/>
    <w:rsid w:val="005A1025"/>
    <w:rsid w:val="005A4087"/>
    <w:rsid w:val="005A6231"/>
    <w:rsid w:val="005B244A"/>
    <w:rsid w:val="005B2BA9"/>
    <w:rsid w:val="005B7C5B"/>
    <w:rsid w:val="005D3123"/>
    <w:rsid w:val="005E181F"/>
    <w:rsid w:val="005E32E6"/>
    <w:rsid w:val="005E58FE"/>
    <w:rsid w:val="005E6149"/>
    <w:rsid w:val="005F1537"/>
    <w:rsid w:val="005F4032"/>
    <w:rsid w:val="00600A3F"/>
    <w:rsid w:val="00606339"/>
    <w:rsid w:val="0061028D"/>
    <w:rsid w:val="00626290"/>
    <w:rsid w:val="006358C5"/>
    <w:rsid w:val="00646EED"/>
    <w:rsid w:val="006537DF"/>
    <w:rsid w:val="00655F16"/>
    <w:rsid w:val="006620F4"/>
    <w:rsid w:val="0066425D"/>
    <w:rsid w:val="0068001C"/>
    <w:rsid w:val="006802A2"/>
    <w:rsid w:val="006805E2"/>
    <w:rsid w:val="006907C1"/>
    <w:rsid w:val="006939FC"/>
    <w:rsid w:val="00697C01"/>
    <w:rsid w:val="006A1162"/>
    <w:rsid w:val="006A232A"/>
    <w:rsid w:val="006A50EE"/>
    <w:rsid w:val="006A5767"/>
    <w:rsid w:val="006B55CD"/>
    <w:rsid w:val="006B7E89"/>
    <w:rsid w:val="006C09BE"/>
    <w:rsid w:val="006C5EF1"/>
    <w:rsid w:val="006D3A10"/>
    <w:rsid w:val="006D64ED"/>
    <w:rsid w:val="006D753A"/>
    <w:rsid w:val="006E2A6C"/>
    <w:rsid w:val="006E3886"/>
    <w:rsid w:val="006F15FC"/>
    <w:rsid w:val="006F3E6E"/>
    <w:rsid w:val="006F57DA"/>
    <w:rsid w:val="00700A81"/>
    <w:rsid w:val="00700BC8"/>
    <w:rsid w:val="007031BD"/>
    <w:rsid w:val="0071174E"/>
    <w:rsid w:val="0071174F"/>
    <w:rsid w:val="0071519C"/>
    <w:rsid w:val="007175C4"/>
    <w:rsid w:val="00720826"/>
    <w:rsid w:val="007239AA"/>
    <w:rsid w:val="00723BA4"/>
    <w:rsid w:val="00725028"/>
    <w:rsid w:val="00733D2F"/>
    <w:rsid w:val="007347A8"/>
    <w:rsid w:val="00743BD1"/>
    <w:rsid w:val="0074483E"/>
    <w:rsid w:val="007524E0"/>
    <w:rsid w:val="007536BE"/>
    <w:rsid w:val="00753A3A"/>
    <w:rsid w:val="007704B1"/>
    <w:rsid w:val="00775D40"/>
    <w:rsid w:val="00781837"/>
    <w:rsid w:val="007823CF"/>
    <w:rsid w:val="00792D0A"/>
    <w:rsid w:val="0079652A"/>
    <w:rsid w:val="007A5F1C"/>
    <w:rsid w:val="007B1698"/>
    <w:rsid w:val="007B3090"/>
    <w:rsid w:val="007B494A"/>
    <w:rsid w:val="007C2124"/>
    <w:rsid w:val="007C2E59"/>
    <w:rsid w:val="007C467A"/>
    <w:rsid w:val="007C552C"/>
    <w:rsid w:val="007D2E7B"/>
    <w:rsid w:val="007D3403"/>
    <w:rsid w:val="007F5CA2"/>
    <w:rsid w:val="0080136F"/>
    <w:rsid w:val="00806699"/>
    <w:rsid w:val="008071F3"/>
    <w:rsid w:val="00807C1C"/>
    <w:rsid w:val="00811AE1"/>
    <w:rsid w:val="00817336"/>
    <w:rsid w:val="00821713"/>
    <w:rsid w:val="00822657"/>
    <w:rsid w:val="0082579B"/>
    <w:rsid w:val="008262D9"/>
    <w:rsid w:val="00827882"/>
    <w:rsid w:val="00831073"/>
    <w:rsid w:val="00837BD1"/>
    <w:rsid w:val="008404E2"/>
    <w:rsid w:val="00842155"/>
    <w:rsid w:val="0084612B"/>
    <w:rsid w:val="008464E3"/>
    <w:rsid w:val="008523D4"/>
    <w:rsid w:val="008561C8"/>
    <w:rsid w:val="00861E02"/>
    <w:rsid w:val="00863B15"/>
    <w:rsid w:val="00871CAD"/>
    <w:rsid w:val="00873832"/>
    <w:rsid w:val="0087486D"/>
    <w:rsid w:val="0087679D"/>
    <w:rsid w:val="00880F17"/>
    <w:rsid w:val="00882251"/>
    <w:rsid w:val="00885115"/>
    <w:rsid w:val="0089426F"/>
    <w:rsid w:val="008955FE"/>
    <w:rsid w:val="008A27A6"/>
    <w:rsid w:val="008A5AEE"/>
    <w:rsid w:val="008B365F"/>
    <w:rsid w:val="008B6064"/>
    <w:rsid w:val="008B6EF3"/>
    <w:rsid w:val="008C194F"/>
    <w:rsid w:val="008C4BC7"/>
    <w:rsid w:val="008C5680"/>
    <w:rsid w:val="008C597D"/>
    <w:rsid w:val="008D0582"/>
    <w:rsid w:val="008D3C24"/>
    <w:rsid w:val="008E1AD7"/>
    <w:rsid w:val="008E637C"/>
    <w:rsid w:val="008E69A5"/>
    <w:rsid w:val="008E78B2"/>
    <w:rsid w:val="008F0163"/>
    <w:rsid w:val="008F2E36"/>
    <w:rsid w:val="008F7D01"/>
    <w:rsid w:val="009072E5"/>
    <w:rsid w:val="00910F4C"/>
    <w:rsid w:val="00917B9E"/>
    <w:rsid w:val="00932BD4"/>
    <w:rsid w:val="0093363C"/>
    <w:rsid w:val="009353E2"/>
    <w:rsid w:val="0094139C"/>
    <w:rsid w:val="00941A54"/>
    <w:rsid w:val="009466FC"/>
    <w:rsid w:val="009506F2"/>
    <w:rsid w:val="009549FC"/>
    <w:rsid w:val="00962F89"/>
    <w:rsid w:val="00965BC4"/>
    <w:rsid w:val="00971B09"/>
    <w:rsid w:val="00975676"/>
    <w:rsid w:val="00980C0A"/>
    <w:rsid w:val="00993C1B"/>
    <w:rsid w:val="009979BB"/>
    <w:rsid w:val="009A44E2"/>
    <w:rsid w:val="009B23A7"/>
    <w:rsid w:val="009B2C10"/>
    <w:rsid w:val="009B3191"/>
    <w:rsid w:val="009B59D2"/>
    <w:rsid w:val="009B6111"/>
    <w:rsid w:val="009B6ABE"/>
    <w:rsid w:val="009C0E6D"/>
    <w:rsid w:val="009C1541"/>
    <w:rsid w:val="009C1567"/>
    <w:rsid w:val="009C28D9"/>
    <w:rsid w:val="009C2AD0"/>
    <w:rsid w:val="009C5693"/>
    <w:rsid w:val="009C5B37"/>
    <w:rsid w:val="009C67E9"/>
    <w:rsid w:val="009C797E"/>
    <w:rsid w:val="009D0543"/>
    <w:rsid w:val="009D0DDC"/>
    <w:rsid w:val="009D1220"/>
    <w:rsid w:val="009D25EA"/>
    <w:rsid w:val="009D6BEA"/>
    <w:rsid w:val="009D7429"/>
    <w:rsid w:val="009D7EFB"/>
    <w:rsid w:val="009E29F7"/>
    <w:rsid w:val="009E7994"/>
    <w:rsid w:val="009F206D"/>
    <w:rsid w:val="009F2D45"/>
    <w:rsid w:val="009F4908"/>
    <w:rsid w:val="009F4DB5"/>
    <w:rsid w:val="009F557F"/>
    <w:rsid w:val="009F5A1E"/>
    <w:rsid w:val="009F7C3A"/>
    <w:rsid w:val="00A00775"/>
    <w:rsid w:val="00A02ABC"/>
    <w:rsid w:val="00A04300"/>
    <w:rsid w:val="00A047AA"/>
    <w:rsid w:val="00A04A75"/>
    <w:rsid w:val="00A04F8F"/>
    <w:rsid w:val="00A10C7D"/>
    <w:rsid w:val="00A1343F"/>
    <w:rsid w:val="00A1608A"/>
    <w:rsid w:val="00A2501C"/>
    <w:rsid w:val="00A26143"/>
    <w:rsid w:val="00A33491"/>
    <w:rsid w:val="00A34D63"/>
    <w:rsid w:val="00A34F2B"/>
    <w:rsid w:val="00A50C08"/>
    <w:rsid w:val="00A616B9"/>
    <w:rsid w:val="00A64A15"/>
    <w:rsid w:val="00A702A9"/>
    <w:rsid w:val="00A70D13"/>
    <w:rsid w:val="00A8066B"/>
    <w:rsid w:val="00A92FFB"/>
    <w:rsid w:val="00A93FC0"/>
    <w:rsid w:val="00A94D98"/>
    <w:rsid w:val="00A979B6"/>
    <w:rsid w:val="00A97D06"/>
    <w:rsid w:val="00AA39B8"/>
    <w:rsid w:val="00AA410D"/>
    <w:rsid w:val="00AA6793"/>
    <w:rsid w:val="00AA7912"/>
    <w:rsid w:val="00AB16BF"/>
    <w:rsid w:val="00AB1E3E"/>
    <w:rsid w:val="00AC0163"/>
    <w:rsid w:val="00AD5656"/>
    <w:rsid w:val="00AD77EE"/>
    <w:rsid w:val="00AE0282"/>
    <w:rsid w:val="00AE1A20"/>
    <w:rsid w:val="00AE4E6E"/>
    <w:rsid w:val="00AE7573"/>
    <w:rsid w:val="00AF1CEF"/>
    <w:rsid w:val="00AF341D"/>
    <w:rsid w:val="00B0444C"/>
    <w:rsid w:val="00B057FD"/>
    <w:rsid w:val="00B12E13"/>
    <w:rsid w:val="00B14E38"/>
    <w:rsid w:val="00B20B52"/>
    <w:rsid w:val="00B234C2"/>
    <w:rsid w:val="00B27DD7"/>
    <w:rsid w:val="00B3356F"/>
    <w:rsid w:val="00B37DA5"/>
    <w:rsid w:val="00B454B4"/>
    <w:rsid w:val="00B46D44"/>
    <w:rsid w:val="00B51E27"/>
    <w:rsid w:val="00B53555"/>
    <w:rsid w:val="00B54952"/>
    <w:rsid w:val="00B6073A"/>
    <w:rsid w:val="00B63DF2"/>
    <w:rsid w:val="00B750BD"/>
    <w:rsid w:val="00B8103A"/>
    <w:rsid w:val="00B8293E"/>
    <w:rsid w:val="00B878F6"/>
    <w:rsid w:val="00B96E56"/>
    <w:rsid w:val="00BA1E0D"/>
    <w:rsid w:val="00BA577A"/>
    <w:rsid w:val="00BA5EF8"/>
    <w:rsid w:val="00BA64EB"/>
    <w:rsid w:val="00BB2521"/>
    <w:rsid w:val="00BB6771"/>
    <w:rsid w:val="00BB69B5"/>
    <w:rsid w:val="00BC13DA"/>
    <w:rsid w:val="00BC170D"/>
    <w:rsid w:val="00BC46F3"/>
    <w:rsid w:val="00BC7640"/>
    <w:rsid w:val="00BD2D21"/>
    <w:rsid w:val="00BD2F9C"/>
    <w:rsid w:val="00BE4640"/>
    <w:rsid w:val="00BF40B3"/>
    <w:rsid w:val="00C0019B"/>
    <w:rsid w:val="00C022FB"/>
    <w:rsid w:val="00C06B0F"/>
    <w:rsid w:val="00C06FB8"/>
    <w:rsid w:val="00C1372F"/>
    <w:rsid w:val="00C13CF4"/>
    <w:rsid w:val="00C146B3"/>
    <w:rsid w:val="00C15D7E"/>
    <w:rsid w:val="00C17F0A"/>
    <w:rsid w:val="00C20794"/>
    <w:rsid w:val="00C239C7"/>
    <w:rsid w:val="00C25A06"/>
    <w:rsid w:val="00C36642"/>
    <w:rsid w:val="00C3672B"/>
    <w:rsid w:val="00C36CB6"/>
    <w:rsid w:val="00C37ACA"/>
    <w:rsid w:val="00C4636D"/>
    <w:rsid w:val="00C51D76"/>
    <w:rsid w:val="00C568C3"/>
    <w:rsid w:val="00C60B2A"/>
    <w:rsid w:val="00C66B65"/>
    <w:rsid w:val="00C747A1"/>
    <w:rsid w:val="00C76B54"/>
    <w:rsid w:val="00C76F02"/>
    <w:rsid w:val="00C77147"/>
    <w:rsid w:val="00C77444"/>
    <w:rsid w:val="00C80386"/>
    <w:rsid w:val="00C81CE0"/>
    <w:rsid w:val="00C83733"/>
    <w:rsid w:val="00C867B3"/>
    <w:rsid w:val="00C86E79"/>
    <w:rsid w:val="00C90DED"/>
    <w:rsid w:val="00C95402"/>
    <w:rsid w:val="00C95E7A"/>
    <w:rsid w:val="00CA4188"/>
    <w:rsid w:val="00CA4F76"/>
    <w:rsid w:val="00CB01B5"/>
    <w:rsid w:val="00CB0EA4"/>
    <w:rsid w:val="00CB5D2B"/>
    <w:rsid w:val="00CB6394"/>
    <w:rsid w:val="00CC1307"/>
    <w:rsid w:val="00CC6586"/>
    <w:rsid w:val="00CC6EF9"/>
    <w:rsid w:val="00CC7090"/>
    <w:rsid w:val="00CC73A3"/>
    <w:rsid w:val="00CD0199"/>
    <w:rsid w:val="00CD4ED5"/>
    <w:rsid w:val="00CE368B"/>
    <w:rsid w:val="00CE577B"/>
    <w:rsid w:val="00CE70F7"/>
    <w:rsid w:val="00CE78DD"/>
    <w:rsid w:val="00CF4CC8"/>
    <w:rsid w:val="00CF599C"/>
    <w:rsid w:val="00CF7789"/>
    <w:rsid w:val="00D00228"/>
    <w:rsid w:val="00D01890"/>
    <w:rsid w:val="00D027DA"/>
    <w:rsid w:val="00D04E61"/>
    <w:rsid w:val="00D05FAF"/>
    <w:rsid w:val="00D11F79"/>
    <w:rsid w:val="00D1761F"/>
    <w:rsid w:val="00D20019"/>
    <w:rsid w:val="00D2195C"/>
    <w:rsid w:val="00D227EA"/>
    <w:rsid w:val="00D2534B"/>
    <w:rsid w:val="00D31DA9"/>
    <w:rsid w:val="00D34B9F"/>
    <w:rsid w:val="00D35E8E"/>
    <w:rsid w:val="00D45A26"/>
    <w:rsid w:val="00D53B5D"/>
    <w:rsid w:val="00D56CFE"/>
    <w:rsid w:val="00D61159"/>
    <w:rsid w:val="00D61F52"/>
    <w:rsid w:val="00D648E6"/>
    <w:rsid w:val="00D65057"/>
    <w:rsid w:val="00D71BDF"/>
    <w:rsid w:val="00D71F9C"/>
    <w:rsid w:val="00D755AB"/>
    <w:rsid w:val="00D84336"/>
    <w:rsid w:val="00D84704"/>
    <w:rsid w:val="00D854F1"/>
    <w:rsid w:val="00D86BE2"/>
    <w:rsid w:val="00DA2635"/>
    <w:rsid w:val="00DA3C6A"/>
    <w:rsid w:val="00DA4BCC"/>
    <w:rsid w:val="00DA6474"/>
    <w:rsid w:val="00DA692B"/>
    <w:rsid w:val="00DB00AB"/>
    <w:rsid w:val="00DB4F52"/>
    <w:rsid w:val="00DC2D9B"/>
    <w:rsid w:val="00DD1A81"/>
    <w:rsid w:val="00DE6EE2"/>
    <w:rsid w:val="00DE7222"/>
    <w:rsid w:val="00DF070C"/>
    <w:rsid w:val="00DF56AD"/>
    <w:rsid w:val="00DF5723"/>
    <w:rsid w:val="00DF5CA6"/>
    <w:rsid w:val="00DF6DB8"/>
    <w:rsid w:val="00E11B72"/>
    <w:rsid w:val="00E13354"/>
    <w:rsid w:val="00E169CF"/>
    <w:rsid w:val="00E16BA3"/>
    <w:rsid w:val="00E20040"/>
    <w:rsid w:val="00E23444"/>
    <w:rsid w:val="00E25909"/>
    <w:rsid w:val="00E260E6"/>
    <w:rsid w:val="00E26C1C"/>
    <w:rsid w:val="00E309C7"/>
    <w:rsid w:val="00E32D71"/>
    <w:rsid w:val="00E35E21"/>
    <w:rsid w:val="00E36B96"/>
    <w:rsid w:val="00E41D4E"/>
    <w:rsid w:val="00E431BC"/>
    <w:rsid w:val="00E438FF"/>
    <w:rsid w:val="00E43DC1"/>
    <w:rsid w:val="00E465CF"/>
    <w:rsid w:val="00E53419"/>
    <w:rsid w:val="00E53716"/>
    <w:rsid w:val="00E56245"/>
    <w:rsid w:val="00E568CF"/>
    <w:rsid w:val="00E57141"/>
    <w:rsid w:val="00E722CF"/>
    <w:rsid w:val="00E75E7B"/>
    <w:rsid w:val="00E76F26"/>
    <w:rsid w:val="00E82E0D"/>
    <w:rsid w:val="00E87542"/>
    <w:rsid w:val="00E901C8"/>
    <w:rsid w:val="00E91F49"/>
    <w:rsid w:val="00E94094"/>
    <w:rsid w:val="00E941BD"/>
    <w:rsid w:val="00E946B2"/>
    <w:rsid w:val="00E961E4"/>
    <w:rsid w:val="00EA1A35"/>
    <w:rsid w:val="00EA55DA"/>
    <w:rsid w:val="00EA7A40"/>
    <w:rsid w:val="00EB17DC"/>
    <w:rsid w:val="00EB250A"/>
    <w:rsid w:val="00EC17C5"/>
    <w:rsid w:val="00EC2793"/>
    <w:rsid w:val="00EC3353"/>
    <w:rsid w:val="00EC4FF2"/>
    <w:rsid w:val="00ED0811"/>
    <w:rsid w:val="00ED23D6"/>
    <w:rsid w:val="00EE0E6D"/>
    <w:rsid w:val="00EE1727"/>
    <w:rsid w:val="00EE39DF"/>
    <w:rsid w:val="00EE562D"/>
    <w:rsid w:val="00EE731D"/>
    <w:rsid w:val="00EF231F"/>
    <w:rsid w:val="00EF502F"/>
    <w:rsid w:val="00F0445F"/>
    <w:rsid w:val="00F057E6"/>
    <w:rsid w:val="00F10920"/>
    <w:rsid w:val="00F11557"/>
    <w:rsid w:val="00F13D50"/>
    <w:rsid w:val="00F1486C"/>
    <w:rsid w:val="00F16532"/>
    <w:rsid w:val="00F17641"/>
    <w:rsid w:val="00F20DC4"/>
    <w:rsid w:val="00F218D2"/>
    <w:rsid w:val="00F251D9"/>
    <w:rsid w:val="00F263DC"/>
    <w:rsid w:val="00F30A51"/>
    <w:rsid w:val="00F316CF"/>
    <w:rsid w:val="00F31A1F"/>
    <w:rsid w:val="00F32409"/>
    <w:rsid w:val="00F3248B"/>
    <w:rsid w:val="00F3307C"/>
    <w:rsid w:val="00F33F05"/>
    <w:rsid w:val="00F34BA4"/>
    <w:rsid w:val="00F4190A"/>
    <w:rsid w:val="00F42052"/>
    <w:rsid w:val="00F52982"/>
    <w:rsid w:val="00F52B2E"/>
    <w:rsid w:val="00F53CE7"/>
    <w:rsid w:val="00F548C4"/>
    <w:rsid w:val="00F572D9"/>
    <w:rsid w:val="00F64AA5"/>
    <w:rsid w:val="00F6671F"/>
    <w:rsid w:val="00F67079"/>
    <w:rsid w:val="00F67EAD"/>
    <w:rsid w:val="00F723A9"/>
    <w:rsid w:val="00F8405C"/>
    <w:rsid w:val="00F85542"/>
    <w:rsid w:val="00F86362"/>
    <w:rsid w:val="00F86D16"/>
    <w:rsid w:val="00F93265"/>
    <w:rsid w:val="00F93EFE"/>
    <w:rsid w:val="00F9732A"/>
    <w:rsid w:val="00FA1C44"/>
    <w:rsid w:val="00FA3B25"/>
    <w:rsid w:val="00FA62CE"/>
    <w:rsid w:val="00FC1946"/>
    <w:rsid w:val="00FC1A3E"/>
    <w:rsid w:val="00FC43EC"/>
    <w:rsid w:val="00FC6360"/>
    <w:rsid w:val="00FD18C8"/>
    <w:rsid w:val="00FD5426"/>
    <w:rsid w:val="00FD670F"/>
    <w:rsid w:val="00FE2BA1"/>
    <w:rsid w:val="00FE56AD"/>
    <w:rsid w:val="00FE6C7B"/>
    <w:rsid w:val="00FE6D09"/>
    <w:rsid w:val="00FF1637"/>
    <w:rsid w:val="00FF3F0D"/>
    <w:rsid w:val="00FF466A"/>
    <w:rsid w:val="01242C13"/>
    <w:rsid w:val="016256DF"/>
    <w:rsid w:val="016A18BB"/>
    <w:rsid w:val="016D4D19"/>
    <w:rsid w:val="0187281C"/>
    <w:rsid w:val="01A026F0"/>
    <w:rsid w:val="01CC4E24"/>
    <w:rsid w:val="01DD02FC"/>
    <w:rsid w:val="01F82439"/>
    <w:rsid w:val="01FB251A"/>
    <w:rsid w:val="02205968"/>
    <w:rsid w:val="023D593B"/>
    <w:rsid w:val="02932217"/>
    <w:rsid w:val="02C00B3F"/>
    <w:rsid w:val="030157A6"/>
    <w:rsid w:val="030E5D7E"/>
    <w:rsid w:val="0327091D"/>
    <w:rsid w:val="033F29FA"/>
    <w:rsid w:val="0341020B"/>
    <w:rsid w:val="036D35AE"/>
    <w:rsid w:val="036D78A7"/>
    <w:rsid w:val="038652C6"/>
    <w:rsid w:val="03936BB9"/>
    <w:rsid w:val="03A9328A"/>
    <w:rsid w:val="03E45DED"/>
    <w:rsid w:val="03FD4132"/>
    <w:rsid w:val="046532AA"/>
    <w:rsid w:val="04813A04"/>
    <w:rsid w:val="04EA1A83"/>
    <w:rsid w:val="04F067A7"/>
    <w:rsid w:val="04FC5702"/>
    <w:rsid w:val="05565F0A"/>
    <w:rsid w:val="05621266"/>
    <w:rsid w:val="05BA2FA5"/>
    <w:rsid w:val="05EB6CA2"/>
    <w:rsid w:val="06D74D2C"/>
    <w:rsid w:val="07272FEF"/>
    <w:rsid w:val="074178BB"/>
    <w:rsid w:val="07611FC2"/>
    <w:rsid w:val="076A2C0A"/>
    <w:rsid w:val="07810992"/>
    <w:rsid w:val="07835161"/>
    <w:rsid w:val="078828AD"/>
    <w:rsid w:val="07C66F31"/>
    <w:rsid w:val="07C766EF"/>
    <w:rsid w:val="07E3268D"/>
    <w:rsid w:val="07F6398C"/>
    <w:rsid w:val="080F5EFD"/>
    <w:rsid w:val="083612A8"/>
    <w:rsid w:val="08477D2E"/>
    <w:rsid w:val="08964594"/>
    <w:rsid w:val="08C67131"/>
    <w:rsid w:val="08DD1D65"/>
    <w:rsid w:val="09023E0B"/>
    <w:rsid w:val="09077801"/>
    <w:rsid w:val="094D3FF6"/>
    <w:rsid w:val="094E5EB9"/>
    <w:rsid w:val="09647A9E"/>
    <w:rsid w:val="09716587"/>
    <w:rsid w:val="09AB2883"/>
    <w:rsid w:val="09C23012"/>
    <w:rsid w:val="09C749C6"/>
    <w:rsid w:val="09EE47BE"/>
    <w:rsid w:val="0A1722C0"/>
    <w:rsid w:val="0A4E0677"/>
    <w:rsid w:val="0A690634"/>
    <w:rsid w:val="0AA350C7"/>
    <w:rsid w:val="0AB16EAD"/>
    <w:rsid w:val="0AB17370"/>
    <w:rsid w:val="0ADD7B50"/>
    <w:rsid w:val="0AE67C59"/>
    <w:rsid w:val="0AEB64A8"/>
    <w:rsid w:val="0AED3445"/>
    <w:rsid w:val="0AF52007"/>
    <w:rsid w:val="0B1F38E0"/>
    <w:rsid w:val="0B48684A"/>
    <w:rsid w:val="0B533B29"/>
    <w:rsid w:val="0B631A54"/>
    <w:rsid w:val="0BC07C7C"/>
    <w:rsid w:val="0BCD5995"/>
    <w:rsid w:val="0BD63511"/>
    <w:rsid w:val="0BE0144B"/>
    <w:rsid w:val="0BE10566"/>
    <w:rsid w:val="0BE61E2B"/>
    <w:rsid w:val="0C1D75DB"/>
    <w:rsid w:val="0C1E0675"/>
    <w:rsid w:val="0C3236E7"/>
    <w:rsid w:val="0C405070"/>
    <w:rsid w:val="0C424736"/>
    <w:rsid w:val="0C6D593D"/>
    <w:rsid w:val="0C6D71DA"/>
    <w:rsid w:val="0C7044F8"/>
    <w:rsid w:val="0CAE161A"/>
    <w:rsid w:val="0CD31EEE"/>
    <w:rsid w:val="0CDD43DE"/>
    <w:rsid w:val="0D286E92"/>
    <w:rsid w:val="0D3C4500"/>
    <w:rsid w:val="0D501A6F"/>
    <w:rsid w:val="0D5864B2"/>
    <w:rsid w:val="0D6A1AC0"/>
    <w:rsid w:val="0D9A0057"/>
    <w:rsid w:val="0DDA1302"/>
    <w:rsid w:val="0E061129"/>
    <w:rsid w:val="0E0C4108"/>
    <w:rsid w:val="0E60507D"/>
    <w:rsid w:val="0EAA475B"/>
    <w:rsid w:val="0F024C20"/>
    <w:rsid w:val="0F757D1B"/>
    <w:rsid w:val="0F8F1193"/>
    <w:rsid w:val="0FC10A69"/>
    <w:rsid w:val="0FD41F31"/>
    <w:rsid w:val="104B26C9"/>
    <w:rsid w:val="1051038C"/>
    <w:rsid w:val="106C6923"/>
    <w:rsid w:val="10740A78"/>
    <w:rsid w:val="1082485A"/>
    <w:rsid w:val="109C580E"/>
    <w:rsid w:val="10F378F4"/>
    <w:rsid w:val="10F55783"/>
    <w:rsid w:val="113B45F9"/>
    <w:rsid w:val="114306D4"/>
    <w:rsid w:val="11691495"/>
    <w:rsid w:val="117B2BEB"/>
    <w:rsid w:val="117F4E05"/>
    <w:rsid w:val="11B562D3"/>
    <w:rsid w:val="11B85B3D"/>
    <w:rsid w:val="122B0587"/>
    <w:rsid w:val="12707127"/>
    <w:rsid w:val="12A400B1"/>
    <w:rsid w:val="12EB69CE"/>
    <w:rsid w:val="130C0A61"/>
    <w:rsid w:val="1336499C"/>
    <w:rsid w:val="13465BC3"/>
    <w:rsid w:val="135D3D06"/>
    <w:rsid w:val="1379231B"/>
    <w:rsid w:val="138A011E"/>
    <w:rsid w:val="13904FC3"/>
    <w:rsid w:val="139A2101"/>
    <w:rsid w:val="139E5A9A"/>
    <w:rsid w:val="13BB084D"/>
    <w:rsid w:val="13CA1266"/>
    <w:rsid w:val="13DE5839"/>
    <w:rsid w:val="13E7220D"/>
    <w:rsid w:val="13E94203"/>
    <w:rsid w:val="13F15346"/>
    <w:rsid w:val="143E6E43"/>
    <w:rsid w:val="145B492E"/>
    <w:rsid w:val="14961447"/>
    <w:rsid w:val="14AF52CE"/>
    <w:rsid w:val="14C64A14"/>
    <w:rsid w:val="14F73362"/>
    <w:rsid w:val="15131366"/>
    <w:rsid w:val="15402644"/>
    <w:rsid w:val="15604361"/>
    <w:rsid w:val="157F0E3D"/>
    <w:rsid w:val="159B145F"/>
    <w:rsid w:val="15B55363"/>
    <w:rsid w:val="15C169AC"/>
    <w:rsid w:val="15CB2C75"/>
    <w:rsid w:val="16074E97"/>
    <w:rsid w:val="1619426B"/>
    <w:rsid w:val="167B1D71"/>
    <w:rsid w:val="16930926"/>
    <w:rsid w:val="16A50321"/>
    <w:rsid w:val="16A73276"/>
    <w:rsid w:val="1706134B"/>
    <w:rsid w:val="174556D7"/>
    <w:rsid w:val="18110CF1"/>
    <w:rsid w:val="18264209"/>
    <w:rsid w:val="18275DB1"/>
    <w:rsid w:val="18421138"/>
    <w:rsid w:val="18812545"/>
    <w:rsid w:val="188C4B97"/>
    <w:rsid w:val="188E3A61"/>
    <w:rsid w:val="18C1381A"/>
    <w:rsid w:val="18DB2036"/>
    <w:rsid w:val="18E86F26"/>
    <w:rsid w:val="19073136"/>
    <w:rsid w:val="190B01A6"/>
    <w:rsid w:val="194D74B2"/>
    <w:rsid w:val="197928F9"/>
    <w:rsid w:val="19A81572"/>
    <w:rsid w:val="19AC7816"/>
    <w:rsid w:val="19CF088F"/>
    <w:rsid w:val="19D27DA3"/>
    <w:rsid w:val="19D73E1B"/>
    <w:rsid w:val="19E26DAC"/>
    <w:rsid w:val="19FC4278"/>
    <w:rsid w:val="1A0471C1"/>
    <w:rsid w:val="1A3641C6"/>
    <w:rsid w:val="1A5F4013"/>
    <w:rsid w:val="1AB610DA"/>
    <w:rsid w:val="1AC6675E"/>
    <w:rsid w:val="1B322BEF"/>
    <w:rsid w:val="1B55025B"/>
    <w:rsid w:val="1B66033E"/>
    <w:rsid w:val="1B667055"/>
    <w:rsid w:val="1B8126E1"/>
    <w:rsid w:val="1BAF5235"/>
    <w:rsid w:val="1BC55301"/>
    <w:rsid w:val="1C155094"/>
    <w:rsid w:val="1C1E2754"/>
    <w:rsid w:val="1C225C02"/>
    <w:rsid w:val="1C35060B"/>
    <w:rsid w:val="1C577B84"/>
    <w:rsid w:val="1C66035F"/>
    <w:rsid w:val="1CA73842"/>
    <w:rsid w:val="1CF16D58"/>
    <w:rsid w:val="1D284E58"/>
    <w:rsid w:val="1D3D339A"/>
    <w:rsid w:val="1D767C76"/>
    <w:rsid w:val="1D82608E"/>
    <w:rsid w:val="1D8F2F1D"/>
    <w:rsid w:val="1DCA7323"/>
    <w:rsid w:val="1DE56388"/>
    <w:rsid w:val="1DE57CB9"/>
    <w:rsid w:val="1E2041F3"/>
    <w:rsid w:val="1E4644CC"/>
    <w:rsid w:val="1EA068A8"/>
    <w:rsid w:val="1F6A3BAE"/>
    <w:rsid w:val="1FA664C2"/>
    <w:rsid w:val="1FB3007D"/>
    <w:rsid w:val="1FC71FE9"/>
    <w:rsid w:val="1FC86FB2"/>
    <w:rsid w:val="1FD66431"/>
    <w:rsid w:val="1FEC4393"/>
    <w:rsid w:val="20017C8D"/>
    <w:rsid w:val="201A09DD"/>
    <w:rsid w:val="202251F5"/>
    <w:rsid w:val="20323B1D"/>
    <w:rsid w:val="2038115D"/>
    <w:rsid w:val="20710DB2"/>
    <w:rsid w:val="208B2BAF"/>
    <w:rsid w:val="208D5545"/>
    <w:rsid w:val="20B3436C"/>
    <w:rsid w:val="20D91FEB"/>
    <w:rsid w:val="20E24BE6"/>
    <w:rsid w:val="21102A69"/>
    <w:rsid w:val="211E47B1"/>
    <w:rsid w:val="213B0E23"/>
    <w:rsid w:val="21BF6859"/>
    <w:rsid w:val="21DB0BBB"/>
    <w:rsid w:val="21F34C0F"/>
    <w:rsid w:val="21FA6A9D"/>
    <w:rsid w:val="224C7E9B"/>
    <w:rsid w:val="2252254B"/>
    <w:rsid w:val="226F33EA"/>
    <w:rsid w:val="228B768D"/>
    <w:rsid w:val="228F6DE4"/>
    <w:rsid w:val="22AB618D"/>
    <w:rsid w:val="22B1623E"/>
    <w:rsid w:val="22B3482A"/>
    <w:rsid w:val="22E047E0"/>
    <w:rsid w:val="23061CAF"/>
    <w:rsid w:val="230963C7"/>
    <w:rsid w:val="2364534B"/>
    <w:rsid w:val="23671171"/>
    <w:rsid w:val="23737B15"/>
    <w:rsid w:val="23BC0851"/>
    <w:rsid w:val="23E82D0B"/>
    <w:rsid w:val="23FE2357"/>
    <w:rsid w:val="2428242E"/>
    <w:rsid w:val="24635DDC"/>
    <w:rsid w:val="2465744B"/>
    <w:rsid w:val="24B1643E"/>
    <w:rsid w:val="24B76603"/>
    <w:rsid w:val="24C63A20"/>
    <w:rsid w:val="24EE63D5"/>
    <w:rsid w:val="251F3280"/>
    <w:rsid w:val="25416241"/>
    <w:rsid w:val="25513544"/>
    <w:rsid w:val="25931026"/>
    <w:rsid w:val="25BC5CB5"/>
    <w:rsid w:val="26140373"/>
    <w:rsid w:val="26184951"/>
    <w:rsid w:val="266427D3"/>
    <w:rsid w:val="26657C3B"/>
    <w:rsid w:val="2675674A"/>
    <w:rsid w:val="267A03EE"/>
    <w:rsid w:val="26846979"/>
    <w:rsid w:val="268B606C"/>
    <w:rsid w:val="26B172D2"/>
    <w:rsid w:val="26C76032"/>
    <w:rsid w:val="27225ADA"/>
    <w:rsid w:val="27764507"/>
    <w:rsid w:val="277D202D"/>
    <w:rsid w:val="279050AE"/>
    <w:rsid w:val="280C2F29"/>
    <w:rsid w:val="28173165"/>
    <w:rsid w:val="28201098"/>
    <w:rsid w:val="287B3FD3"/>
    <w:rsid w:val="289F2FF8"/>
    <w:rsid w:val="28B30360"/>
    <w:rsid w:val="28B44E58"/>
    <w:rsid w:val="28CE5BDD"/>
    <w:rsid w:val="293E708B"/>
    <w:rsid w:val="29613246"/>
    <w:rsid w:val="297B4127"/>
    <w:rsid w:val="299F0980"/>
    <w:rsid w:val="29BB551D"/>
    <w:rsid w:val="29BD120F"/>
    <w:rsid w:val="29C769C8"/>
    <w:rsid w:val="29F07F56"/>
    <w:rsid w:val="29F36D30"/>
    <w:rsid w:val="29FD4C1C"/>
    <w:rsid w:val="2A1C03F0"/>
    <w:rsid w:val="2A3D0E7D"/>
    <w:rsid w:val="2A607229"/>
    <w:rsid w:val="2A8C0727"/>
    <w:rsid w:val="2ACF5A8C"/>
    <w:rsid w:val="2ADF4AAE"/>
    <w:rsid w:val="2AF51552"/>
    <w:rsid w:val="2AF93390"/>
    <w:rsid w:val="2B01079C"/>
    <w:rsid w:val="2B045B9F"/>
    <w:rsid w:val="2B1B20A5"/>
    <w:rsid w:val="2B2621F1"/>
    <w:rsid w:val="2B583839"/>
    <w:rsid w:val="2B833DCF"/>
    <w:rsid w:val="2B9C72A6"/>
    <w:rsid w:val="2BE32C44"/>
    <w:rsid w:val="2C113E5C"/>
    <w:rsid w:val="2C3B55B1"/>
    <w:rsid w:val="2C54591B"/>
    <w:rsid w:val="2C824AFC"/>
    <w:rsid w:val="2CB949F3"/>
    <w:rsid w:val="2CDB3EF0"/>
    <w:rsid w:val="2CEC37BF"/>
    <w:rsid w:val="2D400B80"/>
    <w:rsid w:val="2D595FCE"/>
    <w:rsid w:val="2D962D8D"/>
    <w:rsid w:val="2DA65AC5"/>
    <w:rsid w:val="2DC06006"/>
    <w:rsid w:val="2DD20B2E"/>
    <w:rsid w:val="2DDC0D17"/>
    <w:rsid w:val="2DE55AB4"/>
    <w:rsid w:val="2DFF3C8A"/>
    <w:rsid w:val="2E2A34C6"/>
    <w:rsid w:val="2EC069C3"/>
    <w:rsid w:val="2F235341"/>
    <w:rsid w:val="2F2850E4"/>
    <w:rsid w:val="2F461F77"/>
    <w:rsid w:val="2F6971AB"/>
    <w:rsid w:val="2F8310E0"/>
    <w:rsid w:val="2FA66A7B"/>
    <w:rsid w:val="2FAB4698"/>
    <w:rsid w:val="2FB475A5"/>
    <w:rsid w:val="2FB5127E"/>
    <w:rsid w:val="2FE23FCB"/>
    <w:rsid w:val="2FFB74E0"/>
    <w:rsid w:val="2FFC40A3"/>
    <w:rsid w:val="300D77D0"/>
    <w:rsid w:val="3015555F"/>
    <w:rsid w:val="30387810"/>
    <w:rsid w:val="30424923"/>
    <w:rsid w:val="30833B38"/>
    <w:rsid w:val="310D28FD"/>
    <w:rsid w:val="312622CD"/>
    <w:rsid w:val="315A11CA"/>
    <w:rsid w:val="31C132B8"/>
    <w:rsid w:val="31F65A58"/>
    <w:rsid w:val="321D78C4"/>
    <w:rsid w:val="32263C46"/>
    <w:rsid w:val="32274608"/>
    <w:rsid w:val="32435C17"/>
    <w:rsid w:val="32784320"/>
    <w:rsid w:val="32901F78"/>
    <w:rsid w:val="329234F1"/>
    <w:rsid w:val="32A457A0"/>
    <w:rsid w:val="332F25B4"/>
    <w:rsid w:val="3332198B"/>
    <w:rsid w:val="334603F1"/>
    <w:rsid w:val="334E3501"/>
    <w:rsid w:val="337A59AC"/>
    <w:rsid w:val="33972EF0"/>
    <w:rsid w:val="33A905FB"/>
    <w:rsid w:val="33C74D58"/>
    <w:rsid w:val="33F56325"/>
    <w:rsid w:val="341A06B8"/>
    <w:rsid w:val="34275A2B"/>
    <w:rsid w:val="34362916"/>
    <w:rsid w:val="34767713"/>
    <w:rsid w:val="34832720"/>
    <w:rsid w:val="34940253"/>
    <w:rsid w:val="349F4C0E"/>
    <w:rsid w:val="34A913BC"/>
    <w:rsid w:val="34B375D6"/>
    <w:rsid w:val="34C55302"/>
    <w:rsid w:val="3510699D"/>
    <w:rsid w:val="35553639"/>
    <w:rsid w:val="35852EE6"/>
    <w:rsid w:val="35BD2E40"/>
    <w:rsid w:val="35DE32EE"/>
    <w:rsid w:val="35F51B95"/>
    <w:rsid w:val="360E49A3"/>
    <w:rsid w:val="36301CAE"/>
    <w:rsid w:val="3635142A"/>
    <w:rsid w:val="363D262F"/>
    <w:rsid w:val="365168F9"/>
    <w:rsid w:val="36525ABC"/>
    <w:rsid w:val="366B14B6"/>
    <w:rsid w:val="366F6862"/>
    <w:rsid w:val="36772DA5"/>
    <w:rsid w:val="368D6CA0"/>
    <w:rsid w:val="36921819"/>
    <w:rsid w:val="36A24CBE"/>
    <w:rsid w:val="36BC7D30"/>
    <w:rsid w:val="36E32FD0"/>
    <w:rsid w:val="36E64758"/>
    <w:rsid w:val="36FB1EA4"/>
    <w:rsid w:val="370C3F8D"/>
    <w:rsid w:val="37322DC3"/>
    <w:rsid w:val="37543839"/>
    <w:rsid w:val="37585C03"/>
    <w:rsid w:val="37765B1B"/>
    <w:rsid w:val="37B71B23"/>
    <w:rsid w:val="37D86285"/>
    <w:rsid w:val="37EF25FC"/>
    <w:rsid w:val="37FB5683"/>
    <w:rsid w:val="37FFEE42"/>
    <w:rsid w:val="38134DDD"/>
    <w:rsid w:val="385A4302"/>
    <w:rsid w:val="38701C20"/>
    <w:rsid w:val="38771B66"/>
    <w:rsid w:val="388C7B83"/>
    <w:rsid w:val="38AB6509"/>
    <w:rsid w:val="38AD7D10"/>
    <w:rsid w:val="38C67BAB"/>
    <w:rsid w:val="38E746D7"/>
    <w:rsid w:val="3922196A"/>
    <w:rsid w:val="39243F17"/>
    <w:rsid w:val="394C66DD"/>
    <w:rsid w:val="395025C3"/>
    <w:rsid w:val="39764D37"/>
    <w:rsid w:val="39BA622F"/>
    <w:rsid w:val="3A681558"/>
    <w:rsid w:val="3A751F6D"/>
    <w:rsid w:val="3A7F3D59"/>
    <w:rsid w:val="3AA641C2"/>
    <w:rsid w:val="3AA92198"/>
    <w:rsid w:val="3AC74E78"/>
    <w:rsid w:val="3AD81DE4"/>
    <w:rsid w:val="3B191262"/>
    <w:rsid w:val="3B2136E4"/>
    <w:rsid w:val="3B3D0765"/>
    <w:rsid w:val="3B7F2FAD"/>
    <w:rsid w:val="3B802375"/>
    <w:rsid w:val="3BB13E90"/>
    <w:rsid w:val="3C0052F5"/>
    <w:rsid w:val="3C18288E"/>
    <w:rsid w:val="3C266052"/>
    <w:rsid w:val="3C39735A"/>
    <w:rsid w:val="3C4F6C2D"/>
    <w:rsid w:val="3CA40291"/>
    <w:rsid w:val="3CAF061D"/>
    <w:rsid w:val="3CC634F6"/>
    <w:rsid w:val="3CF658BE"/>
    <w:rsid w:val="3CFF7FF6"/>
    <w:rsid w:val="3D0E4546"/>
    <w:rsid w:val="3D1701B9"/>
    <w:rsid w:val="3D2364DC"/>
    <w:rsid w:val="3D3313E5"/>
    <w:rsid w:val="3D6C7658"/>
    <w:rsid w:val="3D77323B"/>
    <w:rsid w:val="3D7A2756"/>
    <w:rsid w:val="3D7D675C"/>
    <w:rsid w:val="3D9D0729"/>
    <w:rsid w:val="3DAC39CF"/>
    <w:rsid w:val="3DAE434A"/>
    <w:rsid w:val="3DCE3E6E"/>
    <w:rsid w:val="3DFD282F"/>
    <w:rsid w:val="3E23065E"/>
    <w:rsid w:val="3E234D34"/>
    <w:rsid w:val="3E3D0755"/>
    <w:rsid w:val="3E4B6981"/>
    <w:rsid w:val="3EBE084F"/>
    <w:rsid w:val="3EC32B74"/>
    <w:rsid w:val="3EC808E4"/>
    <w:rsid w:val="3EC93653"/>
    <w:rsid w:val="3ED92825"/>
    <w:rsid w:val="3EDB7087"/>
    <w:rsid w:val="3EF51D39"/>
    <w:rsid w:val="3F062266"/>
    <w:rsid w:val="3F326DBB"/>
    <w:rsid w:val="3F4E4B32"/>
    <w:rsid w:val="3F6B19BB"/>
    <w:rsid w:val="3F6D1F20"/>
    <w:rsid w:val="3F6F93C3"/>
    <w:rsid w:val="3F725212"/>
    <w:rsid w:val="3FDA1D33"/>
    <w:rsid w:val="3FE815EE"/>
    <w:rsid w:val="3FEEBA0F"/>
    <w:rsid w:val="3FF64F8C"/>
    <w:rsid w:val="40116816"/>
    <w:rsid w:val="404B3811"/>
    <w:rsid w:val="40D7501B"/>
    <w:rsid w:val="40DC05C4"/>
    <w:rsid w:val="40EC294D"/>
    <w:rsid w:val="412244B2"/>
    <w:rsid w:val="41265D6F"/>
    <w:rsid w:val="41567FFC"/>
    <w:rsid w:val="4196523F"/>
    <w:rsid w:val="419F3437"/>
    <w:rsid w:val="41B97030"/>
    <w:rsid w:val="42007BC3"/>
    <w:rsid w:val="422045C6"/>
    <w:rsid w:val="422723C1"/>
    <w:rsid w:val="42477F39"/>
    <w:rsid w:val="42A05D3F"/>
    <w:rsid w:val="42AC1AFD"/>
    <w:rsid w:val="42C80099"/>
    <w:rsid w:val="42D03DF9"/>
    <w:rsid w:val="430A1D0C"/>
    <w:rsid w:val="432675D2"/>
    <w:rsid w:val="43375D39"/>
    <w:rsid w:val="43445FDE"/>
    <w:rsid w:val="4351111A"/>
    <w:rsid w:val="436B36E5"/>
    <w:rsid w:val="437316D9"/>
    <w:rsid w:val="43804A43"/>
    <w:rsid w:val="43891467"/>
    <w:rsid w:val="43A05748"/>
    <w:rsid w:val="43CC7A27"/>
    <w:rsid w:val="43DC17D0"/>
    <w:rsid w:val="441060A4"/>
    <w:rsid w:val="44110F59"/>
    <w:rsid w:val="4451392E"/>
    <w:rsid w:val="445C25FF"/>
    <w:rsid w:val="446374FE"/>
    <w:rsid w:val="44897E3F"/>
    <w:rsid w:val="449A179A"/>
    <w:rsid w:val="44C12F00"/>
    <w:rsid w:val="45190951"/>
    <w:rsid w:val="45201CD0"/>
    <w:rsid w:val="453B4135"/>
    <w:rsid w:val="453B4205"/>
    <w:rsid w:val="45A95584"/>
    <w:rsid w:val="45C145B6"/>
    <w:rsid w:val="45FD6F20"/>
    <w:rsid w:val="46032B23"/>
    <w:rsid w:val="461934A2"/>
    <w:rsid w:val="467B1CF1"/>
    <w:rsid w:val="46A7086A"/>
    <w:rsid w:val="46B40B6B"/>
    <w:rsid w:val="46D64DD7"/>
    <w:rsid w:val="46F43BD9"/>
    <w:rsid w:val="47117E2F"/>
    <w:rsid w:val="472C3214"/>
    <w:rsid w:val="47557D6E"/>
    <w:rsid w:val="4799373F"/>
    <w:rsid w:val="47D331F9"/>
    <w:rsid w:val="480B11E1"/>
    <w:rsid w:val="48164085"/>
    <w:rsid w:val="481F4920"/>
    <w:rsid w:val="4886175C"/>
    <w:rsid w:val="48A279E5"/>
    <w:rsid w:val="490F1072"/>
    <w:rsid w:val="491A49DF"/>
    <w:rsid w:val="49281A50"/>
    <w:rsid w:val="493A34C3"/>
    <w:rsid w:val="496F7292"/>
    <w:rsid w:val="498745CA"/>
    <w:rsid w:val="499046CE"/>
    <w:rsid w:val="499A124C"/>
    <w:rsid w:val="49A565E2"/>
    <w:rsid w:val="49BB4DFF"/>
    <w:rsid w:val="49FE72B5"/>
    <w:rsid w:val="4A3648EC"/>
    <w:rsid w:val="4A7D65FE"/>
    <w:rsid w:val="4A8124A0"/>
    <w:rsid w:val="4A8204BA"/>
    <w:rsid w:val="4AAB7AF7"/>
    <w:rsid w:val="4ABA6312"/>
    <w:rsid w:val="4ACC60F0"/>
    <w:rsid w:val="4AE9143A"/>
    <w:rsid w:val="4B0C218E"/>
    <w:rsid w:val="4B3D4D2C"/>
    <w:rsid w:val="4B660844"/>
    <w:rsid w:val="4B8A588A"/>
    <w:rsid w:val="4B9F6483"/>
    <w:rsid w:val="4BB15C21"/>
    <w:rsid w:val="4BB24DCF"/>
    <w:rsid w:val="4C4268E3"/>
    <w:rsid w:val="4C543D8C"/>
    <w:rsid w:val="4C9D2F5D"/>
    <w:rsid w:val="4CAE3579"/>
    <w:rsid w:val="4CBD45F6"/>
    <w:rsid w:val="4CF6465A"/>
    <w:rsid w:val="4D1A1400"/>
    <w:rsid w:val="4D4F3090"/>
    <w:rsid w:val="4D5D6FBD"/>
    <w:rsid w:val="4DFB6235"/>
    <w:rsid w:val="4E3647CE"/>
    <w:rsid w:val="4E3653FD"/>
    <w:rsid w:val="4E473566"/>
    <w:rsid w:val="4E5972CA"/>
    <w:rsid w:val="4E6B74B7"/>
    <w:rsid w:val="4E8B47DA"/>
    <w:rsid w:val="4EA06212"/>
    <w:rsid w:val="4EA5389D"/>
    <w:rsid w:val="4EB733D6"/>
    <w:rsid w:val="4F0A1690"/>
    <w:rsid w:val="4F213A60"/>
    <w:rsid w:val="4F321DBF"/>
    <w:rsid w:val="4F4D1362"/>
    <w:rsid w:val="4F936CC6"/>
    <w:rsid w:val="501A6359"/>
    <w:rsid w:val="50345B34"/>
    <w:rsid w:val="505D7A63"/>
    <w:rsid w:val="506253FA"/>
    <w:rsid w:val="50697A27"/>
    <w:rsid w:val="50744D60"/>
    <w:rsid w:val="50803083"/>
    <w:rsid w:val="50AD68A1"/>
    <w:rsid w:val="50CE7F89"/>
    <w:rsid w:val="512C28A5"/>
    <w:rsid w:val="51360828"/>
    <w:rsid w:val="51431745"/>
    <w:rsid w:val="515C7595"/>
    <w:rsid w:val="51722F47"/>
    <w:rsid w:val="51E27A91"/>
    <w:rsid w:val="51EE28D9"/>
    <w:rsid w:val="51F46B32"/>
    <w:rsid w:val="523C2CD5"/>
    <w:rsid w:val="52435C07"/>
    <w:rsid w:val="524C3FFD"/>
    <w:rsid w:val="52612F1E"/>
    <w:rsid w:val="52756B57"/>
    <w:rsid w:val="52A36D3A"/>
    <w:rsid w:val="52B72CCB"/>
    <w:rsid w:val="52D363EF"/>
    <w:rsid w:val="53061753"/>
    <w:rsid w:val="531C6B04"/>
    <w:rsid w:val="53365130"/>
    <w:rsid w:val="535B7AFB"/>
    <w:rsid w:val="53662206"/>
    <w:rsid w:val="539B45D1"/>
    <w:rsid w:val="54554029"/>
    <w:rsid w:val="5459665D"/>
    <w:rsid w:val="54753D04"/>
    <w:rsid w:val="54757643"/>
    <w:rsid w:val="54A77D66"/>
    <w:rsid w:val="54B8031D"/>
    <w:rsid w:val="54DB1C81"/>
    <w:rsid w:val="550253CC"/>
    <w:rsid w:val="551D5901"/>
    <w:rsid w:val="5525025F"/>
    <w:rsid w:val="552B5799"/>
    <w:rsid w:val="555F4729"/>
    <w:rsid w:val="55787787"/>
    <w:rsid w:val="55BF392A"/>
    <w:rsid w:val="55C20764"/>
    <w:rsid w:val="55D903ED"/>
    <w:rsid w:val="55F9067B"/>
    <w:rsid w:val="562770B6"/>
    <w:rsid w:val="563E180B"/>
    <w:rsid w:val="567D2592"/>
    <w:rsid w:val="568D1ECF"/>
    <w:rsid w:val="56A81C1A"/>
    <w:rsid w:val="572A7F10"/>
    <w:rsid w:val="578B1394"/>
    <w:rsid w:val="57B62775"/>
    <w:rsid w:val="57D17F4B"/>
    <w:rsid w:val="57EC2FF4"/>
    <w:rsid w:val="57F934C0"/>
    <w:rsid w:val="58136CEE"/>
    <w:rsid w:val="58200B20"/>
    <w:rsid w:val="58277B4B"/>
    <w:rsid w:val="583F6838"/>
    <w:rsid w:val="58487AE6"/>
    <w:rsid w:val="58705F99"/>
    <w:rsid w:val="58951C97"/>
    <w:rsid w:val="58996D7C"/>
    <w:rsid w:val="58A53B75"/>
    <w:rsid w:val="58B0410D"/>
    <w:rsid w:val="58BB51DD"/>
    <w:rsid w:val="58C62C27"/>
    <w:rsid w:val="58C963C2"/>
    <w:rsid w:val="58CC2A45"/>
    <w:rsid w:val="58CE5813"/>
    <w:rsid w:val="58D004CB"/>
    <w:rsid w:val="58D20A6D"/>
    <w:rsid w:val="58FC5AEF"/>
    <w:rsid w:val="591E45BB"/>
    <w:rsid w:val="596379A9"/>
    <w:rsid w:val="597D0736"/>
    <w:rsid w:val="59D17D75"/>
    <w:rsid w:val="59D471D7"/>
    <w:rsid w:val="59F667CF"/>
    <w:rsid w:val="5A366F84"/>
    <w:rsid w:val="5A3F0176"/>
    <w:rsid w:val="5A617310"/>
    <w:rsid w:val="5A653033"/>
    <w:rsid w:val="5AB40303"/>
    <w:rsid w:val="5AE8322E"/>
    <w:rsid w:val="5B0D7295"/>
    <w:rsid w:val="5B206399"/>
    <w:rsid w:val="5B295819"/>
    <w:rsid w:val="5B356814"/>
    <w:rsid w:val="5B50446B"/>
    <w:rsid w:val="5B8B1199"/>
    <w:rsid w:val="5B9067AF"/>
    <w:rsid w:val="5BD133DF"/>
    <w:rsid w:val="5BD366A4"/>
    <w:rsid w:val="5BDE63C8"/>
    <w:rsid w:val="5BE670DE"/>
    <w:rsid w:val="5C394765"/>
    <w:rsid w:val="5C3E78DA"/>
    <w:rsid w:val="5C640E34"/>
    <w:rsid w:val="5C6D3417"/>
    <w:rsid w:val="5C9757F6"/>
    <w:rsid w:val="5CB308FE"/>
    <w:rsid w:val="5CC764D2"/>
    <w:rsid w:val="5CD42C60"/>
    <w:rsid w:val="5CF211BB"/>
    <w:rsid w:val="5CFC4FE6"/>
    <w:rsid w:val="5D65785A"/>
    <w:rsid w:val="5DF824F6"/>
    <w:rsid w:val="5E1F592C"/>
    <w:rsid w:val="5E721EDA"/>
    <w:rsid w:val="5EA972FA"/>
    <w:rsid w:val="5EF85881"/>
    <w:rsid w:val="5EFF0ED2"/>
    <w:rsid w:val="5F135FA2"/>
    <w:rsid w:val="5F6B5569"/>
    <w:rsid w:val="5FD73AA6"/>
    <w:rsid w:val="5FD85EAF"/>
    <w:rsid w:val="5FEF7708"/>
    <w:rsid w:val="60437A99"/>
    <w:rsid w:val="605549CA"/>
    <w:rsid w:val="605C13A4"/>
    <w:rsid w:val="608F1BD3"/>
    <w:rsid w:val="60FE726C"/>
    <w:rsid w:val="61001556"/>
    <w:rsid w:val="613B139B"/>
    <w:rsid w:val="61A166A7"/>
    <w:rsid w:val="61EC1B61"/>
    <w:rsid w:val="61F776E6"/>
    <w:rsid w:val="62461BBC"/>
    <w:rsid w:val="624C662E"/>
    <w:rsid w:val="625233F9"/>
    <w:rsid w:val="625A2D1C"/>
    <w:rsid w:val="628B5453"/>
    <w:rsid w:val="62983D63"/>
    <w:rsid w:val="62A071DE"/>
    <w:rsid w:val="62CE5926"/>
    <w:rsid w:val="62DF39AC"/>
    <w:rsid w:val="62EB6E69"/>
    <w:rsid w:val="6327610D"/>
    <w:rsid w:val="632920D9"/>
    <w:rsid w:val="637C620D"/>
    <w:rsid w:val="63AF2E7A"/>
    <w:rsid w:val="63B425DD"/>
    <w:rsid w:val="63E8515A"/>
    <w:rsid w:val="63FE569C"/>
    <w:rsid w:val="644E2285"/>
    <w:rsid w:val="647A1E52"/>
    <w:rsid w:val="64B0068F"/>
    <w:rsid w:val="64B0634B"/>
    <w:rsid w:val="64B21544"/>
    <w:rsid w:val="64C60289"/>
    <w:rsid w:val="65346DF3"/>
    <w:rsid w:val="656461C9"/>
    <w:rsid w:val="65691302"/>
    <w:rsid w:val="658F1D57"/>
    <w:rsid w:val="65AD379D"/>
    <w:rsid w:val="65D3571C"/>
    <w:rsid w:val="65DD0D4C"/>
    <w:rsid w:val="65E6167B"/>
    <w:rsid w:val="66110A05"/>
    <w:rsid w:val="66482D7B"/>
    <w:rsid w:val="664B5251"/>
    <w:rsid w:val="66B73913"/>
    <w:rsid w:val="67420658"/>
    <w:rsid w:val="675178A4"/>
    <w:rsid w:val="67A50830"/>
    <w:rsid w:val="680C1817"/>
    <w:rsid w:val="681215CC"/>
    <w:rsid w:val="68277033"/>
    <w:rsid w:val="68400AB2"/>
    <w:rsid w:val="68575E1F"/>
    <w:rsid w:val="68727968"/>
    <w:rsid w:val="68816CA0"/>
    <w:rsid w:val="689A44D2"/>
    <w:rsid w:val="68E47A64"/>
    <w:rsid w:val="68E94352"/>
    <w:rsid w:val="68F058E5"/>
    <w:rsid w:val="696778E1"/>
    <w:rsid w:val="696A2302"/>
    <w:rsid w:val="69781887"/>
    <w:rsid w:val="69945F1A"/>
    <w:rsid w:val="69C356D6"/>
    <w:rsid w:val="69D152E0"/>
    <w:rsid w:val="69DD1BB9"/>
    <w:rsid w:val="69DD6865"/>
    <w:rsid w:val="69FA296D"/>
    <w:rsid w:val="6A504C40"/>
    <w:rsid w:val="6A5F7EB4"/>
    <w:rsid w:val="6A6B6F57"/>
    <w:rsid w:val="6AD469CC"/>
    <w:rsid w:val="6B353BDC"/>
    <w:rsid w:val="6B6B6B68"/>
    <w:rsid w:val="6B703017"/>
    <w:rsid w:val="6B8428B4"/>
    <w:rsid w:val="6B8D5128"/>
    <w:rsid w:val="6BBE7AE0"/>
    <w:rsid w:val="6BCA73D5"/>
    <w:rsid w:val="6BFA20CE"/>
    <w:rsid w:val="6C267CEF"/>
    <w:rsid w:val="6C271424"/>
    <w:rsid w:val="6C5B1F54"/>
    <w:rsid w:val="6C9E3F84"/>
    <w:rsid w:val="6CCB2A5C"/>
    <w:rsid w:val="6CCE109B"/>
    <w:rsid w:val="6CE34825"/>
    <w:rsid w:val="6CE47F86"/>
    <w:rsid w:val="6CEF474A"/>
    <w:rsid w:val="6CEF5229"/>
    <w:rsid w:val="6D3A60CF"/>
    <w:rsid w:val="6D652811"/>
    <w:rsid w:val="6D725612"/>
    <w:rsid w:val="6D91263B"/>
    <w:rsid w:val="6D920F6F"/>
    <w:rsid w:val="6DEE462A"/>
    <w:rsid w:val="6DEF3963"/>
    <w:rsid w:val="6E2A322B"/>
    <w:rsid w:val="6E3379B4"/>
    <w:rsid w:val="6E35541C"/>
    <w:rsid w:val="6E3B178B"/>
    <w:rsid w:val="6E451788"/>
    <w:rsid w:val="6E541B46"/>
    <w:rsid w:val="6E672BB4"/>
    <w:rsid w:val="6EC553D5"/>
    <w:rsid w:val="6F01353F"/>
    <w:rsid w:val="6F074349"/>
    <w:rsid w:val="6FC844B0"/>
    <w:rsid w:val="6FC91D09"/>
    <w:rsid w:val="6FD97B3A"/>
    <w:rsid w:val="6FDC04A4"/>
    <w:rsid w:val="6FE1189F"/>
    <w:rsid w:val="6FEA3F10"/>
    <w:rsid w:val="700111D1"/>
    <w:rsid w:val="70027E80"/>
    <w:rsid w:val="70051475"/>
    <w:rsid w:val="70407F78"/>
    <w:rsid w:val="706A7177"/>
    <w:rsid w:val="70CE3CD6"/>
    <w:rsid w:val="70FE72FD"/>
    <w:rsid w:val="714E33F1"/>
    <w:rsid w:val="7176061E"/>
    <w:rsid w:val="718B2280"/>
    <w:rsid w:val="719822DB"/>
    <w:rsid w:val="71B20DD6"/>
    <w:rsid w:val="71B23F18"/>
    <w:rsid w:val="71D821BD"/>
    <w:rsid w:val="72025B2D"/>
    <w:rsid w:val="72046E4F"/>
    <w:rsid w:val="72270AAF"/>
    <w:rsid w:val="72655262"/>
    <w:rsid w:val="72F40F30"/>
    <w:rsid w:val="731A6169"/>
    <w:rsid w:val="73223DF1"/>
    <w:rsid w:val="738D0B84"/>
    <w:rsid w:val="73F22F80"/>
    <w:rsid w:val="74232A0F"/>
    <w:rsid w:val="742541F1"/>
    <w:rsid w:val="744F6468"/>
    <w:rsid w:val="74633D61"/>
    <w:rsid w:val="746E614B"/>
    <w:rsid w:val="746F110A"/>
    <w:rsid w:val="747D6599"/>
    <w:rsid w:val="74981804"/>
    <w:rsid w:val="74A62A32"/>
    <w:rsid w:val="74D235DB"/>
    <w:rsid w:val="74DA01CE"/>
    <w:rsid w:val="74E11CE7"/>
    <w:rsid w:val="74FC0B8F"/>
    <w:rsid w:val="75277577"/>
    <w:rsid w:val="75285984"/>
    <w:rsid w:val="757A24EA"/>
    <w:rsid w:val="759D1A7F"/>
    <w:rsid w:val="75E53387"/>
    <w:rsid w:val="76261D92"/>
    <w:rsid w:val="76277FE4"/>
    <w:rsid w:val="764346F2"/>
    <w:rsid w:val="76481535"/>
    <w:rsid w:val="76530D55"/>
    <w:rsid w:val="76555634"/>
    <w:rsid w:val="76580D2D"/>
    <w:rsid w:val="766905FD"/>
    <w:rsid w:val="767D23E7"/>
    <w:rsid w:val="768014A2"/>
    <w:rsid w:val="76976535"/>
    <w:rsid w:val="769B0408"/>
    <w:rsid w:val="77052BDB"/>
    <w:rsid w:val="77445FBB"/>
    <w:rsid w:val="7789492C"/>
    <w:rsid w:val="77A25449"/>
    <w:rsid w:val="77E85551"/>
    <w:rsid w:val="78346968"/>
    <w:rsid w:val="78380DBA"/>
    <w:rsid w:val="789C7AD2"/>
    <w:rsid w:val="78A7540C"/>
    <w:rsid w:val="78B275BF"/>
    <w:rsid w:val="78D665EA"/>
    <w:rsid w:val="78DD63D3"/>
    <w:rsid w:val="78E05ACF"/>
    <w:rsid w:val="78E9231B"/>
    <w:rsid w:val="791A21AC"/>
    <w:rsid w:val="791F2A74"/>
    <w:rsid w:val="79544A4E"/>
    <w:rsid w:val="79603A39"/>
    <w:rsid w:val="79647BD1"/>
    <w:rsid w:val="797A12D2"/>
    <w:rsid w:val="79821501"/>
    <w:rsid w:val="79915775"/>
    <w:rsid w:val="799D05BD"/>
    <w:rsid w:val="79A64908"/>
    <w:rsid w:val="79D17055"/>
    <w:rsid w:val="79E4367E"/>
    <w:rsid w:val="79E93CD4"/>
    <w:rsid w:val="7A064B4C"/>
    <w:rsid w:val="7A214D4A"/>
    <w:rsid w:val="7A516C25"/>
    <w:rsid w:val="7A9B02A0"/>
    <w:rsid w:val="7AD718AD"/>
    <w:rsid w:val="7B14516D"/>
    <w:rsid w:val="7B211138"/>
    <w:rsid w:val="7B817F6A"/>
    <w:rsid w:val="7BA072F8"/>
    <w:rsid w:val="7C3946D8"/>
    <w:rsid w:val="7C41114A"/>
    <w:rsid w:val="7C4116D4"/>
    <w:rsid w:val="7C563D89"/>
    <w:rsid w:val="7C5A528B"/>
    <w:rsid w:val="7C690D5F"/>
    <w:rsid w:val="7CA22801"/>
    <w:rsid w:val="7CA273D9"/>
    <w:rsid w:val="7CCE5944"/>
    <w:rsid w:val="7CDC662D"/>
    <w:rsid w:val="7CFB441D"/>
    <w:rsid w:val="7D766E9F"/>
    <w:rsid w:val="7DBC38D5"/>
    <w:rsid w:val="7DDE2123"/>
    <w:rsid w:val="7DE37724"/>
    <w:rsid w:val="7DEE0D61"/>
    <w:rsid w:val="7DFF4145"/>
    <w:rsid w:val="7E5A3003"/>
    <w:rsid w:val="7E73447D"/>
    <w:rsid w:val="7E9049B7"/>
    <w:rsid w:val="7E9535FA"/>
    <w:rsid w:val="7EA92BEA"/>
    <w:rsid w:val="7EC02D84"/>
    <w:rsid w:val="7EC363D0"/>
    <w:rsid w:val="7ECC33F8"/>
    <w:rsid w:val="7ECE2934"/>
    <w:rsid w:val="7EDC4765"/>
    <w:rsid w:val="7EE550A7"/>
    <w:rsid w:val="7F093C4D"/>
    <w:rsid w:val="7F181840"/>
    <w:rsid w:val="7F3CF557"/>
    <w:rsid w:val="7F914720"/>
    <w:rsid w:val="7F942DB0"/>
    <w:rsid w:val="7F9E763C"/>
    <w:rsid w:val="7FA2248A"/>
    <w:rsid w:val="7FA248A8"/>
    <w:rsid w:val="7FA808A3"/>
    <w:rsid w:val="7FB73304"/>
    <w:rsid w:val="AAF6D2F2"/>
    <w:rsid w:val="E5DD6A8C"/>
    <w:rsid w:val="F5FD751D"/>
    <w:rsid w:val="FBFD7108"/>
    <w:rsid w:val="FD9B3A12"/>
    <w:rsid w:val="FFBDB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rFonts w:eastAsia="Century Gothic"/>
      <w:b/>
      <w:bCs/>
      <w:kern w:val="44"/>
      <w:sz w:val="44"/>
      <w:szCs w:val="44"/>
    </w:rPr>
  </w:style>
  <w:style w:type="paragraph" w:styleId="3">
    <w:name w:val="heading 2"/>
    <w:basedOn w:val="1"/>
    <w:next w:val="4"/>
    <w:link w:val="57"/>
    <w:qFormat/>
    <w:uiPriority w:val="0"/>
    <w:pPr>
      <w:keepNext/>
      <w:keepLines/>
      <w:adjustRightInd w:val="0"/>
      <w:spacing w:before="260" w:after="260" w:line="415" w:lineRule="auto"/>
      <w:jc w:val="left"/>
      <w:outlineLvl w:val="1"/>
    </w:pPr>
    <w:rPr>
      <w:rFonts w:ascii="黑体" w:hAnsi="黑体" w:eastAsia="楷体"/>
      <w:b/>
      <w:bCs/>
      <w:sz w:val="32"/>
      <w:szCs w:val="32"/>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1"/>
    <w:link w:val="59"/>
    <w:qFormat/>
    <w:uiPriority w:val="0"/>
    <w:pPr>
      <w:keepNext/>
      <w:widowControl/>
      <w:jc w:val="center"/>
      <w:outlineLvl w:val="3"/>
    </w:pPr>
    <w:rPr>
      <w:rFonts w:ascii="MS Sans Serif" w:hAnsi="仿宋_GB2312" w:eastAsia="MS Sans Serif"/>
      <w:snapToGrid w:val="0"/>
      <w:kern w:val="0"/>
      <w:sz w:val="24"/>
      <w:szCs w:val="20"/>
    </w:rPr>
  </w:style>
  <w:style w:type="paragraph" w:styleId="7">
    <w:name w:val="heading 5"/>
    <w:basedOn w:val="1"/>
    <w:next w:val="1"/>
    <w:qFormat/>
    <w:uiPriority w:val="0"/>
    <w:pPr>
      <w:widowControl/>
      <w:spacing w:before="240" w:after="60"/>
      <w:jc w:val="left"/>
      <w:outlineLvl w:val="4"/>
    </w:pPr>
    <w:rPr>
      <w:rFonts w:ascii="MS Sans Serif" w:eastAsia="MS Sans Serif"/>
      <w:kern w:val="0"/>
      <w:sz w:val="24"/>
      <w:szCs w:val="20"/>
    </w:rPr>
  </w:style>
  <w:style w:type="paragraph" w:styleId="8">
    <w:name w:val="heading 6"/>
    <w:basedOn w:val="1"/>
    <w:next w:val="4"/>
    <w:qFormat/>
    <w:uiPriority w:val="0"/>
    <w:pPr>
      <w:keepNext/>
      <w:keepLines/>
      <w:spacing w:before="240" w:after="64" w:line="320" w:lineRule="auto"/>
      <w:outlineLvl w:val="5"/>
    </w:pPr>
    <w:rPr>
      <w:rFonts w:ascii="黑体" w:hAnsi="黑体" w:eastAsia="楷体"/>
      <w:b/>
      <w:sz w:val="24"/>
      <w:szCs w:val="20"/>
    </w:rPr>
  </w:style>
  <w:style w:type="paragraph" w:styleId="9">
    <w:name w:val="heading 7"/>
    <w:basedOn w:val="1"/>
    <w:next w:val="4"/>
    <w:qFormat/>
    <w:uiPriority w:val="0"/>
    <w:pPr>
      <w:keepNext/>
      <w:keepLines/>
      <w:spacing w:before="240" w:after="64" w:line="320" w:lineRule="auto"/>
      <w:outlineLvl w:val="6"/>
    </w:pPr>
    <w:rPr>
      <w:b/>
      <w:sz w:val="24"/>
      <w:szCs w:val="20"/>
    </w:rPr>
  </w:style>
  <w:style w:type="paragraph" w:styleId="10">
    <w:name w:val="heading 8"/>
    <w:basedOn w:val="1"/>
    <w:next w:val="4"/>
    <w:qFormat/>
    <w:uiPriority w:val="0"/>
    <w:pPr>
      <w:keepNext/>
      <w:keepLines/>
      <w:spacing w:before="240" w:after="64" w:line="320" w:lineRule="auto"/>
      <w:outlineLvl w:val="7"/>
    </w:pPr>
    <w:rPr>
      <w:rFonts w:ascii="黑体" w:hAnsi="黑体" w:eastAsia="楷体"/>
      <w:sz w:val="24"/>
      <w:szCs w:val="20"/>
    </w:rPr>
  </w:style>
  <w:style w:type="paragraph" w:styleId="11">
    <w:name w:val="heading 9"/>
    <w:basedOn w:val="1"/>
    <w:next w:val="4"/>
    <w:qFormat/>
    <w:uiPriority w:val="0"/>
    <w:pPr>
      <w:keepNext/>
      <w:keepLines/>
      <w:spacing w:before="240" w:after="64" w:line="320" w:lineRule="auto"/>
      <w:outlineLvl w:val="8"/>
    </w:pPr>
    <w:rPr>
      <w:rFonts w:ascii="黑体" w:hAnsi="黑体" w:eastAsia="楷体"/>
      <w:szCs w:val="20"/>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99"/>
    <w:pPr>
      <w:widowControl/>
      <w:ind w:firstLine="420"/>
      <w:jc w:val="left"/>
    </w:pPr>
    <w:rPr>
      <w:rFonts w:ascii="Arial" w:hAnsi="Arial" w:cs="Arial"/>
      <w:kern w:val="0"/>
      <w:sz w:val="20"/>
      <w:szCs w:val="20"/>
    </w:rPr>
  </w:style>
  <w:style w:type="paragraph" w:styleId="12">
    <w:name w:val="toc 7"/>
    <w:basedOn w:val="1"/>
    <w:next w:val="1"/>
    <w:semiHidden/>
    <w:qFormat/>
    <w:uiPriority w:val="0"/>
    <w:pPr>
      <w:ind w:left="1260"/>
      <w:jc w:val="left"/>
    </w:pPr>
    <w:rPr>
      <w:sz w:val="18"/>
      <w:szCs w:val="18"/>
    </w:rPr>
  </w:style>
  <w:style w:type="paragraph" w:styleId="13">
    <w:name w:val="List Number"/>
    <w:basedOn w:val="1"/>
    <w:qFormat/>
    <w:uiPriority w:val="0"/>
    <w:pPr>
      <w:numPr>
        <w:ilvl w:val="0"/>
        <w:numId w:val="1"/>
      </w:numPr>
    </w:pPr>
  </w:style>
  <w:style w:type="paragraph" w:styleId="14">
    <w:name w:val="caption"/>
    <w:basedOn w:val="1"/>
    <w:next w:val="1"/>
    <w:qFormat/>
    <w:uiPriority w:val="0"/>
    <w:rPr>
      <w:rFonts w:ascii="黑体" w:hAnsi="黑体" w:eastAsia="楷体" w:cs="黑体"/>
      <w:sz w:val="20"/>
      <w:szCs w:val="20"/>
    </w:rPr>
  </w:style>
  <w:style w:type="paragraph" w:styleId="15">
    <w:name w:val="List Bullet"/>
    <w:basedOn w:val="1"/>
    <w:qFormat/>
    <w:uiPriority w:val="0"/>
    <w:pPr>
      <w:numPr>
        <w:ilvl w:val="0"/>
        <w:numId w:val="2"/>
      </w:numPr>
    </w:pPr>
  </w:style>
  <w:style w:type="paragraph" w:styleId="16">
    <w:name w:val="Document Map"/>
    <w:basedOn w:val="1"/>
    <w:semiHidden/>
    <w:qFormat/>
    <w:uiPriority w:val="0"/>
    <w:pPr>
      <w:shd w:val="clear" w:color="auto" w:fill="000080"/>
    </w:pPr>
  </w:style>
  <w:style w:type="paragraph" w:styleId="17">
    <w:name w:val="annotation text"/>
    <w:basedOn w:val="1"/>
    <w:semiHidden/>
    <w:qFormat/>
    <w:uiPriority w:val="0"/>
    <w:pPr>
      <w:jc w:val="left"/>
    </w:pPr>
  </w:style>
  <w:style w:type="paragraph" w:styleId="18">
    <w:name w:val="index 6"/>
    <w:basedOn w:val="1"/>
    <w:next w:val="1"/>
    <w:qFormat/>
    <w:uiPriority w:val="0"/>
    <w:pPr>
      <w:ind w:left="1000" w:leftChars="1000"/>
    </w:pPr>
  </w:style>
  <w:style w:type="paragraph" w:styleId="19">
    <w:name w:val="Body Text"/>
    <w:basedOn w:val="1"/>
    <w:next w:val="20"/>
    <w:qFormat/>
    <w:uiPriority w:val="0"/>
    <w:pPr>
      <w:spacing w:after="120"/>
    </w:pPr>
  </w:style>
  <w:style w:type="paragraph" w:styleId="20">
    <w:name w:val="Body Text First Indent"/>
    <w:basedOn w:val="19"/>
    <w:next w:val="21"/>
    <w:qFormat/>
    <w:uiPriority w:val="0"/>
    <w:pPr>
      <w:ind w:firstLine="420"/>
    </w:pPr>
  </w:style>
  <w:style w:type="paragraph" w:styleId="21">
    <w:name w:val="toc 6"/>
    <w:basedOn w:val="1"/>
    <w:next w:val="1"/>
    <w:semiHidden/>
    <w:qFormat/>
    <w:uiPriority w:val="0"/>
    <w:pPr>
      <w:ind w:left="1050"/>
      <w:jc w:val="left"/>
    </w:pPr>
    <w:rPr>
      <w:sz w:val="18"/>
      <w:szCs w:val="18"/>
    </w:rPr>
  </w:style>
  <w:style w:type="paragraph" w:styleId="22">
    <w:name w:val="Body Text Indent"/>
    <w:basedOn w:val="1"/>
    <w:next w:val="1"/>
    <w:link w:val="60"/>
    <w:qFormat/>
    <w:uiPriority w:val="0"/>
    <w:pPr>
      <w:adjustRightInd w:val="0"/>
      <w:spacing w:line="360" w:lineRule="auto"/>
      <w:ind w:firstLine="490"/>
      <w:jc w:val="left"/>
    </w:pPr>
    <w:rPr>
      <w:rFonts w:ascii="Century Gothic" w:hAnsi="Century Gothic" w:eastAsia="Century Gothic"/>
      <w:sz w:val="24"/>
      <w:szCs w:val="20"/>
    </w:rPr>
  </w:style>
  <w:style w:type="paragraph" w:styleId="23">
    <w:name w:val="List Number 3"/>
    <w:basedOn w:val="1"/>
    <w:qFormat/>
    <w:uiPriority w:val="0"/>
    <w:pPr>
      <w:numPr>
        <w:ilvl w:val="0"/>
        <w:numId w:val="3"/>
      </w:numPr>
    </w:pPr>
  </w:style>
  <w:style w:type="paragraph" w:styleId="24">
    <w:name w:val="Block Text"/>
    <w:basedOn w:val="1"/>
    <w:qFormat/>
    <w:uiPriority w:val="0"/>
    <w:pPr>
      <w:adjustRightInd w:val="0"/>
      <w:snapToGrid w:val="0"/>
      <w:spacing w:line="300" w:lineRule="auto"/>
      <w:ind w:left="958" w:right="-120" w:rightChars="-120"/>
      <w:jc w:val="left"/>
    </w:pPr>
    <w:rPr>
      <w:rFonts w:hint="eastAsia" w:ascii="Century Gothic" w:hAnsi="Century Gothic"/>
      <w:sz w:val="28"/>
      <w:szCs w:val="20"/>
    </w:rPr>
  </w:style>
  <w:style w:type="paragraph" w:styleId="25">
    <w:name w:val="toc 5"/>
    <w:basedOn w:val="1"/>
    <w:next w:val="1"/>
    <w:semiHidden/>
    <w:qFormat/>
    <w:uiPriority w:val="0"/>
    <w:pPr>
      <w:ind w:left="840"/>
      <w:jc w:val="left"/>
    </w:pPr>
    <w:rPr>
      <w:sz w:val="18"/>
      <w:szCs w:val="18"/>
    </w:rPr>
  </w:style>
  <w:style w:type="paragraph" w:styleId="26">
    <w:name w:val="toc 3"/>
    <w:basedOn w:val="1"/>
    <w:next w:val="1"/>
    <w:semiHidden/>
    <w:qFormat/>
    <w:uiPriority w:val="0"/>
    <w:pPr>
      <w:ind w:left="420"/>
      <w:jc w:val="left"/>
    </w:pPr>
    <w:rPr>
      <w:i/>
      <w:iCs/>
      <w:sz w:val="20"/>
      <w:szCs w:val="20"/>
    </w:rPr>
  </w:style>
  <w:style w:type="paragraph" w:styleId="27">
    <w:name w:val="Plain Text"/>
    <w:basedOn w:val="1"/>
    <w:next w:val="28"/>
    <w:link w:val="61"/>
    <w:qFormat/>
    <w:uiPriority w:val="0"/>
    <w:rPr>
      <w:rFonts w:ascii="Century Gothic" w:hAnsi="楷体_GB2312" w:eastAsia="Century Gothic" w:cs="楷体_GB2312"/>
      <w:szCs w:val="21"/>
    </w:rPr>
  </w:style>
  <w:style w:type="paragraph" w:styleId="28">
    <w:name w:val="toc 2"/>
    <w:basedOn w:val="1"/>
    <w:next w:val="1"/>
    <w:qFormat/>
    <w:uiPriority w:val="39"/>
    <w:pPr>
      <w:tabs>
        <w:tab w:val="right" w:leader="dot" w:pos="8720"/>
      </w:tabs>
      <w:adjustRightInd w:val="0"/>
      <w:snapToGrid w:val="0"/>
      <w:jc w:val="left"/>
    </w:pPr>
    <w:rPr>
      <w:smallCaps/>
      <w:sz w:val="20"/>
      <w:szCs w:val="20"/>
    </w:rPr>
  </w:style>
  <w:style w:type="paragraph" w:styleId="29">
    <w:name w:val="toc 8"/>
    <w:basedOn w:val="1"/>
    <w:next w:val="1"/>
    <w:semiHidden/>
    <w:qFormat/>
    <w:uiPriority w:val="0"/>
    <w:pPr>
      <w:ind w:left="1470"/>
      <w:jc w:val="left"/>
    </w:pPr>
    <w:rPr>
      <w:sz w:val="18"/>
      <w:szCs w:val="18"/>
    </w:rPr>
  </w:style>
  <w:style w:type="paragraph" w:styleId="30">
    <w:name w:val="Date"/>
    <w:basedOn w:val="1"/>
    <w:next w:val="1"/>
    <w:qFormat/>
    <w:uiPriority w:val="0"/>
    <w:pPr>
      <w:ind w:left="100" w:leftChars="2500"/>
    </w:pPr>
  </w:style>
  <w:style w:type="paragraph" w:styleId="31">
    <w:name w:val="Body Text Indent 2"/>
    <w:basedOn w:val="1"/>
    <w:qFormat/>
    <w:uiPriority w:val="0"/>
    <w:pPr>
      <w:adjustRightInd w:val="0"/>
      <w:spacing w:line="360" w:lineRule="auto"/>
      <w:ind w:firstLine="504" w:firstLineChars="210"/>
      <w:jc w:val="left"/>
    </w:pPr>
    <w:rPr>
      <w:rFonts w:hint="eastAsia" w:ascii="Century Gothic" w:hAnsi="Century Gothic"/>
      <w:sz w:val="24"/>
      <w:szCs w:val="20"/>
    </w:rPr>
  </w:style>
  <w:style w:type="paragraph" w:styleId="32">
    <w:name w:val="Balloon Text"/>
    <w:basedOn w:val="1"/>
    <w:semiHidden/>
    <w:qFormat/>
    <w:uiPriority w:val="0"/>
    <w:rPr>
      <w:sz w:val="18"/>
      <w:szCs w:val="18"/>
    </w:rPr>
  </w:style>
  <w:style w:type="paragraph" w:styleId="33">
    <w:name w:val="footer"/>
    <w:basedOn w:val="1"/>
    <w:link w:val="62"/>
    <w:qFormat/>
    <w:uiPriority w:val="0"/>
    <w:pPr>
      <w:tabs>
        <w:tab w:val="center" w:pos="4153"/>
        <w:tab w:val="right" w:pos="8306"/>
      </w:tabs>
      <w:adjustRightInd w:val="0"/>
      <w:jc w:val="left"/>
    </w:pPr>
    <w:rPr>
      <w:rFonts w:eastAsia="Century Gothic"/>
      <w:sz w:val="18"/>
      <w:szCs w:val="20"/>
    </w:rPr>
  </w:style>
  <w:style w:type="paragraph" w:styleId="34">
    <w:name w:val="header"/>
    <w:basedOn w:val="1"/>
    <w:qFormat/>
    <w:uiPriority w:val="0"/>
    <w:pPr>
      <w:pBdr>
        <w:bottom w:val="single" w:color="auto" w:sz="6" w:space="1"/>
      </w:pBdr>
      <w:tabs>
        <w:tab w:val="center" w:pos="4153"/>
        <w:tab w:val="right" w:pos="8306"/>
      </w:tabs>
      <w:adjustRightInd w:val="0"/>
      <w:jc w:val="center"/>
    </w:pPr>
    <w:rPr>
      <w:sz w:val="18"/>
      <w:szCs w:val="20"/>
    </w:rPr>
  </w:style>
  <w:style w:type="paragraph" w:styleId="35">
    <w:name w:val="toc 1"/>
    <w:basedOn w:val="1"/>
    <w:next w:val="1"/>
    <w:qFormat/>
    <w:uiPriority w:val="39"/>
    <w:pPr>
      <w:tabs>
        <w:tab w:val="right" w:leader="dot" w:pos="8720"/>
      </w:tabs>
      <w:spacing w:before="120" w:after="120"/>
      <w:jc w:val="left"/>
    </w:pPr>
    <w:rPr>
      <w:rFonts w:ascii="Century Gothic" w:hAnsi="Century Gothic"/>
      <w:bCs/>
      <w:caps/>
      <w:sz w:val="20"/>
      <w:szCs w:val="20"/>
    </w:rPr>
  </w:style>
  <w:style w:type="paragraph" w:styleId="36">
    <w:name w:val="toc 4"/>
    <w:basedOn w:val="1"/>
    <w:next w:val="1"/>
    <w:semiHidden/>
    <w:qFormat/>
    <w:uiPriority w:val="0"/>
    <w:pPr>
      <w:ind w:left="630"/>
      <w:jc w:val="left"/>
    </w:pPr>
    <w:rPr>
      <w:sz w:val="18"/>
      <w:szCs w:val="18"/>
    </w:rPr>
  </w:style>
  <w:style w:type="paragraph" w:styleId="37">
    <w:name w:val="footnote text"/>
    <w:basedOn w:val="1"/>
    <w:next w:val="33"/>
    <w:unhideWhenUsed/>
    <w:qFormat/>
    <w:uiPriority w:val="99"/>
    <w:pPr>
      <w:widowControl/>
      <w:snapToGrid w:val="0"/>
      <w:ind w:firstLine="360"/>
    </w:pPr>
    <w:rPr>
      <w:rFonts w:ascii="Arial" w:hAnsi="Arial" w:eastAsia="华文仿宋"/>
      <w:kern w:val="0"/>
      <w:sz w:val="18"/>
      <w:szCs w:val="18"/>
      <w:lang w:eastAsia="en-US"/>
    </w:rPr>
  </w:style>
  <w:style w:type="paragraph" w:styleId="38">
    <w:name w:val="List 5"/>
    <w:basedOn w:val="1"/>
    <w:qFormat/>
    <w:uiPriority w:val="0"/>
    <w:pPr>
      <w:ind w:left="100" w:leftChars="800" w:hanging="200" w:hangingChars="200"/>
    </w:pPr>
    <w:rPr>
      <w:szCs w:val="20"/>
    </w:rPr>
  </w:style>
  <w:style w:type="paragraph" w:styleId="39">
    <w:name w:val="Body Text Indent 3"/>
    <w:basedOn w:val="1"/>
    <w:qFormat/>
    <w:uiPriority w:val="0"/>
    <w:pPr>
      <w:spacing w:after="120"/>
      <w:ind w:left="420" w:leftChars="200"/>
    </w:pPr>
    <w:rPr>
      <w:sz w:val="16"/>
      <w:szCs w:val="16"/>
    </w:rPr>
  </w:style>
  <w:style w:type="paragraph" w:styleId="40">
    <w:name w:val="toc 9"/>
    <w:basedOn w:val="1"/>
    <w:next w:val="1"/>
    <w:semiHidden/>
    <w:qFormat/>
    <w:uiPriority w:val="0"/>
    <w:pPr>
      <w:ind w:left="1680"/>
      <w:jc w:val="left"/>
    </w:pPr>
    <w:rPr>
      <w:sz w:val="18"/>
      <w:szCs w:val="18"/>
    </w:rPr>
  </w:style>
  <w:style w:type="paragraph" w:styleId="41">
    <w:name w:val="Body Text 2"/>
    <w:basedOn w:val="1"/>
    <w:qFormat/>
    <w:uiPriority w:val="0"/>
    <w:rPr>
      <w:sz w:val="24"/>
    </w:rPr>
  </w:style>
  <w:style w:type="paragraph" w:styleId="42">
    <w:name w:val="Normal (Web)"/>
    <w:basedOn w:val="1"/>
    <w:qFormat/>
    <w:uiPriority w:val="0"/>
    <w:pPr>
      <w:widowControl/>
      <w:shd w:val="clear" w:color="auto" w:fill="FFFFFF"/>
      <w:spacing w:before="100" w:beforeAutospacing="1" w:after="100" w:afterAutospacing="1"/>
      <w:jc w:val="left"/>
    </w:pPr>
    <w:rPr>
      <w:rFonts w:ascii="Century Gothic" w:hAnsi="Century Gothic"/>
      <w:kern w:val="0"/>
      <w:sz w:val="18"/>
      <w:szCs w:val="18"/>
    </w:rPr>
  </w:style>
  <w:style w:type="paragraph" w:styleId="43">
    <w:name w:val="Title"/>
    <w:basedOn w:val="1"/>
    <w:next w:val="1"/>
    <w:qFormat/>
    <w:uiPriority w:val="0"/>
    <w:pPr>
      <w:tabs>
        <w:tab w:val="left" w:pos="1200"/>
      </w:tabs>
      <w:spacing w:after="624" w:afterLines="200"/>
      <w:ind w:left="1440" w:hanging="720"/>
      <w:jc w:val="center"/>
    </w:pPr>
    <w:rPr>
      <w:b/>
      <w:bCs/>
      <w:spacing w:val="60"/>
      <w:sz w:val="32"/>
    </w:rPr>
  </w:style>
  <w:style w:type="paragraph" w:styleId="44">
    <w:name w:val="annotation subject"/>
    <w:basedOn w:val="17"/>
    <w:next w:val="17"/>
    <w:semiHidden/>
    <w:qFormat/>
    <w:uiPriority w:val="0"/>
    <w:rPr>
      <w:b/>
      <w:bCs/>
    </w:rPr>
  </w:style>
  <w:style w:type="paragraph" w:styleId="45">
    <w:name w:val="Body Text First Indent 2"/>
    <w:basedOn w:val="22"/>
    <w:next w:val="1"/>
    <w:qFormat/>
    <w:uiPriority w:val="99"/>
    <w:pPr>
      <w:ind w:firstLine="420" w:firstLineChars="200"/>
    </w:pPr>
  </w:style>
  <w:style w:type="table" w:styleId="47">
    <w:name w:val="Table Grid"/>
    <w:basedOn w:val="4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rFonts w:ascii="Times New Roman" w:hAnsi="Times New Roman" w:eastAsia="宋体" w:cs="Times New Roman"/>
      <w:b/>
    </w:rPr>
  </w:style>
  <w:style w:type="character" w:styleId="50">
    <w:name w:val="page number"/>
    <w:qFormat/>
    <w:uiPriority w:val="0"/>
    <w:rPr>
      <w:rFonts w:ascii="Times New Roman" w:hAnsi="Times New Roman" w:eastAsia="宋体" w:cs="Times New Roman"/>
    </w:rPr>
  </w:style>
  <w:style w:type="character" w:styleId="51">
    <w:name w:val="FollowedHyperlink"/>
    <w:qFormat/>
    <w:uiPriority w:val="0"/>
    <w:rPr>
      <w:rFonts w:ascii="Times New Roman" w:hAnsi="Times New Roman" w:eastAsia="宋体" w:cs="Times New Roman"/>
      <w:color w:val="800080"/>
      <w:u w:val="single"/>
    </w:rPr>
  </w:style>
  <w:style w:type="character" w:styleId="52">
    <w:name w:val="Hyperlink"/>
    <w:qFormat/>
    <w:uiPriority w:val="99"/>
    <w:rPr>
      <w:rFonts w:ascii="Times New Roman" w:hAnsi="Times New Roman" w:eastAsia="宋体" w:cs="Times New Roman"/>
      <w:color w:val="0000FF"/>
      <w:u w:val="single"/>
    </w:rPr>
  </w:style>
  <w:style w:type="character" w:styleId="53">
    <w:name w:val="annotation reference"/>
    <w:semiHidden/>
    <w:qFormat/>
    <w:uiPriority w:val="0"/>
    <w:rPr>
      <w:rFonts w:ascii="Times New Roman" w:hAnsi="Times New Roman" w:eastAsia="宋体" w:cs="Times New Roman"/>
      <w:sz w:val="21"/>
      <w:szCs w:val="21"/>
    </w:rPr>
  </w:style>
  <w:style w:type="character" w:styleId="54">
    <w:name w:val="HTML Sample"/>
    <w:qFormat/>
    <w:uiPriority w:val="0"/>
    <w:rPr>
      <w:rFonts w:ascii="Courier New" w:hAnsi="Courier New" w:eastAsia="宋体" w:cs="Times New Roman"/>
    </w:rPr>
  </w:style>
  <w:style w:type="paragraph" w:customStyle="1" w:styleId="55">
    <w:name w:val="表格文字"/>
    <w:basedOn w:val="27"/>
    <w:next w:val="19"/>
    <w:qFormat/>
    <w:uiPriority w:val="0"/>
    <w:rPr>
      <w:rFonts w:ascii="楷体_GB2312" w:hAnsi="宋体"/>
      <w:kern w:val="0"/>
    </w:rPr>
  </w:style>
  <w:style w:type="character" w:customStyle="1" w:styleId="56">
    <w:name w:val="标题 1 Char"/>
    <w:link w:val="2"/>
    <w:qFormat/>
    <w:uiPriority w:val="0"/>
    <w:rPr>
      <w:rFonts w:ascii="Times New Roman" w:hAnsi="Times New Roman" w:eastAsia="Century Gothic" w:cs="Times New Roman"/>
      <w:b/>
      <w:bCs/>
      <w:kern w:val="44"/>
      <w:sz w:val="44"/>
      <w:szCs w:val="44"/>
    </w:rPr>
  </w:style>
  <w:style w:type="character" w:customStyle="1" w:styleId="57">
    <w:name w:val="标题 2 Char"/>
    <w:link w:val="3"/>
    <w:qFormat/>
    <w:uiPriority w:val="9"/>
    <w:rPr>
      <w:rFonts w:ascii="黑体" w:hAnsi="黑体" w:eastAsia="楷体" w:cs="Times New Roman"/>
      <w:b/>
      <w:bCs/>
      <w:sz w:val="32"/>
      <w:szCs w:val="32"/>
    </w:rPr>
  </w:style>
  <w:style w:type="character" w:customStyle="1" w:styleId="58">
    <w:name w:val="正文缩进 Char"/>
    <w:link w:val="4"/>
    <w:qFormat/>
    <w:uiPriority w:val="0"/>
    <w:rPr>
      <w:rFonts w:ascii="Arial" w:hAnsi="Arial" w:eastAsia="宋体" w:cs="Arial"/>
      <w:kern w:val="0"/>
      <w:sz w:val="20"/>
      <w:szCs w:val="20"/>
    </w:rPr>
  </w:style>
  <w:style w:type="character" w:customStyle="1" w:styleId="59">
    <w:name w:val="标题 4 Char"/>
    <w:link w:val="6"/>
    <w:qFormat/>
    <w:uiPriority w:val="0"/>
    <w:rPr>
      <w:rFonts w:ascii="MS Sans Serif" w:hAnsi="仿宋_GB2312" w:eastAsia="MS Sans Serif" w:cs="Times New Roman"/>
      <w:snapToGrid w:val="0"/>
      <w:kern w:val="0"/>
      <w:sz w:val="24"/>
      <w:szCs w:val="20"/>
    </w:rPr>
  </w:style>
  <w:style w:type="character" w:customStyle="1" w:styleId="60">
    <w:name w:val="正文文本缩进 Char"/>
    <w:link w:val="22"/>
    <w:semiHidden/>
    <w:qFormat/>
    <w:uiPriority w:val="0"/>
    <w:rPr>
      <w:rFonts w:ascii="Century Gothic" w:hAnsi="Century Gothic" w:eastAsia="Century Gothic" w:cs="Times New Roman"/>
      <w:sz w:val="24"/>
      <w:szCs w:val="20"/>
    </w:rPr>
  </w:style>
  <w:style w:type="character" w:customStyle="1" w:styleId="61">
    <w:name w:val="纯文本 Char"/>
    <w:link w:val="27"/>
    <w:qFormat/>
    <w:uiPriority w:val="0"/>
    <w:rPr>
      <w:rFonts w:ascii="Century Gothic" w:hAnsi="楷体_GB2312" w:eastAsia="Century Gothic" w:cs="楷体_GB2312"/>
      <w:szCs w:val="21"/>
    </w:rPr>
  </w:style>
  <w:style w:type="character" w:customStyle="1" w:styleId="62">
    <w:name w:val="页脚 Char"/>
    <w:link w:val="33"/>
    <w:qFormat/>
    <w:uiPriority w:val="0"/>
    <w:rPr>
      <w:rFonts w:ascii="Times New Roman" w:hAnsi="Times New Roman" w:eastAsia="Century Gothic" w:cs="Times New Roman"/>
      <w:sz w:val="18"/>
      <w:szCs w:val="20"/>
    </w:rPr>
  </w:style>
  <w:style w:type="paragraph" w:customStyle="1" w:styleId="63">
    <w:name w:val="正文缩进1"/>
    <w:basedOn w:val="1"/>
    <w:qFormat/>
    <w:uiPriority w:val="0"/>
    <w:pPr>
      <w:widowControl/>
      <w:ind w:firstLine="420"/>
      <w:jc w:val="left"/>
    </w:pPr>
    <w:rPr>
      <w:kern w:val="0"/>
      <w:szCs w:val="20"/>
    </w:rPr>
  </w:style>
  <w:style w:type="paragraph" w:styleId="64">
    <w:name w:val="List Paragraph"/>
    <w:basedOn w:val="1"/>
    <w:qFormat/>
    <w:uiPriority w:val="0"/>
    <w:pPr>
      <w:ind w:firstLine="420" w:firstLineChars="200"/>
    </w:pPr>
  </w:style>
  <w:style w:type="paragraph" w:customStyle="1" w:styleId="65">
    <w:name w:val="样式 正文首行缩进 + 首行缩进:  1 字符"/>
    <w:basedOn w:val="20"/>
    <w:next w:val="15"/>
    <w:qFormat/>
    <w:uiPriority w:val="0"/>
    <w:pPr>
      <w:spacing w:after="40"/>
      <w:ind w:firstLine="200" w:firstLineChars="200"/>
    </w:pPr>
    <w:rPr>
      <w:rFonts w:eastAsia="隶书" w:cs="宋体"/>
      <w:shd w:val="clear" w:color="auto" w:fill="FFFFFF"/>
    </w:rPr>
  </w:style>
  <w:style w:type="character" w:customStyle="1" w:styleId="66">
    <w:name w:val="zbggmain style9"/>
    <w:qFormat/>
    <w:uiPriority w:val="0"/>
    <w:rPr>
      <w:rFonts w:ascii="Courier New" w:hAnsi="Times New Roman" w:eastAsia="Courier New" w:cs="Times New Roman"/>
      <w:b/>
      <w:kern w:val="2"/>
      <w:sz w:val="32"/>
      <w:szCs w:val="32"/>
      <w:lang w:val="en-US" w:eastAsia="zh-CN" w:bidi="ar-SA"/>
    </w:rPr>
  </w:style>
  <w:style w:type="character" w:customStyle="1" w:styleId="67">
    <w:name w:val="style1"/>
    <w:qFormat/>
    <w:uiPriority w:val="0"/>
    <w:rPr>
      <w:rFonts w:ascii="Times New Roman" w:hAnsi="Times New Roman" w:eastAsia="宋体" w:cs="Times New Roman"/>
    </w:rPr>
  </w:style>
  <w:style w:type="character" w:customStyle="1" w:styleId="68">
    <w:name w:val="font51"/>
    <w:qFormat/>
    <w:uiPriority w:val="0"/>
    <w:rPr>
      <w:rFonts w:hint="eastAsia" w:ascii="宋体" w:hAnsi="宋体" w:eastAsia="宋体" w:cs="宋体"/>
      <w:b/>
      <w:color w:val="FF0000"/>
      <w:sz w:val="16"/>
      <w:szCs w:val="16"/>
      <w:u w:val="none"/>
    </w:rPr>
  </w:style>
  <w:style w:type="character" w:customStyle="1" w:styleId="69">
    <w:name w:val="tpc_content1"/>
    <w:qFormat/>
    <w:uiPriority w:val="0"/>
    <w:rPr>
      <w:rFonts w:ascii="Times New Roman" w:hAnsi="Times New Roman" w:eastAsia="宋体" w:cs="Times New Roman"/>
      <w:sz w:val="20"/>
      <w:szCs w:val="20"/>
    </w:rPr>
  </w:style>
  <w:style w:type="character" w:customStyle="1" w:styleId="70">
    <w:name w:val="Char Char12"/>
    <w:qFormat/>
    <w:uiPriority w:val="0"/>
    <w:rPr>
      <w:rFonts w:ascii="Century Gothic" w:hAnsi="楷体_GB2312" w:eastAsia="Century Gothic" w:cs="楷体_GB2312"/>
      <w:kern w:val="2"/>
      <w:sz w:val="21"/>
      <w:szCs w:val="21"/>
      <w:lang w:val="en-US" w:eastAsia="zh-CN" w:bidi="ar-SA"/>
    </w:rPr>
  </w:style>
  <w:style w:type="character" w:customStyle="1" w:styleId="71">
    <w:name w:val="font11"/>
    <w:basedOn w:val="48"/>
    <w:qFormat/>
    <w:uiPriority w:val="0"/>
    <w:rPr>
      <w:rFonts w:hint="eastAsia" w:ascii="宋体" w:hAnsi="宋体" w:eastAsia="宋体" w:cs="宋体"/>
      <w:color w:val="000000"/>
      <w:sz w:val="16"/>
      <w:szCs w:val="16"/>
      <w:u w:val="none"/>
    </w:rPr>
  </w:style>
  <w:style w:type="character" w:customStyle="1" w:styleId="72">
    <w:name w:val="正文2 Char"/>
    <w:link w:val="73"/>
    <w:qFormat/>
    <w:uiPriority w:val="0"/>
    <w:rPr>
      <w:rFonts w:ascii="Times New Roman" w:hAnsi="Times New Roman" w:eastAsia="宋体" w:cs="Times New Roman"/>
      <w:sz w:val="24"/>
      <w:szCs w:val="20"/>
    </w:rPr>
  </w:style>
  <w:style w:type="paragraph" w:customStyle="1" w:styleId="73">
    <w:name w:val="正文2"/>
    <w:basedOn w:val="1"/>
    <w:link w:val="72"/>
    <w:qFormat/>
    <w:uiPriority w:val="0"/>
    <w:pPr>
      <w:spacing w:before="156" w:line="360" w:lineRule="auto"/>
      <w:ind w:firstLine="510" w:firstLineChars="200"/>
    </w:pPr>
    <w:rPr>
      <w:sz w:val="24"/>
      <w:szCs w:val="20"/>
    </w:rPr>
  </w:style>
  <w:style w:type="character" w:customStyle="1" w:styleId="74">
    <w:name w:val="标准文本 Char"/>
    <w:link w:val="75"/>
    <w:qFormat/>
    <w:uiPriority w:val="0"/>
    <w:rPr>
      <w:rFonts w:ascii="Times New Roman" w:hAnsi="Times New Roman" w:eastAsia="宋体" w:cs="宋体"/>
      <w:sz w:val="24"/>
      <w:szCs w:val="20"/>
    </w:rPr>
  </w:style>
  <w:style w:type="paragraph" w:customStyle="1" w:styleId="75">
    <w:name w:val="标准文本"/>
    <w:basedOn w:val="1"/>
    <w:link w:val="74"/>
    <w:qFormat/>
    <w:uiPriority w:val="0"/>
    <w:pPr>
      <w:spacing w:line="360" w:lineRule="auto"/>
      <w:ind w:firstLine="480" w:firstLineChars="200"/>
    </w:pPr>
    <w:rPr>
      <w:rFonts w:cs="宋体"/>
      <w:sz w:val="24"/>
      <w:szCs w:val="20"/>
    </w:rPr>
  </w:style>
  <w:style w:type="character" w:customStyle="1" w:styleId="76">
    <w:name w:val="font41"/>
    <w:basedOn w:val="48"/>
    <w:qFormat/>
    <w:uiPriority w:val="0"/>
    <w:rPr>
      <w:rFonts w:hint="eastAsia" w:ascii="宋体" w:hAnsi="宋体" w:eastAsia="宋体" w:cs="宋体"/>
      <w:b/>
      <w:color w:val="FF0000"/>
      <w:sz w:val="18"/>
      <w:szCs w:val="18"/>
      <w:u w:val="none"/>
    </w:rPr>
  </w:style>
  <w:style w:type="character" w:customStyle="1" w:styleId="77">
    <w:name w:val="普通文字 Char Char1"/>
    <w:qFormat/>
    <w:uiPriority w:val="0"/>
    <w:rPr>
      <w:rFonts w:ascii="Century Gothic" w:hAnsi="楷体_GB2312" w:eastAsia="Century Gothic" w:cs="楷体_GB2312"/>
      <w:kern w:val="2"/>
      <w:sz w:val="21"/>
      <w:szCs w:val="21"/>
      <w:lang w:val="en-US" w:eastAsia="zh-CN" w:bidi="ar-SA"/>
    </w:rPr>
  </w:style>
  <w:style w:type="character" w:customStyle="1" w:styleId="78">
    <w:name w:val="zbggtop11 style5"/>
    <w:qFormat/>
    <w:uiPriority w:val="0"/>
    <w:rPr>
      <w:rFonts w:ascii="Times New Roman" w:hAnsi="Times New Roman" w:eastAsia="宋体" w:cs="Times New Roman"/>
    </w:rPr>
  </w:style>
  <w:style w:type="character" w:customStyle="1" w:styleId="79">
    <w:name w:val="bulletintext1"/>
    <w:qFormat/>
    <w:uiPriority w:val="0"/>
    <w:rPr>
      <w:rFonts w:ascii="Times New Roman" w:hAnsi="Times New Roman" w:eastAsia="宋体" w:cs="Times New Roman"/>
      <w:color w:val="000000"/>
      <w:sz w:val="18"/>
    </w:rPr>
  </w:style>
  <w:style w:type="character" w:customStyle="1" w:styleId="80">
    <w:name w:val="Char Char"/>
    <w:qFormat/>
    <w:uiPriority w:val="0"/>
    <w:rPr>
      <w:rFonts w:ascii="Courier New" w:hAnsi="Times New Roman" w:eastAsia="Courier New" w:cs="Times New Roman"/>
      <w:color w:val="FF0000"/>
      <w:kern w:val="2"/>
      <w:sz w:val="24"/>
      <w:szCs w:val="24"/>
      <w:u w:val="single"/>
      <w:lang w:val="en-US" w:eastAsia="zh-CN" w:bidi="ar-SA"/>
    </w:rPr>
  </w:style>
  <w:style w:type="character" w:customStyle="1" w:styleId="81">
    <w:name w:val="font01"/>
    <w:qFormat/>
    <w:uiPriority w:val="0"/>
    <w:rPr>
      <w:rFonts w:hint="eastAsia" w:ascii="宋体" w:hAnsi="宋体" w:eastAsia="宋体" w:cs="宋体"/>
      <w:color w:val="000000"/>
      <w:sz w:val="18"/>
      <w:szCs w:val="18"/>
      <w:u w:val="none"/>
    </w:rPr>
  </w:style>
  <w:style w:type="character" w:customStyle="1" w:styleId="82">
    <w:name w:val="Char Char21"/>
    <w:qFormat/>
    <w:uiPriority w:val="0"/>
    <w:rPr>
      <w:rFonts w:ascii="Times New Roman" w:hAnsi="Times New Roman" w:eastAsia="Century Gothic" w:cs="Times New Roman"/>
      <w:b/>
      <w:bCs/>
      <w:kern w:val="44"/>
      <w:sz w:val="32"/>
      <w:szCs w:val="44"/>
      <w:lang w:val="en-US" w:eastAsia="zh-CN" w:bidi="ar-SA"/>
    </w:rPr>
  </w:style>
  <w:style w:type="character" w:customStyle="1" w:styleId="83">
    <w:name w:val="font61"/>
    <w:qFormat/>
    <w:uiPriority w:val="0"/>
    <w:rPr>
      <w:rFonts w:hint="eastAsia" w:ascii="宋体" w:hAnsi="宋体" w:eastAsia="宋体" w:cs="宋体"/>
      <w:color w:val="000000"/>
      <w:sz w:val="22"/>
      <w:szCs w:val="22"/>
      <w:u w:val="none"/>
    </w:rPr>
  </w:style>
  <w:style w:type="character" w:customStyle="1" w:styleId="84">
    <w:name w:val="font21"/>
    <w:basedOn w:val="48"/>
    <w:qFormat/>
    <w:uiPriority w:val="0"/>
    <w:rPr>
      <w:rFonts w:hint="eastAsia" w:ascii="宋体" w:hAnsi="宋体" w:eastAsia="宋体" w:cs="宋体"/>
      <w:color w:val="000000"/>
      <w:sz w:val="22"/>
      <w:szCs w:val="22"/>
      <w:u w:val="none"/>
    </w:rPr>
  </w:style>
  <w:style w:type="paragraph" w:customStyle="1" w:styleId="85">
    <w:name w:val="正文段"/>
    <w:basedOn w:val="1"/>
    <w:qFormat/>
    <w:uiPriority w:val="0"/>
    <w:pPr>
      <w:widowControl/>
      <w:snapToGrid w:val="0"/>
      <w:spacing w:after="156" w:afterLines="50"/>
      <w:ind w:firstLine="200" w:firstLineChars="200"/>
    </w:pPr>
    <w:rPr>
      <w:kern w:val="0"/>
      <w:sz w:val="24"/>
      <w:szCs w:val="20"/>
    </w:rPr>
  </w:style>
  <w:style w:type="paragraph" w:customStyle="1" w:styleId="86">
    <w:name w:val="Char3 Char Char Char"/>
    <w:basedOn w:val="1"/>
    <w:qFormat/>
    <w:uiPriority w:val="0"/>
    <w:pPr>
      <w:widowControl/>
      <w:spacing w:after="160" w:line="240" w:lineRule="exact"/>
      <w:jc w:val="left"/>
    </w:pPr>
    <w:rPr>
      <w:szCs w:val="20"/>
    </w:rPr>
  </w:style>
  <w:style w:type="paragraph" w:customStyle="1" w:styleId="87">
    <w:name w:val="节"/>
    <w:basedOn w:val="3"/>
    <w:qFormat/>
    <w:uiPriority w:val="0"/>
    <w:pPr>
      <w:adjustRightInd/>
      <w:spacing w:before="160" w:after="160" w:line="720" w:lineRule="exact"/>
      <w:jc w:val="center"/>
    </w:pPr>
    <w:rPr>
      <w:rFonts w:ascii="Arial" w:hAnsi="Arial"/>
      <w:b w:val="0"/>
      <w:color w:val="000000"/>
      <w:spacing w:val="14"/>
      <w:kern w:val="24"/>
      <w:sz w:val="28"/>
      <w:szCs w:val="20"/>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表头"/>
    <w:basedOn w:val="1"/>
    <w:qFormat/>
    <w:uiPriority w:val="0"/>
    <w:pPr>
      <w:adjustRightInd w:val="0"/>
      <w:spacing w:before="60" w:after="60" w:line="420" w:lineRule="atLeast"/>
      <w:jc w:val="left"/>
      <w:textAlignment w:val="baseline"/>
    </w:pPr>
    <w:rPr>
      <w:rFonts w:ascii="黑体" w:eastAsia="黑体"/>
      <w:b/>
      <w:kern w:val="0"/>
      <w:szCs w:val="20"/>
    </w:rPr>
  </w:style>
  <w:style w:type="paragraph" w:customStyle="1" w:styleId="90">
    <w:name w:val="font5"/>
    <w:basedOn w:val="1"/>
    <w:qFormat/>
    <w:uiPriority w:val="0"/>
    <w:pPr>
      <w:widowControl/>
      <w:spacing w:before="100" w:beforeAutospacing="1" w:after="100" w:afterAutospacing="1"/>
      <w:jc w:val="left"/>
    </w:pPr>
    <w:rPr>
      <w:rFonts w:ascii="Century Gothic" w:hAnsi="Century Gothic" w:cs="Century Gothic"/>
      <w:kern w:val="0"/>
      <w:sz w:val="18"/>
      <w:szCs w:val="18"/>
    </w:rPr>
  </w:style>
  <w:style w:type="paragraph" w:customStyle="1" w:styleId="91">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92">
    <w:name w:val="font6"/>
    <w:basedOn w:val="1"/>
    <w:qFormat/>
    <w:uiPriority w:val="0"/>
    <w:pPr>
      <w:widowControl/>
      <w:spacing w:before="100" w:beforeAutospacing="1" w:after="100" w:afterAutospacing="1"/>
      <w:jc w:val="left"/>
    </w:pPr>
    <w:rPr>
      <w:kern w:val="0"/>
      <w:sz w:val="18"/>
      <w:szCs w:val="18"/>
    </w:rPr>
  </w:style>
  <w:style w:type="paragraph" w:customStyle="1" w:styleId="93">
    <w:name w:val="标书标题4"/>
    <w:basedOn w:val="6"/>
    <w:qFormat/>
    <w:uiPriority w:val="0"/>
    <w:pPr>
      <w:widowControl w:val="0"/>
      <w:adjustRightInd w:val="0"/>
      <w:snapToGrid w:val="0"/>
      <w:spacing w:line="300" w:lineRule="auto"/>
      <w:jc w:val="both"/>
    </w:pPr>
    <w:rPr>
      <w:rFonts w:eastAsia="Courier New"/>
      <w:b/>
      <w:snapToGrid/>
      <w:color w:val="000000"/>
      <w:sz w:val="28"/>
      <w:szCs w:val="32"/>
    </w:rPr>
  </w:style>
  <w:style w:type="paragraph" w:customStyle="1" w:styleId="94">
    <w:name w:val="正文-模板"/>
    <w:qFormat/>
    <w:uiPriority w:val="0"/>
    <w:pPr>
      <w:ind w:firstLine="482"/>
      <w:jc w:val="both"/>
    </w:pPr>
    <w:rPr>
      <w:rFonts w:ascii="微软雅黑" w:hAnsi="微软雅黑" w:eastAsia="仿宋" w:cs="Cambria Math"/>
      <w:sz w:val="28"/>
      <w:lang w:val="en-US" w:eastAsia="zh-CN" w:bidi="ar-SA"/>
    </w:rPr>
  </w:style>
  <w:style w:type="paragraph" w:customStyle="1" w:styleId="95">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
    <w:name w:val="xl27"/>
    <w:basedOn w:val="1"/>
    <w:qFormat/>
    <w:uiPriority w:val="0"/>
    <w:pPr>
      <w:widowControl/>
      <w:pBdr>
        <w:bottom w:val="single" w:color="auto" w:sz="4" w:space="0"/>
      </w:pBdr>
      <w:spacing w:before="100" w:beforeAutospacing="1" w:after="100" w:afterAutospacing="1"/>
      <w:jc w:val="center"/>
      <w:textAlignment w:val="center"/>
    </w:pPr>
    <w:rPr>
      <w:rFonts w:ascii="Arial Narrow" w:hAnsi="Century Gothic" w:eastAsia="Arial Narrow" w:cs="Century Gothic"/>
      <w:kern w:val="0"/>
      <w:sz w:val="36"/>
      <w:szCs w:val="36"/>
    </w:rPr>
  </w:style>
  <w:style w:type="paragraph" w:customStyle="1" w:styleId="97">
    <w:name w:val="List Paragraph1"/>
    <w:basedOn w:val="1"/>
    <w:qFormat/>
    <w:uiPriority w:val="0"/>
    <w:pPr>
      <w:ind w:firstLine="420" w:firstLineChars="200"/>
    </w:pPr>
  </w:style>
  <w:style w:type="paragraph" w:customStyle="1" w:styleId="9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9">
    <w:name w:val="Char"/>
    <w:basedOn w:val="1"/>
    <w:qFormat/>
    <w:uiPriority w:val="0"/>
    <w:rPr>
      <w:rFonts w:ascii="Courier New" w:eastAsia="Courier New"/>
      <w:b/>
      <w:sz w:val="32"/>
      <w:szCs w:val="32"/>
    </w:rPr>
  </w:style>
  <w:style w:type="paragraph" w:customStyle="1" w:styleId="100">
    <w:name w:val="样式5"/>
    <w:basedOn w:val="6"/>
    <w:qFormat/>
    <w:uiPriority w:val="0"/>
    <w:pPr>
      <w:keepLines/>
      <w:widowControl w:val="0"/>
      <w:spacing w:before="280" w:after="290" w:line="376" w:lineRule="auto"/>
    </w:pPr>
    <w:rPr>
      <w:rFonts w:ascii="Century Gothic" w:hAnsi="Century Gothic" w:eastAsia="Century Gothic"/>
      <w:b/>
      <w:bCs/>
      <w:snapToGrid/>
      <w:kern w:val="2"/>
      <w:sz w:val="32"/>
      <w:szCs w:val="32"/>
    </w:rPr>
  </w:style>
  <w:style w:type="paragraph" w:customStyle="1" w:styleId="101">
    <w:name w:val="首行缩进"/>
    <w:basedOn w:val="1"/>
    <w:qFormat/>
    <w:uiPriority w:val="0"/>
    <w:pPr>
      <w:spacing w:line="360" w:lineRule="auto"/>
      <w:ind w:firstLine="480" w:firstLineChars="200"/>
    </w:pPr>
    <w:rPr>
      <w:rFonts w:ascii="宋体"/>
      <w:sz w:val="24"/>
      <w:szCs w:val="20"/>
    </w:rPr>
  </w:style>
  <w:style w:type="paragraph" w:customStyle="1" w:styleId="102">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03">
    <w:name w:val="_正文段落"/>
    <w:basedOn w:val="1"/>
    <w:qFormat/>
    <w:uiPriority w:val="99"/>
    <w:pPr>
      <w:spacing w:beforeLines="15" w:afterLines="15" w:line="360" w:lineRule="auto"/>
      <w:ind w:firstLine="200" w:firstLineChars="200"/>
    </w:pPr>
    <w:rPr>
      <w:kern w:val="0"/>
      <w:sz w:val="24"/>
      <w:lang w:val="zh-CN"/>
    </w:rPr>
  </w:style>
  <w:style w:type="paragraph" w:customStyle="1" w:styleId="104">
    <w:name w:val="标书标题3"/>
    <w:basedOn w:val="5"/>
    <w:qFormat/>
    <w:uiPriority w:val="0"/>
    <w:pPr>
      <w:keepLines w:val="0"/>
      <w:widowControl/>
      <w:adjustRightInd w:val="0"/>
      <w:snapToGrid w:val="0"/>
      <w:spacing w:before="120" w:after="60" w:line="300" w:lineRule="auto"/>
      <w:jc w:val="left"/>
    </w:pPr>
    <w:rPr>
      <w:rFonts w:eastAsia="Courier New"/>
      <w:b w:val="0"/>
      <w:bCs w:val="0"/>
      <w:color w:val="000000"/>
      <w:kern w:val="0"/>
      <w:sz w:val="28"/>
    </w:rPr>
  </w:style>
  <w:style w:type="paragraph" w:customStyle="1" w:styleId="105">
    <w:name w:val="_Style 1"/>
    <w:basedOn w:val="1"/>
    <w:qFormat/>
    <w:uiPriority w:val="0"/>
    <w:pPr>
      <w:ind w:firstLine="420" w:firstLineChars="200"/>
    </w:pPr>
  </w:style>
  <w:style w:type="paragraph" w:customStyle="1" w:styleId="106">
    <w:name w:val="列出段落11"/>
    <w:basedOn w:val="1"/>
    <w:qFormat/>
    <w:uiPriority w:val="0"/>
    <w:pPr>
      <w:ind w:firstLine="420" w:firstLineChars="200"/>
    </w:pPr>
    <w:rPr>
      <w:rFonts w:ascii="Calibri" w:hAnsi="Calibri" w:cs="黑体"/>
    </w:rPr>
  </w:style>
  <w:style w:type="paragraph" w:customStyle="1" w:styleId="107">
    <w:name w:val="DAS正文"/>
    <w:basedOn w:val="1"/>
    <w:qFormat/>
    <w:uiPriority w:val="0"/>
    <w:pPr>
      <w:spacing w:line="360" w:lineRule="auto"/>
      <w:ind w:right="181" w:firstLine="480" w:firstLineChars="200"/>
    </w:pPr>
    <w:rPr>
      <w:rFonts w:ascii="Verdana" w:hAnsi="Verdana"/>
      <w:sz w:val="24"/>
    </w:rPr>
  </w:style>
  <w:style w:type="paragraph" w:customStyle="1" w:styleId="108">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09">
    <w:name w:val="列表段落1"/>
    <w:basedOn w:val="1"/>
    <w:qFormat/>
    <w:uiPriority w:val="34"/>
    <w:pPr>
      <w:ind w:firstLine="420" w:firstLineChars="200"/>
    </w:pPr>
  </w:style>
  <w:style w:type="paragraph" w:customStyle="1" w:styleId="110">
    <w:name w:val="frzy正文"/>
    <w:basedOn w:val="1"/>
    <w:qFormat/>
    <w:uiPriority w:val="0"/>
    <w:pPr>
      <w:spacing w:line="360" w:lineRule="auto"/>
      <w:ind w:firstLine="480" w:firstLineChars="200"/>
    </w:pPr>
    <w:rPr>
      <w:rFonts w:ascii="微软雅黑" w:hAnsi="微软雅黑" w:cs="微软雅黑"/>
      <w:kern w:val="0"/>
      <w:sz w:val="24"/>
    </w:rPr>
  </w:style>
  <w:style w:type="paragraph" w:customStyle="1" w:styleId="111">
    <w:name w:val="正文文本 21"/>
    <w:basedOn w:val="1"/>
    <w:qFormat/>
    <w:uiPriority w:val="0"/>
    <w:pPr>
      <w:adjustRightInd w:val="0"/>
      <w:spacing w:line="300" w:lineRule="auto"/>
      <w:jc w:val="center"/>
    </w:pPr>
    <w:rPr>
      <w:rFonts w:hint="eastAsia" w:ascii="Century Gothic" w:hAnsi="Century Gothic"/>
      <w:sz w:val="24"/>
      <w:szCs w:val="20"/>
    </w:rPr>
  </w:style>
  <w:style w:type="paragraph" w:customStyle="1" w:styleId="112">
    <w:name w:val="Char2"/>
    <w:basedOn w:val="1"/>
    <w:qFormat/>
    <w:uiPriority w:val="0"/>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14">
    <w:name w:val="_正文"/>
    <w:basedOn w:val="1"/>
    <w:qFormat/>
    <w:uiPriority w:val="0"/>
    <w:pPr>
      <w:adjustRightInd w:val="0"/>
      <w:snapToGrid w:val="0"/>
      <w:ind w:firstLine="200" w:firstLineChars="200"/>
    </w:pPr>
  </w:style>
  <w:style w:type="paragraph" w:customStyle="1" w:styleId="11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楷体_GB2312" w:hAnsi="楷体_GB2312"/>
      <w:kern w:val="0"/>
      <w:sz w:val="20"/>
      <w:szCs w:val="20"/>
    </w:rPr>
  </w:style>
  <w:style w:type="paragraph" w:customStyle="1" w:styleId="116">
    <w:name w:val="Char Char Char Char Char Char Char Char"/>
    <w:basedOn w:val="1"/>
    <w:qFormat/>
    <w:uiPriority w:val="0"/>
    <w:pPr>
      <w:tabs>
        <w:tab w:val="left" w:pos="360"/>
      </w:tabs>
    </w:pPr>
    <w:rPr>
      <w:rFonts w:ascii="Calibri" w:hAnsi="Calibri"/>
      <w:szCs w:val="20"/>
    </w:rPr>
  </w:style>
  <w:style w:type="paragraph" w:customStyle="1" w:styleId="117">
    <w:name w:val="Char Char Char Char"/>
    <w:basedOn w:val="1"/>
    <w:qFormat/>
    <w:uiPriority w:val="0"/>
    <w:rPr>
      <w:szCs w:val="20"/>
    </w:rPr>
  </w:style>
  <w:style w:type="paragraph" w:customStyle="1" w:styleId="118">
    <w:name w:val="xl3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19">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20">
    <w:name w:val="font1"/>
    <w:basedOn w:val="1"/>
    <w:qFormat/>
    <w:uiPriority w:val="0"/>
    <w:pPr>
      <w:widowControl/>
      <w:spacing w:before="100" w:beforeAutospacing="1" w:after="100" w:afterAutospacing="1"/>
      <w:jc w:val="left"/>
    </w:pPr>
    <w:rPr>
      <w:rFonts w:ascii="Century Gothic" w:hAnsi="Century Gothic"/>
      <w:kern w:val="0"/>
      <w:sz w:val="24"/>
      <w:szCs w:val="20"/>
    </w:rPr>
  </w:style>
  <w:style w:type="paragraph" w:customStyle="1" w:styleId="121">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22">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3">
    <w:name w:val="p0"/>
    <w:basedOn w:val="1"/>
    <w:unhideWhenUsed/>
    <w:qFormat/>
    <w:uiPriority w:val="0"/>
    <w:pPr>
      <w:widowControl/>
    </w:pPr>
    <w:rPr>
      <w:rFonts w:hint="eastAsia"/>
    </w:rPr>
  </w:style>
  <w:style w:type="paragraph" w:customStyle="1" w:styleId="124">
    <w:name w:val="Default"/>
    <w:qFormat/>
    <w:uiPriority w:val="0"/>
    <w:pPr>
      <w:widowControl w:val="0"/>
      <w:autoSpaceDE w:val="0"/>
      <w:autoSpaceDN w:val="0"/>
      <w:adjustRightInd w:val="0"/>
    </w:pPr>
    <w:rPr>
      <w:rFonts w:ascii="楷体" w:hAnsi="Times New Roman" w:eastAsia="楷体" w:cs="Times New Roman"/>
      <w:color w:val="000000"/>
      <w:sz w:val="24"/>
      <w:szCs w:val="24"/>
      <w:lang w:val="en-US" w:eastAsia="zh-CN" w:bidi="ar-SA"/>
    </w:rPr>
  </w:style>
  <w:style w:type="paragraph" w:customStyle="1" w:styleId="125">
    <w:name w:val="Table Paragraph"/>
    <w:basedOn w:val="1"/>
    <w:qFormat/>
    <w:uiPriority w:val="1"/>
    <w:rPr>
      <w:rFonts w:ascii="宋体" w:hAnsi="宋体" w:cs="宋体"/>
      <w:lang w:val="zh-CN" w:bidi="zh-CN"/>
    </w:rPr>
  </w:style>
  <w:style w:type="paragraph" w:customStyle="1" w:styleId="126">
    <w:name w:val="*正文"/>
    <w:basedOn w:val="1"/>
    <w:qFormat/>
    <w:uiPriority w:val="0"/>
    <w:pPr>
      <w:widowControl/>
      <w:adjustRightInd w:val="0"/>
      <w:ind w:firstLine="200"/>
      <w:textAlignment w:val="baseline"/>
    </w:pPr>
    <w:rPr>
      <w:rFonts w:ascii="仿宋_GB2312" w:hAnsi="等线" w:eastAsia="等线"/>
      <w:bCs/>
      <w:sz w:val="24"/>
    </w:rPr>
  </w:style>
  <w:style w:type="paragraph" w:customStyle="1" w:styleId="127">
    <w:name w:val="title11"/>
    <w:basedOn w:val="1"/>
    <w:qFormat/>
    <w:uiPriority w:val="0"/>
    <w:pPr>
      <w:spacing w:before="150"/>
      <w:jc w:val="left"/>
    </w:pPr>
    <w:rPr>
      <w:b/>
      <w:kern w:val="0"/>
    </w:rPr>
  </w:style>
  <w:style w:type="paragraph" w:customStyle="1" w:styleId="128">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29">
    <w:name w:val="正文文字格式"/>
    <w:basedOn w:val="1"/>
    <w:qFormat/>
    <w:uiPriority w:val="0"/>
    <w:pPr>
      <w:spacing w:line="460" w:lineRule="exact"/>
      <w:ind w:firstLine="505"/>
      <w:jc w:val="left"/>
    </w:pPr>
    <w:rPr>
      <w:rFonts w:ascii="Century Gothic"/>
      <w:kern w:val="24"/>
      <w:sz w:val="24"/>
      <w:szCs w:val="20"/>
    </w:rPr>
  </w:style>
  <w:style w:type="paragraph" w:customStyle="1" w:styleId="130">
    <w:name w:val="！正文"/>
    <w:basedOn w:val="1"/>
    <w:qFormat/>
    <w:uiPriority w:val="0"/>
    <w:pPr>
      <w:widowControl/>
      <w:spacing w:line="360" w:lineRule="auto"/>
      <w:ind w:firstLine="420" w:firstLineChars="200"/>
    </w:pPr>
    <w:rPr>
      <w:kern w:val="0"/>
      <w:sz w:val="24"/>
      <w:szCs w:val="20"/>
      <w:lang w:eastAsia="zh-TW"/>
    </w:rPr>
  </w:style>
  <w:style w:type="paragraph" w:customStyle="1" w:styleId="131">
    <w:name w:val="[正文行首缩进]"/>
    <w:qFormat/>
    <w:uiPriority w:val="0"/>
    <w:pPr>
      <w:widowControl w:val="0"/>
      <w:numPr>
        <w:ilvl w:val="0"/>
        <w:numId w:val="4"/>
      </w:numPr>
      <w:tabs>
        <w:tab w:val="left" w:pos="900"/>
      </w:tabs>
      <w:spacing w:beforeLines="100" w:afterLines="100" w:line="300" w:lineRule="auto"/>
    </w:pPr>
    <w:rPr>
      <w:rFonts w:ascii="宋体" w:hAnsi="宋体" w:eastAsia="宋体" w:cs="Times New Roman"/>
      <w:kern w:val="2"/>
      <w:sz w:val="21"/>
      <w:szCs w:val="21"/>
      <w:lang w:val="en-US" w:eastAsia="zh-CN" w:bidi="ar-SA"/>
    </w:rPr>
  </w:style>
  <w:style w:type="paragraph" w:customStyle="1" w:styleId="132">
    <w:name w:val="Z正文标题"/>
    <w:basedOn w:val="1"/>
    <w:next w:val="1"/>
    <w:qFormat/>
    <w:uiPriority w:val="0"/>
    <w:pPr>
      <w:spacing w:afterLines="50"/>
    </w:pPr>
    <w:rPr>
      <w:b/>
    </w:rPr>
  </w:style>
  <w:style w:type="paragraph" w:customStyle="1" w:styleId="13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35">
    <w:name w:val="Char Char11 Char Char Char Char Char Char Char Char Char Char Char"/>
    <w:basedOn w:val="1"/>
    <w:qFormat/>
    <w:uiPriority w:val="0"/>
    <w:pPr>
      <w:spacing w:line="360" w:lineRule="auto"/>
    </w:pPr>
    <w:rPr>
      <w:rFonts w:eastAsia="黑体"/>
      <w:snapToGrid w:val="0"/>
      <w:kern w:val="0"/>
      <w:szCs w:val="21"/>
    </w:rPr>
  </w:style>
  <w:style w:type="paragraph" w:customStyle="1" w:styleId="136">
    <w:name w:val="纯文本1"/>
    <w:basedOn w:val="122"/>
    <w:qFormat/>
    <w:uiPriority w:val="0"/>
    <w:pPr>
      <w:widowControl/>
      <w:jc w:val="left"/>
    </w:pPr>
    <w:rPr>
      <w:rFonts w:ascii="宋体" w:hAnsi="Courier New"/>
    </w:rPr>
  </w:style>
  <w:style w:type="paragraph" w:customStyle="1" w:styleId="137">
    <w:name w:val="B表格正文"/>
    <w:next w:val="138"/>
    <w:qFormat/>
    <w:uiPriority w:val="0"/>
    <w:rPr>
      <w:rFonts w:ascii="Calibri" w:hAnsi="Calibri" w:eastAsia="黑体" w:cs="Times New Roman"/>
      <w:kern w:val="2"/>
      <w:sz w:val="21"/>
      <w:szCs w:val="21"/>
      <w:lang w:val="en-US" w:eastAsia="zh-CN" w:bidi="ar-SA"/>
    </w:rPr>
  </w:style>
  <w:style w:type="paragraph" w:customStyle="1" w:styleId="138">
    <w:name w:val="B表头样式"/>
    <w:next w:val="1"/>
    <w:qFormat/>
    <w:uiPriority w:val="0"/>
    <w:pPr>
      <w:jc w:val="center"/>
    </w:pPr>
    <w:rPr>
      <w:rFonts w:ascii="Calibri" w:hAnsi="Calibri" w:eastAsia="黑体" w:cs="Times New Roman"/>
      <w:b/>
      <w:kern w:val="2"/>
      <w:sz w:val="21"/>
      <w:szCs w:val="21"/>
      <w:lang w:val="en-US" w:eastAsia="zh-CN" w:bidi="ar-SA"/>
    </w:rPr>
  </w:style>
  <w:style w:type="paragraph" w:customStyle="1" w:styleId="139">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标书标题2"/>
    <w:basedOn w:val="3"/>
    <w:qFormat/>
    <w:uiPriority w:val="0"/>
    <w:pPr>
      <w:keepLines w:val="0"/>
      <w:widowControl/>
      <w:tabs>
        <w:tab w:val="left" w:pos="1320"/>
      </w:tabs>
      <w:snapToGrid w:val="0"/>
      <w:spacing w:before="156" w:beforeLines="50" w:after="60" w:line="300" w:lineRule="auto"/>
      <w:ind w:left="1320" w:hanging="420"/>
      <w:jc w:val="both"/>
    </w:pPr>
    <w:rPr>
      <w:rFonts w:eastAsia="Courier New"/>
      <w:color w:val="000000"/>
      <w:kern w:val="0"/>
      <w:sz w:val="28"/>
      <w:szCs w:val="20"/>
    </w:rPr>
  </w:style>
  <w:style w:type="paragraph" w:customStyle="1" w:styleId="141">
    <w:name w:val="无间隔1"/>
    <w:qFormat/>
    <w:uiPriority w:val="0"/>
    <w:rPr>
      <w:rFonts w:ascii="Times New Roman" w:hAnsi="Times New Roman" w:eastAsia="宋体" w:cs="Times New Roman"/>
      <w:sz w:val="22"/>
      <w:szCs w:val="22"/>
      <w:lang w:val="en-US" w:eastAsia="en-US" w:bidi="ar-SA"/>
    </w:rPr>
  </w:style>
  <w:style w:type="paragraph" w:customStyle="1" w:styleId="14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43">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44">
    <w:name w:val="Char Char Char Char Char"/>
    <w:basedOn w:val="1"/>
    <w:qFormat/>
    <w:uiPriority w:val="0"/>
    <w:pPr>
      <w:widowControl/>
      <w:spacing w:after="160" w:line="240" w:lineRule="exact"/>
      <w:jc w:val="left"/>
    </w:pPr>
    <w:rPr>
      <w:rFonts w:ascii="Verdana" w:hAnsi="Verdana" w:eastAsia="华文细黑"/>
    </w:rPr>
  </w:style>
  <w:style w:type="paragraph" w:customStyle="1" w:styleId="145">
    <w:name w:val="Char1"/>
    <w:basedOn w:val="1"/>
    <w:qFormat/>
    <w:uiPriority w:val="0"/>
    <w:pPr>
      <w:widowControl/>
      <w:spacing w:after="160" w:line="240" w:lineRule="exact"/>
      <w:jc w:val="left"/>
    </w:pPr>
    <w:rPr>
      <w:szCs w:val="20"/>
    </w:rPr>
  </w:style>
  <w:style w:type="paragraph" w:customStyle="1" w:styleId="146">
    <w:name w:val="c正文"/>
    <w:basedOn w:val="1"/>
    <w:qFormat/>
    <w:uiPriority w:val="0"/>
    <w:pPr>
      <w:spacing w:line="360" w:lineRule="auto"/>
      <w:ind w:firstLine="560" w:firstLineChars="200"/>
    </w:pPr>
  </w:style>
  <w:style w:type="paragraph" w:customStyle="1" w:styleId="147">
    <w:name w:val="小节"/>
    <w:basedOn w:val="5"/>
    <w:qFormat/>
    <w:uiPriority w:val="0"/>
    <w:pPr>
      <w:spacing w:before="200" w:after="200" w:line="560" w:lineRule="exact"/>
      <w:jc w:val="left"/>
    </w:pPr>
    <w:rPr>
      <w:rFonts w:ascii="Century Gothic" w:hAnsi="Century Gothic"/>
      <w:bCs w:val="0"/>
      <w:color w:val="000000"/>
      <w:spacing w:val="10"/>
      <w:kern w:val="24"/>
      <w:sz w:val="28"/>
    </w:rPr>
  </w:style>
  <w:style w:type="paragraph" w:customStyle="1" w:styleId="148">
    <w:name w:val="xl38"/>
    <w:basedOn w:val="1"/>
    <w:qFormat/>
    <w:uiPriority w:val="0"/>
    <w:pPr>
      <w:widowControl/>
      <w:spacing w:before="100" w:beforeAutospacing="1" w:after="100" w:afterAutospacing="1"/>
      <w:jc w:val="left"/>
    </w:pPr>
    <w:rPr>
      <w:rFonts w:ascii="Century Gothic" w:hAnsi="Century Gothic" w:cs="Century Gothic"/>
      <w:kern w:val="0"/>
      <w:sz w:val="18"/>
      <w:szCs w:val="18"/>
    </w:rPr>
  </w:style>
  <w:style w:type="paragraph" w:customStyle="1" w:styleId="14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5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kern w:val="0"/>
      <w:sz w:val="24"/>
    </w:rPr>
  </w:style>
  <w:style w:type="paragraph" w:customStyle="1" w:styleId="151">
    <w:name w:val="正文（首行缩进2字符）"/>
    <w:basedOn w:val="1"/>
    <w:qFormat/>
    <w:uiPriority w:val="0"/>
    <w:pPr>
      <w:spacing w:line="360" w:lineRule="auto"/>
      <w:ind w:firstLine="461" w:firstLineChars="192"/>
    </w:pPr>
    <w:rPr>
      <w:rFonts w:ascii="Arial" w:hAnsi="Arial"/>
      <w:sz w:val="24"/>
      <w:szCs w:val="28"/>
    </w:rPr>
  </w:style>
  <w:style w:type="paragraph" w:customStyle="1" w:styleId="152">
    <w:name w:val="_Style 4"/>
    <w:basedOn w:val="1"/>
    <w:qFormat/>
    <w:uiPriority w:val="0"/>
    <w:pPr>
      <w:ind w:firstLine="420" w:firstLineChars="200"/>
    </w:pPr>
  </w:style>
  <w:style w:type="character" w:customStyle="1" w:styleId="153">
    <w:name w:val="font31"/>
    <w:basedOn w:val="48"/>
    <w:qFormat/>
    <w:uiPriority w:val="0"/>
    <w:rPr>
      <w:rFonts w:hint="eastAsia" w:ascii="宋体" w:hAnsi="宋体" w:eastAsia="宋体" w:cs="宋体"/>
      <w:color w:val="000000"/>
      <w:sz w:val="20"/>
      <w:szCs w:val="20"/>
      <w:u w:val="none"/>
    </w:rPr>
  </w:style>
  <w:style w:type="paragraph" w:customStyle="1" w:styleId="154">
    <w:name w:val="样式1"/>
    <w:basedOn w:val="1"/>
    <w:qFormat/>
    <w:uiPriority w:val="0"/>
    <w:pPr>
      <w:spacing w:line="360" w:lineRule="exact"/>
      <w:ind w:firstLine="200" w:firstLineChars="200"/>
    </w:pPr>
    <w:rPr>
      <w:rFonts w:ascii="Arial" w:hAnsi="Arial"/>
    </w:rPr>
  </w:style>
  <w:style w:type="paragraph" w:customStyle="1" w:styleId="155">
    <w:name w:val="表格"/>
    <w:qFormat/>
    <w:uiPriority w:val="0"/>
    <w:rPr>
      <w:rFonts w:ascii="Calibri" w:hAnsi="Calibri" w:eastAsia="宋体" w:cs="Times New Roman"/>
      <w:kern w:val="2"/>
      <w:sz w:val="15"/>
      <w:szCs w:val="22"/>
      <w:lang w:val="en-US" w:eastAsia="zh-CN" w:bidi="ar-SA"/>
    </w:rPr>
  </w:style>
  <w:style w:type="character" w:customStyle="1" w:styleId="156">
    <w:name w:val="font101"/>
    <w:basedOn w:val="48"/>
    <w:qFormat/>
    <w:uiPriority w:val="0"/>
    <w:rPr>
      <w:rFonts w:hint="eastAsia" w:ascii="新宋体" w:hAnsi="新宋体" w:eastAsia="新宋体" w:cs="新宋体"/>
      <w:color w:val="000000"/>
      <w:sz w:val="20"/>
      <w:szCs w:val="20"/>
      <w:u w:val="none"/>
    </w:rPr>
  </w:style>
  <w:style w:type="character" w:customStyle="1" w:styleId="157">
    <w:name w:val="font81"/>
    <w:basedOn w:val="48"/>
    <w:qFormat/>
    <w:uiPriority w:val="0"/>
    <w:rPr>
      <w:rFonts w:hint="default" w:ascii="Arial" w:hAnsi="Arial" w:cs="Arial"/>
      <w:color w:val="000000"/>
      <w:sz w:val="20"/>
      <w:szCs w:val="20"/>
      <w:u w:val="none"/>
    </w:rPr>
  </w:style>
  <w:style w:type="paragraph" w:customStyle="1" w:styleId="158">
    <w:name w:val="Table Text"/>
    <w:basedOn w:val="1"/>
    <w:semiHidden/>
    <w:qFormat/>
    <w:uiPriority w:val="0"/>
    <w:rPr>
      <w:rFonts w:ascii="宋体" w:hAnsi="宋体" w:cs="宋体"/>
      <w:szCs w:val="21"/>
      <w:lang w:eastAsia="en-US"/>
    </w:rPr>
  </w:style>
  <w:style w:type="table" w:customStyle="1" w:styleId="159">
    <w:name w:val="Table Normal"/>
    <w:unhideWhenUsed/>
    <w:qFormat/>
    <w:uiPriority w:val="0"/>
    <w:tblPr>
      <w:tblCellMar>
        <w:top w:w="0" w:type="dxa"/>
        <w:left w:w="0" w:type="dxa"/>
        <w:bottom w:w="0" w:type="dxa"/>
        <w:right w:w="0" w:type="dxa"/>
      </w:tblCellMar>
    </w:tblPr>
  </w:style>
  <w:style w:type="paragraph" w:customStyle="1" w:styleId="160">
    <w:name w:val="列出段落21"/>
    <w:basedOn w:val="1"/>
    <w:qFormat/>
    <w:uiPriority w:val="0"/>
    <w:pPr>
      <w:spacing w:line="400" w:lineRule="exact"/>
      <w:ind w:firstLine="420" w:firstLineChars="200"/>
    </w:pPr>
    <w:rPr>
      <w:rFonts w:ascii="Calibri" w:hAnsi="Calibri"/>
      <w:szCs w:val="22"/>
    </w:rPr>
  </w:style>
  <w:style w:type="paragraph" w:customStyle="1" w:styleId="161">
    <w:name w:val="默认段落字体 Para Char Char Char Char Char Char Char"/>
    <w:basedOn w:val="16"/>
    <w:qFormat/>
    <w:uiPriority w:val="0"/>
    <w:pPr>
      <w:shd w:val="clear" w:color="000000" w:fill="00007F"/>
    </w:pPr>
    <w:rPr>
      <w:color w:val="000000"/>
    </w:rPr>
  </w:style>
  <w:style w:type="paragraph" w:customStyle="1" w:styleId="162">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B06034-D6B1-44FF-8957-2DACFB4FE34D}">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25383</Words>
  <Characters>26848</Characters>
  <Lines>535</Lines>
  <Paragraphs>150</Paragraphs>
  <TotalTime>3</TotalTime>
  <ScaleCrop>false</ScaleCrop>
  <LinksUpToDate>false</LinksUpToDate>
  <CharactersWithSpaces>27217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2026-03-18T17:19:00Z</dcterms:created>
  <dc:creator>Lenovo</dc:creator>
  <cp:lastModifiedBy>t</cp:lastModifiedBy>
  <cp:lastPrinted>2026-02-25T17:48:00Z</cp:lastPrinted>
  <dcterms:modified xsi:type="dcterms:W3CDTF">2026-04-24T08:39:29Z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eyJoZGlkIjoiODcyMmQ2NWUyNjlkNWMwOTI3ODU2MjBkYjNmNDVlYWIiLCJ1c2VySWQiOiIxNzE3MTg5MTU1In0=</vt:lpwstr>
  </property>
  <property fmtid="{D5CDD505-2E9C-101B-9397-08002B2CF9AE}" pid="4" name="ICV">
    <vt:lpwstr>79656AD5B46C40DFA36B02E5DE1AFF80_13</vt:lpwstr>
  </property>
</Properties>
</file>