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460" w:lineRule="atLeast"/>
        <w:ind w:firstLine="220" w:firstLineChars="100"/>
        <w:rPr>
          <w:rFonts w:hAnsi="宋体" w:eastAsia="宋体"/>
          <w:b w:val="0"/>
          <w:bCs w:val="0"/>
          <w:sz w:val="22"/>
          <w:szCs w:val="22"/>
        </w:rPr>
      </w:pPr>
      <w:r>
        <w:rPr>
          <w:rFonts w:hint="eastAsia" w:hAnsi="宋体" w:eastAsia="宋体"/>
          <w:b w:val="0"/>
          <w:bCs w:val="0"/>
          <w:sz w:val="22"/>
          <w:szCs w:val="22"/>
        </w:rPr>
        <w:t>2、技术、服务、资信、业绩综合评分 70分</w:t>
      </w:r>
    </w:p>
    <w:tbl>
      <w:tblPr>
        <w:tblStyle w:val="7"/>
        <w:tblW w:w="95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100"/>
        <w:gridCol w:w="701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pStyle w:val="3"/>
              <w:adjustRightInd w:val="0"/>
              <w:snapToGrid w:val="0"/>
              <w:spacing w:line="460" w:lineRule="atLeast"/>
              <w:rPr>
                <w:rFonts w:hAnsi="宋体" w:eastAsia="宋体"/>
                <w:b w:val="0"/>
                <w:bCs w:val="0"/>
                <w:sz w:val="22"/>
                <w:szCs w:val="22"/>
              </w:rPr>
            </w:pPr>
          </w:p>
        </w:tc>
        <w:tc>
          <w:tcPr>
            <w:tcW w:w="1100" w:type="dxa"/>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评分项</w:t>
            </w:r>
          </w:p>
        </w:tc>
        <w:tc>
          <w:tcPr>
            <w:tcW w:w="7012" w:type="dxa"/>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评分细则</w:t>
            </w:r>
          </w:p>
        </w:tc>
        <w:tc>
          <w:tcPr>
            <w:tcW w:w="788" w:type="dxa"/>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13" w:type="dxa"/>
            <w:vMerge w:val="restart"/>
          </w:tcPr>
          <w:p>
            <w:pPr>
              <w:pStyle w:val="3"/>
              <w:adjustRightInd w:val="0"/>
              <w:snapToGrid w:val="0"/>
              <w:spacing w:line="460" w:lineRule="atLeast"/>
              <w:jc w:val="center"/>
              <w:rPr>
                <w:rFonts w:hAnsi="宋体" w:eastAsia="宋体"/>
                <w:sz w:val="22"/>
                <w:szCs w:val="22"/>
              </w:rPr>
            </w:pPr>
            <w:r>
              <w:rPr>
                <w:rFonts w:hint="eastAsia" w:hAnsi="宋体" w:eastAsia="宋体"/>
                <w:sz w:val="22"/>
                <w:szCs w:val="22"/>
              </w:rPr>
              <w:t>资</w:t>
            </w: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r>
              <w:rPr>
                <w:rFonts w:hint="eastAsia" w:hAnsi="宋体" w:eastAsia="宋体"/>
                <w:sz w:val="22"/>
                <w:szCs w:val="22"/>
              </w:rPr>
              <w:t>信</w:t>
            </w: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r>
              <w:rPr>
                <w:rFonts w:hint="eastAsia" w:hAnsi="宋体" w:eastAsia="宋体"/>
                <w:sz w:val="22"/>
                <w:szCs w:val="22"/>
              </w:rPr>
              <w:t>部</w:t>
            </w: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b w:val="0"/>
                <w:bCs w:val="0"/>
                <w:sz w:val="22"/>
                <w:szCs w:val="22"/>
              </w:rPr>
            </w:pPr>
            <w:r>
              <w:rPr>
                <w:rFonts w:hint="eastAsia" w:hAnsi="宋体" w:eastAsia="宋体"/>
                <w:sz w:val="22"/>
                <w:szCs w:val="22"/>
              </w:rPr>
              <w:t>分</w:t>
            </w: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1、企业资质及荣誉</w:t>
            </w:r>
          </w:p>
        </w:tc>
        <w:tc>
          <w:tcPr>
            <w:tcW w:w="7012" w:type="dxa"/>
          </w:tcPr>
          <w:p>
            <w:pPr>
              <w:pStyle w:val="3"/>
              <w:adjustRightInd w:val="0"/>
              <w:snapToGrid w:val="0"/>
              <w:spacing w:line="460" w:lineRule="atLeast"/>
            </w:pPr>
            <w:r>
              <w:rPr>
                <w:rFonts w:hint="eastAsia" w:hAnsi="宋体" w:eastAsia="宋体"/>
                <w:b w:val="0"/>
                <w:bCs w:val="0"/>
                <w:sz w:val="22"/>
                <w:szCs w:val="22"/>
              </w:rPr>
              <w:t>根据投标人提供的公司具备的技术力量、履约能力及相关的企业资质及荣誉，进行综合评审，酌情打分。</w:t>
            </w:r>
          </w:p>
        </w:tc>
        <w:tc>
          <w:tcPr>
            <w:tcW w:w="788" w:type="dxa"/>
            <w:vAlign w:val="center"/>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tcPr>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2、同类项目业绩</w:t>
            </w:r>
          </w:p>
        </w:tc>
        <w:tc>
          <w:tcPr>
            <w:tcW w:w="7012" w:type="dxa"/>
          </w:tcPr>
          <w:p>
            <w:pPr>
              <w:pStyle w:val="3"/>
              <w:adjustRightInd w:val="0"/>
              <w:snapToGrid w:val="0"/>
              <w:spacing w:line="460" w:lineRule="atLeast"/>
            </w:pPr>
            <w:r>
              <w:rPr>
                <w:rFonts w:hint="eastAsia" w:hAnsi="宋体" w:eastAsia="宋体"/>
                <w:b w:val="0"/>
                <w:bCs w:val="0"/>
                <w:sz w:val="22"/>
                <w:szCs w:val="22"/>
              </w:rPr>
              <w:t>投标人2017年6月1日至今已完成类似厨房设备项目业绩的，每提供一个业绩得0.5分，最高得5分。（注：以合同生效时间为准，须提供官方网站中标公告截图、中标通知书、合同关键页复印件，以上资料均需加盖公章，并提供原件备查，不提供不得分。上述业绩的证明材料 均需经过政府或国企单位组织的正式招投标程序获得）</w:t>
            </w:r>
          </w:p>
        </w:tc>
        <w:tc>
          <w:tcPr>
            <w:tcW w:w="788" w:type="dxa"/>
          </w:tcPr>
          <w:p>
            <w:pPr>
              <w:pStyle w:val="3"/>
              <w:adjustRightInd w:val="0"/>
              <w:snapToGrid w:val="0"/>
              <w:spacing w:line="460" w:lineRule="atLeast"/>
              <w:jc w:val="center"/>
              <w:rPr>
                <w:rFonts w:hAnsi="宋体" w:eastAsia="宋体"/>
                <w:b w:val="0"/>
                <w:bCs w:val="0"/>
                <w:sz w:val="22"/>
                <w:szCs w:val="22"/>
              </w:rPr>
            </w:pPr>
          </w:p>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tcPr>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r>
              <w:rPr>
                <w:rFonts w:hint="eastAsia" w:hAnsi="宋体" w:eastAsia="宋体"/>
                <w:sz w:val="22"/>
                <w:szCs w:val="22"/>
              </w:rPr>
              <w:t>技</w:t>
            </w: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r>
              <w:rPr>
                <w:rFonts w:hint="eastAsia" w:hAnsi="宋体" w:eastAsia="宋体"/>
                <w:sz w:val="22"/>
                <w:szCs w:val="22"/>
              </w:rPr>
              <w:t>术</w:t>
            </w: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sz w:val="22"/>
                <w:szCs w:val="22"/>
              </w:rPr>
            </w:pPr>
            <w:r>
              <w:rPr>
                <w:rFonts w:hint="eastAsia" w:hAnsi="宋体" w:eastAsia="宋体"/>
                <w:sz w:val="22"/>
                <w:szCs w:val="22"/>
              </w:rPr>
              <w:t>部</w:t>
            </w:r>
          </w:p>
          <w:p>
            <w:pPr>
              <w:pStyle w:val="3"/>
              <w:adjustRightInd w:val="0"/>
              <w:snapToGrid w:val="0"/>
              <w:spacing w:line="460" w:lineRule="atLeast"/>
              <w:jc w:val="center"/>
              <w:rPr>
                <w:rFonts w:hAnsi="宋体" w:eastAsia="宋体"/>
                <w:sz w:val="22"/>
                <w:szCs w:val="22"/>
              </w:rPr>
            </w:pPr>
          </w:p>
          <w:p>
            <w:pPr>
              <w:pStyle w:val="3"/>
              <w:adjustRightInd w:val="0"/>
              <w:snapToGrid w:val="0"/>
              <w:spacing w:line="460" w:lineRule="atLeast"/>
              <w:jc w:val="center"/>
              <w:rPr>
                <w:rFonts w:hAnsi="宋体" w:eastAsia="宋体"/>
                <w:b w:val="0"/>
                <w:bCs w:val="0"/>
                <w:sz w:val="22"/>
                <w:szCs w:val="22"/>
              </w:rPr>
            </w:pPr>
            <w:r>
              <w:rPr>
                <w:rFonts w:hint="eastAsia" w:hAnsi="宋体" w:eastAsia="宋体"/>
                <w:sz w:val="22"/>
                <w:szCs w:val="22"/>
              </w:rPr>
              <w:t>分</w:t>
            </w:r>
          </w:p>
        </w:tc>
        <w:tc>
          <w:tcPr>
            <w:tcW w:w="1100" w:type="dxa"/>
          </w:tcPr>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3、产品的技术条款偏离</w:t>
            </w:r>
          </w:p>
        </w:tc>
        <w:tc>
          <w:tcPr>
            <w:tcW w:w="7012" w:type="dxa"/>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（1）满足招标货物的所有功能（2分）：功能项目齐全且明显高于招标需求的，得2～1.5分；功能项目齐全且与招标需求基本一致的，得1.5～1分；能满足基本功能要求的，得1～0分；</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（2）满足招标货物的性能及技术指标要求（2分）：由评标委员会根据投标人提供的资料从投标产品的技术参数、配置、兼容性、实际运行能力等方面打分，每项负偏离扣0.5分，扣完为止。</w:t>
            </w:r>
          </w:p>
        </w:tc>
        <w:tc>
          <w:tcPr>
            <w:tcW w:w="788" w:type="dxa"/>
          </w:tcPr>
          <w:p>
            <w:pPr>
              <w:pStyle w:val="3"/>
              <w:adjustRightInd w:val="0"/>
              <w:snapToGrid w:val="0"/>
              <w:spacing w:line="460" w:lineRule="atLeast"/>
              <w:rPr>
                <w:rFonts w:hint="eastAsia" w:hAnsi="宋体" w:eastAsia="宋体"/>
                <w:b w:val="0"/>
                <w:bCs w:val="0"/>
                <w:sz w:val="22"/>
                <w:szCs w:val="22"/>
              </w:rPr>
            </w:pPr>
          </w:p>
          <w:p>
            <w:pPr>
              <w:pStyle w:val="3"/>
              <w:adjustRightInd w:val="0"/>
              <w:snapToGrid w:val="0"/>
              <w:spacing w:line="460" w:lineRule="atLeast"/>
              <w:rPr>
                <w:rFonts w:hint="eastAsia" w:hAnsi="宋体" w:eastAsia="宋体"/>
                <w:b w:val="0"/>
                <w:bCs w:val="0"/>
                <w:sz w:val="22"/>
                <w:szCs w:val="22"/>
              </w:rPr>
            </w:pP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4、节能产品</w:t>
            </w:r>
          </w:p>
        </w:tc>
        <w:tc>
          <w:tcPr>
            <w:tcW w:w="7012"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投标人</w:t>
            </w:r>
            <w:r>
              <w:rPr>
                <w:rFonts w:hint="eastAsia" w:hAnsi="宋体" w:eastAsia="宋体"/>
                <w:b w:val="0"/>
                <w:bCs w:val="0"/>
                <w:sz w:val="22"/>
                <w:szCs w:val="22"/>
                <w:lang w:eastAsia="zh-CN"/>
              </w:rPr>
              <w:t>所投的</w:t>
            </w:r>
            <w:r>
              <w:rPr>
                <w:rFonts w:hint="eastAsia" w:hAnsi="宋体" w:eastAsia="宋体"/>
                <w:b w:val="0"/>
                <w:bCs w:val="0"/>
                <w:sz w:val="22"/>
                <w:szCs w:val="22"/>
              </w:rPr>
              <w:t>“炊用燃气大锅灶、商用电磁灶”</w:t>
            </w:r>
            <w:r>
              <w:rPr>
                <w:rFonts w:hint="eastAsia" w:hAnsi="宋体" w:eastAsia="宋体"/>
                <w:b w:val="0"/>
                <w:bCs w:val="0"/>
                <w:sz w:val="22"/>
                <w:szCs w:val="22"/>
                <w:lang w:eastAsia="zh-CN"/>
              </w:rPr>
              <w:t>具有相关部门</w:t>
            </w:r>
            <w:r>
              <w:rPr>
                <w:rFonts w:hint="eastAsia" w:hAnsi="宋体" w:eastAsia="宋体"/>
                <w:b w:val="0"/>
                <w:bCs w:val="0"/>
                <w:sz w:val="22"/>
                <w:szCs w:val="22"/>
              </w:rPr>
              <w:t>颁发的《中国节能产品认证证书》，每提供一个产品证书得1分，最高得2分。（须提供有效证书复印件并加盖公章及全国认证认可信息公共服务平台http://cx.cnca.cn查询及截图。）</w:t>
            </w:r>
          </w:p>
        </w:tc>
        <w:tc>
          <w:tcPr>
            <w:tcW w:w="788" w:type="dxa"/>
            <w:vAlign w:val="center"/>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5、食品接触认证评价</w:t>
            </w:r>
          </w:p>
        </w:tc>
        <w:tc>
          <w:tcPr>
            <w:tcW w:w="7012"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投标人所投产品</w:t>
            </w:r>
            <w:r>
              <w:rPr>
                <w:rFonts w:hint="eastAsia" w:hAnsi="宋体" w:eastAsia="宋体"/>
                <w:b w:val="0"/>
                <w:bCs w:val="0"/>
                <w:sz w:val="22"/>
                <w:szCs w:val="22"/>
                <w:lang w:eastAsia="zh-CN"/>
              </w:rPr>
              <w:t>具有</w:t>
            </w:r>
            <w:r>
              <w:rPr>
                <w:rFonts w:hint="eastAsia" w:hAnsi="宋体" w:eastAsia="宋体"/>
                <w:b w:val="0"/>
                <w:bCs w:val="0"/>
                <w:sz w:val="22"/>
                <w:szCs w:val="22"/>
              </w:rPr>
              <w:t>由</w:t>
            </w:r>
            <w:r>
              <w:rPr>
                <w:rFonts w:hint="eastAsia" w:hAnsi="宋体" w:eastAsia="宋体"/>
                <w:b w:val="0"/>
                <w:bCs w:val="0"/>
                <w:sz w:val="22"/>
                <w:szCs w:val="22"/>
                <w:lang w:eastAsia="zh-CN"/>
              </w:rPr>
              <w:t>相关部门</w:t>
            </w:r>
            <w:r>
              <w:rPr>
                <w:rFonts w:hint="eastAsia" w:hAnsi="宋体" w:eastAsia="宋体"/>
                <w:b w:val="0"/>
                <w:bCs w:val="0"/>
                <w:sz w:val="22"/>
                <w:szCs w:val="22"/>
              </w:rPr>
              <w:t>颁发的《食品接触产品安全认证证书》（证书对应的产品必须为本项目设备清单中的各类产品），每个证书得0.5分，满分4分。</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（须提供有效证书复印件并加盖公章及全国认证认可信息公共服务平台http://cx.cnca.cn查询及截图。）</w:t>
            </w:r>
          </w:p>
        </w:tc>
        <w:tc>
          <w:tcPr>
            <w:tcW w:w="788" w:type="dxa"/>
            <w:vAlign w:val="center"/>
          </w:tcPr>
          <w:p>
            <w:pPr>
              <w:pStyle w:val="3"/>
              <w:adjustRightInd w:val="0"/>
              <w:snapToGrid w:val="0"/>
              <w:spacing w:line="460" w:lineRule="atLeast"/>
              <w:jc w:val="center"/>
              <w:rPr>
                <w:rFonts w:hAnsi="宋体" w:eastAsia="宋体"/>
                <w:b w:val="0"/>
                <w:bCs w:val="0"/>
                <w:color w:val="FF0000"/>
                <w:sz w:val="22"/>
                <w:szCs w:val="22"/>
              </w:rPr>
            </w:pPr>
            <w:r>
              <w:rPr>
                <w:rFonts w:hint="eastAsia" w:hAnsi="宋体" w:eastAsia="宋体"/>
                <w:b w:val="0"/>
                <w:bCs w:val="0"/>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6、产品知识产权情况</w:t>
            </w:r>
          </w:p>
        </w:tc>
        <w:tc>
          <w:tcPr>
            <w:tcW w:w="7012"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投标人所投产品</w:t>
            </w:r>
            <w:r>
              <w:rPr>
                <w:rFonts w:hint="eastAsia" w:hAnsi="宋体" w:eastAsia="宋体"/>
                <w:b w:val="0"/>
                <w:bCs w:val="0"/>
                <w:sz w:val="22"/>
                <w:szCs w:val="22"/>
                <w:lang w:eastAsia="zh-CN"/>
              </w:rPr>
              <w:t>具有</w:t>
            </w:r>
            <w:r>
              <w:rPr>
                <w:rFonts w:hint="eastAsia" w:hAnsi="宋体" w:eastAsia="宋体"/>
                <w:b w:val="0"/>
                <w:bCs w:val="0"/>
                <w:sz w:val="22"/>
                <w:szCs w:val="22"/>
              </w:rPr>
              <w:t>由相关部门颁发的专利证书（证书对应的产品必须为本项目设备清单中的各类产品），每提供一个得0.5分，最高得4分。（专利权人必须为投标供应商，需提供有效的专利证书复印件</w:t>
            </w:r>
            <w:r>
              <w:rPr>
                <w:rFonts w:hint="eastAsia" w:hAnsi="宋体" w:eastAsia="宋体"/>
                <w:b w:val="0"/>
                <w:bCs w:val="0"/>
                <w:sz w:val="22"/>
                <w:szCs w:val="22"/>
                <w:lang w:eastAsia="zh-CN"/>
              </w:rPr>
              <w:t>加盖公章</w:t>
            </w:r>
            <w:r>
              <w:rPr>
                <w:rFonts w:hint="eastAsia" w:hAnsi="宋体" w:eastAsia="宋体"/>
                <w:b w:val="0"/>
                <w:bCs w:val="0"/>
                <w:sz w:val="22"/>
                <w:szCs w:val="22"/>
              </w:rPr>
              <w:t>及国家专利局网上截图并加盖公章）</w:t>
            </w:r>
          </w:p>
        </w:tc>
        <w:tc>
          <w:tcPr>
            <w:tcW w:w="788"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8、产品的质量和安全性</w:t>
            </w:r>
          </w:p>
        </w:tc>
        <w:tc>
          <w:tcPr>
            <w:tcW w:w="7012" w:type="dxa"/>
            <w:vAlign w:val="center"/>
          </w:tcPr>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（1）投标人所投产品“炊用燃气大锅灶、节能环保平头炉”具有相关检测部门出具的有效期内《检验报告》，每提供一个产品的报告得1分，最高得2分。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（2）投标人所投产品“电磁环保节能大炒炉、电磁环保节能汤炉”具有相关检测部门出具的有效期内的“电器安全”（检验依据为GB4706.1-2005、GB4706.52-2008）及“电磁场辐射” 《检验报告》，每提供一个产品的两项合格报告得1分，最高得2分。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（3）投标人所投产品“商用电磁炉”具有相关检测部门出具的有效期内的“振铃波抗扰度试验”《检验报告》且检验结果为 A 级得 1分。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（4）投标人所投电磁灶核心配件“控制板”具有相关检测部门出具的有效期内的《检测报告》得1分，未提供不得分。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（5）投标人所投的电磁灶核心配件“线盘”具有相关检测部门出具的有效期内的《检测报告》得1分，未提供不得分。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（6）投标人所投产品“蒸箱内胆”具有相关检测部门出具的有效期内的《检测报告》得1分，未提供不得分。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（7）投标人所投产品“洗涮台（星盆）、存放架（层架）、工作台（操作台）、储物柜、餐车设备、不锈钢烟罩”具有相关检测部门出具的有效期内的《检测报告》，每提供一个产品的报告得0.5分，最高得3分。</w:t>
            </w:r>
          </w:p>
          <w:p>
            <w:pPr>
              <w:pStyle w:val="3"/>
              <w:adjustRightInd w:val="0"/>
              <w:snapToGrid w:val="0"/>
              <w:spacing w:line="460" w:lineRule="atLeast"/>
              <w:rPr>
                <w:rFonts w:hint="eastAsia" w:hAnsi="宋体" w:eastAsia="宋体"/>
                <w:b w:val="0"/>
                <w:bCs w:val="0"/>
                <w:sz w:val="22"/>
                <w:szCs w:val="22"/>
                <w:lang w:val="en-US" w:eastAsia="zh-CN"/>
              </w:rPr>
            </w:pPr>
            <w:r>
              <w:rPr>
                <w:rFonts w:hint="eastAsia" w:hAnsi="宋体" w:eastAsia="宋体"/>
                <w:b w:val="0"/>
                <w:bCs w:val="0"/>
                <w:sz w:val="22"/>
                <w:szCs w:val="22"/>
                <w:lang w:val="en-US" w:eastAsia="zh-CN"/>
              </w:rPr>
              <w:t>（8）投标人所投产品“通风油烟管”具有相关检测部门出具的有效期内的《检测报告》得1分，未提供不得分。</w:t>
            </w:r>
          </w:p>
          <w:p>
            <w:pPr>
              <w:pStyle w:val="4"/>
              <w:rPr>
                <w:rFonts w:hAnsi="宋体" w:eastAsia="宋体"/>
                <w:b w:val="0"/>
                <w:bCs w:val="0"/>
                <w:sz w:val="22"/>
                <w:szCs w:val="22"/>
              </w:rPr>
            </w:pPr>
            <w:r>
              <w:rPr>
                <w:rFonts w:hint="eastAsia" w:eastAsia="宋体"/>
                <w:b w:val="0"/>
                <w:bCs w:val="0"/>
                <w:sz w:val="22"/>
                <w:szCs w:val="22"/>
                <w:lang w:val="en-US" w:eastAsia="zh-CN"/>
              </w:rPr>
              <w:t>(以上所有报告类文件均须提供原件，不提供不得分)</w:t>
            </w:r>
          </w:p>
        </w:tc>
        <w:tc>
          <w:tcPr>
            <w:tcW w:w="788" w:type="dxa"/>
            <w:vAlign w:val="center"/>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9、产品保险</w:t>
            </w:r>
          </w:p>
        </w:tc>
        <w:tc>
          <w:tcPr>
            <w:tcW w:w="7012"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投标人所投</w:t>
            </w:r>
            <w:r>
              <w:rPr>
                <w:rFonts w:hint="eastAsia" w:hAnsi="宋体" w:eastAsia="宋体"/>
                <w:b w:val="0"/>
                <w:bCs w:val="0"/>
                <w:sz w:val="22"/>
                <w:szCs w:val="22"/>
                <w:lang w:eastAsia="zh-CN"/>
              </w:rPr>
              <w:t>的</w:t>
            </w:r>
            <w:r>
              <w:rPr>
                <w:rFonts w:hint="eastAsia" w:hAnsi="宋体" w:eastAsia="宋体"/>
                <w:b w:val="0"/>
                <w:bCs w:val="0"/>
                <w:sz w:val="22"/>
                <w:szCs w:val="22"/>
              </w:rPr>
              <w:t>“电磁炉系列、高温消毒柜系列、燃气系列（含大炒炉，煲仔炉，蒸饭箱类等）、304不锈钢系列（荷台、洗菜池、送餐车、星盆、工作台、货架）、冰箱冷柜系列、风柜系列、静电油烟净化器”</w:t>
            </w:r>
            <w:r>
              <w:rPr>
                <w:rFonts w:hint="eastAsia" w:hAnsi="宋体" w:eastAsia="宋体"/>
                <w:b w:val="0"/>
                <w:bCs w:val="0"/>
                <w:sz w:val="22"/>
                <w:szCs w:val="22"/>
                <w:lang w:eastAsia="zh-CN"/>
              </w:rPr>
              <w:t>有</w:t>
            </w:r>
            <w:r>
              <w:rPr>
                <w:rFonts w:hint="eastAsia" w:hAnsi="宋体" w:eastAsia="宋体"/>
                <w:b w:val="0"/>
                <w:bCs w:val="0"/>
                <w:sz w:val="22"/>
                <w:szCs w:val="22"/>
              </w:rPr>
              <w:t>购买产品责任险，并累计赔偿限额达到8000万（含）或以上的得4分，8000万以下4000万（含）以上的得2分，4000万以</w:t>
            </w:r>
            <w:bookmarkStart w:id="0" w:name="_GoBack"/>
            <w:bookmarkEnd w:id="0"/>
            <w:r>
              <w:rPr>
                <w:rFonts w:hint="eastAsia" w:hAnsi="宋体" w:eastAsia="宋体"/>
                <w:b w:val="0"/>
                <w:bCs w:val="0"/>
                <w:sz w:val="22"/>
                <w:szCs w:val="22"/>
              </w:rPr>
              <w:t>下1000万（含）以上的得1分；1000万以下的得0.5分，满分4分。（保险单日期</w:t>
            </w:r>
            <w:r>
              <w:rPr>
                <w:rFonts w:hint="eastAsia" w:hAnsi="宋体" w:eastAsia="宋体"/>
                <w:b w:val="0"/>
                <w:bCs w:val="0"/>
                <w:sz w:val="22"/>
                <w:szCs w:val="22"/>
                <w:lang w:eastAsia="zh-CN"/>
              </w:rPr>
              <w:t>为有效期限内</w:t>
            </w:r>
            <w:r>
              <w:rPr>
                <w:rFonts w:hint="eastAsia" w:hAnsi="宋体" w:eastAsia="宋体"/>
                <w:b w:val="0"/>
                <w:bCs w:val="0"/>
                <w:sz w:val="22"/>
                <w:szCs w:val="22"/>
              </w:rPr>
              <w:t>方可评分）。</w:t>
            </w:r>
          </w:p>
        </w:tc>
        <w:tc>
          <w:tcPr>
            <w:tcW w:w="788" w:type="dxa"/>
            <w:vAlign w:val="center"/>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10、本项目管理技术人员评价</w:t>
            </w:r>
          </w:p>
        </w:tc>
        <w:tc>
          <w:tcPr>
            <w:tcW w:w="7012"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lang w:eastAsia="zh-CN"/>
              </w:rPr>
              <w:t>本项目负责人提供二级及以上建造师资格证书得</w:t>
            </w:r>
            <w:r>
              <w:rPr>
                <w:rFonts w:hint="eastAsia" w:hAnsi="宋体" w:eastAsia="宋体"/>
                <w:b w:val="0"/>
                <w:bCs w:val="0"/>
                <w:sz w:val="22"/>
                <w:szCs w:val="22"/>
                <w:lang w:val="en-US" w:eastAsia="zh-CN"/>
              </w:rPr>
              <w:t>1分；</w:t>
            </w:r>
            <w:r>
              <w:rPr>
                <w:rFonts w:hint="eastAsia" w:hAnsi="宋体" w:eastAsia="宋体"/>
                <w:b w:val="0"/>
                <w:bCs w:val="0"/>
                <w:sz w:val="22"/>
                <w:szCs w:val="22"/>
                <w:lang w:eastAsia="zh-CN"/>
              </w:rPr>
              <w:t>其他</w:t>
            </w:r>
            <w:r>
              <w:rPr>
                <w:rFonts w:hint="eastAsia" w:hAnsi="宋体" w:eastAsia="宋体"/>
                <w:b w:val="0"/>
                <w:bCs w:val="0"/>
                <w:sz w:val="22"/>
                <w:szCs w:val="22"/>
              </w:rPr>
              <w:t>相关人员提供专业人员证书（含中级或以上通风工、中级或以上管道工、助理工程师、燃气具安装维修工、低压电工、焊工、水电工、施工员、质量员、安全培训考核合格证（C 类）），每提供一项证书得0.5分，</w:t>
            </w:r>
            <w:r>
              <w:rPr>
                <w:rFonts w:hint="eastAsia" w:hAnsi="宋体" w:eastAsia="宋体"/>
                <w:b w:val="0"/>
                <w:bCs w:val="0"/>
                <w:sz w:val="22"/>
                <w:szCs w:val="22"/>
                <w:lang w:eastAsia="zh-CN"/>
              </w:rPr>
              <w:t>最高</w:t>
            </w:r>
            <w:r>
              <w:rPr>
                <w:rFonts w:hint="eastAsia" w:hAnsi="宋体" w:eastAsia="宋体"/>
                <w:b w:val="0"/>
                <w:bCs w:val="0"/>
                <w:sz w:val="22"/>
                <w:szCs w:val="22"/>
              </w:rPr>
              <w:t>5分。（须提供人员证书复印件并加盖公章</w:t>
            </w:r>
            <w:r>
              <w:rPr>
                <w:rFonts w:hint="eastAsia" w:hAnsi="宋体" w:eastAsia="宋体"/>
                <w:b w:val="0"/>
                <w:bCs w:val="0"/>
                <w:sz w:val="22"/>
                <w:szCs w:val="22"/>
                <w:lang w:eastAsia="zh-CN"/>
              </w:rPr>
              <w:t>或</w:t>
            </w:r>
            <w:r>
              <w:rPr>
                <w:rFonts w:hint="eastAsia" w:hAnsi="宋体" w:eastAsia="宋体"/>
                <w:b w:val="0"/>
                <w:bCs w:val="0"/>
                <w:sz w:val="22"/>
                <w:szCs w:val="22"/>
              </w:rPr>
              <w:t>网站查询截图</w:t>
            </w:r>
            <w:r>
              <w:rPr>
                <w:rFonts w:hint="eastAsia" w:hAnsi="宋体" w:eastAsia="宋体"/>
                <w:b w:val="0"/>
                <w:bCs w:val="0"/>
                <w:sz w:val="22"/>
                <w:szCs w:val="22"/>
                <w:lang w:eastAsia="zh-CN"/>
              </w:rPr>
              <w:t>加盖公章，</w:t>
            </w:r>
            <w:r>
              <w:rPr>
                <w:rFonts w:hint="eastAsia" w:hAnsi="宋体" w:eastAsia="宋体"/>
                <w:b w:val="0"/>
                <w:bCs w:val="0"/>
                <w:sz w:val="22"/>
                <w:szCs w:val="22"/>
              </w:rPr>
              <w:t>以上人员</w:t>
            </w:r>
            <w:r>
              <w:rPr>
                <w:rFonts w:hint="eastAsia" w:hAnsi="宋体" w:eastAsia="宋体"/>
                <w:b w:val="0"/>
                <w:bCs w:val="0"/>
                <w:sz w:val="22"/>
                <w:szCs w:val="22"/>
                <w:lang w:eastAsia="zh-CN"/>
              </w:rPr>
              <w:t>须提供</w:t>
            </w:r>
            <w:r>
              <w:rPr>
                <w:rFonts w:hint="eastAsia" w:hAnsi="宋体" w:eastAsia="宋体"/>
                <w:b w:val="0"/>
                <w:bCs w:val="0"/>
                <w:sz w:val="22"/>
                <w:szCs w:val="22"/>
              </w:rPr>
              <w:t>在本单位近3个月缴纳的社会养老保险有效凭证。）</w:t>
            </w:r>
          </w:p>
        </w:tc>
        <w:tc>
          <w:tcPr>
            <w:tcW w:w="788"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lang w:val="en-US" w:eastAsia="zh-CN"/>
              </w:rPr>
              <w:t>6</w:t>
            </w:r>
            <w:r>
              <w:rPr>
                <w:rFonts w:hint="eastAsia" w:hAnsi="宋体" w:eastAsia="宋体"/>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Merge w:val="restart"/>
          </w:tcPr>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p>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11、设计、施工方案</w:t>
            </w:r>
          </w:p>
        </w:tc>
        <w:tc>
          <w:tcPr>
            <w:tcW w:w="7012"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投标人根据本项目的采购内容以及建筑平面图纸，提供详细的厨房设备布局平面图、项目施工图纸（含：给排水、配电点位图、配电系统图、新风、油烟环保排放）、厨房各区间的设计效果图，对上述的图纸设计方案进行综合评价：</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（1）方案设计图纸完整、技术专业完全达到设计施工标准、符合上述规范技术标准、根据项目实际情况进行专业、科学的优化设计，完全满足实际使用需求，得</w:t>
            </w:r>
            <w:r>
              <w:rPr>
                <w:rFonts w:hint="eastAsia" w:hAnsi="宋体" w:eastAsia="宋体"/>
                <w:b w:val="0"/>
                <w:bCs w:val="0"/>
                <w:sz w:val="22"/>
                <w:szCs w:val="22"/>
                <w:lang w:val="en-US" w:eastAsia="zh-CN"/>
              </w:rPr>
              <w:t>9</w:t>
            </w:r>
            <w:r>
              <w:rPr>
                <w:rFonts w:hint="eastAsia" w:hAnsi="宋体" w:eastAsia="宋体"/>
                <w:b w:val="0"/>
                <w:bCs w:val="0"/>
                <w:sz w:val="22"/>
                <w:szCs w:val="22"/>
              </w:rPr>
              <w:t xml:space="preserve">-6分； </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（2）方案设计图纸完整、个别施工专业仍需深化但基本达到施工标准、方案大部分满足上述规范技术标准，得6-</w:t>
            </w:r>
            <w:r>
              <w:rPr>
                <w:rFonts w:hint="eastAsia" w:hAnsi="宋体" w:eastAsia="宋体"/>
                <w:b w:val="0"/>
                <w:bCs w:val="0"/>
                <w:sz w:val="22"/>
                <w:szCs w:val="22"/>
                <w:lang w:val="en-US" w:eastAsia="zh-CN"/>
              </w:rPr>
              <w:t>3</w:t>
            </w:r>
            <w:r>
              <w:rPr>
                <w:rFonts w:hint="eastAsia" w:hAnsi="宋体" w:eastAsia="宋体"/>
                <w:b w:val="0"/>
                <w:bCs w:val="0"/>
                <w:sz w:val="22"/>
                <w:szCs w:val="22"/>
              </w:rPr>
              <w:t>分；</w:t>
            </w:r>
          </w:p>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（3）方案设计图纸基本完整，有提供方案但有明显不符合规范标准或使用需求之处，项目施工图纸不完整，得</w:t>
            </w:r>
            <w:r>
              <w:rPr>
                <w:rFonts w:hint="eastAsia" w:hAnsi="宋体" w:eastAsia="宋体"/>
                <w:b w:val="0"/>
                <w:bCs w:val="0"/>
                <w:sz w:val="22"/>
                <w:szCs w:val="22"/>
                <w:lang w:val="en-US" w:eastAsia="zh-CN"/>
              </w:rPr>
              <w:t>3</w:t>
            </w:r>
            <w:r>
              <w:rPr>
                <w:rFonts w:hint="eastAsia" w:hAnsi="宋体" w:eastAsia="宋体"/>
                <w:b w:val="0"/>
                <w:bCs w:val="0"/>
                <w:sz w:val="22"/>
                <w:szCs w:val="22"/>
              </w:rPr>
              <w:t>-</w:t>
            </w:r>
            <w:r>
              <w:rPr>
                <w:rFonts w:hint="eastAsia" w:hAnsi="宋体" w:eastAsia="宋体"/>
                <w:b w:val="0"/>
                <w:bCs w:val="0"/>
                <w:sz w:val="22"/>
                <w:szCs w:val="22"/>
                <w:lang w:val="en-US" w:eastAsia="zh-CN"/>
              </w:rPr>
              <w:t>0</w:t>
            </w:r>
            <w:r>
              <w:rPr>
                <w:rFonts w:hint="eastAsia" w:hAnsi="宋体" w:eastAsia="宋体"/>
                <w:b w:val="0"/>
                <w:bCs w:val="0"/>
                <w:sz w:val="22"/>
                <w:szCs w:val="22"/>
              </w:rPr>
              <w:t>分；</w:t>
            </w:r>
          </w:p>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（5）其他或不提供厨房设备布局平面图、项目施工图纸、区间设计效果图的，不得分。</w:t>
            </w:r>
          </w:p>
        </w:tc>
        <w:tc>
          <w:tcPr>
            <w:tcW w:w="788"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lang w:val="en-US" w:eastAsia="zh-CN"/>
              </w:rPr>
              <w:t>9</w:t>
            </w:r>
            <w:r>
              <w:rPr>
                <w:rFonts w:hint="eastAsia" w:hAnsi="宋体" w:eastAsia="宋体"/>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613" w:type="dxa"/>
            <w:vMerge w:val="continue"/>
          </w:tcPr>
          <w:p>
            <w:pPr>
              <w:pStyle w:val="3"/>
              <w:adjustRightInd w:val="0"/>
              <w:snapToGrid w:val="0"/>
              <w:spacing w:line="460" w:lineRule="atLeast"/>
              <w:rPr>
                <w:rFonts w:hAnsi="宋体" w:eastAsia="宋体"/>
                <w:b w:val="0"/>
                <w:bCs w:val="0"/>
                <w:sz w:val="22"/>
                <w:szCs w:val="22"/>
              </w:rPr>
            </w:pPr>
          </w:p>
        </w:tc>
        <w:tc>
          <w:tcPr>
            <w:tcW w:w="1100" w:type="dxa"/>
            <w:vMerge w:val="continue"/>
          </w:tcPr>
          <w:p>
            <w:pPr>
              <w:pStyle w:val="3"/>
              <w:adjustRightInd w:val="0"/>
              <w:snapToGrid w:val="0"/>
              <w:spacing w:line="460" w:lineRule="atLeast"/>
              <w:rPr>
                <w:rFonts w:hAnsi="宋体" w:eastAsia="宋体"/>
                <w:b w:val="0"/>
                <w:bCs w:val="0"/>
                <w:sz w:val="22"/>
                <w:szCs w:val="22"/>
              </w:rPr>
            </w:pPr>
          </w:p>
        </w:tc>
        <w:tc>
          <w:tcPr>
            <w:tcW w:w="7012"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根据供应商针对本项目的食堂改造、装修、设备质量、安装等所提供的施工及检测方案，进行打分：</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（1）保证质量的技术方案和措施，方案是否严密，措施是否得力进行综合打分（0～2</w:t>
            </w:r>
            <w:r>
              <w:rPr>
                <w:rFonts w:hint="eastAsia" w:hAnsi="宋体" w:eastAsia="宋体"/>
                <w:b w:val="0"/>
                <w:bCs w:val="0"/>
                <w:sz w:val="22"/>
                <w:szCs w:val="22"/>
                <w:lang w:val="en-US" w:eastAsia="zh-CN"/>
              </w:rPr>
              <w:t>.5</w:t>
            </w:r>
            <w:r>
              <w:rPr>
                <w:rFonts w:hint="eastAsia" w:hAnsi="宋体" w:eastAsia="宋体"/>
                <w:b w:val="0"/>
                <w:bCs w:val="0"/>
                <w:sz w:val="22"/>
                <w:szCs w:val="22"/>
              </w:rPr>
              <w:t>分）；</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（2）确保供应设备质量的设施及措施，是否有严密的质量监控措施和先进的质量检测设施进行综合打分（0～2</w:t>
            </w:r>
            <w:r>
              <w:rPr>
                <w:rFonts w:hint="eastAsia" w:hAnsi="宋体" w:eastAsia="宋体"/>
                <w:b w:val="0"/>
                <w:bCs w:val="0"/>
                <w:sz w:val="22"/>
                <w:szCs w:val="22"/>
                <w:lang w:val="en-US" w:eastAsia="zh-CN"/>
              </w:rPr>
              <w:t>.5</w:t>
            </w:r>
            <w:r>
              <w:rPr>
                <w:rFonts w:hint="eastAsia" w:hAnsi="宋体" w:eastAsia="宋体"/>
                <w:b w:val="0"/>
                <w:bCs w:val="0"/>
                <w:sz w:val="22"/>
                <w:szCs w:val="22"/>
              </w:rPr>
              <w:t>分）；</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（3）施工方案的科学性、合理性，对整体方案的评价，方案是否合理、是否严密，解决方案是否合理进行综合打分（0～2</w:t>
            </w:r>
            <w:r>
              <w:rPr>
                <w:rFonts w:hint="eastAsia" w:hAnsi="宋体" w:eastAsia="宋体"/>
                <w:b w:val="0"/>
                <w:bCs w:val="0"/>
                <w:sz w:val="22"/>
                <w:szCs w:val="22"/>
                <w:lang w:val="en-US" w:eastAsia="zh-CN"/>
              </w:rPr>
              <w:t>.5</w:t>
            </w:r>
            <w:r>
              <w:rPr>
                <w:rFonts w:hint="eastAsia" w:hAnsi="宋体" w:eastAsia="宋体"/>
                <w:b w:val="0"/>
                <w:bCs w:val="0"/>
                <w:sz w:val="22"/>
                <w:szCs w:val="22"/>
              </w:rPr>
              <w:t>分）；</w:t>
            </w:r>
          </w:p>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rPr>
              <w:t>（4）安装、调试、验收的方案和措施进行综合打分（0～2</w:t>
            </w:r>
            <w:r>
              <w:rPr>
                <w:rFonts w:hint="eastAsia" w:hAnsi="宋体" w:eastAsia="宋体"/>
                <w:b w:val="0"/>
                <w:bCs w:val="0"/>
                <w:sz w:val="22"/>
                <w:szCs w:val="22"/>
                <w:lang w:val="en-US" w:eastAsia="zh-CN"/>
              </w:rPr>
              <w:t>.5</w:t>
            </w:r>
            <w:r>
              <w:rPr>
                <w:rFonts w:hint="eastAsia" w:hAnsi="宋体" w:eastAsia="宋体"/>
                <w:b w:val="0"/>
                <w:bCs w:val="0"/>
                <w:sz w:val="22"/>
                <w:szCs w:val="22"/>
              </w:rPr>
              <w:t>分）。</w:t>
            </w:r>
          </w:p>
        </w:tc>
        <w:tc>
          <w:tcPr>
            <w:tcW w:w="788" w:type="dxa"/>
            <w:vAlign w:val="center"/>
          </w:tcPr>
          <w:p>
            <w:pPr>
              <w:pStyle w:val="3"/>
              <w:adjustRightInd w:val="0"/>
              <w:snapToGrid w:val="0"/>
              <w:spacing w:line="460" w:lineRule="atLeast"/>
              <w:rPr>
                <w:rFonts w:hint="eastAsia" w:hAnsi="宋体" w:eastAsia="宋体"/>
                <w:b w:val="0"/>
                <w:bCs w:val="0"/>
                <w:sz w:val="22"/>
                <w:szCs w:val="22"/>
              </w:rPr>
            </w:pPr>
            <w:r>
              <w:rPr>
                <w:rFonts w:hint="eastAsia" w:hAnsi="宋体" w:eastAsia="宋体"/>
                <w:b w:val="0"/>
                <w:bCs w:val="0"/>
                <w:sz w:val="22"/>
                <w:szCs w:val="22"/>
                <w:lang w:val="en-US" w:eastAsia="zh-CN"/>
              </w:rPr>
              <w:t>10</w:t>
            </w:r>
            <w:r>
              <w:rPr>
                <w:rFonts w:hint="eastAsia" w:hAnsi="宋体" w:eastAsia="宋体"/>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613" w:type="dxa"/>
          </w:tcPr>
          <w:p>
            <w:pPr>
              <w:pStyle w:val="3"/>
              <w:adjustRightInd w:val="0"/>
              <w:snapToGrid w:val="0"/>
              <w:spacing w:line="460" w:lineRule="atLeast"/>
              <w:rPr>
                <w:rFonts w:hAnsi="宋体" w:eastAsia="宋体"/>
                <w:b w:val="0"/>
                <w:bCs w:val="0"/>
                <w:sz w:val="22"/>
                <w:szCs w:val="22"/>
              </w:rPr>
            </w:pPr>
          </w:p>
        </w:tc>
        <w:tc>
          <w:tcPr>
            <w:tcW w:w="1100"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12、售后服务情况</w:t>
            </w:r>
          </w:p>
        </w:tc>
        <w:tc>
          <w:tcPr>
            <w:tcW w:w="7012" w:type="dxa"/>
            <w:vAlign w:val="center"/>
          </w:tcPr>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1）根据投标供应商合理可行的售后服务方案（包括：售后服务机构与项目地点的距离远近、响应时间、上门应急服务时间、质保期、维修保养、技术人员培训、售后服务的承诺等情况）进行综合评审（0～4分）。</w:t>
            </w:r>
          </w:p>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2）售后服务人员配置及管理团队情况：投标人售后服务人员是否具有燃气燃烧器具安装维修证；管理团队是否具有售后服务管理人员及投标人是否取得商品售后服务评价体系认证，团队实力等情况进行综合打分（0～3分）。</w:t>
            </w:r>
          </w:p>
          <w:p>
            <w:pPr>
              <w:pStyle w:val="3"/>
              <w:adjustRightInd w:val="0"/>
              <w:snapToGrid w:val="0"/>
              <w:spacing w:line="460" w:lineRule="atLeast"/>
              <w:rPr>
                <w:rFonts w:hAnsi="宋体" w:eastAsia="宋体"/>
                <w:b w:val="0"/>
                <w:bCs w:val="0"/>
                <w:sz w:val="22"/>
                <w:szCs w:val="22"/>
              </w:rPr>
            </w:pPr>
            <w:r>
              <w:rPr>
                <w:rFonts w:hint="eastAsia" w:hAnsi="宋体" w:eastAsia="宋体"/>
                <w:b w:val="0"/>
                <w:bCs w:val="0"/>
                <w:sz w:val="22"/>
                <w:szCs w:val="22"/>
              </w:rPr>
              <w:t>注：售后服务人员及管理团队人员须为投标人在职员工（提供公司为其近三个月社保缴纳证明）；（提供证书复印件加盖公章，证书必须在有效期内, 否则不得分）</w:t>
            </w:r>
          </w:p>
        </w:tc>
        <w:tc>
          <w:tcPr>
            <w:tcW w:w="788" w:type="dxa"/>
            <w:vAlign w:val="center"/>
          </w:tcPr>
          <w:p>
            <w:pPr>
              <w:pStyle w:val="3"/>
              <w:adjustRightInd w:val="0"/>
              <w:snapToGrid w:val="0"/>
              <w:spacing w:line="460" w:lineRule="atLeast"/>
              <w:jc w:val="center"/>
              <w:rPr>
                <w:rFonts w:hAnsi="宋体" w:eastAsia="宋体"/>
                <w:b w:val="0"/>
                <w:bCs w:val="0"/>
                <w:sz w:val="22"/>
                <w:szCs w:val="22"/>
              </w:rPr>
            </w:pPr>
            <w:r>
              <w:rPr>
                <w:rFonts w:hint="eastAsia" w:hAnsi="宋体" w:eastAsia="宋体"/>
                <w:b w:val="0"/>
                <w:bCs w:val="0"/>
                <w:sz w:val="22"/>
                <w:szCs w:val="22"/>
              </w:rPr>
              <w:t>7分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774CC"/>
    <w:rsid w:val="00172626"/>
    <w:rsid w:val="001D046D"/>
    <w:rsid w:val="00322A6D"/>
    <w:rsid w:val="00382EC6"/>
    <w:rsid w:val="003E6958"/>
    <w:rsid w:val="003F3BD6"/>
    <w:rsid w:val="003F42E5"/>
    <w:rsid w:val="004046F3"/>
    <w:rsid w:val="00427B8B"/>
    <w:rsid w:val="00441ABF"/>
    <w:rsid w:val="00471FDA"/>
    <w:rsid w:val="004D6DFE"/>
    <w:rsid w:val="00540514"/>
    <w:rsid w:val="006649B5"/>
    <w:rsid w:val="00731B8F"/>
    <w:rsid w:val="007C416D"/>
    <w:rsid w:val="00825F8D"/>
    <w:rsid w:val="00982980"/>
    <w:rsid w:val="00B36F7B"/>
    <w:rsid w:val="00C423B7"/>
    <w:rsid w:val="00DB4A56"/>
    <w:rsid w:val="00E13D48"/>
    <w:rsid w:val="00E660A9"/>
    <w:rsid w:val="00EA0A11"/>
    <w:rsid w:val="00EB2816"/>
    <w:rsid w:val="00EC782D"/>
    <w:rsid w:val="00F26F2B"/>
    <w:rsid w:val="22F34F3C"/>
    <w:rsid w:val="3D5330CE"/>
    <w:rsid w:val="3D737F20"/>
    <w:rsid w:val="4A684361"/>
    <w:rsid w:val="69401E0B"/>
    <w:rsid w:val="750638AB"/>
    <w:rsid w:val="76B337BF"/>
    <w:rsid w:val="7C954462"/>
    <w:rsid w:val="7D977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next w:val="4"/>
    <w:qFormat/>
    <w:uiPriority w:val="0"/>
    <w:rPr>
      <w:rFonts w:ascii="宋体" w:hAnsi="Courier New"/>
      <w:szCs w:val="20"/>
    </w:rPr>
  </w:style>
  <w:style w:type="paragraph" w:styleId="4">
    <w:name w:val="toc 2"/>
    <w:basedOn w:val="1"/>
    <w:next w:val="1"/>
    <w:qFormat/>
    <w:uiPriority w:val="0"/>
    <w:pPr>
      <w:ind w:left="420" w:leftChars="200"/>
    </w:pPr>
    <w:rPr>
      <w:szCs w:val="2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仿宋_GB2312" w:hAnsi="宋体" w:eastAsia="仿宋_GB2312" w:cs="宋体"/>
      <w:b/>
      <w:bCs/>
      <w:color w:val="000000"/>
      <w:sz w:val="18"/>
      <w:szCs w:val="18"/>
    </w:rPr>
  </w:style>
  <w:style w:type="character" w:customStyle="1" w:styleId="10">
    <w:name w:val="页脚 Char"/>
    <w:basedOn w:val="8"/>
    <w:link w:val="5"/>
    <w:qFormat/>
    <w:uiPriority w:val="0"/>
    <w:rPr>
      <w:rFonts w:ascii="仿宋_GB2312" w:hAnsi="宋体" w:eastAsia="仿宋_GB2312" w:cs="宋体"/>
      <w:b/>
      <w:bCs/>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526</Words>
  <Characters>3002</Characters>
  <Lines>25</Lines>
  <Paragraphs>7</Paragraphs>
  <TotalTime>35</TotalTime>
  <ScaleCrop>false</ScaleCrop>
  <LinksUpToDate>false</LinksUpToDate>
  <CharactersWithSpaces>3521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2020-08-13T01:48:00Z</dcterms:created>
  <dc:creator>x_b</dc:creator>
  <cp:lastModifiedBy>x_b</cp:lastModifiedBy>
  <dcterms:modified xsi:type="dcterms:W3CDTF">2020-08-26T07:01:50Z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