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8"/>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7" w:hRule="atLeast"/>
        </w:trPr>
        <w:tc>
          <w:tcPr>
            <w:tcW w:w="9854" w:type="dxa"/>
          </w:tcPr>
          <w:p>
            <w:pPr>
              <w:tabs>
                <w:tab w:val="left" w:pos="8375"/>
              </w:tabs>
              <w:spacing w:line="460" w:lineRule="exact"/>
              <w:rPr>
                <w:rFonts w:ascii="宋体" w:hAnsi="宋体"/>
                <w:b/>
                <w:color w:val="000000"/>
                <w:sz w:val="36"/>
              </w:rPr>
            </w:pPr>
          </w:p>
          <w:p>
            <w:pPr>
              <w:spacing w:line="460" w:lineRule="exact"/>
              <w:jc w:val="center"/>
              <w:rPr>
                <w:rFonts w:ascii="宋体" w:hAnsi="宋体"/>
                <w:color w:val="000000"/>
                <w:sz w:val="28"/>
                <w:szCs w:val="28"/>
              </w:rPr>
            </w:pPr>
          </w:p>
          <w:p>
            <w:pPr>
              <w:jc w:val="center"/>
              <w:rPr>
                <w:rFonts w:ascii="宋体" w:hAnsi="宋体"/>
                <w:b/>
                <w:bCs/>
                <w:color w:val="000000"/>
                <w:sz w:val="72"/>
                <w:szCs w:val="72"/>
              </w:rPr>
            </w:pPr>
            <w:r>
              <w:rPr>
                <w:rFonts w:hint="eastAsia" w:ascii="宋体" w:hAnsi="宋体"/>
                <w:b/>
                <w:bCs/>
                <w:color w:val="000000"/>
                <w:sz w:val="72"/>
                <w:szCs w:val="72"/>
              </w:rPr>
              <w:t>龙 港 市 政 府 采 购</w:t>
            </w:r>
          </w:p>
          <w:p>
            <w:pPr>
              <w:jc w:val="center"/>
              <w:rPr>
                <w:rFonts w:ascii="宋体" w:hAnsi="宋体"/>
                <w:b/>
                <w:bCs/>
                <w:color w:val="000000"/>
                <w:sz w:val="72"/>
                <w:szCs w:val="72"/>
              </w:rPr>
            </w:pPr>
            <w:r>
              <w:rPr>
                <w:rFonts w:hint="eastAsia" w:ascii="宋体" w:hAnsi="宋体"/>
                <w:b/>
                <w:bCs/>
                <w:color w:val="000000"/>
                <w:sz w:val="72"/>
                <w:szCs w:val="72"/>
              </w:rPr>
              <w:t>竞争性磋商文件</w:t>
            </w:r>
          </w:p>
          <w:p>
            <w:pPr>
              <w:spacing w:line="440" w:lineRule="exact"/>
              <w:ind w:left="1148"/>
              <w:rPr>
                <w:rFonts w:ascii="宋体" w:hAnsi="宋体"/>
                <w:b/>
                <w:bCs/>
                <w:color w:val="000000"/>
                <w:sz w:val="28"/>
              </w:rPr>
            </w:pPr>
          </w:p>
          <w:p>
            <w:pPr>
              <w:spacing w:line="440" w:lineRule="exact"/>
              <w:rPr>
                <w:rFonts w:ascii="宋体" w:hAnsi="宋体"/>
                <w:b/>
                <w:bCs/>
                <w:color w:val="000000"/>
                <w:sz w:val="28"/>
              </w:rPr>
            </w:pPr>
          </w:p>
          <w:p>
            <w:pPr>
              <w:spacing w:line="440" w:lineRule="exact"/>
              <w:ind w:left="3163" w:leftChars="869" w:hanging="1338" w:hangingChars="476"/>
              <w:rPr>
                <w:rFonts w:ascii="宋体" w:hAnsi="宋体"/>
                <w:b/>
                <w:bCs/>
                <w:color w:val="000000"/>
                <w:sz w:val="28"/>
                <w:szCs w:val="28"/>
              </w:rPr>
            </w:pPr>
            <w:r>
              <w:rPr>
                <w:rFonts w:hint="eastAsia" w:ascii="宋体" w:hAnsi="宋体"/>
                <w:b/>
                <w:color w:val="000000"/>
                <w:sz w:val="28"/>
                <w:szCs w:val="28"/>
                <w:u w:color="800080"/>
              </w:rPr>
              <w:t>项目名称：</w:t>
            </w:r>
            <w:r>
              <w:rPr>
                <w:rFonts w:hint="eastAsia" w:ascii="宋体" w:hAnsi="宋体"/>
                <w:b/>
                <w:bCs/>
                <w:color w:val="000000"/>
                <w:sz w:val="28"/>
                <w:szCs w:val="28"/>
              </w:rPr>
              <w:t>龙港市水利工程运行维修项目</w:t>
            </w:r>
          </w:p>
          <w:p>
            <w:pPr>
              <w:spacing w:line="440" w:lineRule="exact"/>
              <w:ind w:left="3163" w:leftChars="869" w:hanging="1338" w:hangingChars="476"/>
              <w:rPr>
                <w:rFonts w:ascii="宋体" w:hAnsi="宋体"/>
                <w:b/>
                <w:bCs/>
                <w:color w:val="000000"/>
                <w:sz w:val="28"/>
                <w:szCs w:val="28"/>
              </w:rPr>
            </w:pPr>
            <w:r>
              <w:rPr>
                <w:rFonts w:hint="eastAsia" w:ascii="宋体" w:hAnsi="宋体"/>
                <w:b/>
                <w:bCs/>
                <w:color w:val="000000"/>
                <w:sz w:val="28"/>
                <w:szCs w:val="28"/>
              </w:rPr>
              <w:t>采购编号：LGCG2020097</w:t>
            </w:r>
          </w:p>
          <w:p>
            <w:pPr>
              <w:spacing w:line="440" w:lineRule="exact"/>
              <w:ind w:firstLine="1827" w:firstLineChars="650"/>
              <w:rPr>
                <w:rFonts w:ascii="宋体" w:hAnsi="宋体"/>
                <w:b/>
                <w:bCs/>
                <w:color w:val="FFFFFF"/>
                <w:sz w:val="28"/>
                <w:szCs w:val="28"/>
                <w:highlight w:val="yellow"/>
              </w:rPr>
            </w:pPr>
            <w:r>
              <w:rPr>
                <w:rFonts w:hint="eastAsia" w:ascii="宋体" w:hAnsi="宋体" w:cs="仿宋_GB2312"/>
                <w:b/>
                <w:sz w:val="28"/>
                <w:szCs w:val="28"/>
                <w:u w:color="800080"/>
              </w:rPr>
              <w:t>采购类型：分散采购委托代理</w:t>
            </w:r>
            <w:r>
              <w:rPr>
                <w:rFonts w:hint="eastAsia" w:ascii="宋体" w:hAnsi="宋体"/>
                <w:b/>
                <w:bCs/>
                <w:color w:val="FFFFFF"/>
                <w:sz w:val="28"/>
                <w:szCs w:val="28"/>
              </w:rPr>
              <w:t>采购编号：CNDL2017</w:t>
            </w:r>
          </w:p>
          <w:p>
            <w:pPr>
              <w:snapToGrid w:val="0"/>
              <w:spacing w:line="440" w:lineRule="atLeast"/>
              <w:ind w:left="-107" w:leftChars="-51" w:firstLine="2280" w:firstLineChars="811"/>
              <w:rPr>
                <w:rFonts w:ascii="宋体" w:hAnsi="宋体"/>
                <w:b/>
                <w:bCs/>
                <w:color w:val="000000"/>
                <w:sz w:val="28"/>
                <w:szCs w:val="28"/>
              </w:rPr>
            </w:pPr>
          </w:p>
          <w:p>
            <w:pPr>
              <w:pStyle w:val="22"/>
              <w:ind w:left="1470" w:right="1470"/>
            </w:pPr>
          </w:p>
          <w:p>
            <w:pPr>
              <w:spacing w:line="440" w:lineRule="exact"/>
              <w:ind w:left="-107" w:leftChars="-51" w:firstLine="2280" w:firstLineChars="811"/>
              <w:rPr>
                <w:rFonts w:ascii="宋体" w:hAnsi="宋体"/>
                <w:b/>
                <w:bCs/>
                <w:color w:val="000000"/>
                <w:sz w:val="28"/>
                <w:szCs w:val="28"/>
              </w:rPr>
            </w:pPr>
          </w:p>
          <w:p>
            <w:pPr>
              <w:spacing w:line="440" w:lineRule="exact"/>
              <w:ind w:firstLine="1816" w:firstLineChars="646"/>
              <w:rPr>
                <w:rFonts w:ascii="宋体" w:hAnsi="宋体"/>
                <w:b/>
                <w:bCs/>
                <w:color w:val="000000"/>
                <w:sz w:val="28"/>
                <w:szCs w:val="28"/>
              </w:rPr>
            </w:pPr>
            <w:r>
              <w:rPr>
                <w:rFonts w:hint="eastAsia" w:ascii="宋体" w:hAnsi="宋体"/>
                <w:b/>
                <w:bCs/>
                <w:color w:val="000000"/>
                <w:sz w:val="28"/>
                <w:szCs w:val="28"/>
              </w:rPr>
              <w:t>采 购 人：龙港市农业农村局</w:t>
            </w:r>
          </w:p>
          <w:p>
            <w:pPr>
              <w:spacing w:line="440" w:lineRule="exact"/>
              <w:ind w:firstLine="1816" w:firstLineChars="646"/>
              <w:rPr>
                <w:rFonts w:ascii="宋体" w:hAnsi="宋体"/>
                <w:b/>
                <w:bCs/>
                <w:color w:val="000000"/>
                <w:sz w:val="28"/>
                <w:szCs w:val="28"/>
              </w:rPr>
            </w:pPr>
            <w:r>
              <w:rPr>
                <w:rFonts w:hint="eastAsia" w:ascii="宋体" w:hAnsi="宋体"/>
                <w:b/>
                <w:bCs/>
                <w:color w:val="000000"/>
                <w:sz w:val="28"/>
                <w:szCs w:val="28"/>
              </w:rPr>
              <w:t>联 系 人：朱先生</w:t>
            </w:r>
          </w:p>
          <w:p>
            <w:pPr>
              <w:spacing w:line="440" w:lineRule="exact"/>
              <w:ind w:left="-107" w:leftChars="-51" w:firstLine="2280" w:firstLineChars="811"/>
              <w:rPr>
                <w:rFonts w:ascii="宋体" w:hAnsi="宋体"/>
                <w:b/>
                <w:color w:val="000000"/>
                <w:sz w:val="28"/>
                <w:szCs w:val="28"/>
              </w:rPr>
            </w:pPr>
          </w:p>
          <w:p>
            <w:pPr>
              <w:spacing w:line="440" w:lineRule="exact"/>
              <w:ind w:left="-107" w:leftChars="-51" w:firstLine="2280" w:firstLineChars="811"/>
              <w:rPr>
                <w:rFonts w:ascii="宋体" w:hAnsi="宋体"/>
                <w:b/>
                <w:color w:val="000000"/>
                <w:sz w:val="28"/>
                <w:szCs w:val="28"/>
              </w:rPr>
            </w:pPr>
          </w:p>
          <w:p>
            <w:pPr>
              <w:spacing w:line="440" w:lineRule="exact"/>
              <w:ind w:left="-107" w:leftChars="-51" w:firstLine="2280" w:firstLineChars="811"/>
              <w:rPr>
                <w:rFonts w:ascii="宋体" w:hAnsi="宋体"/>
                <w:b/>
                <w:color w:val="000000"/>
                <w:sz w:val="28"/>
                <w:szCs w:val="28"/>
              </w:rPr>
            </w:pPr>
          </w:p>
          <w:p>
            <w:pPr>
              <w:spacing w:line="440" w:lineRule="exact"/>
              <w:ind w:firstLine="1816" w:firstLineChars="646"/>
              <w:rPr>
                <w:rFonts w:ascii="宋体" w:hAnsi="宋体"/>
                <w:b/>
                <w:color w:val="000000"/>
                <w:sz w:val="28"/>
                <w:szCs w:val="28"/>
              </w:rPr>
            </w:pPr>
            <w:r>
              <w:rPr>
                <w:rFonts w:hint="eastAsia" w:ascii="宋体" w:hAnsi="宋体"/>
                <w:b/>
                <w:color w:val="000000"/>
                <w:sz w:val="28"/>
                <w:szCs w:val="28"/>
              </w:rPr>
              <w:t>代理机构：浙江首信工程项目管理有限公司</w:t>
            </w:r>
          </w:p>
          <w:p>
            <w:pPr>
              <w:spacing w:line="440" w:lineRule="exact"/>
              <w:ind w:firstLine="1816" w:firstLineChars="646"/>
              <w:rPr>
                <w:rFonts w:ascii="宋体" w:hAnsi="宋体"/>
                <w:b/>
                <w:color w:val="000000"/>
                <w:sz w:val="28"/>
                <w:szCs w:val="28"/>
              </w:rPr>
            </w:pPr>
            <w:r>
              <w:rPr>
                <w:rFonts w:hint="eastAsia" w:ascii="宋体" w:hAnsi="宋体"/>
                <w:b/>
                <w:color w:val="000000"/>
                <w:sz w:val="28"/>
                <w:szCs w:val="28"/>
              </w:rPr>
              <w:t xml:space="preserve">联 系 人：刘先生 </w:t>
            </w:r>
          </w:p>
          <w:p>
            <w:pPr>
              <w:spacing w:line="440" w:lineRule="exact"/>
              <w:ind w:firstLine="1816" w:firstLineChars="646"/>
              <w:rPr>
                <w:rFonts w:ascii="宋体" w:hAnsi="宋体"/>
                <w:b/>
                <w:color w:val="000000"/>
                <w:sz w:val="28"/>
                <w:szCs w:val="28"/>
              </w:rPr>
            </w:pPr>
            <w:r>
              <w:rPr>
                <w:rFonts w:hint="eastAsia" w:ascii="宋体" w:hAnsi="宋体"/>
                <w:b/>
                <w:color w:val="000000"/>
                <w:sz w:val="28"/>
                <w:szCs w:val="28"/>
              </w:rPr>
              <w:t>联系电话：0577-68877002</w:t>
            </w:r>
          </w:p>
          <w:p>
            <w:pPr>
              <w:spacing w:line="440" w:lineRule="exact"/>
              <w:ind w:firstLine="1816" w:firstLineChars="646"/>
              <w:rPr>
                <w:rFonts w:ascii="宋体" w:hAnsi="宋体"/>
                <w:b/>
                <w:color w:val="000000"/>
                <w:sz w:val="28"/>
                <w:szCs w:val="28"/>
              </w:rPr>
            </w:pPr>
            <w:r>
              <w:rPr>
                <w:rFonts w:hint="eastAsia" w:ascii="宋体" w:hAnsi="宋体"/>
                <w:b/>
                <w:color w:val="000000"/>
                <w:sz w:val="28"/>
                <w:szCs w:val="28"/>
              </w:rPr>
              <w:t>联系传真：0577-68877005</w:t>
            </w:r>
          </w:p>
          <w:p>
            <w:pPr>
              <w:pStyle w:val="25"/>
              <w:ind w:left="0" w:leftChars="0"/>
              <w:rPr>
                <w:rFonts w:ascii="宋体" w:hAnsi="宋体"/>
                <w:b/>
                <w:sz w:val="28"/>
                <w:szCs w:val="28"/>
              </w:rPr>
            </w:pPr>
          </w:p>
          <w:p>
            <w:pPr>
              <w:ind w:left="-107" w:leftChars="-51" w:firstLine="2280" w:firstLineChars="811"/>
              <w:rPr>
                <w:rFonts w:ascii="宋体" w:hAnsi="宋体"/>
                <w:b/>
                <w:color w:val="000000"/>
                <w:sz w:val="28"/>
                <w:szCs w:val="28"/>
              </w:rPr>
            </w:pPr>
          </w:p>
          <w:p>
            <w:pPr>
              <w:pStyle w:val="25"/>
              <w:ind w:left="99" w:leftChars="47" w:firstLine="42" w:firstLineChars="15"/>
              <w:jc w:val="center"/>
              <w:rPr>
                <w:rFonts w:ascii="宋体" w:hAnsi="宋体"/>
                <w:b/>
                <w:sz w:val="30"/>
                <w:szCs w:val="30"/>
              </w:rPr>
            </w:pPr>
            <w:r>
              <w:rPr>
                <w:rFonts w:hint="eastAsia" w:ascii="宋体" w:hAnsi="宋体"/>
                <w:b/>
                <w:sz w:val="28"/>
                <w:szCs w:val="28"/>
              </w:rPr>
              <w:t>监督机构：</w:t>
            </w:r>
            <w:r>
              <w:rPr>
                <w:rFonts w:hint="eastAsia" w:ascii="宋体" w:hAnsi="宋体"/>
                <w:b/>
                <w:color w:val="auto"/>
                <w:sz w:val="28"/>
                <w:szCs w:val="28"/>
              </w:rPr>
              <w:t>龙港市财政局财政监督科</w:t>
            </w:r>
          </w:p>
          <w:p>
            <w:pPr>
              <w:ind w:firstLine="1710" w:firstLineChars="811"/>
              <w:rPr>
                <w:rFonts w:ascii="宋体" w:hAnsi="宋体"/>
                <w:b/>
              </w:rPr>
            </w:pPr>
          </w:p>
          <w:p>
            <w:pPr>
              <w:ind w:firstLine="1710" w:firstLineChars="811"/>
              <w:rPr>
                <w:rFonts w:ascii="宋体" w:hAnsi="宋体"/>
                <w:b/>
              </w:rPr>
            </w:pPr>
          </w:p>
          <w:p>
            <w:pPr>
              <w:jc w:val="center"/>
            </w:pPr>
            <w:r>
              <w:rPr>
                <w:rFonts w:hint="eastAsia" w:ascii="宋体" w:hAnsi="宋体"/>
                <w:b/>
                <w:sz w:val="30"/>
                <w:szCs w:val="30"/>
              </w:rPr>
              <w:t>二○二○年八月</w:t>
            </w:r>
          </w:p>
        </w:tc>
      </w:tr>
    </w:tbl>
    <w:p>
      <w:pPr>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851" w:footer="992" w:gutter="0"/>
          <w:cols w:space="720" w:num="1"/>
          <w:titlePg/>
          <w:docGrid w:type="lines" w:linePitch="312" w:charSpace="0"/>
        </w:sectPr>
      </w:pPr>
    </w:p>
    <w:p>
      <w:pPr>
        <w:widowControl/>
        <w:spacing w:before="99" w:after="99" w:line="360" w:lineRule="auto"/>
        <w:ind w:right="99"/>
        <w:jc w:val="center"/>
        <w:outlineLvl w:val="0"/>
        <w:rPr>
          <w:rFonts w:ascii="宋体" w:hAnsi="宋体" w:cs="宋体"/>
          <w:b/>
          <w:color w:val="000000"/>
          <w:kern w:val="0"/>
          <w:sz w:val="32"/>
          <w:szCs w:val="32"/>
        </w:rPr>
      </w:pPr>
      <w:r>
        <w:rPr>
          <w:rFonts w:hint="eastAsia" w:ascii="宋体" w:hAnsi="宋体"/>
          <w:b/>
          <w:bCs/>
          <w:color w:val="000000"/>
          <w:sz w:val="32"/>
          <w:szCs w:val="32"/>
        </w:rPr>
        <w:t>浙江首信工程项目管理有限公司关于龙港市水利工程运行维修项目</w:t>
      </w:r>
      <w:r>
        <w:rPr>
          <w:rFonts w:hint="eastAsia" w:ascii="宋体" w:hAnsi="宋体" w:cs="宋体"/>
          <w:b/>
          <w:color w:val="000000"/>
          <w:kern w:val="0"/>
          <w:sz w:val="32"/>
          <w:szCs w:val="32"/>
        </w:rPr>
        <w:t>的竞争性磋商公告</w:t>
      </w:r>
    </w:p>
    <w:p>
      <w:pPr>
        <w:pBdr>
          <w:top w:val="single" w:color="auto" w:sz="4" w:space="1"/>
          <w:left w:val="single" w:color="auto" w:sz="4" w:space="4"/>
          <w:bottom w:val="single" w:color="auto" w:sz="4" w:space="1"/>
          <w:right w:val="single" w:color="auto" w:sz="4" w:space="4"/>
        </w:pBdr>
        <w:spacing w:line="360" w:lineRule="auto"/>
        <w:ind w:firstLine="440" w:firstLineChars="200"/>
        <w:rPr>
          <w:rFonts w:cs="新宋体"/>
          <w:sz w:val="22"/>
          <w:szCs w:val="22"/>
        </w:rPr>
      </w:pPr>
      <w:r>
        <w:rPr>
          <w:rFonts w:hint="eastAsia" w:ascii="宋体" w:hAnsi="宋体" w:cs="新宋体"/>
          <w:sz w:val="22"/>
          <w:szCs w:val="22"/>
        </w:rPr>
        <w:t>项目概况</w:t>
      </w:r>
    </w:p>
    <w:p>
      <w:pPr>
        <w:pBdr>
          <w:top w:val="single" w:color="auto" w:sz="4" w:space="1"/>
          <w:left w:val="single" w:color="auto" w:sz="4" w:space="4"/>
          <w:bottom w:val="single" w:color="auto" w:sz="4" w:space="1"/>
          <w:right w:val="single" w:color="auto" w:sz="4" w:space="4"/>
        </w:pBdr>
        <w:spacing w:line="360" w:lineRule="auto"/>
        <w:ind w:firstLine="440" w:firstLineChars="200"/>
        <w:rPr>
          <w:rFonts w:ascii="宋体" w:hAnsi="宋体" w:cs="宋体"/>
          <w:color w:val="000000"/>
          <w:kern w:val="0"/>
          <w:sz w:val="22"/>
          <w:szCs w:val="22"/>
        </w:rPr>
      </w:pPr>
      <w:r>
        <w:rPr>
          <w:rFonts w:hint="eastAsia" w:ascii="宋体" w:hAnsi="宋体" w:cs="新宋体"/>
          <w:sz w:val="22"/>
          <w:szCs w:val="22"/>
          <w:u w:val="single"/>
        </w:rPr>
        <w:t xml:space="preserve">龙港市水利工程运行维修项目 </w:t>
      </w:r>
      <w:r>
        <w:rPr>
          <w:rFonts w:hint="eastAsia" w:ascii="宋体" w:hAnsi="宋体" w:cs="新宋体"/>
          <w:sz w:val="22"/>
          <w:szCs w:val="22"/>
        </w:rPr>
        <w:t>招标项目的潜在投标人应在</w:t>
      </w:r>
      <w:r>
        <w:rPr>
          <w:rFonts w:ascii="宋体" w:hAnsi="宋体" w:cs="新宋体"/>
          <w:sz w:val="22"/>
          <w:szCs w:val="22"/>
        </w:rPr>
        <w:t>浙江政府采购</w:t>
      </w:r>
      <w:r>
        <w:rPr>
          <w:rFonts w:hint="eastAsia" w:ascii="宋体" w:hAnsi="宋体" w:cs="新宋体"/>
          <w:sz w:val="22"/>
          <w:szCs w:val="22"/>
          <w:lang w:val="en-US" w:eastAsia="zh-CN"/>
        </w:rPr>
        <w:t>采购网获取</w:t>
      </w:r>
      <w:r>
        <w:rPr>
          <w:rFonts w:hint="eastAsia" w:ascii="宋体" w:hAnsi="宋体" w:cs="新宋体"/>
          <w:sz w:val="22"/>
          <w:szCs w:val="22"/>
        </w:rPr>
        <w:t>（下载）招标文件，并于</w:t>
      </w:r>
      <w:r>
        <w:rPr>
          <w:rFonts w:cs="新宋体"/>
          <w:sz w:val="22"/>
          <w:szCs w:val="22"/>
        </w:rPr>
        <w:t xml:space="preserve"> 2020</w:t>
      </w:r>
      <w:r>
        <w:rPr>
          <w:rFonts w:hint="eastAsia" w:ascii="宋体" w:hAnsi="宋体" w:cs="新宋体"/>
          <w:sz w:val="22"/>
          <w:szCs w:val="22"/>
        </w:rPr>
        <w:t>年</w:t>
      </w:r>
      <w:r>
        <w:rPr>
          <w:rFonts w:hint="eastAsia" w:cs="新宋体"/>
          <w:sz w:val="22"/>
          <w:szCs w:val="22"/>
        </w:rPr>
        <w:t>8</w:t>
      </w:r>
      <w:r>
        <w:rPr>
          <w:rFonts w:hint="eastAsia" w:ascii="宋体" w:hAnsi="宋体" w:cs="新宋体"/>
          <w:sz w:val="22"/>
          <w:szCs w:val="22"/>
        </w:rPr>
        <w:t>月</w:t>
      </w:r>
      <w:r>
        <w:rPr>
          <w:rFonts w:hint="eastAsia" w:cs="新宋体"/>
          <w:sz w:val="22"/>
          <w:szCs w:val="22"/>
        </w:rPr>
        <w:t>24</w:t>
      </w:r>
      <w:r>
        <w:rPr>
          <w:rFonts w:hint="eastAsia" w:ascii="宋体" w:hAnsi="宋体" w:cs="新宋体"/>
          <w:sz w:val="22"/>
          <w:szCs w:val="22"/>
        </w:rPr>
        <w:t>日</w:t>
      </w:r>
      <w:r>
        <w:rPr>
          <w:rFonts w:hint="eastAsia" w:cs="新宋体"/>
          <w:sz w:val="22"/>
          <w:szCs w:val="22"/>
        </w:rPr>
        <w:t>15</w:t>
      </w:r>
      <w:r>
        <w:rPr>
          <w:rFonts w:cs="新宋体"/>
          <w:sz w:val="22"/>
          <w:szCs w:val="22"/>
        </w:rPr>
        <w:t>:</w:t>
      </w:r>
      <w:r>
        <w:rPr>
          <w:rFonts w:hint="eastAsia" w:cs="新宋体"/>
          <w:sz w:val="22"/>
          <w:szCs w:val="22"/>
        </w:rPr>
        <w:t>0</w:t>
      </w:r>
      <w:r>
        <w:rPr>
          <w:rFonts w:cs="新宋体"/>
          <w:sz w:val="22"/>
          <w:szCs w:val="22"/>
        </w:rPr>
        <w:t xml:space="preserve">0 </w:t>
      </w:r>
      <w:r>
        <w:rPr>
          <w:rFonts w:hint="eastAsia" w:ascii="宋体" w:hAnsi="宋体" w:cs="新宋体"/>
          <w:sz w:val="22"/>
          <w:szCs w:val="22"/>
        </w:rPr>
        <w:t>（北京时间）前递交</w:t>
      </w:r>
      <w:r>
        <w:rPr>
          <w:rFonts w:hint="eastAsia" w:ascii="宋体" w:hAnsi="宋体" w:cs="新宋体"/>
          <w:sz w:val="22"/>
          <w:szCs w:val="22"/>
          <w:lang w:val="en-US" w:eastAsia="zh-CN"/>
        </w:rPr>
        <w:t>投标</w:t>
      </w:r>
      <w:r>
        <w:rPr>
          <w:rFonts w:hint="eastAsia" w:ascii="宋体" w:hAnsi="宋体" w:cs="新宋体"/>
          <w:sz w:val="22"/>
          <w:szCs w:val="22"/>
        </w:rPr>
        <w:t>文件。</w:t>
      </w:r>
    </w:p>
    <w:p>
      <w:pPr>
        <w:spacing w:line="360" w:lineRule="auto"/>
        <w:rPr>
          <w:rFonts w:cs="新宋体"/>
          <w:b/>
          <w:bCs/>
          <w:sz w:val="22"/>
          <w:szCs w:val="22"/>
        </w:rPr>
      </w:pPr>
      <w:r>
        <w:rPr>
          <w:rFonts w:hint="eastAsia" w:ascii="宋体" w:hAnsi="宋体" w:cs="新宋体"/>
          <w:b/>
          <w:bCs/>
          <w:sz w:val="22"/>
          <w:szCs w:val="22"/>
        </w:rPr>
        <w:t>一、项目基本情况</w:t>
      </w:r>
    </w:p>
    <w:p>
      <w:pPr>
        <w:spacing w:line="360" w:lineRule="auto"/>
        <w:rPr>
          <w:rFonts w:cs="新宋体"/>
          <w:sz w:val="22"/>
          <w:szCs w:val="22"/>
        </w:rPr>
      </w:pPr>
      <w:r>
        <w:rPr>
          <w:rFonts w:hint="eastAsia" w:ascii="宋体" w:hAnsi="宋体" w:cs="新宋体"/>
          <w:sz w:val="22"/>
          <w:szCs w:val="22"/>
        </w:rPr>
        <w:t xml:space="preserve">项目编号：LGCG2020097 </w:t>
      </w:r>
    </w:p>
    <w:p>
      <w:pPr>
        <w:spacing w:line="360" w:lineRule="auto"/>
        <w:ind w:firstLine="440"/>
        <w:rPr>
          <w:rFonts w:ascii="宋体" w:hAnsi="宋体" w:cs="新宋体"/>
          <w:sz w:val="22"/>
          <w:szCs w:val="22"/>
        </w:rPr>
      </w:pPr>
      <w:r>
        <w:rPr>
          <w:rFonts w:hint="eastAsia" w:ascii="宋体" w:hAnsi="宋体" w:cs="新宋体"/>
          <w:sz w:val="22"/>
          <w:szCs w:val="22"/>
        </w:rPr>
        <w:t>项目名称：龙港市水利工程运行维修项目</w:t>
      </w:r>
    </w:p>
    <w:p>
      <w:pPr>
        <w:spacing w:line="360" w:lineRule="auto"/>
        <w:ind w:firstLine="440"/>
        <w:rPr>
          <w:rFonts w:ascii="宋体" w:hAnsi="宋体" w:cs="新宋体"/>
          <w:sz w:val="22"/>
          <w:szCs w:val="22"/>
        </w:rPr>
      </w:pPr>
      <w:r>
        <w:rPr>
          <w:rFonts w:hint="eastAsia" w:ascii="宋体" w:hAnsi="宋体" w:cs="新宋体"/>
          <w:sz w:val="22"/>
          <w:szCs w:val="22"/>
        </w:rPr>
        <w:t>采购方式：竞争性磋商</w:t>
      </w:r>
    </w:p>
    <w:p>
      <w:pPr>
        <w:spacing w:line="360" w:lineRule="auto"/>
        <w:ind w:firstLine="440"/>
        <w:rPr>
          <w:rFonts w:cs="新宋体"/>
          <w:sz w:val="22"/>
          <w:szCs w:val="22"/>
        </w:rPr>
      </w:pPr>
      <w:r>
        <w:rPr>
          <w:rFonts w:hint="eastAsia" w:ascii="宋体" w:hAnsi="宋体" w:cs="新宋体"/>
          <w:sz w:val="22"/>
          <w:szCs w:val="22"/>
        </w:rPr>
        <w:t>预算金额（元）：1286735</w:t>
      </w:r>
    </w:p>
    <w:p>
      <w:pPr>
        <w:spacing w:line="360" w:lineRule="auto"/>
        <w:ind w:firstLine="440"/>
        <w:rPr>
          <w:rFonts w:cs="新宋体"/>
          <w:sz w:val="22"/>
          <w:szCs w:val="22"/>
        </w:rPr>
      </w:pPr>
      <w:r>
        <w:rPr>
          <w:rFonts w:hint="eastAsia" w:ascii="宋体" w:hAnsi="宋体" w:cs="新宋体"/>
          <w:sz w:val="22"/>
          <w:szCs w:val="22"/>
        </w:rPr>
        <w:t xml:space="preserve">最高限价（元）：1286735 </w:t>
      </w:r>
    </w:p>
    <w:p>
      <w:pPr>
        <w:spacing w:line="360" w:lineRule="auto"/>
        <w:rPr>
          <w:rFonts w:ascii="宋体" w:hAnsi="宋体" w:cs="宋体"/>
          <w:kern w:val="0"/>
          <w:sz w:val="22"/>
          <w:szCs w:val="22"/>
        </w:rPr>
      </w:pPr>
      <w:r>
        <w:rPr>
          <w:rFonts w:hint="eastAsia" w:ascii="宋体" w:hAnsi="宋体" w:cs="新宋体"/>
          <w:sz w:val="22"/>
          <w:szCs w:val="22"/>
        </w:rPr>
        <w:t>采购需求：</w:t>
      </w:r>
    </w:p>
    <w:p>
      <w:pPr>
        <w:spacing w:line="360" w:lineRule="auto"/>
        <w:ind w:firstLine="440"/>
        <w:rPr>
          <w:rFonts w:hint="eastAsia" w:ascii="宋体" w:hAnsi="宋体" w:cs="新宋体"/>
          <w:sz w:val="22"/>
          <w:szCs w:val="22"/>
        </w:rPr>
      </w:pPr>
      <w:r>
        <w:rPr>
          <w:rFonts w:hint="eastAsia" w:ascii="宋体" w:hAnsi="宋体" w:cs="新宋体"/>
          <w:sz w:val="22"/>
          <w:szCs w:val="22"/>
        </w:rPr>
        <w:t>标项一:</w:t>
      </w:r>
      <w:bookmarkStart w:id="68" w:name="_GoBack"/>
      <w:bookmarkEnd w:id="68"/>
      <w:r>
        <w:rPr>
          <w:rFonts w:hint="eastAsia" w:ascii="宋体" w:hAnsi="宋体" w:cs="新宋体"/>
          <w:sz w:val="22"/>
          <w:szCs w:val="22"/>
        </w:rPr>
        <w:br w:type="textWrapping"/>
      </w:r>
      <w:r>
        <w:rPr>
          <w:rFonts w:hint="eastAsia" w:ascii="宋体" w:hAnsi="宋体" w:cs="新宋体"/>
          <w:sz w:val="22"/>
          <w:szCs w:val="22"/>
        </w:rPr>
        <w:t>    标项名称: 龙港市水利工程运行维修项目 </w:t>
      </w:r>
      <w:r>
        <w:rPr>
          <w:rFonts w:hint="eastAsia" w:ascii="宋体" w:hAnsi="宋体" w:cs="新宋体"/>
          <w:sz w:val="22"/>
          <w:szCs w:val="22"/>
        </w:rPr>
        <w:br w:type="textWrapping"/>
      </w:r>
      <w:r>
        <w:rPr>
          <w:rFonts w:hint="eastAsia" w:ascii="宋体" w:hAnsi="宋体" w:cs="新宋体"/>
          <w:sz w:val="22"/>
          <w:szCs w:val="22"/>
        </w:rPr>
        <w:t>    数量: 1  </w:t>
      </w:r>
      <w:r>
        <w:rPr>
          <w:rFonts w:hint="eastAsia" w:ascii="宋体" w:hAnsi="宋体" w:cs="新宋体"/>
          <w:sz w:val="22"/>
          <w:szCs w:val="22"/>
        </w:rPr>
        <w:br w:type="textWrapping"/>
      </w:r>
      <w:r>
        <w:rPr>
          <w:rFonts w:hint="eastAsia" w:ascii="宋体" w:hAnsi="宋体" w:cs="新宋体"/>
          <w:sz w:val="22"/>
          <w:szCs w:val="22"/>
        </w:rPr>
        <w:t>    预算金额（元）: 1286735 </w:t>
      </w:r>
      <w:r>
        <w:rPr>
          <w:rFonts w:hint="eastAsia" w:ascii="宋体" w:hAnsi="宋体" w:cs="新宋体"/>
          <w:sz w:val="22"/>
          <w:szCs w:val="22"/>
        </w:rPr>
        <w:br w:type="textWrapping"/>
      </w:r>
      <w:r>
        <w:rPr>
          <w:rFonts w:hint="eastAsia" w:ascii="宋体" w:hAnsi="宋体" w:cs="新宋体"/>
          <w:sz w:val="22"/>
          <w:szCs w:val="22"/>
        </w:rPr>
        <w:t>    简要规格描述或项目基本概况介绍、用途：具体采购内容和要求见招标文件 </w:t>
      </w:r>
      <w:r>
        <w:rPr>
          <w:rFonts w:hint="eastAsia" w:ascii="宋体" w:hAnsi="宋体" w:cs="新宋体"/>
          <w:sz w:val="22"/>
          <w:szCs w:val="22"/>
        </w:rPr>
        <w:br w:type="textWrapping"/>
      </w:r>
      <w:r>
        <w:rPr>
          <w:rFonts w:hint="eastAsia" w:ascii="宋体" w:hAnsi="宋体" w:cs="新宋体"/>
          <w:sz w:val="22"/>
          <w:szCs w:val="22"/>
        </w:rPr>
        <w:t>    备注： </w:t>
      </w:r>
    </w:p>
    <w:p>
      <w:pPr>
        <w:spacing w:line="360" w:lineRule="auto"/>
        <w:ind w:firstLine="440"/>
        <w:rPr>
          <w:rFonts w:hint="eastAsia" w:ascii="宋体" w:hAnsi="宋体" w:cs="新宋体"/>
          <w:sz w:val="22"/>
          <w:szCs w:val="22"/>
        </w:rPr>
      </w:pPr>
      <w:r>
        <w:rPr>
          <w:rFonts w:hint="eastAsia" w:ascii="宋体" w:hAnsi="宋体" w:cs="新宋体"/>
          <w:sz w:val="22"/>
          <w:szCs w:val="22"/>
        </w:rPr>
        <w:t>    合同履约期限：12个月</w:t>
      </w:r>
    </w:p>
    <w:p>
      <w:pPr>
        <w:spacing w:line="360" w:lineRule="auto"/>
        <w:ind w:firstLine="440"/>
        <w:rPr>
          <w:rFonts w:hint="eastAsia" w:ascii="宋体" w:hAnsi="宋体" w:cs="新宋体"/>
          <w:sz w:val="22"/>
          <w:szCs w:val="22"/>
        </w:rPr>
      </w:pPr>
      <w:r>
        <w:rPr>
          <w:rFonts w:hint="eastAsia" w:ascii="宋体" w:hAnsi="宋体" w:cs="新宋体"/>
          <w:sz w:val="22"/>
          <w:szCs w:val="22"/>
        </w:rPr>
        <w:t>    本项目（否）接受联合体投标。</w:t>
      </w:r>
    </w:p>
    <w:p>
      <w:pPr>
        <w:spacing w:before="80" w:after="80" w:line="380" w:lineRule="exact"/>
        <w:ind w:right="80"/>
        <w:rPr>
          <w:rFonts w:ascii="宋体" w:hAnsi="宋体" w:cs="宋体"/>
          <w:kern w:val="0"/>
          <w:sz w:val="22"/>
          <w:szCs w:val="22"/>
        </w:rPr>
      </w:pPr>
      <w:r>
        <w:rPr>
          <w:rFonts w:hint="eastAsia" w:ascii="宋体" w:hAnsi="宋体" w:cs="新宋体"/>
          <w:sz w:val="22"/>
          <w:szCs w:val="22"/>
        </w:rPr>
        <w:t>本项目不接受联合体投标。</w:t>
      </w:r>
    </w:p>
    <w:p>
      <w:pPr>
        <w:spacing w:before="80" w:after="80" w:line="380" w:lineRule="exact"/>
        <w:ind w:right="80"/>
        <w:rPr>
          <w:rFonts w:ascii="宋体" w:hAnsi="宋体"/>
          <w:sz w:val="22"/>
          <w:szCs w:val="22"/>
        </w:rPr>
      </w:pPr>
      <w:bookmarkStart w:id="0" w:name="B14_投标供应商的资格要求"/>
      <w:r>
        <w:rPr>
          <w:rFonts w:hint="eastAsia" w:ascii="宋体" w:hAnsi="宋体" w:cs="新宋体"/>
          <w:b/>
          <w:bCs/>
          <w:sz w:val="22"/>
          <w:szCs w:val="22"/>
        </w:rPr>
        <w:t>二、</w:t>
      </w:r>
      <w:r>
        <w:rPr>
          <w:rFonts w:ascii="宋体" w:hAnsi="宋体" w:cs="新宋体"/>
          <w:b/>
          <w:bCs/>
          <w:sz w:val="22"/>
          <w:szCs w:val="22"/>
        </w:rPr>
        <w:t>申请人的资格要求：</w:t>
      </w:r>
    </w:p>
    <w:bookmarkEnd w:id="0"/>
    <w:p>
      <w:pPr>
        <w:spacing w:before="80" w:after="80" w:line="380" w:lineRule="exact"/>
        <w:ind w:left="420" w:leftChars="0" w:right="80" w:firstLine="440" w:firstLineChars="200"/>
        <w:rPr>
          <w:rFonts w:ascii="宋体" w:hAnsi="宋体" w:cs="宋体"/>
          <w:kern w:val="0"/>
          <w:sz w:val="22"/>
          <w:szCs w:val="22"/>
        </w:rPr>
      </w:pPr>
      <w:r>
        <w:rPr>
          <w:rFonts w:hint="eastAsia" w:ascii="宋体" w:hAnsi="宋体" w:cs="宋体"/>
          <w:kern w:val="0"/>
          <w:sz w:val="22"/>
          <w:szCs w:val="22"/>
        </w:rPr>
        <w:t>1</w:t>
      </w:r>
      <w:r>
        <w:rPr>
          <w:rFonts w:ascii="宋体" w:hAnsi="宋体" w:cs="宋体"/>
          <w:kern w:val="0"/>
          <w:sz w:val="22"/>
          <w:szCs w:val="22"/>
        </w:rPr>
        <w:t>、供应商资格条件须符合政府采购法第二十二条的规定；</w:t>
      </w:r>
    </w:p>
    <w:p>
      <w:pPr>
        <w:spacing w:before="80" w:after="80" w:line="380" w:lineRule="exact"/>
        <w:ind w:left="420" w:leftChars="0" w:right="80" w:firstLine="440" w:firstLineChars="200"/>
        <w:rPr>
          <w:rFonts w:ascii="宋体" w:hAnsi="宋体" w:cs="宋体"/>
          <w:kern w:val="0"/>
          <w:sz w:val="22"/>
          <w:szCs w:val="22"/>
        </w:rPr>
      </w:pPr>
      <w:r>
        <w:rPr>
          <w:rFonts w:hint="eastAsia" w:ascii="宋体" w:hAnsi="宋体" w:cs="宋体"/>
          <w:kern w:val="0"/>
          <w:sz w:val="22"/>
          <w:szCs w:val="22"/>
        </w:rPr>
        <w:t>2、</w:t>
      </w:r>
      <w:bookmarkStart w:id="1" w:name="OLE_LINK2"/>
      <w:r>
        <w:rPr>
          <w:rFonts w:ascii="宋体" w:hAnsi="宋体" w:cs="宋体"/>
          <w:kern w:val="0"/>
          <w:sz w:val="22"/>
          <w:szCs w:val="22"/>
        </w:rPr>
        <w:t>供应商</w:t>
      </w:r>
      <w:r>
        <w:rPr>
          <w:rFonts w:hint="eastAsia" w:ascii="宋体" w:hAnsi="宋体" w:cs="宋体"/>
          <w:kern w:val="0"/>
          <w:sz w:val="22"/>
          <w:szCs w:val="22"/>
        </w:rPr>
        <w:t>具有水利水电施工总承包企业三级及以上资质或营业执照经营范围包含“水利物业管理”单位；</w:t>
      </w:r>
    </w:p>
    <w:bookmarkEnd w:id="1"/>
    <w:p>
      <w:pPr>
        <w:spacing w:before="80" w:after="80" w:line="380" w:lineRule="exact"/>
        <w:ind w:left="420" w:leftChars="0" w:right="80" w:firstLine="440" w:firstLineChars="200"/>
        <w:rPr>
          <w:rFonts w:ascii="宋体" w:hAnsi="宋体" w:cs="宋体"/>
          <w:kern w:val="0"/>
          <w:sz w:val="22"/>
          <w:szCs w:val="22"/>
        </w:rPr>
      </w:pPr>
      <w:r>
        <w:rPr>
          <w:rFonts w:hint="eastAsia" w:ascii="宋体" w:hAnsi="宋体" w:cs="宋体"/>
          <w:kern w:val="0"/>
          <w:sz w:val="22"/>
          <w:szCs w:val="22"/>
        </w:rPr>
        <w:t>3、未被“信用中国”（www.creditchina.gov.cn）、中国政府采购网（www.ccgp.gov.cn）列入失信被执行人、重大税收违法案件当事人名单、政府采购严重违法失信行为记录名单；</w:t>
      </w:r>
    </w:p>
    <w:p>
      <w:pPr>
        <w:spacing w:before="80" w:after="80" w:line="380" w:lineRule="exact"/>
        <w:ind w:left="420" w:leftChars="0" w:right="80" w:firstLine="440" w:firstLineChars="200"/>
        <w:rPr>
          <w:rFonts w:ascii="宋体" w:hAnsi="宋体" w:cs="宋体"/>
          <w:kern w:val="0"/>
          <w:sz w:val="22"/>
          <w:szCs w:val="22"/>
        </w:rPr>
      </w:pPr>
      <w:r>
        <w:rPr>
          <w:rFonts w:hint="eastAsia" w:ascii="宋体" w:hAnsi="宋体" w:cs="宋体"/>
          <w:kern w:val="0"/>
          <w:sz w:val="22"/>
          <w:szCs w:val="22"/>
        </w:rPr>
        <w:t>4</w:t>
      </w:r>
      <w:r>
        <w:rPr>
          <w:rFonts w:ascii="宋体" w:hAnsi="宋体" w:cs="宋体"/>
          <w:kern w:val="0"/>
          <w:sz w:val="22"/>
          <w:szCs w:val="22"/>
        </w:rPr>
        <w:t>、有能力提供长期的售后服务</w:t>
      </w:r>
      <w:r>
        <w:rPr>
          <w:rFonts w:hint="eastAsia" w:ascii="宋体" w:hAnsi="宋体" w:cs="宋体"/>
          <w:kern w:val="0"/>
          <w:sz w:val="22"/>
          <w:szCs w:val="22"/>
        </w:rPr>
        <w:t>及履行合同能力</w:t>
      </w:r>
      <w:r>
        <w:rPr>
          <w:rFonts w:ascii="宋体" w:hAnsi="宋体" w:cs="宋体"/>
          <w:kern w:val="0"/>
          <w:sz w:val="22"/>
          <w:szCs w:val="22"/>
        </w:rPr>
        <w:t>；</w:t>
      </w:r>
    </w:p>
    <w:p>
      <w:pPr>
        <w:spacing w:before="80" w:after="80" w:line="380" w:lineRule="exact"/>
        <w:ind w:left="420" w:leftChars="0" w:right="80" w:firstLine="440" w:firstLineChars="200"/>
        <w:rPr>
          <w:rFonts w:ascii="宋体" w:hAnsi="宋体" w:cs="宋体"/>
          <w:kern w:val="0"/>
          <w:sz w:val="22"/>
          <w:szCs w:val="22"/>
        </w:rPr>
      </w:pPr>
      <w:r>
        <w:rPr>
          <w:rFonts w:hint="eastAsia" w:ascii="宋体" w:hAnsi="宋体" w:cs="宋体"/>
          <w:kern w:val="0"/>
          <w:sz w:val="22"/>
          <w:szCs w:val="22"/>
        </w:rPr>
        <w:t>5、</w:t>
      </w:r>
      <w:r>
        <w:rPr>
          <w:rFonts w:ascii="宋体" w:hAnsi="宋体" w:cs="宋体"/>
          <w:kern w:val="0"/>
          <w:sz w:val="22"/>
          <w:szCs w:val="22"/>
        </w:rPr>
        <w:t>法律、行政法规规定的其他条件</w:t>
      </w:r>
      <w:r>
        <w:rPr>
          <w:rFonts w:hint="eastAsia" w:ascii="宋体" w:hAnsi="宋体" w:cs="宋体"/>
          <w:kern w:val="0"/>
          <w:sz w:val="22"/>
          <w:szCs w:val="22"/>
        </w:rPr>
        <w:t>；</w:t>
      </w:r>
    </w:p>
    <w:p>
      <w:pPr>
        <w:spacing w:before="80" w:after="80" w:line="400" w:lineRule="exact"/>
        <w:ind w:right="80"/>
        <w:rPr>
          <w:rFonts w:ascii="宋体" w:hAnsi="宋体"/>
          <w:b/>
          <w:bCs/>
          <w:sz w:val="22"/>
          <w:szCs w:val="22"/>
        </w:rPr>
      </w:pPr>
      <w:r>
        <w:rPr>
          <w:rFonts w:ascii="宋体" w:hAnsi="宋体"/>
          <w:b/>
          <w:bCs/>
          <w:sz w:val="22"/>
          <w:szCs w:val="22"/>
        </w:rPr>
        <w:t>三、获取（下载）采购文件</w:t>
      </w:r>
    </w:p>
    <w:p>
      <w:pPr>
        <w:spacing w:line="360" w:lineRule="auto"/>
        <w:ind w:left="452" w:leftChars="208" w:hanging="15" w:hangingChars="7"/>
        <w:rPr>
          <w:rFonts w:ascii="宋体" w:hAnsi="宋体"/>
          <w:sz w:val="22"/>
          <w:szCs w:val="22"/>
        </w:rPr>
      </w:pPr>
      <w:r>
        <w:rPr>
          <w:rFonts w:hint="eastAsia" w:ascii="宋体" w:hAnsi="宋体"/>
          <w:sz w:val="22"/>
          <w:szCs w:val="22"/>
        </w:rPr>
        <w:t>时间：自本公告发布之日起至响应截止时间止。</w:t>
      </w:r>
    </w:p>
    <w:p>
      <w:pPr>
        <w:spacing w:line="360" w:lineRule="auto"/>
        <w:ind w:left="452" w:leftChars="208" w:hanging="15" w:hangingChars="7"/>
        <w:rPr>
          <w:rFonts w:ascii="宋体" w:hAnsi="宋体"/>
          <w:sz w:val="22"/>
          <w:szCs w:val="22"/>
        </w:rPr>
      </w:pPr>
      <w:r>
        <w:rPr>
          <w:rFonts w:hint="eastAsia" w:ascii="宋体" w:hAnsi="宋体"/>
          <w:sz w:val="22"/>
          <w:szCs w:val="22"/>
        </w:rPr>
        <w:t>地点（网址）：</w:t>
      </w:r>
      <w:r>
        <w:rPr>
          <w:rFonts w:ascii="宋体" w:hAnsi="宋体"/>
          <w:sz w:val="22"/>
          <w:szCs w:val="22"/>
        </w:rPr>
        <w:t xml:space="preserve">浙江政府采购云平台（http://www.zcygov.cn/）  </w:t>
      </w:r>
    </w:p>
    <w:p>
      <w:pPr>
        <w:spacing w:line="360" w:lineRule="auto"/>
        <w:ind w:left="452" w:leftChars="208" w:hanging="15" w:hangingChars="7"/>
        <w:rPr>
          <w:rFonts w:ascii="宋体" w:hAnsi="宋体"/>
          <w:sz w:val="22"/>
          <w:szCs w:val="22"/>
        </w:rPr>
      </w:pPr>
      <w:r>
        <w:rPr>
          <w:rFonts w:hint="eastAsia" w:ascii="宋体" w:hAnsi="宋体"/>
          <w:sz w:val="22"/>
          <w:szCs w:val="22"/>
        </w:rPr>
        <w:t>方式：</w:t>
      </w:r>
      <w:r>
        <w:rPr>
          <w:rFonts w:hint="eastAsia" w:ascii="宋体" w:hAnsi="宋体" w:cs="宋体"/>
          <w:kern w:val="0"/>
          <w:sz w:val="22"/>
          <w:szCs w:val="22"/>
        </w:rPr>
        <w:t>潜在供应商登陆政采云平台，在线申请获取采购文件（进入</w:t>
      </w:r>
      <w:r>
        <w:rPr>
          <w:rFonts w:ascii="宋体" w:hAnsi="宋体" w:cs="宋体"/>
          <w:kern w:val="0"/>
          <w:sz w:val="22"/>
          <w:szCs w:val="22"/>
        </w:rPr>
        <w:t>“</w:t>
      </w:r>
      <w:r>
        <w:rPr>
          <w:rFonts w:hint="eastAsia" w:ascii="宋体" w:hAnsi="宋体" w:cs="宋体"/>
          <w:kern w:val="0"/>
          <w:sz w:val="22"/>
          <w:szCs w:val="22"/>
        </w:rPr>
        <w:t>项目采购</w:t>
      </w:r>
      <w:r>
        <w:rPr>
          <w:rFonts w:ascii="宋体" w:hAnsi="宋体" w:cs="宋体"/>
          <w:kern w:val="0"/>
          <w:sz w:val="22"/>
          <w:szCs w:val="22"/>
        </w:rPr>
        <w:t>”</w:t>
      </w:r>
      <w:r>
        <w:rPr>
          <w:rFonts w:hint="eastAsia" w:ascii="宋体" w:hAnsi="宋体" w:cs="宋体"/>
          <w:kern w:val="0"/>
          <w:sz w:val="22"/>
          <w:szCs w:val="22"/>
        </w:rPr>
        <w:t>应用，在获取采购文件菜单中选择项目，按采购公告要求提交报名资料上传附件后申请获取采购文件）</w:t>
      </w:r>
    </w:p>
    <w:p>
      <w:pPr>
        <w:spacing w:line="360" w:lineRule="auto"/>
        <w:ind w:firstLine="440" w:firstLineChars="200"/>
        <w:rPr>
          <w:rFonts w:ascii="宋体" w:hAnsi="宋体"/>
          <w:sz w:val="22"/>
          <w:szCs w:val="22"/>
        </w:rPr>
      </w:pPr>
      <w:r>
        <w:rPr>
          <w:rFonts w:hint="eastAsia" w:ascii="宋体" w:hAnsi="宋体"/>
          <w:sz w:val="22"/>
          <w:szCs w:val="22"/>
        </w:rPr>
        <w:t>售价（元）：</w:t>
      </w:r>
      <w:r>
        <w:rPr>
          <w:rFonts w:ascii="宋体" w:hAnsi="宋体"/>
          <w:sz w:val="22"/>
          <w:szCs w:val="22"/>
        </w:rPr>
        <w:t xml:space="preserve"> 0</w:t>
      </w:r>
    </w:p>
    <w:p>
      <w:pPr>
        <w:numPr>
          <w:ilvl w:val="0"/>
          <w:numId w:val="1"/>
        </w:numPr>
        <w:spacing w:line="360" w:lineRule="auto"/>
        <w:rPr>
          <w:rFonts w:ascii="宋体" w:hAnsi="宋体"/>
          <w:b/>
          <w:bCs/>
          <w:sz w:val="22"/>
          <w:szCs w:val="22"/>
        </w:rPr>
      </w:pPr>
      <w:r>
        <w:rPr>
          <w:rFonts w:hint="eastAsia" w:ascii="宋体" w:hAnsi="宋体"/>
          <w:b/>
          <w:bCs/>
          <w:sz w:val="22"/>
          <w:szCs w:val="22"/>
        </w:rPr>
        <w:t>响应文件提交</w:t>
      </w:r>
    </w:p>
    <w:p>
      <w:pPr>
        <w:pStyle w:val="18"/>
        <w:ind w:firstLine="440" w:firstLineChars="200"/>
        <w:rPr>
          <w:rFonts w:ascii="宋体" w:hAnsi="宋体"/>
          <w:sz w:val="22"/>
          <w:szCs w:val="22"/>
        </w:rPr>
      </w:pPr>
      <w:r>
        <w:rPr>
          <w:rFonts w:hint="eastAsia" w:ascii="宋体" w:hAnsi="宋体"/>
          <w:sz w:val="22"/>
          <w:szCs w:val="22"/>
        </w:rPr>
        <w:t>截止时间：</w:t>
      </w:r>
      <w:r>
        <w:rPr>
          <w:rFonts w:ascii="宋体" w:hAnsi="宋体"/>
          <w:sz w:val="22"/>
          <w:szCs w:val="22"/>
        </w:rPr>
        <w:t xml:space="preserve"> 2020</w:t>
      </w:r>
      <w:r>
        <w:rPr>
          <w:rFonts w:hint="eastAsia" w:ascii="宋体" w:hAnsi="宋体"/>
          <w:sz w:val="22"/>
          <w:szCs w:val="22"/>
        </w:rPr>
        <w:t>年8月24日15</w:t>
      </w:r>
      <w:r>
        <w:rPr>
          <w:rFonts w:ascii="宋体" w:hAnsi="宋体"/>
          <w:sz w:val="22"/>
          <w:szCs w:val="22"/>
        </w:rPr>
        <w:t>:</w:t>
      </w:r>
      <w:r>
        <w:rPr>
          <w:rFonts w:hint="eastAsia" w:ascii="宋体" w:hAnsi="宋体"/>
          <w:sz w:val="22"/>
          <w:szCs w:val="22"/>
        </w:rPr>
        <w:t>0</w:t>
      </w:r>
      <w:r>
        <w:rPr>
          <w:rFonts w:ascii="宋体" w:hAnsi="宋体"/>
          <w:sz w:val="22"/>
          <w:szCs w:val="22"/>
        </w:rPr>
        <w:t xml:space="preserve">0  </w:t>
      </w:r>
      <w:r>
        <w:rPr>
          <w:rFonts w:hint="eastAsia" w:ascii="宋体" w:hAnsi="宋体"/>
          <w:sz w:val="22"/>
          <w:szCs w:val="22"/>
        </w:rPr>
        <w:t>（北京时间）</w:t>
      </w:r>
    </w:p>
    <w:p>
      <w:pPr>
        <w:pStyle w:val="18"/>
        <w:rPr>
          <w:rFonts w:ascii="宋体" w:hAnsi="宋体"/>
          <w:sz w:val="22"/>
          <w:szCs w:val="22"/>
        </w:rPr>
      </w:pPr>
      <w:r>
        <w:rPr>
          <w:rFonts w:ascii="宋体" w:hAnsi="宋体"/>
          <w:sz w:val="22"/>
          <w:szCs w:val="22"/>
        </w:rPr>
        <w:t xml:space="preserve">    地点</w:t>
      </w:r>
      <w:r>
        <w:rPr>
          <w:rFonts w:hint="eastAsia" w:ascii="宋体" w:hAnsi="宋体"/>
          <w:sz w:val="22"/>
          <w:szCs w:val="22"/>
        </w:rPr>
        <w:t>：</w:t>
      </w:r>
      <w:r>
        <w:rPr>
          <w:rFonts w:ascii="宋体" w:hAnsi="宋体"/>
          <w:sz w:val="22"/>
          <w:szCs w:val="22"/>
        </w:rPr>
        <w:t>龙港市公共资源交易中心收标区（龙港市西二街家具市场）</w:t>
      </w:r>
    </w:p>
    <w:p>
      <w:pPr>
        <w:pStyle w:val="18"/>
        <w:rPr>
          <w:rFonts w:ascii="宋体" w:hAnsi="宋体"/>
          <w:sz w:val="22"/>
          <w:szCs w:val="22"/>
        </w:rPr>
      </w:pPr>
      <w:r>
        <w:rPr>
          <w:rFonts w:ascii="宋体" w:hAnsi="宋体"/>
          <w:b/>
          <w:bCs/>
          <w:sz w:val="22"/>
          <w:szCs w:val="22"/>
        </w:rPr>
        <w:t>五、响应文件开启</w:t>
      </w:r>
    </w:p>
    <w:p>
      <w:pPr>
        <w:pStyle w:val="18"/>
        <w:ind w:firstLine="440" w:firstLineChars="200"/>
        <w:rPr>
          <w:rFonts w:ascii="宋体" w:hAnsi="宋体"/>
          <w:sz w:val="22"/>
          <w:szCs w:val="22"/>
        </w:rPr>
      </w:pPr>
      <w:r>
        <w:rPr>
          <w:rFonts w:hint="eastAsia" w:ascii="宋体" w:hAnsi="宋体"/>
          <w:sz w:val="22"/>
          <w:szCs w:val="22"/>
        </w:rPr>
        <w:t>开启时间：</w:t>
      </w:r>
      <w:r>
        <w:rPr>
          <w:rFonts w:ascii="宋体" w:hAnsi="宋体"/>
          <w:sz w:val="22"/>
          <w:szCs w:val="22"/>
        </w:rPr>
        <w:t xml:space="preserve"> 2020</w:t>
      </w:r>
      <w:r>
        <w:rPr>
          <w:rFonts w:hint="eastAsia" w:ascii="宋体" w:hAnsi="宋体"/>
          <w:sz w:val="22"/>
          <w:szCs w:val="22"/>
        </w:rPr>
        <w:t>年8月24日15</w:t>
      </w:r>
      <w:r>
        <w:rPr>
          <w:rFonts w:ascii="宋体" w:hAnsi="宋体"/>
          <w:sz w:val="22"/>
          <w:szCs w:val="22"/>
        </w:rPr>
        <w:t>:</w:t>
      </w:r>
      <w:r>
        <w:rPr>
          <w:rFonts w:hint="eastAsia" w:ascii="宋体" w:hAnsi="宋体"/>
          <w:sz w:val="22"/>
          <w:szCs w:val="22"/>
        </w:rPr>
        <w:t>0</w:t>
      </w:r>
      <w:r>
        <w:rPr>
          <w:rFonts w:ascii="宋体" w:hAnsi="宋体"/>
          <w:sz w:val="22"/>
          <w:szCs w:val="22"/>
        </w:rPr>
        <w:t>0 （北京时间）</w:t>
      </w:r>
    </w:p>
    <w:p>
      <w:pPr>
        <w:pStyle w:val="18"/>
        <w:rPr>
          <w:rFonts w:ascii="宋体" w:hAnsi="宋体"/>
          <w:sz w:val="22"/>
          <w:szCs w:val="22"/>
        </w:rPr>
      </w:pPr>
      <w:r>
        <w:rPr>
          <w:rFonts w:hint="eastAsia" w:ascii="宋体" w:hAnsi="宋体"/>
          <w:sz w:val="22"/>
          <w:szCs w:val="22"/>
        </w:rPr>
        <w:t xml:space="preserve"> 地点：</w:t>
      </w:r>
      <w:r>
        <w:rPr>
          <w:rFonts w:ascii="宋体" w:hAnsi="宋体"/>
          <w:sz w:val="22"/>
          <w:szCs w:val="22"/>
        </w:rPr>
        <w:t>龙港市公共资源交易中心开标室（龙港市西二街家具市场）</w:t>
      </w:r>
    </w:p>
    <w:p>
      <w:pPr>
        <w:spacing w:line="360" w:lineRule="auto"/>
        <w:rPr>
          <w:b/>
          <w:bCs/>
          <w:sz w:val="22"/>
          <w:szCs w:val="22"/>
        </w:rPr>
      </w:pPr>
      <w:r>
        <w:rPr>
          <w:rFonts w:hint="eastAsia" w:ascii="宋体" w:hAnsi="宋体"/>
          <w:b/>
          <w:bCs/>
          <w:sz w:val="22"/>
          <w:szCs w:val="22"/>
        </w:rPr>
        <w:t>六、公告期限</w:t>
      </w:r>
    </w:p>
    <w:p>
      <w:pPr>
        <w:spacing w:line="360" w:lineRule="auto"/>
      </w:pPr>
      <w:r>
        <w:rPr>
          <w:rFonts w:hint="eastAsia" w:ascii="宋体" w:hAnsi="宋体"/>
          <w:sz w:val="22"/>
          <w:szCs w:val="22"/>
        </w:rPr>
        <w:t>自本公告发布之日起</w:t>
      </w:r>
      <w:r>
        <w:rPr>
          <w:rFonts w:hint="eastAsia"/>
          <w:sz w:val="22"/>
          <w:szCs w:val="22"/>
        </w:rPr>
        <w:t>3</w:t>
      </w:r>
      <w:r>
        <w:rPr>
          <w:rFonts w:hint="eastAsia" w:ascii="宋体" w:hAnsi="宋体"/>
          <w:sz w:val="22"/>
          <w:szCs w:val="22"/>
        </w:rPr>
        <w:t>个工作日。</w:t>
      </w:r>
    </w:p>
    <w:p>
      <w:pPr>
        <w:spacing w:before="80" w:after="80" w:line="380" w:lineRule="exact"/>
        <w:ind w:right="80"/>
        <w:rPr>
          <w:rFonts w:ascii="宋体" w:hAnsi="宋体" w:cs="宋体"/>
          <w:b/>
          <w:bCs/>
          <w:kern w:val="0"/>
          <w:sz w:val="22"/>
          <w:szCs w:val="22"/>
        </w:rPr>
      </w:pPr>
      <w:r>
        <w:rPr>
          <w:rFonts w:hint="eastAsia" w:ascii="宋体" w:hAnsi="宋体" w:cs="宋体"/>
          <w:b/>
          <w:bCs/>
          <w:kern w:val="0"/>
          <w:sz w:val="22"/>
          <w:szCs w:val="22"/>
        </w:rPr>
        <w:t>七、</w:t>
      </w:r>
      <w:r>
        <w:rPr>
          <w:rFonts w:ascii="宋体" w:hAnsi="宋体" w:cs="新宋体"/>
          <w:b/>
          <w:bCs/>
          <w:sz w:val="22"/>
          <w:szCs w:val="22"/>
        </w:rPr>
        <w:t>其他补充事宜</w:t>
      </w:r>
    </w:p>
    <w:p>
      <w:pPr>
        <w:pStyle w:val="25"/>
        <w:spacing w:line="400" w:lineRule="exact"/>
        <w:ind w:left="0" w:leftChars="0" w:firstLine="440" w:firstLineChars="200"/>
        <w:jc w:val="left"/>
        <w:rPr>
          <w:rFonts w:ascii="宋体" w:hAnsi="宋体" w:cs="宋体"/>
          <w:color w:val="auto"/>
          <w:kern w:val="0"/>
          <w:sz w:val="22"/>
          <w:szCs w:val="22"/>
        </w:rPr>
      </w:pPr>
      <w:r>
        <w:rPr>
          <w:rFonts w:hint="eastAsia" w:ascii="宋体" w:hAnsi="宋体" w:cs="宋体"/>
          <w:color w:val="auto"/>
          <w:kern w:val="0"/>
          <w:sz w:val="22"/>
          <w:szCs w:val="22"/>
        </w:rPr>
        <w:t>1、</w:t>
      </w:r>
      <w:r>
        <w:rPr>
          <w:rFonts w:hint="eastAsia" w:ascii="宋体" w:hAnsi="宋体"/>
          <w:sz w:val="22"/>
          <w:szCs w:val="22"/>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宋体" w:hAnsi="宋体" w:cs="宋体"/>
          <w:color w:val="auto"/>
          <w:kern w:val="0"/>
          <w:sz w:val="22"/>
          <w:szCs w:val="22"/>
        </w:rPr>
        <w:t>。</w:t>
      </w:r>
    </w:p>
    <w:p>
      <w:pPr>
        <w:pStyle w:val="25"/>
        <w:spacing w:line="400" w:lineRule="exact"/>
        <w:ind w:left="0" w:leftChars="0" w:firstLine="440" w:firstLineChars="200"/>
        <w:jc w:val="left"/>
        <w:rPr>
          <w:rFonts w:ascii="宋体" w:hAnsi="宋体"/>
          <w:sz w:val="22"/>
          <w:szCs w:val="22"/>
        </w:rPr>
      </w:pPr>
      <w:r>
        <w:rPr>
          <w:rFonts w:hint="eastAsia" w:ascii="宋体" w:hAnsi="宋体"/>
          <w:sz w:val="22"/>
          <w:szCs w:val="22"/>
        </w:rPr>
        <w:t>2、其他事项：① 本项目非电子投标。②、供应商获取招标文件时须提交的文件资料：1）、报名登记表；2）、有效的工商营业执照及税务登记证或三证合一营业执照。3）相关资质证书。③、招标公告附件内的招标文件（或采购需求）仅供阅览使用，供应商只有在“浙江省政府采购网（http://zfcg.czt.zj.gov.cn/）”下载了招标文件并按规定提交报名资料后才视作依法获取招标文件（法律法规所指的供应商获取招标文件时间以供应商提交报名资料的时间为准）</w:t>
      </w:r>
    </w:p>
    <w:p>
      <w:pPr>
        <w:pStyle w:val="25"/>
        <w:spacing w:line="400" w:lineRule="exact"/>
        <w:ind w:left="0" w:leftChars="0" w:firstLine="440" w:firstLineChars="200"/>
        <w:jc w:val="left"/>
        <w:rPr>
          <w:rFonts w:ascii="宋体" w:hAnsi="宋体" w:cs="宋体"/>
          <w:color w:val="auto"/>
          <w:kern w:val="0"/>
          <w:sz w:val="22"/>
          <w:szCs w:val="22"/>
        </w:rPr>
      </w:pPr>
      <w:r>
        <w:rPr>
          <w:rFonts w:hint="eastAsia" w:ascii="宋体" w:hAnsi="宋体" w:cs="宋体"/>
          <w:color w:val="auto"/>
          <w:kern w:val="0"/>
          <w:sz w:val="22"/>
          <w:szCs w:val="22"/>
        </w:rPr>
        <w:t>3、 落实的政府采购政策：</w:t>
      </w:r>
    </w:p>
    <w:p>
      <w:pPr>
        <w:pStyle w:val="25"/>
        <w:spacing w:line="400" w:lineRule="exact"/>
        <w:ind w:left="0" w:leftChars="0" w:firstLine="440" w:firstLineChars="200"/>
        <w:jc w:val="left"/>
        <w:rPr>
          <w:rFonts w:ascii="宋体" w:hAnsi="宋体" w:cs="宋体"/>
          <w:color w:val="auto"/>
          <w:kern w:val="0"/>
          <w:sz w:val="22"/>
          <w:szCs w:val="22"/>
        </w:rPr>
      </w:pPr>
      <w:r>
        <w:rPr>
          <w:rFonts w:hint="eastAsia" w:ascii="宋体" w:hAnsi="宋体" w:cs="宋体"/>
          <w:color w:val="auto"/>
          <w:kern w:val="0"/>
          <w:sz w:val="22"/>
          <w:szCs w:val="22"/>
        </w:rPr>
        <w:t>（1）小、微企业价格扣除扶持政策：本项目在报价分评审时依据《政府采购促进中小企业发展暂行办法》（财库〔2011〕181 号）、《浙江省财政厅、浙江省中小企业局转发财政部工业和信息化部关于印发&lt;政府采购促进中小企业发展暂行办法&gt;的通知》（浙财采监〔2012〕11 号）相关规定，对小型和微型企业给予价格优惠扶持，用扣除后的价格参与评审，具体规定见“第六部分评标办法”。</w:t>
      </w:r>
    </w:p>
    <w:p>
      <w:pPr>
        <w:pStyle w:val="25"/>
        <w:spacing w:line="400" w:lineRule="exact"/>
        <w:ind w:left="0" w:leftChars="0" w:firstLine="440" w:firstLineChars="200"/>
        <w:jc w:val="left"/>
        <w:rPr>
          <w:rFonts w:ascii="宋体" w:hAnsi="宋体" w:cs="宋体"/>
          <w:color w:val="auto"/>
          <w:kern w:val="0"/>
          <w:sz w:val="22"/>
          <w:szCs w:val="22"/>
        </w:rPr>
      </w:pPr>
      <w:r>
        <w:rPr>
          <w:rFonts w:hint="eastAsia" w:ascii="宋体" w:hAnsi="宋体" w:cs="宋体"/>
          <w:color w:val="auto"/>
          <w:kern w:val="0"/>
          <w:sz w:val="22"/>
          <w:szCs w:val="22"/>
        </w:rPr>
        <w:t>（2）监狱企业、残疾人福利性单位价格扣除扶持政策：符合《财政部、司法部关于政府采购支持监狱企业发展有关问题的通知》（财库[2014]68 号）规定的“监狱企业”和符合《财政部、民政部、中国残疾人联合会关于促进残疾人就业政府采购政策的通知》（财库[2017]141 号）规定的“残疾人福利性单位”，参照小、微企业给予相同价格优惠扶持，用扣除后的价格参与评审，具体规定见“第六部分评标办法”。</w:t>
      </w:r>
    </w:p>
    <w:p>
      <w:pPr>
        <w:pStyle w:val="25"/>
        <w:spacing w:line="400" w:lineRule="exact"/>
        <w:ind w:left="0" w:leftChars="0" w:firstLine="440" w:firstLineChars="200"/>
        <w:jc w:val="left"/>
        <w:rPr>
          <w:rFonts w:ascii="宋体" w:hAnsi="宋体" w:cs="宋体"/>
          <w:color w:val="auto"/>
          <w:kern w:val="0"/>
          <w:sz w:val="22"/>
          <w:szCs w:val="22"/>
        </w:rPr>
      </w:pPr>
      <w:r>
        <w:rPr>
          <w:rFonts w:hint="eastAsia" w:ascii="宋体" w:hAnsi="宋体" w:cs="宋体"/>
          <w:color w:val="auto"/>
          <w:kern w:val="0"/>
          <w:sz w:val="22"/>
          <w:szCs w:val="22"/>
        </w:rPr>
        <w:t>（3）采购内容属于最新一期“节能产品政府采购清单”强制采购目录的，强制采购“清单”内的产品；不属于强制采购目录但列入“清单”目录的，优先采购“清单”内产品 。</w:t>
      </w:r>
    </w:p>
    <w:p>
      <w:pPr>
        <w:pStyle w:val="25"/>
        <w:spacing w:line="400" w:lineRule="exact"/>
        <w:ind w:left="0" w:leftChars="0" w:firstLine="440" w:firstLineChars="200"/>
        <w:jc w:val="left"/>
        <w:rPr>
          <w:rFonts w:ascii="宋体" w:hAnsi="宋体" w:cs="宋体"/>
          <w:color w:val="auto"/>
          <w:kern w:val="0"/>
          <w:sz w:val="22"/>
          <w:szCs w:val="22"/>
        </w:rPr>
      </w:pPr>
      <w:r>
        <w:rPr>
          <w:rFonts w:hint="eastAsia" w:ascii="宋体" w:hAnsi="宋体" w:cs="宋体"/>
          <w:color w:val="auto"/>
          <w:kern w:val="0"/>
          <w:sz w:val="22"/>
          <w:szCs w:val="22"/>
        </w:rPr>
        <w:t>（4）采购内容属于最新一期“环境标志产品政府采购清单”强制采购目录的，强制采购“清单”内的产品；不属于强制采购目录但列入“清单”目录的，优先采购“清单”内产品 。</w:t>
      </w:r>
    </w:p>
    <w:p>
      <w:pPr>
        <w:pStyle w:val="25"/>
        <w:spacing w:line="400" w:lineRule="exact"/>
        <w:ind w:left="0" w:leftChars="0" w:firstLine="440" w:firstLineChars="200"/>
        <w:jc w:val="left"/>
        <w:rPr>
          <w:rFonts w:ascii="宋体" w:hAnsi="宋体" w:cs="宋体"/>
          <w:color w:val="auto"/>
          <w:kern w:val="0"/>
          <w:sz w:val="22"/>
          <w:szCs w:val="22"/>
        </w:rPr>
      </w:pPr>
      <w:r>
        <w:rPr>
          <w:rFonts w:hint="eastAsia" w:ascii="宋体" w:hAnsi="宋体" w:cs="宋体"/>
          <w:color w:val="auto"/>
          <w:kern w:val="0"/>
          <w:sz w:val="22"/>
          <w:szCs w:val="22"/>
        </w:rPr>
        <w:t>4、供应商如对采购文件有疑问应按“投标通知(邀请)书”规定的询疑时间前提出，逾期提出的，采购组织机构可以不予受理、答复。</w:t>
      </w:r>
    </w:p>
    <w:p>
      <w:pPr>
        <w:pStyle w:val="25"/>
        <w:spacing w:line="400" w:lineRule="exact"/>
        <w:ind w:left="0" w:leftChars="0" w:firstLine="440" w:firstLineChars="200"/>
        <w:jc w:val="left"/>
        <w:rPr>
          <w:rFonts w:ascii="宋体" w:hAnsi="宋体" w:cs="宋体"/>
          <w:kern w:val="0"/>
          <w:sz w:val="22"/>
          <w:szCs w:val="22"/>
        </w:rPr>
      </w:pPr>
      <w:r>
        <w:rPr>
          <w:rFonts w:hint="eastAsia" w:ascii="宋体" w:hAnsi="宋体" w:cs="宋体"/>
          <w:color w:val="auto"/>
          <w:kern w:val="0"/>
          <w:sz w:val="22"/>
          <w:szCs w:val="22"/>
        </w:rPr>
        <w:t>5、本次政府采购项目按《财政部关于在政府采购活动中查询及使用信用记录的通知》（财库【2016】125号）文件相关规定，对投标供应商进行信用甄别，详细规定见“投标通知(邀请)书”。</w:t>
      </w:r>
    </w:p>
    <w:p>
      <w:pPr>
        <w:spacing w:before="80" w:after="80" w:line="380" w:lineRule="exact"/>
        <w:ind w:right="80"/>
        <w:rPr>
          <w:rFonts w:ascii="宋体" w:hAnsi="宋体" w:cs="宋体"/>
          <w:b/>
          <w:bCs/>
          <w:kern w:val="0"/>
          <w:sz w:val="22"/>
          <w:szCs w:val="22"/>
        </w:rPr>
      </w:pPr>
      <w:r>
        <w:rPr>
          <w:rFonts w:hint="eastAsia" w:ascii="宋体" w:hAnsi="宋体" w:cs="新宋体"/>
          <w:b/>
          <w:bCs/>
          <w:sz w:val="22"/>
          <w:szCs w:val="22"/>
        </w:rPr>
        <w:t>八、</w:t>
      </w:r>
      <w:r>
        <w:rPr>
          <w:rFonts w:ascii="宋体" w:hAnsi="宋体" w:cs="新宋体"/>
          <w:b/>
          <w:bCs/>
          <w:sz w:val="22"/>
          <w:szCs w:val="22"/>
        </w:rPr>
        <w:t>对本次采购提出询问、质疑、投诉，请按以下方式联系</w:t>
      </w:r>
    </w:p>
    <w:p>
      <w:pPr>
        <w:pStyle w:val="25"/>
        <w:spacing w:line="400" w:lineRule="exact"/>
        <w:ind w:left="0" w:leftChars="0" w:firstLine="440" w:firstLineChars="200"/>
        <w:jc w:val="left"/>
        <w:rPr>
          <w:rFonts w:ascii="宋体" w:hAnsi="宋体" w:cs="宋体"/>
          <w:color w:val="auto"/>
          <w:kern w:val="0"/>
          <w:sz w:val="22"/>
          <w:szCs w:val="22"/>
        </w:rPr>
      </w:pPr>
      <w:r>
        <w:rPr>
          <w:rFonts w:hint="eastAsia" w:ascii="宋体" w:hAnsi="宋体" w:cs="宋体"/>
          <w:color w:val="auto"/>
          <w:kern w:val="0"/>
          <w:sz w:val="22"/>
          <w:szCs w:val="22"/>
        </w:rPr>
        <w:t>1.采购人信息</w:t>
      </w:r>
    </w:p>
    <w:p>
      <w:pPr>
        <w:pStyle w:val="25"/>
        <w:spacing w:line="400" w:lineRule="exact"/>
        <w:ind w:left="0" w:leftChars="0" w:firstLine="440" w:firstLineChars="200"/>
        <w:jc w:val="left"/>
        <w:rPr>
          <w:rFonts w:ascii="宋体" w:hAnsi="宋体" w:cs="宋体"/>
          <w:color w:val="auto"/>
          <w:kern w:val="0"/>
          <w:sz w:val="22"/>
          <w:szCs w:val="22"/>
        </w:rPr>
      </w:pPr>
      <w:r>
        <w:rPr>
          <w:rFonts w:hint="eastAsia" w:ascii="宋体" w:hAnsi="宋体" w:cs="宋体"/>
          <w:color w:val="auto"/>
          <w:kern w:val="0"/>
          <w:sz w:val="22"/>
          <w:szCs w:val="22"/>
        </w:rPr>
        <w:t>名</w:t>
      </w:r>
      <w:r>
        <w:rPr>
          <w:rFonts w:ascii="宋体" w:hAnsi="宋体" w:cs="宋体"/>
          <w:color w:val="auto"/>
          <w:kern w:val="0"/>
          <w:sz w:val="22"/>
          <w:szCs w:val="22"/>
        </w:rPr>
        <w:t>  </w:t>
      </w:r>
      <w:r>
        <w:rPr>
          <w:rFonts w:hint="eastAsia" w:ascii="宋体" w:hAnsi="宋体" w:cs="宋体"/>
          <w:color w:val="auto"/>
          <w:kern w:val="0"/>
          <w:sz w:val="22"/>
          <w:szCs w:val="22"/>
        </w:rPr>
        <w:t>称：龙港市农业农村局</w:t>
      </w:r>
    </w:p>
    <w:p>
      <w:pPr>
        <w:pStyle w:val="25"/>
        <w:spacing w:line="400" w:lineRule="exact"/>
        <w:ind w:left="0" w:leftChars="0" w:firstLine="440" w:firstLineChars="200"/>
        <w:jc w:val="left"/>
        <w:rPr>
          <w:rFonts w:ascii="宋体" w:hAnsi="宋体" w:cs="宋体"/>
          <w:color w:val="auto"/>
          <w:kern w:val="0"/>
          <w:sz w:val="22"/>
          <w:szCs w:val="22"/>
        </w:rPr>
      </w:pPr>
      <w:r>
        <w:rPr>
          <w:rFonts w:hint="eastAsia" w:ascii="宋体" w:hAnsi="宋体" w:cs="宋体"/>
          <w:color w:val="auto"/>
          <w:kern w:val="0"/>
          <w:sz w:val="22"/>
          <w:szCs w:val="22"/>
        </w:rPr>
        <w:t>地</w:t>
      </w:r>
      <w:r>
        <w:rPr>
          <w:rFonts w:ascii="宋体" w:hAnsi="宋体" w:cs="宋体"/>
          <w:color w:val="auto"/>
          <w:kern w:val="0"/>
          <w:sz w:val="22"/>
          <w:szCs w:val="22"/>
        </w:rPr>
        <w:t>  </w:t>
      </w:r>
      <w:r>
        <w:rPr>
          <w:rFonts w:hint="eastAsia" w:ascii="宋体" w:hAnsi="宋体" w:cs="宋体"/>
          <w:color w:val="auto"/>
          <w:kern w:val="0"/>
          <w:sz w:val="22"/>
          <w:szCs w:val="22"/>
        </w:rPr>
        <w:t>址：龙港市江滨路184号</w:t>
      </w:r>
    </w:p>
    <w:p>
      <w:pPr>
        <w:pStyle w:val="25"/>
        <w:spacing w:line="400" w:lineRule="exact"/>
        <w:ind w:left="0" w:leftChars="0" w:firstLine="440" w:firstLineChars="200"/>
        <w:jc w:val="left"/>
        <w:rPr>
          <w:rFonts w:ascii="宋体" w:hAnsi="宋体" w:cs="宋体"/>
          <w:color w:val="auto"/>
          <w:kern w:val="0"/>
          <w:sz w:val="22"/>
          <w:szCs w:val="22"/>
        </w:rPr>
      </w:pPr>
      <w:r>
        <w:rPr>
          <w:rFonts w:hint="eastAsia" w:ascii="宋体" w:hAnsi="宋体" w:cs="宋体"/>
          <w:color w:val="auto"/>
          <w:kern w:val="0"/>
          <w:sz w:val="22"/>
          <w:szCs w:val="22"/>
        </w:rPr>
        <w:t xml:space="preserve">项目联系人（询问）、质疑联系人：朱先生 </w:t>
      </w:r>
    </w:p>
    <w:p>
      <w:pPr>
        <w:pStyle w:val="25"/>
        <w:spacing w:line="400" w:lineRule="exact"/>
        <w:ind w:left="0" w:leftChars="0" w:firstLine="440" w:firstLineChars="200"/>
        <w:jc w:val="left"/>
        <w:rPr>
          <w:rFonts w:ascii="宋体" w:hAnsi="宋体" w:cs="宋体"/>
          <w:color w:val="auto"/>
          <w:kern w:val="0"/>
          <w:sz w:val="22"/>
          <w:szCs w:val="22"/>
        </w:rPr>
      </w:pPr>
      <w:r>
        <w:rPr>
          <w:rFonts w:hint="eastAsia" w:ascii="宋体" w:hAnsi="宋体" w:cs="宋体"/>
          <w:color w:val="auto"/>
          <w:kern w:val="0"/>
          <w:sz w:val="22"/>
          <w:szCs w:val="22"/>
        </w:rPr>
        <w:t>项目联系方式（询问）、质疑联系方式：</w:t>
      </w:r>
      <w:r>
        <w:rPr>
          <w:rFonts w:hint="eastAsia" w:ascii="宋体" w:hAnsi="宋体" w:cs="宋体"/>
          <w:color w:val="auto"/>
          <w:kern w:val="0"/>
          <w:sz w:val="22"/>
          <w:szCs w:val="22"/>
          <w:lang w:val="en-US" w:eastAsia="zh-CN"/>
        </w:rPr>
        <w:t>13858722209</w:t>
      </w:r>
      <w:r>
        <w:rPr>
          <w:rFonts w:hint="eastAsia" w:ascii="宋体" w:hAnsi="宋体" w:cs="宋体"/>
          <w:color w:val="auto"/>
          <w:kern w:val="0"/>
          <w:sz w:val="22"/>
          <w:szCs w:val="22"/>
        </w:rPr>
        <w:t xml:space="preserve">   </w:t>
      </w:r>
      <w:r>
        <w:rPr>
          <w:rFonts w:hint="eastAsia" w:ascii="宋体" w:hAnsi="宋体" w:cs="宋体"/>
          <w:color w:val="auto"/>
          <w:kern w:val="0"/>
          <w:sz w:val="22"/>
          <w:szCs w:val="22"/>
        </w:rPr>
        <w:br w:type="textWrapping"/>
      </w:r>
      <w:r>
        <w:rPr>
          <w:rFonts w:ascii="宋体" w:hAnsi="宋体" w:cs="宋体"/>
          <w:color w:val="auto"/>
          <w:kern w:val="0"/>
          <w:sz w:val="22"/>
          <w:szCs w:val="22"/>
        </w:rPr>
        <w:t> </w:t>
      </w:r>
      <w:r>
        <w:rPr>
          <w:rFonts w:hint="eastAsia" w:ascii="宋体" w:hAnsi="宋体" w:cs="宋体"/>
          <w:color w:val="auto"/>
          <w:kern w:val="0"/>
          <w:sz w:val="22"/>
          <w:szCs w:val="22"/>
        </w:rPr>
        <w:t>  2.采购代理机构信息</w:t>
      </w:r>
    </w:p>
    <w:p>
      <w:pPr>
        <w:pStyle w:val="25"/>
        <w:spacing w:line="400" w:lineRule="exact"/>
        <w:ind w:left="0" w:leftChars="0" w:firstLine="440" w:firstLineChars="200"/>
        <w:jc w:val="left"/>
        <w:rPr>
          <w:rFonts w:ascii="宋体" w:hAnsi="宋体" w:cs="宋体"/>
          <w:color w:val="auto"/>
          <w:kern w:val="0"/>
          <w:sz w:val="22"/>
          <w:szCs w:val="22"/>
        </w:rPr>
      </w:pPr>
      <w:r>
        <w:rPr>
          <w:rFonts w:hint="eastAsia" w:ascii="宋体" w:hAnsi="宋体" w:cs="宋体"/>
          <w:color w:val="auto"/>
          <w:kern w:val="0"/>
          <w:sz w:val="22"/>
          <w:szCs w:val="22"/>
        </w:rPr>
        <w:t>名</w:t>
      </w:r>
      <w:r>
        <w:rPr>
          <w:rFonts w:ascii="宋体" w:hAnsi="宋体" w:cs="宋体"/>
          <w:color w:val="auto"/>
          <w:kern w:val="0"/>
          <w:sz w:val="22"/>
          <w:szCs w:val="22"/>
        </w:rPr>
        <w:t>  </w:t>
      </w:r>
      <w:r>
        <w:rPr>
          <w:rFonts w:hint="eastAsia" w:ascii="宋体" w:hAnsi="宋体" w:cs="宋体"/>
          <w:color w:val="auto"/>
          <w:kern w:val="0"/>
          <w:sz w:val="22"/>
          <w:szCs w:val="22"/>
        </w:rPr>
        <w:t>称：浙江首信工程项目管理有限公司</w:t>
      </w:r>
    </w:p>
    <w:p>
      <w:pPr>
        <w:pStyle w:val="25"/>
        <w:spacing w:line="400" w:lineRule="exact"/>
        <w:ind w:left="0" w:leftChars="0" w:firstLine="440" w:firstLineChars="200"/>
        <w:jc w:val="left"/>
        <w:rPr>
          <w:rFonts w:ascii="宋体" w:hAnsi="宋体" w:cs="宋体"/>
          <w:color w:val="auto"/>
          <w:kern w:val="0"/>
          <w:sz w:val="22"/>
          <w:szCs w:val="22"/>
        </w:rPr>
      </w:pPr>
      <w:r>
        <w:rPr>
          <w:rFonts w:hint="eastAsia" w:ascii="宋体" w:hAnsi="宋体" w:cs="宋体"/>
          <w:color w:val="auto"/>
          <w:kern w:val="0"/>
          <w:sz w:val="22"/>
          <w:szCs w:val="22"/>
        </w:rPr>
        <w:t>地</w:t>
      </w:r>
      <w:r>
        <w:rPr>
          <w:rFonts w:ascii="宋体" w:hAnsi="宋体" w:cs="宋体"/>
          <w:color w:val="auto"/>
          <w:kern w:val="0"/>
          <w:sz w:val="22"/>
          <w:szCs w:val="22"/>
        </w:rPr>
        <w:t>  </w:t>
      </w:r>
      <w:r>
        <w:rPr>
          <w:rFonts w:hint="eastAsia" w:ascii="宋体" w:hAnsi="宋体" w:cs="宋体"/>
          <w:color w:val="auto"/>
          <w:kern w:val="0"/>
          <w:sz w:val="22"/>
          <w:szCs w:val="22"/>
        </w:rPr>
        <w:t>址：龙港市世纪大道2800号（五洲新能源汽车2幢4楼）</w:t>
      </w:r>
      <w:r>
        <w:rPr>
          <w:rFonts w:ascii="宋体" w:hAnsi="宋体" w:cs="宋体"/>
          <w:color w:val="auto"/>
          <w:kern w:val="0"/>
          <w:sz w:val="22"/>
          <w:szCs w:val="22"/>
        </w:rPr>
        <w:t> </w:t>
      </w:r>
    </w:p>
    <w:p>
      <w:pPr>
        <w:pStyle w:val="25"/>
        <w:spacing w:line="400" w:lineRule="exact"/>
        <w:ind w:left="0" w:leftChars="0" w:firstLine="440" w:firstLineChars="200"/>
        <w:jc w:val="left"/>
        <w:rPr>
          <w:rFonts w:ascii="宋体" w:hAnsi="宋体" w:cs="宋体"/>
          <w:color w:val="auto"/>
          <w:kern w:val="0"/>
          <w:sz w:val="22"/>
          <w:szCs w:val="22"/>
        </w:rPr>
      </w:pPr>
      <w:r>
        <w:rPr>
          <w:rFonts w:hint="eastAsia" w:ascii="宋体" w:hAnsi="宋体" w:cs="宋体"/>
          <w:color w:val="auto"/>
          <w:kern w:val="0"/>
          <w:sz w:val="22"/>
          <w:szCs w:val="22"/>
        </w:rPr>
        <w:t>传</w:t>
      </w:r>
      <w:r>
        <w:rPr>
          <w:rFonts w:ascii="宋体" w:hAnsi="宋体" w:cs="宋体"/>
          <w:color w:val="auto"/>
          <w:kern w:val="0"/>
          <w:sz w:val="22"/>
          <w:szCs w:val="22"/>
        </w:rPr>
        <w:t> </w:t>
      </w:r>
      <w:r>
        <w:rPr>
          <w:rFonts w:hint="eastAsia" w:ascii="宋体" w:hAnsi="宋体" w:cs="宋体"/>
          <w:color w:val="auto"/>
          <w:kern w:val="0"/>
          <w:sz w:val="22"/>
          <w:szCs w:val="22"/>
        </w:rPr>
        <w:t> 真：0577-68877005</w:t>
      </w:r>
      <w:r>
        <w:rPr>
          <w:rFonts w:ascii="宋体" w:hAnsi="宋体" w:cs="宋体"/>
          <w:color w:val="auto"/>
          <w:kern w:val="0"/>
          <w:sz w:val="22"/>
          <w:szCs w:val="22"/>
        </w:rPr>
        <w:t> </w:t>
      </w:r>
    </w:p>
    <w:p>
      <w:pPr>
        <w:pStyle w:val="25"/>
        <w:spacing w:line="400" w:lineRule="exact"/>
        <w:ind w:left="0" w:leftChars="0" w:firstLine="440" w:firstLineChars="200"/>
        <w:jc w:val="left"/>
        <w:rPr>
          <w:rFonts w:ascii="宋体" w:hAnsi="宋体" w:cs="宋体"/>
          <w:color w:val="auto"/>
          <w:kern w:val="0"/>
          <w:sz w:val="22"/>
          <w:szCs w:val="22"/>
        </w:rPr>
      </w:pPr>
      <w:r>
        <w:rPr>
          <w:rFonts w:hint="eastAsia" w:ascii="宋体" w:hAnsi="宋体" w:cs="宋体"/>
          <w:color w:val="auto"/>
          <w:kern w:val="0"/>
          <w:sz w:val="22"/>
          <w:szCs w:val="22"/>
        </w:rPr>
        <w:t>项目联系人（询问）、质疑联系人：刘先生</w:t>
      </w:r>
    </w:p>
    <w:p>
      <w:pPr>
        <w:pStyle w:val="25"/>
        <w:spacing w:line="400" w:lineRule="exact"/>
        <w:ind w:left="0" w:leftChars="0" w:firstLine="440" w:firstLineChars="200"/>
        <w:jc w:val="left"/>
        <w:rPr>
          <w:rFonts w:ascii="宋体" w:hAnsi="宋体" w:cs="宋体"/>
          <w:color w:val="auto"/>
          <w:kern w:val="0"/>
          <w:sz w:val="22"/>
          <w:szCs w:val="22"/>
        </w:rPr>
      </w:pPr>
      <w:r>
        <w:rPr>
          <w:rFonts w:hint="eastAsia" w:ascii="宋体" w:hAnsi="宋体" w:cs="宋体"/>
          <w:color w:val="auto"/>
          <w:kern w:val="0"/>
          <w:sz w:val="22"/>
          <w:szCs w:val="22"/>
        </w:rPr>
        <w:t>项目联系方式（询问）、质疑联系方式：0577-68877002/13958751828</w:t>
      </w:r>
    </w:p>
    <w:p>
      <w:pPr>
        <w:pStyle w:val="25"/>
        <w:spacing w:line="400" w:lineRule="exact"/>
        <w:ind w:left="0" w:leftChars="0" w:firstLine="440" w:firstLineChars="200"/>
        <w:jc w:val="left"/>
        <w:rPr>
          <w:rFonts w:ascii="宋体" w:hAnsi="宋体" w:cs="宋体"/>
          <w:color w:val="auto"/>
          <w:kern w:val="0"/>
          <w:sz w:val="22"/>
          <w:szCs w:val="22"/>
        </w:rPr>
      </w:pPr>
      <w:r>
        <w:rPr>
          <w:rFonts w:hint="eastAsia" w:ascii="宋体" w:hAnsi="宋体" w:cs="宋体"/>
          <w:color w:val="auto"/>
          <w:kern w:val="0"/>
          <w:sz w:val="22"/>
          <w:szCs w:val="22"/>
        </w:rPr>
        <w:t>3.同级政府采购监督管理部门</w:t>
      </w:r>
    </w:p>
    <w:p>
      <w:pPr>
        <w:pStyle w:val="25"/>
        <w:spacing w:line="400" w:lineRule="exact"/>
        <w:ind w:left="0" w:leftChars="0" w:firstLine="440" w:firstLineChars="200"/>
        <w:jc w:val="left"/>
        <w:rPr>
          <w:rFonts w:ascii="宋体" w:hAnsi="宋体" w:cs="宋体"/>
          <w:color w:val="auto"/>
          <w:kern w:val="0"/>
          <w:sz w:val="22"/>
          <w:szCs w:val="22"/>
        </w:rPr>
      </w:pPr>
      <w:r>
        <w:rPr>
          <w:rFonts w:hint="eastAsia" w:ascii="宋体" w:hAnsi="宋体" w:cs="宋体"/>
          <w:color w:val="auto"/>
          <w:kern w:val="0"/>
          <w:sz w:val="22"/>
          <w:szCs w:val="22"/>
        </w:rPr>
        <w:t>名</w:t>
      </w:r>
      <w:r>
        <w:rPr>
          <w:rFonts w:ascii="宋体" w:hAnsi="宋体" w:cs="宋体"/>
          <w:color w:val="auto"/>
          <w:kern w:val="0"/>
          <w:sz w:val="22"/>
          <w:szCs w:val="22"/>
        </w:rPr>
        <w:t> </w:t>
      </w:r>
      <w:r>
        <w:rPr>
          <w:rFonts w:hint="eastAsia" w:ascii="宋体" w:hAnsi="宋体" w:cs="宋体"/>
          <w:color w:val="auto"/>
          <w:kern w:val="0"/>
          <w:sz w:val="22"/>
          <w:szCs w:val="22"/>
        </w:rPr>
        <w:t xml:space="preserve"> 称：龙港市财政局财政监督科</w:t>
      </w:r>
      <w:r>
        <w:rPr>
          <w:rFonts w:ascii="宋体" w:hAnsi="宋体" w:cs="宋体"/>
          <w:color w:val="auto"/>
          <w:kern w:val="0"/>
          <w:sz w:val="22"/>
          <w:szCs w:val="22"/>
        </w:rPr>
        <w:t> </w:t>
      </w:r>
    </w:p>
    <w:p>
      <w:pPr>
        <w:pStyle w:val="25"/>
        <w:spacing w:line="400" w:lineRule="exact"/>
        <w:ind w:left="0" w:leftChars="0" w:firstLine="440" w:firstLineChars="200"/>
        <w:jc w:val="left"/>
        <w:rPr>
          <w:rFonts w:ascii="宋体" w:hAnsi="宋体" w:cs="宋体"/>
          <w:color w:val="auto"/>
          <w:kern w:val="0"/>
          <w:sz w:val="22"/>
          <w:szCs w:val="22"/>
        </w:rPr>
      </w:pPr>
      <w:r>
        <w:rPr>
          <w:rFonts w:hint="eastAsia" w:ascii="宋体" w:hAnsi="宋体" w:cs="宋体"/>
          <w:color w:val="auto"/>
          <w:kern w:val="0"/>
          <w:sz w:val="22"/>
          <w:szCs w:val="22"/>
        </w:rPr>
        <w:t>地</w:t>
      </w:r>
      <w:r>
        <w:rPr>
          <w:rFonts w:ascii="宋体" w:hAnsi="宋体" w:cs="宋体"/>
          <w:color w:val="auto"/>
          <w:kern w:val="0"/>
          <w:sz w:val="22"/>
          <w:szCs w:val="22"/>
        </w:rPr>
        <w:t> </w:t>
      </w:r>
      <w:r>
        <w:rPr>
          <w:rFonts w:hint="eastAsia" w:ascii="宋体" w:hAnsi="宋体" w:cs="宋体"/>
          <w:color w:val="auto"/>
          <w:kern w:val="0"/>
          <w:sz w:val="22"/>
          <w:szCs w:val="22"/>
        </w:rPr>
        <w:t xml:space="preserve"> 址：龙港市龙港大道与西五街交叉路口</w:t>
      </w:r>
      <w:r>
        <w:rPr>
          <w:rFonts w:ascii="宋体" w:hAnsi="宋体" w:cs="宋体"/>
          <w:color w:val="auto"/>
          <w:kern w:val="0"/>
          <w:sz w:val="22"/>
          <w:szCs w:val="22"/>
        </w:rPr>
        <w:t>   </w:t>
      </w:r>
      <w:r>
        <w:rPr>
          <w:rFonts w:hint="eastAsia" w:ascii="宋体" w:hAnsi="宋体" w:cs="宋体"/>
          <w:color w:val="auto"/>
          <w:kern w:val="0"/>
          <w:sz w:val="22"/>
          <w:szCs w:val="22"/>
        </w:rPr>
        <w:t>　　　　　　　　　　　</w:t>
      </w:r>
    </w:p>
    <w:p>
      <w:pPr>
        <w:pStyle w:val="25"/>
        <w:spacing w:line="400" w:lineRule="exact"/>
        <w:ind w:left="0" w:leftChars="0" w:firstLine="440" w:firstLineChars="200"/>
        <w:jc w:val="left"/>
        <w:rPr>
          <w:rFonts w:ascii="宋体" w:hAnsi="宋体" w:cs="宋体"/>
          <w:color w:val="auto"/>
          <w:kern w:val="0"/>
          <w:sz w:val="22"/>
          <w:szCs w:val="22"/>
        </w:rPr>
      </w:pPr>
      <w:r>
        <w:rPr>
          <w:rFonts w:hint="eastAsia" w:ascii="宋体" w:hAnsi="宋体" w:cs="宋体"/>
          <w:color w:val="auto"/>
          <w:kern w:val="0"/>
          <w:sz w:val="22"/>
          <w:szCs w:val="22"/>
        </w:rPr>
        <w:t>传</w:t>
      </w:r>
      <w:r>
        <w:rPr>
          <w:rFonts w:ascii="宋体" w:hAnsi="宋体" w:cs="宋体"/>
          <w:color w:val="auto"/>
          <w:kern w:val="0"/>
          <w:sz w:val="22"/>
          <w:szCs w:val="22"/>
        </w:rPr>
        <w:t> </w:t>
      </w:r>
      <w:r>
        <w:rPr>
          <w:rFonts w:hint="eastAsia" w:ascii="宋体" w:hAnsi="宋体" w:cs="宋体"/>
          <w:color w:val="auto"/>
          <w:kern w:val="0"/>
          <w:sz w:val="22"/>
          <w:szCs w:val="22"/>
        </w:rPr>
        <w:t xml:space="preserve"> 真：0577-68081617</w:t>
      </w:r>
      <w:r>
        <w:rPr>
          <w:rFonts w:ascii="宋体" w:hAnsi="宋体" w:cs="宋体"/>
          <w:color w:val="auto"/>
          <w:kern w:val="0"/>
          <w:sz w:val="22"/>
          <w:szCs w:val="22"/>
        </w:rPr>
        <w:t> </w:t>
      </w:r>
      <w:r>
        <w:rPr>
          <w:rFonts w:hint="eastAsia" w:ascii="宋体" w:hAnsi="宋体" w:cs="宋体"/>
          <w:color w:val="auto"/>
          <w:kern w:val="0"/>
          <w:sz w:val="22"/>
          <w:szCs w:val="22"/>
        </w:rPr>
        <w:t>　</w:t>
      </w:r>
      <w:r>
        <w:rPr>
          <w:rFonts w:ascii="宋体" w:hAnsi="宋体" w:cs="宋体"/>
          <w:color w:val="auto"/>
          <w:kern w:val="0"/>
          <w:sz w:val="22"/>
          <w:szCs w:val="22"/>
        </w:rPr>
        <w:t>  </w:t>
      </w:r>
    </w:p>
    <w:p>
      <w:pPr>
        <w:pStyle w:val="25"/>
        <w:spacing w:line="400" w:lineRule="exact"/>
        <w:ind w:left="0" w:leftChars="0" w:firstLine="440" w:firstLineChars="200"/>
        <w:jc w:val="left"/>
        <w:rPr>
          <w:rFonts w:ascii="宋体" w:hAnsi="宋体" w:cs="宋体"/>
          <w:color w:val="auto"/>
          <w:kern w:val="0"/>
          <w:sz w:val="22"/>
          <w:szCs w:val="22"/>
        </w:rPr>
      </w:pPr>
      <w:r>
        <w:rPr>
          <w:rFonts w:hint="eastAsia" w:ascii="宋体" w:hAnsi="宋体" w:cs="宋体"/>
          <w:color w:val="auto"/>
          <w:kern w:val="0"/>
          <w:sz w:val="22"/>
          <w:szCs w:val="22"/>
        </w:rPr>
        <w:t>联系人 ：陈先生</w:t>
      </w:r>
      <w:r>
        <w:rPr>
          <w:rFonts w:ascii="宋体" w:hAnsi="宋体" w:cs="宋体"/>
          <w:color w:val="auto"/>
          <w:kern w:val="0"/>
          <w:sz w:val="22"/>
          <w:szCs w:val="22"/>
        </w:rPr>
        <w:t>  </w:t>
      </w:r>
      <w:r>
        <w:rPr>
          <w:rFonts w:hint="eastAsia" w:ascii="宋体" w:hAnsi="宋体" w:cs="宋体"/>
          <w:color w:val="auto"/>
          <w:kern w:val="0"/>
          <w:sz w:val="22"/>
          <w:szCs w:val="22"/>
        </w:rPr>
        <w:t xml:space="preserve"> 　　　　　　　　　　　</w:t>
      </w:r>
    </w:p>
    <w:p>
      <w:pPr>
        <w:pStyle w:val="25"/>
        <w:spacing w:line="400" w:lineRule="exact"/>
        <w:ind w:left="0" w:leftChars="0" w:firstLine="440" w:firstLineChars="200"/>
        <w:jc w:val="left"/>
        <w:rPr>
          <w:rFonts w:ascii="宋体" w:hAnsi="宋体" w:cs="宋体"/>
          <w:color w:val="auto"/>
          <w:kern w:val="0"/>
          <w:sz w:val="22"/>
          <w:szCs w:val="22"/>
        </w:rPr>
      </w:pPr>
      <w:r>
        <w:rPr>
          <w:rFonts w:hint="eastAsia" w:ascii="宋体" w:hAnsi="宋体" w:cs="宋体"/>
          <w:color w:val="auto"/>
          <w:kern w:val="0"/>
          <w:sz w:val="22"/>
          <w:szCs w:val="22"/>
        </w:rPr>
        <w:t>监督投诉电话：0577-68081617</w:t>
      </w:r>
    </w:p>
    <w:p>
      <w:pPr>
        <w:jc w:val="center"/>
        <w:rPr>
          <w:rFonts w:ascii="宋体" w:hAnsi="宋体"/>
          <w:bCs/>
          <w:sz w:val="30"/>
          <w:szCs w:val="30"/>
        </w:rPr>
      </w:pPr>
      <w:r>
        <w:rPr>
          <w:rFonts w:hint="eastAsia" w:ascii="宋体" w:hAnsi="宋体"/>
          <w:bCs/>
          <w:sz w:val="30"/>
          <w:szCs w:val="30"/>
        </w:rPr>
        <w:br w:type="page"/>
      </w:r>
      <w:r>
        <w:rPr>
          <w:rFonts w:hint="eastAsia" w:ascii="宋体" w:hAnsi="宋体"/>
          <w:bCs/>
          <w:sz w:val="30"/>
          <w:szCs w:val="30"/>
        </w:rPr>
        <w:t>供应商报名登记表</w:t>
      </w:r>
    </w:p>
    <w:p>
      <w:pPr>
        <w:pStyle w:val="18"/>
      </w:pPr>
    </w:p>
    <w:tbl>
      <w:tblPr>
        <w:tblStyle w:val="38"/>
        <w:tblW w:w="9379"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1"/>
        <w:gridCol w:w="1166"/>
        <w:gridCol w:w="3088"/>
        <w:gridCol w:w="1477"/>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6" w:hRule="atLeast"/>
          <w:tblCellSpacing w:w="0" w:type="dxa"/>
          <w:jc w:val="center"/>
        </w:trPr>
        <w:tc>
          <w:tcPr>
            <w:tcW w:w="1837" w:type="dxa"/>
            <w:gridSpan w:val="2"/>
            <w:vAlign w:val="center"/>
          </w:tcPr>
          <w:p>
            <w:pPr>
              <w:adjustRightInd w:val="0"/>
              <w:snapToGrid w:val="0"/>
              <w:spacing w:line="400" w:lineRule="atLeast"/>
              <w:jc w:val="center"/>
              <w:rPr>
                <w:rFonts w:ascii="宋体" w:hAnsi="宋体"/>
                <w:sz w:val="22"/>
                <w:szCs w:val="22"/>
              </w:rPr>
            </w:pPr>
            <w:r>
              <w:rPr>
                <w:rFonts w:hint="eastAsia" w:ascii="宋体" w:hAnsi="宋体"/>
                <w:sz w:val="22"/>
                <w:szCs w:val="22"/>
              </w:rPr>
              <w:t>日 期</w:t>
            </w:r>
          </w:p>
        </w:tc>
        <w:tc>
          <w:tcPr>
            <w:tcW w:w="7542" w:type="dxa"/>
            <w:gridSpan w:val="3"/>
            <w:vAlign w:val="center"/>
          </w:tcPr>
          <w:p>
            <w:pPr>
              <w:adjustRightInd w:val="0"/>
              <w:snapToGrid w:val="0"/>
              <w:spacing w:line="400" w:lineRule="atLeast"/>
              <w:jc w:val="center"/>
              <w:rPr>
                <w:rFonts w:ascii="宋体" w:hAnsi="宋体"/>
                <w:sz w:val="22"/>
                <w:szCs w:val="22"/>
              </w:rPr>
            </w:pPr>
            <w:r>
              <w:rPr>
                <w:rFonts w:hint="eastAsia" w:ascii="宋体" w:hAnsi="宋体"/>
                <w:sz w:val="22"/>
                <w:szCs w:val="22"/>
              </w:rPr>
              <w:t>2020年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6" w:hRule="atLeast"/>
          <w:tblCellSpacing w:w="0" w:type="dxa"/>
          <w:jc w:val="center"/>
        </w:trPr>
        <w:tc>
          <w:tcPr>
            <w:tcW w:w="1837" w:type="dxa"/>
            <w:gridSpan w:val="2"/>
            <w:vAlign w:val="center"/>
          </w:tcPr>
          <w:p>
            <w:pPr>
              <w:adjustRightInd w:val="0"/>
              <w:snapToGrid w:val="0"/>
              <w:spacing w:line="400" w:lineRule="atLeast"/>
              <w:jc w:val="center"/>
              <w:rPr>
                <w:rFonts w:ascii="宋体" w:hAnsi="宋体"/>
                <w:sz w:val="22"/>
                <w:szCs w:val="22"/>
              </w:rPr>
            </w:pPr>
            <w:r>
              <w:rPr>
                <w:rFonts w:hint="eastAsia" w:ascii="宋体" w:hAnsi="宋体"/>
                <w:sz w:val="22"/>
                <w:szCs w:val="22"/>
              </w:rPr>
              <w:t>项目名称</w:t>
            </w:r>
          </w:p>
        </w:tc>
        <w:tc>
          <w:tcPr>
            <w:tcW w:w="7542" w:type="dxa"/>
            <w:gridSpan w:val="3"/>
            <w:vAlign w:val="center"/>
          </w:tcPr>
          <w:p>
            <w:pPr>
              <w:adjustRightInd w:val="0"/>
              <w:snapToGrid w:val="0"/>
              <w:spacing w:line="400" w:lineRule="atLeas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tblCellSpacing w:w="0" w:type="dxa"/>
          <w:jc w:val="center"/>
        </w:trPr>
        <w:tc>
          <w:tcPr>
            <w:tcW w:w="1837" w:type="dxa"/>
            <w:gridSpan w:val="2"/>
            <w:vAlign w:val="center"/>
          </w:tcPr>
          <w:p>
            <w:pPr>
              <w:adjustRightInd w:val="0"/>
              <w:snapToGrid w:val="0"/>
              <w:spacing w:line="400" w:lineRule="atLeast"/>
              <w:jc w:val="center"/>
              <w:rPr>
                <w:rFonts w:ascii="宋体" w:hAnsi="宋体"/>
                <w:sz w:val="22"/>
                <w:szCs w:val="22"/>
              </w:rPr>
            </w:pPr>
            <w:r>
              <w:rPr>
                <w:rFonts w:hint="eastAsia" w:ascii="宋体" w:hAnsi="宋体"/>
                <w:sz w:val="22"/>
                <w:szCs w:val="22"/>
              </w:rPr>
              <w:t>招标编号</w:t>
            </w:r>
          </w:p>
        </w:tc>
        <w:tc>
          <w:tcPr>
            <w:tcW w:w="7542" w:type="dxa"/>
            <w:gridSpan w:val="3"/>
            <w:vAlign w:val="center"/>
          </w:tcPr>
          <w:p>
            <w:pPr>
              <w:adjustRightInd w:val="0"/>
              <w:snapToGrid w:val="0"/>
              <w:spacing w:line="400" w:lineRule="atLeast"/>
              <w:jc w:val="center"/>
              <w:rPr>
                <w:rFonts w:ascii="仿宋_GB2312" w:eastAsia="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6" w:hRule="atLeast"/>
          <w:tblCellSpacing w:w="0" w:type="dxa"/>
          <w:jc w:val="center"/>
        </w:trPr>
        <w:tc>
          <w:tcPr>
            <w:tcW w:w="1837" w:type="dxa"/>
            <w:gridSpan w:val="2"/>
            <w:vAlign w:val="center"/>
          </w:tcPr>
          <w:p>
            <w:pPr>
              <w:adjustRightInd w:val="0"/>
              <w:snapToGrid w:val="0"/>
              <w:spacing w:line="400" w:lineRule="atLeast"/>
              <w:jc w:val="center"/>
              <w:rPr>
                <w:rFonts w:ascii="宋体" w:hAnsi="宋体"/>
                <w:sz w:val="22"/>
                <w:szCs w:val="22"/>
              </w:rPr>
            </w:pPr>
            <w:r>
              <w:rPr>
                <w:rFonts w:hint="eastAsia" w:ascii="宋体" w:hAnsi="宋体"/>
                <w:sz w:val="22"/>
                <w:szCs w:val="22"/>
              </w:rPr>
              <w:t>投标单位名称</w:t>
            </w:r>
          </w:p>
        </w:tc>
        <w:tc>
          <w:tcPr>
            <w:tcW w:w="7542" w:type="dxa"/>
            <w:gridSpan w:val="3"/>
            <w:vAlign w:val="center"/>
          </w:tcPr>
          <w:p>
            <w:pPr>
              <w:adjustRightInd w:val="0"/>
              <w:snapToGrid w:val="0"/>
              <w:spacing w:line="400" w:lineRule="atLeast"/>
              <w:jc w:val="center"/>
              <w:rPr>
                <w:rFonts w:ascii="仿宋_GB2312" w:eastAsia="仿宋_GB2312"/>
                <w:sz w:val="24"/>
              </w:rPr>
            </w:pPr>
            <w:r>
              <w:rPr>
                <w:rFonts w:ascii="仿宋_GB2312" w:eastAsia="仿宋_GB2312"/>
                <w:sz w:val="24"/>
              </w:rPr>
              <w:t>                                          </w:t>
            </w:r>
            <w:r>
              <w:rPr>
                <w:rFonts w:ascii="宋体" w:hAnsi="宋体"/>
                <w:sz w:val="22"/>
                <w:szCs w:val="22"/>
              </w:rPr>
              <w:t>     </w:t>
            </w:r>
            <w:r>
              <w:rPr>
                <w:rFonts w:hint="eastAsia" w:ascii="宋体" w:hAnsi="宋体"/>
                <w:sz w:val="22"/>
                <w:szCs w:val="22"/>
              </w:rPr>
              <w:t xml:space="preserve"> （公章）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tblCellSpacing w:w="0" w:type="dxa"/>
          <w:jc w:val="center"/>
        </w:trPr>
        <w:tc>
          <w:tcPr>
            <w:tcW w:w="1837" w:type="dxa"/>
            <w:gridSpan w:val="2"/>
            <w:vAlign w:val="center"/>
          </w:tcPr>
          <w:p>
            <w:pPr>
              <w:adjustRightInd w:val="0"/>
              <w:snapToGrid w:val="0"/>
              <w:spacing w:line="400" w:lineRule="atLeast"/>
              <w:jc w:val="center"/>
              <w:rPr>
                <w:rFonts w:ascii="宋体" w:hAnsi="宋体"/>
                <w:sz w:val="22"/>
                <w:szCs w:val="22"/>
              </w:rPr>
            </w:pPr>
            <w:r>
              <w:rPr>
                <w:rFonts w:hint="eastAsia" w:ascii="宋体" w:hAnsi="宋体"/>
                <w:sz w:val="22"/>
                <w:szCs w:val="22"/>
              </w:rPr>
              <w:t>项目联系人</w:t>
            </w:r>
          </w:p>
        </w:tc>
        <w:tc>
          <w:tcPr>
            <w:tcW w:w="3088" w:type="dxa"/>
            <w:vAlign w:val="center"/>
          </w:tcPr>
          <w:p>
            <w:pPr>
              <w:adjustRightInd w:val="0"/>
              <w:snapToGrid w:val="0"/>
              <w:spacing w:line="400" w:lineRule="atLeast"/>
              <w:jc w:val="center"/>
              <w:rPr>
                <w:rFonts w:ascii="仿宋_GB2312" w:eastAsia="仿宋_GB2312"/>
                <w:sz w:val="24"/>
              </w:rPr>
            </w:pPr>
            <w:r>
              <w:rPr>
                <w:rFonts w:ascii="仿宋_GB2312" w:eastAsia="仿宋_GB2312"/>
                <w:sz w:val="24"/>
              </w:rPr>
              <w:t> </w:t>
            </w:r>
          </w:p>
        </w:tc>
        <w:tc>
          <w:tcPr>
            <w:tcW w:w="1477" w:type="dxa"/>
            <w:vAlign w:val="center"/>
          </w:tcPr>
          <w:p>
            <w:pPr>
              <w:adjustRightInd w:val="0"/>
              <w:snapToGrid w:val="0"/>
              <w:spacing w:line="400" w:lineRule="atLeast"/>
              <w:jc w:val="center"/>
              <w:rPr>
                <w:rFonts w:ascii="宋体" w:hAnsi="宋体"/>
                <w:sz w:val="22"/>
                <w:szCs w:val="22"/>
              </w:rPr>
            </w:pPr>
            <w:r>
              <w:rPr>
                <w:rFonts w:hint="eastAsia" w:ascii="宋体" w:hAnsi="宋体"/>
                <w:sz w:val="22"/>
                <w:szCs w:val="22"/>
              </w:rPr>
              <w:t xml:space="preserve">手 机 </w:t>
            </w:r>
          </w:p>
        </w:tc>
        <w:tc>
          <w:tcPr>
            <w:tcW w:w="2977" w:type="dxa"/>
            <w:vAlign w:val="center"/>
          </w:tcPr>
          <w:p>
            <w:pPr>
              <w:adjustRightInd w:val="0"/>
              <w:snapToGrid w:val="0"/>
              <w:spacing w:line="400" w:lineRule="atLeast"/>
              <w:jc w:val="center"/>
              <w:rPr>
                <w:rFonts w:ascii="仿宋_GB2312" w:eastAsia="仿宋_GB2312"/>
                <w:sz w:val="24"/>
              </w:rPr>
            </w:pPr>
            <w:r>
              <w:rPr>
                <w:rFonts w:ascii="仿宋_GB2312" w:eastAsia="仿宋_GB2312"/>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6" w:hRule="atLeast"/>
          <w:tblCellSpacing w:w="0" w:type="dxa"/>
          <w:jc w:val="center"/>
        </w:trPr>
        <w:tc>
          <w:tcPr>
            <w:tcW w:w="1837" w:type="dxa"/>
            <w:gridSpan w:val="2"/>
            <w:vAlign w:val="center"/>
          </w:tcPr>
          <w:p>
            <w:pPr>
              <w:adjustRightInd w:val="0"/>
              <w:snapToGrid w:val="0"/>
              <w:spacing w:line="400" w:lineRule="atLeast"/>
              <w:jc w:val="center"/>
              <w:rPr>
                <w:rFonts w:ascii="宋体" w:hAnsi="宋体"/>
                <w:sz w:val="22"/>
                <w:szCs w:val="22"/>
              </w:rPr>
            </w:pPr>
            <w:r>
              <w:rPr>
                <w:rFonts w:hint="eastAsia" w:ascii="宋体" w:hAnsi="宋体"/>
                <w:sz w:val="22"/>
                <w:szCs w:val="22"/>
              </w:rPr>
              <w:t>联系电话</w:t>
            </w:r>
          </w:p>
        </w:tc>
        <w:tc>
          <w:tcPr>
            <w:tcW w:w="3088" w:type="dxa"/>
            <w:vAlign w:val="center"/>
          </w:tcPr>
          <w:p>
            <w:pPr>
              <w:adjustRightInd w:val="0"/>
              <w:snapToGrid w:val="0"/>
              <w:spacing w:line="400" w:lineRule="atLeast"/>
              <w:jc w:val="center"/>
              <w:rPr>
                <w:rFonts w:ascii="仿宋_GB2312" w:eastAsia="仿宋_GB2312"/>
                <w:sz w:val="24"/>
              </w:rPr>
            </w:pPr>
            <w:r>
              <w:rPr>
                <w:rFonts w:ascii="仿宋_GB2312" w:eastAsia="仿宋_GB2312"/>
                <w:sz w:val="24"/>
              </w:rPr>
              <w:t> </w:t>
            </w:r>
          </w:p>
        </w:tc>
        <w:tc>
          <w:tcPr>
            <w:tcW w:w="1477" w:type="dxa"/>
            <w:vAlign w:val="center"/>
          </w:tcPr>
          <w:p>
            <w:pPr>
              <w:adjustRightInd w:val="0"/>
              <w:snapToGrid w:val="0"/>
              <w:spacing w:line="400" w:lineRule="atLeast"/>
              <w:jc w:val="center"/>
              <w:rPr>
                <w:rFonts w:ascii="宋体" w:hAnsi="宋体"/>
                <w:sz w:val="22"/>
                <w:szCs w:val="22"/>
              </w:rPr>
            </w:pPr>
            <w:r>
              <w:rPr>
                <w:rFonts w:hint="eastAsia" w:ascii="宋体" w:hAnsi="宋体"/>
                <w:sz w:val="22"/>
                <w:szCs w:val="22"/>
              </w:rPr>
              <w:t>传 真</w:t>
            </w:r>
          </w:p>
        </w:tc>
        <w:tc>
          <w:tcPr>
            <w:tcW w:w="2977" w:type="dxa"/>
            <w:vAlign w:val="center"/>
          </w:tcPr>
          <w:p>
            <w:pPr>
              <w:adjustRightInd w:val="0"/>
              <w:snapToGrid w:val="0"/>
              <w:spacing w:line="400" w:lineRule="atLeast"/>
              <w:jc w:val="center"/>
              <w:rPr>
                <w:rFonts w:ascii="仿宋_GB2312" w:eastAsia="仿宋_GB2312"/>
                <w:sz w:val="24"/>
              </w:rPr>
            </w:pPr>
            <w:r>
              <w:rPr>
                <w:rFonts w:ascii="仿宋_GB2312" w:eastAsia="仿宋_GB2312"/>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tblCellSpacing w:w="0" w:type="dxa"/>
          <w:jc w:val="center"/>
        </w:trPr>
        <w:tc>
          <w:tcPr>
            <w:tcW w:w="1837" w:type="dxa"/>
            <w:gridSpan w:val="2"/>
            <w:vAlign w:val="center"/>
          </w:tcPr>
          <w:p>
            <w:pPr>
              <w:adjustRightInd w:val="0"/>
              <w:snapToGrid w:val="0"/>
              <w:spacing w:line="400" w:lineRule="atLeast"/>
              <w:jc w:val="center"/>
              <w:rPr>
                <w:rFonts w:ascii="宋体" w:hAnsi="宋体"/>
                <w:sz w:val="22"/>
                <w:szCs w:val="22"/>
              </w:rPr>
            </w:pPr>
            <w:r>
              <w:rPr>
                <w:rFonts w:hint="eastAsia" w:ascii="宋体" w:hAnsi="宋体"/>
                <w:sz w:val="22"/>
                <w:szCs w:val="22"/>
              </w:rPr>
              <w:t>E-mail</w:t>
            </w:r>
          </w:p>
        </w:tc>
        <w:tc>
          <w:tcPr>
            <w:tcW w:w="3088" w:type="dxa"/>
            <w:vAlign w:val="center"/>
          </w:tcPr>
          <w:p>
            <w:pPr>
              <w:adjustRightInd w:val="0"/>
              <w:snapToGrid w:val="0"/>
              <w:spacing w:line="400" w:lineRule="atLeast"/>
              <w:jc w:val="center"/>
              <w:rPr>
                <w:rFonts w:ascii="仿宋_GB2312" w:eastAsia="仿宋_GB2312"/>
                <w:sz w:val="24"/>
              </w:rPr>
            </w:pPr>
            <w:r>
              <w:rPr>
                <w:rFonts w:ascii="仿宋_GB2312" w:eastAsia="仿宋_GB2312"/>
                <w:sz w:val="24"/>
              </w:rPr>
              <w:t> </w:t>
            </w:r>
          </w:p>
        </w:tc>
        <w:tc>
          <w:tcPr>
            <w:tcW w:w="1477" w:type="dxa"/>
            <w:vAlign w:val="center"/>
          </w:tcPr>
          <w:p>
            <w:pPr>
              <w:adjustRightInd w:val="0"/>
              <w:snapToGrid w:val="0"/>
              <w:spacing w:line="400" w:lineRule="atLeast"/>
              <w:jc w:val="center"/>
              <w:rPr>
                <w:rFonts w:ascii="宋体" w:hAnsi="宋体"/>
                <w:sz w:val="22"/>
                <w:szCs w:val="22"/>
              </w:rPr>
            </w:pPr>
            <w:r>
              <w:rPr>
                <w:rFonts w:hint="eastAsia" w:ascii="宋体" w:hAnsi="宋体"/>
                <w:sz w:val="22"/>
                <w:szCs w:val="22"/>
              </w:rPr>
              <w:t>邮政编码</w:t>
            </w:r>
          </w:p>
        </w:tc>
        <w:tc>
          <w:tcPr>
            <w:tcW w:w="2977" w:type="dxa"/>
            <w:vAlign w:val="center"/>
          </w:tcPr>
          <w:p>
            <w:pPr>
              <w:adjustRightInd w:val="0"/>
              <w:snapToGrid w:val="0"/>
              <w:spacing w:line="400" w:lineRule="atLeast"/>
              <w:jc w:val="center"/>
              <w:rPr>
                <w:rFonts w:ascii="仿宋_GB2312" w:eastAsia="仿宋_GB2312"/>
                <w:sz w:val="24"/>
              </w:rPr>
            </w:pPr>
            <w:r>
              <w:rPr>
                <w:rFonts w:ascii="仿宋_GB2312" w:eastAsia="仿宋_GB2312"/>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6" w:hRule="atLeast"/>
          <w:tblCellSpacing w:w="0" w:type="dxa"/>
          <w:jc w:val="center"/>
        </w:trPr>
        <w:tc>
          <w:tcPr>
            <w:tcW w:w="1837" w:type="dxa"/>
            <w:gridSpan w:val="2"/>
            <w:vAlign w:val="center"/>
          </w:tcPr>
          <w:p>
            <w:pPr>
              <w:adjustRightInd w:val="0"/>
              <w:snapToGrid w:val="0"/>
              <w:spacing w:line="400" w:lineRule="atLeast"/>
              <w:jc w:val="center"/>
              <w:rPr>
                <w:rFonts w:ascii="宋体" w:hAnsi="宋体"/>
                <w:sz w:val="22"/>
                <w:szCs w:val="22"/>
              </w:rPr>
            </w:pPr>
            <w:r>
              <w:rPr>
                <w:rFonts w:hint="eastAsia" w:ascii="宋体" w:hAnsi="宋体"/>
                <w:sz w:val="22"/>
                <w:szCs w:val="22"/>
              </w:rPr>
              <w:t>通信地址</w:t>
            </w:r>
          </w:p>
        </w:tc>
        <w:tc>
          <w:tcPr>
            <w:tcW w:w="7542" w:type="dxa"/>
            <w:gridSpan w:val="3"/>
            <w:vAlign w:val="center"/>
          </w:tcPr>
          <w:p>
            <w:pPr>
              <w:adjustRightInd w:val="0"/>
              <w:snapToGrid w:val="0"/>
              <w:spacing w:line="400" w:lineRule="atLeast"/>
              <w:jc w:val="center"/>
              <w:rPr>
                <w:rFonts w:ascii="仿宋_GB2312" w:eastAsia="仿宋_GB2312"/>
                <w:sz w:val="24"/>
              </w:rPr>
            </w:pPr>
            <w:r>
              <w:rPr>
                <w:rFonts w:ascii="仿宋_GB2312" w:eastAsia="仿宋_GB2312"/>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tblCellSpacing w:w="0" w:type="dxa"/>
          <w:jc w:val="center"/>
        </w:trPr>
        <w:tc>
          <w:tcPr>
            <w:tcW w:w="9379" w:type="dxa"/>
            <w:gridSpan w:val="5"/>
            <w:vAlign w:val="center"/>
          </w:tcPr>
          <w:p>
            <w:pPr>
              <w:adjustRightInd w:val="0"/>
              <w:snapToGrid w:val="0"/>
              <w:spacing w:line="400" w:lineRule="atLeast"/>
              <w:jc w:val="center"/>
              <w:rPr>
                <w:rFonts w:ascii="仿宋_GB2312" w:eastAsia="仿宋_GB2312"/>
                <w:sz w:val="24"/>
              </w:rPr>
            </w:pPr>
            <w:r>
              <w:rPr>
                <w:rFonts w:hint="eastAsia" w:ascii="宋体" w:hAnsi="宋体"/>
                <w:sz w:val="22"/>
                <w:szCs w:val="22"/>
              </w:rPr>
              <w:t>提交的报名文件资料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6" w:hRule="atLeast"/>
          <w:tblCellSpacing w:w="0" w:type="dxa"/>
          <w:jc w:val="center"/>
        </w:trPr>
        <w:tc>
          <w:tcPr>
            <w:tcW w:w="671" w:type="dxa"/>
            <w:vAlign w:val="center"/>
          </w:tcPr>
          <w:p>
            <w:pPr>
              <w:adjustRightInd w:val="0"/>
              <w:snapToGrid w:val="0"/>
              <w:spacing w:line="400" w:lineRule="atLeast"/>
              <w:jc w:val="center"/>
              <w:rPr>
                <w:rFonts w:ascii="宋体" w:hAnsi="宋体"/>
                <w:sz w:val="22"/>
                <w:szCs w:val="22"/>
              </w:rPr>
            </w:pPr>
            <w:r>
              <w:rPr>
                <w:rFonts w:hint="eastAsia" w:ascii="宋体" w:hAnsi="宋体"/>
                <w:sz w:val="22"/>
                <w:szCs w:val="22"/>
              </w:rPr>
              <w:t>序号</w:t>
            </w:r>
          </w:p>
        </w:tc>
        <w:tc>
          <w:tcPr>
            <w:tcW w:w="4254" w:type="dxa"/>
            <w:gridSpan w:val="2"/>
            <w:vAlign w:val="center"/>
          </w:tcPr>
          <w:p>
            <w:pPr>
              <w:adjustRightInd w:val="0"/>
              <w:snapToGrid w:val="0"/>
              <w:spacing w:line="400" w:lineRule="atLeast"/>
              <w:jc w:val="center"/>
              <w:rPr>
                <w:rFonts w:ascii="宋体" w:hAnsi="宋体"/>
                <w:sz w:val="22"/>
                <w:szCs w:val="22"/>
              </w:rPr>
            </w:pPr>
            <w:r>
              <w:rPr>
                <w:rFonts w:hint="eastAsia" w:ascii="宋体" w:hAnsi="宋体"/>
                <w:sz w:val="22"/>
                <w:szCs w:val="22"/>
              </w:rPr>
              <w:t>报名资料</w:t>
            </w:r>
          </w:p>
        </w:tc>
        <w:tc>
          <w:tcPr>
            <w:tcW w:w="1477" w:type="dxa"/>
            <w:vAlign w:val="center"/>
          </w:tcPr>
          <w:p>
            <w:pPr>
              <w:adjustRightInd w:val="0"/>
              <w:snapToGrid w:val="0"/>
              <w:spacing w:line="400" w:lineRule="atLeast"/>
              <w:jc w:val="center"/>
              <w:rPr>
                <w:rFonts w:ascii="宋体" w:hAnsi="宋体"/>
                <w:sz w:val="22"/>
                <w:szCs w:val="22"/>
              </w:rPr>
            </w:pPr>
            <w:r>
              <w:rPr>
                <w:rFonts w:hint="eastAsia" w:ascii="宋体" w:hAnsi="宋体"/>
                <w:sz w:val="22"/>
                <w:szCs w:val="22"/>
              </w:rPr>
              <w:t>是否提交</w:t>
            </w:r>
          </w:p>
        </w:tc>
        <w:tc>
          <w:tcPr>
            <w:tcW w:w="2977" w:type="dxa"/>
            <w:vAlign w:val="center"/>
          </w:tcPr>
          <w:p>
            <w:pPr>
              <w:adjustRightInd w:val="0"/>
              <w:snapToGrid w:val="0"/>
              <w:spacing w:line="400" w:lineRule="atLeast"/>
              <w:jc w:val="center"/>
              <w:rPr>
                <w:rFonts w:ascii="宋体" w:hAnsi="宋体"/>
                <w:sz w:val="22"/>
                <w:szCs w:val="22"/>
              </w:rPr>
            </w:pPr>
            <w:r>
              <w:rPr>
                <w:rFonts w:hint="eastAsia" w:ascii="宋体" w:hAnsi="宋体"/>
                <w:sz w:val="22"/>
                <w:szCs w:val="22"/>
              </w:rPr>
              <w:t>备</w:t>
            </w:r>
            <w:r>
              <w:rPr>
                <w:rFonts w:ascii="宋体" w:hAnsi="宋体"/>
                <w:sz w:val="22"/>
                <w:szCs w:val="22"/>
              </w:rPr>
              <w:t>   </w:t>
            </w:r>
            <w:r>
              <w:rPr>
                <w:rFonts w:hint="eastAsia" w:ascii="宋体" w:hAnsi="宋体"/>
                <w:sz w:val="22"/>
                <w:szCs w:val="22"/>
              </w:rPr>
              <w:t xml:space="preserve">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6" w:hRule="atLeast"/>
          <w:tblCellSpacing w:w="0" w:type="dxa"/>
          <w:jc w:val="center"/>
        </w:trPr>
        <w:tc>
          <w:tcPr>
            <w:tcW w:w="671" w:type="dxa"/>
            <w:vAlign w:val="center"/>
          </w:tcPr>
          <w:p>
            <w:pPr>
              <w:adjustRightInd w:val="0"/>
              <w:snapToGrid w:val="0"/>
              <w:spacing w:line="400" w:lineRule="atLeast"/>
              <w:jc w:val="center"/>
              <w:rPr>
                <w:rFonts w:ascii="宋体" w:hAnsi="宋体"/>
                <w:sz w:val="22"/>
                <w:szCs w:val="22"/>
              </w:rPr>
            </w:pPr>
            <w:r>
              <w:rPr>
                <w:rFonts w:hint="eastAsia" w:ascii="宋体" w:hAnsi="宋体"/>
                <w:sz w:val="22"/>
                <w:szCs w:val="22"/>
              </w:rPr>
              <w:t>1</w:t>
            </w:r>
          </w:p>
        </w:tc>
        <w:tc>
          <w:tcPr>
            <w:tcW w:w="4254" w:type="dxa"/>
            <w:gridSpan w:val="2"/>
            <w:vAlign w:val="center"/>
          </w:tcPr>
          <w:p>
            <w:pPr>
              <w:adjustRightInd w:val="0"/>
              <w:snapToGrid w:val="0"/>
              <w:spacing w:line="400" w:lineRule="atLeast"/>
              <w:rPr>
                <w:rFonts w:ascii="宋体" w:hAnsi="宋体"/>
                <w:sz w:val="22"/>
                <w:szCs w:val="22"/>
              </w:rPr>
            </w:pPr>
            <w:r>
              <w:rPr>
                <w:rFonts w:hint="eastAsia" w:ascii="宋体" w:hAnsi="宋体"/>
                <w:sz w:val="22"/>
                <w:szCs w:val="22"/>
              </w:rPr>
              <w:t>投标人报名登记表；</w:t>
            </w:r>
          </w:p>
        </w:tc>
        <w:tc>
          <w:tcPr>
            <w:tcW w:w="1477" w:type="dxa"/>
            <w:vAlign w:val="center"/>
          </w:tcPr>
          <w:p>
            <w:pPr>
              <w:adjustRightInd w:val="0"/>
              <w:snapToGrid w:val="0"/>
              <w:spacing w:line="400" w:lineRule="atLeast"/>
              <w:jc w:val="center"/>
              <w:rPr>
                <w:rFonts w:ascii="宋体" w:hAnsi="宋体"/>
                <w:sz w:val="22"/>
                <w:szCs w:val="22"/>
              </w:rPr>
            </w:pPr>
          </w:p>
        </w:tc>
        <w:tc>
          <w:tcPr>
            <w:tcW w:w="2977" w:type="dxa"/>
            <w:vAlign w:val="center"/>
          </w:tcPr>
          <w:p>
            <w:pPr>
              <w:adjustRightInd w:val="0"/>
              <w:snapToGrid w:val="0"/>
              <w:spacing w:beforeLines="50" w:line="400" w:lineRule="atLeas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6" w:hRule="atLeast"/>
          <w:tblCellSpacing w:w="0" w:type="dxa"/>
          <w:jc w:val="center"/>
        </w:trPr>
        <w:tc>
          <w:tcPr>
            <w:tcW w:w="671" w:type="dxa"/>
            <w:vAlign w:val="center"/>
          </w:tcPr>
          <w:p>
            <w:pPr>
              <w:adjustRightInd w:val="0"/>
              <w:snapToGrid w:val="0"/>
              <w:spacing w:line="400" w:lineRule="atLeast"/>
              <w:jc w:val="center"/>
              <w:rPr>
                <w:rFonts w:ascii="宋体" w:hAnsi="宋体"/>
                <w:sz w:val="22"/>
                <w:szCs w:val="22"/>
              </w:rPr>
            </w:pPr>
            <w:r>
              <w:rPr>
                <w:rFonts w:hint="eastAsia" w:ascii="宋体" w:hAnsi="宋体"/>
                <w:sz w:val="22"/>
                <w:szCs w:val="22"/>
              </w:rPr>
              <w:t>2</w:t>
            </w:r>
          </w:p>
        </w:tc>
        <w:tc>
          <w:tcPr>
            <w:tcW w:w="4254" w:type="dxa"/>
            <w:gridSpan w:val="2"/>
            <w:vAlign w:val="center"/>
          </w:tcPr>
          <w:p>
            <w:pPr>
              <w:adjustRightInd w:val="0"/>
              <w:snapToGrid w:val="0"/>
              <w:spacing w:line="400" w:lineRule="atLeast"/>
              <w:rPr>
                <w:rFonts w:ascii="宋体" w:hAnsi="宋体"/>
                <w:sz w:val="22"/>
                <w:szCs w:val="22"/>
              </w:rPr>
            </w:pPr>
            <w:r>
              <w:rPr>
                <w:rFonts w:hint="eastAsia" w:ascii="宋体" w:hAnsi="宋体"/>
                <w:bCs/>
              </w:rPr>
              <w:t>有效的工商营业执照、税务登记证及组织机构代码或三（五）证合一证照（复印件并加盖公章）</w:t>
            </w:r>
          </w:p>
        </w:tc>
        <w:tc>
          <w:tcPr>
            <w:tcW w:w="1477" w:type="dxa"/>
            <w:vAlign w:val="center"/>
          </w:tcPr>
          <w:p>
            <w:pPr>
              <w:adjustRightInd w:val="0"/>
              <w:snapToGrid w:val="0"/>
              <w:spacing w:line="400" w:lineRule="atLeast"/>
              <w:jc w:val="center"/>
              <w:rPr>
                <w:rFonts w:ascii="宋体" w:hAnsi="宋体"/>
                <w:sz w:val="22"/>
                <w:szCs w:val="22"/>
              </w:rPr>
            </w:pPr>
            <w:r>
              <w:rPr>
                <w:rFonts w:ascii="宋体" w:hAnsi="宋体"/>
                <w:sz w:val="22"/>
                <w:szCs w:val="22"/>
              </w:rPr>
              <w:t> </w:t>
            </w:r>
          </w:p>
        </w:tc>
        <w:tc>
          <w:tcPr>
            <w:tcW w:w="2977" w:type="dxa"/>
            <w:vAlign w:val="center"/>
          </w:tcPr>
          <w:p>
            <w:pPr>
              <w:adjustRightInd w:val="0"/>
              <w:snapToGrid w:val="0"/>
              <w:spacing w:line="400" w:lineRule="atLeast"/>
              <w:rPr>
                <w:rFonts w:ascii="宋体" w:hAnsi="宋体"/>
                <w:sz w:val="22"/>
                <w:szCs w:val="22"/>
              </w:rPr>
            </w:pPr>
            <w:r>
              <w:rPr>
                <w:rFonts w:hint="eastAsia" w:ascii="宋体" w:hAnsi="宋体"/>
                <w:sz w:val="22"/>
                <w:szCs w:val="22"/>
              </w:rPr>
              <w:t>注册资金：</w:t>
            </w:r>
            <w:r>
              <w:rPr>
                <w:rFonts w:ascii="宋体" w:hAnsi="宋体"/>
                <w:sz w:val="22"/>
                <w:szCs w:val="22"/>
              </w:rPr>
              <w:t>      </w:t>
            </w:r>
            <w:r>
              <w:rPr>
                <w:rFonts w:hint="eastAsia" w:ascii="宋体" w:hAnsi="宋体"/>
                <w:sz w:val="22"/>
                <w:szCs w:val="22"/>
              </w:rPr>
              <w:t>万元</w:t>
            </w:r>
          </w:p>
          <w:p>
            <w:pPr>
              <w:adjustRightInd w:val="0"/>
              <w:snapToGrid w:val="0"/>
              <w:spacing w:beforeLines="50" w:line="400" w:lineRule="atLeast"/>
              <w:rPr>
                <w:rFonts w:ascii="宋体" w:hAnsi="宋体"/>
                <w:sz w:val="22"/>
                <w:szCs w:val="22"/>
              </w:rPr>
            </w:pPr>
            <w:r>
              <w:rPr>
                <w:rFonts w:hint="eastAsia" w:ascii="宋体" w:hAnsi="宋体"/>
                <w:sz w:val="22"/>
                <w:szCs w:val="22"/>
              </w:rPr>
              <w:t>法人代表：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6" w:hRule="atLeast"/>
          <w:tblCellSpacing w:w="0" w:type="dxa"/>
          <w:jc w:val="center"/>
        </w:trPr>
        <w:tc>
          <w:tcPr>
            <w:tcW w:w="671" w:type="dxa"/>
            <w:vAlign w:val="center"/>
          </w:tcPr>
          <w:p>
            <w:pPr>
              <w:adjustRightInd w:val="0"/>
              <w:snapToGrid w:val="0"/>
              <w:spacing w:line="400" w:lineRule="atLeast"/>
              <w:jc w:val="center"/>
              <w:rPr>
                <w:rFonts w:ascii="宋体" w:hAnsi="宋体"/>
                <w:sz w:val="22"/>
                <w:szCs w:val="22"/>
              </w:rPr>
            </w:pPr>
            <w:r>
              <w:rPr>
                <w:rFonts w:hint="eastAsia" w:ascii="宋体" w:hAnsi="宋体"/>
                <w:sz w:val="22"/>
                <w:szCs w:val="22"/>
              </w:rPr>
              <w:t>3</w:t>
            </w:r>
          </w:p>
        </w:tc>
        <w:tc>
          <w:tcPr>
            <w:tcW w:w="4254" w:type="dxa"/>
            <w:gridSpan w:val="2"/>
            <w:vAlign w:val="center"/>
          </w:tcPr>
          <w:p>
            <w:pPr>
              <w:adjustRightInd w:val="0"/>
              <w:snapToGrid w:val="0"/>
              <w:spacing w:line="400" w:lineRule="atLeast"/>
              <w:rPr>
                <w:rFonts w:ascii="宋体" w:hAnsi="宋体"/>
                <w:sz w:val="22"/>
                <w:szCs w:val="22"/>
              </w:rPr>
            </w:pPr>
            <w:r>
              <w:rPr>
                <w:rFonts w:hint="eastAsia" w:ascii="宋体" w:hAnsi="宋体" w:cs="宋体"/>
                <w:kern w:val="0"/>
                <w:sz w:val="22"/>
                <w:szCs w:val="22"/>
              </w:rPr>
              <w:t>资质证书</w:t>
            </w:r>
          </w:p>
        </w:tc>
        <w:tc>
          <w:tcPr>
            <w:tcW w:w="1477" w:type="dxa"/>
            <w:vAlign w:val="center"/>
          </w:tcPr>
          <w:p>
            <w:pPr>
              <w:adjustRightInd w:val="0"/>
              <w:snapToGrid w:val="0"/>
              <w:spacing w:line="400" w:lineRule="atLeast"/>
              <w:jc w:val="center"/>
              <w:rPr>
                <w:rFonts w:ascii="宋体" w:hAnsi="宋体"/>
                <w:sz w:val="22"/>
                <w:szCs w:val="22"/>
              </w:rPr>
            </w:pPr>
            <w:r>
              <w:rPr>
                <w:rFonts w:ascii="宋体" w:hAnsi="宋体"/>
                <w:sz w:val="22"/>
                <w:szCs w:val="22"/>
              </w:rPr>
              <w:t> </w:t>
            </w:r>
          </w:p>
        </w:tc>
        <w:tc>
          <w:tcPr>
            <w:tcW w:w="2977" w:type="dxa"/>
            <w:vAlign w:val="center"/>
          </w:tcPr>
          <w:p>
            <w:pPr>
              <w:adjustRightInd w:val="0"/>
              <w:snapToGrid w:val="0"/>
              <w:spacing w:line="400" w:lineRule="atLeas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6" w:hRule="atLeast"/>
          <w:tblCellSpacing w:w="0" w:type="dxa"/>
          <w:jc w:val="center"/>
        </w:trPr>
        <w:tc>
          <w:tcPr>
            <w:tcW w:w="671" w:type="dxa"/>
            <w:vAlign w:val="center"/>
          </w:tcPr>
          <w:p>
            <w:pPr>
              <w:adjustRightInd w:val="0"/>
              <w:snapToGrid w:val="0"/>
              <w:spacing w:line="400" w:lineRule="atLeast"/>
              <w:jc w:val="center"/>
              <w:rPr>
                <w:rFonts w:ascii="宋体" w:hAnsi="宋体"/>
                <w:sz w:val="22"/>
                <w:szCs w:val="22"/>
              </w:rPr>
            </w:pPr>
            <w:r>
              <w:rPr>
                <w:rFonts w:hint="eastAsia" w:ascii="宋体" w:hAnsi="宋体"/>
                <w:sz w:val="22"/>
                <w:szCs w:val="22"/>
              </w:rPr>
              <w:t>4</w:t>
            </w:r>
          </w:p>
        </w:tc>
        <w:tc>
          <w:tcPr>
            <w:tcW w:w="4254" w:type="dxa"/>
            <w:gridSpan w:val="2"/>
            <w:vAlign w:val="center"/>
          </w:tcPr>
          <w:p>
            <w:pPr>
              <w:adjustRightInd w:val="0"/>
              <w:snapToGrid w:val="0"/>
              <w:spacing w:line="400" w:lineRule="atLeast"/>
              <w:rPr>
                <w:rFonts w:ascii="宋体" w:hAnsi="宋体"/>
                <w:sz w:val="22"/>
                <w:szCs w:val="22"/>
              </w:rPr>
            </w:pPr>
            <w:r>
              <w:rPr>
                <w:rFonts w:hint="eastAsia" w:ascii="宋体" w:hAnsi="宋体"/>
                <w:sz w:val="22"/>
                <w:szCs w:val="22"/>
              </w:rPr>
              <w:t>供应商简介</w:t>
            </w:r>
          </w:p>
        </w:tc>
        <w:tc>
          <w:tcPr>
            <w:tcW w:w="1477" w:type="dxa"/>
            <w:vAlign w:val="center"/>
          </w:tcPr>
          <w:p>
            <w:pPr>
              <w:adjustRightInd w:val="0"/>
              <w:snapToGrid w:val="0"/>
              <w:spacing w:line="400" w:lineRule="atLeast"/>
              <w:jc w:val="center"/>
              <w:rPr>
                <w:rFonts w:ascii="宋体" w:hAnsi="宋体"/>
                <w:sz w:val="22"/>
                <w:szCs w:val="22"/>
              </w:rPr>
            </w:pPr>
          </w:p>
        </w:tc>
        <w:tc>
          <w:tcPr>
            <w:tcW w:w="2977" w:type="dxa"/>
            <w:vAlign w:val="center"/>
          </w:tcPr>
          <w:p>
            <w:pPr>
              <w:adjustRightInd w:val="0"/>
              <w:snapToGrid w:val="0"/>
              <w:spacing w:line="400" w:lineRule="atLeas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6" w:hRule="atLeast"/>
          <w:tblCellSpacing w:w="0" w:type="dxa"/>
          <w:jc w:val="center"/>
        </w:trPr>
        <w:tc>
          <w:tcPr>
            <w:tcW w:w="671" w:type="dxa"/>
            <w:vAlign w:val="center"/>
          </w:tcPr>
          <w:p>
            <w:pPr>
              <w:adjustRightInd w:val="0"/>
              <w:snapToGrid w:val="0"/>
              <w:spacing w:line="400" w:lineRule="atLeast"/>
              <w:jc w:val="center"/>
              <w:rPr>
                <w:rFonts w:ascii="宋体" w:hAnsi="宋体"/>
                <w:sz w:val="22"/>
                <w:szCs w:val="22"/>
              </w:rPr>
            </w:pPr>
            <w:r>
              <w:rPr>
                <w:rFonts w:hint="eastAsia" w:ascii="宋体" w:hAnsi="宋体"/>
                <w:sz w:val="22"/>
                <w:szCs w:val="22"/>
              </w:rPr>
              <w:t>5</w:t>
            </w:r>
          </w:p>
        </w:tc>
        <w:tc>
          <w:tcPr>
            <w:tcW w:w="4254" w:type="dxa"/>
            <w:gridSpan w:val="2"/>
            <w:vAlign w:val="center"/>
          </w:tcPr>
          <w:p>
            <w:pPr>
              <w:adjustRightInd w:val="0"/>
              <w:snapToGrid w:val="0"/>
              <w:spacing w:line="400" w:lineRule="atLeast"/>
              <w:rPr>
                <w:rFonts w:ascii="宋体" w:hAnsi="宋体"/>
                <w:sz w:val="22"/>
                <w:szCs w:val="22"/>
              </w:rPr>
            </w:pPr>
          </w:p>
        </w:tc>
        <w:tc>
          <w:tcPr>
            <w:tcW w:w="1477" w:type="dxa"/>
            <w:vAlign w:val="center"/>
          </w:tcPr>
          <w:p>
            <w:pPr>
              <w:adjustRightInd w:val="0"/>
              <w:snapToGrid w:val="0"/>
              <w:spacing w:line="400" w:lineRule="atLeast"/>
              <w:jc w:val="center"/>
              <w:rPr>
                <w:rFonts w:ascii="宋体" w:hAnsi="宋体"/>
                <w:sz w:val="22"/>
                <w:szCs w:val="22"/>
              </w:rPr>
            </w:pPr>
          </w:p>
        </w:tc>
        <w:tc>
          <w:tcPr>
            <w:tcW w:w="2977" w:type="dxa"/>
            <w:vAlign w:val="center"/>
          </w:tcPr>
          <w:p>
            <w:pPr>
              <w:adjustRightInd w:val="0"/>
              <w:snapToGrid w:val="0"/>
              <w:spacing w:line="400" w:lineRule="atLeast"/>
              <w:rPr>
                <w:rFonts w:ascii="宋体" w:hAnsi="宋体"/>
                <w:sz w:val="22"/>
                <w:szCs w:val="22"/>
              </w:rPr>
            </w:pPr>
          </w:p>
        </w:tc>
      </w:tr>
    </w:tbl>
    <w:p>
      <w:pPr>
        <w:rPr>
          <w:rFonts w:ascii="宋体" w:hAnsi="宋体" w:cs="宋体"/>
          <w:color w:val="333333"/>
          <w:kern w:val="0"/>
          <w:sz w:val="24"/>
        </w:rPr>
      </w:pPr>
    </w:p>
    <w:p>
      <w:pPr>
        <w:jc w:val="center"/>
        <w:rPr>
          <w:rFonts w:ascii="宋体" w:hAnsi="宋体"/>
          <w:b/>
          <w:color w:val="000000"/>
          <w:sz w:val="32"/>
          <w:szCs w:val="32"/>
        </w:rPr>
      </w:pPr>
    </w:p>
    <w:p>
      <w:pPr>
        <w:rPr>
          <w:rFonts w:ascii="宋体" w:hAnsi="宋体"/>
          <w:b/>
          <w:color w:val="000000"/>
          <w:sz w:val="32"/>
          <w:szCs w:val="32"/>
        </w:rPr>
      </w:pPr>
    </w:p>
    <w:p>
      <w:pPr>
        <w:jc w:val="center"/>
        <w:rPr>
          <w:rFonts w:ascii="宋体" w:hAnsi="宋体"/>
          <w:b/>
          <w:color w:val="000000"/>
          <w:sz w:val="32"/>
          <w:szCs w:val="32"/>
        </w:rPr>
      </w:pPr>
      <w:r>
        <w:rPr>
          <w:rFonts w:hint="eastAsia" w:ascii="宋体" w:hAnsi="宋体"/>
          <w:b/>
          <w:color w:val="000000"/>
          <w:sz w:val="32"/>
          <w:szCs w:val="32"/>
        </w:rPr>
        <w:t>投 标 通 知 (邀 请) 书</w:t>
      </w:r>
    </w:p>
    <w:p>
      <w:pPr>
        <w:spacing w:line="440" w:lineRule="exact"/>
        <w:ind w:firstLine="440" w:firstLineChars="200"/>
        <w:rPr>
          <w:rFonts w:ascii="宋体" w:hAnsi="宋体" w:cs="宋体"/>
          <w:color w:val="000000"/>
          <w:kern w:val="0"/>
          <w:sz w:val="22"/>
          <w:szCs w:val="22"/>
        </w:rPr>
      </w:pPr>
      <w:r>
        <w:rPr>
          <w:rFonts w:hint="eastAsia" w:ascii="宋体" w:hAnsi="宋体" w:cs="宋体"/>
          <w:kern w:val="0"/>
          <w:sz w:val="22"/>
          <w:szCs w:val="22"/>
        </w:rPr>
        <w:t>浙江首信工程项目管理有限公司对</w:t>
      </w:r>
      <w:r>
        <w:rPr>
          <w:rFonts w:hint="eastAsia" w:ascii="宋体" w:hAnsi="宋体"/>
          <w:color w:val="000000"/>
          <w:sz w:val="22"/>
          <w:szCs w:val="22"/>
        </w:rPr>
        <w:t>龙港市农业农村局的</w:t>
      </w:r>
      <w:r>
        <w:rPr>
          <w:rFonts w:hint="eastAsia" w:ascii="宋体" w:hAnsi="宋体"/>
          <w:color w:val="000000"/>
          <w:sz w:val="22"/>
          <w:szCs w:val="22"/>
          <w:u w:color="800080"/>
        </w:rPr>
        <w:t>龙港市水利工程运行维修项目</w:t>
      </w:r>
      <w:r>
        <w:rPr>
          <w:rFonts w:hint="eastAsia" w:ascii="宋体" w:hAnsi="宋体" w:cs="宋体"/>
          <w:kern w:val="0"/>
          <w:sz w:val="22"/>
          <w:szCs w:val="22"/>
        </w:rPr>
        <w:t>进行竞争性磋商，特通知贵公司（企业）前来投标。并请按招标文件的要求认真准备好投标文件，按时前来投标。</w:t>
      </w:r>
    </w:p>
    <w:tbl>
      <w:tblPr>
        <w:tblStyle w:val="38"/>
        <w:tblW w:w="9535"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4"/>
        <w:gridCol w:w="6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634" w:type="dxa"/>
            <w:tcBorders>
              <w:top w:val="double" w:color="auto" w:sz="4" w:space="0"/>
              <w:left w:val="double" w:color="auto" w:sz="4" w:space="0"/>
            </w:tcBorders>
            <w:vAlign w:val="center"/>
          </w:tcPr>
          <w:p>
            <w:pPr>
              <w:spacing w:line="440" w:lineRule="exact"/>
              <w:rPr>
                <w:rFonts w:ascii="宋体" w:hAnsi="宋体"/>
                <w:color w:val="000000"/>
                <w:sz w:val="22"/>
                <w:szCs w:val="22"/>
              </w:rPr>
            </w:pPr>
            <w:r>
              <w:rPr>
                <w:rFonts w:hint="eastAsia" w:ascii="宋体" w:hAnsi="宋体"/>
                <w:color w:val="000000"/>
                <w:sz w:val="22"/>
                <w:szCs w:val="22"/>
              </w:rPr>
              <w:t>采购编号</w:t>
            </w:r>
          </w:p>
        </w:tc>
        <w:tc>
          <w:tcPr>
            <w:tcW w:w="6901" w:type="dxa"/>
            <w:tcBorders>
              <w:top w:val="double" w:color="auto" w:sz="4" w:space="0"/>
              <w:right w:val="double" w:color="auto" w:sz="4" w:space="0"/>
            </w:tcBorders>
            <w:vAlign w:val="center"/>
          </w:tcPr>
          <w:p>
            <w:pPr>
              <w:spacing w:line="440" w:lineRule="exact"/>
              <w:rPr>
                <w:rFonts w:ascii="宋体" w:hAnsi="宋体"/>
                <w:color w:val="000000"/>
                <w:sz w:val="22"/>
                <w:szCs w:val="22"/>
              </w:rPr>
            </w:pPr>
            <w:r>
              <w:rPr>
                <w:rFonts w:hint="eastAsia" w:ascii="宋体" w:hAnsi="宋体"/>
                <w:color w:val="000000"/>
                <w:sz w:val="22"/>
                <w:szCs w:val="22"/>
              </w:rPr>
              <w:t>LGCG2020097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634" w:type="dxa"/>
            <w:tcBorders>
              <w:left w:val="double" w:color="auto" w:sz="4" w:space="0"/>
            </w:tcBorders>
            <w:vAlign w:val="center"/>
          </w:tcPr>
          <w:p>
            <w:pPr>
              <w:spacing w:line="440" w:lineRule="exact"/>
              <w:rPr>
                <w:rFonts w:ascii="宋体" w:hAnsi="宋体"/>
                <w:color w:val="000000"/>
                <w:sz w:val="22"/>
                <w:szCs w:val="22"/>
                <w:u w:color="800080"/>
              </w:rPr>
            </w:pPr>
            <w:r>
              <w:rPr>
                <w:rFonts w:hint="eastAsia" w:ascii="宋体" w:hAnsi="宋体"/>
                <w:color w:val="000000"/>
                <w:sz w:val="22"/>
                <w:szCs w:val="22"/>
                <w:u w:color="800080"/>
              </w:rPr>
              <w:t>采购内容</w:t>
            </w:r>
          </w:p>
        </w:tc>
        <w:tc>
          <w:tcPr>
            <w:tcW w:w="6901" w:type="dxa"/>
            <w:tcBorders>
              <w:right w:val="double" w:color="auto" w:sz="4" w:space="0"/>
            </w:tcBorders>
            <w:vAlign w:val="center"/>
          </w:tcPr>
          <w:p>
            <w:pPr>
              <w:tabs>
                <w:tab w:val="center" w:pos="3342"/>
              </w:tabs>
              <w:spacing w:line="380" w:lineRule="exact"/>
              <w:rPr>
                <w:rFonts w:ascii="宋体" w:hAnsi="宋体"/>
                <w:color w:val="000000"/>
                <w:sz w:val="22"/>
                <w:szCs w:val="22"/>
                <w:u w:color="800080"/>
              </w:rPr>
            </w:pPr>
            <w:r>
              <w:rPr>
                <w:rFonts w:hint="eastAsia" w:ascii="宋体" w:hAnsi="宋体"/>
                <w:color w:val="000000"/>
                <w:sz w:val="22"/>
                <w:szCs w:val="22"/>
                <w:u w:color="800080"/>
              </w:rPr>
              <w:t>龙港市水利工程运行维修项目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634" w:type="dxa"/>
            <w:tcBorders>
              <w:left w:val="double" w:color="auto" w:sz="4" w:space="0"/>
            </w:tcBorders>
            <w:vAlign w:val="center"/>
          </w:tcPr>
          <w:p>
            <w:pPr>
              <w:spacing w:line="440" w:lineRule="exact"/>
              <w:rPr>
                <w:rFonts w:ascii="宋体" w:hAnsi="宋体"/>
                <w:color w:val="000000"/>
                <w:sz w:val="22"/>
                <w:szCs w:val="22"/>
              </w:rPr>
            </w:pPr>
            <w:r>
              <w:rPr>
                <w:rFonts w:hint="eastAsia" w:ascii="宋体" w:hAnsi="宋体"/>
                <w:color w:val="000000"/>
                <w:sz w:val="22"/>
                <w:szCs w:val="22"/>
              </w:rPr>
              <w:t>资金来源</w:t>
            </w:r>
          </w:p>
        </w:tc>
        <w:tc>
          <w:tcPr>
            <w:tcW w:w="6901" w:type="dxa"/>
            <w:tcBorders>
              <w:right w:val="double" w:color="auto" w:sz="4" w:space="0"/>
            </w:tcBorders>
            <w:vAlign w:val="center"/>
          </w:tcPr>
          <w:p>
            <w:pPr>
              <w:spacing w:line="440" w:lineRule="exact"/>
              <w:rPr>
                <w:rFonts w:ascii="宋体" w:hAnsi="宋体"/>
                <w:bCs/>
                <w:color w:val="000000"/>
                <w:sz w:val="22"/>
                <w:szCs w:val="22"/>
              </w:rPr>
            </w:pPr>
            <w:r>
              <w:rPr>
                <w:rFonts w:hint="eastAsia" w:ascii="宋体" w:hAnsi="宋体"/>
                <w:bCs/>
                <w:color w:val="000000"/>
                <w:sz w:val="22"/>
                <w:szCs w:val="22"/>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634" w:type="dxa"/>
            <w:tcBorders>
              <w:left w:val="double" w:color="auto" w:sz="4" w:space="0"/>
            </w:tcBorders>
            <w:vAlign w:val="center"/>
          </w:tcPr>
          <w:p>
            <w:pPr>
              <w:spacing w:line="440" w:lineRule="exact"/>
              <w:rPr>
                <w:rFonts w:ascii="宋体" w:hAnsi="宋体"/>
                <w:color w:val="000000"/>
                <w:sz w:val="22"/>
                <w:szCs w:val="22"/>
              </w:rPr>
            </w:pPr>
            <w:r>
              <w:rPr>
                <w:rFonts w:hint="eastAsia" w:ascii="宋体" w:hAnsi="宋体"/>
                <w:color w:val="000000"/>
                <w:sz w:val="22"/>
                <w:szCs w:val="22"/>
              </w:rPr>
              <w:t>采购方式</w:t>
            </w:r>
          </w:p>
        </w:tc>
        <w:tc>
          <w:tcPr>
            <w:tcW w:w="6901" w:type="dxa"/>
            <w:tcBorders>
              <w:right w:val="double" w:color="auto" w:sz="4" w:space="0"/>
            </w:tcBorders>
            <w:vAlign w:val="center"/>
          </w:tcPr>
          <w:p>
            <w:pPr>
              <w:spacing w:line="440" w:lineRule="exact"/>
              <w:rPr>
                <w:rFonts w:ascii="宋体" w:hAnsi="宋体"/>
                <w:bCs/>
                <w:color w:val="000000"/>
                <w:sz w:val="22"/>
                <w:szCs w:val="22"/>
              </w:rPr>
            </w:pPr>
            <w:r>
              <w:rPr>
                <w:rFonts w:hint="eastAsia" w:ascii="宋体" w:hAnsi="宋体"/>
                <w:color w:val="000000"/>
                <w:sz w:val="22"/>
                <w:szCs w:val="22"/>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634" w:type="dxa"/>
            <w:tcBorders>
              <w:left w:val="double" w:color="auto" w:sz="4" w:space="0"/>
            </w:tcBorders>
            <w:vAlign w:val="center"/>
          </w:tcPr>
          <w:p>
            <w:pPr>
              <w:spacing w:line="440" w:lineRule="exact"/>
              <w:rPr>
                <w:rFonts w:ascii="宋体" w:hAnsi="宋体"/>
                <w:color w:val="000000"/>
                <w:sz w:val="22"/>
                <w:szCs w:val="22"/>
              </w:rPr>
            </w:pPr>
            <w:r>
              <w:rPr>
                <w:rFonts w:hint="eastAsia" w:ascii="宋体" w:hAnsi="宋体"/>
                <w:sz w:val="22"/>
                <w:szCs w:val="22"/>
              </w:rPr>
              <w:t>预算金额</w:t>
            </w:r>
          </w:p>
        </w:tc>
        <w:tc>
          <w:tcPr>
            <w:tcW w:w="6901" w:type="dxa"/>
            <w:tcBorders>
              <w:right w:val="double" w:color="auto" w:sz="4" w:space="0"/>
            </w:tcBorders>
            <w:vAlign w:val="center"/>
          </w:tcPr>
          <w:p>
            <w:pPr>
              <w:spacing w:line="440" w:lineRule="exact"/>
              <w:rPr>
                <w:rFonts w:ascii="宋体" w:hAnsi="宋体"/>
                <w:color w:val="000000"/>
                <w:sz w:val="22"/>
                <w:szCs w:val="22"/>
              </w:rPr>
            </w:pPr>
            <w:r>
              <w:rPr>
                <w:rFonts w:hint="eastAsia" w:ascii="宋体" w:hAnsi="宋体"/>
                <w:sz w:val="22"/>
                <w:szCs w:val="22"/>
              </w:rPr>
              <w:t>128.6735万元；供应商投标报价超出采购预算，该供应商按无效投标处理。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634" w:type="dxa"/>
            <w:tcBorders>
              <w:left w:val="double" w:color="auto" w:sz="4" w:space="0"/>
            </w:tcBorders>
            <w:vAlign w:val="center"/>
          </w:tcPr>
          <w:p>
            <w:pPr>
              <w:spacing w:line="440" w:lineRule="exact"/>
              <w:rPr>
                <w:rFonts w:ascii="宋体" w:hAnsi="宋体"/>
                <w:color w:val="000000"/>
                <w:sz w:val="22"/>
                <w:szCs w:val="22"/>
              </w:rPr>
            </w:pPr>
            <w:r>
              <w:rPr>
                <w:rFonts w:hint="eastAsia" w:ascii="宋体" w:hAnsi="宋体"/>
                <w:color w:val="000000"/>
                <w:sz w:val="22"/>
                <w:szCs w:val="22"/>
              </w:rPr>
              <w:t>确定成交供应商办法</w:t>
            </w:r>
          </w:p>
        </w:tc>
        <w:tc>
          <w:tcPr>
            <w:tcW w:w="6901" w:type="dxa"/>
            <w:tcBorders>
              <w:right w:val="double" w:color="auto" w:sz="4" w:space="0"/>
            </w:tcBorders>
            <w:vAlign w:val="center"/>
          </w:tcPr>
          <w:p>
            <w:pPr>
              <w:spacing w:line="440" w:lineRule="exact"/>
              <w:rPr>
                <w:rFonts w:ascii="宋体" w:hAnsi="宋体"/>
                <w:bCs/>
                <w:color w:val="000000"/>
                <w:sz w:val="22"/>
                <w:szCs w:val="22"/>
              </w:rPr>
            </w:pPr>
            <w:r>
              <w:rPr>
                <w:rFonts w:hint="eastAsia" w:ascii="宋体" w:hAnsi="宋体"/>
                <w:bCs/>
                <w:sz w:val="22"/>
                <w:szCs w:val="22"/>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634" w:type="dxa"/>
            <w:tcBorders>
              <w:left w:val="double" w:color="auto" w:sz="4" w:space="0"/>
            </w:tcBorders>
            <w:vAlign w:val="center"/>
          </w:tcPr>
          <w:p>
            <w:pPr>
              <w:spacing w:line="440" w:lineRule="exact"/>
              <w:rPr>
                <w:rFonts w:ascii="宋体" w:hAnsi="宋体"/>
                <w:color w:val="000000"/>
                <w:sz w:val="22"/>
                <w:szCs w:val="22"/>
              </w:rPr>
            </w:pPr>
            <w:r>
              <w:rPr>
                <w:rFonts w:hint="eastAsia" w:ascii="宋体" w:hAnsi="宋体"/>
                <w:color w:val="000000"/>
                <w:sz w:val="22"/>
                <w:szCs w:val="22"/>
              </w:rPr>
              <w:t>报价有效期</w:t>
            </w:r>
          </w:p>
        </w:tc>
        <w:tc>
          <w:tcPr>
            <w:tcW w:w="6901" w:type="dxa"/>
            <w:tcBorders>
              <w:right w:val="double" w:color="auto" w:sz="4" w:space="0"/>
            </w:tcBorders>
            <w:vAlign w:val="center"/>
          </w:tcPr>
          <w:p>
            <w:pPr>
              <w:adjustRightInd w:val="0"/>
              <w:snapToGrid w:val="0"/>
              <w:spacing w:line="400" w:lineRule="atLeast"/>
              <w:rPr>
                <w:rFonts w:ascii="宋体" w:hAnsi="宋体"/>
                <w:color w:val="000000"/>
                <w:sz w:val="22"/>
                <w:szCs w:val="22"/>
              </w:rPr>
            </w:pPr>
            <w:r>
              <w:rPr>
                <w:rFonts w:hint="eastAsia" w:ascii="宋体" w:hAnsi="宋体"/>
                <w:color w:val="000000"/>
                <w:sz w:val="22"/>
                <w:szCs w:val="22"/>
              </w:rPr>
              <w:t>60日历天（自招标文件递交截止日起计算）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2634" w:type="dxa"/>
            <w:tcBorders>
              <w:left w:val="double" w:color="auto" w:sz="4" w:space="0"/>
            </w:tcBorders>
            <w:vAlign w:val="center"/>
          </w:tcPr>
          <w:p>
            <w:pPr>
              <w:spacing w:line="440" w:lineRule="exact"/>
              <w:rPr>
                <w:rFonts w:ascii="宋体" w:hAnsi="宋体"/>
                <w:color w:val="000000"/>
                <w:sz w:val="22"/>
                <w:szCs w:val="22"/>
              </w:rPr>
            </w:pPr>
            <w:r>
              <w:rPr>
                <w:rFonts w:hint="eastAsia" w:ascii="宋体" w:hAnsi="宋体"/>
                <w:color w:val="000000"/>
                <w:sz w:val="22"/>
                <w:szCs w:val="22"/>
              </w:rPr>
              <w:t>投标文件份数</w:t>
            </w:r>
          </w:p>
        </w:tc>
        <w:tc>
          <w:tcPr>
            <w:tcW w:w="6901" w:type="dxa"/>
            <w:tcBorders>
              <w:right w:val="double" w:color="auto" w:sz="4" w:space="0"/>
            </w:tcBorders>
            <w:vAlign w:val="center"/>
          </w:tcPr>
          <w:p>
            <w:pPr>
              <w:adjustRightInd w:val="0"/>
              <w:snapToGrid w:val="0"/>
              <w:spacing w:line="400" w:lineRule="atLeast"/>
              <w:rPr>
                <w:rFonts w:ascii="宋体" w:hAnsi="宋体"/>
                <w:color w:val="000000"/>
                <w:sz w:val="22"/>
                <w:szCs w:val="22"/>
              </w:rPr>
            </w:pPr>
            <w:r>
              <w:rPr>
                <w:rFonts w:hint="eastAsia" w:ascii="宋体" w:hAnsi="宋体"/>
                <w:color w:val="000000"/>
                <w:sz w:val="22"/>
                <w:szCs w:val="22"/>
              </w:rPr>
              <w:t>正本1份，副本4份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634" w:type="dxa"/>
            <w:tcBorders>
              <w:left w:val="double" w:color="auto" w:sz="4" w:space="0"/>
            </w:tcBorders>
            <w:vAlign w:val="center"/>
          </w:tcPr>
          <w:p>
            <w:pPr>
              <w:spacing w:line="440" w:lineRule="exact"/>
              <w:rPr>
                <w:rFonts w:ascii="宋体" w:hAnsi="宋体"/>
                <w:color w:val="000000"/>
                <w:sz w:val="22"/>
                <w:szCs w:val="22"/>
              </w:rPr>
            </w:pPr>
            <w:r>
              <w:rPr>
                <w:rFonts w:hint="eastAsia" w:ascii="宋体" w:hAnsi="宋体"/>
                <w:color w:val="000000"/>
                <w:sz w:val="22"/>
                <w:szCs w:val="22"/>
              </w:rPr>
              <w:t>投标文件递交至</w:t>
            </w:r>
          </w:p>
        </w:tc>
        <w:tc>
          <w:tcPr>
            <w:tcW w:w="6901" w:type="dxa"/>
            <w:tcBorders>
              <w:right w:val="double" w:color="auto" w:sz="4" w:space="0"/>
            </w:tcBorders>
            <w:vAlign w:val="center"/>
          </w:tcPr>
          <w:p>
            <w:pPr>
              <w:spacing w:line="440" w:lineRule="exact"/>
              <w:rPr>
                <w:rFonts w:ascii="宋体" w:hAnsi="宋体"/>
                <w:color w:val="000000"/>
                <w:sz w:val="22"/>
                <w:szCs w:val="22"/>
              </w:rPr>
            </w:pPr>
            <w:r>
              <w:rPr>
                <w:rFonts w:hint="eastAsia" w:ascii="宋体" w:hAnsi="宋体" w:cs="宋体"/>
                <w:kern w:val="0"/>
                <w:sz w:val="22"/>
                <w:szCs w:val="22"/>
              </w:rPr>
              <w:t>龙港市西二街家具市场--龙港市公共资源交易中心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634" w:type="dxa"/>
            <w:tcBorders>
              <w:left w:val="double" w:color="auto" w:sz="4" w:space="0"/>
            </w:tcBorders>
            <w:vAlign w:val="center"/>
          </w:tcPr>
          <w:p>
            <w:pPr>
              <w:spacing w:line="440" w:lineRule="exact"/>
              <w:rPr>
                <w:rFonts w:ascii="宋体" w:hAnsi="宋体"/>
                <w:color w:val="000000"/>
                <w:sz w:val="22"/>
                <w:szCs w:val="22"/>
              </w:rPr>
            </w:pPr>
            <w:r>
              <w:rPr>
                <w:rFonts w:hint="eastAsia" w:ascii="宋体" w:hAnsi="宋体"/>
                <w:color w:val="000000"/>
                <w:sz w:val="22"/>
                <w:szCs w:val="22"/>
              </w:rPr>
              <w:t>投标文件递交截止与投标开始时间</w:t>
            </w:r>
          </w:p>
        </w:tc>
        <w:tc>
          <w:tcPr>
            <w:tcW w:w="6901" w:type="dxa"/>
            <w:tcBorders>
              <w:right w:val="double" w:color="auto" w:sz="4" w:space="0"/>
            </w:tcBorders>
            <w:vAlign w:val="center"/>
          </w:tcPr>
          <w:p>
            <w:pPr>
              <w:spacing w:line="440" w:lineRule="exact"/>
              <w:rPr>
                <w:rFonts w:ascii="宋体" w:hAnsi="宋体"/>
                <w:color w:val="000000"/>
                <w:sz w:val="22"/>
                <w:szCs w:val="22"/>
              </w:rPr>
            </w:pPr>
            <w:r>
              <w:rPr>
                <w:rFonts w:hint="eastAsia" w:ascii="宋体" w:hAnsi="宋体"/>
                <w:sz w:val="22"/>
                <w:szCs w:val="22"/>
              </w:rPr>
              <w:t>2020年 8月24日15</w:t>
            </w:r>
            <w:r>
              <w:rPr>
                <w:rFonts w:hint="eastAsia" w:ascii="宋体" w:hAnsi="宋体" w:cs="宋体"/>
                <w:kern w:val="0"/>
                <w:sz w:val="22"/>
                <w:szCs w:val="22"/>
              </w:rPr>
              <w:t>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634" w:type="dxa"/>
            <w:tcBorders>
              <w:left w:val="double" w:color="auto" w:sz="4" w:space="0"/>
            </w:tcBorders>
            <w:vAlign w:val="center"/>
          </w:tcPr>
          <w:p>
            <w:pPr>
              <w:spacing w:line="440" w:lineRule="exact"/>
              <w:rPr>
                <w:rFonts w:ascii="宋体" w:hAnsi="宋体"/>
                <w:color w:val="000000"/>
                <w:sz w:val="22"/>
                <w:szCs w:val="22"/>
              </w:rPr>
            </w:pPr>
            <w:r>
              <w:rPr>
                <w:rFonts w:hint="eastAsia" w:ascii="宋体" w:hAnsi="宋体"/>
                <w:color w:val="000000"/>
                <w:sz w:val="22"/>
                <w:szCs w:val="22"/>
              </w:rPr>
              <w:t>投标地点</w:t>
            </w:r>
          </w:p>
        </w:tc>
        <w:tc>
          <w:tcPr>
            <w:tcW w:w="6901" w:type="dxa"/>
            <w:tcBorders>
              <w:right w:val="double" w:color="auto" w:sz="4" w:space="0"/>
            </w:tcBorders>
            <w:vAlign w:val="center"/>
          </w:tcPr>
          <w:p>
            <w:pPr>
              <w:spacing w:line="440" w:lineRule="exact"/>
              <w:rPr>
                <w:rFonts w:ascii="宋体" w:hAnsi="宋体"/>
                <w:bCs/>
                <w:color w:val="000000"/>
                <w:sz w:val="22"/>
                <w:szCs w:val="22"/>
              </w:rPr>
            </w:pPr>
            <w:r>
              <w:rPr>
                <w:rFonts w:hint="eastAsia" w:ascii="宋体" w:hAnsi="宋体" w:cs="宋体"/>
                <w:kern w:val="0"/>
                <w:sz w:val="22"/>
                <w:szCs w:val="22"/>
              </w:rPr>
              <w:t>龙港市西二街家具市场--龙港市公共资源交易中心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634" w:type="dxa"/>
            <w:tcBorders>
              <w:left w:val="double" w:color="auto" w:sz="4" w:space="0"/>
              <w:bottom w:val="single" w:color="auto" w:sz="4" w:space="0"/>
            </w:tcBorders>
            <w:vAlign w:val="center"/>
          </w:tcPr>
          <w:p>
            <w:pPr>
              <w:spacing w:line="440" w:lineRule="exact"/>
              <w:rPr>
                <w:rFonts w:ascii="宋体" w:hAnsi="宋体"/>
                <w:color w:val="000000"/>
                <w:sz w:val="22"/>
                <w:szCs w:val="22"/>
              </w:rPr>
            </w:pPr>
            <w:r>
              <w:rPr>
                <w:rFonts w:hint="eastAsia" w:ascii="宋体" w:hAnsi="宋体"/>
                <w:color w:val="000000"/>
                <w:sz w:val="22"/>
                <w:szCs w:val="22"/>
              </w:rPr>
              <w:t>质疑时间</w:t>
            </w:r>
          </w:p>
        </w:tc>
        <w:tc>
          <w:tcPr>
            <w:tcW w:w="6901" w:type="dxa"/>
            <w:tcBorders>
              <w:bottom w:val="single" w:color="auto" w:sz="4" w:space="0"/>
              <w:right w:val="double" w:color="auto" w:sz="4" w:space="0"/>
            </w:tcBorders>
            <w:vAlign w:val="center"/>
          </w:tcPr>
          <w:p>
            <w:pPr>
              <w:autoSpaceDE w:val="0"/>
              <w:autoSpaceDN w:val="0"/>
              <w:adjustRightInd w:val="0"/>
              <w:rPr>
                <w:rFonts w:ascii="宋体" w:hAnsi="宋体" w:cs="宋体"/>
                <w:bCs/>
                <w:kern w:val="0"/>
                <w:sz w:val="24"/>
                <w:szCs w:val="24"/>
              </w:rPr>
            </w:pPr>
            <w:r>
              <w:rPr>
                <w:rFonts w:hint="eastAsia" w:ascii="宋体" w:hAnsi="宋体" w:cs="宋体"/>
                <w:bCs/>
                <w:kern w:val="0"/>
                <w:sz w:val="24"/>
                <w:szCs w:val="24"/>
              </w:rPr>
              <w:t>1、投标人认为招标文件、招标过程和中标结果使自己的合法权益受到损害的，应当在知道或者应知其权益受到损害之日起七个工作日内，以书面形式向采购人、采购代理机构提出质疑。投标人对招标采购单位的质疑答复不满意或者招标采购单位未在规定时间内作出答复的，可以在答复期满后十五个工作日内向同级采购监管部门投诉。</w:t>
            </w:r>
          </w:p>
          <w:p>
            <w:pPr>
              <w:autoSpaceDE w:val="0"/>
              <w:autoSpaceDN w:val="0"/>
              <w:adjustRightInd w:val="0"/>
              <w:rPr>
                <w:rFonts w:ascii="宋体" w:hAnsi="宋体"/>
                <w:color w:val="000000"/>
                <w:sz w:val="22"/>
                <w:szCs w:val="22"/>
              </w:rPr>
            </w:pPr>
            <w:r>
              <w:rPr>
                <w:rFonts w:hint="eastAsia" w:ascii="宋体" w:hAnsi="宋体" w:cs="宋体"/>
                <w:bCs/>
                <w:kern w:val="0"/>
                <w:sz w:val="24"/>
                <w:szCs w:val="24"/>
              </w:rPr>
              <w:t>2、对采购公告信息（含供应商资格条件）或网上下载的采购文件提出质疑的，质疑期限自采购公告或采购文件发布之日起计算。对实行报名购买的采购文件提出质疑的，质疑期限自供应商获得采购文件之日起计算（但采购文件在发售或报名截止日后获得的，应当自截止之日起计算），且应当在采购响应截止时间之前提出，否则，被质疑人可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634" w:type="dxa"/>
            <w:tcBorders>
              <w:left w:val="double" w:color="auto" w:sz="4" w:space="0"/>
              <w:bottom w:val="single" w:color="auto" w:sz="4" w:space="0"/>
            </w:tcBorders>
            <w:vAlign w:val="center"/>
          </w:tcPr>
          <w:p>
            <w:pPr>
              <w:spacing w:line="440" w:lineRule="exact"/>
              <w:rPr>
                <w:rFonts w:ascii="宋体" w:hAnsi="宋体"/>
                <w:color w:val="000000"/>
                <w:sz w:val="22"/>
                <w:szCs w:val="22"/>
              </w:rPr>
            </w:pPr>
            <w:r>
              <w:rPr>
                <w:rFonts w:hint="eastAsia" w:ascii="宋体" w:hAnsi="宋体"/>
                <w:sz w:val="22"/>
                <w:szCs w:val="22"/>
              </w:rPr>
              <w:t>信用记录</w:t>
            </w:r>
          </w:p>
        </w:tc>
        <w:tc>
          <w:tcPr>
            <w:tcW w:w="6901" w:type="dxa"/>
            <w:tcBorders>
              <w:bottom w:val="single" w:color="auto" w:sz="4" w:space="0"/>
              <w:right w:val="double" w:color="auto" w:sz="4" w:space="0"/>
            </w:tcBorders>
            <w:vAlign w:val="center"/>
          </w:tcPr>
          <w:p>
            <w:pPr>
              <w:spacing w:line="440" w:lineRule="exact"/>
              <w:rPr>
                <w:rFonts w:ascii="宋体" w:hAnsi="宋体"/>
                <w:color w:val="000000"/>
                <w:sz w:val="22"/>
                <w:szCs w:val="22"/>
              </w:rPr>
            </w:pPr>
            <w:r>
              <w:rPr>
                <w:rFonts w:hint="eastAsia" w:ascii="宋体" w:hAnsi="宋体"/>
                <w:sz w:val="22"/>
                <w:szCs w:val="22"/>
              </w:rPr>
              <w:t>根据《财政部关于在政府采购活动中查询及使用信用记录的通知》（财库〔2016〕125号）相关规定，评审时采购组织机构将统一通过“信用中国”网站（www.creditchina.gov.cn）、中国政府采购网（www.ccgp.gov.cn）查询制造商信用记录，对制造商信用记录进行甄别。</w:t>
            </w:r>
            <w:r>
              <w:rPr>
                <w:rFonts w:hint="eastAsia" w:ascii="宋体" w:hAnsi="宋体"/>
                <w:b/>
                <w:bCs/>
                <w:sz w:val="22"/>
                <w:szCs w:val="22"/>
              </w:rPr>
              <w:t>凡是列入失信被执行人、重大税收违法案件当事人名单、政府采购严重违法失信行为记录名单及其他不符合《中华人民共和国政府采购法》第二十二条规定条件的制造商，将拒绝其参加本次政府采购活动。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634" w:type="dxa"/>
            <w:tcBorders>
              <w:left w:val="double" w:color="auto" w:sz="4" w:space="0"/>
              <w:bottom w:val="single" w:color="auto" w:sz="4" w:space="0"/>
            </w:tcBorders>
            <w:vAlign w:val="center"/>
          </w:tcPr>
          <w:p>
            <w:pPr>
              <w:pStyle w:val="16"/>
              <w:snapToGrid w:val="0"/>
              <w:spacing w:line="400" w:lineRule="atLeast"/>
              <w:rPr>
                <w:rFonts w:ascii="宋体" w:hAnsi="宋体"/>
                <w:color w:val="000000"/>
                <w:sz w:val="22"/>
                <w:szCs w:val="22"/>
              </w:rPr>
            </w:pPr>
            <w:r>
              <w:rPr>
                <w:rFonts w:hint="eastAsia" w:ascii="宋体" w:hAnsi="宋体"/>
                <w:sz w:val="21"/>
                <w:szCs w:val="21"/>
              </w:rPr>
              <w:t>小型、</w:t>
            </w:r>
            <w:r>
              <w:rPr>
                <w:rFonts w:ascii="宋体" w:hAnsi="宋体"/>
                <w:sz w:val="21"/>
                <w:szCs w:val="21"/>
              </w:rPr>
              <w:t>微型企业扶政</w:t>
            </w:r>
            <w:r>
              <w:rPr>
                <w:rFonts w:hint="eastAsia" w:ascii="宋体" w:hAnsi="宋体"/>
                <w:sz w:val="21"/>
                <w:szCs w:val="21"/>
              </w:rPr>
              <w:t>策</w:t>
            </w:r>
          </w:p>
        </w:tc>
        <w:tc>
          <w:tcPr>
            <w:tcW w:w="6901" w:type="dxa"/>
            <w:tcBorders>
              <w:bottom w:val="single" w:color="auto" w:sz="4" w:space="0"/>
              <w:right w:val="double" w:color="auto" w:sz="4" w:space="0"/>
            </w:tcBorders>
            <w:vAlign w:val="center"/>
          </w:tcPr>
          <w:p>
            <w:pPr>
              <w:autoSpaceDE w:val="0"/>
              <w:autoSpaceDN w:val="0"/>
              <w:adjustRightInd w:val="0"/>
              <w:rPr>
                <w:rFonts w:ascii="宋体" w:hAnsi="宋体"/>
                <w:b/>
                <w:bCs/>
                <w:sz w:val="22"/>
                <w:szCs w:val="22"/>
              </w:rPr>
            </w:pPr>
            <w:r>
              <w:rPr>
                <w:rFonts w:hint="eastAsia" w:ascii="宋体" w:hAnsi="宋体"/>
                <w:b/>
                <w:bCs/>
                <w:sz w:val="22"/>
                <w:szCs w:val="22"/>
              </w:rPr>
              <w:t>1、依据《政府采购促进中小企业发展暂行办法》（财库〔2011〕181 号）、《浙江省财政厅、浙江省中小企业局转发财政部工业和信息化部关于印发&lt;政府采购促进中小企业发展暂行办法&gt;的通知》（浙财采监〔2012〕11 号）相关规定，对小型和微型企业给予价格优惠扶持，用扣除后的价格参与评审，具体规定见“第六部分评标办法”。</w:t>
            </w:r>
          </w:p>
          <w:p>
            <w:pPr>
              <w:pStyle w:val="16"/>
              <w:snapToGrid w:val="0"/>
              <w:spacing w:before="0" w:line="400" w:lineRule="atLeast"/>
              <w:rPr>
                <w:rFonts w:ascii="宋体" w:hAnsi="宋体"/>
                <w:color w:val="000000"/>
                <w:sz w:val="22"/>
                <w:szCs w:val="22"/>
              </w:rPr>
            </w:pPr>
            <w:r>
              <w:rPr>
                <w:rFonts w:hint="eastAsia" w:ascii="宋体" w:hAnsi="宋体"/>
                <w:b/>
                <w:bCs/>
                <w:sz w:val="22"/>
                <w:szCs w:val="22"/>
              </w:rPr>
              <w:t>2、监狱企业、残疾人福利性单位价格扣除扶持政策：符合《财政部、司法部关于政府采购支持监狱企业发展有关问题的通知》（财库[2014]68 号）规定的“监狱企业”和符合《财政部、民政部、中国残疾人联合会关于促进残疾人就业政府采购政策的通知》（财库[2017]141 号）规定的“残疾人福利性单位”，参照小、微企业给予相同价格优惠扶持，用扣除后的价格参与评审。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2634" w:type="dxa"/>
            <w:tcBorders>
              <w:left w:val="double" w:color="auto" w:sz="4" w:space="0"/>
              <w:bottom w:val="single" w:color="auto" w:sz="4" w:space="0"/>
            </w:tcBorders>
            <w:vAlign w:val="center"/>
          </w:tcPr>
          <w:p>
            <w:pPr>
              <w:autoSpaceDE w:val="0"/>
              <w:autoSpaceDN w:val="0"/>
              <w:adjustRightInd w:val="0"/>
              <w:jc w:val="center"/>
              <w:rPr>
                <w:rFonts w:ascii="宋体" w:hAnsi="宋体"/>
                <w:szCs w:val="21"/>
              </w:rPr>
            </w:pPr>
            <w:r>
              <w:rPr>
                <w:rFonts w:hint="eastAsia" w:ascii="宋体" w:hAnsi="宋体" w:cs="宋体"/>
                <w:sz w:val="24"/>
                <w:szCs w:val="24"/>
              </w:rPr>
              <w:t>其他政策说明</w:t>
            </w:r>
          </w:p>
        </w:tc>
        <w:tc>
          <w:tcPr>
            <w:tcW w:w="6901" w:type="dxa"/>
            <w:tcBorders>
              <w:bottom w:val="single" w:color="auto" w:sz="4" w:space="0"/>
              <w:right w:val="double" w:color="auto" w:sz="4" w:space="0"/>
            </w:tcBorders>
            <w:vAlign w:val="center"/>
          </w:tcPr>
          <w:p>
            <w:pPr>
              <w:autoSpaceDE w:val="0"/>
              <w:autoSpaceDN w:val="0"/>
              <w:adjustRightInd w:val="0"/>
              <w:rPr>
                <w:rFonts w:ascii="宋体" w:hAnsi="宋体"/>
                <w:b/>
                <w:bCs/>
                <w:sz w:val="22"/>
                <w:szCs w:val="22"/>
              </w:rPr>
            </w:pPr>
            <w:r>
              <w:rPr>
                <w:rFonts w:hint="eastAsia" w:ascii="宋体" w:hAnsi="宋体" w:cs="宋体"/>
                <w:bCs/>
                <w:kern w:val="0"/>
                <w:sz w:val="24"/>
                <w:szCs w:val="24"/>
              </w:rPr>
              <w:t>本项相关金融政策按《浙江省财政厅关于坚决打赢疫情防控阻击战 进一步做好政府采购资金支持 企业发展工作的通知》浙财采监〔2020〕3 号文件以及《温州市财政局关于温州市政府采购支持中小企业信用融资的通知》温财采〔2020〕3号文件要求执行。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634" w:type="dxa"/>
            <w:tcBorders>
              <w:left w:val="double" w:color="auto" w:sz="4" w:space="0"/>
              <w:bottom w:val="single" w:color="auto" w:sz="4" w:space="0"/>
            </w:tcBorders>
            <w:vAlign w:val="center"/>
          </w:tcPr>
          <w:p>
            <w:pPr>
              <w:autoSpaceDE w:val="0"/>
              <w:autoSpaceDN w:val="0"/>
              <w:adjustRightInd w:val="0"/>
              <w:jc w:val="center"/>
              <w:rPr>
                <w:rFonts w:ascii="宋体" w:hAnsi="宋体" w:cs="宋体"/>
                <w:sz w:val="24"/>
                <w:szCs w:val="24"/>
              </w:rPr>
            </w:pPr>
            <w:r>
              <w:rPr>
                <w:rFonts w:hint="eastAsia" w:ascii="宋体" w:hAnsi="宋体" w:cs="宋体"/>
                <w:bCs/>
                <w:kern w:val="0"/>
                <w:sz w:val="24"/>
                <w:szCs w:val="24"/>
              </w:rPr>
              <w:t>其他注意事项</w:t>
            </w:r>
          </w:p>
        </w:tc>
        <w:tc>
          <w:tcPr>
            <w:tcW w:w="6901" w:type="dxa"/>
            <w:tcBorders>
              <w:bottom w:val="single" w:color="auto" w:sz="4" w:space="0"/>
              <w:right w:val="double" w:color="auto" w:sz="4" w:space="0"/>
            </w:tcBorders>
            <w:vAlign w:val="center"/>
          </w:tcPr>
          <w:p>
            <w:pPr>
              <w:autoSpaceDE w:val="0"/>
              <w:autoSpaceDN w:val="0"/>
              <w:adjustRightInd w:val="0"/>
              <w:rPr>
                <w:rFonts w:ascii="宋体" w:hAnsi="宋体" w:cs="宋体"/>
                <w:bCs/>
                <w:kern w:val="0"/>
                <w:sz w:val="24"/>
                <w:szCs w:val="24"/>
              </w:rPr>
            </w:pPr>
            <w:r>
              <w:rPr>
                <w:rFonts w:hint="eastAsia" w:ascii="宋体" w:hAnsi="宋体" w:cs="宋体"/>
                <w:bCs/>
                <w:kern w:val="0"/>
                <w:sz w:val="24"/>
                <w:szCs w:val="24"/>
              </w:rPr>
              <w:t>（1）各投标供应商派法定代表人（或法定代表人授权代表）按本招标文件规定的时间和地点参加本项目的开标大会并登记签到。投标供应商如不派代表参加开标大会，不作无效标处理。</w:t>
            </w:r>
          </w:p>
          <w:p>
            <w:pPr>
              <w:autoSpaceDE w:val="0"/>
              <w:autoSpaceDN w:val="0"/>
              <w:adjustRightInd w:val="0"/>
              <w:rPr>
                <w:rFonts w:ascii="宋体" w:hAnsi="宋体" w:cs="宋体"/>
                <w:bCs/>
                <w:kern w:val="0"/>
                <w:sz w:val="24"/>
                <w:szCs w:val="24"/>
              </w:rPr>
            </w:pPr>
            <w:r>
              <w:rPr>
                <w:rFonts w:hint="eastAsia" w:ascii="宋体" w:hAnsi="宋体" w:cs="宋体"/>
                <w:bCs/>
                <w:kern w:val="0"/>
                <w:sz w:val="24"/>
                <w:szCs w:val="24"/>
              </w:rPr>
              <w:t>（2）法定代表人参加开标大会的同时出示：a.企业营业执照复印件加盖公章（封装在投标文件内的也有效）;b.个人有效身份证明（居民身份证）.</w:t>
            </w:r>
          </w:p>
          <w:p>
            <w:pPr>
              <w:autoSpaceDE w:val="0"/>
              <w:autoSpaceDN w:val="0"/>
              <w:adjustRightInd w:val="0"/>
              <w:rPr>
                <w:rFonts w:ascii="宋体" w:hAnsi="宋体" w:cs="宋体"/>
                <w:bCs/>
                <w:kern w:val="0"/>
                <w:sz w:val="24"/>
                <w:szCs w:val="24"/>
              </w:rPr>
            </w:pPr>
            <w:r>
              <w:rPr>
                <w:rFonts w:hint="eastAsia" w:ascii="宋体" w:hAnsi="宋体" w:cs="宋体"/>
                <w:bCs/>
                <w:kern w:val="0"/>
                <w:sz w:val="24"/>
                <w:szCs w:val="24"/>
              </w:rPr>
              <w:t>（3）法定代表人授权委托书载明的授权代表参加开标大会的同时出示：a.企业营业执照复印件加盖公章（封装在投标文件内的也有效）;b.投标供应商法定代表人授权委托书原件；c.个人有效身份证明（居民身份证）.</w:t>
            </w:r>
          </w:p>
          <w:p>
            <w:pPr>
              <w:autoSpaceDE w:val="0"/>
              <w:autoSpaceDN w:val="0"/>
              <w:adjustRightInd w:val="0"/>
              <w:rPr>
                <w:rFonts w:ascii="宋体" w:hAnsi="宋体" w:cs="宋体"/>
                <w:bCs/>
                <w:kern w:val="0"/>
                <w:sz w:val="24"/>
                <w:szCs w:val="24"/>
              </w:rPr>
            </w:pPr>
            <w:r>
              <w:rPr>
                <w:rFonts w:hint="eastAsia" w:ascii="宋体" w:hAnsi="宋体" w:cs="宋体"/>
                <w:bCs/>
                <w:kern w:val="0"/>
                <w:sz w:val="24"/>
                <w:szCs w:val="24"/>
              </w:rPr>
              <w:t>（4）法定代表人或法定代表人授权委托书载明的授权代表参加开标大会时递交的“企业营业执照复印件加盖公章”或投标供应商“法定代表人授权委托书原件”密封在投标文件技术资信部分内的也有效；</w:t>
            </w:r>
          </w:p>
          <w:p>
            <w:pPr>
              <w:autoSpaceDE w:val="0"/>
              <w:autoSpaceDN w:val="0"/>
              <w:adjustRightInd w:val="0"/>
              <w:rPr>
                <w:rFonts w:ascii="宋体" w:hAnsi="宋体" w:cs="宋体"/>
                <w:bCs/>
                <w:kern w:val="0"/>
                <w:sz w:val="24"/>
                <w:szCs w:val="24"/>
              </w:rPr>
            </w:pPr>
            <w:r>
              <w:rPr>
                <w:rFonts w:hint="eastAsia" w:ascii="宋体" w:hAnsi="宋体" w:cs="宋体"/>
                <w:bCs/>
                <w:kern w:val="0"/>
                <w:sz w:val="24"/>
                <w:szCs w:val="24"/>
              </w:rPr>
              <w:t>（5）授权代表开标前出示的法定代表人授权委托书与投标文件中的法定代表人授权委托书不一致时，以投标文件中的为准；</w:t>
            </w:r>
          </w:p>
          <w:p>
            <w:pPr>
              <w:autoSpaceDE w:val="0"/>
              <w:autoSpaceDN w:val="0"/>
              <w:adjustRightInd w:val="0"/>
              <w:rPr>
                <w:rFonts w:ascii="宋体" w:hAnsi="宋体" w:cs="宋体"/>
                <w:bCs/>
                <w:kern w:val="0"/>
                <w:sz w:val="24"/>
                <w:szCs w:val="24"/>
              </w:rPr>
            </w:pPr>
            <w:r>
              <w:rPr>
                <w:rFonts w:hint="eastAsia" w:ascii="宋体" w:hAnsi="宋体" w:cs="宋体"/>
                <w:bCs/>
                <w:kern w:val="0"/>
                <w:sz w:val="24"/>
                <w:szCs w:val="24"/>
              </w:rPr>
              <w:t>（6）供应商采用邮寄的，其联系人若为法人的须提供“企业营业执照和身份证复印件加盖公章”，若联系人为委托人的须提供“法定代表人授权委托书原件”，且须密封在投标文件技术资信部分内；</w:t>
            </w:r>
          </w:p>
          <w:p>
            <w:pPr>
              <w:autoSpaceDE w:val="0"/>
              <w:autoSpaceDN w:val="0"/>
              <w:adjustRightInd w:val="0"/>
              <w:rPr>
                <w:rFonts w:ascii="宋体" w:hAnsi="宋体" w:cs="宋体"/>
                <w:bCs/>
                <w:kern w:val="0"/>
                <w:sz w:val="24"/>
                <w:szCs w:val="24"/>
              </w:rPr>
            </w:pPr>
            <w:r>
              <w:rPr>
                <w:rFonts w:hint="eastAsia" w:ascii="宋体" w:hAnsi="宋体" w:cs="宋体"/>
                <w:bCs/>
                <w:kern w:val="0"/>
                <w:sz w:val="24"/>
                <w:szCs w:val="24"/>
              </w:rPr>
              <w:t>（7）招标文件其他地方规定与本表规定不一致的，以本表规定为准。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2" w:hRule="atLeast"/>
        </w:trPr>
        <w:tc>
          <w:tcPr>
            <w:tcW w:w="2634" w:type="dxa"/>
            <w:tcBorders>
              <w:left w:val="double" w:color="auto" w:sz="4" w:space="0"/>
              <w:bottom w:val="single" w:color="auto" w:sz="4" w:space="0"/>
            </w:tcBorders>
            <w:vAlign w:val="center"/>
          </w:tcPr>
          <w:p>
            <w:pPr>
              <w:autoSpaceDE w:val="0"/>
              <w:autoSpaceDN w:val="0"/>
              <w:adjustRightInd w:val="0"/>
              <w:jc w:val="center"/>
              <w:rPr>
                <w:rFonts w:ascii="宋体" w:hAnsi="宋体" w:cs="宋体"/>
                <w:bCs/>
                <w:kern w:val="0"/>
                <w:sz w:val="24"/>
                <w:szCs w:val="24"/>
              </w:rPr>
            </w:pPr>
            <w:r>
              <w:rPr>
                <w:rFonts w:hint="eastAsia" w:ascii="宋体" w:hAnsi="宋体" w:cs="宋体"/>
                <w:b/>
                <w:bCs/>
                <w:szCs w:val="24"/>
              </w:rPr>
              <w:t>疫情期间注意事项</w:t>
            </w:r>
          </w:p>
        </w:tc>
        <w:tc>
          <w:tcPr>
            <w:tcW w:w="6901" w:type="dxa"/>
            <w:tcBorders>
              <w:bottom w:val="single" w:color="auto" w:sz="4" w:space="0"/>
              <w:right w:val="double" w:color="auto" w:sz="4" w:space="0"/>
            </w:tcBorders>
            <w:vAlign w:val="center"/>
          </w:tcPr>
          <w:p>
            <w:pPr>
              <w:autoSpaceDE w:val="0"/>
              <w:autoSpaceDN w:val="0"/>
              <w:adjustRightInd w:val="0"/>
              <w:rPr>
                <w:rFonts w:ascii="宋体" w:hAnsi="宋体" w:cs="宋体"/>
                <w:bCs/>
                <w:kern w:val="0"/>
                <w:sz w:val="24"/>
                <w:szCs w:val="24"/>
              </w:rPr>
            </w:pPr>
            <w:r>
              <w:rPr>
                <w:rFonts w:hint="eastAsia" w:ascii="宋体" w:hAnsi="宋体" w:cs="宋体"/>
                <w:bCs/>
                <w:kern w:val="0"/>
                <w:sz w:val="24"/>
                <w:szCs w:val="24"/>
              </w:rPr>
              <w:t>1、投标人可以采用邮寄的方式递交投标文件，但须备注当面签收确认，并提前5天与我公司经办人联系。否则导致投标文件不能在投标文件递交截止时间前送至开标地点而产生投标无效的后果，须由投标人自行承担。</w:t>
            </w:r>
          </w:p>
          <w:p>
            <w:pPr>
              <w:autoSpaceDE w:val="0"/>
              <w:autoSpaceDN w:val="0"/>
              <w:adjustRightInd w:val="0"/>
              <w:rPr>
                <w:rFonts w:ascii="宋体" w:hAnsi="宋体" w:cs="宋体"/>
                <w:bCs/>
                <w:kern w:val="0"/>
                <w:sz w:val="24"/>
                <w:szCs w:val="24"/>
              </w:rPr>
            </w:pPr>
            <w:r>
              <w:rPr>
                <w:rFonts w:hint="eastAsia" w:ascii="宋体" w:hAnsi="宋体" w:cs="宋体"/>
                <w:bCs/>
                <w:kern w:val="0"/>
                <w:sz w:val="24"/>
                <w:szCs w:val="24"/>
              </w:rPr>
              <w:t xml:space="preserve">邮寄接受人及联系方式：徐武   18305776010  </w:t>
            </w:r>
          </w:p>
          <w:p>
            <w:pPr>
              <w:autoSpaceDE w:val="0"/>
              <w:autoSpaceDN w:val="0"/>
              <w:adjustRightInd w:val="0"/>
              <w:rPr>
                <w:rFonts w:ascii="宋体" w:hAnsi="宋体" w:cs="宋体"/>
                <w:bCs/>
                <w:kern w:val="0"/>
                <w:sz w:val="24"/>
                <w:szCs w:val="24"/>
              </w:rPr>
            </w:pPr>
            <w:r>
              <w:rPr>
                <w:rFonts w:hint="eastAsia" w:ascii="宋体" w:hAnsi="宋体" w:cs="宋体"/>
                <w:bCs/>
                <w:kern w:val="0"/>
                <w:sz w:val="24"/>
                <w:szCs w:val="24"/>
              </w:rPr>
              <w:t>邮寄地址：龙港市西二街家具市场--龙港市公共资源交易中心1楼大厅</w:t>
            </w:r>
          </w:p>
          <w:p>
            <w:pPr>
              <w:autoSpaceDE w:val="0"/>
              <w:autoSpaceDN w:val="0"/>
              <w:adjustRightInd w:val="0"/>
              <w:rPr>
                <w:rFonts w:ascii="宋体" w:hAnsi="宋体" w:cs="宋体"/>
                <w:bCs/>
                <w:kern w:val="0"/>
                <w:sz w:val="24"/>
                <w:szCs w:val="24"/>
              </w:rPr>
            </w:pPr>
            <w:r>
              <w:rPr>
                <w:rFonts w:hint="eastAsia" w:ascii="宋体" w:hAnsi="宋体" w:cs="宋体"/>
                <w:bCs/>
                <w:kern w:val="0"/>
                <w:sz w:val="24"/>
                <w:szCs w:val="24"/>
              </w:rPr>
              <w:t>2、允许投标人现场递交投标文件，并做好投标文件的密封工作。以现场递交投标文件的供应商必须在规定的投标文件递交截止时间前送到投标文件递交地点，递交人员不得超过1人，且持有“绿色健康码”体温不超过37.3℃，不得聚集。以上两种递交方式由投标人自行决定。</w:t>
            </w:r>
          </w:p>
          <w:p>
            <w:pPr>
              <w:autoSpaceDE w:val="0"/>
              <w:autoSpaceDN w:val="0"/>
              <w:adjustRightInd w:val="0"/>
              <w:rPr>
                <w:rFonts w:ascii="宋体" w:hAnsi="宋体" w:cs="宋体"/>
                <w:bCs/>
                <w:kern w:val="0"/>
                <w:sz w:val="24"/>
                <w:szCs w:val="24"/>
              </w:rPr>
            </w:pPr>
            <w:r>
              <w:rPr>
                <w:rFonts w:hint="eastAsia" w:ascii="宋体" w:hAnsi="宋体" w:cs="宋体"/>
                <w:bCs/>
                <w:kern w:val="0"/>
                <w:sz w:val="24"/>
                <w:szCs w:val="24"/>
              </w:rPr>
              <w:t>3、供应商采用邮寄投标文件需注明授权代表或法定代表人的联系方式及电子邮箱。需要供应商澄清或签字确认的，供应商代表未到现场的，则发送询标或签字确认相关内容至供应商授权代表或法定代表人电子邮箱，供应商代表30分钟内澄清、说明、确认或者更正的回复发送至邮箱524613944@qq.com.供应商在规定时间内未澄清或确认的则应说明理由，否则视为无异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trPr>
        <w:tc>
          <w:tcPr>
            <w:tcW w:w="2634" w:type="dxa"/>
            <w:tcBorders>
              <w:left w:val="double" w:color="auto" w:sz="4" w:space="0"/>
              <w:bottom w:val="single" w:color="auto" w:sz="4" w:space="0"/>
            </w:tcBorders>
            <w:vAlign w:val="center"/>
          </w:tcPr>
          <w:p>
            <w:pPr>
              <w:pStyle w:val="16"/>
              <w:spacing w:before="0" w:line="440" w:lineRule="exact"/>
              <w:jc w:val="center"/>
              <w:rPr>
                <w:rFonts w:ascii="宋体" w:hAnsi="宋体" w:cs="宋体"/>
                <w:b/>
                <w:bCs/>
                <w:szCs w:val="24"/>
              </w:rPr>
            </w:pPr>
            <w:r>
              <w:rPr>
                <w:rFonts w:hint="eastAsia" w:ascii="宋体" w:hAnsi="宋体" w:cs="宋体"/>
                <w:bCs/>
                <w:kern w:val="0"/>
                <w:szCs w:val="24"/>
              </w:rPr>
              <w:t>合同备案</w:t>
            </w:r>
          </w:p>
        </w:tc>
        <w:tc>
          <w:tcPr>
            <w:tcW w:w="6901" w:type="dxa"/>
            <w:tcBorders>
              <w:bottom w:val="single" w:color="auto" w:sz="4" w:space="0"/>
              <w:right w:val="double" w:color="auto" w:sz="4" w:space="0"/>
            </w:tcBorders>
            <w:vAlign w:val="center"/>
          </w:tcPr>
          <w:p>
            <w:pPr>
              <w:autoSpaceDE w:val="0"/>
              <w:autoSpaceDN w:val="0"/>
              <w:adjustRightInd w:val="0"/>
              <w:rPr>
                <w:rFonts w:ascii="宋体" w:hAnsi="宋体" w:cs="宋体"/>
                <w:bCs/>
                <w:kern w:val="0"/>
                <w:sz w:val="24"/>
                <w:szCs w:val="24"/>
              </w:rPr>
            </w:pPr>
            <w:r>
              <w:rPr>
                <w:rFonts w:hint="eastAsia" w:ascii="宋体" w:hAnsi="宋体" w:cs="宋体"/>
                <w:bCs/>
                <w:kern w:val="0"/>
                <w:sz w:val="24"/>
                <w:szCs w:val="24"/>
              </w:rPr>
              <w:t>1．中标供应商须在发出中标通知书之日起30日历天内与采购人签订合同。</w:t>
            </w:r>
          </w:p>
          <w:p>
            <w:pPr>
              <w:autoSpaceDE w:val="0"/>
              <w:autoSpaceDN w:val="0"/>
              <w:adjustRightInd w:val="0"/>
              <w:rPr>
                <w:rFonts w:ascii="宋体" w:hAnsi="宋体" w:cs="宋体"/>
                <w:bCs/>
                <w:kern w:val="0"/>
                <w:sz w:val="24"/>
                <w:szCs w:val="24"/>
              </w:rPr>
            </w:pPr>
            <w:r>
              <w:rPr>
                <w:rFonts w:hint="eastAsia" w:ascii="宋体" w:hAnsi="宋体" w:cs="宋体"/>
                <w:bCs/>
                <w:kern w:val="0"/>
                <w:sz w:val="24"/>
                <w:szCs w:val="24"/>
              </w:rPr>
              <w:t>2．中标供应商与采购人签订合同后，2日历天内将合同原件交浙江首信工程项目管理有限公司备案。合同原件扫描件电子版发给浙江首信工程项目管理有限公司：邮箱：</w:t>
            </w:r>
            <w:r>
              <w:fldChar w:fldCharType="begin"/>
            </w:r>
            <w:r>
              <w:instrText xml:space="preserve"> HYPERLINK "mailto:524613944@qq.com" </w:instrText>
            </w:r>
            <w:r>
              <w:fldChar w:fldCharType="separate"/>
            </w:r>
            <w:r>
              <w:rPr>
                <w:rFonts w:hint="eastAsia" w:ascii="宋体" w:hAnsi="宋体" w:cs="宋体"/>
                <w:bCs/>
                <w:kern w:val="0"/>
                <w:sz w:val="24"/>
                <w:szCs w:val="24"/>
              </w:rPr>
              <w:t>524613944@qq.com</w:t>
            </w:r>
            <w:r>
              <w:rPr>
                <w:rFonts w:hint="eastAsia" w:ascii="宋体" w:hAnsi="宋体" w:cs="宋体"/>
                <w:bCs/>
                <w:kern w:val="0"/>
                <w:sz w:val="24"/>
                <w:szCs w:val="24"/>
              </w:rPr>
              <w:fldChar w:fldCharType="end"/>
            </w:r>
            <w:r>
              <w:rPr>
                <w:rFonts w:hint="eastAsia" w:ascii="宋体" w:hAnsi="宋体" w:cs="宋体"/>
                <w:bCs/>
                <w:kern w:val="0"/>
                <w:sz w:val="24"/>
                <w:szCs w:val="24"/>
              </w:rPr>
              <w:t>；</w:t>
            </w:r>
          </w:p>
          <w:p>
            <w:pPr>
              <w:autoSpaceDE w:val="0"/>
              <w:autoSpaceDN w:val="0"/>
              <w:adjustRightInd w:val="0"/>
              <w:rPr>
                <w:rFonts w:ascii="宋体" w:hAnsi="宋体" w:cs="宋体"/>
                <w:bCs/>
                <w:kern w:val="0"/>
                <w:sz w:val="24"/>
                <w:szCs w:val="24"/>
              </w:rPr>
            </w:pPr>
            <w:r>
              <w:rPr>
                <w:rFonts w:hint="eastAsia" w:ascii="宋体" w:hAnsi="宋体" w:cs="宋体"/>
                <w:bCs/>
                <w:kern w:val="0"/>
                <w:sz w:val="24"/>
                <w:szCs w:val="24"/>
              </w:rPr>
              <w:t>3．本项目政府采购合同按规定在浙江政府采购网（http://www.zjzfcg.gov.cn）予以公告。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9" w:hRule="atLeast"/>
        </w:trPr>
        <w:tc>
          <w:tcPr>
            <w:tcW w:w="2634" w:type="dxa"/>
            <w:tcBorders>
              <w:left w:val="double" w:color="auto" w:sz="4" w:space="0"/>
              <w:bottom w:val="double" w:color="auto" w:sz="4" w:space="0"/>
            </w:tcBorders>
            <w:vAlign w:val="center"/>
          </w:tcPr>
          <w:p>
            <w:pPr>
              <w:pStyle w:val="16"/>
              <w:spacing w:before="0" w:line="440" w:lineRule="exact"/>
              <w:jc w:val="center"/>
              <w:rPr>
                <w:rFonts w:ascii="宋体" w:hAnsi="宋体"/>
                <w:color w:val="000000"/>
                <w:sz w:val="22"/>
                <w:szCs w:val="22"/>
              </w:rPr>
            </w:pPr>
            <w:r>
              <w:rPr>
                <w:rFonts w:hint="eastAsia" w:ascii="宋体" w:hAnsi="宋体"/>
                <w:color w:val="000000"/>
                <w:sz w:val="22"/>
                <w:szCs w:val="22"/>
              </w:rPr>
              <w:t>备注</w:t>
            </w:r>
          </w:p>
        </w:tc>
        <w:tc>
          <w:tcPr>
            <w:tcW w:w="6901" w:type="dxa"/>
            <w:tcBorders>
              <w:bottom w:val="double" w:color="auto" w:sz="4" w:space="0"/>
              <w:right w:val="double" w:color="auto" w:sz="4" w:space="0"/>
            </w:tcBorders>
            <w:vAlign w:val="center"/>
          </w:tcPr>
          <w:p>
            <w:pPr>
              <w:adjustRightInd w:val="0"/>
              <w:snapToGrid w:val="0"/>
              <w:spacing w:line="380" w:lineRule="atLeast"/>
              <w:rPr>
                <w:rFonts w:ascii="宋体" w:hAnsi="宋体"/>
                <w:color w:val="000000"/>
                <w:sz w:val="22"/>
                <w:szCs w:val="22"/>
                <w:highlight w:val="yellow"/>
              </w:rPr>
            </w:pPr>
            <w:r>
              <w:rPr>
                <w:rFonts w:hint="eastAsia" w:ascii="宋体" w:hAnsi="宋体"/>
                <w:color w:val="000000"/>
                <w:sz w:val="22"/>
                <w:szCs w:val="22"/>
              </w:rPr>
              <w:t>如发现采购文件及其评标办法中存在含糊不清、相互矛盾、多种含义以及歧视性不公正条款或违法违规等内容时，</w:t>
            </w:r>
            <w:r>
              <w:rPr>
                <w:rFonts w:hint="eastAsia" w:ascii="宋体" w:hAnsi="宋体"/>
                <w:bCs/>
                <w:color w:val="000000"/>
                <w:sz w:val="22"/>
                <w:szCs w:val="22"/>
              </w:rPr>
              <w:t>请在规定的质疑截止时间前向采购机构或采购人书面反映，</w:t>
            </w:r>
            <w:r>
              <w:rPr>
                <w:rFonts w:hint="eastAsia" w:ascii="宋体" w:hAnsi="宋体"/>
                <w:color w:val="000000"/>
                <w:sz w:val="22"/>
                <w:szCs w:val="22"/>
              </w:rPr>
              <w:t>逾期不得再对招标文件的条款提出质疑。</w:t>
            </w:r>
            <w:r>
              <w:rPr>
                <w:rFonts w:hint="eastAsia" w:ascii="宋体" w:hAnsi="宋体"/>
                <w:bCs/>
                <w:color w:val="000000"/>
                <w:sz w:val="22"/>
                <w:szCs w:val="22"/>
              </w:rPr>
              <w:t>本采购文件的解释权归采购代理机构与采购人所有。</w:t>
            </w:r>
          </w:p>
        </w:tc>
      </w:tr>
    </w:tbl>
    <w:p>
      <w:pPr>
        <w:autoSpaceDE w:val="0"/>
        <w:autoSpaceDN w:val="0"/>
        <w:snapToGrid w:val="0"/>
        <w:spacing w:line="440" w:lineRule="atLeast"/>
        <w:jc w:val="center"/>
        <w:textAlignment w:val="bottom"/>
        <w:rPr>
          <w:rFonts w:ascii="宋体" w:hAnsi="宋体"/>
          <w:b/>
          <w:color w:val="000000"/>
          <w:sz w:val="44"/>
        </w:rPr>
      </w:pPr>
      <w:r>
        <w:rPr>
          <w:rFonts w:hint="eastAsia" w:ascii="宋体" w:hAnsi="宋体"/>
          <w:b/>
          <w:color w:val="000000"/>
          <w:sz w:val="44"/>
        </w:rPr>
        <w:br w:type="page"/>
      </w:r>
      <w:r>
        <w:rPr>
          <w:rFonts w:hint="eastAsia" w:ascii="宋体" w:hAnsi="宋体"/>
          <w:b/>
          <w:color w:val="000000"/>
          <w:sz w:val="44"/>
        </w:rPr>
        <w:t>采购文件总目录</w:t>
      </w:r>
    </w:p>
    <w:sdt>
      <w:sdtPr>
        <w:rPr>
          <w:rFonts w:ascii="宋体" w:hAnsi="宋体"/>
          <w:kern w:val="0"/>
          <w:sz w:val="20"/>
        </w:rPr>
        <w:id w:val="-1012907639"/>
        <w:docPartObj>
          <w:docPartGallery w:val="Table of Contents"/>
          <w:docPartUnique/>
        </w:docPartObj>
      </w:sdtPr>
      <w:sdtEndPr>
        <w:rPr>
          <w:rFonts w:hint="eastAsia" w:ascii="宋体" w:hAnsi="宋体" w:cs="宋体"/>
          <w:kern w:val="0"/>
          <w:sz w:val="20"/>
        </w:rPr>
      </w:sdtEndPr>
      <w:sdtContent>
        <w:p>
          <w:pPr>
            <w:jc w:val="center"/>
          </w:pPr>
          <w:bookmarkStart w:id="2" w:name="_Toc9701_WPSOffice_Type1"/>
        </w:p>
        <w:p>
          <w:pPr>
            <w:pStyle w:val="182"/>
            <w:tabs>
              <w:tab w:val="right" w:leader="dot" w:pos="9638"/>
            </w:tabs>
            <w:spacing w:line="480" w:lineRule="auto"/>
            <w:rPr>
              <w:rFonts w:ascii="宋体" w:hAnsi="宋体" w:cs="宋体"/>
            </w:rPr>
          </w:pPr>
          <w:r>
            <w:fldChar w:fldCharType="begin"/>
          </w:r>
          <w:r>
            <w:instrText xml:space="preserve"> HYPERLINK \l "_Toc11996_WPSOffice_Level1" </w:instrText>
          </w:r>
          <w:r>
            <w:fldChar w:fldCharType="separate"/>
          </w:r>
          <w:sdt>
            <w:sdtPr>
              <w:rPr>
                <w:rFonts w:hint="eastAsia" w:ascii="宋体" w:hAnsi="宋体" w:cs="宋体"/>
                <w:kern w:val="2"/>
                <w:sz w:val="21"/>
              </w:rPr>
              <w:id w:val="147468723"/>
            </w:sdtPr>
            <w:sdtEndPr>
              <w:rPr>
                <w:rFonts w:hint="eastAsia" w:ascii="宋体" w:hAnsi="宋体" w:cs="宋体"/>
                <w:kern w:val="2"/>
                <w:sz w:val="21"/>
              </w:rPr>
            </w:sdtEndPr>
            <w:sdtContent>
              <w:r>
                <w:rPr>
                  <w:rFonts w:hint="eastAsia" w:ascii="宋体" w:hAnsi="宋体" w:cs="宋体"/>
                </w:rPr>
                <w:t>第一部份  项目简介</w:t>
              </w:r>
            </w:sdtContent>
          </w:sdt>
          <w:r>
            <w:rPr>
              <w:rFonts w:hint="eastAsia" w:ascii="宋体" w:hAnsi="宋体" w:cs="宋体"/>
            </w:rPr>
            <w:tab/>
          </w:r>
          <w:bookmarkStart w:id="3" w:name="_Toc11996_WPSOffice_Level1Page"/>
          <w:r>
            <w:rPr>
              <w:rFonts w:hint="eastAsia" w:ascii="宋体" w:hAnsi="宋体" w:cs="宋体"/>
            </w:rPr>
            <w:t>8</w:t>
          </w:r>
          <w:bookmarkEnd w:id="3"/>
          <w:r>
            <w:rPr>
              <w:rFonts w:hint="eastAsia" w:ascii="宋体" w:hAnsi="宋体" w:cs="宋体"/>
            </w:rPr>
            <w:fldChar w:fldCharType="end"/>
          </w:r>
        </w:p>
        <w:p>
          <w:pPr>
            <w:pStyle w:val="182"/>
            <w:tabs>
              <w:tab w:val="right" w:leader="dot" w:pos="9638"/>
            </w:tabs>
            <w:spacing w:line="480" w:lineRule="auto"/>
            <w:rPr>
              <w:rFonts w:ascii="宋体" w:hAnsi="宋体" w:cs="宋体"/>
            </w:rPr>
          </w:pPr>
          <w:r>
            <w:fldChar w:fldCharType="begin"/>
          </w:r>
          <w:r>
            <w:instrText xml:space="preserve"> HYPERLINK \l "_Toc4738_WPSOffice_Level1" </w:instrText>
          </w:r>
          <w:r>
            <w:fldChar w:fldCharType="separate"/>
          </w:r>
          <w:sdt>
            <w:sdtPr>
              <w:rPr>
                <w:rFonts w:hint="eastAsia" w:ascii="宋体" w:hAnsi="宋体" w:cs="宋体"/>
                <w:kern w:val="2"/>
                <w:sz w:val="21"/>
              </w:rPr>
              <w:id w:val="496318001"/>
            </w:sdtPr>
            <w:sdtEndPr>
              <w:rPr>
                <w:rFonts w:hint="eastAsia" w:ascii="宋体" w:hAnsi="宋体" w:cs="宋体"/>
                <w:kern w:val="2"/>
                <w:sz w:val="21"/>
              </w:rPr>
            </w:sdtEndPr>
            <w:sdtContent>
              <w:r>
                <w:rPr>
                  <w:rFonts w:hint="eastAsia" w:ascii="宋体" w:hAnsi="宋体" w:cs="宋体"/>
                </w:rPr>
                <w:t>第二部分  采购内容及技术要求</w:t>
              </w:r>
            </w:sdtContent>
          </w:sdt>
          <w:r>
            <w:rPr>
              <w:rFonts w:hint="eastAsia" w:ascii="宋体" w:hAnsi="宋体" w:cs="宋体"/>
            </w:rPr>
            <w:tab/>
          </w:r>
          <w:bookmarkStart w:id="4" w:name="_Toc4738_WPSOffice_Level1Page"/>
          <w:r>
            <w:rPr>
              <w:rFonts w:hint="eastAsia" w:ascii="宋体" w:hAnsi="宋体" w:cs="宋体"/>
            </w:rPr>
            <w:t>8</w:t>
          </w:r>
          <w:bookmarkEnd w:id="4"/>
          <w:r>
            <w:rPr>
              <w:rFonts w:hint="eastAsia" w:ascii="宋体" w:hAnsi="宋体" w:cs="宋体"/>
            </w:rPr>
            <w:fldChar w:fldCharType="end"/>
          </w:r>
        </w:p>
        <w:p>
          <w:pPr>
            <w:pStyle w:val="182"/>
            <w:tabs>
              <w:tab w:val="right" w:leader="dot" w:pos="9638"/>
            </w:tabs>
            <w:spacing w:line="480" w:lineRule="auto"/>
            <w:rPr>
              <w:rFonts w:ascii="宋体" w:hAnsi="宋体" w:cs="宋体"/>
            </w:rPr>
          </w:pPr>
          <w:r>
            <w:fldChar w:fldCharType="begin"/>
          </w:r>
          <w:r>
            <w:instrText xml:space="preserve"> HYPERLINK \l "_Toc6814_WPSOffice_Level1" </w:instrText>
          </w:r>
          <w:r>
            <w:fldChar w:fldCharType="separate"/>
          </w:r>
          <w:sdt>
            <w:sdtPr>
              <w:rPr>
                <w:rFonts w:hint="eastAsia" w:ascii="宋体" w:hAnsi="宋体" w:cs="宋体"/>
                <w:kern w:val="2"/>
                <w:sz w:val="21"/>
              </w:rPr>
              <w:id w:val="1201898540"/>
            </w:sdtPr>
            <w:sdtEndPr>
              <w:rPr>
                <w:rFonts w:hint="eastAsia" w:ascii="宋体" w:hAnsi="宋体" w:cs="宋体"/>
                <w:kern w:val="2"/>
                <w:sz w:val="21"/>
              </w:rPr>
            </w:sdtEndPr>
            <w:sdtContent>
              <w:r>
                <w:rPr>
                  <w:rFonts w:hint="eastAsia" w:ascii="宋体" w:hAnsi="宋体" w:cs="宋体"/>
                </w:rPr>
                <w:t>第三部分  报价要求</w:t>
              </w:r>
            </w:sdtContent>
          </w:sdt>
          <w:r>
            <w:rPr>
              <w:rFonts w:hint="eastAsia" w:ascii="宋体" w:hAnsi="宋体" w:cs="宋体"/>
            </w:rPr>
            <w:tab/>
          </w:r>
          <w:bookmarkStart w:id="5" w:name="_Toc6814_WPSOffice_Level1Page"/>
          <w:r>
            <w:rPr>
              <w:rFonts w:hint="eastAsia" w:ascii="宋体" w:hAnsi="宋体" w:cs="宋体"/>
            </w:rPr>
            <w:t>23</w:t>
          </w:r>
          <w:bookmarkEnd w:id="5"/>
          <w:r>
            <w:rPr>
              <w:rFonts w:hint="eastAsia" w:ascii="宋体" w:hAnsi="宋体" w:cs="宋体"/>
            </w:rPr>
            <w:fldChar w:fldCharType="end"/>
          </w:r>
        </w:p>
        <w:p>
          <w:pPr>
            <w:pStyle w:val="182"/>
            <w:tabs>
              <w:tab w:val="right" w:leader="dot" w:pos="9638"/>
            </w:tabs>
            <w:spacing w:line="480" w:lineRule="auto"/>
            <w:rPr>
              <w:rFonts w:ascii="宋体" w:hAnsi="宋体" w:cs="宋体"/>
            </w:rPr>
          </w:pPr>
          <w:r>
            <w:fldChar w:fldCharType="begin"/>
          </w:r>
          <w:r>
            <w:instrText xml:space="preserve"> HYPERLINK \l "_Toc17374_WPSOffice_Level1" </w:instrText>
          </w:r>
          <w:r>
            <w:fldChar w:fldCharType="separate"/>
          </w:r>
          <w:sdt>
            <w:sdtPr>
              <w:rPr>
                <w:rFonts w:hint="eastAsia" w:ascii="宋体" w:hAnsi="宋体" w:cs="宋体"/>
                <w:kern w:val="2"/>
                <w:sz w:val="21"/>
              </w:rPr>
              <w:id w:val="-282192822"/>
            </w:sdtPr>
            <w:sdtEndPr>
              <w:rPr>
                <w:rFonts w:hint="eastAsia" w:ascii="宋体" w:hAnsi="宋体" w:cs="宋体"/>
                <w:kern w:val="2"/>
                <w:sz w:val="21"/>
              </w:rPr>
            </w:sdtEndPr>
            <w:sdtContent>
              <w:r>
                <w:rPr>
                  <w:rFonts w:hint="eastAsia" w:ascii="宋体" w:hAnsi="宋体" w:cs="宋体"/>
                </w:rPr>
                <w:t>第四部分  供应商须知</w:t>
              </w:r>
            </w:sdtContent>
          </w:sdt>
          <w:r>
            <w:rPr>
              <w:rFonts w:hint="eastAsia" w:ascii="宋体" w:hAnsi="宋体" w:cs="宋体"/>
            </w:rPr>
            <w:tab/>
          </w:r>
          <w:bookmarkStart w:id="6" w:name="_Toc17374_WPSOffice_Level1Page"/>
          <w:r>
            <w:rPr>
              <w:rFonts w:hint="eastAsia" w:ascii="宋体" w:hAnsi="宋体" w:cs="宋体"/>
            </w:rPr>
            <w:t>25</w:t>
          </w:r>
          <w:bookmarkEnd w:id="6"/>
          <w:r>
            <w:rPr>
              <w:rFonts w:hint="eastAsia" w:ascii="宋体" w:hAnsi="宋体" w:cs="宋体"/>
            </w:rPr>
            <w:fldChar w:fldCharType="end"/>
          </w:r>
        </w:p>
        <w:p>
          <w:pPr>
            <w:pStyle w:val="182"/>
            <w:tabs>
              <w:tab w:val="right" w:leader="dot" w:pos="9638"/>
            </w:tabs>
            <w:spacing w:line="480" w:lineRule="auto"/>
            <w:rPr>
              <w:rFonts w:ascii="宋体" w:hAnsi="宋体" w:cs="宋体"/>
            </w:rPr>
          </w:pPr>
          <w:r>
            <w:fldChar w:fldCharType="begin"/>
          </w:r>
          <w:r>
            <w:instrText xml:space="preserve"> HYPERLINK \l "_Toc16661_WPSOffice_Level1" </w:instrText>
          </w:r>
          <w:r>
            <w:fldChar w:fldCharType="separate"/>
          </w:r>
          <w:sdt>
            <w:sdtPr>
              <w:rPr>
                <w:rFonts w:hint="eastAsia" w:ascii="宋体" w:hAnsi="宋体" w:cs="宋体"/>
                <w:kern w:val="2"/>
                <w:sz w:val="21"/>
              </w:rPr>
              <w:id w:val="-1473433250"/>
            </w:sdtPr>
            <w:sdtEndPr>
              <w:rPr>
                <w:rFonts w:hint="eastAsia" w:ascii="宋体" w:hAnsi="宋体" w:cs="宋体"/>
                <w:kern w:val="2"/>
                <w:sz w:val="21"/>
              </w:rPr>
            </w:sdtEndPr>
            <w:sdtContent>
              <w:r>
                <w:rPr>
                  <w:rFonts w:hint="eastAsia" w:ascii="宋体" w:hAnsi="宋体" w:cs="宋体"/>
                </w:rPr>
                <w:t>第五部分  合同格式（参考）</w:t>
              </w:r>
            </w:sdtContent>
          </w:sdt>
          <w:r>
            <w:rPr>
              <w:rFonts w:hint="eastAsia" w:ascii="宋体" w:hAnsi="宋体" w:cs="宋体"/>
            </w:rPr>
            <w:tab/>
          </w:r>
          <w:bookmarkStart w:id="7" w:name="_Toc16661_WPSOffice_Level1Page"/>
          <w:r>
            <w:rPr>
              <w:rFonts w:hint="eastAsia" w:ascii="宋体" w:hAnsi="宋体" w:cs="宋体"/>
            </w:rPr>
            <w:t>36</w:t>
          </w:r>
          <w:bookmarkEnd w:id="7"/>
          <w:r>
            <w:rPr>
              <w:rFonts w:hint="eastAsia" w:ascii="宋体" w:hAnsi="宋体" w:cs="宋体"/>
            </w:rPr>
            <w:fldChar w:fldCharType="end"/>
          </w:r>
        </w:p>
        <w:p>
          <w:pPr>
            <w:pStyle w:val="182"/>
            <w:tabs>
              <w:tab w:val="right" w:leader="dot" w:pos="9638"/>
            </w:tabs>
            <w:spacing w:line="480" w:lineRule="auto"/>
            <w:rPr>
              <w:rFonts w:ascii="宋体" w:hAnsi="宋体" w:cs="宋体"/>
            </w:rPr>
          </w:pPr>
          <w:r>
            <w:fldChar w:fldCharType="begin"/>
          </w:r>
          <w:r>
            <w:instrText xml:space="preserve"> HYPERLINK \l "_Toc25985_WPSOffice_Level1" </w:instrText>
          </w:r>
          <w:r>
            <w:fldChar w:fldCharType="separate"/>
          </w:r>
          <w:sdt>
            <w:sdtPr>
              <w:rPr>
                <w:rFonts w:hint="eastAsia" w:ascii="宋体" w:hAnsi="宋体" w:cs="宋体"/>
                <w:kern w:val="2"/>
                <w:sz w:val="21"/>
              </w:rPr>
              <w:id w:val="816685281"/>
            </w:sdtPr>
            <w:sdtEndPr>
              <w:rPr>
                <w:rFonts w:hint="eastAsia" w:ascii="宋体" w:hAnsi="宋体" w:cs="宋体"/>
                <w:kern w:val="2"/>
                <w:sz w:val="21"/>
              </w:rPr>
            </w:sdtEndPr>
            <w:sdtContent>
              <w:r>
                <w:rPr>
                  <w:rFonts w:hint="eastAsia" w:ascii="宋体" w:hAnsi="宋体" w:cs="宋体"/>
                </w:rPr>
                <w:t>第六部分  投标文件格式</w:t>
              </w:r>
            </w:sdtContent>
          </w:sdt>
          <w:r>
            <w:rPr>
              <w:rFonts w:hint="eastAsia" w:ascii="宋体" w:hAnsi="宋体" w:cs="宋体"/>
            </w:rPr>
            <w:tab/>
          </w:r>
          <w:bookmarkStart w:id="8" w:name="_Toc25985_WPSOffice_Level1Page"/>
          <w:r>
            <w:rPr>
              <w:rFonts w:hint="eastAsia" w:ascii="宋体" w:hAnsi="宋体" w:cs="宋体"/>
            </w:rPr>
            <w:t>42</w:t>
          </w:r>
          <w:bookmarkEnd w:id="8"/>
          <w:r>
            <w:rPr>
              <w:rFonts w:hint="eastAsia" w:ascii="宋体" w:hAnsi="宋体" w:cs="宋体"/>
            </w:rPr>
            <w:fldChar w:fldCharType="end"/>
          </w:r>
        </w:p>
        <w:p>
          <w:pPr>
            <w:pStyle w:val="182"/>
            <w:tabs>
              <w:tab w:val="right" w:leader="dot" w:pos="9638"/>
            </w:tabs>
            <w:spacing w:line="480" w:lineRule="auto"/>
            <w:rPr>
              <w:rFonts w:ascii="宋体" w:hAnsi="宋体" w:cs="宋体"/>
            </w:rPr>
          </w:pPr>
          <w:r>
            <w:fldChar w:fldCharType="begin"/>
          </w:r>
          <w:r>
            <w:instrText xml:space="preserve"> HYPERLINK \l "_Toc20280_WPSOffice_Level1" </w:instrText>
          </w:r>
          <w:r>
            <w:fldChar w:fldCharType="separate"/>
          </w:r>
          <w:sdt>
            <w:sdtPr>
              <w:rPr>
                <w:rFonts w:hint="eastAsia" w:ascii="宋体" w:hAnsi="宋体" w:cs="宋体"/>
                <w:kern w:val="2"/>
                <w:sz w:val="21"/>
              </w:rPr>
              <w:id w:val="1072083013"/>
            </w:sdtPr>
            <w:sdtEndPr>
              <w:rPr>
                <w:rFonts w:hint="eastAsia" w:ascii="宋体" w:hAnsi="宋体" w:cs="宋体"/>
                <w:kern w:val="2"/>
                <w:sz w:val="21"/>
              </w:rPr>
            </w:sdtEndPr>
            <w:sdtContent>
              <w:r>
                <w:rPr>
                  <w:rFonts w:hint="eastAsia" w:ascii="宋体" w:hAnsi="宋体" w:cs="宋体"/>
                </w:rPr>
                <w:t>第七部分  评标办法</w:t>
              </w:r>
            </w:sdtContent>
          </w:sdt>
          <w:r>
            <w:rPr>
              <w:rFonts w:hint="eastAsia" w:ascii="宋体" w:hAnsi="宋体" w:cs="宋体"/>
            </w:rPr>
            <w:tab/>
          </w:r>
          <w:bookmarkStart w:id="9" w:name="_Toc20280_WPSOffice_Level1Page"/>
          <w:r>
            <w:rPr>
              <w:rFonts w:hint="eastAsia" w:ascii="宋体" w:hAnsi="宋体" w:cs="宋体"/>
            </w:rPr>
            <w:t>91</w:t>
          </w:r>
          <w:bookmarkEnd w:id="9"/>
          <w:r>
            <w:rPr>
              <w:rFonts w:hint="eastAsia" w:ascii="宋体" w:hAnsi="宋体" w:cs="宋体"/>
            </w:rPr>
            <w:fldChar w:fldCharType="end"/>
          </w:r>
        </w:p>
        <w:p>
          <w:pPr>
            <w:pStyle w:val="182"/>
            <w:tabs>
              <w:tab w:val="right" w:leader="dot" w:pos="9638"/>
            </w:tabs>
            <w:spacing w:line="480" w:lineRule="auto"/>
            <w:rPr>
              <w:rFonts w:ascii="宋体" w:hAnsi="宋体" w:cs="宋体"/>
            </w:rPr>
          </w:pPr>
          <w:r>
            <w:fldChar w:fldCharType="begin"/>
          </w:r>
          <w:r>
            <w:instrText xml:space="preserve"> HYPERLINK \l "_Toc19340_WPSOffice_Level1" </w:instrText>
          </w:r>
          <w:r>
            <w:fldChar w:fldCharType="separate"/>
          </w:r>
          <w:sdt>
            <w:sdtPr>
              <w:rPr>
                <w:rFonts w:hint="eastAsia" w:ascii="宋体" w:hAnsi="宋体" w:cs="宋体"/>
                <w:kern w:val="2"/>
                <w:sz w:val="21"/>
              </w:rPr>
              <w:id w:val="-1439835218"/>
            </w:sdtPr>
            <w:sdtEndPr>
              <w:rPr>
                <w:rFonts w:hint="eastAsia" w:ascii="宋体" w:hAnsi="宋体" w:cs="宋体"/>
                <w:kern w:val="2"/>
                <w:sz w:val="21"/>
              </w:rPr>
            </w:sdtEndPr>
            <w:sdtContent>
              <w:r>
                <w:rPr>
                  <w:rFonts w:hint="eastAsia" w:ascii="宋体" w:hAnsi="宋体" w:cs="宋体"/>
                </w:rPr>
                <w:t>海塘物业化管理考核评分表</w:t>
              </w:r>
            </w:sdtContent>
          </w:sdt>
          <w:r>
            <w:rPr>
              <w:rFonts w:hint="eastAsia" w:ascii="宋体" w:hAnsi="宋体" w:cs="宋体"/>
            </w:rPr>
            <w:tab/>
          </w:r>
          <w:bookmarkStart w:id="10" w:name="_Toc19340_WPSOffice_Level1Page"/>
          <w:r>
            <w:rPr>
              <w:rFonts w:hint="eastAsia" w:ascii="宋体" w:hAnsi="宋体" w:cs="宋体"/>
            </w:rPr>
            <w:t>95</w:t>
          </w:r>
          <w:bookmarkEnd w:id="10"/>
          <w:r>
            <w:rPr>
              <w:rFonts w:hint="eastAsia" w:ascii="宋体" w:hAnsi="宋体" w:cs="宋体"/>
            </w:rPr>
            <w:fldChar w:fldCharType="end"/>
          </w:r>
        </w:p>
        <w:p>
          <w:pPr>
            <w:pStyle w:val="182"/>
            <w:tabs>
              <w:tab w:val="right" w:leader="dot" w:pos="9638"/>
            </w:tabs>
            <w:spacing w:line="480" w:lineRule="auto"/>
            <w:rPr>
              <w:rFonts w:ascii="宋体" w:hAnsi="宋体" w:cs="宋体"/>
            </w:rPr>
          </w:pPr>
          <w:r>
            <w:fldChar w:fldCharType="begin"/>
          </w:r>
          <w:r>
            <w:instrText xml:space="preserve"> HYPERLINK \l "_Toc11989_WPSOffice_Level1" </w:instrText>
          </w:r>
          <w:r>
            <w:fldChar w:fldCharType="separate"/>
          </w:r>
          <w:sdt>
            <w:sdtPr>
              <w:rPr>
                <w:rFonts w:hint="eastAsia" w:ascii="宋体" w:hAnsi="宋体" w:cs="宋体"/>
                <w:kern w:val="2"/>
                <w:sz w:val="21"/>
              </w:rPr>
              <w:id w:val="63075596"/>
            </w:sdtPr>
            <w:sdtEndPr>
              <w:rPr>
                <w:rFonts w:hint="eastAsia" w:ascii="宋体" w:hAnsi="宋体" w:cs="宋体"/>
                <w:kern w:val="2"/>
                <w:sz w:val="21"/>
              </w:rPr>
            </w:sdtEndPr>
            <w:sdtContent>
              <w:r>
                <w:rPr>
                  <w:rFonts w:hint="eastAsia" w:ascii="宋体" w:hAnsi="宋体" w:cs="宋体"/>
                </w:rPr>
                <w:t>水闸物业化管理考核评分表</w:t>
              </w:r>
            </w:sdtContent>
          </w:sdt>
          <w:r>
            <w:rPr>
              <w:rFonts w:hint="eastAsia" w:ascii="宋体" w:hAnsi="宋体" w:cs="宋体"/>
            </w:rPr>
            <w:tab/>
          </w:r>
          <w:bookmarkStart w:id="11" w:name="_Toc11989_WPSOffice_Level1Page"/>
          <w:r>
            <w:rPr>
              <w:rFonts w:hint="eastAsia" w:ascii="宋体" w:hAnsi="宋体" w:cs="宋体"/>
            </w:rPr>
            <w:t>98</w:t>
          </w:r>
          <w:bookmarkEnd w:id="11"/>
          <w:r>
            <w:rPr>
              <w:rFonts w:hint="eastAsia" w:ascii="宋体" w:hAnsi="宋体" w:cs="宋体"/>
            </w:rPr>
            <w:fldChar w:fldCharType="end"/>
          </w:r>
        </w:p>
        <w:p>
          <w:pPr>
            <w:pStyle w:val="182"/>
            <w:tabs>
              <w:tab w:val="right" w:leader="dot" w:pos="9638"/>
            </w:tabs>
            <w:spacing w:line="480" w:lineRule="auto"/>
            <w:rPr>
              <w:rFonts w:ascii="宋体" w:hAnsi="宋体" w:cs="宋体"/>
            </w:rPr>
          </w:pPr>
          <w:r>
            <w:fldChar w:fldCharType="begin"/>
          </w:r>
          <w:r>
            <w:instrText xml:space="preserve"> HYPERLINK \l "_Toc24327_WPSOffice_Level1" </w:instrText>
          </w:r>
          <w:r>
            <w:fldChar w:fldCharType="separate"/>
          </w:r>
          <w:sdt>
            <w:sdtPr>
              <w:rPr>
                <w:rFonts w:hint="eastAsia" w:ascii="宋体" w:hAnsi="宋体" w:cs="宋体"/>
                <w:kern w:val="2"/>
                <w:sz w:val="21"/>
              </w:rPr>
              <w:id w:val="-297375947"/>
            </w:sdtPr>
            <w:sdtEndPr>
              <w:rPr>
                <w:rFonts w:hint="eastAsia" w:ascii="宋体" w:hAnsi="宋体" w:cs="宋体"/>
                <w:kern w:val="2"/>
                <w:sz w:val="21"/>
              </w:rPr>
            </w:sdtEndPr>
            <w:sdtContent>
              <w:r>
                <w:rPr>
                  <w:rFonts w:hint="eastAsia" w:ascii="宋体" w:hAnsi="宋体" w:cs="宋体"/>
                </w:rPr>
                <w:t>处罚扣款依据表</w:t>
              </w:r>
            </w:sdtContent>
          </w:sdt>
          <w:r>
            <w:rPr>
              <w:rFonts w:hint="eastAsia" w:ascii="宋体" w:hAnsi="宋体" w:cs="宋体"/>
            </w:rPr>
            <w:tab/>
          </w:r>
          <w:bookmarkStart w:id="12" w:name="_Toc24327_WPSOffice_Level1Page"/>
          <w:r>
            <w:rPr>
              <w:rFonts w:hint="eastAsia" w:ascii="宋体" w:hAnsi="宋体" w:cs="宋体"/>
            </w:rPr>
            <w:t>103</w:t>
          </w:r>
          <w:bookmarkEnd w:id="12"/>
          <w:r>
            <w:rPr>
              <w:rFonts w:hint="eastAsia" w:ascii="宋体" w:hAnsi="宋体" w:cs="宋体"/>
            </w:rPr>
            <w:fldChar w:fldCharType="end"/>
          </w:r>
        </w:p>
      </w:sdtContent>
    </w:sdt>
    <w:bookmarkEnd w:id="2"/>
    <w:p>
      <w:pPr>
        <w:autoSpaceDE w:val="0"/>
        <w:autoSpaceDN w:val="0"/>
        <w:adjustRightInd w:val="0"/>
        <w:spacing w:before="120" w:line="440" w:lineRule="atLeast"/>
        <w:ind w:firstLine="431" w:firstLineChars="196"/>
        <w:rPr>
          <w:rFonts w:ascii="宋体"/>
          <w:sz w:val="22"/>
          <w:szCs w:val="22"/>
          <w:u w:val="thick"/>
        </w:rPr>
      </w:pPr>
    </w:p>
    <w:p>
      <w:pPr>
        <w:autoSpaceDE w:val="0"/>
        <w:autoSpaceDN w:val="0"/>
        <w:adjustRightInd w:val="0"/>
        <w:spacing w:before="120" w:line="440" w:lineRule="atLeast"/>
        <w:ind w:firstLine="431" w:firstLineChars="196"/>
        <w:rPr>
          <w:rFonts w:ascii="宋体"/>
          <w:sz w:val="22"/>
          <w:szCs w:val="22"/>
          <w:u w:val="thick"/>
        </w:rPr>
      </w:pPr>
    </w:p>
    <w:p>
      <w:pPr>
        <w:autoSpaceDE w:val="0"/>
        <w:autoSpaceDN w:val="0"/>
        <w:adjustRightInd w:val="0"/>
        <w:spacing w:before="120" w:line="440" w:lineRule="atLeast"/>
        <w:ind w:firstLine="431" w:firstLineChars="196"/>
        <w:rPr>
          <w:rFonts w:ascii="宋体"/>
          <w:sz w:val="22"/>
          <w:szCs w:val="22"/>
          <w:u w:val="thick"/>
        </w:rPr>
      </w:pPr>
    </w:p>
    <w:p>
      <w:pPr>
        <w:autoSpaceDE w:val="0"/>
        <w:autoSpaceDN w:val="0"/>
        <w:adjustRightInd w:val="0"/>
        <w:spacing w:before="120" w:line="440" w:lineRule="atLeast"/>
        <w:ind w:firstLine="431" w:firstLineChars="196"/>
        <w:rPr>
          <w:rFonts w:ascii="宋体"/>
          <w:sz w:val="22"/>
          <w:szCs w:val="22"/>
          <w:u w:val="thick"/>
        </w:rPr>
      </w:pPr>
    </w:p>
    <w:p>
      <w:pPr>
        <w:autoSpaceDE w:val="0"/>
        <w:autoSpaceDN w:val="0"/>
        <w:adjustRightInd w:val="0"/>
        <w:spacing w:before="120" w:line="440" w:lineRule="atLeast"/>
        <w:ind w:firstLine="431" w:firstLineChars="196"/>
        <w:rPr>
          <w:rFonts w:ascii="宋体"/>
          <w:sz w:val="22"/>
          <w:szCs w:val="22"/>
          <w:u w:val="thick"/>
        </w:rPr>
      </w:pPr>
    </w:p>
    <w:p>
      <w:pPr>
        <w:autoSpaceDE w:val="0"/>
        <w:autoSpaceDN w:val="0"/>
        <w:adjustRightInd w:val="0"/>
        <w:spacing w:before="120" w:line="440" w:lineRule="atLeast"/>
        <w:ind w:firstLine="431" w:firstLineChars="196"/>
        <w:rPr>
          <w:rFonts w:ascii="宋体"/>
          <w:sz w:val="22"/>
          <w:szCs w:val="22"/>
          <w:u w:val="thick"/>
        </w:rPr>
      </w:pPr>
    </w:p>
    <w:p>
      <w:pPr>
        <w:autoSpaceDE w:val="0"/>
        <w:autoSpaceDN w:val="0"/>
        <w:adjustRightInd w:val="0"/>
        <w:spacing w:before="120" w:line="440" w:lineRule="atLeast"/>
        <w:ind w:firstLine="431" w:firstLineChars="196"/>
        <w:rPr>
          <w:rFonts w:ascii="宋体"/>
          <w:sz w:val="22"/>
          <w:szCs w:val="22"/>
          <w:u w:val="thick"/>
        </w:rPr>
      </w:pPr>
    </w:p>
    <w:p>
      <w:pPr>
        <w:autoSpaceDE w:val="0"/>
        <w:autoSpaceDN w:val="0"/>
        <w:adjustRightInd w:val="0"/>
        <w:spacing w:before="120" w:line="440" w:lineRule="atLeast"/>
        <w:ind w:firstLine="431" w:firstLineChars="196"/>
        <w:rPr>
          <w:rFonts w:ascii="宋体"/>
          <w:sz w:val="22"/>
          <w:szCs w:val="22"/>
          <w:u w:val="thick"/>
        </w:rPr>
      </w:pPr>
      <w:r>
        <w:rPr>
          <w:rFonts w:hint="eastAsia" w:ascii="宋体"/>
          <w:sz w:val="22"/>
          <w:szCs w:val="22"/>
          <w:u w:val="thick"/>
        </w:rPr>
        <w:t>注：采购文件中有的条款及要求以加粗、加下划线或符号★、▲的形式强调，这些特别强调的条款及内容有些是重要条款，供应商对重要条款的响应程度将作为评审工作的主要依据之一。</w:t>
      </w:r>
    </w:p>
    <w:p>
      <w:pPr>
        <w:autoSpaceDE w:val="0"/>
        <w:autoSpaceDN w:val="0"/>
        <w:adjustRightInd w:val="0"/>
        <w:spacing w:before="120" w:line="440" w:lineRule="atLeast"/>
        <w:ind w:firstLine="431" w:firstLineChars="196"/>
        <w:rPr>
          <w:rFonts w:ascii="宋体"/>
          <w:sz w:val="22"/>
          <w:szCs w:val="22"/>
          <w:u w:val="thick"/>
        </w:rPr>
      </w:pPr>
    </w:p>
    <w:p>
      <w:pPr>
        <w:autoSpaceDE w:val="0"/>
        <w:autoSpaceDN w:val="0"/>
        <w:adjustRightInd w:val="0"/>
        <w:spacing w:before="120" w:line="440" w:lineRule="atLeast"/>
        <w:ind w:firstLine="431" w:firstLineChars="196"/>
        <w:rPr>
          <w:rFonts w:ascii="宋体"/>
          <w:sz w:val="22"/>
          <w:szCs w:val="22"/>
          <w:u w:val="thick"/>
        </w:rPr>
      </w:pPr>
    </w:p>
    <w:p>
      <w:pPr>
        <w:autoSpaceDE w:val="0"/>
        <w:autoSpaceDN w:val="0"/>
        <w:adjustRightInd w:val="0"/>
        <w:spacing w:line="430" w:lineRule="atLeast"/>
        <w:jc w:val="center"/>
        <w:textAlignment w:val="bottom"/>
        <w:rPr>
          <w:rFonts w:ascii="宋体" w:hAnsi="宋体"/>
          <w:b/>
          <w:color w:val="000000"/>
          <w:sz w:val="36"/>
        </w:rPr>
      </w:pPr>
      <w:bookmarkStart w:id="13" w:name="_Toc28389_WPSOffice_Level1"/>
      <w:r>
        <w:rPr>
          <w:rFonts w:hint="eastAsia" w:ascii="宋体" w:hAnsi="宋体"/>
          <w:b/>
          <w:color w:val="000000"/>
          <w:sz w:val="36"/>
        </w:rPr>
        <w:br w:type="page"/>
      </w:r>
    </w:p>
    <w:p>
      <w:pPr>
        <w:autoSpaceDE w:val="0"/>
        <w:autoSpaceDN w:val="0"/>
        <w:adjustRightInd w:val="0"/>
        <w:spacing w:line="430" w:lineRule="atLeast"/>
        <w:jc w:val="center"/>
        <w:textAlignment w:val="bottom"/>
        <w:rPr>
          <w:rFonts w:ascii="宋体" w:hAnsi="宋体"/>
          <w:b/>
          <w:color w:val="000000"/>
          <w:sz w:val="36"/>
        </w:rPr>
      </w:pPr>
      <w:bookmarkStart w:id="14" w:name="_Toc11996_WPSOffice_Level1"/>
      <w:r>
        <w:rPr>
          <w:rFonts w:hint="eastAsia" w:ascii="宋体" w:hAnsi="宋体"/>
          <w:b/>
          <w:color w:val="000000"/>
          <w:sz w:val="36"/>
        </w:rPr>
        <w:t>第一部份   项目简介</w:t>
      </w:r>
      <w:bookmarkEnd w:id="13"/>
      <w:bookmarkEnd w:id="14"/>
    </w:p>
    <w:p>
      <w:pPr>
        <w:autoSpaceDE w:val="0"/>
        <w:autoSpaceDN w:val="0"/>
        <w:adjustRightInd w:val="0"/>
        <w:snapToGrid w:val="0"/>
        <w:spacing w:line="454" w:lineRule="atLeast"/>
        <w:rPr>
          <w:rFonts w:ascii="宋体" w:hAnsi="宋体"/>
          <w:b/>
          <w:sz w:val="22"/>
          <w:szCs w:val="22"/>
        </w:rPr>
      </w:pPr>
      <w:bookmarkStart w:id="15" w:name="_Toc16357_WPSOffice_Level1"/>
      <w:bookmarkStart w:id="16" w:name="_Toc10083_WPSOffice_Level1"/>
      <w:bookmarkStart w:id="17" w:name="_Toc9701_WPSOffice_Level1"/>
      <w:bookmarkStart w:id="18" w:name="_Toc17925_WPSOffice_Level1"/>
      <w:r>
        <w:rPr>
          <w:rFonts w:hint="eastAsia" w:ascii="宋体" w:hAnsi="宋体"/>
          <w:b/>
          <w:sz w:val="22"/>
          <w:szCs w:val="22"/>
        </w:rPr>
        <w:t>一、项目简介</w:t>
      </w:r>
      <w:bookmarkEnd w:id="15"/>
      <w:bookmarkEnd w:id="16"/>
      <w:bookmarkEnd w:id="17"/>
      <w:bookmarkEnd w:id="18"/>
    </w:p>
    <w:p>
      <w:pPr>
        <w:snapToGrid w:val="0"/>
        <w:spacing w:line="460" w:lineRule="exact"/>
        <w:ind w:firstLine="541" w:firstLineChars="246"/>
        <w:rPr>
          <w:rFonts w:ascii="宋体" w:hAnsi="宋体"/>
          <w:color w:val="000000"/>
          <w:sz w:val="22"/>
          <w:szCs w:val="22"/>
        </w:rPr>
      </w:pPr>
      <w:r>
        <w:rPr>
          <w:rFonts w:hint="eastAsia" w:ascii="宋体" w:hAnsi="宋体"/>
          <w:color w:val="000000"/>
          <w:sz w:val="22"/>
          <w:szCs w:val="22"/>
        </w:rPr>
        <w:t>浙江首信工程项目管理有限公司受龙港市农业农村局委托，</w:t>
      </w:r>
      <w:r>
        <w:rPr>
          <w:rFonts w:ascii="宋体" w:hAnsi="宋体"/>
          <w:color w:val="000000"/>
          <w:sz w:val="22"/>
          <w:szCs w:val="22"/>
        </w:rPr>
        <w:t>以竞争性磋商方式采购</w:t>
      </w:r>
      <w:r>
        <w:rPr>
          <w:rFonts w:hint="eastAsia" w:ascii="宋体" w:hAnsi="宋体"/>
          <w:color w:val="000000"/>
          <w:sz w:val="22"/>
          <w:szCs w:val="22"/>
        </w:rPr>
        <w:t>龙港市水利工程运行维修项目，本次招标资金已经落实。</w:t>
      </w:r>
    </w:p>
    <w:p>
      <w:pPr>
        <w:snapToGrid w:val="0"/>
        <w:spacing w:line="460" w:lineRule="exact"/>
        <w:ind w:firstLine="541" w:firstLineChars="246"/>
        <w:rPr>
          <w:rFonts w:ascii="宋体" w:hAnsi="宋体"/>
          <w:color w:val="000000"/>
          <w:sz w:val="22"/>
          <w:szCs w:val="22"/>
        </w:rPr>
      </w:pPr>
      <w:r>
        <w:rPr>
          <w:rFonts w:hint="eastAsia" w:ascii="宋体" w:hAnsi="宋体"/>
          <w:color w:val="000000"/>
          <w:sz w:val="22"/>
          <w:szCs w:val="22"/>
        </w:rPr>
        <w:t>我们热情欢迎有关公司（企业）前来进行磋商。</w:t>
      </w:r>
    </w:p>
    <w:p>
      <w:pPr>
        <w:autoSpaceDE w:val="0"/>
        <w:autoSpaceDN w:val="0"/>
        <w:adjustRightInd w:val="0"/>
        <w:spacing w:line="430" w:lineRule="atLeast"/>
        <w:jc w:val="center"/>
        <w:textAlignment w:val="bottom"/>
        <w:outlineLvl w:val="0"/>
        <w:rPr>
          <w:rFonts w:ascii="宋体" w:hAnsi="宋体"/>
          <w:b/>
          <w:color w:val="000000"/>
          <w:sz w:val="36"/>
        </w:rPr>
      </w:pPr>
      <w:bookmarkStart w:id="19" w:name="_Toc25916_WPSOffice_Level1"/>
    </w:p>
    <w:p>
      <w:pPr>
        <w:autoSpaceDE w:val="0"/>
        <w:autoSpaceDN w:val="0"/>
        <w:adjustRightInd w:val="0"/>
        <w:spacing w:line="430" w:lineRule="atLeast"/>
        <w:jc w:val="center"/>
        <w:textAlignment w:val="bottom"/>
        <w:outlineLvl w:val="0"/>
        <w:rPr>
          <w:rFonts w:ascii="宋体" w:hAnsi="宋体"/>
          <w:b/>
          <w:color w:val="000000"/>
          <w:sz w:val="36"/>
        </w:rPr>
      </w:pPr>
      <w:bookmarkStart w:id="20" w:name="_Toc4738_WPSOffice_Level1"/>
      <w:r>
        <w:rPr>
          <w:rFonts w:hint="eastAsia" w:ascii="宋体" w:hAnsi="宋体"/>
          <w:b/>
          <w:color w:val="000000"/>
          <w:sz w:val="36"/>
        </w:rPr>
        <w:t>第二部分采购内容及技术要求</w:t>
      </w:r>
      <w:bookmarkEnd w:id="19"/>
      <w:bookmarkEnd w:id="20"/>
      <w:bookmarkStart w:id="21" w:name="_Toc157410883"/>
    </w:p>
    <w:bookmarkEnd w:id="21"/>
    <w:p>
      <w:pPr>
        <w:autoSpaceDE w:val="0"/>
        <w:autoSpaceDN w:val="0"/>
        <w:adjustRightInd w:val="0"/>
        <w:snapToGrid w:val="0"/>
        <w:spacing w:line="454" w:lineRule="atLeast"/>
        <w:rPr>
          <w:rFonts w:ascii="宋体" w:hAnsi="宋体"/>
          <w:b/>
          <w:sz w:val="22"/>
          <w:szCs w:val="22"/>
        </w:rPr>
      </w:pPr>
      <w:r>
        <w:rPr>
          <w:rFonts w:hint="eastAsia" w:ascii="宋体" w:hAnsi="宋体"/>
          <w:b/>
          <w:sz w:val="22"/>
          <w:szCs w:val="22"/>
        </w:rPr>
        <w:t>一、总则</w:t>
      </w:r>
    </w:p>
    <w:p>
      <w:pPr>
        <w:pStyle w:val="32"/>
        <w:adjustRightInd w:val="0"/>
        <w:spacing w:line="440" w:lineRule="exact"/>
        <w:ind w:firstLine="521" w:firstLineChars="237"/>
        <w:rPr>
          <w:rFonts w:ascii="宋体" w:eastAsia="宋体"/>
          <w:color w:val="auto"/>
          <w:sz w:val="22"/>
          <w:szCs w:val="22"/>
        </w:rPr>
      </w:pPr>
      <w:r>
        <w:rPr>
          <w:rFonts w:hint="eastAsia" w:ascii="宋体" w:eastAsia="宋体"/>
          <w:color w:val="auto"/>
          <w:sz w:val="22"/>
          <w:szCs w:val="22"/>
        </w:rPr>
        <w:t>1.投标人必须对所投所有服务进行报价，否则按无效投标处理；</w:t>
      </w:r>
    </w:p>
    <w:p>
      <w:pPr>
        <w:pStyle w:val="32"/>
        <w:adjustRightInd w:val="0"/>
        <w:spacing w:line="440" w:lineRule="exact"/>
        <w:ind w:firstLine="521" w:firstLineChars="237"/>
        <w:rPr>
          <w:rFonts w:ascii="宋体" w:eastAsia="宋体"/>
          <w:color w:val="auto"/>
          <w:sz w:val="22"/>
          <w:szCs w:val="22"/>
        </w:rPr>
      </w:pPr>
      <w:r>
        <w:rPr>
          <w:rFonts w:hint="eastAsia" w:ascii="宋体" w:eastAsia="宋体"/>
          <w:color w:val="auto"/>
          <w:sz w:val="22"/>
          <w:szCs w:val="22"/>
        </w:rPr>
        <w:t>2.本技术规范要求提出的是最低限度的基本技术要求，并未对所有技术细节作出规定，投标人应提供符合本技术要求和国家标准、行业标准的优质产品。</w:t>
      </w:r>
    </w:p>
    <w:p>
      <w:pPr>
        <w:pStyle w:val="32"/>
        <w:adjustRightInd w:val="0"/>
        <w:spacing w:line="440" w:lineRule="exact"/>
        <w:ind w:firstLine="521" w:firstLineChars="237"/>
        <w:rPr>
          <w:rFonts w:ascii="宋体" w:eastAsia="宋体"/>
          <w:color w:val="auto"/>
          <w:sz w:val="22"/>
          <w:szCs w:val="22"/>
        </w:rPr>
      </w:pPr>
      <w:r>
        <w:rPr>
          <w:rFonts w:hint="eastAsia" w:ascii="宋体" w:eastAsia="宋体"/>
          <w:color w:val="auto"/>
          <w:sz w:val="22"/>
          <w:szCs w:val="22"/>
        </w:rPr>
        <w:t>3.投标人产品与本技术要求不一致时，投标人应在投标文件中予以说明，并由评标小组鉴定投标人产品能否达到要求。如投标人没有在投标文件中提出异议，则视为投标人提供的产品完全按照本采购文件要求。</w:t>
      </w:r>
    </w:p>
    <w:p>
      <w:pPr>
        <w:pStyle w:val="32"/>
        <w:adjustRightInd w:val="0"/>
        <w:spacing w:line="440" w:lineRule="exact"/>
        <w:ind w:firstLine="521" w:firstLineChars="237"/>
        <w:rPr>
          <w:rFonts w:ascii="宋体" w:eastAsia="宋体"/>
          <w:color w:val="auto"/>
          <w:sz w:val="22"/>
          <w:szCs w:val="22"/>
        </w:rPr>
      </w:pPr>
      <w:r>
        <w:rPr>
          <w:rFonts w:hint="eastAsia" w:ascii="宋体" w:eastAsia="宋体"/>
          <w:color w:val="auto"/>
          <w:sz w:val="22"/>
          <w:szCs w:val="22"/>
        </w:rPr>
        <w:t>4.本采购文件中涉及的金额均以人民币为单位计算。</w:t>
      </w:r>
    </w:p>
    <w:p>
      <w:pPr>
        <w:pStyle w:val="24"/>
        <w:adjustRightInd w:val="0"/>
        <w:snapToGrid w:val="0"/>
        <w:spacing w:line="360" w:lineRule="auto"/>
        <w:rPr>
          <w:rFonts w:hAnsi="宋体"/>
          <w:b/>
          <w:color w:val="000000"/>
          <w:sz w:val="22"/>
          <w:szCs w:val="22"/>
        </w:rPr>
      </w:pPr>
      <w:r>
        <w:rPr>
          <w:rFonts w:hint="eastAsia" w:hAnsi="宋体"/>
          <w:b/>
          <w:sz w:val="22"/>
          <w:szCs w:val="22"/>
        </w:rPr>
        <w:t>二、具体技术要求及内容</w:t>
      </w:r>
    </w:p>
    <w:p>
      <w:pPr>
        <w:widowControl/>
        <w:tabs>
          <w:tab w:val="left" w:pos="540"/>
        </w:tabs>
        <w:autoSpaceDE w:val="0"/>
        <w:autoSpaceDN w:val="0"/>
        <w:adjustRightInd w:val="0"/>
        <w:snapToGrid w:val="0"/>
        <w:spacing w:line="360" w:lineRule="auto"/>
        <w:textAlignment w:val="bottom"/>
        <w:rPr>
          <w:rFonts w:ascii="宋体" w:hAnsi="宋体"/>
          <w:b/>
          <w:sz w:val="22"/>
          <w:szCs w:val="22"/>
        </w:rPr>
      </w:pPr>
      <w:r>
        <w:rPr>
          <w:rFonts w:hint="eastAsia" w:ascii="宋体" w:hAnsi="宋体"/>
          <w:b/>
          <w:sz w:val="22"/>
          <w:szCs w:val="22"/>
        </w:rPr>
        <w:t>（一）项目概况</w:t>
      </w:r>
    </w:p>
    <w:p>
      <w:pPr>
        <w:widowControl/>
        <w:tabs>
          <w:tab w:val="left" w:pos="540"/>
        </w:tabs>
        <w:autoSpaceDE w:val="0"/>
        <w:autoSpaceDN w:val="0"/>
        <w:adjustRightInd w:val="0"/>
        <w:snapToGrid w:val="0"/>
        <w:spacing w:line="360" w:lineRule="auto"/>
        <w:ind w:firstLine="440" w:firstLineChars="200"/>
        <w:textAlignment w:val="bottom"/>
        <w:rPr>
          <w:rFonts w:ascii="宋体" w:hAnsi="宋体"/>
          <w:sz w:val="22"/>
          <w:szCs w:val="22"/>
        </w:rPr>
      </w:pPr>
      <w:r>
        <w:rPr>
          <w:rFonts w:hint="eastAsia" w:ascii="宋体" w:hAnsi="宋体"/>
          <w:sz w:val="22"/>
          <w:szCs w:val="22"/>
        </w:rPr>
        <w:t>本项目由5座水闸（</w:t>
      </w:r>
      <w:r>
        <w:rPr>
          <w:rFonts w:hint="eastAsia" w:ascii="宋体" w:hAnsi="宋体" w:cs="宋体"/>
          <w:color w:val="000000"/>
          <w:kern w:val="0"/>
          <w:sz w:val="22"/>
        </w:rPr>
        <w:t>新兰水闸</w:t>
      </w:r>
      <w:r>
        <w:rPr>
          <w:rFonts w:hint="eastAsia" w:ascii="宋体" w:hAnsi="宋体"/>
          <w:sz w:val="22"/>
          <w:szCs w:val="22"/>
        </w:rPr>
        <w:t>、</w:t>
      </w:r>
      <w:r>
        <w:rPr>
          <w:rFonts w:hint="eastAsia" w:ascii="宋体" w:hAnsi="宋体" w:cs="宋体"/>
          <w:color w:val="000000"/>
          <w:kern w:val="0"/>
          <w:sz w:val="22"/>
        </w:rPr>
        <w:t>湖前水闸、平安水闸、新美洲水闸、龙江水闸</w:t>
      </w:r>
      <w:r>
        <w:rPr>
          <w:rFonts w:hint="eastAsia" w:ascii="宋体" w:hAnsi="宋体"/>
          <w:sz w:val="22"/>
          <w:szCs w:val="22"/>
        </w:rPr>
        <w:t>）、20.5km</w:t>
      </w:r>
      <w:r>
        <w:rPr>
          <w:rFonts w:hint="eastAsia" w:ascii="宋体" w:hAnsi="宋体"/>
          <w:color w:val="000000"/>
          <w:sz w:val="22"/>
          <w:szCs w:val="22"/>
        </w:rPr>
        <w:t>鳌江标准堤海塘</w:t>
      </w:r>
      <w:r>
        <w:rPr>
          <w:rFonts w:hint="eastAsia" w:ascii="宋体" w:hAnsi="宋体"/>
          <w:sz w:val="22"/>
          <w:szCs w:val="22"/>
        </w:rPr>
        <w:t>（双龙汇龙段、湖前城北段、龙港城区段、江南海塘段、江南海塘巴曹段、巴曹标准堤）组成，</w:t>
      </w:r>
      <w:r>
        <w:rPr>
          <w:rFonts w:hint="eastAsia" w:ascii="宋体" w:hAnsi="宋体"/>
          <w:b/>
          <w:sz w:val="22"/>
          <w:szCs w:val="22"/>
        </w:rPr>
        <w:t>其中对湖前水闸除维修养护外还需实行物业化管理</w:t>
      </w:r>
      <w:r>
        <w:rPr>
          <w:rFonts w:hint="eastAsia" w:ascii="宋体" w:hAnsi="宋体"/>
          <w:sz w:val="22"/>
          <w:szCs w:val="22"/>
        </w:rPr>
        <w:t>。</w:t>
      </w:r>
    </w:p>
    <w:p>
      <w:pPr>
        <w:widowControl/>
        <w:tabs>
          <w:tab w:val="left" w:pos="540"/>
        </w:tabs>
        <w:autoSpaceDE w:val="0"/>
        <w:autoSpaceDN w:val="0"/>
        <w:adjustRightInd w:val="0"/>
        <w:snapToGrid w:val="0"/>
        <w:spacing w:line="360" w:lineRule="auto"/>
        <w:ind w:firstLine="440" w:firstLineChars="200"/>
        <w:textAlignment w:val="bottom"/>
        <w:rPr>
          <w:rFonts w:ascii="宋体" w:hAnsi="宋体"/>
          <w:sz w:val="22"/>
        </w:rPr>
      </w:pPr>
      <w:r>
        <w:rPr>
          <w:rFonts w:hint="eastAsia" w:ascii="宋体" w:hAnsi="宋体"/>
          <w:sz w:val="22"/>
          <w:szCs w:val="22"/>
        </w:rPr>
        <w:t>（1</w:t>
      </w:r>
      <w:r>
        <w:rPr>
          <w:rFonts w:hint="eastAsia" w:ascii="宋体" w:hAnsi="宋体"/>
          <w:sz w:val="22"/>
        </w:rPr>
        <w:t>）</w:t>
      </w:r>
      <w:r>
        <w:rPr>
          <w:rFonts w:hint="eastAsia" w:ascii="宋体" w:hAnsi="宋体" w:cs="宋体"/>
          <w:color w:val="000000"/>
          <w:kern w:val="0"/>
          <w:sz w:val="22"/>
        </w:rPr>
        <w:t>新兰水闸（小型）、湖前水闸（中型）、平安水闸（小型）、新美洲水闸（小型）、</w:t>
      </w:r>
      <w:r>
        <w:rPr>
          <w:rFonts w:hint="eastAsia" w:ascii="宋体" w:hAnsi="宋体"/>
          <w:sz w:val="22"/>
        </w:rPr>
        <w:t>龙江水闸（中型）；</w:t>
      </w:r>
    </w:p>
    <w:p>
      <w:pPr>
        <w:spacing w:line="360" w:lineRule="auto"/>
        <w:ind w:firstLine="440"/>
        <w:rPr>
          <w:rFonts w:ascii="宋体" w:hAnsi="宋体"/>
          <w:sz w:val="22"/>
        </w:rPr>
      </w:pPr>
      <w:r>
        <w:rPr>
          <w:rFonts w:hint="eastAsia" w:ascii="宋体" w:hAnsi="宋体"/>
          <w:sz w:val="22"/>
        </w:rPr>
        <w:t>（2）20.5km</w:t>
      </w:r>
      <w:r>
        <w:rPr>
          <w:rFonts w:hint="eastAsia" w:ascii="宋体" w:hAnsi="宋体"/>
          <w:color w:val="000000"/>
          <w:sz w:val="22"/>
          <w:szCs w:val="22"/>
        </w:rPr>
        <w:t>鳌江标准堤</w:t>
      </w:r>
      <w:r>
        <w:rPr>
          <w:rFonts w:hint="eastAsia" w:ascii="宋体" w:hAnsi="宋体"/>
          <w:sz w:val="22"/>
        </w:rPr>
        <w:t>海塘</w:t>
      </w:r>
    </w:p>
    <w:p>
      <w:pPr>
        <w:spacing w:line="360" w:lineRule="auto"/>
        <w:ind w:firstLine="440" w:firstLineChars="200"/>
        <w:rPr>
          <w:rFonts w:ascii="宋体" w:hAnsi="宋体"/>
          <w:sz w:val="22"/>
        </w:rPr>
      </w:pPr>
      <w:r>
        <w:rPr>
          <w:rFonts w:hint="eastAsia" w:ascii="宋体" w:hAnsi="宋体"/>
          <w:sz w:val="22"/>
        </w:rPr>
        <w:t>双龙汇龙段：鳌江标准堤上游段（双龙汇龙段）起点位于鳌江萧江塘河河口，终点位于龙港下埠煤气码头，其中双龙汇龙段3.558km，为20年一遇，主要结构型式为框架式及土石结构。</w:t>
      </w:r>
    </w:p>
    <w:p>
      <w:pPr>
        <w:spacing w:line="360" w:lineRule="auto"/>
        <w:ind w:firstLine="440" w:firstLineChars="200"/>
        <w:rPr>
          <w:rFonts w:ascii="宋体" w:hAnsi="宋体"/>
          <w:sz w:val="22"/>
        </w:rPr>
      </w:pPr>
      <w:r>
        <w:rPr>
          <w:rFonts w:hint="eastAsia" w:ascii="宋体" w:hAnsi="宋体"/>
          <w:sz w:val="22"/>
        </w:rPr>
        <w:t>湖前城北段：鳌江标准堤上游段（湖前城北段）位于龙港市内，自朱家站水闸下游右侧翼墙起至龙港大桥结束，长度约为3.959km，为50年一遇，主要结构型式为土石结构。</w:t>
      </w:r>
    </w:p>
    <w:p>
      <w:pPr>
        <w:spacing w:line="360" w:lineRule="auto"/>
        <w:ind w:firstLine="440" w:firstLineChars="200"/>
        <w:rPr>
          <w:rFonts w:ascii="宋体" w:hAnsi="宋体"/>
          <w:sz w:val="22"/>
        </w:rPr>
      </w:pPr>
      <w:r>
        <w:rPr>
          <w:rFonts w:hint="eastAsia" w:ascii="宋体" w:hAnsi="宋体"/>
          <w:sz w:val="22"/>
        </w:rPr>
        <w:t>龙港城区段：长度7.46km，为50年一遇，主要结构型式为框架式及土石结构。</w:t>
      </w:r>
    </w:p>
    <w:p>
      <w:pPr>
        <w:spacing w:line="360" w:lineRule="auto"/>
        <w:ind w:firstLine="440" w:firstLineChars="200"/>
        <w:rPr>
          <w:rFonts w:ascii="宋体" w:hAnsi="宋体"/>
          <w:sz w:val="22"/>
        </w:rPr>
      </w:pPr>
      <w:r>
        <w:rPr>
          <w:rFonts w:hint="eastAsia" w:ascii="宋体" w:hAnsi="宋体"/>
          <w:sz w:val="22"/>
        </w:rPr>
        <w:t>江南海塘段：鳌江标准堤（江南海塘段）位于龙港市内，自下埠天然气码头起至海涂围垦北堤结束，长度约为3.9km，为50年一遇标准。主要结构型式为土石堤断面结构。</w:t>
      </w:r>
    </w:p>
    <w:p>
      <w:pPr>
        <w:pStyle w:val="22"/>
        <w:ind w:left="0" w:leftChars="0" w:right="1470" w:firstLine="440" w:firstLineChars="200"/>
        <w:rPr>
          <w:rFonts w:ascii="宋体" w:hAnsi="宋体"/>
          <w:sz w:val="22"/>
          <w:szCs w:val="22"/>
        </w:rPr>
      </w:pPr>
      <w:r>
        <w:rPr>
          <w:rFonts w:hint="eastAsia" w:ascii="宋体" w:hAnsi="宋体"/>
          <w:sz w:val="22"/>
          <w:szCs w:val="22"/>
        </w:rPr>
        <w:t>江南海塘巴曹段：位于龙港市巴曹，长度约400m。</w:t>
      </w:r>
    </w:p>
    <w:p>
      <w:pPr>
        <w:pStyle w:val="22"/>
        <w:ind w:left="0" w:leftChars="0" w:right="1470" w:firstLine="440" w:firstLineChars="200"/>
        <w:rPr>
          <w:rFonts w:ascii="宋体" w:hAnsi="宋体"/>
          <w:sz w:val="22"/>
          <w:szCs w:val="22"/>
        </w:rPr>
      </w:pPr>
      <w:r>
        <w:rPr>
          <w:rFonts w:hint="eastAsia" w:ascii="宋体" w:hAnsi="宋体"/>
          <w:sz w:val="22"/>
          <w:szCs w:val="22"/>
        </w:rPr>
        <w:t>巴曹标准堤：位于龙港市巴曹，长度约1.1km。</w:t>
      </w:r>
    </w:p>
    <w:p>
      <w:pPr>
        <w:widowControl/>
        <w:tabs>
          <w:tab w:val="left" w:pos="540"/>
        </w:tabs>
        <w:autoSpaceDE w:val="0"/>
        <w:autoSpaceDN w:val="0"/>
        <w:adjustRightInd w:val="0"/>
        <w:snapToGrid w:val="0"/>
        <w:spacing w:line="400" w:lineRule="exact"/>
        <w:textAlignment w:val="bottom"/>
        <w:rPr>
          <w:rFonts w:ascii="宋体" w:hAnsi="宋体"/>
          <w:b/>
          <w:sz w:val="22"/>
          <w:szCs w:val="22"/>
        </w:rPr>
      </w:pPr>
      <w:r>
        <w:rPr>
          <w:rFonts w:hint="eastAsia" w:ascii="宋体" w:hAnsi="宋体"/>
          <w:b/>
          <w:sz w:val="22"/>
          <w:szCs w:val="22"/>
        </w:rPr>
        <w:t>（二）水闸及海塘的总体要求</w:t>
      </w:r>
    </w:p>
    <w:p>
      <w:pPr>
        <w:widowControl/>
        <w:tabs>
          <w:tab w:val="left" w:pos="540"/>
        </w:tabs>
        <w:autoSpaceDE w:val="0"/>
        <w:autoSpaceDN w:val="0"/>
        <w:adjustRightInd w:val="0"/>
        <w:snapToGrid w:val="0"/>
        <w:spacing w:line="400" w:lineRule="exact"/>
        <w:ind w:firstLine="440" w:firstLineChars="200"/>
        <w:textAlignment w:val="bottom"/>
        <w:rPr>
          <w:rFonts w:ascii="宋体" w:hAnsi="宋体"/>
          <w:sz w:val="22"/>
          <w:szCs w:val="22"/>
        </w:rPr>
      </w:pPr>
      <w:r>
        <w:rPr>
          <w:rFonts w:hint="eastAsia" w:ascii="宋体" w:hAnsi="宋体"/>
          <w:sz w:val="22"/>
          <w:szCs w:val="22"/>
        </w:rPr>
        <w:t>根据《浙江省水利厅办公室关于公布省水利工程标准化管理示范县名单的通知》（浙水办科〔2016〕3号）的文件精神，为切实提高我县水利工程管理质量和效率，更好的维护和管理，采购人决定委托具有资质的供应商进行管护。</w:t>
      </w:r>
    </w:p>
    <w:p>
      <w:pPr>
        <w:widowControl/>
        <w:tabs>
          <w:tab w:val="left" w:pos="540"/>
        </w:tabs>
        <w:autoSpaceDE w:val="0"/>
        <w:autoSpaceDN w:val="0"/>
        <w:adjustRightInd w:val="0"/>
        <w:snapToGrid w:val="0"/>
        <w:spacing w:line="400" w:lineRule="exact"/>
        <w:ind w:firstLine="442" w:firstLineChars="200"/>
        <w:textAlignment w:val="bottom"/>
        <w:rPr>
          <w:rFonts w:ascii="宋体" w:hAnsi="宋体"/>
          <w:b/>
          <w:bCs/>
          <w:sz w:val="22"/>
          <w:szCs w:val="22"/>
        </w:rPr>
      </w:pPr>
      <w:r>
        <w:rPr>
          <w:rFonts w:hint="eastAsia" w:ascii="宋体" w:hAnsi="宋体"/>
          <w:b/>
          <w:bCs/>
          <w:sz w:val="22"/>
          <w:szCs w:val="22"/>
        </w:rPr>
        <w:t>本项目要求供应商须按《浙江省大中型水闸工程运行管理规程（试行）》、《浙江省海塘工程维修养护管理规程（试行）》以及龙港市农业农村局编制的管理手册等文件进行物业化管理（遇管理制度变化，供应商应按照最新的管理制度进行管理，如供应商不按照最新管理制度进行管理，采购人有权取消合同，并追究经济赔偿）。</w:t>
      </w:r>
    </w:p>
    <w:p>
      <w:pPr>
        <w:widowControl/>
        <w:tabs>
          <w:tab w:val="left" w:pos="540"/>
        </w:tabs>
        <w:autoSpaceDE w:val="0"/>
        <w:autoSpaceDN w:val="0"/>
        <w:adjustRightInd w:val="0"/>
        <w:snapToGrid w:val="0"/>
        <w:spacing w:line="400" w:lineRule="exact"/>
        <w:ind w:firstLine="442" w:firstLineChars="200"/>
        <w:textAlignment w:val="bottom"/>
        <w:rPr>
          <w:rFonts w:ascii="宋体" w:hAnsi="宋体"/>
          <w:b/>
          <w:bCs/>
          <w:sz w:val="22"/>
          <w:szCs w:val="22"/>
        </w:rPr>
      </w:pPr>
      <w:r>
        <w:rPr>
          <w:rFonts w:hint="eastAsia" w:ascii="宋体" w:hAnsi="宋体"/>
          <w:b/>
          <w:bCs/>
          <w:sz w:val="22"/>
          <w:szCs w:val="22"/>
        </w:rPr>
        <w:t>供应商应配合做好龙港市农业农村局工程标准化管理创建工作，供应商应无条件配合采购单位工作。</w:t>
      </w:r>
    </w:p>
    <w:p>
      <w:pPr>
        <w:widowControl/>
        <w:tabs>
          <w:tab w:val="left" w:pos="540"/>
        </w:tabs>
        <w:autoSpaceDE w:val="0"/>
        <w:autoSpaceDN w:val="0"/>
        <w:adjustRightInd w:val="0"/>
        <w:snapToGrid w:val="0"/>
        <w:spacing w:line="400" w:lineRule="exact"/>
        <w:textAlignment w:val="bottom"/>
        <w:rPr>
          <w:rFonts w:ascii="宋体" w:hAnsi="宋体"/>
          <w:b/>
          <w:bCs/>
          <w:sz w:val="22"/>
          <w:szCs w:val="22"/>
        </w:rPr>
      </w:pPr>
      <w:r>
        <w:rPr>
          <w:rFonts w:hint="eastAsia" w:ascii="宋体" w:hAnsi="宋体"/>
          <w:b/>
          <w:bCs/>
          <w:sz w:val="22"/>
          <w:szCs w:val="22"/>
        </w:rPr>
        <w:t>（三）人员要求</w:t>
      </w:r>
    </w:p>
    <w:p>
      <w:pPr>
        <w:pStyle w:val="121"/>
        <w:spacing w:line="360" w:lineRule="auto"/>
        <w:ind w:firstLine="440"/>
        <w:rPr>
          <w:rFonts w:hAnsi="宋体"/>
          <w:sz w:val="22"/>
          <w:szCs w:val="22"/>
        </w:rPr>
      </w:pPr>
      <w:r>
        <w:rPr>
          <w:rFonts w:hint="eastAsia"/>
          <w:sz w:val="22"/>
          <w:szCs w:val="22"/>
        </w:rPr>
        <w:t>（1）</w:t>
      </w:r>
      <w:r>
        <w:rPr>
          <w:rFonts w:hAnsi="宋体"/>
          <w:sz w:val="22"/>
          <w:szCs w:val="22"/>
        </w:rPr>
        <w:t>人员应具有</w:t>
      </w:r>
      <w:r>
        <w:rPr>
          <w:rFonts w:hint="eastAsia" w:hAnsi="宋体"/>
          <w:sz w:val="22"/>
          <w:szCs w:val="22"/>
        </w:rPr>
        <w:t>一定文化</w:t>
      </w:r>
      <w:r>
        <w:rPr>
          <w:rFonts w:hAnsi="宋体"/>
          <w:sz w:val="22"/>
          <w:szCs w:val="22"/>
        </w:rPr>
        <w:t>水平</w:t>
      </w:r>
      <w:r>
        <w:rPr>
          <w:rFonts w:hint="eastAsia" w:hAnsi="宋体"/>
          <w:sz w:val="22"/>
          <w:szCs w:val="22"/>
        </w:rPr>
        <w:t>程度</w:t>
      </w:r>
      <w:r>
        <w:rPr>
          <w:rFonts w:hAnsi="宋体"/>
          <w:sz w:val="22"/>
          <w:szCs w:val="22"/>
        </w:rPr>
        <w:t>，年龄大于18周岁、小于6</w:t>
      </w:r>
      <w:r>
        <w:rPr>
          <w:rFonts w:hint="eastAsia" w:hAnsi="宋体"/>
          <w:sz w:val="22"/>
          <w:szCs w:val="22"/>
        </w:rPr>
        <w:t>0</w:t>
      </w:r>
      <w:r>
        <w:rPr>
          <w:rFonts w:hAnsi="宋体"/>
          <w:sz w:val="22"/>
          <w:szCs w:val="22"/>
        </w:rPr>
        <w:t>周岁，身体健康，责任心强。人员宜常年居住和生活在工程所在地附近。</w:t>
      </w:r>
      <w:r>
        <w:rPr>
          <w:rFonts w:hint="eastAsia" w:ascii="Times New Roman"/>
          <w:sz w:val="22"/>
          <w:szCs w:val="22"/>
        </w:rPr>
        <w:t>其工作内容</w:t>
      </w:r>
      <w:r>
        <w:rPr>
          <w:rFonts w:ascii="Times New Roman"/>
          <w:sz w:val="22"/>
          <w:szCs w:val="22"/>
        </w:rPr>
        <w:t>为</w:t>
      </w:r>
      <w:r>
        <w:rPr>
          <w:rFonts w:hAnsi="宋体"/>
          <w:sz w:val="22"/>
          <w:szCs w:val="22"/>
        </w:rPr>
        <w:t>：</w:t>
      </w:r>
    </w:p>
    <w:p>
      <w:pPr>
        <w:pStyle w:val="99"/>
        <w:numPr>
          <w:ilvl w:val="0"/>
          <w:numId w:val="2"/>
        </w:numPr>
        <w:autoSpaceDE w:val="0"/>
        <w:autoSpaceDN w:val="0"/>
        <w:adjustRightInd w:val="0"/>
        <w:spacing w:line="360" w:lineRule="auto"/>
        <w:ind w:firstLine="440"/>
        <w:jc w:val="left"/>
        <w:rPr>
          <w:rFonts w:ascii="宋体" w:cs="宋体"/>
          <w:color w:val="000000"/>
          <w:kern w:val="0"/>
          <w:sz w:val="22"/>
        </w:rPr>
      </w:pPr>
      <w:r>
        <w:rPr>
          <w:rFonts w:hint="eastAsia" w:ascii="宋体" w:cs="宋体"/>
          <w:color w:val="000000"/>
          <w:kern w:val="0"/>
          <w:sz w:val="22"/>
        </w:rPr>
        <w:t>按规定做好巡视检查和记录。</w:t>
      </w:r>
    </w:p>
    <w:p>
      <w:pPr>
        <w:pStyle w:val="121"/>
        <w:numPr>
          <w:ilvl w:val="0"/>
          <w:numId w:val="2"/>
        </w:numPr>
        <w:spacing w:line="360" w:lineRule="auto"/>
        <w:ind w:firstLine="440"/>
        <w:rPr>
          <w:rFonts w:hAnsi="宋体"/>
          <w:sz w:val="22"/>
          <w:szCs w:val="22"/>
        </w:rPr>
      </w:pPr>
      <w:r>
        <w:rPr>
          <w:rFonts w:hAnsi="宋体"/>
          <w:sz w:val="22"/>
          <w:szCs w:val="22"/>
        </w:rPr>
        <w:t>根据所有权人或上级部门</w:t>
      </w:r>
      <w:r>
        <w:rPr>
          <w:rFonts w:hint="eastAsia" w:hAnsi="宋体"/>
          <w:sz w:val="22"/>
          <w:szCs w:val="22"/>
        </w:rPr>
        <w:t>要求</w:t>
      </w:r>
      <w:r>
        <w:rPr>
          <w:rFonts w:hAnsi="宋体"/>
          <w:sz w:val="22"/>
          <w:szCs w:val="22"/>
        </w:rPr>
        <w:t>，做好用水管理和记录工作。</w:t>
      </w:r>
    </w:p>
    <w:p>
      <w:pPr>
        <w:pStyle w:val="121"/>
        <w:numPr>
          <w:ilvl w:val="0"/>
          <w:numId w:val="2"/>
        </w:numPr>
        <w:adjustRightInd w:val="0"/>
        <w:spacing w:line="360" w:lineRule="auto"/>
        <w:ind w:firstLine="440"/>
        <w:jc w:val="left"/>
        <w:rPr>
          <w:rFonts w:cs="宋体"/>
          <w:color w:val="000000"/>
          <w:sz w:val="22"/>
          <w:szCs w:val="22"/>
        </w:rPr>
      </w:pPr>
      <w:r>
        <w:rPr>
          <w:rFonts w:hAnsi="宋体"/>
          <w:sz w:val="22"/>
          <w:szCs w:val="22"/>
        </w:rPr>
        <w:t>发现险情（异常情况）立即向所有权人、主管单位或上级报告。</w:t>
      </w:r>
    </w:p>
    <w:p>
      <w:pPr>
        <w:pStyle w:val="121"/>
        <w:numPr>
          <w:ilvl w:val="0"/>
          <w:numId w:val="2"/>
        </w:numPr>
        <w:adjustRightInd w:val="0"/>
        <w:spacing w:line="360" w:lineRule="auto"/>
        <w:ind w:firstLine="440"/>
        <w:jc w:val="left"/>
        <w:rPr>
          <w:rFonts w:cs="宋体"/>
          <w:color w:val="000000"/>
          <w:sz w:val="22"/>
          <w:szCs w:val="22"/>
        </w:rPr>
      </w:pPr>
      <w:r>
        <w:rPr>
          <w:rFonts w:hAnsi="宋体"/>
          <w:sz w:val="22"/>
          <w:szCs w:val="22"/>
        </w:rPr>
        <w:t>劝阻有危害工程安全的行为，</w:t>
      </w:r>
      <w:r>
        <w:rPr>
          <w:rFonts w:hint="eastAsia" w:hAnsi="宋体"/>
          <w:sz w:val="22"/>
          <w:szCs w:val="22"/>
        </w:rPr>
        <w:t>按规定</w:t>
      </w:r>
      <w:r>
        <w:rPr>
          <w:rFonts w:hAnsi="宋体"/>
          <w:sz w:val="22"/>
          <w:szCs w:val="22"/>
        </w:rPr>
        <w:t>报告。</w:t>
      </w:r>
    </w:p>
    <w:p>
      <w:pPr>
        <w:pStyle w:val="121"/>
        <w:numPr>
          <w:ilvl w:val="0"/>
          <w:numId w:val="2"/>
        </w:numPr>
        <w:adjustRightInd w:val="0"/>
        <w:spacing w:line="360" w:lineRule="auto"/>
        <w:ind w:firstLine="440"/>
        <w:jc w:val="left"/>
        <w:rPr>
          <w:rFonts w:hAnsi="宋体"/>
          <w:sz w:val="22"/>
          <w:szCs w:val="22"/>
        </w:rPr>
      </w:pPr>
      <w:r>
        <w:rPr>
          <w:rFonts w:hint="eastAsia" w:cs="宋体"/>
          <w:color w:val="000000"/>
          <w:sz w:val="22"/>
          <w:szCs w:val="22"/>
        </w:rPr>
        <w:t>遇台风、暴雨、地震等紧急情况，按上级要求做好有关工作。</w:t>
      </w:r>
    </w:p>
    <w:p>
      <w:pPr>
        <w:pStyle w:val="121"/>
        <w:numPr>
          <w:ilvl w:val="0"/>
          <w:numId w:val="2"/>
        </w:numPr>
        <w:adjustRightInd w:val="0"/>
        <w:spacing w:line="360" w:lineRule="auto"/>
        <w:ind w:firstLine="440"/>
        <w:jc w:val="left"/>
        <w:rPr>
          <w:rFonts w:hAnsi="宋体"/>
          <w:sz w:val="22"/>
          <w:szCs w:val="22"/>
        </w:rPr>
      </w:pPr>
      <w:r>
        <w:rPr>
          <w:rFonts w:hAnsi="宋体"/>
          <w:sz w:val="22"/>
          <w:szCs w:val="22"/>
        </w:rPr>
        <w:t>按上级要求做好有关工作。</w:t>
      </w:r>
    </w:p>
    <w:p>
      <w:pPr>
        <w:pStyle w:val="121"/>
        <w:numPr>
          <w:ilvl w:val="0"/>
          <w:numId w:val="2"/>
        </w:numPr>
        <w:spacing w:line="360" w:lineRule="auto"/>
        <w:ind w:firstLine="440"/>
        <w:rPr>
          <w:rFonts w:hAnsi="宋体"/>
          <w:sz w:val="22"/>
          <w:szCs w:val="22"/>
        </w:rPr>
      </w:pPr>
      <w:r>
        <w:rPr>
          <w:rFonts w:hint="eastAsia" w:hAnsi="宋体"/>
          <w:sz w:val="22"/>
          <w:szCs w:val="22"/>
        </w:rPr>
        <w:t>项目负责人：具有水利专业中级或中级以上职称；</w:t>
      </w:r>
    </w:p>
    <w:p>
      <w:pPr>
        <w:pStyle w:val="121"/>
        <w:numPr>
          <w:ilvl w:val="0"/>
          <w:numId w:val="2"/>
        </w:numPr>
        <w:spacing w:line="360" w:lineRule="auto"/>
        <w:ind w:firstLine="440"/>
        <w:rPr>
          <w:rFonts w:hAnsi="宋体"/>
          <w:sz w:val="22"/>
          <w:szCs w:val="22"/>
        </w:rPr>
      </w:pPr>
      <w:r>
        <w:rPr>
          <w:rFonts w:hint="eastAsia" w:hAnsi="宋体"/>
          <w:sz w:val="22"/>
          <w:szCs w:val="22"/>
        </w:rPr>
        <w:t>技术负责人：具有水利专业中级或中级以上职称；</w:t>
      </w:r>
    </w:p>
    <w:p>
      <w:pPr>
        <w:pStyle w:val="121"/>
        <w:numPr>
          <w:ilvl w:val="0"/>
          <w:numId w:val="2"/>
        </w:numPr>
        <w:adjustRightInd w:val="0"/>
        <w:spacing w:line="360" w:lineRule="auto"/>
        <w:ind w:firstLine="440"/>
        <w:jc w:val="left"/>
        <w:rPr>
          <w:rFonts w:hAnsi="宋体"/>
          <w:sz w:val="22"/>
          <w:szCs w:val="22"/>
        </w:rPr>
      </w:pPr>
      <w:r>
        <w:rPr>
          <w:rFonts w:hAnsi="宋体"/>
          <w:sz w:val="22"/>
          <w:szCs w:val="22"/>
        </w:rPr>
        <w:t>巡查</w:t>
      </w:r>
      <w:r>
        <w:rPr>
          <w:rFonts w:hint="eastAsia" w:hAnsi="宋体"/>
          <w:sz w:val="22"/>
          <w:szCs w:val="22"/>
        </w:rPr>
        <w:t>人</w:t>
      </w:r>
      <w:r>
        <w:rPr>
          <w:rFonts w:hAnsi="宋体"/>
          <w:sz w:val="22"/>
          <w:szCs w:val="22"/>
        </w:rPr>
        <w:t>员：</w:t>
      </w:r>
      <w:r>
        <w:rPr>
          <w:rFonts w:hint="eastAsia" w:hAnsi="宋体"/>
          <w:sz w:val="22"/>
          <w:szCs w:val="22"/>
        </w:rPr>
        <w:t>巡查人员需要水利专业助理工程师及以上职称或具有从事海塘工程工作经历三年及以上工作经历（提供工作经历的证明）；</w:t>
      </w:r>
    </w:p>
    <w:p>
      <w:pPr>
        <w:pStyle w:val="121"/>
        <w:numPr>
          <w:ilvl w:val="0"/>
          <w:numId w:val="2"/>
        </w:numPr>
        <w:adjustRightInd w:val="0"/>
        <w:spacing w:line="360" w:lineRule="auto"/>
        <w:ind w:firstLine="440"/>
        <w:jc w:val="left"/>
        <w:rPr>
          <w:rFonts w:hAnsi="宋体"/>
          <w:sz w:val="22"/>
          <w:szCs w:val="22"/>
        </w:rPr>
      </w:pPr>
      <w:r>
        <w:rPr>
          <w:rFonts w:hint="eastAsia" w:hAnsi="宋体"/>
          <w:sz w:val="22"/>
          <w:szCs w:val="22"/>
        </w:rPr>
        <w:t>综合管理人员：水利相关专业，大专以上学历或具有水利中级及以上职称；</w:t>
      </w:r>
    </w:p>
    <w:p>
      <w:pPr>
        <w:pStyle w:val="121"/>
        <w:numPr>
          <w:ilvl w:val="0"/>
          <w:numId w:val="2"/>
        </w:numPr>
        <w:adjustRightInd w:val="0"/>
        <w:spacing w:line="360" w:lineRule="auto"/>
        <w:ind w:firstLine="440"/>
        <w:jc w:val="left"/>
        <w:rPr>
          <w:rFonts w:hAnsi="宋体"/>
          <w:sz w:val="22"/>
          <w:szCs w:val="22"/>
        </w:rPr>
      </w:pPr>
      <w:r>
        <w:rPr>
          <w:rFonts w:hint="eastAsia" w:hAnsi="宋体"/>
          <w:sz w:val="22"/>
          <w:szCs w:val="22"/>
        </w:rPr>
        <w:t>水闸运行工：具有水闸运行工证书；</w:t>
      </w:r>
    </w:p>
    <w:p>
      <w:pPr>
        <w:pStyle w:val="121"/>
        <w:numPr>
          <w:ilvl w:val="0"/>
          <w:numId w:val="2"/>
        </w:numPr>
        <w:adjustRightInd w:val="0"/>
        <w:spacing w:line="360" w:lineRule="auto"/>
        <w:ind w:firstLine="440"/>
        <w:jc w:val="left"/>
        <w:rPr>
          <w:rFonts w:hAnsi="宋体"/>
          <w:sz w:val="22"/>
          <w:szCs w:val="22"/>
        </w:rPr>
      </w:pPr>
      <w:r>
        <w:rPr>
          <w:rFonts w:hint="eastAsia" w:hAnsi="宋体"/>
          <w:sz w:val="22"/>
          <w:szCs w:val="22"/>
        </w:rPr>
        <w:t>电工：具有电工证；</w:t>
      </w:r>
    </w:p>
    <w:p>
      <w:pPr>
        <w:widowControl/>
        <w:tabs>
          <w:tab w:val="left" w:pos="540"/>
        </w:tabs>
        <w:autoSpaceDE w:val="0"/>
        <w:autoSpaceDN w:val="0"/>
        <w:adjustRightInd w:val="0"/>
        <w:snapToGrid w:val="0"/>
        <w:spacing w:line="400" w:lineRule="exact"/>
        <w:ind w:firstLine="442" w:firstLineChars="200"/>
        <w:textAlignment w:val="bottom"/>
        <w:rPr>
          <w:rFonts w:ascii="宋体" w:hAnsi="宋体"/>
          <w:b/>
          <w:sz w:val="22"/>
          <w:szCs w:val="22"/>
        </w:rPr>
      </w:pPr>
      <w:r>
        <w:rPr>
          <w:rFonts w:hint="eastAsia" w:ascii="宋体" w:hAnsi="宋体"/>
          <w:b/>
          <w:sz w:val="22"/>
          <w:szCs w:val="22"/>
        </w:rPr>
        <w:t>（2）海塘养护人员配备</w:t>
      </w:r>
    </w:p>
    <w:tbl>
      <w:tblPr>
        <w:tblStyle w:val="38"/>
        <w:tblW w:w="91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1634"/>
        <w:gridCol w:w="2409"/>
        <w:gridCol w:w="1276"/>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830"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sz w:val="22"/>
                <w:szCs w:val="22"/>
              </w:rPr>
            </w:pPr>
            <w:r>
              <w:rPr>
                <w:rFonts w:hint="eastAsia" w:ascii="宋体" w:hAnsi="宋体"/>
                <w:sz w:val="22"/>
                <w:szCs w:val="22"/>
              </w:rPr>
              <w:t>序号</w:t>
            </w:r>
          </w:p>
        </w:tc>
        <w:tc>
          <w:tcPr>
            <w:tcW w:w="1634"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sz w:val="22"/>
                <w:szCs w:val="22"/>
              </w:rPr>
            </w:pPr>
            <w:r>
              <w:rPr>
                <w:rFonts w:hint="eastAsia" w:ascii="宋体" w:hAnsi="宋体"/>
                <w:sz w:val="22"/>
                <w:szCs w:val="22"/>
              </w:rPr>
              <w:t>名  称</w:t>
            </w:r>
          </w:p>
        </w:tc>
        <w:tc>
          <w:tcPr>
            <w:tcW w:w="2409"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sz w:val="22"/>
                <w:szCs w:val="22"/>
              </w:rPr>
            </w:pPr>
            <w:r>
              <w:rPr>
                <w:rFonts w:hint="eastAsia" w:ascii="宋体" w:hAnsi="宋体"/>
                <w:sz w:val="22"/>
                <w:szCs w:val="22"/>
              </w:rPr>
              <w:t>管理人员</w:t>
            </w:r>
          </w:p>
        </w:tc>
        <w:tc>
          <w:tcPr>
            <w:tcW w:w="1276"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sz w:val="22"/>
                <w:szCs w:val="22"/>
              </w:rPr>
            </w:pPr>
            <w:r>
              <w:rPr>
                <w:rFonts w:hint="eastAsia" w:ascii="宋体" w:hAnsi="宋体"/>
                <w:sz w:val="22"/>
                <w:szCs w:val="22"/>
              </w:rPr>
              <w:t>巡查人员</w:t>
            </w:r>
          </w:p>
        </w:tc>
        <w:tc>
          <w:tcPr>
            <w:tcW w:w="3028"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sz w:val="22"/>
                <w:szCs w:val="22"/>
              </w:rPr>
            </w:pPr>
            <w:r>
              <w:rPr>
                <w:rFonts w:hint="eastAsia" w:ascii="宋体" w:hAnsi="宋体"/>
                <w:sz w:val="22"/>
                <w:szCs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830"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sz w:val="22"/>
                <w:szCs w:val="22"/>
              </w:rPr>
            </w:pPr>
            <w:r>
              <w:rPr>
                <w:rFonts w:hint="eastAsia" w:ascii="宋体" w:hAnsi="宋体"/>
                <w:sz w:val="22"/>
                <w:szCs w:val="22"/>
              </w:rPr>
              <w:t>1</w:t>
            </w:r>
          </w:p>
        </w:tc>
        <w:tc>
          <w:tcPr>
            <w:tcW w:w="1634" w:type="dxa"/>
            <w:vAlign w:val="center"/>
          </w:tcPr>
          <w:p>
            <w:pPr>
              <w:widowControl/>
              <w:jc w:val="center"/>
              <w:rPr>
                <w:rFonts w:ascii="宋体" w:hAnsi="宋体" w:cs="宋体"/>
                <w:kern w:val="0"/>
                <w:sz w:val="22"/>
                <w:szCs w:val="22"/>
              </w:rPr>
            </w:pPr>
            <w:r>
              <w:rPr>
                <w:rFonts w:hint="eastAsia" w:ascii="宋体" w:hAnsi="宋体" w:cs="宋体"/>
                <w:kern w:val="0"/>
                <w:sz w:val="22"/>
                <w:szCs w:val="22"/>
              </w:rPr>
              <w:t>20.5km海塘</w:t>
            </w:r>
          </w:p>
        </w:tc>
        <w:tc>
          <w:tcPr>
            <w:tcW w:w="2409" w:type="dxa"/>
            <w:vAlign w:val="center"/>
          </w:tcPr>
          <w:p>
            <w:pPr>
              <w:widowControl/>
              <w:tabs>
                <w:tab w:val="left" w:pos="540"/>
              </w:tabs>
              <w:autoSpaceDE w:val="0"/>
              <w:autoSpaceDN w:val="0"/>
              <w:adjustRightInd w:val="0"/>
              <w:snapToGrid w:val="0"/>
              <w:spacing w:line="300" w:lineRule="exact"/>
              <w:jc w:val="left"/>
              <w:textAlignment w:val="bottom"/>
              <w:rPr>
                <w:rFonts w:ascii="宋体" w:hAnsi="宋体"/>
                <w:b/>
                <w:bCs/>
                <w:sz w:val="22"/>
              </w:rPr>
            </w:pPr>
            <w:r>
              <w:rPr>
                <w:rFonts w:hint="eastAsia" w:ascii="宋体" w:hAnsi="宋体"/>
                <w:b/>
                <w:bCs/>
                <w:sz w:val="22"/>
              </w:rPr>
              <w:t>1、项目总负责人1名；</w:t>
            </w:r>
          </w:p>
          <w:p>
            <w:pPr>
              <w:widowControl/>
              <w:tabs>
                <w:tab w:val="left" w:pos="540"/>
              </w:tabs>
              <w:autoSpaceDE w:val="0"/>
              <w:autoSpaceDN w:val="0"/>
              <w:adjustRightInd w:val="0"/>
              <w:snapToGrid w:val="0"/>
              <w:spacing w:line="300" w:lineRule="exact"/>
              <w:jc w:val="left"/>
              <w:textAlignment w:val="bottom"/>
              <w:rPr>
                <w:rFonts w:ascii="宋体" w:hAnsi="宋体"/>
                <w:b/>
                <w:bCs/>
                <w:sz w:val="22"/>
              </w:rPr>
            </w:pPr>
            <w:r>
              <w:rPr>
                <w:rFonts w:hint="eastAsia" w:ascii="宋体" w:hAnsi="宋体"/>
                <w:b/>
                <w:bCs/>
                <w:sz w:val="22"/>
              </w:rPr>
              <w:t>2、技术负责人1名；</w:t>
            </w:r>
          </w:p>
          <w:p>
            <w:pPr>
              <w:widowControl/>
              <w:tabs>
                <w:tab w:val="left" w:pos="540"/>
              </w:tabs>
              <w:autoSpaceDE w:val="0"/>
              <w:autoSpaceDN w:val="0"/>
              <w:adjustRightInd w:val="0"/>
              <w:snapToGrid w:val="0"/>
              <w:spacing w:line="300" w:lineRule="exact"/>
              <w:jc w:val="left"/>
              <w:textAlignment w:val="bottom"/>
              <w:rPr>
                <w:rFonts w:ascii="宋体" w:hAnsi="宋体"/>
                <w:b/>
                <w:bCs/>
                <w:sz w:val="22"/>
              </w:rPr>
            </w:pPr>
            <w:r>
              <w:rPr>
                <w:rFonts w:hint="eastAsia" w:ascii="宋体" w:hAnsi="宋体"/>
                <w:b/>
                <w:bCs/>
                <w:sz w:val="22"/>
              </w:rPr>
              <w:t>3、工程综合管理3名；</w:t>
            </w:r>
          </w:p>
        </w:tc>
        <w:tc>
          <w:tcPr>
            <w:tcW w:w="1276"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sz w:val="22"/>
                <w:szCs w:val="22"/>
              </w:rPr>
            </w:pPr>
            <w:r>
              <w:rPr>
                <w:rFonts w:hint="eastAsia" w:ascii="宋体" w:hAnsi="宋体"/>
                <w:sz w:val="22"/>
                <w:szCs w:val="22"/>
              </w:rPr>
              <w:t>4人</w:t>
            </w:r>
          </w:p>
        </w:tc>
        <w:tc>
          <w:tcPr>
            <w:tcW w:w="3028" w:type="dxa"/>
            <w:vAlign w:val="center"/>
          </w:tcPr>
          <w:p>
            <w:pPr>
              <w:widowControl/>
              <w:tabs>
                <w:tab w:val="left" w:pos="540"/>
              </w:tabs>
              <w:autoSpaceDE w:val="0"/>
              <w:autoSpaceDN w:val="0"/>
              <w:adjustRightInd w:val="0"/>
              <w:snapToGrid w:val="0"/>
              <w:spacing w:line="300" w:lineRule="exact"/>
              <w:jc w:val="left"/>
              <w:textAlignment w:val="bottom"/>
              <w:rPr>
                <w:rFonts w:ascii="宋体" w:hAnsi="宋体"/>
                <w:b/>
                <w:bCs/>
                <w:sz w:val="22"/>
              </w:rPr>
            </w:pPr>
            <w:bookmarkStart w:id="22" w:name="OLE_LINK1"/>
            <w:r>
              <w:rPr>
                <w:rFonts w:hint="eastAsia" w:ascii="宋体" w:hAnsi="宋体"/>
                <w:b/>
                <w:bCs/>
                <w:sz w:val="22"/>
              </w:rPr>
              <w:t xml:space="preserve">1、项目负责人、技术负责人具有水利专业中级或中级以上职称；            </w:t>
            </w:r>
          </w:p>
          <w:bookmarkEnd w:id="22"/>
          <w:p>
            <w:pPr>
              <w:widowControl/>
              <w:tabs>
                <w:tab w:val="left" w:pos="540"/>
              </w:tabs>
              <w:autoSpaceDE w:val="0"/>
              <w:autoSpaceDN w:val="0"/>
              <w:adjustRightInd w:val="0"/>
              <w:snapToGrid w:val="0"/>
              <w:spacing w:line="300" w:lineRule="exact"/>
              <w:jc w:val="left"/>
              <w:textAlignment w:val="bottom"/>
              <w:rPr>
                <w:rFonts w:ascii="宋体" w:hAnsi="宋体"/>
                <w:b/>
                <w:bCs/>
                <w:sz w:val="22"/>
                <w:szCs w:val="22"/>
              </w:rPr>
            </w:pPr>
            <w:bookmarkStart w:id="23" w:name="OLE_LINK3"/>
            <w:r>
              <w:rPr>
                <w:rFonts w:hint="eastAsia" w:ascii="宋体" w:hAnsi="宋体"/>
                <w:b/>
                <w:bCs/>
                <w:sz w:val="22"/>
                <w:szCs w:val="22"/>
              </w:rPr>
              <w:t>2、巡查人员需要水利专业助理工程师及以上职称或具有从事海塘工程工作经历三年及以上工作经历（提供工作经历的证明）；</w:t>
            </w:r>
            <w:bookmarkEnd w:id="23"/>
          </w:p>
          <w:p>
            <w:pPr>
              <w:widowControl/>
              <w:tabs>
                <w:tab w:val="left" w:pos="540"/>
              </w:tabs>
              <w:autoSpaceDE w:val="0"/>
              <w:autoSpaceDN w:val="0"/>
              <w:adjustRightInd w:val="0"/>
              <w:snapToGrid w:val="0"/>
              <w:spacing w:line="300" w:lineRule="exact"/>
              <w:jc w:val="left"/>
              <w:textAlignment w:val="bottom"/>
              <w:rPr>
                <w:rFonts w:ascii="宋体" w:hAnsi="宋体"/>
                <w:b/>
                <w:bCs/>
                <w:sz w:val="22"/>
                <w:szCs w:val="22"/>
              </w:rPr>
            </w:pPr>
            <w:r>
              <w:rPr>
                <w:rFonts w:hint="eastAsia" w:ascii="宋体" w:hAnsi="宋体"/>
                <w:b/>
                <w:bCs/>
                <w:sz w:val="22"/>
                <w:szCs w:val="22"/>
              </w:rPr>
              <w:t>3、综合管理人员要求：水利相关专业，大专以上学历或具有水利中级及以上职称，岗位相关工作由业主单位统筹安排。</w:t>
            </w:r>
          </w:p>
        </w:tc>
      </w:tr>
    </w:tbl>
    <w:p>
      <w:pPr>
        <w:spacing w:line="400" w:lineRule="exact"/>
        <w:ind w:firstLine="440" w:firstLineChars="200"/>
        <w:rPr>
          <w:sz w:val="22"/>
          <w:szCs w:val="22"/>
        </w:rPr>
      </w:pPr>
      <w:r>
        <w:rPr>
          <w:rFonts w:hint="eastAsia"/>
          <w:sz w:val="22"/>
          <w:szCs w:val="22"/>
        </w:rPr>
        <w:t>注：①标后人员如需进行调整需经采购人批准，经采购人同意更换后，如项目负责人更换一人一次扣罚1万元；其他项目组人员更换一人一次扣罚5000元；且更换后的人员要求不得低于原投标文件承诺的规定要求。</w:t>
      </w:r>
    </w:p>
    <w:p>
      <w:pPr>
        <w:spacing w:line="400" w:lineRule="exact"/>
        <w:ind w:firstLine="440" w:firstLineChars="200"/>
        <w:rPr>
          <w:sz w:val="22"/>
          <w:szCs w:val="22"/>
        </w:rPr>
      </w:pPr>
      <w:r>
        <w:rPr>
          <w:rFonts w:hint="eastAsia"/>
          <w:sz w:val="22"/>
          <w:szCs w:val="22"/>
        </w:rPr>
        <w:t>②▲提供以上人员（除巡查人员外）相关证书复印件（有关巡查人员复印件标后提供），标后采购单位有权对中标供应商提供原件进行核查，如发现人员不符，采购单位有权取消其中标资格。</w:t>
      </w:r>
    </w:p>
    <w:p>
      <w:pPr>
        <w:widowControl/>
        <w:tabs>
          <w:tab w:val="left" w:pos="540"/>
        </w:tabs>
        <w:autoSpaceDE w:val="0"/>
        <w:autoSpaceDN w:val="0"/>
        <w:adjustRightInd w:val="0"/>
        <w:snapToGrid w:val="0"/>
        <w:spacing w:line="400" w:lineRule="exact"/>
        <w:ind w:firstLine="442" w:firstLineChars="200"/>
        <w:textAlignment w:val="bottom"/>
        <w:rPr>
          <w:rFonts w:ascii="宋体" w:hAnsi="宋体"/>
          <w:b/>
          <w:sz w:val="22"/>
          <w:szCs w:val="22"/>
        </w:rPr>
      </w:pPr>
      <w:r>
        <w:rPr>
          <w:rFonts w:hint="eastAsia" w:ascii="宋体" w:hAnsi="宋体"/>
          <w:b/>
          <w:sz w:val="22"/>
          <w:szCs w:val="22"/>
        </w:rPr>
        <w:t>（3）水闸人员配备</w:t>
      </w:r>
    </w:p>
    <w:tbl>
      <w:tblPr>
        <w:tblStyle w:val="38"/>
        <w:tblW w:w="92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1666"/>
        <w:gridCol w:w="2237"/>
        <w:gridCol w:w="1906"/>
        <w:gridCol w:w="2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911"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sz w:val="22"/>
                <w:szCs w:val="22"/>
              </w:rPr>
            </w:pPr>
            <w:r>
              <w:rPr>
                <w:rFonts w:hint="eastAsia" w:ascii="宋体" w:hAnsi="宋体"/>
                <w:sz w:val="22"/>
                <w:szCs w:val="22"/>
              </w:rPr>
              <w:t>序号</w:t>
            </w:r>
          </w:p>
        </w:tc>
        <w:tc>
          <w:tcPr>
            <w:tcW w:w="1666"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sz w:val="22"/>
                <w:szCs w:val="22"/>
              </w:rPr>
            </w:pPr>
            <w:r>
              <w:rPr>
                <w:rFonts w:hint="eastAsia" w:ascii="宋体" w:hAnsi="宋体"/>
                <w:sz w:val="22"/>
                <w:szCs w:val="22"/>
              </w:rPr>
              <w:t>名  称</w:t>
            </w:r>
          </w:p>
        </w:tc>
        <w:tc>
          <w:tcPr>
            <w:tcW w:w="2237"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sz w:val="22"/>
                <w:szCs w:val="22"/>
              </w:rPr>
            </w:pPr>
            <w:r>
              <w:rPr>
                <w:rFonts w:hint="eastAsia" w:ascii="宋体" w:hAnsi="宋体"/>
                <w:sz w:val="22"/>
                <w:szCs w:val="22"/>
              </w:rPr>
              <w:t>管理人员</w:t>
            </w:r>
          </w:p>
        </w:tc>
        <w:tc>
          <w:tcPr>
            <w:tcW w:w="1906"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sz w:val="22"/>
                <w:szCs w:val="22"/>
              </w:rPr>
            </w:pPr>
            <w:r>
              <w:rPr>
                <w:rFonts w:hint="eastAsia" w:ascii="宋体" w:hAnsi="宋体"/>
                <w:sz w:val="22"/>
                <w:szCs w:val="22"/>
              </w:rPr>
              <w:t>管理运行人员（含巡查岗）</w:t>
            </w:r>
          </w:p>
        </w:tc>
        <w:tc>
          <w:tcPr>
            <w:tcW w:w="2558"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sz w:val="22"/>
                <w:szCs w:val="22"/>
              </w:rPr>
            </w:pPr>
            <w:r>
              <w:rPr>
                <w:rFonts w:hint="eastAsia" w:ascii="宋体" w:hAnsi="宋体"/>
                <w:sz w:val="22"/>
                <w:szCs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jc w:val="center"/>
        </w:trPr>
        <w:tc>
          <w:tcPr>
            <w:tcW w:w="911"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sz w:val="22"/>
                <w:szCs w:val="22"/>
              </w:rPr>
            </w:pPr>
            <w:r>
              <w:rPr>
                <w:rFonts w:hint="eastAsia" w:ascii="宋体" w:hAnsi="宋体"/>
                <w:sz w:val="22"/>
                <w:szCs w:val="22"/>
              </w:rPr>
              <w:t>1</w:t>
            </w:r>
          </w:p>
        </w:tc>
        <w:tc>
          <w:tcPr>
            <w:tcW w:w="1666" w:type="dxa"/>
            <w:vAlign w:val="center"/>
          </w:tcPr>
          <w:p>
            <w:pPr>
              <w:widowControl/>
              <w:jc w:val="center"/>
              <w:textAlignment w:val="center"/>
              <w:rPr>
                <w:rFonts w:ascii="宋体" w:hAnsi="宋体" w:cs="宋体"/>
                <w:kern w:val="0"/>
                <w:sz w:val="22"/>
                <w:szCs w:val="22"/>
              </w:rPr>
            </w:pPr>
            <w:r>
              <w:rPr>
                <w:rFonts w:hint="eastAsia" w:ascii="宋体" w:hAnsi="宋体" w:cs="宋体"/>
                <w:color w:val="000000"/>
                <w:kern w:val="0"/>
                <w:sz w:val="22"/>
              </w:rPr>
              <w:t>湖前水闸</w:t>
            </w:r>
          </w:p>
        </w:tc>
        <w:tc>
          <w:tcPr>
            <w:tcW w:w="2237"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sz w:val="22"/>
                <w:szCs w:val="22"/>
              </w:rPr>
            </w:pPr>
            <w:r>
              <w:rPr>
                <w:rFonts w:hint="eastAsia" w:ascii="宋体" w:hAnsi="宋体"/>
                <w:sz w:val="22"/>
                <w:szCs w:val="22"/>
              </w:rPr>
              <w:t>1、工程综合管理1名；</w:t>
            </w:r>
          </w:p>
          <w:p>
            <w:pPr>
              <w:widowControl/>
              <w:tabs>
                <w:tab w:val="left" w:pos="540"/>
              </w:tabs>
              <w:autoSpaceDE w:val="0"/>
              <w:autoSpaceDN w:val="0"/>
              <w:adjustRightInd w:val="0"/>
              <w:snapToGrid w:val="0"/>
              <w:spacing w:line="400" w:lineRule="exact"/>
              <w:jc w:val="center"/>
              <w:textAlignment w:val="bottom"/>
              <w:rPr>
                <w:rFonts w:ascii="宋体" w:hAnsi="宋体" w:cs="宋体"/>
                <w:kern w:val="0"/>
                <w:sz w:val="22"/>
                <w:szCs w:val="22"/>
              </w:rPr>
            </w:pPr>
          </w:p>
        </w:tc>
        <w:tc>
          <w:tcPr>
            <w:tcW w:w="1906"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sz w:val="22"/>
                <w:szCs w:val="22"/>
              </w:rPr>
            </w:pPr>
            <w:r>
              <w:rPr>
                <w:rFonts w:hint="eastAsia" w:ascii="宋体" w:hAnsi="宋体"/>
                <w:sz w:val="22"/>
                <w:szCs w:val="22"/>
              </w:rPr>
              <w:t>3人（其中一人必须具备电工证）</w:t>
            </w:r>
          </w:p>
        </w:tc>
        <w:tc>
          <w:tcPr>
            <w:tcW w:w="2558" w:type="dxa"/>
            <w:vAlign w:val="center"/>
          </w:tcPr>
          <w:p>
            <w:pPr>
              <w:widowControl/>
              <w:numPr>
                <w:ilvl w:val="0"/>
                <w:numId w:val="3"/>
              </w:numPr>
              <w:tabs>
                <w:tab w:val="left" w:pos="540"/>
              </w:tabs>
              <w:autoSpaceDE w:val="0"/>
              <w:autoSpaceDN w:val="0"/>
              <w:adjustRightInd w:val="0"/>
              <w:snapToGrid w:val="0"/>
              <w:spacing w:line="400" w:lineRule="exact"/>
              <w:jc w:val="left"/>
              <w:textAlignment w:val="bottom"/>
              <w:rPr>
                <w:rFonts w:ascii="宋体" w:hAnsi="宋体"/>
                <w:b/>
                <w:bCs/>
                <w:sz w:val="22"/>
                <w:szCs w:val="22"/>
              </w:rPr>
            </w:pPr>
            <w:r>
              <w:rPr>
                <w:rFonts w:hint="eastAsia" w:ascii="宋体" w:hAnsi="宋体"/>
                <w:b/>
                <w:bCs/>
                <w:sz w:val="22"/>
                <w:szCs w:val="22"/>
              </w:rPr>
              <w:t>综合管理人员要求：水利相关专业，大专以上学历或具有水利中级及以上职称，岗位相关工作由业主单位统筹安排。</w:t>
            </w:r>
          </w:p>
          <w:p>
            <w:pPr>
              <w:widowControl/>
              <w:tabs>
                <w:tab w:val="left" w:pos="540"/>
              </w:tabs>
              <w:autoSpaceDE w:val="0"/>
              <w:autoSpaceDN w:val="0"/>
              <w:adjustRightInd w:val="0"/>
              <w:snapToGrid w:val="0"/>
              <w:spacing w:line="400" w:lineRule="exact"/>
              <w:jc w:val="left"/>
              <w:textAlignment w:val="bottom"/>
              <w:rPr>
                <w:rFonts w:ascii="宋体" w:hAnsi="宋体"/>
                <w:sz w:val="20"/>
                <w:szCs w:val="16"/>
              </w:rPr>
            </w:pPr>
            <w:r>
              <w:rPr>
                <w:rFonts w:hint="eastAsia" w:ascii="宋体" w:hAnsi="宋体"/>
                <w:b/>
                <w:bCs/>
                <w:sz w:val="22"/>
                <w:szCs w:val="22"/>
              </w:rPr>
              <w:t>2、管理运行人员：3名都须具有水闸运行工证书；</w:t>
            </w:r>
          </w:p>
        </w:tc>
      </w:tr>
    </w:tbl>
    <w:p>
      <w:pPr>
        <w:spacing w:line="400" w:lineRule="exact"/>
        <w:ind w:firstLine="440" w:firstLineChars="200"/>
        <w:rPr>
          <w:sz w:val="22"/>
          <w:szCs w:val="22"/>
        </w:rPr>
      </w:pPr>
      <w:r>
        <w:rPr>
          <w:rFonts w:hint="eastAsia"/>
          <w:sz w:val="22"/>
          <w:szCs w:val="22"/>
        </w:rPr>
        <w:t>注：①标后人员如需进行调整需经采购人批准，经采购人同意更换后，如项目负责人更换一人一次扣罚1万元；其他项目组人员更换一人一次扣罚5000元；且更换后的人员要求不得低于原投标文件承诺的规定要求。</w:t>
      </w:r>
    </w:p>
    <w:p>
      <w:pPr>
        <w:spacing w:line="400" w:lineRule="exact"/>
        <w:ind w:firstLine="440" w:firstLineChars="200"/>
        <w:rPr>
          <w:sz w:val="22"/>
          <w:szCs w:val="22"/>
        </w:rPr>
      </w:pPr>
      <w:r>
        <w:rPr>
          <w:rFonts w:hint="eastAsia"/>
          <w:sz w:val="22"/>
          <w:szCs w:val="22"/>
        </w:rPr>
        <w:t>②闸门、启闭机等设备操作过程中，必须有2个及以上的闸门运行岗位人员在场，同时应满足水闸上下游检查、巡视等岗位人员同步在岗的要求；闸门等设备运行过程中，必须有 2 个及以上的闸门运行岗位人员在现场不间断值守。</w:t>
      </w:r>
    </w:p>
    <w:p>
      <w:pPr>
        <w:spacing w:line="400" w:lineRule="exact"/>
        <w:ind w:firstLine="440" w:firstLineChars="200"/>
        <w:rPr>
          <w:sz w:val="22"/>
          <w:szCs w:val="22"/>
        </w:rPr>
      </w:pPr>
      <w:r>
        <w:rPr>
          <w:rFonts w:hint="eastAsia"/>
          <w:sz w:val="22"/>
          <w:szCs w:val="22"/>
        </w:rPr>
        <w:t>③▲</w:t>
      </w:r>
      <w:r>
        <w:rPr>
          <w:rFonts w:hint="eastAsia"/>
          <w:b/>
          <w:bCs/>
          <w:sz w:val="22"/>
          <w:szCs w:val="22"/>
        </w:rPr>
        <w:t>项目成员最低配置：上述表格为人员及资格最低要求配置，以上人员需提供原件及与投标单位签订的劳动合同书原件，由磋商小组审查。投标时未按成员最低配置要求提供及提供原件的，作废标处理。</w:t>
      </w:r>
    </w:p>
    <w:p>
      <w:pPr>
        <w:spacing w:line="400" w:lineRule="exact"/>
        <w:ind w:firstLine="442" w:firstLineChars="200"/>
        <w:rPr>
          <w:b/>
          <w:sz w:val="22"/>
          <w:szCs w:val="22"/>
        </w:rPr>
      </w:pPr>
      <w:r>
        <w:rPr>
          <w:rFonts w:hint="eastAsia"/>
          <w:b/>
          <w:sz w:val="22"/>
          <w:szCs w:val="22"/>
        </w:rPr>
        <w:t>④本项目人员配备数量不变；因项目所在地不同，标后业主可根据实际需要和实际情况进行相关调整。</w:t>
      </w:r>
    </w:p>
    <w:p>
      <w:pPr>
        <w:widowControl/>
        <w:tabs>
          <w:tab w:val="left" w:pos="540"/>
        </w:tabs>
        <w:autoSpaceDE w:val="0"/>
        <w:autoSpaceDN w:val="0"/>
        <w:adjustRightInd w:val="0"/>
        <w:snapToGrid w:val="0"/>
        <w:spacing w:line="400" w:lineRule="exact"/>
        <w:textAlignment w:val="bottom"/>
        <w:rPr>
          <w:rFonts w:ascii="宋体" w:hAnsi="宋体"/>
          <w:b/>
          <w:bCs/>
          <w:sz w:val="22"/>
          <w:szCs w:val="22"/>
        </w:rPr>
      </w:pPr>
      <w:r>
        <w:rPr>
          <w:rFonts w:hint="eastAsia" w:ascii="宋体" w:hAnsi="宋体"/>
          <w:b/>
          <w:bCs/>
          <w:sz w:val="22"/>
          <w:szCs w:val="22"/>
        </w:rPr>
        <w:t>（四）人员职责、工作地点以及人员到位率</w:t>
      </w:r>
    </w:p>
    <w:p>
      <w:pPr>
        <w:widowControl/>
        <w:tabs>
          <w:tab w:val="left" w:pos="540"/>
        </w:tabs>
        <w:autoSpaceDE w:val="0"/>
        <w:autoSpaceDN w:val="0"/>
        <w:adjustRightInd w:val="0"/>
        <w:snapToGrid w:val="0"/>
        <w:spacing w:line="400" w:lineRule="exact"/>
        <w:ind w:firstLine="442" w:firstLineChars="200"/>
        <w:textAlignment w:val="bottom"/>
        <w:rPr>
          <w:rFonts w:ascii="宋体"/>
          <w:b/>
          <w:sz w:val="22"/>
          <w:szCs w:val="22"/>
        </w:rPr>
      </w:pPr>
      <w:r>
        <w:rPr>
          <w:rFonts w:hint="eastAsia" w:ascii="宋体" w:hAnsi="宋体"/>
          <w:b/>
          <w:bCs/>
          <w:sz w:val="22"/>
          <w:szCs w:val="22"/>
        </w:rPr>
        <w:t>（1）本项目人员职责需符合</w:t>
      </w:r>
      <w:r>
        <w:rPr>
          <w:rFonts w:hint="eastAsia" w:ascii="宋体"/>
          <w:b/>
          <w:sz w:val="22"/>
          <w:szCs w:val="22"/>
        </w:rPr>
        <w:t>《浙江省大中型水闸工程运行管理规程》、《浙江省海塘工程运行管理规程》以及</w:t>
      </w:r>
      <w:r>
        <w:rPr>
          <w:rFonts w:hint="eastAsia" w:ascii="宋体"/>
          <w:b/>
          <w:sz w:val="24"/>
          <w:szCs w:val="44"/>
        </w:rPr>
        <w:t>龙港市农业农村局编制的管理手册</w:t>
      </w:r>
      <w:r>
        <w:rPr>
          <w:rFonts w:hint="eastAsia" w:ascii="宋体"/>
          <w:b/>
          <w:sz w:val="22"/>
          <w:szCs w:val="22"/>
        </w:rPr>
        <w:t>等规程要求。</w:t>
      </w:r>
    </w:p>
    <w:p>
      <w:pPr>
        <w:widowControl/>
        <w:tabs>
          <w:tab w:val="left" w:pos="540"/>
        </w:tabs>
        <w:autoSpaceDE w:val="0"/>
        <w:autoSpaceDN w:val="0"/>
        <w:adjustRightInd w:val="0"/>
        <w:snapToGrid w:val="0"/>
        <w:spacing w:line="400" w:lineRule="exact"/>
        <w:ind w:firstLine="442" w:firstLineChars="200"/>
        <w:textAlignment w:val="bottom"/>
        <w:rPr>
          <w:rFonts w:ascii="宋体" w:hAnsi="宋体"/>
          <w:b/>
          <w:color w:val="000000"/>
          <w:sz w:val="22"/>
          <w:szCs w:val="22"/>
        </w:rPr>
      </w:pPr>
      <w:r>
        <w:rPr>
          <w:rFonts w:hint="eastAsia" w:ascii="宋体" w:hAnsi="宋体"/>
          <w:b/>
          <w:color w:val="000000"/>
          <w:sz w:val="22"/>
          <w:szCs w:val="22"/>
        </w:rPr>
        <w:t>主要职责：</w:t>
      </w:r>
    </w:p>
    <w:p>
      <w:pPr>
        <w:widowControl/>
        <w:numPr>
          <w:ilvl w:val="0"/>
          <w:numId w:val="4"/>
        </w:numPr>
        <w:tabs>
          <w:tab w:val="left" w:pos="540"/>
        </w:tabs>
        <w:autoSpaceDE w:val="0"/>
        <w:autoSpaceDN w:val="0"/>
        <w:adjustRightInd w:val="0"/>
        <w:snapToGrid w:val="0"/>
        <w:spacing w:line="400" w:lineRule="exact"/>
        <w:ind w:firstLine="442" w:firstLineChars="200"/>
        <w:textAlignment w:val="bottom"/>
      </w:pPr>
      <w:r>
        <w:rPr>
          <w:rFonts w:hint="eastAsia" w:ascii="宋体" w:hAnsi="宋体"/>
          <w:b/>
          <w:color w:val="000000"/>
          <w:sz w:val="22"/>
          <w:szCs w:val="22"/>
        </w:rPr>
        <w:t>水闸：</w:t>
      </w:r>
    </w:p>
    <w:tbl>
      <w:tblPr>
        <w:tblStyle w:val="39"/>
        <w:tblW w:w="96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
        <w:gridCol w:w="1201"/>
        <w:gridCol w:w="1280"/>
        <w:gridCol w:w="5660"/>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序号</w:t>
            </w:r>
          </w:p>
        </w:tc>
        <w:tc>
          <w:tcPr>
            <w:tcW w:w="1201"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b/>
                <w:sz w:val="22"/>
                <w:szCs w:val="22"/>
              </w:rPr>
              <w:t>岗位类别</w:t>
            </w:r>
          </w:p>
        </w:tc>
        <w:tc>
          <w:tcPr>
            <w:tcW w:w="1280"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岗位名称</w:t>
            </w:r>
          </w:p>
        </w:tc>
        <w:tc>
          <w:tcPr>
            <w:tcW w:w="5660"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主要管理事项</w:t>
            </w:r>
          </w:p>
        </w:tc>
        <w:tc>
          <w:tcPr>
            <w:tcW w:w="896"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1</w:t>
            </w:r>
          </w:p>
        </w:tc>
        <w:tc>
          <w:tcPr>
            <w:tcW w:w="1201"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单位负责类</w:t>
            </w:r>
          </w:p>
        </w:tc>
        <w:tc>
          <w:tcPr>
            <w:tcW w:w="1280"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单位负责岗位（项目负责人）</w:t>
            </w:r>
          </w:p>
        </w:tc>
        <w:tc>
          <w:tcPr>
            <w:tcW w:w="5660" w:type="dxa"/>
            <w:vAlign w:val="center"/>
          </w:tcPr>
          <w:p>
            <w:pPr>
              <w:adjustRightInd w:val="0"/>
              <w:snapToGrid w:val="0"/>
              <w:spacing w:line="360" w:lineRule="auto"/>
              <w:ind w:firstLine="420" w:firstLineChars="200"/>
              <w:rPr>
                <w:rFonts w:ascii="宋体" w:hAnsi="宋体"/>
              </w:rPr>
            </w:pPr>
            <w:r>
              <w:rPr>
                <w:rFonts w:hint="eastAsia" w:ascii="宋体" w:hAnsi="宋体"/>
              </w:rPr>
              <w:t>根据水利部颁发标准和《浙江省小型水库运行管理规程》、《浙江省山塘运行管理规程》、《浙江省堤防工程维修养护管理规程》、《浙江省海塘工程运行管理规程（试行）》以及龙港市农业农村局编制的管理手册等相关进行管理。主要有以下几点管理事项（包含但不限于）：</w:t>
            </w:r>
          </w:p>
          <w:p>
            <w:pPr>
              <w:adjustRightInd w:val="0"/>
              <w:snapToGrid w:val="0"/>
              <w:spacing w:line="360" w:lineRule="auto"/>
              <w:ind w:firstLine="420" w:firstLineChars="200"/>
              <w:rPr>
                <w:rFonts w:ascii="宋体" w:hAnsi="宋体"/>
              </w:rPr>
            </w:pPr>
            <w:r>
              <w:rPr>
                <w:rFonts w:hint="eastAsia" w:ascii="宋体" w:hAnsi="宋体"/>
              </w:rPr>
              <w:t>全面负责物业管理业务工作，保障防洪度汛和工程运行安全，充分发挥工程效益；建立健全各项规章制度，不断提高运行管理水平；推动科技进步和管理创新，加强职工教育，提高职工队伍素质；组织制定工程技术改造方案和养护修理计划；协调处理各种关系；完成采购人交办的其他有关运行管理规程中要求的事项。</w:t>
            </w:r>
          </w:p>
        </w:tc>
        <w:tc>
          <w:tcPr>
            <w:tcW w:w="896"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2</w:t>
            </w:r>
          </w:p>
        </w:tc>
        <w:tc>
          <w:tcPr>
            <w:tcW w:w="1201"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综合</w:t>
            </w:r>
          </w:p>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管理岗</w:t>
            </w:r>
          </w:p>
        </w:tc>
        <w:tc>
          <w:tcPr>
            <w:tcW w:w="1280"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综合</w:t>
            </w:r>
          </w:p>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管理岗位</w:t>
            </w:r>
          </w:p>
        </w:tc>
        <w:tc>
          <w:tcPr>
            <w:tcW w:w="5660" w:type="dxa"/>
            <w:vAlign w:val="center"/>
          </w:tcPr>
          <w:p>
            <w:pPr>
              <w:adjustRightInd w:val="0"/>
              <w:snapToGrid w:val="0"/>
              <w:spacing w:line="360" w:lineRule="auto"/>
              <w:rPr>
                <w:rFonts w:ascii="宋体" w:hAnsi="宋体"/>
                <w:b/>
                <w:bCs/>
                <w:szCs w:val="22"/>
              </w:rPr>
            </w:pPr>
            <w:r>
              <w:rPr>
                <w:rFonts w:hint="eastAsia" w:ascii="宋体" w:hAnsi="宋体"/>
                <w:b/>
                <w:bCs/>
                <w:szCs w:val="22"/>
              </w:rPr>
              <w:t>主要职责：</w:t>
            </w:r>
            <w:r>
              <w:rPr>
                <w:rFonts w:hint="eastAsia" w:ascii="宋体" w:hAnsi="宋体"/>
                <w:szCs w:val="22"/>
              </w:rPr>
              <w:t>（1）贯彻执行国家的有关法律、法规、方针政策及上级主管部门的决定、指令。 （2）全面负责水闸闸区管理、行政管理、工程管理、防汛调度、安全生产、教育培训等工作。 （3）建立健全各项规章制度，不断提高管理水平。（4）指导督促物业化管理人员开展运行管理工作，对物业化管理进行监督考核。（5）协调处理各种关系，完成上级交办的其他工作。</w:t>
            </w:r>
          </w:p>
          <w:p>
            <w:pPr>
              <w:adjustRightInd w:val="0"/>
              <w:snapToGrid w:val="0"/>
              <w:spacing w:line="360" w:lineRule="auto"/>
              <w:rPr>
                <w:rFonts w:ascii="宋体" w:hAnsi="宋体"/>
              </w:rPr>
            </w:pPr>
            <w:r>
              <w:rPr>
                <w:rFonts w:hint="eastAsia" w:ascii="宋体" w:hAnsi="宋体"/>
                <w:b/>
                <w:bCs/>
                <w:szCs w:val="22"/>
              </w:rPr>
              <w:t>管理事项：</w:t>
            </w:r>
            <w:r>
              <w:rPr>
                <w:rFonts w:hint="eastAsia" w:ascii="宋体" w:hAnsi="宋体"/>
                <w:szCs w:val="22"/>
              </w:rPr>
              <w:t>行政管理、水闸注册登记、水闸安全技术鉴定、水闸控制运用计划的编制（委托）与上报、水闸防汛应急预案的编制与上报、水闸维修养护计划审定、制度建设、防汛物资采购计划编制与上报、物业化管理考核、教育培训、拟定调度方案、接收上级调度指令并合理调度</w:t>
            </w:r>
            <w:r>
              <w:rPr>
                <w:rFonts w:hint="eastAsia" w:ascii="宋体" w:hAnsi="宋体"/>
              </w:rPr>
              <w:t>等。</w:t>
            </w:r>
          </w:p>
        </w:tc>
        <w:tc>
          <w:tcPr>
            <w:tcW w:w="896"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3</w:t>
            </w:r>
          </w:p>
        </w:tc>
        <w:tc>
          <w:tcPr>
            <w:tcW w:w="1201"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控制运行类</w:t>
            </w:r>
          </w:p>
        </w:tc>
        <w:tc>
          <w:tcPr>
            <w:tcW w:w="1280"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控制运行岗</w:t>
            </w:r>
          </w:p>
        </w:tc>
        <w:tc>
          <w:tcPr>
            <w:tcW w:w="5660" w:type="dxa"/>
            <w:vAlign w:val="center"/>
          </w:tcPr>
          <w:p>
            <w:pPr>
              <w:adjustRightInd w:val="0"/>
              <w:snapToGrid w:val="0"/>
              <w:spacing w:line="360" w:lineRule="auto"/>
              <w:rPr>
                <w:rFonts w:ascii="宋体" w:hAnsi="宋体"/>
                <w:b/>
                <w:bCs/>
                <w:szCs w:val="22"/>
              </w:rPr>
            </w:pPr>
            <w:r>
              <w:rPr>
                <w:rFonts w:hint="eastAsia" w:ascii="宋体" w:hAnsi="宋体"/>
                <w:b/>
                <w:bCs/>
                <w:szCs w:val="22"/>
              </w:rPr>
              <w:t>主要职责：</w:t>
            </w:r>
            <w:r>
              <w:rPr>
                <w:rFonts w:hint="eastAsia" w:ascii="宋体" w:hAnsi="宋体"/>
                <w:szCs w:val="22"/>
              </w:rPr>
              <w:t>（1）负责水雨情监测及防汛值班工作。（2）负责水闸放水前检查及预警工作。（3）严格按调度指令进行闸门操作。（4）填写运行值班记录。（5）其他相关工作。</w:t>
            </w:r>
          </w:p>
          <w:p>
            <w:pPr>
              <w:adjustRightInd w:val="0"/>
              <w:snapToGrid w:val="0"/>
              <w:spacing w:line="360" w:lineRule="auto"/>
              <w:rPr>
                <w:rFonts w:ascii="宋体" w:hAnsi="宋体"/>
                <w:b/>
                <w:bCs/>
                <w:szCs w:val="22"/>
              </w:rPr>
            </w:pPr>
            <w:r>
              <w:rPr>
                <w:rFonts w:hint="eastAsia" w:ascii="宋体" w:hAnsi="宋体"/>
                <w:b/>
                <w:bCs/>
                <w:szCs w:val="22"/>
              </w:rPr>
              <w:t>管理事项：</w:t>
            </w:r>
            <w:r>
              <w:rPr>
                <w:rFonts w:hint="eastAsia" w:ascii="宋体" w:hAnsi="宋体"/>
                <w:szCs w:val="22"/>
              </w:rPr>
              <w:t>水雨情监测、防汛值班并记录、调度指令执行、放水前检查、放水预警、闸门操作、调度总结等。</w:t>
            </w:r>
          </w:p>
        </w:tc>
        <w:tc>
          <w:tcPr>
            <w:tcW w:w="896"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4</w:t>
            </w:r>
          </w:p>
        </w:tc>
        <w:tc>
          <w:tcPr>
            <w:tcW w:w="1201"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安全生产管理类</w:t>
            </w:r>
          </w:p>
        </w:tc>
        <w:tc>
          <w:tcPr>
            <w:tcW w:w="1280"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安全生产管理岗</w:t>
            </w:r>
          </w:p>
        </w:tc>
        <w:tc>
          <w:tcPr>
            <w:tcW w:w="5660" w:type="dxa"/>
            <w:vAlign w:val="center"/>
          </w:tcPr>
          <w:p>
            <w:pPr>
              <w:adjustRightInd w:val="0"/>
              <w:snapToGrid w:val="0"/>
              <w:spacing w:line="360" w:lineRule="auto"/>
              <w:rPr>
                <w:rFonts w:ascii="宋体" w:hAnsi="宋体"/>
                <w:b/>
                <w:bCs/>
                <w:szCs w:val="22"/>
              </w:rPr>
            </w:pPr>
            <w:r>
              <w:rPr>
                <w:rFonts w:hint="eastAsia" w:ascii="宋体" w:hAnsi="宋体"/>
                <w:b/>
                <w:bCs/>
                <w:szCs w:val="22"/>
              </w:rPr>
              <w:t>主要职责：</w:t>
            </w:r>
            <w:r>
              <w:rPr>
                <w:rFonts w:hint="eastAsia" w:ascii="宋体" w:hAnsi="宋体"/>
                <w:szCs w:val="22"/>
              </w:rPr>
              <w:t>（1）遵守国家有关安全生产的法律、法规和相关技术标准。（2）负责本水闸的安全生产管理与监督工作。（3）参与水闸防汛应急预案的编制并组织防汛应急预案演练（观摩）。（4）协助控制运行岗进行水闸放水前检查及预警工作。（5）承担安全生产教育工作。（6）其它相关工作。</w:t>
            </w:r>
          </w:p>
          <w:p>
            <w:pPr>
              <w:adjustRightInd w:val="0"/>
              <w:snapToGrid w:val="0"/>
              <w:spacing w:line="360" w:lineRule="auto"/>
              <w:rPr>
                <w:rFonts w:ascii="宋体" w:hAnsi="宋体"/>
                <w:b/>
                <w:bCs/>
                <w:szCs w:val="22"/>
              </w:rPr>
            </w:pPr>
            <w:r>
              <w:rPr>
                <w:rFonts w:hint="eastAsia" w:ascii="宋体" w:hAnsi="宋体"/>
                <w:b/>
                <w:bCs/>
                <w:szCs w:val="22"/>
              </w:rPr>
              <w:t>管理事项：</w:t>
            </w:r>
            <w:r>
              <w:rPr>
                <w:rFonts w:hint="eastAsia" w:ascii="宋体" w:hAnsi="宋体"/>
                <w:szCs w:val="22"/>
              </w:rPr>
              <w:t>参与编制水闸防汛应急预案、负责本水闸的安全生产管理与监督工作、落实安全管理制度、应急预案演练（观摩）、安全生产教育等。</w:t>
            </w:r>
          </w:p>
        </w:tc>
        <w:tc>
          <w:tcPr>
            <w:tcW w:w="896"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5</w:t>
            </w:r>
          </w:p>
        </w:tc>
        <w:tc>
          <w:tcPr>
            <w:tcW w:w="1201"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维修养护类</w:t>
            </w:r>
          </w:p>
        </w:tc>
        <w:tc>
          <w:tcPr>
            <w:tcW w:w="1280"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维修养护岗位</w:t>
            </w:r>
          </w:p>
        </w:tc>
        <w:tc>
          <w:tcPr>
            <w:tcW w:w="5660" w:type="dxa"/>
            <w:vAlign w:val="center"/>
          </w:tcPr>
          <w:p>
            <w:pPr>
              <w:adjustRightInd w:val="0"/>
              <w:snapToGrid w:val="0"/>
              <w:spacing w:line="360" w:lineRule="auto"/>
              <w:rPr>
                <w:rFonts w:ascii="宋体" w:hAnsi="宋体"/>
              </w:rPr>
            </w:pPr>
            <w:r>
              <w:rPr>
                <w:rFonts w:hint="eastAsia" w:ascii="宋体" w:hAnsi="宋体"/>
              </w:rPr>
              <w:t>负责管理范围内的日常养护工程的养护工作；主体工程维修养护、闸门维修养护、启闭机维修养护、附属实施维修养护；整理维修养护相关成果资料及资料归档；完成采购人交办的其他有关运行管理规程中要求的事项。</w:t>
            </w:r>
          </w:p>
          <w:p>
            <w:pPr>
              <w:adjustRightInd w:val="0"/>
              <w:snapToGrid w:val="0"/>
              <w:spacing w:line="360" w:lineRule="auto"/>
              <w:rPr>
                <w:rFonts w:ascii="宋体" w:hAnsi="宋体"/>
              </w:rPr>
            </w:pPr>
            <w:r>
              <w:rPr>
                <w:rFonts w:hint="eastAsia" w:ascii="宋体" w:hAnsi="宋体"/>
                <w:b/>
                <w:bCs/>
                <w:szCs w:val="22"/>
              </w:rPr>
              <w:t>主要职责：</w:t>
            </w:r>
            <w:r>
              <w:rPr>
                <w:rFonts w:hint="eastAsia" w:ascii="宋体" w:hAnsi="宋体"/>
              </w:rPr>
              <w:t>（1）负责维修养护计划的编制。（2）负责主体工程、金属结构、管理设施的维修养护工作。（3）工程维修养护有关资料的收集、整理、归档。（4）其他相关工作。</w:t>
            </w:r>
          </w:p>
          <w:p>
            <w:pPr>
              <w:adjustRightInd w:val="0"/>
              <w:snapToGrid w:val="0"/>
              <w:spacing w:line="360" w:lineRule="auto"/>
              <w:rPr>
                <w:rFonts w:ascii="宋体" w:hAnsi="宋体"/>
                <w:b/>
                <w:bCs/>
                <w:szCs w:val="22"/>
              </w:rPr>
            </w:pPr>
            <w:r>
              <w:rPr>
                <w:rFonts w:hint="eastAsia" w:ascii="宋体" w:hAnsi="宋体"/>
                <w:b/>
                <w:bCs/>
                <w:szCs w:val="22"/>
              </w:rPr>
              <w:t>管理事项：</w:t>
            </w:r>
            <w:r>
              <w:rPr>
                <w:rFonts w:hint="eastAsia" w:ascii="宋体" w:hAnsi="宋体"/>
                <w:szCs w:val="22"/>
              </w:rPr>
              <w:t>维修养护计划编制、主体工程维修养护、金属结构维修养护、管理设施维修养护等。</w:t>
            </w:r>
          </w:p>
        </w:tc>
        <w:tc>
          <w:tcPr>
            <w:tcW w:w="896"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6</w:t>
            </w:r>
          </w:p>
        </w:tc>
        <w:tc>
          <w:tcPr>
            <w:tcW w:w="1201"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档案管理类</w:t>
            </w:r>
          </w:p>
        </w:tc>
        <w:tc>
          <w:tcPr>
            <w:tcW w:w="1280"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档案管理岗位</w:t>
            </w:r>
          </w:p>
        </w:tc>
        <w:tc>
          <w:tcPr>
            <w:tcW w:w="5660" w:type="dxa"/>
            <w:vAlign w:val="center"/>
          </w:tcPr>
          <w:p>
            <w:pPr>
              <w:adjustRightInd w:val="0"/>
              <w:snapToGrid w:val="0"/>
              <w:spacing w:line="360" w:lineRule="auto"/>
              <w:rPr>
                <w:rFonts w:ascii="宋体" w:hAnsi="宋体"/>
              </w:rPr>
            </w:pPr>
            <w:r>
              <w:rPr>
                <w:rFonts w:hint="eastAsia" w:ascii="宋体" w:hAnsi="宋体"/>
              </w:rPr>
              <w:t>负责运行管理资料的归档、借阅、整理、销毁等一系列方案管理；完成采购人交办的其他有关运行管理规程中要求的事项。</w:t>
            </w:r>
          </w:p>
          <w:p>
            <w:pPr>
              <w:adjustRightInd w:val="0"/>
              <w:snapToGrid w:val="0"/>
              <w:spacing w:line="360" w:lineRule="auto"/>
              <w:rPr>
                <w:rFonts w:ascii="宋体" w:hAnsi="宋体"/>
              </w:rPr>
            </w:pPr>
            <w:r>
              <w:rPr>
                <w:rFonts w:hint="eastAsia" w:ascii="宋体" w:hAnsi="宋体"/>
              </w:rPr>
              <w:t>主要职责：（1）负责日常档案资料的接收、整编和保管工作。（2）其他相关工作。</w:t>
            </w:r>
          </w:p>
          <w:p>
            <w:pPr>
              <w:adjustRightInd w:val="0"/>
              <w:snapToGrid w:val="0"/>
              <w:spacing w:line="360" w:lineRule="auto"/>
              <w:rPr>
                <w:rFonts w:ascii="宋体" w:hAnsi="宋体"/>
              </w:rPr>
            </w:pPr>
            <w:r>
              <w:rPr>
                <w:rFonts w:hint="eastAsia" w:ascii="宋体" w:hAnsi="宋体"/>
                <w:b/>
                <w:bCs/>
                <w:szCs w:val="22"/>
              </w:rPr>
              <w:t>管理事项：</w:t>
            </w:r>
            <w:r>
              <w:rPr>
                <w:rFonts w:hint="eastAsia" w:ascii="宋体" w:hAnsi="宋体"/>
              </w:rPr>
              <w:t>日常档案接收、日常档案整编、日常档案保管等。</w:t>
            </w:r>
          </w:p>
        </w:tc>
        <w:tc>
          <w:tcPr>
            <w:tcW w:w="896"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7</w:t>
            </w:r>
          </w:p>
        </w:tc>
        <w:tc>
          <w:tcPr>
            <w:tcW w:w="1201"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防汛物资管理类</w:t>
            </w:r>
          </w:p>
        </w:tc>
        <w:tc>
          <w:tcPr>
            <w:tcW w:w="1280"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防汛物资管理岗位</w:t>
            </w:r>
          </w:p>
        </w:tc>
        <w:tc>
          <w:tcPr>
            <w:tcW w:w="5660" w:type="dxa"/>
            <w:vAlign w:val="center"/>
          </w:tcPr>
          <w:p>
            <w:pPr>
              <w:adjustRightInd w:val="0"/>
              <w:snapToGrid w:val="0"/>
              <w:spacing w:line="360" w:lineRule="auto"/>
              <w:rPr>
                <w:rFonts w:ascii="宋体" w:hAnsi="宋体"/>
              </w:rPr>
            </w:pPr>
            <w:r>
              <w:rPr>
                <w:rFonts w:hint="eastAsia" w:ascii="宋体" w:hAnsi="宋体"/>
              </w:rPr>
              <w:t>负责防汛物资的存放与日常保养工作，做好防火、防盗、防腐等安全防范措施，记载好各类防汛物资的详细信息；做好储备物资的进（出）、更新、报废等台帐记录工作；完成采购人交办的其他有关运行管理规程中要求的事项。</w:t>
            </w:r>
          </w:p>
        </w:tc>
        <w:tc>
          <w:tcPr>
            <w:tcW w:w="896"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8</w:t>
            </w:r>
          </w:p>
        </w:tc>
        <w:tc>
          <w:tcPr>
            <w:tcW w:w="1201"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信息化管理类</w:t>
            </w:r>
          </w:p>
        </w:tc>
        <w:tc>
          <w:tcPr>
            <w:tcW w:w="1280"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信息化管理岗位</w:t>
            </w:r>
          </w:p>
        </w:tc>
        <w:tc>
          <w:tcPr>
            <w:tcW w:w="5660" w:type="dxa"/>
            <w:vAlign w:val="center"/>
          </w:tcPr>
          <w:p>
            <w:pPr>
              <w:adjustRightInd w:val="0"/>
              <w:snapToGrid w:val="0"/>
              <w:spacing w:line="360" w:lineRule="auto"/>
              <w:rPr>
                <w:rFonts w:ascii="宋体" w:hAnsi="宋体"/>
              </w:rPr>
            </w:pPr>
            <w:r>
              <w:rPr>
                <w:rFonts w:hint="eastAsia" w:ascii="宋体" w:hAnsi="宋体"/>
                <w:b/>
                <w:bCs/>
                <w:szCs w:val="22"/>
              </w:rPr>
              <w:t>主要职责：</w:t>
            </w:r>
            <w:r>
              <w:rPr>
                <w:rFonts w:hint="eastAsia" w:ascii="宋体" w:hAnsi="宋体"/>
              </w:rPr>
              <w:t>（1）负责工程电子台账信息的录入和保存。（2）负责监控管理。（3）负责信息化系统的日常操作。（4）其他相关工作</w:t>
            </w:r>
          </w:p>
          <w:p>
            <w:pPr>
              <w:adjustRightInd w:val="0"/>
              <w:snapToGrid w:val="0"/>
              <w:spacing w:line="360" w:lineRule="auto"/>
              <w:rPr>
                <w:rFonts w:ascii="宋体" w:hAnsi="宋体"/>
              </w:rPr>
            </w:pPr>
            <w:r>
              <w:rPr>
                <w:rFonts w:hint="eastAsia" w:ascii="宋体" w:hAnsi="宋体"/>
                <w:b/>
                <w:bCs/>
                <w:szCs w:val="22"/>
              </w:rPr>
              <w:t>管理事项：</w:t>
            </w:r>
            <w:r>
              <w:rPr>
                <w:rFonts w:hint="eastAsia" w:ascii="宋体" w:hAnsi="宋体"/>
              </w:rPr>
              <w:t>信息录入、电子台账、监控管理、系统操作等。</w:t>
            </w:r>
          </w:p>
        </w:tc>
        <w:tc>
          <w:tcPr>
            <w:tcW w:w="896"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1" w:hRule="atLeast"/>
        </w:trPr>
        <w:tc>
          <w:tcPr>
            <w:tcW w:w="616"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9</w:t>
            </w:r>
          </w:p>
        </w:tc>
        <w:tc>
          <w:tcPr>
            <w:tcW w:w="1201"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其他类</w:t>
            </w:r>
          </w:p>
        </w:tc>
        <w:tc>
          <w:tcPr>
            <w:tcW w:w="1280" w:type="dxa"/>
            <w:vAlign w:val="center"/>
          </w:tcPr>
          <w:p>
            <w:pPr>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保洁岗位</w:t>
            </w:r>
          </w:p>
        </w:tc>
        <w:tc>
          <w:tcPr>
            <w:tcW w:w="5660" w:type="dxa"/>
            <w:vAlign w:val="center"/>
          </w:tcPr>
          <w:p>
            <w:pPr>
              <w:adjustRightInd w:val="0"/>
              <w:snapToGrid w:val="0"/>
              <w:spacing w:line="360" w:lineRule="auto"/>
              <w:rPr>
                <w:rFonts w:ascii="宋体" w:hAnsi="宋体"/>
                <w:b/>
                <w:bCs/>
              </w:rPr>
            </w:pPr>
            <w:r>
              <w:rPr>
                <w:rFonts w:hint="eastAsia" w:ascii="宋体" w:hAnsi="宋体"/>
              </w:rPr>
              <w:t>主要工作为：</w:t>
            </w:r>
            <w:r>
              <w:rPr>
                <w:rFonts w:hint="eastAsia" w:ascii="宋体" w:hAnsi="宋体"/>
                <w:b/>
                <w:bCs/>
              </w:rPr>
              <w:t>开展常态化的保洁清扫、除草、整理；按要求对工程进行局部修复；警示标识、标牌、标语的修复；绿化带的养护、整理等。</w:t>
            </w:r>
          </w:p>
          <w:p>
            <w:pPr>
              <w:adjustRightInd w:val="0"/>
              <w:snapToGrid w:val="0"/>
              <w:spacing w:line="360" w:lineRule="auto"/>
              <w:rPr>
                <w:rFonts w:ascii="宋体" w:hAnsi="宋体"/>
              </w:rPr>
            </w:pPr>
            <w:r>
              <w:rPr>
                <w:rFonts w:hint="eastAsia" w:ascii="宋体" w:hAnsi="宋体"/>
              </w:rPr>
              <w:t>保洁范围：水闸的管理线范围内的都属于本项目的保洁范围。管理线范围标后中标供应商向采购人咨询。</w:t>
            </w:r>
          </w:p>
          <w:p>
            <w:pPr>
              <w:adjustRightInd w:val="0"/>
              <w:snapToGrid w:val="0"/>
              <w:spacing w:line="360" w:lineRule="auto"/>
              <w:rPr>
                <w:rFonts w:ascii="宋体" w:hAnsi="宋体"/>
              </w:rPr>
            </w:pPr>
            <w:r>
              <w:rPr>
                <w:rFonts w:hint="eastAsia" w:ascii="宋体" w:hAnsi="宋体"/>
              </w:rPr>
              <w:t>完成采购人交办的其他有关运行管理规程中要求的事项。</w:t>
            </w:r>
          </w:p>
        </w:tc>
        <w:tc>
          <w:tcPr>
            <w:tcW w:w="896"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p>
        </w:tc>
      </w:tr>
    </w:tbl>
    <w:p>
      <w:pPr>
        <w:widowControl/>
        <w:tabs>
          <w:tab w:val="left" w:pos="540"/>
        </w:tabs>
        <w:autoSpaceDE w:val="0"/>
        <w:autoSpaceDN w:val="0"/>
        <w:adjustRightInd w:val="0"/>
        <w:snapToGrid w:val="0"/>
        <w:spacing w:line="400" w:lineRule="exact"/>
        <w:ind w:firstLine="442" w:firstLineChars="200"/>
        <w:textAlignment w:val="bottom"/>
        <w:rPr>
          <w:rFonts w:ascii="宋体" w:hAnsi="宋体"/>
          <w:b/>
          <w:color w:val="000000"/>
          <w:sz w:val="22"/>
          <w:szCs w:val="22"/>
        </w:rPr>
      </w:pPr>
      <w:r>
        <w:rPr>
          <w:rFonts w:hint="eastAsia" w:ascii="宋体" w:hAnsi="宋体"/>
          <w:b/>
          <w:color w:val="000000"/>
          <w:sz w:val="22"/>
          <w:szCs w:val="22"/>
        </w:rPr>
        <w:t>注：以上岗位职责如与最新规章制度以及管理手册冲突的，参照最新规章制度及管理手册执行，具体情况由采购人决定。</w:t>
      </w:r>
    </w:p>
    <w:p>
      <w:pPr>
        <w:widowControl/>
        <w:tabs>
          <w:tab w:val="left" w:pos="540"/>
        </w:tabs>
        <w:autoSpaceDE w:val="0"/>
        <w:autoSpaceDN w:val="0"/>
        <w:adjustRightInd w:val="0"/>
        <w:snapToGrid w:val="0"/>
        <w:spacing w:line="400" w:lineRule="exact"/>
        <w:ind w:firstLine="442" w:firstLineChars="200"/>
        <w:textAlignment w:val="bottom"/>
        <w:rPr>
          <w:rFonts w:ascii="宋体" w:hAnsi="宋体"/>
          <w:b/>
          <w:color w:val="000000"/>
          <w:sz w:val="22"/>
          <w:szCs w:val="22"/>
        </w:rPr>
      </w:pPr>
      <w:r>
        <w:rPr>
          <w:rFonts w:hint="eastAsia" w:ascii="宋体" w:hAnsi="宋体"/>
          <w:b/>
          <w:color w:val="000000"/>
          <w:sz w:val="22"/>
          <w:szCs w:val="22"/>
        </w:rPr>
        <w:t>2、海塘：</w:t>
      </w:r>
    </w:p>
    <w:tbl>
      <w:tblPr>
        <w:tblStyle w:val="39"/>
        <w:tblW w:w="96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
        <w:gridCol w:w="1201"/>
        <w:gridCol w:w="1280"/>
        <w:gridCol w:w="5660"/>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序号</w:t>
            </w:r>
          </w:p>
        </w:tc>
        <w:tc>
          <w:tcPr>
            <w:tcW w:w="1201"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b/>
                <w:sz w:val="22"/>
                <w:szCs w:val="22"/>
              </w:rPr>
              <w:t>岗位类别</w:t>
            </w:r>
          </w:p>
        </w:tc>
        <w:tc>
          <w:tcPr>
            <w:tcW w:w="1280"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岗位名称</w:t>
            </w:r>
          </w:p>
        </w:tc>
        <w:tc>
          <w:tcPr>
            <w:tcW w:w="5660"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主要管理事项</w:t>
            </w:r>
          </w:p>
        </w:tc>
        <w:tc>
          <w:tcPr>
            <w:tcW w:w="896"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1</w:t>
            </w:r>
          </w:p>
        </w:tc>
        <w:tc>
          <w:tcPr>
            <w:tcW w:w="1201"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单位负责类</w:t>
            </w:r>
          </w:p>
        </w:tc>
        <w:tc>
          <w:tcPr>
            <w:tcW w:w="1280"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单位负责岗位（项目负责人）</w:t>
            </w:r>
          </w:p>
        </w:tc>
        <w:tc>
          <w:tcPr>
            <w:tcW w:w="5660" w:type="dxa"/>
            <w:vAlign w:val="center"/>
          </w:tcPr>
          <w:p>
            <w:pPr>
              <w:adjustRightInd w:val="0"/>
              <w:snapToGrid w:val="0"/>
              <w:spacing w:line="360" w:lineRule="auto"/>
              <w:ind w:firstLine="420" w:firstLineChars="200"/>
              <w:rPr>
                <w:rFonts w:ascii="宋体" w:hAnsi="宋体"/>
              </w:rPr>
            </w:pPr>
            <w:r>
              <w:rPr>
                <w:rFonts w:hint="eastAsia" w:ascii="宋体" w:hAnsi="宋体"/>
              </w:rPr>
              <w:t>根据水利部颁发标准和《浙江省小型水库运行管理规程》、《浙江省山塘运行管理规程》、《浙江省堤防工程维修养护管理规程》、《浙江省海塘工程运行管理规程（试行）》以及龙港市农业农村局编制的管理手册等相关进行管理。主要有以下几点管理事项（包含但不限于）：</w:t>
            </w:r>
          </w:p>
          <w:p>
            <w:pPr>
              <w:adjustRightInd w:val="0"/>
              <w:snapToGrid w:val="0"/>
              <w:spacing w:line="360" w:lineRule="auto"/>
              <w:ind w:firstLine="420" w:firstLineChars="200"/>
              <w:rPr>
                <w:rFonts w:ascii="宋体" w:hAnsi="宋体"/>
              </w:rPr>
            </w:pPr>
            <w:r>
              <w:rPr>
                <w:rFonts w:hint="eastAsia" w:ascii="宋体" w:hAnsi="宋体"/>
              </w:rPr>
              <w:t>全面负责物业管理业务工作，保障防洪度汛和工程运行安全，充分发挥工程效益；建立健全各项规章制度，不断提高运行管理水平；推动科技进步和管理创新，加强职工教育，提高职工队伍素质；组织制定工程技术改造方案和养护修理计划；协调处理各种关系；完成采购人交办的其他有关运行管理规程中要求的事项。</w:t>
            </w:r>
          </w:p>
        </w:tc>
        <w:tc>
          <w:tcPr>
            <w:tcW w:w="896"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Merge w:val="restart"/>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2</w:t>
            </w:r>
          </w:p>
        </w:tc>
        <w:tc>
          <w:tcPr>
            <w:tcW w:w="1201" w:type="dxa"/>
            <w:vMerge w:val="restart"/>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工程管理类</w:t>
            </w:r>
          </w:p>
        </w:tc>
        <w:tc>
          <w:tcPr>
            <w:tcW w:w="1280"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工程管理岗位（巡查岗）</w:t>
            </w:r>
          </w:p>
        </w:tc>
        <w:tc>
          <w:tcPr>
            <w:tcW w:w="5660" w:type="dxa"/>
            <w:vAlign w:val="center"/>
          </w:tcPr>
          <w:p>
            <w:pPr>
              <w:adjustRightInd w:val="0"/>
              <w:snapToGrid w:val="0"/>
              <w:spacing w:line="360" w:lineRule="auto"/>
              <w:rPr>
                <w:rFonts w:ascii="宋体" w:hAnsi="宋体"/>
              </w:rPr>
            </w:pPr>
            <w:r>
              <w:rPr>
                <w:rFonts w:hint="eastAsia" w:ascii="宋体" w:hAnsi="宋体"/>
                <w:b/>
                <w:bCs/>
                <w:szCs w:val="22"/>
              </w:rPr>
              <w:t>总要求：</w:t>
            </w:r>
            <w:r>
              <w:rPr>
                <w:rFonts w:hint="eastAsia" w:ascii="宋体" w:hAnsi="宋体"/>
              </w:rPr>
              <w:t>负责所辖范围内的工程的日常巡查任务；参与日常巡视检查、年度巡视检查、特别巡视检查、大坝表面变形观测、大坝安全监测、定期检查、特殊检查、维修养护等事务管理；智能手机巡查（包括运行管理平台巡查）；编制维修养护计划并上报，组织实施维修养护；检查及监测资料整编分析；整理相关巡查成果资料及资料归档；完成采购人交办的其他有关运行管理规程中要求的事项。</w:t>
            </w:r>
          </w:p>
          <w:p>
            <w:pPr>
              <w:adjustRightInd w:val="0"/>
              <w:snapToGrid w:val="0"/>
              <w:spacing w:line="360" w:lineRule="auto"/>
              <w:rPr>
                <w:rFonts w:ascii="宋体" w:hAnsi="宋体"/>
              </w:rPr>
            </w:pPr>
            <w:r>
              <w:rPr>
                <w:rFonts w:hint="eastAsia" w:ascii="宋体" w:hAnsi="宋体"/>
                <w:b/>
                <w:bCs/>
              </w:rPr>
              <w:t>主要职责：</w:t>
            </w:r>
            <w:r>
              <w:rPr>
                <w:rFonts w:hint="eastAsia" w:ascii="宋体" w:hAnsi="宋体"/>
              </w:rPr>
              <w:t>贯彻执行国家的有关法律、法规、方针政策及上级主管部门的决定、指令；全面负责堤防行政管理、工程管理、防汛等工作；建立健全各项规章制度，不断提高管理水平；推动管理创新，加强职工教育，提高职工队伍素质；协调处理各种关系，完成上级交办的其他工作。</w:t>
            </w:r>
          </w:p>
          <w:p>
            <w:pPr>
              <w:adjustRightInd w:val="0"/>
              <w:snapToGrid w:val="0"/>
              <w:spacing w:line="360" w:lineRule="auto"/>
              <w:rPr>
                <w:rFonts w:ascii="宋体" w:hAnsi="宋体"/>
              </w:rPr>
            </w:pPr>
            <w:r>
              <w:rPr>
                <w:rFonts w:hint="eastAsia" w:ascii="宋体" w:hAnsi="宋体"/>
                <w:b/>
                <w:bCs/>
                <w:szCs w:val="22"/>
              </w:rPr>
              <w:t>管理事项：</w:t>
            </w:r>
            <w:r>
              <w:rPr>
                <w:rFonts w:hint="eastAsia" w:ascii="宋体" w:hAnsi="宋体"/>
              </w:rPr>
              <w:t>行政管理、安全鉴定、防汛物资领用、维修养护计划审定、防洪抢险应急预案的上报、物业化管理考核等。</w:t>
            </w:r>
          </w:p>
        </w:tc>
        <w:tc>
          <w:tcPr>
            <w:tcW w:w="896"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Merge w:val="continue"/>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p>
        </w:tc>
        <w:tc>
          <w:tcPr>
            <w:tcW w:w="1201" w:type="dxa"/>
            <w:vMerge w:val="continue"/>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p>
        </w:tc>
        <w:tc>
          <w:tcPr>
            <w:tcW w:w="1280"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工程检查岗位</w:t>
            </w:r>
          </w:p>
        </w:tc>
        <w:tc>
          <w:tcPr>
            <w:tcW w:w="5660" w:type="dxa"/>
            <w:vAlign w:val="center"/>
          </w:tcPr>
          <w:p>
            <w:pPr>
              <w:adjustRightInd w:val="0"/>
              <w:snapToGrid w:val="0"/>
              <w:spacing w:line="360" w:lineRule="auto"/>
              <w:rPr>
                <w:rFonts w:ascii="宋体" w:hAnsi="宋体"/>
                <w:b/>
                <w:bCs/>
                <w:szCs w:val="22"/>
              </w:rPr>
            </w:pPr>
            <w:r>
              <w:rPr>
                <w:rFonts w:hint="eastAsia" w:ascii="宋体" w:hAnsi="宋体"/>
                <w:b/>
                <w:bCs/>
                <w:szCs w:val="22"/>
              </w:rPr>
              <w:t>主要职责：</w:t>
            </w:r>
            <w:r>
              <w:rPr>
                <w:rFonts w:hint="eastAsia" w:ascii="宋体" w:hAnsi="宋体"/>
                <w:szCs w:val="22"/>
              </w:rPr>
              <w:t>负责堤防经常检查任务，参与定期检查、特别检查、专项检查，整理相关巡查成果资料；其他相关工作。</w:t>
            </w:r>
          </w:p>
          <w:p>
            <w:pPr>
              <w:adjustRightInd w:val="0"/>
              <w:snapToGrid w:val="0"/>
              <w:spacing w:line="360" w:lineRule="auto"/>
              <w:rPr>
                <w:rFonts w:ascii="宋体" w:hAnsi="宋体"/>
                <w:b/>
                <w:bCs/>
                <w:szCs w:val="22"/>
              </w:rPr>
            </w:pPr>
            <w:r>
              <w:rPr>
                <w:rFonts w:hint="eastAsia" w:ascii="宋体" w:hAnsi="宋体"/>
                <w:b/>
                <w:bCs/>
                <w:szCs w:val="22"/>
              </w:rPr>
              <w:t>管理事项：</w:t>
            </w:r>
            <w:r>
              <w:rPr>
                <w:rFonts w:hint="eastAsia" w:ascii="宋体" w:hAnsi="宋体"/>
                <w:szCs w:val="22"/>
              </w:rPr>
              <w:t>经常检查、定期检查、特别检查、专项检查等。</w:t>
            </w:r>
          </w:p>
        </w:tc>
        <w:tc>
          <w:tcPr>
            <w:tcW w:w="896"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3</w:t>
            </w:r>
          </w:p>
        </w:tc>
        <w:tc>
          <w:tcPr>
            <w:tcW w:w="1201"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维修养护类</w:t>
            </w:r>
          </w:p>
        </w:tc>
        <w:tc>
          <w:tcPr>
            <w:tcW w:w="1280"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维修养护岗位</w:t>
            </w:r>
          </w:p>
        </w:tc>
        <w:tc>
          <w:tcPr>
            <w:tcW w:w="5660" w:type="dxa"/>
            <w:vAlign w:val="center"/>
          </w:tcPr>
          <w:p>
            <w:pPr>
              <w:adjustRightInd w:val="0"/>
              <w:snapToGrid w:val="0"/>
              <w:spacing w:line="360" w:lineRule="auto"/>
              <w:rPr>
                <w:rFonts w:ascii="宋体" w:hAnsi="宋体"/>
              </w:rPr>
            </w:pPr>
            <w:r>
              <w:rPr>
                <w:rFonts w:hint="eastAsia" w:ascii="宋体" w:hAnsi="宋体"/>
              </w:rPr>
              <w:t>负责管理范围内的日常养护工程的养护工作；主体工程维修养护、闸门维修养护、启闭机维修养护、附属实施维修养护；整理维修养护相关成果资料及资料归档；完成采购人交办的其他有关运行管理规程中要求的事项。</w:t>
            </w:r>
          </w:p>
          <w:p>
            <w:pPr>
              <w:adjustRightInd w:val="0"/>
              <w:snapToGrid w:val="0"/>
              <w:spacing w:line="360" w:lineRule="auto"/>
              <w:rPr>
                <w:rFonts w:ascii="宋体" w:hAnsi="宋体"/>
              </w:rPr>
            </w:pPr>
            <w:r>
              <w:rPr>
                <w:rFonts w:hint="eastAsia" w:ascii="宋体" w:hAnsi="宋体"/>
                <w:b/>
                <w:bCs/>
                <w:szCs w:val="22"/>
              </w:rPr>
              <w:t>主要职责：</w:t>
            </w:r>
            <w:r>
              <w:rPr>
                <w:rFonts w:hint="eastAsia" w:ascii="宋体" w:hAnsi="宋体"/>
              </w:rPr>
              <w:t>负责编制维修养护计划；负责堤防的工程、管理设施维修养护管理工作；整理维修养护相关成果资资料。</w:t>
            </w:r>
          </w:p>
          <w:p>
            <w:pPr>
              <w:adjustRightInd w:val="0"/>
              <w:snapToGrid w:val="0"/>
              <w:spacing w:line="360" w:lineRule="auto"/>
              <w:rPr>
                <w:rFonts w:ascii="宋体" w:hAnsi="宋体"/>
              </w:rPr>
            </w:pPr>
            <w:r>
              <w:rPr>
                <w:rFonts w:hint="eastAsia" w:ascii="宋体" w:hAnsi="宋体"/>
                <w:b/>
                <w:bCs/>
                <w:szCs w:val="22"/>
              </w:rPr>
              <w:t>管理事项：</w:t>
            </w:r>
            <w:r>
              <w:rPr>
                <w:rFonts w:hint="eastAsia" w:ascii="宋体" w:hAnsi="宋体"/>
                <w:szCs w:val="22"/>
              </w:rPr>
              <w:t>维修养护计划编制、工程维修养护、管理设施维修养护等。</w:t>
            </w:r>
          </w:p>
        </w:tc>
        <w:tc>
          <w:tcPr>
            <w:tcW w:w="896"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4</w:t>
            </w:r>
          </w:p>
        </w:tc>
        <w:tc>
          <w:tcPr>
            <w:tcW w:w="1201"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档案管理类</w:t>
            </w:r>
          </w:p>
        </w:tc>
        <w:tc>
          <w:tcPr>
            <w:tcW w:w="1280"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档案管理岗位</w:t>
            </w:r>
          </w:p>
        </w:tc>
        <w:tc>
          <w:tcPr>
            <w:tcW w:w="5660" w:type="dxa"/>
            <w:vAlign w:val="center"/>
          </w:tcPr>
          <w:p>
            <w:pPr>
              <w:adjustRightInd w:val="0"/>
              <w:snapToGrid w:val="0"/>
              <w:spacing w:line="360" w:lineRule="auto"/>
              <w:rPr>
                <w:rFonts w:ascii="宋体" w:hAnsi="宋体"/>
              </w:rPr>
            </w:pPr>
            <w:r>
              <w:rPr>
                <w:rFonts w:hint="eastAsia" w:ascii="宋体" w:hAnsi="宋体"/>
              </w:rPr>
              <w:t>负责运行管理资料的归档、借阅、整理、销毁等一系列方案管理；完成采购人交办的其他有关运行管理规程中要求的事项。</w:t>
            </w:r>
          </w:p>
          <w:p>
            <w:pPr>
              <w:adjustRightInd w:val="0"/>
              <w:snapToGrid w:val="0"/>
              <w:spacing w:line="360" w:lineRule="auto"/>
              <w:rPr>
                <w:rFonts w:ascii="宋体" w:hAnsi="宋体"/>
              </w:rPr>
            </w:pPr>
            <w:r>
              <w:rPr>
                <w:rFonts w:hint="eastAsia" w:ascii="宋体" w:hAnsi="宋体"/>
              </w:rPr>
              <w:t>主要职责：（1）负责日常档案资料的接收、整编和保管工作。（2）其他相关工作。</w:t>
            </w:r>
          </w:p>
          <w:p>
            <w:pPr>
              <w:adjustRightInd w:val="0"/>
              <w:snapToGrid w:val="0"/>
              <w:spacing w:line="360" w:lineRule="auto"/>
              <w:rPr>
                <w:rFonts w:ascii="宋体" w:hAnsi="宋体"/>
              </w:rPr>
            </w:pPr>
            <w:r>
              <w:rPr>
                <w:rFonts w:hint="eastAsia" w:ascii="宋体" w:hAnsi="宋体"/>
                <w:b/>
                <w:bCs/>
                <w:szCs w:val="22"/>
              </w:rPr>
              <w:t>管理事项：</w:t>
            </w:r>
            <w:r>
              <w:rPr>
                <w:rFonts w:hint="eastAsia" w:ascii="宋体" w:hAnsi="宋体"/>
              </w:rPr>
              <w:t>日常档案接收、日常档案整编、日常档案保管等。</w:t>
            </w:r>
          </w:p>
        </w:tc>
        <w:tc>
          <w:tcPr>
            <w:tcW w:w="896"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5</w:t>
            </w:r>
          </w:p>
        </w:tc>
        <w:tc>
          <w:tcPr>
            <w:tcW w:w="1201"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防汛物资管理类</w:t>
            </w:r>
          </w:p>
        </w:tc>
        <w:tc>
          <w:tcPr>
            <w:tcW w:w="1280"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防汛物资管理岗位</w:t>
            </w:r>
          </w:p>
        </w:tc>
        <w:tc>
          <w:tcPr>
            <w:tcW w:w="5660" w:type="dxa"/>
            <w:vAlign w:val="center"/>
          </w:tcPr>
          <w:p>
            <w:pPr>
              <w:adjustRightInd w:val="0"/>
              <w:snapToGrid w:val="0"/>
              <w:spacing w:line="360" w:lineRule="auto"/>
              <w:rPr>
                <w:rFonts w:ascii="宋体" w:hAnsi="宋体"/>
              </w:rPr>
            </w:pPr>
            <w:r>
              <w:rPr>
                <w:rFonts w:hint="eastAsia" w:ascii="宋体" w:hAnsi="宋体"/>
              </w:rPr>
              <w:t>负责防汛物资的存放与日常保养工作，做好防火、防盗、防腐等安全防范措施，记载好各类防汛物资的详细信息；做好储备物资的进（出）、更新、报废等台帐记录工作；完成采购人交办的其他有关运行管理规程中要求的事项。</w:t>
            </w:r>
          </w:p>
        </w:tc>
        <w:tc>
          <w:tcPr>
            <w:tcW w:w="896"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6</w:t>
            </w:r>
          </w:p>
        </w:tc>
        <w:tc>
          <w:tcPr>
            <w:tcW w:w="1201"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信息化管理类</w:t>
            </w:r>
          </w:p>
        </w:tc>
        <w:tc>
          <w:tcPr>
            <w:tcW w:w="1280"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信息化管理岗位</w:t>
            </w:r>
          </w:p>
        </w:tc>
        <w:tc>
          <w:tcPr>
            <w:tcW w:w="5660" w:type="dxa"/>
            <w:vAlign w:val="center"/>
          </w:tcPr>
          <w:p>
            <w:pPr>
              <w:adjustRightInd w:val="0"/>
              <w:snapToGrid w:val="0"/>
              <w:spacing w:line="360" w:lineRule="auto"/>
              <w:rPr>
                <w:rFonts w:ascii="宋体" w:hAnsi="宋体"/>
              </w:rPr>
            </w:pPr>
            <w:r>
              <w:rPr>
                <w:rFonts w:hint="eastAsia" w:ascii="宋体" w:hAnsi="宋体"/>
                <w:b/>
                <w:bCs/>
                <w:szCs w:val="22"/>
              </w:rPr>
              <w:t>主要职责：</w:t>
            </w:r>
            <w:r>
              <w:rPr>
                <w:rFonts w:hint="eastAsia" w:ascii="宋体" w:hAnsi="宋体"/>
              </w:rPr>
              <w:t>（1）负责工程电子台账信息的录入和保存。（2）负责监控管理。（3）负责信息化系统的日常操作。（4）其他相关工作</w:t>
            </w:r>
          </w:p>
          <w:p>
            <w:pPr>
              <w:adjustRightInd w:val="0"/>
              <w:snapToGrid w:val="0"/>
              <w:spacing w:line="360" w:lineRule="auto"/>
              <w:rPr>
                <w:rFonts w:ascii="宋体" w:hAnsi="宋体"/>
              </w:rPr>
            </w:pPr>
            <w:r>
              <w:rPr>
                <w:rFonts w:hint="eastAsia" w:ascii="宋体" w:hAnsi="宋体"/>
                <w:b/>
                <w:bCs/>
                <w:szCs w:val="22"/>
              </w:rPr>
              <w:t>管理事项：</w:t>
            </w:r>
            <w:r>
              <w:rPr>
                <w:rFonts w:hint="eastAsia" w:ascii="宋体" w:hAnsi="宋体"/>
              </w:rPr>
              <w:t>信息录入、电子台账、监控管理、系统操作等。</w:t>
            </w:r>
          </w:p>
        </w:tc>
        <w:tc>
          <w:tcPr>
            <w:tcW w:w="896"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1" w:hRule="atLeast"/>
        </w:trPr>
        <w:tc>
          <w:tcPr>
            <w:tcW w:w="616"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7</w:t>
            </w:r>
          </w:p>
        </w:tc>
        <w:tc>
          <w:tcPr>
            <w:tcW w:w="1201"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其他类</w:t>
            </w:r>
          </w:p>
        </w:tc>
        <w:tc>
          <w:tcPr>
            <w:tcW w:w="1280" w:type="dxa"/>
            <w:vAlign w:val="center"/>
          </w:tcPr>
          <w:p>
            <w:pPr>
              <w:tabs>
                <w:tab w:val="left" w:pos="540"/>
              </w:tabs>
              <w:autoSpaceDE w:val="0"/>
              <w:autoSpaceDN w:val="0"/>
              <w:adjustRightInd w:val="0"/>
              <w:snapToGrid w:val="0"/>
              <w:spacing w:line="400" w:lineRule="exact"/>
              <w:jc w:val="center"/>
              <w:textAlignment w:val="bottom"/>
              <w:rPr>
                <w:rFonts w:ascii="宋体" w:hAnsi="宋体"/>
                <w:b/>
                <w:bCs/>
                <w:sz w:val="22"/>
                <w:szCs w:val="22"/>
              </w:rPr>
            </w:pPr>
            <w:r>
              <w:rPr>
                <w:rFonts w:hint="eastAsia" w:ascii="宋体" w:hAnsi="宋体"/>
                <w:b/>
                <w:bCs/>
                <w:sz w:val="22"/>
                <w:szCs w:val="22"/>
              </w:rPr>
              <w:t>保洁岗位</w:t>
            </w:r>
          </w:p>
        </w:tc>
        <w:tc>
          <w:tcPr>
            <w:tcW w:w="5660" w:type="dxa"/>
            <w:vAlign w:val="center"/>
          </w:tcPr>
          <w:p>
            <w:pPr>
              <w:adjustRightInd w:val="0"/>
              <w:snapToGrid w:val="0"/>
              <w:spacing w:line="360" w:lineRule="auto"/>
              <w:rPr>
                <w:rFonts w:ascii="宋体" w:hAnsi="宋体"/>
                <w:b/>
                <w:bCs/>
              </w:rPr>
            </w:pPr>
            <w:r>
              <w:rPr>
                <w:rFonts w:hint="eastAsia" w:ascii="宋体" w:hAnsi="宋体"/>
              </w:rPr>
              <w:t>主要工作为：</w:t>
            </w:r>
            <w:r>
              <w:rPr>
                <w:rFonts w:hint="eastAsia" w:ascii="宋体" w:hAnsi="宋体"/>
                <w:b/>
                <w:bCs/>
              </w:rPr>
              <w:t>开展常态化的保洁清扫、除草、整理；按要求对工程进行局部修复；警示标识、标牌、标语的修复；绿化带的养护、整理等。</w:t>
            </w:r>
          </w:p>
          <w:p>
            <w:pPr>
              <w:adjustRightInd w:val="0"/>
              <w:snapToGrid w:val="0"/>
              <w:spacing w:line="360" w:lineRule="auto"/>
              <w:rPr>
                <w:rFonts w:ascii="宋体" w:hAnsi="宋体"/>
              </w:rPr>
            </w:pPr>
            <w:r>
              <w:rPr>
                <w:rFonts w:hint="eastAsia" w:ascii="宋体" w:hAnsi="宋体"/>
              </w:rPr>
              <w:t>保洁范围：堤防的管理线范围内的都属于本项目的保洁范围。管理线范围标后中标供应商向采购人咨询。</w:t>
            </w:r>
          </w:p>
          <w:p>
            <w:pPr>
              <w:adjustRightInd w:val="0"/>
              <w:snapToGrid w:val="0"/>
              <w:spacing w:line="360" w:lineRule="auto"/>
              <w:rPr>
                <w:rFonts w:ascii="宋体" w:hAnsi="宋体"/>
              </w:rPr>
            </w:pPr>
            <w:r>
              <w:rPr>
                <w:rFonts w:hint="eastAsia" w:ascii="宋体" w:hAnsi="宋体"/>
              </w:rPr>
              <w:t>完成采购人交办的其他有关运行管理规程中要求的事项。</w:t>
            </w:r>
          </w:p>
        </w:tc>
        <w:tc>
          <w:tcPr>
            <w:tcW w:w="896" w:type="dxa"/>
            <w:vAlign w:val="center"/>
          </w:tcPr>
          <w:p>
            <w:pPr>
              <w:widowControl/>
              <w:tabs>
                <w:tab w:val="left" w:pos="540"/>
              </w:tabs>
              <w:autoSpaceDE w:val="0"/>
              <w:autoSpaceDN w:val="0"/>
              <w:adjustRightInd w:val="0"/>
              <w:snapToGrid w:val="0"/>
              <w:spacing w:line="400" w:lineRule="exact"/>
              <w:jc w:val="center"/>
              <w:textAlignment w:val="bottom"/>
              <w:rPr>
                <w:rFonts w:ascii="宋体" w:hAnsi="宋体"/>
                <w:b/>
                <w:bCs/>
                <w:sz w:val="22"/>
                <w:szCs w:val="22"/>
              </w:rPr>
            </w:pPr>
          </w:p>
        </w:tc>
      </w:tr>
    </w:tbl>
    <w:p>
      <w:pPr>
        <w:widowControl/>
        <w:tabs>
          <w:tab w:val="left" w:pos="540"/>
        </w:tabs>
        <w:autoSpaceDE w:val="0"/>
        <w:autoSpaceDN w:val="0"/>
        <w:adjustRightInd w:val="0"/>
        <w:snapToGrid w:val="0"/>
        <w:spacing w:line="400" w:lineRule="exact"/>
        <w:ind w:firstLine="442" w:firstLineChars="200"/>
        <w:textAlignment w:val="bottom"/>
        <w:rPr>
          <w:rFonts w:ascii="宋体" w:hAnsi="宋体"/>
          <w:b/>
          <w:color w:val="000000"/>
          <w:sz w:val="22"/>
          <w:szCs w:val="22"/>
        </w:rPr>
      </w:pPr>
      <w:r>
        <w:rPr>
          <w:rFonts w:hint="eastAsia" w:ascii="宋体" w:hAnsi="宋体"/>
          <w:b/>
          <w:color w:val="000000"/>
          <w:sz w:val="22"/>
          <w:szCs w:val="22"/>
        </w:rPr>
        <w:t>注：以上岗位职责如与最新规章制度以及管理手册冲突的，参照最新规章制度及管理手册执行，具体情况由采购人决定。</w:t>
      </w:r>
    </w:p>
    <w:p>
      <w:pPr>
        <w:spacing w:line="400" w:lineRule="exact"/>
        <w:ind w:firstLine="440" w:firstLineChars="200"/>
        <w:rPr>
          <w:rFonts w:ascii="宋体" w:hAnsi="宋体"/>
          <w:sz w:val="22"/>
          <w:szCs w:val="22"/>
        </w:rPr>
      </w:pPr>
      <w:r>
        <w:rPr>
          <w:rFonts w:hint="eastAsia" w:ascii="宋体" w:hAnsi="宋体"/>
          <w:sz w:val="22"/>
          <w:szCs w:val="22"/>
        </w:rPr>
        <w:t>（2）办公地点及人员到位率</w:t>
      </w:r>
    </w:p>
    <w:p>
      <w:pPr>
        <w:tabs>
          <w:tab w:val="left" w:pos="482"/>
          <w:tab w:val="left" w:pos="2183"/>
          <w:tab w:val="left" w:pos="3884"/>
          <w:tab w:val="left" w:pos="5585"/>
        </w:tabs>
        <w:snapToGrid w:val="0"/>
        <w:spacing w:line="460" w:lineRule="exact"/>
        <w:ind w:firstLine="418" w:firstLineChars="190"/>
        <w:rPr>
          <w:rFonts w:ascii="宋体" w:hAnsi="宋体"/>
          <w:sz w:val="22"/>
          <w:szCs w:val="22"/>
        </w:rPr>
      </w:pPr>
      <w:r>
        <w:rPr>
          <w:rFonts w:hint="eastAsia" w:ascii="宋体" w:hAnsi="宋体"/>
          <w:sz w:val="22"/>
          <w:szCs w:val="22"/>
        </w:rPr>
        <w:t>①中标后，供应商需在龙港市内设置办事处（办事处地点设置需经采购人审核通过）。</w:t>
      </w:r>
    </w:p>
    <w:p>
      <w:pPr>
        <w:tabs>
          <w:tab w:val="left" w:pos="482"/>
          <w:tab w:val="left" w:pos="2183"/>
          <w:tab w:val="left" w:pos="3884"/>
          <w:tab w:val="left" w:pos="5585"/>
        </w:tabs>
        <w:snapToGrid w:val="0"/>
        <w:spacing w:line="460" w:lineRule="exact"/>
        <w:ind w:firstLine="418" w:firstLineChars="190"/>
        <w:rPr>
          <w:rFonts w:ascii="宋体" w:hAnsi="宋体"/>
          <w:sz w:val="22"/>
          <w:szCs w:val="22"/>
        </w:rPr>
      </w:pPr>
      <w:r>
        <w:rPr>
          <w:rFonts w:hint="eastAsia" w:ascii="宋体" w:hAnsi="宋体"/>
          <w:sz w:val="22"/>
          <w:szCs w:val="22"/>
        </w:rPr>
        <w:t>②水闸、海塘：</w:t>
      </w:r>
      <w:r>
        <w:rPr>
          <w:rFonts w:hint="eastAsia" w:ascii="宋体" w:hAnsi="宋体"/>
          <w:color w:val="0000FF"/>
          <w:sz w:val="22"/>
          <w:szCs w:val="22"/>
        </w:rPr>
        <w:t>合同签定后，项目负责人每月驻办事处的月到岗率不少于20天。技术负责人、电工的每月驻办事处的月到岗率不少于22天，其他人员均须每天在场。如遇特殊情况，人员到位率需加密，供应商需无条件配合；人员到岗率少于要求的，业主有权终止项目合同，并追究供应商经济赔偿及法律责任。</w:t>
      </w:r>
    </w:p>
    <w:p>
      <w:pPr>
        <w:widowControl/>
        <w:tabs>
          <w:tab w:val="left" w:pos="540"/>
        </w:tabs>
        <w:autoSpaceDE w:val="0"/>
        <w:autoSpaceDN w:val="0"/>
        <w:adjustRightInd w:val="0"/>
        <w:snapToGrid w:val="0"/>
        <w:spacing w:line="400" w:lineRule="exact"/>
        <w:ind w:firstLine="440" w:firstLineChars="200"/>
        <w:textAlignment w:val="bottom"/>
        <w:rPr>
          <w:rFonts w:ascii="宋体" w:hAnsi="宋体"/>
          <w:sz w:val="22"/>
          <w:szCs w:val="22"/>
        </w:rPr>
      </w:pPr>
      <w:r>
        <w:rPr>
          <w:rFonts w:hint="eastAsia" w:ascii="宋体" w:hAnsi="宋体"/>
          <w:sz w:val="22"/>
          <w:szCs w:val="22"/>
        </w:rPr>
        <w:t>③巡查人员需每日进行巡查。</w:t>
      </w:r>
    </w:p>
    <w:p>
      <w:pPr>
        <w:widowControl/>
        <w:tabs>
          <w:tab w:val="left" w:pos="540"/>
        </w:tabs>
        <w:autoSpaceDE w:val="0"/>
        <w:autoSpaceDN w:val="0"/>
        <w:adjustRightInd w:val="0"/>
        <w:snapToGrid w:val="0"/>
        <w:spacing w:line="400" w:lineRule="exact"/>
        <w:textAlignment w:val="bottom"/>
        <w:rPr>
          <w:rFonts w:ascii="宋体" w:hAnsi="宋体"/>
          <w:b/>
          <w:color w:val="000000"/>
          <w:sz w:val="28"/>
          <w:szCs w:val="28"/>
        </w:rPr>
      </w:pPr>
      <w:r>
        <w:rPr>
          <w:rFonts w:hint="eastAsia" w:ascii="宋体" w:hAnsi="宋体"/>
          <w:b/>
          <w:color w:val="000000"/>
          <w:sz w:val="28"/>
          <w:szCs w:val="28"/>
        </w:rPr>
        <w:t>（5）维修养护清单：</w:t>
      </w:r>
    </w:p>
    <w:p>
      <w:pPr>
        <w:pStyle w:val="18"/>
        <w:numPr>
          <w:ilvl w:val="0"/>
          <w:numId w:val="5"/>
        </w:numPr>
        <w:rPr>
          <w:rFonts w:ascii="宋体" w:hAnsi="宋体"/>
          <w:b/>
          <w:color w:val="000000"/>
          <w:sz w:val="28"/>
          <w:szCs w:val="28"/>
        </w:rPr>
      </w:pPr>
      <w:r>
        <w:rPr>
          <w:rFonts w:hint="eastAsia" w:ascii="宋体" w:hAnsi="宋体"/>
          <w:b/>
          <w:color w:val="000000"/>
          <w:sz w:val="28"/>
          <w:szCs w:val="28"/>
        </w:rPr>
        <w:t>新兰水闸：</w:t>
      </w:r>
    </w:p>
    <w:tbl>
      <w:tblPr>
        <w:tblStyle w:val="38"/>
        <w:tblW w:w="5083"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1575"/>
        <w:gridCol w:w="2526"/>
        <w:gridCol w:w="572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801" w:type="pct"/>
            <w:vMerge w:val="restart"/>
            <w:tcBorders>
              <w:tl2br w:val="nil"/>
              <w:tr2bl w:val="nil"/>
            </w:tcBorders>
            <w:shd w:val="clear" w:color="auto" w:fill="auto"/>
            <w:tcMar>
              <w:top w:w="15" w:type="dxa"/>
              <w:left w:w="15" w:type="dxa"/>
              <w:right w:w="15" w:type="dxa"/>
            </w:tcMar>
            <w:vAlign w:val="center"/>
          </w:tcPr>
          <w:p>
            <w:pPr>
              <w:widowControl/>
              <w:jc w:val="center"/>
              <w:textAlignment w:val="center"/>
              <w:rPr>
                <w:b/>
                <w:bCs/>
                <w:color w:val="000000"/>
                <w:sz w:val="22"/>
              </w:rPr>
            </w:pPr>
            <w:r>
              <w:rPr>
                <w:b/>
                <w:bCs/>
                <w:color w:val="000000"/>
                <w:kern w:val="0"/>
                <w:sz w:val="22"/>
              </w:rPr>
              <w:t>编号</w:t>
            </w:r>
          </w:p>
        </w:tc>
        <w:tc>
          <w:tcPr>
            <w:tcW w:w="1285" w:type="pct"/>
            <w:vMerge w:val="restart"/>
            <w:tcBorders>
              <w:tl2br w:val="nil"/>
              <w:tr2bl w:val="nil"/>
            </w:tcBorders>
            <w:shd w:val="clear" w:color="auto" w:fill="auto"/>
            <w:tcMar>
              <w:top w:w="15" w:type="dxa"/>
              <w:left w:w="15" w:type="dxa"/>
              <w:right w:w="15" w:type="dxa"/>
            </w:tcMar>
            <w:vAlign w:val="center"/>
          </w:tcPr>
          <w:p>
            <w:pPr>
              <w:widowControl/>
              <w:jc w:val="center"/>
              <w:textAlignment w:val="center"/>
              <w:rPr>
                <w:b/>
                <w:bCs/>
                <w:color w:val="000000"/>
                <w:sz w:val="22"/>
              </w:rPr>
            </w:pPr>
            <w:r>
              <w:rPr>
                <w:b/>
                <w:bCs/>
                <w:color w:val="000000"/>
                <w:kern w:val="0"/>
                <w:sz w:val="22"/>
              </w:rPr>
              <w:t>维修养护项目</w:t>
            </w:r>
          </w:p>
        </w:tc>
        <w:tc>
          <w:tcPr>
            <w:tcW w:w="2913" w:type="pct"/>
            <w:vMerge w:val="restart"/>
            <w:tcBorders>
              <w:tl2br w:val="nil"/>
              <w:tr2bl w:val="nil"/>
            </w:tcBorders>
            <w:shd w:val="clear" w:color="auto" w:fill="auto"/>
            <w:tcMar>
              <w:top w:w="15" w:type="dxa"/>
              <w:left w:w="15" w:type="dxa"/>
              <w:right w:w="15" w:type="dxa"/>
            </w:tcMar>
            <w:vAlign w:val="center"/>
          </w:tcPr>
          <w:p>
            <w:pPr>
              <w:widowControl/>
              <w:jc w:val="center"/>
              <w:textAlignment w:val="center"/>
              <w:rPr>
                <w:b/>
                <w:bCs/>
                <w:color w:val="000000"/>
                <w:sz w:val="22"/>
              </w:rPr>
            </w:pPr>
            <w:r>
              <w:rPr>
                <w:b/>
                <w:bCs/>
                <w:color w:val="000000"/>
                <w:kern w:val="0"/>
                <w:sz w:val="22"/>
              </w:rPr>
              <w:t>工作内容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801" w:type="pct"/>
            <w:vMerge w:val="continue"/>
            <w:tcBorders>
              <w:tl2br w:val="nil"/>
              <w:tr2bl w:val="nil"/>
            </w:tcBorders>
            <w:shd w:val="clear" w:color="auto" w:fill="auto"/>
            <w:tcMar>
              <w:top w:w="15" w:type="dxa"/>
              <w:left w:w="15" w:type="dxa"/>
              <w:right w:w="15" w:type="dxa"/>
            </w:tcMar>
            <w:vAlign w:val="center"/>
          </w:tcPr>
          <w:p>
            <w:pPr>
              <w:jc w:val="center"/>
              <w:rPr>
                <w:b/>
                <w:bCs/>
                <w:color w:val="000000"/>
                <w:sz w:val="22"/>
              </w:rPr>
            </w:pPr>
          </w:p>
        </w:tc>
        <w:tc>
          <w:tcPr>
            <w:tcW w:w="1285" w:type="pct"/>
            <w:vMerge w:val="continue"/>
            <w:tcBorders>
              <w:tl2br w:val="nil"/>
              <w:tr2bl w:val="nil"/>
            </w:tcBorders>
            <w:shd w:val="clear" w:color="auto" w:fill="auto"/>
            <w:tcMar>
              <w:top w:w="15" w:type="dxa"/>
              <w:left w:w="15" w:type="dxa"/>
              <w:right w:w="15" w:type="dxa"/>
            </w:tcMar>
            <w:vAlign w:val="center"/>
          </w:tcPr>
          <w:p>
            <w:pPr>
              <w:jc w:val="center"/>
              <w:rPr>
                <w:b/>
                <w:bCs/>
                <w:color w:val="000000"/>
                <w:sz w:val="22"/>
              </w:rPr>
            </w:pPr>
          </w:p>
        </w:tc>
        <w:tc>
          <w:tcPr>
            <w:tcW w:w="2913" w:type="pct"/>
            <w:vMerge w:val="continue"/>
            <w:tcBorders>
              <w:tl2br w:val="nil"/>
              <w:tr2bl w:val="nil"/>
            </w:tcBorders>
            <w:shd w:val="clear" w:color="auto" w:fill="auto"/>
            <w:tcMar>
              <w:top w:w="15" w:type="dxa"/>
              <w:left w:w="15" w:type="dxa"/>
              <w:right w:w="15" w:type="dxa"/>
            </w:tcMar>
            <w:vAlign w:val="center"/>
          </w:tcPr>
          <w:p>
            <w:pPr>
              <w:jc w:val="center"/>
              <w:rPr>
                <w:b/>
                <w:bCs/>
                <w:color w:val="000000"/>
                <w:sz w:val="22"/>
              </w:rPr>
            </w:pPr>
          </w:p>
        </w:tc>
      </w:tr>
    </w:tbl>
    <w:tbl>
      <w:tblPr>
        <w:tblStyle w:val="39"/>
        <w:tblW w:w="4988" w:type="pct"/>
        <w:tblInd w:w="10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71"/>
        <w:gridCol w:w="2616"/>
        <w:gridCol w:w="56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99" w:type="pct"/>
            <w:vMerge w:val="restart"/>
            <w:vAlign w:val="center"/>
          </w:tcPr>
          <w:p>
            <w:pPr>
              <w:jc w:val="center"/>
              <w:rPr>
                <w:sz w:val="24"/>
                <w:szCs w:val="24"/>
              </w:rPr>
            </w:pPr>
            <w:r>
              <w:rPr>
                <w:rFonts w:hint="eastAsia"/>
                <w:sz w:val="24"/>
                <w:szCs w:val="24"/>
              </w:rPr>
              <w:t>一</w:t>
            </w:r>
          </w:p>
        </w:tc>
        <w:tc>
          <w:tcPr>
            <w:tcW w:w="1330" w:type="pct"/>
            <w:vMerge w:val="restart"/>
            <w:vAlign w:val="center"/>
          </w:tcPr>
          <w:p>
            <w:pPr>
              <w:rPr>
                <w:sz w:val="24"/>
                <w:szCs w:val="24"/>
              </w:rPr>
            </w:pPr>
            <w:r>
              <w:rPr>
                <w:rFonts w:hint="eastAsia" w:ascii="宋体" w:hAnsi="宋体" w:cs="宋体"/>
                <w:color w:val="000000"/>
                <w:kern w:val="0"/>
                <w:sz w:val="24"/>
                <w:szCs w:val="24"/>
              </w:rPr>
              <w:t>标志（碑、牌、桩）新建</w:t>
            </w:r>
          </w:p>
        </w:tc>
        <w:tc>
          <w:tcPr>
            <w:tcW w:w="2869" w:type="pct"/>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2"/>
                <w:szCs w:val="22"/>
              </w:rPr>
              <w:t>规章制度牌（根据需要确定</w:t>
            </w:r>
            <w:r>
              <w:rPr>
                <w:rStyle w:val="186"/>
              </w:rPr>
              <w:t>1</w:t>
            </w:r>
            <w:r>
              <w:rPr>
                <w:rStyle w:val="187"/>
                <w:rFonts w:hint="default"/>
              </w:rPr>
              <w:t>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99" w:type="pct"/>
            <w:vMerge w:val="continue"/>
            <w:vAlign w:val="center"/>
          </w:tcPr>
          <w:p>
            <w:pPr>
              <w:jc w:val="center"/>
              <w:rPr>
                <w:sz w:val="24"/>
                <w:szCs w:val="24"/>
              </w:rPr>
            </w:pPr>
          </w:p>
        </w:tc>
        <w:tc>
          <w:tcPr>
            <w:tcW w:w="1330" w:type="pct"/>
            <w:vMerge w:val="continue"/>
            <w:vAlign w:val="center"/>
          </w:tcPr>
          <w:p>
            <w:pPr>
              <w:rPr>
                <w:sz w:val="24"/>
                <w:szCs w:val="24"/>
              </w:rPr>
            </w:pPr>
          </w:p>
        </w:tc>
        <w:tc>
          <w:tcPr>
            <w:tcW w:w="2869" w:type="pct"/>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2"/>
                <w:szCs w:val="22"/>
              </w:rPr>
              <w:t>宣传牌</w:t>
            </w:r>
            <w:r>
              <w:rPr>
                <w:rStyle w:val="186"/>
              </w:rPr>
              <w:t>1</w:t>
            </w:r>
            <w:r>
              <w:rPr>
                <w:rStyle w:val="187"/>
                <w:rFonts w:hint="default"/>
              </w:rPr>
              <w:t>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99" w:type="pct"/>
            <w:vMerge w:val="continue"/>
            <w:vAlign w:val="center"/>
          </w:tcPr>
          <w:p>
            <w:pPr>
              <w:jc w:val="center"/>
              <w:rPr>
                <w:sz w:val="24"/>
                <w:szCs w:val="24"/>
              </w:rPr>
            </w:pPr>
          </w:p>
        </w:tc>
        <w:tc>
          <w:tcPr>
            <w:tcW w:w="1330" w:type="pct"/>
            <w:vMerge w:val="continue"/>
            <w:vAlign w:val="center"/>
          </w:tcPr>
          <w:p>
            <w:pPr>
              <w:rPr>
                <w:sz w:val="24"/>
                <w:szCs w:val="24"/>
              </w:rPr>
            </w:pPr>
          </w:p>
        </w:tc>
        <w:tc>
          <w:tcPr>
            <w:tcW w:w="2869" w:type="pct"/>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2"/>
                <w:szCs w:val="22"/>
              </w:rPr>
              <w:t>机电金结设备序号牌</w:t>
            </w:r>
            <w:r>
              <w:rPr>
                <w:rStyle w:val="186"/>
              </w:rPr>
              <w:t>1</w:t>
            </w:r>
            <w:r>
              <w:rPr>
                <w:rStyle w:val="187"/>
                <w:rFonts w:hint="default"/>
              </w:rPr>
              <w:t>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99" w:type="pct"/>
            <w:vMerge w:val="continue"/>
            <w:vAlign w:val="center"/>
          </w:tcPr>
          <w:p>
            <w:pPr>
              <w:jc w:val="center"/>
              <w:rPr>
                <w:sz w:val="24"/>
                <w:szCs w:val="24"/>
              </w:rPr>
            </w:pPr>
          </w:p>
        </w:tc>
        <w:tc>
          <w:tcPr>
            <w:tcW w:w="1330" w:type="pct"/>
            <w:vMerge w:val="continue"/>
            <w:vAlign w:val="center"/>
          </w:tcPr>
          <w:p>
            <w:pPr>
              <w:rPr>
                <w:sz w:val="24"/>
                <w:szCs w:val="24"/>
              </w:rPr>
            </w:pPr>
          </w:p>
        </w:tc>
        <w:tc>
          <w:tcPr>
            <w:tcW w:w="2869" w:type="pct"/>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2"/>
                <w:szCs w:val="22"/>
              </w:rPr>
              <w:t>电气屏柜设备名称牌</w:t>
            </w:r>
            <w:r>
              <w:rPr>
                <w:rStyle w:val="186"/>
              </w:rPr>
              <w:t>1</w:t>
            </w:r>
            <w:r>
              <w:rPr>
                <w:rStyle w:val="187"/>
                <w:rFonts w:hint="default"/>
              </w:rPr>
              <w:t>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99" w:type="pct"/>
            <w:vMerge w:val="continue"/>
            <w:vAlign w:val="center"/>
          </w:tcPr>
          <w:p>
            <w:pPr>
              <w:jc w:val="center"/>
              <w:rPr>
                <w:sz w:val="24"/>
                <w:szCs w:val="24"/>
              </w:rPr>
            </w:pPr>
          </w:p>
        </w:tc>
        <w:tc>
          <w:tcPr>
            <w:tcW w:w="1330" w:type="pct"/>
            <w:vMerge w:val="continue"/>
            <w:vAlign w:val="center"/>
          </w:tcPr>
          <w:p>
            <w:pPr>
              <w:rPr>
                <w:sz w:val="24"/>
                <w:szCs w:val="24"/>
              </w:rPr>
            </w:pPr>
          </w:p>
        </w:tc>
        <w:tc>
          <w:tcPr>
            <w:tcW w:w="2869" w:type="pct"/>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2"/>
                <w:szCs w:val="22"/>
              </w:rPr>
              <w:t>深水警示牌</w:t>
            </w:r>
            <w:r>
              <w:rPr>
                <w:rStyle w:val="186"/>
              </w:rPr>
              <w:t>4</w:t>
            </w:r>
            <w:r>
              <w:rPr>
                <w:rStyle w:val="187"/>
                <w:rFonts w:hint="default"/>
              </w:rPr>
              <w:t>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99" w:type="pct"/>
            <w:vMerge w:val="continue"/>
            <w:vAlign w:val="center"/>
          </w:tcPr>
          <w:p>
            <w:pPr>
              <w:jc w:val="center"/>
              <w:rPr>
                <w:sz w:val="24"/>
                <w:szCs w:val="24"/>
              </w:rPr>
            </w:pPr>
          </w:p>
        </w:tc>
        <w:tc>
          <w:tcPr>
            <w:tcW w:w="1330" w:type="pct"/>
            <w:vMerge w:val="continue"/>
            <w:vAlign w:val="center"/>
          </w:tcPr>
          <w:p>
            <w:pPr>
              <w:rPr>
                <w:sz w:val="24"/>
                <w:szCs w:val="24"/>
              </w:rPr>
            </w:pPr>
          </w:p>
        </w:tc>
        <w:tc>
          <w:tcPr>
            <w:tcW w:w="2869" w:type="pct"/>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2"/>
                <w:szCs w:val="22"/>
              </w:rPr>
              <w:t>警示标线</w:t>
            </w:r>
            <w:r>
              <w:rPr>
                <w:rStyle w:val="186"/>
              </w:rPr>
              <w:t>8m</w:t>
            </w:r>
            <w:r>
              <w:rPr>
                <w:rStyle w:val="187"/>
                <w:rFonts w:hint="default"/>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99" w:type="pct"/>
            <w:vMerge w:val="continue"/>
            <w:vAlign w:val="center"/>
          </w:tcPr>
          <w:p>
            <w:pPr>
              <w:jc w:val="center"/>
              <w:rPr>
                <w:sz w:val="24"/>
                <w:szCs w:val="24"/>
              </w:rPr>
            </w:pPr>
          </w:p>
        </w:tc>
        <w:tc>
          <w:tcPr>
            <w:tcW w:w="1330" w:type="pct"/>
            <w:vMerge w:val="continue"/>
            <w:vAlign w:val="center"/>
          </w:tcPr>
          <w:p>
            <w:pPr>
              <w:rPr>
                <w:sz w:val="24"/>
                <w:szCs w:val="24"/>
              </w:rPr>
            </w:pPr>
          </w:p>
        </w:tc>
        <w:tc>
          <w:tcPr>
            <w:tcW w:w="2869" w:type="pct"/>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2"/>
                <w:szCs w:val="22"/>
              </w:rPr>
              <w:t>巡查（视）线路指引牌</w:t>
            </w:r>
            <w:r>
              <w:rPr>
                <w:rStyle w:val="186"/>
              </w:rPr>
              <w:t>2</w:t>
            </w:r>
            <w:r>
              <w:rPr>
                <w:rStyle w:val="187"/>
                <w:rFonts w:hint="default"/>
              </w:rPr>
              <w:t>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99" w:type="pct"/>
            <w:vMerge w:val="continue"/>
            <w:vAlign w:val="center"/>
          </w:tcPr>
          <w:p>
            <w:pPr>
              <w:jc w:val="center"/>
              <w:rPr>
                <w:sz w:val="24"/>
                <w:szCs w:val="24"/>
              </w:rPr>
            </w:pPr>
          </w:p>
        </w:tc>
        <w:tc>
          <w:tcPr>
            <w:tcW w:w="1330" w:type="pct"/>
            <w:vMerge w:val="continue"/>
            <w:vAlign w:val="center"/>
          </w:tcPr>
          <w:p>
            <w:pPr>
              <w:rPr>
                <w:sz w:val="24"/>
                <w:szCs w:val="24"/>
              </w:rPr>
            </w:pPr>
          </w:p>
        </w:tc>
        <w:tc>
          <w:tcPr>
            <w:tcW w:w="2869" w:type="pct"/>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2"/>
                <w:szCs w:val="22"/>
              </w:rPr>
              <w:t>规章制度牌（根据需要确定</w:t>
            </w:r>
            <w:r>
              <w:rPr>
                <w:rStyle w:val="186"/>
              </w:rPr>
              <w:t>1</w:t>
            </w:r>
            <w:r>
              <w:rPr>
                <w:rStyle w:val="187"/>
                <w:rFonts w:hint="default"/>
              </w:rPr>
              <w:t>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99" w:type="pct"/>
            <w:vMerge w:val="continue"/>
            <w:vAlign w:val="center"/>
          </w:tcPr>
          <w:p>
            <w:pPr>
              <w:jc w:val="center"/>
              <w:rPr>
                <w:sz w:val="24"/>
                <w:szCs w:val="24"/>
              </w:rPr>
            </w:pPr>
          </w:p>
        </w:tc>
        <w:tc>
          <w:tcPr>
            <w:tcW w:w="1330" w:type="pct"/>
            <w:vMerge w:val="continue"/>
            <w:vAlign w:val="center"/>
          </w:tcPr>
          <w:p>
            <w:pPr>
              <w:rPr>
                <w:sz w:val="24"/>
                <w:szCs w:val="24"/>
              </w:rPr>
            </w:pPr>
          </w:p>
        </w:tc>
        <w:tc>
          <w:tcPr>
            <w:tcW w:w="2869" w:type="pct"/>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2"/>
                <w:szCs w:val="22"/>
              </w:rPr>
              <w:t>宣传牌</w:t>
            </w:r>
            <w:r>
              <w:rPr>
                <w:rStyle w:val="186"/>
              </w:rPr>
              <w:t>1</w:t>
            </w:r>
            <w:r>
              <w:rPr>
                <w:rStyle w:val="187"/>
                <w:rFonts w:hint="default"/>
              </w:rPr>
              <w:t>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5" w:hRule="atLeast"/>
        </w:trPr>
        <w:tc>
          <w:tcPr>
            <w:tcW w:w="799" w:type="pct"/>
            <w:vAlign w:val="center"/>
          </w:tcPr>
          <w:p>
            <w:pPr>
              <w:widowControl/>
              <w:jc w:val="center"/>
              <w:textAlignment w:val="center"/>
              <w:rPr>
                <w:sz w:val="24"/>
                <w:szCs w:val="24"/>
              </w:rPr>
            </w:pPr>
            <w:r>
              <w:rPr>
                <w:rFonts w:hint="eastAsia" w:ascii="宋体" w:hAnsi="宋体" w:cs="宋体"/>
                <w:b/>
                <w:color w:val="000000"/>
                <w:kern w:val="0"/>
                <w:sz w:val="22"/>
                <w:szCs w:val="22"/>
              </w:rPr>
              <w:t>二</w:t>
            </w:r>
          </w:p>
        </w:tc>
        <w:tc>
          <w:tcPr>
            <w:tcW w:w="1330" w:type="pct"/>
            <w:vAlign w:val="center"/>
          </w:tcPr>
          <w:p>
            <w:pPr>
              <w:widowControl/>
              <w:textAlignment w:val="center"/>
              <w:rPr>
                <w:sz w:val="24"/>
                <w:szCs w:val="24"/>
              </w:rPr>
            </w:pPr>
            <w:r>
              <w:rPr>
                <w:rFonts w:hint="eastAsia" w:ascii="宋体" w:hAnsi="宋体" w:cs="宋体"/>
                <w:b/>
                <w:color w:val="000000"/>
                <w:kern w:val="0"/>
                <w:sz w:val="22"/>
                <w:szCs w:val="22"/>
              </w:rPr>
              <w:t>机电设备维修养护</w:t>
            </w:r>
          </w:p>
        </w:tc>
        <w:tc>
          <w:tcPr>
            <w:tcW w:w="2869" w:type="pct"/>
            <w:vAlign w:val="center"/>
          </w:tcPr>
          <w:p>
            <w:pPr>
              <w:jc w:val="left"/>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99" w:type="pct"/>
            <w:vAlign w:val="center"/>
          </w:tcPr>
          <w:p>
            <w:pPr>
              <w:widowControl/>
              <w:jc w:val="center"/>
              <w:textAlignment w:val="center"/>
              <w:rPr>
                <w:sz w:val="24"/>
                <w:szCs w:val="24"/>
              </w:rPr>
            </w:pPr>
            <w:r>
              <w:rPr>
                <w:rFonts w:hint="eastAsia"/>
                <w:color w:val="000000"/>
                <w:kern w:val="0"/>
                <w:sz w:val="22"/>
                <w:szCs w:val="22"/>
              </w:rPr>
              <w:t>2</w:t>
            </w:r>
            <w:r>
              <w:rPr>
                <w:color w:val="000000"/>
                <w:kern w:val="0"/>
                <w:sz w:val="22"/>
                <w:szCs w:val="22"/>
              </w:rPr>
              <w:t>.1</w:t>
            </w:r>
          </w:p>
        </w:tc>
        <w:tc>
          <w:tcPr>
            <w:tcW w:w="1330" w:type="pct"/>
            <w:vAlign w:val="center"/>
          </w:tcPr>
          <w:p>
            <w:pPr>
              <w:widowControl/>
              <w:textAlignment w:val="center"/>
              <w:rPr>
                <w:rFonts w:ascii="宋体" w:hAnsi="宋体" w:cs="宋体"/>
                <w:color w:val="000000"/>
                <w:kern w:val="0"/>
                <w:sz w:val="24"/>
                <w:szCs w:val="24"/>
              </w:rPr>
            </w:pPr>
            <w:r>
              <w:rPr>
                <w:rFonts w:hint="eastAsia" w:ascii="宋体" w:hAnsi="宋体" w:cs="宋体"/>
                <w:color w:val="000000"/>
                <w:kern w:val="0"/>
                <w:sz w:val="22"/>
                <w:szCs w:val="22"/>
              </w:rPr>
              <w:t>电动机维修养护</w:t>
            </w:r>
          </w:p>
        </w:tc>
        <w:tc>
          <w:tcPr>
            <w:tcW w:w="2869" w:type="pct"/>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2"/>
                <w:szCs w:val="22"/>
              </w:rPr>
              <w:t>按相关规程标准定期保养，</w:t>
            </w:r>
            <w:r>
              <w:rPr>
                <w:color w:val="000000"/>
                <w:kern w:val="0"/>
                <w:sz w:val="22"/>
                <w:szCs w:val="22"/>
              </w:rPr>
              <w:t>1</w:t>
            </w:r>
            <w:r>
              <w:rPr>
                <w:rFonts w:hint="eastAsia" w:ascii="宋体" w:hAnsi="宋体" w:cs="宋体"/>
                <w:color w:val="000000"/>
                <w:kern w:val="0"/>
                <w:sz w:val="22"/>
                <w:szCs w:val="22"/>
              </w:rPr>
              <w:t>台机体表面防腐处理，除锈、防锈漆二道、醇酸漆二道，发现磨损件及时修复。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99" w:type="pct"/>
            <w:vAlign w:val="center"/>
          </w:tcPr>
          <w:p>
            <w:pPr>
              <w:widowControl/>
              <w:jc w:val="center"/>
              <w:textAlignment w:val="center"/>
              <w:rPr>
                <w:sz w:val="24"/>
                <w:szCs w:val="24"/>
              </w:rPr>
            </w:pPr>
            <w:r>
              <w:rPr>
                <w:rFonts w:hint="eastAsia"/>
                <w:color w:val="000000"/>
                <w:kern w:val="0"/>
                <w:sz w:val="22"/>
                <w:szCs w:val="22"/>
              </w:rPr>
              <w:t>2</w:t>
            </w:r>
            <w:r>
              <w:rPr>
                <w:color w:val="000000"/>
                <w:kern w:val="0"/>
                <w:sz w:val="22"/>
                <w:szCs w:val="22"/>
              </w:rPr>
              <w:t>.2</w:t>
            </w:r>
          </w:p>
        </w:tc>
        <w:tc>
          <w:tcPr>
            <w:tcW w:w="1330" w:type="pct"/>
            <w:vAlign w:val="center"/>
          </w:tcPr>
          <w:p>
            <w:pPr>
              <w:widowControl/>
              <w:textAlignment w:val="center"/>
              <w:rPr>
                <w:rFonts w:ascii="宋体" w:hAnsi="宋体" w:cs="宋体"/>
                <w:color w:val="000000"/>
                <w:kern w:val="0"/>
                <w:sz w:val="24"/>
                <w:szCs w:val="24"/>
              </w:rPr>
            </w:pPr>
            <w:r>
              <w:rPr>
                <w:rFonts w:hint="eastAsia" w:ascii="宋体" w:hAnsi="宋体" w:cs="宋体"/>
                <w:color w:val="000000"/>
                <w:kern w:val="0"/>
                <w:sz w:val="22"/>
                <w:szCs w:val="22"/>
              </w:rPr>
              <w:t>操作设备维修养护</w:t>
            </w:r>
          </w:p>
        </w:tc>
        <w:tc>
          <w:tcPr>
            <w:tcW w:w="2869" w:type="pct"/>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2"/>
                <w:szCs w:val="22"/>
              </w:rPr>
              <w:t>按相关规程标准定期保养，钢丝绳维修养护，</w:t>
            </w:r>
            <w:r>
              <w:rPr>
                <w:color w:val="000000"/>
                <w:kern w:val="0"/>
                <w:sz w:val="22"/>
                <w:szCs w:val="22"/>
              </w:rPr>
              <w:t>1</w:t>
            </w:r>
            <w:r>
              <w:rPr>
                <w:rFonts w:hint="eastAsia" w:ascii="宋体" w:hAnsi="宋体" w:cs="宋体"/>
                <w:color w:val="000000"/>
                <w:kern w:val="0"/>
                <w:sz w:val="22"/>
                <w:szCs w:val="22"/>
              </w:rPr>
              <w:t>台启闭机表面防腐处理，除锈、防锈漆二道、醇酸漆二道。发现损坏及时修复或更换。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99" w:type="pct"/>
            <w:vAlign w:val="center"/>
          </w:tcPr>
          <w:p>
            <w:pPr>
              <w:widowControl/>
              <w:jc w:val="center"/>
              <w:textAlignment w:val="center"/>
              <w:rPr>
                <w:sz w:val="24"/>
                <w:szCs w:val="24"/>
              </w:rPr>
            </w:pPr>
            <w:r>
              <w:rPr>
                <w:rFonts w:hint="eastAsia"/>
                <w:color w:val="000000"/>
                <w:kern w:val="0"/>
                <w:sz w:val="22"/>
                <w:szCs w:val="22"/>
              </w:rPr>
              <w:t>2</w:t>
            </w:r>
            <w:r>
              <w:rPr>
                <w:color w:val="000000"/>
                <w:kern w:val="0"/>
                <w:sz w:val="22"/>
                <w:szCs w:val="22"/>
              </w:rPr>
              <w:t>.3</w:t>
            </w:r>
          </w:p>
        </w:tc>
        <w:tc>
          <w:tcPr>
            <w:tcW w:w="1330" w:type="pct"/>
            <w:vAlign w:val="center"/>
          </w:tcPr>
          <w:p>
            <w:pPr>
              <w:widowControl/>
              <w:textAlignment w:val="center"/>
              <w:rPr>
                <w:rFonts w:ascii="宋体" w:hAnsi="宋体" w:cs="宋体"/>
                <w:color w:val="000000"/>
                <w:kern w:val="0"/>
                <w:sz w:val="24"/>
                <w:szCs w:val="24"/>
              </w:rPr>
            </w:pPr>
            <w:r>
              <w:rPr>
                <w:rFonts w:hint="eastAsia" w:ascii="宋体" w:hAnsi="宋体" w:cs="宋体"/>
                <w:color w:val="000000"/>
                <w:kern w:val="0"/>
                <w:sz w:val="22"/>
                <w:szCs w:val="22"/>
              </w:rPr>
              <w:t>配电设施维修养护</w:t>
            </w:r>
          </w:p>
        </w:tc>
        <w:tc>
          <w:tcPr>
            <w:tcW w:w="2869" w:type="pct"/>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2"/>
                <w:szCs w:val="22"/>
              </w:rPr>
              <w:t>按相关规程标准定期保养，相关电网电线断裂更换，配电设施损害更换发现损坏及时修复或更换。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5" w:hRule="atLeast"/>
        </w:trPr>
        <w:tc>
          <w:tcPr>
            <w:tcW w:w="799" w:type="pct"/>
            <w:vAlign w:val="center"/>
          </w:tcPr>
          <w:p>
            <w:pPr>
              <w:widowControl/>
              <w:jc w:val="center"/>
              <w:textAlignment w:val="center"/>
              <w:rPr>
                <w:sz w:val="24"/>
                <w:szCs w:val="24"/>
              </w:rPr>
            </w:pPr>
            <w:r>
              <w:rPr>
                <w:rFonts w:hint="eastAsia" w:ascii="宋体" w:hAnsi="宋体" w:cs="宋体"/>
                <w:b/>
                <w:color w:val="000000"/>
                <w:kern w:val="0"/>
                <w:sz w:val="22"/>
                <w:szCs w:val="22"/>
              </w:rPr>
              <w:t>三</w:t>
            </w:r>
          </w:p>
        </w:tc>
        <w:tc>
          <w:tcPr>
            <w:tcW w:w="1330" w:type="pct"/>
            <w:vAlign w:val="center"/>
          </w:tcPr>
          <w:p>
            <w:pPr>
              <w:widowControl/>
              <w:textAlignment w:val="center"/>
              <w:rPr>
                <w:sz w:val="24"/>
                <w:szCs w:val="24"/>
              </w:rPr>
            </w:pPr>
            <w:r>
              <w:rPr>
                <w:rFonts w:hint="eastAsia" w:ascii="宋体" w:hAnsi="宋体" w:cs="宋体"/>
                <w:b/>
                <w:color w:val="000000"/>
                <w:kern w:val="0"/>
                <w:sz w:val="22"/>
                <w:szCs w:val="22"/>
              </w:rPr>
              <w:t>物料消耗</w:t>
            </w:r>
          </w:p>
        </w:tc>
        <w:tc>
          <w:tcPr>
            <w:tcW w:w="2869" w:type="pct"/>
            <w:vAlign w:val="center"/>
          </w:tcPr>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5" w:hRule="atLeast"/>
        </w:trPr>
        <w:tc>
          <w:tcPr>
            <w:tcW w:w="799" w:type="pct"/>
            <w:vAlign w:val="center"/>
          </w:tcPr>
          <w:p>
            <w:pPr>
              <w:widowControl/>
              <w:jc w:val="center"/>
              <w:textAlignment w:val="center"/>
              <w:rPr>
                <w:rFonts w:ascii="宋体" w:hAnsi="宋体" w:cs="宋体"/>
                <w:b/>
                <w:color w:val="000000"/>
                <w:kern w:val="0"/>
                <w:sz w:val="22"/>
                <w:szCs w:val="22"/>
              </w:rPr>
            </w:pPr>
            <w:r>
              <w:rPr>
                <w:rFonts w:hint="eastAsia"/>
                <w:color w:val="000000"/>
                <w:kern w:val="0"/>
                <w:sz w:val="22"/>
                <w:szCs w:val="22"/>
              </w:rPr>
              <w:t>3</w:t>
            </w:r>
            <w:r>
              <w:rPr>
                <w:color w:val="000000"/>
                <w:kern w:val="0"/>
                <w:sz w:val="22"/>
                <w:szCs w:val="22"/>
              </w:rPr>
              <w:t>.1</w:t>
            </w:r>
          </w:p>
        </w:tc>
        <w:tc>
          <w:tcPr>
            <w:tcW w:w="1330" w:type="pct"/>
            <w:vAlign w:val="center"/>
          </w:tcPr>
          <w:p>
            <w:pPr>
              <w:widowControl/>
              <w:textAlignment w:val="center"/>
              <w:rPr>
                <w:rFonts w:ascii="宋体" w:hAnsi="宋体" w:cs="宋体"/>
                <w:b/>
                <w:color w:val="000000"/>
                <w:kern w:val="0"/>
                <w:sz w:val="22"/>
                <w:szCs w:val="22"/>
              </w:rPr>
            </w:pPr>
            <w:r>
              <w:rPr>
                <w:rFonts w:hint="eastAsia" w:ascii="宋体" w:hAnsi="宋体" w:cs="宋体"/>
                <w:color w:val="000000"/>
                <w:kern w:val="0"/>
                <w:sz w:val="22"/>
                <w:szCs w:val="22"/>
              </w:rPr>
              <w:t>柴油</w:t>
            </w:r>
          </w:p>
        </w:tc>
        <w:tc>
          <w:tcPr>
            <w:tcW w:w="2869" w:type="pct"/>
            <w:vAlign w:val="center"/>
          </w:tcPr>
          <w:p>
            <w:pPr>
              <w:widowControl/>
              <w:jc w:val="left"/>
              <w:textAlignment w:val="center"/>
              <w:rPr>
                <w:sz w:val="24"/>
                <w:szCs w:val="24"/>
              </w:rPr>
            </w:pPr>
            <w:r>
              <w:rPr>
                <w:rFonts w:hint="eastAsia" w:ascii="宋体" w:hAnsi="宋体" w:cs="宋体"/>
                <w:color w:val="000000"/>
                <w:kern w:val="0"/>
                <w:sz w:val="22"/>
                <w:szCs w:val="22"/>
              </w:rPr>
              <w:t>备用发电机调试、设备保养清洗等用油。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0" w:hRule="atLeast"/>
        </w:trPr>
        <w:tc>
          <w:tcPr>
            <w:tcW w:w="799" w:type="pct"/>
            <w:vAlign w:val="center"/>
          </w:tcPr>
          <w:p>
            <w:pPr>
              <w:widowControl/>
              <w:jc w:val="center"/>
              <w:textAlignment w:val="center"/>
              <w:rPr>
                <w:rFonts w:ascii="宋体" w:hAnsi="宋体" w:cs="宋体"/>
                <w:b/>
                <w:color w:val="000000"/>
                <w:kern w:val="0"/>
                <w:sz w:val="22"/>
                <w:szCs w:val="22"/>
              </w:rPr>
            </w:pPr>
            <w:r>
              <w:rPr>
                <w:rFonts w:hint="eastAsia"/>
                <w:color w:val="000000"/>
                <w:kern w:val="0"/>
                <w:sz w:val="22"/>
                <w:szCs w:val="22"/>
              </w:rPr>
              <w:t>3</w:t>
            </w:r>
            <w:r>
              <w:rPr>
                <w:color w:val="000000"/>
                <w:kern w:val="0"/>
                <w:sz w:val="22"/>
                <w:szCs w:val="22"/>
              </w:rPr>
              <w:t>.2</w:t>
            </w:r>
          </w:p>
        </w:tc>
        <w:tc>
          <w:tcPr>
            <w:tcW w:w="1330" w:type="pct"/>
            <w:vAlign w:val="center"/>
          </w:tcPr>
          <w:p>
            <w:pPr>
              <w:widowControl/>
              <w:textAlignment w:val="center"/>
              <w:rPr>
                <w:rFonts w:ascii="宋体" w:hAnsi="宋体" w:cs="宋体"/>
                <w:b/>
                <w:color w:val="000000"/>
                <w:kern w:val="0"/>
                <w:sz w:val="22"/>
                <w:szCs w:val="22"/>
              </w:rPr>
            </w:pPr>
            <w:r>
              <w:rPr>
                <w:rFonts w:hint="eastAsia" w:ascii="宋体" w:hAnsi="宋体" w:cs="宋体"/>
                <w:color w:val="000000"/>
                <w:kern w:val="0"/>
                <w:sz w:val="22"/>
                <w:szCs w:val="22"/>
              </w:rPr>
              <w:t>机油</w:t>
            </w:r>
          </w:p>
        </w:tc>
        <w:tc>
          <w:tcPr>
            <w:tcW w:w="2869" w:type="pct"/>
            <w:vAlign w:val="center"/>
          </w:tcPr>
          <w:p>
            <w:pPr>
              <w:widowControl/>
              <w:jc w:val="left"/>
              <w:textAlignment w:val="center"/>
              <w:rPr>
                <w:sz w:val="24"/>
                <w:szCs w:val="24"/>
              </w:rPr>
            </w:pPr>
            <w:r>
              <w:rPr>
                <w:rFonts w:hint="eastAsia" w:ascii="宋体" w:hAnsi="宋体" w:cs="宋体"/>
                <w:color w:val="000000"/>
                <w:kern w:val="0"/>
                <w:sz w:val="22"/>
                <w:szCs w:val="22"/>
              </w:rPr>
              <w:t>机电等设备保养用油。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5" w:hRule="atLeast"/>
        </w:trPr>
        <w:tc>
          <w:tcPr>
            <w:tcW w:w="799" w:type="pct"/>
            <w:vAlign w:val="center"/>
          </w:tcPr>
          <w:p>
            <w:pPr>
              <w:widowControl/>
              <w:jc w:val="center"/>
              <w:textAlignment w:val="center"/>
              <w:rPr>
                <w:rFonts w:ascii="宋体" w:hAnsi="宋体" w:cs="宋体"/>
                <w:b/>
                <w:color w:val="000000"/>
                <w:kern w:val="0"/>
                <w:sz w:val="22"/>
                <w:szCs w:val="22"/>
              </w:rPr>
            </w:pPr>
            <w:r>
              <w:rPr>
                <w:rFonts w:hint="eastAsia"/>
                <w:color w:val="000000"/>
                <w:kern w:val="0"/>
                <w:sz w:val="22"/>
                <w:szCs w:val="22"/>
              </w:rPr>
              <w:t>3</w:t>
            </w:r>
            <w:r>
              <w:rPr>
                <w:color w:val="000000"/>
                <w:kern w:val="0"/>
                <w:sz w:val="22"/>
                <w:szCs w:val="22"/>
              </w:rPr>
              <w:t>.3</w:t>
            </w:r>
          </w:p>
        </w:tc>
        <w:tc>
          <w:tcPr>
            <w:tcW w:w="1330" w:type="pct"/>
            <w:vAlign w:val="center"/>
          </w:tcPr>
          <w:p>
            <w:pPr>
              <w:widowControl/>
              <w:textAlignment w:val="center"/>
              <w:rPr>
                <w:rFonts w:ascii="宋体" w:hAnsi="宋体" w:cs="宋体"/>
                <w:b/>
                <w:color w:val="000000"/>
                <w:kern w:val="0"/>
                <w:sz w:val="22"/>
                <w:szCs w:val="22"/>
              </w:rPr>
            </w:pPr>
            <w:r>
              <w:rPr>
                <w:rFonts w:hint="eastAsia" w:ascii="宋体" w:hAnsi="宋体" w:cs="宋体"/>
                <w:color w:val="000000"/>
                <w:kern w:val="0"/>
                <w:sz w:val="22"/>
                <w:szCs w:val="22"/>
              </w:rPr>
              <w:t>黄油</w:t>
            </w:r>
          </w:p>
        </w:tc>
        <w:tc>
          <w:tcPr>
            <w:tcW w:w="2869" w:type="pct"/>
            <w:vAlign w:val="center"/>
          </w:tcPr>
          <w:p>
            <w:pPr>
              <w:widowControl/>
              <w:jc w:val="left"/>
              <w:textAlignment w:val="center"/>
              <w:rPr>
                <w:sz w:val="24"/>
                <w:szCs w:val="24"/>
              </w:rPr>
            </w:pPr>
            <w:r>
              <w:rPr>
                <w:rFonts w:hint="eastAsia" w:ascii="宋体" w:hAnsi="宋体" w:cs="宋体"/>
                <w:color w:val="000000"/>
                <w:kern w:val="0"/>
                <w:sz w:val="22"/>
                <w:szCs w:val="22"/>
              </w:rPr>
              <w:t>设备等润滑用油。</w:t>
            </w:r>
          </w:p>
        </w:tc>
      </w:tr>
    </w:tbl>
    <w:p>
      <w:pPr>
        <w:pStyle w:val="18"/>
        <w:rPr>
          <w:rFonts w:ascii="宋体" w:hAnsi="宋体"/>
          <w:b/>
          <w:color w:val="000000"/>
          <w:sz w:val="28"/>
          <w:szCs w:val="28"/>
        </w:rPr>
      </w:pPr>
      <w:r>
        <w:rPr>
          <w:rFonts w:hint="eastAsia" w:ascii="宋体" w:hAnsi="宋体"/>
          <w:b/>
          <w:color w:val="000000"/>
          <w:sz w:val="28"/>
          <w:szCs w:val="28"/>
        </w:rPr>
        <w:t>2、湖前水闸：</w:t>
      </w:r>
    </w:p>
    <w:tbl>
      <w:tblPr>
        <w:tblStyle w:val="38"/>
        <w:tblW w:w="5082"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1543"/>
        <w:gridCol w:w="2563"/>
        <w:gridCol w:w="572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785" w:type="pct"/>
            <w:vMerge w:val="restart"/>
            <w:tcBorders>
              <w:tl2br w:val="nil"/>
              <w:tr2bl w:val="nil"/>
            </w:tcBorders>
            <w:shd w:val="clear" w:color="auto" w:fill="auto"/>
            <w:tcMar>
              <w:top w:w="15" w:type="dxa"/>
              <w:left w:w="15" w:type="dxa"/>
              <w:right w:w="15" w:type="dxa"/>
            </w:tcMar>
            <w:vAlign w:val="center"/>
          </w:tcPr>
          <w:p>
            <w:pPr>
              <w:widowControl/>
              <w:jc w:val="center"/>
              <w:textAlignment w:val="center"/>
              <w:rPr>
                <w:b/>
                <w:bCs/>
                <w:color w:val="000000"/>
                <w:sz w:val="22"/>
              </w:rPr>
            </w:pPr>
            <w:r>
              <w:rPr>
                <w:b/>
                <w:bCs/>
                <w:color w:val="000000"/>
                <w:kern w:val="0"/>
                <w:sz w:val="22"/>
              </w:rPr>
              <w:t>编号</w:t>
            </w:r>
          </w:p>
        </w:tc>
        <w:tc>
          <w:tcPr>
            <w:tcW w:w="1304" w:type="pct"/>
            <w:vMerge w:val="restart"/>
            <w:tcBorders>
              <w:tl2br w:val="nil"/>
              <w:tr2bl w:val="nil"/>
            </w:tcBorders>
            <w:shd w:val="clear" w:color="auto" w:fill="auto"/>
            <w:tcMar>
              <w:top w:w="15" w:type="dxa"/>
              <w:left w:w="15" w:type="dxa"/>
              <w:right w:w="15" w:type="dxa"/>
            </w:tcMar>
            <w:vAlign w:val="center"/>
          </w:tcPr>
          <w:p>
            <w:pPr>
              <w:widowControl/>
              <w:jc w:val="center"/>
              <w:textAlignment w:val="center"/>
              <w:rPr>
                <w:b/>
                <w:bCs/>
                <w:color w:val="000000"/>
                <w:sz w:val="22"/>
              </w:rPr>
            </w:pPr>
            <w:r>
              <w:rPr>
                <w:b/>
                <w:bCs/>
                <w:color w:val="000000"/>
                <w:kern w:val="0"/>
                <w:sz w:val="22"/>
              </w:rPr>
              <w:t>维修养护项目</w:t>
            </w:r>
          </w:p>
        </w:tc>
        <w:tc>
          <w:tcPr>
            <w:tcW w:w="2910" w:type="pct"/>
            <w:vMerge w:val="restart"/>
            <w:tcBorders>
              <w:tl2br w:val="nil"/>
              <w:tr2bl w:val="nil"/>
            </w:tcBorders>
            <w:shd w:val="clear" w:color="auto" w:fill="auto"/>
            <w:tcMar>
              <w:top w:w="15" w:type="dxa"/>
              <w:left w:w="15" w:type="dxa"/>
              <w:right w:w="15" w:type="dxa"/>
            </w:tcMar>
            <w:vAlign w:val="center"/>
          </w:tcPr>
          <w:p>
            <w:pPr>
              <w:widowControl/>
              <w:jc w:val="center"/>
              <w:textAlignment w:val="center"/>
              <w:rPr>
                <w:b/>
                <w:bCs/>
                <w:color w:val="000000"/>
                <w:sz w:val="22"/>
              </w:rPr>
            </w:pPr>
            <w:r>
              <w:rPr>
                <w:b/>
                <w:bCs/>
                <w:color w:val="000000"/>
                <w:kern w:val="0"/>
                <w:sz w:val="22"/>
              </w:rPr>
              <w:t>工作内容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85" w:type="pct"/>
            <w:vMerge w:val="continue"/>
            <w:tcBorders>
              <w:tl2br w:val="nil"/>
              <w:tr2bl w:val="nil"/>
            </w:tcBorders>
            <w:shd w:val="clear" w:color="auto" w:fill="auto"/>
            <w:tcMar>
              <w:top w:w="15" w:type="dxa"/>
              <w:left w:w="15" w:type="dxa"/>
              <w:right w:w="15" w:type="dxa"/>
            </w:tcMar>
            <w:vAlign w:val="center"/>
          </w:tcPr>
          <w:p>
            <w:pPr>
              <w:jc w:val="center"/>
              <w:rPr>
                <w:b/>
                <w:bCs/>
                <w:color w:val="000000"/>
                <w:sz w:val="22"/>
              </w:rPr>
            </w:pPr>
          </w:p>
        </w:tc>
        <w:tc>
          <w:tcPr>
            <w:tcW w:w="1304" w:type="pct"/>
            <w:vMerge w:val="continue"/>
            <w:tcBorders>
              <w:tl2br w:val="nil"/>
              <w:tr2bl w:val="nil"/>
            </w:tcBorders>
            <w:shd w:val="clear" w:color="auto" w:fill="auto"/>
            <w:tcMar>
              <w:top w:w="15" w:type="dxa"/>
              <w:left w:w="15" w:type="dxa"/>
              <w:right w:w="15" w:type="dxa"/>
            </w:tcMar>
            <w:vAlign w:val="center"/>
          </w:tcPr>
          <w:p>
            <w:pPr>
              <w:jc w:val="center"/>
              <w:rPr>
                <w:b/>
                <w:bCs/>
                <w:color w:val="000000"/>
                <w:sz w:val="22"/>
              </w:rPr>
            </w:pPr>
          </w:p>
        </w:tc>
        <w:tc>
          <w:tcPr>
            <w:tcW w:w="2910" w:type="pct"/>
            <w:vMerge w:val="continue"/>
            <w:tcBorders>
              <w:tl2br w:val="nil"/>
              <w:tr2bl w:val="nil"/>
            </w:tcBorders>
            <w:shd w:val="clear" w:color="auto" w:fill="auto"/>
            <w:tcMar>
              <w:top w:w="15" w:type="dxa"/>
              <w:left w:w="15" w:type="dxa"/>
              <w:right w:w="15" w:type="dxa"/>
            </w:tcMar>
            <w:vAlign w:val="center"/>
          </w:tcPr>
          <w:p>
            <w:pPr>
              <w:jc w:val="center"/>
              <w:rPr>
                <w:b/>
                <w:bCs/>
                <w:color w:val="000000"/>
                <w:sz w:val="22"/>
              </w:rPr>
            </w:pPr>
          </w:p>
        </w:tc>
      </w:tr>
    </w:tbl>
    <w:tbl>
      <w:tblPr>
        <w:tblStyle w:val="39"/>
        <w:tblW w:w="4983" w:type="pct"/>
        <w:tblInd w:w="10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44"/>
        <w:gridCol w:w="2564"/>
        <w:gridCol w:w="571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6" w:type="pct"/>
            <w:vMerge w:val="restart"/>
            <w:vAlign w:val="center"/>
          </w:tcPr>
          <w:p>
            <w:pPr>
              <w:jc w:val="center"/>
              <w:rPr>
                <w:sz w:val="24"/>
                <w:szCs w:val="24"/>
              </w:rPr>
            </w:pPr>
            <w:r>
              <w:rPr>
                <w:rFonts w:hint="eastAsia"/>
                <w:sz w:val="24"/>
                <w:szCs w:val="24"/>
              </w:rPr>
              <w:t>一</w:t>
            </w:r>
          </w:p>
        </w:tc>
        <w:tc>
          <w:tcPr>
            <w:tcW w:w="1305" w:type="pct"/>
            <w:vMerge w:val="restart"/>
            <w:vAlign w:val="center"/>
          </w:tcPr>
          <w:p>
            <w:pPr>
              <w:rPr>
                <w:sz w:val="24"/>
                <w:szCs w:val="24"/>
              </w:rPr>
            </w:pPr>
            <w:r>
              <w:rPr>
                <w:rFonts w:hint="eastAsia" w:ascii="宋体" w:hAnsi="宋体" w:cs="宋体"/>
                <w:color w:val="000000"/>
                <w:kern w:val="0"/>
                <w:sz w:val="24"/>
                <w:szCs w:val="24"/>
              </w:rPr>
              <w:t>标志（碑、牌、桩）新建</w:t>
            </w:r>
          </w:p>
        </w:tc>
        <w:tc>
          <w:tcPr>
            <w:tcW w:w="2908" w:type="pct"/>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2"/>
                <w:szCs w:val="22"/>
              </w:rPr>
              <w:t>工程简介标牌一个；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6" w:type="pct"/>
            <w:vMerge w:val="continue"/>
            <w:vAlign w:val="center"/>
          </w:tcPr>
          <w:p>
            <w:pPr>
              <w:jc w:val="center"/>
              <w:rPr>
                <w:sz w:val="24"/>
                <w:szCs w:val="24"/>
              </w:rPr>
            </w:pPr>
          </w:p>
        </w:tc>
        <w:tc>
          <w:tcPr>
            <w:tcW w:w="1305" w:type="pct"/>
            <w:vMerge w:val="continue"/>
            <w:vAlign w:val="center"/>
          </w:tcPr>
          <w:p>
            <w:pPr>
              <w:rPr>
                <w:sz w:val="24"/>
                <w:szCs w:val="24"/>
              </w:rPr>
            </w:pPr>
          </w:p>
        </w:tc>
        <w:tc>
          <w:tcPr>
            <w:tcW w:w="2908" w:type="pct"/>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2"/>
                <w:szCs w:val="22"/>
              </w:rPr>
              <w:t>规章制度牌（根据需要确定</w:t>
            </w:r>
            <w:r>
              <w:rPr>
                <w:color w:val="000000"/>
                <w:kern w:val="0"/>
                <w:sz w:val="22"/>
                <w:szCs w:val="22"/>
              </w:rPr>
              <w:t>10</w:t>
            </w:r>
            <w:r>
              <w:rPr>
                <w:rFonts w:hint="eastAsia" w:ascii="宋体" w:hAnsi="宋体" w:cs="宋体"/>
                <w:color w:val="000000"/>
                <w:kern w:val="0"/>
                <w:sz w:val="22"/>
                <w:szCs w:val="22"/>
              </w:rPr>
              <w:t>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6" w:type="pct"/>
            <w:vMerge w:val="continue"/>
            <w:vAlign w:val="center"/>
          </w:tcPr>
          <w:p>
            <w:pPr>
              <w:jc w:val="center"/>
              <w:rPr>
                <w:sz w:val="24"/>
                <w:szCs w:val="24"/>
              </w:rPr>
            </w:pPr>
          </w:p>
        </w:tc>
        <w:tc>
          <w:tcPr>
            <w:tcW w:w="1305" w:type="pct"/>
            <w:vMerge w:val="continue"/>
            <w:vAlign w:val="center"/>
          </w:tcPr>
          <w:p>
            <w:pPr>
              <w:rPr>
                <w:sz w:val="24"/>
                <w:szCs w:val="24"/>
              </w:rPr>
            </w:pPr>
          </w:p>
        </w:tc>
        <w:tc>
          <w:tcPr>
            <w:tcW w:w="2908" w:type="pct"/>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2"/>
                <w:szCs w:val="22"/>
              </w:rPr>
              <w:t>宣传牌</w:t>
            </w:r>
            <w:r>
              <w:rPr>
                <w:color w:val="000000"/>
                <w:kern w:val="0"/>
                <w:sz w:val="22"/>
                <w:szCs w:val="22"/>
              </w:rPr>
              <w:t>2</w:t>
            </w:r>
            <w:r>
              <w:rPr>
                <w:rFonts w:hint="eastAsia" w:ascii="宋体" w:hAnsi="宋体" w:cs="宋体"/>
                <w:color w:val="000000"/>
                <w:kern w:val="0"/>
                <w:sz w:val="22"/>
                <w:szCs w:val="22"/>
              </w:rPr>
              <w:t>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6" w:type="pct"/>
            <w:vMerge w:val="continue"/>
            <w:vAlign w:val="center"/>
          </w:tcPr>
          <w:p>
            <w:pPr>
              <w:jc w:val="center"/>
              <w:rPr>
                <w:sz w:val="24"/>
                <w:szCs w:val="24"/>
              </w:rPr>
            </w:pPr>
          </w:p>
        </w:tc>
        <w:tc>
          <w:tcPr>
            <w:tcW w:w="1305" w:type="pct"/>
            <w:vMerge w:val="continue"/>
            <w:vAlign w:val="center"/>
          </w:tcPr>
          <w:p>
            <w:pPr>
              <w:rPr>
                <w:sz w:val="24"/>
                <w:szCs w:val="24"/>
              </w:rPr>
            </w:pPr>
          </w:p>
        </w:tc>
        <w:tc>
          <w:tcPr>
            <w:tcW w:w="2908" w:type="pct"/>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2"/>
                <w:szCs w:val="22"/>
              </w:rPr>
              <w:t>机电金结设备序号牌</w:t>
            </w:r>
            <w:r>
              <w:rPr>
                <w:color w:val="000000"/>
                <w:kern w:val="0"/>
                <w:sz w:val="22"/>
                <w:szCs w:val="22"/>
              </w:rPr>
              <w:t>4</w:t>
            </w:r>
            <w:r>
              <w:rPr>
                <w:rFonts w:hint="eastAsia" w:ascii="宋体" w:hAnsi="宋体" w:cs="宋体"/>
                <w:color w:val="000000"/>
                <w:kern w:val="0"/>
                <w:sz w:val="22"/>
                <w:szCs w:val="22"/>
              </w:rPr>
              <w:t>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6" w:type="pct"/>
            <w:vMerge w:val="continue"/>
            <w:vAlign w:val="center"/>
          </w:tcPr>
          <w:p>
            <w:pPr>
              <w:jc w:val="center"/>
              <w:rPr>
                <w:sz w:val="24"/>
                <w:szCs w:val="24"/>
              </w:rPr>
            </w:pPr>
          </w:p>
        </w:tc>
        <w:tc>
          <w:tcPr>
            <w:tcW w:w="1305" w:type="pct"/>
            <w:vMerge w:val="continue"/>
            <w:vAlign w:val="center"/>
          </w:tcPr>
          <w:p>
            <w:pPr>
              <w:rPr>
                <w:sz w:val="24"/>
                <w:szCs w:val="24"/>
              </w:rPr>
            </w:pPr>
          </w:p>
        </w:tc>
        <w:tc>
          <w:tcPr>
            <w:tcW w:w="2908" w:type="pct"/>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2"/>
                <w:szCs w:val="22"/>
              </w:rPr>
              <w:t>电气屏柜设备名称牌</w:t>
            </w:r>
            <w:r>
              <w:rPr>
                <w:color w:val="000000"/>
                <w:kern w:val="0"/>
                <w:sz w:val="22"/>
                <w:szCs w:val="22"/>
              </w:rPr>
              <w:t>2</w:t>
            </w:r>
            <w:r>
              <w:rPr>
                <w:rFonts w:hint="eastAsia" w:ascii="宋体" w:hAnsi="宋体" w:cs="宋体"/>
                <w:color w:val="000000"/>
                <w:kern w:val="0"/>
                <w:sz w:val="22"/>
                <w:szCs w:val="22"/>
              </w:rPr>
              <w:t>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6" w:type="pct"/>
            <w:vMerge w:val="continue"/>
            <w:vAlign w:val="center"/>
          </w:tcPr>
          <w:p>
            <w:pPr>
              <w:jc w:val="center"/>
              <w:rPr>
                <w:sz w:val="24"/>
                <w:szCs w:val="24"/>
              </w:rPr>
            </w:pPr>
          </w:p>
        </w:tc>
        <w:tc>
          <w:tcPr>
            <w:tcW w:w="1305" w:type="pct"/>
            <w:vMerge w:val="continue"/>
            <w:vAlign w:val="center"/>
          </w:tcPr>
          <w:p>
            <w:pPr>
              <w:rPr>
                <w:sz w:val="24"/>
                <w:szCs w:val="24"/>
              </w:rPr>
            </w:pPr>
          </w:p>
        </w:tc>
        <w:tc>
          <w:tcPr>
            <w:tcW w:w="2908" w:type="pct"/>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2"/>
                <w:szCs w:val="22"/>
              </w:rPr>
              <w:t>仪表牌</w:t>
            </w:r>
            <w:r>
              <w:rPr>
                <w:color w:val="000000"/>
                <w:kern w:val="0"/>
                <w:sz w:val="22"/>
                <w:szCs w:val="22"/>
              </w:rPr>
              <w:t>8</w:t>
            </w:r>
            <w:r>
              <w:rPr>
                <w:rFonts w:hint="eastAsia" w:ascii="宋体" w:hAnsi="宋体" w:cs="宋体"/>
                <w:color w:val="000000"/>
                <w:kern w:val="0"/>
                <w:sz w:val="22"/>
                <w:szCs w:val="22"/>
              </w:rPr>
              <w:t>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6" w:type="pct"/>
            <w:vMerge w:val="continue"/>
            <w:vAlign w:val="center"/>
          </w:tcPr>
          <w:p>
            <w:pPr>
              <w:jc w:val="center"/>
              <w:rPr>
                <w:sz w:val="24"/>
                <w:szCs w:val="24"/>
              </w:rPr>
            </w:pPr>
          </w:p>
        </w:tc>
        <w:tc>
          <w:tcPr>
            <w:tcW w:w="1305" w:type="pct"/>
            <w:vMerge w:val="continue"/>
            <w:vAlign w:val="center"/>
          </w:tcPr>
          <w:p>
            <w:pPr>
              <w:rPr>
                <w:sz w:val="24"/>
                <w:szCs w:val="24"/>
              </w:rPr>
            </w:pPr>
          </w:p>
        </w:tc>
        <w:tc>
          <w:tcPr>
            <w:tcW w:w="2908" w:type="pct"/>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2"/>
                <w:szCs w:val="22"/>
              </w:rPr>
              <w:t>深水警示牌</w:t>
            </w:r>
            <w:r>
              <w:rPr>
                <w:color w:val="000000"/>
                <w:kern w:val="0"/>
                <w:sz w:val="22"/>
                <w:szCs w:val="22"/>
              </w:rPr>
              <w:t>4</w:t>
            </w:r>
            <w:r>
              <w:rPr>
                <w:rFonts w:hint="eastAsia" w:ascii="宋体" w:hAnsi="宋体" w:cs="宋体"/>
                <w:color w:val="000000"/>
                <w:kern w:val="0"/>
                <w:sz w:val="22"/>
                <w:szCs w:val="22"/>
              </w:rPr>
              <w:t>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6" w:type="pct"/>
            <w:vMerge w:val="continue"/>
            <w:vAlign w:val="center"/>
          </w:tcPr>
          <w:p>
            <w:pPr>
              <w:jc w:val="center"/>
              <w:rPr>
                <w:sz w:val="24"/>
                <w:szCs w:val="24"/>
              </w:rPr>
            </w:pPr>
          </w:p>
        </w:tc>
        <w:tc>
          <w:tcPr>
            <w:tcW w:w="1305" w:type="pct"/>
            <w:vMerge w:val="continue"/>
            <w:vAlign w:val="center"/>
          </w:tcPr>
          <w:p>
            <w:pPr>
              <w:rPr>
                <w:sz w:val="24"/>
                <w:szCs w:val="24"/>
              </w:rPr>
            </w:pPr>
          </w:p>
        </w:tc>
        <w:tc>
          <w:tcPr>
            <w:tcW w:w="2908" w:type="pct"/>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2"/>
                <w:szCs w:val="22"/>
              </w:rPr>
              <w:t>警示标</w:t>
            </w:r>
            <w:r>
              <w:rPr>
                <w:color w:val="000000"/>
                <w:kern w:val="0"/>
                <w:sz w:val="22"/>
                <w:szCs w:val="22"/>
              </w:rPr>
              <w:t>32m</w:t>
            </w:r>
            <w:r>
              <w:rPr>
                <w:rFonts w:hint="eastAsia" w:ascii="宋体" w:hAnsi="宋体" w:cs="宋体"/>
                <w:color w:val="000000"/>
                <w:kern w:val="0"/>
                <w:sz w:val="22"/>
                <w:szCs w:val="22"/>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6" w:type="pct"/>
            <w:vMerge w:val="continue"/>
            <w:vAlign w:val="center"/>
          </w:tcPr>
          <w:p>
            <w:pPr>
              <w:jc w:val="center"/>
              <w:rPr>
                <w:sz w:val="24"/>
                <w:szCs w:val="24"/>
              </w:rPr>
            </w:pPr>
          </w:p>
        </w:tc>
        <w:tc>
          <w:tcPr>
            <w:tcW w:w="1305" w:type="pct"/>
            <w:vMerge w:val="continue"/>
            <w:vAlign w:val="center"/>
          </w:tcPr>
          <w:p>
            <w:pPr>
              <w:rPr>
                <w:sz w:val="24"/>
                <w:szCs w:val="24"/>
              </w:rPr>
            </w:pPr>
          </w:p>
        </w:tc>
        <w:tc>
          <w:tcPr>
            <w:tcW w:w="2908" w:type="pct"/>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2"/>
                <w:szCs w:val="22"/>
              </w:rPr>
              <w:t>巡查（视）线路指引牌</w:t>
            </w:r>
            <w:r>
              <w:rPr>
                <w:color w:val="000000"/>
                <w:kern w:val="0"/>
                <w:sz w:val="22"/>
                <w:szCs w:val="22"/>
              </w:rPr>
              <w:t>10</w:t>
            </w:r>
            <w:r>
              <w:rPr>
                <w:rFonts w:hint="eastAsia" w:ascii="宋体" w:hAnsi="宋体" w:cs="宋体"/>
                <w:color w:val="000000"/>
                <w:kern w:val="0"/>
                <w:sz w:val="22"/>
                <w:szCs w:val="22"/>
              </w:rPr>
              <w:t>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9" w:hRule="atLeast"/>
        </w:trPr>
        <w:tc>
          <w:tcPr>
            <w:tcW w:w="786" w:type="pct"/>
            <w:vAlign w:val="center"/>
          </w:tcPr>
          <w:p>
            <w:pPr>
              <w:widowControl/>
              <w:jc w:val="center"/>
              <w:textAlignment w:val="center"/>
            </w:pPr>
            <w:r>
              <w:rPr>
                <w:rFonts w:hint="eastAsia" w:ascii="宋体" w:hAnsi="宋体" w:cs="宋体"/>
                <w:b/>
                <w:color w:val="000000"/>
                <w:kern w:val="0"/>
                <w:sz w:val="22"/>
                <w:szCs w:val="22"/>
              </w:rPr>
              <w:t>二</w:t>
            </w:r>
          </w:p>
        </w:tc>
        <w:tc>
          <w:tcPr>
            <w:tcW w:w="1305" w:type="pct"/>
            <w:vAlign w:val="center"/>
          </w:tcPr>
          <w:p>
            <w:pPr>
              <w:widowControl/>
              <w:textAlignment w:val="center"/>
              <w:rPr>
                <w:sz w:val="24"/>
                <w:szCs w:val="24"/>
              </w:rPr>
            </w:pPr>
            <w:r>
              <w:rPr>
                <w:rFonts w:hint="eastAsia" w:ascii="宋体" w:hAnsi="宋体" w:cs="宋体"/>
                <w:b/>
                <w:color w:val="000000"/>
                <w:kern w:val="0"/>
                <w:sz w:val="22"/>
                <w:szCs w:val="22"/>
              </w:rPr>
              <w:t>启闭机维修养护</w:t>
            </w:r>
          </w:p>
        </w:tc>
        <w:tc>
          <w:tcPr>
            <w:tcW w:w="2908" w:type="pct"/>
            <w:vAlign w:val="center"/>
          </w:tcPr>
          <w:p>
            <w:pPr>
              <w:jc w:val="cente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5" w:hRule="atLeast"/>
        </w:trPr>
        <w:tc>
          <w:tcPr>
            <w:tcW w:w="786" w:type="pct"/>
            <w:vAlign w:val="center"/>
          </w:tcPr>
          <w:p>
            <w:pPr>
              <w:widowControl/>
              <w:jc w:val="center"/>
              <w:textAlignment w:val="center"/>
            </w:pPr>
            <w:r>
              <w:rPr>
                <w:rFonts w:hint="eastAsia"/>
                <w:color w:val="000000"/>
                <w:kern w:val="0"/>
                <w:sz w:val="22"/>
                <w:szCs w:val="22"/>
              </w:rPr>
              <w:t>2</w:t>
            </w:r>
            <w:r>
              <w:rPr>
                <w:color w:val="000000"/>
                <w:kern w:val="0"/>
                <w:sz w:val="22"/>
                <w:szCs w:val="22"/>
              </w:rPr>
              <w:t>.1</w:t>
            </w:r>
          </w:p>
        </w:tc>
        <w:tc>
          <w:tcPr>
            <w:tcW w:w="1305" w:type="pct"/>
            <w:vAlign w:val="center"/>
          </w:tcPr>
          <w:p>
            <w:pPr>
              <w:widowControl/>
              <w:textAlignment w:val="center"/>
              <w:rPr>
                <w:sz w:val="24"/>
                <w:szCs w:val="24"/>
              </w:rPr>
            </w:pPr>
            <w:r>
              <w:rPr>
                <w:rFonts w:hint="eastAsia" w:ascii="宋体" w:hAnsi="宋体" w:cs="宋体"/>
                <w:color w:val="000000"/>
                <w:kern w:val="0"/>
                <w:sz w:val="22"/>
                <w:szCs w:val="22"/>
              </w:rPr>
              <w:t>机体表面防腐处理</w:t>
            </w:r>
          </w:p>
        </w:tc>
        <w:tc>
          <w:tcPr>
            <w:tcW w:w="2908" w:type="pct"/>
            <w:vAlign w:val="center"/>
          </w:tcPr>
          <w:p>
            <w:pPr>
              <w:widowControl/>
              <w:jc w:val="left"/>
              <w:textAlignment w:val="center"/>
              <w:rPr>
                <w:sz w:val="24"/>
                <w:szCs w:val="24"/>
              </w:rPr>
            </w:pPr>
            <w:r>
              <w:rPr>
                <w:color w:val="000000"/>
                <w:kern w:val="0"/>
                <w:sz w:val="22"/>
                <w:szCs w:val="22"/>
              </w:rPr>
              <w:t>2</w:t>
            </w:r>
            <w:r>
              <w:rPr>
                <w:rFonts w:hint="eastAsia" w:ascii="宋体" w:hAnsi="宋体" w:cs="宋体"/>
                <w:color w:val="000000"/>
                <w:kern w:val="0"/>
                <w:sz w:val="22"/>
                <w:szCs w:val="22"/>
              </w:rPr>
              <w:t>台启闭机除锈、防锈漆二道、醇酸漆二道。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6" w:type="pct"/>
            <w:vAlign w:val="center"/>
          </w:tcPr>
          <w:p>
            <w:pPr>
              <w:widowControl/>
              <w:jc w:val="center"/>
              <w:textAlignment w:val="center"/>
              <w:rPr>
                <w:sz w:val="24"/>
                <w:szCs w:val="24"/>
              </w:rPr>
            </w:pPr>
            <w:r>
              <w:rPr>
                <w:rFonts w:hint="eastAsia"/>
                <w:color w:val="000000"/>
                <w:kern w:val="0"/>
                <w:sz w:val="22"/>
                <w:szCs w:val="22"/>
              </w:rPr>
              <w:t>2</w:t>
            </w:r>
            <w:r>
              <w:rPr>
                <w:color w:val="000000"/>
                <w:kern w:val="0"/>
                <w:sz w:val="22"/>
                <w:szCs w:val="22"/>
              </w:rPr>
              <w:t>.2</w:t>
            </w:r>
          </w:p>
        </w:tc>
        <w:tc>
          <w:tcPr>
            <w:tcW w:w="1305" w:type="pct"/>
            <w:vAlign w:val="center"/>
          </w:tcPr>
          <w:p>
            <w:pPr>
              <w:widowControl/>
              <w:textAlignment w:val="center"/>
              <w:rPr>
                <w:sz w:val="24"/>
                <w:szCs w:val="24"/>
              </w:rPr>
            </w:pPr>
            <w:r>
              <w:rPr>
                <w:rFonts w:hint="eastAsia" w:ascii="宋体" w:hAnsi="宋体" w:cs="宋体"/>
                <w:color w:val="000000"/>
                <w:kern w:val="0"/>
                <w:sz w:val="22"/>
                <w:szCs w:val="22"/>
              </w:rPr>
              <w:t>钢丝绳维修养护</w:t>
            </w:r>
          </w:p>
        </w:tc>
        <w:tc>
          <w:tcPr>
            <w:tcW w:w="2908" w:type="pct"/>
            <w:vAlign w:val="center"/>
          </w:tcPr>
          <w:p>
            <w:pPr>
              <w:widowControl/>
              <w:jc w:val="left"/>
              <w:textAlignment w:val="center"/>
              <w:rPr>
                <w:sz w:val="24"/>
                <w:szCs w:val="24"/>
              </w:rPr>
            </w:pPr>
            <w:r>
              <w:rPr>
                <w:rFonts w:hint="eastAsia" w:ascii="宋体" w:hAnsi="宋体" w:cs="宋体"/>
                <w:color w:val="000000"/>
                <w:kern w:val="0"/>
                <w:sz w:val="22"/>
                <w:szCs w:val="22"/>
              </w:rPr>
              <w:t>启闭机关联钢丝绳按相关规程标准定期保养，每年上</w:t>
            </w:r>
            <w:r>
              <w:rPr>
                <w:color w:val="000000"/>
                <w:kern w:val="0"/>
                <w:sz w:val="22"/>
                <w:szCs w:val="22"/>
              </w:rPr>
              <w:t>1</w:t>
            </w:r>
            <w:r>
              <w:rPr>
                <w:rFonts w:hint="eastAsia" w:ascii="宋体" w:hAnsi="宋体" w:cs="宋体"/>
                <w:color w:val="000000"/>
                <w:kern w:val="0"/>
                <w:sz w:val="22"/>
                <w:szCs w:val="22"/>
              </w:rPr>
              <w:t>次润滑油脂，每</w:t>
            </w:r>
            <w:r>
              <w:rPr>
                <w:color w:val="000000"/>
                <w:kern w:val="0"/>
                <w:sz w:val="22"/>
                <w:szCs w:val="22"/>
              </w:rPr>
              <w:t>5~10</w:t>
            </w:r>
            <w:r>
              <w:rPr>
                <w:rFonts w:hint="eastAsia" w:ascii="宋体" w:hAnsi="宋体" w:cs="宋体"/>
                <w:color w:val="000000"/>
                <w:kern w:val="0"/>
                <w:sz w:val="22"/>
                <w:szCs w:val="22"/>
              </w:rPr>
              <w:t>年更换</w:t>
            </w:r>
            <w:r>
              <w:rPr>
                <w:color w:val="000000"/>
                <w:kern w:val="0"/>
                <w:sz w:val="22"/>
                <w:szCs w:val="22"/>
              </w:rPr>
              <w:t>1</w:t>
            </w:r>
            <w:r>
              <w:rPr>
                <w:rFonts w:hint="eastAsia" w:ascii="宋体" w:hAnsi="宋体" w:cs="宋体"/>
                <w:color w:val="000000"/>
                <w:kern w:val="0"/>
                <w:sz w:val="22"/>
                <w:szCs w:val="22"/>
              </w:rPr>
              <w:t>次，发现断丝按规定及时更换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6" w:type="pct"/>
            <w:vAlign w:val="center"/>
          </w:tcPr>
          <w:p>
            <w:pPr>
              <w:widowControl/>
              <w:jc w:val="center"/>
              <w:textAlignment w:val="center"/>
              <w:rPr>
                <w:sz w:val="24"/>
                <w:szCs w:val="24"/>
              </w:rPr>
            </w:pPr>
            <w:r>
              <w:rPr>
                <w:rFonts w:hint="eastAsia"/>
                <w:color w:val="000000"/>
                <w:kern w:val="0"/>
                <w:sz w:val="22"/>
                <w:szCs w:val="22"/>
              </w:rPr>
              <w:t>2</w:t>
            </w:r>
            <w:r>
              <w:rPr>
                <w:color w:val="000000"/>
                <w:kern w:val="0"/>
                <w:sz w:val="22"/>
                <w:szCs w:val="22"/>
              </w:rPr>
              <w:t>.3</w:t>
            </w:r>
          </w:p>
        </w:tc>
        <w:tc>
          <w:tcPr>
            <w:tcW w:w="1305" w:type="pct"/>
            <w:vAlign w:val="center"/>
          </w:tcPr>
          <w:p>
            <w:pPr>
              <w:widowControl/>
              <w:textAlignment w:val="center"/>
              <w:rPr>
                <w:sz w:val="24"/>
                <w:szCs w:val="24"/>
              </w:rPr>
            </w:pPr>
            <w:r>
              <w:rPr>
                <w:rFonts w:hint="eastAsia" w:ascii="宋体" w:hAnsi="宋体" w:cs="宋体"/>
                <w:color w:val="000000"/>
                <w:kern w:val="0"/>
                <w:sz w:val="22"/>
                <w:szCs w:val="22"/>
              </w:rPr>
              <w:t>传</w:t>
            </w:r>
            <w:r>
              <w:rPr>
                <w:color w:val="000000"/>
                <w:kern w:val="0"/>
                <w:sz w:val="22"/>
                <w:szCs w:val="22"/>
              </w:rPr>
              <w:t>(</w:t>
            </w:r>
            <w:r>
              <w:rPr>
                <w:rFonts w:hint="eastAsia" w:ascii="宋体" w:hAnsi="宋体" w:cs="宋体"/>
                <w:color w:val="000000"/>
                <w:kern w:val="0"/>
                <w:sz w:val="22"/>
                <w:szCs w:val="22"/>
              </w:rPr>
              <w:t>制</w:t>
            </w:r>
            <w:r>
              <w:rPr>
                <w:color w:val="000000"/>
                <w:kern w:val="0"/>
                <w:sz w:val="22"/>
                <w:szCs w:val="22"/>
              </w:rPr>
              <w:t>)</w:t>
            </w:r>
            <w:r>
              <w:rPr>
                <w:rFonts w:hint="eastAsia" w:ascii="宋体" w:hAnsi="宋体" w:cs="宋体"/>
                <w:color w:val="000000"/>
                <w:kern w:val="0"/>
                <w:sz w:val="22"/>
                <w:szCs w:val="22"/>
              </w:rPr>
              <w:t>动系统维修养护</w:t>
            </w:r>
          </w:p>
        </w:tc>
        <w:tc>
          <w:tcPr>
            <w:tcW w:w="2908" w:type="pct"/>
            <w:vAlign w:val="center"/>
          </w:tcPr>
          <w:p>
            <w:pPr>
              <w:widowControl/>
              <w:jc w:val="left"/>
              <w:textAlignment w:val="center"/>
              <w:rPr>
                <w:sz w:val="24"/>
                <w:szCs w:val="24"/>
              </w:rPr>
            </w:pPr>
            <w:r>
              <w:rPr>
                <w:rFonts w:hint="eastAsia" w:ascii="宋体" w:hAnsi="宋体" w:cs="宋体"/>
                <w:color w:val="000000"/>
                <w:kern w:val="0"/>
                <w:sz w:val="22"/>
                <w:szCs w:val="22"/>
              </w:rPr>
              <w:t>启闭机关联制动系统，按相关规程标准定期保养，发现损坏及时修复或更换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3" w:hRule="atLeast"/>
        </w:trPr>
        <w:tc>
          <w:tcPr>
            <w:tcW w:w="786" w:type="pct"/>
            <w:vAlign w:val="center"/>
          </w:tcPr>
          <w:p>
            <w:pPr>
              <w:widowControl/>
              <w:jc w:val="center"/>
              <w:textAlignment w:val="center"/>
              <w:rPr>
                <w:sz w:val="24"/>
                <w:szCs w:val="24"/>
              </w:rPr>
            </w:pPr>
            <w:r>
              <w:rPr>
                <w:rFonts w:hint="eastAsia" w:ascii="宋体" w:hAnsi="宋体" w:cs="宋体"/>
                <w:b/>
                <w:color w:val="000000"/>
                <w:kern w:val="0"/>
                <w:sz w:val="22"/>
                <w:szCs w:val="22"/>
              </w:rPr>
              <w:t>三</w:t>
            </w:r>
          </w:p>
        </w:tc>
        <w:tc>
          <w:tcPr>
            <w:tcW w:w="1305" w:type="pct"/>
            <w:vAlign w:val="center"/>
          </w:tcPr>
          <w:p>
            <w:pPr>
              <w:widowControl/>
              <w:textAlignment w:val="center"/>
              <w:rPr>
                <w:sz w:val="24"/>
                <w:szCs w:val="24"/>
              </w:rPr>
            </w:pPr>
            <w:r>
              <w:rPr>
                <w:rFonts w:hint="eastAsia" w:ascii="宋体" w:hAnsi="宋体" w:cs="宋体"/>
                <w:b/>
                <w:color w:val="000000"/>
                <w:kern w:val="0"/>
                <w:sz w:val="22"/>
                <w:szCs w:val="22"/>
              </w:rPr>
              <w:t>机电设备维修养护</w:t>
            </w:r>
          </w:p>
        </w:tc>
        <w:tc>
          <w:tcPr>
            <w:tcW w:w="2908" w:type="pct"/>
            <w:vAlign w:val="center"/>
          </w:tcPr>
          <w:p>
            <w:pPr>
              <w:jc w:val="left"/>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6" w:type="pct"/>
            <w:vAlign w:val="center"/>
          </w:tcPr>
          <w:p>
            <w:pPr>
              <w:widowControl/>
              <w:jc w:val="center"/>
              <w:textAlignment w:val="center"/>
              <w:rPr>
                <w:sz w:val="24"/>
                <w:szCs w:val="24"/>
              </w:rPr>
            </w:pPr>
            <w:r>
              <w:rPr>
                <w:rFonts w:hint="eastAsia"/>
                <w:color w:val="000000"/>
                <w:kern w:val="0"/>
                <w:sz w:val="22"/>
                <w:szCs w:val="22"/>
              </w:rPr>
              <w:t>3</w:t>
            </w:r>
            <w:r>
              <w:rPr>
                <w:color w:val="000000"/>
                <w:kern w:val="0"/>
                <w:sz w:val="22"/>
                <w:szCs w:val="22"/>
              </w:rPr>
              <w:t>.1</w:t>
            </w:r>
          </w:p>
        </w:tc>
        <w:tc>
          <w:tcPr>
            <w:tcW w:w="1305" w:type="pct"/>
            <w:vAlign w:val="center"/>
          </w:tcPr>
          <w:p>
            <w:pPr>
              <w:widowControl/>
              <w:textAlignment w:val="center"/>
              <w:rPr>
                <w:sz w:val="24"/>
                <w:szCs w:val="24"/>
              </w:rPr>
            </w:pPr>
            <w:r>
              <w:rPr>
                <w:rFonts w:hint="eastAsia" w:ascii="宋体" w:hAnsi="宋体" w:cs="宋体"/>
                <w:color w:val="000000"/>
                <w:kern w:val="0"/>
                <w:sz w:val="22"/>
                <w:szCs w:val="22"/>
              </w:rPr>
              <w:t>电动机维修养护</w:t>
            </w:r>
          </w:p>
        </w:tc>
        <w:tc>
          <w:tcPr>
            <w:tcW w:w="2908" w:type="pct"/>
            <w:vAlign w:val="center"/>
          </w:tcPr>
          <w:p>
            <w:pPr>
              <w:widowControl/>
              <w:jc w:val="left"/>
              <w:textAlignment w:val="center"/>
              <w:rPr>
                <w:sz w:val="24"/>
                <w:szCs w:val="24"/>
              </w:rPr>
            </w:pPr>
            <w:r>
              <w:rPr>
                <w:color w:val="000000"/>
                <w:kern w:val="0"/>
                <w:sz w:val="22"/>
                <w:szCs w:val="22"/>
              </w:rPr>
              <w:t>2</w:t>
            </w:r>
            <w:r>
              <w:rPr>
                <w:rFonts w:hint="eastAsia" w:ascii="宋体" w:hAnsi="宋体" w:cs="宋体"/>
                <w:color w:val="000000"/>
                <w:kern w:val="0"/>
                <w:sz w:val="22"/>
                <w:szCs w:val="22"/>
              </w:rPr>
              <w:t>台电动机按相关规程标准定期保养，除锈、防锈漆二道、醇酸漆二道，发现磨损件及时修复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6" w:type="pct"/>
            <w:vAlign w:val="center"/>
          </w:tcPr>
          <w:p>
            <w:pPr>
              <w:widowControl/>
              <w:jc w:val="center"/>
              <w:textAlignment w:val="center"/>
              <w:rPr>
                <w:sz w:val="24"/>
                <w:szCs w:val="24"/>
              </w:rPr>
            </w:pPr>
            <w:r>
              <w:rPr>
                <w:rFonts w:hint="eastAsia"/>
                <w:color w:val="000000"/>
                <w:kern w:val="0"/>
                <w:sz w:val="22"/>
                <w:szCs w:val="22"/>
              </w:rPr>
              <w:t>3</w:t>
            </w:r>
            <w:r>
              <w:rPr>
                <w:color w:val="000000"/>
                <w:kern w:val="0"/>
                <w:sz w:val="22"/>
                <w:szCs w:val="22"/>
              </w:rPr>
              <w:t>.2</w:t>
            </w:r>
          </w:p>
        </w:tc>
        <w:tc>
          <w:tcPr>
            <w:tcW w:w="1305" w:type="pct"/>
            <w:vAlign w:val="center"/>
          </w:tcPr>
          <w:p>
            <w:pPr>
              <w:widowControl/>
              <w:textAlignment w:val="center"/>
              <w:rPr>
                <w:sz w:val="24"/>
                <w:szCs w:val="24"/>
              </w:rPr>
            </w:pPr>
            <w:r>
              <w:rPr>
                <w:rFonts w:hint="eastAsia" w:ascii="宋体" w:hAnsi="宋体" w:cs="宋体"/>
                <w:color w:val="000000"/>
                <w:kern w:val="0"/>
                <w:sz w:val="22"/>
                <w:szCs w:val="22"/>
              </w:rPr>
              <w:t>操作设备维修养护</w:t>
            </w:r>
          </w:p>
        </w:tc>
        <w:tc>
          <w:tcPr>
            <w:tcW w:w="2908" w:type="pct"/>
            <w:vAlign w:val="center"/>
          </w:tcPr>
          <w:p>
            <w:pPr>
              <w:widowControl/>
              <w:jc w:val="left"/>
              <w:textAlignment w:val="center"/>
              <w:rPr>
                <w:sz w:val="24"/>
                <w:szCs w:val="24"/>
              </w:rPr>
            </w:pPr>
            <w:r>
              <w:rPr>
                <w:rFonts w:hint="eastAsia" w:ascii="宋体" w:hAnsi="宋体" w:cs="宋体"/>
                <w:color w:val="000000"/>
                <w:kern w:val="0"/>
                <w:sz w:val="22"/>
                <w:szCs w:val="22"/>
              </w:rPr>
              <w:t>按相关规程标准定期保养，除锈、防锈漆二道、醇酸漆二道，发现损坏及时修复或更换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8" w:hRule="atLeast"/>
        </w:trPr>
        <w:tc>
          <w:tcPr>
            <w:tcW w:w="786" w:type="pct"/>
            <w:vAlign w:val="center"/>
          </w:tcPr>
          <w:p>
            <w:pPr>
              <w:widowControl/>
              <w:jc w:val="center"/>
              <w:textAlignment w:val="center"/>
              <w:rPr>
                <w:sz w:val="24"/>
                <w:szCs w:val="24"/>
              </w:rPr>
            </w:pPr>
            <w:r>
              <w:rPr>
                <w:rFonts w:hint="eastAsia"/>
                <w:color w:val="000000"/>
                <w:kern w:val="0"/>
                <w:sz w:val="22"/>
                <w:szCs w:val="22"/>
              </w:rPr>
              <w:t>3</w:t>
            </w:r>
            <w:r>
              <w:rPr>
                <w:color w:val="000000"/>
                <w:kern w:val="0"/>
                <w:sz w:val="22"/>
                <w:szCs w:val="22"/>
              </w:rPr>
              <w:t>.3</w:t>
            </w:r>
          </w:p>
        </w:tc>
        <w:tc>
          <w:tcPr>
            <w:tcW w:w="1305" w:type="pct"/>
            <w:vAlign w:val="center"/>
          </w:tcPr>
          <w:p>
            <w:pPr>
              <w:widowControl/>
              <w:textAlignment w:val="center"/>
              <w:rPr>
                <w:sz w:val="24"/>
                <w:szCs w:val="24"/>
              </w:rPr>
            </w:pPr>
            <w:r>
              <w:rPr>
                <w:rFonts w:hint="eastAsia" w:ascii="宋体" w:hAnsi="宋体" w:cs="宋体"/>
                <w:color w:val="000000"/>
                <w:kern w:val="0"/>
                <w:sz w:val="22"/>
                <w:szCs w:val="22"/>
              </w:rPr>
              <w:t>配电设施维修养护</w:t>
            </w:r>
          </w:p>
        </w:tc>
        <w:tc>
          <w:tcPr>
            <w:tcW w:w="2908" w:type="pct"/>
            <w:vAlign w:val="center"/>
          </w:tcPr>
          <w:p>
            <w:pPr>
              <w:widowControl/>
              <w:jc w:val="left"/>
              <w:textAlignment w:val="center"/>
              <w:rPr>
                <w:sz w:val="24"/>
                <w:szCs w:val="24"/>
              </w:rPr>
            </w:pPr>
            <w:r>
              <w:rPr>
                <w:rFonts w:hint="eastAsia" w:ascii="宋体" w:hAnsi="宋体" w:cs="宋体"/>
                <w:color w:val="000000"/>
                <w:kern w:val="0"/>
                <w:sz w:val="22"/>
                <w:szCs w:val="22"/>
              </w:rPr>
              <w:t>按相关规程标准定期保养，发现损坏及时修复或更换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4" w:hRule="atLeast"/>
        </w:trPr>
        <w:tc>
          <w:tcPr>
            <w:tcW w:w="786" w:type="pct"/>
            <w:vAlign w:val="center"/>
          </w:tcPr>
          <w:p>
            <w:pPr>
              <w:widowControl/>
              <w:jc w:val="center"/>
              <w:textAlignment w:val="center"/>
              <w:rPr>
                <w:sz w:val="24"/>
                <w:szCs w:val="24"/>
              </w:rPr>
            </w:pPr>
            <w:r>
              <w:rPr>
                <w:rFonts w:hint="eastAsia"/>
                <w:color w:val="000000"/>
                <w:kern w:val="0"/>
                <w:sz w:val="22"/>
                <w:szCs w:val="22"/>
              </w:rPr>
              <w:t>3</w:t>
            </w:r>
            <w:r>
              <w:rPr>
                <w:color w:val="000000"/>
                <w:kern w:val="0"/>
                <w:sz w:val="22"/>
                <w:szCs w:val="22"/>
              </w:rPr>
              <w:t>.4</w:t>
            </w:r>
          </w:p>
        </w:tc>
        <w:tc>
          <w:tcPr>
            <w:tcW w:w="1305" w:type="pct"/>
            <w:vAlign w:val="center"/>
          </w:tcPr>
          <w:p>
            <w:pPr>
              <w:widowControl/>
              <w:textAlignment w:val="center"/>
              <w:rPr>
                <w:sz w:val="24"/>
                <w:szCs w:val="24"/>
              </w:rPr>
            </w:pPr>
            <w:r>
              <w:rPr>
                <w:rFonts w:hint="eastAsia" w:ascii="宋体" w:hAnsi="宋体" w:cs="宋体"/>
                <w:color w:val="000000"/>
                <w:kern w:val="0"/>
                <w:sz w:val="22"/>
                <w:szCs w:val="22"/>
              </w:rPr>
              <w:t>避雷设施维修养护</w:t>
            </w:r>
          </w:p>
        </w:tc>
        <w:tc>
          <w:tcPr>
            <w:tcW w:w="2908" w:type="pct"/>
            <w:vAlign w:val="center"/>
          </w:tcPr>
          <w:p>
            <w:pPr>
              <w:widowControl/>
              <w:jc w:val="left"/>
              <w:textAlignment w:val="center"/>
              <w:rPr>
                <w:sz w:val="24"/>
                <w:szCs w:val="24"/>
              </w:rPr>
            </w:pPr>
            <w:r>
              <w:rPr>
                <w:rFonts w:hint="eastAsia" w:ascii="宋体" w:hAnsi="宋体" w:cs="宋体"/>
                <w:color w:val="000000"/>
                <w:kern w:val="0"/>
                <w:sz w:val="22"/>
                <w:szCs w:val="22"/>
              </w:rPr>
              <w:t>按相关规程标准定期保养、检测，发现损坏及时修复或更换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6" w:type="pct"/>
            <w:vAlign w:val="center"/>
          </w:tcPr>
          <w:p>
            <w:pPr>
              <w:widowControl/>
              <w:jc w:val="center"/>
              <w:textAlignment w:val="center"/>
              <w:rPr>
                <w:sz w:val="24"/>
                <w:szCs w:val="24"/>
              </w:rPr>
            </w:pPr>
            <w:r>
              <w:rPr>
                <w:rFonts w:hint="eastAsia" w:ascii="宋体" w:hAnsi="宋体" w:cs="宋体"/>
                <w:b/>
                <w:color w:val="000000"/>
                <w:kern w:val="0"/>
                <w:sz w:val="22"/>
                <w:szCs w:val="22"/>
              </w:rPr>
              <w:t>四</w:t>
            </w:r>
          </w:p>
        </w:tc>
        <w:tc>
          <w:tcPr>
            <w:tcW w:w="1305" w:type="pct"/>
            <w:vAlign w:val="center"/>
          </w:tcPr>
          <w:p>
            <w:pPr>
              <w:widowControl/>
              <w:textAlignment w:val="center"/>
              <w:rPr>
                <w:sz w:val="24"/>
                <w:szCs w:val="24"/>
              </w:rPr>
            </w:pPr>
            <w:r>
              <w:rPr>
                <w:rFonts w:hint="eastAsia" w:ascii="宋体" w:hAnsi="宋体" w:cs="宋体"/>
                <w:b/>
                <w:color w:val="000000"/>
                <w:kern w:val="0"/>
                <w:sz w:val="22"/>
                <w:szCs w:val="22"/>
              </w:rPr>
              <w:t>物料消耗</w:t>
            </w:r>
          </w:p>
        </w:tc>
        <w:tc>
          <w:tcPr>
            <w:tcW w:w="2908" w:type="pct"/>
            <w:vAlign w:val="center"/>
          </w:tcPr>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9" w:hRule="atLeast"/>
        </w:trPr>
        <w:tc>
          <w:tcPr>
            <w:tcW w:w="786" w:type="pct"/>
            <w:vAlign w:val="center"/>
          </w:tcPr>
          <w:p>
            <w:pPr>
              <w:widowControl/>
              <w:jc w:val="center"/>
              <w:textAlignment w:val="center"/>
              <w:rPr>
                <w:rFonts w:ascii="宋体" w:hAnsi="宋体" w:cs="宋体"/>
                <w:b/>
                <w:color w:val="000000"/>
                <w:kern w:val="0"/>
                <w:sz w:val="22"/>
                <w:szCs w:val="22"/>
              </w:rPr>
            </w:pPr>
            <w:r>
              <w:rPr>
                <w:rFonts w:hint="eastAsia"/>
                <w:color w:val="000000"/>
                <w:kern w:val="0"/>
                <w:sz w:val="22"/>
                <w:szCs w:val="22"/>
              </w:rPr>
              <w:t>4</w:t>
            </w:r>
            <w:r>
              <w:rPr>
                <w:color w:val="000000"/>
                <w:kern w:val="0"/>
                <w:sz w:val="22"/>
                <w:szCs w:val="22"/>
              </w:rPr>
              <w:t>.1</w:t>
            </w:r>
          </w:p>
        </w:tc>
        <w:tc>
          <w:tcPr>
            <w:tcW w:w="1305" w:type="pct"/>
            <w:vAlign w:val="center"/>
          </w:tcPr>
          <w:p>
            <w:pPr>
              <w:widowControl/>
              <w:textAlignment w:val="center"/>
              <w:rPr>
                <w:rFonts w:ascii="宋体" w:hAnsi="宋体" w:cs="宋体"/>
                <w:b/>
                <w:color w:val="000000"/>
                <w:kern w:val="0"/>
                <w:sz w:val="22"/>
                <w:szCs w:val="22"/>
              </w:rPr>
            </w:pPr>
            <w:r>
              <w:rPr>
                <w:rFonts w:hint="eastAsia" w:ascii="宋体" w:hAnsi="宋体" w:cs="宋体"/>
                <w:color w:val="000000"/>
                <w:kern w:val="0"/>
                <w:sz w:val="22"/>
                <w:szCs w:val="22"/>
              </w:rPr>
              <w:t>柴油</w:t>
            </w:r>
          </w:p>
        </w:tc>
        <w:tc>
          <w:tcPr>
            <w:tcW w:w="2908" w:type="pct"/>
            <w:vAlign w:val="center"/>
          </w:tcPr>
          <w:p>
            <w:pPr>
              <w:widowControl/>
              <w:jc w:val="left"/>
              <w:textAlignment w:val="center"/>
              <w:rPr>
                <w:sz w:val="24"/>
                <w:szCs w:val="24"/>
              </w:rPr>
            </w:pPr>
            <w:r>
              <w:rPr>
                <w:rFonts w:hint="eastAsia" w:ascii="宋体" w:hAnsi="宋体" w:cs="宋体"/>
                <w:color w:val="000000"/>
                <w:kern w:val="0"/>
                <w:sz w:val="22"/>
                <w:szCs w:val="22"/>
              </w:rPr>
              <w:t>备用发电机调试、设备保养清洗等用油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9" w:hRule="atLeast"/>
        </w:trPr>
        <w:tc>
          <w:tcPr>
            <w:tcW w:w="786" w:type="pct"/>
            <w:vAlign w:val="center"/>
          </w:tcPr>
          <w:p>
            <w:pPr>
              <w:widowControl/>
              <w:jc w:val="center"/>
              <w:textAlignment w:val="center"/>
              <w:rPr>
                <w:rFonts w:ascii="宋体" w:hAnsi="宋体" w:cs="宋体"/>
                <w:b/>
                <w:color w:val="000000"/>
                <w:kern w:val="0"/>
                <w:sz w:val="22"/>
                <w:szCs w:val="22"/>
              </w:rPr>
            </w:pPr>
            <w:r>
              <w:rPr>
                <w:rFonts w:hint="eastAsia"/>
                <w:color w:val="000000"/>
                <w:kern w:val="0"/>
                <w:sz w:val="22"/>
                <w:szCs w:val="22"/>
              </w:rPr>
              <w:t>4</w:t>
            </w:r>
            <w:r>
              <w:rPr>
                <w:color w:val="000000"/>
                <w:kern w:val="0"/>
                <w:sz w:val="22"/>
                <w:szCs w:val="22"/>
              </w:rPr>
              <w:t>.2</w:t>
            </w:r>
          </w:p>
        </w:tc>
        <w:tc>
          <w:tcPr>
            <w:tcW w:w="1305" w:type="pct"/>
            <w:vAlign w:val="center"/>
          </w:tcPr>
          <w:p>
            <w:pPr>
              <w:widowControl/>
              <w:textAlignment w:val="center"/>
              <w:rPr>
                <w:rFonts w:ascii="宋体" w:hAnsi="宋体" w:cs="宋体"/>
                <w:b/>
                <w:color w:val="000000"/>
                <w:kern w:val="0"/>
                <w:sz w:val="22"/>
                <w:szCs w:val="22"/>
              </w:rPr>
            </w:pPr>
            <w:r>
              <w:rPr>
                <w:rFonts w:hint="eastAsia" w:ascii="宋体" w:hAnsi="宋体" w:cs="宋体"/>
                <w:color w:val="000000"/>
                <w:kern w:val="0"/>
                <w:sz w:val="22"/>
                <w:szCs w:val="22"/>
              </w:rPr>
              <w:t>机油</w:t>
            </w:r>
          </w:p>
        </w:tc>
        <w:tc>
          <w:tcPr>
            <w:tcW w:w="2908" w:type="pct"/>
            <w:vAlign w:val="center"/>
          </w:tcPr>
          <w:p>
            <w:pPr>
              <w:widowControl/>
              <w:jc w:val="left"/>
              <w:textAlignment w:val="center"/>
              <w:rPr>
                <w:sz w:val="24"/>
                <w:szCs w:val="24"/>
              </w:rPr>
            </w:pPr>
            <w:r>
              <w:rPr>
                <w:rFonts w:hint="eastAsia" w:ascii="宋体" w:hAnsi="宋体" w:cs="宋体"/>
                <w:color w:val="000000"/>
                <w:kern w:val="0"/>
                <w:sz w:val="22"/>
                <w:szCs w:val="22"/>
              </w:rPr>
              <w:t>机电等设备保养用油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4" w:hRule="atLeast"/>
        </w:trPr>
        <w:tc>
          <w:tcPr>
            <w:tcW w:w="786" w:type="pct"/>
            <w:vAlign w:val="center"/>
          </w:tcPr>
          <w:p>
            <w:pPr>
              <w:widowControl/>
              <w:jc w:val="center"/>
              <w:textAlignment w:val="center"/>
              <w:rPr>
                <w:rFonts w:ascii="宋体" w:hAnsi="宋体" w:cs="宋体"/>
                <w:b/>
                <w:color w:val="000000"/>
                <w:kern w:val="0"/>
                <w:sz w:val="22"/>
                <w:szCs w:val="22"/>
              </w:rPr>
            </w:pPr>
            <w:r>
              <w:rPr>
                <w:rFonts w:hint="eastAsia"/>
                <w:color w:val="000000"/>
                <w:kern w:val="0"/>
                <w:sz w:val="22"/>
                <w:szCs w:val="22"/>
              </w:rPr>
              <w:t>4</w:t>
            </w:r>
            <w:r>
              <w:rPr>
                <w:color w:val="000000"/>
                <w:kern w:val="0"/>
                <w:sz w:val="22"/>
                <w:szCs w:val="22"/>
              </w:rPr>
              <w:t>.3</w:t>
            </w:r>
          </w:p>
        </w:tc>
        <w:tc>
          <w:tcPr>
            <w:tcW w:w="1305" w:type="pct"/>
            <w:vAlign w:val="center"/>
          </w:tcPr>
          <w:p>
            <w:pPr>
              <w:widowControl/>
              <w:textAlignment w:val="center"/>
              <w:rPr>
                <w:rFonts w:ascii="宋体" w:hAnsi="宋体" w:cs="宋体"/>
                <w:b/>
                <w:color w:val="000000"/>
                <w:kern w:val="0"/>
                <w:sz w:val="22"/>
                <w:szCs w:val="22"/>
              </w:rPr>
            </w:pPr>
            <w:r>
              <w:rPr>
                <w:rFonts w:hint="eastAsia" w:ascii="宋体" w:hAnsi="宋体" w:cs="宋体"/>
                <w:color w:val="000000"/>
                <w:kern w:val="0"/>
                <w:sz w:val="22"/>
                <w:szCs w:val="22"/>
              </w:rPr>
              <w:t>黄油</w:t>
            </w:r>
          </w:p>
        </w:tc>
        <w:tc>
          <w:tcPr>
            <w:tcW w:w="2908" w:type="pct"/>
            <w:vAlign w:val="center"/>
          </w:tcPr>
          <w:p>
            <w:pPr>
              <w:widowControl/>
              <w:jc w:val="left"/>
              <w:textAlignment w:val="center"/>
              <w:rPr>
                <w:sz w:val="24"/>
                <w:szCs w:val="24"/>
              </w:rPr>
            </w:pPr>
            <w:r>
              <w:rPr>
                <w:rFonts w:hint="eastAsia" w:ascii="宋体" w:hAnsi="宋体" w:cs="宋体"/>
                <w:color w:val="000000"/>
                <w:kern w:val="0"/>
                <w:sz w:val="22"/>
                <w:szCs w:val="22"/>
              </w:rPr>
              <w:t>设备等润滑用油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786" w:type="pct"/>
            <w:vAlign w:val="center"/>
          </w:tcPr>
          <w:p>
            <w:pPr>
              <w:widowControl/>
              <w:jc w:val="center"/>
              <w:textAlignment w:val="center"/>
              <w:rPr>
                <w:rFonts w:ascii="宋体" w:hAnsi="宋体" w:cs="宋体"/>
                <w:b/>
                <w:color w:val="000000"/>
                <w:kern w:val="0"/>
                <w:sz w:val="22"/>
                <w:szCs w:val="22"/>
              </w:rPr>
            </w:pPr>
            <w:r>
              <w:rPr>
                <w:rFonts w:hint="eastAsia"/>
                <w:b/>
                <w:bCs/>
                <w:color w:val="000000"/>
                <w:kern w:val="0"/>
                <w:sz w:val="22"/>
                <w:szCs w:val="22"/>
              </w:rPr>
              <w:t>五</w:t>
            </w:r>
          </w:p>
        </w:tc>
        <w:tc>
          <w:tcPr>
            <w:tcW w:w="1305" w:type="pct"/>
            <w:vAlign w:val="center"/>
          </w:tcPr>
          <w:p>
            <w:pPr>
              <w:widowControl/>
              <w:textAlignment w:val="center"/>
              <w:rPr>
                <w:rFonts w:ascii="宋体" w:hAnsi="宋体" w:cs="宋体"/>
                <w:b/>
                <w:color w:val="000000"/>
                <w:kern w:val="0"/>
                <w:sz w:val="22"/>
                <w:szCs w:val="22"/>
              </w:rPr>
            </w:pPr>
            <w:r>
              <w:rPr>
                <w:rFonts w:hint="eastAsia"/>
                <w:b/>
                <w:bCs/>
                <w:color w:val="000000"/>
                <w:kern w:val="0"/>
                <w:sz w:val="22"/>
                <w:szCs w:val="22"/>
              </w:rPr>
              <w:t>附属设施维修养护</w:t>
            </w:r>
          </w:p>
        </w:tc>
        <w:tc>
          <w:tcPr>
            <w:tcW w:w="2908" w:type="pct"/>
            <w:vAlign w:val="center"/>
          </w:tcPr>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6" w:type="pct"/>
            <w:vAlign w:val="center"/>
          </w:tcPr>
          <w:p>
            <w:pPr>
              <w:widowControl/>
              <w:jc w:val="center"/>
              <w:textAlignment w:val="center"/>
              <w:rPr>
                <w:rFonts w:ascii="宋体" w:hAnsi="宋体" w:cs="宋体"/>
                <w:b/>
                <w:color w:val="000000"/>
                <w:kern w:val="0"/>
                <w:sz w:val="22"/>
                <w:szCs w:val="22"/>
              </w:rPr>
            </w:pPr>
            <w:r>
              <w:rPr>
                <w:rFonts w:hint="eastAsia"/>
                <w:color w:val="000000"/>
                <w:kern w:val="0"/>
                <w:sz w:val="22"/>
                <w:szCs w:val="22"/>
              </w:rPr>
              <w:t>5.1</w:t>
            </w:r>
          </w:p>
        </w:tc>
        <w:tc>
          <w:tcPr>
            <w:tcW w:w="1305" w:type="pct"/>
            <w:vAlign w:val="center"/>
          </w:tcPr>
          <w:p>
            <w:pPr>
              <w:widowControl/>
              <w:jc w:val="center"/>
              <w:textAlignment w:val="center"/>
              <w:rPr>
                <w:rFonts w:ascii="宋体" w:hAnsi="宋体" w:cs="宋体"/>
                <w:b/>
                <w:color w:val="000000"/>
                <w:kern w:val="0"/>
                <w:sz w:val="22"/>
                <w:szCs w:val="22"/>
              </w:rPr>
            </w:pPr>
            <w:r>
              <w:rPr>
                <w:rFonts w:hint="eastAsia"/>
                <w:color w:val="000000"/>
                <w:kern w:val="0"/>
                <w:sz w:val="22"/>
                <w:szCs w:val="22"/>
              </w:rPr>
              <w:t>附属设施维修养护（生产管理用房维修养护、闸室翻新装修）</w:t>
            </w:r>
          </w:p>
        </w:tc>
        <w:tc>
          <w:tcPr>
            <w:tcW w:w="2908" w:type="pct"/>
            <w:vAlign w:val="center"/>
          </w:tcPr>
          <w:p>
            <w:pPr>
              <w:widowControl/>
              <w:jc w:val="center"/>
              <w:textAlignment w:val="center"/>
              <w:rPr>
                <w:sz w:val="24"/>
                <w:szCs w:val="24"/>
              </w:rPr>
            </w:pPr>
            <w:r>
              <w:rPr>
                <w:rFonts w:hint="eastAsia"/>
                <w:color w:val="000000"/>
                <w:kern w:val="0"/>
                <w:sz w:val="22"/>
                <w:szCs w:val="22"/>
              </w:rPr>
              <w:t>水电安装；新建淋浴室、更换损坏门窗，预留物资仓库；屋面渗漏修复，墙面剥落粉刷，门窗损坏修复，消防设施维护等  （按实际施工结算）</w:t>
            </w:r>
          </w:p>
        </w:tc>
      </w:tr>
    </w:tbl>
    <w:p>
      <w:pPr>
        <w:pStyle w:val="18"/>
        <w:rPr>
          <w:rFonts w:ascii="宋体" w:hAnsi="宋体"/>
          <w:b/>
          <w:color w:val="000000"/>
          <w:sz w:val="28"/>
          <w:szCs w:val="28"/>
        </w:rPr>
      </w:pPr>
      <w:r>
        <w:rPr>
          <w:rFonts w:hint="eastAsia" w:ascii="宋体" w:hAnsi="宋体"/>
          <w:b/>
          <w:color w:val="000000"/>
          <w:sz w:val="28"/>
          <w:szCs w:val="28"/>
        </w:rPr>
        <w:t>3、平安水闸：</w:t>
      </w:r>
    </w:p>
    <w:tbl>
      <w:tblPr>
        <w:tblStyle w:val="38"/>
        <w:tblW w:w="5097"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508"/>
        <w:gridCol w:w="2464"/>
        <w:gridCol w:w="588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765" w:type="pct"/>
            <w:vMerge w:val="restart"/>
            <w:tcBorders>
              <w:tl2br w:val="nil"/>
              <w:tr2bl w:val="nil"/>
            </w:tcBorders>
            <w:shd w:val="clear" w:color="auto" w:fill="auto"/>
            <w:tcMar>
              <w:top w:w="15" w:type="dxa"/>
              <w:left w:w="15" w:type="dxa"/>
              <w:right w:w="15" w:type="dxa"/>
            </w:tcMar>
            <w:vAlign w:val="center"/>
          </w:tcPr>
          <w:p>
            <w:pPr>
              <w:widowControl/>
              <w:jc w:val="center"/>
              <w:textAlignment w:val="center"/>
              <w:rPr>
                <w:b/>
                <w:color w:val="000000"/>
                <w:sz w:val="22"/>
              </w:rPr>
            </w:pPr>
            <w:r>
              <w:rPr>
                <w:b/>
                <w:color w:val="000000"/>
                <w:kern w:val="0"/>
                <w:sz w:val="22"/>
              </w:rPr>
              <w:t>编号</w:t>
            </w:r>
          </w:p>
        </w:tc>
        <w:tc>
          <w:tcPr>
            <w:tcW w:w="1250" w:type="pct"/>
            <w:vMerge w:val="restart"/>
            <w:tcBorders>
              <w:tl2br w:val="nil"/>
              <w:tr2bl w:val="nil"/>
            </w:tcBorders>
            <w:shd w:val="clear" w:color="auto" w:fill="auto"/>
            <w:tcMar>
              <w:top w:w="15" w:type="dxa"/>
              <w:left w:w="15" w:type="dxa"/>
              <w:right w:w="15" w:type="dxa"/>
            </w:tcMar>
            <w:vAlign w:val="center"/>
          </w:tcPr>
          <w:p>
            <w:pPr>
              <w:widowControl/>
              <w:jc w:val="center"/>
              <w:textAlignment w:val="center"/>
              <w:rPr>
                <w:b/>
                <w:color w:val="000000"/>
                <w:sz w:val="22"/>
              </w:rPr>
            </w:pPr>
            <w:r>
              <w:rPr>
                <w:b/>
                <w:color w:val="000000"/>
                <w:kern w:val="0"/>
                <w:sz w:val="22"/>
              </w:rPr>
              <w:t>维修养护项目</w:t>
            </w:r>
          </w:p>
        </w:tc>
        <w:tc>
          <w:tcPr>
            <w:tcW w:w="2984" w:type="pct"/>
            <w:vMerge w:val="restart"/>
            <w:tcBorders>
              <w:tl2br w:val="nil"/>
              <w:tr2bl w:val="nil"/>
            </w:tcBorders>
            <w:shd w:val="clear" w:color="auto" w:fill="auto"/>
            <w:tcMar>
              <w:top w:w="15" w:type="dxa"/>
              <w:left w:w="15" w:type="dxa"/>
              <w:right w:w="15" w:type="dxa"/>
            </w:tcMar>
            <w:vAlign w:val="center"/>
          </w:tcPr>
          <w:p>
            <w:pPr>
              <w:widowControl/>
              <w:jc w:val="center"/>
              <w:textAlignment w:val="center"/>
              <w:rPr>
                <w:b/>
                <w:color w:val="000000"/>
                <w:sz w:val="22"/>
              </w:rPr>
            </w:pPr>
            <w:r>
              <w:rPr>
                <w:b/>
                <w:color w:val="000000"/>
                <w:kern w:val="0"/>
                <w:sz w:val="22"/>
              </w:rPr>
              <w:t>工作内容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765" w:type="pct"/>
            <w:vMerge w:val="continue"/>
            <w:tcBorders>
              <w:tl2br w:val="nil"/>
              <w:tr2bl w:val="nil"/>
            </w:tcBorders>
            <w:shd w:val="clear" w:color="auto" w:fill="auto"/>
            <w:tcMar>
              <w:top w:w="15" w:type="dxa"/>
              <w:left w:w="15" w:type="dxa"/>
              <w:right w:w="15" w:type="dxa"/>
            </w:tcMar>
            <w:vAlign w:val="center"/>
          </w:tcPr>
          <w:p>
            <w:pPr>
              <w:jc w:val="center"/>
              <w:rPr>
                <w:b/>
                <w:color w:val="000000"/>
                <w:sz w:val="22"/>
              </w:rPr>
            </w:pPr>
          </w:p>
        </w:tc>
        <w:tc>
          <w:tcPr>
            <w:tcW w:w="1250" w:type="pct"/>
            <w:vMerge w:val="continue"/>
            <w:tcBorders>
              <w:tl2br w:val="nil"/>
              <w:tr2bl w:val="nil"/>
            </w:tcBorders>
            <w:shd w:val="clear" w:color="auto" w:fill="auto"/>
            <w:tcMar>
              <w:top w:w="15" w:type="dxa"/>
              <w:left w:w="15" w:type="dxa"/>
              <w:right w:w="15" w:type="dxa"/>
            </w:tcMar>
            <w:vAlign w:val="center"/>
          </w:tcPr>
          <w:p>
            <w:pPr>
              <w:jc w:val="center"/>
              <w:rPr>
                <w:b/>
                <w:color w:val="000000"/>
                <w:sz w:val="22"/>
              </w:rPr>
            </w:pPr>
          </w:p>
        </w:tc>
        <w:tc>
          <w:tcPr>
            <w:tcW w:w="2984" w:type="pct"/>
            <w:vMerge w:val="continue"/>
            <w:tcBorders>
              <w:tl2br w:val="nil"/>
              <w:tr2bl w:val="nil"/>
            </w:tcBorders>
            <w:shd w:val="clear" w:color="auto" w:fill="auto"/>
            <w:tcMar>
              <w:top w:w="15" w:type="dxa"/>
              <w:left w:w="15" w:type="dxa"/>
              <w:right w:w="15" w:type="dxa"/>
            </w:tcMar>
            <w:vAlign w:val="center"/>
          </w:tcPr>
          <w:p>
            <w:pPr>
              <w:jc w:val="center"/>
              <w:rPr>
                <w:b/>
                <w:color w:val="000000"/>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765" w:type="pct"/>
            <w:tcBorders>
              <w:tl2br w:val="nil"/>
              <w:tr2bl w:val="nil"/>
            </w:tcBorders>
            <w:shd w:val="clear" w:color="auto" w:fill="auto"/>
            <w:tcMar>
              <w:top w:w="15" w:type="dxa"/>
              <w:left w:w="15" w:type="dxa"/>
              <w:right w:w="15" w:type="dxa"/>
            </w:tcMar>
            <w:vAlign w:val="center"/>
          </w:tcPr>
          <w:p>
            <w:pPr>
              <w:widowControl/>
              <w:jc w:val="center"/>
              <w:textAlignment w:val="center"/>
              <w:rPr>
                <w:b/>
                <w:color w:val="000000"/>
                <w:sz w:val="22"/>
              </w:rPr>
            </w:pPr>
            <w:r>
              <w:rPr>
                <w:rFonts w:hint="eastAsia"/>
                <w:b/>
                <w:color w:val="000000"/>
                <w:sz w:val="22"/>
              </w:rPr>
              <w:t>1</w:t>
            </w:r>
          </w:p>
        </w:tc>
        <w:tc>
          <w:tcPr>
            <w:tcW w:w="1250" w:type="pct"/>
            <w:tcBorders>
              <w:tl2br w:val="nil"/>
              <w:tr2bl w:val="nil"/>
            </w:tcBorders>
            <w:shd w:val="clear" w:color="auto" w:fill="auto"/>
            <w:tcMar>
              <w:top w:w="15" w:type="dxa"/>
              <w:left w:w="15" w:type="dxa"/>
              <w:right w:w="15" w:type="dxa"/>
            </w:tcMar>
            <w:vAlign w:val="center"/>
          </w:tcPr>
          <w:p>
            <w:pPr>
              <w:widowControl/>
              <w:textAlignment w:val="center"/>
              <w:rPr>
                <w:b/>
                <w:color w:val="000000"/>
                <w:sz w:val="22"/>
              </w:rPr>
            </w:pPr>
            <w:r>
              <w:rPr>
                <w:color w:val="000000"/>
                <w:kern w:val="0"/>
                <w:sz w:val="24"/>
                <w:szCs w:val="24"/>
              </w:rPr>
              <w:t>闸门板更换</w:t>
            </w:r>
          </w:p>
        </w:tc>
        <w:tc>
          <w:tcPr>
            <w:tcW w:w="2984" w:type="pct"/>
            <w:tcBorders>
              <w:tl2br w:val="nil"/>
              <w:tr2bl w:val="nil"/>
            </w:tcBorders>
            <w:shd w:val="clear" w:color="auto" w:fill="auto"/>
            <w:tcMar>
              <w:top w:w="15" w:type="dxa"/>
              <w:left w:w="15" w:type="dxa"/>
              <w:right w:w="15" w:type="dxa"/>
            </w:tcMar>
            <w:vAlign w:val="center"/>
          </w:tcPr>
          <w:p>
            <w:pPr>
              <w:widowControl/>
              <w:textAlignment w:val="center"/>
              <w:rPr>
                <w:color w:val="000000"/>
                <w:sz w:val="22"/>
              </w:rPr>
            </w:pPr>
            <w:r>
              <w:rPr>
                <w:color w:val="000000"/>
                <w:kern w:val="0"/>
                <w:sz w:val="24"/>
                <w:szCs w:val="24"/>
              </w:rPr>
              <w:t>在原有闸门尺寸上更换及配套设施</w:t>
            </w:r>
            <w:r>
              <w:rPr>
                <w:rFonts w:hint="eastAsia" w:ascii="宋体" w:hAnsi="宋体" w:cs="宋体"/>
                <w:color w:val="FF0000"/>
                <w:kern w:val="0"/>
                <w:sz w:val="22"/>
                <w:szCs w:val="22"/>
              </w:rPr>
              <w:t>（按实际工程量结算）</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765" w:type="pct"/>
            <w:tcBorders>
              <w:tl2br w:val="nil"/>
              <w:tr2bl w:val="nil"/>
            </w:tcBorders>
            <w:shd w:val="clear" w:color="auto" w:fill="auto"/>
            <w:noWrap/>
            <w:tcMar>
              <w:top w:w="15" w:type="dxa"/>
              <w:left w:w="15" w:type="dxa"/>
              <w:right w:w="15" w:type="dxa"/>
            </w:tcMar>
            <w:vAlign w:val="center"/>
          </w:tcPr>
          <w:p>
            <w:pPr>
              <w:widowControl/>
              <w:jc w:val="center"/>
              <w:textAlignment w:val="center"/>
              <w:rPr>
                <w:b/>
                <w:color w:val="000000"/>
                <w:sz w:val="22"/>
              </w:rPr>
            </w:pPr>
            <w:r>
              <w:rPr>
                <w:rFonts w:hint="eastAsia"/>
                <w:b/>
                <w:color w:val="000000"/>
                <w:sz w:val="22"/>
              </w:rPr>
              <w:t>2</w:t>
            </w:r>
          </w:p>
        </w:tc>
        <w:tc>
          <w:tcPr>
            <w:tcW w:w="1250" w:type="pct"/>
            <w:tcBorders>
              <w:tl2br w:val="nil"/>
              <w:tr2bl w:val="nil"/>
            </w:tcBorders>
            <w:shd w:val="clear" w:color="auto" w:fill="auto"/>
            <w:noWrap/>
            <w:tcMar>
              <w:top w:w="15" w:type="dxa"/>
              <w:left w:w="15" w:type="dxa"/>
              <w:right w:w="15" w:type="dxa"/>
            </w:tcMar>
            <w:vAlign w:val="center"/>
          </w:tcPr>
          <w:p>
            <w:pPr>
              <w:widowControl/>
              <w:textAlignment w:val="center"/>
              <w:rPr>
                <w:b/>
                <w:color w:val="000000"/>
                <w:sz w:val="22"/>
              </w:rPr>
            </w:pPr>
            <w:r>
              <w:rPr>
                <w:color w:val="000000"/>
                <w:kern w:val="0"/>
                <w:sz w:val="24"/>
                <w:szCs w:val="24"/>
              </w:rPr>
              <w:t>管理房内部粉刷整理</w:t>
            </w:r>
          </w:p>
        </w:tc>
        <w:tc>
          <w:tcPr>
            <w:tcW w:w="2984" w:type="pct"/>
            <w:tcBorders>
              <w:tl2br w:val="nil"/>
              <w:tr2bl w:val="nil"/>
            </w:tcBorders>
            <w:shd w:val="clear" w:color="auto" w:fill="auto"/>
            <w:tcMar>
              <w:top w:w="15" w:type="dxa"/>
              <w:left w:w="15" w:type="dxa"/>
              <w:right w:w="15" w:type="dxa"/>
            </w:tcMar>
            <w:vAlign w:val="center"/>
          </w:tcPr>
          <w:p>
            <w:pPr>
              <w:widowControl/>
              <w:textAlignment w:val="center"/>
              <w:rPr>
                <w:color w:val="000000"/>
                <w:sz w:val="22"/>
              </w:rPr>
            </w:pPr>
            <w:r>
              <w:rPr>
                <w:color w:val="000000"/>
                <w:kern w:val="0"/>
                <w:sz w:val="24"/>
                <w:szCs w:val="24"/>
              </w:rPr>
              <w:t>管理房内部粉刷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765" w:type="pct"/>
            <w:tcBorders>
              <w:tl2br w:val="nil"/>
              <w:tr2bl w:val="nil"/>
            </w:tcBorders>
            <w:shd w:val="clear" w:color="auto" w:fill="auto"/>
            <w:noWrap/>
            <w:tcMar>
              <w:top w:w="15" w:type="dxa"/>
              <w:left w:w="15" w:type="dxa"/>
              <w:right w:w="15" w:type="dxa"/>
            </w:tcMar>
            <w:vAlign w:val="center"/>
          </w:tcPr>
          <w:p>
            <w:pPr>
              <w:widowControl/>
              <w:jc w:val="center"/>
              <w:textAlignment w:val="center"/>
              <w:rPr>
                <w:b/>
                <w:color w:val="000000"/>
                <w:sz w:val="22"/>
              </w:rPr>
            </w:pPr>
            <w:r>
              <w:rPr>
                <w:rFonts w:hint="eastAsia"/>
                <w:b/>
                <w:color w:val="000000"/>
                <w:sz w:val="22"/>
              </w:rPr>
              <w:t>3</w:t>
            </w:r>
          </w:p>
        </w:tc>
        <w:tc>
          <w:tcPr>
            <w:tcW w:w="1250" w:type="pct"/>
            <w:tcBorders>
              <w:tl2br w:val="nil"/>
              <w:tr2bl w:val="nil"/>
            </w:tcBorders>
            <w:shd w:val="clear" w:color="auto" w:fill="auto"/>
            <w:noWrap/>
            <w:tcMar>
              <w:top w:w="15" w:type="dxa"/>
              <w:left w:w="15" w:type="dxa"/>
              <w:right w:w="15" w:type="dxa"/>
            </w:tcMar>
            <w:vAlign w:val="center"/>
          </w:tcPr>
          <w:p>
            <w:pPr>
              <w:widowControl/>
              <w:textAlignment w:val="center"/>
              <w:rPr>
                <w:b/>
                <w:color w:val="000000"/>
                <w:sz w:val="22"/>
              </w:rPr>
            </w:pPr>
            <w:r>
              <w:rPr>
                <w:color w:val="000000"/>
                <w:kern w:val="0"/>
                <w:sz w:val="24"/>
                <w:szCs w:val="24"/>
              </w:rPr>
              <w:t>机电设备维修养护</w:t>
            </w:r>
          </w:p>
        </w:tc>
        <w:tc>
          <w:tcPr>
            <w:tcW w:w="2984" w:type="pct"/>
            <w:tcBorders>
              <w:tl2br w:val="nil"/>
              <w:tr2bl w:val="nil"/>
            </w:tcBorders>
            <w:shd w:val="clear" w:color="auto" w:fill="auto"/>
            <w:noWrap/>
            <w:tcMar>
              <w:top w:w="15" w:type="dxa"/>
              <w:left w:w="15" w:type="dxa"/>
              <w:right w:w="15" w:type="dxa"/>
            </w:tcMar>
            <w:vAlign w:val="center"/>
          </w:tcPr>
          <w:p>
            <w:pPr>
              <w:rPr>
                <w:color w:val="000000"/>
                <w:sz w:val="22"/>
              </w:rPr>
            </w:pPr>
            <w:r>
              <w:rPr>
                <w:rFonts w:hint="eastAsia" w:ascii="宋体" w:hAnsi="宋体" w:cs="宋体"/>
                <w:color w:val="000000"/>
                <w:kern w:val="0"/>
                <w:sz w:val="24"/>
                <w:szCs w:val="24"/>
              </w:rPr>
              <w:t>电动机、操作设备、配电设施等维修养护</w:t>
            </w:r>
          </w:p>
        </w:tc>
      </w:tr>
    </w:tbl>
    <w:p>
      <w:pPr>
        <w:pStyle w:val="18"/>
      </w:pPr>
      <w:r>
        <w:rPr>
          <w:rFonts w:hint="eastAsia"/>
          <w:b/>
          <w:bCs/>
          <w:sz w:val="28"/>
          <w:szCs w:val="24"/>
        </w:rPr>
        <w:t>4、</w:t>
      </w:r>
      <w:r>
        <w:rPr>
          <w:b/>
          <w:bCs/>
          <w:sz w:val="28"/>
          <w:szCs w:val="24"/>
        </w:rPr>
        <w:t>新美洲水闸</w:t>
      </w:r>
      <w:r>
        <w:rPr>
          <w:rFonts w:hint="eastAsia"/>
          <w:b/>
          <w:bCs/>
          <w:sz w:val="28"/>
          <w:szCs w:val="24"/>
        </w:rPr>
        <w:t>：</w:t>
      </w:r>
    </w:p>
    <w:tbl>
      <w:tblPr>
        <w:tblStyle w:val="38"/>
        <w:tblW w:w="5108"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511"/>
        <w:gridCol w:w="2473"/>
        <w:gridCol w:w="589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765" w:type="pct"/>
            <w:vMerge w:val="restart"/>
            <w:tcBorders>
              <w:tl2br w:val="nil"/>
              <w:tr2bl w:val="nil"/>
            </w:tcBorders>
            <w:shd w:val="clear" w:color="auto" w:fill="auto"/>
            <w:tcMar>
              <w:top w:w="15" w:type="dxa"/>
              <w:left w:w="15" w:type="dxa"/>
              <w:right w:w="15" w:type="dxa"/>
            </w:tcMar>
            <w:vAlign w:val="center"/>
          </w:tcPr>
          <w:p>
            <w:pPr>
              <w:widowControl/>
              <w:jc w:val="center"/>
              <w:textAlignment w:val="center"/>
              <w:rPr>
                <w:b/>
                <w:color w:val="000000"/>
                <w:sz w:val="22"/>
              </w:rPr>
            </w:pPr>
            <w:r>
              <w:rPr>
                <w:b/>
                <w:color w:val="000000"/>
                <w:kern w:val="0"/>
                <w:sz w:val="22"/>
              </w:rPr>
              <w:t>编号</w:t>
            </w:r>
          </w:p>
        </w:tc>
        <w:tc>
          <w:tcPr>
            <w:tcW w:w="1251" w:type="pct"/>
            <w:vMerge w:val="restart"/>
            <w:tcBorders>
              <w:tl2br w:val="nil"/>
              <w:tr2bl w:val="nil"/>
            </w:tcBorders>
            <w:shd w:val="clear" w:color="auto" w:fill="auto"/>
            <w:tcMar>
              <w:top w:w="15" w:type="dxa"/>
              <w:left w:w="15" w:type="dxa"/>
              <w:right w:w="15" w:type="dxa"/>
            </w:tcMar>
            <w:vAlign w:val="center"/>
          </w:tcPr>
          <w:p>
            <w:pPr>
              <w:widowControl/>
              <w:jc w:val="center"/>
              <w:textAlignment w:val="center"/>
              <w:rPr>
                <w:b/>
                <w:color w:val="000000"/>
                <w:sz w:val="22"/>
              </w:rPr>
            </w:pPr>
            <w:r>
              <w:rPr>
                <w:b/>
                <w:color w:val="000000"/>
                <w:kern w:val="0"/>
                <w:sz w:val="22"/>
              </w:rPr>
              <w:t>维修养护项目</w:t>
            </w:r>
          </w:p>
        </w:tc>
        <w:tc>
          <w:tcPr>
            <w:tcW w:w="2982" w:type="pct"/>
            <w:vMerge w:val="restart"/>
            <w:tcBorders>
              <w:tl2br w:val="nil"/>
              <w:tr2bl w:val="nil"/>
            </w:tcBorders>
            <w:shd w:val="clear" w:color="auto" w:fill="auto"/>
            <w:tcMar>
              <w:top w:w="15" w:type="dxa"/>
              <w:left w:w="15" w:type="dxa"/>
              <w:right w:w="15" w:type="dxa"/>
            </w:tcMar>
            <w:vAlign w:val="center"/>
          </w:tcPr>
          <w:p>
            <w:pPr>
              <w:widowControl/>
              <w:jc w:val="center"/>
              <w:textAlignment w:val="center"/>
              <w:rPr>
                <w:b/>
                <w:color w:val="000000"/>
                <w:sz w:val="22"/>
              </w:rPr>
            </w:pPr>
            <w:r>
              <w:rPr>
                <w:b/>
                <w:color w:val="000000"/>
                <w:kern w:val="0"/>
                <w:sz w:val="22"/>
              </w:rPr>
              <w:t>工作内容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765" w:type="pct"/>
            <w:vMerge w:val="continue"/>
            <w:tcBorders>
              <w:tl2br w:val="nil"/>
              <w:tr2bl w:val="nil"/>
            </w:tcBorders>
            <w:shd w:val="clear" w:color="auto" w:fill="auto"/>
            <w:tcMar>
              <w:top w:w="15" w:type="dxa"/>
              <w:left w:w="15" w:type="dxa"/>
              <w:right w:w="15" w:type="dxa"/>
            </w:tcMar>
            <w:vAlign w:val="center"/>
          </w:tcPr>
          <w:p>
            <w:pPr>
              <w:jc w:val="center"/>
              <w:rPr>
                <w:b/>
                <w:color w:val="000000"/>
                <w:sz w:val="22"/>
              </w:rPr>
            </w:pPr>
          </w:p>
        </w:tc>
        <w:tc>
          <w:tcPr>
            <w:tcW w:w="1251" w:type="pct"/>
            <w:vMerge w:val="continue"/>
            <w:tcBorders>
              <w:tl2br w:val="nil"/>
              <w:tr2bl w:val="nil"/>
            </w:tcBorders>
            <w:shd w:val="clear" w:color="auto" w:fill="auto"/>
            <w:tcMar>
              <w:top w:w="15" w:type="dxa"/>
              <w:left w:w="15" w:type="dxa"/>
              <w:right w:w="15" w:type="dxa"/>
            </w:tcMar>
            <w:vAlign w:val="center"/>
          </w:tcPr>
          <w:p>
            <w:pPr>
              <w:jc w:val="center"/>
              <w:rPr>
                <w:b/>
                <w:color w:val="000000"/>
                <w:sz w:val="22"/>
              </w:rPr>
            </w:pPr>
          </w:p>
        </w:tc>
        <w:tc>
          <w:tcPr>
            <w:tcW w:w="2982" w:type="pct"/>
            <w:vMerge w:val="continue"/>
            <w:tcBorders>
              <w:tl2br w:val="nil"/>
              <w:tr2bl w:val="nil"/>
            </w:tcBorders>
            <w:shd w:val="clear" w:color="auto" w:fill="auto"/>
            <w:tcMar>
              <w:top w:w="15" w:type="dxa"/>
              <w:left w:w="15" w:type="dxa"/>
              <w:right w:w="15" w:type="dxa"/>
            </w:tcMar>
            <w:vAlign w:val="center"/>
          </w:tcPr>
          <w:p>
            <w:pPr>
              <w:jc w:val="center"/>
              <w:rPr>
                <w:b/>
                <w:color w:val="000000"/>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4" w:hRule="atLeast"/>
        </w:trPr>
        <w:tc>
          <w:tcPr>
            <w:tcW w:w="765" w:type="pct"/>
            <w:vMerge w:val="restart"/>
            <w:tcBorders>
              <w:tl2br w:val="nil"/>
              <w:tr2bl w:val="nil"/>
            </w:tcBorders>
            <w:shd w:val="clear" w:color="auto" w:fill="auto"/>
            <w:tcMar>
              <w:top w:w="15" w:type="dxa"/>
              <w:left w:w="15" w:type="dxa"/>
              <w:right w:w="15" w:type="dxa"/>
            </w:tcMar>
            <w:vAlign w:val="center"/>
          </w:tcPr>
          <w:p>
            <w:pPr>
              <w:widowControl/>
              <w:jc w:val="center"/>
              <w:textAlignment w:val="center"/>
              <w:rPr>
                <w:b/>
                <w:color w:val="000000"/>
                <w:sz w:val="22"/>
              </w:rPr>
            </w:pPr>
            <w:r>
              <w:rPr>
                <w:rFonts w:hint="eastAsia"/>
                <w:b/>
                <w:color w:val="000000"/>
                <w:sz w:val="22"/>
              </w:rPr>
              <w:t>一</w:t>
            </w:r>
          </w:p>
        </w:tc>
        <w:tc>
          <w:tcPr>
            <w:tcW w:w="1251" w:type="pct"/>
            <w:vMerge w:val="restart"/>
            <w:tcBorders>
              <w:tl2br w:val="nil"/>
              <w:tr2bl w:val="nil"/>
            </w:tcBorders>
            <w:shd w:val="clear" w:color="auto" w:fill="auto"/>
            <w:tcMar>
              <w:top w:w="15" w:type="dxa"/>
              <w:left w:w="15" w:type="dxa"/>
              <w:right w:w="15" w:type="dxa"/>
            </w:tcMar>
            <w:vAlign w:val="center"/>
          </w:tcPr>
          <w:p>
            <w:pPr>
              <w:rPr>
                <w:b/>
                <w:color w:val="000000"/>
                <w:kern w:val="0"/>
                <w:sz w:val="22"/>
                <w:szCs w:val="22"/>
              </w:rPr>
            </w:pPr>
          </w:p>
          <w:p>
            <w:pPr>
              <w:rPr>
                <w:b/>
                <w:color w:val="000000"/>
                <w:sz w:val="22"/>
              </w:rPr>
            </w:pPr>
            <w:r>
              <w:rPr>
                <w:b/>
                <w:color w:val="000000"/>
                <w:kern w:val="0"/>
                <w:sz w:val="22"/>
                <w:szCs w:val="22"/>
              </w:rPr>
              <w:t>标志（碑、牌、桩）新建</w:t>
            </w:r>
          </w:p>
        </w:tc>
        <w:tc>
          <w:tcPr>
            <w:tcW w:w="2982" w:type="pct"/>
            <w:tcBorders>
              <w:tl2br w:val="nil"/>
              <w:tr2bl w:val="nil"/>
            </w:tcBorders>
            <w:shd w:val="clear" w:color="auto" w:fill="auto"/>
            <w:tcMar>
              <w:top w:w="15" w:type="dxa"/>
              <w:left w:w="15" w:type="dxa"/>
              <w:right w:w="15" w:type="dxa"/>
            </w:tcMar>
            <w:vAlign w:val="center"/>
          </w:tcPr>
          <w:p>
            <w:pPr>
              <w:widowControl/>
              <w:jc w:val="left"/>
              <w:textAlignment w:val="center"/>
              <w:rPr>
                <w:color w:val="000000"/>
                <w:sz w:val="22"/>
              </w:rPr>
            </w:pPr>
            <w:r>
              <w:rPr>
                <w:rFonts w:hint="eastAsia" w:ascii="宋体" w:hAnsi="宋体" w:cs="宋体"/>
                <w:color w:val="000000"/>
                <w:kern w:val="0"/>
                <w:sz w:val="22"/>
                <w:szCs w:val="22"/>
              </w:rPr>
              <w:t>工程简介标牌</w:t>
            </w:r>
            <w:r>
              <w:rPr>
                <w:color w:val="000000"/>
                <w:kern w:val="0"/>
                <w:sz w:val="22"/>
                <w:szCs w:val="22"/>
              </w:rPr>
              <w:t>1</w:t>
            </w:r>
            <w:r>
              <w:rPr>
                <w:rFonts w:hint="eastAsia" w:ascii="宋体" w:hAnsi="宋体" w:cs="宋体"/>
                <w:color w:val="000000"/>
                <w:kern w:val="0"/>
                <w:sz w:val="22"/>
                <w:szCs w:val="22"/>
              </w:rPr>
              <w:t>个；</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4" w:hRule="atLeast"/>
        </w:trPr>
        <w:tc>
          <w:tcPr>
            <w:tcW w:w="765" w:type="pct"/>
            <w:vMerge w:val="continue"/>
            <w:tcBorders>
              <w:tl2br w:val="nil"/>
              <w:tr2bl w:val="nil"/>
            </w:tcBorders>
            <w:shd w:val="clear" w:color="auto" w:fill="auto"/>
            <w:tcMar>
              <w:top w:w="15" w:type="dxa"/>
              <w:left w:w="15" w:type="dxa"/>
              <w:right w:w="15" w:type="dxa"/>
            </w:tcMar>
            <w:vAlign w:val="center"/>
          </w:tcPr>
          <w:p/>
        </w:tc>
        <w:tc>
          <w:tcPr>
            <w:tcW w:w="1251" w:type="pct"/>
            <w:vMerge w:val="continue"/>
            <w:tcBorders>
              <w:tl2br w:val="nil"/>
              <w:tr2bl w:val="nil"/>
            </w:tcBorders>
            <w:shd w:val="clear" w:color="auto" w:fill="auto"/>
            <w:tcMar>
              <w:top w:w="15" w:type="dxa"/>
              <w:left w:w="15" w:type="dxa"/>
              <w:right w:w="15" w:type="dxa"/>
            </w:tcMar>
            <w:vAlign w:val="center"/>
          </w:tcPr>
          <w:p/>
        </w:tc>
        <w:tc>
          <w:tcPr>
            <w:tcW w:w="2982" w:type="pct"/>
            <w:tcBorders>
              <w:tl2br w:val="nil"/>
              <w:tr2bl w:val="nil"/>
            </w:tcBorders>
            <w:shd w:val="clear" w:color="auto" w:fill="auto"/>
            <w:tcMar>
              <w:top w:w="15" w:type="dxa"/>
              <w:left w:w="15" w:type="dxa"/>
              <w:right w:w="15" w:type="dxa"/>
            </w:tcMar>
            <w:vAlign w:val="center"/>
          </w:tcPr>
          <w:p>
            <w:pPr>
              <w:widowControl/>
              <w:jc w:val="left"/>
              <w:textAlignment w:val="center"/>
              <w:rPr>
                <w:color w:val="000000"/>
                <w:sz w:val="22"/>
              </w:rPr>
            </w:pPr>
            <w:r>
              <w:rPr>
                <w:color w:val="000000"/>
                <w:kern w:val="0"/>
                <w:sz w:val="22"/>
                <w:szCs w:val="22"/>
              </w:rPr>
              <w:t>规章制度牌</w:t>
            </w:r>
            <w:r>
              <w:rPr>
                <w:rFonts w:hint="eastAsia" w:ascii="宋体" w:hAnsi="宋体" w:cs="宋体"/>
                <w:color w:val="000000"/>
                <w:kern w:val="0"/>
                <w:sz w:val="22"/>
                <w:szCs w:val="22"/>
              </w:rPr>
              <w:t>（</w:t>
            </w:r>
            <w:r>
              <w:rPr>
                <w:color w:val="000000"/>
                <w:kern w:val="0"/>
                <w:sz w:val="22"/>
                <w:szCs w:val="22"/>
              </w:rPr>
              <w:t>根据需要确定</w:t>
            </w:r>
            <w:r>
              <w:rPr>
                <w:rFonts w:hint="eastAsia" w:ascii="宋体" w:hAnsi="宋体" w:cs="宋体"/>
                <w:color w:val="000000"/>
                <w:kern w:val="0"/>
                <w:sz w:val="22"/>
                <w:szCs w:val="22"/>
              </w:rPr>
              <w:t>1个）；</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4" w:hRule="atLeast"/>
        </w:trPr>
        <w:tc>
          <w:tcPr>
            <w:tcW w:w="765" w:type="pct"/>
            <w:vMerge w:val="continue"/>
            <w:tcBorders>
              <w:tl2br w:val="nil"/>
              <w:tr2bl w:val="nil"/>
            </w:tcBorders>
            <w:shd w:val="clear" w:color="auto" w:fill="auto"/>
            <w:tcMar>
              <w:top w:w="15" w:type="dxa"/>
              <w:left w:w="15" w:type="dxa"/>
              <w:right w:w="15" w:type="dxa"/>
            </w:tcMar>
            <w:vAlign w:val="center"/>
          </w:tcPr>
          <w:p>
            <w:pPr>
              <w:rPr>
                <w:color w:val="000000"/>
                <w:sz w:val="22"/>
              </w:rPr>
            </w:pPr>
          </w:p>
        </w:tc>
        <w:tc>
          <w:tcPr>
            <w:tcW w:w="1251" w:type="pct"/>
            <w:vMerge w:val="continue"/>
            <w:tcBorders>
              <w:tl2br w:val="nil"/>
              <w:tr2bl w:val="nil"/>
            </w:tcBorders>
            <w:shd w:val="clear" w:color="auto" w:fill="auto"/>
            <w:tcMar>
              <w:top w:w="15" w:type="dxa"/>
              <w:left w:w="15" w:type="dxa"/>
              <w:right w:w="15" w:type="dxa"/>
            </w:tcMar>
            <w:vAlign w:val="center"/>
          </w:tcPr>
          <w:p>
            <w:pPr>
              <w:rPr>
                <w:color w:val="000000"/>
                <w:sz w:val="22"/>
              </w:rPr>
            </w:pPr>
          </w:p>
        </w:tc>
        <w:tc>
          <w:tcPr>
            <w:tcW w:w="2982" w:type="pct"/>
            <w:tcBorders>
              <w:tl2br w:val="nil"/>
              <w:tr2bl w:val="nil"/>
            </w:tcBorders>
            <w:shd w:val="clear" w:color="auto" w:fill="auto"/>
            <w:tcMar>
              <w:top w:w="15" w:type="dxa"/>
              <w:left w:w="15" w:type="dxa"/>
              <w:right w:w="15" w:type="dxa"/>
            </w:tcMar>
            <w:vAlign w:val="center"/>
          </w:tcPr>
          <w:p>
            <w:pPr>
              <w:widowControl/>
              <w:jc w:val="left"/>
              <w:textAlignment w:val="center"/>
              <w:rPr>
                <w:color w:val="000000"/>
                <w:sz w:val="22"/>
              </w:rPr>
            </w:pPr>
            <w:r>
              <w:rPr>
                <w:color w:val="000000"/>
                <w:kern w:val="0"/>
                <w:sz w:val="22"/>
                <w:szCs w:val="22"/>
              </w:rPr>
              <w:t>宣传牌</w:t>
            </w:r>
            <w:r>
              <w:rPr>
                <w:rFonts w:hint="eastAsia" w:ascii="宋体" w:hAnsi="宋体" w:cs="宋体"/>
                <w:color w:val="000000"/>
                <w:kern w:val="0"/>
                <w:sz w:val="22"/>
                <w:szCs w:val="22"/>
              </w:rPr>
              <w:t>1个；</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4" w:hRule="atLeast"/>
        </w:trPr>
        <w:tc>
          <w:tcPr>
            <w:tcW w:w="765" w:type="pct"/>
            <w:vMerge w:val="continue"/>
            <w:tcBorders>
              <w:tl2br w:val="nil"/>
              <w:tr2bl w:val="nil"/>
            </w:tcBorders>
            <w:shd w:val="clear" w:color="auto" w:fill="auto"/>
            <w:tcMar>
              <w:top w:w="15" w:type="dxa"/>
              <w:left w:w="15" w:type="dxa"/>
              <w:right w:w="15" w:type="dxa"/>
            </w:tcMar>
            <w:vAlign w:val="center"/>
          </w:tcPr>
          <w:p>
            <w:pPr>
              <w:rPr>
                <w:color w:val="000000"/>
                <w:sz w:val="22"/>
              </w:rPr>
            </w:pPr>
          </w:p>
        </w:tc>
        <w:tc>
          <w:tcPr>
            <w:tcW w:w="1251" w:type="pct"/>
            <w:vMerge w:val="continue"/>
            <w:tcBorders>
              <w:tl2br w:val="nil"/>
              <w:tr2bl w:val="nil"/>
            </w:tcBorders>
            <w:shd w:val="clear" w:color="auto" w:fill="auto"/>
            <w:tcMar>
              <w:top w:w="15" w:type="dxa"/>
              <w:left w:w="15" w:type="dxa"/>
              <w:right w:w="15" w:type="dxa"/>
            </w:tcMar>
            <w:vAlign w:val="center"/>
          </w:tcPr>
          <w:p>
            <w:pPr>
              <w:rPr>
                <w:color w:val="000000"/>
                <w:sz w:val="22"/>
              </w:rPr>
            </w:pPr>
          </w:p>
        </w:tc>
        <w:tc>
          <w:tcPr>
            <w:tcW w:w="2982" w:type="pct"/>
            <w:tcBorders>
              <w:tl2br w:val="nil"/>
              <w:tr2bl w:val="nil"/>
            </w:tcBorders>
            <w:shd w:val="clear" w:color="auto" w:fill="auto"/>
            <w:tcMar>
              <w:top w:w="15" w:type="dxa"/>
              <w:left w:w="15" w:type="dxa"/>
              <w:right w:w="15" w:type="dxa"/>
            </w:tcMar>
            <w:vAlign w:val="center"/>
          </w:tcPr>
          <w:p>
            <w:pPr>
              <w:widowControl/>
              <w:jc w:val="left"/>
              <w:textAlignment w:val="center"/>
              <w:rPr>
                <w:color w:val="000000"/>
                <w:sz w:val="22"/>
              </w:rPr>
            </w:pPr>
            <w:r>
              <w:rPr>
                <w:color w:val="000000"/>
                <w:kern w:val="0"/>
                <w:sz w:val="22"/>
                <w:szCs w:val="22"/>
              </w:rPr>
              <w:t>机电金结设备序号牌</w:t>
            </w:r>
            <w:r>
              <w:rPr>
                <w:rFonts w:hint="eastAsia" w:ascii="宋体" w:hAnsi="宋体" w:cs="宋体"/>
                <w:color w:val="000000"/>
                <w:kern w:val="0"/>
                <w:sz w:val="22"/>
                <w:szCs w:val="22"/>
              </w:rPr>
              <w:t>1个；</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4" w:hRule="atLeast"/>
        </w:trPr>
        <w:tc>
          <w:tcPr>
            <w:tcW w:w="765" w:type="pct"/>
            <w:vMerge w:val="continue"/>
            <w:tcBorders>
              <w:tl2br w:val="nil"/>
              <w:tr2bl w:val="nil"/>
            </w:tcBorders>
            <w:shd w:val="clear" w:color="auto" w:fill="auto"/>
            <w:tcMar>
              <w:top w:w="15" w:type="dxa"/>
              <w:left w:w="15" w:type="dxa"/>
              <w:right w:w="15" w:type="dxa"/>
            </w:tcMar>
            <w:vAlign w:val="center"/>
          </w:tcPr>
          <w:p>
            <w:pPr>
              <w:rPr>
                <w:color w:val="000000"/>
                <w:sz w:val="22"/>
              </w:rPr>
            </w:pPr>
          </w:p>
        </w:tc>
        <w:tc>
          <w:tcPr>
            <w:tcW w:w="1251" w:type="pct"/>
            <w:vMerge w:val="continue"/>
            <w:tcBorders>
              <w:tl2br w:val="nil"/>
              <w:tr2bl w:val="nil"/>
            </w:tcBorders>
            <w:shd w:val="clear" w:color="auto" w:fill="auto"/>
            <w:tcMar>
              <w:top w:w="15" w:type="dxa"/>
              <w:left w:w="15" w:type="dxa"/>
              <w:right w:w="15" w:type="dxa"/>
            </w:tcMar>
            <w:vAlign w:val="center"/>
          </w:tcPr>
          <w:p>
            <w:pPr>
              <w:rPr>
                <w:color w:val="000000"/>
                <w:sz w:val="22"/>
              </w:rPr>
            </w:pPr>
          </w:p>
        </w:tc>
        <w:tc>
          <w:tcPr>
            <w:tcW w:w="2982" w:type="pct"/>
            <w:tcBorders>
              <w:tl2br w:val="nil"/>
              <w:tr2bl w:val="nil"/>
            </w:tcBorders>
            <w:shd w:val="clear" w:color="auto" w:fill="auto"/>
            <w:tcMar>
              <w:top w:w="15" w:type="dxa"/>
              <w:left w:w="15" w:type="dxa"/>
              <w:right w:w="15" w:type="dxa"/>
            </w:tcMar>
            <w:vAlign w:val="center"/>
          </w:tcPr>
          <w:p>
            <w:pPr>
              <w:widowControl/>
              <w:jc w:val="left"/>
              <w:textAlignment w:val="center"/>
              <w:rPr>
                <w:color w:val="000000"/>
                <w:sz w:val="22"/>
              </w:rPr>
            </w:pPr>
            <w:r>
              <w:rPr>
                <w:color w:val="000000"/>
                <w:kern w:val="0"/>
                <w:sz w:val="22"/>
                <w:szCs w:val="22"/>
              </w:rPr>
              <w:t>电气屏柜设备名称牌</w:t>
            </w:r>
            <w:r>
              <w:rPr>
                <w:rFonts w:hint="eastAsia" w:ascii="宋体" w:hAnsi="宋体" w:cs="宋体"/>
                <w:color w:val="000000"/>
                <w:kern w:val="0"/>
                <w:sz w:val="22"/>
                <w:szCs w:val="22"/>
              </w:rPr>
              <w:t>1个；</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4" w:hRule="atLeast"/>
        </w:trPr>
        <w:tc>
          <w:tcPr>
            <w:tcW w:w="765" w:type="pct"/>
            <w:vMerge w:val="continue"/>
            <w:tcBorders>
              <w:tl2br w:val="nil"/>
              <w:tr2bl w:val="nil"/>
            </w:tcBorders>
            <w:shd w:val="clear" w:color="auto" w:fill="auto"/>
            <w:tcMar>
              <w:top w:w="15" w:type="dxa"/>
              <w:left w:w="15" w:type="dxa"/>
              <w:right w:w="15" w:type="dxa"/>
            </w:tcMar>
            <w:vAlign w:val="center"/>
          </w:tcPr>
          <w:p>
            <w:pPr>
              <w:rPr>
                <w:color w:val="000000"/>
                <w:sz w:val="22"/>
              </w:rPr>
            </w:pPr>
          </w:p>
        </w:tc>
        <w:tc>
          <w:tcPr>
            <w:tcW w:w="1251" w:type="pct"/>
            <w:vMerge w:val="continue"/>
            <w:tcBorders>
              <w:tl2br w:val="nil"/>
              <w:tr2bl w:val="nil"/>
            </w:tcBorders>
            <w:shd w:val="clear" w:color="auto" w:fill="auto"/>
            <w:tcMar>
              <w:top w:w="15" w:type="dxa"/>
              <w:left w:w="15" w:type="dxa"/>
              <w:right w:w="15" w:type="dxa"/>
            </w:tcMar>
            <w:vAlign w:val="center"/>
          </w:tcPr>
          <w:p>
            <w:pPr>
              <w:rPr>
                <w:color w:val="000000"/>
                <w:sz w:val="22"/>
              </w:rPr>
            </w:pPr>
          </w:p>
        </w:tc>
        <w:tc>
          <w:tcPr>
            <w:tcW w:w="2982" w:type="pct"/>
            <w:tcBorders>
              <w:tl2br w:val="nil"/>
              <w:tr2bl w:val="nil"/>
            </w:tcBorders>
            <w:shd w:val="clear" w:color="auto" w:fill="auto"/>
            <w:tcMar>
              <w:top w:w="15" w:type="dxa"/>
              <w:left w:w="15" w:type="dxa"/>
              <w:right w:w="15" w:type="dxa"/>
            </w:tcMar>
            <w:vAlign w:val="center"/>
          </w:tcPr>
          <w:p>
            <w:pPr>
              <w:widowControl/>
              <w:jc w:val="left"/>
              <w:textAlignment w:val="center"/>
              <w:rPr>
                <w:color w:val="000000"/>
                <w:sz w:val="22"/>
              </w:rPr>
            </w:pPr>
            <w:r>
              <w:rPr>
                <w:color w:val="000000"/>
                <w:kern w:val="0"/>
                <w:sz w:val="22"/>
                <w:szCs w:val="22"/>
              </w:rPr>
              <w:t>仪表牌</w:t>
            </w:r>
            <w:r>
              <w:rPr>
                <w:rFonts w:hint="eastAsia" w:ascii="宋体" w:hAnsi="宋体" w:cs="宋体"/>
                <w:color w:val="000000"/>
                <w:kern w:val="0"/>
                <w:sz w:val="22"/>
                <w:szCs w:val="22"/>
              </w:rPr>
              <w:t>2个；</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4" w:hRule="atLeast"/>
        </w:trPr>
        <w:tc>
          <w:tcPr>
            <w:tcW w:w="765" w:type="pct"/>
            <w:vMerge w:val="continue"/>
            <w:tcBorders>
              <w:tl2br w:val="nil"/>
              <w:tr2bl w:val="nil"/>
            </w:tcBorders>
            <w:shd w:val="clear" w:color="auto" w:fill="auto"/>
            <w:tcMar>
              <w:top w:w="15" w:type="dxa"/>
              <w:left w:w="15" w:type="dxa"/>
              <w:right w:w="15" w:type="dxa"/>
            </w:tcMar>
            <w:vAlign w:val="center"/>
          </w:tcPr>
          <w:p>
            <w:pPr>
              <w:rPr>
                <w:color w:val="000000"/>
                <w:sz w:val="22"/>
              </w:rPr>
            </w:pPr>
          </w:p>
        </w:tc>
        <w:tc>
          <w:tcPr>
            <w:tcW w:w="1251" w:type="pct"/>
            <w:vMerge w:val="continue"/>
            <w:tcBorders>
              <w:tl2br w:val="nil"/>
              <w:tr2bl w:val="nil"/>
            </w:tcBorders>
            <w:shd w:val="clear" w:color="auto" w:fill="auto"/>
            <w:tcMar>
              <w:top w:w="15" w:type="dxa"/>
              <w:left w:w="15" w:type="dxa"/>
              <w:right w:w="15" w:type="dxa"/>
            </w:tcMar>
            <w:vAlign w:val="center"/>
          </w:tcPr>
          <w:p>
            <w:pPr>
              <w:rPr>
                <w:color w:val="000000"/>
                <w:sz w:val="22"/>
              </w:rPr>
            </w:pPr>
          </w:p>
        </w:tc>
        <w:tc>
          <w:tcPr>
            <w:tcW w:w="2982" w:type="pct"/>
            <w:tcBorders>
              <w:tl2br w:val="nil"/>
              <w:tr2bl w:val="nil"/>
            </w:tcBorders>
            <w:shd w:val="clear" w:color="auto" w:fill="auto"/>
            <w:tcMar>
              <w:top w:w="15" w:type="dxa"/>
              <w:left w:w="15" w:type="dxa"/>
              <w:right w:w="15" w:type="dxa"/>
            </w:tcMar>
            <w:vAlign w:val="center"/>
          </w:tcPr>
          <w:p>
            <w:pPr>
              <w:widowControl/>
              <w:jc w:val="left"/>
              <w:textAlignment w:val="center"/>
              <w:rPr>
                <w:color w:val="000000"/>
                <w:sz w:val="22"/>
              </w:rPr>
            </w:pPr>
            <w:r>
              <w:rPr>
                <w:color w:val="000000"/>
                <w:kern w:val="0"/>
                <w:sz w:val="22"/>
                <w:szCs w:val="22"/>
              </w:rPr>
              <w:t>深水警示牌</w:t>
            </w:r>
            <w:r>
              <w:rPr>
                <w:rFonts w:hint="eastAsia" w:ascii="宋体" w:hAnsi="宋体" w:cs="宋体"/>
                <w:color w:val="000000"/>
                <w:kern w:val="0"/>
                <w:sz w:val="22"/>
                <w:szCs w:val="22"/>
              </w:rPr>
              <w:t>4个；</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4" w:hRule="atLeast"/>
        </w:trPr>
        <w:tc>
          <w:tcPr>
            <w:tcW w:w="765" w:type="pct"/>
            <w:vMerge w:val="continue"/>
            <w:tcBorders>
              <w:tl2br w:val="nil"/>
              <w:tr2bl w:val="nil"/>
            </w:tcBorders>
            <w:shd w:val="clear" w:color="auto" w:fill="auto"/>
            <w:tcMar>
              <w:top w:w="15" w:type="dxa"/>
              <w:left w:w="15" w:type="dxa"/>
              <w:right w:w="15" w:type="dxa"/>
            </w:tcMar>
            <w:vAlign w:val="center"/>
          </w:tcPr>
          <w:p>
            <w:pPr>
              <w:rPr>
                <w:color w:val="000000"/>
                <w:sz w:val="22"/>
              </w:rPr>
            </w:pPr>
          </w:p>
        </w:tc>
        <w:tc>
          <w:tcPr>
            <w:tcW w:w="1251" w:type="pct"/>
            <w:vMerge w:val="continue"/>
            <w:tcBorders>
              <w:tl2br w:val="nil"/>
              <w:tr2bl w:val="nil"/>
            </w:tcBorders>
            <w:shd w:val="clear" w:color="auto" w:fill="auto"/>
            <w:tcMar>
              <w:top w:w="15" w:type="dxa"/>
              <w:left w:w="15" w:type="dxa"/>
              <w:right w:w="15" w:type="dxa"/>
            </w:tcMar>
            <w:vAlign w:val="center"/>
          </w:tcPr>
          <w:p>
            <w:pPr>
              <w:rPr>
                <w:color w:val="000000"/>
                <w:sz w:val="22"/>
              </w:rPr>
            </w:pPr>
          </w:p>
        </w:tc>
        <w:tc>
          <w:tcPr>
            <w:tcW w:w="2982" w:type="pct"/>
            <w:tcBorders>
              <w:tl2br w:val="nil"/>
              <w:tr2bl w:val="nil"/>
            </w:tcBorders>
            <w:shd w:val="clear" w:color="auto" w:fill="auto"/>
            <w:tcMar>
              <w:top w:w="15" w:type="dxa"/>
              <w:left w:w="15" w:type="dxa"/>
              <w:right w:w="15" w:type="dxa"/>
            </w:tcMar>
            <w:vAlign w:val="center"/>
          </w:tcPr>
          <w:p>
            <w:pPr>
              <w:widowControl/>
              <w:jc w:val="left"/>
              <w:textAlignment w:val="center"/>
              <w:rPr>
                <w:color w:val="000000"/>
                <w:sz w:val="22"/>
              </w:rPr>
            </w:pPr>
            <w:r>
              <w:rPr>
                <w:color w:val="000000"/>
                <w:kern w:val="0"/>
                <w:sz w:val="22"/>
                <w:szCs w:val="22"/>
              </w:rPr>
              <w:t>警示标线</w:t>
            </w:r>
            <w:r>
              <w:rPr>
                <w:rFonts w:hint="eastAsia" w:ascii="宋体" w:hAnsi="宋体" w:cs="宋体"/>
                <w:color w:val="000000"/>
                <w:kern w:val="0"/>
                <w:sz w:val="22"/>
                <w:szCs w:val="22"/>
              </w:rPr>
              <w:t>8m；</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4" w:hRule="atLeast"/>
        </w:trPr>
        <w:tc>
          <w:tcPr>
            <w:tcW w:w="765" w:type="pct"/>
            <w:vMerge w:val="continue"/>
            <w:tcBorders>
              <w:tl2br w:val="nil"/>
              <w:tr2bl w:val="nil"/>
            </w:tcBorders>
            <w:shd w:val="clear" w:color="auto" w:fill="auto"/>
            <w:tcMar>
              <w:top w:w="15" w:type="dxa"/>
              <w:left w:w="15" w:type="dxa"/>
              <w:right w:w="15" w:type="dxa"/>
            </w:tcMar>
            <w:vAlign w:val="center"/>
          </w:tcPr>
          <w:p>
            <w:pPr>
              <w:rPr>
                <w:color w:val="000000"/>
                <w:sz w:val="22"/>
              </w:rPr>
            </w:pPr>
          </w:p>
        </w:tc>
        <w:tc>
          <w:tcPr>
            <w:tcW w:w="1251" w:type="pct"/>
            <w:vMerge w:val="continue"/>
            <w:tcBorders>
              <w:tl2br w:val="nil"/>
              <w:tr2bl w:val="nil"/>
            </w:tcBorders>
            <w:shd w:val="clear" w:color="auto" w:fill="auto"/>
            <w:tcMar>
              <w:top w:w="15" w:type="dxa"/>
              <w:left w:w="15" w:type="dxa"/>
              <w:right w:w="15" w:type="dxa"/>
            </w:tcMar>
            <w:vAlign w:val="center"/>
          </w:tcPr>
          <w:p>
            <w:pPr>
              <w:rPr>
                <w:color w:val="000000"/>
                <w:sz w:val="22"/>
              </w:rPr>
            </w:pPr>
          </w:p>
        </w:tc>
        <w:tc>
          <w:tcPr>
            <w:tcW w:w="2982" w:type="pct"/>
            <w:tcBorders>
              <w:tl2br w:val="nil"/>
              <w:tr2bl w:val="nil"/>
            </w:tcBorders>
            <w:shd w:val="clear" w:color="auto" w:fill="auto"/>
            <w:tcMar>
              <w:top w:w="15" w:type="dxa"/>
              <w:left w:w="15" w:type="dxa"/>
              <w:right w:w="15" w:type="dxa"/>
            </w:tcMar>
            <w:vAlign w:val="center"/>
          </w:tcPr>
          <w:p>
            <w:pPr>
              <w:widowControl/>
              <w:jc w:val="left"/>
              <w:textAlignment w:val="center"/>
              <w:rPr>
                <w:color w:val="000000"/>
                <w:sz w:val="22"/>
              </w:rPr>
            </w:pPr>
            <w:r>
              <w:rPr>
                <w:color w:val="000000"/>
                <w:kern w:val="0"/>
                <w:sz w:val="22"/>
                <w:szCs w:val="22"/>
              </w:rPr>
              <w:t>巡查（视）线路指引牌</w:t>
            </w:r>
            <w:r>
              <w:rPr>
                <w:rFonts w:hint="eastAsia" w:ascii="宋体" w:hAnsi="宋体" w:cs="宋体"/>
                <w:color w:val="000000"/>
                <w:kern w:val="0"/>
                <w:sz w:val="22"/>
                <w:szCs w:val="22"/>
              </w:rPr>
              <w:t>2个；</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765" w:type="pct"/>
            <w:tcBorders>
              <w:tl2br w:val="nil"/>
              <w:tr2bl w:val="nil"/>
            </w:tcBorders>
            <w:shd w:val="clear" w:color="auto" w:fill="auto"/>
            <w:tcMar>
              <w:top w:w="15" w:type="dxa"/>
              <w:left w:w="15" w:type="dxa"/>
              <w:right w:w="15" w:type="dxa"/>
            </w:tcMar>
            <w:vAlign w:val="center"/>
          </w:tcPr>
          <w:p>
            <w:pPr>
              <w:widowControl/>
              <w:jc w:val="center"/>
              <w:textAlignment w:val="center"/>
              <w:rPr>
                <w:color w:val="000000"/>
                <w:sz w:val="22"/>
              </w:rPr>
            </w:pPr>
            <w:r>
              <w:rPr>
                <w:rFonts w:hint="eastAsia"/>
                <w:b/>
                <w:color w:val="000000"/>
                <w:kern w:val="0"/>
                <w:sz w:val="22"/>
                <w:szCs w:val="22"/>
              </w:rPr>
              <w:t>二</w:t>
            </w:r>
          </w:p>
        </w:tc>
        <w:tc>
          <w:tcPr>
            <w:tcW w:w="1251" w:type="pct"/>
            <w:tcBorders>
              <w:tl2br w:val="nil"/>
              <w:tr2bl w:val="nil"/>
            </w:tcBorders>
            <w:shd w:val="clear" w:color="auto" w:fill="auto"/>
            <w:tcMar>
              <w:top w:w="15" w:type="dxa"/>
              <w:left w:w="15" w:type="dxa"/>
              <w:right w:w="15" w:type="dxa"/>
            </w:tcMar>
            <w:vAlign w:val="center"/>
          </w:tcPr>
          <w:p>
            <w:pPr>
              <w:widowControl/>
              <w:jc w:val="center"/>
              <w:textAlignment w:val="center"/>
              <w:rPr>
                <w:color w:val="000000"/>
                <w:sz w:val="22"/>
              </w:rPr>
            </w:pPr>
            <w:r>
              <w:rPr>
                <w:b/>
                <w:color w:val="000000"/>
                <w:kern w:val="0"/>
                <w:sz w:val="22"/>
                <w:szCs w:val="22"/>
              </w:rPr>
              <w:t>管理房内部粉刷整理</w:t>
            </w:r>
          </w:p>
        </w:tc>
        <w:tc>
          <w:tcPr>
            <w:tcW w:w="2982" w:type="pct"/>
            <w:tcBorders>
              <w:tl2br w:val="nil"/>
              <w:tr2bl w:val="nil"/>
            </w:tcBorders>
            <w:shd w:val="clear" w:color="auto" w:fill="auto"/>
            <w:tcMar>
              <w:top w:w="15" w:type="dxa"/>
              <w:left w:w="15" w:type="dxa"/>
              <w:right w:w="15" w:type="dxa"/>
            </w:tcMar>
            <w:vAlign w:val="center"/>
          </w:tcPr>
          <w:p>
            <w:pPr>
              <w:widowControl/>
              <w:jc w:val="left"/>
              <w:textAlignment w:val="center"/>
              <w:rPr>
                <w:color w:val="000000"/>
                <w:kern w:val="0"/>
                <w:sz w:val="22"/>
                <w:szCs w:val="22"/>
              </w:rPr>
            </w:pPr>
            <w:r>
              <w:rPr>
                <w:color w:val="000000"/>
                <w:kern w:val="0"/>
                <w:sz w:val="22"/>
                <w:szCs w:val="22"/>
              </w:rPr>
              <w:t>管理房内部粉刷</w:t>
            </w:r>
            <w:r>
              <w:rPr>
                <w:rFonts w:hint="eastAsia" w:ascii="宋体" w:hAnsi="宋体" w:cs="宋体"/>
                <w:color w:val="000000"/>
                <w:kern w:val="0"/>
                <w:sz w:val="22"/>
                <w:szCs w:val="22"/>
              </w:rPr>
              <w:t>，乳胶漆白色</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765" w:type="pct"/>
            <w:tcBorders>
              <w:tl2br w:val="nil"/>
              <w:tr2bl w:val="nil"/>
            </w:tcBorders>
            <w:shd w:val="clear" w:color="auto" w:fill="auto"/>
            <w:tcMar>
              <w:top w:w="15" w:type="dxa"/>
              <w:left w:w="15" w:type="dxa"/>
              <w:right w:w="15" w:type="dxa"/>
            </w:tcMar>
            <w:vAlign w:val="center"/>
          </w:tcPr>
          <w:p>
            <w:pPr>
              <w:widowControl/>
              <w:jc w:val="center"/>
              <w:textAlignment w:val="center"/>
              <w:rPr>
                <w:color w:val="000000"/>
                <w:sz w:val="22"/>
              </w:rPr>
            </w:pPr>
            <w:r>
              <w:rPr>
                <w:rFonts w:hint="eastAsia"/>
                <w:b/>
                <w:color w:val="000000"/>
                <w:kern w:val="0"/>
                <w:sz w:val="22"/>
                <w:szCs w:val="22"/>
              </w:rPr>
              <w:t>三</w:t>
            </w:r>
          </w:p>
        </w:tc>
        <w:tc>
          <w:tcPr>
            <w:tcW w:w="1251" w:type="pct"/>
            <w:tcBorders>
              <w:tl2br w:val="nil"/>
              <w:tr2bl w:val="nil"/>
            </w:tcBorders>
            <w:shd w:val="clear" w:color="auto" w:fill="auto"/>
            <w:tcMar>
              <w:top w:w="15" w:type="dxa"/>
              <w:left w:w="15" w:type="dxa"/>
              <w:right w:w="15" w:type="dxa"/>
            </w:tcMar>
            <w:vAlign w:val="center"/>
          </w:tcPr>
          <w:p>
            <w:pPr>
              <w:widowControl/>
              <w:jc w:val="center"/>
              <w:textAlignment w:val="center"/>
              <w:rPr>
                <w:color w:val="000000"/>
                <w:sz w:val="22"/>
              </w:rPr>
            </w:pPr>
            <w:r>
              <w:rPr>
                <w:b/>
                <w:color w:val="000000"/>
                <w:kern w:val="0"/>
                <w:sz w:val="22"/>
                <w:szCs w:val="22"/>
              </w:rPr>
              <w:t>机电设备维修养护</w:t>
            </w:r>
          </w:p>
        </w:tc>
        <w:tc>
          <w:tcPr>
            <w:tcW w:w="2982" w:type="pct"/>
            <w:tcBorders>
              <w:tl2br w:val="nil"/>
              <w:tr2bl w:val="nil"/>
            </w:tcBorders>
            <w:shd w:val="clear" w:color="auto" w:fill="auto"/>
            <w:tcMar>
              <w:top w:w="15" w:type="dxa"/>
              <w:left w:w="15" w:type="dxa"/>
              <w:right w:w="15" w:type="dxa"/>
            </w:tcMar>
            <w:vAlign w:val="center"/>
          </w:tcPr>
          <w:p>
            <w:pPr>
              <w:widowControl/>
              <w:jc w:val="left"/>
              <w:textAlignment w:val="center"/>
              <w:rPr>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765" w:type="pct"/>
            <w:tcBorders>
              <w:tl2br w:val="nil"/>
              <w:tr2bl w:val="nil"/>
            </w:tcBorders>
            <w:shd w:val="clear" w:color="auto" w:fill="auto"/>
            <w:tcMar>
              <w:top w:w="15" w:type="dxa"/>
              <w:left w:w="15" w:type="dxa"/>
              <w:right w:w="15" w:type="dxa"/>
            </w:tcMar>
            <w:vAlign w:val="center"/>
          </w:tcPr>
          <w:p>
            <w:pPr>
              <w:widowControl/>
              <w:jc w:val="center"/>
              <w:textAlignment w:val="center"/>
              <w:rPr>
                <w:b/>
                <w:color w:val="000000"/>
                <w:kern w:val="0"/>
                <w:sz w:val="22"/>
                <w:szCs w:val="22"/>
              </w:rPr>
            </w:pPr>
            <w:r>
              <w:rPr>
                <w:rFonts w:hint="eastAsia"/>
                <w:color w:val="000000"/>
                <w:kern w:val="0"/>
                <w:sz w:val="22"/>
                <w:szCs w:val="22"/>
              </w:rPr>
              <w:t>3</w:t>
            </w:r>
            <w:r>
              <w:rPr>
                <w:color w:val="000000"/>
                <w:kern w:val="0"/>
                <w:sz w:val="22"/>
                <w:szCs w:val="22"/>
              </w:rPr>
              <w:t>.1</w:t>
            </w:r>
          </w:p>
        </w:tc>
        <w:tc>
          <w:tcPr>
            <w:tcW w:w="1251" w:type="pct"/>
            <w:tcBorders>
              <w:tl2br w:val="nil"/>
              <w:tr2bl w:val="nil"/>
            </w:tcBorders>
            <w:shd w:val="clear" w:color="auto" w:fill="auto"/>
            <w:tcMar>
              <w:top w:w="15" w:type="dxa"/>
              <w:left w:w="15" w:type="dxa"/>
              <w:right w:w="15" w:type="dxa"/>
            </w:tcMar>
            <w:vAlign w:val="center"/>
          </w:tcPr>
          <w:p>
            <w:pPr>
              <w:widowControl/>
              <w:jc w:val="center"/>
              <w:textAlignment w:val="center"/>
              <w:rPr>
                <w:b/>
                <w:color w:val="000000"/>
                <w:kern w:val="0"/>
                <w:sz w:val="22"/>
                <w:szCs w:val="22"/>
              </w:rPr>
            </w:pPr>
            <w:r>
              <w:rPr>
                <w:color w:val="000000"/>
                <w:kern w:val="0"/>
                <w:sz w:val="22"/>
                <w:szCs w:val="22"/>
              </w:rPr>
              <w:t>电动机维修养护</w:t>
            </w:r>
          </w:p>
        </w:tc>
        <w:tc>
          <w:tcPr>
            <w:tcW w:w="2982" w:type="pct"/>
            <w:tcBorders>
              <w:tl2br w:val="nil"/>
              <w:tr2bl w:val="nil"/>
            </w:tcBorders>
            <w:shd w:val="clear" w:color="auto" w:fill="auto"/>
            <w:tcMar>
              <w:top w:w="15" w:type="dxa"/>
              <w:left w:w="15" w:type="dxa"/>
              <w:right w:w="15" w:type="dxa"/>
            </w:tcMar>
            <w:vAlign w:val="center"/>
          </w:tcPr>
          <w:p>
            <w:pPr>
              <w:widowControl/>
              <w:jc w:val="left"/>
              <w:textAlignment w:val="center"/>
              <w:rPr>
                <w:color w:val="000000"/>
                <w:kern w:val="0"/>
                <w:sz w:val="22"/>
                <w:szCs w:val="22"/>
              </w:rPr>
            </w:pPr>
            <w:r>
              <w:rPr>
                <w:rFonts w:hint="eastAsia" w:ascii="宋体" w:hAnsi="宋体" w:cs="宋体"/>
                <w:color w:val="000000"/>
                <w:kern w:val="0"/>
                <w:sz w:val="22"/>
                <w:szCs w:val="22"/>
              </w:rPr>
              <w:t>按相关规程标准定期保养，1台机体表面防腐处理，除锈、防锈漆二道、醇酸漆二道，发现磨损件及时修复。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765" w:type="pct"/>
            <w:tcBorders>
              <w:tl2br w:val="nil"/>
              <w:tr2bl w:val="nil"/>
            </w:tcBorders>
            <w:shd w:val="clear" w:color="auto" w:fill="auto"/>
            <w:tcMar>
              <w:top w:w="15" w:type="dxa"/>
              <w:left w:w="15" w:type="dxa"/>
              <w:right w:w="15" w:type="dxa"/>
            </w:tcMar>
            <w:vAlign w:val="center"/>
          </w:tcPr>
          <w:p>
            <w:pPr>
              <w:widowControl/>
              <w:jc w:val="center"/>
              <w:textAlignment w:val="center"/>
              <w:rPr>
                <w:b/>
                <w:color w:val="000000"/>
                <w:kern w:val="0"/>
                <w:sz w:val="22"/>
                <w:szCs w:val="22"/>
              </w:rPr>
            </w:pPr>
            <w:r>
              <w:rPr>
                <w:rFonts w:hint="eastAsia"/>
                <w:color w:val="000000"/>
                <w:kern w:val="0"/>
                <w:sz w:val="22"/>
                <w:szCs w:val="22"/>
              </w:rPr>
              <w:t>3</w:t>
            </w:r>
            <w:r>
              <w:rPr>
                <w:color w:val="000000"/>
                <w:kern w:val="0"/>
                <w:sz w:val="22"/>
                <w:szCs w:val="22"/>
              </w:rPr>
              <w:t>.2</w:t>
            </w:r>
          </w:p>
        </w:tc>
        <w:tc>
          <w:tcPr>
            <w:tcW w:w="1251" w:type="pct"/>
            <w:tcBorders>
              <w:tl2br w:val="nil"/>
              <w:tr2bl w:val="nil"/>
            </w:tcBorders>
            <w:shd w:val="clear" w:color="auto" w:fill="auto"/>
            <w:tcMar>
              <w:top w:w="15" w:type="dxa"/>
              <w:left w:w="15" w:type="dxa"/>
              <w:right w:w="15" w:type="dxa"/>
            </w:tcMar>
            <w:vAlign w:val="center"/>
          </w:tcPr>
          <w:p>
            <w:pPr>
              <w:widowControl/>
              <w:jc w:val="center"/>
              <w:textAlignment w:val="center"/>
              <w:rPr>
                <w:b/>
                <w:color w:val="000000"/>
                <w:kern w:val="0"/>
                <w:sz w:val="22"/>
                <w:szCs w:val="22"/>
              </w:rPr>
            </w:pPr>
            <w:r>
              <w:rPr>
                <w:color w:val="000000"/>
                <w:kern w:val="0"/>
                <w:sz w:val="22"/>
                <w:szCs w:val="22"/>
              </w:rPr>
              <w:t>操作设备维修养护</w:t>
            </w:r>
          </w:p>
        </w:tc>
        <w:tc>
          <w:tcPr>
            <w:tcW w:w="2982" w:type="pct"/>
            <w:tcBorders>
              <w:tl2br w:val="nil"/>
              <w:tr2bl w:val="nil"/>
            </w:tcBorders>
            <w:shd w:val="clear" w:color="auto" w:fill="auto"/>
            <w:tcMar>
              <w:top w:w="15" w:type="dxa"/>
              <w:left w:w="15" w:type="dxa"/>
              <w:right w:w="15" w:type="dxa"/>
            </w:tcMar>
            <w:vAlign w:val="center"/>
          </w:tcPr>
          <w:p>
            <w:pPr>
              <w:widowControl/>
              <w:jc w:val="left"/>
              <w:textAlignment w:val="center"/>
              <w:rPr>
                <w:color w:val="000000"/>
                <w:kern w:val="0"/>
                <w:sz w:val="22"/>
                <w:szCs w:val="22"/>
              </w:rPr>
            </w:pPr>
            <w:r>
              <w:rPr>
                <w:rFonts w:hint="eastAsia" w:ascii="宋体" w:hAnsi="宋体" w:cs="宋体"/>
                <w:color w:val="000000"/>
                <w:kern w:val="0"/>
                <w:sz w:val="22"/>
                <w:szCs w:val="22"/>
              </w:rPr>
              <w:t>按相关规程标准定期保养，钢丝绳维修养护，1台启闭机表面防腐处理，除锈、防锈漆二道、醇酸漆二道。发现损坏及时修复或更换。</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765" w:type="pct"/>
            <w:tcBorders>
              <w:tl2br w:val="nil"/>
              <w:tr2bl w:val="nil"/>
            </w:tcBorders>
            <w:shd w:val="clear" w:color="auto" w:fill="auto"/>
            <w:tcMar>
              <w:top w:w="15" w:type="dxa"/>
              <w:left w:w="15" w:type="dxa"/>
              <w:right w:w="15" w:type="dxa"/>
            </w:tcMar>
            <w:vAlign w:val="center"/>
          </w:tcPr>
          <w:p>
            <w:pPr>
              <w:widowControl/>
              <w:jc w:val="center"/>
              <w:textAlignment w:val="center"/>
              <w:rPr>
                <w:b/>
                <w:color w:val="000000"/>
                <w:kern w:val="0"/>
                <w:sz w:val="22"/>
                <w:szCs w:val="22"/>
              </w:rPr>
            </w:pPr>
            <w:r>
              <w:rPr>
                <w:rFonts w:hint="eastAsia"/>
                <w:color w:val="000000"/>
                <w:kern w:val="0"/>
                <w:sz w:val="22"/>
                <w:szCs w:val="22"/>
              </w:rPr>
              <w:t>3</w:t>
            </w:r>
            <w:r>
              <w:rPr>
                <w:color w:val="000000"/>
                <w:kern w:val="0"/>
                <w:sz w:val="22"/>
                <w:szCs w:val="22"/>
              </w:rPr>
              <w:t>.3</w:t>
            </w:r>
          </w:p>
        </w:tc>
        <w:tc>
          <w:tcPr>
            <w:tcW w:w="1251" w:type="pct"/>
            <w:tcBorders>
              <w:tl2br w:val="nil"/>
              <w:tr2bl w:val="nil"/>
            </w:tcBorders>
            <w:shd w:val="clear" w:color="auto" w:fill="auto"/>
            <w:tcMar>
              <w:top w:w="15" w:type="dxa"/>
              <w:left w:w="15" w:type="dxa"/>
              <w:right w:w="15" w:type="dxa"/>
            </w:tcMar>
            <w:vAlign w:val="center"/>
          </w:tcPr>
          <w:p>
            <w:pPr>
              <w:widowControl/>
              <w:jc w:val="center"/>
              <w:textAlignment w:val="center"/>
              <w:rPr>
                <w:b/>
                <w:color w:val="000000"/>
                <w:kern w:val="0"/>
                <w:sz w:val="22"/>
                <w:szCs w:val="22"/>
              </w:rPr>
            </w:pPr>
            <w:r>
              <w:rPr>
                <w:color w:val="000000"/>
                <w:kern w:val="0"/>
                <w:sz w:val="22"/>
                <w:szCs w:val="22"/>
              </w:rPr>
              <w:t>配电设施维修养护</w:t>
            </w:r>
          </w:p>
        </w:tc>
        <w:tc>
          <w:tcPr>
            <w:tcW w:w="2982" w:type="pct"/>
            <w:tcBorders>
              <w:tl2br w:val="nil"/>
              <w:tr2bl w:val="nil"/>
            </w:tcBorders>
            <w:shd w:val="clear" w:color="auto" w:fill="auto"/>
            <w:tcMar>
              <w:top w:w="15" w:type="dxa"/>
              <w:left w:w="15" w:type="dxa"/>
              <w:right w:w="15" w:type="dxa"/>
            </w:tcMar>
            <w:vAlign w:val="center"/>
          </w:tcPr>
          <w:p>
            <w:pPr>
              <w:widowControl/>
              <w:jc w:val="left"/>
              <w:textAlignment w:val="center"/>
              <w:rPr>
                <w:color w:val="000000"/>
                <w:kern w:val="0"/>
                <w:sz w:val="22"/>
                <w:szCs w:val="22"/>
              </w:rPr>
            </w:pPr>
            <w:r>
              <w:rPr>
                <w:rFonts w:hint="eastAsia" w:ascii="宋体" w:hAnsi="宋体" w:cs="宋体"/>
                <w:color w:val="000000"/>
                <w:kern w:val="0"/>
                <w:sz w:val="22"/>
                <w:szCs w:val="22"/>
              </w:rPr>
              <w:t>按相关规程标准定期保养，相关电网电线断裂更换，配电设施损害更换发现损坏及时修复或更换。</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765" w:type="pct"/>
            <w:tcBorders>
              <w:tl2br w:val="nil"/>
              <w:tr2bl w:val="nil"/>
            </w:tcBorders>
            <w:shd w:val="clear" w:color="auto" w:fill="auto"/>
            <w:tcMar>
              <w:top w:w="15" w:type="dxa"/>
              <w:left w:w="15" w:type="dxa"/>
              <w:right w:w="15" w:type="dxa"/>
            </w:tcMar>
            <w:vAlign w:val="center"/>
          </w:tcPr>
          <w:p>
            <w:pPr>
              <w:widowControl/>
              <w:jc w:val="center"/>
              <w:textAlignment w:val="center"/>
              <w:rPr>
                <w:b/>
                <w:color w:val="000000"/>
                <w:kern w:val="0"/>
                <w:sz w:val="22"/>
                <w:szCs w:val="22"/>
              </w:rPr>
            </w:pPr>
            <w:r>
              <w:rPr>
                <w:rFonts w:hint="eastAsia"/>
                <w:b/>
                <w:color w:val="000000"/>
                <w:kern w:val="0"/>
                <w:sz w:val="22"/>
                <w:szCs w:val="22"/>
              </w:rPr>
              <w:t>四</w:t>
            </w:r>
          </w:p>
        </w:tc>
        <w:tc>
          <w:tcPr>
            <w:tcW w:w="1251" w:type="pct"/>
            <w:tcBorders>
              <w:tl2br w:val="nil"/>
              <w:tr2bl w:val="nil"/>
            </w:tcBorders>
            <w:shd w:val="clear" w:color="auto" w:fill="auto"/>
            <w:tcMar>
              <w:top w:w="15" w:type="dxa"/>
              <w:left w:w="15" w:type="dxa"/>
              <w:right w:w="15" w:type="dxa"/>
            </w:tcMar>
            <w:vAlign w:val="center"/>
          </w:tcPr>
          <w:p>
            <w:pPr>
              <w:widowControl/>
              <w:jc w:val="center"/>
              <w:textAlignment w:val="center"/>
              <w:rPr>
                <w:b/>
                <w:color w:val="000000"/>
                <w:kern w:val="0"/>
                <w:sz w:val="22"/>
                <w:szCs w:val="22"/>
              </w:rPr>
            </w:pPr>
            <w:r>
              <w:rPr>
                <w:b/>
                <w:color w:val="000000"/>
                <w:kern w:val="0"/>
                <w:sz w:val="22"/>
                <w:szCs w:val="22"/>
              </w:rPr>
              <w:t>物料消耗</w:t>
            </w:r>
          </w:p>
        </w:tc>
        <w:tc>
          <w:tcPr>
            <w:tcW w:w="2982" w:type="pct"/>
            <w:tcBorders>
              <w:tl2br w:val="nil"/>
              <w:tr2bl w:val="nil"/>
            </w:tcBorders>
            <w:shd w:val="clear" w:color="auto" w:fill="auto"/>
            <w:tcMar>
              <w:top w:w="15" w:type="dxa"/>
              <w:left w:w="15" w:type="dxa"/>
              <w:right w:w="15" w:type="dxa"/>
            </w:tcMar>
            <w:vAlign w:val="center"/>
          </w:tcPr>
          <w:p>
            <w:pPr>
              <w:widowControl/>
              <w:jc w:val="left"/>
              <w:textAlignment w:val="center"/>
              <w:rPr>
                <w:color w:val="000000"/>
                <w:kern w:val="0"/>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765" w:type="pct"/>
            <w:tcBorders>
              <w:tl2br w:val="nil"/>
              <w:tr2bl w:val="nil"/>
            </w:tcBorders>
            <w:shd w:val="clear" w:color="auto" w:fill="auto"/>
            <w:noWrap/>
            <w:tcMar>
              <w:top w:w="15" w:type="dxa"/>
              <w:left w:w="15" w:type="dxa"/>
              <w:right w:w="15" w:type="dxa"/>
            </w:tcMar>
            <w:vAlign w:val="center"/>
          </w:tcPr>
          <w:p>
            <w:pPr>
              <w:widowControl/>
              <w:jc w:val="center"/>
              <w:textAlignment w:val="center"/>
              <w:rPr>
                <w:b/>
                <w:color w:val="000000"/>
                <w:sz w:val="22"/>
              </w:rPr>
            </w:pPr>
            <w:r>
              <w:rPr>
                <w:rFonts w:hint="eastAsia"/>
                <w:color w:val="000000"/>
                <w:kern w:val="0"/>
                <w:sz w:val="22"/>
                <w:szCs w:val="22"/>
              </w:rPr>
              <w:t>4</w:t>
            </w:r>
            <w:r>
              <w:rPr>
                <w:color w:val="000000"/>
                <w:kern w:val="0"/>
                <w:sz w:val="22"/>
                <w:szCs w:val="22"/>
              </w:rPr>
              <w:t>.1</w:t>
            </w:r>
          </w:p>
        </w:tc>
        <w:tc>
          <w:tcPr>
            <w:tcW w:w="1251" w:type="pct"/>
            <w:tcBorders>
              <w:tl2br w:val="nil"/>
              <w:tr2bl w:val="nil"/>
            </w:tcBorders>
            <w:shd w:val="clear" w:color="auto" w:fill="auto"/>
            <w:noWrap/>
            <w:tcMar>
              <w:top w:w="15" w:type="dxa"/>
              <w:left w:w="15" w:type="dxa"/>
              <w:right w:w="15" w:type="dxa"/>
            </w:tcMar>
            <w:vAlign w:val="center"/>
          </w:tcPr>
          <w:p>
            <w:pPr>
              <w:widowControl/>
              <w:jc w:val="center"/>
              <w:textAlignment w:val="center"/>
              <w:rPr>
                <w:b/>
                <w:color w:val="000000"/>
                <w:sz w:val="22"/>
              </w:rPr>
            </w:pPr>
            <w:r>
              <w:rPr>
                <w:color w:val="000000"/>
                <w:kern w:val="0"/>
                <w:sz w:val="22"/>
                <w:szCs w:val="22"/>
              </w:rPr>
              <w:t>柴油</w:t>
            </w:r>
          </w:p>
        </w:tc>
        <w:tc>
          <w:tcPr>
            <w:tcW w:w="2982" w:type="pct"/>
            <w:tcBorders>
              <w:tl2br w:val="nil"/>
              <w:tr2bl w:val="nil"/>
            </w:tcBorders>
            <w:shd w:val="clear" w:color="auto" w:fill="auto"/>
            <w:tcMar>
              <w:top w:w="15" w:type="dxa"/>
              <w:left w:w="15" w:type="dxa"/>
              <w:right w:w="15" w:type="dxa"/>
            </w:tcMar>
            <w:vAlign w:val="center"/>
          </w:tcPr>
          <w:p>
            <w:pPr>
              <w:widowControl/>
              <w:jc w:val="left"/>
              <w:textAlignment w:val="center"/>
              <w:rPr>
                <w:color w:val="000000"/>
                <w:sz w:val="22"/>
              </w:rPr>
            </w:pPr>
            <w:r>
              <w:rPr>
                <w:color w:val="000000"/>
                <w:kern w:val="0"/>
                <w:sz w:val="22"/>
                <w:szCs w:val="22"/>
              </w:rPr>
              <w:t>备用发电机调试、设备保养清洗等用油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765" w:type="pct"/>
            <w:tcBorders>
              <w:tl2br w:val="nil"/>
              <w:tr2bl w:val="nil"/>
            </w:tcBorders>
            <w:shd w:val="clear" w:color="auto" w:fill="auto"/>
            <w:noWrap/>
            <w:tcMar>
              <w:top w:w="15" w:type="dxa"/>
              <w:left w:w="15" w:type="dxa"/>
              <w:right w:w="15" w:type="dxa"/>
            </w:tcMar>
            <w:vAlign w:val="center"/>
          </w:tcPr>
          <w:p>
            <w:pPr>
              <w:widowControl/>
              <w:jc w:val="center"/>
              <w:textAlignment w:val="center"/>
              <w:rPr>
                <w:b/>
                <w:color w:val="000000"/>
                <w:sz w:val="22"/>
              </w:rPr>
            </w:pPr>
            <w:r>
              <w:rPr>
                <w:rFonts w:hint="eastAsia"/>
                <w:color w:val="000000"/>
                <w:kern w:val="0"/>
                <w:sz w:val="22"/>
                <w:szCs w:val="22"/>
              </w:rPr>
              <w:t>4</w:t>
            </w:r>
            <w:r>
              <w:rPr>
                <w:color w:val="000000"/>
                <w:kern w:val="0"/>
                <w:sz w:val="22"/>
                <w:szCs w:val="22"/>
              </w:rPr>
              <w:t>.2</w:t>
            </w:r>
          </w:p>
        </w:tc>
        <w:tc>
          <w:tcPr>
            <w:tcW w:w="1251" w:type="pct"/>
            <w:tcBorders>
              <w:tl2br w:val="nil"/>
              <w:tr2bl w:val="nil"/>
            </w:tcBorders>
            <w:shd w:val="clear" w:color="auto" w:fill="auto"/>
            <w:noWrap/>
            <w:tcMar>
              <w:top w:w="15" w:type="dxa"/>
              <w:left w:w="15" w:type="dxa"/>
              <w:right w:w="15" w:type="dxa"/>
            </w:tcMar>
            <w:vAlign w:val="center"/>
          </w:tcPr>
          <w:p>
            <w:pPr>
              <w:widowControl/>
              <w:jc w:val="center"/>
              <w:textAlignment w:val="center"/>
              <w:rPr>
                <w:b/>
                <w:color w:val="000000"/>
                <w:sz w:val="22"/>
              </w:rPr>
            </w:pPr>
            <w:r>
              <w:rPr>
                <w:color w:val="000000"/>
                <w:kern w:val="0"/>
                <w:sz w:val="22"/>
                <w:szCs w:val="22"/>
              </w:rPr>
              <w:t>机油</w:t>
            </w:r>
          </w:p>
        </w:tc>
        <w:tc>
          <w:tcPr>
            <w:tcW w:w="2982" w:type="pct"/>
            <w:tcBorders>
              <w:tl2br w:val="nil"/>
              <w:tr2bl w:val="nil"/>
            </w:tcBorders>
            <w:shd w:val="clear" w:color="auto" w:fill="auto"/>
            <w:tcMar>
              <w:top w:w="15" w:type="dxa"/>
              <w:left w:w="15" w:type="dxa"/>
              <w:right w:w="15" w:type="dxa"/>
            </w:tcMar>
            <w:vAlign w:val="center"/>
          </w:tcPr>
          <w:p>
            <w:pPr>
              <w:widowControl/>
              <w:jc w:val="left"/>
              <w:textAlignment w:val="center"/>
              <w:rPr>
                <w:color w:val="000000"/>
                <w:sz w:val="22"/>
              </w:rPr>
            </w:pPr>
            <w:r>
              <w:rPr>
                <w:color w:val="000000"/>
                <w:kern w:val="0"/>
                <w:sz w:val="22"/>
                <w:szCs w:val="22"/>
              </w:rPr>
              <w:t>机电等设备保养用油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765" w:type="pct"/>
            <w:tcBorders>
              <w:tl2br w:val="nil"/>
              <w:tr2bl w:val="nil"/>
            </w:tcBorders>
            <w:shd w:val="clear" w:color="auto" w:fill="auto"/>
            <w:noWrap/>
            <w:tcMar>
              <w:top w:w="15" w:type="dxa"/>
              <w:left w:w="15" w:type="dxa"/>
              <w:right w:w="15" w:type="dxa"/>
            </w:tcMar>
            <w:vAlign w:val="center"/>
          </w:tcPr>
          <w:p>
            <w:pPr>
              <w:widowControl/>
              <w:jc w:val="center"/>
              <w:textAlignment w:val="center"/>
              <w:rPr>
                <w:b/>
                <w:color w:val="000000"/>
                <w:sz w:val="22"/>
              </w:rPr>
            </w:pPr>
            <w:r>
              <w:rPr>
                <w:rFonts w:hint="eastAsia"/>
                <w:color w:val="000000"/>
                <w:kern w:val="0"/>
                <w:sz w:val="22"/>
                <w:szCs w:val="22"/>
              </w:rPr>
              <w:t>4</w:t>
            </w:r>
            <w:r>
              <w:rPr>
                <w:color w:val="000000"/>
                <w:kern w:val="0"/>
                <w:sz w:val="22"/>
                <w:szCs w:val="22"/>
              </w:rPr>
              <w:t>.3</w:t>
            </w:r>
          </w:p>
        </w:tc>
        <w:tc>
          <w:tcPr>
            <w:tcW w:w="1251" w:type="pct"/>
            <w:tcBorders>
              <w:tl2br w:val="nil"/>
              <w:tr2bl w:val="nil"/>
            </w:tcBorders>
            <w:shd w:val="clear" w:color="auto" w:fill="auto"/>
            <w:noWrap/>
            <w:tcMar>
              <w:top w:w="15" w:type="dxa"/>
              <w:left w:w="15" w:type="dxa"/>
              <w:right w:w="15" w:type="dxa"/>
            </w:tcMar>
            <w:vAlign w:val="center"/>
          </w:tcPr>
          <w:p>
            <w:pPr>
              <w:widowControl/>
              <w:jc w:val="center"/>
              <w:textAlignment w:val="center"/>
              <w:rPr>
                <w:b/>
                <w:color w:val="000000"/>
                <w:sz w:val="22"/>
              </w:rPr>
            </w:pPr>
            <w:r>
              <w:rPr>
                <w:color w:val="000000"/>
                <w:kern w:val="0"/>
                <w:sz w:val="22"/>
                <w:szCs w:val="22"/>
              </w:rPr>
              <w:t>黄油</w:t>
            </w:r>
          </w:p>
        </w:tc>
        <w:tc>
          <w:tcPr>
            <w:tcW w:w="2982" w:type="pct"/>
            <w:tcBorders>
              <w:tl2br w:val="nil"/>
              <w:tr2bl w:val="nil"/>
            </w:tcBorders>
            <w:shd w:val="clear" w:color="auto" w:fill="auto"/>
            <w:tcMar>
              <w:top w:w="15" w:type="dxa"/>
              <w:left w:w="15" w:type="dxa"/>
              <w:right w:w="15" w:type="dxa"/>
            </w:tcMar>
            <w:vAlign w:val="center"/>
          </w:tcPr>
          <w:p>
            <w:pPr>
              <w:widowControl/>
              <w:jc w:val="left"/>
              <w:textAlignment w:val="center"/>
              <w:rPr>
                <w:color w:val="000000"/>
                <w:sz w:val="22"/>
              </w:rPr>
            </w:pPr>
            <w:r>
              <w:rPr>
                <w:color w:val="000000"/>
                <w:kern w:val="0"/>
                <w:sz w:val="22"/>
                <w:szCs w:val="22"/>
              </w:rPr>
              <w:t>设备等润滑用油</w:t>
            </w:r>
          </w:p>
        </w:tc>
      </w:tr>
    </w:tbl>
    <w:p>
      <w:pPr>
        <w:pStyle w:val="18"/>
        <w:numPr>
          <w:ilvl w:val="0"/>
          <w:numId w:val="6"/>
        </w:numPr>
        <w:rPr>
          <w:b/>
          <w:bCs/>
          <w:sz w:val="28"/>
          <w:szCs w:val="24"/>
        </w:rPr>
      </w:pPr>
      <w:r>
        <w:rPr>
          <w:b/>
          <w:bCs/>
          <w:sz w:val="28"/>
          <w:szCs w:val="24"/>
        </w:rPr>
        <w:t>龙江水闸</w:t>
      </w:r>
      <w:r>
        <w:rPr>
          <w:rFonts w:hint="eastAsia"/>
          <w:b/>
          <w:bCs/>
          <w:sz w:val="28"/>
          <w:szCs w:val="24"/>
        </w:rPr>
        <w:t>：</w:t>
      </w:r>
    </w:p>
    <w:tbl>
      <w:tblPr>
        <w:tblStyle w:val="38"/>
        <w:tblW w:w="9779"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336"/>
        <w:gridCol w:w="2644"/>
        <w:gridCol w:w="579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1336" w:type="dxa"/>
            <w:vMerge w:val="restart"/>
            <w:tcBorders>
              <w:tl2br w:val="nil"/>
              <w:tr2bl w:val="nil"/>
            </w:tcBorders>
            <w:shd w:val="clear" w:color="auto" w:fill="auto"/>
            <w:tcMar>
              <w:top w:w="15" w:type="dxa"/>
              <w:left w:w="15" w:type="dxa"/>
              <w:right w:w="15" w:type="dxa"/>
            </w:tcMar>
            <w:vAlign w:val="center"/>
          </w:tcPr>
          <w:p>
            <w:pPr>
              <w:widowControl/>
              <w:jc w:val="center"/>
              <w:textAlignment w:val="center"/>
              <w:rPr>
                <w:b/>
                <w:bCs/>
                <w:color w:val="000000"/>
                <w:sz w:val="22"/>
              </w:rPr>
            </w:pPr>
            <w:r>
              <w:rPr>
                <w:b/>
                <w:bCs/>
                <w:color w:val="000000"/>
                <w:kern w:val="0"/>
                <w:sz w:val="22"/>
              </w:rPr>
              <w:t>编号</w:t>
            </w:r>
          </w:p>
        </w:tc>
        <w:tc>
          <w:tcPr>
            <w:tcW w:w="2644" w:type="dxa"/>
            <w:vMerge w:val="restart"/>
            <w:tcBorders>
              <w:tl2br w:val="nil"/>
              <w:tr2bl w:val="nil"/>
            </w:tcBorders>
            <w:shd w:val="clear" w:color="auto" w:fill="auto"/>
            <w:tcMar>
              <w:top w:w="15" w:type="dxa"/>
              <w:left w:w="15" w:type="dxa"/>
              <w:right w:w="15" w:type="dxa"/>
            </w:tcMar>
            <w:vAlign w:val="center"/>
          </w:tcPr>
          <w:p>
            <w:pPr>
              <w:widowControl/>
              <w:jc w:val="center"/>
              <w:textAlignment w:val="center"/>
              <w:rPr>
                <w:b/>
                <w:bCs/>
                <w:color w:val="000000"/>
                <w:sz w:val="22"/>
              </w:rPr>
            </w:pPr>
            <w:r>
              <w:rPr>
                <w:b/>
                <w:bCs/>
                <w:color w:val="000000"/>
                <w:kern w:val="0"/>
                <w:sz w:val="22"/>
              </w:rPr>
              <w:t>维修养护项目</w:t>
            </w:r>
          </w:p>
        </w:tc>
        <w:tc>
          <w:tcPr>
            <w:tcW w:w="5799" w:type="dxa"/>
            <w:vMerge w:val="restart"/>
            <w:tcBorders>
              <w:tl2br w:val="nil"/>
              <w:tr2bl w:val="nil"/>
            </w:tcBorders>
            <w:shd w:val="clear" w:color="auto" w:fill="auto"/>
            <w:tcMar>
              <w:top w:w="15" w:type="dxa"/>
              <w:left w:w="15" w:type="dxa"/>
              <w:right w:w="15" w:type="dxa"/>
            </w:tcMar>
            <w:vAlign w:val="center"/>
          </w:tcPr>
          <w:p>
            <w:pPr>
              <w:widowControl/>
              <w:jc w:val="center"/>
              <w:textAlignment w:val="center"/>
              <w:rPr>
                <w:b/>
                <w:bCs/>
                <w:color w:val="000000"/>
                <w:sz w:val="22"/>
              </w:rPr>
            </w:pPr>
            <w:r>
              <w:rPr>
                <w:b/>
                <w:bCs/>
                <w:color w:val="000000"/>
                <w:kern w:val="0"/>
                <w:sz w:val="22"/>
              </w:rPr>
              <w:t>工作内容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336" w:type="dxa"/>
            <w:vMerge w:val="continue"/>
            <w:tcBorders>
              <w:tl2br w:val="nil"/>
              <w:tr2bl w:val="nil"/>
            </w:tcBorders>
            <w:shd w:val="clear" w:color="auto" w:fill="auto"/>
            <w:tcMar>
              <w:top w:w="15" w:type="dxa"/>
              <w:left w:w="15" w:type="dxa"/>
              <w:right w:w="15" w:type="dxa"/>
            </w:tcMar>
            <w:vAlign w:val="center"/>
          </w:tcPr>
          <w:p>
            <w:pPr>
              <w:jc w:val="center"/>
              <w:rPr>
                <w:b/>
                <w:bCs/>
                <w:color w:val="000000"/>
                <w:sz w:val="22"/>
              </w:rPr>
            </w:pPr>
          </w:p>
        </w:tc>
        <w:tc>
          <w:tcPr>
            <w:tcW w:w="2644" w:type="dxa"/>
            <w:vMerge w:val="continue"/>
            <w:tcBorders>
              <w:tl2br w:val="nil"/>
              <w:tr2bl w:val="nil"/>
            </w:tcBorders>
            <w:shd w:val="clear" w:color="auto" w:fill="auto"/>
            <w:tcMar>
              <w:top w:w="15" w:type="dxa"/>
              <w:left w:w="15" w:type="dxa"/>
              <w:right w:w="15" w:type="dxa"/>
            </w:tcMar>
            <w:vAlign w:val="center"/>
          </w:tcPr>
          <w:p>
            <w:pPr>
              <w:jc w:val="center"/>
              <w:rPr>
                <w:b/>
                <w:bCs/>
                <w:color w:val="000000"/>
                <w:sz w:val="22"/>
              </w:rPr>
            </w:pPr>
          </w:p>
        </w:tc>
        <w:tc>
          <w:tcPr>
            <w:tcW w:w="5799" w:type="dxa"/>
            <w:vMerge w:val="continue"/>
            <w:tcBorders>
              <w:tl2br w:val="nil"/>
              <w:tr2bl w:val="nil"/>
            </w:tcBorders>
            <w:shd w:val="clear" w:color="auto" w:fill="auto"/>
            <w:tcMar>
              <w:top w:w="15" w:type="dxa"/>
              <w:left w:w="15" w:type="dxa"/>
              <w:right w:w="15" w:type="dxa"/>
            </w:tcMar>
            <w:vAlign w:val="center"/>
          </w:tcPr>
          <w:p>
            <w:pPr>
              <w:jc w:val="center"/>
              <w:rPr>
                <w:b/>
                <w:bCs/>
                <w:color w:val="000000"/>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336" w:type="dxa"/>
            <w:vMerge w:val="restart"/>
            <w:tcBorders>
              <w:tl2br w:val="nil"/>
              <w:tr2bl w:val="nil"/>
            </w:tcBorders>
            <w:shd w:val="clear" w:color="auto" w:fill="auto"/>
            <w:tcMar>
              <w:top w:w="15" w:type="dxa"/>
              <w:left w:w="15" w:type="dxa"/>
              <w:right w:w="15" w:type="dxa"/>
            </w:tcMar>
            <w:vAlign w:val="center"/>
          </w:tcPr>
          <w:p>
            <w:pPr>
              <w:widowControl/>
              <w:jc w:val="center"/>
              <w:textAlignment w:val="center"/>
              <w:rPr>
                <w:b/>
                <w:color w:val="000000"/>
                <w:sz w:val="22"/>
              </w:rPr>
            </w:pPr>
            <w:r>
              <w:rPr>
                <w:rFonts w:hint="eastAsia"/>
                <w:b/>
                <w:color w:val="000000"/>
                <w:sz w:val="22"/>
              </w:rPr>
              <w:t>一</w:t>
            </w:r>
          </w:p>
        </w:tc>
        <w:tc>
          <w:tcPr>
            <w:tcW w:w="2644" w:type="dxa"/>
            <w:vMerge w:val="restart"/>
            <w:tcBorders>
              <w:tl2br w:val="nil"/>
              <w:tr2bl w:val="nil"/>
            </w:tcBorders>
            <w:shd w:val="clear" w:color="auto" w:fill="auto"/>
            <w:tcMar>
              <w:top w:w="15" w:type="dxa"/>
              <w:left w:w="15" w:type="dxa"/>
              <w:right w:w="15" w:type="dxa"/>
            </w:tcMar>
            <w:vAlign w:val="center"/>
          </w:tcPr>
          <w:p>
            <w:pPr>
              <w:rPr>
                <w:b/>
                <w:color w:val="000000"/>
                <w:sz w:val="22"/>
              </w:rPr>
            </w:pPr>
            <w:r>
              <w:rPr>
                <w:rFonts w:hint="eastAsia" w:ascii="宋体" w:hAnsi="宋体" w:cs="宋体"/>
                <w:color w:val="000000"/>
                <w:kern w:val="0"/>
                <w:sz w:val="24"/>
                <w:szCs w:val="24"/>
              </w:rPr>
              <w:t>标志（碑、牌、桩）新建</w:t>
            </w:r>
          </w:p>
        </w:tc>
        <w:tc>
          <w:tcPr>
            <w:tcW w:w="5799" w:type="dxa"/>
            <w:tcBorders>
              <w:tl2br w:val="nil"/>
              <w:tr2bl w:val="nil"/>
            </w:tcBorders>
            <w:shd w:val="clear" w:color="auto" w:fill="auto"/>
            <w:tcMar>
              <w:top w:w="15" w:type="dxa"/>
              <w:left w:w="15" w:type="dxa"/>
              <w:right w:w="15" w:type="dxa"/>
            </w:tcMar>
            <w:vAlign w:val="center"/>
          </w:tcPr>
          <w:p>
            <w:pPr>
              <w:widowControl/>
              <w:jc w:val="left"/>
              <w:textAlignment w:val="center"/>
              <w:rPr>
                <w:color w:val="000000"/>
                <w:sz w:val="22"/>
              </w:rPr>
            </w:pPr>
            <w:r>
              <w:rPr>
                <w:rFonts w:hint="eastAsia" w:ascii="宋体" w:hAnsi="宋体" w:cs="宋体"/>
                <w:color w:val="000000"/>
                <w:kern w:val="0"/>
                <w:sz w:val="22"/>
                <w:szCs w:val="22"/>
              </w:rPr>
              <w:t>工程简介标牌1个；</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336" w:type="dxa"/>
            <w:vMerge w:val="continue"/>
            <w:tcBorders>
              <w:tl2br w:val="nil"/>
              <w:tr2bl w:val="nil"/>
            </w:tcBorders>
            <w:shd w:val="clear" w:color="auto" w:fill="auto"/>
            <w:tcMar>
              <w:top w:w="15" w:type="dxa"/>
              <w:left w:w="15" w:type="dxa"/>
              <w:right w:w="15" w:type="dxa"/>
            </w:tcMar>
            <w:vAlign w:val="center"/>
          </w:tcPr>
          <w:p>
            <w:pPr>
              <w:widowControl/>
              <w:textAlignment w:val="center"/>
            </w:pPr>
          </w:p>
        </w:tc>
        <w:tc>
          <w:tcPr>
            <w:tcW w:w="2644" w:type="dxa"/>
            <w:vMerge w:val="continue"/>
            <w:tcBorders>
              <w:tl2br w:val="nil"/>
              <w:tr2bl w:val="nil"/>
            </w:tcBorders>
            <w:shd w:val="clear" w:color="auto" w:fill="auto"/>
            <w:tcMar>
              <w:top w:w="15" w:type="dxa"/>
              <w:left w:w="15" w:type="dxa"/>
              <w:right w:w="15" w:type="dxa"/>
            </w:tcMar>
            <w:vAlign w:val="center"/>
          </w:tcPr>
          <w:p>
            <w:pPr>
              <w:widowControl/>
              <w:textAlignment w:val="center"/>
            </w:pPr>
          </w:p>
        </w:tc>
        <w:tc>
          <w:tcPr>
            <w:tcW w:w="5799" w:type="dxa"/>
            <w:tcBorders>
              <w:tl2br w:val="nil"/>
              <w:tr2bl w:val="nil"/>
            </w:tcBorders>
            <w:shd w:val="clear" w:color="auto" w:fill="auto"/>
            <w:tcMar>
              <w:top w:w="15" w:type="dxa"/>
              <w:left w:w="15" w:type="dxa"/>
              <w:right w:w="15" w:type="dxa"/>
            </w:tcMar>
            <w:vAlign w:val="center"/>
          </w:tcPr>
          <w:p>
            <w:pPr>
              <w:widowControl/>
              <w:jc w:val="left"/>
              <w:textAlignment w:val="center"/>
              <w:rPr>
                <w:color w:val="000000"/>
                <w:sz w:val="22"/>
              </w:rPr>
            </w:pPr>
            <w:r>
              <w:rPr>
                <w:rFonts w:hint="eastAsia" w:ascii="宋体" w:hAnsi="宋体" w:cs="宋体"/>
                <w:color w:val="000000"/>
                <w:kern w:val="0"/>
                <w:sz w:val="22"/>
                <w:szCs w:val="22"/>
              </w:rPr>
              <w:t>规章制度牌（根据需要确定10个）；</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336" w:type="dxa"/>
            <w:vMerge w:val="continue"/>
            <w:tcBorders>
              <w:tl2br w:val="nil"/>
              <w:tr2bl w:val="nil"/>
            </w:tcBorders>
            <w:shd w:val="clear" w:color="auto" w:fill="auto"/>
            <w:tcMar>
              <w:top w:w="15" w:type="dxa"/>
              <w:left w:w="15" w:type="dxa"/>
              <w:right w:w="15" w:type="dxa"/>
            </w:tcMar>
            <w:vAlign w:val="center"/>
          </w:tcPr>
          <w:p>
            <w:pPr>
              <w:widowControl/>
              <w:textAlignment w:val="center"/>
              <w:rPr>
                <w:color w:val="000000"/>
                <w:sz w:val="22"/>
              </w:rPr>
            </w:pPr>
          </w:p>
        </w:tc>
        <w:tc>
          <w:tcPr>
            <w:tcW w:w="2644" w:type="dxa"/>
            <w:vMerge w:val="continue"/>
            <w:tcBorders>
              <w:tl2br w:val="nil"/>
              <w:tr2bl w:val="nil"/>
            </w:tcBorders>
            <w:shd w:val="clear" w:color="auto" w:fill="auto"/>
            <w:tcMar>
              <w:top w:w="15" w:type="dxa"/>
              <w:left w:w="15" w:type="dxa"/>
              <w:right w:w="15" w:type="dxa"/>
            </w:tcMar>
            <w:vAlign w:val="center"/>
          </w:tcPr>
          <w:p>
            <w:pPr>
              <w:widowControl/>
              <w:textAlignment w:val="center"/>
              <w:rPr>
                <w:color w:val="000000"/>
                <w:sz w:val="22"/>
              </w:rPr>
            </w:pPr>
          </w:p>
        </w:tc>
        <w:tc>
          <w:tcPr>
            <w:tcW w:w="5799" w:type="dxa"/>
            <w:tcBorders>
              <w:tl2br w:val="nil"/>
              <w:tr2bl w:val="nil"/>
            </w:tcBorders>
            <w:shd w:val="clear" w:color="auto" w:fill="auto"/>
            <w:tcMar>
              <w:top w:w="15" w:type="dxa"/>
              <w:left w:w="15" w:type="dxa"/>
              <w:right w:w="15" w:type="dxa"/>
            </w:tcMar>
            <w:vAlign w:val="center"/>
          </w:tcPr>
          <w:p>
            <w:pPr>
              <w:widowControl/>
              <w:jc w:val="left"/>
              <w:textAlignment w:val="center"/>
              <w:rPr>
                <w:color w:val="000000"/>
                <w:sz w:val="22"/>
              </w:rPr>
            </w:pPr>
            <w:r>
              <w:rPr>
                <w:rFonts w:hint="eastAsia" w:ascii="宋体" w:hAnsi="宋体" w:cs="宋体"/>
                <w:color w:val="000000"/>
                <w:kern w:val="0"/>
                <w:sz w:val="22"/>
                <w:szCs w:val="22"/>
              </w:rPr>
              <w:t>宣传牌2个；</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336" w:type="dxa"/>
            <w:vMerge w:val="continue"/>
            <w:tcBorders>
              <w:tl2br w:val="nil"/>
              <w:tr2bl w:val="nil"/>
            </w:tcBorders>
            <w:shd w:val="clear" w:color="auto" w:fill="auto"/>
            <w:tcMar>
              <w:top w:w="15" w:type="dxa"/>
              <w:left w:w="15" w:type="dxa"/>
              <w:right w:w="15" w:type="dxa"/>
            </w:tcMar>
            <w:vAlign w:val="center"/>
          </w:tcPr>
          <w:p>
            <w:pPr>
              <w:widowControl/>
              <w:textAlignment w:val="center"/>
              <w:rPr>
                <w:color w:val="000000"/>
                <w:sz w:val="22"/>
              </w:rPr>
            </w:pPr>
          </w:p>
        </w:tc>
        <w:tc>
          <w:tcPr>
            <w:tcW w:w="2644" w:type="dxa"/>
            <w:vMerge w:val="continue"/>
            <w:tcBorders>
              <w:tl2br w:val="nil"/>
              <w:tr2bl w:val="nil"/>
            </w:tcBorders>
            <w:shd w:val="clear" w:color="auto" w:fill="auto"/>
            <w:tcMar>
              <w:top w:w="15" w:type="dxa"/>
              <w:left w:w="15" w:type="dxa"/>
              <w:right w:w="15" w:type="dxa"/>
            </w:tcMar>
            <w:vAlign w:val="center"/>
          </w:tcPr>
          <w:p>
            <w:pPr>
              <w:widowControl/>
              <w:textAlignment w:val="center"/>
              <w:rPr>
                <w:color w:val="000000"/>
                <w:sz w:val="22"/>
              </w:rPr>
            </w:pPr>
          </w:p>
        </w:tc>
        <w:tc>
          <w:tcPr>
            <w:tcW w:w="5799" w:type="dxa"/>
            <w:tcBorders>
              <w:tl2br w:val="nil"/>
              <w:tr2bl w:val="nil"/>
            </w:tcBorders>
            <w:shd w:val="clear" w:color="auto" w:fill="auto"/>
            <w:tcMar>
              <w:top w:w="15" w:type="dxa"/>
              <w:left w:w="15" w:type="dxa"/>
              <w:right w:w="15" w:type="dxa"/>
            </w:tcMar>
            <w:vAlign w:val="center"/>
          </w:tcPr>
          <w:p>
            <w:pPr>
              <w:widowControl/>
              <w:jc w:val="left"/>
              <w:textAlignment w:val="center"/>
              <w:rPr>
                <w:color w:val="000000"/>
                <w:sz w:val="22"/>
              </w:rPr>
            </w:pPr>
            <w:r>
              <w:rPr>
                <w:rFonts w:hint="eastAsia" w:ascii="宋体" w:hAnsi="宋体" w:cs="宋体"/>
                <w:color w:val="000000"/>
                <w:kern w:val="0"/>
                <w:sz w:val="22"/>
                <w:szCs w:val="22"/>
              </w:rPr>
              <w:t>机电金结设备序号牌4个；</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336" w:type="dxa"/>
            <w:vMerge w:val="continue"/>
            <w:tcBorders>
              <w:tl2br w:val="nil"/>
              <w:tr2bl w:val="nil"/>
            </w:tcBorders>
            <w:shd w:val="clear" w:color="auto" w:fill="auto"/>
            <w:tcMar>
              <w:top w:w="15" w:type="dxa"/>
              <w:left w:w="15" w:type="dxa"/>
              <w:right w:w="15" w:type="dxa"/>
            </w:tcMar>
            <w:vAlign w:val="center"/>
          </w:tcPr>
          <w:p>
            <w:pPr>
              <w:widowControl/>
              <w:textAlignment w:val="center"/>
              <w:rPr>
                <w:color w:val="000000"/>
                <w:sz w:val="22"/>
              </w:rPr>
            </w:pPr>
          </w:p>
        </w:tc>
        <w:tc>
          <w:tcPr>
            <w:tcW w:w="2644" w:type="dxa"/>
            <w:vMerge w:val="continue"/>
            <w:tcBorders>
              <w:tl2br w:val="nil"/>
              <w:tr2bl w:val="nil"/>
            </w:tcBorders>
            <w:shd w:val="clear" w:color="auto" w:fill="auto"/>
            <w:tcMar>
              <w:top w:w="15" w:type="dxa"/>
              <w:left w:w="15" w:type="dxa"/>
              <w:right w:w="15" w:type="dxa"/>
            </w:tcMar>
            <w:vAlign w:val="center"/>
          </w:tcPr>
          <w:p>
            <w:pPr>
              <w:widowControl/>
              <w:textAlignment w:val="center"/>
              <w:rPr>
                <w:color w:val="000000"/>
                <w:sz w:val="22"/>
              </w:rPr>
            </w:pPr>
          </w:p>
        </w:tc>
        <w:tc>
          <w:tcPr>
            <w:tcW w:w="5799" w:type="dxa"/>
            <w:tcBorders>
              <w:tl2br w:val="nil"/>
              <w:tr2bl w:val="nil"/>
            </w:tcBorders>
            <w:shd w:val="clear" w:color="auto" w:fill="auto"/>
            <w:tcMar>
              <w:top w:w="15" w:type="dxa"/>
              <w:left w:w="15" w:type="dxa"/>
              <w:right w:w="15" w:type="dxa"/>
            </w:tcMar>
            <w:vAlign w:val="center"/>
          </w:tcPr>
          <w:p>
            <w:pPr>
              <w:widowControl/>
              <w:jc w:val="left"/>
              <w:textAlignment w:val="center"/>
              <w:rPr>
                <w:color w:val="000000"/>
                <w:sz w:val="22"/>
              </w:rPr>
            </w:pPr>
            <w:r>
              <w:rPr>
                <w:rFonts w:hint="eastAsia" w:ascii="宋体" w:hAnsi="宋体" w:cs="宋体"/>
                <w:color w:val="000000"/>
                <w:kern w:val="0"/>
                <w:sz w:val="22"/>
                <w:szCs w:val="22"/>
              </w:rPr>
              <w:t>电气屏柜设备名称牌2个；</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336" w:type="dxa"/>
            <w:vMerge w:val="continue"/>
            <w:tcBorders>
              <w:tl2br w:val="nil"/>
              <w:tr2bl w:val="nil"/>
            </w:tcBorders>
            <w:shd w:val="clear" w:color="auto" w:fill="auto"/>
            <w:tcMar>
              <w:top w:w="15" w:type="dxa"/>
              <w:left w:w="15" w:type="dxa"/>
              <w:right w:w="15" w:type="dxa"/>
            </w:tcMar>
            <w:vAlign w:val="center"/>
          </w:tcPr>
          <w:p>
            <w:pPr>
              <w:widowControl/>
              <w:textAlignment w:val="center"/>
              <w:rPr>
                <w:color w:val="000000"/>
                <w:sz w:val="22"/>
              </w:rPr>
            </w:pPr>
          </w:p>
        </w:tc>
        <w:tc>
          <w:tcPr>
            <w:tcW w:w="2644" w:type="dxa"/>
            <w:vMerge w:val="continue"/>
            <w:tcBorders>
              <w:tl2br w:val="nil"/>
              <w:tr2bl w:val="nil"/>
            </w:tcBorders>
            <w:shd w:val="clear" w:color="auto" w:fill="auto"/>
            <w:tcMar>
              <w:top w:w="15" w:type="dxa"/>
              <w:left w:w="15" w:type="dxa"/>
              <w:right w:w="15" w:type="dxa"/>
            </w:tcMar>
            <w:vAlign w:val="center"/>
          </w:tcPr>
          <w:p>
            <w:pPr>
              <w:widowControl/>
              <w:textAlignment w:val="center"/>
              <w:rPr>
                <w:color w:val="000000"/>
                <w:sz w:val="22"/>
              </w:rPr>
            </w:pPr>
          </w:p>
        </w:tc>
        <w:tc>
          <w:tcPr>
            <w:tcW w:w="5799" w:type="dxa"/>
            <w:tcBorders>
              <w:tl2br w:val="nil"/>
              <w:tr2bl w:val="nil"/>
            </w:tcBorders>
            <w:shd w:val="clear" w:color="auto" w:fill="auto"/>
            <w:tcMar>
              <w:top w:w="15" w:type="dxa"/>
              <w:left w:w="15" w:type="dxa"/>
              <w:right w:w="15" w:type="dxa"/>
            </w:tcMar>
            <w:vAlign w:val="center"/>
          </w:tcPr>
          <w:p>
            <w:pPr>
              <w:widowControl/>
              <w:jc w:val="left"/>
              <w:textAlignment w:val="center"/>
              <w:rPr>
                <w:color w:val="000000"/>
                <w:sz w:val="22"/>
              </w:rPr>
            </w:pPr>
            <w:r>
              <w:rPr>
                <w:rFonts w:hint="eastAsia" w:ascii="宋体" w:hAnsi="宋体" w:cs="宋体"/>
                <w:color w:val="000000"/>
                <w:kern w:val="0"/>
                <w:sz w:val="22"/>
                <w:szCs w:val="22"/>
              </w:rPr>
              <w:t>仪表牌8个；</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336" w:type="dxa"/>
            <w:vMerge w:val="continue"/>
            <w:tcBorders>
              <w:tl2br w:val="nil"/>
              <w:tr2bl w:val="nil"/>
            </w:tcBorders>
            <w:shd w:val="clear" w:color="auto" w:fill="auto"/>
            <w:tcMar>
              <w:top w:w="15" w:type="dxa"/>
              <w:left w:w="15" w:type="dxa"/>
              <w:right w:w="15" w:type="dxa"/>
            </w:tcMar>
            <w:vAlign w:val="center"/>
          </w:tcPr>
          <w:p>
            <w:pPr>
              <w:widowControl/>
              <w:textAlignment w:val="center"/>
              <w:rPr>
                <w:color w:val="000000"/>
                <w:sz w:val="22"/>
              </w:rPr>
            </w:pPr>
          </w:p>
        </w:tc>
        <w:tc>
          <w:tcPr>
            <w:tcW w:w="2644" w:type="dxa"/>
            <w:vMerge w:val="continue"/>
            <w:tcBorders>
              <w:tl2br w:val="nil"/>
              <w:tr2bl w:val="nil"/>
            </w:tcBorders>
            <w:shd w:val="clear" w:color="auto" w:fill="auto"/>
            <w:tcMar>
              <w:top w:w="15" w:type="dxa"/>
              <w:left w:w="15" w:type="dxa"/>
              <w:right w:w="15" w:type="dxa"/>
            </w:tcMar>
            <w:vAlign w:val="center"/>
          </w:tcPr>
          <w:p>
            <w:pPr>
              <w:widowControl/>
              <w:textAlignment w:val="center"/>
              <w:rPr>
                <w:color w:val="000000"/>
                <w:sz w:val="22"/>
              </w:rPr>
            </w:pPr>
          </w:p>
        </w:tc>
        <w:tc>
          <w:tcPr>
            <w:tcW w:w="5799" w:type="dxa"/>
            <w:tcBorders>
              <w:tl2br w:val="nil"/>
              <w:tr2bl w:val="nil"/>
            </w:tcBorders>
            <w:shd w:val="clear" w:color="auto" w:fill="auto"/>
            <w:tcMar>
              <w:top w:w="15" w:type="dxa"/>
              <w:left w:w="15" w:type="dxa"/>
              <w:right w:w="15" w:type="dxa"/>
            </w:tcMar>
            <w:vAlign w:val="center"/>
          </w:tcPr>
          <w:p>
            <w:pPr>
              <w:widowControl/>
              <w:jc w:val="left"/>
              <w:textAlignment w:val="center"/>
              <w:rPr>
                <w:color w:val="000000"/>
                <w:sz w:val="22"/>
              </w:rPr>
            </w:pPr>
            <w:r>
              <w:rPr>
                <w:rFonts w:hint="eastAsia" w:ascii="宋体" w:hAnsi="宋体" w:cs="宋体"/>
                <w:color w:val="000000"/>
                <w:kern w:val="0"/>
                <w:sz w:val="22"/>
                <w:szCs w:val="22"/>
              </w:rPr>
              <w:t>深水警示牌4个；</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336" w:type="dxa"/>
            <w:vMerge w:val="continue"/>
            <w:tcBorders>
              <w:tl2br w:val="nil"/>
              <w:tr2bl w:val="nil"/>
            </w:tcBorders>
            <w:shd w:val="clear" w:color="auto" w:fill="auto"/>
            <w:tcMar>
              <w:top w:w="15" w:type="dxa"/>
              <w:left w:w="15" w:type="dxa"/>
              <w:right w:w="15" w:type="dxa"/>
            </w:tcMar>
            <w:vAlign w:val="center"/>
          </w:tcPr>
          <w:p>
            <w:pPr>
              <w:widowControl/>
              <w:textAlignment w:val="center"/>
              <w:rPr>
                <w:color w:val="000000"/>
                <w:sz w:val="22"/>
              </w:rPr>
            </w:pPr>
          </w:p>
        </w:tc>
        <w:tc>
          <w:tcPr>
            <w:tcW w:w="2644" w:type="dxa"/>
            <w:vMerge w:val="continue"/>
            <w:tcBorders>
              <w:tl2br w:val="nil"/>
              <w:tr2bl w:val="nil"/>
            </w:tcBorders>
            <w:shd w:val="clear" w:color="auto" w:fill="auto"/>
            <w:tcMar>
              <w:top w:w="15" w:type="dxa"/>
              <w:left w:w="15" w:type="dxa"/>
              <w:right w:w="15" w:type="dxa"/>
            </w:tcMar>
            <w:vAlign w:val="center"/>
          </w:tcPr>
          <w:p>
            <w:pPr>
              <w:widowControl/>
              <w:textAlignment w:val="center"/>
              <w:rPr>
                <w:color w:val="000000"/>
                <w:sz w:val="22"/>
              </w:rPr>
            </w:pPr>
          </w:p>
        </w:tc>
        <w:tc>
          <w:tcPr>
            <w:tcW w:w="5799" w:type="dxa"/>
            <w:tcBorders>
              <w:tl2br w:val="nil"/>
              <w:tr2bl w:val="nil"/>
            </w:tcBorders>
            <w:shd w:val="clear" w:color="auto" w:fill="auto"/>
            <w:tcMar>
              <w:top w:w="15" w:type="dxa"/>
              <w:left w:w="15" w:type="dxa"/>
              <w:right w:w="15" w:type="dxa"/>
            </w:tcMar>
            <w:vAlign w:val="center"/>
          </w:tcPr>
          <w:p>
            <w:pPr>
              <w:widowControl/>
              <w:jc w:val="left"/>
              <w:textAlignment w:val="center"/>
              <w:rPr>
                <w:color w:val="000000"/>
                <w:sz w:val="22"/>
              </w:rPr>
            </w:pPr>
            <w:r>
              <w:rPr>
                <w:rFonts w:hint="eastAsia" w:ascii="宋体" w:hAnsi="宋体" w:cs="宋体"/>
                <w:color w:val="000000"/>
                <w:kern w:val="0"/>
                <w:sz w:val="22"/>
                <w:szCs w:val="22"/>
              </w:rPr>
              <w:t>巡查（视）线路指引牌10个；</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336" w:type="dxa"/>
            <w:tcBorders>
              <w:tl2br w:val="nil"/>
              <w:tr2bl w:val="nil"/>
            </w:tcBorders>
            <w:shd w:val="clear" w:color="auto" w:fill="auto"/>
            <w:tcMar>
              <w:top w:w="15" w:type="dxa"/>
              <w:left w:w="15" w:type="dxa"/>
              <w:right w:w="15" w:type="dxa"/>
            </w:tcMar>
            <w:vAlign w:val="center"/>
          </w:tcPr>
          <w:p>
            <w:pPr>
              <w:widowControl/>
              <w:jc w:val="center"/>
              <w:textAlignment w:val="center"/>
              <w:rPr>
                <w:b/>
                <w:color w:val="000000"/>
                <w:sz w:val="22"/>
              </w:rPr>
            </w:pPr>
            <w:r>
              <w:rPr>
                <w:rFonts w:hint="eastAsia" w:ascii="宋体" w:hAnsi="宋体" w:cs="宋体"/>
                <w:b/>
                <w:color w:val="000000"/>
                <w:kern w:val="0"/>
                <w:sz w:val="22"/>
                <w:szCs w:val="22"/>
              </w:rPr>
              <w:t>二</w:t>
            </w:r>
          </w:p>
        </w:tc>
        <w:tc>
          <w:tcPr>
            <w:tcW w:w="2644" w:type="dxa"/>
            <w:tcBorders>
              <w:tl2br w:val="nil"/>
              <w:tr2bl w:val="nil"/>
            </w:tcBorders>
            <w:shd w:val="clear" w:color="auto" w:fill="auto"/>
            <w:tcMar>
              <w:top w:w="15" w:type="dxa"/>
              <w:left w:w="15" w:type="dxa"/>
              <w:right w:w="15" w:type="dxa"/>
            </w:tcMar>
            <w:vAlign w:val="center"/>
          </w:tcPr>
          <w:p>
            <w:pPr>
              <w:widowControl/>
              <w:textAlignment w:val="center"/>
              <w:rPr>
                <w:b/>
                <w:color w:val="000000"/>
                <w:sz w:val="22"/>
              </w:rPr>
            </w:pPr>
            <w:r>
              <w:rPr>
                <w:rFonts w:hint="eastAsia" w:ascii="宋体" w:hAnsi="宋体" w:cs="宋体"/>
                <w:b/>
                <w:color w:val="000000"/>
                <w:kern w:val="0"/>
                <w:sz w:val="22"/>
                <w:szCs w:val="22"/>
              </w:rPr>
              <w:t>启闭机维修养护</w:t>
            </w:r>
          </w:p>
        </w:tc>
        <w:tc>
          <w:tcPr>
            <w:tcW w:w="5799" w:type="dxa"/>
            <w:tcBorders>
              <w:tl2br w:val="nil"/>
              <w:tr2bl w:val="nil"/>
            </w:tcBorders>
            <w:shd w:val="clear" w:color="auto" w:fill="auto"/>
            <w:tcMar>
              <w:top w:w="15" w:type="dxa"/>
              <w:left w:w="15" w:type="dxa"/>
              <w:right w:w="15" w:type="dxa"/>
            </w:tcMar>
            <w:vAlign w:val="center"/>
          </w:tcPr>
          <w:p>
            <w:pPr>
              <w:rPr>
                <w:color w:val="000000"/>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336"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kern w:val="0"/>
                <w:sz w:val="22"/>
                <w:szCs w:val="22"/>
              </w:rPr>
            </w:pPr>
            <w:r>
              <w:rPr>
                <w:rFonts w:hint="eastAsia"/>
                <w:color w:val="000000"/>
                <w:kern w:val="0"/>
                <w:sz w:val="22"/>
                <w:szCs w:val="22"/>
              </w:rPr>
              <w:t>2</w:t>
            </w:r>
            <w:r>
              <w:rPr>
                <w:color w:val="000000"/>
                <w:kern w:val="0"/>
                <w:sz w:val="22"/>
                <w:szCs w:val="22"/>
              </w:rPr>
              <w:t>.1</w:t>
            </w:r>
          </w:p>
        </w:tc>
        <w:tc>
          <w:tcPr>
            <w:tcW w:w="2644"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cs="宋体"/>
                <w:b/>
                <w:color w:val="000000"/>
                <w:kern w:val="0"/>
                <w:sz w:val="22"/>
                <w:szCs w:val="22"/>
              </w:rPr>
            </w:pPr>
            <w:r>
              <w:rPr>
                <w:rFonts w:hint="eastAsia" w:ascii="宋体" w:hAnsi="宋体" w:cs="宋体"/>
                <w:color w:val="000000"/>
                <w:kern w:val="0"/>
                <w:sz w:val="22"/>
                <w:szCs w:val="22"/>
              </w:rPr>
              <w:t>机体表面防腐处理</w:t>
            </w:r>
          </w:p>
        </w:tc>
        <w:tc>
          <w:tcPr>
            <w:tcW w:w="5799" w:type="dxa"/>
            <w:tcBorders>
              <w:tl2br w:val="nil"/>
              <w:tr2bl w:val="nil"/>
            </w:tcBorders>
            <w:shd w:val="clear" w:color="auto" w:fill="auto"/>
            <w:tcMar>
              <w:top w:w="15" w:type="dxa"/>
              <w:left w:w="15" w:type="dxa"/>
              <w:right w:w="15" w:type="dxa"/>
            </w:tcMar>
            <w:vAlign w:val="center"/>
          </w:tcPr>
          <w:p>
            <w:pPr>
              <w:widowControl/>
              <w:jc w:val="left"/>
              <w:textAlignment w:val="center"/>
              <w:rPr>
                <w:color w:val="000000"/>
                <w:sz w:val="22"/>
              </w:rPr>
            </w:pPr>
            <w:r>
              <w:rPr>
                <w:rFonts w:hint="eastAsia" w:ascii="宋体" w:hAnsi="宋体" w:cs="宋体"/>
                <w:color w:val="000000"/>
                <w:kern w:val="0"/>
                <w:sz w:val="22"/>
                <w:szCs w:val="22"/>
              </w:rPr>
              <w:t>2台启闭机除锈、防锈漆二道、醇酸漆二道。</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336"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kern w:val="0"/>
                <w:sz w:val="22"/>
                <w:szCs w:val="22"/>
              </w:rPr>
            </w:pPr>
            <w:r>
              <w:rPr>
                <w:rFonts w:hint="eastAsia"/>
                <w:color w:val="000000"/>
                <w:kern w:val="0"/>
                <w:sz w:val="22"/>
                <w:szCs w:val="22"/>
              </w:rPr>
              <w:t>2</w:t>
            </w:r>
            <w:r>
              <w:rPr>
                <w:color w:val="000000"/>
                <w:kern w:val="0"/>
                <w:sz w:val="22"/>
                <w:szCs w:val="22"/>
              </w:rPr>
              <w:t>.2</w:t>
            </w:r>
          </w:p>
        </w:tc>
        <w:tc>
          <w:tcPr>
            <w:tcW w:w="2644"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cs="宋体"/>
                <w:b/>
                <w:color w:val="000000"/>
                <w:kern w:val="0"/>
                <w:sz w:val="22"/>
                <w:szCs w:val="22"/>
              </w:rPr>
            </w:pPr>
            <w:r>
              <w:rPr>
                <w:rFonts w:hint="eastAsia" w:ascii="宋体" w:hAnsi="宋体" w:cs="宋体"/>
                <w:color w:val="000000"/>
                <w:kern w:val="0"/>
                <w:sz w:val="22"/>
                <w:szCs w:val="22"/>
              </w:rPr>
              <w:t>钢丝绳维修养护</w:t>
            </w:r>
          </w:p>
        </w:tc>
        <w:tc>
          <w:tcPr>
            <w:tcW w:w="5799" w:type="dxa"/>
            <w:tcBorders>
              <w:tl2br w:val="nil"/>
              <w:tr2bl w:val="nil"/>
            </w:tcBorders>
            <w:shd w:val="clear" w:color="auto" w:fill="auto"/>
            <w:tcMar>
              <w:top w:w="15" w:type="dxa"/>
              <w:left w:w="15" w:type="dxa"/>
              <w:right w:w="15" w:type="dxa"/>
            </w:tcMar>
            <w:vAlign w:val="center"/>
          </w:tcPr>
          <w:p>
            <w:pPr>
              <w:widowControl/>
              <w:jc w:val="left"/>
              <w:textAlignment w:val="center"/>
              <w:rPr>
                <w:color w:val="000000"/>
                <w:sz w:val="22"/>
              </w:rPr>
            </w:pPr>
            <w:r>
              <w:rPr>
                <w:rFonts w:hint="eastAsia" w:ascii="宋体" w:hAnsi="宋体" w:cs="宋体"/>
                <w:color w:val="000000"/>
                <w:kern w:val="0"/>
                <w:sz w:val="22"/>
                <w:szCs w:val="22"/>
              </w:rPr>
              <w:t>启闭机关联钢丝绳按相关规程标准定期保养，每年上</w:t>
            </w:r>
            <w:r>
              <w:rPr>
                <w:color w:val="000000"/>
                <w:kern w:val="0"/>
                <w:sz w:val="22"/>
                <w:szCs w:val="22"/>
              </w:rPr>
              <w:t>1</w:t>
            </w:r>
            <w:r>
              <w:rPr>
                <w:rFonts w:hint="eastAsia" w:ascii="宋体" w:hAnsi="宋体" w:cs="宋体"/>
                <w:color w:val="000000"/>
                <w:kern w:val="0"/>
                <w:sz w:val="22"/>
                <w:szCs w:val="22"/>
              </w:rPr>
              <w:t>次润滑油脂，每</w:t>
            </w:r>
            <w:r>
              <w:rPr>
                <w:color w:val="000000"/>
                <w:kern w:val="0"/>
                <w:sz w:val="22"/>
                <w:szCs w:val="22"/>
              </w:rPr>
              <w:t>5~10</w:t>
            </w:r>
            <w:r>
              <w:rPr>
                <w:rFonts w:hint="eastAsia" w:ascii="宋体" w:hAnsi="宋体" w:cs="宋体"/>
                <w:color w:val="000000"/>
                <w:kern w:val="0"/>
                <w:sz w:val="22"/>
                <w:szCs w:val="22"/>
              </w:rPr>
              <w:t>年更换</w:t>
            </w:r>
            <w:r>
              <w:rPr>
                <w:color w:val="000000"/>
                <w:kern w:val="0"/>
                <w:sz w:val="22"/>
                <w:szCs w:val="22"/>
              </w:rPr>
              <w:t>1</w:t>
            </w:r>
            <w:r>
              <w:rPr>
                <w:rFonts w:hint="eastAsia" w:ascii="宋体" w:hAnsi="宋体" w:cs="宋体"/>
                <w:color w:val="000000"/>
                <w:kern w:val="0"/>
                <w:sz w:val="22"/>
                <w:szCs w:val="22"/>
              </w:rPr>
              <w:t>次，发现断丝按规定及时更换</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336"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kern w:val="0"/>
                <w:sz w:val="22"/>
                <w:szCs w:val="22"/>
              </w:rPr>
            </w:pPr>
            <w:r>
              <w:rPr>
                <w:rFonts w:hint="eastAsia"/>
                <w:color w:val="000000"/>
                <w:kern w:val="0"/>
                <w:sz w:val="22"/>
                <w:szCs w:val="22"/>
              </w:rPr>
              <w:t>2</w:t>
            </w:r>
            <w:r>
              <w:rPr>
                <w:color w:val="000000"/>
                <w:kern w:val="0"/>
                <w:sz w:val="22"/>
                <w:szCs w:val="22"/>
              </w:rPr>
              <w:t>.3</w:t>
            </w:r>
          </w:p>
        </w:tc>
        <w:tc>
          <w:tcPr>
            <w:tcW w:w="2644"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cs="宋体"/>
                <w:b/>
                <w:color w:val="000000"/>
                <w:kern w:val="0"/>
                <w:sz w:val="22"/>
                <w:szCs w:val="22"/>
              </w:rPr>
            </w:pPr>
            <w:r>
              <w:rPr>
                <w:rFonts w:hint="eastAsia" w:ascii="宋体" w:hAnsi="宋体" w:cs="宋体"/>
                <w:color w:val="000000"/>
                <w:kern w:val="0"/>
                <w:sz w:val="22"/>
                <w:szCs w:val="22"/>
              </w:rPr>
              <w:t>传</w:t>
            </w:r>
            <w:r>
              <w:rPr>
                <w:color w:val="000000"/>
                <w:kern w:val="0"/>
                <w:sz w:val="22"/>
                <w:szCs w:val="22"/>
              </w:rPr>
              <w:t>(</w:t>
            </w:r>
            <w:r>
              <w:rPr>
                <w:rFonts w:hint="eastAsia" w:ascii="宋体" w:hAnsi="宋体" w:cs="宋体"/>
                <w:color w:val="000000"/>
                <w:kern w:val="0"/>
                <w:sz w:val="22"/>
                <w:szCs w:val="22"/>
              </w:rPr>
              <w:t>制</w:t>
            </w:r>
            <w:r>
              <w:rPr>
                <w:color w:val="000000"/>
                <w:kern w:val="0"/>
                <w:sz w:val="22"/>
                <w:szCs w:val="22"/>
              </w:rPr>
              <w:t>)</w:t>
            </w:r>
            <w:r>
              <w:rPr>
                <w:rFonts w:hint="eastAsia" w:ascii="宋体" w:hAnsi="宋体" w:cs="宋体"/>
                <w:color w:val="000000"/>
                <w:kern w:val="0"/>
                <w:sz w:val="22"/>
                <w:szCs w:val="22"/>
              </w:rPr>
              <w:t>动系统维修养护</w:t>
            </w:r>
          </w:p>
        </w:tc>
        <w:tc>
          <w:tcPr>
            <w:tcW w:w="5799" w:type="dxa"/>
            <w:tcBorders>
              <w:tl2br w:val="nil"/>
              <w:tr2bl w:val="nil"/>
            </w:tcBorders>
            <w:shd w:val="clear" w:color="auto" w:fill="auto"/>
            <w:tcMar>
              <w:top w:w="15" w:type="dxa"/>
              <w:left w:w="15" w:type="dxa"/>
              <w:right w:w="15" w:type="dxa"/>
            </w:tcMar>
            <w:vAlign w:val="center"/>
          </w:tcPr>
          <w:p>
            <w:pPr>
              <w:widowControl/>
              <w:jc w:val="left"/>
              <w:textAlignment w:val="center"/>
              <w:rPr>
                <w:color w:val="000000"/>
                <w:sz w:val="22"/>
              </w:rPr>
            </w:pPr>
            <w:r>
              <w:rPr>
                <w:rFonts w:hint="eastAsia" w:ascii="宋体" w:hAnsi="宋体" w:cs="宋体"/>
                <w:color w:val="000000"/>
                <w:kern w:val="0"/>
                <w:sz w:val="22"/>
                <w:szCs w:val="22"/>
              </w:rPr>
              <w:t>启闭机关联制动系统，按相关规程标准定期保养，发现损坏及时修复或更换</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336"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kern w:val="0"/>
                <w:sz w:val="22"/>
                <w:szCs w:val="22"/>
              </w:rPr>
            </w:pPr>
            <w:r>
              <w:rPr>
                <w:rFonts w:hint="eastAsia" w:ascii="宋体" w:hAnsi="宋体" w:cs="宋体"/>
                <w:b/>
                <w:color w:val="000000"/>
                <w:kern w:val="0"/>
                <w:sz w:val="22"/>
                <w:szCs w:val="22"/>
              </w:rPr>
              <w:t>三</w:t>
            </w:r>
          </w:p>
        </w:tc>
        <w:tc>
          <w:tcPr>
            <w:tcW w:w="2644"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cs="宋体"/>
                <w:b/>
                <w:color w:val="000000"/>
                <w:kern w:val="0"/>
                <w:sz w:val="22"/>
                <w:szCs w:val="22"/>
              </w:rPr>
            </w:pPr>
            <w:r>
              <w:rPr>
                <w:rFonts w:hint="eastAsia" w:ascii="宋体" w:hAnsi="宋体" w:cs="宋体"/>
                <w:b/>
                <w:color w:val="000000"/>
                <w:kern w:val="0"/>
                <w:sz w:val="22"/>
                <w:szCs w:val="22"/>
              </w:rPr>
              <w:t>机电设备维修养护</w:t>
            </w:r>
          </w:p>
        </w:tc>
        <w:tc>
          <w:tcPr>
            <w:tcW w:w="5799" w:type="dxa"/>
            <w:tcBorders>
              <w:tl2br w:val="nil"/>
              <w:tr2bl w:val="nil"/>
            </w:tcBorders>
            <w:shd w:val="clear" w:color="auto" w:fill="auto"/>
            <w:tcMar>
              <w:top w:w="15" w:type="dxa"/>
              <w:left w:w="15" w:type="dxa"/>
              <w:right w:w="15" w:type="dxa"/>
            </w:tcMar>
            <w:vAlign w:val="center"/>
          </w:tcPr>
          <w:p>
            <w:pPr>
              <w:rPr>
                <w:color w:val="000000"/>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336"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kern w:val="0"/>
                <w:sz w:val="22"/>
                <w:szCs w:val="22"/>
              </w:rPr>
            </w:pPr>
            <w:r>
              <w:rPr>
                <w:rFonts w:hint="eastAsia"/>
                <w:color w:val="000000"/>
                <w:kern w:val="0"/>
                <w:sz w:val="22"/>
                <w:szCs w:val="22"/>
              </w:rPr>
              <w:t>3</w:t>
            </w:r>
            <w:r>
              <w:rPr>
                <w:color w:val="000000"/>
                <w:kern w:val="0"/>
                <w:sz w:val="22"/>
                <w:szCs w:val="22"/>
              </w:rPr>
              <w:t>.1</w:t>
            </w:r>
          </w:p>
        </w:tc>
        <w:tc>
          <w:tcPr>
            <w:tcW w:w="2644"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cs="宋体"/>
                <w:b/>
                <w:color w:val="000000"/>
                <w:kern w:val="0"/>
                <w:sz w:val="22"/>
                <w:szCs w:val="22"/>
              </w:rPr>
            </w:pPr>
            <w:r>
              <w:rPr>
                <w:rFonts w:hint="eastAsia" w:ascii="宋体" w:hAnsi="宋体" w:cs="宋体"/>
                <w:color w:val="000000"/>
                <w:kern w:val="0"/>
                <w:sz w:val="22"/>
                <w:szCs w:val="22"/>
              </w:rPr>
              <w:t>电动机维修养护</w:t>
            </w:r>
          </w:p>
        </w:tc>
        <w:tc>
          <w:tcPr>
            <w:tcW w:w="5799" w:type="dxa"/>
            <w:tcBorders>
              <w:tl2br w:val="nil"/>
              <w:tr2bl w:val="nil"/>
            </w:tcBorders>
            <w:shd w:val="clear" w:color="auto" w:fill="auto"/>
            <w:tcMar>
              <w:top w:w="15" w:type="dxa"/>
              <w:left w:w="15" w:type="dxa"/>
              <w:right w:w="15" w:type="dxa"/>
            </w:tcMar>
            <w:vAlign w:val="center"/>
          </w:tcPr>
          <w:p>
            <w:pPr>
              <w:widowControl/>
              <w:jc w:val="left"/>
              <w:textAlignment w:val="center"/>
              <w:rPr>
                <w:color w:val="000000"/>
                <w:sz w:val="22"/>
              </w:rPr>
            </w:pPr>
            <w:r>
              <w:rPr>
                <w:rFonts w:hint="eastAsia" w:ascii="宋体" w:hAnsi="宋体" w:cs="宋体"/>
                <w:color w:val="000000"/>
                <w:kern w:val="0"/>
                <w:sz w:val="22"/>
                <w:szCs w:val="22"/>
              </w:rPr>
              <w:t>2台电动机按相关规程标准定期保养，除锈、防锈漆二道、醇酸漆二道，发现磨损件及时修复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336"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kern w:val="0"/>
                <w:sz w:val="22"/>
                <w:szCs w:val="22"/>
              </w:rPr>
            </w:pPr>
            <w:r>
              <w:rPr>
                <w:rFonts w:hint="eastAsia"/>
                <w:color w:val="000000"/>
                <w:kern w:val="0"/>
                <w:sz w:val="22"/>
                <w:szCs w:val="22"/>
              </w:rPr>
              <w:t>3</w:t>
            </w:r>
            <w:r>
              <w:rPr>
                <w:color w:val="000000"/>
                <w:kern w:val="0"/>
                <w:sz w:val="22"/>
                <w:szCs w:val="22"/>
              </w:rPr>
              <w:t>.2</w:t>
            </w:r>
          </w:p>
        </w:tc>
        <w:tc>
          <w:tcPr>
            <w:tcW w:w="2644"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cs="宋体"/>
                <w:b/>
                <w:color w:val="000000"/>
                <w:kern w:val="0"/>
                <w:sz w:val="22"/>
                <w:szCs w:val="22"/>
              </w:rPr>
            </w:pPr>
            <w:r>
              <w:rPr>
                <w:rFonts w:hint="eastAsia" w:ascii="宋体" w:hAnsi="宋体" w:cs="宋体"/>
                <w:color w:val="000000"/>
                <w:kern w:val="0"/>
                <w:sz w:val="22"/>
                <w:szCs w:val="22"/>
              </w:rPr>
              <w:t>操作设备维修养护</w:t>
            </w:r>
          </w:p>
        </w:tc>
        <w:tc>
          <w:tcPr>
            <w:tcW w:w="5799" w:type="dxa"/>
            <w:tcBorders>
              <w:tl2br w:val="nil"/>
              <w:tr2bl w:val="nil"/>
            </w:tcBorders>
            <w:shd w:val="clear" w:color="auto" w:fill="auto"/>
            <w:tcMar>
              <w:top w:w="15" w:type="dxa"/>
              <w:left w:w="15" w:type="dxa"/>
              <w:right w:w="15" w:type="dxa"/>
            </w:tcMar>
            <w:vAlign w:val="center"/>
          </w:tcPr>
          <w:p>
            <w:pPr>
              <w:widowControl/>
              <w:jc w:val="left"/>
              <w:textAlignment w:val="center"/>
              <w:rPr>
                <w:color w:val="000000"/>
                <w:sz w:val="22"/>
              </w:rPr>
            </w:pPr>
            <w:r>
              <w:rPr>
                <w:rFonts w:hint="eastAsia" w:ascii="宋体" w:hAnsi="宋体" w:cs="宋体"/>
                <w:color w:val="000000"/>
                <w:kern w:val="0"/>
                <w:sz w:val="22"/>
                <w:szCs w:val="22"/>
              </w:rPr>
              <w:t>按相关规程标准定期保养，除锈、防锈漆二道、醇酸漆二道，发现损坏及时修复或更换</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336"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kern w:val="0"/>
                <w:sz w:val="22"/>
                <w:szCs w:val="22"/>
              </w:rPr>
            </w:pPr>
            <w:r>
              <w:rPr>
                <w:rFonts w:hint="eastAsia"/>
                <w:color w:val="000000"/>
                <w:kern w:val="0"/>
                <w:sz w:val="22"/>
                <w:szCs w:val="22"/>
              </w:rPr>
              <w:t>3</w:t>
            </w:r>
            <w:r>
              <w:rPr>
                <w:color w:val="000000"/>
                <w:kern w:val="0"/>
                <w:sz w:val="22"/>
                <w:szCs w:val="22"/>
              </w:rPr>
              <w:t>.3</w:t>
            </w:r>
          </w:p>
        </w:tc>
        <w:tc>
          <w:tcPr>
            <w:tcW w:w="2644"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cs="宋体"/>
                <w:b/>
                <w:color w:val="000000"/>
                <w:kern w:val="0"/>
                <w:sz w:val="22"/>
                <w:szCs w:val="22"/>
              </w:rPr>
            </w:pPr>
            <w:r>
              <w:rPr>
                <w:rFonts w:hint="eastAsia" w:ascii="宋体" w:hAnsi="宋体" w:cs="宋体"/>
                <w:color w:val="000000"/>
                <w:kern w:val="0"/>
                <w:sz w:val="22"/>
                <w:szCs w:val="22"/>
              </w:rPr>
              <w:t>配电设施维修养护</w:t>
            </w:r>
          </w:p>
        </w:tc>
        <w:tc>
          <w:tcPr>
            <w:tcW w:w="5799" w:type="dxa"/>
            <w:tcBorders>
              <w:tl2br w:val="nil"/>
              <w:tr2bl w:val="nil"/>
            </w:tcBorders>
            <w:shd w:val="clear" w:color="auto" w:fill="auto"/>
            <w:tcMar>
              <w:top w:w="15" w:type="dxa"/>
              <w:left w:w="15" w:type="dxa"/>
              <w:right w:w="15" w:type="dxa"/>
            </w:tcMar>
            <w:vAlign w:val="center"/>
          </w:tcPr>
          <w:p>
            <w:pPr>
              <w:widowControl/>
              <w:jc w:val="left"/>
              <w:textAlignment w:val="center"/>
              <w:rPr>
                <w:color w:val="000000"/>
                <w:sz w:val="22"/>
              </w:rPr>
            </w:pPr>
            <w:r>
              <w:rPr>
                <w:rFonts w:hint="eastAsia" w:ascii="宋体" w:hAnsi="宋体" w:cs="宋体"/>
                <w:color w:val="000000"/>
                <w:kern w:val="0"/>
                <w:sz w:val="22"/>
                <w:szCs w:val="22"/>
              </w:rPr>
              <w:t>按相关规程标准定期保养，发现损坏及时修复或更换</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336"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kern w:val="0"/>
                <w:sz w:val="22"/>
                <w:szCs w:val="22"/>
              </w:rPr>
            </w:pPr>
            <w:r>
              <w:rPr>
                <w:rFonts w:hint="eastAsia"/>
                <w:color w:val="000000"/>
                <w:kern w:val="0"/>
                <w:sz w:val="22"/>
                <w:szCs w:val="22"/>
              </w:rPr>
              <w:t>3</w:t>
            </w:r>
            <w:r>
              <w:rPr>
                <w:color w:val="000000"/>
                <w:kern w:val="0"/>
                <w:sz w:val="22"/>
                <w:szCs w:val="22"/>
              </w:rPr>
              <w:t>.4</w:t>
            </w:r>
          </w:p>
        </w:tc>
        <w:tc>
          <w:tcPr>
            <w:tcW w:w="2644"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cs="宋体"/>
                <w:b/>
                <w:color w:val="000000"/>
                <w:kern w:val="0"/>
                <w:sz w:val="22"/>
                <w:szCs w:val="22"/>
              </w:rPr>
            </w:pPr>
            <w:r>
              <w:rPr>
                <w:rFonts w:hint="eastAsia" w:ascii="宋体" w:hAnsi="宋体" w:cs="宋体"/>
                <w:color w:val="000000"/>
                <w:kern w:val="0"/>
                <w:sz w:val="22"/>
                <w:szCs w:val="22"/>
              </w:rPr>
              <w:t>避雷设施维修养护</w:t>
            </w:r>
          </w:p>
        </w:tc>
        <w:tc>
          <w:tcPr>
            <w:tcW w:w="5799" w:type="dxa"/>
            <w:tcBorders>
              <w:tl2br w:val="nil"/>
              <w:tr2bl w:val="nil"/>
            </w:tcBorders>
            <w:shd w:val="clear" w:color="auto" w:fill="auto"/>
            <w:tcMar>
              <w:top w:w="15" w:type="dxa"/>
              <w:left w:w="15" w:type="dxa"/>
              <w:right w:w="15" w:type="dxa"/>
            </w:tcMar>
            <w:vAlign w:val="center"/>
          </w:tcPr>
          <w:p>
            <w:pPr>
              <w:widowControl/>
              <w:jc w:val="left"/>
              <w:textAlignment w:val="center"/>
              <w:rPr>
                <w:color w:val="000000"/>
                <w:sz w:val="22"/>
              </w:rPr>
            </w:pPr>
            <w:r>
              <w:rPr>
                <w:rFonts w:hint="eastAsia" w:ascii="宋体" w:hAnsi="宋体" w:cs="宋体"/>
                <w:color w:val="000000"/>
                <w:kern w:val="0"/>
                <w:sz w:val="22"/>
                <w:szCs w:val="22"/>
              </w:rPr>
              <w:t>按相关规程标准定期保养、检测，发现损坏及时修复或更换</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336" w:type="dxa"/>
            <w:tcBorders>
              <w:tl2br w:val="nil"/>
              <w:tr2bl w:val="nil"/>
            </w:tcBorders>
            <w:shd w:val="clear" w:color="auto" w:fill="auto"/>
            <w:tcMar>
              <w:top w:w="15" w:type="dxa"/>
              <w:left w:w="15" w:type="dxa"/>
              <w:right w:w="15" w:type="dxa"/>
            </w:tcMar>
            <w:vAlign w:val="center"/>
          </w:tcPr>
          <w:p>
            <w:pPr>
              <w:widowControl/>
              <w:jc w:val="center"/>
              <w:textAlignment w:val="center"/>
            </w:pPr>
            <w:r>
              <w:rPr>
                <w:rFonts w:hint="eastAsia" w:ascii="宋体" w:hAnsi="宋体" w:cs="宋体"/>
                <w:b/>
                <w:color w:val="000000"/>
                <w:kern w:val="0"/>
                <w:sz w:val="22"/>
                <w:szCs w:val="22"/>
              </w:rPr>
              <w:t>四</w:t>
            </w:r>
          </w:p>
        </w:tc>
        <w:tc>
          <w:tcPr>
            <w:tcW w:w="2644" w:type="dxa"/>
            <w:tcBorders>
              <w:tl2br w:val="nil"/>
              <w:tr2bl w:val="nil"/>
            </w:tcBorders>
            <w:shd w:val="clear" w:color="auto" w:fill="auto"/>
            <w:tcMar>
              <w:top w:w="15" w:type="dxa"/>
              <w:left w:w="15" w:type="dxa"/>
              <w:right w:w="15" w:type="dxa"/>
            </w:tcMar>
            <w:vAlign w:val="center"/>
          </w:tcPr>
          <w:p>
            <w:pPr>
              <w:widowControl/>
              <w:textAlignment w:val="center"/>
              <w:rPr>
                <w:color w:val="000000"/>
                <w:sz w:val="22"/>
              </w:rPr>
            </w:pPr>
            <w:r>
              <w:rPr>
                <w:rFonts w:hint="eastAsia" w:ascii="宋体" w:hAnsi="宋体" w:cs="宋体"/>
                <w:b/>
                <w:color w:val="000000"/>
                <w:kern w:val="0"/>
                <w:sz w:val="22"/>
                <w:szCs w:val="22"/>
              </w:rPr>
              <w:t>物料消耗</w:t>
            </w:r>
          </w:p>
        </w:tc>
        <w:tc>
          <w:tcPr>
            <w:tcW w:w="5799" w:type="dxa"/>
            <w:tcBorders>
              <w:tl2br w:val="nil"/>
              <w:tr2bl w:val="nil"/>
            </w:tcBorders>
            <w:shd w:val="clear" w:color="auto" w:fill="auto"/>
            <w:tcMar>
              <w:top w:w="15" w:type="dxa"/>
              <w:left w:w="15" w:type="dxa"/>
              <w:right w:w="15" w:type="dxa"/>
            </w:tcMar>
          </w:tcPr>
          <w:p>
            <w:pPr>
              <w:jc w:val="center"/>
              <w:rPr>
                <w:color w:val="000000"/>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336"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kern w:val="0"/>
                <w:sz w:val="22"/>
                <w:szCs w:val="22"/>
              </w:rPr>
            </w:pPr>
            <w:r>
              <w:rPr>
                <w:rFonts w:hint="eastAsia"/>
                <w:color w:val="000000"/>
                <w:kern w:val="0"/>
                <w:sz w:val="22"/>
                <w:szCs w:val="22"/>
              </w:rPr>
              <w:t>4</w:t>
            </w:r>
            <w:r>
              <w:rPr>
                <w:color w:val="000000"/>
                <w:kern w:val="0"/>
                <w:sz w:val="22"/>
                <w:szCs w:val="22"/>
              </w:rPr>
              <w:t>.1</w:t>
            </w:r>
          </w:p>
        </w:tc>
        <w:tc>
          <w:tcPr>
            <w:tcW w:w="2644"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cs="宋体"/>
                <w:b/>
                <w:color w:val="000000"/>
                <w:kern w:val="0"/>
                <w:sz w:val="22"/>
                <w:szCs w:val="22"/>
              </w:rPr>
            </w:pPr>
            <w:r>
              <w:rPr>
                <w:rFonts w:hint="eastAsia" w:ascii="宋体" w:hAnsi="宋体" w:cs="宋体"/>
                <w:color w:val="000000"/>
                <w:kern w:val="0"/>
                <w:sz w:val="22"/>
                <w:szCs w:val="22"/>
              </w:rPr>
              <w:t>柴油</w:t>
            </w:r>
          </w:p>
        </w:tc>
        <w:tc>
          <w:tcPr>
            <w:tcW w:w="5799" w:type="dxa"/>
            <w:tcBorders>
              <w:tl2br w:val="nil"/>
              <w:tr2bl w:val="nil"/>
            </w:tcBorders>
            <w:shd w:val="clear" w:color="auto" w:fill="auto"/>
            <w:tcMar>
              <w:top w:w="15" w:type="dxa"/>
              <w:left w:w="15" w:type="dxa"/>
              <w:right w:w="15" w:type="dxa"/>
            </w:tcMar>
            <w:vAlign w:val="center"/>
          </w:tcPr>
          <w:p>
            <w:pPr>
              <w:widowControl/>
              <w:jc w:val="left"/>
              <w:textAlignment w:val="center"/>
              <w:rPr>
                <w:color w:val="000000"/>
                <w:sz w:val="22"/>
              </w:rPr>
            </w:pPr>
            <w:r>
              <w:rPr>
                <w:rFonts w:hint="eastAsia" w:ascii="宋体" w:hAnsi="宋体" w:cs="宋体"/>
                <w:color w:val="000000"/>
                <w:kern w:val="0"/>
                <w:sz w:val="22"/>
                <w:szCs w:val="22"/>
              </w:rPr>
              <w:t>备用发电机调试、设备保养清洗等用油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336"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kern w:val="0"/>
                <w:sz w:val="22"/>
                <w:szCs w:val="22"/>
              </w:rPr>
            </w:pPr>
            <w:r>
              <w:rPr>
                <w:rFonts w:hint="eastAsia"/>
                <w:color w:val="000000"/>
                <w:kern w:val="0"/>
                <w:sz w:val="22"/>
                <w:szCs w:val="22"/>
              </w:rPr>
              <w:t>4</w:t>
            </w:r>
            <w:r>
              <w:rPr>
                <w:color w:val="000000"/>
                <w:kern w:val="0"/>
                <w:sz w:val="22"/>
                <w:szCs w:val="22"/>
              </w:rPr>
              <w:t>.2</w:t>
            </w:r>
          </w:p>
        </w:tc>
        <w:tc>
          <w:tcPr>
            <w:tcW w:w="2644"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cs="宋体"/>
                <w:b/>
                <w:color w:val="000000"/>
                <w:kern w:val="0"/>
                <w:sz w:val="22"/>
                <w:szCs w:val="22"/>
              </w:rPr>
            </w:pPr>
            <w:r>
              <w:rPr>
                <w:rFonts w:hint="eastAsia" w:ascii="宋体" w:hAnsi="宋体" w:cs="宋体"/>
                <w:color w:val="000000"/>
                <w:kern w:val="0"/>
                <w:sz w:val="22"/>
                <w:szCs w:val="22"/>
              </w:rPr>
              <w:t>机油</w:t>
            </w:r>
          </w:p>
        </w:tc>
        <w:tc>
          <w:tcPr>
            <w:tcW w:w="5799" w:type="dxa"/>
            <w:tcBorders>
              <w:tl2br w:val="nil"/>
              <w:tr2bl w:val="nil"/>
            </w:tcBorders>
            <w:shd w:val="clear" w:color="auto" w:fill="auto"/>
            <w:tcMar>
              <w:top w:w="15" w:type="dxa"/>
              <w:left w:w="15" w:type="dxa"/>
              <w:right w:w="15" w:type="dxa"/>
            </w:tcMar>
            <w:vAlign w:val="center"/>
          </w:tcPr>
          <w:p>
            <w:pPr>
              <w:widowControl/>
              <w:jc w:val="left"/>
              <w:textAlignment w:val="center"/>
              <w:rPr>
                <w:color w:val="000000"/>
                <w:sz w:val="22"/>
              </w:rPr>
            </w:pPr>
            <w:r>
              <w:rPr>
                <w:rFonts w:hint="eastAsia" w:ascii="宋体" w:hAnsi="宋体" w:cs="宋体"/>
                <w:color w:val="000000"/>
                <w:kern w:val="0"/>
                <w:sz w:val="22"/>
                <w:szCs w:val="22"/>
              </w:rPr>
              <w:t>机电等设备保养用油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336"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kern w:val="0"/>
                <w:sz w:val="22"/>
                <w:szCs w:val="22"/>
              </w:rPr>
            </w:pPr>
            <w:r>
              <w:rPr>
                <w:rFonts w:hint="eastAsia"/>
                <w:color w:val="000000"/>
                <w:kern w:val="0"/>
                <w:sz w:val="22"/>
                <w:szCs w:val="22"/>
              </w:rPr>
              <w:t>4</w:t>
            </w:r>
            <w:r>
              <w:rPr>
                <w:color w:val="000000"/>
                <w:kern w:val="0"/>
                <w:sz w:val="22"/>
                <w:szCs w:val="22"/>
              </w:rPr>
              <w:t>.3</w:t>
            </w:r>
          </w:p>
        </w:tc>
        <w:tc>
          <w:tcPr>
            <w:tcW w:w="2644"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cs="宋体"/>
                <w:b/>
                <w:color w:val="000000"/>
                <w:kern w:val="0"/>
                <w:sz w:val="22"/>
                <w:szCs w:val="22"/>
              </w:rPr>
            </w:pPr>
            <w:r>
              <w:rPr>
                <w:rFonts w:hint="eastAsia" w:ascii="宋体" w:hAnsi="宋体" w:cs="宋体"/>
                <w:color w:val="000000"/>
                <w:kern w:val="0"/>
                <w:sz w:val="22"/>
                <w:szCs w:val="22"/>
              </w:rPr>
              <w:t>黄油</w:t>
            </w:r>
          </w:p>
        </w:tc>
        <w:tc>
          <w:tcPr>
            <w:tcW w:w="5799" w:type="dxa"/>
            <w:tcBorders>
              <w:tl2br w:val="nil"/>
              <w:tr2bl w:val="nil"/>
            </w:tcBorders>
            <w:shd w:val="clear" w:color="auto" w:fill="auto"/>
            <w:tcMar>
              <w:top w:w="15" w:type="dxa"/>
              <w:left w:w="15" w:type="dxa"/>
              <w:right w:w="15" w:type="dxa"/>
            </w:tcMar>
            <w:vAlign w:val="center"/>
          </w:tcPr>
          <w:p>
            <w:pPr>
              <w:widowControl/>
              <w:jc w:val="left"/>
              <w:textAlignment w:val="center"/>
              <w:rPr>
                <w:color w:val="000000"/>
                <w:sz w:val="22"/>
              </w:rPr>
            </w:pPr>
            <w:r>
              <w:rPr>
                <w:rFonts w:hint="eastAsia" w:ascii="宋体" w:hAnsi="宋体" w:cs="宋体"/>
                <w:color w:val="000000"/>
                <w:kern w:val="0"/>
                <w:sz w:val="22"/>
                <w:szCs w:val="22"/>
              </w:rPr>
              <w:t>设备等润滑用油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336"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kern w:val="0"/>
                <w:sz w:val="22"/>
                <w:szCs w:val="22"/>
              </w:rPr>
            </w:pPr>
            <w:r>
              <w:rPr>
                <w:rFonts w:hint="eastAsia" w:ascii="宋体" w:hAnsi="宋体" w:cs="宋体"/>
                <w:b/>
                <w:color w:val="000000"/>
                <w:kern w:val="0"/>
                <w:sz w:val="22"/>
                <w:szCs w:val="22"/>
              </w:rPr>
              <w:t>五</w:t>
            </w:r>
          </w:p>
        </w:tc>
        <w:tc>
          <w:tcPr>
            <w:tcW w:w="2644"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cs="宋体"/>
                <w:b/>
                <w:color w:val="000000"/>
                <w:kern w:val="0"/>
                <w:sz w:val="22"/>
                <w:szCs w:val="22"/>
              </w:rPr>
            </w:pPr>
            <w:r>
              <w:rPr>
                <w:rFonts w:hint="eastAsia"/>
                <w:b/>
                <w:bCs/>
                <w:color w:val="000000"/>
                <w:kern w:val="0"/>
                <w:sz w:val="22"/>
                <w:szCs w:val="22"/>
              </w:rPr>
              <w:t>附属设施维修养护</w:t>
            </w:r>
          </w:p>
        </w:tc>
        <w:tc>
          <w:tcPr>
            <w:tcW w:w="5799" w:type="dxa"/>
            <w:tcBorders>
              <w:tl2br w:val="nil"/>
              <w:tr2bl w:val="nil"/>
            </w:tcBorders>
            <w:shd w:val="clear" w:color="auto" w:fill="auto"/>
            <w:tcMar>
              <w:top w:w="15" w:type="dxa"/>
              <w:left w:w="15" w:type="dxa"/>
              <w:right w:w="15" w:type="dxa"/>
            </w:tcMar>
          </w:tcPr>
          <w:p>
            <w:pPr>
              <w:jc w:val="center"/>
              <w:rPr>
                <w:color w:val="000000"/>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831" w:hRule="atLeast"/>
        </w:trPr>
        <w:tc>
          <w:tcPr>
            <w:tcW w:w="1336" w:type="dxa"/>
            <w:tcBorders>
              <w:tl2br w:val="nil"/>
              <w:tr2bl w:val="nil"/>
            </w:tcBorders>
            <w:shd w:val="clear" w:color="auto" w:fill="auto"/>
            <w:tcMar>
              <w:top w:w="15" w:type="dxa"/>
              <w:left w:w="15" w:type="dxa"/>
              <w:right w:w="15" w:type="dxa"/>
            </w:tcMar>
            <w:vAlign w:val="center"/>
          </w:tcPr>
          <w:p>
            <w:pPr>
              <w:widowControl/>
              <w:jc w:val="center"/>
              <w:textAlignment w:val="center"/>
              <w:rPr>
                <w:color w:val="000000"/>
                <w:sz w:val="22"/>
              </w:rPr>
            </w:pPr>
            <w:r>
              <w:rPr>
                <w:rFonts w:hint="eastAsia" w:ascii="宋体" w:hAnsi="宋体" w:cs="宋体"/>
                <w:b/>
                <w:color w:val="000000"/>
                <w:kern w:val="0"/>
                <w:sz w:val="22"/>
                <w:szCs w:val="22"/>
              </w:rPr>
              <w:t>5.1</w:t>
            </w:r>
          </w:p>
        </w:tc>
        <w:tc>
          <w:tcPr>
            <w:tcW w:w="2644" w:type="dxa"/>
            <w:tcBorders>
              <w:tl2br w:val="nil"/>
              <w:tr2bl w:val="nil"/>
            </w:tcBorders>
            <w:shd w:val="clear" w:color="auto" w:fill="auto"/>
            <w:tcMar>
              <w:top w:w="15" w:type="dxa"/>
              <w:left w:w="15" w:type="dxa"/>
              <w:right w:w="15" w:type="dxa"/>
            </w:tcMar>
            <w:vAlign w:val="center"/>
          </w:tcPr>
          <w:p>
            <w:pPr>
              <w:widowControl/>
              <w:textAlignment w:val="center"/>
              <w:rPr>
                <w:color w:val="000000"/>
                <w:sz w:val="22"/>
              </w:rPr>
            </w:pPr>
            <w:r>
              <w:rPr>
                <w:rFonts w:hint="eastAsia"/>
                <w:color w:val="000000"/>
                <w:kern w:val="0"/>
                <w:sz w:val="22"/>
                <w:szCs w:val="22"/>
              </w:rPr>
              <w:t>附属设施维修养护（管理房）</w:t>
            </w:r>
          </w:p>
        </w:tc>
        <w:tc>
          <w:tcPr>
            <w:tcW w:w="5799" w:type="dxa"/>
            <w:tcBorders>
              <w:tl2br w:val="nil"/>
              <w:tr2bl w:val="nil"/>
            </w:tcBorders>
            <w:shd w:val="clear" w:color="auto" w:fill="auto"/>
            <w:tcMar>
              <w:top w:w="15" w:type="dxa"/>
              <w:left w:w="15" w:type="dxa"/>
              <w:right w:w="15" w:type="dxa"/>
            </w:tcMar>
            <w:vAlign w:val="center"/>
          </w:tcPr>
          <w:p>
            <w:pPr>
              <w:widowControl/>
              <w:jc w:val="left"/>
              <w:textAlignment w:val="center"/>
              <w:rPr>
                <w:color w:val="000000"/>
                <w:sz w:val="22"/>
              </w:rPr>
            </w:pPr>
            <w:r>
              <w:rPr>
                <w:rFonts w:hint="eastAsia" w:ascii="宋体" w:hAnsi="宋体" w:cs="宋体"/>
                <w:color w:val="000000"/>
                <w:kern w:val="0"/>
                <w:sz w:val="22"/>
                <w:szCs w:val="22"/>
              </w:rPr>
              <w:t>4楼卫生间翻新，配置热水器等；一楼新修卫生间；屋面渗漏修理，墙面剥落粉刷等</w:t>
            </w:r>
            <w:r>
              <w:rPr>
                <w:rFonts w:hint="eastAsia" w:ascii="宋体" w:hAnsi="宋体" w:cs="宋体"/>
                <w:b/>
                <w:bCs/>
                <w:color w:val="000000"/>
                <w:kern w:val="0"/>
                <w:sz w:val="22"/>
                <w:szCs w:val="22"/>
              </w:rPr>
              <w:t>（按实际工程量结算）</w:t>
            </w:r>
          </w:p>
        </w:tc>
      </w:tr>
    </w:tbl>
    <w:p>
      <w:pPr>
        <w:widowControl/>
        <w:textAlignment w:val="center"/>
        <w:rPr>
          <w:rFonts w:ascii="宋体" w:hAnsi="宋体" w:cs="宋体"/>
          <w:b/>
          <w:color w:val="000000"/>
          <w:kern w:val="0"/>
          <w:sz w:val="24"/>
          <w:szCs w:val="24"/>
        </w:rPr>
      </w:pPr>
    </w:p>
    <w:p>
      <w:pPr>
        <w:widowControl/>
        <w:textAlignment w:val="center"/>
        <w:rPr>
          <w:rFonts w:ascii="宋体" w:hAnsi="宋体" w:cs="宋体"/>
          <w:b/>
          <w:color w:val="000000"/>
          <w:kern w:val="0"/>
          <w:sz w:val="24"/>
          <w:szCs w:val="24"/>
        </w:rPr>
      </w:pPr>
      <w:r>
        <w:rPr>
          <w:rFonts w:hint="eastAsia" w:ascii="宋体" w:hAnsi="宋体" w:cs="宋体"/>
          <w:b/>
          <w:color w:val="000000"/>
          <w:kern w:val="0"/>
          <w:sz w:val="24"/>
          <w:szCs w:val="24"/>
        </w:rPr>
        <w:t>6、海塘保洁</w:t>
      </w:r>
    </w:p>
    <w:tbl>
      <w:tblPr>
        <w:tblStyle w:val="38"/>
        <w:tblW w:w="9917" w:type="dxa"/>
        <w:tblInd w:w="0" w:type="dxa"/>
        <w:tblLayout w:type="fixed"/>
        <w:tblCellMar>
          <w:top w:w="0" w:type="dxa"/>
          <w:left w:w="0" w:type="dxa"/>
          <w:bottom w:w="0" w:type="dxa"/>
          <w:right w:w="0" w:type="dxa"/>
        </w:tblCellMar>
      </w:tblPr>
      <w:tblGrid>
        <w:gridCol w:w="734"/>
        <w:gridCol w:w="2389"/>
        <w:gridCol w:w="4016"/>
        <w:gridCol w:w="1389"/>
        <w:gridCol w:w="1389"/>
      </w:tblGrid>
      <w:tr>
        <w:tblPrEx>
          <w:tblCellMar>
            <w:top w:w="0" w:type="dxa"/>
            <w:left w:w="0" w:type="dxa"/>
            <w:bottom w:w="0" w:type="dxa"/>
            <w:right w:w="0" w:type="dxa"/>
          </w:tblCellMar>
        </w:tblPrEx>
        <w:trPr>
          <w:trHeight w:val="598"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sz w:val="24"/>
                <w:szCs w:val="24"/>
              </w:rPr>
              <w:t>序号</w:t>
            </w:r>
          </w:p>
        </w:tc>
        <w:tc>
          <w:tcPr>
            <w:tcW w:w="2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4"/>
                <w:szCs w:val="24"/>
              </w:rPr>
            </w:pPr>
            <w:r>
              <w:rPr>
                <w:b/>
                <w:color w:val="000000"/>
                <w:kern w:val="0"/>
                <w:sz w:val="22"/>
              </w:rPr>
              <w:t>维修养护项目</w:t>
            </w:r>
          </w:p>
        </w:tc>
        <w:tc>
          <w:tcPr>
            <w:tcW w:w="40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sz w:val="24"/>
                <w:szCs w:val="24"/>
              </w:rPr>
              <w:t>工作内容</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kern w:val="0"/>
                <w:sz w:val="24"/>
                <w:szCs w:val="24"/>
              </w:rPr>
            </w:pPr>
            <w:r>
              <w:rPr>
                <w:rFonts w:hint="eastAsia" w:ascii="宋体" w:hAnsi="宋体" w:cs="宋体"/>
                <w:b/>
                <w:color w:val="000000"/>
                <w:kern w:val="0"/>
                <w:sz w:val="24"/>
                <w:szCs w:val="24"/>
              </w:rPr>
              <w:t>数量</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kern w:val="0"/>
                <w:sz w:val="24"/>
                <w:szCs w:val="24"/>
              </w:rPr>
            </w:pPr>
            <w:r>
              <w:rPr>
                <w:rFonts w:hint="eastAsia" w:ascii="宋体" w:hAnsi="宋体" w:cs="宋体"/>
                <w:b/>
                <w:color w:val="000000"/>
                <w:kern w:val="0"/>
                <w:sz w:val="24"/>
                <w:szCs w:val="24"/>
              </w:rPr>
              <w:t>单位</w:t>
            </w:r>
          </w:p>
        </w:tc>
      </w:tr>
      <w:tr>
        <w:tblPrEx>
          <w:tblCellMar>
            <w:top w:w="0" w:type="dxa"/>
            <w:left w:w="0" w:type="dxa"/>
            <w:bottom w:w="0" w:type="dxa"/>
            <w:right w:w="0" w:type="dxa"/>
          </w:tblCellMar>
        </w:tblPrEx>
        <w:trPr>
          <w:trHeight w:val="598"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kern w:val="0"/>
                <w:sz w:val="24"/>
                <w:szCs w:val="24"/>
              </w:rPr>
            </w:pPr>
            <w:r>
              <w:rPr>
                <w:rFonts w:hint="eastAsia" w:ascii="宋体" w:hAnsi="宋体" w:cs="宋体"/>
                <w:b/>
                <w:color w:val="000000"/>
                <w:kern w:val="0"/>
                <w:sz w:val="24"/>
                <w:szCs w:val="24"/>
              </w:rPr>
              <w:t>一</w:t>
            </w:r>
          </w:p>
        </w:tc>
        <w:tc>
          <w:tcPr>
            <w:tcW w:w="2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kern w:val="0"/>
                <w:sz w:val="24"/>
                <w:szCs w:val="24"/>
              </w:rPr>
            </w:pPr>
            <w:r>
              <w:rPr>
                <w:rFonts w:hint="eastAsia" w:ascii="宋体" w:hAnsi="宋体" w:cs="宋体"/>
                <w:b/>
                <w:color w:val="000000"/>
                <w:kern w:val="0"/>
                <w:sz w:val="24"/>
                <w:szCs w:val="24"/>
              </w:rPr>
              <w:t>海塘保洁</w:t>
            </w:r>
          </w:p>
        </w:tc>
        <w:tc>
          <w:tcPr>
            <w:tcW w:w="40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kern w:val="0"/>
                <w:sz w:val="24"/>
                <w:szCs w:val="24"/>
              </w:rPr>
            </w:pPr>
            <w:r>
              <w:rPr>
                <w:rFonts w:hint="eastAsia" w:ascii="宋体" w:hAnsi="宋体" w:cs="宋体"/>
                <w:b/>
                <w:color w:val="000000"/>
                <w:kern w:val="0"/>
                <w:sz w:val="24"/>
                <w:szCs w:val="24"/>
              </w:rPr>
              <w:t>19.4公里海塘日常保洁</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kern w:val="0"/>
                <w:sz w:val="24"/>
                <w:szCs w:val="24"/>
              </w:rPr>
            </w:pPr>
            <w:r>
              <w:rPr>
                <w:rFonts w:hint="eastAsia" w:ascii="宋体" w:hAnsi="宋体" w:cs="宋体"/>
                <w:b/>
                <w:color w:val="000000"/>
                <w:kern w:val="0"/>
                <w:sz w:val="24"/>
                <w:szCs w:val="24"/>
              </w:rPr>
              <w:t>1</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kern w:val="0"/>
                <w:sz w:val="24"/>
                <w:szCs w:val="24"/>
              </w:rPr>
            </w:pPr>
            <w:r>
              <w:rPr>
                <w:rFonts w:hint="eastAsia" w:ascii="宋体" w:hAnsi="宋体" w:cs="宋体"/>
                <w:b/>
                <w:color w:val="000000"/>
                <w:kern w:val="0"/>
                <w:sz w:val="24"/>
                <w:szCs w:val="24"/>
              </w:rPr>
              <w:t>项</w:t>
            </w:r>
          </w:p>
        </w:tc>
      </w:tr>
      <w:tr>
        <w:tblPrEx>
          <w:tblCellMar>
            <w:top w:w="0" w:type="dxa"/>
            <w:left w:w="0" w:type="dxa"/>
            <w:bottom w:w="0" w:type="dxa"/>
            <w:right w:w="0" w:type="dxa"/>
          </w:tblCellMar>
        </w:tblPrEx>
        <w:trPr>
          <w:trHeight w:val="621"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二</w:t>
            </w:r>
          </w:p>
        </w:tc>
        <w:tc>
          <w:tcPr>
            <w:tcW w:w="2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海塘及二线小水闸维修养护</w:t>
            </w:r>
          </w:p>
        </w:tc>
        <w:tc>
          <w:tcPr>
            <w:tcW w:w="40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4"/>
                <w:szCs w:val="24"/>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kern w:val="0"/>
                <w:sz w:val="24"/>
                <w:szCs w:val="24"/>
              </w:rPr>
            </w:pPr>
            <w:r>
              <w:rPr>
                <w:rFonts w:hint="eastAsia" w:ascii="宋体" w:hAnsi="宋体" w:cs="宋体"/>
                <w:b/>
                <w:color w:val="000000"/>
                <w:kern w:val="0"/>
                <w:sz w:val="24"/>
                <w:szCs w:val="24"/>
              </w:rPr>
              <w:t>1</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kern w:val="0"/>
                <w:sz w:val="24"/>
                <w:szCs w:val="24"/>
              </w:rPr>
            </w:pPr>
            <w:r>
              <w:rPr>
                <w:rFonts w:hint="eastAsia" w:ascii="宋体" w:hAnsi="宋体" w:cs="宋体"/>
                <w:b/>
                <w:color w:val="000000"/>
                <w:kern w:val="0"/>
                <w:sz w:val="24"/>
                <w:szCs w:val="24"/>
              </w:rPr>
              <w:t>项</w:t>
            </w:r>
          </w:p>
        </w:tc>
      </w:tr>
      <w:tr>
        <w:tblPrEx>
          <w:tblCellMar>
            <w:top w:w="0" w:type="dxa"/>
            <w:left w:w="0" w:type="dxa"/>
            <w:bottom w:w="0" w:type="dxa"/>
            <w:right w:w="0" w:type="dxa"/>
          </w:tblCellMar>
        </w:tblPrEx>
        <w:trPr>
          <w:trHeight w:val="109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1</w:t>
            </w:r>
          </w:p>
        </w:tc>
        <w:tc>
          <w:tcPr>
            <w:tcW w:w="2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20.5公里海塘养护</w:t>
            </w:r>
          </w:p>
        </w:tc>
        <w:tc>
          <w:tcPr>
            <w:tcW w:w="4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本项目涉及维修养护海塘共计20.5公里（按实际工程量结算）</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b/>
                <w:color w:val="000000"/>
                <w:kern w:val="0"/>
                <w:sz w:val="24"/>
                <w:szCs w:val="24"/>
              </w:rPr>
              <w:t>1</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b/>
                <w:color w:val="000000"/>
                <w:kern w:val="0"/>
                <w:sz w:val="24"/>
                <w:szCs w:val="24"/>
              </w:rPr>
              <w:t>项</w:t>
            </w:r>
          </w:p>
        </w:tc>
      </w:tr>
      <w:tr>
        <w:tblPrEx>
          <w:tblCellMar>
            <w:top w:w="0" w:type="dxa"/>
            <w:left w:w="0" w:type="dxa"/>
            <w:bottom w:w="0" w:type="dxa"/>
            <w:right w:w="0" w:type="dxa"/>
          </w:tblCellMar>
        </w:tblPrEx>
        <w:trPr>
          <w:trHeight w:val="93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2</w:t>
            </w:r>
          </w:p>
        </w:tc>
        <w:tc>
          <w:tcPr>
            <w:tcW w:w="2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二线小水闸维修养护</w:t>
            </w:r>
          </w:p>
        </w:tc>
        <w:tc>
          <w:tcPr>
            <w:tcW w:w="4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涉及沿线20座小水闸的维修养护  （按实际工程量结算）</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b/>
                <w:color w:val="000000"/>
                <w:kern w:val="0"/>
                <w:sz w:val="24"/>
                <w:szCs w:val="24"/>
              </w:rPr>
              <w:t>1</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b/>
                <w:color w:val="000000"/>
                <w:kern w:val="0"/>
                <w:sz w:val="24"/>
                <w:szCs w:val="24"/>
              </w:rPr>
              <w:t>项</w:t>
            </w:r>
          </w:p>
        </w:tc>
      </w:tr>
    </w:tbl>
    <w:p>
      <w:pPr>
        <w:widowControl/>
        <w:tabs>
          <w:tab w:val="left" w:pos="540"/>
        </w:tabs>
        <w:autoSpaceDE w:val="0"/>
        <w:autoSpaceDN w:val="0"/>
        <w:adjustRightInd w:val="0"/>
        <w:snapToGrid w:val="0"/>
        <w:spacing w:line="400" w:lineRule="exact"/>
        <w:textAlignment w:val="bottom"/>
        <w:rPr>
          <w:b/>
          <w:bCs/>
          <w:sz w:val="22"/>
          <w:szCs w:val="22"/>
        </w:rPr>
      </w:pPr>
      <w:r>
        <w:rPr>
          <w:rFonts w:hint="eastAsia"/>
          <w:b/>
          <w:bCs/>
          <w:sz w:val="22"/>
          <w:szCs w:val="22"/>
        </w:rPr>
        <w:t>注：1、以上如出现所列清单以外的维修养护项目，将根据现行定额及实际维修养护情况按实结算。</w:t>
      </w:r>
    </w:p>
    <w:p>
      <w:pPr>
        <w:widowControl/>
        <w:tabs>
          <w:tab w:val="left" w:pos="540"/>
        </w:tabs>
        <w:autoSpaceDE w:val="0"/>
        <w:autoSpaceDN w:val="0"/>
        <w:adjustRightInd w:val="0"/>
        <w:snapToGrid w:val="0"/>
        <w:spacing w:line="400" w:lineRule="exact"/>
        <w:textAlignment w:val="bottom"/>
        <w:rPr>
          <w:b/>
          <w:bCs/>
          <w:sz w:val="22"/>
          <w:szCs w:val="22"/>
        </w:rPr>
      </w:pPr>
      <w:r>
        <w:rPr>
          <w:rFonts w:hint="eastAsia"/>
          <w:b/>
          <w:bCs/>
          <w:sz w:val="22"/>
          <w:szCs w:val="22"/>
        </w:rPr>
        <w:t>2、新建（碑、牌、桩）参考下列尺寸样式执行：</w:t>
      </w:r>
    </w:p>
    <w:p>
      <w:pPr>
        <w:widowControl/>
        <w:tabs>
          <w:tab w:val="left" w:pos="540"/>
        </w:tabs>
        <w:autoSpaceDE w:val="0"/>
        <w:autoSpaceDN w:val="0"/>
        <w:adjustRightInd w:val="0"/>
        <w:snapToGrid w:val="0"/>
        <w:spacing w:line="400" w:lineRule="exact"/>
        <w:textAlignment w:val="bottom"/>
        <w:rPr>
          <w:b/>
          <w:bCs/>
          <w:sz w:val="22"/>
          <w:szCs w:val="22"/>
        </w:rPr>
      </w:pPr>
      <w:r>
        <w:drawing>
          <wp:anchor distT="0" distB="0" distL="114300" distR="114300" simplePos="0" relativeHeight="251660288" behindDoc="0" locked="0" layoutInCell="1" allowOverlap="1">
            <wp:simplePos x="0" y="0"/>
            <wp:positionH relativeFrom="column">
              <wp:posOffset>-227965</wp:posOffset>
            </wp:positionH>
            <wp:positionV relativeFrom="paragraph">
              <wp:posOffset>356235</wp:posOffset>
            </wp:positionV>
            <wp:extent cx="2926715" cy="3237230"/>
            <wp:effectExtent l="0" t="0" r="6985" b="1270"/>
            <wp:wrapTopAndBottom/>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pic:cNvPicPr>
                      <a:picLocks noChangeAspect="1"/>
                    </pic:cNvPicPr>
                  </pic:nvPicPr>
                  <pic:blipFill>
                    <a:blip r:embed="rId11" cstate="print"/>
                    <a:stretch>
                      <a:fillRect/>
                    </a:stretch>
                  </pic:blipFill>
                  <pic:spPr>
                    <a:xfrm>
                      <a:off x="0" y="0"/>
                      <a:ext cx="2926715" cy="3237230"/>
                    </a:xfrm>
                    <a:prstGeom prst="rect">
                      <a:avLst/>
                    </a:prstGeom>
                    <a:noFill/>
                    <a:ln>
                      <a:noFill/>
                    </a:ln>
                  </pic:spPr>
                </pic:pic>
              </a:graphicData>
            </a:graphic>
          </wp:anchor>
        </w:drawing>
      </w:r>
      <w:r>
        <w:rPr>
          <w:rFonts w:hint="eastAsia"/>
          <w:b/>
          <w:bCs/>
          <w:sz w:val="22"/>
          <w:szCs w:val="22"/>
        </w:rPr>
        <w:t>公告类标识标牌</w:t>
      </w:r>
    </w:p>
    <w:p>
      <w:pPr>
        <w:spacing w:line="540" w:lineRule="exact"/>
        <w:jc w:val="center"/>
        <w:rPr>
          <w:sz w:val="28"/>
          <w:szCs w:val="28"/>
        </w:rPr>
      </w:pPr>
      <w:r>
        <w:drawing>
          <wp:anchor distT="0" distB="0" distL="114300" distR="114300" simplePos="0" relativeHeight="251659264" behindDoc="0" locked="0" layoutInCell="1" allowOverlap="1">
            <wp:simplePos x="0" y="0"/>
            <wp:positionH relativeFrom="column">
              <wp:posOffset>2693035</wp:posOffset>
            </wp:positionH>
            <wp:positionV relativeFrom="paragraph">
              <wp:posOffset>153670</wp:posOffset>
            </wp:positionV>
            <wp:extent cx="3275330" cy="3219450"/>
            <wp:effectExtent l="0" t="0" r="1270" b="0"/>
            <wp:wrapNone/>
            <wp:docPr id="30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图片 4"/>
                    <pic:cNvPicPr>
                      <a:picLocks noChangeAspect="1"/>
                    </pic:cNvPicPr>
                  </pic:nvPicPr>
                  <pic:blipFill>
                    <a:blip r:embed="rId12" cstate="print"/>
                    <a:stretch>
                      <a:fillRect/>
                    </a:stretch>
                  </pic:blipFill>
                  <pic:spPr>
                    <a:xfrm>
                      <a:off x="0" y="0"/>
                      <a:ext cx="3275330" cy="3219450"/>
                    </a:xfrm>
                    <a:prstGeom prst="rect">
                      <a:avLst/>
                    </a:prstGeom>
                    <a:noFill/>
                    <a:ln w="9525">
                      <a:noFill/>
                    </a:ln>
                  </pic:spPr>
                </pic:pic>
              </a:graphicData>
            </a:graphic>
          </wp:anchor>
        </w:drawing>
      </w:r>
      <w:r>
        <w:rPr>
          <w:rFonts w:hint="eastAsia"/>
          <w:sz w:val="28"/>
          <w:szCs w:val="28"/>
        </w:rPr>
        <w:t>工程简介标牌</w:t>
      </w:r>
    </w:p>
    <w:p>
      <w:pPr>
        <w:spacing w:line="540" w:lineRule="exact"/>
        <w:rPr>
          <w:sz w:val="28"/>
          <w:szCs w:val="28"/>
        </w:rPr>
      </w:pPr>
    </w:p>
    <w:p>
      <w:pPr>
        <w:spacing w:line="540" w:lineRule="exact"/>
        <w:jc w:val="left"/>
        <w:rPr>
          <w:sz w:val="28"/>
          <w:szCs w:val="28"/>
        </w:rPr>
      </w:pPr>
      <w:r>
        <w:rPr>
          <w:rFonts w:hint="eastAsia"/>
          <w:sz w:val="28"/>
          <w:szCs w:val="28"/>
        </w:rPr>
        <w:t>（2）规章制度牌</w:t>
      </w:r>
    </w:p>
    <w:p>
      <w:pPr>
        <w:spacing w:line="540" w:lineRule="exact"/>
        <w:jc w:val="left"/>
        <w:rPr>
          <w:sz w:val="26"/>
        </w:rPr>
      </w:pPr>
    </w:p>
    <w:p>
      <w:pPr>
        <w:spacing w:line="540" w:lineRule="exact"/>
        <w:jc w:val="left"/>
        <w:rPr>
          <w:sz w:val="26"/>
        </w:rPr>
      </w:pPr>
      <w:r>
        <w:rPr>
          <w:rFonts w:hAnsi="宋体"/>
        </w:rPr>
        <w:drawing>
          <wp:anchor distT="0" distB="0" distL="0" distR="0" simplePos="0" relativeHeight="251663360" behindDoc="0" locked="0" layoutInCell="1" allowOverlap="1">
            <wp:simplePos x="0" y="0"/>
            <wp:positionH relativeFrom="column">
              <wp:posOffset>1668780</wp:posOffset>
            </wp:positionH>
            <wp:positionV relativeFrom="paragraph">
              <wp:posOffset>-30480</wp:posOffset>
            </wp:positionV>
            <wp:extent cx="2968625" cy="4350385"/>
            <wp:effectExtent l="9525" t="9525" r="12700" b="21590"/>
            <wp:wrapSquare wrapText="bothSides"/>
            <wp:docPr id="308" name="图片 308" descr="E:\部门工作\专题\标识标牌\编写\标准\729施老爷意见修改\操作规程 拷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descr="E:\部门工作\专题\标识标牌\编写\标准\729施老爷意见修改\操作规程 拷贝.jpg"/>
                    <pic:cNvPicPr>
                      <a:picLocks noChangeAspect="1" noChangeArrowheads="1"/>
                    </pic:cNvPicPr>
                  </pic:nvPicPr>
                  <pic:blipFill>
                    <a:blip r:embed="rId13" cstate="print"/>
                    <a:srcRect/>
                    <a:stretch>
                      <a:fillRect/>
                    </a:stretch>
                  </pic:blipFill>
                  <pic:spPr>
                    <a:xfrm>
                      <a:off x="0" y="0"/>
                      <a:ext cx="2968625" cy="4350385"/>
                    </a:xfrm>
                    <a:prstGeom prst="rect">
                      <a:avLst/>
                    </a:prstGeom>
                    <a:noFill/>
                    <a:ln>
                      <a:solidFill>
                        <a:schemeClr val="tx1"/>
                      </a:solidFill>
                    </a:ln>
                  </pic:spPr>
                </pic:pic>
              </a:graphicData>
            </a:graphic>
          </wp:anchor>
        </w:drawing>
      </w:r>
    </w:p>
    <w:p>
      <w:pPr>
        <w:spacing w:line="540" w:lineRule="exact"/>
        <w:jc w:val="left"/>
        <w:rPr>
          <w:sz w:val="26"/>
        </w:rPr>
      </w:pPr>
    </w:p>
    <w:p>
      <w:pPr>
        <w:spacing w:line="540" w:lineRule="exact"/>
        <w:jc w:val="left"/>
        <w:rPr>
          <w:sz w:val="26"/>
        </w:rPr>
      </w:pPr>
    </w:p>
    <w:p>
      <w:pPr>
        <w:spacing w:line="540" w:lineRule="exact"/>
        <w:jc w:val="left"/>
        <w:rPr>
          <w:sz w:val="26"/>
        </w:rPr>
      </w:pPr>
    </w:p>
    <w:p>
      <w:pPr>
        <w:spacing w:line="540" w:lineRule="exact"/>
        <w:jc w:val="left"/>
        <w:rPr>
          <w:sz w:val="26"/>
        </w:rPr>
      </w:pPr>
    </w:p>
    <w:p>
      <w:pPr>
        <w:spacing w:line="540" w:lineRule="exact"/>
        <w:jc w:val="left"/>
        <w:rPr>
          <w:sz w:val="26"/>
        </w:rPr>
      </w:pPr>
    </w:p>
    <w:p>
      <w:pPr>
        <w:spacing w:line="540" w:lineRule="exact"/>
        <w:jc w:val="left"/>
        <w:rPr>
          <w:sz w:val="26"/>
        </w:rPr>
      </w:pPr>
    </w:p>
    <w:p>
      <w:pPr>
        <w:spacing w:line="540" w:lineRule="exact"/>
        <w:jc w:val="left"/>
        <w:rPr>
          <w:sz w:val="26"/>
        </w:rPr>
      </w:pPr>
    </w:p>
    <w:p>
      <w:pPr>
        <w:spacing w:line="540" w:lineRule="exact"/>
        <w:jc w:val="left"/>
        <w:rPr>
          <w:sz w:val="26"/>
        </w:rPr>
      </w:pPr>
    </w:p>
    <w:p>
      <w:pPr>
        <w:spacing w:line="540" w:lineRule="exact"/>
        <w:jc w:val="left"/>
        <w:rPr>
          <w:sz w:val="26"/>
        </w:rPr>
      </w:pPr>
    </w:p>
    <w:p>
      <w:pPr>
        <w:spacing w:line="540" w:lineRule="exact"/>
        <w:jc w:val="left"/>
        <w:rPr>
          <w:sz w:val="26"/>
        </w:rPr>
      </w:pPr>
    </w:p>
    <w:p>
      <w:pPr>
        <w:spacing w:line="540" w:lineRule="exact"/>
        <w:rPr>
          <w:rFonts w:hAnsi="宋体"/>
        </w:rPr>
      </w:pPr>
    </w:p>
    <w:p>
      <w:pPr>
        <w:spacing w:line="540" w:lineRule="exact"/>
        <w:rPr>
          <w:rFonts w:hAnsi="宋体"/>
        </w:rPr>
      </w:pPr>
    </w:p>
    <w:p>
      <w:pPr>
        <w:spacing w:line="540" w:lineRule="exact"/>
        <w:jc w:val="center"/>
        <w:rPr>
          <w:rFonts w:hAnsi="宋体"/>
        </w:rPr>
      </w:pPr>
      <w:r>
        <w:rPr>
          <w:rFonts w:hint="eastAsia" w:hAnsi="宋体"/>
        </w:rPr>
        <w:t>规章制度标牌版面</w:t>
      </w:r>
    </w:p>
    <w:p>
      <w:pPr>
        <w:spacing w:line="540" w:lineRule="exact"/>
        <w:jc w:val="left"/>
        <w:rPr>
          <w:sz w:val="28"/>
          <w:szCs w:val="28"/>
        </w:rPr>
      </w:pPr>
      <w:r>
        <w:rPr>
          <w:rFonts w:hint="eastAsia"/>
          <w:sz w:val="28"/>
          <w:szCs w:val="28"/>
        </w:rPr>
        <w:t>（3）宣传牌</w:t>
      </w:r>
    </w:p>
    <w:p>
      <w:pPr>
        <w:spacing w:line="540" w:lineRule="exact"/>
        <w:jc w:val="left"/>
        <w:rPr>
          <w:sz w:val="26"/>
        </w:rPr>
      </w:pPr>
      <w:r>
        <w:rPr>
          <w:rFonts w:hAnsi="宋体"/>
        </w:rPr>
        <w:drawing>
          <wp:anchor distT="0" distB="0" distL="0" distR="0" simplePos="0" relativeHeight="251664384" behindDoc="0" locked="0" layoutInCell="1" allowOverlap="1">
            <wp:simplePos x="0" y="0"/>
            <wp:positionH relativeFrom="column">
              <wp:posOffset>750570</wp:posOffset>
            </wp:positionH>
            <wp:positionV relativeFrom="paragraph">
              <wp:posOffset>31750</wp:posOffset>
            </wp:positionV>
            <wp:extent cx="4345305" cy="2982595"/>
            <wp:effectExtent l="9525" t="9525" r="26670" b="17780"/>
            <wp:wrapNone/>
            <wp:docPr id="309" name="图片 309" descr="E:\部门工作\专题\标识标牌\编写\标准\729施老爷意见修改\图2\宣传条文 拷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图片 309" descr="E:\部门工作\专题\标识标牌\编写\标准\729施老爷意见修改\图2\宣传条文 拷贝-2.jpg"/>
                    <pic:cNvPicPr>
                      <a:picLocks noChangeAspect="1" noChangeArrowheads="1"/>
                    </pic:cNvPicPr>
                  </pic:nvPicPr>
                  <pic:blipFill>
                    <a:blip r:embed="rId14" cstate="print"/>
                    <a:srcRect/>
                    <a:stretch>
                      <a:fillRect/>
                    </a:stretch>
                  </pic:blipFill>
                  <pic:spPr>
                    <a:xfrm>
                      <a:off x="0" y="0"/>
                      <a:ext cx="4345305" cy="2982595"/>
                    </a:xfrm>
                    <a:prstGeom prst="rect">
                      <a:avLst/>
                    </a:prstGeom>
                    <a:noFill/>
                    <a:ln>
                      <a:solidFill>
                        <a:schemeClr val="tx1"/>
                      </a:solidFill>
                    </a:ln>
                  </pic:spPr>
                </pic:pic>
              </a:graphicData>
            </a:graphic>
          </wp:anchor>
        </w:drawing>
      </w:r>
    </w:p>
    <w:p>
      <w:pPr>
        <w:spacing w:line="540" w:lineRule="exact"/>
        <w:jc w:val="left"/>
        <w:rPr>
          <w:sz w:val="26"/>
        </w:rPr>
      </w:pPr>
    </w:p>
    <w:p>
      <w:pPr>
        <w:spacing w:line="540" w:lineRule="exact"/>
        <w:jc w:val="left"/>
        <w:rPr>
          <w:sz w:val="26"/>
        </w:rPr>
      </w:pPr>
    </w:p>
    <w:p>
      <w:pPr>
        <w:spacing w:line="540" w:lineRule="exact"/>
        <w:jc w:val="left"/>
        <w:rPr>
          <w:sz w:val="26"/>
        </w:rPr>
      </w:pPr>
    </w:p>
    <w:p>
      <w:pPr>
        <w:spacing w:line="540" w:lineRule="exact"/>
        <w:jc w:val="left"/>
        <w:rPr>
          <w:sz w:val="26"/>
        </w:rPr>
      </w:pPr>
    </w:p>
    <w:p>
      <w:pPr>
        <w:spacing w:line="540" w:lineRule="exact"/>
        <w:jc w:val="left"/>
        <w:rPr>
          <w:sz w:val="26"/>
        </w:rPr>
      </w:pPr>
    </w:p>
    <w:p>
      <w:pPr>
        <w:spacing w:line="540" w:lineRule="exact"/>
        <w:jc w:val="left"/>
        <w:rPr>
          <w:sz w:val="26"/>
        </w:rPr>
      </w:pPr>
    </w:p>
    <w:p>
      <w:pPr>
        <w:spacing w:line="540" w:lineRule="exact"/>
        <w:jc w:val="left"/>
        <w:rPr>
          <w:sz w:val="26"/>
        </w:rPr>
      </w:pPr>
    </w:p>
    <w:p>
      <w:pPr>
        <w:pStyle w:val="6"/>
        <w:jc w:val="center"/>
      </w:pPr>
      <w:r>
        <w:rPr>
          <w:rFonts w:hint="eastAsia"/>
        </w:rPr>
        <w:t>名称类标识标牌</w:t>
      </w:r>
    </w:p>
    <w:p>
      <w:pPr>
        <w:spacing w:line="540" w:lineRule="exact"/>
        <w:jc w:val="left"/>
        <w:rPr>
          <w:sz w:val="28"/>
          <w:szCs w:val="28"/>
        </w:rPr>
      </w:pPr>
      <w:r>
        <w:rPr>
          <w:rFonts w:hint="eastAsia"/>
          <w:sz w:val="28"/>
          <w:szCs w:val="28"/>
        </w:rPr>
        <w:t>（1）面板序号牌</w:t>
      </w:r>
    </w:p>
    <w:p>
      <w:pPr>
        <w:spacing w:line="540" w:lineRule="exact"/>
        <w:jc w:val="center"/>
        <w:rPr>
          <w:sz w:val="28"/>
          <w:szCs w:val="28"/>
        </w:rPr>
      </w:pPr>
      <w:r>
        <w:rPr>
          <w:rFonts w:hint="eastAsia"/>
          <w:sz w:val="28"/>
          <w:szCs w:val="28"/>
        </w:rPr>
        <w:drawing>
          <wp:anchor distT="0" distB="0" distL="0" distR="0" simplePos="0" relativeHeight="251670528" behindDoc="0" locked="0" layoutInCell="1" allowOverlap="1">
            <wp:simplePos x="0" y="0"/>
            <wp:positionH relativeFrom="column">
              <wp:posOffset>1943100</wp:posOffset>
            </wp:positionH>
            <wp:positionV relativeFrom="paragraph">
              <wp:posOffset>169545</wp:posOffset>
            </wp:positionV>
            <wp:extent cx="1276350" cy="1276350"/>
            <wp:effectExtent l="0" t="0" r="0" b="0"/>
            <wp:wrapTopAndBottom/>
            <wp:docPr id="315" name="图片 315" descr="E:\部门工作\专题\标识标牌\编写\标准\729施老爷意见修改\图2\坝面 拷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图片 315" descr="E:\部门工作\专题\标识标牌\编写\标准\729施老爷意见修改\图2\坝面 拷贝.jpg"/>
                    <pic:cNvPicPr>
                      <a:picLocks noChangeAspect="1" noChangeArrowheads="1"/>
                    </pic:cNvPicPr>
                  </pic:nvPicPr>
                  <pic:blipFill>
                    <a:blip r:embed="rId15" cstate="print"/>
                    <a:srcRect/>
                    <a:stretch>
                      <a:fillRect/>
                    </a:stretch>
                  </pic:blipFill>
                  <pic:spPr>
                    <a:xfrm>
                      <a:off x="0" y="0"/>
                      <a:ext cx="1276639" cy="1276639"/>
                    </a:xfrm>
                    <a:prstGeom prst="rect">
                      <a:avLst/>
                    </a:prstGeom>
                    <a:noFill/>
                    <a:ln>
                      <a:noFill/>
                    </a:ln>
                  </pic:spPr>
                </pic:pic>
              </a:graphicData>
            </a:graphic>
          </wp:anchor>
        </w:drawing>
      </w:r>
      <w:r>
        <w:rPr>
          <w:rFonts w:hint="eastAsia"/>
          <w:sz w:val="28"/>
          <w:szCs w:val="28"/>
        </w:rPr>
        <w:t>面板（面板堆石坝）序号牌版面</w:t>
      </w:r>
    </w:p>
    <w:p>
      <w:pPr>
        <w:spacing w:line="540" w:lineRule="exact"/>
        <w:jc w:val="left"/>
        <w:rPr>
          <w:sz w:val="28"/>
          <w:szCs w:val="28"/>
        </w:rPr>
      </w:pPr>
      <w:r>
        <w:rPr>
          <w:rFonts w:hint="eastAsia"/>
          <w:sz w:val="28"/>
          <w:szCs w:val="28"/>
        </w:rPr>
        <w:t>（2）机电金结设备序号牌</w:t>
      </w:r>
    </w:p>
    <w:p>
      <w:pPr>
        <w:spacing w:line="540" w:lineRule="exact"/>
        <w:jc w:val="center"/>
        <w:rPr>
          <w:sz w:val="26"/>
        </w:rPr>
      </w:pPr>
      <w:r>
        <w:rPr>
          <w:rFonts w:hAnsi="宋体"/>
        </w:rPr>
        <w:drawing>
          <wp:anchor distT="0" distB="0" distL="0" distR="0" simplePos="0" relativeHeight="251671552" behindDoc="0" locked="0" layoutInCell="1" allowOverlap="1">
            <wp:simplePos x="0" y="0"/>
            <wp:positionH relativeFrom="column">
              <wp:posOffset>1685925</wp:posOffset>
            </wp:positionH>
            <wp:positionV relativeFrom="paragraph">
              <wp:posOffset>295275</wp:posOffset>
            </wp:positionV>
            <wp:extent cx="1760855" cy="1747520"/>
            <wp:effectExtent l="0" t="0" r="10795" b="5080"/>
            <wp:wrapTopAndBottom/>
            <wp:docPr id="316" name="图片 316" descr="E:\部门工作\专题\标识标牌\编写\标准\729施老爷意见修改\图2\启闭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图片 316" descr="E:\部门工作\专题\标识标牌\编写\标准\729施老爷意见修改\图2\启闭机.jpg"/>
                    <pic:cNvPicPr>
                      <a:picLocks noChangeAspect="1" noChangeArrowheads="1"/>
                    </pic:cNvPicPr>
                  </pic:nvPicPr>
                  <pic:blipFill>
                    <a:blip r:embed="rId16" cstate="print"/>
                    <a:srcRect/>
                    <a:stretch>
                      <a:fillRect/>
                    </a:stretch>
                  </pic:blipFill>
                  <pic:spPr>
                    <a:xfrm>
                      <a:off x="0" y="0"/>
                      <a:ext cx="1765484" cy="1751693"/>
                    </a:xfrm>
                    <a:prstGeom prst="rect">
                      <a:avLst/>
                    </a:prstGeom>
                    <a:noFill/>
                    <a:ln>
                      <a:noFill/>
                    </a:ln>
                  </pic:spPr>
                </pic:pic>
              </a:graphicData>
            </a:graphic>
          </wp:anchor>
        </w:drawing>
      </w:r>
      <w:r>
        <w:rPr>
          <w:rFonts w:hint="eastAsia" w:hAnsi="宋体"/>
        </w:rPr>
        <w:t>机电金结设备序号牌版面</w:t>
      </w:r>
    </w:p>
    <w:p>
      <w:pPr>
        <w:spacing w:line="540" w:lineRule="exact"/>
        <w:jc w:val="left"/>
        <w:rPr>
          <w:sz w:val="28"/>
          <w:szCs w:val="28"/>
        </w:rPr>
      </w:pPr>
      <w:r>
        <w:rPr>
          <w:rFonts w:hint="eastAsia"/>
          <w:sz w:val="28"/>
          <w:szCs w:val="28"/>
        </w:rPr>
        <w:t>（3）机电设备管理责任牌</w:t>
      </w:r>
    </w:p>
    <w:p>
      <w:pPr>
        <w:spacing w:line="540" w:lineRule="exact"/>
        <w:jc w:val="center"/>
        <w:rPr>
          <w:rFonts w:hAnsi="宋体"/>
        </w:rPr>
      </w:pPr>
      <w:r>
        <w:rPr>
          <w:rFonts w:hint="eastAsia"/>
          <w:sz w:val="26"/>
        </w:rPr>
        <w:drawing>
          <wp:anchor distT="0" distB="0" distL="0" distR="0" simplePos="0" relativeHeight="251672576" behindDoc="0" locked="0" layoutInCell="1" allowOverlap="1">
            <wp:simplePos x="0" y="0"/>
            <wp:positionH relativeFrom="column">
              <wp:posOffset>781050</wp:posOffset>
            </wp:positionH>
            <wp:positionV relativeFrom="paragraph">
              <wp:posOffset>151130</wp:posOffset>
            </wp:positionV>
            <wp:extent cx="3305175" cy="2494915"/>
            <wp:effectExtent l="0" t="0" r="9525" b="635"/>
            <wp:wrapTopAndBottom/>
            <wp:docPr id="317" name="图片 317" descr="设备责任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图片 317" descr="设备责任牌"/>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305175" cy="2494915"/>
                    </a:xfrm>
                    <a:prstGeom prst="rect">
                      <a:avLst/>
                    </a:prstGeom>
                    <a:noFill/>
                    <a:ln>
                      <a:noFill/>
                    </a:ln>
                  </pic:spPr>
                </pic:pic>
              </a:graphicData>
            </a:graphic>
          </wp:anchor>
        </w:drawing>
      </w:r>
      <w:r>
        <w:rPr>
          <w:rFonts w:hint="eastAsia" w:hAnsi="宋体"/>
        </w:rPr>
        <w:t>机电金结设备责任牌版面</w:t>
      </w:r>
    </w:p>
    <w:p>
      <w:pPr>
        <w:spacing w:line="540" w:lineRule="exact"/>
        <w:jc w:val="left"/>
        <w:rPr>
          <w:sz w:val="28"/>
          <w:szCs w:val="28"/>
        </w:rPr>
      </w:pPr>
      <w:r>
        <w:rPr>
          <w:rFonts w:hint="eastAsia"/>
          <w:sz w:val="28"/>
          <w:szCs w:val="28"/>
        </w:rPr>
        <w:t>（4）电气屏柜设备名称牌</w:t>
      </w:r>
    </w:p>
    <w:p>
      <w:pPr>
        <w:spacing w:line="540" w:lineRule="exact"/>
        <w:jc w:val="center"/>
        <w:rPr>
          <w:rFonts w:hAnsi="宋体"/>
        </w:rPr>
      </w:pPr>
    </w:p>
    <w:p>
      <w:pPr>
        <w:spacing w:line="540" w:lineRule="exact"/>
        <w:jc w:val="center"/>
        <w:rPr>
          <w:sz w:val="26"/>
        </w:rPr>
      </w:pPr>
      <w:r>
        <w:rPr>
          <w:rFonts w:hint="eastAsia" w:hAnsi="宋体"/>
        </w:rPr>
        <w:t>电气屏柜设备名称牌版面</w:t>
      </w:r>
      <w:r>
        <w:drawing>
          <wp:anchor distT="0" distB="0" distL="0" distR="0" simplePos="0" relativeHeight="251673600" behindDoc="0" locked="0" layoutInCell="1" allowOverlap="1">
            <wp:simplePos x="0" y="0"/>
            <wp:positionH relativeFrom="column">
              <wp:posOffset>304800</wp:posOffset>
            </wp:positionH>
            <wp:positionV relativeFrom="paragraph">
              <wp:posOffset>207645</wp:posOffset>
            </wp:positionV>
            <wp:extent cx="4191635" cy="781050"/>
            <wp:effectExtent l="0" t="0" r="18415" b="0"/>
            <wp:wrapTopAndBottom/>
            <wp:docPr id="318" name="图片 318" descr="wpsFC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图片 318" descr="wpsFC6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191635" cy="781050"/>
                    </a:xfrm>
                    <a:prstGeom prst="rect">
                      <a:avLst/>
                    </a:prstGeom>
                    <a:noFill/>
                    <a:ln>
                      <a:noFill/>
                    </a:ln>
                  </pic:spPr>
                </pic:pic>
              </a:graphicData>
            </a:graphic>
          </wp:anchor>
        </w:drawing>
      </w:r>
    </w:p>
    <w:p>
      <w:pPr>
        <w:spacing w:line="540" w:lineRule="exact"/>
        <w:jc w:val="left"/>
        <w:rPr>
          <w:sz w:val="28"/>
          <w:szCs w:val="28"/>
        </w:rPr>
      </w:pPr>
      <w:r>
        <w:rPr>
          <w:rFonts w:hint="eastAsia"/>
          <w:sz w:val="28"/>
          <w:szCs w:val="28"/>
        </w:rPr>
        <w:t>（5）仪表牌</w:t>
      </w:r>
    </w:p>
    <w:p>
      <w:pPr>
        <w:spacing w:line="540" w:lineRule="exact"/>
        <w:jc w:val="center"/>
        <w:rPr>
          <w:rFonts w:hAnsi="宋体"/>
        </w:rPr>
      </w:pPr>
      <w:r>
        <w:rPr>
          <w:rFonts w:hint="eastAsia" w:hAnsi="宋体"/>
        </w:rPr>
        <w:t>仪表、阀门牌版面</w:t>
      </w:r>
      <w:r>
        <w:drawing>
          <wp:anchor distT="0" distB="0" distL="0" distR="0" simplePos="0" relativeHeight="251676672" behindDoc="0" locked="0" layoutInCell="1" allowOverlap="1">
            <wp:simplePos x="0" y="0"/>
            <wp:positionH relativeFrom="column">
              <wp:posOffset>295275</wp:posOffset>
            </wp:positionH>
            <wp:positionV relativeFrom="paragraph">
              <wp:posOffset>302895</wp:posOffset>
            </wp:positionV>
            <wp:extent cx="1852930" cy="1858010"/>
            <wp:effectExtent l="0" t="0" r="13970" b="8890"/>
            <wp:wrapTopAndBottom/>
            <wp:docPr id="321" name="图片 321" descr="E:\部门工作\专题\标识标牌\编写\标准\729施老爷意见修改\图2\压力表 拷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E:\部门工作\专题\标识标牌\编写\标准\729施老爷意见修改\图2\压力表 拷贝.jpg"/>
                    <pic:cNvPicPr>
                      <a:picLocks noChangeAspect="1" noChangeArrowheads="1"/>
                    </pic:cNvPicPr>
                  </pic:nvPicPr>
                  <pic:blipFill>
                    <a:blip r:embed="rId19" cstate="print"/>
                    <a:srcRect/>
                    <a:stretch>
                      <a:fillRect/>
                    </a:stretch>
                  </pic:blipFill>
                  <pic:spPr>
                    <a:xfrm>
                      <a:off x="0" y="0"/>
                      <a:ext cx="1852930" cy="1858010"/>
                    </a:xfrm>
                    <a:prstGeom prst="rect">
                      <a:avLst/>
                    </a:prstGeom>
                    <a:noFill/>
                    <a:ln>
                      <a:noFill/>
                    </a:ln>
                  </pic:spPr>
                </pic:pic>
              </a:graphicData>
            </a:graphic>
          </wp:anchor>
        </w:drawing>
      </w:r>
      <w:r>
        <w:rPr>
          <w:rFonts w:hAnsi="宋体"/>
        </w:rPr>
        <w:drawing>
          <wp:anchor distT="0" distB="0" distL="0" distR="0" simplePos="0" relativeHeight="251677696" behindDoc="0" locked="0" layoutInCell="1" allowOverlap="1">
            <wp:simplePos x="0" y="0"/>
            <wp:positionH relativeFrom="column">
              <wp:posOffset>2952750</wp:posOffset>
            </wp:positionH>
            <wp:positionV relativeFrom="paragraph">
              <wp:posOffset>282575</wp:posOffset>
            </wp:positionV>
            <wp:extent cx="1818640" cy="1809115"/>
            <wp:effectExtent l="0" t="0" r="10160" b="635"/>
            <wp:wrapTopAndBottom/>
            <wp:docPr id="322" name="图片 322" descr="E:\部门工作\专题\标识标牌\编写\标准\729施老爷意见修改\图2\阀门拷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图片 322" descr="E:\部门工作\专题\标识标牌\编写\标准\729施老爷意见修改\图2\阀门拷贝.jpg"/>
                    <pic:cNvPicPr>
                      <a:picLocks noChangeAspect="1" noChangeArrowheads="1"/>
                    </pic:cNvPicPr>
                  </pic:nvPicPr>
                  <pic:blipFill>
                    <a:blip r:embed="rId20" cstate="print"/>
                    <a:srcRect/>
                    <a:stretch>
                      <a:fillRect/>
                    </a:stretch>
                  </pic:blipFill>
                  <pic:spPr>
                    <a:xfrm>
                      <a:off x="0" y="0"/>
                      <a:ext cx="1818640" cy="1809115"/>
                    </a:xfrm>
                    <a:prstGeom prst="rect">
                      <a:avLst/>
                    </a:prstGeom>
                    <a:noFill/>
                    <a:ln>
                      <a:noFill/>
                    </a:ln>
                  </pic:spPr>
                </pic:pic>
              </a:graphicData>
            </a:graphic>
          </wp:anchor>
        </w:drawing>
      </w:r>
    </w:p>
    <w:p>
      <w:pPr>
        <w:rPr>
          <w:rFonts w:hAnsi="宋体"/>
        </w:rPr>
      </w:pPr>
    </w:p>
    <w:p>
      <w:pPr>
        <w:tabs>
          <w:tab w:val="left" w:pos="928"/>
        </w:tabs>
        <w:jc w:val="center"/>
      </w:pPr>
      <w:r>
        <w:rPr>
          <w:rFonts w:hAnsi="宋体"/>
        </w:rPr>
        <w:drawing>
          <wp:anchor distT="0" distB="0" distL="0" distR="0" simplePos="0" relativeHeight="251678720" behindDoc="0" locked="0" layoutInCell="1" allowOverlap="1">
            <wp:simplePos x="0" y="0"/>
            <wp:positionH relativeFrom="column">
              <wp:posOffset>2884805</wp:posOffset>
            </wp:positionH>
            <wp:positionV relativeFrom="paragraph">
              <wp:posOffset>232410</wp:posOffset>
            </wp:positionV>
            <wp:extent cx="1840230" cy="1831340"/>
            <wp:effectExtent l="0" t="0" r="7620" b="16510"/>
            <wp:wrapTopAndBottom/>
            <wp:docPr id="323" name="图片 323" descr="E:\部门工作\专题\标识标牌\编写\标准\729施老爷意见修改\图2\关 拷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图片 323" descr="E:\部门工作\专题\标识标牌\编写\标准\729施老爷意见修改\图2\关 拷贝.jpg"/>
                    <pic:cNvPicPr>
                      <a:picLocks noChangeAspect="1" noChangeArrowheads="1"/>
                    </pic:cNvPicPr>
                  </pic:nvPicPr>
                  <pic:blipFill>
                    <a:blip r:embed="rId21" cstate="print"/>
                    <a:srcRect/>
                    <a:stretch>
                      <a:fillRect/>
                    </a:stretch>
                  </pic:blipFill>
                  <pic:spPr>
                    <a:xfrm>
                      <a:off x="0" y="0"/>
                      <a:ext cx="1840230" cy="1831340"/>
                    </a:xfrm>
                    <a:prstGeom prst="rect">
                      <a:avLst/>
                    </a:prstGeom>
                    <a:noFill/>
                    <a:ln>
                      <a:noFill/>
                    </a:ln>
                  </pic:spPr>
                </pic:pic>
              </a:graphicData>
            </a:graphic>
          </wp:anchor>
        </w:drawing>
      </w:r>
      <w:r>
        <w:drawing>
          <wp:anchor distT="0" distB="0" distL="0" distR="0" simplePos="0" relativeHeight="251679744" behindDoc="0" locked="0" layoutInCell="1" allowOverlap="1">
            <wp:simplePos x="0" y="0"/>
            <wp:positionH relativeFrom="column">
              <wp:posOffset>313055</wp:posOffset>
            </wp:positionH>
            <wp:positionV relativeFrom="paragraph">
              <wp:posOffset>158115</wp:posOffset>
            </wp:positionV>
            <wp:extent cx="1978025" cy="1943735"/>
            <wp:effectExtent l="0" t="0" r="3175" b="18415"/>
            <wp:wrapTopAndBottom/>
            <wp:docPr id="324" name="图片 324" descr="E:\部门工作\专题\标识标牌\编写\标准\729施老爷意见修改\图2\开 拷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图片 324" descr="E:\部门工作\专题\标识标牌\编写\标准\729施老爷意见修改\图2\开 拷贝.jpg"/>
                    <pic:cNvPicPr>
                      <a:picLocks noChangeAspect="1" noChangeArrowheads="1"/>
                    </pic:cNvPicPr>
                  </pic:nvPicPr>
                  <pic:blipFill>
                    <a:blip r:embed="rId22" cstate="print"/>
                    <a:srcRect/>
                    <a:stretch>
                      <a:fillRect/>
                    </a:stretch>
                  </pic:blipFill>
                  <pic:spPr>
                    <a:xfrm>
                      <a:off x="0" y="0"/>
                      <a:ext cx="1978025" cy="1943735"/>
                    </a:xfrm>
                    <a:prstGeom prst="rect">
                      <a:avLst/>
                    </a:prstGeom>
                    <a:noFill/>
                    <a:ln>
                      <a:noFill/>
                    </a:ln>
                  </pic:spPr>
                </pic:pic>
              </a:graphicData>
            </a:graphic>
          </wp:anchor>
        </w:drawing>
      </w:r>
      <w:r>
        <w:rPr>
          <w:rFonts w:hint="eastAsia" w:hAnsi="宋体"/>
        </w:rPr>
        <w:t>阀门开关状态牌版面（正反面设计）</w:t>
      </w:r>
    </w:p>
    <w:p>
      <w:pPr>
        <w:pStyle w:val="6"/>
        <w:jc w:val="center"/>
      </w:pPr>
      <w:r>
        <w:rPr>
          <w:rFonts w:hint="eastAsia"/>
        </w:rPr>
        <w:t>警示类标识标牌</w:t>
      </w:r>
    </w:p>
    <w:p>
      <w:pPr>
        <w:spacing w:line="540" w:lineRule="exact"/>
        <w:jc w:val="left"/>
        <w:rPr>
          <w:sz w:val="28"/>
          <w:szCs w:val="28"/>
        </w:rPr>
      </w:pPr>
      <w:r>
        <w:rPr>
          <w:rFonts w:hint="eastAsia"/>
          <w:sz w:val="28"/>
          <w:szCs w:val="28"/>
        </w:rPr>
        <w:t>（1）深水警示牌</w:t>
      </w:r>
    </w:p>
    <w:p>
      <w:pPr>
        <w:tabs>
          <w:tab w:val="left" w:pos="928"/>
        </w:tabs>
        <w:jc w:val="center"/>
      </w:pPr>
      <w:r>
        <w:rPr>
          <w:rFonts w:hAnsi="宋体"/>
        </w:rPr>
        <w:drawing>
          <wp:inline distT="0" distB="0" distL="0" distR="0">
            <wp:extent cx="2591435" cy="3637915"/>
            <wp:effectExtent l="0" t="0" r="18415" b="635"/>
            <wp:docPr id="325" name="图片 325" descr="E:\部门工作\专题\标识标牌\编写\标准\729施老爷意见修改\图2\水深 拷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图片 325" descr="E:\部门工作\专题\标识标牌\编写\标准\729施老爷意见修改\图2\水深 拷贝.jpg"/>
                    <pic:cNvPicPr>
                      <a:picLocks noChangeAspect="1" noChangeArrowheads="1"/>
                    </pic:cNvPicPr>
                  </pic:nvPicPr>
                  <pic:blipFill>
                    <a:blip r:embed="rId23" cstate="print"/>
                    <a:srcRect/>
                    <a:stretch>
                      <a:fillRect/>
                    </a:stretch>
                  </pic:blipFill>
                  <pic:spPr>
                    <a:xfrm>
                      <a:off x="0" y="0"/>
                      <a:ext cx="2591435" cy="3637915"/>
                    </a:xfrm>
                    <a:prstGeom prst="rect">
                      <a:avLst/>
                    </a:prstGeom>
                    <a:noFill/>
                    <a:ln>
                      <a:noFill/>
                    </a:ln>
                  </pic:spPr>
                </pic:pic>
              </a:graphicData>
            </a:graphic>
          </wp:inline>
        </w:drawing>
      </w:r>
    </w:p>
    <w:p>
      <w:pPr>
        <w:tabs>
          <w:tab w:val="left" w:pos="928"/>
        </w:tabs>
        <w:jc w:val="left"/>
      </w:pPr>
      <w:r>
        <w:drawing>
          <wp:anchor distT="0" distB="0" distL="114300" distR="114300" simplePos="0" relativeHeight="251681792" behindDoc="0" locked="0" layoutInCell="1" allowOverlap="1">
            <wp:simplePos x="0" y="0"/>
            <wp:positionH relativeFrom="column">
              <wp:posOffset>2956560</wp:posOffset>
            </wp:positionH>
            <wp:positionV relativeFrom="paragraph">
              <wp:posOffset>127000</wp:posOffset>
            </wp:positionV>
            <wp:extent cx="2826385" cy="3355340"/>
            <wp:effectExtent l="19050" t="0" r="0" b="0"/>
            <wp:wrapNone/>
            <wp:docPr id="32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图片 7"/>
                    <pic:cNvPicPr>
                      <a:picLocks noChangeAspect="1"/>
                    </pic:cNvPicPr>
                  </pic:nvPicPr>
                  <pic:blipFill>
                    <a:blip r:embed="rId24" cstate="print"/>
                    <a:stretch>
                      <a:fillRect/>
                    </a:stretch>
                  </pic:blipFill>
                  <pic:spPr>
                    <a:xfrm>
                      <a:off x="0" y="0"/>
                      <a:ext cx="2826385" cy="3355340"/>
                    </a:xfrm>
                    <a:prstGeom prst="rect">
                      <a:avLst/>
                    </a:prstGeom>
                    <a:noFill/>
                    <a:ln w="9525">
                      <a:noFill/>
                    </a:ln>
                  </pic:spPr>
                </pic:pic>
              </a:graphicData>
            </a:graphic>
          </wp:anchor>
        </w:drawing>
      </w:r>
      <w:r>
        <w:drawing>
          <wp:anchor distT="0" distB="0" distL="114300" distR="114300" simplePos="0" relativeHeight="251680768" behindDoc="0" locked="0" layoutInCell="1" allowOverlap="1">
            <wp:simplePos x="0" y="0"/>
            <wp:positionH relativeFrom="column">
              <wp:posOffset>340360</wp:posOffset>
            </wp:positionH>
            <wp:positionV relativeFrom="paragraph">
              <wp:posOffset>127000</wp:posOffset>
            </wp:positionV>
            <wp:extent cx="2286635" cy="3408045"/>
            <wp:effectExtent l="19050" t="0" r="0" b="0"/>
            <wp:wrapNone/>
            <wp:docPr id="32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图片 6"/>
                    <pic:cNvPicPr>
                      <a:picLocks noChangeAspect="1"/>
                    </pic:cNvPicPr>
                  </pic:nvPicPr>
                  <pic:blipFill>
                    <a:blip r:embed="rId25" cstate="print"/>
                    <a:stretch>
                      <a:fillRect/>
                    </a:stretch>
                  </pic:blipFill>
                  <pic:spPr>
                    <a:xfrm>
                      <a:off x="0" y="0"/>
                      <a:ext cx="2286508" cy="3407394"/>
                    </a:xfrm>
                    <a:prstGeom prst="rect">
                      <a:avLst/>
                    </a:prstGeom>
                    <a:noFill/>
                    <a:ln w="9525">
                      <a:noFill/>
                    </a:ln>
                  </pic:spPr>
                </pic:pic>
              </a:graphicData>
            </a:graphic>
          </wp:anchor>
        </w:drawing>
      </w:r>
    </w:p>
    <w:p>
      <w:pPr>
        <w:tabs>
          <w:tab w:val="left" w:pos="928"/>
        </w:tabs>
        <w:jc w:val="left"/>
      </w:pPr>
    </w:p>
    <w:p>
      <w:pPr>
        <w:tabs>
          <w:tab w:val="left" w:pos="928"/>
        </w:tabs>
        <w:jc w:val="left"/>
      </w:pPr>
    </w:p>
    <w:p>
      <w:pPr>
        <w:tabs>
          <w:tab w:val="left" w:pos="928"/>
        </w:tabs>
        <w:jc w:val="left"/>
      </w:pPr>
    </w:p>
    <w:p>
      <w:pPr>
        <w:tabs>
          <w:tab w:val="left" w:pos="928"/>
        </w:tabs>
        <w:jc w:val="left"/>
      </w:pPr>
    </w:p>
    <w:p>
      <w:pPr>
        <w:tabs>
          <w:tab w:val="left" w:pos="928"/>
        </w:tabs>
        <w:jc w:val="left"/>
      </w:pPr>
    </w:p>
    <w:p>
      <w:pPr>
        <w:tabs>
          <w:tab w:val="left" w:pos="928"/>
        </w:tabs>
        <w:jc w:val="left"/>
      </w:pPr>
    </w:p>
    <w:p>
      <w:pPr>
        <w:tabs>
          <w:tab w:val="left" w:pos="928"/>
        </w:tabs>
        <w:jc w:val="left"/>
      </w:pPr>
    </w:p>
    <w:p>
      <w:pPr>
        <w:tabs>
          <w:tab w:val="left" w:pos="928"/>
        </w:tabs>
        <w:jc w:val="left"/>
      </w:pPr>
    </w:p>
    <w:p>
      <w:pPr>
        <w:tabs>
          <w:tab w:val="left" w:pos="928"/>
        </w:tabs>
        <w:jc w:val="left"/>
      </w:pPr>
    </w:p>
    <w:p>
      <w:pPr>
        <w:tabs>
          <w:tab w:val="left" w:pos="928"/>
        </w:tabs>
        <w:jc w:val="left"/>
      </w:pPr>
    </w:p>
    <w:p>
      <w:pPr>
        <w:tabs>
          <w:tab w:val="left" w:pos="928"/>
        </w:tabs>
        <w:jc w:val="left"/>
      </w:pPr>
    </w:p>
    <w:p>
      <w:pPr>
        <w:tabs>
          <w:tab w:val="left" w:pos="928"/>
        </w:tabs>
        <w:jc w:val="left"/>
      </w:pPr>
    </w:p>
    <w:p>
      <w:pPr>
        <w:tabs>
          <w:tab w:val="left" w:pos="928"/>
        </w:tabs>
        <w:jc w:val="left"/>
      </w:pPr>
    </w:p>
    <w:p>
      <w:pPr>
        <w:tabs>
          <w:tab w:val="left" w:pos="928"/>
        </w:tabs>
        <w:jc w:val="left"/>
      </w:pPr>
    </w:p>
    <w:p>
      <w:pPr>
        <w:tabs>
          <w:tab w:val="left" w:pos="928"/>
        </w:tabs>
        <w:jc w:val="left"/>
      </w:pPr>
    </w:p>
    <w:p>
      <w:pPr>
        <w:tabs>
          <w:tab w:val="left" w:pos="928"/>
        </w:tabs>
        <w:jc w:val="left"/>
      </w:pPr>
    </w:p>
    <w:p>
      <w:pPr>
        <w:tabs>
          <w:tab w:val="left" w:pos="928"/>
        </w:tabs>
        <w:jc w:val="left"/>
      </w:pPr>
    </w:p>
    <w:p>
      <w:pPr>
        <w:tabs>
          <w:tab w:val="left" w:pos="928"/>
        </w:tabs>
        <w:jc w:val="left"/>
      </w:pPr>
    </w:p>
    <w:p>
      <w:pPr>
        <w:tabs>
          <w:tab w:val="left" w:pos="928"/>
        </w:tabs>
        <w:jc w:val="left"/>
      </w:pPr>
    </w:p>
    <w:p>
      <w:pPr>
        <w:tabs>
          <w:tab w:val="left" w:pos="928"/>
        </w:tabs>
        <w:jc w:val="left"/>
      </w:pPr>
    </w:p>
    <w:p>
      <w:pPr>
        <w:tabs>
          <w:tab w:val="left" w:pos="928"/>
        </w:tabs>
        <w:jc w:val="center"/>
        <w:rPr>
          <w:rFonts w:hAnsi="宋体"/>
        </w:rPr>
      </w:pPr>
      <w:r>
        <w:rPr>
          <w:rFonts w:hint="eastAsia" w:hAnsi="宋体"/>
        </w:rPr>
        <w:t>警示标识牌支撑</w:t>
      </w:r>
      <w:r>
        <w:rPr>
          <w:rFonts w:hAnsi="宋体"/>
        </w:rPr>
        <w:t>方式</w:t>
      </w:r>
      <w:r>
        <w:rPr>
          <w:rFonts w:hint="eastAsia" w:hAnsi="宋体"/>
        </w:rPr>
        <w:t>示意图</w:t>
      </w:r>
    </w:p>
    <w:p>
      <w:pPr>
        <w:spacing w:line="540" w:lineRule="exact"/>
        <w:jc w:val="left"/>
        <w:rPr>
          <w:sz w:val="28"/>
          <w:szCs w:val="28"/>
        </w:rPr>
      </w:pPr>
    </w:p>
    <w:p>
      <w:pPr>
        <w:spacing w:line="540" w:lineRule="exact"/>
        <w:jc w:val="left"/>
        <w:rPr>
          <w:sz w:val="28"/>
          <w:szCs w:val="28"/>
        </w:rPr>
      </w:pPr>
    </w:p>
    <w:p>
      <w:pPr>
        <w:spacing w:line="540" w:lineRule="exact"/>
        <w:jc w:val="left"/>
        <w:rPr>
          <w:sz w:val="28"/>
          <w:szCs w:val="28"/>
        </w:rPr>
      </w:pPr>
    </w:p>
    <w:p>
      <w:pPr>
        <w:tabs>
          <w:tab w:val="left" w:pos="928"/>
        </w:tabs>
        <w:rPr>
          <w:rFonts w:hAnsi="宋体"/>
        </w:rPr>
      </w:pPr>
    </w:p>
    <w:p>
      <w:pPr>
        <w:spacing w:line="540" w:lineRule="exact"/>
        <w:jc w:val="left"/>
        <w:rPr>
          <w:sz w:val="28"/>
          <w:szCs w:val="28"/>
        </w:rPr>
      </w:pPr>
      <w:r>
        <w:rPr>
          <w:rFonts w:hint="eastAsia"/>
          <w:sz w:val="28"/>
          <w:szCs w:val="28"/>
        </w:rPr>
        <w:t>（2）警示标线牌</w:t>
      </w:r>
    </w:p>
    <w:p>
      <w:pPr>
        <w:tabs>
          <w:tab w:val="left" w:pos="928"/>
        </w:tabs>
        <w:jc w:val="left"/>
        <w:rPr>
          <w:rFonts w:hAnsi="宋体"/>
        </w:rPr>
      </w:pPr>
    </w:p>
    <w:p>
      <w:pPr>
        <w:tabs>
          <w:tab w:val="left" w:pos="928"/>
        </w:tabs>
        <w:jc w:val="center"/>
      </w:pPr>
      <w:r>
        <w:drawing>
          <wp:inline distT="0" distB="0" distL="114300" distR="114300">
            <wp:extent cx="4923790" cy="377190"/>
            <wp:effectExtent l="0" t="0" r="10160" b="3810"/>
            <wp:docPr id="32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图片 8"/>
                    <pic:cNvPicPr>
                      <a:picLocks noChangeAspect="1"/>
                    </pic:cNvPicPr>
                  </pic:nvPicPr>
                  <pic:blipFill>
                    <a:blip r:embed="rId26" cstate="print"/>
                    <a:stretch>
                      <a:fillRect/>
                    </a:stretch>
                  </pic:blipFill>
                  <pic:spPr>
                    <a:xfrm>
                      <a:off x="0" y="0"/>
                      <a:ext cx="4923790" cy="377190"/>
                    </a:xfrm>
                    <a:prstGeom prst="rect">
                      <a:avLst/>
                    </a:prstGeom>
                    <a:noFill/>
                    <a:ln w="9525">
                      <a:noFill/>
                    </a:ln>
                  </pic:spPr>
                </pic:pic>
              </a:graphicData>
            </a:graphic>
          </wp:inline>
        </w:drawing>
      </w:r>
    </w:p>
    <w:p>
      <w:pPr>
        <w:tabs>
          <w:tab w:val="left" w:pos="928"/>
        </w:tabs>
        <w:jc w:val="center"/>
        <w:rPr>
          <w:rFonts w:hAnsi="宋体"/>
        </w:rPr>
      </w:pPr>
      <w:r>
        <w:rPr>
          <w:rFonts w:hint="eastAsia" w:hAnsi="宋体"/>
        </w:rPr>
        <w:t>警示标线版面</w:t>
      </w:r>
    </w:p>
    <w:p>
      <w:pPr>
        <w:pStyle w:val="6"/>
        <w:jc w:val="center"/>
      </w:pPr>
    </w:p>
    <w:p>
      <w:pPr>
        <w:pStyle w:val="6"/>
        <w:jc w:val="center"/>
        <w:rPr>
          <w:szCs w:val="28"/>
        </w:rPr>
      </w:pPr>
      <w:r>
        <w:rPr>
          <w:rFonts w:hint="eastAsia"/>
        </w:rPr>
        <w:t>指引类标识标牌</w:t>
      </w:r>
    </w:p>
    <w:p>
      <w:pPr>
        <w:spacing w:line="540" w:lineRule="exact"/>
        <w:jc w:val="left"/>
        <w:rPr>
          <w:sz w:val="28"/>
          <w:szCs w:val="28"/>
        </w:rPr>
      </w:pPr>
      <w:r>
        <w:rPr>
          <w:rFonts w:hint="eastAsia"/>
          <w:sz w:val="28"/>
          <w:szCs w:val="28"/>
        </w:rPr>
        <w:t>巡查（视）工作线路指引牌</w:t>
      </w:r>
    </w:p>
    <w:p>
      <w:pPr>
        <w:tabs>
          <w:tab w:val="left" w:pos="928"/>
        </w:tabs>
        <w:jc w:val="left"/>
      </w:pPr>
      <w:r>
        <w:rPr>
          <w:rFonts w:ascii="宋体" w:hAnsi="宋体" w:cs="宋体"/>
          <w:kern w:val="0"/>
          <w:sz w:val="24"/>
        </w:rPr>
        <w:drawing>
          <wp:anchor distT="0" distB="0" distL="0" distR="0" simplePos="0" relativeHeight="251682816" behindDoc="0" locked="0" layoutInCell="1" allowOverlap="1">
            <wp:simplePos x="0" y="0"/>
            <wp:positionH relativeFrom="column">
              <wp:posOffset>2904490</wp:posOffset>
            </wp:positionH>
            <wp:positionV relativeFrom="paragraph">
              <wp:posOffset>721995</wp:posOffset>
            </wp:positionV>
            <wp:extent cx="3130550" cy="1360805"/>
            <wp:effectExtent l="0" t="0" r="12700" b="10795"/>
            <wp:wrapNone/>
            <wp:docPr id="330" name="图片 330" descr="(RZX$PBYAPU1PRKX[})L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图片 330" descr="(RZX$PBYAPU1PRKX[})L70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3130550" cy="1360805"/>
                    </a:xfrm>
                    <a:prstGeom prst="rect">
                      <a:avLst/>
                    </a:prstGeom>
                    <a:noFill/>
                    <a:ln>
                      <a:noFill/>
                    </a:ln>
                  </pic:spPr>
                </pic:pic>
              </a:graphicData>
            </a:graphic>
          </wp:anchor>
        </w:drawing>
      </w:r>
      <w:r>
        <w:drawing>
          <wp:inline distT="0" distB="0" distL="0" distR="0">
            <wp:extent cx="2486025" cy="2486025"/>
            <wp:effectExtent l="0" t="0" r="9525" b="9525"/>
            <wp:docPr id="331" name="图片 331" descr="巡视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图片 331" descr="巡视点"/>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2486025" cy="2486025"/>
                    </a:xfrm>
                    <a:prstGeom prst="rect">
                      <a:avLst/>
                    </a:prstGeom>
                    <a:noFill/>
                    <a:ln>
                      <a:noFill/>
                    </a:ln>
                  </pic:spPr>
                </pic:pic>
              </a:graphicData>
            </a:graphic>
          </wp:inline>
        </w:drawing>
      </w:r>
    </w:p>
    <w:p>
      <w:pPr>
        <w:tabs>
          <w:tab w:val="left" w:pos="928"/>
        </w:tabs>
        <w:jc w:val="left"/>
        <w:rPr>
          <w:rFonts w:ascii="宋体" w:hAnsi="宋体"/>
          <w:kern w:val="0"/>
        </w:rPr>
      </w:pPr>
      <w:r>
        <w:rPr>
          <w:rFonts w:hint="eastAsia" w:ascii="宋体" w:hAnsi="宋体"/>
          <w:kern w:val="0"/>
        </w:rPr>
        <w:t xml:space="preserve">            工作点标识版面                          工作路</w:t>
      </w:r>
      <w:r>
        <w:rPr>
          <w:rFonts w:hint="eastAsia" w:ascii="宋体" w:hAnsi="宋体"/>
          <w:kern w:val="0"/>
          <w:sz w:val="28"/>
          <w:szCs w:val="28"/>
        </w:rPr>
        <w:t>线标识版面</w:t>
      </w:r>
    </w:p>
    <w:p>
      <w:pPr>
        <w:tabs>
          <w:tab w:val="left" w:pos="928"/>
        </w:tabs>
        <w:jc w:val="center"/>
        <w:rPr>
          <w:rFonts w:ascii="宋体" w:hAnsi="宋体" w:cs="宋体"/>
          <w:kern w:val="0"/>
          <w:sz w:val="24"/>
        </w:rPr>
      </w:pPr>
      <w:r>
        <w:rPr>
          <w:rFonts w:ascii="宋体" w:hAnsi="宋体" w:cs="宋体"/>
          <w:kern w:val="0"/>
          <w:sz w:val="24"/>
        </w:rPr>
        <w:drawing>
          <wp:inline distT="0" distB="0" distL="0" distR="0">
            <wp:extent cx="3142615" cy="1384300"/>
            <wp:effectExtent l="0" t="0" r="635" b="6350"/>
            <wp:docPr id="332" name="图片 58" descr="I%Z107@X{NXVP[1)W$0[%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图片 58" descr="I%Z107@X{NXVP[1)W$0[%YO"/>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142615" cy="1384300"/>
                    </a:xfrm>
                    <a:prstGeom prst="rect">
                      <a:avLst/>
                    </a:prstGeom>
                    <a:noFill/>
                    <a:ln>
                      <a:noFill/>
                    </a:ln>
                  </pic:spPr>
                </pic:pic>
              </a:graphicData>
            </a:graphic>
          </wp:inline>
        </w:drawing>
      </w:r>
    </w:p>
    <w:p>
      <w:pPr>
        <w:tabs>
          <w:tab w:val="left" w:pos="928"/>
        </w:tabs>
        <w:jc w:val="center"/>
        <w:rPr>
          <w:rFonts w:ascii="宋体" w:hAnsi="宋体" w:cs="宋体"/>
          <w:kern w:val="0"/>
          <w:sz w:val="24"/>
        </w:rPr>
      </w:pPr>
      <w:r>
        <w:rPr>
          <w:rFonts w:hint="eastAsia" w:ascii="宋体" w:hAnsi="宋体"/>
          <w:kern w:val="0"/>
        </w:rPr>
        <w:t>安全出口标识版面</w:t>
      </w:r>
    </w:p>
    <w:p>
      <w:pPr>
        <w:widowControl/>
        <w:tabs>
          <w:tab w:val="left" w:pos="540"/>
        </w:tabs>
        <w:autoSpaceDE w:val="0"/>
        <w:autoSpaceDN w:val="0"/>
        <w:adjustRightInd w:val="0"/>
        <w:snapToGrid w:val="0"/>
        <w:spacing w:line="400" w:lineRule="exact"/>
        <w:ind w:firstLine="442" w:firstLineChars="200"/>
        <w:textAlignment w:val="bottom"/>
        <w:rPr>
          <w:rFonts w:ascii="宋体" w:hAnsi="宋体"/>
          <w:b/>
          <w:color w:val="000000"/>
          <w:sz w:val="22"/>
          <w:szCs w:val="22"/>
        </w:rPr>
      </w:pPr>
    </w:p>
    <w:p>
      <w:pPr>
        <w:widowControl/>
        <w:tabs>
          <w:tab w:val="left" w:pos="540"/>
        </w:tabs>
        <w:autoSpaceDE w:val="0"/>
        <w:autoSpaceDN w:val="0"/>
        <w:adjustRightInd w:val="0"/>
        <w:snapToGrid w:val="0"/>
        <w:spacing w:line="400" w:lineRule="exact"/>
        <w:ind w:firstLine="442" w:firstLineChars="200"/>
        <w:textAlignment w:val="bottom"/>
        <w:rPr>
          <w:rFonts w:ascii="宋体" w:hAnsi="宋体"/>
          <w:b/>
          <w:color w:val="000000"/>
          <w:sz w:val="22"/>
          <w:szCs w:val="22"/>
        </w:rPr>
      </w:pPr>
    </w:p>
    <w:p>
      <w:pPr>
        <w:widowControl/>
        <w:tabs>
          <w:tab w:val="left" w:pos="540"/>
        </w:tabs>
        <w:autoSpaceDE w:val="0"/>
        <w:autoSpaceDN w:val="0"/>
        <w:adjustRightInd w:val="0"/>
        <w:snapToGrid w:val="0"/>
        <w:spacing w:line="400" w:lineRule="exact"/>
        <w:ind w:firstLine="442" w:firstLineChars="200"/>
        <w:textAlignment w:val="bottom"/>
        <w:rPr>
          <w:rFonts w:ascii="宋体" w:hAnsi="宋体"/>
          <w:b/>
          <w:color w:val="000000"/>
          <w:sz w:val="22"/>
          <w:szCs w:val="22"/>
        </w:rPr>
      </w:pPr>
    </w:p>
    <w:p>
      <w:pPr>
        <w:widowControl/>
        <w:tabs>
          <w:tab w:val="left" w:pos="540"/>
        </w:tabs>
        <w:autoSpaceDE w:val="0"/>
        <w:autoSpaceDN w:val="0"/>
        <w:adjustRightInd w:val="0"/>
        <w:snapToGrid w:val="0"/>
        <w:spacing w:line="400" w:lineRule="exact"/>
        <w:ind w:firstLine="442" w:firstLineChars="200"/>
        <w:textAlignment w:val="bottom"/>
        <w:rPr>
          <w:rFonts w:ascii="宋体" w:hAnsi="宋体"/>
          <w:b/>
          <w:color w:val="000000"/>
          <w:sz w:val="22"/>
          <w:szCs w:val="22"/>
        </w:rPr>
      </w:pPr>
    </w:p>
    <w:p>
      <w:pPr>
        <w:widowControl/>
        <w:tabs>
          <w:tab w:val="left" w:pos="540"/>
        </w:tabs>
        <w:autoSpaceDE w:val="0"/>
        <w:autoSpaceDN w:val="0"/>
        <w:adjustRightInd w:val="0"/>
        <w:snapToGrid w:val="0"/>
        <w:spacing w:line="400" w:lineRule="exact"/>
        <w:ind w:firstLine="442" w:firstLineChars="200"/>
        <w:textAlignment w:val="bottom"/>
        <w:rPr>
          <w:rFonts w:ascii="宋体" w:hAnsi="宋体"/>
          <w:b/>
          <w:color w:val="000000"/>
          <w:sz w:val="22"/>
          <w:szCs w:val="22"/>
        </w:rPr>
      </w:pPr>
    </w:p>
    <w:p>
      <w:pPr>
        <w:widowControl/>
        <w:tabs>
          <w:tab w:val="left" w:pos="540"/>
        </w:tabs>
        <w:autoSpaceDE w:val="0"/>
        <w:autoSpaceDN w:val="0"/>
        <w:adjustRightInd w:val="0"/>
        <w:snapToGrid w:val="0"/>
        <w:spacing w:line="400" w:lineRule="exact"/>
        <w:textAlignment w:val="bottom"/>
        <w:rPr>
          <w:rFonts w:ascii="宋体" w:hAnsi="宋体"/>
          <w:b/>
          <w:color w:val="000000"/>
          <w:sz w:val="22"/>
          <w:szCs w:val="22"/>
        </w:rPr>
      </w:pPr>
    </w:p>
    <w:p>
      <w:pPr>
        <w:widowControl/>
        <w:tabs>
          <w:tab w:val="left" w:pos="540"/>
        </w:tabs>
        <w:autoSpaceDE w:val="0"/>
        <w:autoSpaceDN w:val="0"/>
        <w:adjustRightInd w:val="0"/>
        <w:snapToGrid w:val="0"/>
        <w:spacing w:line="400" w:lineRule="exact"/>
        <w:textAlignment w:val="bottom"/>
        <w:rPr>
          <w:rFonts w:ascii="宋体" w:hAnsi="宋体"/>
          <w:b/>
          <w:color w:val="000000"/>
          <w:sz w:val="22"/>
          <w:szCs w:val="22"/>
        </w:rPr>
      </w:pPr>
      <w:r>
        <w:rPr>
          <w:rFonts w:hint="eastAsia" w:ascii="宋体" w:hAnsi="宋体"/>
          <w:b/>
          <w:color w:val="000000"/>
          <w:sz w:val="22"/>
          <w:szCs w:val="22"/>
        </w:rPr>
        <w:t>（六）保洁要求</w:t>
      </w:r>
    </w:p>
    <w:p>
      <w:pPr>
        <w:spacing w:line="400" w:lineRule="exact"/>
        <w:ind w:firstLine="440" w:firstLineChars="200"/>
        <w:rPr>
          <w:rFonts w:ascii="宋体" w:hAnsi="宋体"/>
          <w:color w:val="000000"/>
          <w:sz w:val="22"/>
          <w:szCs w:val="22"/>
        </w:rPr>
      </w:pPr>
      <w:r>
        <w:rPr>
          <w:rFonts w:hint="eastAsia" w:ascii="宋体" w:hAnsi="宋体"/>
          <w:color w:val="000000"/>
          <w:sz w:val="22"/>
          <w:szCs w:val="22"/>
        </w:rPr>
        <w:t>供应商开展对管理线范围（包含但不限于：物业工程管理范围、保护范围内的绿化（除草、清扫、扶育等工作）、交通(防汛)道路、供排水、通讯及照明设施等；工程标牌(包括界桩、界牌、安全警示牌、宣传牌)、观测、监测设施等；管理办公用房、生活用房整洁保养以及周边环境卫生等；对以上项目开展保洁养护工作）；</w:t>
      </w:r>
    </w:p>
    <w:p>
      <w:pPr>
        <w:spacing w:line="400" w:lineRule="exact"/>
        <w:ind w:firstLine="440" w:firstLineChars="200"/>
        <w:rPr>
          <w:rFonts w:ascii="宋体" w:hAnsi="宋体"/>
          <w:color w:val="000000"/>
          <w:sz w:val="22"/>
          <w:szCs w:val="22"/>
        </w:rPr>
      </w:pPr>
      <w:r>
        <w:rPr>
          <w:rFonts w:hint="eastAsia" w:ascii="宋体" w:hAnsi="宋体"/>
          <w:color w:val="000000"/>
          <w:sz w:val="22"/>
          <w:szCs w:val="22"/>
        </w:rPr>
        <w:t>管理线范围具体详见各工程的管理手册。</w:t>
      </w:r>
    </w:p>
    <w:p>
      <w:pPr>
        <w:spacing w:line="400" w:lineRule="exact"/>
        <w:ind w:firstLine="442" w:firstLineChars="200"/>
        <w:rPr>
          <w:rFonts w:ascii="宋体" w:hAnsi="宋体"/>
          <w:b/>
          <w:bCs/>
          <w:color w:val="000000"/>
          <w:sz w:val="22"/>
          <w:szCs w:val="22"/>
        </w:rPr>
      </w:pPr>
      <w:r>
        <w:rPr>
          <w:rFonts w:hint="eastAsia" w:ascii="宋体" w:hAnsi="宋体"/>
          <w:b/>
          <w:bCs/>
          <w:color w:val="000000"/>
          <w:sz w:val="22"/>
          <w:szCs w:val="22"/>
        </w:rPr>
        <w:t>保洁分类：</w:t>
      </w:r>
      <w:r>
        <w:rPr>
          <w:rFonts w:hint="eastAsia" w:ascii="宋体" w:hAnsi="宋体"/>
          <w:color w:val="000000"/>
          <w:sz w:val="22"/>
          <w:szCs w:val="22"/>
        </w:rPr>
        <w:t>保洁分日常保洁和整体保洁；</w:t>
      </w:r>
    </w:p>
    <w:p>
      <w:pPr>
        <w:spacing w:line="400" w:lineRule="exact"/>
        <w:ind w:firstLine="442" w:firstLineChars="200"/>
        <w:rPr>
          <w:rFonts w:ascii="宋体" w:hAnsi="宋体"/>
          <w:b/>
          <w:bCs/>
          <w:color w:val="000000"/>
          <w:sz w:val="22"/>
          <w:szCs w:val="22"/>
        </w:rPr>
      </w:pPr>
      <w:r>
        <w:rPr>
          <w:rFonts w:hint="eastAsia" w:ascii="宋体" w:hAnsi="宋体"/>
          <w:b/>
          <w:bCs/>
          <w:color w:val="000000"/>
          <w:sz w:val="22"/>
          <w:szCs w:val="22"/>
        </w:rPr>
        <w:t>保洁次数：</w:t>
      </w:r>
      <w:r>
        <w:rPr>
          <w:rFonts w:hint="eastAsia" w:ascii="宋体" w:hAnsi="宋体"/>
          <w:color w:val="000000"/>
          <w:sz w:val="22"/>
          <w:szCs w:val="22"/>
        </w:rPr>
        <w:t>日常保洁：每周至少保洁一次；整体保洁：每个月至少二次，整体保洁时需通知水闸及海塘的管理单位进行监督并签字。</w:t>
      </w:r>
    </w:p>
    <w:p>
      <w:pPr>
        <w:spacing w:line="400" w:lineRule="exact"/>
        <w:ind w:firstLine="442" w:firstLineChars="200"/>
        <w:rPr>
          <w:rFonts w:ascii="宋体" w:hAnsi="宋体"/>
          <w:color w:val="000000"/>
          <w:sz w:val="22"/>
          <w:szCs w:val="22"/>
        </w:rPr>
      </w:pPr>
      <w:r>
        <w:rPr>
          <w:rFonts w:hint="eastAsia" w:ascii="宋体" w:hAnsi="宋体"/>
          <w:b/>
          <w:bCs/>
          <w:color w:val="000000"/>
          <w:sz w:val="22"/>
          <w:szCs w:val="22"/>
        </w:rPr>
        <w:t>保洁范围：</w:t>
      </w:r>
      <w:r>
        <w:rPr>
          <w:rFonts w:hint="eastAsia" w:ascii="宋体" w:hAnsi="宋体"/>
          <w:color w:val="000000"/>
          <w:sz w:val="22"/>
          <w:szCs w:val="22"/>
        </w:rPr>
        <w:t>供应商开展对大坝管理线范围（包含但不限于：物业工程管理范围、保护范围内的绿化、交通(防汛)道路、供排水、通讯及照明设施等；工程标牌(包括界桩、界牌、安全警示牌、宣传牌)、观测、监测设施等；管理办公用房、生活用房以及周边环境等）。</w:t>
      </w:r>
    </w:p>
    <w:p>
      <w:pPr>
        <w:spacing w:line="400" w:lineRule="exact"/>
        <w:ind w:firstLine="442" w:firstLineChars="200"/>
        <w:rPr>
          <w:rFonts w:ascii="宋体" w:hAnsi="宋体"/>
          <w:color w:val="000000"/>
          <w:sz w:val="22"/>
          <w:szCs w:val="22"/>
        </w:rPr>
      </w:pPr>
      <w:r>
        <w:rPr>
          <w:rFonts w:hint="eastAsia" w:ascii="宋体" w:hAnsi="宋体"/>
          <w:b/>
          <w:bCs/>
          <w:color w:val="000000"/>
          <w:sz w:val="22"/>
          <w:szCs w:val="22"/>
        </w:rPr>
        <w:t>保洁内容：</w:t>
      </w:r>
      <w:r>
        <w:rPr>
          <w:rFonts w:hint="eastAsia" w:ascii="宋体" w:hAnsi="宋体"/>
          <w:color w:val="000000"/>
          <w:sz w:val="22"/>
          <w:szCs w:val="22"/>
        </w:rPr>
        <w:t>①日常洁需要供应商保持水闸及海塘的表面无堆积物、垃圾、杂草等，工程附属设施、标志标牌、宣传标语等要保持完好；整体保洁包含但不限于：塘身和背水坡表面无堆积物、垃圾、杂草，坝顶淤积物，工程附属设施、标志标牌、宣传标语以及管理线范围其他附属工程，具体详见各工程的管理手册中规定保洁。</w:t>
      </w:r>
    </w:p>
    <w:p>
      <w:pPr>
        <w:spacing w:line="400" w:lineRule="exact"/>
        <w:ind w:firstLine="440" w:firstLineChars="200"/>
        <w:rPr>
          <w:rFonts w:hAnsi="宋体" w:cs="宋体"/>
          <w:kern w:val="0"/>
          <w:sz w:val="22"/>
          <w:szCs w:val="22"/>
        </w:rPr>
      </w:pPr>
      <w:r>
        <w:rPr>
          <w:rFonts w:hint="eastAsia" w:ascii="宋体" w:hAnsi="宋体"/>
          <w:color w:val="000000"/>
          <w:sz w:val="22"/>
          <w:szCs w:val="22"/>
        </w:rPr>
        <w:t>②</w:t>
      </w:r>
      <w:r>
        <w:rPr>
          <w:rFonts w:hint="eastAsia" w:hAnsi="宋体" w:cs="宋体"/>
          <w:kern w:val="0"/>
          <w:sz w:val="22"/>
          <w:szCs w:val="22"/>
        </w:rPr>
        <w:t>如遇省市创建考核、重大活动、节假日和突发公共事件等，作业单位应无条件服从业主单位和监管部门的统一安排和调度，配合做好海塘及水闸突击性保洁工作。</w:t>
      </w:r>
    </w:p>
    <w:p>
      <w:pPr>
        <w:spacing w:line="400" w:lineRule="exact"/>
        <w:ind w:firstLine="440" w:firstLineChars="200"/>
        <w:rPr>
          <w:rFonts w:hAnsi="宋体" w:cs="宋体"/>
          <w:kern w:val="0"/>
          <w:sz w:val="22"/>
          <w:szCs w:val="22"/>
        </w:rPr>
      </w:pPr>
      <w:r>
        <w:rPr>
          <w:rFonts w:hint="eastAsia" w:ascii="宋体" w:hAnsi="宋体"/>
          <w:color w:val="000000"/>
          <w:sz w:val="22"/>
          <w:szCs w:val="22"/>
        </w:rPr>
        <w:t>③</w:t>
      </w:r>
      <w:r>
        <w:rPr>
          <w:rFonts w:hint="eastAsia" w:hAnsi="宋体" w:cs="宋体"/>
          <w:kern w:val="0"/>
          <w:sz w:val="22"/>
          <w:szCs w:val="22"/>
        </w:rPr>
        <w:t>如发生新闻媒体曝光、群众举报沿岸保洁不到位情况属实的，应服从业主安排立即给予整改清理。整改不到位的，采购人有权请第三方单位进行保洁，保洁费用从合同资金中扣除。</w:t>
      </w:r>
    </w:p>
    <w:p>
      <w:pPr>
        <w:widowControl/>
        <w:tabs>
          <w:tab w:val="left" w:pos="540"/>
        </w:tabs>
        <w:autoSpaceDE w:val="0"/>
        <w:autoSpaceDN w:val="0"/>
        <w:adjustRightInd w:val="0"/>
        <w:snapToGrid w:val="0"/>
        <w:spacing w:line="400" w:lineRule="exact"/>
        <w:ind w:firstLine="440" w:firstLineChars="200"/>
        <w:textAlignment w:val="bottom"/>
        <w:rPr>
          <w:rFonts w:ascii="宋体" w:hAnsi="宋体"/>
          <w:b/>
          <w:color w:val="000000"/>
          <w:sz w:val="22"/>
          <w:szCs w:val="22"/>
        </w:rPr>
      </w:pPr>
      <w:r>
        <w:rPr>
          <w:rFonts w:hint="eastAsia" w:ascii="宋体" w:hAnsi="宋体"/>
          <w:color w:val="000000"/>
          <w:sz w:val="22"/>
          <w:szCs w:val="22"/>
        </w:rPr>
        <w:t>④</w:t>
      </w:r>
      <w:r>
        <w:rPr>
          <w:rFonts w:hint="eastAsia" w:hAnsi="宋体" w:cs="宋体"/>
          <w:kern w:val="0"/>
          <w:sz w:val="22"/>
          <w:szCs w:val="22"/>
        </w:rPr>
        <w:t>主管部门不定期进行抽查，抽查时，供应商需进行临时保洁，费用包含本次投标中，不另行计算。</w:t>
      </w:r>
    </w:p>
    <w:p>
      <w:pPr>
        <w:pStyle w:val="24"/>
        <w:adjustRightInd w:val="0"/>
        <w:snapToGrid w:val="0"/>
        <w:spacing w:line="440" w:lineRule="exact"/>
        <w:ind w:firstLine="442" w:firstLineChars="200"/>
        <w:rPr>
          <w:rFonts w:hAnsi="宋体" w:cs="宋体"/>
          <w:b/>
          <w:bCs/>
          <w:kern w:val="0"/>
          <w:sz w:val="22"/>
          <w:szCs w:val="22"/>
        </w:rPr>
      </w:pPr>
      <w:r>
        <w:rPr>
          <w:rFonts w:hint="eastAsia" w:hAnsi="宋体" w:cs="宋体"/>
          <w:b/>
          <w:bCs/>
          <w:kern w:val="0"/>
          <w:sz w:val="22"/>
          <w:szCs w:val="22"/>
        </w:rPr>
        <w:t>（七）水闸管理：</w:t>
      </w:r>
      <w:r>
        <w:rPr>
          <w:rFonts w:hint="eastAsia" w:hAnsi="宋体" w:cs="宋体"/>
          <w:kern w:val="0"/>
          <w:sz w:val="22"/>
          <w:szCs w:val="22"/>
        </w:rPr>
        <w:t>控制运行、工程检查、维修养护、防汛值班、安全管理、档案管理、资料整编、大事记、学习培训、信息化管理等，具体详见各工程的管理手册</w:t>
      </w:r>
      <w:r>
        <w:rPr>
          <w:rFonts w:hint="eastAsia" w:hAnsi="宋体" w:cs="宋体"/>
          <w:b/>
          <w:bCs/>
          <w:kern w:val="0"/>
          <w:sz w:val="22"/>
          <w:szCs w:val="22"/>
        </w:rPr>
        <w:t>。</w:t>
      </w:r>
    </w:p>
    <w:p>
      <w:pPr>
        <w:pStyle w:val="24"/>
        <w:adjustRightInd w:val="0"/>
        <w:snapToGrid w:val="0"/>
        <w:spacing w:line="440" w:lineRule="exact"/>
        <w:ind w:firstLine="440" w:firstLineChars="200"/>
        <w:rPr>
          <w:rFonts w:hAnsi="宋体" w:cs="宋体"/>
          <w:b/>
          <w:bCs/>
          <w:kern w:val="0"/>
          <w:sz w:val="22"/>
          <w:szCs w:val="22"/>
        </w:rPr>
      </w:pPr>
      <w:r>
        <w:rPr>
          <w:rFonts w:hint="eastAsia" w:hAnsi="宋体" w:cs="宋体"/>
          <w:kern w:val="0"/>
          <w:sz w:val="22"/>
          <w:szCs w:val="22"/>
        </w:rPr>
        <w:t>海塘管理：工程检查、蓄放水管理、维修养护、档案管理、信息化管理等，具体详见各工程的管理手册</w:t>
      </w:r>
      <w:r>
        <w:rPr>
          <w:rFonts w:hint="eastAsia" w:hAnsi="宋体" w:cs="宋体"/>
          <w:b/>
          <w:bCs/>
          <w:kern w:val="0"/>
          <w:sz w:val="22"/>
          <w:szCs w:val="22"/>
        </w:rPr>
        <w:t>。</w:t>
      </w:r>
    </w:p>
    <w:p>
      <w:pPr>
        <w:pStyle w:val="24"/>
        <w:adjustRightInd w:val="0"/>
        <w:snapToGrid w:val="0"/>
        <w:spacing w:line="440" w:lineRule="exact"/>
        <w:ind w:firstLine="442" w:firstLineChars="200"/>
        <w:rPr>
          <w:rFonts w:hAnsi="宋体" w:cs="宋体"/>
          <w:b/>
          <w:kern w:val="0"/>
          <w:sz w:val="22"/>
          <w:szCs w:val="22"/>
        </w:rPr>
      </w:pPr>
      <w:r>
        <w:rPr>
          <w:rFonts w:hint="eastAsia" w:hAnsi="宋体" w:cs="宋体"/>
          <w:b/>
          <w:kern w:val="0"/>
          <w:sz w:val="22"/>
          <w:szCs w:val="22"/>
        </w:rPr>
        <w:t>（八）运行管理平台要求：</w:t>
      </w:r>
    </w:p>
    <w:p>
      <w:pPr>
        <w:pStyle w:val="24"/>
        <w:adjustRightInd w:val="0"/>
        <w:snapToGrid w:val="0"/>
        <w:spacing w:line="440" w:lineRule="exact"/>
        <w:ind w:firstLine="440" w:firstLineChars="200"/>
        <w:rPr>
          <w:rFonts w:hAnsi="宋体" w:cs="宋体"/>
          <w:kern w:val="0"/>
          <w:sz w:val="22"/>
          <w:szCs w:val="22"/>
        </w:rPr>
      </w:pPr>
      <w:r>
        <w:rPr>
          <w:rFonts w:hint="eastAsia" w:hAnsi="宋体" w:cs="宋体"/>
          <w:kern w:val="0"/>
          <w:sz w:val="22"/>
          <w:szCs w:val="22"/>
        </w:rPr>
        <w:t>供应商应对海塘及水闸进行管理，紧密围绕浙江省水利工程标准化管理要求及本项目业务管理需求，采用信息化技术，构建先进实用的运行管理平台，提升海塘及水闸的专业化、精细化和标准化管理水平，保障本项目安全运行并充分发挥其工程效益，提高本项目管理效能和水利公共服务能力，促进苍南水利现代化建设迈上新台阶。</w:t>
      </w:r>
    </w:p>
    <w:p>
      <w:pPr>
        <w:widowControl/>
        <w:tabs>
          <w:tab w:val="left" w:pos="540"/>
        </w:tabs>
        <w:autoSpaceDE w:val="0"/>
        <w:autoSpaceDN w:val="0"/>
        <w:adjustRightInd w:val="0"/>
        <w:snapToGrid w:val="0"/>
        <w:spacing w:line="400" w:lineRule="exact"/>
        <w:ind w:firstLine="440" w:firstLineChars="200"/>
        <w:textAlignment w:val="bottom"/>
        <w:rPr>
          <w:rFonts w:hAnsi="宋体" w:cs="宋体"/>
          <w:kern w:val="0"/>
          <w:sz w:val="22"/>
          <w:szCs w:val="22"/>
        </w:rPr>
      </w:pPr>
      <w:r>
        <w:rPr>
          <w:rFonts w:hint="eastAsia" w:hAnsi="宋体" w:cs="宋体"/>
          <w:kern w:val="0"/>
          <w:sz w:val="22"/>
          <w:szCs w:val="22"/>
        </w:rPr>
        <w:t>运行管理平台手机巡查要求：①运行平台必须保证非汛期每周不少于三次，汛期每天不少于一次；具体按运行平台要求次数进行巡查。②轨迹记录：巡查员开启巡查按钮后，开始GPS定位，定位成功后将当前地理坐标数据发送至系统服务器数据库。③隐患上传：巡查员、管护人员在工作中碰到问题时可通过文字、拍照、视频等方式将现场情况发送至服务端，管理人员对发现的隐患进一步识别、分类后，给出处理意见或上报相关责任部门进行隐患排除。④维修养护：养护人员在进行养护工作时，可通过拍照和文字描述的方式记录养护前工程面貌和养护后工程面貌，从而描述养护工作的落实情况。⑤蓄放水管理：蓄放水时通过巡查管护软件可进行蓄放水开始时间、结束时间等信息的记录和上传，并可上传蓄放水时的照片。⑥水位上报：针对设有建设水位监测设施的水利工程，管理人员可以通过移动端上报水位信息。</w:t>
      </w:r>
    </w:p>
    <w:p>
      <w:pPr>
        <w:widowControl/>
        <w:tabs>
          <w:tab w:val="left" w:pos="540"/>
        </w:tabs>
        <w:autoSpaceDE w:val="0"/>
        <w:autoSpaceDN w:val="0"/>
        <w:adjustRightInd w:val="0"/>
        <w:snapToGrid w:val="0"/>
        <w:spacing w:line="400" w:lineRule="exact"/>
        <w:ind w:firstLine="440" w:firstLineChars="200"/>
        <w:textAlignment w:val="bottom"/>
        <w:rPr>
          <w:rFonts w:hAnsi="宋体" w:cs="宋体"/>
          <w:kern w:val="0"/>
          <w:sz w:val="22"/>
          <w:szCs w:val="22"/>
        </w:rPr>
      </w:pPr>
      <w:r>
        <w:rPr>
          <w:rFonts w:hint="eastAsia" w:hAnsi="宋体" w:cs="宋体"/>
          <w:kern w:val="0"/>
          <w:sz w:val="22"/>
          <w:szCs w:val="22"/>
        </w:rPr>
        <w:t>运行管理包括注册登记、安全鉴定、除险加固、控运计划、调度资料、蓄放水管理。应急管理包括应急预案管理、防汛物资管理、险情上报。实现与省厅统一开发的省市县三级监管平台的互连互通，根据省厅要求，向监管平台报送相应的数据。具体参照龙港市运行管理平台要求进行管理。</w:t>
      </w:r>
    </w:p>
    <w:p>
      <w:pPr>
        <w:widowControl/>
        <w:tabs>
          <w:tab w:val="left" w:pos="540"/>
        </w:tabs>
        <w:autoSpaceDE w:val="0"/>
        <w:autoSpaceDN w:val="0"/>
        <w:adjustRightInd w:val="0"/>
        <w:snapToGrid w:val="0"/>
        <w:spacing w:line="400" w:lineRule="exact"/>
        <w:ind w:firstLine="442" w:firstLineChars="200"/>
        <w:textAlignment w:val="bottom"/>
        <w:rPr>
          <w:rFonts w:hAnsi="宋体" w:cs="宋体"/>
          <w:b/>
          <w:kern w:val="0"/>
          <w:sz w:val="22"/>
          <w:szCs w:val="22"/>
        </w:rPr>
      </w:pPr>
      <w:r>
        <w:rPr>
          <w:rFonts w:hint="eastAsia" w:hAnsi="宋体" w:cs="宋体"/>
          <w:b/>
          <w:kern w:val="0"/>
          <w:sz w:val="22"/>
          <w:szCs w:val="22"/>
        </w:rPr>
        <w:t>（九）其他事项要求</w:t>
      </w:r>
    </w:p>
    <w:p>
      <w:pPr>
        <w:spacing w:line="400" w:lineRule="exact"/>
        <w:ind w:firstLine="440" w:firstLineChars="200"/>
        <w:rPr>
          <w:sz w:val="22"/>
          <w:szCs w:val="22"/>
        </w:rPr>
      </w:pPr>
      <w:r>
        <w:rPr>
          <w:rFonts w:hint="eastAsia"/>
          <w:sz w:val="22"/>
          <w:szCs w:val="22"/>
        </w:rPr>
        <w:t>（1）供应商的相关人员在承包期内，未经采购单位的同意，不得变换相关人员，如若不能兑现，视同违约处理。</w:t>
      </w:r>
    </w:p>
    <w:p>
      <w:pPr>
        <w:spacing w:line="400" w:lineRule="exact"/>
        <w:ind w:firstLine="440" w:firstLineChars="200"/>
        <w:rPr>
          <w:sz w:val="22"/>
          <w:szCs w:val="22"/>
        </w:rPr>
      </w:pPr>
      <w:r>
        <w:rPr>
          <w:rFonts w:hint="eastAsia"/>
          <w:sz w:val="22"/>
          <w:szCs w:val="22"/>
        </w:rPr>
        <w:t xml:space="preserve">（2）员工劳动保障 </w:t>
      </w:r>
    </w:p>
    <w:p>
      <w:pPr>
        <w:spacing w:line="400" w:lineRule="exact"/>
        <w:ind w:firstLine="440" w:firstLineChars="200"/>
        <w:rPr>
          <w:sz w:val="22"/>
          <w:szCs w:val="22"/>
        </w:rPr>
      </w:pPr>
      <w:r>
        <w:rPr>
          <w:rFonts w:hint="eastAsia"/>
          <w:sz w:val="22"/>
          <w:szCs w:val="22"/>
        </w:rPr>
        <w:t>（a）必须与员工签订书面劳动合同，招收人员在主管部门备案，人员工资至少为注册地标准工资及以上。（b）享受按国家有关规定的员工社会保险、人生意外险等险种。（c）执行《劳动法》、《劳动合同法》有关员工保障的其他规定，由劳动部门查实的，根据查实情况处罚。（d）用工年龄按照国家劳动法律法规相关规定执行。（e）承诺投入本项目的人员社会保险和工资册，采购单位随时进行核实。</w:t>
      </w:r>
    </w:p>
    <w:p>
      <w:pPr>
        <w:spacing w:line="400" w:lineRule="exact"/>
        <w:ind w:firstLine="440" w:firstLineChars="200"/>
        <w:rPr>
          <w:sz w:val="22"/>
          <w:szCs w:val="22"/>
        </w:rPr>
      </w:pPr>
      <w:r>
        <w:rPr>
          <w:rFonts w:hint="eastAsia"/>
          <w:sz w:val="22"/>
          <w:szCs w:val="22"/>
        </w:rPr>
        <w:t>（3）测量项目必须根据</w:t>
      </w:r>
      <w:r>
        <w:rPr>
          <w:rFonts w:hint="eastAsia"/>
        </w:rPr>
        <w:t>测量规范进行测量。</w:t>
      </w:r>
    </w:p>
    <w:p>
      <w:pPr>
        <w:spacing w:line="400" w:lineRule="exact"/>
        <w:ind w:firstLine="442" w:firstLineChars="200"/>
        <w:rPr>
          <w:b/>
          <w:sz w:val="22"/>
          <w:szCs w:val="22"/>
        </w:rPr>
      </w:pPr>
      <w:r>
        <w:rPr>
          <w:rFonts w:hint="eastAsia"/>
          <w:b/>
          <w:sz w:val="22"/>
          <w:szCs w:val="22"/>
        </w:rPr>
        <w:t>（十）水闸及海塘的相关考核表格</w:t>
      </w:r>
    </w:p>
    <w:p>
      <w:pPr>
        <w:spacing w:line="400" w:lineRule="exact"/>
        <w:ind w:firstLine="440" w:firstLineChars="200"/>
        <w:rPr>
          <w:sz w:val="22"/>
          <w:szCs w:val="22"/>
        </w:rPr>
      </w:pPr>
      <w:r>
        <w:rPr>
          <w:rFonts w:hint="eastAsia"/>
          <w:sz w:val="22"/>
          <w:szCs w:val="22"/>
        </w:rPr>
        <w:t>▲招标文件总体要求和本条款统一使用，如遇浙江省水利厅发布的最新有关物业化管理相关内容，按浙江省水利厅最新的规章制度进行物业化管理。</w:t>
      </w:r>
    </w:p>
    <w:p>
      <w:pPr>
        <w:autoSpaceDE w:val="0"/>
        <w:autoSpaceDN w:val="0"/>
        <w:adjustRightInd w:val="0"/>
        <w:spacing w:line="440" w:lineRule="atLeast"/>
        <w:rPr>
          <w:rFonts w:ascii="宋体" w:hAnsi="宋体"/>
          <w:b/>
          <w:color w:val="000000"/>
          <w:sz w:val="22"/>
          <w:szCs w:val="22"/>
        </w:rPr>
      </w:pPr>
      <w:r>
        <w:rPr>
          <w:rFonts w:hint="eastAsia" w:ascii="Arial" w:hAnsi="新宋体" w:eastAsia="新宋体" w:cs="Arial"/>
          <w:b/>
          <w:sz w:val="22"/>
          <w:szCs w:val="22"/>
        </w:rPr>
        <w:t>三、商</w:t>
      </w:r>
      <w:r>
        <w:rPr>
          <w:rFonts w:hint="eastAsia" w:ascii="宋体" w:hAnsi="宋体"/>
          <w:b/>
          <w:color w:val="000000"/>
          <w:sz w:val="22"/>
          <w:szCs w:val="22"/>
        </w:rPr>
        <w:t>务条款：</w:t>
      </w:r>
    </w:p>
    <w:p>
      <w:pPr>
        <w:spacing w:line="400" w:lineRule="exact"/>
        <w:ind w:firstLine="442" w:firstLineChars="200"/>
        <w:rPr>
          <w:rFonts w:ascii="宋体" w:hAnsi="宋体"/>
          <w:b/>
          <w:color w:val="000000"/>
          <w:sz w:val="22"/>
          <w:szCs w:val="22"/>
        </w:rPr>
      </w:pPr>
      <w:r>
        <w:rPr>
          <w:rFonts w:hint="eastAsia" w:ascii="Arial" w:hAnsi="新宋体" w:eastAsia="新宋体" w:cs="Arial"/>
          <w:b/>
          <w:sz w:val="22"/>
          <w:szCs w:val="22"/>
        </w:rPr>
        <w:t>1、服务期：12个月。</w:t>
      </w:r>
    </w:p>
    <w:p>
      <w:pPr>
        <w:spacing w:line="400" w:lineRule="exact"/>
        <w:ind w:firstLine="442" w:firstLineChars="200"/>
        <w:rPr>
          <w:rFonts w:ascii="宋体" w:hAnsi="宋体"/>
          <w:b/>
          <w:color w:val="000000"/>
          <w:sz w:val="22"/>
          <w:szCs w:val="22"/>
        </w:rPr>
      </w:pPr>
      <w:r>
        <w:rPr>
          <w:rFonts w:hint="eastAsia" w:ascii="Arial" w:hAnsi="新宋体" w:eastAsia="新宋体" w:cs="Arial"/>
          <w:b/>
          <w:sz w:val="22"/>
          <w:szCs w:val="22"/>
        </w:rPr>
        <w:t>2、投标报价：</w:t>
      </w:r>
      <w:r>
        <w:rPr>
          <w:rFonts w:hint="eastAsia" w:ascii="宋体" w:hAnsi="宋体"/>
          <w:b/>
          <w:color w:val="000000"/>
          <w:sz w:val="22"/>
          <w:szCs w:val="22"/>
        </w:rPr>
        <w:t>合同价格包括在承包区域内提供水闸及海塘物业化管理所需的人工费、设施维修费、福利、劳保用品、工作服装、保洁工具费及其维修、迎检加班和突发处置费用等作业成本以及适当的管理费用、利润、风险（有关工伤人身意外保险、第三者责任险、处理一切伤亡事故等费用）、招标代理费等其他一切费用。</w:t>
      </w:r>
    </w:p>
    <w:p>
      <w:pPr>
        <w:spacing w:line="400" w:lineRule="exact"/>
        <w:ind w:firstLine="440" w:firstLineChars="200"/>
        <w:rPr>
          <w:rFonts w:ascii="Arial" w:hAnsi="新宋体" w:eastAsia="新宋体" w:cs="Arial"/>
          <w:b/>
          <w:sz w:val="22"/>
          <w:szCs w:val="22"/>
        </w:rPr>
      </w:pPr>
      <w:r>
        <w:rPr>
          <w:rFonts w:hint="eastAsia"/>
          <w:sz w:val="22"/>
          <w:szCs w:val="22"/>
        </w:rPr>
        <w:t>▲</w:t>
      </w:r>
      <w:r>
        <w:rPr>
          <w:rFonts w:hint="eastAsia" w:ascii="宋体" w:hAnsi="宋体"/>
          <w:b/>
          <w:color w:val="000000"/>
          <w:sz w:val="22"/>
          <w:szCs w:val="22"/>
        </w:rPr>
        <w:t>3、本工程维修养护按季度实际维修量及单价计算支出，供应商不得进行优惠或提高报价。</w:t>
      </w:r>
    </w:p>
    <w:p>
      <w:pPr>
        <w:spacing w:line="400" w:lineRule="exact"/>
        <w:ind w:firstLine="442" w:firstLineChars="200"/>
        <w:rPr>
          <w:rFonts w:ascii="Arial" w:hAnsi="新宋体" w:eastAsia="新宋体" w:cs="Arial"/>
          <w:b/>
          <w:sz w:val="22"/>
          <w:szCs w:val="22"/>
        </w:rPr>
      </w:pPr>
      <w:r>
        <w:rPr>
          <w:rFonts w:hint="eastAsia" w:ascii="Arial" w:hAnsi="新宋体" w:eastAsia="新宋体" w:cs="Arial"/>
          <w:b/>
          <w:sz w:val="22"/>
          <w:szCs w:val="22"/>
        </w:rPr>
        <w:t>4、</w:t>
      </w:r>
      <w:bookmarkStart w:id="24" w:name="OLE_LINK8"/>
      <w:r>
        <w:rPr>
          <w:rFonts w:ascii="Arial" w:hAnsi="新宋体" w:eastAsia="新宋体" w:cs="Arial"/>
          <w:b/>
          <w:sz w:val="22"/>
          <w:szCs w:val="22"/>
        </w:rPr>
        <w:t>在合同签订前</w:t>
      </w:r>
      <w:r>
        <w:rPr>
          <w:rFonts w:hint="eastAsia" w:ascii="Arial" w:hAnsi="新宋体" w:eastAsia="新宋体" w:cs="Arial"/>
          <w:b/>
          <w:sz w:val="22"/>
          <w:szCs w:val="22"/>
        </w:rPr>
        <w:t>供应商</w:t>
      </w:r>
      <w:r>
        <w:rPr>
          <w:rFonts w:ascii="Arial" w:hAnsi="新宋体" w:eastAsia="新宋体" w:cs="Arial"/>
          <w:b/>
          <w:sz w:val="22"/>
          <w:szCs w:val="22"/>
        </w:rPr>
        <w:t>提供合同总金额</w:t>
      </w:r>
      <w:r>
        <w:rPr>
          <w:rFonts w:hint="eastAsia" w:ascii="Arial" w:hAnsi="Arial" w:eastAsia="新宋体" w:cs="Arial"/>
          <w:b/>
          <w:sz w:val="22"/>
          <w:szCs w:val="22"/>
        </w:rPr>
        <w:t>2</w:t>
      </w:r>
      <w:r>
        <w:rPr>
          <w:rFonts w:ascii="Arial" w:hAnsi="Arial" w:eastAsia="新宋体" w:cs="Arial"/>
          <w:b/>
          <w:sz w:val="22"/>
          <w:szCs w:val="22"/>
        </w:rPr>
        <w:t>%</w:t>
      </w:r>
      <w:r>
        <w:rPr>
          <w:rFonts w:ascii="Arial" w:hAnsi="新宋体" w:eastAsia="新宋体" w:cs="Arial"/>
          <w:b/>
          <w:sz w:val="22"/>
          <w:szCs w:val="22"/>
        </w:rPr>
        <w:t>的履约保证金，如</w:t>
      </w:r>
      <w:r>
        <w:rPr>
          <w:rFonts w:hint="eastAsia" w:ascii="Arial" w:hAnsi="新宋体" w:eastAsia="新宋体" w:cs="Arial"/>
          <w:b/>
          <w:sz w:val="22"/>
          <w:szCs w:val="22"/>
        </w:rPr>
        <w:t>供应商</w:t>
      </w:r>
      <w:r>
        <w:rPr>
          <w:rFonts w:ascii="Arial" w:hAnsi="新宋体" w:eastAsia="新宋体" w:cs="Arial"/>
          <w:b/>
          <w:sz w:val="22"/>
          <w:szCs w:val="22"/>
        </w:rPr>
        <w:t>在签约前未在规定的时间内提交履约保证金则</w:t>
      </w:r>
      <w:r>
        <w:rPr>
          <w:rFonts w:hint="eastAsia" w:ascii="Arial" w:hAnsi="新宋体" w:eastAsia="新宋体" w:cs="Arial"/>
          <w:b/>
          <w:sz w:val="22"/>
          <w:szCs w:val="22"/>
        </w:rPr>
        <w:t>采购人</w:t>
      </w:r>
      <w:r>
        <w:rPr>
          <w:rFonts w:ascii="Arial" w:hAnsi="新宋体" w:eastAsia="新宋体" w:cs="Arial"/>
          <w:b/>
          <w:sz w:val="22"/>
          <w:szCs w:val="22"/>
        </w:rPr>
        <w:t>有权拒签合同；</w:t>
      </w:r>
      <w:r>
        <w:rPr>
          <w:rFonts w:hint="eastAsia" w:ascii="Arial" w:hAnsi="新宋体" w:eastAsia="新宋体" w:cs="Arial"/>
          <w:b/>
          <w:sz w:val="22"/>
          <w:szCs w:val="22"/>
        </w:rPr>
        <w:t>合同签订后七个工作日内，采购人向中标供应商支付合同金额（维修养护金除外）10%的预付款；</w:t>
      </w:r>
    </w:p>
    <w:p>
      <w:pPr>
        <w:spacing w:line="400" w:lineRule="exact"/>
        <w:ind w:firstLine="442" w:firstLineChars="200"/>
        <w:rPr>
          <w:rFonts w:ascii="Arial" w:hAnsi="新宋体" w:eastAsia="新宋体" w:cs="Arial"/>
          <w:b/>
          <w:sz w:val="22"/>
          <w:szCs w:val="22"/>
        </w:rPr>
      </w:pPr>
      <w:r>
        <w:rPr>
          <w:rFonts w:hint="eastAsia" w:ascii="Arial" w:hAnsi="新宋体" w:eastAsia="新宋体" w:cs="Arial"/>
          <w:b/>
          <w:sz w:val="22"/>
          <w:szCs w:val="22"/>
        </w:rPr>
        <w:t>1、</w:t>
      </w:r>
      <w:r>
        <w:rPr>
          <w:rFonts w:hint="eastAsia" w:ascii="新宋体" w:hAnsi="新宋体" w:eastAsia="新宋体"/>
          <w:b/>
          <w:sz w:val="22"/>
        </w:rPr>
        <w:t>合同签订后，中标供应商每3个月完成的物业化管理和海塘保洁后，采购单位根据实际情况及考核结果核实后结算（除投标分项报价表的第四项“维修养护”金额外：该项按季度实际考核计算金额支付）季度合同款支付给中标供应商，承包期满经采购单位验收考核合格，无息退还履约保证金。</w:t>
      </w:r>
    </w:p>
    <w:p>
      <w:pPr>
        <w:spacing w:line="400" w:lineRule="exact"/>
        <w:ind w:firstLine="442" w:firstLineChars="200"/>
        <w:rPr>
          <w:rFonts w:ascii="新宋体" w:hAnsi="新宋体" w:eastAsia="新宋体"/>
          <w:b/>
          <w:sz w:val="22"/>
        </w:rPr>
      </w:pPr>
      <w:r>
        <w:rPr>
          <w:rFonts w:hint="eastAsia" w:ascii="新宋体" w:hAnsi="新宋体" w:eastAsia="新宋体"/>
          <w:b/>
          <w:sz w:val="22"/>
        </w:rPr>
        <w:t>2、本工程所需维修养护的实际内容（如标识牌等），</w:t>
      </w:r>
      <w:r>
        <w:rPr>
          <w:rFonts w:hint="eastAsia" w:ascii="新宋体" w:hAnsi="新宋体" w:eastAsia="新宋体"/>
          <w:b/>
          <w:sz w:val="22"/>
          <w:szCs w:val="22"/>
        </w:rPr>
        <w:t>待中标供应商完成清单</w:t>
      </w:r>
      <w:r>
        <w:rPr>
          <w:rFonts w:hint="eastAsia" w:ascii="新宋体" w:hAnsi="新宋体" w:eastAsia="新宋体"/>
          <w:b/>
          <w:sz w:val="22"/>
        </w:rPr>
        <w:t>规定内容并通过采购人审核验收后，一次性支付该项内容的款项。</w:t>
      </w:r>
    </w:p>
    <w:p>
      <w:pPr>
        <w:spacing w:line="400" w:lineRule="exact"/>
        <w:ind w:firstLine="442" w:firstLineChars="200"/>
        <w:rPr>
          <w:rFonts w:ascii="新宋体" w:hAnsi="新宋体" w:eastAsia="新宋体"/>
          <w:b/>
          <w:sz w:val="22"/>
        </w:rPr>
      </w:pPr>
      <w:r>
        <w:rPr>
          <w:rFonts w:hint="eastAsia" w:ascii="新宋体" w:hAnsi="新宋体" w:eastAsia="新宋体"/>
          <w:b/>
          <w:sz w:val="22"/>
        </w:rPr>
        <w:t>3、本工程所需维修养护的内容（维修养护金额：300000元）含水闸（</w:t>
      </w:r>
      <w:r>
        <w:rPr>
          <w:rFonts w:hint="eastAsia" w:ascii="新宋体" w:hAnsi="新宋体" w:eastAsia="新宋体"/>
          <w:b/>
          <w:sz w:val="22"/>
          <w:szCs w:val="22"/>
        </w:rPr>
        <w:t>新兰水闸、湖前水闸、平安水闸、新美洲水闸、龙江水闸</w:t>
      </w:r>
      <w:r>
        <w:rPr>
          <w:rFonts w:hint="eastAsia" w:ascii="新宋体" w:hAnsi="新宋体" w:eastAsia="新宋体"/>
          <w:b/>
          <w:sz w:val="22"/>
        </w:rPr>
        <w:t>）及20.5km海塘维保（其中含19.4km海塘保洁）：供应商应书面形式将需要维修的项目（包括书面报告、事前图片等材料）报告给采购人，经采购人确认后，方可进行维修养护，维修完成后需提供事前事后图片、工程量清单、验收证明（需采购人组织验收小组进行验收，验收时间由验收组制定好时间通知供应商进行验收）等证明材料报采购人进行审价，审价后支付维修养护款项。供应商进行实际维修时应留意本项目的维修资金，如超过本金额，采购单位不另行支付。</w:t>
      </w:r>
    </w:p>
    <w:bookmarkEnd w:id="24"/>
    <w:p>
      <w:pPr>
        <w:spacing w:line="400" w:lineRule="exact"/>
        <w:rPr>
          <w:rFonts w:ascii="宋体" w:hAnsi="宋体"/>
          <w:b/>
          <w:color w:val="000000"/>
          <w:sz w:val="22"/>
          <w:szCs w:val="22"/>
        </w:rPr>
      </w:pPr>
      <w:r>
        <w:rPr>
          <w:rFonts w:hint="eastAsia" w:ascii="宋体" w:hAnsi="宋体"/>
          <w:b/>
          <w:color w:val="000000"/>
          <w:sz w:val="22"/>
          <w:szCs w:val="22"/>
        </w:rPr>
        <w:t>四、考核制度（详见附件）</w:t>
      </w:r>
    </w:p>
    <w:p>
      <w:pPr>
        <w:spacing w:line="400" w:lineRule="exact"/>
        <w:ind w:firstLine="442" w:firstLineChars="200"/>
        <w:rPr>
          <w:rFonts w:ascii="宋体" w:hAnsi="宋体" w:cs="Arial"/>
          <w:b/>
          <w:bCs/>
          <w:color w:val="000000"/>
          <w:sz w:val="22"/>
          <w:szCs w:val="22"/>
        </w:rPr>
      </w:pPr>
      <w:bookmarkStart w:id="25" w:name="OLE_LINK9"/>
      <w:r>
        <w:rPr>
          <w:rFonts w:hint="eastAsia" w:ascii="宋体" w:hAnsi="宋体" w:cs="Arial"/>
          <w:b/>
          <w:bCs/>
          <w:color w:val="000000"/>
          <w:sz w:val="22"/>
          <w:szCs w:val="22"/>
        </w:rPr>
        <w:t>（1）水闸及海塘：</w:t>
      </w:r>
    </w:p>
    <w:p>
      <w:pPr>
        <w:spacing w:line="400" w:lineRule="exact"/>
        <w:ind w:firstLine="442" w:firstLineChars="200"/>
        <w:rPr>
          <w:rFonts w:ascii="宋体" w:hAnsi="宋体" w:cs="Arial"/>
          <w:b/>
          <w:color w:val="000000"/>
          <w:sz w:val="22"/>
          <w:szCs w:val="22"/>
        </w:rPr>
      </w:pPr>
      <w:r>
        <w:rPr>
          <w:rFonts w:hint="eastAsia" w:ascii="宋体" w:hAnsi="宋体" w:cs="Arial"/>
          <w:b/>
          <w:bCs/>
          <w:color w:val="000000"/>
          <w:sz w:val="22"/>
          <w:szCs w:val="22"/>
        </w:rPr>
        <w:t>中标供应商</w:t>
      </w:r>
      <w:r>
        <w:rPr>
          <w:rFonts w:hint="eastAsia" w:ascii="宋体" w:hAnsi="宋体" w:cs="Arial"/>
          <w:b/>
          <w:color w:val="000000"/>
          <w:sz w:val="22"/>
          <w:szCs w:val="22"/>
        </w:rPr>
        <w:t>必须严格按招标文件要求做好各种工作保洁、维养、报表、记录等，采购人</w:t>
      </w:r>
      <w:bookmarkStart w:id="26" w:name="OLE_LINK6"/>
      <w:r>
        <w:rPr>
          <w:rFonts w:hint="eastAsia" w:ascii="宋体" w:hAnsi="宋体" w:cs="Arial"/>
          <w:b/>
          <w:color w:val="000000"/>
          <w:sz w:val="22"/>
          <w:szCs w:val="22"/>
        </w:rPr>
        <w:t>每季度对供应商</w:t>
      </w:r>
      <w:bookmarkEnd w:id="26"/>
      <w:r>
        <w:rPr>
          <w:rFonts w:hint="eastAsia" w:ascii="宋体" w:hAnsi="宋体" w:cs="Arial"/>
          <w:b/>
          <w:color w:val="000000"/>
          <w:sz w:val="22"/>
          <w:szCs w:val="22"/>
        </w:rPr>
        <w:t>进行1次检查并评分，每季度对供应商考核不包括对供应商突击检查，采购人对供应商考核分必须达到95分（如达不到95分，采购人给供应商15天整改时间，整改后须达到95分）。如考核低于85分的，采购单位有权终止与中标供应商余下合同并</w:t>
      </w:r>
      <w:bookmarkStart w:id="27" w:name="OLE_LINK7"/>
      <w:r>
        <w:rPr>
          <w:rFonts w:hint="eastAsia" w:ascii="宋体" w:hAnsi="宋体" w:cs="Arial"/>
          <w:b/>
          <w:color w:val="000000"/>
          <w:sz w:val="22"/>
          <w:szCs w:val="22"/>
        </w:rPr>
        <w:t>追究中标供应商责任</w:t>
      </w:r>
      <w:bookmarkEnd w:id="27"/>
      <w:r>
        <w:rPr>
          <w:rFonts w:hint="eastAsia" w:ascii="宋体" w:hAnsi="宋体" w:cs="Arial"/>
          <w:b/>
          <w:color w:val="000000"/>
          <w:sz w:val="22"/>
          <w:szCs w:val="22"/>
        </w:rPr>
        <w:t>；如因中标供应商原因，导致工程发生事故，情节严重的采购单位追究中标供应商事故责任并赔偿损失。</w:t>
      </w:r>
      <w:bookmarkEnd w:id="25"/>
      <w:r>
        <w:rPr>
          <w:rFonts w:hint="eastAsia" w:ascii="宋体" w:hAnsi="宋体" w:cs="Arial"/>
          <w:b/>
          <w:color w:val="000000"/>
          <w:sz w:val="22"/>
          <w:szCs w:val="22"/>
        </w:rPr>
        <w:t>考核记录作为支付款项凭证之一。</w:t>
      </w:r>
    </w:p>
    <w:p>
      <w:pPr>
        <w:spacing w:line="400" w:lineRule="exact"/>
        <w:ind w:firstLine="442" w:firstLineChars="200"/>
        <w:rPr>
          <w:rFonts w:ascii="宋体" w:hAnsi="宋体" w:cs="Arial"/>
          <w:b/>
          <w:color w:val="000000"/>
          <w:sz w:val="22"/>
          <w:szCs w:val="22"/>
        </w:rPr>
      </w:pPr>
      <w:r>
        <w:rPr>
          <w:rFonts w:hint="eastAsia" w:ascii="宋体" w:hAnsi="宋体" w:cs="Arial"/>
          <w:b/>
          <w:color w:val="000000"/>
          <w:sz w:val="22"/>
          <w:szCs w:val="22"/>
        </w:rPr>
        <w:t>（2）处罚额度</w:t>
      </w:r>
    </w:p>
    <w:tbl>
      <w:tblPr>
        <w:tblStyle w:val="39"/>
        <w:tblW w:w="9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420"/>
        <w:gridCol w:w="1123"/>
        <w:gridCol w:w="6514"/>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vAlign w:val="center"/>
          </w:tcPr>
          <w:p>
            <w:pPr>
              <w:spacing w:line="400" w:lineRule="exact"/>
              <w:jc w:val="center"/>
              <w:rPr>
                <w:rFonts w:ascii="宋体" w:hAnsi="宋体" w:cs="Arial"/>
                <w:b/>
                <w:color w:val="000000"/>
                <w:sz w:val="22"/>
                <w:szCs w:val="22"/>
              </w:rPr>
            </w:pPr>
            <w:r>
              <w:rPr>
                <w:rFonts w:hint="eastAsia" w:ascii="宋体" w:hAnsi="宋体" w:cs="Arial"/>
                <w:b/>
                <w:color w:val="000000"/>
                <w:sz w:val="22"/>
                <w:szCs w:val="22"/>
              </w:rPr>
              <w:t>序号</w:t>
            </w:r>
          </w:p>
        </w:tc>
        <w:tc>
          <w:tcPr>
            <w:tcW w:w="1543" w:type="dxa"/>
            <w:gridSpan w:val="2"/>
            <w:vAlign w:val="center"/>
          </w:tcPr>
          <w:p>
            <w:pPr>
              <w:spacing w:line="400" w:lineRule="exact"/>
              <w:jc w:val="center"/>
              <w:rPr>
                <w:rFonts w:ascii="宋体" w:hAnsi="宋体" w:cs="Arial"/>
                <w:b/>
                <w:color w:val="000000"/>
                <w:sz w:val="22"/>
                <w:szCs w:val="22"/>
              </w:rPr>
            </w:pPr>
            <w:r>
              <w:rPr>
                <w:rFonts w:hint="eastAsia" w:ascii="宋体" w:hAnsi="宋体" w:cs="Arial"/>
                <w:b/>
                <w:color w:val="000000"/>
                <w:sz w:val="22"/>
                <w:szCs w:val="22"/>
              </w:rPr>
              <w:t>处罚内容</w:t>
            </w:r>
          </w:p>
        </w:tc>
        <w:tc>
          <w:tcPr>
            <w:tcW w:w="6514" w:type="dxa"/>
            <w:vAlign w:val="center"/>
          </w:tcPr>
          <w:p>
            <w:pPr>
              <w:spacing w:line="400" w:lineRule="exact"/>
              <w:ind w:right="8"/>
              <w:jc w:val="center"/>
              <w:rPr>
                <w:rFonts w:ascii="宋体" w:hAnsi="宋体" w:cs="Arial"/>
                <w:b/>
                <w:color w:val="000000"/>
                <w:sz w:val="22"/>
                <w:szCs w:val="22"/>
              </w:rPr>
            </w:pPr>
            <w:r>
              <w:rPr>
                <w:rFonts w:hint="eastAsia" w:ascii="宋体" w:hAnsi="宋体" w:cs="Arial"/>
                <w:b/>
                <w:color w:val="000000"/>
                <w:sz w:val="22"/>
                <w:szCs w:val="22"/>
              </w:rPr>
              <w:t>处罚依据</w:t>
            </w:r>
          </w:p>
        </w:tc>
        <w:tc>
          <w:tcPr>
            <w:tcW w:w="913" w:type="dxa"/>
            <w:vAlign w:val="center"/>
          </w:tcPr>
          <w:p>
            <w:pPr>
              <w:spacing w:line="400" w:lineRule="exact"/>
              <w:jc w:val="center"/>
              <w:rPr>
                <w:rFonts w:ascii="宋体" w:hAnsi="宋体" w:cs="Arial"/>
                <w:b/>
                <w:color w:val="000000"/>
                <w:sz w:val="22"/>
                <w:szCs w:val="22"/>
              </w:rPr>
            </w:pPr>
            <w:r>
              <w:rPr>
                <w:rFonts w:hint="eastAsia" w:ascii="宋体" w:hAnsi="宋体" w:cs="Arial"/>
                <w:b/>
                <w:color w:val="00000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749" w:type="dxa"/>
            <w:vAlign w:val="center"/>
          </w:tcPr>
          <w:p>
            <w:pPr>
              <w:spacing w:line="400" w:lineRule="exact"/>
              <w:jc w:val="center"/>
              <w:rPr>
                <w:rFonts w:ascii="宋体" w:hAnsi="宋体" w:cs="Arial"/>
                <w:bCs/>
                <w:color w:val="000000"/>
                <w:sz w:val="22"/>
                <w:szCs w:val="22"/>
              </w:rPr>
            </w:pPr>
            <w:r>
              <w:rPr>
                <w:rFonts w:hint="eastAsia" w:ascii="宋体" w:hAnsi="宋体" w:cs="Arial"/>
                <w:bCs/>
                <w:color w:val="000000"/>
                <w:sz w:val="22"/>
                <w:szCs w:val="22"/>
              </w:rPr>
              <w:t>1</w:t>
            </w:r>
          </w:p>
        </w:tc>
        <w:tc>
          <w:tcPr>
            <w:tcW w:w="1543" w:type="dxa"/>
            <w:gridSpan w:val="2"/>
            <w:vAlign w:val="center"/>
          </w:tcPr>
          <w:p>
            <w:pPr>
              <w:spacing w:line="400" w:lineRule="exact"/>
              <w:jc w:val="center"/>
              <w:rPr>
                <w:rFonts w:ascii="宋体" w:hAnsi="宋体" w:cs="Arial"/>
                <w:bCs/>
                <w:color w:val="000000"/>
                <w:sz w:val="22"/>
                <w:szCs w:val="22"/>
              </w:rPr>
            </w:pPr>
            <w:r>
              <w:rPr>
                <w:rFonts w:hint="eastAsia" w:ascii="宋体" w:hAnsi="宋体" w:cs="Arial"/>
                <w:bCs/>
                <w:color w:val="000000"/>
                <w:sz w:val="22"/>
                <w:szCs w:val="22"/>
              </w:rPr>
              <w:t>考核制度（合格为95分）</w:t>
            </w:r>
          </w:p>
        </w:tc>
        <w:tc>
          <w:tcPr>
            <w:tcW w:w="6514" w:type="dxa"/>
          </w:tcPr>
          <w:p>
            <w:pPr>
              <w:numPr>
                <w:ilvl w:val="0"/>
                <w:numId w:val="7"/>
              </w:numPr>
              <w:spacing w:line="400" w:lineRule="exact"/>
              <w:ind w:right="8"/>
              <w:rPr>
                <w:rFonts w:ascii="宋体" w:hAnsi="宋体" w:cs="Arial"/>
                <w:bCs/>
                <w:color w:val="000000"/>
                <w:sz w:val="22"/>
                <w:szCs w:val="22"/>
              </w:rPr>
            </w:pPr>
            <w:r>
              <w:rPr>
                <w:rFonts w:hint="eastAsia" w:ascii="宋体" w:hAnsi="宋体" w:cs="Arial"/>
                <w:bCs/>
                <w:color w:val="000000"/>
                <w:sz w:val="22"/>
                <w:szCs w:val="22"/>
              </w:rPr>
              <w:t>每季度初次分数合格95分的，每低1分扣5000元（从当季支付金额中扣除）；</w:t>
            </w:r>
          </w:p>
          <w:p>
            <w:pPr>
              <w:numPr>
                <w:ilvl w:val="0"/>
                <w:numId w:val="7"/>
              </w:numPr>
              <w:spacing w:line="400" w:lineRule="exact"/>
              <w:ind w:right="8"/>
              <w:rPr>
                <w:rFonts w:ascii="宋体" w:hAnsi="宋体" w:cs="Arial"/>
                <w:bCs/>
                <w:color w:val="000000"/>
                <w:sz w:val="22"/>
                <w:szCs w:val="22"/>
              </w:rPr>
            </w:pPr>
            <w:r>
              <w:rPr>
                <w:rFonts w:hint="eastAsia" w:ascii="宋体" w:hAnsi="宋体" w:cs="Arial"/>
                <w:bCs/>
                <w:color w:val="000000"/>
                <w:sz w:val="22"/>
                <w:szCs w:val="22"/>
              </w:rPr>
              <w:t>每季度初次分数小于85分，扣当季支付金额50%（从当季支付金额中扣除）；</w:t>
            </w:r>
          </w:p>
        </w:tc>
        <w:tc>
          <w:tcPr>
            <w:tcW w:w="913" w:type="dxa"/>
          </w:tcPr>
          <w:p>
            <w:pPr>
              <w:spacing w:line="400" w:lineRule="exact"/>
              <w:rPr>
                <w:rFonts w:ascii="宋体" w:hAnsi="宋体" w:cs="Arial"/>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vAlign w:val="center"/>
          </w:tcPr>
          <w:p>
            <w:pPr>
              <w:spacing w:line="400" w:lineRule="exact"/>
              <w:jc w:val="center"/>
              <w:rPr>
                <w:rFonts w:ascii="宋体" w:hAnsi="宋体" w:cs="Arial"/>
                <w:bCs/>
                <w:color w:val="000000"/>
                <w:sz w:val="22"/>
                <w:szCs w:val="22"/>
              </w:rPr>
            </w:pPr>
            <w:r>
              <w:rPr>
                <w:rFonts w:hint="eastAsia" w:ascii="宋体" w:hAnsi="宋体" w:cs="Arial"/>
                <w:bCs/>
                <w:color w:val="000000"/>
                <w:sz w:val="22"/>
                <w:szCs w:val="22"/>
              </w:rPr>
              <w:t>2</w:t>
            </w:r>
          </w:p>
        </w:tc>
        <w:tc>
          <w:tcPr>
            <w:tcW w:w="420" w:type="dxa"/>
            <w:vMerge w:val="restart"/>
            <w:vAlign w:val="center"/>
          </w:tcPr>
          <w:p>
            <w:pPr>
              <w:spacing w:line="400" w:lineRule="exact"/>
              <w:jc w:val="center"/>
              <w:rPr>
                <w:rFonts w:ascii="宋体" w:hAnsi="宋体" w:cs="Arial"/>
                <w:bCs/>
                <w:color w:val="000000"/>
                <w:sz w:val="22"/>
                <w:szCs w:val="22"/>
              </w:rPr>
            </w:pPr>
            <w:r>
              <w:rPr>
                <w:rFonts w:hint="eastAsia" w:ascii="宋体" w:hAnsi="宋体" w:cs="Arial"/>
                <w:bCs/>
                <w:color w:val="000000"/>
                <w:sz w:val="22"/>
                <w:szCs w:val="22"/>
              </w:rPr>
              <w:t>常规处罚</w:t>
            </w:r>
          </w:p>
        </w:tc>
        <w:tc>
          <w:tcPr>
            <w:tcW w:w="1123" w:type="dxa"/>
            <w:vAlign w:val="center"/>
          </w:tcPr>
          <w:p>
            <w:pPr>
              <w:spacing w:line="400" w:lineRule="exact"/>
              <w:jc w:val="center"/>
              <w:rPr>
                <w:rFonts w:ascii="宋体" w:hAnsi="宋体" w:cs="Arial"/>
                <w:bCs/>
                <w:color w:val="000000"/>
                <w:sz w:val="22"/>
                <w:szCs w:val="22"/>
              </w:rPr>
            </w:pPr>
            <w:r>
              <w:rPr>
                <w:rFonts w:hint="eastAsia" w:ascii="宋体" w:hAnsi="宋体" w:cs="Arial"/>
                <w:bCs/>
                <w:color w:val="000000"/>
                <w:sz w:val="22"/>
                <w:szCs w:val="22"/>
              </w:rPr>
              <w:t>人员</w:t>
            </w:r>
          </w:p>
        </w:tc>
        <w:tc>
          <w:tcPr>
            <w:tcW w:w="6514" w:type="dxa"/>
          </w:tcPr>
          <w:p>
            <w:pPr>
              <w:spacing w:line="400" w:lineRule="exact"/>
              <w:rPr>
                <w:rFonts w:ascii="宋体" w:hAnsi="宋体" w:cs="Arial"/>
                <w:bCs/>
                <w:color w:val="000000"/>
                <w:sz w:val="22"/>
                <w:szCs w:val="22"/>
              </w:rPr>
            </w:pPr>
            <w:r>
              <w:rPr>
                <w:rFonts w:hint="eastAsia" w:ascii="宋体" w:hAnsi="宋体" w:cs="Arial"/>
                <w:bCs/>
                <w:color w:val="000000"/>
                <w:sz w:val="22"/>
                <w:szCs w:val="22"/>
              </w:rPr>
              <w:t>（1）项目负责人及相关人员未按要求到岗。每少一天扣500元（从当季支付金额中扣除）。</w:t>
            </w:r>
          </w:p>
          <w:p>
            <w:pPr>
              <w:spacing w:line="400" w:lineRule="exact"/>
              <w:rPr>
                <w:rFonts w:ascii="宋体" w:hAnsi="宋体" w:cs="Arial"/>
                <w:bCs/>
                <w:color w:val="000000"/>
                <w:sz w:val="22"/>
                <w:szCs w:val="22"/>
              </w:rPr>
            </w:pPr>
            <w:r>
              <w:rPr>
                <w:rFonts w:hint="eastAsia" w:ascii="宋体" w:hAnsi="宋体" w:cs="Arial"/>
                <w:bCs/>
                <w:color w:val="000000"/>
                <w:sz w:val="22"/>
                <w:szCs w:val="22"/>
              </w:rPr>
              <w:t>（2）巡查人员未按要求到岗。每少一天扣100元（从当季支付金额中扣除）。</w:t>
            </w:r>
          </w:p>
        </w:tc>
        <w:tc>
          <w:tcPr>
            <w:tcW w:w="913" w:type="dxa"/>
          </w:tcPr>
          <w:p>
            <w:pPr>
              <w:spacing w:line="400" w:lineRule="exact"/>
              <w:rPr>
                <w:rFonts w:ascii="宋体" w:hAnsi="宋体" w:cs="Arial"/>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vAlign w:val="center"/>
          </w:tcPr>
          <w:p>
            <w:pPr>
              <w:spacing w:line="400" w:lineRule="exact"/>
              <w:jc w:val="center"/>
              <w:rPr>
                <w:rFonts w:ascii="宋体" w:hAnsi="宋体" w:cs="Arial"/>
                <w:bCs/>
                <w:color w:val="000000"/>
                <w:sz w:val="22"/>
                <w:szCs w:val="22"/>
              </w:rPr>
            </w:pPr>
            <w:r>
              <w:rPr>
                <w:rFonts w:hint="eastAsia" w:ascii="宋体" w:hAnsi="宋体" w:cs="Arial"/>
                <w:bCs/>
                <w:color w:val="000000"/>
                <w:sz w:val="22"/>
                <w:szCs w:val="22"/>
              </w:rPr>
              <w:t>3</w:t>
            </w:r>
          </w:p>
        </w:tc>
        <w:tc>
          <w:tcPr>
            <w:tcW w:w="420" w:type="dxa"/>
            <w:vMerge w:val="continue"/>
            <w:vAlign w:val="center"/>
          </w:tcPr>
          <w:p>
            <w:pPr>
              <w:spacing w:line="400" w:lineRule="exact"/>
              <w:jc w:val="center"/>
              <w:rPr>
                <w:rFonts w:ascii="宋体" w:hAnsi="宋体" w:cs="Arial"/>
                <w:bCs/>
                <w:color w:val="000000"/>
                <w:sz w:val="22"/>
                <w:szCs w:val="22"/>
              </w:rPr>
            </w:pPr>
          </w:p>
        </w:tc>
        <w:tc>
          <w:tcPr>
            <w:tcW w:w="1123" w:type="dxa"/>
            <w:vAlign w:val="center"/>
          </w:tcPr>
          <w:p>
            <w:pPr>
              <w:spacing w:line="400" w:lineRule="exact"/>
              <w:jc w:val="center"/>
              <w:rPr>
                <w:rFonts w:ascii="宋体" w:hAnsi="宋体" w:cs="Arial"/>
                <w:bCs/>
                <w:color w:val="000000"/>
                <w:sz w:val="22"/>
                <w:szCs w:val="22"/>
              </w:rPr>
            </w:pPr>
            <w:r>
              <w:rPr>
                <w:rFonts w:hint="eastAsia" w:ascii="宋体" w:hAnsi="宋体" w:cs="Arial"/>
                <w:bCs/>
                <w:color w:val="000000"/>
                <w:sz w:val="22"/>
                <w:szCs w:val="22"/>
              </w:rPr>
              <w:t>保洁</w:t>
            </w:r>
          </w:p>
        </w:tc>
        <w:tc>
          <w:tcPr>
            <w:tcW w:w="6514" w:type="dxa"/>
          </w:tcPr>
          <w:p>
            <w:pPr>
              <w:spacing w:line="400" w:lineRule="exact"/>
              <w:rPr>
                <w:rFonts w:ascii="宋体" w:hAnsi="宋体" w:cs="Arial"/>
                <w:bCs/>
                <w:color w:val="000000"/>
                <w:sz w:val="22"/>
                <w:szCs w:val="22"/>
              </w:rPr>
            </w:pPr>
            <w:r>
              <w:rPr>
                <w:rFonts w:hint="eastAsia" w:ascii="宋体" w:hAnsi="宋体" w:cs="Arial"/>
                <w:bCs/>
                <w:color w:val="000000"/>
                <w:szCs w:val="21"/>
              </w:rPr>
              <w:t>采购人及采购人日常巡查，发现保洁不干净（一天按一次计算），每次扣500元（从当季支付金额中扣除）。</w:t>
            </w:r>
          </w:p>
        </w:tc>
        <w:tc>
          <w:tcPr>
            <w:tcW w:w="913" w:type="dxa"/>
          </w:tcPr>
          <w:p>
            <w:pPr>
              <w:spacing w:line="400" w:lineRule="exact"/>
              <w:rPr>
                <w:rFonts w:ascii="宋体" w:hAnsi="宋体" w:cs="Arial"/>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vAlign w:val="center"/>
          </w:tcPr>
          <w:p>
            <w:pPr>
              <w:spacing w:line="400" w:lineRule="exact"/>
              <w:jc w:val="center"/>
              <w:rPr>
                <w:rFonts w:ascii="宋体" w:hAnsi="宋体" w:cs="Arial"/>
                <w:bCs/>
                <w:color w:val="000000"/>
                <w:sz w:val="22"/>
                <w:szCs w:val="22"/>
              </w:rPr>
            </w:pPr>
            <w:r>
              <w:rPr>
                <w:rFonts w:hint="eastAsia" w:ascii="宋体" w:hAnsi="宋体" w:cs="Arial"/>
                <w:bCs/>
                <w:color w:val="000000"/>
                <w:sz w:val="22"/>
                <w:szCs w:val="22"/>
              </w:rPr>
              <w:t>4</w:t>
            </w:r>
          </w:p>
        </w:tc>
        <w:tc>
          <w:tcPr>
            <w:tcW w:w="420" w:type="dxa"/>
            <w:vMerge w:val="continue"/>
            <w:vAlign w:val="center"/>
          </w:tcPr>
          <w:p>
            <w:pPr>
              <w:spacing w:line="400" w:lineRule="exact"/>
              <w:jc w:val="center"/>
              <w:rPr>
                <w:rFonts w:ascii="宋体" w:hAnsi="宋体" w:cs="Arial"/>
                <w:bCs/>
                <w:color w:val="000000"/>
                <w:sz w:val="22"/>
                <w:szCs w:val="22"/>
              </w:rPr>
            </w:pPr>
          </w:p>
        </w:tc>
        <w:tc>
          <w:tcPr>
            <w:tcW w:w="1123" w:type="dxa"/>
            <w:vAlign w:val="center"/>
          </w:tcPr>
          <w:p>
            <w:pPr>
              <w:spacing w:line="400" w:lineRule="exact"/>
              <w:jc w:val="center"/>
              <w:rPr>
                <w:rFonts w:ascii="宋体" w:hAnsi="宋体" w:cs="Arial"/>
                <w:bCs/>
                <w:color w:val="000000"/>
                <w:sz w:val="22"/>
                <w:szCs w:val="22"/>
              </w:rPr>
            </w:pPr>
            <w:r>
              <w:rPr>
                <w:rFonts w:hint="eastAsia" w:ascii="宋体" w:hAnsi="宋体" w:cs="Arial"/>
                <w:bCs/>
                <w:color w:val="000000"/>
                <w:sz w:val="22"/>
                <w:szCs w:val="22"/>
              </w:rPr>
              <w:t>维修养护</w:t>
            </w:r>
          </w:p>
        </w:tc>
        <w:tc>
          <w:tcPr>
            <w:tcW w:w="6514" w:type="dxa"/>
          </w:tcPr>
          <w:p>
            <w:pPr>
              <w:spacing w:line="400" w:lineRule="exact"/>
              <w:rPr>
                <w:rFonts w:ascii="宋体" w:hAnsi="宋体" w:cs="Arial"/>
                <w:bCs/>
                <w:color w:val="000000"/>
                <w:sz w:val="22"/>
                <w:szCs w:val="22"/>
              </w:rPr>
            </w:pPr>
            <w:r>
              <w:rPr>
                <w:rFonts w:hint="eastAsia" w:ascii="宋体" w:hAnsi="宋体" w:cs="Arial"/>
                <w:bCs/>
                <w:color w:val="000000"/>
                <w:sz w:val="22"/>
                <w:szCs w:val="22"/>
              </w:rPr>
              <w:t>采购人通知供应商维修养护的（每天按一次计算），供应商未按要求进行养护的，每次扣500元（从当季支付金额中扣除）。</w:t>
            </w:r>
          </w:p>
        </w:tc>
        <w:tc>
          <w:tcPr>
            <w:tcW w:w="913" w:type="dxa"/>
          </w:tcPr>
          <w:p>
            <w:pPr>
              <w:spacing w:line="400" w:lineRule="exact"/>
              <w:rPr>
                <w:rFonts w:ascii="宋体" w:hAnsi="宋体" w:cs="Arial"/>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vAlign w:val="center"/>
          </w:tcPr>
          <w:p>
            <w:pPr>
              <w:spacing w:line="400" w:lineRule="exact"/>
              <w:jc w:val="center"/>
              <w:rPr>
                <w:rFonts w:ascii="宋体" w:hAnsi="宋体" w:cs="Arial"/>
                <w:bCs/>
                <w:color w:val="000000"/>
                <w:sz w:val="22"/>
                <w:szCs w:val="22"/>
              </w:rPr>
            </w:pPr>
            <w:r>
              <w:rPr>
                <w:rFonts w:hint="eastAsia" w:ascii="宋体" w:hAnsi="宋体" w:cs="Arial"/>
                <w:bCs/>
                <w:color w:val="000000"/>
                <w:sz w:val="22"/>
                <w:szCs w:val="22"/>
              </w:rPr>
              <w:t>5</w:t>
            </w:r>
          </w:p>
        </w:tc>
        <w:tc>
          <w:tcPr>
            <w:tcW w:w="420" w:type="dxa"/>
            <w:vMerge w:val="continue"/>
            <w:vAlign w:val="center"/>
          </w:tcPr>
          <w:p>
            <w:pPr>
              <w:spacing w:line="400" w:lineRule="exact"/>
              <w:jc w:val="center"/>
              <w:rPr>
                <w:rFonts w:ascii="宋体" w:hAnsi="宋体" w:cs="Arial"/>
                <w:bCs/>
                <w:color w:val="000000"/>
                <w:sz w:val="22"/>
                <w:szCs w:val="22"/>
              </w:rPr>
            </w:pPr>
          </w:p>
        </w:tc>
        <w:tc>
          <w:tcPr>
            <w:tcW w:w="1123" w:type="dxa"/>
            <w:vAlign w:val="center"/>
          </w:tcPr>
          <w:p>
            <w:pPr>
              <w:spacing w:line="400" w:lineRule="exact"/>
              <w:jc w:val="center"/>
              <w:rPr>
                <w:rFonts w:ascii="宋体" w:hAnsi="宋体" w:cs="Arial"/>
                <w:bCs/>
                <w:color w:val="000000"/>
                <w:sz w:val="22"/>
                <w:szCs w:val="22"/>
              </w:rPr>
            </w:pPr>
            <w:r>
              <w:rPr>
                <w:rFonts w:hint="eastAsia" w:ascii="宋体" w:hAnsi="宋体" w:cs="Arial"/>
                <w:bCs/>
                <w:color w:val="000000"/>
                <w:sz w:val="22"/>
                <w:szCs w:val="22"/>
              </w:rPr>
              <w:t>移动巡查</w:t>
            </w:r>
          </w:p>
        </w:tc>
        <w:tc>
          <w:tcPr>
            <w:tcW w:w="6514" w:type="dxa"/>
          </w:tcPr>
          <w:p>
            <w:pPr>
              <w:spacing w:line="400" w:lineRule="exact"/>
              <w:rPr>
                <w:rFonts w:ascii="宋体" w:hAnsi="宋体" w:cs="Arial"/>
                <w:bCs/>
                <w:color w:val="000000"/>
                <w:sz w:val="22"/>
                <w:szCs w:val="22"/>
              </w:rPr>
            </w:pPr>
            <w:r>
              <w:rPr>
                <w:rFonts w:hint="eastAsia" w:ascii="宋体" w:hAnsi="宋体" w:cs="Arial"/>
                <w:bCs/>
                <w:color w:val="000000"/>
                <w:sz w:val="22"/>
                <w:szCs w:val="22"/>
              </w:rPr>
              <w:t>移动巡查必须按运行管理平台要求进行巡查，未按规定要求巡查，每少1天扣3000元（从当季支付金额中扣除）。</w:t>
            </w:r>
          </w:p>
        </w:tc>
        <w:tc>
          <w:tcPr>
            <w:tcW w:w="913" w:type="dxa"/>
          </w:tcPr>
          <w:p>
            <w:pPr>
              <w:spacing w:line="400" w:lineRule="exact"/>
              <w:rPr>
                <w:rFonts w:ascii="宋体" w:hAnsi="宋体" w:cs="Arial"/>
                <w:bCs/>
                <w:color w:val="000000"/>
                <w:sz w:val="22"/>
                <w:szCs w:val="22"/>
              </w:rPr>
            </w:pPr>
          </w:p>
        </w:tc>
      </w:tr>
    </w:tbl>
    <w:p>
      <w:pPr>
        <w:spacing w:line="400" w:lineRule="exact"/>
        <w:ind w:firstLine="440" w:firstLineChars="200"/>
        <w:rPr>
          <w:rFonts w:hAnsi="宋体" w:cs="宋体"/>
          <w:kern w:val="0"/>
          <w:sz w:val="22"/>
          <w:szCs w:val="22"/>
        </w:rPr>
      </w:pPr>
      <w:r>
        <w:rPr>
          <w:rFonts w:hint="eastAsia"/>
          <w:sz w:val="22"/>
          <w:szCs w:val="22"/>
        </w:rPr>
        <w:t>注：如以上扣罚不足的，从履约保证金中扣除。</w:t>
      </w:r>
      <w:bookmarkStart w:id="28" w:name="_Toc16258_WPSOffice_Level1"/>
      <w:r>
        <w:rPr>
          <w:rFonts w:hint="eastAsia" w:ascii="宋体" w:hAnsi="宋体"/>
          <w:b/>
          <w:color w:val="000000"/>
          <w:sz w:val="36"/>
          <w:szCs w:val="36"/>
        </w:rPr>
        <w:br w:type="page"/>
      </w:r>
    </w:p>
    <w:p>
      <w:pPr>
        <w:adjustRightInd w:val="0"/>
        <w:snapToGrid w:val="0"/>
        <w:spacing w:line="460" w:lineRule="atLeast"/>
        <w:jc w:val="center"/>
        <w:outlineLvl w:val="0"/>
        <w:rPr>
          <w:rFonts w:ascii="宋体" w:hAnsi="宋体" w:cs="Arial"/>
          <w:b/>
          <w:color w:val="000000"/>
          <w:sz w:val="36"/>
          <w:szCs w:val="36"/>
        </w:rPr>
      </w:pPr>
      <w:bookmarkStart w:id="29" w:name="_Toc6814_WPSOffice_Level1"/>
      <w:r>
        <w:rPr>
          <w:rFonts w:hint="eastAsia" w:ascii="宋体" w:hAnsi="宋体"/>
          <w:b/>
          <w:color w:val="000000"/>
          <w:sz w:val="36"/>
          <w:szCs w:val="36"/>
        </w:rPr>
        <w:t>第三部分</w:t>
      </w:r>
      <w:r>
        <w:rPr>
          <w:rFonts w:hint="eastAsia" w:ascii="宋体" w:hAnsi="宋体" w:cs="Arial"/>
          <w:b/>
          <w:color w:val="000000"/>
          <w:sz w:val="36"/>
          <w:szCs w:val="36"/>
        </w:rPr>
        <w:t xml:space="preserve">   报价要求</w:t>
      </w:r>
      <w:bookmarkEnd w:id="28"/>
      <w:bookmarkEnd w:id="29"/>
    </w:p>
    <w:p>
      <w:pPr>
        <w:adjustRightInd w:val="0"/>
        <w:snapToGrid w:val="0"/>
        <w:spacing w:line="460" w:lineRule="atLeast"/>
        <w:ind w:firstLine="440" w:firstLineChars="200"/>
        <w:rPr>
          <w:rFonts w:ascii="宋体" w:hAnsi="宋体" w:cs="Arial"/>
          <w:b/>
          <w:color w:val="000000"/>
          <w:sz w:val="22"/>
          <w:szCs w:val="22"/>
        </w:rPr>
      </w:pPr>
      <w:r>
        <w:rPr>
          <w:rFonts w:hint="eastAsia" w:ascii="宋体" w:hAnsi="宋体" w:cs="Arial"/>
          <w:color w:val="000000"/>
          <w:sz w:val="22"/>
          <w:szCs w:val="22"/>
        </w:rPr>
        <w:t>1、</w:t>
      </w:r>
      <w:r>
        <w:rPr>
          <w:rFonts w:hint="eastAsia" w:ascii="宋体" w:hAnsi="宋体" w:cs="Arial"/>
          <w:b/>
          <w:color w:val="000000"/>
          <w:sz w:val="22"/>
          <w:szCs w:val="22"/>
        </w:rPr>
        <w:t>本次采购服务期为</w:t>
      </w:r>
      <w:r>
        <w:rPr>
          <w:rFonts w:hint="eastAsia" w:ascii="Arial" w:hAnsi="新宋体" w:eastAsia="新宋体" w:cs="Arial"/>
          <w:b/>
          <w:sz w:val="22"/>
          <w:szCs w:val="22"/>
        </w:rPr>
        <w:t>12个月</w:t>
      </w:r>
      <w:r>
        <w:rPr>
          <w:rFonts w:hint="eastAsia" w:ascii="宋体" w:hAnsi="宋体" w:cs="Arial"/>
          <w:b/>
          <w:color w:val="000000"/>
          <w:sz w:val="22"/>
          <w:szCs w:val="22"/>
        </w:rPr>
        <w:t>，供应商应考虑企业自身实力、经验及项目实施过程中的各种因素，根据采购要求，详细说明所能提供的各项具体服务内容，并按服务的内容分别独立报价。</w:t>
      </w:r>
    </w:p>
    <w:p>
      <w:pPr>
        <w:adjustRightInd w:val="0"/>
        <w:snapToGrid w:val="0"/>
        <w:spacing w:line="460" w:lineRule="atLeast"/>
        <w:ind w:firstLine="440" w:firstLineChars="200"/>
        <w:rPr>
          <w:rFonts w:ascii="宋体" w:hAnsi="宋体" w:cs="Arial"/>
          <w:color w:val="000000"/>
          <w:sz w:val="22"/>
          <w:szCs w:val="22"/>
        </w:rPr>
      </w:pPr>
      <w:r>
        <w:rPr>
          <w:rFonts w:hint="eastAsia" w:ascii="宋体" w:hAnsi="宋体" w:cs="Arial"/>
          <w:color w:val="000000"/>
          <w:sz w:val="22"/>
          <w:szCs w:val="22"/>
        </w:rPr>
        <w:t>2、供应商的报价应包括为完成本项目服务可能发生的全部费用及供应商的利润和应交纳的税金等（包括人员工资、福利、各种社会保险、人员食宿与交通、办公费等）。供应商对合同内容的费用、质量、安全、文明服务等实行全面承包。</w:t>
      </w:r>
    </w:p>
    <w:p>
      <w:pPr>
        <w:snapToGrid w:val="0"/>
        <w:spacing w:line="460" w:lineRule="atLeast"/>
        <w:ind w:firstLine="440" w:firstLineChars="200"/>
        <w:rPr>
          <w:rFonts w:ascii="宋体" w:hAnsi="宋体"/>
          <w:color w:val="000000"/>
          <w:sz w:val="22"/>
          <w:szCs w:val="22"/>
        </w:rPr>
      </w:pPr>
      <w:r>
        <w:rPr>
          <w:rFonts w:hint="eastAsia" w:ascii="宋体" w:hAnsi="宋体"/>
          <w:color w:val="000000"/>
          <w:sz w:val="22"/>
          <w:szCs w:val="22"/>
        </w:rPr>
        <w:t>▲</w:t>
      </w:r>
      <w:r>
        <w:rPr>
          <w:rFonts w:hint="eastAsia" w:ascii="宋体" w:hAnsi="宋体" w:cs="Arial"/>
          <w:color w:val="000000"/>
          <w:sz w:val="22"/>
          <w:szCs w:val="22"/>
        </w:rPr>
        <w:t>3、</w:t>
      </w:r>
      <w:r>
        <w:rPr>
          <w:rFonts w:hint="eastAsia" w:ascii="宋体" w:hAnsi="宋体"/>
          <w:color w:val="000000"/>
          <w:sz w:val="22"/>
          <w:szCs w:val="22"/>
        </w:rPr>
        <w:t>供应商员工基本工资最低不得低于1800元每月（最低工资不包括下列四项收入：延长工作时间的工资；中班、夜班、高温、低温、有毒有害等特殊工作环境、条件下的津贴；贴补伙食、住房等支付给劳动者的非货币性收入；法律、法规和国家规定的劳动者福利待遇等）。</w:t>
      </w:r>
    </w:p>
    <w:p>
      <w:pPr>
        <w:snapToGrid w:val="0"/>
        <w:spacing w:line="460" w:lineRule="atLeast"/>
        <w:ind w:firstLine="440" w:firstLineChars="200"/>
        <w:rPr>
          <w:rFonts w:ascii="宋体" w:hAnsi="宋体"/>
          <w:color w:val="000000"/>
          <w:sz w:val="22"/>
          <w:szCs w:val="22"/>
        </w:rPr>
      </w:pPr>
      <w:r>
        <w:rPr>
          <w:rFonts w:hint="eastAsia" w:ascii="宋体" w:hAnsi="宋体"/>
          <w:color w:val="000000"/>
          <w:sz w:val="22"/>
          <w:szCs w:val="22"/>
        </w:rPr>
        <w:t>4、本项目要求供应商为员工全员全额缴纳基本社会保险（</w:t>
      </w:r>
      <w:r>
        <w:rPr>
          <w:rFonts w:ascii="宋体" w:hAnsi="宋体"/>
          <w:color w:val="000000"/>
          <w:sz w:val="22"/>
          <w:szCs w:val="22"/>
        </w:rPr>
        <w:t>基本养老保险、基本医疗保险、失业保险、工伤保险、生育保险</w:t>
      </w:r>
      <w:r>
        <w:rPr>
          <w:rFonts w:hint="eastAsia" w:ascii="宋体" w:hAnsi="宋体"/>
          <w:color w:val="000000"/>
          <w:sz w:val="22"/>
          <w:szCs w:val="22"/>
        </w:rPr>
        <w:t>），并符合龙港相关社保缴纳规定，</w:t>
      </w:r>
      <w:r>
        <w:rPr>
          <w:rFonts w:hint="eastAsia" w:ascii="宋体"/>
          <w:color w:val="000000"/>
          <w:sz w:val="22"/>
          <w:szCs w:val="22"/>
        </w:rPr>
        <w:t>企业缴纳标准须符合企业所在地社保</w:t>
      </w:r>
      <w:r>
        <w:rPr>
          <w:rFonts w:hint="eastAsia" w:ascii="宋体" w:hAnsi="宋体"/>
          <w:color w:val="000000"/>
          <w:sz w:val="22"/>
          <w:szCs w:val="22"/>
        </w:rPr>
        <w:t>缴纳要求。如中标供应商未替员工缴纳社会保险引起的纠纷投诉，采购人概不负责。</w:t>
      </w:r>
    </w:p>
    <w:p>
      <w:pPr>
        <w:snapToGrid w:val="0"/>
        <w:spacing w:line="460" w:lineRule="atLeast"/>
        <w:ind w:firstLine="440" w:firstLineChars="200"/>
        <w:rPr>
          <w:rFonts w:ascii="宋体" w:hAnsi="宋体"/>
          <w:color w:val="000000"/>
          <w:sz w:val="22"/>
          <w:szCs w:val="22"/>
        </w:rPr>
      </w:pPr>
      <w:r>
        <w:rPr>
          <w:rFonts w:hint="eastAsia" w:ascii="宋体" w:hAnsi="宋体"/>
          <w:color w:val="000000"/>
          <w:sz w:val="22"/>
          <w:szCs w:val="22"/>
        </w:rPr>
        <w:t>5、日常加班费按供应商计划安排的加班人数，要求按最低发放二倍工资的加班工资。</w:t>
      </w:r>
    </w:p>
    <w:p>
      <w:pPr>
        <w:snapToGrid w:val="0"/>
        <w:spacing w:line="460" w:lineRule="atLeast"/>
        <w:ind w:firstLine="431" w:firstLineChars="196"/>
        <w:rPr>
          <w:rFonts w:ascii="宋体" w:hAnsi="宋体"/>
          <w:color w:val="000000"/>
          <w:sz w:val="22"/>
          <w:szCs w:val="22"/>
        </w:rPr>
      </w:pPr>
      <w:r>
        <w:rPr>
          <w:rFonts w:hint="eastAsia" w:ascii="宋体" w:hAnsi="宋体"/>
          <w:color w:val="000000"/>
          <w:sz w:val="22"/>
          <w:szCs w:val="22"/>
        </w:rPr>
        <w:t>6、节假日补贴按供应商计划安排的值班人数，要求按最低发放三倍工资的节假日补贴。</w:t>
      </w:r>
    </w:p>
    <w:p>
      <w:pPr>
        <w:adjustRightInd w:val="0"/>
        <w:snapToGrid w:val="0"/>
        <w:spacing w:line="460" w:lineRule="atLeast"/>
        <w:ind w:firstLine="431" w:firstLineChars="196"/>
        <w:rPr>
          <w:rFonts w:ascii="宋体" w:hAnsi="宋体"/>
          <w:color w:val="000000"/>
          <w:sz w:val="22"/>
          <w:szCs w:val="22"/>
        </w:rPr>
      </w:pPr>
      <w:r>
        <w:rPr>
          <w:rFonts w:hint="eastAsia" w:ascii="宋体" w:hAnsi="宋体"/>
          <w:color w:val="000000"/>
          <w:sz w:val="22"/>
          <w:szCs w:val="22"/>
        </w:rPr>
        <w:t>7、高温补贴按每人按4个月计取，每个月不得低于300元，相关文件（参见浙人社发[2018]65号）。</w:t>
      </w:r>
    </w:p>
    <w:p>
      <w:pPr>
        <w:adjustRightInd w:val="0"/>
        <w:snapToGrid w:val="0"/>
        <w:spacing w:line="460" w:lineRule="atLeast"/>
        <w:ind w:firstLine="433" w:firstLineChars="196"/>
        <w:rPr>
          <w:rFonts w:ascii="宋体" w:hAnsi="宋体" w:cs="Arial"/>
          <w:b/>
          <w:bCs/>
          <w:sz w:val="22"/>
          <w:szCs w:val="22"/>
        </w:rPr>
      </w:pPr>
      <w:r>
        <w:rPr>
          <w:rFonts w:hint="eastAsia" w:ascii="宋体" w:hAnsi="宋体" w:cs="Arial"/>
          <w:b/>
          <w:bCs/>
          <w:sz w:val="22"/>
          <w:szCs w:val="22"/>
        </w:rPr>
        <w:t>▲</w:t>
      </w:r>
      <w:r>
        <w:rPr>
          <w:rFonts w:hint="eastAsia" w:ascii="宋体" w:hAnsi="宋体"/>
          <w:b/>
          <w:bCs/>
          <w:sz w:val="22"/>
          <w:szCs w:val="22"/>
        </w:rPr>
        <w:t>7、</w:t>
      </w:r>
      <w:r>
        <w:rPr>
          <w:rFonts w:hint="eastAsia" w:ascii="宋体" w:hAnsi="宋体" w:cs="Arial"/>
          <w:b/>
          <w:bCs/>
          <w:sz w:val="22"/>
          <w:szCs w:val="22"/>
        </w:rPr>
        <w:t>人员工资福利表，供应商投标分项报价每个人员服务期内的取费不得低于此标准，低于此标准的投标报价做无效投标处理。</w:t>
      </w:r>
    </w:p>
    <w:tbl>
      <w:tblPr>
        <w:tblStyle w:val="38"/>
        <w:tblW w:w="9498" w:type="dxa"/>
        <w:tblInd w:w="-34"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19"/>
        <w:gridCol w:w="1875"/>
        <w:gridCol w:w="1701"/>
        <w:gridCol w:w="6"/>
        <w:gridCol w:w="1128"/>
        <w:gridCol w:w="3969"/>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602" w:hRule="atLeast"/>
        </w:trPr>
        <w:tc>
          <w:tcPr>
            <w:tcW w:w="819" w:type="dxa"/>
            <w:tcBorders>
              <w:top w:val="double" w:color="auto" w:sz="6" w:space="0"/>
              <w:bottom w:val="single" w:color="auto" w:sz="6" w:space="0"/>
            </w:tcBorders>
            <w:shd w:val="clear" w:color="000000" w:fill="auto"/>
            <w:vAlign w:val="center"/>
          </w:tcPr>
          <w:p>
            <w:pPr>
              <w:widowControl/>
              <w:jc w:val="center"/>
              <w:rPr>
                <w:rFonts w:ascii="宋体" w:hAnsi="宋体" w:cs="Arial"/>
                <w:b/>
                <w:bCs/>
                <w:color w:val="000000"/>
                <w:kern w:val="0"/>
                <w:sz w:val="22"/>
                <w:szCs w:val="22"/>
              </w:rPr>
            </w:pPr>
            <w:r>
              <w:rPr>
                <w:rFonts w:ascii="宋体" w:hAnsi="宋体" w:cs="Arial"/>
                <w:b/>
                <w:bCs/>
                <w:kern w:val="0"/>
                <w:sz w:val="22"/>
              </w:rPr>
              <w:t>序号</w:t>
            </w:r>
          </w:p>
        </w:tc>
        <w:tc>
          <w:tcPr>
            <w:tcW w:w="1875" w:type="dxa"/>
            <w:tcBorders>
              <w:top w:val="double" w:color="auto" w:sz="6" w:space="0"/>
              <w:bottom w:val="single" w:color="auto" w:sz="6" w:space="0"/>
            </w:tcBorders>
            <w:shd w:val="clear" w:color="000000" w:fill="auto"/>
            <w:vAlign w:val="center"/>
          </w:tcPr>
          <w:p>
            <w:pPr>
              <w:widowControl/>
              <w:jc w:val="center"/>
              <w:rPr>
                <w:rFonts w:ascii="宋体" w:hAnsi="宋体" w:cs="Arial"/>
                <w:b/>
                <w:bCs/>
                <w:color w:val="000000"/>
                <w:kern w:val="0"/>
                <w:sz w:val="22"/>
                <w:szCs w:val="22"/>
              </w:rPr>
            </w:pPr>
            <w:r>
              <w:rPr>
                <w:rFonts w:ascii="宋体" w:hAnsi="宋体" w:cs="Arial"/>
                <w:b/>
                <w:bCs/>
                <w:kern w:val="0"/>
                <w:sz w:val="22"/>
              </w:rPr>
              <w:t>支出项目</w:t>
            </w:r>
          </w:p>
        </w:tc>
        <w:tc>
          <w:tcPr>
            <w:tcW w:w="2835" w:type="dxa"/>
            <w:gridSpan w:val="3"/>
            <w:tcBorders>
              <w:top w:val="double" w:color="auto" w:sz="6" w:space="0"/>
              <w:bottom w:val="single" w:color="auto" w:sz="6" w:space="0"/>
            </w:tcBorders>
            <w:shd w:val="clear" w:color="000000" w:fill="auto"/>
            <w:vAlign w:val="center"/>
          </w:tcPr>
          <w:p>
            <w:pPr>
              <w:widowControl/>
              <w:jc w:val="center"/>
              <w:rPr>
                <w:rFonts w:ascii="宋体" w:hAnsi="宋体" w:cs="Arial"/>
                <w:b/>
                <w:bCs/>
                <w:color w:val="000000"/>
                <w:kern w:val="0"/>
                <w:sz w:val="22"/>
                <w:szCs w:val="22"/>
              </w:rPr>
            </w:pPr>
            <w:r>
              <w:rPr>
                <w:rFonts w:ascii="宋体" w:hAnsi="宋体" w:cs="Arial"/>
                <w:b/>
                <w:bCs/>
                <w:kern w:val="0"/>
                <w:sz w:val="22"/>
              </w:rPr>
              <w:t>金额</w:t>
            </w:r>
          </w:p>
        </w:tc>
        <w:tc>
          <w:tcPr>
            <w:tcW w:w="3969" w:type="dxa"/>
            <w:tcBorders>
              <w:top w:val="double" w:color="auto" w:sz="6" w:space="0"/>
              <w:bottom w:val="single" w:color="auto" w:sz="6" w:space="0"/>
            </w:tcBorders>
            <w:shd w:val="clear" w:color="000000" w:fill="auto"/>
            <w:vAlign w:val="center"/>
          </w:tcPr>
          <w:p>
            <w:pPr>
              <w:widowControl/>
              <w:jc w:val="center"/>
              <w:rPr>
                <w:rFonts w:ascii="宋体" w:hAnsi="宋体" w:cs="Arial"/>
                <w:b/>
                <w:bCs/>
                <w:color w:val="000000"/>
                <w:kern w:val="0"/>
                <w:sz w:val="22"/>
                <w:szCs w:val="22"/>
              </w:rPr>
            </w:pPr>
            <w:r>
              <w:rPr>
                <w:rFonts w:ascii="宋体" w:hAnsi="宋体" w:cs="Arial"/>
                <w:b/>
                <w:bCs/>
                <w:kern w:val="0"/>
                <w:sz w:val="22"/>
              </w:rPr>
              <w:t>备注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1065" w:hRule="atLeast"/>
        </w:trPr>
        <w:tc>
          <w:tcPr>
            <w:tcW w:w="819" w:type="dxa"/>
            <w:tcBorders>
              <w:top w:val="single" w:color="auto" w:sz="6" w:space="0"/>
            </w:tcBorders>
            <w:vAlign w:val="center"/>
          </w:tcPr>
          <w:p>
            <w:pPr>
              <w:widowControl/>
              <w:jc w:val="center"/>
              <w:rPr>
                <w:rFonts w:ascii="宋体" w:hAnsi="宋体" w:cs="Arial"/>
                <w:bCs/>
                <w:color w:val="000000"/>
                <w:kern w:val="0"/>
                <w:sz w:val="22"/>
                <w:szCs w:val="22"/>
              </w:rPr>
            </w:pPr>
            <w:r>
              <w:rPr>
                <w:rFonts w:ascii="宋体" w:hAnsi="宋体" w:cs="Arial"/>
                <w:bCs/>
                <w:kern w:val="0"/>
                <w:sz w:val="22"/>
              </w:rPr>
              <w:t>1</w:t>
            </w:r>
          </w:p>
        </w:tc>
        <w:tc>
          <w:tcPr>
            <w:tcW w:w="1875" w:type="dxa"/>
            <w:tcBorders>
              <w:top w:val="single" w:color="auto" w:sz="6" w:space="0"/>
            </w:tcBorders>
            <w:vAlign w:val="center"/>
          </w:tcPr>
          <w:p>
            <w:pPr>
              <w:widowControl/>
              <w:jc w:val="center"/>
              <w:rPr>
                <w:rFonts w:ascii="宋体" w:hAnsi="宋体" w:cs="Arial"/>
                <w:bCs/>
                <w:color w:val="000000"/>
                <w:kern w:val="0"/>
                <w:sz w:val="22"/>
                <w:szCs w:val="22"/>
              </w:rPr>
            </w:pPr>
            <w:r>
              <w:rPr>
                <w:rFonts w:ascii="宋体" w:hAnsi="宋体" w:cs="Arial"/>
                <w:bCs/>
                <w:kern w:val="0"/>
                <w:sz w:val="22"/>
              </w:rPr>
              <w:t>人员</w:t>
            </w:r>
            <w:r>
              <w:rPr>
                <w:rFonts w:hint="eastAsia" w:ascii="宋体" w:hAnsi="宋体" w:cs="Arial"/>
                <w:bCs/>
                <w:kern w:val="0"/>
                <w:sz w:val="22"/>
              </w:rPr>
              <w:t>基本收入</w:t>
            </w:r>
          </w:p>
        </w:tc>
        <w:tc>
          <w:tcPr>
            <w:tcW w:w="1701" w:type="dxa"/>
            <w:tcBorders>
              <w:top w:val="single" w:color="auto" w:sz="6"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rPr>
              <w:t>1800</w:t>
            </w:r>
            <w:r>
              <w:rPr>
                <w:rFonts w:ascii="宋体" w:hAnsi="宋体" w:cs="Arial"/>
                <w:bCs/>
                <w:kern w:val="0"/>
                <w:sz w:val="22"/>
              </w:rPr>
              <w:t>×</w:t>
            </w:r>
            <w:r>
              <w:rPr>
                <w:rFonts w:hint="eastAsia" w:ascii="宋体" w:hAnsi="宋体" w:cs="Arial"/>
                <w:kern w:val="0"/>
                <w:sz w:val="22"/>
              </w:rPr>
              <w:t>12</w:t>
            </w:r>
          </w:p>
        </w:tc>
        <w:tc>
          <w:tcPr>
            <w:tcW w:w="1134" w:type="dxa"/>
            <w:gridSpan w:val="2"/>
            <w:tcBorders>
              <w:top w:val="single" w:color="auto" w:sz="6" w:space="0"/>
            </w:tcBorders>
            <w:vAlign w:val="center"/>
          </w:tcPr>
          <w:p>
            <w:pPr>
              <w:widowControl/>
              <w:jc w:val="center"/>
              <w:textAlignment w:val="center"/>
              <w:rPr>
                <w:rFonts w:ascii="宋体" w:hAnsi="宋体" w:cs="Arial"/>
                <w:bCs/>
                <w:color w:val="000000"/>
                <w:kern w:val="0"/>
                <w:sz w:val="22"/>
                <w:szCs w:val="22"/>
              </w:rPr>
            </w:pPr>
            <w:r>
              <w:rPr>
                <w:rFonts w:hint="eastAsia" w:ascii="宋体" w:hAnsi="宋体" w:cs="宋体"/>
                <w:kern w:val="0"/>
                <w:sz w:val="24"/>
                <w:szCs w:val="24"/>
              </w:rPr>
              <w:t>21600</w:t>
            </w:r>
          </w:p>
        </w:tc>
        <w:tc>
          <w:tcPr>
            <w:tcW w:w="3969" w:type="dxa"/>
            <w:tcBorders>
              <w:top w:val="single" w:color="auto" w:sz="6" w:space="0"/>
            </w:tcBorders>
            <w:vAlign w:val="center"/>
          </w:tcPr>
          <w:p>
            <w:pPr>
              <w:autoSpaceDE w:val="0"/>
              <w:autoSpaceDN w:val="0"/>
              <w:adjustRightInd w:val="0"/>
              <w:jc w:val="left"/>
              <w:rPr>
                <w:rFonts w:ascii="宋体" w:hAnsi="宋体" w:cs="Arial"/>
                <w:color w:val="000000"/>
                <w:kern w:val="0"/>
                <w:sz w:val="22"/>
                <w:szCs w:val="22"/>
              </w:rPr>
            </w:pPr>
            <w:r>
              <w:rPr>
                <w:rFonts w:ascii="宋体" w:hAnsi="宋体" w:cs="Arial"/>
                <w:kern w:val="0"/>
                <w:sz w:val="22"/>
              </w:rPr>
              <w:t>▲</w:t>
            </w:r>
            <w:r>
              <w:rPr>
                <w:rFonts w:hint="eastAsia" w:ascii="宋体" w:hAnsi="宋体" w:cs="宋体"/>
                <w:kern w:val="0"/>
                <w:sz w:val="22"/>
                <w:szCs w:val="22"/>
              </w:rPr>
              <w:t>依据《温州市人民政府关于调整全市最低工资标准的通知》（温政发〔2017〕37号）。</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1065" w:hRule="atLeast"/>
        </w:trPr>
        <w:tc>
          <w:tcPr>
            <w:tcW w:w="819" w:type="dxa"/>
            <w:tcBorders>
              <w:top w:val="single" w:color="auto" w:sz="6" w:space="0"/>
            </w:tcBorders>
            <w:vAlign w:val="center"/>
          </w:tcPr>
          <w:p>
            <w:pPr>
              <w:widowControl/>
              <w:jc w:val="center"/>
              <w:rPr>
                <w:rFonts w:ascii="宋体" w:hAnsi="宋体" w:cs="Arial"/>
                <w:bCs/>
                <w:color w:val="000000"/>
                <w:kern w:val="0"/>
                <w:sz w:val="22"/>
                <w:szCs w:val="22"/>
              </w:rPr>
            </w:pPr>
            <w:r>
              <w:rPr>
                <w:rFonts w:ascii="宋体" w:hAnsi="宋体" w:cs="Arial"/>
                <w:bCs/>
                <w:kern w:val="0"/>
                <w:sz w:val="22"/>
              </w:rPr>
              <w:t>2</w:t>
            </w:r>
          </w:p>
        </w:tc>
        <w:tc>
          <w:tcPr>
            <w:tcW w:w="1875" w:type="dxa"/>
            <w:tcBorders>
              <w:top w:val="single" w:color="auto" w:sz="6" w:space="0"/>
            </w:tcBorders>
            <w:vAlign w:val="center"/>
          </w:tcPr>
          <w:p>
            <w:pPr>
              <w:widowControl/>
              <w:rPr>
                <w:rFonts w:ascii="宋体" w:hAnsi="宋体" w:cs="Arial"/>
                <w:color w:val="000000"/>
                <w:kern w:val="0"/>
                <w:sz w:val="22"/>
                <w:szCs w:val="22"/>
              </w:rPr>
            </w:pPr>
            <w:r>
              <w:rPr>
                <w:rFonts w:hint="eastAsia" w:ascii="宋体" w:hAnsi="宋体" w:cs="Arial"/>
                <w:bCs/>
                <w:kern w:val="0"/>
                <w:sz w:val="22"/>
                <w:szCs w:val="22"/>
              </w:rPr>
              <w:t>社会保障（单位缴纳部分）</w:t>
            </w:r>
          </w:p>
        </w:tc>
        <w:tc>
          <w:tcPr>
            <w:tcW w:w="1701" w:type="dxa"/>
            <w:tcBorders>
              <w:top w:val="single" w:color="auto" w:sz="6"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rPr>
              <w:t>946.65</w:t>
            </w:r>
            <w:r>
              <w:rPr>
                <w:rFonts w:ascii="宋体" w:hAnsi="宋体" w:cs="Arial"/>
                <w:kern w:val="0"/>
                <w:sz w:val="22"/>
              </w:rPr>
              <w:t>×</w:t>
            </w:r>
            <w:r>
              <w:rPr>
                <w:rFonts w:hint="eastAsia" w:ascii="宋体" w:hAnsi="宋体" w:cs="Arial"/>
                <w:kern w:val="0"/>
                <w:sz w:val="22"/>
              </w:rPr>
              <w:t>12</w:t>
            </w:r>
          </w:p>
        </w:tc>
        <w:tc>
          <w:tcPr>
            <w:tcW w:w="1134" w:type="dxa"/>
            <w:gridSpan w:val="2"/>
            <w:tcBorders>
              <w:top w:val="single" w:color="auto" w:sz="6" w:space="0"/>
            </w:tcBorders>
            <w:vAlign w:val="center"/>
          </w:tcPr>
          <w:p>
            <w:pPr>
              <w:widowControl/>
              <w:jc w:val="center"/>
              <w:textAlignment w:val="center"/>
              <w:rPr>
                <w:rFonts w:ascii="宋体" w:hAnsi="宋体" w:cs="Arial"/>
                <w:bCs/>
                <w:color w:val="000000"/>
                <w:kern w:val="0"/>
                <w:sz w:val="22"/>
                <w:szCs w:val="22"/>
              </w:rPr>
            </w:pPr>
            <w:r>
              <w:rPr>
                <w:rFonts w:hint="eastAsia" w:ascii="宋体" w:hAnsi="宋体" w:cs="宋体"/>
                <w:kern w:val="0"/>
                <w:sz w:val="24"/>
                <w:szCs w:val="24"/>
              </w:rPr>
              <w:t>11359.8</w:t>
            </w:r>
          </w:p>
        </w:tc>
        <w:tc>
          <w:tcPr>
            <w:tcW w:w="3969" w:type="dxa"/>
            <w:tcBorders>
              <w:top w:val="single" w:color="auto" w:sz="6" w:space="0"/>
            </w:tcBorders>
            <w:vAlign w:val="center"/>
          </w:tcPr>
          <w:p>
            <w:pPr>
              <w:widowControl/>
              <w:jc w:val="left"/>
              <w:rPr>
                <w:rFonts w:ascii="宋体" w:hAnsi="宋体" w:cs="Arial"/>
                <w:color w:val="000000"/>
                <w:kern w:val="0"/>
                <w:sz w:val="22"/>
                <w:szCs w:val="22"/>
              </w:rPr>
            </w:pPr>
            <w:r>
              <w:rPr>
                <w:rFonts w:ascii="宋体" w:hAnsi="宋体" w:cs="Arial"/>
                <w:kern w:val="0"/>
                <w:sz w:val="22"/>
              </w:rPr>
              <w:t>▲根据新合同法规定，所有人员必须依法签订正式劳动合同，依法缴纳各项社会保障。</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819" w:type="dxa"/>
            <w:vAlign w:val="center"/>
          </w:tcPr>
          <w:p>
            <w:pPr>
              <w:widowControl/>
              <w:jc w:val="center"/>
              <w:rPr>
                <w:rFonts w:ascii="宋体" w:hAnsi="宋体" w:cs="Arial"/>
                <w:bCs/>
                <w:color w:val="000000"/>
                <w:kern w:val="0"/>
                <w:sz w:val="22"/>
                <w:szCs w:val="22"/>
              </w:rPr>
            </w:pPr>
            <w:r>
              <w:rPr>
                <w:rFonts w:ascii="宋体" w:hAnsi="宋体" w:cs="Arial"/>
                <w:bCs/>
                <w:kern w:val="0"/>
                <w:sz w:val="22"/>
              </w:rPr>
              <w:t>3</w:t>
            </w:r>
          </w:p>
        </w:tc>
        <w:tc>
          <w:tcPr>
            <w:tcW w:w="1875" w:type="dxa"/>
            <w:vAlign w:val="center"/>
          </w:tcPr>
          <w:p>
            <w:pPr>
              <w:widowControl/>
              <w:jc w:val="center"/>
              <w:rPr>
                <w:rFonts w:ascii="宋体" w:hAnsi="宋体" w:cs="Arial"/>
                <w:bCs/>
                <w:color w:val="000000"/>
                <w:kern w:val="0"/>
                <w:sz w:val="22"/>
                <w:szCs w:val="22"/>
              </w:rPr>
            </w:pPr>
            <w:r>
              <w:rPr>
                <w:rFonts w:ascii="宋体" w:hAnsi="宋体" w:cs="Arial"/>
                <w:bCs/>
                <w:kern w:val="0"/>
                <w:sz w:val="22"/>
              </w:rPr>
              <w:t>日常加班费</w:t>
            </w:r>
          </w:p>
        </w:tc>
        <w:tc>
          <w:tcPr>
            <w:tcW w:w="1701" w:type="dxa"/>
            <w:vAlign w:val="center"/>
          </w:tcPr>
          <w:p>
            <w:pPr>
              <w:widowControl/>
              <w:jc w:val="center"/>
              <w:rPr>
                <w:rFonts w:ascii="宋体" w:hAnsi="宋体" w:cs="Arial"/>
                <w:bCs/>
                <w:color w:val="000000"/>
                <w:kern w:val="0"/>
                <w:sz w:val="22"/>
                <w:szCs w:val="22"/>
              </w:rPr>
            </w:pPr>
            <w:r>
              <w:rPr>
                <w:rFonts w:hint="eastAsia" w:ascii="宋体" w:hAnsi="宋体" w:cs="Arial"/>
                <w:bCs/>
                <w:kern w:val="0"/>
                <w:sz w:val="22"/>
              </w:rPr>
              <w:t>60</w:t>
            </w:r>
            <w:r>
              <w:rPr>
                <w:rFonts w:ascii="宋体" w:hAnsi="宋体" w:cs="Arial"/>
                <w:bCs/>
                <w:kern w:val="0"/>
                <w:sz w:val="22"/>
              </w:rPr>
              <w:t>×</w:t>
            </w:r>
            <w:r>
              <w:rPr>
                <w:rFonts w:hint="eastAsia" w:ascii="宋体" w:hAnsi="宋体" w:cs="Arial"/>
                <w:bCs/>
                <w:kern w:val="0"/>
                <w:sz w:val="22"/>
              </w:rPr>
              <w:t>200</w:t>
            </w:r>
            <w:r>
              <w:rPr>
                <w:rFonts w:ascii="宋体" w:hAnsi="宋体" w:cs="Arial"/>
                <w:bCs/>
                <w:kern w:val="0"/>
                <w:sz w:val="22"/>
              </w:rPr>
              <w:t>%×</w:t>
            </w:r>
            <w:r>
              <w:rPr>
                <w:rFonts w:hint="eastAsia" w:ascii="宋体" w:hAnsi="宋体" w:cs="Arial"/>
                <w:bCs/>
                <w:kern w:val="0"/>
                <w:sz w:val="22"/>
              </w:rPr>
              <w:t>24</w:t>
            </w:r>
          </w:p>
        </w:tc>
        <w:tc>
          <w:tcPr>
            <w:tcW w:w="1134" w:type="dxa"/>
            <w:gridSpan w:val="2"/>
            <w:vAlign w:val="center"/>
          </w:tcPr>
          <w:p>
            <w:pPr>
              <w:widowControl/>
              <w:jc w:val="center"/>
              <w:textAlignment w:val="center"/>
              <w:rPr>
                <w:rFonts w:ascii="宋体" w:hAnsi="宋体" w:cs="Arial"/>
                <w:bCs/>
                <w:color w:val="000000"/>
                <w:kern w:val="0"/>
                <w:sz w:val="22"/>
                <w:szCs w:val="22"/>
              </w:rPr>
            </w:pPr>
            <w:r>
              <w:rPr>
                <w:rFonts w:hint="eastAsia" w:ascii="宋体" w:hAnsi="宋体" w:cs="宋体"/>
                <w:kern w:val="0"/>
                <w:sz w:val="24"/>
                <w:szCs w:val="24"/>
              </w:rPr>
              <w:t>2880</w:t>
            </w:r>
          </w:p>
        </w:tc>
        <w:tc>
          <w:tcPr>
            <w:tcW w:w="3969" w:type="dxa"/>
            <w:vAlign w:val="center"/>
          </w:tcPr>
          <w:p>
            <w:pPr>
              <w:widowControl/>
              <w:jc w:val="left"/>
              <w:rPr>
                <w:rFonts w:ascii="宋体" w:hAnsi="宋体" w:cs="Arial"/>
                <w:color w:val="000000"/>
                <w:kern w:val="0"/>
                <w:sz w:val="22"/>
                <w:szCs w:val="22"/>
              </w:rPr>
            </w:pPr>
            <w:r>
              <w:rPr>
                <w:rFonts w:hint="eastAsia" w:ascii="宋体" w:hAnsi="宋体" w:cs="Arial"/>
                <w:kern w:val="0"/>
                <w:sz w:val="22"/>
              </w:rPr>
              <w:t>依据国家相关规定，每人每年日常加班合计24天，日常加班费按日工资的200%计算。</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780" w:hRule="atLeast"/>
        </w:trPr>
        <w:tc>
          <w:tcPr>
            <w:tcW w:w="819" w:type="dxa"/>
            <w:vAlign w:val="center"/>
          </w:tcPr>
          <w:p>
            <w:pPr>
              <w:widowControl/>
              <w:jc w:val="center"/>
              <w:rPr>
                <w:rFonts w:ascii="宋体" w:hAnsi="宋体" w:cs="Arial"/>
                <w:bCs/>
                <w:color w:val="000000"/>
                <w:kern w:val="0"/>
                <w:sz w:val="22"/>
                <w:szCs w:val="22"/>
              </w:rPr>
            </w:pPr>
            <w:r>
              <w:rPr>
                <w:rFonts w:ascii="宋体" w:hAnsi="宋体" w:cs="Arial"/>
                <w:bCs/>
                <w:kern w:val="0"/>
                <w:sz w:val="22"/>
              </w:rPr>
              <w:t>4</w:t>
            </w:r>
          </w:p>
        </w:tc>
        <w:tc>
          <w:tcPr>
            <w:tcW w:w="1875" w:type="dxa"/>
            <w:tcBorders>
              <w:right w:val="single" w:color="auto" w:sz="4" w:space="0"/>
            </w:tcBorders>
            <w:vAlign w:val="center"/>
          </w:tcPr>
          <w:p>
            <w:pPr>
              <w:widowControl/>
              <w:jc w:val="center"/>
              <w:rPr>
                <w:rFonts w:ascii="宋体" w:hAnsi="宋体" w:cs="Arial"/>
                <w:bCs/>
                <w:color w:val="000000"/>
                <w:kern w:val="0"/>
                <w:sz w:val="22"/>
                <w:szCs w:val="22"/>
              </w:rPr>
            </w:pPr>
            <w:r>
              <w:rPr>
                <w:rFonts w:ascii="宋体" w:hAnsi="宋体" w:cs="Arial"/>
                <w:bCs/>
                <w:kern w:val="0"/>
                <w:sz w:val="22"/>
              </w:rPr>
              <w:t>节假日加班费</w:t>
            </w:r>
          </w:p>
        </w:tc>
        <w:tc>
          <w:tcPr>
            <w:tcW w:w="1701" w:type="dxa"/>
            <w:tcBorders>
              <w:left w:val="single" w:color="auto" w:sz="4" w:space="0"/>
              <w:right w:val="single" w:color="auto" w:sz="4" w:space="0"/>
            </w:tcBorders>
            <w:vAlign w:val="center"/>
          </w:tcPr>
          <w:p>
            <w:pPr>
              <w:widowControl/>
              <w:jc w:val="center"/>
              <w:rPr>
                <w:rFonts w:ascii="宋体" w:hAnsi="宋体" w:cs="Arial"/>
                <w:bCs/>
                <w:color w:val="000000"/>
                <w:kern w:val="0"/>
                <w:sz w:val="22"/>
                <w:szCs w:val="22"/>
              </w:rPr>
            </w:pPr>
            <w:r>
              <w:rPr>
                <w:rFonts w:hint="eastAsia" w:ascii="宋体" w:hAnsi="宋体" w:cs="Arial"/>
                <w:bCs/>
                <w:kern w:val="0"/>
                <w:sz w:val="22"/>
              </w:rPr>
              <w:t>60</w:t>
            </w:r>
            <w:r>
              <w:rPr>
                <w:rFonts w:ascii="宋体" w:hAnsi="宋体" w:cs="Arial"/>
                <w:bCs/>
                <w:kern w:val="0"/>
                <w:sz w:val="22"/>
              </w:rPr>
              <w:t>×300%×</w:t>
            </w:r>
            <w:r>
              <w:rPr>
                <w:rFonts w:hint="eastAsia" w:ascii="宋体" w:hAnsi="宋体" w:cs="Arial"/>
                <w:bCs/>
                <w:kern w:val="0"/>
                <w:sz w:val="22"/>
              </w:rPr>
              <w:t>11</w:t>
            </w:r>
          </w:p>
        </w:tc>
        <w:tc>
          <w:tcPr>
            <w:tcW w:w="1134" w:type="dxa"/>
            <w:gridSpan w:val="2"/>
            <w:tcBorders>
              <w:left w:val="single" w:color="auto" w:sz="4" w:space="0"/>
            </w:tcBorders>
            <w:vAlign w:val="center"/>
          </w:tcPr>
          <w:p>
            <w:pPr>
              <w:widowControl/>
              <w:jc w:val="center"/>
              <w:textAlignment w:val="center"/>
              <w:rPr>
                <w:rFonts w:ascii="宋体" w:hAnsi="宋体" w:cs="Arial"/>
                <w:bCs/>
                <w:color w:val="000000"/>
                <w:kern w:val="0"/>
                <w:sz w:val="22"/>
                <w:szCs w:val="22"/>
              </w:rPr>
            </w:pPr>
            <w:r>
              <w:rPr>
                <w:rFonts w:hint="eastAsia" w:ascii="宋体" w:hAnsi="宋体" w:cs="宋体"/>
                <w:kern w:val="0"/>
                <w:sz w:val="24"/>
                <w:szCs w:val="24"/>
              </w:rPr>
              <w:t>1980</w:t>
            </w:r>
          </w:p>
        </w:tc>
        <w:tc>
          <w:tcPr>
            <w:tcW w:w="3969" w:type="dxa"/>
            <w:vAlign w:val="center"/>
          </w:tcPr>
          <w:p>
            <w:pPr>
              <w:widowControl/>
              <w:jc w:val="left"/>
              <w:rPr>
                <w:rFonts w:ascii="宋体" w:hAnsi="宋体" w:cs="Arial"/>
                <w:color w:val="000000"/>
                <w:kern w:val="0"/>
                <w:sz w:val="22"/>
                <w:szCs w:val="22"/>
              </w:rPr>
            </w:pPr>
            <w:r>
              <w:rPr>
                <w:rFonts w:hint="eastAsia" w:ascii="宋体" w:hAnsi="宋体" w:cs="宋体"/>
                <w:kern w:val="0"/>
                <w:sz w:val="24"/>
              </w:rPr>
              <w:t>▲国家法定节假日加班按日常工资的300%计算，如日常每天工资60元，法定节假日全年11天。</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866" w:hRule="atLeast"/>
        </w:trPr>
        <w:tc>
          <w:tcPr>
            <w:tcW w:w="819" w:type="dxa"/>
            <w:vAlign w:val="center"/>
          </w:tcPr>
          <w:p>
            <w:pPr>
              <w:widowControl/>
              <w:jc w:val="center"/>
              <w:rPr>
                <w:rFonts w:ascii="宋体" w:hAnsi="宋体" w:cs="Arial"/>
                <w:color w:val="000000"/>
                <w:kern w:val="0"/>
                <w:sz w:val="22"/>
                <w:szCs w:val="22"/>
              </w:rPr>
            </w:pPr>
            <w:r>
              <w:rPr>
                <w:rFonts w:hint="eastAsia" w:ascii="宋体" w:hAnsi="宋体" w:cs="Arial"/>
                <w:kern w:val="0"/>
                <w:sz w:val="22"/>
              </w:rPr>
              <w:t>5</w:t>
            </w:r>
          </w:p>
        </w:tc>
        <w:tc>
          <w:tcPr>
            <w:tcW w:w="1875" w:type="dxa"/>
            <w:tcBorders>
              <w:right w:val="single" w:color="auto" w:sz="4" w:space="0"/>
            </w:tcBorders>
            <w:vAlign w:val="center"/>
          </w:tcPr>
          <w:p>
            <w:pPr>
              <w:widowControl/>
              <w:jc w:val="center"/>
              <w:rPr>
                <w:rFonts w:ascii="宋体" w:hAnsi="宋体" w:cs="Arial"/>
                <w:bCs/>
                <w:color w:val="000000"/>
                <w:kern w:val="0"/>
                <w:sz w:val="22"/>
                <w:szCs w:val="22"/>
              </w:rPr>
            </w:pPr>
            <w:r>
              <w:rPr>
                <w:rFonts w:ascii="宋体" w:hAnsi="宋体" w:cs="Arial"/>
                <w:bCs/>
                <w:kern w:val="0"/>
                <w:sz w:val="22"/>
              </w:rPr>
              <w:t>高温补贴</w:t>
            </w:r>
          </w:p>
        </w:tc>
        <w:tc>
          <w:tcPr>
            <w:tcW w:w="1707" w:type="dxa"/>
            <w:gridSpan w:val="2"/>
            <w:tcBorders>
              <w:left w:val="single" w:color="auto" w:sz="4" w:space="0"/>
              <w:right w:val="single" w:color="auto" w:sz="4" w:space="0"/>
            </w:tcBorders>
            <w:vAlign w:val="center"/>
          </w:tcPr>
          <w:p>
            <w:pPr>
              <w:widowControl/>
              <w:jc w:val="center"/>
              <w:rPr>
                <w:rFonts w:ascii="宋体" w:hAnsi="宋体" w:cs="Arial"/>
                <w:bCs/>
                <w:color w:val="000000"/>
                <w:kern w:val="0"/>
                <w:sz w:val="22"/>
                <w:szCs w:val="22"/>
              </w:rPr>
            </w:pPr>
            <w:r>
              <w:rPr>
                <w:rFonts w:hint="eastAsia" w:ascii="宋体" w:hAnsi="宋体" w:cs="Arial"/>
                <w:kern w:val="0"/>
                <w:sz w:val="22"/>
              </w:rPr>
              <w:t>300</w:t>
            </w:r>
            <w:r>
              <w:rPr>
                <w:rFonts w:ascii="宋体" w:hAnsi="宋体" w:cs="Arial"/>
                <w:bCs/>
                <w:kern w:val="0"/>
                <w:sz w:val="22"/>
              </w:rPr>
              <w:t>×</w:t>
            </w:r>
            <w:r>
              <w:rPr>
                <w:rFonts w:hint="eastAsia" w:ascii="宋体" w:hAnsi="宋体" w:cs="Arial"/>
                <w:bCs/>
                <w:kern w:val="0"/>
                <w:sz w:val="22"/>
              </w:rPr>
              <w:t>4</w:t>
            </w:r>
          </w:p>
        </w:tc>
        <w:tc>
          <w:tcPr>
            <w:tcW w:w="1128" w:type="dxa"/>
            <w:tcBorders>
              <w:left w:val="single" w:color="auto" w:sz="4" w:space="0"/>
            </w:tcBorders>
            <w:vAlign w:val="center"/>
          </w:tcPr>
          <w:p>
            <w:pPr>
              <w:widowControl/>
              <w:jc w:val="center"/>
              <w:rPr>
                <w:rFonts w:ascii="宋体" w:hAnsi="宋体" w:cs="Arial"/>
                <w:bCs/>
                <w:color w:val="000000"/>
                <w:kern w:val="0"/>
                <w:sz w:val="22"/>
                <w:szCs w:val="22"/>
              </w:rPr>
            </w:pPr>
            <w:r>
              <w:rPr>
                <w:rFonts w:hint="eastAsia" w:ascii="宋体" w:hAnsi="宋体" w:cs="Arial"/>
                <w:bCs/>
                <w:kern w:val="0"/>
                <w:sz w:val="22"/>
              </w:rPr>
              <w:t>1200</w:t>
            </w:r>
          </w:p>
        </w:tc>
        <w:tc>
          <w:tcPr>
            <w:tcW w:w="3969" w:type="dxa"/>
            <w:vAlign w:val="center"/>
          </w:tcPr>
          <w:p>
            <w:pPr>
              <w:widowControl/>
              <w:jc w:val="left"/>
              <w:rPr>
                <w:rFonts w:ascii="宋体" w:hAnsi="宋体" w:cs="Arial"/>
                <w:color w:val="000000"/>
                <w:kern w:val="0"/>
                <w:sz w:val="22"/>
                <w:szCs w:val="22"/>
              </w:rPr>
            </w:pPr>
            <w:r>
              <w:rPr>
                <w:rFonts w:ascii="宋体" w:hAnsi="宋体" w:cs="Arial"/>
                <w:kern w:val="0"/>
                <w:sz w:val="22"/>
              </w:rPr>
              <w:t>▲</w:t>
            </w:r>
            <w:r>
              <w:rPr>
                <w:rFonts w:hint="eastAsia" w:ascii="宋体" w:hAnsi="宋体" w:cs="Arial"/>
                <w:kern w:val="0"/>
                <w:sz w:val="22"/>
              </w:rPr>
              <w:t>根据相关规定</w:t>
            </w:r>
            <w:r>
              <w:rPr>
                <w:rFonts w:ascii="宋体" w:hAnsi="宋体" w:cs="Arial"/>
                <w:kern w:val="0"/>
                <w:sz w:val="22"/>
              </w:rPr>
              <w:t>（</w:t>
            </w:r>
            <w:r>
              <w:rPr>
                <w:rFonts w:hint="eastAsia" w:ascii="宋体" w:hAnsi="宋体" w:cs="Arial"/>
                <w:kern w:val="0"/>
                <w:sz w:val="22"/>
                <w:szCs w:val="22"/>
              </w:rPr>
              <w:t>参见浙人社发[2018]65号</w:t>
            </w:r>
            <w:r>
              <w:rPr>
                <w:rFonts w:ascii="宋体" w:hAnsi="宋体" w:cs="Arial"/>
                <w:kern w:val="0"/>
                <w:sz w:val="22"/>
              </w:rPr>
              <w:t>）</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19" w:type="dxa"/>
            <w:vAlign w:val="center"/>
          </w:tcPr>
          <w:p>
            <w:pPr>
              <w:widowControl/>
              <w:jc w:val="center"/>
              <w:rPr>
                <w:rFonts w:ascii="宋体" w:hAnsi="宋体" w:cs="Arial"/>
                <w:bCs/>
                <w:color w:val="000000"/>
                <w:kern w:val="0"/>
                <w:sz w:val="22"/>
                <w:szCs w:val="22"/>
              </w:rPr>
            </w:pPr>
            <w:r>
              <w:rPr>
                <w:rFonts w:hint="eastAsia" w:ascii="宋体" w:hAnsi="宋体" w:cs="Arial"/>
                <w:bCs/>
                <w:kern w:val="0"/>
                <w:sz w:val="22"/>
              </w:rPr>
              <w:t>6</w:t>
            </w:r>
          </w:p>
        </w:tc>
        <w:tc>
          <w:tcPr>
            <w:tcW w:w="1875" w:type="dxa"/>
            <w:vAlign w:val="center"/>
          </w:tcPr>
          <w:p>
            <w:pPr>
              <w:widowControl/>
              <w:jc w:val="center"/>
              <w:rPr>
                <w:rFonts w:ascii="宋体" w:hAnsi="宋体" w:cs="Arial"/>
                <w:bCs/>
                <w:color w:val="000000"/>
                <w:kern w:val="0"/>
                <w:sz w:val="22"/>
                <w:szCs w:val="22"/>
              </w:rPr>
            </w:pPr>
            <w:r>
              <w:rPr>
                <w:rFonts w:ascii="宋体" w:hAnsi="宋体" w:cs="Arial"/>
                <w:bCs/>
                <w:kern w:val="0"/>
                <w:sz w:val="22"/>
              </w:rPr>
              <w:t>人身意外伤害险</w:t>
            </w:r>
          </w:p>
        </w:tc>
        <w:tc>
          <w:tcPr>
            <w:tcW w:w="2835" w:type="dxa"/>
            <w:gridSpan w:val="3"/>
            <w:vAlign w:val="center"/>
          </w:tcPr>
          <w:p>
            <w:pPr>
              <w:widowControl/>
              <w:jc w:val="center"/>
              <w:rPr>
                <w:rFonts w:ascii="宋体" w:hAnsi="宋体" w:cs="Arial"/>
                <w:bCs/>
                <w:color w:val="000000"/>
                <w:kern w:val="0"/>
                <w:sz w:val="22"/>
                <w:szCs w:val="22"/>
              </w:rPr>
            </w:pPr>
            <w:r>
              <w:rPr>
                <w:rFonts w:hint="eastAsia" w:ascii="宋体" w:hAnsi="宋体" w:cs="Arial"/>
                <w:bCs/>
                <w:kern w:val="0"/>
                <w:sz w:val="22"/>
              </w:rPr>
              <w:t>600</w:t>
            </w:r>
          </w:p>
        </w:tc>
        <w:tc>
          <w:tcPr>
            <w:tcW w:w="3969" w:type="dxa"/>
            <w:vAlign w:val="center"/>
          </w:tcPr>
          <w:p>
            <w:pPr>
              <w:widowControl/>
              <w:jc w:val="left"/>
              <w:rPr>
                <w:rFonts w:ascii="宋体" w:hAnsi="宋体" w:cs="Arial"/>
                <w:color w:val="000000"/>
                <w:kern w:val="0"/>
                <w:sz w:val="22"/>
                <w:szCs w:val="22"/>
              </w:rPr>
            </w:pPr>
            <w:r>
              <w:rPr>
                <w:rFonts w:ascii="宋体" w:hAnsi="宋体" w:cs="Arial"/>
                <w:kern w:val="0"/>
                <w:sz w:val="22"/>
              </w:rPr>
              <w:t>▲保额</w:t>
            </w:r>
            <w:r>
              <w:rPr>
                <w:rFonts w:hint="eastAsia" w:ascii="宋体" w:hAnsi="宋体" w:cs="Arial"/>
                <w:kern w:val="0"/>
                <w:sz w:val="22"/>
              </w:rPr>
              <w:t>按1年不低于</w:t>
            </w:r>
            <w:r>
              <w:rPr>
                <w:rFonts w:ascii="宋体" w:hAnsi="宋体" w:cs="Arial"/>
                <w:kern w:val="0"/>
                <w:sz w:val="22"/>
              </w:rPr>
              <w:t>50万</w:t>
            </w:r>
            <w:r>
              <w:rPr>
                <w:rFonts w:hint="eastAsia" w:ascii="宋体" w:hAnsi="宋体" w:cs="Arial"/>
                <w:kern w:val="0"/>
                <w:sz w:val="22"/>
              </w:rPr>
              <w:t>元</w:t>
            </w:r>
            <w:r>
              <w:rPr>
                <w:rFonts w:ascii="宋体" w:hAnsi="宋体" w:cs="Arial"/>
                <w:kern w:val="0"/>
                <w:sz w:val="22"/>
              </w:rPr>
              <w:t>（死亡、残疾）（</w:t>
            </w:r>
            <w:r>
              <w:rPr>
                <w:rFonts w:hint="eastAsia" w:ascii="宋体" w:hAnsi="宋体" w:cs="Arial"/>
                <w:kern w:val="0"/>
                <w:sz w:val="22"/>
              </w:rPr>
              <w:t>参考报价</w:t>
            </w:r>
            <w:r>
              <w:rPr>
                <w:rFonts w:ascii="宋体" w:hAnsi="宋体" w:cs="Arial"/>
                <w:kern w:val="0"/>
                <w:sz w:val="22"/>
              </w:rPr>
              <w:t>）</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819" w:type="dxa"/>
            <w:vAlign w:val="center"/>
          </w:tcPr>
          <w:p>
            <w:pPr>
              <w:widowControl/>
              <w:jc w:val="center"/>
              <w:rPr>
                <w:rFonts w:ascii="宋体" w:hAnsi="宋体" w:cs="Arial"/>
                <w:bCs/>
                <w:color w:val="000000"/>
                <w:kern w:val="0"/>
                <w:sz w:val="22"/>
                <w:szCs w:val="22"/>
              </w:rPr>
            </w:pPr>
            <w:r>
              <w:rPr>
                <w:rFonts w:hint="eastAsia" w:ascii="宋体" w:hAnsi="宋体" w:cs="Arial"/>
                <w:bCs/>
                <w:kern w:val="0"/>
                <w:sz w:val="22"/>
              </w:rPr>
              <w:t>7</w:t>
            </w:r>
          </w:p>
        </w:tc>
        <w:tc>
          <w:tcPr>
            <w:tcW w:w="1875" w:type="dxa"/>
            <w:vAlign w:val="center"/>
          </w:tcPr>
          <w:p>
            <w:pPr>
              <w:widowControl/>
              <w:jc w:val="center"/>
            </w:pPr>
            <w:r>
              <w:rPr>
                <w:rFonts w:ascii="宋体" w:hAnsi="宋体" w:cs="Arial"/>
                <w:bCs/>
                <w:kern w:val="0"/>
                <w:sz w:val="22"/>
              </w:rPr>
              <w:t>安</w:t>
            </w:r>
            <w:r>
              <w:rPr>
                <w:rFonts w:hint="eastAsia" w:ascii="宋体" w:hAnsi="宋体" w:cs="Arial"/>
                <w:bCs/>
                <w:kern w:val="0"/>
                <w:sz w:val="22"/>
              </w:rPr>
              <w:t>全保障用具、服装及工具保养费</w:t>
            </w:r>
          </w:p>
        </w:tc>
        <w:tc>
          <w:tcPr>
            <w:tcW w:w="2835" w:type="dxa"/>
            <w:gridSpan w:val="3"/>
            <w:vAlign w:val="center"/>
          </w:tcPr>
          <w:p>
            <w:pPr>
              <w:widowControl/>
              <w:jc w:val="center"/>
              <w:rPr>
                <w:rFonts w:ascii="宋体" w:hAnsi="宋体" w:cs="Arial"/>
                <w:bCs/>
                <w:color w:val="000000"/>
                <w:kern w:val="0"/>
                <w:sz w:val="22"/>
                <w:szCs w:val="22"/>
              </w:rPr>
            </w:pPr>
            <w:r>
              <w:rPr>
                <w:rFonts w:hint="eastAsia" w:ascii="宋体" w:hAnsi="宋体" w:cs="Arial"/>
                <w:bCs/>
                <w:kern w:val="0"/>
                <w:sz w:val="22"/>
              </w:rPr>
              <w:t>800</w:t>
            </w:r>
          </w:p>
        </w:tc>
        <w:tc>
          <w:tcPr>
            <w:tcW w:w="3969" w:type="dxa"/>
            <w:vAlign w:val="center"/>
          </w:tcPr>
          <w:p>
            <w:pPr>
              <w:widowControl/>
              <w:jc w:val="left"/>
              <w:rPr>
                <w:rFonts w:ascii="宋体" w:hAnsi="宋体" w:cs="Arial"/>
                <w:color w:val="000000"/>
                <w:kern w:val="0"/>
                <w:sz w:val="22"/>
                <w:szCs w:val="22"/>
              </w:rPr>
            </w:pPr>
            <w:r>
              <w:rPr>
                <w:rFonts w:hint="eastAsia" w:ascii="宋体" w:hAnsi="宋体" w:cs="Arial"/>
                <w:kern w:val="0"/>
                <w:sz w:val="22"/>
              </w:rPr>
              <w:t>包含：工具、工作岗位牌、作业服（夏装一套、冬装一套、雨天工作服一套）、反光背心一件、雨鞋一双等。</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2694" w:type="dxa"/>
            <w:gridSpan w:val="2"/>
            <w:vAlign w:val="center"/>
          </w:tcPr>
          <w:p>
            <w:pPr>
              <w:widowControl/>
              <w:jc w:val="center"/>
              <w:textAlignment w:val="center"/>
              <w:rPr>
                <w:rFonts w:ascii="宋体" w:hAnsi="宋体" w:cs="Arial"/>
                <w:bCs/>
                <w:kern w:val="0"/>
                <w:sz w:val="22"/>
              </w:rPr>
            </w:pPr>
            <w:r>
              <w:rPr>
                <w:rFonts w:ascii="宋体" w:hAnsi="宋体" w:cs="Arial"/>
                <w:bCs/>
                <w:kern w:val="0"/>
                <w:sz w:val="22"/>
              </w:rPr>
              <w:t>合计（元/人）</w:t>
            </w:r>
          </w:p>
        </w:tc>
        <w:tc>
          <w:tcPr>
            <w:tcW w:w="2835" w:type="dxa"/>
            <w:gridSpan w:val="3"/>
            <w:vAlign w:val="center"/>
          </w:tcPr>
          <w:p>
            <w:pPr>
              <w:widowControl/>
              <w:jc w:val="center"/>
              <w:rPr>
                <w:rFonts w:ascii="宋体" w:hAnsi="宋体" w:cs="Arial"/>
                <w:bCs/>
                <w:kern w:val="0"/>
                <w:sz w:val="22"/>
              </w:rPr>
            </w:pPr>
            <w:r>
              <w:rPr>
                <w:rFonts w:hint="eastAsia" w:ascii="宋体" w:hAnsi="宋体" w:cs="Arial"/>
                <w:bCs/>
                <w:kern w:val="0"/>
                <w:sz w:val="22"/>
              </w:rPr>
              <w:t>40419.8</w:t>
            </w:r>
          </w:p>
        </w:tc>
        <w:tc>
          <w:tcPr>
            <w:tcW w:w="3969" w:type="dxa"/>
            <w:vAlign w:val="center"/>
          </w:tcPr>
          <w:p>
            <w:pPr>
              <w:widowControl/>
              <w:jc w:val="center"/>
              <w:rPr>
                <w:rFonts w:ascii="宋体" w:hAnsi="宋体" w:cs="Arial"/>
                <w:kern w:val="0"/>
                <w:sz w:val="22"/>
              </w:rPr>
            </w:pPr>
          </w:p>
        </w:tc>
      </w:tr>
    </w:tbl>
    <w:p>
      <w:pPr>
        <w:pStyle w:val="24"/>
        <w:adjustRightInd w:val="0"/>
        <w:snapToGrid w:val="0"/>
        <w:spacing w:line="460" w:lineRule="atLeast"/>
        <w:rPr>
          <w:rFonts w:hAnsi="宋体"/>
          <w:b/>
          <w:bCs/>
          <w:color w:val="000000"/>
          <w:sz w:val="32"/>
          <w:szCs w:val="32"/>
        </w:rPr>
      </w:pPr>
      <w:r>
        <w:rPr>
          <w:rFonts w:hint="eastAsia" w:hAnsi="宋体" w:cs="Arial"/>
          <w:b/>
          <w:bCs/>
          <w:sz w:val="22"/>
          <w:szCs w:val="22"/>
        </w:rPr>
        <w:t>▲8、巡查人员工资结合参照《浙江省水利厅关于进一步加强水库山塘巡查员管理的通知》（浙水管[2013]78号）规定。</w:t>
      </w:r>
    </w:p>
    <w:p>
      <w:pPr>
        <w:adjustRightInd w:val="0"/>
        <w:spacing w:beforeLines="100" w:line="430" w:lineRule="atLeast"/>
        <w:jc w:val="center"/>
        <w:outlineLvl w:val="0"/>
        <w:rPr>
          <w:rFonts w:ascii="宋体" w:hAnsi="宋体"/>
          <w:b/>
          <w:color w:val="000000"/>
          <w:sz w:val="32"/>
          <w:szCs w:val="32"/>
        </w:rPr>
      </w:pPr>
    </w:p>
    <w:p>
      <w:pPr>
        <w:adjustRightInd w:val="0"/>
        <w:spacing w:beforeLines="100" w:line="430" w:lineRule="atLeast"/>
        <w:jc w:val="center"/>
        <w:outlineLvl w:val="0"/>
        <w:rPr>
          <w:rFonts w:ascii="宋体" w:hAnsi="宋体"/>
          <w:b/>
          <w:color w:val="000000"/>
          <w:sz w:val="32"/>
          <w:szCs w:val="32"/>
        </w:rPr>
      </w:pPr>
      <w:r>
        <w:rPr>
          <w:rFonts w:hint="eastAsia" w:ascii="宋体" w:hAnsi="宋体"/>
          <w:b/>
          <w:color w:val="000000"/>
          <w:sz w:val="32"/>
          <w:szCs w:val="32"/>
        </w:rPr>
        <w:br w:type="page"/>
      </w:r>
      <w:bookmarkStart w:id="30" w:name="_Toc23261_WPSOffice_Level1"/>
      <w:bookmarkStart w:id="31" w:name="_Toc17374_WPSOffice_Level1"/>
      <w:r>
        <w:rPr>
          <w:rFonts w:hint="eastAsia" w:ascii="宋体" w:hAnsi="宋体"/>
          <w:b/>
          <w:color w:val="000000"/>
          <w:sz w:val="32"/>
          <w:szCs w:val="32"/>
        </w:rPr>
        <w:t>第四部分  供应商须知</w:t>
      </w:r>
      <w:bookmarkEnd w:id="30"/>
      <w:bookmarkEnd w:id="31"/>
    </w:p>
    <w:p>
      <w:pPr>
        <w:autoSpaceDE w:val="0"/>
        <w:autoSpaceDN w:val="0"/>
        <w:adjustRightInd w:val="0"/>
        <w:snapToGrid w:val="0"/>
        <w:spacing w:line="454" w:lineRule="atLeast"/>
        <w:textAlignment w:val="bottom"/>
        <w:outlineLvl w:val="0"/>
        <w:rPr>
          <w:rFonts w:ascii="宋体" w:hAnsi="宋体"/>
          <w:sz w:val="22"/>
          <w:szCs w:val="22"/>
        </w:rPr>
      </w:pPr>
      <w:bookmarkStart w:id="32" w:name="_Toc157410882"/>
      <w:r>
        <w:rPr>
          <w:rFonts w:hint="eastAsia" w:ascii="宋体" w:hAnsi="宋体"/>
          <w:sz w:val="22"/>
          <w:szCs w:val="22"/>
        </w:rPr>
        <w:t>一、说明</w:t>
      </w:r>
    </w:p>
    <w:p>
      <w:pPr>
        <w:autoSpaceDE w:val="0"/>
        <w:autoSpaceDN w:val="0"/>
        <w:adjustRightInd w:val="0"/>
        <w:snapToGrid w:val="0"/>
        <w:spacing w:line="460" w:lineRule="atLeast"/>
        <w:ind w:firstLine="431" w:firstLineChars="196"/>
        <w:textAlignment w:val="bottom"/>
        <w:rPr>
          <w:rFonts w:ascii="宋体"/>
          <w:sz w:val="22"/>
          <w:szCs w:val="22"/>
        </w:rPr>
      </w:pPr>
      <w:r>
        <w:rPr>
          <w:rFonts w:hint="eastAsia" w:ascii="宋体" w:hAnsi="宋体"/>
          <w:color w:val="000000"/>
          <w:sz w:val="22"/>
          <w:szCs w:val="22"/>
        </w:rPr>
        <w:t>1、</w:t>
      </w:r>
      <w:r>
        <w:rPr>
          <w:rFonts w:hint="eastAsia" w:ascii="宋体"/>
          <w:sz w:val="22"/>
          <w:szCs w:val="22"/>
        </w:rPr>
        <w:t>本次采购工作是按照</w:t>
      </w:r>
      <w:r>
        <w:rPr>
          <w:rFonts w:ascii="宋体" w:cs="Arial"/>
          <w:sz w:val="22"/>
          <w:szCs w:val="22"/>
        </w:rPr>
        <w:t>《中华人民共和国政府采购法》</w:t>
      </w:r>
      <w:r>
        <w:rPr>
          <w:rFonts w:hint="eastAsia" w:ascii="宋体" w:cs="Arial"/>
          <w:sz w:val="22"/>
          <w:szCs w:val="22"/>
        </w:rPr>
        <w:t>、</w:t>
      </w:r>
      <w:r>
        <w:rPr>
          <w:rFonts w:ascii="宋体" w:cs="Arial"/>
          <w:sz w:val="22"/>
          <w:szCs w:val="22"/>
        </w:rPr>
        <w:t>《政府采购货物和服务招标投标管理办法》和《关于进一步规范政府采购活动的若干意见》</w:t>
      </w:r>
      <w:r>
        <w:rPr>
          <w:rFonts w:hint="eastAsia" w:ascii="宋体"/>
          <w:sz w:val="22"/>
          <w:szCs w:val="22"/>
        </w:rPr>
        <w:t>及相关法律规章组织和实施。</w:t>
      </w:r>
    </w:p>
    <w:p>
      <w:pPr>
        <w:adjustRightInd w:val="0"/>
        <w:spacing w:line="430" w:lineRule="atLeast"/>
        <w:ind w:firstLine="433" w:firstLineChars="196"/>
        <w:rPr>
          <w:rFonts w:ascii="宋体"/>
          <w:b/>
          <w:sz w:val="22"/>
          <w:szCs w:val="22"/>
          <w:u w:val="single"/>
        </w:rPr>
      </w:pPr>
      <w:r>
        <w:rPr>
          <w:rFonts w:hint="eastAsia" w:ascii="宋体"/>
          <w:b/>
          <w:sz w:val="22"/>
          <w:szCs w:val="22"/>
          <w:u w:val="single"/>
        </w:rPr>
        <w:t>2、本采购项目为龙港市水利工程运行维修项目，包括维修、保洁、材料、材料所需的加工设备、施工及安装等有关本项目的一切费用。供应商必须根据自己的技术和商务优势对此项目的全部内容进行投标，不得只投其中一部分内容，只对部分内容进行报价的供应商将按无效投标处理。</w:t>
      </w:r>
    </w:p>
    <w:p>
      <w:pPr>
        <w:adjustRightInd w:val="0"/>
        <w:spacing w:line="430" w:lineRule="atLeast"/>
        <w:ind w:firstLine="431" w:firstLineChars="196"/>
        <w:rPr>
          <w:rFonts w:ascii="宋体"/>
          <w:sz w:val="22"/>
          <w:szCs w:val="22"/>
        </w:rPr>
      </w:pPr>
      <w:r>
        <w:rPr>
          <w:rFonts w:hint="eastAsia" w:ascii="宋体"/>
          <w:sz w:val="22"/>
          <w:szCs w:val="22"/>
        </w:rPr>
        <w:t>3、无论投标过程中的作法和结果如何，供应商自行承担投标活动中所发生的全部费用，采购人有权选择中标供应商的供货及服务范围。</w:t>
      </w:r>
    </w:p>
    <w:p>
      <w:pPr>
        <w:adjustRightInd w:val="0"/>
        <w:spacing w:line="430" w:lineRule="atLeast"/>
        <w:ind w:right="109" w:rightChars="52" w:firstLine="431" w:firstLineChars="196"/>
        <w:rPr>
          <w:rFonts w:ascii="宋体" w:hAnsi="宋体"/>
          <w:bCs/>
          <w:sz w:val="22"/>
        </w:rPr>
      </w:pPr>
      <w:r>
        <w:rPr>
          <w:rFonts w:hint="eastAsia" w:ascii="宋体" w:hAnsi="宋体"/>
          <w:bCs/>
          <w:sz w:val="22"/>
        </w:rPr>
        <w:t>4、根据《关于政府采购竞争性磋商采购方式管理暂行办法有关问题的补充通知》财库〔2015〕124号）以及《财政部关于印发&lt;政府采购竞争性磋商采购方式管理暂行办法&gt;的通知》（财库〔2014〕214号）规定：采用竞争性磋商采购方式采购的政府购买服务项目（含政府和社会资本合作项目），在采购过程中符合要求的投标人（社会资本）只有2家的，竞争性磋商采购活动可以继续进行。采购过程中符合要求的投标人（社会资本）只有1家的，采购人（项目实施机构）或者采购代理机构应当终止竞争性磋商采购活动，发布项目终止公告并说明原因，重新开展采购活动。</w:t>
      </w:r>
    </w:p>
    <w:p>
      <w:pPr>
        <w:adjustRightInd w:val="0"/>
        <w:spacing w:line="430" w:lineRule="atLeast"/>
        <w:ind w:firstLine="433" w:firstLineChars="196"/>
        <w:rPr>
          <w:rFonts w:ascii="宋体"/>
          <w:b/>
          <w:sz w:val="22"/>
          <w:szCs w:val="22"/>
        </w:rPr>
      </w:pPr>
      <w:r>
        <w:rPr>
          <w:rFonts w:hint="eastAsia" w:ascii="宋体"/>
          <w:b/>
          <w:sz w:val="22"/>
          <w:szCs w:val="22"/>
        </w:rPr>
        <w:t>5、</w:t>
      </w:r>
      <w:r>
        <w:rPr>
          <w:rFonts w:hint="eastAsia" w:ascii="宋体"/>
          <w:b/>
          <w:color w:val="000000"/>
          <w:sz w:val="22"/>
          <w:szCs w:val="22"/>
          <w:u w:val="single"/>
        </w:rPr>
        <w:t>招标文件中所列的品牌型号仅为参考，是为了对拟投标的设备、材料的技术指标和功能要求更好的说明，欢迎其他能满足本项目技术需求且性能与所明确品牌相当的产品参加。</w:t>
      </w:r>
    </w:p>
    <w:p>
      <w:pPr>
        <w:adjustRightInd w:val="0"/>
        <w:spacing w:line="430" w:lineRule="atLeast"/>
        <w:ind w:firstLine="431" w:firstLineChars="196"/>
        <w:rPr>
          <w:rFonts w:ascii="宋体"/>
          <w:b/>
          <w:sz w:val="22"/>
          <w:szCs w:val="22"/>
        </w:rPr>
      </w:pPr>
      <w:r>
        <w:rPr>
          <w:rFonts w:hint="eastAsia" w:ascii="宋体"/>
          <w:sz w:val="22"/>
          <w:szCs w:val="22"/>
        </w:rPr>
        <w:t>6、</w:t>
      </w:r>
      <w:r>
        <w:rPr>
          <w:rFonts w:hint="eastAsia" w:ascii="宋体"/>
          <w:b/>
          <w:sz w:val="22"/>
          <w:szCs w:val="22"/>
          <w:u w:val="single"/>
        </w:rPr>
        <w:t>本项目采用包干方式（除维修养护外，维修养护实行实报实销动态管理），项目实施过程中合同价格不予调整（除维修养护外，维修养护实行实报实销动态管理）。</w:t>
      </w:r>
      <w:r>
        <w:rPr>
          <w:rFonts w:hint="eastAsia" w:ascii="宋体"/>
          <w:b/>
          <w:sz w:val="22"/>
          <w:szCs w:val="22"/>
        </w:rPr>
        <w:t>供应商须自行现场勘察，以求得准确的报价依据。供应商须自行考虑投标报价的风险。</w:t>
      </w:r>
    </w:p>
    <w:p>
      <w:pPr>
        <w:adjustRightInd w:val="0"/>
        <w:spacing w:line="430" w:lineRule="atLeast"/>
        <w:ind w:firstLine="431" w:firstLineChars="196"/>
        <w:rPr>
          <w:rFonts w:ascii="宋体"/>
          <w:color w:val="000000"/>
          <w:sz w:val="22"/>
          <w:lang w:val="zh-CN"/>
        </w:rPr>
      </w:pPr>
      <w:r>
        <w:rPr>
          <w:rFonts w:hint="eastAsia" w:ascii="宋体"/>
          <w:sz w:val="22"/>
          <w:szCs w:val="22"/>
        </w:rPr>
        <w:t>7、</w:t>
      </w:r>
      <w:r>
        <w:rPr>
          <w:rFonts w:hint="eastAsia" w:ascii="宋体"/>
          <w:color w:val="000000"/>
          <w:sz w:val="22"/>
          <w:lang w:val="zh-CN"/>
        </w:rPr>
        <w:t>本项目如涉及国家规定强制认证的，供应商所投标设备均应符合工业品生产许可证，3C认证，节能环保设备认证等强制认证规定。且中标供应商须在采购人对本项目验收时提供相关证书证明资料，否则做验收不能通过处理，并对中标供应商处以合同总金额10%的违约金罚款。</w:t>
      </w:r>
    </w:p>
    <w:p>
      <w:pPr>
        <w:autoSpaceDE w:val="0"/>
        <w:autoSpaceDN w:val="0"/>
        <w:adjustRightInd w:val="0"/>
        <w:snapToGrid w:val="0"/>
        <w:spacing w:line="460" w:lineRule="atLeast"/>
        <w:ind w:firstLine="433" w:firstLineChars="196"/>
        <w:jc w:val="left"/>
        <w:textAlignment w:val="bottom"/>
        <w:rPr>
          <w:rFonts w:ascii="宋体"/>
          <w:b/>
          <w:color w:val="000000"/>
          <w:sz w:val="22"/>
          <w:lang w:val="zh-CN"/>
        </w:rPr>
      </w:pPr>
      <w:r>
        <w:rPr>
          <w:rFonts w:hint="eastAsia" w:ascii="宋体" w:hAnsi="宋体"/>
          <w:b/>
          <w:color w:val="000000"/>
          <w:sz w:val="22"/>
          <w:szCs w:val="22"/>
        </w:rPr>
        <w:t>★8、</w:t>
      </w:r>
      <w:r>
        <w:rPr>
          <w:rFonts w:hint="eastAsia" w:ascii="宋体" w:hAnsi="宋体"/>
          <w:b/>
          <w:color w:val="000000"/>
          <w:sz w:val="22"/>
          <w:szCs w:val="22"/>
          <w:u w:val="single"/>
        </w:rPr>
        <w:t>供应商须自费到采购人处现场踏勘，以了解采购人需求，取得准确的报价依据。</w:t>
      </w:r>
    </w:p>
    <w:p>
      <w:pPr>
        <w:spacing w:line="440" w:lineRule="atLeast"/>
        <w:ind w:firstLine="434"/>
        <w:rPr>
          <w:rFonts w:ascii="宋体" w:hAnsi="宋体"/>
          <w:b/>
          <w:color w:val="000000"/>
          <w:sz w:val="22"/>
          <w:szCs w:val="22"/>
        </w:rPr>
      </w:pPr>
      <w:r>
        <w:rPr>
          <w:rFonts w:hint="eastAsia" w:ascii="宋体" w:hAnsi="宋体"/>
          <w:b/>
          <w:color w:val="000000"/>
          <w:sz w:val="22"/>
          <w:szCs w:val="22"/>
        </w:rPr>
        <w:t>★</w:t>
      </w:r>
      <w:r>
        <w:rPr>
          <w:rFonts w:hint="eastAsia" w:ascii="宋体"/>
          <w:b/>
          <w:color w:val="000000"/>
          <w:sz w:val="22"/>
          <w:szCs w:val="22"/>
        </w:rPr>
        <w:t>9、</w:t>
      </w:r>
      <w:r>
        <w:rPr>
          <w:rFonts w:hint="eastAsia" w:ascii="宋体" w:hAnsi="宋体"/>
          <w:b/>
          <w:sz w:val="22"/>
          <w:szCs w:val="22"/>
        </w:rPr>
        <w:t>本项目采购预算</w:t>
      </w:r>
      <w:r>
        <w:rPr>
          <w:rFonts w:hint="eastAsia" w:ascii="宋体"/>
          <w:b/>
          <w:color w:val="000000"/>
          <w:sz w:val="22"/>
          <w:szCs w:val="22"/>
          <w:u w:val="single"/>
        </w:rPr>
        <w:t>128.6735</w:t>
      </w:r>
      <w:r>
        <w:rPr>
          <w:rFonts w:hint="eastAsia" w:ascii="宋体"/>
          <w:b/>
          <w:color w:val="000000"/>
          <w:sz w:val="22"/>
          <w:szCs w:val="22"/>
        </w:rPr>
        <w:t>万</w:t>
      </w:r>
      <w:r>
        <w:rPr>
          <w:rFonts w:hint="eastAsia" w:ascii="宋体" w:hAnsi="宋体"/>
          <w:b/>
          <w:sz w:val="22"/>
          <w:szCs w:val="22"/>
        </w:rPr>
        <w:t>元。</w:t>
      </w:r>
      <w:r>
        <w:rPr>
          <w:rFonts w:hint="eastAsia" w:ascii="宋体"/>
          <w:b/>
          <w:color w:val="000000"/>
          <w:sz w:val="22"/>
          <w:szCs w:val="22"/>
        </w:rPr>
        <w:t>某些（</w:t>
      </w:r>
      <w:r>
        <w:rPr>
          <w:rFonts w:hint="eastAsia" w:ascii="宋体" w:hAnsi="宋体"/>
          <w:b/>
          <w:color w:val="000000"/>
          <w:sz w:val="22"/>
          <w:szCs w:val="22"/>
        </w:rPr>
        <w:t>个</w:t>
      </w:r>
      <w:r>
        <w:rPr>
          <w:rFonts w:hint="eastAsia" w:ascii="宋体"/>
          <w:b/>
          <w:color w:val="000000"/>
          <w:sz w:val="22"/>
          <w:szCs w:val="22"/>
        </w:rPr>
        <w:t>）</w:t>
      </w:r>
      <w:r>
        <w:rPr>
          <w:rFonts w:hint="eastAsia" w:ascii="宋体" w:hAnsi="宋体"/>
          <w:b/>
          <w:color w:val="000000"/>
          <w:sz w:val="22"/>
          <w:szCs w:val="22"/>
        </w:rPr>
        <w:t>供应商投标报价超出预算的，则拒绝接受其该投标报价，该供应商投标按无效投标处理。</w:t>
      </w:r>
    </w:p>
    <w:p>
      <w:pPr>
        <w:autoSpaceDE w:val="0"/>
        <w:autoSpaceDN w:val="0"/>
        <w:adjustRightInd w:val="0"/>
        <w:snapToGrid w:val="0"/>
        <w:spacing w:line="460" w:lineRule="atLeast"/>
        <w:ind w:firstLine="433" w:firstLineChars="196"/>
        <w:textAlignment w:val="bottom"/>
        <w:rPr>
          <w:rFonts w:ascii="宋体" w:hAnsi="宋体"/>
          <w:b/>
          <w:color w:val="0000FF"/>
          <w:sz w:val="22"/>
          <w:szCs w:val="22"/>
        </w:rPr>
      </w:pPr>
      <w:r>
        <w:rPr>
          <w:rFonts w:hint="eastAsia" w:ascii="宋体" w:hAnsi="宋体"/>
          <w:b/>
          <w:color w:val="000000"/>
          <w:sz w:val="22"/>
          <w:szCs w:val="22"/>
        </w:rPr>
        <w:t>★</w:t>
      </w:r>
      <w:r>
        <w:rPr>
          <w:rFonts w:hint="eastAsia" w:ascii="宋体"/>
          <w:b/>
          <w:sz w:val="22"/>
          <w:szCs w:val="22"/>
          <w:u w:val="single"/>
        </w:rPr>
        <w:t>10、供应商如果报名后不来参与投标要在投标截止前3天给予书面告知。</w:t>
      </w:r>
    </w:p>
    <w:p>
      <w:pPr>
        <w:autoSpaceDE w:val="0"/>
        <w:autoSpaceDN w:val="0"/>
        <w:adjustRightInd w:val="0"/>
        <w:snapToGrid w:val="0"/>
        <w:spacing w:line="454" w:lineRule="atLeast"/>
        <w:textAlignment w:val="bottom"/>
        <w:outlineLvl w:val="0"/>
        <w:rPr>
          <w:rFonts w:ascii="宋体" w:hAnsi="宋体"/>
          <w:sz w:val="22"/>
          <w:szCs w:val="22"/>
        </w:rPr>
      </w:pPr>
      <w:r>
        <w:rPr>
          <w:rFonts w:hint="eastAsia" w:ascii="宋体" w:hAnsi="宋体"/>
          <w:sz w:val="22"/>
          <w:szCs w:val="22"/>
        </w:rPr>
        <w:t>二、供应商资格要求</w:t>
      </w:r>
    </w:p>
    <w:p>
      <w:pPr>
        <w:autoSpaceDE w:val="0"/>
        <w:autoSpaceDN w:val="0"/>
        <w:adjustRightInd w:val="0"/>
        <w:snapToGrid w:val="0"/>
        <w:spacing w:line="454" w:lineRule="atLeast"/>
        <w:ind w:firstLine="431" w:firstLineChars="196"/>
        <w:textAlignment w:val="bottom"/>
        <w:rPr>
          <w:rFonts w:ascii="宋体" w:hAnsi="宋体"/>
          <w:sz w:val="22"/>
          <w:szCs w:val="22"/>
        </w:rPr>
      </w:pPr>
      <w:r>
        <w:rPr>
          <w:rFonts w:hint="eastAsia" w:ascii="宋体" w:hAnsi="宋体"/>
          <w:sz w:val="22"/>
          <w:szCs w:val="22"/>
        </w:rPr>
        <w:t>按招标公告要求</w:t>
      </w:r>
    </w:p>
    <w:p>
      <w:pPr>
        <w:autoSpaceDE w:val="0"/>
        <w:autoSpaceDN w:val="0"/>
        <w:adjustRightInd w:val="0"/>
        <w:snapToGrid w:val="0"/>
        <w:spacing w:line="454" w:lineRule="atLeast"/>
        <w:textAlignment w:val="bottom"/>
        <w:outlineLvl w:val="0"/>
        <w:rPr>
          <w:rFonts w:ascii="宋体" w:hAnsi="宋体"/>
          <w:sz w:val="22"/>
          <w:szCs w:val="22"/>
        </w:rPr>
      </w:pPr>
      <w:r>
        <w:rPr>
          <w:rFonts w:hint="eastAsia" w:ascii="宋体" w:hAnsi="宋体"/>
          <w:sz w:val="22"/>
          <w:szCs w:val="22"/>
        </w:rPr>
        <w:t>三、磋商文件</w:t>
      </w:r>
    </w:p>
    <w:p>
      <w:pPr>
        <w:autoSpaceDE w:val="0"/>
        <w:autoSpaceDN w:val="0"/>
        <w:adjustRightInd w:val="0"/>
        <w:snapToGrid w:val="0"/>
        <w:spacing w:line="454" w:lineRule="atLeast"/>
        <w:ind w:firstLine="431" w:firstLineChars="196"/>
        <w:textAlignment w:val="bottom"/>
        <w:rPr>
          <w:rFonts w:ascii="宋体" w:hAnsi="宋体"/>
          <w:sz w:val="22"/>
          <w:szCs w:val="22"/>
        </w:rPr>
      </w:pPr>
      <w:r>
        <w:rPr>
          <w:rFonts w:hint="eastAsia" w:ascii="宋体" w:hAnsi="宋体"/>
          <w:sz w:val="22"/>
          <w:szCs w:val="22"/>
        </w:rPr>
        <w:t>1、磋商文件</w:t>
      </w:r>
    </w:p>
    <w:p>
      <w:pPr>
        <w:autoSpaceDE w:val="0"/>
        <w:autoSpaceDN w:val="0"/>
        <w:adjustRightInd w:val="0"/>
        <w:snapToGrid w:val="0"/>
        <w:spacing w:line="454" w:lineRule="atLeast"/>
        <w:ind w:firstLine="431" w:firstLineChars="196"/>
        <w:textAlignment w:val="bottom"/>
        <w:rPr>
          <w:rFonts w:ascii="宋体" w:hAnsi="宋体"/>
          <w:sz w:val="22"/>
          <w:szCs w:val="22"/>
        </w:rPr>
      </w:pPr>
      <w:r>
        <w:rPr>
          <w:rFonts w:hint="eastAsia" w:ascii="宋体" w:hAnsi="宋体"/>
          <w:sz w:val="22"/>
          <w:szCs w:val="22"/>
        </w:rPr>
        <w:t>1.1磋商文件发放</w:t>
      </w:r>
    </w:p>
    <w:p>
      <w:pPr>
        <w:autoSpaceDE w:val="0"/>
        <w:autoSpaceDN w:val="0"/>
        <w:adjustRightInd w:val="0"/>
        <w:snapToGrid w:val="0"/>
        <w:spacing w:line="454" w:lineRule="atLeast"/>
        <w:ind w:firstLine="431" w:firstLineChars="196"/>
        <w:textAlignment w:val="bottom"/>
        <w:rPr>
          <w:rFonts w:ascii="宋体" w:hAnsi="宋体"/>
          <w:sz w:val="22"/>
          <w:szCs w:val="22"/>
        </w:rPr>
      </w:pPr>
      <w:r>
        <w:rPr>
          <w:rFonts w:hint="eastAsia" w:ascii="宋体" w:hAnsi="宋体"/>
          <w:sz w:val="22"/>
          <w:szCs w:val="22"/>
        </w:rPr>
        <w:t>供应商在购买标书的同时须填写购买磋商文件登记表。</w:t>
      </w:r>
    </w:p>
    <w:p>
      <w:pPr>
        <w:autoSpaceDE w:val="0"/>
        <w:autoSpaceDN w:val="0"/>
        <w:adjustRightInd w:val="0"/>
        <w:snapToGrid w:val="0"/>
        <w:spacing w:line="454" w:lineRule="atLeast"/>
        <w:ind w:firstLine="431" w:firstLineChars="196"/>
        <w:textAlignment w:val="bottom"/>
        <w:rPr>
          <w:rFonts w:ascii="宋体" w:hAnsi="宋体"/>
          <w:sz w:val="22"/>
          <w:szCs w:val="22"/>
        </w:rPr>
      </w:pPr>
      <w:r>
        <w:rPr>
          <w:rFonts w:hint="eastAsia" w:ascii="宋体" w:hAnsi="宋体"/>
          <w:sz w:val="22"/>
          <w:szCs w:val="22"/>
        </w:rPr>
        <w:t>1.2磋商文件约束力</w:t>
      </w:r>
    </w:p>
    <w:p>
      <w:pPr>
        <w:autoSpaceDE w:val="0"/>
        <w:autoSpaceDN w:val="0"/>
        <w:adjustRightInd w:val="0"/>
        <w:snapToGrid w:val="0"/>
        <w:spacing w:line="454" w:lineRule="atLeast"/>
        <w:ind w:firstLine="431" w:firstLineChars="196"/>
        <w:textAlignment w:val="bottom"/>
        <w:rPr>
          <w:rFonts w:ascii="宋体" w:hAnsi="宋体"/>
          <w:color w:val="000000"/>
          <w:sz w:val="22"/>
          <w:szCs w:val="22"/>
          <w:u w:val="single"/>
        </w:rPr>
      </w:pPr>
      <w:r>
        <w:rPr>
          <w:rFonts w:hint="eastAsia" w:ascii="宋体" w:hAnsi="宋体"/>
          <w:color w:val="000000"/>
          <w:sz w:val="22"/>
          <w:szCs w:val="22"/>
          <w:u w:val="single"/>
        </w:rPr>
        <w:t>▲供应商一旦购买了本磋商文件并参加投标，即被认为接受了本磋商文件中所有条款和规定。</w:t>
      </w:r>
    </w:p>
    <w:p>
      <w:pPr>
        <w:autoSpaceDE w:val="0"/>
        <w:autoSpaceDN w:val="0"/>
        <w:adjustRightInd w:val="0"/>
        <w:snapToGrid w:val="0"/>
        <w:spacing w:line="454" w:lineRule="atLeast"/>
        <w:ind w:firstLine="431" w:firstLineChars="196"/>
        <w:textAlignment w:val="bottom"/>
        <w:rPr>
          <w:rFonts w:ascii="宋体" w:hAnsi="宋体"/>
          <w:sz w:val="22"/>
          <w:szCs w:val="22"/>
        </w:rPr>
      </w:pPr>
      <w:r>
        <w:rPr>
          <w:rFonts w:hint="eastAsia" w:ascii="宋体" w:hAnsi="宋体"/>
          <w:sz w:val="22"/>
          <w:szCs w:val="22"/>
        </w:rPr>
        <w:t>1.3磋商文件的组成</w:t>
      </w:r>
    </w:p>
    <w:p>
      <w:pPr>
        <w:autoSpaceDE w:val="0"/>
        <w:autoSpaceDN w:val="0"/>
        <w:adjustRightInd w:val="0"/>
        <w:snapToGrid w:val="0"/>
        <w:spacing w:line="454" w:lineRule="atLeast"/>
        <w:ind w:firstLine="431" w:firstLineChars="196"/>
        <w:textAlignment w:val="bottom"/>
        <w:rPr>
          <w:rFonts w:ascii="宋体" w:hAnsi="宋体"/>
          <w:sz w:val="22"/>
          <w:szCs w:val="22"/>
        </w:rPr>
      </w:pPr>
      <w:r>
        <w:rPr>
          <w:rFonts w:hint="eastAsia" w:ascii="宋体" w:hAnsi="宋体"/>
          <w:sz w:val="22"/>
          <w:szCs w:val="22"/>
        </w:rPr>
        <w:t>磋商文件由磋商文件总目录所列内容及补充资料等组成。</w:t>
      </w:r>
    </w:p>
    <w:p>
      <w:pPr>
        <w:autoSpaceDE w:val="0"/>
        <w:autoSpaceDN w:val="0"/>
        <w:adjustRightInd w:val="0"/>
        <w:snapToGrid w:val="0"/>
        <w:spacing w:line="454" w:lineRule="atLeast"/>
        <w:ind w:firstLine="431" w:firstLineChars="196"/>
        <w:textAlignment w:val="bottom"/>
        <w:rPr>
          <w:rFonts w:ascii="宋体" w:hAnsi="宋体"/>
          <w:sz w:val="22"/>
          <w:szCs w:val="22"/>
        </w:rPr>
      </w:pPr>
      <w:r>
        <w:rPr>
          <w:rFonts w:hint="eastAsia" w:ascii="宋体" w:hAnsi="宋体"/>
          <w:sz w:val="22"/>
          <w:szCs w:val="22"/>
        </w:rPr>
        <w:t>2、磋商文件的澄清</w:t>
      </w:r>
    </w:p>
    <w:p>
      <w:pPr>
        <w:autoSpaceDE w:val="0"/>
        <w:autoSpaceDN w:val="0"/>
        <w:adjustRightInd w:val="0"/>
        <w:snapToGrid w:val="0"/>
        <w:spacing w:line="454" w:lineRule="atLeast"/>
        <w:ind w:firstLine="431" w:firstLineChars="196"/>
        <w:textAlignment w:val="bottom"/>
        <w:rPr>
          <w:rFonts w:ascii="宋体" w:hAnsi="宋体"/>
          <w:sz w:val="22"/>
          <w:szCs w:val="22"/>
        </w:rPr>
      </w:pPr>
      <w:r>
        <w:rPr>
          <w:rFonts w:hint="eastAsia" w:ascii="宋体" w:hAnsi="宋体"/>
          <w:sz w:val="22"/>
          <w:szCs w:val="22"/>
        </w:rPr>
        <w:t>供应商对磋商文件如有疑点要求澄清，可用书面形式（包括信函、传真，下同）通知</w:t>
      </w:r>
      <w:r>
        <w:rPr>
          <w:rFonts w:hint="eastAsia" w:ascii="宋体" w:hAnsi="宋体"/>
          <w:sz w:val="22"/>
          <w:szCs w:val="22"/>
          <w:u w:val="single"/>
        </w:rPr>
        <w:t>招标代理机构</w:t>
      </w:r>
      <w:r>
        <w:rPr>
          <w:rFonts w:hint="eastAsia" w:ascii="宋体" w:hAnsi="宋体"/>
          <w:sz w:val="22"/>
          <w:szCs w:val="22"/>
        </w:rPr>
        <w:t>，但通知不得迟于规定的质疑时间前使招标代理机构收到，招标代理机构将用书面形式予以答复。如有必要，可将不说明来源的答复发给各有关供应商。</w:t>
      </w:r>
    </w:p>
    <w:p>
      <w:pPr>
        <w:autoSpaceDE w:val="0"/>
        <w:autoSpaceDN w:val="0"/>
        <w:adjustRightInd w:val="0"/>
        <w:snapToGrid w:val="0"/>
        <w:spacing w:line="454" w:lineRule="atLeast"/>
        <w:ind w:firstLine="431" w:firstLineChars="196"/>
        <w:textAlignment w:val="bottom"/>
        <w:rPr>
          <w:rFonts w:ascii="宋体" w:hAnsi="宋体"/>
          <w:sz w:val="22"/>
          <w:szCs w:val="22"/>
        </w:rPr>
      </w:pPr>
      <w:r>
        <w:rPr>
          <w:rFonts w:hint="eastAsia" w:ascii="宋体" w:hAnsi="宋体"/>
          <w:sz w:val="22"/>
          <w:szCs w:val="22"/>
        </w:rPr>
        <w:t>3、磋商文件的修改</w:t>
      </w:r>
    </w:p>
    <w:p>
      <w:pPr>
        <w:autoSpaceDE w:val="0"/>
        <w:autoSpaceDN w:val="0"/>
        <w:adjustRightInd w:val="0"/>
        <w:snapToGrid w:val="0"/>
        <w:spacing w:line="454" w:lineRule="atLeast"/>
        <w:ind w:firstLine="431" w:firstLineChars="196"/>
        <w:textAlignment w:val="bottom"/>
        <w:rPr>
          <w:rFonts w:ascii="宋体" w:hAnsi="宋体"/>
          <w:sz w:val="22"/>
          <w:szCs w:val="22"/>
        </w:rPr>
      </w:pPr>
      <w:r>
        <w:rPr>
          <w:rFonts w:hint="eastAsia" w:ascii="宋体" w:hAnsi="宋体"/>
          <w:sz w:val="22"/>
          <w:szCs w:val="22"/>
        </w:rPr>
        <w:t>3.1 在投标截止时间前，采购人有权修改磋商文件，并以书面形式通知供应商。补充文件作为磋商文件的补充和组成部分，对所有供应商均有约束力。</w:t>
      </w:r>
    </w:p>
    <w:p>
      <w:pPr>
        <w:autoSpaceDE w:val="0"/>
        <w:autoSpaceDN w:val="0"/>
        <w:adjustRightInd w:val="0"/>
        <w:snapToGrid w:val="0"/>
        <w:spacing w:line="454" w:lineRule="atLeast"/>
        <w:ind w:firstLine="431" w:firstLineChars="196"/>
        <w:textAlignment w:val="bottom"/>
        <w:rPr>
          <w:rFonts w:ascii="宋体" w:hAnsi="宋体"/>
          <w:sz w:val="22"/>
          <w:szCs w:val="22"/>
        </w:rPr>
      </w:pPr>
      <w:r>
        <w:rPr>
          <w:rFonts w:hint="eastAsia" w:ascii="宋体" w:hAnsi="宋体"/>
          <w:sz w:val="22"/>
          <w:szCs w:val="22"/>
        </w:rPr>
        <w:t>3.2 为使供应商有足够的时间按磋商文件要求修正投标文件，采购人可酌情推迟投标截止时间和开标时间，并将此变更通知供应商。</w:t>
      </w:r>
    </w:p>
    <w:p>
      <w:pPr>
        <w:autoSpaceDE w:val="0"/>
        <w:autoSpaceDN w:val="0"/>
        <w:adjustRightInd w:val="0"/>
        <w:snapToGrid w:val="0"/>
        <w:spacing w:line="454" w:lineRule="atLeast"/>
        <w:textAlignment w:val="bottom"/>
        <w:outlineLvl w:val="0"/>
        <w:rPr>
          <w:rFonts w:ascii="宋体" w:hAnsi="宋体"/>
          <w:sz w:val="22"/>
          <w:szCs w:val="22"/>
        </w:rPr>
      </w:pPr>
      <w:r>
        <w:rPr>
          <w:rFonts w:hint="eastAsia" w:ascii="宋体" w:hAnsi="宋体"/>
          <w:sz w:val="22"/>
          <w:szCs w:val="22"/>
        </w:rPr>
        <w:t>四、磋商响应文件</w:t>
      </w:r>
    </w:p>
    <w:p>
      <w:pPr>
        <w:autoSpaceDE w:val="0"/>
        <w:autoSpaceDN w:val="0"/>
        <w:adjustRightInd w:val="0"/>
        <w:snapToGrid w:val="0"/>
        <w:spacing w:line="454" w:lineRule="atLeast"/>
        <w:ind w:firstLine="431" w:firstLineChars="196"/>
        <w:textAlignment w:val="bottom"/>
        <w:rPr>
          <w:rFonts w:ascii="宋体" w:hAnsi="宋体"/>
          <w:sz w:val="22"/>
          <w:szCs w:val="22"/>
        </w:rPr>
      </w:pPr>
      <w:r>
        <w:rPr>
          <w:rFonts w:hint="eastAsia" w:ascii="宋体" w:hAnsi="宋体"/>
          <w:sz w:val="22"/>
          <w:szCs w:val="22"/>
        </w:rPr>
        <w:t>1、磋商响应文件</w:t>
      </w:r>
    </w:p>
    <w:p>
      <w:pPr>
        <w:autoSpaceDE w:val="0"/>
        <w:autoSpaceDN w:val="0"/>
        <w:adjustRightInd w:val="0"/>
        <w:snapToGrid w:val="0"/>
        <w:spacing w:line="454" w:lineRule="atLeast"/>
        <w:ind w:firstLine="440" w:firstLineChars="200"/>
        <w:textAlignment w:val="bottom"/>
        <w:rPr>
          <w:rFonts w:ascii="宋体" w:hAnsi="宋体" w:cs="Arial"/>
          <w:sz w:val="22"/>
          <w:szCs w:val="22"/>
        </w:rPr>
      </w:pPr>
      <w:r>
        <w:rPr>
          <w:rFonts w:hint="eastAsia" w:ascii="宋体" w:hAnsi="宋体" w:cs="仿宋_GB2312"/>
          <w:sz w:val="22"/>
          <w:szCs w:val="22"/>
          <w:lang w:val="zh-CN"/>
        </w:rPr>
        <w:t>1.1</w:t>
      </w:r>
      <w:r>
        <w:rPr>
          <w:rFonts w:hint="eastAsia" w:ascii="宋体" w:hAnsi="宋体" w:cs="Arial"/>
          <w:sz w:val="22"/>
          <w:szCs w:val="22"/>
        </w:rPr>
        <w:t>供应商应仔细阅读磋商文件中的所有内容，按照磋商文件及招标货物技术规格要求，详细编制</w:t>
      </w:r>
      <w:r>
        <w:rPr>
          <w:rFonts w:hint="eastAsia" w:ascii="宋体" w:hAnsi="宋体"/>
          <w:sz w:val="22"/>
          <w:szCs w:val="22"/>
        </w:rPr>
        <w:t>磋商响应</w:t>
      </w:r>
      <w:r>
        <w:rPr>
          <w:rFonts w:hint="eastAsia" w:ascii="宋体" w:hAnsi="宋体" w:cs="Arial"/>
          <w:sz w:val="22"/>
          <w:szCs w:val="22"/>
        </w:rPr>
        <w:t>文件。并对招标文件的要求做出实质上响应。实质上响应的投标应该是与磋商文件要求的条款没有重大偏离的投标。未实质上响应的</w:t>
      </w:r>
      <w:r>
        <w:rPr>
          <w:rFonts w:hint="eastAsia" w:ascii="宋体" w:hAnsi="宋体"/>
          <w:sz w:val="22"/>
          <w:szCs w:val="22"/>
        </w:rPr>
        <w:t>磋商响应</w:t>
      </w:r>
      <w:r>
        <w:rPr>
          <w:rFonts w:hint="eastAsia" w:ascii="宋体" w:hAnsi="宋体" w:cs="Arial"/>
          <w:sz w:val="22"/>
          <w:szCs w:val="22"/>
        </w:rPr>
        <w:t>文件将被拒绝，但允许投标货物在基本满足招标货物技术要求的前提下出现的微小差异。</w:t>
      </w:r>
    </w:p>
    <w:p>
      <w:pPr>
        <w:autoSpaceDE w:val="0"/>
        <w:autoSpaceDN w:val="0"/>
        <w:adjustRightInd w:val="0"/>
        <w:snapToGrid w:val="0"/>
        <w:spacing w:line="454" w:lineRule="atLeast"/>
        <w:ind w:firstLine="440" w:firstLineChars="200"/>
        <w:textAlignment w:val="bottom"/>
        <w:rPr>
          <w:rFonts w:ascii="宋体" w:hAnsi="宋体" w:cs="Arial"/>
          <w:sz w:val="22"/>
          <w:szCs w:val="22"/>
        </w:rPr>
      </w:pPr>
      <w:r>
        <w:rPr>
          <w:rFonts w:hint="eastAsia" w:ascii="宋体" w:hAnsi="宋体" w:cs="仿宋_GB2312"/>
          <w:sz w:val="22"/>
          <w:szCs w:val="22"/>
          <w:lang w:val="zh-CN"/>
        </w:rPr>
        <w:t>1.2</w:t>
      </w:r>
      <w:r>
        <w:rPr>
          <w:rFonts w:hint="eastAsia" w:ascii="宋体" w:hAnsi="宋体" w:cs="Arial"/>
          <w:sz w:val="22"/>
          <w:szCs w:val="22"/>
        </w:rPr>
        <w:t>供应商必须按磋商文件的要求提供相关技术参数、资料，包括采用的计量单位，并保证投标文件的正确性和真实性。磋商文件全部内容应保持一致，否则可能导致不利于其投标的评定甚至被拒绝。技术和商务如有偏离均应填写偏离表。</w:t>
      </w:r>
    </w:p>
    <w:p>
      <w:pPr>
        <w:autoSpaceDE w:val="0"/>
        <w:autoSpaceDN w:val="0"/>
        <w:adjustRightInd w:val="0"/>
        <w:snapToGrid w:val="0"/>
        <w:spacing w:line="454" w:lineRule="atLeast"/>
        <w:ind w:firstLine="431" w:firstLineChars="196"/>
        <w:textAlignment w:val="bottom"/>
        <w:rPr>
          <w:rFonts w:ascii="宋体" w:hAnsi="宋体"/>
          <w:sz w:val="22"/>
          <w:szCs w:val="22"/>
        </w:rPr>
      </w:pPr>
      <w:r>
        <w:rPr>
          <w:rFonts w:hint="eastAsia" w:ascii="宋体" w:hAnsi="宋体" w:cs="仿宋_GB2312"/>
          <w:sz w:val="22"/>
          <w:szCs w:val="22"/>
          <w:lang w:val="zh-CN"/>
        </w:rPr>
        <w:t>1.3供应商应仔细阅读磋商文件中的所有内容，按照磋商文件要求，详细编制</w:t>
      </w:r>
      <w:r>
        <w:rPr>
          <w:rFonts w:hint="eastAsia" w:ascii="宋体" w:hAnsi="宋体"/>
          <w:sz w:val="22"/>
          <w:szCs w:val="22"/>
        </w:rPr>
        <w:t>磋商响应</w:t>
      </w:r>
      <w:r>
        <w:rPr>
          <w:rFonts w:hint="eastAsia" w:ascii="宋体" w:hAnsi="宋体" w:cs="仿宋_GB2312"/>
          <w:sz w:val="22"/>
          <w:szCs w:val="22"/>
          <w:lang w:val="zh-CN"/>
        </w:rPr>
        <w:t>文件，所有文件资料必须是针对本次投标。不按招标文件的要求提供的</w:t>
      </w:r>
      <w:r>
        <w:rPr>
          <w:rFonts w:hint="eastAsia" w:ascii="宋体" w:hAnsi="宋体"/>
          <w:sz w:val="22"/>
          <w:szCs w:val="22"/>
        </w:rPr>
        <w:t>磋商响应</w:t>
      </w:r>
      <w:r>
        <w:rPr>
          <w:rFonts w:hint="eastAsia" w:ascii="宋体" w:hAnsi="宋体" w:cs="仿宋_GB2312"/>
          <w:sz w:val="22"/>
          <w:szCs w:val="22"/>
          <w:lang w:val="zh-CN"/>
        </w:rPr>
        <w:t>文件可能导致被拒绝。</w:t>
      </w:r>
    </w:p>
    <w:p>
      <w:pPr>
        <w:autoSpaceDE w:val="0"/>
        <w:autoSpaceDN w:val="0"/>
        <w:adjustRightInd w:val="0"/>
        <w:snapToGrid w:val="0"/>
        <w:spacing w:line="454" w:lineRule="atLeast"/>
        <w:ind w:firstLine="431" w:firstLineChars="196"/>
        <w:textAlignment w:val="bottom"/>
        <w:rPr>
          <w:rFonts w:ascii="宋体" w:hAnsi="宋体"/>
          <w:sz w:val="22"/>
          <w:szCs w:val="22"/>
        </w:rPr>
      </w:pPr>
      <w:r>
        <w:rPr>
          <w:rFonts w:hint="eastAsia" w:ascii="宋体" w:hAnsi="宋体"/>
          <w:sz w:val="22"/>
          <w:szCs w:val="22"/>
        </w:rPr>
        <w:t xml:space="preserve">2、磋商响应文件的组成  </w:t>
      </w:r>
    </w:p>
    <w:p>
      <w:pPr>
        <w:autoSpaceDE w:val="0"/>
        <w:autoSpaceDN w:val="0"/>
        <w:adjustRightInd w:val="0"/>
        <w:snapToGrid w:val="0"/>
        <w:spacing w:line="454" w:lineRule="atLeast"/>
        <w:ind w:firstLine="431" w:firstLineChars="196"/>
        <w:textAlignment w:val="bottom"/>
        <w:rPr>
          <w:rFonts w:ascii="宋体" w:hAnsi="宋体"/>
          <w:sz w:val="22"/>
          <w:szCs w:val="22"/>
        </w:rPr>
      </w:pPr>
      <w:r>
        <w:rPr>
          <w:rFonts w:hint="eastAsia" w:ascii="宋体" w:hAnsi="宋体"/>
          <w:color w:val="000000"/>
          <w:sz w:val="22"/>
          <w:szCs w:val="22"/>
          <w:u w:val="single"/>
        </w:rPr>
        <w:t>▲</w:t>
      </w:r>
      <w:r>
        <w:rPr>
          <w:rFonts w:hint="eastAsia" w:ascii="宋体" w:hAnsi="宋体" w:cs="Arial"/>
          <w:b/>
          <w:bCs/>
          <w:sz w:val="22"/>
          <w:szCs w:val="22"/>
          <w:u w:val="single"/>
        </w:rPr>
        <w:t>磋商响应文件由商务报价部分、技术资信部分及证书原件三部分组成，商务报价部分、技术资信部分可合并装订（投标人应当按照磋商文件的要求编制响应文件，并对其提交的响应文件的真实性、合法性承担法律责任）。</w:t>
      </w:r>
    </w:p>
    <w:p>
      <w:pPr>
        <w:autoSpaceDE w:val="0"/>
        <w:autoSpaceDN w:val="0"/>
        <w:adjustRightInd w:val="0"/>
        <w:snapToGrid w:val="0"/>
        <w:spacing w:line="454" w:lineRule="atLeast"/>
        <w:ind w:firstLine="442" w:firstLineChars="200"/>
        <w:rPr>
          <w:rFonts w:ascii="宋体" w:hAnsi="宋体" w:cs="仿宋_GB2312"/>
          <w:b/>
          <w:sz w:val="22"/>
          <w:szCs w:val="22"/>
          <w:lang w:val="zh-CN"/>
        </w:rPr>
      </w:pPr>
      <w:r>
        <w:rPr>
          <w:rFonts w:hint="eastAsia" w:ascii="宋体" w:hAnsi="宋体" w:cs="仿宋_GB2312"/>
          <w:b/>
          <w:sz w:val="22"/>
          <w:szCs w:val="22"/>
          <w:lang w:val="zh-CN"/>
        </w:rPr>
        <w:t>2.1</w:t>
      </w:r>
      <w:r>
        <w:rPr>
          <w:rFonts w:hint="eastAsia" w:ascii="宋体" w:hAnsi="宋体" w:cs="Arial"/>
          <w:b/>
          <w:bCs/>
          <w:sz w:val="22"/>
          <w:szCs w:val="22"/>
          <w:u w:val="single"/>
        </w:rPr>
        <w:t>商务报价部分</w:t>
      </w:r>
      <w:r>
        <w:rPr>
          <w:rFonts w:hint="eastAsia" w:ascii="宋体" w:hAnsi="宋体" w:cs="仿宋_GB2312"/>
          <w:b/>
          <w:sz w:val="22"/>
          <w:szCs w:val="22"/>
          <w:u w:val="single"/>
          <w:lang w:val="zh-CN"/>
        </w:rPr>
        <w:t>组成</w:t>
      </w:r>
    </w:p>
    <w:p>
      <w:pPr>
        <w:autoSpaceDE w:val="0"/>
        <w:autoSpaceDN w:val="0"/>
        <w:adjustRightInd w:val="0"/>
        <w:snapToGrid w:val="0"/>
        <w:spacing w:line="454" w:lineRule="atLeast"/>
        <w:ind w:firstLine="440" w:firstLineChars="200"/>
        <w:textAlignment w:val="bottom"/>
        <w:rPr>
          <w:rFonts w:ascii="宋体" w:hAnsi="宋体"/>
          <w:sz w:val="22"/>
          <w:szCs w:val="22"/>
        </w:rPr>
      </w:pPr>
      <w:r>
        <w:rPr>
          <w:rFonts w:hint="eastAsia" w:ascii="宋体" w:hAnsi="宋体"/>
          <w:sz w:val="22"/>
          <w:szCs w:val="22"/>
        </w:rPr>
        <w:t>1）开标一览表（附件二（一））</w:t>
      </w:r>
    </w:p>
    <w:p>
      <w:pPr>
        <w:autoSpaceDE w:val="0"/>
        <w:autoSpaceDN w:val="0"/>
        <w:adjustRightInd w:val="0"/>
        <w:snapToGrid w:val="0"/>
        <w:spacing w:line="454" w:lineRule="atLeast"/>
        <w:ind w:firstLine="440" w:firstLineChars="200"/>
        <w:textAlignment w:val="bottom"/>
        <w:rPr>
          <w:rFonts w:ascii="宋体" w:hAnsi="宋体"/>
          <w:bCs/>
          <w:sz w:val="22"/>
          <w:szCs w:val="22"/>
          <w:u w:val="thick"/>
        </w:rPr>
      </w:pPr>
      <w:r>
        <w:rPr>
          <w:rFonts w:hint="eastAsia" w:ascii="宋体" w:hAnsi="宋体"/>
          <w:sz w:val="22"/>
          <w:szCs w:val="22"/>
        </w:rPr>
        <w:t>2）</w:t>
      </w:r>
      <w:r>
        <w:rPr>
          <w:rFonts w:hint="eastAsia" w:ascii="新宋体" w:hAnsi="新宋体" w:eastAsia="新宋体"/>
          <w:sz w:val="22"/>
          <w:szCs w:val="22"/>
        </w:rPr>
        <w:t>投标分项报价表</w:t>
      </w:r>
      <w:r>
        <w:rPr>
          <w:rFonts w:hint="eastAsia" w:ascii="宋体" w:hAnsi="宋体"/>
          <w:sz w:val="22"/>
          <w:szCs w:val="22"/>
        </w:rPr>
        <w:t>（附件二（二））</w:t>
      </w:r>
    </w:p>
    <w:p>
      <w:pPr>
        <w:autoSpaceDE w:val="0"/>
        <w:autoSpaceDN w:val="0"/>
        <w:adjustRightInd w:val="0"/>
        <w:snapToGrid w:val="0"/>
        <w:spacing w:line="454" w:lineRule="atLeast"/>
        <w:ind w:firstLine="440" w:firstLineChars="200"/>
        <w:textAlignment w:val="bottom"/>
        <w:rPr>
          <w:rFonts w:ascii="宋体" w:hAnsi="宋体"/>
          <w:sz w:val="22"/>
          <w:szCs w:val="22"/>
        </w:rPr>
      </w:pPr>
      <w:r>
        <w:rPr>
          <w:rFonts w:hint="eastAsia" w:ascii="宋体" w:hAnsi="宋体"/>
          <w:sz w:val="22"/>
          <w:szCs w:val="22"/>
        </w:rPr>
        <w:t>3）随机备品备件及专用工具清单（如有）（附件六）</w:t>
      </w:r>
    </w:p>
    <w:p>
      <w:pPr>
        <w:autoSpaceDE w:val="0"/>
        <w:autoSpaceDN w:val="0"/>
        <w:adjustRightInd w:val="0"/>
        <w:snapToGrid w:val="0"/>
        <w:spacing w:line="430" w:lineRule="atLeast"/>
        <w:ind w:firstLine="440" w:firstLineChars="200"/>
        <w:textAlignment w:val="bottom"/>
        <w:rPr>
          <w:rFonts w:ascii="宋体"/>
          <w:b/>
          <w:sz w:val="22"/>
        </w:rPr>
      </w:pPr>
      <w:r>
        <w:rPr>
          <w:rFonts w:hint="eastAsia" w:ascii="宋体"/>
          <w:sz w:val="22"/>
        </w:rPr>
        <w:t>4）产品零件、易损件、备品备件报价表（如有）（附件七）</w:t>
      </w:r>
    </w:p>
    <w:p>
      <w:pPr>
        <w:autoSpaceDE w:val="0"/>
        <w:autoSpaceDN w:val="0"/>
        <w:adjustRightInd w:val="0"/>
        <w:snapToGrid w:val="0"/>
        <w:spacing w:line="454" w:lineRule="atLeast"/>
        <w:ind w:firstLine="442" w:firstLineChars="200"/>
        <w:textAlignment w:val="bottom"/>
        <w:rPr>
          <w:rFonts w:ascii="宋体" w:hAnsi="宋体"/>
          <w:b/>
          <w:bCs/>
          <w:sz w:val="22"/>
          <w:szCs w:val="22"/>
          <w:u w:val="single"/>
        </w:rPr>
      </w:pPr>
      <w:r>
        <w:rPr>
          <w:rFonts w:hint="eastAsia" w:ascii="宋体" w:hAnsi="宋体"/>
          <w:b/>
          <w:sz w:val="22"/>
          <w:szCs w:val="22"/>
        </w:rPr>
        <w:t>2.2、</w:t>
      </w:r>
      <w:r>
        <w:rPr>
          <w:rFonts w:hint="eastAsia" w:ascii="宋体" w:hAnsi="宋体" w:cs="Arial"/>
          <w:b/>
          <w:bCs/>
          <w:sz w:val="22"/>
          <w:szCs w:val="22"/>
          <w:u w:val="single"/>
        </w:rPr>
        <w:t>技术资信部分</w:t>
      </w:r>
      <w:r>
        <w:rPr>
          <w:rFonts w:hint="eastAsia" w:ascii="宋体" w:hAnsi="宋体"/>
          <w:b/>
          <w:bCs/>
          <w:sz w:val="22"/>
          <w:szCs w:val="22"/>
          <w:u w:val="single"/>
        </w:rPr>
        <w:t>组成</w:t>
      </w:r>
    </w:p>
    <w:p>
      <w:pPr>
        <w:autoSpaceDE w:val="0"/>
        <w:autoSpaceDN w:val="0"/>
        <w:adjustRightInd w:val="0"/>
        <w:snapToGrid w:val="0"/>
        <w:spacing w:line="400" w:lineRule="atLeast"/>
        <w:ind w:firstLine="440" w:firstLineChars="200"/>
        <w:textAlignment w:val="bottom"/>
        <w:rPr>
          <w:rFonts w:ascii="宋体" w:hAnsi="宋体"/>
          <w:sz w:val="22"/>
          <w:szCs w:val="22"/>
        </w:rPr>
      </w:pPr>
      <w:r>
        <w:rPr>
          <w:rFonts w:hint="eastAsia" w:ascii="宋体" w:hAnsi="宋体"/>
          <w:sz w:val="22"/>
          <w:szCs w:val="22"/>
        </w:rPr>
        <w:t>1) 投标函（附件一）；</w:t>
      </w:r>
    </w:p>
    <w:p>
      <w:pPr>
        <w:autoSpaceDE w:val="0"/>
        <w:autoSpaceDN w:val="0"/>
        <w:adjustRightInd w:val="0"/>
        <w:snapToGrid w:val="0"/>
        <w:spacing w:line="400" w:lineRule="atLeast"/>
        <w:ind w:firstLine="440" w:firstLineChars="200"/>
        <w:textAlignment w:val="bottom"/>
        <w:rPr>
          <w:rFonts w:ascii="宋体" w:hAnsi="宋体"/>
          <w:sz w:val="22"/>
          <w:szCs w:val="22"/>
        </w:rPr>
      </w:pPr>
      <w:r>
        <w:rPr>
          <w:rFonts w:hint="eastAsia" w:ascii="宋体" w:hAnsi="宋体"/>
          <w:sz w:val="22"/>
          <w:szCs w:val="22"/>
        </w:rPr>
        <w:t>2）法定代表人授权书（附件四、一）；</w:t>
      </w:r>
    </w:p>
    <w:p>
      <w:pPr>
        <w:autoSpaceDE w:val="0"/>
        <w:autoSpaceDN w:val="0"/>
        <w:adjustRightInd w:val="0"/>
        <w:snapToGrid w:val="0"/>
        <w:spacing w:line="400" w:lineRule="atLeast"/>
        <w:ind w:firstLine="440" w:firstLineChars="200"/>
        <w:textAlignment w:val="bottom"/>
        <w:rPr>
          <w:rFonts w:ascii="宋体" w:hAnsi="宋体"/>
          <w:sz w:val="22"/>
          <w:szCs w:val="22"/>
        </w:rPr>
      </w:pPr>
      <w:r>
        <w:rPr>
          <w:rFonts w:hint="eastAsia" w:ascii="宋体" w:hAnsi="宋体"/>
          <w:sz w:val="22"/>
          <w:szCs w:val="22"/>
        </w:rPr>
        <w:t>3）投标供应商情况声明（见附件四（二））；</w:t>
      </w:r>
    </w:p>
    <w:p>
      <w:pPr>
        <w:autoSpaceDE w:val="0"/>
        <w:autoSpaceDN w:val="0"/>
        <w:adjustRightInd w:val="0"/>
        <w:snapToGrid w:val="0"/>
        <w:spacing w:line="400" w:lineRule="atLeast"/>
        <w:ind w:firstLine="440" w:firstLineChars="200"/>
        <w:textAlignment w:val="bottom"/>
        <w:rPr>
          <w:rFonts w:ascii="宋体" w:hAnsi="宋体"/>
          <w:sz w:val="22"/>
          <w:szCs w:val="22"/>
          <w:u w:val="single"/>
        </w:rPr>
      </w:pPr>
      <w:r>
        <w:rPr>
          <w:rFonts w:hint="eastAsia" w:ascii="宋体" w:hAnsi="宋体"/>
          <w:sz w:val="22"/>
          <w:szCs w:val="22"/>
        </w:rPr>
        <w:t>4）供应商营业执照、税务登记证（复印件加盖有效公章）；</w:t>
      </w:r>
    </w:p>
    <w:p>
      <w:pPr>
        <w:autoSpaceDE w:val="0"/>
        <w:autoSpaceDN w:val="0"/>
        <w:adjustRightInd w:val="0"/>
        <w:snapToGrid w:val="0"/>
        <w:spacing w:line="400" w:lineRule="atLeast"/>
        <w:ind w:firstLine="440" w:firstLineChars="200"/>
        <w:textAlignment w:val="bottom"/>
        <w:rPr>
          <w:rFonts w:ascii="宋体" w:hAnsi="宋体"/>
          <w:color w:val="FF0000"/>
          <w:sz w:val="22"/>
          <w:szCs w:val="22"/>
        </w:rPr>
      </w:pPr>
      <w:r>
        <w:rPr>
          <w:rFonts w:hint="eastAsia" w:ascii="宋体" w:hAnsi="宋体"/>
          <w:sz w:val="22"/>
          <w:szCs w:val="22"/>
        </w:rPr>
        <w:t>5）供应商质量体系认证证书、供应商相关资质、资信或信用证书（如有则提供，复印件加盖有效公章）；</w:t>
      </w:r>
    </w:p>
    <w:p>
      <w:pPr>
        <w:autoSpaceDE w:val="0"/>
        <w:autoSpaceDN w:val="0"/>
        <w:adjustRightInd w:val="0"/>
        <w:snapToGrid w:val="0"/>
        <w:spacing w:line="400" w:lineRule="atLeast"/>
        <w:ind w:firstLine="440" w:firstLineChars="200"/>
        <w:textAlignment w:val="bottom"/>
        <w:rPr>
          <w:rFonts w:ascii="新宋体" w:hAnsi="新宋体" w:eastAsia="新宋体"/>
          <w:color w:val="000000"/>
          <w:sz w:val="22"/>
          <w:szCs w:val="22"/>
        </w:rPr>
      </w:pPr>
      <w:r>
        <w:rPr>
          <w:rFonts w:hint="eastAsia" w:ascii="新宋体" w:hAnsi="新宋体" w:eastAsia="新宋体"/>
          <w:color w:val="000000"/>
          <w:sz w:val="22"/>
          <w:szCs w:val="22"/>
        </w:rPr>
        <w:t>6）</w:t>
      </w:r>
      <w:r>
        <w:rPr>
          <w:rFonts w:hint="eastAsia" w:ascii="宋体" w:hAnsi="宋体"/>
          <w:sz w:val="22"/>
          <w:szCs w:val="22"/>
        </w:rPr>
        <w:t>依法缴纳税收和社会保障金的相关材料</w:t>
      </w:r>
      <w:r>
        <w:rPr>
          <w:rFonts w:hint="eastAsia" w:ascii="新宋体" w:hAnsi="新宋体" w:eastAsia="新宋体"/>
          <w:color w:val="000000"/>
          <w:sz w:val="22"/>
          <w:szCs w:val="22"/>
        </w:rPr>
        <w:t>（</w:t>
      </w:r>
      <w:r>
        <w:rPr>
          <w:rFonts w:hint="eastAsia" w:ascii="宋体" w:hAnsi="宋体"/>
          <w:sz w:val="22"/>
          <w:szCs w:val="22"/>
        </w:rPr>
        <w:t>复印件加盖有效公章</w:t>
      </w:r>
      <w:r>
        <w:rPr>
          <w:rFonts w:hint="eastAsia" w:ascii="新宋体" w:hAnsi="新宋体" w:eastAsia="新宋体"/>
          <w:color w:val="000000"/>
          <w:sz w:val="22"/>
          <w:szCs w:val="22"/>
        </w:rPr>
        <w:t>）；</w:t>
      </w:r>
    </w:p>
    <w:p>
      <w:pPr>
        <w:autoSpaceDE w:val="0"/>
        <w:autoSpaceDN w:val="0"/>
        <w:adjustRightInd w:val="0"/>
        <w:snapToGrid w:val="0"/>
        <w:spacing w:line="400" w:lineRule="atLeast"/>
        <w:ind w:firstLine="440" w:firstLineChars="200"/>
        <w:textAlignment w:val="bottom"/>
        <w:rPr>
          <w:rFonts w:ascii="新宋体" w:hAnsi="新宋体" w:eastAsia="新宋体"/>
          <w:color w:val="000000"/>
          <w:sz w:val="22"/>
          <w:szCs w:val="22"/>
        </w:rPr>
      </w:pPr>
      <w:r>
        <w:rPr>
          <w:rFonts w:hint="eastAsia" w:ascii="新宋体" w:hAnsi="新宋体" w:eastAsia="新宋体"/>
          <w:color w:val="000000"/>
          <w:sz w:val="22"/>
          <w:szCs w:val="22"/>
        </w:rPr>
        <w:t>7）项目负责人简历表，职称证书</w:t>
      </w:r>
      <w:r>
        <w:rPr>
          <w:rFonts w:hint="eastAsia" w:hAnsi="宋体" w:eastAsia="新宋体"/>
          <w:sz w:val="22"/>
          <w:szCs w:val="22"/>
        </w:rPr>
        <w:t>（附件九）</w:t>
      </w:r>
      <w:r>
        <w:rPr>
          <w:rFonts w:hint="eastAsia" w:ascii="新宋体" w:hAnsi="新宋体" w:eastAsia="新宋体"/>
          <w:color w:val="000000"/>
          <w:sz w:val="22"/>
          <w:szCs w:val="22"/>
        </w:rPr>
        <w:t>（</w:t>
      </w:r>
      <w:r>
        <w:rPr>
          <w:rFonts w:hint="eastAsia" w:ascii="宋体" w:hAnsi="宋体"/>
          <w:sz w:val="22"/>
          <w:szCs w:val="22"/>
        </w:rPr>
        <w:t>复印件加盖有效公章</w:t>
      </w:r>
      <w:r>
        <w:rPr>
          <w:rFonts w:hint="eastAsia" w:ascii="新宋体" w:hAnsi="新宋体" w:eastAsia="新宋体"/>
          <w:color w:val="000000"/>
          <w:sz w:val="22"/>
          <w:szCs w:val="22"/>
        </w:rPr>
        <w:t>）</w:t>
      </w:r>
    </w:p>
    <w:p>
      <w:pPr>
        <w:autoSpaceDE w:val="0"/>
        <w:autoSpaceDN w:val="0"/>
        <w:adjustRightInd w:val="0"/>
        <w:snapToGrid w:val="0"/>
        <w:spacing w:line="400" w:lineRule="atLeast"/>
        <w:ind w:firstLine="440" w:firstLineChars="200"/>
        <w:textAlignment w:val="bottom"/>
        <w:rPr>
          <w:rFonts w:ascii="宋体" w:hAnsi="宋体"/>
          <w:sz w:val="22"/>
          <w:szCs w:val="22"/>
        </w:rPr>
      </w:pPr>
      <w:r>
        <w:rPr>
          <w:rFonts w:hint="eastAsia" w:ascii="宋体" w:hAnsi="宋体"/>
          <w:sz w:val="22"/>
          <w:szCs w:val="22"/>
        </w:rPr>
        <w:t>8）针对本项目的项目部班子成员组成，并提供相关职业资格、上岗证书、学历证书等（附件八）（复印件加盖公章）</w:t>
      </w:r>
    </w:p>
    <w:p>
      <w:pPr>
        <w:autoSpaceDE w:val="0"/>
        <w:autoSpaceDN w:val="0"/>
        <w:adjustRightInd w:val="0"/>
        <w:snapToGrid w:val="0"/>
        <w:spacing w:line="400" w:lineRule="atLeast"/>
        <w:ind w:firstLine="440" w:firstLineChars="200"/>
        <w:textAlignment w:val="bottom"/>
        <w:rPr>
          <w:rFonts w:ascii="宋体" w:hAnsi="宋体"/>
          <w:sz w:val="22"/>
          <w:szCs w:val="22"/>
        </w:rPr>
      </w:pPr>
      <w:r>
        <w:rPr>
          <w:rFonts w:hint="eastAsia" w:ascii="宋体" w:hAnsi="宋体"/>
          <w:sz w:val="22"/>
          <w:szCs w:val="22"/>
        </w:rPr>
        <w:t>9) 商务响应表（附件三（一））、技术响应表</w:t>
      </w:r>
      <w:r>
        <w:rPr>
          <w:rFonts w:hint="eastAsia" w:ascii="宋体" w:hAnsi="宋体"/>
          <w:sz w:val="22"/>
          <w:szCs w:val="22"/>
          <w:u w:val="single"/>
        </w:rPr>
        <w:t>（如有偏离须明确列出）（</w:t>
      </w:r>
      <w:r>
        <w:rPr>
          <w:rFonts w:hint="eastAsia" w:ascii="宋体" w:hAnsi="宋体"/>
          <w:sz w:val="22"/>
          <w:szCs w:val="22"/>
        </w:rPr>
        <w:t>附件三（二））；</w:t>
      </w:r>
    </w:p>
    <w:p>
      <w:pPr>
        <w:autoSpaceDE w:val="0"/>
        <w:autoSpaceDN w:val="0"/>
        <w:adjustRightInd w:val="0"/>
        <w:snapToGrid w:val="0"/>
        <w:spacing w:line="400" w:lineRule="atLeast"/>
        <w:ind w:firstLine="440" w:firstLineChars="200"/>
        <w:textAlignment w:val="bottom"/>
        <w:rPr>
          <w:rFonts w:ascii="宋体" w:hAnsi="宋体"/>
          <w:sz w:val="22"/>
          <w:szCs w:val="22"/>
        </w:rPr>
      </w:pPr>
      <w:r>
        <w:rPr>
          <w:rFonts w:hint="eastAsia" w:ascii="新宋体" w:hAnsi="新宋体" w:eastAsia="新宋体"/>
          <w:color w:val="000000"/>
          <w:sz w:val="22"/>
          <w:szCs w:val="22"/>
        </w:rPr>
        <w:t>10）</w:t>
      </w:r>
      <w:r>
        <w:rPr>
          <w:rFonts w:hint="eastAsia" w:ascii="宋体" w:hAnsi="宋体"/>
          <w:sz w:val="22"/>
          <w:szCs w:val="22"/>
        </w:rPr>
        <w:t>办公管理处设立承诺书（附件五）</w:t>
      </w:r>
    </w:p>
    <w:p>
      <w:pPr>
        <w:autoSpaceDE w:val="0"/>
        <w:autoSpaceDN w:val="0"/>
        <w:adjustRightInd w:val="0"/>
        <w:snapToGrid w:val="0"/>
        <w:spacing w:line="400" w:lineRule="atLeast"/>
        <w:ind w:firstLine="440" w:firstLineChars="200"/>
        <w:textAlignment w:val="bottom"/>
        <w:rPr>
          <w:rFonts w:ascii="宋体" w:hAnsi="宋体"/>
          <w:sz w:val="22"/>
          <w:szCs w:val="22"/>
        </w:rPr>
      </w:pPr>
      <w:r>
        <w:rPr>
          <w:rFonts w:hint="eastAsia" w:ascii="宋体" w:hAnsi="宋体"/>
          <w:sz w:val="22"/>
          <w:szCs w:val="22"/>
        </w:rPr>
        <w:t>11）售后服务详细的计划方案说明与承诺、产品的质量保证期，距离采购人最近的售后服务机构的详细介绍、服务机构总负责人，电话，地址，技术力量配置等（如有）。</w:t>
      </w:r>
    </w:p>
    <w:p>
      <w:pPr>
        <w:autoSpaceDE w:val="0"/>
        <w:autoSpaceDN w:val="0"/>
        <w:adjustRightInd w:val="0"/>
        <w:snapToGrid w:val="0"/>
        <w:spacing w:line="400" w:lineRule="atLeast"/>
        <w:ind w:firstLine="440" w:firstLineChars="200"/>
        <w:textAlignment w:val="bottom"/>
        <w:outlineLvl w:val="0"/>
        <w:rPr>
          <w:rFonts w:ascii="宋体" w:hAnsi="宋体"/>
          <w:sz w:val="22"/>
          <w:szCs w:val="22"/>
        </w:rPr>
      </w:pPr>
      <w:r>
        <w:rPr>
          <w:rFonts w:hint="eastAsia" w:ascii="宋体" w:hAnsi="宋体"/>
          <w:sz w:val="22"/>
          <w:szCs w:val="22"/>
        </w:rPr>
        <w:t>12）优惠条件</w:t>
      </w:r>
    </w:p>
    <w:p>
      <w:pPr>
        <w:widowControl/>
        <w:autoSpaceDE w:val="0"/>
        <w:autoSpaceDN w:val="0"/>
        <w:adjustRightInd w:val="0"/>
        <w:snapToGrid w:val="0"/>
        <w:spacing w:line="400" w:lineRule="atLeast"/>
        <w:ind w:firstLine="440" w:firstLineChars="200"/>
        <w:textAlignment w:val="bottom"/>
        <w:rPr>
          <w:rFonts w:ascii="宋体" w:hAnsi="宋体"/>
          <w:color w:val="000000"/>
          <w:sz w:val="22"/>
          <w:szCs w:val="22"/>
        </w:rPr>
      </w:pPr>
      <w:r>
        <w:rPr>
          <w:rFonts w:hint="eastAsia" w:ascii="宋体" w:hAnsi="宋体"/>
          <w:sz w:val="22"/>
          <w:szCs w:val="22"/>
        </w:rPr>
        <w:t>供应商承诺给予用户的其他优惠条件，包括</w:t>
      </w:r>
      <w:r>
        <w:rPr>
          <w:rFonts w:hint="eastAsia" w:ascii="宋体" w:hAnsi="宋体"/>
          <w:color w:val="000000"/>
          <w:sz w:val="22"/>
          <w:szCs w:val="22"/>
        </w:rPr>
        <w:t>售后服务详细的计划方案说明与承诺、产品的质量保证期等（如有）。</w:t>
      </w:r>
    </w:p>
    <w:p>
      <w:pPr>
        <w:widowControl/>
        <w:autoSpaceDE w:val="0"/>
        <w:autoSpaceDN w:val="0"/>
        <w:adjustRightInd w:val="0"/>
        <w:snapToGrid w:val="0"/>
        <w:spacing w:line="400" w:lineRule="atLeast"/>
        <w:ind w:firstLine="440" w:firstLineChars="200"/>
        <w:textAlignment w:val="bottom"/>
        <w:rPr>
          <w:rFonts w:ascii="宋体" w:hAnsi="宋体"/>
          <w:color w:val="000000"/>
          <w:sz w:val="22"/>
          <w:szCs w:val="22"/>
        </w:rPr>
      </w:pPr>
      <w:r>
        <w:rPr>
          <w:rFonts w:hint="eastAsia" w:ascii="宋体" w:hAnsi="宋体"/>
          <w:color w:val="000000"/>
          <w:sz w:val="22"/>
          <w:szCs w:val="22"/>
        </w:rPr>
        <w:t>13）供应商可以在投标文件中对采购设备的技术规格要求提出推荐和替代意见，但所提出的意见应优于招标文件中提出的相应要求；</w:t>
      </w:r>
    </w:p>
    <w:p>
      <w:pPr>
        <w:widowControl/>
        <w:autoSpaceDE w:val="0"/>
        <w:autoSpaceDN w:val="0"/>
        <w:adjustRightInd w:val="0"/>
        <w:snapToGrid w:val="0"/>
        <w:spacing w:line="400" w:lineRule="atLeast"/>
        <w:ind w:firstLine="440" w:firstLineChars="200"/>
        <w:textAlignment w:val="bottom"/>
      </w:pPr>
      <w:r>
        <w:rPr>
          <w:rFonts w:hint="eastAsia" w:ascii="宋体" w:hAnsi="宋体"/>
          <w:color w:val="000000"/>
          <w:sz w:val="22"/>
          <w:szCs w:val="22"/>
        </w:rPr>
        <w:t>14) 中小企业声证明材料（</w:t>
      </w:r>
      <w:r>
        <w:rPr>
          <w:rFonts w:hint="eastAsia" w:ascii="宋体" w:hAnsi="宋体"/>
          <w:color w:val="000000"/>
          <w:sz w:val="22"/>
          <w:szCs w:val="22"/>
          <w:lang w:val="zh-CN"/>
        </w:rPr>
        <w:t>附件</w:t>
      </w:r>
      <w:r>
        <w:rPr>
          <w:rFonts w:hint="eastAsia" w:ascii="宋体" w:hAnsi="宋体"/>
          <w:color w:val="000000"/>
          <w:sz w:val="22"/>
          <w:szCs w:val="22"/>
        </w:rPr>
        <w:t>十</w:t>
      </w:r>
      <w:r>
        <w:rPr>
          <w:rFonts w:hint="eastAsia" w:ascii="宋体" w:hAnsi="宋体"/>
          <w:color w:val="000000"/>
          <w:sz w:val="22"/>
          <w:szCs w:val="22"/>
          <w:lang w:val="zh-CN"/>
        </w:rPr>
        <w:t>）</w:t>
      </w:r>
      <w:r>
        <w:rPr>
          <w:rFonts w:hint="eastAsia" w:ascii="宋体" w:hAnsi="宋体"/>
          <w:color w:val="000000"/>
          <w:sz w:val="22"/>
          <w:szCs w:val="22"/>
        </w:rPr>
        <w:t>；</w:t>
      </w:r>
    </w:p>
    <w:p>
      <w:pPr>
        <w:autoSpaceDE w:val="0"/>
        <w:autoSpaceDN w:val="0"/>
        <w:adjustRightInd w:val="0"/>
        <w:spacing w:line="520" w:lineRule="exact"/>
        <w:ind w:firstLine="440" w:firstLineChars="200"/>
        <w:textAlignment w:val="bottom"/>
        <w:rPr>
          <w:rFonts w:ascii="宋体" w:hAnsi="宋体"/>
          <w:sz w:val="22"/>
          <w:szCs w:val="22"/>
        </w:rPr>
      </w:pPr>
      <w:r>
        <w:rPr>
          <w:rFonts w:hint="eastAsia" w:ascii="宋体" w:hAnsi="宋体"/>
          <w:sz w:val="22"/>
          <w:szCs w:val="22"/>
        </w:rPr>
        <w:t>15）根据招标文件中的采购内容与技术要求，需要提供的其它文件和资料</w:t>
      </w:r>
    </w:p>
    <w:p>
      <w:pPr>
        <w:autoSpaceDE w:val="0"/>
        <w:autoSpaceDN w:val="0"/>
        <w:adjustRightInd w:val="0"/>
        <w:spacing w:line="520" w:lineRule="exact"/>
        <w:ind w:firstLine="442" w:firstLineChars="200"/>
        <w:textAlignment w:val="bottom"/>
        <w:rPr>
          <w:rFonts w:ascii="宋体" w:hAnsi="宋体"/>
          <w:b/>
          <w:bCs/>
          <w:sz w:val="22"/>
          <w:szCs w:val="22"/>
        </w:rPr>
      </w:pPr>
      <w:r>
        <w:rPr>
          <w:rFonts w:hint="eastAsia" w:ascii="宋体" w:hAnsi="宋体" w:cs="Arial"/>
          <w:b/>
          <w:sz w:val="22"/>
          <w:szCs w:val="22"/>
        </w:rPr>
        <w:t>16）投标人针对评标细则，编制目录索引，注明评标细则项目所在投标文件页码，格式自拟。</w:t>
      </w:r>
    </w:p>
    <w:p>
      <w:pPr>
        <w:autoSpaceDE w:val="0"/>
        <w:autoSpaceDN w:val="0"/>
        <w:adjustRightInd w:val="0"/>
        <w:snapToGrid w:val="0"/>
        <w:spacing w:line="454" w:lineRule="atLeast"/>
        <w:ind w:firstLine="440" w:firstLineChars="200"/>
        <w:textAlignment w:val="bottom"/>
        <w:outlineLvl w:val="0"/>
        <w:rPr>
          <w:rFonts w:ascii="宋体" w:hAnsi="宋体"/>
          <w:sz w:val="22"/>
          <w:szCs w:val="22"/>
        </w:rPr>
      </w:pPr>
      <w:r>
        <w:rPr>
          <w:rFonts w:hint="eastAsia" w:ascii="宋体" w:hAnsi="宋体"/>
          <w:sz w:val="22"/>
          <w:szCs w:val="22"/>
        </w:rPr>
        <w:t>17）</w:t>
      </w:r>
      <w:r>
        <w:rPr>
          <w:rFonts w:hint="eastAsia" w:ascii="宋体" w:hAnsi="宋体"/>
          <w:b/>
          <w:color w:val="000000"/>
          <w:sz w:val="22"/>
          <w:szCs w:val="22"/>
        </w:rPr>
        <w:t>▲</w:t>
      </w:r>
      <w:r>
        <w:rPr>
          <w:rFonts w:hint="eastAsia" w:ascii="宋体" w:hAnsi="宋体"/>
          <w:b/>
          <w:sz w:val="22"/>
          <w:szCs w:val="22"/>
        </w:rPr>
        <w:t>以上资料如为复印件（复印件加盖有效公章），投标文件需提供</w:t>
      </w:r>
      <w:r>
        <w:rPr>
          <w:rFonts w:hint="eastAsia" w:ascii="宋体" w:hAnsi="宋体"/>
          <w:b/>
          <w:sz w:val="22"/>
          <w:szCs w:val="22"/>
          <w:u w:val="single"/>
        </w:rPr>
        <w:t>5）</w:t>
      </w:r>
      <w:r>
        <w:rPr>
          <w:rFonts w:hint="eastAsia" w:ascii="宋体" w:hAnsi="宋体"/>
          <w:b/>
          <w:sz w:val="22"/>
          <w:szCs w:val="22"/>
        </w:rPr>
        <w:t>、</w:t>
      </w:r>
      <w:r>
        <w:rPr>
          <w:rFonts w:hint="eastAsia" w:ascii="宋体" w:hAnsi="宋体"/>
          <w:b/>
          <w:sz w:val="22"/>
          <w:szCs w:val="22"/>
          <w:u w:val="single"/>
        </w:rPr>
        <w:t>7）</w:t>
      </w:r>
      <w:r>
        <w:rPr>
          <w:rFonts w:hint="eastAsia" w:ascii="宋体" w:hAnsi="宋体"/>
          <w:b/>
          <w:sz w:val="22"/>
          <w:szCs w:val="22"/>
        </w:rPr>
        <w:t>、</w:t>
      </w:r>
      <w:r>
        <w:rPr>
          <w:rFonts w:hint="eastAsia" w:ascii="宋体" w:hAnsi="宋体"/>
          <w:b/>
          <w:sz w:val="22"/>
          <w:szCs w:val="22"/>
          <w:u w:val="single"/>
        </w:rPr>
        <w:t>8）</w:t>
      </w:r>
      <w:r>
        <w:rPr>
          <w:rFonts w:hint="eastAsia" w:ascii="宋体" w:hAnsi="宋体"/>
          <w:b/>
          <w:sz w:val="22"/>
          <w:szCs w:val="22"/>
        </w:rPr>
        <w:t>原件（项目负责人职称证书、水闸运行工证书、电工证书），招标文件中要求的原件需在投标截止时间前提供有效，没有提供相关原件做无效标处理；</w:t>
      </w:r>
    </w:p>
    <w:p>
      <w:pPr>
        <w:autoSpaceDE w:val="0"/>
        <w:autoSpaceDN w:val="0"/>
        <w:adjustRightInd w:val="0"/>
        <w:snapToGrid w:val="0"/>
        <w:spacing w:line="454" w:lineRule="atLeast"/>
        <w:ind w:firstLine="440" w:firstLineChars="200"/>
        <w:textAlignment w:val="bottom"/>
        <w:rPr>
          <w:rFonts w:ascii="宋体" w:hAnsi="宋体" w:cs="Arial"/>
          <w:sz w:val="22"/>
          <w:szCs w:val="22"/>
        </w:rPr>
      </w:pPr>
      <w:r>
        <w:rPr>
          <w:rFonts w:hint="eastAsia" w:ascii="宋体" w:hAnsi="宋体" w:cs="Arial"/>
          <w:sz w:val="22"/>
          <w:szCs w:val="22"/>
        </w:rPr>
        <w:t>3、磋商响应内容填写说明</w:t>
      </w:r>
    </w:p>
    <w:p>
      <w:pPr>
        <w:autoSpaceDE w:val="0"/>
        <w:autoSpaceDN w:val="0"/>
        <w:adjustRightInd w:val="0"/>
        <w:snapToGrid w:val="0"/>
        <w:spacing w:line="454" w:lineRule="atLeast"/>
        <w:ind w:firstLine="440" w:firstLineChars="200"/>
        <w:textAlignment w:val="bottom"/>
        <w:rPr>
          <w:rFonts w:ascii="宋体" w:hAnsi="宋体" w:cs="Arial"/>
          <w:sz w:val="22"/>
          <w:szCs w:val="22"/>
        </w:rPr>
      </w:pPr>
      <w:r>
        <w:rPr>
          <w:rFonts w:hint="eastAsia" w:ascii="宋体" w:hAnsi="宋体" w:cs="Arial"/>
          <w:sz w:val="22"/>
          <w:szCs w:val="22"/>
        </w:rPr>
        <w:t>3.1、磋商响应文件格式</w:t>
      </w:r>
    </w:p>
    <w:p>
      <w:pPr>
        <w:autoSpaceDE w:val="0"/>
        <w:autoSpaceDN w:val="0"/>
        <w:adjustRightInd w:val="0"/>
        <w:snapToGrid w:val="0"/>
        <w:spacing w:line="454" w:lineRule="atLeast"/>
        <w:ind w:firstLine="440" w:firstLineChars="200"/>
        <w:textAlignment w:val="bottom"/>
        <w:rPr>
          <w:rFonts w:ascii="宋体" w:hAnsi="宋体" w:cs="Arial"/>
          <w:sz w:val="22"/>
          <w:szCs w:val="22"/>
        </w:rPr>
      </w:pPr>
      <w:r>
        <w:rPr>
          <w:rFonts w:hint="eastAsia" w:ascii="宋体" w:hAnsi="宋体" w:cs="Arial"/>
          <w:sz w:val="22"/>
          <w:szCs w:val="22"/>
        </w:rPr>
        <w:t>供应商应按照第2条所列出的内容及格式</w:t>
      </w:r>
      <w:r>
        <w:rPr>
          <w:rFonts w:hint="eastAsia" w:ascii="宋体" w:hAnsi="宋体" w:cs="Arial"/>
          <w:bCs/>
          <w:sz w:val="22"/>
          <w:szCs w:val="22"/>
          <w:u w:val="thick"/>
        </w:rPr>
        <w:t>逐一按顺序</w:t>
      </w:r>
      <w:r>
        <w:rPr>
          <w:rFonts w:hint="eastAsia" w:ascii="宋体" w:hAnsi="宋体" w:cs="Arial"/>
          <w:sz w:val="22"/>
          <w:szCs w:val="22"/>
        </w:rPr>
        <w:t>组成磋商响应文件并装订成册</w:t>
      </w:r>
      <w:r>
        <w:rPr>
          <w:rFonts w:hint="eastAsia" w:ascii="宋体"/>
          <w:sz w:val="22"/>
        </w:rPr>
        <w:t xml:space="preserve">（正本一份，副本四份，分别编制并单独装订成册，并在封面注明 </w:t>
      </w:r>
      <w:r>
        <w:rPr>
          <w:rFonts w:ascii="宋体"/>
          <w:sz w:val="22"/>
        </w:rPr>
        <w:t>“</w:t>
      </w:r>
      <w:r>
        <w:rPr>
          <w:rFonts w:hint="eastAsia" w:ascii="宋体"/>
          <w:sz w:val="22"/>
        </w:rPr>
        <w:t>正本</w:t>
      </w:r>
      <w:r>
        <w:rPr>
          <w:rFonts w:ascii="宋体"/>
          <w:sz w:val="22"/>
        </w:rPr>
        <w:t>”</w:t>
      </w:r>
      <w:r>
        <w:rPr>
          <w:rFonts w:hint="eastAsia" w:ascii="宋体"/>
          <w:sz w:val="22"/>
        </w:rPr>
        <w:t>或</w:t>
      </w:r>
      <w:r>
        <w:rPr>
          <w:rFonts w:ascii="宋体"/>
          <w:sz w:val="22"/>
        </w:rPr>
        <w:t>“</w:t>
      </w:r>
      <w:r>
        <w:rPr>
          <w:rFonts w:hint="eastAsia" w:ascii="宋体"/>
          <w:sz w:val="22"/>
        </w:rPr>
        <w:t>副本</w:t>
      </w:r>
      <w:r>
        <w:rPr>
          <w:rFonts w:ascii="宋体"/>
          <w:sz w:val="22"/>
        </w:rPr>
        <w:t>”</w:t>
      </w:r>
      <w:r>
        <w:rPr>
          <w:rFonts w:hint="eastAsia" w:ascii="宋体"/>
          <w:sz w:val="22"/>
        </w:rPr>
        <w:t>字样）。</w:t>
      </w:r>
      <w:r>
        <w:rPr>
          <w:rFonts w:hint="eastAsia" w:ascii="宋体" w:hAnsi="宋体" w:cs="Arial"/>
          <w:sz w:val="22"/>
          <w:szCs w:val="22"/>
        </w:rPr>
        <w:t>。</w:t>
      </w:r>
    </w:p>
    <w:p>
      <w:pPr>
        <w:autoSpaceDE w:val="0"/>
        <w:autoSpaceDN w:val="0"/>
        <w:adjustRightInd w:val="0"/>
        <w:snapToGrid w:val="0"/>
        <w:spacing w:line="454" w:lineRule="atLeast"/>
        <w:ind w:firstLine="440" w:firstLineChars="200"/>
        <w:textAlignment w:val="bottom"/>
        <w:rPr>
          <w:rFonts w:ascii="宋体" w:hAnsi="宋体" w:cs="Arial"/>
          <w:sz w:val="22"/>
          <w:szCs w:val="22"/>
        </w:rPr>
      </w:pPr>
      <w:r>
        <w:rPr>
          <w:rFonts w:hint="eastAsia" w:ascii="宋体" w:hAnsi="宋体" w:cs="Arial"/>
          <w:sz w:val="22"/>
          <w:szCs w:val="22"/>
        </w:rPr>
        <w:t>3.2、《开标一览表》为在开标仪式上唱标的内容，供应商需按格式填写，统一规格，不得自行增减内容。</w:t>
      </w:r>
    </w:p>
    <w:p>
      <w:pPr>
        <w:autoSpaceDE w:val="0"/>
        <w:autoSpaceDN w:val="0"/>
        <w:adjustRightInd w:val="0"/>
        <w:snapToGrid w:val="0"/>
        <w:spacing w:line="454" w:lineRule="atLeast"/>
        <w:textAlignment w:val="bottom"/>
        <w:rPr>
          <w:rFonts w:ascii="宋体" w:hAnsi="宋体" w:cs="Arial"/>
          <w:sz w:val="22"/>
          <w:szCs w:val="22"/>
        </w:rPr>
      </w:pPr>
      <w:bookmarkStart w:id="33" w:name="_Toc132122115"/>
      <w:bookmarkStart w:id="34" w:name="_Toc132122412"/>
      <w:r>
        <w:rPr>
          <w:rFonts w:hint="eastAsia" w:ascii="宋体" w:hAnsi="宋体" w:cs="Arial"/>
          <w:sz w:val="22"/>
          <w:szCs w:val="22"/>
        </w:rPr>
        <w:t>4、磋商响应报价</w:t>
      </w:r>
      <w:bookmarkEnd w:id="33"/>
      <w:bookmarkEnd w:id="34"/>
    </w:p>
    <w:p>
      <w:pPr>
        <w:autoSpaceDE w:val="0"/>
        <w:autoSpaceDN w:val="0"/>
        <w:adjustRightInd w:val="0"/>
        <w:snapToGrid w:val="0"/>
        <w:spacing w:line="454" w:lineRule="atLeast"/>
        <w:ind w:firstLine="440" w:firstLineChars="200"/>
        <w:textAlignment w:val="bottom"/>
        <w:rPr>
          <w:rFonts w:ascii="宋体" w:hAnsi="宋体" w:cs="Arial"/>
          <w:sz w:val="22"/>
          <w:szCs w:val="22"/>
        </w:rPr>
      </w:pPr>
      <w:r>
        <w:rPr>
          <w:rFonts w:hint="eastAsia" w:ascii="宋体" w:hAnsi="宋体" w:cs="Arial"/>
          <w:sz w:val="22"/>
          <w:szCs w:val="22"/>
        </w:rPr>
        <w:t>4.1、供应商应按招标文件中《投标产品数量、价格表》填写投标货物数量、价格（附件二（二））。</w:t>
      </w:r>
    </w:p>
    <w:p>
      <w:pPr>
        <w:autoSpaceDE w:val="0"/>
        <w:autoSpaceDN w:val="0"/>
        <w:adjustRightInd w:val="0"/>
        <w:snapToGrid w:val="0"/>
        <w:spacing w:line="454" w:lineRule="atLeast"/>
        <w:ind w:firstLine="440" w:firstLineChars="200"/>
        <w:textAlignment w:val="bottom"/>
        <w:rPr>
          <w:rFonts w:ascii="宋体" w:hAnsi="宋体" w:cs="Arial"/>
          <w:sz w:val="22"/>
          <w:szCs w:val="22"/>
        </w:rPr>
      </w:pPr>
      <w:r>
        <w:rPr>
          <w:rFonts w:hint="eastAsia" w:ascii="宋体" w:hAnsi="宋体" w:cs="Arial"/>
          <w:sz w:val="22"/>
          <w:szCs w:val="22"/>
        </w:rPr>
        <w:t>4.2、本次项目以人民币报价，评审时以人民币价格为准。</w:t>
      </w:r>
    </w:p>
    <w:p>
      <w:pPr>
        <w:autoSpaceDE w:val="0"/>
        <w:autoSpaceDN w:val="0"/>
        <w:adjustRightInd w:val="0"/>
        <w:snapToGrid w:val="0"/>
        <w:spacing w:line="454" w:lineRule="atLeast"/>
        <w:ind w:firstLine="440" w:firstLineChars="200"/>
        <w:textAlignment w:val="bottom"/>
        <w:rPr>
          <w:rFonts w:ascii="宋体" w:hAnsi="宋体" w:cs="Arial"/>
          <w:sz w:val="22"/>
          <w:szCs w:val="22"/>
        </w:rPr>
      </w:pPr>
      <w:r>
        <w:rPr>
          <w:rFonts w:hint="eastAsia" w:ascii="宋体" w:hAnsi="宋体" w:cs="Arial"/>
          <w:sz w:val="22"/>
          <w:szCs w:val="22"/>
        </w:rPr>
        <w:t>4.3、磋商响应报价应包含以下费用。</w:t>
      </w:r>
    </w:p>
    <w:p>
      <w:pPr>
        <w:autoSpaceDE w:val="0"/>
        <w:autoSpaceDN w:val="0"/>
        <w:adjustRightInd w:val="0"/>
        <w:snapToGrid w:val="0"/>
        <w:spacing w:line="454" w:lineRule="atLeast"/>
        <w:ind w:firstLine="433" w:firstLineChars="196"/>
        <w:textAlignment w:val="bottom"/>
        <w:rPr>
          <w:rFonts w:ascii="宋体" w:hAnsi="宋体"/>
          <w:b/>
          <w:color w:val="000000"/>
          <w:sz w:val="22"/>
          <w:szCs w:val="22"/>
        </w:rPr>
      </w:pPr>
      <w:r>
        <w:rPr>
          <w:rFonts w:hint="eastAsia" w:ascii="宋体" w:hAnsi="宋体"/>
          <w:b/>
          <w:color w:val="000000"/>
          <w:sz w:val="22"/>
          <w:szCs w:val="22"/>
        </w:rPr>
        <w:t>包括在承包区域内提供保洁、维养管理服务所需的人工费、设施维修费、福利、劳保用品、工作服装、保洁工具费及其维修、迎检加班和突发处置费用等作业成本以及适当的管理费用、利润、风险（有关工伤人身意外保险、第三者责任险、处理一切伤亡事故等费用）、招标代理费等其他一切费用</w:t>
      </w:r>
    </w:p>
    <w:p>
      <w:pPr>
        <w:autoSpaceDE w:val="0"/>
        <w:autoSpaceDN w:val="0"/>
        <w:adjustRightInd w:val="0"/>
        <w:snapToGrid w:val="0"/>
        <w:spacing w:line="454" w:lineRule="atLeast"/>
        <w:ind w:firstLine="433" w:firstLineChars="196"/>
        <w:textAlignment w:val="bottom"/>
        <w:rPr>
          <w:rFonts w:ascii="宋体" w:hAnsi="宋体" w:cs="Arial"/>
          <w:b/>
          <w:sz w:val="22"/>
          <w:szCs w:val="22"/>
          <w:u w:val="single"/>
        </w:rPr>
      </w:pPr>
      <w:r>
        <w:rPr>
          <w:rFonts w:hint="eastAsia" w:ascii="宋体" w:hAnsi="宋体"/>
          <w:b/>
          <w:color w:val="000000"/>
          <w:sz w:val="22"/>
          <w:szCs w:val="22"/>
          <w:u w:val="single"/>
        </w:rPr>
        <w:t>▲</w:t>
      </w:r>
      <w:r>
        <w:rPr>
          <w:rFonts w:hint="eastAsia" w:ascii="宋体" w:hAnsi="宋体" w:cs="Arial"/>
          <w:b/>
          <w:sz w:val="22"/>
          <w:szCs w:val="22"/>
          <w:u w:val="single"/>
        </w:rPr>
        <w:t>供应商在投标报价中应充分考虑所有可能发生的费用，否则采购人将视投标总价中已包括所有费用。</w:t>
      </w:r>
    </w:p>
    <w:p>
      <w:pPr>
        <w:autoSpaceDE w:val="0"/>
        <w:autoSpaceDN w:val="0"/>
        <w:adjustRightInd w:val="0"/>
        <w:snapToGrid w:val="0"/>
        <w:spacing w:line="420" w:lineRule="exact"/>
        <w:ind w:firstLine="440" w:firstLineChars="200"/>
        <w:textAlignment w:val="bottom"/>
        <w:rPr>
          <w:rFonts w:ascii="宋体" w:hAnsi="宋体" w:cs="Arial"/>
          <w:sz w:val="22"/>
          <w:szCs w:val="22"/>
          <w:u w:val="single"/>
        </w:rPr>
      </w:pPr>
      <w:r>
        <w:rPr>
          <w:rFonts w:hint="eastAsia" w:ascii="宋体" w:hAnsi="宋体" w:cs="Arial"/>
          <w:sz w:val="22"/>
          <w:szCs w:val="22"/>
          <w:u w:val="single"/>
        </w:rPr>
        <w:t>供应商对在合同执行中，除上述费用及招标文件规定的由中标供应商负责的工作范围以外需要采购人协调或提供便利的工作应当在投标文件中说明。</w:t>
      </w:r>
    </w:p>
    <w:p>
      <w:pPr>
        <w:autoSpaceDE w:val="0"/>
        <w:autoSpaceDN w:val="0"/>
        <w:adjustRightInd w:val="0"/>
        <w:snapToGrid w:val="0"/>
        <w:spacing w:line="420" w:lineRule="exact"/>
        <w:ind w:firstLine="431" w:firstLineChars="196"/>
        <w:textAlignment w:val="bottom"/>
        <w:rPr>
          <w:rFonts w:ascii="宋体" w:hAnsi="宋体" w:cs="仿宋_GB2312"/>
          <w:sz w:val="22"/>
          <w:szCs w:val="22"/>
          <w:lang w:val="zh-CN"/>
        </w:rPr>
      </w:pPr>
      <w:r>
        <w:rPr>
          <w:rFonts w:hint="eastAsia" w:ascii="宋体" w:hAnsi="宋体" w:cs="Arial"/>
          <w:bCs/>
          <w:sz w:val="22"/>
          <w:szCs w:val="22"/>
        </w:rPr>
        <w:t>填写报价表格时，各项费用应如实填写。</w:t>
      </w:r>
      <w:r>
        <w:rPr>
          <w:rFonts w:hint="eastAsia" w:ascii="宋体" w:hAnsi="宋体" w:cs="Arial"/>
          <w:sz w:val="22"/>
          <w:szCs w:val="22"/>
        </w:rPr>
        <w:t>采购人要求分类报价是为了方便评标，但在任何情况下不限制采购人以其认为最合适的条款签订合同的权利。</w:t>
      </w:r>
    </w:p>
    <w:p>
      <w:pPr>
        <w:autoSpaceDE w:val="0"/>
        <w:autoSpaceDN w:val="0"/>
        <w:adjustRightInd w:val="0"/>
        <w:snapToGrid w:val="0"/>
        <w:spacing w:line="454" w:lineRule="atLeast"/>
        <w:ind w:firstLine="440" w:firstLineChars="200"/>
        <w:rPr>
          <w:rFonts w:ascii="宋体" w:hAnsi="宋体" w:cs="仿宋_GB2312"/>
          <w:sz w:val="22"/>
          <w:szCs w:val="22"/>
          <w:lang w:val="zh-CN"/>
        </w:rPr>
      </w:pPr>
      <w:r>
        <w:rPr>
          <w:rFonts w:hint="eastAsia" w:ascii="宋体" w:hAnsi="宋体" w:cs="仿宋_GB2312"/>
          <w:sz w:val="22"/>
          <w:szCs w:val="22"/>
          <w:lang w:val="zh-CN"/>
        </w:rPr>
        <w:t>5、《开标一览表》为在开标仪式上唱标的内容，供应商需按格式填写，统一规范，不得自行增减内容。</w:t>
      </w:r>
    </w:p>
    <w:p>
      <w:pPr>
        <w:autoSpaceDE w:val="0"/>
        <w:autoSpaceDN w:val="0"/>
        <w:adjustRightInd w:val="0"/>
        <w:snapToGrid w:val="0"/>
        <w:spacing w:line="454" w:lineRule="atLeast"/>
        <w:ind w:firstLine="431" w:firstLineChars="196"/>
        <w:rPr>
          <w:rFonts w:ascii="宋体" w:hAnsi="宋体" w:cs="仿宋_GB2312"/>
          <w:sz w:val="22"/>
          <w:szCs w:val="22"/>
          <w:lang w:val="zh-CN"/>
        </w:rPr>
      </w:pPr>
      <w:r>
        <w:rPr>
          <w:rFonts w:hint="eastAsia" w:ascii="宋体" w:hAnsi="宋体" w:cs="仿宋_GB2312"/>
          <w:sz w:val="22"/>
          <w:szCs w:val="22"/>
          <w:lang w:val="zh-CN"/>
        </w:rPr>
        <w:t>6、投标</w:t>
      </w:r>
    </w:p>
    <w:p>
      <w:pPr>
        <w:autoSpaceDE w:val="0"/>
        <w:autoSpaceDN w:val="0"/>
        <w:adjustRightInd w:val="0"/>
        <w:snapToGrid w:val="0"/>
        <w:spacing w:line="454" w:lineRule="atLeast"/>
        <w:ind w:firstLine="440" w:firstLineChars="200"/>
        <w:rPr>
          <w:rFonts w:ascii="宋体" w:hAnsi="宋体" w:cs="仿宋_GB2312"/>
          <w:sz w:val="22"/>
          <w:szCs w:val="22"/>
          <w:lang w:val="zh-CN"/>
        </w:rPr>
      </w:pPr>
      <w:r>
        <w:rPr>
          <w:rFonts w:hint="eastAsia" w:ascii="宋体" w:hAnsi="宋体" w:cs="仿宋_GB2312"/>
          <w:sz w:val="22"/>
          <w:szCs w:val="22"/>
          <w:lang w:val="zh-CN"/>
        </w:rPr>
        <w:t>6.1</w:t>
      </w:r>
      <w:r>
        <w:rPr>
          <w:rFonts w:hint="eastAsia" w:ascii="宋体" w:hAnsi="宋体" w:cs="Arial"/>
          <w:sz w:val="22"/>
          <w:szCs w:val="22"/>
        </w:rPr>
        <w:t>磋商响应</w:t>
      </w:r>
      <w:r>
        <w:rPr>
          <w:rFonts w:hint="eastAsia" w:ascii="宋体" w:hAnsi="宋体" w:cs="仿宋_GB2312"/>
          <w:sz w:val="22"/>
          <w:szCs w:val="22"/>
          <w:lang w:val="zh-CN"/>
        </w:rPr>
        <w:t>要求</w:t>
      </w:r>
    </w:p>
    <w:p>
      <w:pPr>
        <w:autoSpaceDE w:val="0"/>
        <w:autoSpaceDN w:val="0"/>
        <w:adjustRightInd w:val="0"/>
        <w:snapToGrid w:val="0"/>
        <w:spacing w:line="454" w:lineRule="atLeast"/>
        <w:ind w:firstLine="440" w:firstLineChars="200"/>
        <w:rPr>
          <w:rFonts w:ascii="宋体" w:hAnsi="宋体" w:cs="仿宋_GB2312"/>
          <w:sz w:val="22"/>
          <w:szCs w:val="22"/>
          <w:lang w:val="zh-CN"/>
        </w:rPr>
      </w:pPr>
      <w:r>
        <w:rPr>
          <w:rFonts w:hint="eastAsia" w:ascii="宋体" w:hAnsi="宋体" w:cs="仿宋_GB2312"/>
          <w:bCs/>
          <w:sz w:val="22"/>
          <w:szCs w:val="22"/>
          <w:lang w:val="zh-CN"/>
        </w:rPr>
        <w:t>供应商根据磋商文件的要求，将供货、通过验收直至交付业主使用，达到使用要求及质量标准、质保期服务所需的全部费用包含在总价之中。供应商的《开标一览表》应按招标文件要求的格式编制，凡未按招标文件要求编制的投标文件将可能被拒绝。</w:t>
      </w:r>
    </w:p>
    <w:p>
      <w:pPr>
        <w:autoSpaceDE w:val="0"/>
        <w:autoSpaceDN w:val="0"/>
        <w:adjustRightInd w:val="0"/>
        <w:snapToGrid w:val="0"/>
        <w:spacing w:line="454" w:lineRule="atLeast"/>
        <w:ind w:firstLine="440" w:firstLineChars="200"/>
        <w:rPr>
          <w:rFonts w:ascii="宋体" w:hAnsi="宋体" w:cs="仿宋_GB2312"/>
          <w:sz w:val="22"/>
          <w:szCs w:val="22"/>
          <w:lang w:val="zh-CN"/>
        </w:rPr>
      </w:pPr>
      <w:r>
        <w:rPr>
          <w:rFonts w:hint="eastAsia" w:ascii="宋体" w:hAnsi="宋体" w:cs="仿宋_GB2312"/>
          <w:sz w:val="22"/>
          <w:szCs w:val="22"/>
          <w:lang w:val="zh-CN"/>
        </w:rPr>
        <w:t>6.2 投标价格组成应按不同费用类别分开填写。</w:t>
      </w:r>
    </w:p>
    <w:p>
      <w:pPr>
        <w:autoSpaceDE w:val="0"/>
        <w:autoSpaceDN w:val="0"/>
        <w:adjustRightInd w:val="0"/>
        <w:snapToGrid w:val="0"/>
        <w:spacing w:line="454" w:lineRule="atLeast"/>
        <w:ind w:firstLine="440" w:firstLineChars="200"/>
        <w:rPr>
          <w:rFonts w:ascii="宋体" w:hAnsi="宋体"/>
          <w:sz w:val="22"/>
          <w:szCs w:val="22"/>
        </w:rPr>
      </w:pPr>
      <w:r>
        <w:rPr>
          <w:rFonts w:hint="eastAsia" w:ascii="宋体" w:hAnsi="宋体" w:cs="仿宋_GB2312"/>
          <w:sz w:val="22"/>
          <w:szCs w:val="22"/>
          <w:lang w:val="zh-CN"/>
        </w:rPr>
        <w:t>6.3 供应商须提交总</w:t>
      </w:r>
      <w:r>
        <w:rPr>
          <w:rFonts w:hint="eastAsia" w:ascii="宋体" w:hAnsi="宋体" w:cs="Arial"/>
          <w:sz w:val="22"/>
          <w:szCs w:val="22"/>
        </w:rPr>
        <w:t>磋商响应报</w:t>
      </w:r>
      <w:r>
        <w:rPr>
          <w:rFonts w:hint="eastAsia" w:ascii="宋体" w:hAnsi="宋体" w:cs="仿宋_GB2312"/>
          <w:sz w:val="22"/>
          <w:szCs w:val="22"/>
          <w:lang w:val="zh-CN"/>
        </w:rPr>
        <w:t>价及</w:t>
      </w:r>
      <w:r>
        <w:rPr>
          <w:rFonts w:hint="eastAsia" w:ascii="宋体" w:hAnsi="宋体" w:cs="Arial"/>
          <w:sz w:val="22"/>
          <w:szCs w:val="22"/>
        </w:rPr>
        <w:t>磋商响应</w:t>
      </w:r>
      <w:r>
        <w:rPr>
          <w:rFonts w:hint="eastAsia" w:ascii="宋体" w:hAnsi="宋体" w:cs="仿宋_GB2312"/>
          <w:sz w:val="22"/>
          <w:szCs w:val="22"/>
          <w:lang w:val="zh-CN"/>
        </w:rPr>
        <w:t>报价说明。</w:t>
      </w:r>
    </w:p>
    <w:p>
      <w:pPr>
        <w:pStyle w:val="24"/>
        <w:adjustRightInd w:val="0"/>
        <w:snapToGrid w:val="0"/>
        <w:spacing w:line="454" w:lineRule="atLeast"/>
        <w:ind w:firstLine="440" w:firstLineChars="200"/>
        <w:rPr>
          <w:rFonts w:hAnsi="宋体" w:cs="Arial"/>
          <w:sz w:val="22"/>
          <w:szCs w:val="22"/>
        </w:rPr>
      </w:pPr>
      <w:bookmarkStart w:id="35" w:name="_Toc132122117"/>
      <w:bookmarkStart w:id="36" w:name="_Toc132122414"/>
      <w:r>
        <w:rPr>
          <w:rFonts w:hint="eastAsia" w:hAnsi="宋体" w:cs="Arial"/>
          <w:sz w:val="22"/>
          <w:szCs w:val="22"/>
        </w:rPr>
        <w:t>7、磋商响应文件的有效期</w:t>
      </w:r>
      <w:bookmarkEnd w:id="35"/>
      <w:bookmarkEnd w:id="36"/>
    </w:p>
    <w:p>
      <w:pPr>
        <w:pStyle w:val="24"/>
        <w:adjustRightInd w:val="0"/>
        <w:snapToGrid w:val="0"/>
        <w:spacing w:line="454" w:lineRule="atLeast"/>
        <w:ind w:firstLine="440" w:firstLineChars="200"/>
        <w:rPr>
          <w:rFonts w:hAnsi="宋体" w:cs="Arial"/>
          <w:sz w:val="22"/>
          <w:szCs w:val="22"/>
        </w:rPr>
      </w:pPr>
      <w:r>
        <w:rPr>
          <w:rFonts w:hint="eastAsia" w:hAnsi="宋体" w:cs="Arial"/>
          <w:sz w:val="22"/>
          <w:szCs w:val="22"/>
        </w:rPr>
        <w:t>7.1自开标日起60天内，磋商响应文件应保持有效。有效期短于这个规定期限的投标将被拒绝。</w:t>
      </w:r>
    </w:p>
    <w:p>
      <w:pPr>
        <w:pStyle w:val="24"/>
        <w:adjustRightInd w:val="0"/>
        <w:snapToGrid w:val="0"/>
        <w:spacing w:line="454" w:lineRule="atLeast"/>
        <w:ind w:firstLine="440" w:firstLineChars="200"/>
        <w:rPr>
          <w:rFonts w:hAnsi="宋体" w:cs="Arial"/>
          <w:sz w:val="22"/>
          <w:szCs w:val="22"/>
        </w:rPr>
      </w:pPr>
      <w:r>
        <w:rPr>
          <w:rFonts w:hint="eastAsia" w:hAnsi="宋体" w:cs="Arial"/>
          <w:sz w:val="22"/>
          <w:szCs w:val="22"/>
        </w:rPr>
        <w:t>7.2在特殊情况下，采购人可与供应商协商延长磋商文件的有效期，这种要求和答复均应以书面形式进行。</w:t>
      </w:r>
    </w:p>
    <w:p>
      <w:pPr>
        <w:pStyle w:val="24"/>
        <w:adjustRightInd w:val="0"/>
        <w:snapToGrid w:val="0"/>
        <w:spacing w:line="454" w:lineRule="atLeast"/>
        <w:ind w:firstLine="440" w:firstLineChars="200"/>
        <w:rPr>
          <w:rFonts w:hAnsi="宋体" w:cs="Arial"/>
          <w:sz w:val="22"/>
          <w:szCs w:val="22"/>
        </w:rPr>
      </w:pPr>
      <w:r>
        <w:rPr>
          <w:rFonts w:hint="eastAsia" w:hAnsi="宋体" w:cs="Arial"/>
          <w:sz w:val="22"/>
          <w:szCs w:val="22"/>
        </w:rPr>
        <w:t>7.3供应商可拒绝接受延期要求。同意延长有效期的供应商不能修改磋商响应文件。</w:t>
      </w:r>
    </w:p>
    <w:p>
      <w:pPr>
        <w:pStyle w:val="24"/>
        <w:adjustRightInd w:val="0"/>
        <w:snapToGrid w:val="0"/>
        <w:spacing w:line="454" w:lineRule="atLeast"/>
        <w:ind w:firstLine="440" w:firstLineChars="200"/>
        <w:rPr>
          <w:rFonts w:hAnsi="宋体" w:cs="Arial"/>
          <w:sz w:val="22"/>
          <w:szCs w:val="22"/>
        </w:rPr>
      </w:pPr>
      <w:r>
        <w:rPr>
          <w:rFonts w:hint="eastAsia" w:hAnsi="宋体" w:cs="Arial"/>
          <w:sz w:val="22"/>
          <w:szCs w:val="22"/>
        </w:rPr>
        <w:t>7.4当正本与副本不一致时，均以正本为准。当供应商磋商响应文件未注明正本与副本且出现不一致时，磋商小组可以认定供应商出现选择性投标而对其投标予以废标。</w:t>
      </w:r>
    </w:p>
    <w:p>
      <w:pPr>
        <w:pStyle w:val="24"/>
        <w:adjustRightInd w:val="0"/>
        <w:snapToGrid w:val="0"/>
        <w:spacing w:line="454" w:lineRule="atLeast"/>
        <w:outlineLvl w:val="0"/>
        <w:rPr>
          <w:rFonts w:hAnsi="宋体" w:cs="Arial"/>
          <w:sz w:val="22"/>
          <w:szCs w:val="22"/>
        </w:rPr>
      </w:pPr>
      <w:bookmarkStart w:id="37" w:name="_Toc132122415"/>
      <w:bookmarkStart w:id="38" w:name="_Toc132122118"/>
      <w:r>
        <w:rPr>
          <w:rFonts w:hint="eastAsia" w:hAnsi="宋体" w:cs="Arial"/>
          <w:sz w:val="22"/>
          <w:szCs w:val="22"/>
        </w:rPr>
        <w:t>8、磋商响应文件的签署和份数</w:t>
      </w:r>
      <w:bookmarkEnd w:id="37"/>
      <w:bookmarkEnd w:id="38"/>
    </w:p>
    <w:p>
      <w:pPr>
        <w:pStyle w:val="24"/>
        <w:adjustRightInd w:val="0"/>
        <w:snapToGrid w:val="0"/>
        <w:spacing w:line="454" w:lineRule="atLeast"/>
        <w:ind w:firstLine="480"/>
        <w:rPr>
          <w:rFonts w:hAnsi="宋体" w:cs="Arial"/>
          <w:sz w:val="22"/>
          <w:szCs w:val="22"/>
        </w:rPr>
      </w:pPr>
      <w:r>
        <w:rPr>
          <w:rFonts w:hint="eastAsia" w:hAnsi="宋体" w:cs="Arial"/>
          <w:sz w:val="22"/>
          <w:szCs w:val="22"/>
        </w:rPr>
        <w:t>8.1磋商响应文件的正本需打印或用不退色的墨水填写，并注明“正本”字样。副本可以复印。磋商响应文件不得涂改和增删，如有错漏必须修改，修改处须由同一签署人签字或盖章。由于字迹模糊或表达不清引起的后果由供应商负责。</w:t>
      </w:r>
    </w:p>
    <w:p>
      <w:pPr>
        <w:pStyle w:val="24"/>
        <w:adjustRightInd w:val="0"/>
        <w:snapToGrid w:val="0"/>
        <w:spacing w:line="454" w:lineRule="atLeast"/>
        <w:ind w:firstLine="330" w:firstLineChars="150"/>
        <w:rPr>
          <w:rFonts w:hAnsi="宋体" w:cs="Arial"/>
          <w:sz w:val="22"/>
          <w:szCs w:val="22"/>
        </w:rPr>
      </w:pPr>
      <w:r>
        <w:rPr>
          <w:rFonts w:hint="eastAsia" w:hAnsi="宋体" w:cs="Arial"/>
          <w:sz w:val="22"/>
          <w:szCs w:val="22"/>
        </w:rPr>
        <w:t>8.2磋商响应文件须由供应商盖章并由法定代表人或法定代表人授权代表签署，供应商应写全称。</w:t>
      </w:r>
    </w:p>
    <w:p>
      <w:pPr>
        <w:pStyle w:val="24"/>
        <w:adjustRightInd w:val="0"/>
        <w:snapToGrid w:val="0"/>
        <w:spacing w:line="454" w:lineRule="atLeast"/>
        <w:ind w:firstLine="330" w:firstLineChars="150"/>
        <w:rPr>
          <w:rFonts w:hAnsi="宋体" w:cs="Arial"/>
          <w:sz w:val="22"/>
          <w:szCs w:val="22"/>
        </w:rPr>
      </w:pPr>
      <w:r>
        <w:rPr>
          <w:rFonts w:hint="eastAsia" w:hAnsi="宋体" w:cs="Arial"/>
          <w:sz w:val="22"/>
          <w:szCs w:val="22"/>
        </w:rPr>
        <w:t>8.3磋商响应文件的份数：按磋商文件第四部分第四条第2款要求提供的各种文件，</w:t>
      </w:r>
      <w:r>
        <w:rPr>
          <w:rFonts w:hint="eastAsia" w:hAnsi="宋体" w:cs="Arial"/>
          <w:sz w:val="22"/>
          <w:szCs w:val="22"/>
          <w:u w:val="single"/>
        </w:rPr>
        <w:t>均提供一式五份，其中正本一份，副本四份。</w:t>
      </w:r>
      <w:r>
        <w:rPr>
          <w:rFonts w:hint="eastAsia" w:hAnsi="宋体" w:cs="Arial"/>
          <w:b/>
          <w:sz w:val="22"/>
          <w:szCs w:val="22"/>
          <w:u w:val="single"/>
        </w:rPr>
        <w:t>(</w:t>
      </w:r>
      <w:r>
        <w:rPr>
          <w:rFonts w:hint="eastAsia" w:hAnsi="宋体"/>
          <w:b/>
          <w:bCs/>
          <w:sz w:val="22"/>
          <w:u w:val="single"/>
        </w:rPr>
        <w:t>正、副本统一密封包装</w:t>
      </w:r>
      <w:r>
        <w:rPr>
          <w:rFonts w:hint="eastAsia" w:hAnsi="宋体" w:cs="Arial"/>
          <w:b/>
          <w:sz w:val="22"/>
          <w:szCs w:val="22"/>
          <w:u w:val="single"/>
        </w:rPr>
        <w:t>)</w:t>
      </w:r>
      <w:r>
        <w:rPr>
          <w:rFonts w:hint="eastAsia" w:hAnsi="宋体"/>
          <w:b/>
          <w:sz w:val="22"/>
          <w:szCs w:val="22"/>
          <w:u w:val="single"/>
        </w:rPr>
        <w:t>。</w:t>
      </w:r>
    </w:p>
    <w:p>
      <w:pPr>
        <w:pStyle w:val="24"/>
        <w:adjustRightInd w:val="0"/>
        <w:snapToGrid w:val="0"/>
        <w:spacing w:line="454" w:lineRule="atLeast"/>
        <w:outlineLvl w:val="0"/>
        <w:rPr>
          <w:rFonts w:hAnsi="宋体" w:cs="Arial"/>
          <w:sz w:val="22"/>
          <w:szCs w:val="22"/>
        </w:rPr>
      </w:pPr>
      <w:bookmarkStart w:id="39" w:name="_Toc132124594"/>
      <w:bookmarkStart w:id="40" w:name="_Toc132126154"/>
      <w:bookmarkStart w:id="41" w:name="_Toc132123634"/>
      <w:bookmarkStart w:id="42" w:name="_Toc132125151"/>
      <w:bookmarkStart w:id="43" w:name="_Toc132123881"/>
      <w:bookmarkStart w:id="44" w:name="_Toc132123547"/>
      <w:bookmarkStart w:id="45" w:name="_Toc132125037"/>
      <w:bookmarkStart w:id="46" w:name="_Toc132123838"/>
      <w:bookmarkStart w:id="47" w:name="_Toc132122119"/>
      <w:bookmarkStart w:id="48" w:name="_Toc132125574"/>
      <w:bookmarkStart w:id="49" w:name="_Toc132125095"/>
      <w:bookmarkStart w:id="50" w:name="_Toc132125983"/>
      <w:bookmarkStart w:id="51" w:name="_Toc132655776"/>
      <w:bookmarkStart w:id="52" w:name="_Toc132123439"/>
      <w:bookmarkStart w:id="53" w:name="_Toc132122416"/>
      <w:r>
        <w:rPr>
          <w:rFonts w:hint="eastAsia" w:hAnsi="宋体" w:cs="Arial"/>
          <w:sz w:val="22"/>
          <w:szCs w:val="22"/>
        </w:rPr>
        <w:t>五、投标文件的密封与递交</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24"/>
        <w:adjustRightInd w:val="0"/>
        <w:snapToGrid w:val="0"/>
        <w:spacing w:line="454" w:lineRule="atLeast"/>
        <w:ind w:firstLine="440" w:firstLineChars="200"/>
        <w:rPr>
          <w:rFonts w:hAnsi="宋体" w:cs="Arial"/>
          <w:sz w:val="22"/>
          <w:szCs w:val="22"/>
        </w:rPr>
      </w:pPr>
      <w:r>
        <w:rPr>
          <w:rFonts w:hint="eastAsia" w:hAnsi="宋体" w:cs="Arial"/>
          <w:sz w:val="22"/>
          <w:szCs w:val="22"/>
        </w:rPr>
        <w:t>1、磋商响应文件的密封及标记</w:t>
      </w:r>
    </w:p>
    <w:p>
      <w:pPr>
        <w:pStyle w:val="24"/>
        <w:adjustRightInd w:val="0"/>
        <w:snapToGrid w:val="0"/>
        <w:spacing w:line="454" w:lineRule="atLeast"/>
        <w:rPr>
          <w:rFonts w:hAnsi="宋体" w:cs="Arial"/>
          <w:sz w:val="22"/>
          <w:szCs w:val="22"/>
        </w:rPr>
      </w:pPr>
      <w:r>
        <w:rPr>
          <w:rFonts w:hint="eastAsia" w:hAnsi="宋体" w:cs="Arial"/>
          <w:sz w:val="22"/>
          <w:szCs w:val="22"/>
        </w:rPr>
        <w:t xml:space="preserve">    1.1磋商响应文件应按以下方法装袋密封</w:t>
      </w:r>
    </w:p>
    <w:p>
      <w:pPr>
        <w:pStyle w:val="24"/>
        <w:adjustRightInd w:val="0"/>
        <w:snapToGrid w:val="0"/>
        <w:spacing w:line="454" w:lineRule="atLeast"/>
        <w:ind w:firstLine="440" w:firstLineChars="200"/>
        <w:rPr>
          <w:rFonts w:hAnsi="宋体" w:cs="Arial"/>
          <w:sz w:val="22"/>
          <w:szCs w:val="22"/>
        </w:rPr>
      </w:pPr>
      <w:r>
        <w:rPr>
          <w:rFonts w:hint="eastAsia" w:hAnsi="宋体"/>
          <w:color w:val="000000"/>
          <w:sz w:val="22"/>
          <w:szCs w:val="22"/>
          <w:u w:val="single"/>
        </w:rPr>
        <w:t>▲</w:t>
      </w:r>
      <w:r>
        <w:rPr>
          <w:rFonts w:hint="eastAsia" w:hAnsi="宋体" w:cs="Arial"/>
          <w:b/>
          <w:bCs/>
          <w:sz w:val="22"/>
          <w:u w:val="single"/>
        </w:rPr>
        <w:t>投标人应将《磋商响应文件》的正、副本统一密封包装，在外包装上注明投标项目名称、项目编号、投标人全称、投标人地址及“开标时启封”字样，并加盖投标人公章。</w:t>
      </w:r>
    </w:p>
    <w:p>
      <w:pPr>
        <w:pStyle w:val="24"/>
        <w:adjustRightInd w:val="0"/>
        <w:snapToGrid w:val="0"/>
        <w:spacing w:line="454" w:lineRule="atLeast"/>
        <w:rPr>
          <w:rFonts w:hAnsi="宋体" w:cs="Arial"/>
          <w:sz w:val="22"/>
          <w:szCs w:val="22"/>
        </w:rPr>
      </w:pPr>
      <w:r>
        <w:rPr>
          <w:rFonts w:hint="eastAsia" w:hAnsi="宋体" w:cs="Arial"/>
          <w:sz w:val="22"/>
          <w:szCs w:val="22"/>
        </w:rPr>
        <w:t xml:space="preserve">    1.2</w:t>
      </w:r>
      <w:r>
        <w:rPr>
          <w:rFonts w:hint="eastAsia" w:hAnsi="宋体" w:cs="Arial"/>
          <w:b/>
          <w:bCs/>
          <w:sz w:val="22"/>
          <w:u w:val="single"/>
        </w:rPr>
        <w:t>未按规定密封的《磋商响应文件》将被拒收。因磋商响应文件未按磋商文件要求标记导致《磋商响应文件》被误投或提前拆封的风险由投标人自行承担。</w:t>
      </w:r>
      <w:r>
        <w:rPr>
          <w:rFonts w:hint="eastAsia" w:hAnsi="宋体" w:cs="Arial"/>
          <w:sz w:val="22"/>
          <w:szCs w:val="22"/>
        </w:rPr>
        <w:t>。</w:t>
      </w:r>
    </w:p>
    <w:p>
      <w:pPr>
        <w:pStyle w:val="24"/>
        <w:adjustRightInd w:val="0"/>
        <w:snapToGrid w:val="0"/>
        <w:spacing w:line="454" w:lineRule="atLeast"/>
        <w:rPr>
          <w:rFonts w:hAnsi="宋体" w:cs="Arial"/>
          <w:sz w:val="22"/>
          <w:szCs w:val="22"/>
        </w:rPr>
      </w:pPr>
      <w:r>
        <w:rPr>
          <w:rFonts w:hint="eastAsia" w:hAnsi="宋体" w:cs="Arial"/>
          <w:sz w:val="22"/>
          <w:szCs w:val="22"/>
        </w:rPr>
        <w:t xml:space="preserve">    2、磋商响应截止时间</w:t>
      </w:r>
    </w:p>
    <w:p>
      <w:pPr>
        <w:pStyle w:val="24"/>
        <w:adjustRightInd w:val="0"/>
        <w:snapToGrid w:val="0"/>
        <w:spacing w:line="454" w:lineRule="atLeast"/>
        <w:rPr>
          <w:rFonts w:hAnsi="宋体" w:cs="Arial"/>
          <w:sz w:val="22"/>
          <w:szCs w:val="22"/>
        </w:rPr>
      </w:pPr>
      <w:r>
        <w:rPr>
          <w:rFonts w:hint="eastAsia" w:hAnsi="宋体" w:cs="Arial"/>
          <w:sz w:val="22"/>
          <w:szCs w:val="22"/>
        </w:rPr>
        <w:t xml:space="preserve">    2.1磋商响应文件必须在磋商响应文件递交截止时间前送达指定的投标地点。</w:t>
      </w:r>
    </w:p>
    <w:p>
      <w:pPr>
        <w:pStyle w:val="24"/>
        <w:adjustRightInd w:val="0"/>
        <w:snapToGrid w:val="0"/>
        <w:spacing w:line="454" w:lineRule="atLeast"/>
        <w:rPr>
          <w:rFonts w:hAnsi="宋体" w:cs="Arial"/>
          <w:sz w:val="22"/>
          <w:szCs w:val="22"/>
        </w:rPr>
      </w:pPr>
      <w:r>
        <w:rPr>
          <w:rFonts w:hint="eastAsia" w:hAnsi="宋体" w:cs="Arial"/>
          <w:sz w:val="22"/>
          <w:szCs w:val="22"/>
        </w:rPr>
        <w:t xml:space="preserve">    2.2采购机构如因故推迟磋商响应截止时间，应以书面形式通知所有供应商。在这种情况下，供应商的权利和义务将受到新的截止时间的约束。</w:t>
      </w:r>
    </w:p>
    <w:p>
      <w:pPr>
        <w:pStyle w:val="24"/>
        <w:adjustRightInd w:val="0"/>
        <w:snapToGrid w:val="0"/>
        <w:spacing w:line="454" w:lineRule="atLeast"/>
        <w:ind w:firstLine="440" w:firstLineChars="200"/>
        <w:rPr>
          <w:rFonts w:hAnsi="宋体" w:cs="Arial"/>
          <w:sz w:val="22"/>
          <w:szCs w:val="22"/>
        </w:rPr>
      </w:pPr>
      <w:r>
        <w:rPr>
          <w:rFonts w:hint="eastAsia" w:hAnsi="宋体" w:cs="Arial"/>
          <w:sz w:val="22"/>
          <w:szCs w:val="22"/>
        </w:rPr>
        <w:t>3、磋商响应文件的修改和撤回</w:t>
      </w:r>
    </w:p>
    <w:p>
      <w:pPr>
        <w:pStyle w:val="24"/>
        <w:adjustRightInd w:val="0"/>
        <w:snapToGrid w:val="0"/>
        <w:spacing w:line="454" w:lineRule="atLeast"/>
        <w:ind w:firstLine="330" w:firstLineChars="150"/>
        <w:rPr>
          <w:rFonts w:hAnsi="宋体" w:cs="Arial"/>
          <w:sz w:val="22"/>
          <w:szCs w:val="22"/>
        </w:rPr>
      </w:pPr>
      <w:r>
        <w:rPr>
          <w:rFonts w:hint="eastAsia" w:hAnsi="宋体" w:cs="Arial"/>
          <w:sz w:val="22"/>
          <w:szCs w:val="22"/>
        </w:rPr>
        <w:t>3.1</w:t>
      </w:r>
      <w:r>
        <w:rPr>
          <w:rFonts w:hint="eastAsia" w:hAnsi="宋体" w:cs="Arial"/>
          <w:sz w:val="22"/>
        </w:rPr>
        <w:t>投标人在磋商响应文件密封或送达以后如必须修改或撤回磋商响应文件，必须在磋商响应截</w:t>
      </w:r>
      <w:r>
        <w:rPr>
          <w:rFonts w:hint="eastAsia" w:hAnsi="宋体" w:cs="Arial"/>
          <w:sz w:val="22"/>
          <w:szCs w:val="22"/>
        </w:rPr>
        <w:t>止时间以前将加盖公章的书面磋商响应修改文件或撤标通知送达采购代理机构处。</w:t>
      </w:r>
    </w:p>
    <w:p>
      <w:pPr>
        <w:pStyle w:val="24"/>
        <w:adjustRightInd w:val="0"/>
        <w:snapToGrid w:val="0"/>
        <w:spacing w:line="454" w:lineRule="atLeast"/>
        <w:ind w:firstLine="330" w:firstLineChars="150"/>
        <w:rPr>
          <w:rFonts w:hAnsi="宋体" w:cs="Arial"/>
          <w:sz w:val="22"/>
          <w:szCs w:val="22"/>
        </w:rPr>
      </w:pPr>
      <w:r>
        <w:rPr>
          <w:rFonts w:hint="eastAsia" w:hAnsi="宋体" w:cs="Arial"/>
          <w:sz w:val="22"/>
          <w:szCs w:val="22"/>
        </w:rPr>
        <w:t>3.2、磋商响应修改文件必须密封，在密封袋上写明项目编号、项目名称、投标人名称、并注明“修改文件”、“开标时启封”字样。磋商响应修改文件必须有投标人公章。</w:t>
      </w:r>
    </w:p>
    <w:p>
      <w:pPr>
        <w:pStyle w:val="24"/>
        <w:adjustRightInd w:val="0"/>
        <w:snapToGrid w:val="0"/>
        <w:spacing w:line="454" w:lineRule="atLeast"/>
        <w:ind w:firstLine="330" w:firstLineChars="150"/>
        <w:rPr>
          <w:rFonts w:hAnsi="宋体" w:cs="Arial"/>
          <w:sz w:val="22"/>
          <w:szCs w:val="22"/>
        </w:rPr>
      </w:pPr>
      <w:r>
        <w:rPr>
          <w:rFonts w:hint="eastAsia" w:hAnsi="宋体" w:cs="Arial"/>
          <w:sz w:val="22"/>
          <w:szCs w:val="22"/>
        </w:rPr>
        <w:t>3.3、投标人以传真形式通知采购人撤标时，必须随后补充有法定代表人或法定代表人授权代表签署的正式文件。</w:t>
      </w:r>
    </w:p>
    <w:p>
      <w:pPr>
        <w:pStyle w:val="24"/>
        <w:adjustRightInd w:val="0"/>
        <w:snapToGrid w:val="0"/>
        <w:spacing w:line="454" w:lineRule="atLeast"/>
        <w:ind w:firstLine="330" w:firstLineChars="150"/>
        <w:rPr>
          <w:rFonts w:hAnsi="宋体" w:cs="Arial"/>
          <w:sz w:val="22"/>
          <w:szCs w:val="22"/>
        </w:rPr>
      </w:pPr>
      <w:r>
        <w:rPr>
          <w:rFonts w:hint="eastAsia" w:hAnsi="宋体" w:cs="Arial"/>
          <w:sz w:val="22"/>
          <w:szCs w:val="22"/>
        </w:rPr>
        <w:t>4、</w:t>
      </w:r>
      <w:r>
        <w:rPr>
          <w:rFonts w:hint="eastAsia" w:hAnsi="宋体" w:cs="Arial"/>
          <w:sz w:val="22"/>
        </w:rPr>
        <w:t>磋商响应</w:t>
      </w:r>
      <w:r>
        <w:rPr>
          <w:rFonts w:hint="eastAsia" w:hAnsi="宋体" w:cs="Arial"/>
          <w:sz w:val="22"/>
          <w:szCs w:val="22"/>
        </w:rPr>
        <w:t>文件的递交</w:t>
      </w:r>
    </w:p>
    <w:p>
      <w:pPr>
        <w:pStyle w:val="18"/>
        <w:adjustRightInd w:val="0"/>
        <w:snapToGrid w:val="0"/>
        <w:spacing w:after="50" w:line="454" w:lineRule="atLeast"/>
        <w:ind w:firstLine="442" w:firstLineChars="200"/>
        <w:rPr>
          <w:rFonts w:ascii="宋体" w:hAnsi="宋体"/>
          <w:b/>
          <w:sz w:val="22"/>
          <w:szCs w:val="22"/>
        </w:rPr>
      </w:pPr>
      <w:r>
        <w:rPr>
          <w:rFonts w:hint="eastAsia" w:ascii="宋体" w:hAnsi="宋体"/>
          <w:b/>
          <w:sz w:val="22"/>
          <w:szCs w:val="22"/>
        </w:rPr>
        <w:t>递交磋商响应文件时，需满足以下要求，否则该投标文件予以拒绝：</w:t>
      </w:r>
    </w:p>
    <w:p>
      <w:pPr>
        <w:pStyle w:val="24"/>
        <w:adjustRightInd w:val="0"/>
        <w:spacing w:line="450" w:lineRule="atLeast"/>
        <w:ind w:firstLine="440" w:firstLineChars="200"/>
        <w:rPr>
          <w:rFonts w:hAnsi="宋体"/>
          <w:sz w:val="22"/>
          <w:szCs w:val="22"/>
        </w:rPr>
      </w:pPr>
      <w:r>
        <w:rPr>
          <w:rFonts w:hint="eastAsia" w:hAnsi="宋体"/>
          <w:sz w:val="22"/>
          <w:szCs w:val="22"/>
        </w:rPr>
        <w:t>4.1、在</w:t>
      </w:r>
      <w:r>
        <w:rPr>
          <w:rFonts w:hint="eastAsia" w:hAnsi="宋体" w:cs="Arial"/>
          <w:sz w:val="22"/>
        </w:rPr>
        <w:t>磋商响应</w:t>
      </w:r>
      <w:r>
        <w:rPr>
          <w:rFonts w:hint="eastAsia" w:hAnsi="宋体"/>
          <w:sz w:val="22"/>
          <w:szCs w:val="22"/>
        </w:rPr>
        <w:t>截止时间之前递交。</w:t>
      </w:r>
    </w:p>
    <w:p>
      <w:pPr>
        <w:pStyle w:val="24"/>
        <w:adjustRightInd w:val="0"/>
        <w:spacing w:line="450" w:lineRule="atLeast"/>
        <w:ind w:firstLine="440" w:firstLineChars="200"/>
        <w:rPr>
          <w:rFonts w:hAnsi="宋体"/>
          <w:sz w:val="22"/>
          <w:szCs w:val="22"/>
        </w:rPr>
      </w:pPr>
      <w:r>
        <w:rPr>
          <w:rFonts w:hint="eastAsia" w:hAnsi="宋体"/>
          <w:sz w:val="22"/>
          <w:szCs w:val="22"/>
        </w:rPr>
        <w:t>4.2、包装与密封符合磋商文件要求。</w:t>
      </w:r>
    </w:p>
    <w:p>
      <w:pPr>
        <w:pStyle w:val="24"/>
        <w:adjustRightInd w:val="0"/>
        <w:spacing w:line="450" w:lineRule="atLeast"/>
        <w:ind w:firstLine="440" w:firstLineChars="200"/>
        <w:rPr>
          <w:rFonts w:hAnsi="宋体"/>
          <w:sz w:val="22"/>
          <w:szCs w:val="22"/>
        </w:rPr>
      </w:pPr>
      <w:r>
        <w:rPr>
          <w:rFonts w:hint="eastAsia" w:hAnsi="宋体"/>
          <w:sz w:val="22"/>
          <w:szCs w:val="22"/>
        </w:rPr>
        <w:t>4</w:t>
      </w:r>
      <w:r>
        <w:rPr>
          <w:rFonts w:hAnsi="宋体"/>
          <w:sz w:val="22"/>
          <w:szCs w:val="22"/>
        </w:rPr>
        <w:t>.</w:t>
      </w:r>
      <w:r>
        <w:rPr>
          <w:rFonts w:hint="eastAsia" w:hAnsi="宋体"/>
          <w:sz w:val="22"/>
          <w:szCs w:val="22"/>
        </w:rPr>
        <w:t>3、</w:t>
      </w:r>
      <w:r>
        <w:rPr>
          <w:rFonts w:hint="eastAsia" w:hAnsi="宋体" w:cs="Arial"/>
          <w:sz w:val="22"/>
        </w:rPr>
        <w:t>磋商响应</w:t>
      </w:r>
      <w:r>
        <w:rPr>
          <w:rFonts w:hAnsi="宋体"/>
          <w:sz w:val="22"/>
          <w:szCs w:val="22"/>
        </w:rPr>
        <w:t>文件递交到指定的</w:t>
      </w:r>
      <w:r>
        <w:rPr>
          <w:rFonts w:hint="eastAsia" w:hAnsi="宋体"/>
          <w:sz w:val="22"/>
          <w:szCs w:val="22"/>
        </w:rPr>
        <w:t>磋商</w:t>
      </w:r>
      <w:r>
        <w:rPr>
          <w:rFonts w:hAnsi="宋体"/>
          <w:sz w:val="22"/>
          <w:szCs w:val="22"/>
        </w:rPr>
        <w:t>地点。</w:t>
      </w:r>
    </w:p>
    <w:p>
      <w:pPr>
        <w:pStyle w:val="24"/>
        <w:adjustRightInd w:val="0"/>
        <w:spacing w:line="450" w:lineRule="atLeast"/>
        <w:ind w:firstLine="440" w:firstLineChars="200"/>
        <w:rPr>
          <w:rFonts w:hAnsi="宋体"/>
          <w:sz w:val="22"/>
          <w:szCs w:val="22"/>
        </w:rPr>
      </w:pPr>
      <w:r>
        <w:rPr>
          <w:rFonts w:hint="eastAsia" w:hAnsi="宋体"/>
          <w:sz w:val="22"/>
          <w:szCs w:val="22"/>
        </w:rPr>
        <w:t>4</w:t>
      </w:r>
      <w:r>
        <w:rPr>
          <w:rFonts w:hAnsi="宋体"/>
          <w:sz w:val="22"/>
          <w:szCs w:val="22"/>
        </w:rPr>
        <w:t>.</w:t>
      </w:r>
      <w:r>
        <w:rPr>
          <w:rFonts w:hint="eastAsia" w:hAnsi="宋体"/>
          <w:sz w:val="22"/>
          <w:szCs w:val="22"/>
        </w:rPr>
        <w:t>4、</w:t>
      </w:r>
      <w:r>
        <w:rPr>
          <w:rFonts w:hAnsi="宋体"/>
          <w:sz w:val="22"/>
          <w:szCs w:val="22"/>
        </w:rPr>
        <w:t>已购买</w:t>
      </w:r>
      <w:r>
        <w:rPr>
          <w:rFonts w:hint="eastAsia" w:hAnsi="宋体"/>
          <w:sz w:val="22"/>
          <w:szCs w:val="22"/>
        </w:rPr>
        <w:t>磋商</w:t>
      </w:r>
      <w:r>
        <w:rPr>
          <w:rFonts w:hAnsi="宋体"/>
          <w:sz w:val="22"/>
          <w:szCs w:val="22"/>
        </w:rPr>
        <w:t>文件的供应商。</w:t>
      </w:r>
    </w:p>
    <w:p>
      <w:pPr>
        <w:pStyle w:val="24"/>
        <w:adjustRightInd w:val="0"/>
        <w:snapToGrid w:val="0"/>
        <w:spacing w:line="400" w:lineRule="exact"/>
        <w:ind w:firstLine="431" w:firstLineChars="196"/>
        <w:outlineLvl w:val="0"/>
        <w:rPr>
          <w:rFonts w:hAnsi="宋体"/>
          <w:sz w:val="22"/>
          <w:szCs w:val="22"/>
        </w:rPr>
      </w:pPr>
      <w:r>
        <w:rPr>
          <w:rFonts w:hint="eastAsia" w:hAnsi="宋体"/>
          <w:sz w:val="22"/>
          <w:szCs w:val="22"/>
        </w:rPr>
        <w:t>六、开标和评标</w:t>
      </w:r>
    </w:p>
    <w:p>
      <w:pPr>
        <w:pStyle w:val="24"/>
        <w:adjustRightInd w:val="0"/>
        <w:snapToGrid w:val="0"/>
        <w:spacing w:line="400" w:lineRule="exact"/>
        <w:ind w:firstLine="440" w:firstLineChars="200"/>
        <w:rPr>
          <w:rFonts w:hAnsi="宋体"/>
          <w:sz w:val="22"/>
          <w:szCs w:val="22"/>
        </w:rPr>
      </w:pPr>
      <w:r>
        <w:rPr>
          <w:rFonts w:hint="eastAsia" w:hAnsi="宋体"/>
          <w:sz w:val="22"/>
          <w:szCs w:val="22"/>
        </w:rPr>
        <w:t>1、开标</w:t>
      </w:r>
    </w:p>
    <w:p>
      <w:pPr>
        <w:pStyle w:val="24"/>
        <w:adjustRightInd w:val="0"/>
        <w:snapToGrid w:val="0"/>
        <w:spacing w:line="400" w:lineRule="exact"/>
        <w:ind w:firstLine="440" w:firstLineChars="200"/>
        <w:rPr>
          <w:rFonts w:hAnsi="宋体"/>
          <w:sz w:val="22"/>
          <w:szCs w:val="22"/>
        </w:rPr>
      </w:pPr>
      <w:r>
        <w:rPr>
          <w:rFonts w:hint="eastAsia" w:hAnsi="宋体"/>
          <w:sz w:val="22"/>
          <w:szCs w:val="22"/>
        </w:rPr>
        <w:t>1.1招标机构按磋商文件规定的时间、地点截标、开标。</w:t>
      </w:r>
    </w:p>
    <w:p>
      <w:pPr>
        <w:pStyle w:val="24"/>
        <w:adjustRightInd w:val="0"/>
        <w:snapToGrid w:val="0"/>
        <w:spacing w:line="400" w:lineRule="exact"/>
        <w:ind w:firstLine="450"/>
        <w:rPr>
          <w:rFonts w:hAnsi="宋体"/>
          <w:sz w:val="22"/>
          <w:szCs w:val="22"/>
        </w:rPr>
      </w:pPr>
      <w:r>
        <w:rPr>
          <w:rFonts w:hint="eastAsia" w:hAnsi="宋体"/>
          <w:sz w:val="22"/>
          <w:szCs w:val="22"/>
        </w:rPr>
        <w:t>1.2供应商法人授权代表必须出席开标大会。</w:t>
      </w:r>
    </w:p>
    <w:p>
      <w:pPr>
        <w:pStyle w:val="24"/>
        <w:adjustRightInd w:val="0"/>
        <w:snapToGrid w:val="0"/>
        <w:spacing w:line="400" w:lineRule="exact"/>
        <w:ind w:firstLine="450"/>
        <w:rPr>
          <w:rFonts w:hAnsi="宋体"/>
          <w:sz w:val="22"/>
          <w:szCs w:val="22"/>
        </w:rPr>
      </w:pPr>
      <w:r>
        <w:rPr>
          <w:rFonts w:hint="eastAsia" w:hAnsi="宋体"/>
          <w:sz w:val="22"/>
          <w:szCs w:val="22"/>
        </w:rPr>
        <w:t>1.3</w:t>
      </w:r>
      <w:r>
        <w:rPr>
          <w:rFonts w:hAnsi="宋体"/>
          <w:sz w:val="22"/>
          <w:szCs w:val="22"/>
        </w:rPr>
        <w:t>开标程序</w:t>
      </w:r>
    </w:p>
    <w:p>
      <w:pPr>
        <w:pStyle w:val="24"/>
        <w:adjustRightInd w:val="0"/>
        <w:snapToGrid w:val="0"/>
        <w:spacing w:after="120" w:line="400" w:lineRule="exact"/>
        <w:ind w:right="109" w:rightChars="52" w:firstLine="450"/>
        <w:rPr>
          <w:rFonts w:hAnsi="宋体"/>
          <w:sz w:val="22"/>
        </w:rPr>
      </w:pPr>
      <w:r>
        <w:rPr>
          <w:rFonts w:hint="eastAsia" w:hAnsi="宋体"/>
          <w:sz w:val="22"/>
        </w:rPr>
        <w:t>1.3.1开标大会由招标代理机构主持，宣布开标大会开始；</w:t>
      </w:r>
    </w:p>
    <w:p>
      <w:pPr>
        <w:pStyle w:val="24"/>
        <w:adjustRightInd w:val="0"/>
        <w:snapToGrid w:val="0"/>
        <w:spacing w:after="120" w:line="400" w:lineRule="exact"/>
        <w:ind w:right="109" w:rightChars="52" w:firstLine="450"/>
        <w:rPr>
          <w:rFonts w:hAnsi="宋体"/>
          <w:sz w:val="22"/>
        </w:rPr>
      </w:pPr>
      <w:r>
        <w:rPr>
          <w:rFonts w:hint="eastAsia" w:hAnsi="宋体"/>
          <w:sz w:val="22"/>
        </w:rPr>
        <w:t>1.3.2告知各参会代表本次采购活动的主持人、唱读人、记录人和监督人等，要求磋商响应投标人代表书面提出其中是否有应当回避的人员；</w:t>
      </w:r>
    </w:p>
    <w:p>
      <w:pPr>
        <w:pStyle w:val="24"/>
        <w:adjustRightInd w:val="0"/>
        <w:snapToGrid w:val="0"/>
        <w:spacing w:after="120" w:line="400" w:lineRule="exact"/>
        <w:ind w:right="109" w:rightChars="52" w:firstLine="450"/>
        <w:rPr>
          <w:rFonts w:hAnsi="宋体"/>
          <w:sz w:val="22"/>
        </w:rPr>
      </w:pPr>
      <w:r>
        <w:rPr>
          <w:rFonts w:hint="eastAsia" w:hAnsi="宋体"/>
          <w:sz w:val="22"/>
        </w:rPr>
        <w:t>1.3.3组织投标人签署不存在影响公平竞争的《政府采购活动现场确认声明书》；</w:t>
      </w:r>
    </w:p>
    <w:p>
      <w:pPr>
        <w:pStyle w:val="24"/>
        <w:adjustRightInd w:val="0"/>
        <w:snapToGrid w:val="0"/>
        <w:spacing w:after="120" w:line="400" w:lineRule="exact"/>
        <w:ind w:right="109" w:rightChars="52" w:firstLine="450"/>
        <w:rPr>
          <w:rFonts w:hAnsi="宋体"/>
          <w:sz w:val="22"/>
        </w:rPr>
      </w:pPr>
      <w:r>
        <w:rPr>
          <w:rFonts w:hint="eastAsia" w:hAnsi="宋体"/>
          <w:sz w:val="22"/>
        </w:rPr>
        <w:t>1.3.4宣布评标期间的有关事项；</w:t>
      </w:r>
    </w:p>
    <w:p>
      <w:pPr>
        <w:pStyle w:val="24"/>
        <w:adjustRightInd w:val="0"/>
        <w:snapToGrid w:val="0"/>
        <w:spacing w:after="120" w:line="400" w:lineRule="exact"/>
        <w:ind w:right="109" w:rightChars="52" w:firstLine="450"/>
        <w:rPr>
          <w:rFonts w:hAnsi="宋体"/>
          <w:sz w:val="22"/>
        </w:rPr>
      </w:pPr>
      <w:r>
        <w:rPr>
          <w:rFonts w:hint="eastAsia" w:hAnsi="宋体"/>
          <w:sz w:val="22"/>
        </w:rPr>
        <w:t>1.3.5请相关人员检验《磋商响应文件》密封的完整性并签字确认；</w:t>
      </w:r>
    </w:p>
    <w:p>
      <w:pPr>
        <w:pStyle w:val="24"/>
        <w:adjustRightInd w:val="0"/>
        <w:snapToGrid w:val="0"/>
        <w:spacing w:after="120" w:line="400" w:lineRule="exact"/>
        <w:ind w:right="109" w:rightChars="52" w:firstLine="450"/>
        <w:rPr>
          <w:rFonts w:hAnsi="宋体"/>
          <w:sz w:val="22"/>
        </w:rPr>
      </w:pPr>
      <w:r>
        <w:rPr>
          <w:rFonts w:hint="eastAsia" w:hAnsi="宋体"/>
          <w:sz w:val="22"/>
        </w:rPr>
        <w:t>1.3.6按“后到先开”的顺序，依次打开各磋商投标人的“磋商响应文件”，磋商小组根据评审原则和评审办法，对各投标人的资信、技术部分和商务报价部分进行综合评审。</w:t>
      </w:r>
    </w:p>
    <w:p>
      <w:pPr>
        <w:pStyle w:val="24"/>
        <w:adjustRightInd w:val="0"/>
        <w:snapToGrid w:val="0"/>
        <w:spacing w:after="120" w:line="400" w:lineRule="exact"/>
        <w:ind w:right="109" w:rightChars="52" w:firstLine="450"/>
        <w:rPr>
          <w:rFonts w:hAnsi="宋体"/>
          <w:sz w:val="22"/>
        </w:rPr>
      </w:pPr>
      <w:r>
        <w:rPr>
          <w:rFonts w:hint="eastAsia" w:hAnsi="宋体"/>
          <w:sz w:val="22"/>
        </w:rPr>
        <w:t>1.3.7进入磋商阶段，磋商小组与投标人分别进行磋商，并给与所有参加磋商投标人平等的磋商机会。</w:t>
      </w:r>
    </w:p>
    <w:p>
      <w:pPr>
        <w:pStyle w:val="24"/>
        <w:adjustRightInd w:val="0"/>
        <w:snapToGrid w:val="0"/>
        <w:spacing w:after="120" w:line="400" w:lineRule="exact"/>
        <w:ind w:right="109" w:rightChars="52" w:firstLine="450"/>
        <w:rPr>
          <w:rFonts w:hAnsi="宋体"/>
          <w:sz w:val="22"/>
        </w:rPr>
      </w:pPr>
      <w:r>
        <w:rPr>
          <w:rFonts w:hint="eastAsia" w:hAnsi="宋体"/>
          <w:sz w:val="22"/>
        </w:rPr>
        <w:t>1.3.8 磋商结束后，所有实质性响应的投标人在规定时间内提交最终报价，最终报价需单独密封在密封袋内，最终报价的表格及密封材料由招标代理机构统一发放。</w:t>
      </w:r>
    </w:p>
    <w:p>
      <w:pPr>
        <w:pStyle w:val="24"/>
        <w:adjustRightInd w:val="0"/>
        <w:snapToGrid w:val="0"/>
        <w:spacing w:after="120" w:line="400" w:lineRule="exact"/>
        <w:ind w:right="109" w:rightChars="52" w:firstLine="450"/>
        <w:rPr>
          <w:rFonts w:hAnsi="宋体"/>
          <w:sz w:val="22"/>
        </w:rPr>
      </w:pPr>
      <w:r>
        <w:rPr>
          <w:rFonts w:hint="eastAsia" w:hAnsi="宋体"/>
          <w:sz w:val="22"/>
        </w:rPr>
        <w:t>1.3.9 公布响应文件技术资信得分。</w:t>
      </w:r>
    </w:p>
    <w:p>
      <w:pPr>
        <w:pStyle w:val="24"/>
        <w:adjustRightInd w:val="0"/>
        <w:snapToGrid w:val="0"/>
        <w:spacing w:after="120" w:line="400" w:lineRule="exact"/>
        <w:ind w:right="109" w:rightChars="52" w:firstLine="450"/>
        <w:rPr>
          <w:rFonts w:hAnsi="宋体"/>
          <w:sz w:val="22"/>
        </w:rPr>
      </w:pPr>
      <w:r>
        <w:rPr>
          <w:rFonts w:hint="eastAsia" w:hAnsi="宋体"/>
          <w:sz w:val="22"/>
        </w:rPr>
        <w:t>1.3.10按提交的顺序，依次打开各实质性响应谈判投标人的“最终报价文件”，公布磋商投标人最终报价。</w:t>
      </w:r>
    </w:p>
    <w:p>
      <w:pPr>
        <w:pStyle w:val="24"/>
        <w:adjustRightInd w:val="0"/>
        <w:snapToGrid w:val="0"/>
        <w:spacing w:after="120" w:line="400" w:lineRule="exact"/>
        <w:ind w:right="109" w:rightChars="52" w:firstLine="450"/>
        <w:rPr>
          <w:rFonts w:hAnsi="宋体"/>
          <w:sz w:val="22"/>
        </w:rPr>
      </w:pPr>
      <w:r>
        <w:rPr>
          <w:rFonts w:hint="eastAsia" w:hAnsi="宋体"/>
          <w:sz w:val="22"/>
        </w:rPr>
        <w:t>1.3.11根据磋商文件规定的评审办法对投标人的最后报价进行评审和计分。</w:t>
      </w:r>
    </w:p>
    <w:p>
      <w:pPr>
        <w:pStyle w:val="24"/>
        <w:adjustRightInd w:val="0"/>
        <w:snapToGrid w:val="0"/>
        <w:spacing w:after="120" w:line="400" w:lineRule="exact"/>
        <w:ind w:right="109" w:rightChars="52" w:firstLine="450"/>
        <w:rPr>
          <w:rFonts w:hAnsi="宋体"/>
          <w:sz w:val="22"/>
        </w:rPr>
      </w:pPr>
      <w:r>
        <w:rPr>
          <w:rFonts w:hint="eastAsia" w:hAnsi="宋体"/>
          <w:sz w:val="22"/>
        </w:rPr>
        <w:t>1.3.12磋商结束，公布成交候选投标人名单，及采购人最终确定中标或成交投标人名单的时间和公告方式等。</w:t>
      </w:r>
    </w:p>
    <w:p>
      <w:pPr>
        <w:pStyle w:val="24"/>
        <w:adjustRightInd w:val="0"/>
        <w:snapToGrid w:val="0"/>
        <w:spacing w:line="400" w:lineRule="exact"/>
        <w:ind w:firstLine="444"/>
        <w:rPr>
          <w:rFonts w:hAnsi="宋体" w:cs="Arial"/>
          <w:sz w:val="22"/>
          <w:szCs w:val="22"/>
        </w:rPr>
      </w:pPr>
      <w:r>
        <w:rPr>
          <w:rFonts w:hint="eastAsia" w:hAnsi="宋体"/>
          <w:sz w:val="22"/>
          <w:szCs w:val="22"/>
        </w:rPr>
        <w:t>1.4</w:t>
      </w:r>
      <w:r>
        <w:rPr>
          <w:rFonts w:hint="eastAsia" w:hAnsi="宋体"/>
          <w:sz w:val="22"/>
          <w:szCs w:val="22"/>
          <w:u w:val="single"/>
        </w:rPr>
        <w:t>▲</w:t>
      </w:r>
      <w:r>
        <w:rPr>
          <w:rFonts w:hint="eastAsia" w:hAnsi="宋体" w:cs="Arial"/>
          <w:b/>
          <w:sz w:val="22"/>
          <w:szCs w:val="22"/>
          <w:u w:val="single"/>
        </w:rPr>
        <w:t>有下列情形之一的磋商响应文件将被拒绝接受：</w:t>
      </w:r>
    </w:p>
    <w:p>
      <w:pPr>
        <w:pStyle w:val="24"/>
        <w:adjustRightInd w:val="0"/>
        <w:snapToGrid w:val="0"/>
        <w:spacing w:line="440" w:lineRule="exact"/>
        <w:ind w:firstLine="440" w:firstLineChars="200"/>
        <w:rPr>
          <w:rFonts w:hAnsi="宋体" w:cs="Arial"/>
          <w:sz w:val="22"/>
          <w:szCs w:val="22"/>
        </w:rPr>
      </w:pPr>
      <w:r>
        <w:rPr>
          <w:rFonts w:hint="eastAsia" w:hAnsi="宋体" w:cs="Arial"/>
          <w:sz w:val="22"/>
          <w:szCs w:val="22"/>
        </w:rPr>
        <w:t>1）在磋商响应文件递交截止时间以后送达的磋商响应文件；</w:t>
      </w:r>
    </w:p>
    <w:p>
      <w:pPr>
        <w:pStyle w:val="24"/>
        <w:adjustRightInd w:val="0"/>
        <w:snapToGrid w:val="0"/>
        <w:spacing w:line="440" w:lineRule="exact"/>
        <w:ind w:firstLine="440" w:firstLineChars="200"/>
        <w:rPr>
          <w:rFonts w:hAnsi="宋体" w:cs="Arial"/>
          <w:sz w:val="22"/>
          <w:szCs w:val="22"/>
        </w:rPr>
      </w:pPr>
      <w:r>
        <w:rPr>
          <w:rFonts w:hint="eastAsia" w:hAnsi="宋体" w:cs="Arial"/>
          <w:sz w:val="22"/>
          <w:szCs w:val="22"/>
        </w:rPr>
        <w:t>2）未按磋商文件规定密封与包装的磋商响应文件；</w:t>
      </w:r>
    </w:p>
    <w:p>
      <w:pPr>
        <w:pStyle w:val="24"/>
        <w:adjustRightInd w:val="0"/>
        <w:snapToGrid w:val="0"/>
        <w:spacing w:line="440" w:lineRule="exact"/>
        <w:ind w:firstLine="440" w:firstLineChars="200"/>
        <w:rPr>
          <w:rFonts w:hAnsi="宋体" w:cs="Arial"/>
          <w:sz w:val="22"/>
          <w:szCs w:val="22"/>
        </w:rPr>
      </w:pPr>
      <w:r>
        <w:rPr>
          <w:rFonts w:hint="eastAsia" w:hAnsi="宋体" w:cs="Arial"/>
          <w:sz w:val="22"/>
          <w:szCs w:val="22"/>
        </w:rPr>
        <w:t>3）供应商法定代表人或其授权代表未参加开标会议的；</w:t>
      </w:r>
    </w:p>
    <w:p>
      <w:pPr>
        <w:pStyle w:val="24"/>
        <w:adjustRightInd w:val="0"/>
        <w:snapToGrid w:val="0"/>
        <w:spacing w:line="440" w:lineRule="exact"/>
        <w:ind w:firstLine="440" w:firstLineChars="200"/>
        <w:rPr>
          <w:rFonts w:hAnsi="宋体" w:cs="Arial"/>
          <w:sz w:val="22"/>
          <w:szCs w:val="22"/>
        </w:rPr>
      </w:pPr>
      <w:r>
        <w:rPr>
          <w:rFonts w:hint="eastAsia" w:hAnsi="宋体" w:cs="Arial"/>
          <w:sz w:val="22"/>
          <w:szCs w:val="22"/>
        </w:rPr>
        <w:t>4）供应商法定代表人未参加开标会议时，其授权代表不能提供法定代表人授权书；</w:t>
      </w:r>
    </w:p>
    <w:p>
      <w:pPr>
        <w:pStyle w:val="24"/>
        <w:adjustRightInd w:val="0"/>
        <w:snapToGrid w:val="0"/>
        <w:spacing w:line="440" w:lineRule="exact"/>
        <w:ind w:firstLine="440" w:firstLineChars="200"/>
        <w:rPr>
          <w:rFonts w:hAnsi="宋体" w:cs="Arial"/>
          <w:b/>
          <w:sz w:val="22"/>
          <w:szCs w:val="22"/>
        </w:rPr>
      </w:pPr>
      <w:r>
        <w:rPr>
          <w:rFonts w:hint="eastAsia" w:hAnsi="宋体" w:cs="Arial"/>
          <w:sz w:val="22"/>
          <w:szCs w:val="22"/>
        </w:rPr>
        <w:t>5）供应商法定代表人或其授权代表不能出示合法的身份证明；</w:t>
      </w:r>
    </w:p>
    <w:p>
      <w:pPr>
        <w:spacing w:line="440" w:lineRule="exact"/>
        <w:ind w:left="420" w:leftChars="200"/>
        <w:rPr>
          <w:rFonts w:ascii="宋体" w:hAnsi="宋体"/>
          <w:sz w:val="22"/>
          <w:szCs w:val="22"/>
        </w:rPr>
      </w:pPr>
      <w:r>
        <w:rPr>
          <w:rFonts w:hint="eastAsia" w:ascii="楷体_GB2312" w:hAnsi="宋体" w:eastAsia="楷体_GB2312"/>
          <w:sz w:val="22"/>
          <w:szCs w:val="22"/>
          <w:u w:val="single"/>
        </w:rPr>
        <w:t>1.5▲</w:t>
      </w:r>
      <w:r>
        <w:rPr>
          <w:rFonts w:hint="eastAsia" w:ascii="宋体" w:hAnsi="宋体"/>
          <w:sz w:val="22"/>
          <w:szCs w:val="22"/>
          <w:u w:val="single"/>
        </w:rPr>
        <w:t>投标供应商如是法定代表人参加投标的，同时递交法定代表人有效身份证明（原件）、有效营业执照复印件（加盖公章，如密封在</w:t>
      </w:r>
      <w:r>
        <w:rPr>
          <w:rFonts w:hint="eastAsia" w:hAnsi="宋体" w:cs="Arial"/>
          <w:sz w:val="22"/>
          <w:szCs w:val="22"/>
          <w:u w:val="single"/>
        </w:rPr>
        <w:t>磋商响应</w:t>
      </w:r>
      <w:r>
        <w:rPr>
          <w:rFonts w:hint="eastAsia" w:ascii="宋体" w:hAnsi="宋体"/>
          <w:sz w:val="22"/>
          <w:szCs w:val="22"/>
          <w:u w:val="single"/>
        </w:rPr>
        <w:t>文件中，在</w:t>
      </w:r>
      <w:r>
        <w:rPr>
          <w:rFonts w:hint="eastAsia" w:hAnsi="宋体" w:cs="Arial"/>
          <w:sz w:val="22"/>
          <w:szCs w:val="22"/>
          <w:u w:val="single"/>
        </w:rPr>
        <w:t>磋商响应文件</w:t>
      </w:r>
      <w:r>
        <w:rPr>
          <w:rFonts w:hint="eastAsia" w:ascii="宋体" w:hAnsi="宋体"/>
          <w:sz w:val="22"/>
          <w:szCs w:val="22"/>
          <w:u w:val="single"/>
        </w:rPr>
        <w:t>开启后经磋商小组查验符合要求亦为有效），由磋商小组确认投标资格。</w:t>
      </w:r>
    </w:p>
    <w:p>
      <w:pPr>
        <w:spacing w:line="440" w:lineRule="exact"/>
        <w:ind w:left="420" w:leftChars="200"/>
        <w:rPr>
          <w:rFonts w:ascii="宋体" w:hAnsi="宋体"/>
          <w:sz w:val="22"/>
          <w:szCs w:val="22"/>
        </w:rPr>
      </w:pPr>
      <w:r>
        <w:rPr>
          <w:rFonts w:hint="eastAsia" w:ascii="楷体_GB2312" w:hAnsi="宋体" w:eastAsia="楷体_GB2312"/>
          <w:sz w:val="22"/>
          <w:szCs w:val="22"/>
          <w:u w:val="single"/>
        </w:rPr>
        <w:t>▲</w:t>
      </w:r>
      <w:r>
        <w:rPr>
          <w:rFonts w:hint="eastAsia" w:ascii="宋体" w:hAnsi="宋体"/>
          <w:sz w:val="22"/>
          <w:szCs w:val="22"/>
          <w:u w:val="single"/>
        </w:rPr>
        <w:t>投标供应商如是授权代表参加投标的，同时递交法定代表人授权书（原件，如原件密封在磋商响应文件中，在磋商响应文件开启后经磋商小组查验符合要求亦为有效）、授权代表有效身份证明（原件），由磋商小组确认投标资格。</w:t>
      </w:r>
    </w:p>
    <w:p>
      <w:pPr>
        <w:pStyle w:val="24"/>
        <w:adjustRightInd w:val="0"/>
        <w:snapToGrid w:val="0"/>
        <w:spacing w:line="440" w:lineRule="exact"/>
        <w:ind w:firstLine="440" w:firstLineChars="200"/>
        <w:rPr>
          <w:rFonts w:hAnsi="宋体"/>
          <w:bCs/>
          <w:sz w:val="22"/>
          <w:szCs w:val="22"/>
          <w:u w:val="single"/>
        </w:rPr>
      </w:pPr>
      <w:r>
        <w:rPr>
          <w:rFonts w:hint="eastAsia" w:hAnsi="宋体"/>
          <w:bCs/>
          <w:sz w:val="22"/>
          <w:szCs w:val="22"/>
          <w:u w:val="single"/>
        </w:rPr>
        <w:t>开标时如果供应商不能提供以上证件、证明将可能导致投标文件被拒绝。</w:t>
      </w:r>
    </w:p>
    <w:p>
      <w:pPr>
        <w:pStyle w:val="24"/>
        <w:adjustRightInd w:val="0"/>
        <w:snapToGrid w:val="0"/>
        <w:spacing w:line="440" w:lineRule="exact"/>
        <w:ind w:firstLine="440" w:firstLineChars="200"/>
        <w:rPr>
          <w:rFonts w:hAnsi="宋体"/>
          <w:bCs/>
          <w:sz w:val="22"/>
          <w:szCs w:val="22"/>
          <w:u w:val="single"/>
        </w:rPr>
      </w:pPr>
      <w:r>
        <w:rPr>
          <w:rFonts w:hint="eastAsia" w:hAnsi="宋体"/>
          <w:bCs/>
          <w:sz w:val="22"/>
          <w:szCs w:val="22"/>
          <w:u w:val="single"/>
        </w:rPr>
        <w:t>1.6供应商法定代表人或其授权代表必须出席开标会议,并对开标记录予以签字确认。</w:t>
      </w:r>
    </w:p>
    <w:p>
      <w:pPr>
        <w:pStyle w:val="24"/>
        <w:adjustRightInd w:val="0"/>
        <w:snapToGrid w:val="0"/>
        <w:spacing w:line="420" w:lineRule="exact"/>
        <w:ind w:firstLine="440" w:firstLineChars="200"/>
        <w:rPr>
          <w:rFonts w:hAnsi="宋体" w:cs="Arial"/>
          <w:sz w:val="22"/>
          <w:szCs w:val="22"/>
        </w:rPr>
      </w:pPr>
      <w:r>
        <w:rPr>
          <w:rFonts w:hint="eastAsia" w:hAnsi="宋体" w:cs="Arial"/>
          <w:sz w:val="22"/>
          <w:szCs w:val="22"/>
        </w:rPr>
        <w:t>2、评标</w:t>
      </w:r>
    </w:p>
    <w:p>
      <w:pPr>
        <w:pStyle w:val="24"/>
        <w:adjustRightInd w:val="0"/>
        <w:snapToGrid w:val="0"/>
        <w:spacing w:line="420" w:lineRule="exact"/>
        <w:ind w:firstLine="440" w:firstLineChars="200"/>
        <w:rPr>
          <w:rFonts w:hAnsi="宋体" w:cs="Arial"/>
          <w:sz w:val="22"/>
          <w:szCs w:val="22"/>
        </w:rPr>
      </w:pPr>
      <w:r>
        <w:rPr>
          <w:rFonts w:hint="eastAsia" w:hAnsi="宋体" w:cs="Arial"/>
          <w:sz w:val="22"/>
          <w:szCs w:val="22"/>
        </w:rPr>
        <w:t>2.1评标由采购人依法组建的磋商小组负责</w:t>
      </w:r>
      <w:r>
        <w:rPr>
          <w:rFonts w:hint="eastAsia" w:hAnsi="宋体"/>
          <w:sz w:val="22"/>
          <w:szCs w:val="22"/>
        </w:rPr>
        <w:t>，并独立履行下列职责：</w:t>
      </w:r>
    </w:p>
    <w:p>
      <w:pPr>
        <w:snapToGrid w:val="0"/>
        <w:spacing w:line="420" w:lineRule="exact"/>
        <w:ind w:firstLine="431" w:firstLineChars="196"/>
        <w:rPr>
          <w:rFonts w:ascii="宋体" w:hAnsi="宋体"/>
          <w:sz w:val="22"/>
          <w:szCs w:val="22"/>
        </w:rPr>
      </w:pPr>
      <w:r>
        <w:rPr>
          <w:rFonts w:hint="eastAsia" w:ascii="宋体" w:hAnsi="宋体"/>
          <w:sz w:val="22"/>
          <w:szCs w:val="22"/>
        </w:rPr>
        <w:t>1）审查磋商响应文件是否符合招标文件要求，并作出评价；</w:t>
      </w:r>
    </w:p>
    <w:p>
      <w:pPr>
        <w:snapToGrid w:val="0"/>
        <w:spacing w:line="420" w:lineRule="exact"/>
        <w:rPr>
          <w:rFonts w:ascii="宋体" w:hAnsi="宋体"/>
          <w:sz w:val="22"/>
          <w:szCs w:val="22"/>
        </w:rPr>
      </w:pPr>
      <w:r>
        <w:rPr>
          <w:rFonts w:hint="eastAsia" w:ascii="宋体" w:hAnsi="宋体"/>
          <w:sz w:val="22"/>
          <w:szCs w:val="22"/>
        </w:rPr>
        <w:t xml:space="preserve">    2）要求投标供应商对投标文件有关事项作出解释或者澄清；</w:t>
      </w:r>
    </w:p>
    <w:p>
      <w:pPr>
        <w:snapToGrid w:val="0"/>
        <w:spacing w:line="420" w:lineRule="exact"/>
        <w:rPr>
          <w:rFonts w:ascii="宋体" w:hAnsi="宋体"/>
          <w:sz w:val="22"/>
          <w:szCs w:val="22"/>
        </w:rPr>
      </w:pPr>
      <w:r>
        <w:rPr>
          <w:rFonts w:hint="eastAsia" w:ascii="宋体" w:hAnsi="宋体"/>
          <w:sz w:val="22"/>
          <w:szCs w:val="22"/>
        </w:rPr>
        <w:t xml:space="preserve">    3）按照磋商文件确定的评标办法确定预中标供应商，并对其排序；综合得分最高的供应商推荐为中标供应商；</w:t>
      </w:r>
    </w:p>
    <w:p>
      <w:pPr>
        <w:pStyle w:val="24"/>
        <w:adjustRightInd w:val="0"/>
        <w:snapToGrid w:val="0"/>
        <w:spacing w:line="454" w:lineRule="atLeast"/>
        <w:ind w:firstLine="431" w:firstLineChars="196"/>
        <w:rPr>
          <w:rFonts w:hAnsi="宋体"/>
          <w:sz w:val="22"/>
          <w:szCs w:val="22"/>
        </w:rPr>
      </w:pPr>
      <w:r>
        <w:rPr>
          <w:rFonts w:hint="eastAsia" w:hAnsi="宋体"/>
          <w:sz w:val="22"/>
          <w:szCs w:val="22"/>
        </w:rPr>
        <w:t>4）向采购人或者有关部门报告非法干预评标工作的行为。</w:t>
      </w:r>
    </w:p>
    <w:p>
      <w:pPr>
        <w:pStyle w:val="24"/>
        <w:adjustRightInd w:val="0"/>
        <w:snapToGrid w:val="0"/>
        <w:spacing w:line="454" w:lineRule="atLeast"/>
        <w:ind w:firstLine="431" w:firstLineChars="196"/>
        <w:rPr>
          <w:rFonts w:hAnsi="宋体"/>
          <w:sz w:val="22"/>
          <w:szCs w:val="22"/>
        </w:rPr>
      </w:pPr>
      <w:r>
        <w:rPr>
          <w:rFonts w:hint="eastAsia" w:hAnsi="宋体"/>
          <w:sz w:val="22"/>
          <w:szCs w:val="22"/>
        </w:rPr>
        <w:t>5）根据采购人的授权确定预中标供应商名单；</w:t>
      </w:r>
    </w:p>
    <w:p>
      <w:pPr>
        <w:snapToGrid w:val="0"/>
        <w:spacing w:line="454" w:lineRule="atLeast"/>
        <w:ind w:firstLine="431" w:firstLineChars="196"/>
        <w:rPr>
          <w:rFonts w:ascii="宋体" w:hAnsi="宋体"/>
          <w:sz w:val="22"/>
          <w:szCs w:val="22"/>
        </w:rPr>
      </w:pPr>
      <w:r>
        <w:rPr>
          <w:rFonts w:hint="eastAsia" w:ascii="宋体" w:hAnsi="宋体"/>
          <w:sz w:val="22"/>
          <w:szCs w:val="22"/>
        </w:rPr>
        <w:t>2.2评标应当遵循下列工作程序：</w:t>
      </w:r>
    </w:p>
    <w:p>
      <w:pPr>
        <w:snapToGrid w:val="0"/>
        <w:spacing w:line="454" w:lineRule="atLeast"/>
        <w:rPr>
          <w:rFonts w:ascii="宋体" w:hAnsi="宋体"/>
          <w:sz w:val="22"/>
          <w:szCs w:val="22"/>
        </w:rPr>
      </w:pPr>
      <w:r>
        <w:rPr>
          <w:rFonts w:hint="eastAsia" w:ascii="宋体" w:hAnsi="宋体"/>
          <w:sz w:val="22"/>
          <w:szCs w:val="22"/>
        </w:rPr>
        <w:t xml:space="preserve">    1）投标文件初审。初审分为资格性检查和符合性检查。</w:t>
      </w:r>
    </w:p>
    <w:p>
      <w:pPr>
        <w:snapToGrid w:val="0"/>
        <w:spacing w:line="454" w:lineRule="atLeast"/>
        <w:rPr>
          <w:rFonts w:ascii="新宋体" w:hAnsi="新宋体" w:eastAsia="新宋体"/>
          <w:b/>
          <w:bCs/>
          <w:color w:val="000000"/>
          <w:sz w:val="22"/>
          <w:szCs w:val="22"/>
          <w:u w:val="single"/>
        </w:rPr>
      </w:pPr>
      <w:r>
        <w:rPr>
          <w:rFonts w:hint="eastAsia" w:ascii="宋体" w:hAnsi="宋体"/>
          <w:b/>
          <w:sz w:val="22"/>
          <w:szCs w:val="22"/>
        </w:rPr>
        <w:t xml:space="preserve"> （1)</w:t>
      </w:r>
      <w:r>
        <w:rPr>
          <w:rFonts w:hint="eastAsia" w:ascii="宋体" w:hAnsi="宋体"/>
          <w:b/>
          <w:sz w:val="22"/>
          <w:szCs w:val="22"/>
          <w:u w:val="single"/>
        </w:rPr>
        <w:t>资格性检查。</w:t>
      </w:r>
      <w:r>
        <w:rPr>
          <w:rFonts w:hint="eastAsia" w:ascii="新宋体" w:hAnsi="新宋体" w:eastAsia="新宋体"/>
          <w:b/>
          <w:bCs/>
          <w:color w:val="000000"/>
          <w:sz w:val="22"/>
          <w:szCs w:val="22"/>
          <w:u w:val="single"/>
        </w:rPr>
        <w:t>依据法律、法规和招标文件的规定，磋商小组对各投标文件中的法定代表人授权书（原件）、投标供应商代表有效身份证件（原件）和企业法人营业执照（复印件加盖单位公章）进行审查，以确定是否具备投标资格，未按要求提交上述资料或经审查资料不合格的，其投标文件将不予接受。</w:t>
      </w:r>
    </w:p>
    <w:p>
      <w:pPr>
        <w:spacing w:line="460" w:lineRule="exact"/>
        <w:ind w:hanging="10"/>
        <w:rPr>
          <w:rFonts w:ascii="新宋体" w:hAnsi="新宋体" w:eastAsia="新宋体"/>
          <w:b/>
          <w:bCs/>
          <w:sz w:val="22"/>
          <w:szCs w:val="22"/>
          <w:u w:val="single"/>
        </w:rPr>
      </w:pPr>
      <w:r>
        <w:rPr>
          <w:rFonts w:hint="eastAsia" w:ascii="新宋体" w:hAnsi="新宋体" w:eastAsia="新宋体"/>
          <w:bCs/>
          <w:sz w:val="22"/>
          <w:szCs w:val="22"/>
        </w:rPr>
        <w:t>▲</w:t>
      </w:r>
      <w:r>
        <w:rPr>
          <w:rFonts w:hint="eastAsia" w:ascii="新宋体" w:hAnsi="新宋体" w:eastAsia="新宋体"/>
          <w:b/>
          <w:bCs/>
          <w:sz w:val="22"/>
          <w:szCs w:val="22"/>
          <w:u w:val="single"/>
        </w:rPr>
        <w:t>（2）磋商小组根据温龙审资办〔</w:t>
      </w:r>
      <w:r>
        <w:rPr>
          <w:rFonts w:ascii="新宋体" w:hAnsi="新宋体" w:eastAsia="新宋体"/>
          <w:b/>
          <w:bCs/>
          <w:sz w:val="22"/>
          <w:szCs w:val="22"/>
          <w:u w:val="single"/>
        </w:rPr>
        <w:t>201</w:t>
      </w:r>
      <w:r>
        <w:rPr>
          <w:rFonts w:hint="eastAsia" w:ascii="新宋体" w:hAnsi="新宋体" w:eastAsia="新宋体"/>
          <w:b/>
          <w:bCs/>
          <w:sz w:val="22"/>
          <w:szCs w:val="22"/>
          <w:u w:val="single"/>
        </w:rPr>
        <w:t>5〕17号文件进行投标供应商信用核查，评审委员会在评标现场通过官方网站对投标供应商或中标（成交）候选供应商的信用信息进行核查：</w:t>
      </w:r>
    </w:p>
    <w:p>
      <w:pPr>
        <w:spacing w:line="460" w:lineRule="exact"/>
        <w:ind w:left="769" w:leftChars="261" w:hanging="221" w:hangingChars="100"/>
        <w:rPr>
          <w:rFonts w:ascii="新宋体" w:hAnsi="新宋体" w:eastAsia="新宋体"/>
          <w:b/>
          <w:bCs/>
          <w:sz w:val="22"/>
          <w:szCs w:val="22"/>
          <w:u w:val="single"/>
        </w:rPr>
      </w:pPr>
      <w:r>
        <w:rPr>
          <w:rFonts w:hint="eastAsia" w:ascii="新宋体" w:hAnsi="新宋体" w:eastAsia="新宋体"/>
          <w:b/>
          <w:bCs/>
          <w:sz w:val="22"/>
          <w:szCs w:val="22"/>
          <w:u w:val="single"/>
        </w:rPr>
        <w:t>1、全国企业信用信息公示系统，查投标供应商或中标（成交）候选供应商是否被列为严重违法企业名单，网址：</w:t>
      </w:r>
      <w:r>
        <w:fldChar w:fldCharType="begin"/>
      </w:r>
      <w:r>
        <w:instrText xml:space="preserve"> HYPERLINK "http://www.gsxt.gov.cn/" </w:instrText>
      </w:r>
      <w:r>
        <w:fldChar w:fldCharType="separate"/>
      </w:r>
      <w:r>
        <w:rPr>
          <w:rFonts w:hint="eastAsia" w:ascii="新宋体" w:hAnsi="新宋体" w:eastAsia="新宋体"/>
          <w:b/>
          <w:bCs/>
          <w:sz w:val="22"/>
          <w:szCs w:val="22"/>
          <w:u w:val="single"/>
        </w:rPr>
        <w:t>http://www.gsxt.gov.cn/</w:t>
      </w:r>
      <w:r>
        <w:rPr>
          <w:rFonts w:hint="eastAsia" w:ascii="新宋体" w:hAnsi="新宋体" w:eastAsia="新宋体"/>
          <w:b/>
          <w:bCs/>
          <w:sz w:val="22"/>
          <w:szCs w:val="22"/>
          <w:u w:val="single"/>
        </w:rPr>
        <w:fldChar w:fldCharType="end"/>
      </w:r>
      <w:r>
        <w:rPr>
          <w:rFonts w:hint="eastAsia" w:ascii="新宋体" w:hAnsi="新宋体" w:eastAsia="新宋体"/>
          <w:b/>
          <w:bCs/>
          <w:sz w:val="22"/>
          <w:szCs w:val="22"/>
          <w:u w:val="single"/>
        </w:rPr>
        <w:t>。</w:t>
      </w:r>
    </w:p>
    <w:p>
      <w:pPr>
        <w:spacing w:line="460" w:lineRule="exact"/>
        <w:ind w:left="769" w:leftChars="261" w:hanging="221" w:hangingChars="100"/>
        <w:rPr>
          <w:rFonts w:ascii="新宋体" w:hAnsi="新宋体" w:eastAsia="新宋体"/>
          <w:b/>
          <w:bCs/>
          <w:sz w:val="22"/>
          <w:szCs w:val="22"/>
          <w:u w:val="single"/>
        </w:rPr>
      </w:pPr>
      <w:r>
        <w:rPr>
          <w:rFonts w:hint="eastAsia" w:ascii="新宋体" w:hAnsi="新宋体" w:eastAsia="新宋体"/>
          <w:b/>
          <w:bCs/>
          <w:sz w:val="22"/>
          <w:szCs w:val="22"/>
          <w:u w:val="single"/>
        </w:rPr>
        <w:t>2、中国政府采购网，查投标供应商或中标（成交）候选供应商是否在政府采购招投标活动中有严重违法失信行为记录，网址：</w:t>
      </w:r>
      <w:r>
        <w:fldChar w:fldCharType="begin"/>
      </w:r>
      <w:r>
        <w:instrText xml:space="preserve"> HYPERLINK "http://www.ccgp.gov.cn/cr/list" </w:instrText>
      </w:r>
      <w:r>
        <w:fldChar w:fldCharType="separate"/>
      </w:r>
      <w:r>
        <w:rPr>
          <w:rFonts w:hint="eastAsia" w:ascii="新宋体" w:hAnsi="新宋体" w:eastAsia="新宋体"/>
          <w:b/>
          <w:bCs/>
          <w:sz w:val="22"/>
          <w:szCs w:val="22"/>
          <w:u w:val="single"/>
        </w:rPr>
        <w:t>http://www.ccgp.gov.cn/cr/list</w:t>
      </w:r>
      <w:r>
        <w:rPr>
          <w:rFonts w:hint="eastAsia" w:ascii="新宋体" w:hAnsi="新宋体" w:eastAsia="新宋体"/>
          <w:b/>
          <w:bCs/>
          <w:sz w:val="22"/>
          <w:szCs w:val="22"/>
          <w:u w:val="single"/>
        </w:rPr>
        <w:fldChar w:fldCharType="end"/>
      </w:r>
      <w:r>
        <w:rPr>
          <w:rFonts w:hint="eastAsia" w:ascii="新宋体" w:hAnsi="新宋体" w:eastAsia="新宋体"/>
          <w:b/>
          <w:bCs/>
          <w:sz w:val="22"/>
          <w:szCs w:val="22"/>
          <w:u w:val="single"/>
        </w:rPr>
        <w:t>。</w:t>
      </w:r>
    </w:p>
    <w:p>
      <w:pPr>
        <w:spacing w:line="460" w:lineRule="exact"/>
        <w:rPr>
          <w:rFonts w:ascii="新宋体" w:hAnsi="新宋体" w:eastAsia="新宋体"/>
          <w:b/>
          <w:bCs/>
          <w:sz w:val="22"/>
          <w:szCs w:val="22"/>
          <w:u w:val="single"/>
        </w:rPr>
      </w:pPr>
      <w:r>
        <w:rPr>
          <w:rFonts w:hint="eastAsia" w:ascii="新宋体" w:hAnsi="新宋体" w:eastAsia="新宋体"/>
          <w:b/>
          <w:bCs/>
          <w:sz w:val="22"/>
          <w:szCs w:val="22"/>
          <w:u w:val="single"/>
        </w:rPr>
        <w:t>（3）供应商有下列情形之一的，取消中标（成交）候选供应商资格或按投标无效处理。</w:t>
      </w:r>
    </w:p>
    <w:p>
      <w:pPr>
        <w:spacing w:line="460" w:lineRule="exact"/>
        <w:ind w:left="769" w:leftChars="261" w:hanging="221" w:hangingChars="100"/>
        <w:rPr>
          <w:rFonts w:ascii="新宋体" w:hAnsi="新宋体" w:eastAsia="新宋体"/>
          <w:b/>
          <w:bCs/>
          <w:sz w:val="22"/>
          <w:szCs w:val="22"/>
          <w:u w:val="single"/>
        </w:rPr>
      </w:pPr>
      <w:r>
        <w:rPr>
          <w:rFonts w:hint="eastAsia" w:ascii="新宋体" w:hAnsi="新宋体" w:eastAsia="新宋体"/>
          <w:b/>
          <w:bCs/>
          <w:sz w:val="22"/>
          <w:szCs w:val="22"/>
          <w:u w:val="single"/>
        </w:rPr>
        <w:t>（一）在“全国企业信用信息系统”被列入严重违法企业名单的；</w:t>
      </w:r>
    </w:p>
    <w:p>
      <w:pPr>
        <w:spacing w:line="460" w:lineRule="exact"/>
        <w:ind w:left="769" w:leftChars="261" w:hanging="221" w:hangingChars="100"/>
        <w:rPr>
          <w:rFonts w:ascii="新宋体" w:hAnsi="新宋体" w:eastAsia="新宋体"/>
          <w:b/>
          <w:bCs/>
          <w:sz w:val="22"/>
          <w:szCs w:val="22"/>
          <w:u w:val="single"/>
        </w:rPr>
      </w:pPr>
      <w:r>
        <w:rPr>
          <w:rFonts w:hint="eastAsia" w:ascii="新宋体" w:hAnsi="新宋体" w:eastAsia="新宋体"/>
          <w:b/>
          <w:bCs/>
          <w:sz w:val="22"/>
          <w:szCs w:val="22"/>
          <w:u w:val="single"/>
        </w:rPr>
        <w:t>（二）在“中国政府采购网”被列入政府采购严重违法失信行为记录名单的；</w:t>
      </w:r>
    </w:p>
    <w:p>
      <w:pPr>
        <w:snapToGrid w:val="0"/>
        <w:spacing w:line="454" w:lineRule="atLeast"/>
        <w:rPr>
          <w:rFonts w:ascii="宋体" w:hAnsi="宋体"/>
          <w:sz w:val="22"/>
          <w:szCs w:val="22"/>
          <w:u w:val="single"/>
        </w:rPr>
      </w:pPr>
      <w:r>
        <w:rPr>
          <w:rFonts w:hint="eastAsia" w:ascii="宋体" w:hAnsi="宋体"/>
          <w:sz w:val="22"/>
          <w:szCs w:val="22"/>
        </w:rPr>
        <w:t xml:space="preserve">   （4)符合性检查。依据招标文件的规定，从磋商响应文件的有效性、完整性和对磋商文件的响应程度进行审查，以确定是否对招标文件的实质性要求作出响应。</w:t>
      </w:r>
      <w:r>
        <w:rPr>
          <w:rFonts w:hint="eastAsia" w:ascii="新宋体" w:hAnsi="新宋体" w:eastAsia="新宋体"/>
          <w:b/>
          <w:bCs/>
          <w:color w:val="000000"/>
          <w:sz w:val="22"/>
          <w:szCs w:val="22"/>
          <w:u w:val="single"/>
        </w:rPr>
        <w:t>招标文件中加“下划线”的条款、加“</w:t>
      </w:r>
      <w:r>
        <w:rPr>
          <w:rFonts w:hint="eastAsia" w:ascii="宋体" w:hAnsi="宋体"/>
          <w:b/>
          <w:color w:val="000000"/>
          <w:sz w:val="22"/>
          <w:szCs w:val="22"/>
          <w:u w:val="single"/>
        </w:rPr>
        <w:t>★</w:t>
      </w:r>
      <w:r>
        <w:rPr>
          <w:rFonts w:hint="eastAsia" w:ascii="新宋体" w:hAnsi="新宋体" w:eastAsia="新宋体"/>
          <w:b/>
          <w:bCs/>
          <w:color w:val="000000"/>
          <w:sz w:val="22"/>
          <w:szCs w:val="22"/>
          <w:u w:val="single"/>
        </w:rPr>
        <w:t>”及加“▲”的条款，为实质性条款。对于标书中规定的实质性条款，如响应时出现有微小偏离的，判定是否构成实质性偏离，由磋商小组来判定。</w:t>
      </w:r>
    </w:p>
    <w:p>
      <w:pPr>
        <w:snapToGrid w:val="0"/>
        <w:spacing w:line="454" w:lineRule="atLeast"/>
        <w:rPr>
          <w:rFonts w:ascii="宋体" w:hAnsi="宋体"/>
          <w:sz w:val="22"/>
          <w:szCs w:val="22"/>
        </w:rPr>
      </w:pPr>
      <w:r>
        <w:rPr>
          <w:rFonts w:hint="eastAsia" w:ascii="宋体" w:hAnsi="宋体"/>
          <w:sz w:val="22"/>
          <w:szCs w:val="22"/>
        </w:rPr>
        <w:t xml:space="preserve">    2）澄清有关问题。对磋商响应文件中含义不明确、同类问题表述不一致或者有明显文字和计算错误的内容，磋商小组可以书面形式要求供应商作出必要的澄清、说明或者纠正。供应商的澄清、说明或者补正应当采用书面形式，由其授权的代表签字，并不得超出磋商响应文件的范围或者改变磋商响应文件的实质性内容。</w:t>
      </w:r>
    </w:p>
    <w:p>
      <w:pPr>
        <w:pStyle w:val="24"/>
        <w:adjustRightInd w:val="0"/>
        <w:snapToGrid w:val="0"/>
        <w:spacing w:line="454" w:lineRule="atLeast"/>
        <w:ind w:firstLine="450"/>
        <w:rPr>
          <w:sz w:val="22"/>
          <w:szCs w:val="22"/>
        </w:rPr>
      </w:pPr>
      <w:r>
        <w:rPr>
          <w:rFonts w:hint="eastAsia" w:hAnsi="宋体"/>
          <w:sz w:val="22"/>
          <w:szCs w:val="22"/>
        </w:rPr>
        <w:t>3）比较与评价。按磋商文件中规定的评标方法和标准，对资格性检查和符合性检查合格的投标文件进行商务和技术评估，综合比较与</w:t>
      </w:r>
      <w:r>
        <w:rPr>
          <w:rFonts w:hint="eastAsia"/>
          <w:sz w:val="22"/>
          <w:szCs w:val="22"/>
        </w:rPr>
        <w:t>评价。</w:t>
      </w:r>
    </w:p>
    <w:p>
      <w:pPr>
        <w:pStyle w:val="24"/>
        <w:adjustRightInd w:val="0"/>
        <w:snapToGrid w:val="0"/>
        <w:spacing w:line="454" w:lineRule="atLeast"/>
        <w:ind w:firstLine="450"/>
        <w:rPr>
          <w:rFonts w:hAnsi="宋体" w:cs="Arial"/>
          <w:sz w:val="22"/>
          <w:szCs w:val="22"/>
        </w:rPr>
      </w:pPr>
      <w:r>
        <w:rPr>
          <w:rFonts w:hint="eastAsia"/>
          <w:sz w:val="22"/>
          <w:szCs w:val="22"/>
        </w:rPr>
        <w:t>4）推荐预中标供应商名单，并根据采购人的授权确定预中标供应商</w:t>
      </w:r>
      <w:r>
        <w:rPr>
          <w:rFonts w:hint="eastAsia" w:hAnsi="宋体"/>
          <w:sz w:val="22"/>
          <w:szCs w:val="22"/>
        </w:rPr>
        <w:t>。</w:t>
      </w:r>
    </w:p>
    <w:p>
      <w:pPr>
        <w:pStyle w:val="24"/>
        <w:adjustRightInd w:val="0"/>
        <w:snapToGrid w:val="0"/>
        <w:spacing w:line="454" w:lineRule="atLeast"/>
        <w:ind w:firstLine="433" w:firstLineChars="196"/>
        <w:rPr>
          <w:rFonts w:hAnsi="宋体" w:cs="Arial"/>
          <w:b/>
          <w:color w:val="000000"/>
          <w:sz w:val="22"/>
          <w:szCs w:val="22"/>
          <w:u w:val="single"/>
        </w:rPr>
      </w:pPr>
      <w:r>
        <w:rPr>
          <w:rFonts w:hint="eastAsia" w:hAnsi="宋体" w:cs="Arial"/>
          <w:b/>
          <w:color w:val="000000"/>
          <w:sz w:val="22"/>
          <w:szCs w:val="22"/>
        </w:rPr>
        <w:t>2.3、</w:t>
      </w:r>
      <w:r>
        <w:rPr>
          <w:rFonts w:hint="eastAsia" w:hAnsi="宋体"/>
          <w:b/>
          <w:color w:val="000000"/>
          <w:sz w:val="22"/>
          <w:szCs w:val="22"/>
          <w:u w:val="single"/>
        </w:rPr>
        <w:t>▲</w:t>
      </w:r>
      <w:r>
        <w:rPr>
          <w:rFonts w:hint="eastAsia" w:hAnsi="宋体" w:cs="Arial"/>
          <w:b/>
          <w:color w:val="000000"/>
          <w:sz w:val="22"/>
          <w:szCs w:val="22"/>
          <w:u w:val="single"/>
        </w:rPr>
        <w:t>供应商投标文件中付款方式、交货期出现负偏差的，按无效投标处理。</w:t>
      </w:r>
    </w:p>
    <w:p>
      <w:pPr>
        <w:pStyle w:val="24"/>
        <w:adjustRightInd w:val="0"/>
        <w:snapToGrid w:val="0"/>
        <w:spacing w:line="454" w:lineRule="atLeast"/>
        <w:ind w:firstLine="442" w:firstLineChars="200"/>
        <w:rPr>
          <w:rFonts w:hAnsi="宋体" w:cs="Arial"/>
          <w:b/>
          <w:sz w:val="22"/>
          <w:szCs w:val="22"/>
          <w:u w:val="single"/>
        </w:rPr>
      </w:pPr>
      <w:r>
        <w:rPr>
          <w:rFonts w:hint="eastAsia" w:hAnsi="宋体" w:cs="Arial"/>
          <w:b/>
          <w:sz w:val="22"/>
          <w:szCs w:val="22"/>
        </w:rPr>
        <w:t>2.4、</w:t>
      </w:r>
      <w:r>
        <w:rPr>
          <w:rFonts w:hint="eastAsia" w:hAnsi="宋体"/>
          <w:b/>
          <w:color w:val="000000"/>
          <w:sz w:val="22"/>
          <w:szCs w:val="22"/>
          <w:u w:val="single"/>
        </w:rPr>
        <w:t>▲</w:t>
      </w:r>
      <w:r>
        <w:rPr>
          <w:rFonts w:hint="eastAsia" w:hAnsi="宋体" w:cs="Arial"/>
          <w:b/>
          <w:sz w:val="22"/>
          <w:szCs w:val="22"/>
          <w:u w:val="single"/>
        </w:rPr>
        <w:t>磋商小组发现投标文件有下列情形之一的属于重大偏差(磋商小组按少数服从多数原则认定),按照无效投标处理：</w:t>
      </w:r>
    </w:p>
    <w:p>
      <w:pPr>
        <w:pStyle w:val="24"/>
        <w:adjustRightInd w:val="0"/>
        <w:snapToGrid w:val="0"/>
        <w:spacing w:line="454" w:lineRule="atLeast"/>
        <w:ind w:firstLine="431" w:firstLineChars="196"/>
        <w:rPr>
          <w:rFonts w:hAnsi="宋体" w:cs="Arial"/>
          <w:sz w:val="22"/>
          <w:szCs w:val="22"/>
        </w:rPr>
      </w:pPr>
      <w:r>
        <w:rPr>
          <w:rFonts w:hint="eastAsia" w:hAnsi="宋体" w:cs="Arial"/>
          <w:sz w:val="22"/>
          <w:szCs w:val="22"/>
        </w:rPr>
        <w:t>1）未按磋商文件要求编制或字迹模糊、辨认不清的</w:t>
      </w:r>
      <w:r>
        <w:rPr>
          <w:rFonts w:hint="eastAsia" w:hAnsi="宋体"/>
          <w:sz w:val="22"/>
          <w:szCs w:val="22"/>
        </w:rPr>
        <w:t>磋商响应</w:t>
      </w:r>
      <w:r>
        <w:rPr>
          <w:rFonts w:hint="eastAsia" w:hAnsi="宋体" w:cs="Arial"/>
          <w:sz w:val="22"/>
          <w:szCs w:val="22"/>
        </w:rPr>
        <w:t>文件；</w:t>
      </w:r>
    </w:p>
    <w:p>
      <w:pPr>
        <w:pStyle w:val="24"/>
        <w:adjustRightInd w:val="0"/>
        <w:snapToGrid w:val="0"/>
        <w:spacing w:line="454" w:lineRule="atLeast"/>
        <w:ind w:firstLine="431" w:firstLineChars="196"/>
        <w:rPr>
          <w:rFonts w:hAnsi="宋体" w:cs="Arial"/>
          <w:sz w:val="22"/>
          <w:szCs w:val="22"/>
        </w:rPr>
      </w:pPr>
      <w:r>
        <w:rPr>
          <w:rFonts w:hint="eastAsia" w:hAnsi="宋体" w:cs="Arial"/>
          <w:sz w:val="22"/>
          <w:szCs w:val="22"/>
        </w:rPr>
        <w:t>2）供应商递交两份或两份以上内容不同的</w:t>
      </w:r>
      <w:r>
        <w:rPr>
          <w:rFonts w:hint="eastAsia" w:hAnsi="宋体"/>
          <w:sz w:val="22"/>
          <w:szCs w:val="22"/>
        </w:rPr>
        <w:t>磋商响应</w:t>
      </w:r>
      <w:r>
        <w:rPr>
          <w:rFonts w:hint="eastAsia" w:hAnsi="宋体" w:cs="Arial"/>
          <w:sz w:val="22"/>
          <w:szCs w:val="22"/>
        </w:rPr>
        <w:t>文件，未声明哪一份有效的；</w:t>
      </w:r>
    </w:p>
    <w:p>
      <w:pPr>
        <w:pStyle w:val="24"/>
        <w:adjustRightInd w:val="0"/>
        <w:snapToGrid w:val="0"/>
        <w:spacing w:line="454" w:lineRule="atLeast"/>
        <w:ind w:firstLine="431" w:firstLineChars="196"/>
        <w:rPr>
          <w:rFonts w:hAnsi="宋体" w:cs="Arial"/>
          <w:sz w:val="22"/>
          <w:szCs w:val="22"/>
        </w:rPr>
      </w:pPr>
      <w:r>
        <w:rPr>
          <w:rFonts w:hint="eastAsia" w:hAnsi="宋体" w:cs="Arial"/>
          <w:sz w:val="22"/>
          <w:szCs w:val="22"/>
        </w:rPr>
        <w:t>3）没有按磋商文件格式要求加盖有效公章、无法定代表人（或授权代表）签字（或印章）（具体格式见磋商文件附件—</w:t>
      </w:r>
      <w:r>
        <w:rPr>
          <w:rFonts w:hint="eastAsia" w:hAnsi="宋体"/>
          <w:sz w:val="22"/>
          <w:szCs w:val="22"/>
        </w:rPr>
        <w:t>磋商响应</w:t>
      </w:r>
      <w:r>
        <w:rPr>
          <w:rFonts w:hint="eastAsia" w:hAnsi="宋体" w:cs="Arial"/>
          <w:sz w:val="22"/>
          <w:szCs w:val="22"/>
        </w:rPr>
        <w:t>文件格式）；</w:t>
      </w:r>
    </w:p>
    <w:p>
      <w:pPr>
        <w:pStyle w:val="24"/>
        <w:adjustRightInd w:val="0"/>
        <w:snapToGrid w:val="0"/>
        <w:spacing w:line="454" w:lineRule="atLeast"/>
        <w:ind w:firstLine="431" w:firstLineChars="196"/>
        <w:rPr>
          <w:rFonts w:hAnsi="宋体" w:cs="Arial"/>
          <w:sz w:val="22"/>
          <w:szCs w:val="22"/>
        </w:rPr>
      </w:pPr>
      <w:r>
        <w:rPr>
          <w:rFonts w:hint="eastAsia" w:hAnsi="宋体" w:cs="Arial"/>
          <w:sz w:val="22"/>
          <w:szCs w:val="22"/>
        </w:rPr>
        <w:t>4）明显不符合技术规格、技术标准的要求或不满足磋商文件技术规格书中的主要参数的</w:t>
      </w:r>
      <w:r>
        <w:rPr>
          <w:rFonts w:hint="eastAsia" w:hAnsi="宋体"/>
          <w:sz w:val="22"/>
          <w:szCs w:val="22"/>
        </w:rPr>
        <w:t>磋商响应</w:t>
      </w:r>
      <w:r>
        <w:rPr>
          <w:rFonts w:hint="eastAsia" w:hAnsi="宋体" w:cs="Arial"/>
          <w:sz w:val="22"/>
          <w:szCs w:val="22"/>
        </w:rPr>
        <w:t>文件；</w:t>
      </w:r>
    </w:p>
    <w:p>
      <w:pPr>
        <w:pStyle w:val="24"/>
        <w:adjustRightInd w:val="0"/>
        <w:snapToGrid w:val="0"/>
        <w:spacing w:line="454" w:lineRule="atLeast"/>
        <w:ind w:firstLine="431" w:firstLineChars="196"/>
        <w:rPr>
          <w:rFonts w:hAnsi="宋体" w:cs="Arial"/>
          <w:sz w:val="22"/>
          <w:szCs w:val="22"/>
        </w:rPr>
      </w:pPr>
      <w:r>
        <w:rPr>
          <w:rFonts w:hint="eastAsia" w:hAnsi="宋体" w:cs="Arial"/>
          <w:sz w:val="22"/>
          <w:szCs w:val="22"/>
        </w:rPr>
        <w:t>5）不符合磋商文件中规定的实质性要求的</w:t>
      </w:r>
      <w:r>
        <w:rPr>
          <w:rFonts w:hint="eastAsia" w:hAnsi="宋体"/>
          <w:sz w:val="22"/>
          <w:szCs w:val="22"/>
        </w:rPr>
        <w:t>磋商响应</w:t>
      </w:r>
      <w:r>
        <w:rPr>
          <w:rFonts w:hint="eastAsia" w:hAnsi="宋体" w:cs="Arial"/>
          <w:sz w:val="22"/>
          <w:szCs w:val="22"/>
        </w:rPr>
        <w:t>文件，是否为偏离实质性要求由磋商小组认定。</w:t>
      </w:r>
    </w:p>
    <w:p>
      <w:pPr>
        <w:pStyle w:val="24"/>
        <w:adjustRightInd w:val="0"/>
        <w:snapToGrid w:val="0"/>
        <w:spacing w:line="454" w:lineRule="atLeast"/>
        <w:ind w:firstLine="431" w:firstLineChars="196"/>
        <w:rPr>
          <w:rFonts w:hAnsi="宋体" w:cs="Arial"/>
          <w:sz w:val="22"/>
          <w:szCs w:val="22"/>
        </w:rPr>
      </w:pPr>
      <w:r>
        <w:rPr>
          <w:rFonts w:hint="eastAsia" w:hAnsi="宋体" w:cs="Arial"/>
          <w:sz w:val="22"/>
          <w:szCs w:val="22"/>
        </w:rPr>
        <w:t>6）存在串标、抬标或弄虚作假情况的；</w:t>
      </w:r>
    </w:p>
    <w:p>
      <w:pPr>
        <w:pStyle w:val="24"/>
        <w:adjustRightInd w:val="0"/>
        <w:snapToGrid w:val="0"/>
        <w:spacing w:line="454" w:lineRule="atLeast"/>
        <w:ind w:firstLine="431" w:firstLineChars="196"/>
        <w:rPr>
          <w:rFonts w:hAnsi="宋体" w:cs="Arial"/>
          <w:sz w:val="22"/>
          <w:szCs w:val="22"/>
          <w:u w:val="single"/>
        </w:rPr>
      </w:pPr>
      <w:r>
        <w:rPr>
          <w:rFonts w:hint="eastAsia" w:hAnsi="宋体" w:cs="Arial"/>
          <w:sz w:val="22"/>
          <w:szCs w:val="22"/>
        </w:rPr>
        <w:t>7）其他经磋商小组认定的未能在实质上响应的或违反国家有关规定的</w:t>
      </w:r>
      <w:r>
        <w:rPr>
          <w:rFonts w:hint="eastAsia" w:hAnsi="宋体"/>
          <w:sz w:val="22"/>
          <w:szCs w:val="22"/>
        </w:rPr>
        <w:t>磋商响应</w:t>
      </w:r>
      <w:r>
        <w:rPr>
          <w:rFonts w:hint="eastAsia" w:hAnsi="宋体" w:cs="Arial"/>
          <w:sz w:val="22"/>
          <w:szCs w:val="22"/>
        </w:rPr>
        <w:t>文件。</w:t>
      </w:r>
    </w:p>
    <w:p>
      <w:pPr>
        <w:adjustRightInd w:val="0"/>
        <w:snapToGrid w:val="0"/>
        <w:spacing w:line="454" w:lineRule="atLeast"/>
        <w:ind w:firstLine="431" w:firstLineChars="196"/>
        <w:rPr>
          <w:rFonts w:ascii="宋体" w:hAnsi="宋体" w:cs="Arial"/>
          <w:sz w:val="22"/>
          <w:szCs w:val="22"/>
        </w:rPr>
      </w:pPr>
      <w:r>
        <w:rPr>
          <w:rFonts w:hint="eastAsia" w:ascii="宋体" w:hAnsi="宋体" w:cs="Arial"/>
          <w:sz w:val="22"/>
          <w:szCs w:val="22"/>
        </w:rPr>
        <w:t>2.5、实质上没有响应磋商文件要求的投标将被拒绝。供应商不得通过修正或撤消不合要求的偏离从而使其投标成为实质上响应的投标。</w:t>
      </w:r>
    </w:p>
    <w:p>
      <w:pPr>
        <w:pStyle w:val="24"/>
        <w:adjustRightInd w:val="0"/>
        <w:snapToGrid w:val="0"/>
        <w:spacing w:line="454" w:lineRule="atLeast"/>
        <w:ind w:firstLine="431" w:firstLineChars="196"/>
        <w:rPr>
          <w:rFonts w:hAnsi="宋体" w:cs="Arial"/>
          <w:sz w:val="22"/>
          <w:szCs w:val="22"/>
        </w:rPr>
      </w:pPr>
      <w:r>
        <w:rPr>
          <w:rFonts w:hint="eastAsia" w:hAnsi="宋体" w:cs="Arial"/>
          <w:sz w:val="22"/>
          <w:szCs w:val="22"/>
        </w:rPr>
        <w:t>2.6、磋商小组对</w:t>
      </w:r>
      <w:r>
        <w:rPr>
          <w:rFonts w:hint="eastAsia" w:hAnsi="宋体"/>
          <w:sz w:val="22"/>
          <w:szCs w:val="22"/>
        </w:rPr>
        <w:t>磋商响应</w:t>
      </w:r>
      <w:r>
        <w:rPr>
          <w:rFonts w:hint="eastAsia" w:hAnsi="宋体" w:cs="Arial"/>
          <w:sz w:val="22"/>
          <w:szCs w:val="22"/>
        </w:rPr>
        <w:t>文件的判定，只依据投标内容本身，不依靠开标后的任何外来证明。</w:t>
      </w:r>
    </w:p>
    <w:p>
      <w:pPr>
        <w:pStyle w:val="24"/>
        <w:adjustRightInd w:val="0"/>
        <w:snapToGrid w:val="0"/>
        <w:spacing w:line="454" w:lineRule="atLeast"/>
        <w:ind w:firstLine="431" w:firstLineChars="196"/>
        <w:rPr>
          <w:rFonts w:hAnsi="宋体" w:cs="Arial"/>
          <w:sz w:val="22"/>
          <w:szCs w:val="22"/>
        </w:rPr>
      </w:pPr>
      <w:r>
        <w:rPr>
          <w:rFonts w:hint="eastAsia" w:hAnsi="宋体" w:cs="Arial"/>
          <w:sz w:val="22"/>
          <w:szCs w:val="22"/>
        </w:rPr>
        <w:t>2.7、磋商小组</w:t>
      </w:r>
      <w:r>
        <w:rPr>
          <w:rFonts w:hint="eastAsia" w:hAnsi="宋体"/>
          <w:sz w:val="22"/>
          <w:szCs w:val="22"/>
        </w:rPr>
        <w:t>在评标中，不得改变磋商文件中规定的评标标准、方法和中标条件。</w:t>
      </w:r>
    </w:p>
    <w:p>
      <w:pPr>
        <w:pStyle w:val="24"/>
        <w:adjustRightInd w:val="0"/>
        <w:snapToGrid w:val="0"/>
        <w:spacing w:line="454" w:lineRule="atLeast"/>
        <w:ind w:firstLine="431" w:firstLineChars="196"/>
        <w:rPr>
          <w:rFonts w:hAnsi="宋体" w:cs="Arial"/>
          <w:sz w:val="22"/>
          <w:szCs w:val="22"/>
        </w:rPr>
      </w:pPr>
      <w:r>
        <w:rPr>
          <w:rFonts w:hint="eastAsia" w:hAnsi="宋体" w:cs="Arial"/>
          <w:sz w:val="22"/>
          <w:szCs w:val="22"/>
        </w:rPr>
        <w:t>3、</w:t>
      </w:r>
      <w:r>
        <w:rPr>
          <w:rFonts w:hint="eastAsia" w:hAnsi="宋体"/>
          <w:sz w:val="22"/>
          <w:szCs w:val="22"/>
        </w:rPr>
        <w:t>磋商响应</w:t>
      </w:r>
      <w:r>
        <w:rPr>
          <w:rFonts w:hint="eastAsia" w:hAnsi="宋体" w:cs="Arial"/>
          <w:sz w:val="22"/>
          <w:szCs w:val="22"/>
        </w:rPr>
        <w:t>文件的澄清</w:t>
      </w:r>
    </w:p>
    <w:p>
      <w:pPr>
        <w:pStyle w:val="24"/>
        <w:adjustRightInd w:val="0"/>
        <w:spacing w:after="120" w:line="420" w:lineRule="atLeast"/>
        <w:ind w:right="109" w:rightChars="52" w:firstLine="330" w:firstLineChars="150"/>
        <w:rPr>
          <w:rFonts w:hAnsi="宋体"/>
          <w:sz w:val="22"/>
        </w:rPr>
      </w:pPr>
      <w:r>
        <w:rPr>
          <w:rFonts w:hint="eastAsia" w:hAnsi="宋体"/>
          <w:sz w:val="22"/>
        </w:rPr>
        <w:t>3.1磋商小组在对</w:t>
      </w:r>
      <w:r>
        <w:rPr>
          <w:rFonts w:hint="eastAsia" w:hAnsi="宋体"/>
          <w:bCs/>
          <w:sz w:val="22"/>
        </w:rPr>
        <w:t>磋商</w:t>
      </w:r>
      <w:r>
        <w:rPr>
          <w:rFonts w:hint="eastAsia" w:hAnsi="宋体"/>
          <w:sz w:val="22"/>
        </w:rPr>
        <w:t>响应文件的有效性、完整性和响应程度进行审查时，可以要求投标人对</w:t>
      </w:r>
      <w:r>
        <w:rPr>
          <w:rFonts w:hint="eastAsia" w:hAnsi="宋体"/>
          <w:bCs/>
          <w:sz w:val="22"/>
        </w:rPr>
        <w:t>磋商</w:t>
      </w:r>
      <w:r>
        <w:rPr>
          <w:rFonts w:hint="eastAsia" w:hAnsi="宋体"/>
          <w:sz w:val="22"/>
        </w:rPr>
        <w:t>响应文件中含义不明确、同类问题表述不一致或者有明显文字和计算错误的内容等作出必要的澄清、说明或者更正。投标人的澄清、说明或者更正不得超出</w:t>
      </w:r>
      <w:r>
        <w:rPr>
          <w:rFonts w:hint="eastAsia" w:hAnsi="宋体"/>
          <w:bCs/>
          <w:sz w:val="22"/>
        </w:rPr>
        <w:t>磋商</w:t>
      </w:r>
      <w:r>
        <w:rPr>
          <w:rFonts w:hint="eastAsia" w:hAnsi="宋体"/>
          <w:sz w:val="22"/>
        </w:rPr>
        <w:t>响应文件的范围或者改变</w:t>
      </w:r>
      <w:r>
        <w:rPr>
          <w:rFonts w:hint="eastAsia" w:hAnsi="宋体"/>
          <w:bCs/>
          <w:sz w:val="22"/>
        </w:rPr>
        <w:t>磋商</w:t>
      </w:r>
      <w:r>
        <w:rPr>
          <w:rFonts w:hint="eastAsia" w:hAnsi="宋体"/>
          <w:sz w:val="22"/>
        </w:rPr>
        <w:t>响应文件的实质性内容。</w:t>
      </w:r>
    </w:p>
    <w:p>
      <w:pPr>
        <w:pStyle w:val="24"/>
        <w:adjustRightInd w:val="0"/>
        <w:spacing w:after="120" w:line="420" w:lineRule="atLeast"/>
        <w:ind w:right="109" w:rightChars="52" w:firstLine="418" w:firstLineChars="190"/>
        <w:rPr>
          <w:rFonts w:hAnsi="宋体"/>
          <w:sz w:val="22"/>
        </w:rPr>
      </w:pPr>
      <w:r>
        <w:rPr>
          <w:rFonts w:hint="eastAsia" w:hAnsi="宋体"/>
          <w:sz w:val="22"/>
        </w:rPr>
        <w:t>3.2磋商小组要求投标人澄清、说明或者更正</w:t>
      </w:r>
      <w:r>
        <w:rPr>
          <w:rFonts w:hint="eastAsia" w:hAnsi="宋体"/>
          <w:bCs/>
          <w:sz w:val="22"/>
        </w:rPr>
        <w:t>磋商</w:t>
      </w:r>
      <w:r>
        <w:rPr>
          <w:rFonts w:hint="eastAsia" w:hAnsi="宋体"/>
          <w:sz w:val="22"/>
        </w:rPr>
        <w:t>响应文件应当以书面形式作出。投标人的澄清、说明或者更正应当由法定代表人或其授权代表签字或者加盖公章。书面答复须有投标人授权代表签字并作为磋商响应文件内容的一部分。</w:t>
      </w:r>
    </w:p>
    <w:p>
      <w:pPr>
        <w:pStyle w:val="24"/>
        <w:adjustRightInd w:val="0"/>
        <w:snapToGrid w:val="0"/>
        <w:spacing w:line="440" w:lineRule="atLeast"/>
        <w:ind w:firstLine="440" w:firstLineChars="200"/>
        <w:rPr>
          <w:rFonts w:hAnsi="宋体" w:cs="Arial"/>
          <w:sz w:val="22"/>
          <w:szCs w:val="22"/>
        </w:rPr>
      </w:pPr>
      <w:r>
        <w:rPr>
          <w:rFonts w:hint="eastAsia" w:hAnsi="宋体" w:cs="Arial"/>
          <w:sz w:val="22"/>
          <w:szCs w:val="22"/>
        </w:rPr>
        <w:t>4、采购响应截止时间止，送达采购响应文件的供应商少于3家的，采购组织机构应当中止采购活动，依法重新组织采购，或按规定向同级财政部门说明情况，并申请采用其他采购方式组织采购。</w:t>
      </w:r>
    </w:p>
    <w:p>
      <w:pPr>
        <w:adjustRightInd w:val="0"/>
        <w:snapToGrid w:val="0"/>
        <w:spacing w:line="454" w:lineRule="atLeast"/>
        <w:ind w:firstLine="431" w:firstLineChars="196"/>
        <w:rPr>
          <w:rFonts w:ascii="宋体" w:hAnsi="宋体" w:cs="Arial"/>
          <w:sz w:val="22"/>
          <w:szCs w:val="22"/>
        </w:rPr>
      </w:pPr>
      <w:r>
        <w:rPr>
          <w:rFonts w:hint="eastAsia" w:ascii="宋体" w:hAnsi="宋体" w:cs="Arial"/>
          <w:sz w:val="22"/>
          <w:szCs w:val="22"/>
        </w:rPr>
        <w:t>4.1如有效供应商只有一家给予流标处理。</w:t>
      </w:r>
    </w:p>
    <w:p>
      <w:pPr>
        <w:pStyle w:val="24"/>
        <w:adjustRightInd w:val="0"/>
        <w:snapToGrid w:val="0"/>
        <w:spacing w:line="454" w:lineRule="atLeast"/>
        <w:ind w:firstLine="431" w:firstLineChars="196"/>
        <w:rPr>
          <w:rFonts w:hAnsi="宋体" w:cs="Arial"/>
          <w:sz w:val="22"/>
          <w:szCs w:val="22"/>
        </w:rPr>
      </w:pPr>
      <w:r>
        <w:rPr>
          <w:rFonts w:hint="eastAsia" w:hAnsi="宋体" w:cs="Arial"/>
          <w:sz w:val="22"/>
          <w:szCs w:val="22"/>
        </w:rPr>
        <w:t>5、评标原则</w:t>
      </w:r>
    </w:p>
    <w:p>
      <w:pPr>
        <w:pStyle w:val="24"/>
        <w:adjustRightInd w:val="0"/>
        <w:snapToGrid w:val="0"/>
        <w:spacing w:line="454" w:lineRule="atLeast"/>
        <w:ind w:firstLine="431" w:firstLineChars="196"/>
        <w:rPr>
          <w:rFonts w:hAnsi="宋体" w:cs="Arial"/>
          <w:sz w:val="22"/>
          <w:szCs w:val="22"/>
        </w:rPr>
      </w:pPr>
      <w:r>
        <w:rPr>
          <w:rFonts w:hint="eastAsia" w:hAnsi="宋体" w:cs="Arial"/>
          <w:sz w:val="22"/>
          <w:szCs w:val="22"/>
        </w:rPr>
        <w:t>磋商小组按照磋商文件的要求和条件对磋商响应文件进行商务和技术评估，综合比较与评价。</w:t>
      </w:r>
    </w:p>
    <w:p>
      <w:pPr>
        <w:pStyle w:val="24"/>
        <w:adjustRightInd w:val="0"/>
        <w:snapToGrid w:val="0"/>
        <w:spacing w:line="454" w:lineRule="atLeast"/>
        <w:ind w:firstLine="431" w:firstLineChars="196"/>
        <w:rPr>
          <w:rFonts w:hAnsi="宋体" w:cs="Arial"/>
          <w:sz w:val="22"/>
          <w:szCs w:val="22"/>
        </w:rPr>
      </w:pPr>
      <w:r>
        <w:rPr>
          <w:rFonts w:hint="eastAsia" w:hAnsi="宋体" w:cs="Arial"/>
          <w:sz w:val="22"/>
          <w:szCs w:val="22"/>
        </w:rPr>
        <w:t>评标办法具体见本招标文件第六部分。</w:t>
      </w:r>
    </w:p>
    <w:p>
      <w:pPr>
        <w:pStyle w:val="24"/>
        <w:adjustRightInd w:val="0"/>
        <w:snapToGrid w:val="0"/>
        <w:spacing w:line="454" w:lineRule="atLeast"/>
        <w:outlineLvl w:val="0"/>
        <w:rPr>
          <w:rFonts w:hAnsi="宋体"/>
          <w:sz w:val="22"/>
          <w:szCs w:val="22"/>
        </w:rPr>
      </w:pPr>
      <w:r>
        <w:rPr>
          <w:rFonts w:hint="eastAsia" w:hAnsi="宋体"/>
          <w:sz w:val="22"/>
          <w:szCs w:val="22"/>
        </w:rPr>
        <w:t>七、授予合同</w:t>
      </w:r>
    </w:p>
    <w:p>
      <w:pPr>
        <w:pStyle w:val="24"/>
        <w:adjustRightInd w:val="0"/>
        <w:snapToGrid w:val="0"/>
        <w:spacing w:line="454" w:lineRule="atLeast"/>
        <w:rPr>
          <w:rFonts w:hAnsi="宋体"/>
          <w:sz w:val="22"/>
          <w:szCs w:val="22"/>
        </w:rPr>
      </w:pPr>
      <w:r>
        <w:rPr>
          <w:rFonts w:hint="eastAsia" w:hAnsi="宋体"/>
          <w:sz w:val="22"/>
          <w:szCs w:val="22"/>
        </w:rPr>
        <w:t xml:space="preserve">   1、决标</w:t>
      </w:r>
    </w:p>
    <w:p>
      <w:pPr>
        <w:pStyle w:val="24"/>
        <w:adjustRightInd w:val="0"/>
        <w:snapToGrid w:val="0"/>
        <w:spacing w:line="454" w:lineRule="atLeast"/>
        <w:rPr>
          <w:rFonts w:hAnsi="宋体"/>
          <w:sz w:val="22"/>
          <w:szCs w:val="22"/>
        </w:rPr>
      </w:pPr>
      <w:r>
        <w:rPr>
          <w:rFonts w:hint="eastAsia" w:hAnsi="宋体"/>
          <w:sz w:val="22"/>
          <w:szCs w:val="22"/>
        </w:rPr>
        <w:t xml:space="preserve">    评标结束后，磋商小组按照招标文件确定的评标办法，根据采购人授权直接确定中标供应商。</w:t>
      </w:r>
    </w:p>
    <w:p>
      <w:pPr>
        <w:pStyle w:val="24"/>
        <w:adjustRightInd w:val="0"/>
        <w:snapToGrid w:val="0"/>
        <w:spacing w:line="454" w:lineRule="atLeast"/>
        <w:rPr>
          <w:rFonts w:hAnsi="宋体"/>
          <w:sz w:val="22"/>
          <w:szCs w:val="22"/>
          <w:u w:val="single"/>
        </w:rPr>
      </w:pPr>
      <w:r>
        <w:rPr>
          <w:rFonts w:hint="eastAsia" w:hAnsi="宋体"/>
          <w:bCs/>
          <w:sz w:val="22"/>
          <w:szCs w:val="22"/>
          <w:u w:val="single"/>
        </w:rPr>
        <w:t>采购人将把中标通知书授予最佳投标者</w:t>
      </w:r>
      <w:r>
        <w:rPr>
          <w:rFonts w:hint="eastAsia" w:hAnsi="宋体"/>
          <w:sz w:val="22"/>
          <w:szCs w:val="22"/>
          <w:u w:val="single"/>
        </w:rPr>
        <w:t>，</w:t>
      </w:r>
      <w:r>
        <w:rPr>
          <w:rFonts w:hint="eastAsia" w:hAnsi="宋体"/>
          <w:bCs/>
          <w:sz w:val="22"/>
          <w:szCs w:val="22"/>
          <w:u w:val="single"/>
        </w:rPr>
        <w:t>但最低投标报价不是中标的唯一依据。</w:t>
      </w:r>
    </w:p>
    <w:p>
      <w:pPr>
        <w:pStyle w:val="24"/>
        <w:adjustRightInd w:val="0"/>
        <w:snapToGrid w:val="0"/>
        <w:spacing w:line="440" w:lineRule="exact"/>
        <w:ind w:firstLine="435" w:firstLineChars="198"/>
        <w:rPr>
          <w:rFonts w:hAnsi="宋体"/>
          <w:sz w:val="22"/>
          <w:szCs w:val="22"/>
        </w:rPr>
      </w:pPr>
      <w:r>
        <w:rPr>
          <w:rFonts w:hint="eastAsia" w:hAnsi="宋体"/>
          <w:sz w:val="22"/>
          <w:szCs w:val="22"/>
        </w:rPr>
        <w:t>2、中标通知书</w:t>
      </w:r>
    </w:p>
    <w:p>
      <w:pPr>
        <w:pStyle w:val="24"/>
        <w:adjustRightInd w:val="0"/>
        <w:snapToGrid w:val="0"/>
        <w:spacing w:line="440" w:lineRule="exact"/>
        <w:ind w:firstLine="435" w:firstLineChars="198"/>
        <w:rPr>
          <w:rFonts w:hAnsi="宋体"/>
          <w:spacing w:val="10"/>
          <w:sz w:val="22"/>
          <w:szCs w:val="22"/>
        </w:rPr>
      </w:pPr>
      <w:r>
        <w:rPr>
          <w:rFonts w:hint="eastAsia" w:hAnsi="宋体"/>
          <w:sz w:val="22"/>
          <w:szCs w:val="22"/>
        </w:rPr>
        <w:t>2.</w:t>
      </w:r>
      <w:r>
        <w:rPr>
          <w:rFonts w:hint="eastAsia" w:hAnsi="宋体"/>
          <w:spacing w:val="10"/>
          <w:sz w:val="22"/>
          <w:szCs w:val="22"/>
        </w:rPr>
        <w:t>1、招标机构在浙江省政府采购网和苍南县公共资源交易中心网站上公示中标结果，公示期为七个工作日。如发现中标供应商资格无效，则按供应商评标排序结果依次替补或重新组织；新的中标供应商确定后，代理机构向新的中标供应商发出中标通知书。</w:t>
      </w:r>
    </w:p>
    <w:p>
      <w:pPr>
        <w:adjustRightInd w:val="0"/>
        <w:snapToGrid w:val="0"/>
        <w:spacing w:line="440" w:lineRule="exact"/>
        <w:ind w:firstLine="480" w:firstLineChars="200"/>
        <w:rPr>
          <w:rFonts w:ascii="宋体" w:hAnsi="宋体"/>
          <w:spacing w:val="10"/>
          <w:sz w:val="22"/>
          <w:szCs w:val="22"/>
        </w:rPr>
      </w:pPr>
      <w:r>
        <w:rPr>
          <w:rFonts w:hint="eastAsia" w:ascii="宋体" w:hAnsi="宋体"/>
          <w:spacing w:val="10"/>
          <w:sz w:val="22"/>
          <w:szCs w:val="22"/>
        </w:rPr>
        <w:t>2.2、中标通知书对采购人和中标供应商具有法律约束力。中标通知书发出后，采购人改变中标结果或者中标供应商放弃中标的，应当承担法律责任。</w:t>
      </w:r>
    </w:p>
    <w:p>
      <w:pPr>
        <w:adjustRightInd w:val="0"/>
        <w:snapToGrid w:val="0"/>
        <w:spacing w:line="440" w:lineRule="exact"/>
        <w:ind w:firstLine="480" w:firstLineChars="200"/>
        <w:rPr>
          <w:rFonts w:ascii="宋体" w:hAnsi="宋体"/>
          <w:spacing w:val="10"/>
          <w:sz w:val="22"/>
          <w:szCs w:val="22"/>
        </w:rPr>
      </w:pPr>
      <w:r>
        <w:rPr>
          <w:rFonts w:hint="eastAsia" w:ascii="宋体" w:hAnsi="宋体"/>
          <w:spacing w:val="10"/>
          <w:sz w:val="22"/>
          <w:szCs w:val="22"/>
        </w:rPr>
        <w:t>2.3在评标结束后经采购人确认后，向采购人或代理单位领取中标通知书。</w:t>
      </w:r>
    </w:p>
    <w:p>
      <w:pPr>
        <w:adjustRightInd w:val="0"/>
        <w:snapToGrid w:val="0"/>
        <w:spacing w:line="440" w:lineRule="exact"/>
        <w:rPr>
          <w:rFonts w:ascii="宋体" w:hAnsi="宋体"/>
          <w:sz w:val="22"/>
          <w:szCs w:val="22"/>
        </w:rPr>
      </w:pPr>
      <w:r>
        <w:rPr>
          <w:rFonts w:hint="eastAsia" w:ascii="宋体" w:hAnsi="宋体"/>
          <w:sz w:val="22"/>
          <w:szCs w:val="22"/>
        </w:rPr>
        <w:t xml:space="preserve">    3、磋商小组对未中标的供应商不作落标原因解释。</w:t>
      </w:r>
    </w:p>
    <w:p>
      <w:pPr>
        <w:pStyle w:val="24"/>
        <w:adjustRightInd w:val="0"/>
        <w:snapToGrid w:val="0"/>
        <w:spacing w:line="454" w:lineRule="atLeast"/>
        <w:rPr>
          <w:rFonts w:hAnsi="宋体"/>
          <w:sz w:val="22"/>
          <w:szCs w:val="22"/>
        </w:rPr>
      </w:pPr>
      <w:r>
        <w:rPr>
          <w:rFonts w:hint="eastAsia" w:hAnsi="宋体"/>
          <w:sz w:val="22"/>
          <w:szCs w:val="22"/>
        </w:rPr>
        <w:t xml:space="preserve">    4、签订合同</w:t>
      </w:r>
    </w:p>
    <w:p>
      <w:pPr>
        <w:pStyle w:val="24"/>
        <w:adjustRightInd w:val="0"/>
        <w:snapToGrid w:val="0"/>
        <w:spacing w:line="454" w:lineRule="atLeast"/>
        <w:ind w:firstLine="480"/>
        <w:rPr>
          <w:rFonts w:hAnsi="宋体"/>
          <w:sz w:val="22"/>
          <w:szCs w:val="22"/>
        </w:rPr>
      </w:pPr>
      <w:r>
        <w:rPr>
          <w:rFonts w:hint="eastAsia" w:hAnsi="宋体"/>
          <w:sz w:val="22"/>
          <w:szCs w:val="22"/>
        </w:rPr>
        <w:t>4.1、公示期结束后，</w:t>
      </w:r>
      <w:r>
        <w:rPr>
          <w:rFonts w:hint="eastAsia" w:hAnsi="宋体"/>
          <w:color w:val="000000"/>
          <w:sz w:val="22"/>
        </w:rPr>
        <w:t>中标供应商主动联系招标代理机构领取中标通知书，并在七个工作日公示期后无质疑中标结果后到采购人处与采购人签订合同（或自中标通知书发出之日起30日内签订合同）</w:t>
      </w:r>
      <w:r>
        <w:rPr>
          <w:rFonts w:hint="eastAsia" w:hAnsi="宋体"/>
          <w:sz w:val="22"/>
          <w:szCs w:val="22"/>
        </w:rPr>
        <w:t>。中标供应商未经采购人许可，在规定时间内未到采购人处与采购人签订合同，则视为拒签合同。</w:t>
      </w:r>
    </w:p>
    <w:p>
      <w:pPr>
        <w:pStyle w:val="24"/>
        <w:adjustRightInd w:val="0"/>
        <w:snapToGrid w:val="0"/>
        <w:spacing w:line="454" w:lineRule="atLeast"/>
        <w:rPr>
          <w:rFonts w:hAnsi="宋体"/>
          <w:sz w:val="22"/>
          <w:szCs w:val="22"/>
        </w:rPr>
      </w:pPr>
      <w:r>
        <w:rPr>
          <w:rFonts w:hint="eastAsia" w:hAnsi="宋体"/>
          <w:sz w:val="22"/>
          <w:szCs w:val="22"/>
        </w:rPr>
        <w:t xml:space="preserve">    4.2、招标文件、中标供应商的投标文件及投标修改文件、评标过程中有关澄清文件及经双方签字的询标纪要（承诺）和中标通知书均作为合同附件。</w:t>
      </w:r>
    </w:p>
    <w:p>
      <w:pPr>
        <w:pStyle w:val="24"/>
        <w:adjustRightInd w:val="0"/>
        <w:snapToGrid w:val="0"/>
        <w:spacing w:line="454" w:lineRule="atLeast"/>
        <w:rPr>
          <w:rFonts w:hAnsi="宋体"/>
          <w:sz w:val="22"/>
          <w:szCs w:val="22"/>
        </w:rPr>
      </w:pPr>
      <w:r>
        <w:rPr>
          <w:rFonts w:hint="eastAsia" w:hAnsi="宋体"/>
          <w:sz w:val="22"/>
          <w:szCs w:val="22"/>
        </w:rPr>
        <w:t xml:space="preserve">    4.3 拒签合同的责任</w:t>
      </w:r>
    </w:p>
    <w:p>
      <w:pPr>
        <w:pStyle w:val="24"/>
        <w:adjustRightInd w:val="0"/>
        <w:snapToGrid w:val="0"/>
        <w:spacing w:line="454" w:lineRule="atLeast"/>
        <w:rPr>
          <w:rFonts w:hAnsi="宋体"/>
          <w:sz w:val="22"/>
          <w:szCs w:val="22"/>
        </w:rPr>
      </w:pPr>
      <w:r>
        <w:rPr>
          <w:rFonts w:hint="eastAsia" w:hAnsi="宋体"/>
          <w:sz w:val="22"/>
          <w:szCs w:val="22"/>
        </w:rPr>
        <w:t xml:space="preserve">    中标供应商接到中标通知书后，在规定时间内借故否认已经承诺的条件而拒签合同或拒交履约保证金者，以投标违约处理，并赔偿采购人由此造成的直接经济损失；采购人重新组织招标的，所需费用由原中标供应商承担。</w:t>
      </w:r>
    </w:p>
    <w:p>
      <w:pPr>
        <w:pStyle w:val="24"/>
        <w:adjustRightInd w:val="0"/>
        <w:snapToGrid w:val="0"/>
        <w:spacing w:line="454" w:lineRule="atLeast"/>
        <w:ind w:firstLine="435"/>
        <w:rPr>
          <w:rFonts w:hAnsi="宋体"/>
          <w:sz w:val="22"/>
          <w:szCs w:val="22"/>
        </w:rPr>
      </w:pPr>
      <w:r>
        <w:rPr>
          <w:rFonts w:hint="eastAsia" w:hAnsi="宋体"/>
          <w:sz w:val="22"/>
          <w:szCs w:val="22"/>
        </w:rPr>
        <w:t>5、履约保证金</w:t>
      </w:r>
    </w:p>
    <w:p>
      <w:pPr>
        <w:pStyle w:val="24"/>
        <w:adjustRightInd w:val="0"/>
        <w:snapToGrid w:val="0"/>
        <w:spacing w:line="454" w:lineRule="atLeast"/>
        <w:ind w:firstLine="435"/>
        <w:rPr>
          <w:rFonts w:ascii="新宋体" w:hAnsi="新宋体" w:eastAsia="新宋体"/>
          <w:spacing w:val="6"/>
          <w:sz w:val="22"/>
          <w:szCs w:val="22"/>
        </w:rPr>
      </w:pPr>
      <w:r>
        <w:rPr>
          <w:rFonts w:hint="eastAsia" w:ascii="新宋体" w:hAnsi="新宋体" w:eastAsia="新宋体"/>
          <w:spacing w:val="6"/>
          <w:sz w:val="22"/>
          <w:szCs w:val="22"/>
        </w:rPr>
        <w:t>5.1中标供应商在收到中标通知书后，签订合同前须向采购人提交合同总价5%的履约保证金。</w:t>
      </w:r>
    </w:p>
    <w:p>
      <w:pPr>
        <w:pStyle w:val="24"/>
        <w:adjustRightInd w:val="0"/>
        <w:snapToGrid w:val="0"/>
        <w:spacing w:line="454" w:lineRule="atLeast"/>
        <w:ind w:firstLine="435"/>
        <w:rPr>
          <w:rFonts w:ascii="新宋体" w:hAnsi="新宋体" w:eastAsia="新宋体"/>
          <w:spacing w:val="6"/>
          <w:sz w:val="22"/>
          <w:szCs w:val="22"/>
        </w:rPr>
      </w:pPr>
      <w:r>
        <w:rPr>
          <w:rFonts w:hint="eastAsia" w:ascii="新宋体" w:hAnsi="新宋体" w:eastAsia="新宋体"/>
          <w:spacing w:val="6"/>
          <w:sz w:val="22"/>
          <w:szCs w:val="22"/>
        </w:rPr>
        <w:t>5.2  履约保证金用于补偿采购人因中标供应商不能履行其合同义务而蒙受的损失。</w:t>
      </w:r>
    </w:p>
    <w:p>
      <w:pPr>
        <w:pStyle w:val="24"/>
        <w:adjustRightInd w:val="0"/>
        <w:snapToGrid w:val="0"/>
        <w:spacing w:line="454" w:lineRule="atLeast"/>
        <w:ind w:firstLine="435"/>
        <w:rPr>
          <w:rFonts w:ascii="新宋体" w:hAnsi="新宋体" w:eastAsia="新宋体"/>
          <w:sz w:val="22"/>
          <w:szCs w:val="22"/>
        </w:rPr>
      </w:pPr>
      <w:r>
        <w:rPr>
          <w:rFonts w:hint="eastAsia" w:ascii="新宋体" w:hAnsi="新宋体" w:eastAsia="新宋体"/>
          <w:spacing w:val="6"/>
          <w:sz w:val="22"/>
          <w:szCs w:val="22"/>
        </w:rPr>
        <w:t xml:space="preserve">5.3  </w:t>
      </w:r>
      <w:r>
        <w:rPr>
          <w:rFonts w:hint="eastAsia" w:ascii="新宋体" w:hAnsi="新宋体" w:eastAsia="新宋体"/>
          <w:sz w:val="22"/>
          <w:szCs w:val="22"/>
        </w:rPr>
        <w:t>履约保证金自合同签订之日起至工程验收合格止有效。有效期满后，采购人应及时将履约保证金无息退还给中标供应商。</w:t>
      </w:r>
    </w:p>
    <w:p>
      <w:pPr>
        <w:pStyle w:val="24"/>
        <w:adjustRightInd w:val="0"/>
        <w:snapToGrid w:val="0"/>
        <w:spacing w:line="454" w:lineRule="atLeast"/>
        <w:ind w:firstLine="435"/>
        <w:rPr>
          <w:rFonts w:ascii="新宋体" w:hAnsi="新宋体" w:eastAsia="新宋体"/>
          <w:b/>
          <w:sz w:val="22"/>
          <w:szCs w:val="22"/>
        </w:rPr>
      </w:pPr>
      <w:r>
        <w:rPr>
          <w:rFonts w:hint="eastAsia" w:ascii="新宋体" w:hAnsi="新宋体" w:eastAsia="新宋体"/>
          <w:b/>
          <w:sz w:val="22"/>
          <w:szCs w:val="22"/>
        </w:rPr>
        <w:t>5</w:t>
      </w:r>
      <w:r>
        <w:rPr>
          <w:rFonts w:hint="eastAsia" w:ascii="新宋体" w:hAnsi="新宋体" w:eastAsia="新宋体"/>
          <w:b/>
          <w:spacing w:val="6"/>
          <w:sz w:val="22"/>
          <w:szCs w:val="22"/>
        </w:rPr>
        <w:t>.</w:t>
      </w:r>
      <w:r>
        <w:rPr>
          <w:rFonts w:hint="eastAsia" w:ascii="新宋体" w:hAnsi="新宋体" w:eastAsia="新宋体"/>
          <w:b/>
          <w:sz w:val="22"/>
          <w:szCs w:val="22"/>
        </w:rPr>
        <w:t>4</w:t>
      </w:r>
      <w:r>
        <w:rPr>
          <w:rFonts w:hint="eastAsia" w:ascii="新宋体" w:hAnsi="新宋体" w:eastAsia="新宋体"/>
          <w:b/>
          <w:spacing w:val="6"/>
          <w:sz w:val="22"/>
          <w:szCs w:val="22"/>
        </w:rPr>
        <w:t>中标供应商</w:t>
      </w:r>
      <w:r>
        <w:rPr>
          <w:rFonts w:hint="eastAsia" w:ascii="新宋体" w:hAnsi="新宋体" w:eastAsia="新宋体"/>
          <w:b/>
          <w:sz w:val="22"/>
          <w:szCs w:val="22"/>
        </w:rPr>
        <w:t>不按招标文件的规定或合同双方的约定提交履约保证金的按违约处理，采购人可以单方终止合同，并保留向</w:t>
      </w:r>
      <w:r>
        <w:rPr>
          <w:rFonts w:hint="eastAsia" w:ascii="新宋体" w:hAnsi="新宋体" w:eastAsia="新宋体"/>
          <w:b/>
          <w:spacing w:val="6"/>
          <w:sz w:val="22"/>
          <w:szCs w:val="22"/>
        </w:rPr>
        <w:t>中标供应商</w:t>
      </w:r>
      <w:r>
        <w:rPr>
          <w:rFonts w:hint="eastAsia" w:ascii="新宋体" w:hAnsi="新宋体" w:eastAsia="新宋体"/>
          <w:b/>
          <w:sz w:val="22"/>
          <w:szCs w:val="22"/>
        </w:rPr>
        <w:t>追究赔偿责任的权利。</w:t>
      </w:r>
    </w:p>
    <w:bookmarkEnd w:id="32"/>
    <w:p>
      <w:pPr>
        <w:autoSpaceDE w:val="0"/>
        <w:autoSpaceDN w:val="0"/>
        <w:adjustRightInd w:val="0"/>
        <w:snapToGrid w:val="0"/>
        <w:spacing w:line="440" w:lineRule="exact"/>
        <w:ind w:firstLine="466" w:firstLineChars="212"/>
        <w:textAlignment w:val="bottom"/>
        <w:rPr>
          <w:rFonts w:ascii="宋体" w:hAnsi="宋体"/>
          <w:sz w:val="22"/>
          <w:szCs w:val="22"/>
        </w:rPr>
      </w:pPr>
      <w:r>
        <w:rPr>
          <w:rFonts w:hint="eastAsia" w:ascii="宋体" w:hAnsi="宋体"/>
          <w:sz w:val="22"/>
          <w:szCs w:val="22"/>
        </w:rPr>
        <w:t>6</w:t>
      </w:r>
      <w:r>
        <w:rPr>
          <w:rFonts w:hint="eastAsia" w:ascii="宋体" w:hAnsi="宋体" w:cs="仿宋_GB2312"/>
          <w:sz w:val="22"/>
          <w:szCs w:val="22"/>
          <w:lang w:val="zh-CN"/>
        </w:rPr>
        <w:t>、</w:t>
      </w:r>
      <w:r>
        <w:rPr>
          <w:rFonts w:hint="eastAsia" w:ascii="宋体" w:hAnsi="宋体"/>
          <w:sz w:val="22"/>
          <w:szCs w:val="22"/>
        </w:rPr>
        <w:t>招标代理服务费</w:t>
      </w:r>
    </w:p>
    <w:p>
      <w:pPr>
        <w:autoSpaceDE w:val="0"/>
        <w:autoSpaceDN w:val="0"/>
        <w:adjustRightInd w:val="0"/>
        <w:snapToGrid w:val="0"/>
        <w:spacing w:line="440" w:lineRule="exact"/>
        <w:ind w:firstLine="466" w:firstLineChars="212"/>
        <w:textAlignment w:val="bottom"/>
        <w:rPr>
          <w:rFonts w:ascii="宋体" w:hAnsi="宋体"/>
          <w:sz w:val="22"/>
          <w:szCs w:val="22"/>
        </w:rPr>
      </w:pPr>
      <w:r>
        <w:rPr>
          <w:rFonts w:hint="eastAsia" w:ascii="宋体" w:hAnsi="宋体"/>
          <w:sz w:val="22"/>
          <w:szCs w:val="22"/>
        </w:rPr>
        <w:t>6.1中标供应商在领取中标通知书前须向招标代理机构支付</w:t>
      </w:r>
      <w:r>
        <w:rPr>
          <w:rFonts w:hint="eastAsia" w:ascii="宋体" w:hAnsi="宋体"/>
          <w:sz w:val="22"/>
          <w:szCs w:val="22"/>
          <w:u w:val="single"/>
        </w:rPr>
        <w:t>18000元整</w:t>
      </w:r>
      <w:r>
        <w:rPr>
          <w:rFonts w:hint="eastAsia" w:ascii="宋体" w:hAnsi="宋体"/>
          <w:sz w:val="22"/>
          <w:szCs w:val="22"/>
        </w:rPr>
        <w:t>采购代理服务费，招标代理服务费包含在投标总价中。招标代理服务费汇入以下帐号：</w:t>
      </w:r>
    </w:p>
    <w:p>
      <w:pPr>
        <w:adjustRightInd w:val="0"/>
        <w:spacing w:line="440" w:lineRule="atLeast"/>
        <w:ind w:firstLine="450"/>
        <w:textAlignment w:val="bottom"/>
        <w:rPr>
          <w:rFonts w:ascii="宋体" w:hAnsi="宋体"/>
          <w:sz w:val="22"/>
        </w:rPr>
      </w:pPr>
      <w:r>
        <w:rPr>
          <w:rFonts w:hint="eastAsia" w:ascii="宋体" w:hAnsi="宋体"/>
          <w:sz w:val="22"/>
        </w:rPr>
        <w:t>户  名：浙江首信工程项目管理有限公司龙港分公司</w:t>
      </w:r>
    </w:p>
    <w:p>
      <w:pPr>
        <w:adjustRightInd w:val="0"/>
        <w:spacing w:line="440" w:lineRule="atLeast"/>
        <w:ind w:firstLine="450"/>
        <w:textAlignment w:val="bottom"/>
        <w:rPr>
          <w:rFonts w:ascii="宋体" w:hAnsi="宋体"/>
          <w:sz w:val="22"/>
        </w:rPr>
      </w:pPr>
      <w:r>
        <w:rPr>
          <w:rFonts w:hint="eastAsia" w:ascii="宋体" w:hAnsi="宋体"/>
          <w:sz w:val="22"/>
        </w:rPr>
        <w:t xml:space="preserve">帐  号：201000230192402 </w:t>
      </w:r>
    </w:p>
    <w:p>
      <w:pPr>
        <w:pStyle w:val="24"/>
        <w:adjustRightInd w:val="0"/>
        <w:spacing w:after="120" w:line="440" w:lineRule="exact"/>
        <w:ind w:firstLine="440" w:firstLineChars="200"/>
        <w:rPr>
          <w:rFonts w:hAnsi="宋体"/>
          <w:sz w:val="22"/>
        </w:rPr>
      </w:pPr>
      <w:r>
        <w:rPr>
          <w:rFonts w:hint="eastAsia" w:hAnsi="宋体"/>
          <w:sz w:val="22"/>
        </w:rPr>
        <w:t>开户行：苍南农商银行龙港支行城西分理处</w:t>
      </w:r>
    </w:p>
    <w:p>
      <w:pPr>
        <w:snapToGrid w:val="0"/>
        <w:spacing w:line="400" w:lineRule="atLeast"/>
        <w:jc w:val="center"/>
        <w:rPr>
          <w:rFonts w:ascii="宋体" w:hAnsi="宋体"/>
          <w:color w:val="000000"/>
          <w:sz w:val="36"/>
          <w:szCs w:val="36"/>
        </w:rPr>
      </w:pPr>
      <w:r>
        <w:rPr>
          <w:rFonts w:hint="eastAsia" w:ascii="宋体" w:hAnsi="宋体"/>
          <w:color w:val="000000"/>
          <w:sz w:val="36"/>
          <w:szCs w:val="36"/>
        </w:rPr>
        <w:br w:type="page"/>
      </w:r>
      <w:bookmarkStart w:id="54" w:name="_Toc16661_WPSOffice_Level1"/>
      <w:bookmarkStart w:id="55" w:name="_Toc21623_WPSOffice_Level1"/>
      <w:r>
        <w:rPr>
          <w:rFonts w:hint="eastAsia" w:ascii="宋体" w:hAnsi="宋体"/>
          <w:color w:val="000000"/>
          <w:sz w:val="36"/>
          <w:szCs w:val="36"/>
        </w:rPr>
        <w:t>第五部分、合同格式（参考）</w:t>
      </w:r>
      <w:bookmarkEnd w:id="54"/>
      <w:bookmarkEnd w:id="55"/>
    </w:p>
    <w:p>
      <w:pPr>
        <w:pStyle w:val="24"/>
        <w:snapToGrid w:val="0"/>
        <w:spacing w:line="400" w:lineRule="atLeast"/>
        <w:jc w:val="left"/>
        <w:rPr>
          <w:rFonts w:hAnsi="宋体"/>
          <w:color w:val="000000"/>
          <w:sz w:val="24"/>
          <w:szCs w:val="24"/>
        </w:rPr>
      </w:pPr>
      <w:r>
        <w:rPr>
          <w:rFonts w:hint="eastAsia" w:hAnsi="宋体"/>
          <w:color w:val="000000"/>
          <w:sz w:val="24"/>
          <w:szCs w:val="24"/>
        </w:rPr>
        <w:t xml:space="preserve">                                    编号  ：</w:t>
      </w:r>
    </w:p>
    <w:p>
      <w:pPr>
        <w:pStyle w:val="25"/>
        <w:spacing w:line="440" w:lineRule="exact"/>
        <w:ind w:leftChars="0"/>
        <w:rPr>
          <w:rFonts w:ascii="宋体" w:hAnsi="宋体"/>
          <w:sz w:val="22"/>
          <w:szCs w:val="22"/>
        </w:rPr>
      </w:pPr>
    </w:p>
    <w:p>
      <w:pPr>
        <w:pStyle w:val="25"/>
        <w:spacing w:line="440" w:lineRule="exact"/>
        <w:ind w:leftChars="0"/>
        <w:rPr>
          <w:rFonts w:ascii="宋体" w:hAnsi="宋体"/>
          <w:sz w:val="22"/>
          <w:szCs w:val="22"/>
        </w:rPr>
      </w:pPr>
      <w:r>
        <w:rPr>
          <w:rFonts w:hint="eastAsia" w:ascii="宋体" w:hAnsi="宋体"/>
          <w:sz w:val="22"/>
          <w:szCs w:val="22"/>
        </w:rPr>
        <w:t>发包方(采购单位)：                         （以下简称采购人）</w:t>
      </w:r>
    </w:p>
    <w:p>
      <w:pPr>
        <w:spacing w:line="440" w:lineRule="exact"/>
        <w:ind w:firstLine="110" w:firstLineChars="50"/>
        <w:rPr>
          <w:rFonts w:ascii="宋体" w:hAnsi="宋体"/>
          <w:color w:val="000000"/>
          <w:sz w:val="22"/>
          <w:szCs w:val="22"/>
        </w:rPr>
      </w:pPr>
      <w:r>
        <w:rPr>
          <w:rFonts w:hint="eastAsia" w:ascii="宋体" w:hAnsi="宋体"/>
          <w:color w:val="000000"/>
          <w:sz w:val="22"/>
          <w:szCs w:val="22"/>
        </w:rPr>
        <w:t>承包方(中标人)：                           （以下简称供应商）</w:t>
      </w:r>
    </w:p>
    <w:p>
      <w:pPr>
        <w:spacing w:line="440" w:lineRule="exact"/>
        <w:ind w:firstLine="570"/>
        <w:rPr>
          <w:rFonts w:ascii="宋体" w:hAnsi="宋体"/>
          <w:color w:val="000000"/>
          <w:sz w:val="22"/>
          <w:szCs w:val="22"/>
        </w:rPr>
      </w:pPr>
      <w:r>
        <w:rPr>
          <w:rFonts w:hint="eastAsia" w:ascii="宋体" w:hAnsi="宋体"/>
          <w:color w:val="000000"/>
          <w:sz w:val="22"/>
          <w:szCs w:val="22"/>
        </w:rPr>
        <w:t>采购人将中标范围内保洁维养业务承包给供应商，为了明确甲、乙双方的权利和义务，履行各自的职责，高效优质地完成物业保洁业务，按照《中华人民共和国合同法》的有关规定，经甲乙双方在平等、自愿的基础上共同协商一致，现签订</w:t>
      </w:r>
      <w:r>
        <w:rPr>
          <w:rFonts w:hint="eastAsia" w:ascii="宋体" w:hAnsi="宋体"/>
          <w:sz w:val="22"/>
          <w:szCs w:val="22"/>
        </w:rPr>
        <w:t>管理保洁维养业务承包合同。</w:t>
      </w:r>
    </w:p>
    <w:p>
      <w:pPr>
        <w:spacing w:line="440" w:lineRule="exact"/>
        <w:rPr>
          <w:rFonts w:ascii="宋体" w:hAnsi="宋体"/>
          <w:color w:val="000000"/>
          <w:sz w:val="22"/>
          <w:szCs w:val="22"/>
        </w:rPr>
      </w:pPr>
      <w:r>
        <w:rPr>
          <w:rFonts w:hint="eastAsia" w:ascii="宋体" w:hAnsi="宋体"/>
          <w:color w:val="000000"/>
          <w:sz w:val="22"/>
          <w:szCs w:val="22"/>
        </w:rPr>
        <w:t>采购名称：</w:t>
      </w:r>
    </w:p>
    <w:p>
      <w:pPr>
        <w:spacing w:line="440" w:lineRule="exact"/>
        <w:rPr>
          <w:rFonts w:ascii="宋体" w:hAnsi="宋体"/>
          <w:b/>
          <w:color w:val="000000"/>
          <w:sz w:val="22"/>
          <w:szCs w:val="22"/>
        </w:rPr>
      </w:pPr>
      <w:r>
        <w:rPr>
          <w:rFonts w:hint="eastAsia" w:ascii="宋体" w:hAnsi="宋体"/>
          <w:b/>
          <w:color w:val="000000"/>
          <w:sz w:val="22"/>
          <w:szCs w:val="22"/>
        </w:rPr>
        <w:t>第一条 承包内容</w:t>
      </w:r>
    </w:p>
    <w:p>
      <w:pPr>
        <w:spacing w:line="440" w:lineRule="exact"/>
        <w:ind w:firstLine="440" w:firstLineChars="200"/>
        <w:rPr>
          <w:rFonts w:ascii="宋体" w:hAnsi="宋体"/>
          <w:color w:val="000000"/>
          <w:sz w:val="22"/>
          <w:szCs w:val="22"/>
        </w:rPr>
      </w:pPr>
      <w:r>
        <w:rPr>
          <w:rFonts w:hint="eastAsia" w:ascii="宋体" w:hAnsi="宋体"/>
          <w:color w:val="000000"/>
          <w:sz w:val="22"/>
          <w:szCs w:val="22"/>
        </w:rPr>
        <w:t>将_________的水闸及海塘进行整体物业化管理服务。</w:t>
      </w:r>
    </w:p>
    <w:p>
      <w:pPr>
        <w:spacing w:line="440" w:lineRule="exact"/>
        <w:rPr>
          <w:rFonts w:ascii="宋体" w:hAnsi="宋体"/>
          <w:color w:val="000000"/>
          <w:sz w:val="22"/>
          <w:szCs w:val="22"/>
        </w:rPr>
      </w:pPr>
      <w:r>
        <w:rPr>
          <w:rFonts w:hint="eastAsia" w:ascii="宋体" w:hAnsi="宋体"/>
          <w:color w:val="000000"/>
          <w:sz w:val="22"/>
          <w:szCs w:val="22"/>
        </w:rPr>
        <w:t>第二条 在合同期内，因采购人工作需要调整服务方案，供应商须无条件服从。</w:t>
      </w:r>
    </w:p>
    <w:p>
      <w:pPr>
        <w:spacing w:line="440" w:lineRule="exact"/>
        <w:rPr>
          <w:rFonts w:ascii="宋体" w:hAnsi="宋体"/>
          <w:b/>
          <w:color w:val="000000"/>
          <w:sz w:val="22"/>
          <w:szCs w:val="22"/>
        </w:rPr>
      </w:pPr>
      <w:r>
        <w:rPr>
          <w:rFonts w:hint="eastAsia" w:ascii="宋体" w:hAnsi="宋体"/>
          <w:b/>
          <w:color w:val="000000"/>
          <w:sz w:val="22"/>
          <w:szCs w:val="22"/>
        </w:rPr>
        <w:t>第三条 承包期限</w:t>
      </w:r>
    </w:p>
    <w:p>
      <w:pPr>
        <w:spacing w:line="440" w:lineRule="exact"/>
        <w:ind w:firstLine="645"/>
        <w:rPr>
          <w:rFonts w:ascii="宋体" w:hAnsi="宋体"/>
          <w:color w:val="000000"/>
          <w:sz w:val="22"/>
          <w:szCs w:val="22"/>
        </w:rPr>
      </w:pPr>
      <w:r>
        <w:rPr>
          <w:rFonts w:hint="eastAsia" w:ascii="宋体" w:hAnsi="宋体"/>
          <w:color w:val="000000"/>
          <w:sz w:val="22"/>
          <w:szCs w:val="22"/>
        </w:rPr>
        <w:t>本合同承包期限：从物业化管理业务      年  月  日起至      年  月  日止。</w:t>
      </w:r>
    </w:p>
    <w:p>
      <w:pPr>
        <w:spacing w:line="440" w:lineRule="exact"/>
        <w:rPr>
          <w:rFonts w:ascii="宋体" w:hAnsi="宋体"/>
          <w:b/>
          <w:color w:val="000000"/>
          <w:sz w:val="22"/>
          <w:szCs w:val="22"/>
        </w:rPr>
      </w:pPr>
      <w:r>
        <w:rPr>
          <w:rFonts w:hint="eastAsia" w:ascii="宋体" w:hAnsi="宋体"/>
          <w:b/>
          <w:color w:val="000000"/>
          <w:sz w:val="22"/>
          <w:szCs w:val="22"/>
        </w:rPr>
        <w:t>第四条  承包经费</w:t>
      </w:r>
    </w:p>
    <w:p>
      <w:pPr>
        <w:spacing w:line="440" w:lineRule="exact"/>
        <w:rPr>
          <w:rFonts w:ascii="宋体" w:hAnsi="宋体"/>
          <w:color w:val="000000"/>
          <w:sz w:val="22"/>
          <w:szCs w:val="22"/>
        </w:rPr>
      </w:pPr>
      <w:r>
        <w:rPr>
          <w:rFonts w:hint="eastAsia" w:ascii="宋体" w:hAnsi="宋体"/>
          <w:color w:val="000000"/>
          <w:sz w:val="22"/>
          <w:szCs w:val="22"/>
        </w:rPr>
        <w:t>（一）承包经费：      元（人民币大写：  佰  拾  万  仟  佰  拾  元  角  分）。</w:t>
      </w:r>
    </w:p>
    <w:p>
      <w:pPr>
        <w:spacing w:line="440" w:lineRule="exact"/>
        <w:ind w:left="660" w:hanging="660" w:hangingChars="300"/>
        <w:rPr>
          <w:rFonts w:ascii="宋体" w:hAnsi="宋体"/>
          <w:color w:val="000000"/>
          <w:sz w:val="22"/>
          <w:szCs w:val="22"/>
        </w:rPr>
      </w:pPr>
      <w:r>
        <w:rPr>
          <w:rFonts w:hint="eastAsia" w:ascii="宋体" w:hAnsi="宋体"/>
          <w:color w:val="000000"/>
          <w:sz w:val="22"/>
          <w:szCs w:val="22"/>
        </w:rPr>
        <w:t>（二）</w:t>
      </w:r>
      <w:r>
        <w:rPr>
          <w:rFonts w:hint="eastAsia" w:ascii="宋体" w:hAnsi="宋体"/>
          <w:b/>
          <w:color w:val="000000"/>
          <w:sz w:val="22"/>
          <w:szCs w:val="22"/>
        </w:rPr>
        <w:t>合同价格包括在承包区域内提供水闸及海塘物业化管理服务所需的人工费、设施维修费、福利、劳保用品、工作服装、保洁工具费及其维修、迎检加班和突发处置费用等作业成本以及适当的管理费用、利润、风险（有关工伤人身意外保险、第三者责任险、处理一切伤亡事故等费用）等其他一切费用。</w:t>
      </w:r>
    </w:p>
    <w:p>
      <w:pPr>
        <w:spacing w:line="440" w:lineRule="exact"/>
        <w:rPr>
          <w:rFonts w:ascii="宋体" w:hAnsi="宋体"/>
          <w:color w:val="000000"/>
          <w:sz w:val="22"/>
          <w:szCs w:val="22"/>
        </w:rPr>
      </w:pPr>
      <w:r>
        <w:rPr>
          <w:rFonts w:hint="eastAsia" w:ascii="宋体" w:hAnsi="宋体"/>
          <w:color w:val="000000"/>
          <w:sz w:val="22"/>
          <w:szCs w:val="22"/>
        </w:rPr>
        <w:t>（三）承包经费最终结算价依据中标通知书、投标文件、验收考核等要求计算。</w:t>
      </w:r>
    </w:p>
    <w:p>
      <w:pPr>
        <w:spacing w:line="440" w:lineRule="exact"/>
        <w:rPr>
          <w:rFonts w:ascii="宋体" w:hAnsi="宋体"/>
          <w:b/>
          <w:color w:val="000000"/>
          <w:sz w:val="22"/>
          <w:szCs w:val="22"/>
        </w:rPr>
      </w:pPr>
      <w:r>
        <w:rPr>
          <w:rFonts w:hint="eastAsia" w:ascii="宋体" w:hAnsi="宋体"/>
          <w:b/>
          <w:color w:val="000000"/>
          <w:sz w:val="22"/>
          <w:szCs w:val="22"/>
        </w:rPr>
        <w:t>（四）付款方式</w:t>
      </w:r>
    </w:p>
    <w:p>
      <w:pPr>
        <w:spacing w:line="400" w:lineRule="exact"/>
        <w:ind w:firstLine="442" w:firstLineChars="200"/>
        <w:rPr>
          <w:rFonts w:ascii="Arial" w:hAnsi="新宋体" w:eastAsia="新宋体" w:cs="Arial"/>
          <w:b/>
          <w:sz w:val="22"/>
          <w:szCs w:val="22"/>
        </w:rPr>
      </w:pPr>
      <w:r>
        <w:rPr>
          <w:rFonts w:ascii="Arial" w:hAnsi="新宋体" w:eastAsia="新宋体" w:cs="Arial"/>
          <w:b/>
          <w:sz w:val="22"/>
          <w:szCs w:val="22"/>
        </w:rPr>
        <w:t>在合同签订前</w:t>
      </w:r>
      <w:r>
        <w:rPr>
          <w:rFonts w:hint="eastAsia" w:ascii="Arial" w:hAnsi="新宋体" w:eastAsia="新宋体" w:cs="Arial"/>
          <w:b/>
          <w:sz w:val="22"/>
          <w:szCs w:val="22"/>
        </w:rPr>
        <w:t>供应商</w:t>
      </w:r>
      <w:r>
        <w:rPr>
          <w:rFonts w:ascii="Arial" w:hAnsi="新宋体" w:eastAsia="新宋体" w:cs="Arial"/>
          <w:b/>
          <w:sz w:val="22"/>
          <w:szCs w:val="22"/>
        </w:rPr>
        <w:t>提供合同总金额</w:t>
      </w:r>
      <w:r>
        <w:rPr>
          <w:rFonts w:hint="eastAsia" w:ascii="Arial" w:hAnsi="Arial" w:eastAsia="新宋体" w:cs="Arial"/>
          <w:b/>
          <w:sz w:val="22"/>
          <w:szCs w:val="22"/>
        </w:rPr>
        <w:t>2</w:t>
      </w:r>
      <w:r>
        <w:rPr>
          <w:rFonts w:ascii="Arial" w:hAnsi="Arial" w:eastAsia="新宋体" w:cs="Arial"/>
          <w:b/>
          <w:sz w:val="22"/>
          <w:szCs w:val="22"/>
        </w:rPr>
        <w:t>%</w:t>
      </w:r>
      <w:r>
        <w:rPr>
          <w:rFonts w:ascii="Arial" w:hAnsi="新宋体" w:eastAsia="新宋体" w:cs="Arial"/>
          <w:b/>
          <w:sz w:val="22"/>
          <w:szCs w:val="22"/>
        </w:rPr>
        <w:t>的履约保证金，如</w:t>
      </w:r>
      <w:r>
        <w:rPr>
          <w:rFonts w:hint="eastAsia" w:ascii="Arial" w:hAnsi="新宋体" w:eastAsia="新宋体" w:cs="Arial"/>
          <w:b/>
          <w:sz w:val="22"/>
          <w:szCs w:val="22"/>
        </w:rPr>
        <w:t>供应商</w:t>
      </w:r>
      <w:r>
        <w:rPr>
          <w:rFonts w:ascii="Arial" w:hAnsi="新宋体" w:eastAsia="新宋体" w:cs="Arial"/>
          <w:b/>
          <w:sz w:val="22"/>
          <w:szCs w:val="22"/>
        </w:rPr>
        <w:t>在签约前未在规定的时间内提交履约保证金则</w:t>
      </w:r>
      <w:r>
        <w:rPr>
          <w:rFonts w:hint="eastAsia" w:ascii="Arial" w:hAnsi="新宋体" w:eastAsia="新宋体" w:cs="Arial"/>
          <w:b/>
          <w:sz w:val="22"/>
          <w:szCs w:val="22"/>
        </w:rPr>
        <w:t>采购人</w:t>
      </w:r>
      <w:r>
        <w:rPr>
          <w:rFonts w:ascii="Arial" w:hAnsi="新宋体" w:eastAsia="新宋体" w:cs="Arial"/>
          <w:b/>
          <w:sz w:val="22"/>
          <w:szCs w:val="22"/>
        </w:rPr>
        <w:t>有权拒签合同；</w:t>
      </w:r>
      <w:r>
        <w:rPr>
          <w:rFonts w:hint="eastAsia" w:ascii="Arial" w:hAnsi="新宋体" w:eastAsia="新宋体" w:cs="Arial"/>
          <w:b/>
          <w:sz w:val="22"/>
          <w:szCs w:val="22"/>
        </w:rPr>
        <w:t>合同签订后七个工作日内，采购人向中标供应商支付合同金额（维修养护金除外）10%的预付款；</w:t>
      </w:r>
    </w:p>
    <w:p>
      <w:pPr>
        <w:spacing w:line="400" w:lineRule="exact"/>
        <w:ind w:firstLine="442" w:firstLineChars="200"/>
        <w:rPr>
          <w:rFonts w:ascii="Arial" w:hAnsi="新宋体" w:eastAsia="新宋体" w:cs="Arial"/>
          <w:b/>
          <w:sz w:val="22"/>
          <w:szCs w:val="22"/>
        </w:rPr>
      </w:pPr>
      <w:r>
        <w:rPr>
          <w:rFonts w:hint="eastAsia" w:ascii="Arial" w:hAnsi="新宋体" w:eastAsia="新宋体" w:cs="Arial"/>
          <w:b/>
          <w:sz w:val="22"/>
          <w:szCs w:val="22"/>
        </w:rPr>
        <w:t>1、</w:t>
      </w:r>
      <w:r>
        <w:rPr>
          <w:rFonts w:hint="eastAsia" w:ascii="新宋体" w:hAnsi="新宋体" w:eastAsia="新宋体"/>
          <w:b/>
          <w:sz w:val="22"/>
        </w:rPr>
        <w:t>合同签订后，中标供应商每3个月完成的物业化管理和海塘保洁后，采购单位根据实际情况及考核结果核实后结算（除投标分项报价表的第四项“维修养护”金额外：该项按季度实际考核计算金额支付）季度合同款支付给中标供应商，承包期满经采购单位验收考核合格，无息退还履约保证金。</w:t>
      </w:r>
    </w:p>
    <w:p>
      <w:pPr>
        <w:spacing w:line="400" w:lineRule="exact"/>
        <w:ind w:firstLine="442" w:firstLineChars="200"/>
        <w:rPr>
          <w:rFonts w:ascii="新宋体" w:hAnsi="新宋体" w:eastAsia="新宋体"/>
          <w:b/>
          <w:sz w:val="22"/>
        </w:rPr>
      </w:pPr>
      <w:r>
        <w:rPr>
          <w:rFonts w:hint="eastAsia" w:ascii="新宋体" w:hAnsi="新宋体" w:eastAsia="新宋体"/>
          <w:b/>
          <w:sz w:val="22"/>
        </w:rPr>
        <w:t>2、本工程所需维修养护的实际内容（如标识牌等），</w:t>
      </w:r>
      <w:r>
        <w:rPr>
          <w:rFonts w:hint="eastAsia" w:ascii="新宋体" w:hAnsi="新宋体" w:eastAsia="新宋体"/>
          <w:b/>
          <w:sz w:val="22"/>
          <w:szCs w:val="22"/>
        </w:rPr>
        <w:t>待中标供应商完成清单</w:t>
      </w:r>
      <w:r>
        <w:rPr>
          <w:rFonts w:hint="eastAsia" w:ascii="新宋体" w:hAnsi="新宋体" w:eastAsia="新宋体"/>
          <w:b/>
          <w:sz w:val="22"/>
        </w:rPr>
        <w:t>规定内容并通过采购人审核验收后，一次性支付该项内容的款项。</w:t>
      </w:r>
    </w:p>
    <w:p>
      <w:pPr>
        <w:spacing w:line="400" w:lineRule="exact"/>
        <w:ind w:firstLine="442" w:firstLineChars="200"/>
        <w:rPr>
          <w:rFonts w:ascii="新宋体" w:hAnsi="新宋体" w:eastAsia="新宋体"/>
          <w:b/>
          <w:color w:val="000000"/>
          <w:sz w:val="22"/>
        </w:rPr>
      </w:pPr>
      <w:r>
        <w:rPr>
          <w:rFonts w:hint="eastAsia" w:ascii="新宋体" w:hAnsi="新宋体" w:eastAsia="新宋体"/>
          <w:b/>
          <w:sz w:val="22"/>
        </w:rPr>
        <w:t>3、本工程所需维修养护的内容（维修养护金额：300000元）含</w:t>
      </w:r>
      <w:r>
        <w:rPr>
          <w:rFonts w:hint="eastAsia" w:ascii="新宋体" w:hAnsi="新宋体" w:eastAsia="新宋体"/>
          <w:b/>
          <w:color w:val="000000"/>
          <w:sz w:val="22"/>
        </w:rPr>
        <w:t>水闸（</w:t>
      </w:r>
      <w:r>
        <w:rPr>
          <w:rFonts w:hint="eastAsia" w:ascii="新宋体" w:hAnsi="新宋体" w:eastAsia="新宋体"/>
          <w:b/>
          <w:sz w:val="22"/>
          <w:szCs w:val="22"/>
        </w:rPr>
        <w:t>新兰水闸、湖前水闸、平安水闸、新美洲水闸、龙江水闸</w:t>
      </w:r>
      <w:r>
        <w:rPr>
          <w:rFonts w:hint="eastAsia" w:ascii="新宋体" w:hAnsi="新宋体" w:eastAsia="新宋体"/>
          <w:b/>
          <w:color w:val="000000"/>
          <w:sz w:val="22"/>
        </w:rPr>
        <w:t>）及20.5km海塘维保（其中含19.4km海塘保洁）：供应商应书面形式将需要维修的项目（包括书面报告、事前图片等材料）报告给采购人，经采购人确认后，方可进行维修养护，维修完成后需提供事前事后图片、工程量清单、验收证明（需采购人组织验收小组进行验收，验收时间由验收组制定好时间通知供应商进行验收）等证明材料报采购人进行审价，审价后支付维修养护款项。供应商进行实际维修时应留意本项目的维修资金，如超过本金额，采购单位不另行支付。</w:t>
      </w:r>
    </w:p>
    <w:p>
      <w:pPr>
        <w:spacing w:line="440" w:lineRule="exact"/>
        <w:rPr>
          <w:rFonts w:ascii="宋体" w:hAnsi="宋体"/>
          <w:b/>
          <w:color w:val="000000"/>
          <w:sz w:val="22"/>
          <w:szCs w:val="22"/>
        </w:rPr>
      </w:pPr>
      <w:r>
        <w:rPr>
          <w:rFonts w:hint="eastAsia" w:ascii="宋体" w:hAnsi="宋体"/>
          <w:b/>
          <w:color w:val="000000"/>
          <w:sz w:val="22"/>
          <w:szCs w:val="22"/>
        </w:rPr>
        <w:t>第五条  承包方式</w:t>
      </w:r>
    </w:p>
    <w:p>
      <w:pPr>
        <w:spacing w:line="440" w:lineRule="exact"/>
        <w:ind w:left="441" w:leftChars="210"/>
        <w:rPr>
          <w:rFonts w:ascii="宋体" w:hAnsi="宋体"/>
          <w:color w:val="000000"/>
          <w:sz w:val="22"/>
          <w:szCs w:val="22"/>
        </w:rPr>
      </w:pPr>
      <w:r>
        <w:rPr>
          <w:rFonts w:hint="eastAsia" w:ascii="宋体" w:hAnsi="宋体"/>
          <w:color w:val="000000"/>
          <w:sz w:val="22"/>
          <w:szCs w:val="22"/>
        </w:rPr>
        <w:t>采用全包干形式，即业务包干、经费包干方</w:t>
      </w:r>
      <w:r>
        <w:rPr>
          <w:rFonts w:hint="eastAsia" w:ascii="宋体" w:hAnsi="宋体"/>
          <w:sz w:val="22"/>
          <w:szCs w:val="22"/>
        </w:rPr>
        <w:t>式。采购人将物业化管理保洁维养业务及相应的经费交给供应商，供应商按采购人的管理要求和标准组织保洁维养工作</w:t>
      </w:r>
      <w:r>
        <w:rPr>
          <w:rFonts w:hint="eastAsia" w:ascii="宋体" w:hAnsi="宋体"/>
          <w:color w:val="000000"/>
          <w:sz w:val="22"/>
          <w:szCs w:val="22"/>
        </w:rPr>
        <w:t>，并接受采购人的指导、监督和检查验收。</w:t>
      </w:r>
    </w:p>
    <w:p>
      <w:pPr>
        <w:spacing w:line="440" w:lineRule="exact"/>
        <w:rPr>
          <w:rFonts w:ascii="宋体" w:hAnsi="宋体"/>
          <w:b/>
          <w:color w:val="000000"/>
          <w:sz w:val="22"/>
          <w:szCs w:val="22"/>
        </w:rPr>
      </w:pPr>
      <w:r>
        <w:rPr>
          <w:rFonts w:hint="eastAsia" w:ascii="宋体" w:hAnsi="宋体"/>
          <w:b/>
          <w:color w:val="000000"/>
          <w:sz w:val="22"/>
          <w:szCs w:val="22"/>
        </w:rPr>
        <w:t>第六条  工作要求和质量标准</w:t>
      </w:r>
    </w:p>
    <w:p>
      <w:pPr>
        <w:spacing w:line="440" w:lineRule="exact"/>
        <w:ind w:firstLine="440" w:firstLineChars="200"/>
        <w:rPr>
          <w:rFonts w:ascii="宋体" w:hAnsi="宋体"/>
          <w:color w:val="000000"/>
          <w:sz w:val="22"/>
          <w:szCs w:val="22"/>
        </w:rPr>
      </w:pPr>
      <w:r>
        <w:rPr>
          <w:rFonts w:hint="eastAsia" w:ascii="宋体" w:hAnsi="宋体"/>
          <w:color w:val="000000"/>
          <w:sz w:val="22"/>
          <w:szCs w:val="22"/>
        </w:rPr>
        <w:t>管理各项具体工作的质量标准和作业规范按采购人具体要求及《招标文件》中所规定的执行。</w:t>
      </w:r>
    </w:p>
    <w:p>
      <w:pPr>
        <w:spacing w:line="440" w:lineRule="exact"/>
        <w:rPr>
          <w:rFonts w:ascii="宋体" w:hAnsi="宋体"/>
          <w:b/>
          <w:color w:val="000000"/>
          <w:sz w:val="22"/>
          <w:szCs w:val="22"/>
        </w:rPr>
      </w:pPr>
      <w:r>
        <w:rPr>
          <w:rFonts w:hint="eastAsia" w:ascii="宋体" w:hAnsi="宋体"/>
          <w:b/>
          <w:color w:val="000000"/>
          <w:sz w:val="22"/>
          <w:szCs w:val="22"/>
        </w:rPr>
        <w:t>第七条  履约保证金</w:t>
      </w:r>
    </w:p>
    <w:p>
      <w:pPr>
        <w:spacing w:line="440" w:lineRule="exact"/>
        <w:ind w:left="660" w:hanging="660" w:hangingChars="300"/>
        <w:rPr>
          <w:rFonts w:ascii="宋体" w:hAnsi="宋体"/>
          <w:color w:val="FF0000"/>
          <w:sz w:val="22"/>
          <w:szCs w:val="22"/>
        </w:rPr>
      </w:pPr>
      <w:r>
        <w:rPr>
          <w:rFonts w:hint="eastAsia" w:ascii="宋体" w:hAnsi="宋体"/>
          <w:color w:val="000000"/>
          <w:sz w:val="22"/>
          <w:szCs w:val="22"/>
        </w:rPr>
        <w:t>（一）签定合同前，供应商必须向采购人提交合同款2％的合同履约保证金（无息），采购人开给供应商合同履约保证金收据；</w:t>
      </w:r>
    </w:p>
    <w:p>
      <w:pPr>
        <w:spacing w:line="440" w:lineRule="exact"/>
        <w:rPr>
          <w:rFonts w:ascii="宋体" w:hAnsi="宋体"/>
          <w:color w:val="000000"/>
          <w:sz w:val="22"/>
          <w:szCs w:val="22"/>
        </w:rPr>
      </w:pPr>
      <w:r>
        <w:rPr>
          <w:rFonts w:hint="eastAsia" w:ascii="宋体" w:hAnsi="宋体"/>
          <w:color w:val="000000"/>
          <w:sz w:val="22"/>
          <w:szCs w:val="22"/>
        </w:rPr>
        <w:t>（二）承包任务完成并验收移交采购人后十个工作日内，采购人无息退还供应商合同履约保证金；</w:t>
      </w:r>
    </w:p>
    <w:p>
      <w:pPr>
        <w:spacing w:line="440" w:lineRule="exact"/>
        <w:ind w:left="660" w:hanging="660" w:hangingChars="300"/>
        <w:rPr>
          <w:rFonts w:ascii="宋体" w:hAnsi="宋体"/>
          <w:sz w:val="22"/>
          <w:szCs w:val="22"/>
        </w:rPr>
      </w:pPr>
      <w:r>
        <w:rPr>
          <w:rFonts w:hint="eastAsia" w:ascii="宋体" w:hAnsi="宋体"/>
          <w:color w:val="000000"/>
          <w:sz w:val="22"/>
          <w:szCs w:val="22"/>
        </w:rPr>
        <w:t>（三）供应商不能按期保质保量</w:t>
      </w:r>
      <w:r>
        <w:rPr>
          <w:rFonts w:hint="eastAsia" w:ascii="宋体" w:hAnsi="宋体"/>
          <w:sz w:val="22"/>
          <w:szCs w:val="22"/>
        </w:rPr>
        <w:t>完成物业管理保洁维养业务，除承担相关责任外，采购人可相应没收合同履约保证金。</w:t>
      </w:r>
    </w:p>
    <w:p>
      <w:pPr>
        <w:spacing w:line="440" w:lineRule="exact"/>
        <w:rPr>
          <w:rFonts w:ascii="宋体" w:hAnsi="宋体"/>
          <w:b/>
          <w:sz w:val="22"/>
          <w:szCs w:val="22"/>
        </w:rPr>
      </w:pPr>
      <w:r>
        <w:rPr>
          <w:rFonts w:hint="eastAsia" w:ascii="宋体" w:hAnsi="宋体"/>
          <w:b/>
          <w:sz w:val="22"/>
          <w:szCs w:val="22"/>
        </w:rPr>
        <w:t>第八条  权利和义务</w:t>
      </w:r>
    </w:p>
    <w:p>
      <w:pPr>
        <w:spacing w:line="440" w:lineRule="exact"/>
        <w:rPr>
          <w:rFonts w:ascii="宋体" w:hAnsi="宋体"/>
          <w:sz w:val="22"/>
          <w:szCs w:val="22"/>
        </w:rPr>
      </w:pPr>
      <w:r>
        <w:rPr>
          <w:rFonts w:hint="eastAsia" w:ascii="宋体" w:hAnsi="宋体"/>
          <w:sz w:val="22"/>
          <w:szCs w:val="22"/>
        </w:rPr>
        <w:t>（一）采购人权利与义务</w:t>
      </w:r>
    </w:p>
    <w:p>
      <w:pPr>
        <w:spacing w:line="440" w:lineRule="exact"/>
        <w:rPr>
          <w:rFonts w:ascii="宋体" w:hAnsi="宋体"/>
          <w:sz w:val="22"/>
          <w:szCs w:val="22"/>
        </w:rPr>
      </w:pPr>
      <w:r>
        <w:rPr>
          <w:rFonts w:hint="eastAsia" w:ascii="宋体" w:hAnsi="宋体"/>
          <w:sz w:val="22"/>
          <w:szCs w:val="22"/>
        </w:rPr>
        <w:t>1、采购人对供应商的物业化管理保洁维养业务进行全面的技术指导、检查、管理和监督，对检查中发现的质量问题及时向供应商提出书面或口头改进意见。</w:t>
      </w:r>
    </w:p>
    <w:p>
      <w:pPr>
        <w:spacing w:line="440" w:lineRule="exact"/>
        <w:rPr>
          <w:rFonts w:ascii="宋体" w:hAnsi="宋体"/>
          <w:sz w:val="22"/>
          <w:szCs w:val="22"/>
        </w:rPr>
      </w:pPr>
      <w:r>
        <w:rPr>
          <w:rFonts w:hint="eastAsia" w:ascii="宋体" w:hAnsi="宋体"/>
          <w:sz w:val="22"/>
          <w:szCs w:val="22"/>
        </w:rPr>
        <w:t>2、采购人对供应商违反规定的行为进行惩罚。</w:t>
      </w:r>
    </w:p>
    <w:p>
      <w:pPr>
        <w:spacing w:line="440" w:lineRule="exact"/>
        <w:rPr>
          <w:rFonts w:ascii="宋体" w:hAnsi="宋体"/>
          <w:sz w:val="22"/>
          <w:szCs w:val="22"/>
        </w:rPr>
      </w:pPr>
      <w:r>
        <w:rPr>
          <w:rFonts w:hint="eastAsia" w:ascii="宋体" w:hAnsi="宋体"/>
          <w:sz w:val="22"/>
          <w:szCs w:val="22"/>
        </w:rPr>
        <w:t>3、采购人监督检查供应商落实安全防火和安全生产措施。</w:t>
      </w:r>
    </w:p>
    <w:p>
      <w:pPr>
        <w:spacing w:line="440" w:lineRule="exact"/>
        <w:rPr>
          <w:rFonts w:ascii="宋体" w:hAnsi="宋体"/>
          <w:sz w:val="22"/>
          <w:szCs w:val="22"/>
        </w:rPr>
      </w:pPr>
      <w:r>
        <w:rPr>
          <w:rFonts w:hint="eastAsia" w:ascii="宋体" w:hAnsi="宋体"/>
          <w:sz w:val="22"/>
          <w:szCs w:val="22"/>
        </w:rPr>
        <w:t>4、采购人监督检查供应商对员工进行培训的情况，以提高管理保洁维养业务的技术水平。</w:t>
      </w:r>
    </w:p>
    <w:p>
      <w:pPr>
        <w:spacing w:line="440" w:lineRule="exact"/>
        <w:rPr>
          <w:rFonts w:ascii="宋体" w:hAnsi="宋体"/>
          <w:sz w:val="22"/>
          <w:szCs w:val="22"/>
        </w:rPr>
      </w:pPr>
      <w:r>
        <w:rPr>
          <w:rFonts w:hint="eastAsia" w:ascii="宋体" w:hAnsi="宋体"/>
          <w:sz w:val="22"/>
          <w:szCs w:val="22"/>
        </w:rPr>
        <w:t>5、采购人应按管理保洁维养质量和检查验收结果计算经费，扣除供应商因检查不合格应扣款后，将经费按期支付给供应商。</w:t>
      </w:r>
    </w:p>
    <w:p>
      <w:pPr>
        <w:spacing w:line="440" w:lineRule="exact"/>
        <w:rPr>
          <w:rFonts w:ascii="宋体" w:hAnsi="宋体"/>
          <w:sz w:val="22"/>
          <w:szCs w:val="22"/>
        </w:rPr>
      </w:pPr>
      <w:r>
        <w:rPr>
          <w:rFonts w:hint="eastAsia" w:ascii="宋体" w:hAnsi="宋体"/>
          <w:sz w:val="22"/>
          <w:szCs w:val="22"/>
        </w:rPr>
        <w:t>6、采购人可要求供应商调整不合格员工。</w:t>
      </w:r>
    </w:p>
    <w:p>
      <w:pPr>
        <w:spacing w:line="440" w:lineRule="exact"/>
        <w:rPr>
          <w:rFonts w:ascii="宋体" w:hAnsi="宋体"/>
          <w:color w:val="000000"/>
          <w:sz w:val="22"/>
          <w:szCs w:val="22"/>
        </w:rPr>
      </w:pPr>
      <w:r>
        <w:rPr>
          <w:rFonts w:hint="eastAsia" w:ascii="宋体" w:hAnsi="宋体"/>
          <w:sz w:val="22"/>
          <w:szCs w:val="22"/>
        </w:rPr>
        <w:t>7、采购人应按时支付款项。本合同的承包经费由政府拨款，如因政策影响，拨款</w:t>
      </w:r>
      <w:r>
        <w:rPr>
          <w:rFonts w:hint="eastAsia" w:ascii="宋体" w:hAnsi="宋体"/>
          <w:color w:val="000000"/>
          <w:sz w:val="22"/>
          <w:szCs w:val="22"/>
        </w:rPr>
        <w:t>未能及时到位，供应商不得以此为由而不履行本合同规定的义务。否则，采购人按规定扣罚。</w:t>
      </w:r>
    </w:p>
    <w:p>
      <w:pPr>
        <w:spacing w:line="440" w:lineRule="exact"/>
        <w:rPr>
          <w:rFonts w:ascii="宋体" w:hAnsi="宋体"/>
          <w:color w:val="000000"/>
          <w:sz w:val="22"/>
          <w:szCs w:val="22"/>
        </w:rPr>
      </w:pPr>
      <w:r>
        <w:rPr>
          <w:rFonts w:hint="eastAsia" w:ascii="宋体" w:hAnsi="宋体"/>
          <w:color w:val="000000"/>
          <w:sz w:val="22"/>
          <w:szCs w:val="22"/>
        </w:rPr>
        <w:t>（二）供应商权利和义务</w:t>
      </w:r>
    </w:p>
    <w:p>
      <w:pPr>
        <w:spacing w:line="440" w:lineRule="exact"/>
        <w:rPr>
          <w:rFonts w:ascii="宋体" w:hAnsi="宋体"/>
          <w:color w:val="000000"/>
          <w:sz w:val="22"/>
          <w:szCs w:val="22"/>
        </w:rPr>
      </w:pPr>
      <w:r>
        <w:rPr>
          <w:rFonts w:hint="eastAsia" w:ascii="宋体" w:hAnsi="宋体"/>
          <w:color w:val="000000"/>
          <w:sz w:val="22"/>
          <w:szCs w:val="22"/>
        </w:rPr>
        <w:t>1、供应商有权根据承包合同按期领取承包经费。</w:t>
      </w:r>
    </w:p>
    <w:p>
      <w:pPr>
        <w:spacing w:line="440" w:lineRule="exact"/>
        <w:ind w:left="330" w:hanging="330" w:hangingChars="150"/>
        <w:rPr>
          <w:rFonts w:ascii="宋体" w:hAnsi="宋体"/>
          <w:color w:val="000000"/>
          <w:sz w:val="22"/>
          <w:szCs w:val="22"/>
        </w:rPr>
      </w:pPr>
      <w:r>
        <w:rPr>
          <w:rFonts w:hint="eastAsia" w:ascii="宋体" w:hAnsi="宋体"/>
          <w:color w:val="000000"/>
          <w:sz w:val="22"/>
          <w:szCs w:val="22"/>
        </w:rPr>
        <w:t>2、供应商履行承诺的义务，并参加由采购人组织的检查和综合考评。</w:t>
      </w:r>
    </w:p>
    <w:p>
      <w:pPr>
        <w:spacing w:line="440" w:lineRule="exact"/>
        <w:rPr>
          <w:rFonts w:ascii="宋体" w:hAnsi="宋体"/>
          <w:color w:val="000000"/>
          <w:sz w:val="22"/>
          <w:szCs w:val="22"/>
        </w:rPr>
      </w:pPr>
      <w:r>
        <w:rPr>
          <w:rFonts w:hint="eastAsia" w:ascii="宋体" w:hAnsi="宋体"/>
          <w:color w:val="000000"/>
          <w:sz w:val="22"/>
          <w:szCs w:val="22"/>
        </w:rPr>
        <w:t>3、供应商应接受采购人的检查监督及指导。</w:t>
      </w:r>
    </w:p>
    <w:p>
      <w:pPr>
        <w:spacing w:line="440" w:lineRule="exact"/>
        <w:rPr>
          <w:rFonts w:ascii="宋体" w:hAnsi="宋体"/>
          <w:color w:val="000000"/>
          <w:sz w:val="22"/>
          <w:szCs w:val="22"/>
        </w:rPr>
      </w:pPr>
      <w:r>
        <w:rPr>
          <w:rFonts w:hint="eastAsia" w:ascii="宋体" w:hAnsi="宋体"/>
          <w:color w:val="000000"/>
          <w:sz w:val="22"/>
          <w:szCs w:val="22"/>
        </w:rPr>
        <w:t>4、按采购人的要求开展工作，如有改变，供应商应提出书面申请，并征得采购人的书面同意。</w:t>
      </w:r>
    </w:p>
    <w:p>
      <w:pPr>
        <w:spacing w:line="440" w:lineRule="exact"/>
        <w:rPr>
          <w:rFonts w:ascii="宋体" w:hAnsi="宋体"/>
          <w:color w:val="000000"/>
          <w:sz w:val="22"/>
          <w:szCs w:val="22"/>
        </w:rPr>
      </w:pPr>
      <w:r>
        <w:rPr>
          <w:rFonts w:hint="eastAsia" w:ascii="宋体" w:hAnsi="宋体"/>
          <w:color w:val="000000"/>
          <w:sz w:val="22"/>
          <w:szCs w:val="22"/>
        </w:rPr>
        <w:t xml:space="preserve">5、特殊情况下（台风和暴雨等），供应商除应做好保护工作外，还应无条件服从采购人的统一指挥和调动，参加抢险救灾工作。 </w:t>
      </w:r>
    </w:p>
    <w:p>
      <w:pPr>
        <w:spacing w:line="440" w:lineRule="exact"/>
        <w:rPr>
          <w:rFonts w:ascii="宋体" w:hAnsi="宋体"/>
          <w:color w:val="000000"/>
          <w:sz w:val="22"/>
          <w:szCs w:val="22"/>
        </w:rPr>
      </w:pPr>
      <w:r>
        <w:rPr>
          <w:rFonts w:hint="eastAsia" w:ascii="宋体" w:hAnsi="宋体"/>
          <w:color w:val="000000"/>
          <w:sz w:val="22"/>
          <w:szCs w:val="22"/>
        </w:rPr>
        <w:t>6、供应商根据本合同所承担的服务内容，按实际上岗人数自行到有关部门申办用工手续、员工劳动保险手续和办暂住证手续。员工最低工资不得低于（项目所在地最低工资标准）。</w:t>
      </w:r>
      <w:r>
        <w:rPr>
          <w:rFonts w:hint="eastAsia" w:ascii="宋体" w:hAnsi="宋体"/>
          <w:sz w:val="22"/>
          <w:szCs w:val="22"/>
        </w:rPr>
        <w:t>安排好员工的住</w:t>
      </w:r>
      <w:r>
        <w:rPr>
          <w:rFonts w:hint="eastAsia" w:ascii="宋体" w:hAnsi="宋体"/>
          <w:color w:val="000000"/>
          <w:sz w:val="22"/>
          <w:szCs w:val="22"/>
        </w:rPr>
        <w:t>宿和教育管理工作，如发生违纪事件，由供应商承担一切经济责任和法律责任。</w:t>
      </w:r>
    </w:p>
    <w:p>
      <w:pPr>
        <w:spacing w:line="440" w:lineRule="exact"/>
        <w:rPr>
          <w:rFonts w:ascii="宋体" w:hAnsi="宋体"/>
          <w:color w:val="000000"/>
          <w:sz w:val="22"/>
          <w:szCs w:val="22"/>
        </w:rPr>
      </w:pPr>
      <w:r>
        <w:rPr>
          <w:rFonts w:hint="eastAsia" w:ascii="宋体" w:hAnsi="宋体"/>
          <w:color w:val="000000"/>
          <w:sz w:val="22"/>
          <w:szCs w:val="22"/>
        </w:rPr>
        <w:t>7、供应商应按采购人要求，为上岗工人购买统一的工作服，持证上岗。</w:t>
      </w:r>
    </w:p>
    <w:p>
      <w:pPr>
        <w:spacing w:line="440" w:lineRule="exact"/>
        <w:rPr>
          <w:rFonts w:ascii="宋体" w:hAnsi="宋体"/>
          <w:color w:val="000000"/>
          <w:sz w:val="22"/>
          <w:szCs w:val="22"/>
        </w:rPr>
      </w:pPr>
      <w:r>
        <w:rPr>
          <w:rFonts w:hint="eastAsia" w:ascii="宋体" w:hAnsi="宋体"/>
          <w:color w:val="000000"/>
          <w:sz w:val="22"/>
          <w:szCs w:val="22"/>
        </w:rPr>
        <w:t>8、供应商负责提供保洁维养所需的全部工具、设备和材料。</w:t>
      </w:r>
    </w:p>
    <w:p>
      <w:pPr>
        <w:spacing w:line="440" w:lineRule="exact"/>
        <w:rPr>
          <w:rFonts w:ascii="宋体" w:hAnsi="宋体"/>
          <w:color w:val="000000"/>
          <w:sz w:val="22"/>
          <w:szCs w:val="22"/>
        </w:rPr>
      </w:pPr>
      <w:r>
        <w:rPr>
          <w:rFonts w:hint="eastAsia" w:ascii="宋体" w:hAnsi="宋体"/>
          <w:color w:val="000000"/>
          <w:sz w:val="22"/>
          <w:szCs w:val="22"/>
        </w:rPr>
        <w:t>9、供应商负责作业过程中的事故处理和一切费用。</w:t>
      </w:r>
    </w:p>
    <w:p>
      <w:pPr>
        <w:spacing w:line="440" w:lineRule="exact"/>
        <w:rPr>
          <w:rFonts w:ascii="宋体" w:hAnsi="宋体"/>
          <w:color w:val="000000"/>
          <w:sz w:val="22"/>
          <w:szCs w:val="22"/>
        </w:rPr>
      </w:pPr>
      <w:r>
        <w:rPr>
          <w:rFonts w:hint="eastAsia" w:ascii="宋体" w:hAnsi="宋体"/>
          <w:color w:val="000000"/>
          <w:sz w:val="22"/>
          <w:szCs w:val="22"/>
        </w:rPr>
        <w:t>10、供应商应严格遵守国家法律、法规的规定，做好社会治安综合治理和计划生育等工作，不得违反国家法律、法规和温州市的有关规定。</w:t>
      </w:r>
    </w:p>
    <w:p>
      <w:pPr>
        <w:spacing w:line="440" w:lineRule="exact"/>
        <w:rPr>
          <w:rFonts w:ascii="宋体" w:hAnsi="宋体"/>
          <w:color w:val="000000"/>
          <w:sz w:val="22"/>
          <w:szCs w:val="22"/>
        </w:rPr>
      </w:pPr>
      <w:r>
        <w:rPr>
          <w:rFonts w:hint="eastAsia" w:ascii="宋体" w:hAnsi="宋体"/>
          <w:color w:val="000000"/>
          <w:sz w:val="22"/>
          <w:szCs w:val="22"/>
        </w:rPr>
        <w:t>11、在合同期内，因国家建设需要造成的供应商经济损失，采购人不负赔偿责任。</w:t>
      </w:r>
    </w:p>
    <w:p>
      <w:pPr>
        <w:spacing w:line="440" w:lineRule="exact"/>
        <w:rPr>
          <w:rFonts w:ascii="宋体" w:hAnsi="宋体"/>
          <w:color w:val="000000"/>
          <w:sz w:val="22"/>
          <w:szCs w:val="22"/>
        </w:rPr>
      </w:pPr>
      <w:r>
        <w:rPr>
          <w:rFonts w:hint="eastAsia" w:ascii="宋体" w:hAnsi="宋体"/>
          <w:color w:val="000000"/>
          <w:sz w:val="22"/>
          <w:szCs w:val="22"/>
        </w:rPr>
        <w:t>12、供应商应遵守法律、法规和政策的规定，因以上原因使合同性质发生改变，采购人不负赔偿责任。</w:t>
      </w:r>
    </w:p>
    <w:p>
      <w:pPr>
        <w:spacing w:line="440" w:lineRule="exact"/>
        <w:rPr>
          <w:rFonts w:ascii="宋体" w:hAnsi="宋体"/>
          <w:sz w:val="22"/>
          <w:szCs w:val="22"/>
        </w:rPr>
      </w:pPr>
      <w:r>
        <w:rPr>
          <w:rFonts w:hint="eastAsia" w:ascii="宋体" w:hAnsi="宋体"/>
          <w:sz w:val="22"/>
          <w:szCs w:val="22"/>
        </w:rPr>
        <w:t>13、供应商不得以承包管理的工程现状复杂难以管理维护等为由，拒绝或拖延采购人提出要求供应商整改的要求。</w:t>
      </w:r>
    </w:p>
    <w:p>
      <w:pPr>
        <w:spacing w:line="440" w:lineRule="exact"/>
        <w:rPr>
          <w:rFonts w:ascii="宋体" w:hAnsi="宋体"/>
          <w:b/>
          <w:color w:val="000000"/>
          <w:sz w:val="22"/>
          <w:szCs w:val="22"/>
        </w:rPr>
      </w:pPr>
      <w:r>
        <w:rPr>
          <w:rFonts w:hint="eastAsia" w:ascii="宋体" w:hAnsi="宋体"/>
          <w:b/>
          <w:color w:val="000000"/>
          <w:sz w:val="22"/>
          <w:szCs w:val="22"/>
        </w:rPr>
        <w:t>第九条  考核制度</w:t>
      </w:r>
    </w:p>
    <w:p>
      <w:pPr>
        <w:spacing w:line="400" w:lineRule="exact"/>
        <w:ind w:firstLine="442" w:firstLineChars="200"/>
        <w:rPr>
          <w:rFonts w:ascii="宋体" w:hAnsi="宋体" w:cs="Arial"/>
          <w:b/>
          <w:bCs/>
          <w:color w:val="000000"/>
          <w:sz w:val="22"/>
          <w:szCs w:val="22"/>
        </w:rPr>
      </w:pPr>
      <w:r>
        <w:rPr>
          <w:rFonts w:hint="eastAsia" w:ascii="宋体" w:hAnsi="宋体" w:cs="Arial"/>
          <w:b/>
          <w:bCs/>
          <w:color w:val="000000"/>
          <w:sz w:val="22"/>
          <w:szCs w:val="22"/>
        </w:rPr>
        <w:t>（1）水闸及海塘：</w:t>
      </w:r>
    </w:p>
    <w:p>
      <w:pPr>
        <w:spacing w:line="400" w:lineRule="exact"/>
        <w:ind w:firstLine="442" w:firstLineChars="200"/>
        <w:rPr>
          <w:rFonts w:ascii="宋体" w:hAnsi="宋体" w:cs="Arial"/>
          <w:b/>
          <w:color w:val="000000"/>
          <w:sz w:val="22"/>
          <w:szCs w:val="22"/>
        </w:rPr>
      </w:pPr>
      <w:r>
        <w:rPr>
          <w:rFonts w:hint="eastAsia" w:ascii="宋体" w:hAnsi="宋体" w:cs="Arial"/>
          <w:b/>
          <w:bCs/>
          <w:color w:val="000000"/>
          <w:sz w:val="22"/>
          <w:szCs w:val="22"/>
        </w:rPr>
        <w:t>中标供应商</w:t>
      </w:r>
      <w:r>
        <w:rPr>
          <w:rFonts w:hint="eastAsia" w:ascii="宋体" w:hAnsi="宋体" w:cs="Arial"/>
          <w:b/>
          <w:color w:val="000000"/>
          <w:sz w:val="22"/>
          <w:szCs w:val="22"/>
        </w:rPr>
        <w:t>必须严格按招标文件要求做好各种工作保洁、维养、报表、记录等，采购人每季度对供应商进行1次检查并评分，每季度对供应商考核不包括对供应商突击检查，采购人对供应商考核分必须达到95分（如达不到95分，采购人给供应商15天整改时间，整改后须达到95分）。如考核低于85分的，采购单位有权终止与中标供应商余下合同并追究中标供应商责任；如因中标供应商原因，导致工程发生事故，情节严重的采购单位追究中标供应商事故责任并赔偿损失。考核记录作为支付款项凭证之一。</w:t>
      </w:r>
    </w:p>
    <w:p>
      <w:pPr>
        <w:numPr>
          <w:ilvl w:val="0"/>
          <w:numId w:val="8"/>
        </w:numPr>
        <w:spacing w:line="400" w:lineRule="exact"/>
        <w:ind w:firstLine="442" w:firstLineChars="200"/>
        <w:rPr>
          <w:rFonts w:ascii="宋体" w:hAnsi="宋体" w:cs="Arial"/>
          <w:b/>
          <w:color w:val="000000"/>
          <w:sz w:val="22"/>
          <w:szCs w:val="22"/>
        </w:rPr>
      </w:pPr>
      <w:r>
        <w:rPr>
          <w:rFonts w:hint="eastAsia" w:ascii="宋体" w:hAnsi="宋体" w:cs="Arial"/>
          <w:b/>
          <w:color w:val="000000"/>
          <w:sz w:val="22"/>
          <w:szCs w:val="22"/>
        </w:rPr>
        <w:t>处罚额度</w:t>
      </w:r>
    </w:p>
    <w:tbl>
      <w:tblPr>
        <w:tblStyle w:val="39"/>
        <w:tblW w:w="9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420"/>
        <w:gridCol w:w="1123"/>
        <w:gridCol w:w="6514"/>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vAlign w:val="center"/>
          </w:tcPr>
          <w:p>
            <w:pPr>
              <w:spacing w:line="400" w:lineRule="exact"/>
              <w:jc w:val="center"/>
              <w:rPr>
                <w:rFonts w:ascii="宋体" w:hAnsi="宋体" w:cs="Arial"/>
                <w:b/>
                <w:color w:val="000000"/>
                <w:sz w:val="22"/>
                <w:szCs w:val="22"/>
              </w:rPr>
            </w:pPr>
            <w:r>
              <w:rPr>
                <w:rFonts w:hint="eastAsia" w:ascii="宋体" w:hAnsi="宋体" w:cs="Arial"/>
                <w:b/>
                <w:color w:val="000000"/>
                <w:sz w:val="22"/>
                <w:szCs w:val="22"/>
              </w:rPr>
              <w:t>序号</w:t>
            </w:r>
          </w:p>
        </w:tc>
        <w:tc>
          <w:tcPr>
            <w:tcW w:w="1543" w:type="dxa"/>
            <w:gridSpan w:val="2"/>
            <w:vAlign w:val="center"/>
          </w:tcPr>
          <w:p>
            <w:pPr>
              <w:spacing w:line="400" w:lineRule="exact"/>
              <w:jc w:val="center"/>
              <w:rPr>
                <w:rFonts w:ascii="宋体" w:hAnsi="宋体" w:cs="Arial"/>
                <w:b/>
                <w:color w:val="000000"/>
                <w:sz w:val="22"/>
                <w:szCs w:val="22"/>
              </w:rPr>
            </w:pPr>
            <w:r>
              <w:rPr>
                <w:rFonts w:hint="eastAsia" w:ascii="宋体" w:hAnsi="宋体" w:cs="Arial"/>
                <w:b/>
                <w:color w:val="000000"/>
                <w:sz w:val="22"/>
                <w:szCs w:val="22"/>
              </w:rPr>
              <w:t>处罚内容</w:t>
            </w:r>
          </w:p>
        </w:tc>
        <w:tc>
          <w:tcPr>
            <w:tcW w:w="6514" w:type="dxa"/>
            <w:vAlign w:val="center"/>
          </w:tcPr>
          <w:p>
            <w:pPr>
              <w:spacing w:line="400" w:lineRule="exact"/>
              <w:ind w:right="8"/>
              <w:jc w:val="center"/>
              <w:rPr>
                <w:rFonts w:ascii="宋体" w:hAnsi="宋体" w:cs="Arial"/>
                <w:b/>
                <w:color w:val="000000"/>
                <w:sz w:val="22"/>
                <w:szCs w:val="22"/>
              </w:rPr>
            </w:pPr>
            <w:r>
              <w:rPr>
                <w:rFonts w:hint="eastAsia" w:ascii="宋体" w:hAnsi="宋体" w:cs="Arial"/>
                <w:b/>
                <w:color w:val="000000"/>
                <w:sz w:val="22"/>
                <w:szCs w:val="22"/>
              </w:rPr>
              <w:t>处罚依据</w:t>
            </w:r>
          </w:p>
        </w:tc>
        <w:tc>
          <w:tcPr>
            <w:tcW w:w="913" w:type="dxa"/>
            <w:vAlign w:val="center"/>
          </w:tcPr>
          <w:p>
            <w:pPr>
              <w:spacing w:line="400" w:lineRule="exact"/>
              <w:jc w:val="center"/>
              <w:rPr>
                <w:rFonts w:ascii="宋体" w:hAnsi="宋体" w:cs="Arial"/>
                <w:b/>
                <w:color w:val="000000"/>
                <w:sz w:val="22"/>
                <w:szCs w:val="22"/>
              </w:rPr>
            </w:pPr>
            <w:r>
              <w:rPr>
                <w:rFonts w:hint="eastAsia" w:ascii="宋体" w:hAnsi="宋体" w:cs="Arial"/>
                <w:b/>
                <w:color w:val="00000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vAlign w:val="center"/>
          </w:tcPr>
          <w:p>
            <w:pPr>
              <w:spacing w:line="400" w:lineRule="exact"/>
              <w:jc w:val="center"/>
              <w:rPr>
                <w:rFonts w:ascii="宋体" w:hAnsi="宋体" w:cs="Arial"/>
                <w:bCs/>
                <w:color w:val="000000"/>
                <w:sz w:val="22"/>
                <w:szCs w:val="22"/>
              </w:rPr>
            </w:pPr>
            <w:r>
              <w:rPr>
                <w:rFonts w:hint="eastAsia" w:ascii="宋体" w:hAnsi="宋体" w:cs="Arial"/>
                <w:bCs/>
                <w:color w:val="000000"/>
                <w:sz w:val="22"/>
                <w:szCs w:val="22"/>
              </w:rPr>
              <w:t>1</w:t>
            </w:r>
          </w:p>
        </w:tc>
        <w:tc>
          <w:tcPr>
            <w:tcW w:w="1543" w:type="dxa"/>
            <w:gridSpan w:val="2"/>
            <w:vAlign w:val="center"/>
          </w:tcPr>
          <w:p>
            <w:pPr>
              <w:spacing w:line="400" w:lineRule="exact"/>
              <w:jc w:val="center"/>
              <w:rPr>
                <w:rFonts w:ascii="宋体" w:hAnsi="宋体" w:cs="Arial"/>
                <w:bCs/>
                <w:color w:val="000000"/>
                <w:sz w:val="22"/>
                <w:szCs w:val="22"/>
              </w:rPr>
            </w:pPr>
            <w:r>
              <w:rPr>
                <w:rFonts w:hint="eastAsia" w:ascii="宋体" w:hAnsi="宋体" w:cs="Arial"/>
                <w:bCs/>
                <w:color w:val="000000"/>
                <w:sz w:val="22"/>
                <w:szCs w:val="22"/>
              </w:rPr>
              <w:t>考核制度（合格为95分）</w:t>
            </w:r>
          </w:p>
        </w:tc>
        <w:tc>
          <w:tcPr>
            <w:tcW w:w="6514" w:type="dxa"/>
          </w:tcPr>
          <w:p>
            <w:pPr>
              <w:spacing w:line="400" w:lineRule="exact"/>
              <w:ind w:right="8"/>
              <w:rPr>
                <w:rFonts w:ascii="宋体" w:hAnsi="宋体" w:cs="Arial"/>
                <w:bCs/>
                <w:color w:val="000000"/>
                <w:sz w:val="22"/>
                <w:szCs w:val="22"/>
              </w:rPr>
            </w:pPr>
            <w:r>
              <w:rPr>
                <w:rFonts w:hint="eastAsia" w:ascii="宋体" w:hAnsi="宋体" w:cs="Arial"/>
                <w:bCs/>
                <w:color w:val="000000"/>
                <w:sz w:val="22"/>
                <w:szCs w:val="22"/>
              </w:rPr>
              <w:t>（1）每季度初次分数合格95分的，每低1分扣5000元（从当季支付金额中扣除）；</w:t>
            </w:r>
          </w:p>
          <w:p>
            <w:pPr>
              <w:spacing w:line="400" w:lineRule="exact"/>
              <w:ind w:right="8"/>
              <w:rPr>
                <w:rFonts w:ascii="宋体" w:hAnsi="宋体" w:cs="Arial"/>
                <w:bCs/>
                <w:color w:val="000000"/>
                <w:sz w:val="22"/>
                <w:szCs w:val="22"/>
              </w:rPr>
            </w:pPr>
            <w:r>
              <w:rPr>
                <w:rFonts w:hint="eastAsia" w:ascii="宋体" w:hAnsi="宋体" w:cs="Arial"/>
                <w:bCs/>
                <w:color w:val="000000"/>
                <w:sz w:val="22"/>
                <w:szCs w:val="22"/>
              </w:rPr>
              <w:t>（2）每季度初次分数小于85分，扣当季支付金额50%（从当季支付金额中扣除）；</w:t>
            </w:r>
          </w:p>
        </w:tc>
        <w:tc>
          <w:tcPr>
            <w:tcW w:w="913" w:type="dxa"/>
          </w:tcPr>
          <w:p>
            <w:pPr>
              <w:spacing w:line="400" w:lineRule="exact"/>
              <w:rPr>
                <w:rFonts w:ascii="宋体" w:hAnsi="宋体" w:cs="Arial"/>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vAlign w:val="center"/>
          </w:tcPr>
          <w:p>
            <w:pPr>
              <w:spacing w:line="400" w:lineRule="exact"/>
              <w:jc w:val="center"/>
              <w:rPr>
                <w:rFonts w:ascii="宋体" w:hAnsi="宋体" w:cs="Arial"/>
                <w:bCs/>
                <w:color w:val="000000"/>
                <w:sz w:val="22"/>
                <w:szCs w:val="22"/>
              </w:rPr>
            </w:pPr>
            <w:r>
              <w:rPr>
                <w:rFonts w:hint="eastAsia" w:ascii="宋体" w:hAnsi="宋体" w:cs="Arial"/>
                <w:bCs/>
                <w:color w:val="000000"/>
                <w:sz w:val="22"/>
                <w:szCs w:val="22"/>
              </w:rPr>
              <w:t>2</w:t>
            </w:r>
          </w:p>
        </w:tc>
        <w:tc>
          <w:tcPr>
            <w:tcW w:w="420" w:type="dxa"/>
            <w:vMerge w:val="restart"/>
            <w:vAlign w:val="center"/>
          </w:tcPr>
          <w:p>
            <w:pPr>
              <w:spacing w:line="400" w:lineRule="exact"/>
              <w:jc w:val="center"/>
              <w:rPr>
                <w:rFonts w:ascii="宋体" w:hAnsi="宋体" w:cs="Arial"/>
                <w:bCs/>
                <w:color w:val="000000"/>
                <w:sz w:val="22"/>
                <w:szCs w:val="22"/>
              </w:rPr>
            </w:pPr>
            <w:r>
              <w:rPr>
                <w:rFonts w:hint="eastAsia" w:ascii="宋体" w:hAnsi="宋体" w:cs="Arial"/>
                <w:bCs/>
                <w:color w:val="000000"/>
                <w:sz w:val="22"/>
                <w:szCs w:val="22"/>
              </w:rPr>
              <w:t>常规处罚</w:t>
            </w:r>
          </w:p>
        </w:tc>
        <w:tc>
          <w:tcPr>
            <w:tcW w:w="1123" w:type="dxa"/>
            <w:vAlign w:val="center"/>
          </w:tcPr>
          <w:p>
            <w:pPr>
              <w:spacing w:line="400" w:lineRule="exact"/>
              <w:jc w:val="center"/>
              <w:rPr>
                <w:rFonts w:ascii="宋体" w:hAnsi="宋体" w:cs="Arial"/>
                <w:bCs/>
                <w:color w:val="000000"/>
                <w:sz w:val="22"/>
                <w:szCs w:val="22"/>
              </w:rPr>
            </w:pPr>
            <w:r>
              <w:rPr>
                <w:rFonts w:hint="eastAsia" w:ascii="宋体" w:hAnsi="宋体" w:cs="Arial"/>
                <w:bCs/>
                <w:color w:val="000000"/>
                <w:sz w:val="22"/>
                <w:szCs w:val="22"/>
              </w:rPr>
              <w:t>人员</w:t>
            </w:r>
          </w:p>
        </w:tc>
        <w:tc>
          <w:tcPr>
            <w:tcW w:w="6514" w:type="dxa"/>
          </w:tcPr>
          <w:p>
            <w:pPr>
              <w:spacing w:line="400" w:lineRule="exact"/>
              <w:rPr>
                <w:rFonts w:ascii="宋体" w:hAnsi="宋体" w:cs="Arial"/>
                <w:bCs/>
                <w:color w:val="000000"/>
                <w:sz w:val="22"/>
                <w:szCs w:val="22"/>
              </w:rPr>
            </w:pPr>
            <w:r>
              <w:rPr>
                <w:rFonts w:hint="eastAsia" w:ascii="宋体" w:hAnsi="宋体" w:cs="Arial"/>
                <w:bCs/>
                <w:color w:val="000000"/>
                <w:sz w:val="22"/>
                <w:szCs w:val="22"/>
              </w:rPr>
              <w:t>（1）项目负责人及相关人员未按要求到岗。每少一天扣500元（从当季支付金额中扣除）。</w:t>
            </w:r>
          </w:p>
          <w:p>
            <w:pPr>
              <w:spacing w:line="400" w:lineRule="exact"/>
              <w:rPr>
                <w:rFonts w:ascii="宋体" w:hAnsi="宋体" w:cs="Arial"/>
                <w:bCs/>
                <w:color w:val="000000"/>
                <w:sz w:val="22"/>
                <w:szCs w:val="22"/>
              </w:rPr>
            </w:pPr>
            <w:r>
              <w:rPr>
                <w:rFonts w:hint="eastAsia" w:ascii="宋体" w:hAnsi="宋体" w:cs="Arial"/>
                <w:bCs/>
                <w:color w:val="000000"/>
                <w:sz w:val="22"/>
                <w:szCs w:val="22"/>
              </w:rPr>
              <w:t>（2）巡查人员未按要求到岗。每少一天扣100元（从当季支付金额中扣除）。</w:t>
            </w:r>
          </w:p>
        </w:tc>
        <w:tc>
          <w:tcPr>
            <w:tcW w:w="913" w:type="dxa"/>
          </w:tcPr>
          <w:p>
            <w:pPr>
              <w:spacing w:line="400" w:lineRule="exact"/>
              <w:rPr>
                <w:rFonts w:ascii="宋体" w:hAnsi="宋体" w:cs="Arial"/>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vAlign w:val="center"/>
          </w:tcPr>
          <w:p>
            <w:pPr>
              <w:spacing w:line="400" w:lineRule="exact"/>
              <w:jc w:val="center"/>
              <w:rPr>
                <w:rFonts w:ascii="宋体" w:hAnsi="宋体" w:cs="Arial"/>
                <w:bCs/>
                <w:color w:val="000000"/>
                <w:sz w:val="22"/>
                <w:szCs w:val="22"/>
              </w:rPr>
            </w:pPr>
            <w:r>
              <w:rPr>
                <w:rFonts w:hint="eastAsia" w:ascii="宋体" w:hAnsi="宋体" w:cs="Arial"/>
                <w:bCs/>
                <w:color w:val="000000"/>
                <w:sz w:val="22"/>
                <w:szCs w:val="22"/>
              </w:rPr>
              <w:t>3</w:t>
            </w:r>
          </w:p>
        </w:tc>
        <w:tc>
          <w:tcPr>
            <w:tcW w:w="420" w:type="dxa"/>
            <w:vMerge w:val="continue"/>
            <w:vAlign w:val="center"/>
          </w:tcPr>
          <w:p>
            <w:pPr>
              <w:spacing w:line="400" w:lineRule="exact"/>
              <w:jc w:val="center"/>
              <w:rPr>
                <w:rFonts w:ascii="宋体" w:hAnsi="宋体" w:cs="Arial"/>
                <w:bCs/>
                <w:color w:val="000000"/>
                <w:sz w:val="22"/>
                <w:szCs w:val="22"/>
              </w:rPr>
            </w:pPr>
          </w:p>
        </w:tc>
        <w:tc>
          <w:tcPr>
            <w:tcW w:w="1123" w:type="dxa"/>
            <w:vAlign w:val="center"/>
          </w:tcPr>
          <w:p>
            <w:pPr>
              <w:spacing w:line="400" w:lineRule="exact"/>
              <w:jc w:val="center"/>
              <w:rPr>
                <w:rFonts w:ascii="宋体" w:hAnsi="宋体" w:cs="Arial"/>
                <w:bCs/>
                <w:color w:val="000000"/>
                <w:sz w:val="22"/>
                <w:szCs w:val="22"/>
              </w:rPr>
            </w:pPr>
            <w:r>
              <w:rPr>
                <w:rFonts w:hint="eastAsia" w:ascii="宋体" w:hAnsi="宋体" w:cs="Arial"/>
                <w:bCs/>
                <w:color w:val="000000"/>
                <w:sz w:val="22"/>
                <w:szCs w:val="22"/>
              </w:rPr>
              <w:t>保洁</w:t>
            </w:r>
          </w:p>
        </w:tc>
        <w:tc>
          <w:tcPr>
            <w:tcW w:w="6514" w:type="dxa"/>
          </w:tcPr>
          <w:p>
            <w:pPr>
              <w:spacing w:line="400" w:lineRule="exact"/>
              <w:rPr>
                <w:rFonts w:ascii="宋体" w:hAnsi="宋体" w:cs="Arial"/>
                <w:bCs/>
                <w:color w:val="000000"/>
                <w:sz w:val="22"/>
                <w:szCs w:val="22"/>
              </w:rPr>
            </w:pPr>
            <w:r>
              <w:rPr>
                <w:rFonts w:hint="eastAsia" w:ascii="宋体" w:hAnsi="宋体" w:cs="Arial"/>
                <w:bCs/>
                <w:color w:val="000000"/>
                <w:szCs w:val="21"/>
              </w:rPr>
              <w:t>采购人日常巡查，发现保洁不干净（一天按一次计算），每次扣500元（从当季支付金额中扣除）。</w:t>
            </w:r>
          </w:p>
        </w:tc>
        <w:tc>
          <w:tcPr>
            <w:tcW w:w="913" w:type="dxa"/>
          </w:tcPr>
          <w:p>
            <w:pPr>
              <w:spacing w:line="400" w:lineRule="exact"/>
              <w:rPr>
                <w:rFonts w:ascii="宋体" w:hAnsi="宋体" w:cs="Arial"/>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vAlign w:val="center"/>
          </w:tcPr>
          <w:p>
            <w:pPr>
              <w:spacing w:line="400" w:lineRule="exact"/>
              <w:jc w:val="center"/>
              <w:rPr>
                <w:rFonts w:ascii="宋体" w:hAnsi="宋体" w:cs="Arial"/>
                <w:bCs/>
                <w:color w:val="000000"/>
                <w:sz w:val="22"/>
                <w:szCs w:val="22"/>
              </w:rPr>
            </w:pPr>
            <w:r>
              <w:rPr>
                <w:rFonts w:hint="eastAsia" w:ascii="宋体" w:hAnsi="宋体" w:cs="Arial"/>
                <w:bCs/>
                <w:color w:val="000000"/>
                <w:sz w:val="22"/>
                <w:szCs w:val="22"/>
              </w:rPr>
              <w:t>4</w:t>
            </w:r>
          </w:p>
        </w:tc>
        <w:tc>
          <w:tcPr>
            <w:tcW w:w="420" w:type="dxa"/>
            <w:vMerge w:val="continue"/>
            <w:vAlign w:val="center"/>
          </w:tcPr>
          <w:p>
            <w:pPr>
              <w:spacing w:line="400" w:lineRule="exact"/>
              <w:jc w:val="center"/>
              <w:rPr>
                <w:rFonts w:ascii="宋体" w:hAnsi="宋体" w:cs="Arial"/>
                <w:bCs/>
                <w:color w:val="000000"/>
                <w:sz w:val="22"/>
                <w:szCs w:val="22"/>
              </w:rPr>
            </w:pPr>
          </w:p>
        </w:tc>
        <w:tc>
          <w:tcPr>
            <w:tcW w:w="1123" w:type="dxa"/>
            <w:vAlign w:val="center"/>
          </w:tcPr>
          <w:p>
            <w:pPr>
              <w:spacing w:line="400" w:lineRule="exact"/>
              <w:jc w:val="center"/>
              <w:rPr>
                <w:rFonts w:ascii="宋体" w:hAnsi="宋体" w:cs="Arial"/>
                <w:bCs/>
                <w:color w:val="000000"/>
                <w:sz w:val="22"/>
                <w:szCs w:val="22"/>
              </w:rPr>
            </w:pPr>
            <w:r>
              <w:rPr>
                <w:rFonts w:hint="eastAsia" w:ascii="宋体" w:hAnsi="宋体" w:cs="Arial"/>
                <w:bCs/>
                <w:color w:val="000000"/>
                <w:sz w:val="22"/>
                <w:szCs w:val="22"/>
              </w:rPr>
              <w:t>维修养护</w:t>
            </w:r>
          </w:p>
        </w:tc>
        <w:tc>
          <w:tcPr>
            <w:tcW w:w="6514" w:type="dxa"/>
          </w:tcPr>
          <w:p>
            <w:pPr>
              <w:spacing w:line="400" w:lineRule="exact"/>
              <w:rPr>
                <w:rFonts w:ascii="宋体" w:hAnsi="宋体" w:cs="Arial"/>
                <w:bCs/>
                <w:color w:val="000000"/>
                <w:sz w:val="22"/>
                <w:szCs w:val="22"/>
              </w:rPr>
            </w:pPr>
            <w:r>
              <w:rPr>
                <w:rFonts w:hint="eastAsia" w:ascii="宋体" w:hAnsi="宋体" w:cs="Arial"/>
                <w:bCs/>
                <w:color w:val="000000"/>
                <w:sz w:val="22"/>
                <w:szCs w:val="22"/>
              </w:rPr>
              <w:t>采购人通知供应商维修养护的（每天按一次计算），供应商未按要求进行养护的，每次扣500元（从当季支付金额中扣除）。</w:t>
            </w:r>
          </w:p>
        </w:tc>
        <w:tc>
          <w:tcPr>
            <w:tcW w:w="913" w:type="dxa"/>
          </w:tcPr>
          <w:p>
            <w:pPr>
              <w:spacing w:line="400" w:lineRule="exact"/>
              <w:rPr>
                <w:rFonts w:ascii="宋体" w:hAnsi="宋体" w:cs="Arial"/>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vAlign w:val="center"/>
          </w:tcPr>
          <w:p>
            <w:pPr>
              <w:spacing w:line="400" w:lineRule="exact"/>
              <w:jc w:val="center"/>
              <w:rPr>
                <w:rFonts w:ascii="宋体" w:hAnsi="宋体" w:cs="Arial"/>
                <w:bCs/>
                <w:color w:val="000000"/>
                <w:sz w:val="22"/>
                <w:szCs w:val="22"/>
              </w:rPr>
            </w:pPr>
            <w:r>
              <w:rPr>
                <w:rFonts w:hint="eastAsia" w:ascii="宋体" w:hAnsi="宋体" w:cs="Arial"/>
                <w:bCs/>
                <w:color w:val="000000"/>
                <w:sz w:val="22"/>
                <w:szCs w:val="22"/>
              </w:rPr>
              <w:t>5</w:t>
            </w:r>
          </w:p>
        </w:tc>
        <w:tc>
          <w:tcPr>
            <w:tcW w:w="420" w:type="dxa"/>
            <w:vMerge w:val="continue"/>
            <w:vAlign w:val="center"/>
          </w:tcPr>
          <w:p>
            <w:pPr>
              <w:spacing w:line="400" w:lineRule="exact"/>
              <w:jc w:val="center"/>
              <w:rPr>
                <w:rFonts w:ascii="宋体" w:hAnsi="宋体" w:cs="Arial"/>
                <w:bCs/>
                <w:color w:val="000000"/>
                <w:sz w:val="22"/>
                <w:szCs w:val="22"/>
              </w:rPr>
            </w:pPr>
          </w:p>
        </w:tc>
        <w:tc>
          <w:tcPr>
            <w:tcW w:w="1123" w:type="dxa"/>
            <w:vAlign w:val="center"/>
          </w:tcPr>
          <w:p>
            <w:pPr>
              <w:spacing w:line="400" w:lineRule="exact"/>
              <w:jc w:val="center"/>
              <w:rPr>
                <w:rFonts w:ascii="宋体" w:hAnsi="宋体" w:cs="Arial"/>
                <w:bCs/>
                <w:color w:val="000000"/>
                <w:sz w:val="22"/>
                <w:szCs w:val="22"/>
              </w:rPr>
            </w:pPr>
            <w:r>
              <w:rPr>
                <w:rFonts w:hint="eastAsia" w:ascii="宋体" w:hAnsi="宋体" w:cs="Arial"/>
                <w:bCs/>
                <w:color w:val="000000"/>
                <w:sz w:val="22"/>
                <w:szCs w:val="22"/>
              </w:rPr>
              <w:t>移动巡查</w:t>
            </w:r>
          </w:p>
        </w:tc>
        <w:tc>
          <w:tcPr>
            <w:tcW w:w="6514" w:type="dxa"/>
          </w:tcPr>
          <w:p>
            <w:pPr>
              <w:spacing w:line="400" w:lineRule="exact"/>
              <w:rPr>
                <w:rFonts w:ascii="宋体" w:hAnsi="宋体" w:cs="Arial"/>
                <w:bCs/>
                <w:color w:val="000000"/>
                <w:sz w:val="22"/>
                <w:szCs w:val="22"/>
              </w:rPr>
            </w:pPr>
            <w:r>
              <w:rPr>
                <w:rFonts w:hint="eastAsia" w:ascii="宋体" w:hAnsi="宋体" w:cs="Arial"/>
                <w:bCs/>
                <w:color w:val="000000"/>
                <w:sz w:val="22"/>
                <w:szCs w:val="22"/>
              </w:rPr>
              <w:t>移动巡查必须按运行管理平台要求进行巡查，未按规定要求巡查，每少1天扣3000元（从当季支付金额中扣除）。</w:t>
            </w:r>
          </w:p>
        </w:tc>
        <w:tc>
          <w:tcPr>
            <w:tcW w:w="913" w:type="dxa"/>
          </w:tcPr>
          <w:p>
            <w:pPr>
              <w:spacing w:line="400" w:lineRule="exact"/>
              <w:rPr>
                <w:rFonts w:ascii="宋体" w:hAnsi="宋体" w:cs="Arial"/>
                <w:bCs/>
                <w:color w:val="000000"/>
                <w:sz w:val="22"/>
                <w:szCs w:val="22"/>
              </w:rPr>
            </w:pPr>
          </w:p>
        </w:tc>
      </w:tr>
    </w:tbl>
    <w:p>
      <w:pPr>
        <w:spacing w:line="440" w:lineRule="exact"/>
        <w:rPr>
          <w:sz w:val="22"/>
          <w:szCs w:val="22"/>
        </w:rPr>
      </w:pPr>
      <w:r>
        <w:rPr>
          <w:rFonts w:hint="eastAsia"/>
          <w:sz w:val="22"/>
          <w:szCs w:val="22"/>
        </w:rPr>
        <w:t>注：如以上扣罚不足的，从履约保证金中扣除。</w:t>
      </w:r>
    </w:p>
    <w:p>
      <w:pPr>
        <w:spacing w:line="440" w:lineRule="exact"/>
        <w:rPr>
          <w:rFonts w:ascii="宋体" w:hAnsi="宋体"/>
          <w:b/>
          <w:color w:val="000000"/>
          <w:sz w:val="22"/>
          <w:szCs w:val="22"/>
        </w:rPr>
      </w:pPr>
      <w:r>
        <w:rPr>
          <w:rFonts w:hint="eastAsia" w:ascii="宋体" w:hAnsi="宋体"/>
          <w:b/>
          <w:color w:val="000000"/>
          <w:sz w:val="22"/>
          <w:szCs w:val="22"/>
        </w:rPr>
        <w:t>第十一条  合同组成</w:t>
      </w:r>
    </w:p>
    <w:p>
      <w:pPr>
        <w:spacing w:line="440" w:lineRule="exact"/>
        <w:ind w:firstLine="440" w:firstLineChars="200"/>
        <w:rPr>
          <w:rFonts w:ascii="宋体" w:hAnsi="宋体"/>
          <w:color w:val="000000"/>
          <w:sz w:val="22"/>
          <w:szCs w:val="22"/>
        </w:rPr>
      </w:pPr>
      <w:r>
        <w:rPr>
          <w:rFonts w:hint="eastAsia" w:ascii="宋体" w:hAnsi="宋体"/>
          <w:color w:val="000000"/>
          <w:sz w:val="22"/>
          <w:szCs w:val="22"/>
        </w:rPr>
        <w:t>承包合同由《招标文件》、《投标文件》及附件为本合同的有效组成部分。</w:t>
      </w:r>
    </w:p>
    <w:p>
      <w:pPr>
        <w:spacing w:line="440" w:lineRule="exact"/>
        <w:rPr>
          <w:rFonts w:ascii="宋体" w:hAnsi="宋体"/>
          <w:b/>
          <w:color w:val="000000"/>
          <w:sz w:val="22"/>
          <w:szCs w:val="22"/>
        </w:rPr>
      </w:pPr>
      <w:r>
        <w:rPr>
          <w:rFonts w:hint="eastAsia" w:ascii="宋体" w:hAnsi="宋体"/>
          <w:b/>
          <w:color w:val="000000"/>
          <w:sz w:val="22"/>
          <w:szCs w:val="22"/>
        </w:rPr>
        <w:t>第十二条  违约责任</w:t>
      </w:r>
    </w:p>
    <w:p>
      <w:pPr>
        <w:spacing w:line="440" w:lineRule="exact"/>
        <w:rPr>
          <w:rFonts w:ascii="宋体" w:hAnsi="宋体"/>
          <w:color w:val="000000"/>
          <w:sz w:val="22"/>
          <w:szCs w:val="22"/>
        </w:rPr>
      </w:pPr>
      <w:r>
        <w:rPr>
          <w:rFonts w:hint="eastAsia" w:ascii="宋体" w:hAnsi="宋体"/>
          <w:color w:val="000000"/>
          <w:sz w:val="22"/>
          <w:szCs w:val="22"/>
        </w:rPr>
        <w:t>（一）供应商违反采购人具体要求及《招标文件》规定的行为均属违约行为。采购人根据上述规定条款，视供应商违反规定的情节轻重，做出批评教育、警告、扣罚处理，情节严重者，采购人有权单方终止本合同，由供应商承担一切经济损失和法律责任。因供应商违约造成采购人损失的，采购人从供应商缴纳的履约保证金中扣除。</w:t>
      </w:r>
    </w:p>
    <w:p>
      <w:pPr>
        <w:spacing w:line="440" w:lineRule="exact"/>
        <w:rPr>
          <w:rFonts w:ascii="宋体" w:hAnsi="宋体"/>
          <w:color w:val="000000"/>
          <w:sz w:val="22"/>
          <w:szCs w:val="22"/>
        </w:rPr>
      </w:pPr>
      <w:r>
        <w:rPr>
          <w:rFonts w:hint="eastAsia" w:ascii="宋体" w:hAnsi="宋体"/>
          <w:color w:val="000000"/>
          <w:sz w:val="22"/>
          <w:szCs w:val="22"/>
        </w:rPr>
        <w:t>（二）供应商因机械、工具或技术、劳动等跟不上管理需要影响采购人工作，在警告2次后供应商没进行整改的，采购人有权单方终止本合同。</w:t>
      </w:r>
    </w:p>
    <w:p>
      <w:pPr>
        <w:spacing w:line="440" w:lineRule="exact"/>
        <w:rPr>
          <w:rFonts w:ascii="宋体" w:hAnsi="宋体"/>
          <w:b/>
          <w:color w:val="000000"/>
          <w:sz w:val="22"/>
          <w:szCs w:val="22"/>
        </w:rPr>
      </w:pPr>
      <w:r>
        <w:rPr>
          <w:rFonts w:hint="eastAsia" w:ascii="宋体" w:hAnsi="宋体"/>
          <w:b/>
          <w:color w:val="000000"/>
          <w:sz w:val="22"/>
          <w:szCs w:val="22"/>
        </w:rPr>
        <w:t>第十三条  验收移交</w:t>
      </w:r>
    </w:p>
    <w:p>
      <w:pPr>
        <w:spacing w:line="440" w:lineRule="exact"/>
        <w:rPr>
          <w:rFonts w:ascii="宋体" w:hAnsi="宋体"/>
          <w:color w:val="000000"/>
          <w:sz w:val="22"/>
          <w:szCs w:val="22"/>
        </w:rPr>
      </w:pPr>
      <w:r>
        <w:rPr>
          <w:rFonts w:hint="eastAsia" w:ascii="宋体" w:hAnsi="宋体"/>
          <w:color w:val="000000"/>
          <w:sz w:val="22"/>
          <w:szCs w:val="22"/>
        </w:rPr>
        <w:t>（一）在合同终止前十个工作日内，由供应商书面向采购人提出移交验收申请。</w:t>
      </w:r>
    </w:p>
    <w:p>
      <w:pPr>
        <w:spacing w:line="420" w:lineRule="exact"/>
        <w:rPr>
          <w:rFonts w:ascii="宋体" w:hAnsi="宋体"/>
          <w:color w:val="000000"/>
          <w:sz w:val="22"/>
          <w:szCs w:val="22"/>
        </w:rPr>
      </w:pPr>
      <w:r>
        <w:rPr>
          <w:rFonts w:hint="eastAsia" w:ascii="宋体" w:hAnsi="宋体"/>
          <w:color w:val="000000"/>
          <w:sz w:val="22"/>
          <w:szCs w:val="22"/>
        </w:rPr>
        <w:t>（二）合同期满，供应商必须将保洁管理业务及时移交采购人。未经采购人许可，合同期满，供应商超期移交给采购人的，将全额扣除履约保证金。</w:t>
      </w:r>
    </w:p>
    <w:p>
      <w:pPr>
        <w:spacing w:line="420" w:lineRule="exact"/>
        <w:rPr>
          <w:rFonts w:ascii="宋体" w:hAnsi="宋体"/>
          <w:color w:val="FF0000"/>
          <w:sz w:val="22"/>
          <w:szCs w:val="22"/>
        </w:rPr>
      </w:pPr>
      <w:r>
        <w:rPr>
          <w:rFonts w:hint="eastAsia" w:ascii="宋体" w:hAnsi="宋体"/>
          <w:color w:val="000000"/>
          <w:sz w:val="22"/>
          <w:szCs w:val="22"/>
        </w:rPr>
        <w:t>（三）合同期满，但经采购人验收不合格需整改，（因整改而超出的服务期，采购人不承担费用）直至整改完成并通过采购人验收后，采购人支付合同剩余款项，无息退还履约保证金。</w:t>
      </w:r>
    </w:p>
    <w:p>
      <w:pPr>
        <w:spacing w:line="420" w:lineRule="exact"/>
        <w:rPr>
          <w:rFonts w:ascii="宋体" w:hAnsi="宋体"/>
          <w:b/>
          <w:color w:val="000000"/>
          <w:sz w:val="22"/>
          <w:szCs w:val="22"/>
        </w:rPr>
      </w:pPr>
      <w:r>
        <w:rPr>
          <w:rFonts w:hint="eastAsia" w:ascii="宋体" w:hAnsi="宋体"/>
          <w:b/>
          <w:color w:val="000000"/>
          <w:sz w:val="22"/>
          <w:szCs w:val="22"/>
        </w:rPr>
        <w:t>第十四条  争议的解决</w:t>
      </w:r>
    </w:p>
    <w:p>
      <w:pPr>
        <w:spacing w:line="420" w:lineRule="exact"/>
        <w:ind w:firstLine="440" w:firstLineChars="200"/>
        <w:rPr>
          <w:rFonts w:ascii="宋体" w:hAnsi="宋体"/>
          <w:color w:val="000000"/>
          <w:sz w:val="22"/>
          <w:szCs w:val="22"/>
        </w:rPr>
      </w:pPr>
      <w:r>
        <w:rPr>
          <w:rFonts w:hint="eastAsia" w:ascii="宋体" w:hAnsi="宋体"/>
          <w:color w:val="000000"/>
          <w:sz w:val="22"/>
          <w:szCs w:val="22"/>
        </w:rPr>
        <w:t>合同未尽事宜，应双方友好协调解决。协商不一致，任何一方均可提起仲裁或诉讼，仲裁或诉讼按合同履行地原则。</w:t>
      </w:r>
    </w:p>
    <w:p>
      <w:pPr>
        <w:spacing w:line="420" w:lineRule="exact"/>
        <w:rPr>
          <w:rFonts w:ascii="宋体" w:hAnsi="宋体"/>
          <w:b/>
          <w:color w:val="000000"/>
          <w:sz w:val="22"/>
          <w:szCs w:val="22"/>
        </w:rPr>
      </w:pPr>
      <w:r>
        <w:rPr>
          <w:rFonts w:hint="eastAsia" w:ascii="宋体" w:hAnsi="宋体"/>
          <w:b/>
          <w:color w:val="000000"/>
          <w:sz w:val="22"/>
          <w:szCs w:val="22"/>
        </w:rPr>
        <w:t>第十五条  合同生效及终止</w:t>
      </w:r>
    </w:p>
    <w:p>
      <w:pPr>
        <w:spacing w:line="420" w:lineRule="exact"/>
        <w:rPr>
          <w:rFonts w:ascii="宋体" w:hAnsi="宋体"/>
          <w:color w:val="000000"/>
          <w:sz w:val="22"/>
          <w:szCs w:val="22"/>
        </w:rPr>
      </w:pPr>
      <w:r>
        <w:rPr>
          <w:rFonts w:hint="eastAsia" w:ascii="宋体" w:hAnsi="宋体"/>
          <w:color w:val="000000"/>
          <w:sz w:val="22"/>
          <w:szCs w:val="22"/>
        </w:rPr>
        <w:t>（一）合同生效：本合同自甲乙双方法定代表人或代表人签字、盖章之日起生效。</w:t>
      </w:r>
    </w:p>
    <w:p>
      <w:pPr>
        <w:spacing w:line="420" w:lineRule="exact"/>
        <w:rPr>
          <w:rFonts w:ascii="宋体" w:hAnsi="宋体"/>
          <w:color w:val="000000"/>
          <w:sz w:val="22"/>
          <w:szCs w:val="22"/>
        </w:rPr>
      </w:pPr>
      <w:r>
        <w:rPr>
          <w:rFonts w:hint="eastAsia" w:ascii="宋体" w:hAnsi="宋体"/>
          <w:color w:val="000000"/>
          <w:sz w:val="22"/>
          <w:szCs w:val="22"/>
        </w:rPr>
        <w:t>（二）合同终止：本合同出现以下情况时终止。</w:t>
      </w:r>
    </w:p>
    <w:p>
      <w:pPr>
        <w:spacing w:line="420" w:lineRule="exact"/>
        <w:rPr>
          <w:rFonts w:ascii="宋体" w:hAnsi="宋体"/>
          <w:color w:val="000000"/>
          <w:sz w:val="22"/>
          <w:szCs w:val="22"/>
        </w:rPr>
      </w:pPr>
      <w:r>
        <w:rPr>
          <w:rFonts w:hint="eastAsia" w:ascii="宋体" w:hAnsi="宋体"/>
          <w:color w:val="000000"/>
          <w:sz w:val="22"/>
          <w:szCs w:val="22"/>
        </w:rPr>
        <w:t>1、期限届满时并经采购人验收合格后自行终止。</w:t>
      </w:r>
    </w:p>
    <w:p>
      <w:pPr>
        <w:spacing w:line="420" w:lineRule="exact"/>
        <w:rPr>
          <w:rFonts w:ascii="宋体" w:hAnsi="宋体"/>
          <w:color w:val="000000"/>
          <w:sz w:val="22"/>
          <w:szCs w:val="22"/>
        </w:rPr>
      </w:pPr>
      <w:r>
        <w:rPr>
          <w:rFonts w:hint="eastAsia" w:ascii="宋体" w:hAnsi="宋体"/>
          <w:color w:val="000000"/>
          <w:sz w:val="22"/>
          <w:szCs w:val="22"/>
        </w:rPr>
        <w:t>2、有以下行为之一的：</w:t>
      </w:r>
    </w:p>
    <w:p>
      <w:pPr>
        <w:spacing w:line="420" w:lineRule="exact"/>
        <w:rPr>
          <w:rFonts w:ascii="宋体" w:hAnsi="宋体"/>
          <w:color w:val="000000"/>
          <w:sz w:val="22"/>
          <w:szCs w:val="22"/>
        </w:rPr>
      </w:pPr>
      <w:r>
        <w:rPr>
          <w:rFonts w:hint="eastAsia" w:ascii="宋体" w:hAnsi="宋体"/>
          <w:color w:val="000000"/>
          <w:sz w:val="22"/>
          <w:szCs w:val="22"/>
        </w:rPr>
        <w:t>（1）违反管理规定，造成重大伤亡或重大损失。</w:t>
      </w:r>
    </w:p>
    <w:p>
      <w:pPr>
        <w:spacing w:line="420" w:lineRule="exact"/>
        <w:rPr>
          <w:rFonts w:ascii="宋体" w:hAnsi="宋体"/>
          <w:color w:val="000000"/>
          <w:sz w:val="22"/>
          <w:szCs w:val="22"/>
        </w:rPr>
      </w:pPr>
      <w:r>
        <w:rPr>
          <w:rFonts w:hint="eastAsia" w:ascii="宋体" w:hAnsi="宋体"/>
          <w:color w:val="000000"/>
          <w:sz w:val="22"/>
          <w:szCs w:val="22"/>
        </w:rPr>
        <w:t>（2）因管理不善造成恶劣影响。</w:t>
      </w:r>
    </w:p>
    <w:p>
      <w:pPr>
        <w:spacing w:line="420" w:lineRule="exact"/>
        <w:rPr>
          <w:rFonts w:ascii="宋体" w:hAnsi="宋体"/>
          <w:color w:val="000000"/>
          <w:sz w:val="22"/>
          <w:szCs w:val="22"/>
        </w:rPr>
      </w:pPr>
      <w:r>
        <w:rPr>
          <w:rFonts w:hint="eastAsia" w:ascii="宋体" w:hAnsi="宋体"/>
          <w:color w:val="000000"/>
          <w:sz w:val="22"/>
          <w:szCs w:val="22"/>
        </w:rPr>
        <w:t>（3）擅自将合同转包给第三者。</w:t>
      </w:r>
    </w:p>
    <w:p>
      <w:pPr>
        <w:spacing w:line="420" w:lineRule="exact"/>
        <w:rPr>
          <w:rFonts w:ascii="宋体" w:hAnsi="宋体"/>
          <w:color w:val="000000"/>
          <w:sz w:val="22"/>
          <w:szCs w:val="22"/>
        </w:rPr>
      </w:pPr>
      <w:r>
        <w:rPr>
          <w:rFonts w:hint="eastAsia" w:ascii="宋体" w:hAnsi="宋体"/>
          <w:color w:val="000000"/>
          <w:sz w:val="22"/>
          <w:szCs w:val="22"/>
        </w:rPr>
        <w:t>（4）违反劳动法或其他相关法律法规，造成恶劣影响。</w:t>
      </w:r>
    </w:p>
    <w:p>
      <w:pPr>
        <w:spacing w:line="420" w:lineRule="exact"/>
        <w:rPr>
          <w:rFonts w:ascii="宋体" w:hAnsi="宋体"/>
          <w:color w:val="000000"/>
          <w:sz w:val="22"/>
          <w:szCs w:val="22"/>
        </w:rPr>
      </w:pPr>
      <w:r>
        <w:rPr>
          <w:rFonts w:hint="eastAsia" w:ascii="宋体" w:hAnsi="宋体"/>
          <w:color w:val="000000"/>
          <w:sz w:val="22"/>
          <w:szCs w:val="22"/>
        </w:rPr>
        <w:t>（5）弄虚作假及其他不正当行为。</w:t>
      </w:r>
    </w:p>
    <w:p>
      <w:pPr>
        <w:spacing w:line="420" w:lineRule="exact"/>
        <w:rPr>
          <w:rFonts w:ascii="宋体" w:hAnsi="宋体"/>
          <w:color w:val="000000"/>
          <w:sz w:val="22"/>
          <w:szCs w:val="22"/>
        </w:rPr>
      </w:pPr>
      <w:r>
        <w:rPr>
          <w:rFonts w:hint="eastAsia" w:ascii="宋体" w:hAnsi="宋体"/>
          <w:color w:val="000000"/>
          <w:sz w:val="22"/>
          <w:szCs w:val="22"/>
        </w:rPr>
        <w:t>3、法律规定的终止事由。</w:t>
      </w:r>
    </w:p>
    <w:p>
      <w:pPr>
        <w:spacing w:line="420" w:lineRule="exact"/>
        <w:rPr>
          <w:rFonts w:ascii="宋体" w:hAnsi="宋体"/>
          <w:b/>
          <w:color w:val="000000"/>
          <w:sz w:val="22"/>
          <w:szCs w:val="22"/>
        </w:rPr>
      </w:pPr>
      <w:r>
        <w:rPr>
          <w:rFonts w:hint="eastAsia" w:ascii="宋体" w:hAnsi="宋体"/>
          <w:b/>
          <w:color w:val="000000"/>
          <w:sz w:val="22"/>
          <w:szCs w:val="22"/>
        </w:rPr>
        <w:t>第十六条  合同的解释</w:t>
      </w:r>
    </w:p>
    <w:p>
      <w:pPr>
        <w:spacing w:line="420" w:lineRule="exact"/>
        <w:rPr>
          <w:rFonts w:ascii="宋体" w:hAnsi="宋体"/>
          <w:color w:val="000000"/>
          <w:sz w:val="22"/>
          <w:szCs w:val="22"/>
        </w:rPr>
      </w:pPr>
      <w:r>
        <w:rPr>
          <w:rFonts w:hint="eastAsia" w:ascii="宋体" w:hAnsi="宋体"/>
          <w:color w:val="000000"/>
          <w:sz w:val="22"/>
          <w:szCs w:val="22"/>
        </w:rPr>
        <w:t xml:space="preserve">本合同的解释权在龙港市农业农村局。         </w:t>
      </w:r>
    </w:p>
    <w:p>
      <w:pPr>
        <w:spacing w:line="420" w:lineRule="exact"/>
        <w:rPr>
          <w:rFonts w:ascii="宋体" w:hAnsi="宋体"/>
          <w:b/>
          <w:color w:val="000000"/>
          <w:sz w:val="22"/>
          <w:szCs w:val="22"/>
        </w:rPr>
      </w:pPr>
      <w:r>
        <w:rPr>
          <w:rFonts w:hint="eastAsia" w:ascii="宋体" w:hAnsi="宋体"/>
          <w:b/>
          <w:color w:val="000000"/>
          <w:sz w:val="22"/>
          <w:szCs w:val="22"/>
        </w:rPr>
        <w:t>第十七条  合同的份数</w:t>
      </w:r>
    </w:p>
    <w:p>
      <w:pPr>
        <w:spacing w:line="420" w:lineRule="exact"/>
        <w:rPr>
          <w:rFonts w:ascii="宋体" w:hAnsi="宋体"/>
          <w:color w:val="000000"/>
          <w:sz w:val="22"/>
          <w:szCs w:val="22"/>
        </w:rPr>
      </w:pPr>
      <w:r>
        <w:rPr>
          <w:rFonts w:hint="eastAsia" w:ascii="宋体" w:hAnsi="宋体"/>
          <w:color w:val="000000"/>
          <w:sz w:val="22"/>
          <w:szCs w:val="22"/>
        </w:rPr>
        <w:t>1、本合同一式七份（双方各执二份，代理公司一份，财政政府采购办一份，苍南县公共资源交易中心一份），具有同等法律效力，自双方签字盖章后生效。</w:t>
      </w:r>
    </w:p>
    <w:p>
      <w:pPr>
        <w:spacing w:line="420" w:lineRule="exact"/>
        <w:rPr>
          <w:rFonts w:ascii="宋体" w:hAnsi="宋体"/>
          <w:color w:val="000000"/>
          <w:sz w:val="22"/>
          <w:szCs w:val="22"/>
        </w:rPr>
      </w:pPr>
      <w:r>
        <w:rPr>
          <w:rFonts w:hint="eastAsia" w:ascii="宋体" w:hAnsi="宋体"/>
          <w:bCs/>
          <w:color w:val="000000"/>
          <w:sz w:val="22"/>
          <w:szCs w:val="22"/>
        </w:rPr>
        <w:t>2、</w:t>
      </w:r>
      <w:r>
        <w:rPr>
          <w:rFonts w:hint="eastAsia" w:ascii="宋体" w:hAnsi="宋体"/>
          <w:color w:val="000000"/>
          <w:sz w:val="22"/>
          <w:szCs w:val="22"/>
        </w:rPr>
        <w:t>如需修改或补充合同内容，经协商，双方应签署书面修改或补充协议，该协议将作为本合同的一个组成部分。</w:t>
      </w:r>
    </w:p>
    <w:p>
      <w:pPr>
        <w:spacing w:line="420" w:lineRule="exact"/>
        <w:ind w:firstLine="660" w:firstLineChars="300"/>
        <w:rPr>
          <w:rFonts w:ascii="宋体" w:hAnsi="宋体"/>
          <w:color w:val="000000"/>
          <w:sz w:val="22"/>
          <w:szCs w:val="22"/>
        </w:rPr>
      </w:pPr>
      <w:r>
        <w:rPr>
          <w:rFonts w:hint="eastAsia" w:ascii="宋体" w:hAnsi="宋体"/>
          <w:color w:val="000000"/>
          <w:sz w:val="22"/>
          <w:szCs w:val="22"/>
        </w:rPr>
        <w:t>甲    方：（印章）                    乙    方：（印章）</w:t>
      </w:r>
    </w:p>
    <w:p>
      <w:pPr>
        <w:spacing w:line="420" w:lineRule="exact"/>
        <w:rPr>
          <w:rFonts w:ascii="宋体" w:hAnsi="宋体"/>
          <w:color w:val="000000"/>
          <w:sz w:val="22"/>
          <w:szCs w:val="22"/>
        </w:rPr>
      </w:pPr>
      <w:r>
        <w:rPr>
          <w:rFonts w:hint="eastAsia" w:ascii="宋体" w:hAnsi="宋体"/>
          <w:color w:val="000000"/>
          <w:sz w:val="22"/>
          <w:szCs w:val="22"/>
        </w:rPr>
        <w:t xml:space="preserve">      全权代表：（签字）                    全权代表：（签字）</w:t>
      </w:r>
    </w:p>
    <w:p>
      <w:pPr>
        <w:spacing w:line="420" w:lineRule="exact"/>
        <w:ind w:firstLine="660" w:firstLineChars="300"/>
        <w:rPr>
          <w:rFonts w:ascii="宋体" w:hAnsi="宋体"/>
          <w:color w:val="000000"/>
          <w:sz w:val="22"/>
          <w:szCs w:val="22"/>
        </w:rPr>
      </w:pPr>
      <w:r>
        <w:rPr>
          <w:rFonts w:hint="eastAsia" w:ascii="宋体" w:hAnsi="宋体"/>
          <w:color w:val="000000"/>
          <w:sz w:val="22"/>
          <w:szCs w:val="22"/>
        </w:rPr>
        <w:t>地    址：                           地    址：</w:t>
      </w:r>
    </w:p>
    <w:p>
      <w:pPr>
        <w:spacing w:line="420" w:lineRule="exact"/>
        <w:ind w:firstLine="660" w:firstLineChars="300"/>
        <w:rPr>
          <w:rFonts w:ascii="宋体" w:hAnsi="宋体"/>
          <w:color w:val="000000"/>
          <w:sz w:val="22"/>
          <w:szCs w:val="22"/>
        </w:rPr>
      </w:pPr>
      <w:r>
        <w:rPr>
          <w:rFonts w:hint="eastAsia" w:ascii="宋体" w:hAnsi="宋体"/>
          <w:color w:val="000000"/>
          <w:sz w:val="22"/>
          <w:szCs w:val="22"/>
        </w:rPr>
        <w:t>邮政编码：                           邮政编码：</w:t>
      </w:r>
    </w:p>
    <w:p>
      <w:pPr>
        <w:spacing w:line="420" w:lineRule="exact"/>
        <w:ind w:firstLine="660" w:firstLineChars="300"/>
        <w:rPr>
          <w:rFonts w:ascii="宋体" w:hAnsi="宋体"/>
          <w:color w:val="000000"/>
          <w:sz w:val="22"/>
          <w:szCs w:val="22"/>
        </w:rPr>
      </w:pPr>
      <w:r>
        <w:rPr>
          <w:rFonts w:hint="eastAsia" w:ascii="宋体" w:hAnsi="宋体"/>
          <w:color w:val="000000"/>
          <w:sz w:val="22"/>
          <w:szCs w:val="22"/>
        </w:rPr>
        <w:t>电    话：                           电    话：</w:t>
      </w:r>
    </w:p>
    <w:p>
      <w:pPr>
        <w:spacing w:line="420" w:lineRule="exact"/>
        <w:ind w:firstLine="660" w:firstLineChars="300"/>
        <w:rPr>
          <w:rFonts w:ascii="宋体" w:hAnsi="宋体"/>
          <w:color w:val="000000"/>
          <w:sz w:val="22"/>
          <w:szCs w:val="22"/>
        </w:rPr>
      </w:pPr>
      <w:r>
        <w:rPr>
          <w:rFonts w:hint="eastAsia" w:ascii="宋体" w:hAnsi="宋体"/>
          <w:color w:val="000000"/>
          <w:sz w:val="22"/>
          <w:szCs w:val="22"/>
        </w:rPr>
        <w:t>传    真：                           传    真：</w:t>
      </w:r>
    </w:p>
    <w:p>
      <w:pPr>
        <w:spacing w:line="420" w:lineRule="exact"/>
        <w:ind w:firstLine="660" w:firstLineChars="300"/>
        <w:rPr>
          <w:rFonts w:ascii="宋体" w:hAnsi="宋体"/>
          <w:color w:val="000000"/>
          <w:sz w:val="22"/>
          <w:szCs w:val="22"/>
        </w:rPr>
      </w:pPr>
      <w:r>
        <w:rPr>
          <w:rFonts w:hint="eastAsia" w:ascii="宋体" w:hAnsi="宋体"/>
          <w:color w:val="000000"/>
          <w:sz w:val="22"/>
          <w:szCs w:val="22"/>
        </w:rPr>
        <w:t>开户银行：                           开户银行：</w:t>
      </w:r>
    </w:p>
    <w:p>
      <w:pPr>
        <w:widowControl/>
        <w:spacing w:line="420" w:lineRule="exact"/>
        <w:ind w:firstLine="660" w:firstLineChars="300"/>
      </w:pPr>
      <w:r>
        <w:rPr>
          <w:rFonts w:hint="eastAsia" w:ascii="宋体" w:hAnsi="宋体"/>
          <w:color w:val="000000"/>
          <w:sz w:val="22"/>
          <w:szCs w:val="22"/>
        </w:rPr>
        <w:t>帐    号：                           帐    号：</w:t>
      </w:r>
    </w:p>
    <w:p/>
    <w:p/>
    <w:p/>
    <w:p>
      <w:pPr>
        <w:rPr>
          <w:rFonts w:ascii="宋体" w:hAnsi="宋体" w:cs="宋体"/>
          <w:kern w:val="0"/>
          <w:sz w:val="22"/>
          <w:szCs w:val="22"/>
        </w:rPr>
      </w:pPr>
    </w:p>
    <w:p>
      <w:pPr>
        <w:rPr>
          <w:rFonts w:ascii="宋体" w:hAnsi="宋体" w:cs="宋体"/>
          <w:kern w:val="0"/>
          <w:sz w:val="22"/>
          <w:szCs w:val="22"/>
        </w:rPr>
      </w:pPr>
    </w:p>
    <w:p>
      <w:pPr>
        <w:rPr>
          <w:rFonts w:ascii="宋体" w:hAnsi="宋体" w:cs="宋体"/>
          <w:kern w:val="0"/>
          <w:sz w:val="22"/>
          <w:szCs w:val="22"/>
        </w:rPr>
      </w:pPr>
    </w:p>
    <w:p>
      <w:pPr>
        <w:ind w:firstLine="1010" w:firstLineChars="481"/>
      </w:pPr>
    </w:p>
    <w:p/>
    <w:p>
      <w:r>
        <w:rPr>
          <w:rFonts w:hint="eastAsia"/>
        </w:rPr>
        <w:br w:type="page"/>
      </w:r>
    </w:p>
    <w:p>
      <w:pPr>
        <w:spacing w:line="360" w:lineRule="auto"/>
        <w:ind w:right="560"/>
        <w:jc w:val="center"/>
        <w:rPr>
          <w:rFonts w:ascii="宋体" w:hAnsi="宋体" w:cs="宋体"/>
          <w:bCs/>
          <w:sz w:val="22"/>
          <w:szCs w:val="22"/>
        </w:rPr>
      </w:pPr>
      <w:r>
        <w:rPr>
          <w:rFonts w:hint="eastAsia" w:ascii="宋体" w:hAnsi="宋体" w:cs="宋体"/>
          <w:bCs/>
          <w:sz w:val="22"/>
          <w:szCs w:val="22"/>
        </w:rPr>
        <w:t>服务安全生产责任书</w:t>
      </w:r>
    </w:p>
    <w:p>
      <w:pPr>
        <w:spacing w:line="360" w:lineRule="auto"/>
        <w:ind w:right="560" w:firstLine="418" w:firstLineChars="190"/>
        <w:rPr>
          <w:rFonts w:ascii="宋体" w:hAnsi="宋体" w:cs="宋体"/>
          <w:bCs/>
          <w:sz w:val="22"/>
          <w:szCs w:val="22"/>
        </w:rPr>
      </w:pPr>
      <w:r>
        <w:rPr>
          <w:rFonts w:hint="eastAsia" w:ascii="宋体" w:hAnsi="宋体" w:cs="宋体"/>
          <w:bCs/>
          <w:sz w:val="22"/>
          <w:szCs w:val="22"/>
        </w:rPr>
        <w:t xml:space="preserve">甲方： </w:t>
      </w:r>
    </w:p>
    <w:p>
      <w:pPr>
        <w:spacing w:line="360" w:lineRule="auto"/>
        <w:ind w:right="560" w:firstLine="418" w:firstLineChars="190"/>
        <w:rPr>
          <w:rFonts w:ascii="宋体" w:hAnsi="宋体" w:cs="宋体"/>
          <w:bCs/>
          <w:sz w:val="22"/>
          <w:szCs w:val="22"/>
        </w:rPr>
      </w:pPr>
      <w:r>
        <w:rPr>
          <w:rFonts w:hint="eastAsia" w:ascii="宋体" w:hAnsi="宋体" w:cs="宋体"/>
          <w:bCs/>
          <w:sz w:val="22"/>
          <w:szCs w:val="22"/>
        </w:rPr>
        <w:t>乙方：</w:t>
      </w:r>
    </w:p>
    <w:p>
      <w:pPr>
        <w:spacing w:line="360" w:lineRule="auto"/>
        <w:ind w:firstLine="420" w:firstLineChars="190"/>
        <w:rPr>
          <w:rFonts w:ascii="宋体" w:hAnsi="宋体" w:cs="宋体"/>
          <w:b/>
          <w:sz w:val="22"/>
          <w:szCs w:val="22"/>
        </w:rPr>
      </w:pPr>
      <w:r>
        <w:rPr>
          <w:rFonts w:hint="eastAsia" w:ascii="宋体" w:hAnsi="宋体" w:cs="宋体"/>
          <w:b/>
          <w:sz w:val="22"/>
          <w:szCs w:val="22"/>
        </w:rPr>
        <w:t>项目名称：</w:t>
      </w:r>
    </w:p>
    <w:p>
      <w:pPr>
        <w:widowControl/>
        <w:spacing w:line="500" w:lineRule="exact"/>
        <w:ind w:firstLine="570"/>
        <w:rPr>
          <w:rFonts w:ascii="宋体" w:hAnsi="宋体" w:cs="宋体"/>
          <w:sz w:val="22"/>
          <w:szCs w:val="22"/>
        </w:rPr>
      </w:pPr>
      <w:r>
        <w:rPr>
          <w:rFonts w:hint="eastAsia" w:ascii="宋体" w:hAnsi="宋体" w:cs="宋体"/>
          <w:sz w:val="22"/>
          <w:szCs w:val="22"/>
        </w:rPr>
        <w:t>为确保本项目服务工作的顺利进行，贯彻“以人为本、安全第一、预防为主、综合治理”的方针，根据《中华人民共和国建筑法》、《中华人民共和国安全生产法》、《建设工程安全生产管理条例》的相关规定，甲乙双方签订本安全生产责任书。</w:t>
      </w:r>
    </w:p>
    <w:p>
      <w:pPr>
        <w:widowControl/>
        <w:spacing w:line="500" w:lineRule="exact"/>
        <w:ind w:left="570"/>
        <w:rPr>
          <w:rFonts w:ascii="宋体" w:hAnsi="宋体" w:cs="宋体"/>
          <w:sz w:val="22"/>
          <w:szCs w:val="22"/>
        </w:rPr>
      </w:pPr>
      <w:r>
        <w:rPr>
          <w:rFonts w:hint="eastAsia" w:ascii="宋体" w:hAnsi="宋体" w:cs="宋体"/>
          <w:sz w:val="22"/>
          <w:szCs w:val="22"/>
        </w:rPr>
        <w:t>一、安全生产目标</w:t>
      </w:r>
    </w:p>
    <w:p>
      <w:pPr>
        <w:widowControl/>
        <w:spacing w:line="500" w:lineRule="exact"/>
        <w:rPr>
          <w:rFonts w:ascii="宋体" w:hAnsi="宋体" w:cs="宋体"/>
          <w:sz w:val="22"/>
          <w:szCs w:val="22"/>
        </w:rPr>
      </w:pPr>
      <w:r>
        <w:rPr>
          <w:rFonts w:hint="eastAsia" w:ascii="宋体" w:hAnsi="宋体" w:cs="宋体"/>
          <w:sz w:val="22"/>
          <w:szCs w:val="22"/>
        </w:rPr>
        <w:t xml:space="preserve">    全面加强安全生产工作，确保服务过程中零事故、零损失、零投诉的目标。</w:t>
      </w:r>
    </w:p>
    <w:p>
      <w:pPr>
        <w:widowControl/>
        <w:spacing w:line="500" w:lineRule="exact"/>
        <w:ind w:firstLine="570"/>
        <w:rPr>
          <w:rFonts w:ascii="宋体" w:hAnsi="宋体" w:cs="宋体"/>
          <w:sz w:val="22"/>
          <w:szCs w:val="22"/>
        </w:rPr>
      </w:pPr>
      <w:r>
        <w:rPr>
          <w:rFonts w:hint="eastAsia" w:ascii="宋体" w:hAnsi="宋体" w:cs="宋体"/>
          <w:sz w:val="22"/>
          <w:szCs w:val="22"/>
        </w:rPr>
        <w:t>二、责任内容</w:t>
      </w:r>
    </w:p>
    <w:p>
      <w:pPr>
        <w:widowControl/>
        <w:spacing w:line="500" w:lineRule="exact"/>
        <w:ind w:firstLine="570"/>
        <w:rPr>
          <w:rFonts w:ascii="宋体" w:hAnsi="宋体" w:cs="宋体"/>
          <w:sz w:val="22"/>
          <w:szCs w:val="22"/>
        </w:rPr>
      </w:pPr>
      <w:r>
        <w:rPr>
          <w:rFonts w:hint="eastAsia" w:ascii="宋体" w:hAnsi="宋体" w:cs="宋体"/>
          <w:sz w:val="22"/>
          <w:szCs w:val="22"/>
        </w:rPr>
        <w:t>1、乙方应认真学习并执行《安全生产法》、《安全生产管理条例》，严格遵守服务安全技术规程和各项安全生产规章制度；服务运输车辆和驾驶员严格遵守《道路交通安全法》的相关规定，做到遵守交规、文明行车。</w:t>
      </w:r>
    </w:p>
    <w:p>
      <w:pPr>
        <w:widowControl/>
        <w:spacing w:line="500" w:lineRule="exact"/>
        <w:ind w:firstLine="570"/>
        <w:rPr>
          <w:rFonts w:ascii="宋体" w:hAnsi="宋体" w:cs="宋体"/>
          <w:sz w:val="22"/>
          <w:szCs w:val="22"/>
        </w:rPr>
      </w:pPr>
      <w:r>
        <w:rPr>
          <w:rFonts w:hint="eastAsia" w:ascii="宋体" w:hAnsi="宋体" w:cs="宋体"/>
          <w:sz w:val="22"/>
          <w:szCs w:val="22"/>
        </w:rPr>
        <w:t>2、乙方应定期、不定期的开展安全生产检查工作，密切注意项目服务区域内存在的安全隐患，并做好检查记录和安全整改记录并及时上报。</w:t>
      </w:r>
    </w:p>
    <w:p>
      <w:pPr>
        <w:widowControl/>
        <w:spacing w:line="500" w:lineRule="exact"/>
        <w:ind w:firstLine="570"/>
        <w:rPr>
          <w:rFonts w:ascii="宋体" w:hAnsi="宋体" w:cs="宋体"/>
          <w:sz w:val="22"/>
          <w:szCs w:val="22"/>
        </w:rPr>
      </w:pPr>
      <w:r>
        <w:rPr>
          <w:rFonts w:hint="eastAsia" w:ascii="宋体" w:hAnsi="宋体" w:cs="宋体"/>
          <w:sz w:val="22"/>
          <w:szCs w:val="22"/>
        </w:rPr>
        <w:t>3、乙方须对所属服务人员进行安全教育，提高服务人员的安全意识，营造人人讲安全的氛围，并保存好与安全教育相关的资料。</w:t>
      </w:r>
    </w:p>
    <w:p>
      <w:pPr>
        <w:widowControl/>
        <w:spacing w:line="500" w:lineRule="exact"/>
        <w:ind w:firstLine="570"/>
        <w:rPr>
          <w:rFonts w:ascii="宋体" w:hAnsi="宋体" w:cs="宋体"/>
          <w:sz w:val="22"/>
          <w:szCs w:val="22"/>
        </w:rPr>
      </w:pPr>
      <w:r>
        <w:rPr>
          <w:rFonts w:hint="eastAsia" w:ascii="宋体" w:hAnsi="宋体" w:cs="宋体"/>
          <w:sz w:val="22"/>
          <w:szCs w:val="22"/>
        </w:rPr>
        <w:t>4、乙方必须加强对特种作业人员的安全教育培训，特种作业人员必须持证上岗。</w:t>
      </w:r>
    </w:p>
    <w:p>
      <w:pPr>
        <w:widowControl/>
        <w:spacing w:line="500" w:lineRule="exact"/>
        <w:ind w:firstLine="570"/>
        <w:rPr>
          <w:rFonts w:ascii="宋体" w:hAnsi="宋体" w:cs="宋体"/>
          <w:sz w:val="22"/>
          <w:szCs w:val="22"/>
        </w:rPr>
      </w:pPr>
      <w:r>
        <w:rPr>
          <w:rFonts w:hint="eastAsia" w:ascii="宋体" w:hAnsi="宋体" w:cs="宋体"/>
          <w:sz w:val="22"/>
          <w:szCs w:val="22"/>
        </w:rPr>
        <w:t>5、乙方应认真落实各类突发事件应急预案，正确分析、判断和处理各种事故隐患；发生事故要正确处理，及时、如实的向甲方报告，并保护好现场，做好详细记录。</w:t>
      </w:r>
    </w:p>
    <w:p>
      <w:pPr>
        <w:widowControl/>
        <w:spacing w:line="500" w:lineRule="exact"/>
        <w:ind w:firstLine="570"/>
        <w:rPr>
          <w:rFonts w:ascii="宋体" w:hAnsi="宋体" w:cs="宋体"/>
          <w:sz w:val="22"/>
          <w:szCs w:val="22"/>
        </w:rPr>
      </w:pPr>
      <w:r>
        <w:rPr>
          <w:rFonts w:hint="eastAsia" w:ascii="宋体" w:hAnsi="宋体" w:cs="宋体"/>
          <w:sz w:val="22"/>
          <w:szCs w:val="22"/>
        </w:rPr>
        <w:t>6、乙方积极配合甲方组织的各项安全检查，参加甲方组织的安全教育培训。</w:t>
      </w:r>
    </w:p>
    <w:p>
      <w:pPr>
        <w:widowControl/>
        <w:spacing w:line="500" w:lineRule="exact"/>
        <w:ind w:firstLine="570"/>
        <w:rPr>
          <w:rFonts w:ascii="宋体" w:hAnsi="宋体" w:cs="宋体"/>
          <w:sz w:val="22"/>
          <w:szCs w:val="22"/>
        </w:rPr>
      </w:pPr>
      <w:r>
        <w:rPr>
          <w:rFonts w:hint="eastAsia" w:ascii="宋体" w:hAnsi="宋体" w:cs="宋体"/>
          <w:sz w:val="22"/>
          <w:szCs w:val="22"/>
        </w:rPr>
        <w:t>7、乙方作业人员在使用各类工具、设备前，应仔细了解机具的性能、使用方法、注意事项，严格按照设备的使用说明进行操作，使用前做好必要的防护措施。</w:t>
      </w:r>
    </w:p>
    <w:p>
      <w:pPr>
        <w:widowControl/>
        <w:spacing w:line="360" w:lineRule="auto"/>
        <w:ind w:firstLine="570"/>
        <w:rPr>
          <w:rFonts w:ascii="微软雅黑" w:hAnsi="微软雅黑" w:cs="微软雅黑"/>
          <w:sz w:val="24"/>
        </w:rPr>
      </w:pPr>
      <w:r>
        <w:rPr>
          <w:rFonts w:hint="eastAsia" w:ascii="宋体" w:hAnsi="宋体" w:cs="宋体"/>
          <w:sz w:val="22"/>
          <w:szCs w:val="22"/>
        </w:rPr>
        <w:t>8、未尽事项双方协商解决。</w:t>
      </w:r>
    </w:p>
    <w:p>
      <w:pPr>
        <w:spacing w:line="360" w:lineRule="auto"/>
        <w:rPr>
          <w:rFonts w:ascii="微软雅黑" w:hAnsi="微软雅黑" w:cs="微软雅黑"/>
          <w:sz w:val="24"/>
        </w:rPr>
      </w:pPr>
      <w:r>
        <w:rPr>
          <w:rFonts w:hint="eastAsia" w:ascii="微软雅黑" w:hAnsi="微软雅黑" w:cs="微软雅黑"/>
          <w:sz w:val="24"/>
        </w:rPr>
        <w:t>甲方（盖章）：                     乙方（盖章）：</w:t>
      </w:r>
    </w:p>
    <w:p>
      <w:pPr>
        <w:spacing w:line="360" w:lineRule="auto"/>
        <w:rPr>
          <w:rFonts w:ascii="微软雅黑" w:hAnsi="微软雅黑" w:cs="微软雅黑"/>
          <w:sz w:val="24"/>
        </w:rPr>
      </w:pPr>
      <w:r>
        <w:rPr>
          <w:rFonts w:hint="eastAsia" w:ascii="微软雅黑" w:hAnsi="微软雅黑" w:cs="微软雅黑"/>
          <w:sz w:val="24"/>
        </w:rPr>
        <w:t>法人代表（签字）：                 法人代表（签字）：</w:t>
      </w:r>
    </w:p>
    <w:p>
      <w:pPr>
        <w:spacing w:line="360" w:lineRule="auto"/>
        <w:rPr>
          <w:rFonts w:ascii="微软雅黑" w:hAnsi="微软雅黑" w:cs="微软雅黑"/>
          <w:sz w:val="24"/>
        </w:rPr>
      </w:pPr>
      <w:r>
        <w:rPr>
          <w:rFonts w:hint="eastAsia" w:ascii="微软雅黑" w:hAnsi="微软雅黑" w:cs="微软雅黑"/>
          <w:sz w:val="24"/>
        </w:rPr>
        <w:t>委托代理人（签字）：               委托代理人（签字）：</w:t>
      </w:r>
    </w:p>
    <w:p>
      <w:pPr>
        <w:spacing w:line="360" w:lineRule="auto"/>
        <w:sectPr>
          <w:footerReference r:id="rId9" w:type="default"/>
          <w:pgSz w:w="11906" w:h="16838"/>
          <w:pgMar w:top="1134" w:right="1134" w:bottom="1134" w:left="1134" w:header="851" w:footer="992" w:gutter="0"/>
          <w:cols w:space="720" w:num="1"/>
          <w:docGrid w:type="lines" w:linePitch="312" w:charSpace="0"/>
        </w:sectPr>
      </w:pPr>
      <w:r>
        <w:rPr>
          <w:rFonts w:hint="eastAsia" w:ascii="微软雅黑" w:hAnsi="微软雅黑" w:cs="微软雅黑"/>
          <w:sz w:val="24"/>
        </w:rPr>
        <w:t>签订日期：       年   月  日</w:t>
      </w:r>
    </w:p>
    <w:p>
      <w:pPr>
        <w:pStyle w:val="24"/>
        <w:adjustRightInd w:val="0"/>
        <w:snapToGrid w:val="0"/>
        <w:spacing w:line="400" w:lineRule="exact"/>
        <w:jc w:val="center"/>
        <w:rPr>
          <w:rFonts w:hAnsi="宋体"/>
          <w:sz w:val="36"/>
          <w:szCs w:val="36"/>
        </w:rPr>
      </w:pPr>
      <w:bookmarkStart w:id="56" w:name="_Toc25985_WPSOffice_Level1"/>
      <w:bookmarkStart w:id="57" w:name="_Toc26138_WPSOffice_Level1"/>
      <w:r>
        <w:rPr>
          <w:rFonts w:hint="eastAsia" w:hAnsi="宋体"/>
          <w:sz w:val="36"/>
          <w:szCs w:val="36"/>
        </w:rPr>
        <w:t>第六部分    附件—投标文件格式</w:t>
      </w:r>
      <w:bookmarkEnd w:id="56"/>
      <w:bookmarkEnd w:id="57"/>
    </w:p>
    <w:p>
      <w:pPr>
        <w:pStyle w:val="24"/>
        <w:adjustRightInd w:val="0"/>
        <w:snapToGrid w:val="0"/>
        <w:spacing w:line="460" w:lineRule="exact"/>
        <w:rPr>
          <w:rFonts w:hAnsi="宋体" w:cs="宋体"/>
          <w:b/>
          <w:sz w:val="24"/>
          <w:szCs w:val="24"/>
        </w:rPr>
      </w:pPr>
      <w:r>
        <w:rPr>
          <w:rFonts w:hint="eastAsia" w:hAnsi="宋体" w:cs="宋体"/>
          <w:b/>
          <w:sz w:val="24"/>
          <w:szCs w:val="24"/>
        </w:rPr>
        <w:t>注：《政府采购磋商文件》中提供投标格式，投标单位应参照格式制作，未提供格式的，请各投标单位自行拟定格式（加盖公章并由法人或其授权代表签字）</w:t>
      </w:r>
    </w:p>
    <w:p>
      <w:pPr>
        <w:tabs>
          <w:tab w:val="left" w:pos="7457"/>
        </w:tabs>
        <w:autoSpaceDE w:val="0"/>
        <w:autoSpaceDN w:val="0"/>
        <w:adjustRightInd w:val="0"/>
        <w:jc w:val="left"/>
        <w:rPr>
          <w:rFonts w:ascii="仿宋" w:hAnsi="仿宋" w:eastAsia="仿宋" w:cs="仿宋"/>
          <w:kern w:val="0"/>
          <w:sz w:val="28"/>
          <w:szCs w:val="28"/>
        </w:rPr>
      </w:pPr>
      <w:r>
        <w:rPr>
          <w:rFonts w:ascii="仿宋" w:hAnsi="仿宋" w:eastAsia="仿宋" w:cs="仿宋"/>
          <w:color w:val="FF0000"/>
          <w:kern w:val="0"/>
          <w:sz w:val="46"/>
          <w:szCs w:val="46"/>
        </w:rPr>
        <w:pict>
          <v:shape id="文本框 3" o:spid="_x0000_s1026" o:spt="202" type="#_x0000_t202" style="position:absolute;left:0pt;margin-left:337.95pt;margin-top:13.75pt;height:39.9pt;width:120.6pt;z-index:251684864;mso-width-relative:margin;mso-height-relative:margin;mso-height-percent:200;" stroked="t" coordsize="21600,21600">
            <v:path/>
            <v:fill focussize="0,0"/>
            <v:stroke weight="1.5pt" color="#FF0000" joinstyle="miter"/>
            <v:imagedata o:title=""/>
            <o:lock v:ext="edit"/>
            <v:textbox style="mso-fit-shape-to-text:t;">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v:textbox>
          </v:shape>
        </w:pict>
      </w:r>
      <w:r>
        <w:rPr>
          <w:rFonts w:hint="eastAsia" w:ascii="仿宋" w:hAnsi="仿宋" w:eastAsia="仿宋" w:cs="仿宋"/>
          <w:color w:val="000000"/>
          <w:kern w:val="0"/>
          <w:sz w:val="28"/>
          <w:szCs w:val="28"/>
        </w:rPr>
        <w:t xml:space="preserve">磋商文件封面格式： </w:t>
      </w:r>
      <w:r>
        <w:rPr>
          <w:rFonts w:hint="eastAsia" w:ascii="仿宋" w:hAnsi="仿宋" w:eastAsia="仿宋" w:cs="仿宋"/>
          <w:color w:val="000000"/>
          <w:kern w:val="0"/>
          <w:sz w:val="28"/>
          <w:szCs w:val="28"/>
        </w:rPr>
        <w:tab/>
      </w:r>
    </w:p>
    <w:p>
      <w:pPr>
        <w:autoSpaceDE w:val="0"/>
        <w:autoSpaceDN w:val="0"/>
        <w:adjustRightInd w:val="0"/>
        <w:jc w:val="right"/>
        <w:rPr>
          <w:rFonts w:ascii="仿宋" w:hAnsi="仿宋" w:eastAsia="仿宋" w:cs="仿宋"/>
          <w:color w:val="FF0000"/>
          <w:kern w:val="0"/>
          <w:sz w:val="46"/>
          <w:szCs w:val="46"/>
        </w:rPr>
      </w:pPr>
    </w:p>
    <w:p>
      <w:pPr>
        <w:autoSpaceDE w:val="0"/>
        <w:autoSpaceDN w:val="0"/>
        <w:adjustRightInd w:val="0"/>
        <w:jc w:val="center"/>
        <w:rPr>
          <w:rFonts w:ascii="仿宋" w:hAnsi="仿宋" w:eastAsia="仿宋" w:cs="仿宋"/>
          <w:kern w:val="0"/>
          <w:sz w:val="48"/>
          <w:szCs w:val="48"/>
        </w:rPr>
      </w:pPr>
    </w:p>
    <w:p>
      <w:pPr>
        <w:autoSpaceDE w:val="0"/>
        <w:autoSpaceDN w:val="0"/>
        <w:adjustRightInd w:val="0"/>
        <w:jc w:val="center"/>
        <w:rPr>
          <w:rFonts w:ascii="仿宋" w:hAnsi="仿宋" w:eastAsia="仿宋" w:cs="仿宋"/>
          <w:kern w:val="0"/>
          <w:sz w:val="48"/>
          <w:szCs w:val="48"/>
        </w:rPr>
      </w:pPr>
      <w:r>
        <w:rPr>
          <w:rFonts w:hint="eastAsia" w:ascii="仿宋" w:hAnsi="仿宋" w:eastAsia="仿宋" w:cs="仿宋"/>
          <w:kern w:val="0"/>
          <w:sz w:val="48"/>
          <w:szCs w:val="48"/>
        </w:rPr>
        <w:t>龙港市水利工程运行维修项目</w:t>
      </w:r>
    </w:p>
    <w:p>
      <w:pPr>
        <w:autoSpaceDE w:val="0"/>
        <w:autoSpaceDN w:val="0"/>
        <w:adjustRightInd w:val="0"/>
        <w:jc w:val="center"/>
        <w:rPr>
          <w:rFonts w:ascii="仿宋" w:hAnsi="仿宋" w:eastAsia="仿宋" w:cs="仿宋"/>
          <w:kern w:val="0"/>
          <w:sz w:val="44"/>
          <w:szCs w:val="44"/>
        </w:rPr>
      </w:pPr>
    </w:p>
    <w:p>
      <w:pPr>
        <w:autoSpaceDE w:val="0"/>
        <w:autoSpaceDN w:val="0"/>
        <w:adjustRightInd w:val="0"/>
        <w:jc w:val="center"/>
        <w:rPr>
          <w:rFonts w:ascii="仿宋" w:hAnsi="仿宋" w:eastAsia="仿宋" w:cs="仿宋"/>
          <w:kern w:val="0"/>
          <w:sz w:val="44"/>
          <w:szCs w:val="44"/>
        </w:rPr>
      </w:pPr>
    </w:p>
    <w:p>
      <w:pPr>
        <w:autoSpaceDE w:val="0"/>
        <w:autoSpaceDN w:val="0"/>
        <w:adjustRightInd w:val="0"/>
        <w:jc w:val="center"/>
        <w:rPr>
          <w:rFonts w:ascii="仿宋" w:hAnsi="仿宋" w:eastAsia="仿宋" w:cs="仿宋"/>
          <w:kern w:val="0"/>
          <w:sz w:val="44"/>
          <w:szCs w:val="44"/>
        </w:rPr>
      </w:pPr>
    </w:p>
    <w:p>
      <w:pPr>
        <w:jc w:val="center"/>
        <w:rPr>
          <w:rFonts w:ascii="仿宋" w:hAnsi="仿宋" w:eastAsia="仿宋" w:cs="仿宋"/>
          <w:color w:val="000000"/>
          <w:kern w:val="0"/>
          <w:sz w:val="80"/>
          <w:szCs w:val="80"/>
        </w:rPr>
      </w:pPr>
      <w:r>
        <w:rPr>
          <w:rFonts w:hint="eastAsia" w:ascii="仿宋" w:hAnsi="仿宋" w:eastAsia="仿宋" w:cs="仿宋"/>
          <w:color w:val="000000"/>
          <w:kern w:val="0"/>
          <w:sz w:val="80"/>
          <w:szCs w:val="80"/>
        </w:rPr>
        <w:t>磋 商 响 应 文 件</w:t>
      </w:r>
    </w:p>
    <w:p>
      <w:pPr>
        <w:rPr>
          <w:rFonts w:ascii="仿宋" w:hAnsi="仿宋" w:eastAsia="仿宋" w:cs="仿宋"/>
          <w:color w:val="000000"/>
          <w:kern w:val="0"/>
          <w:sz w:val="68"/>
          <w:szCs w:val="68"/>
        </w:rPr>
      </w:pPr>
    </w:p>
    <w:p>
      <w:pPr>
        <w:pStyle w:val="22"/>
        <w:ind w:left="1470" w:right="1470"/>
      </w:pPr>
    </w:p>
    <w:p>
      <w:pPr>
        <w:ind w:firstLine="960" w:firstLineChars="300"/>
        <w:rPr>
          <w:rFonts w:ascii="宋体" w:hAnsi="宋体" w:cs="宋体"/>
          <w:color w:val="000000"/>
          <w:kern w:val="0"/>
          <w:sz w:val="32"/>
          <w:szCs w:val="32"/>
        </w:rPr>
      </w:pPr>
      <w:r>
        <w:rPr>
          <w:rFonts w:hint="eastAsia" w:ascii="宋体" w:hAnsi="宋体" w:cs="宋体"/>
          <w:color w:val="000000"/>
          <w:kern w:val="0"/>
          <w:sz w:val="32"/>
          <w:szCs w:val="32"/>
        </w:rPr>
        <w:t>项目编号：</w:t>
      </w:r>
      <w:r>
        <w:rPr>
          <w:rFonts w:hint="eastAsia" w:ascii="宋体" w:hAnsi="宋体" w:cs="宋体"/>
          <w:color w:val="000000"/>
          <w:kern w:val="0"/>
          <w:sz w:val="32"/>
          <w:szCs w:val="32"/>
          <w:u w:val="single"/>
        </w:rPr>
        <w:t xml:space="preserve">LGCG2020                </w:t>
      </w:r>
    </w:p>
    <w:p>
      <w:pPr>
        <w:ind w:firstLine="960" w:firstLineChars="300"/>
        <w:rPr>
          <w:rFonts w:ascii="宋体" w:hAnsi="宋体" w:cs="宋体"/>
          <w:color w:val="000000"/>
          <w:kern w:val="0"/>
          <w:sz w:val="32"/>
          <w:szCs w:val="32"/>
          <w:u w:val="single"/>
        </w:rPr>
      </w:pPr>
      <w:r>
        <w:rPr>
          <w:rFonts w:hint="eastAsia" w:ascii="宋体" w:hAnsi="宋体" w:cs="宋体"/>
          <w:color w:val="000000"/>
          <w:kern w:val="0"/>
          <w:sz w:val="32"/>
          <w:szCs w:val="32"/>
        </w:rPr>
        <w:t xml:space="preserve">供应商名称（盖章）： </w:t>
      </w:r>
    </w:p>
    <w:p>
      <w:pPr>
        <w:ind w:firstLine="960" w:firstLineChars="300"/>
        <w:rPr>
          <w:rFonts w:ascii="宋体" w:hAnsi="宋体" w:cs="宋体"/>
          <w:color w:val="000000"/>
          <w:kern w:val="0"/>
          <w:sz w:val="32"/>
          <w:szCs w:val="32"/>
          <w:u w:val="single"/>
        </w:rPr>
      </w:pPr>
      <w:r>
        <w:rPr>
          <w:rFonts w:hint="eastAsia" w:ascii="宋体" w:hAnsi="宋体" w:cs="宋体"/>
          <w:color w:val="000000"/>
          <w:kern w:val="0"/>
          <w:sz w:val="32"/>
          <w:szCs w:val="32"/>
        </w:rPr>
        <w:t>地址：</w:t>
      </w:r>
    </w:p>
    <w:p>
      <w:pPr>
        <w:ind w:firstLine="960" w:firstLineChars="300"/>
        <w:rPr>
          <w:rFonts w:ascii="宋体" w:hAnsi="宋体" w:cs="宋体"/>
          <w:color w:val="000000"/>
          <w:kern w:val="0"/>
          <w:sz w:val="32"/>
          <w:szCs w:val="32"/>
        </w:rPr>
      </w:pPr>
      <w:r>
        <w:rPr>
          <w:rFonts w:hint="eastAsia" w:ascii="宋体" w:hAnsi="宋体" w:cs="宋体"/>
          <w:color w:val="000000"/>
          <w:kern w:val="0"/>
          <w:sz w:val="32"/>
          <w:szCs w:val="32"/>
        </w:rPr>
        <w:t>联系人：</w:t>
      </w:r>
    </w:p>
    <w:p>
      <w:pPr>
        <w:ind w:firstLine="960" w:firstLineChars="300"/>
        <w:rPr>
          <w:rFonts w:ascii="仿宋" w:hAnsi="仿宋" w:eastAsia="仿宋" w:cs="仿宋"/>
          <w:color w:val="000000"/>
          <w:kern w:val="0"/>
          <w:sz w:val="32"/>
          <w:szCs w:val="32"/>
        </w:rPr>
      </w:pPr>
      <w:r>
        <w:rPr>
          <w:rFonts w:hint="eastAsia" w:ascii="宋体" w:hAnsi="宋体" w:cs="宋体"/>
          <w:color w:val="000000"/>
          <w:kern w:val="0"/>
          <w:sz w:val="32"/>
          <w:szCs w:val="32"/>
        </w:rPr>
        <w:t>日期：</w:t>
      </w:r>
    </w:p>
    <w:p>
      <w:pPr>
        <w:autoSpaceDE w:val="0"/>
        <w:autoSpaceDN w:val="0"/>
        <w:adjustRightInd w:val="0"/>
        <w:jc w:val="center"/>
        <w:rPr>
          <w:rFonts w:ascii="仿宋" w:hAnsi="仿宋" w:eastAsia="仿宋" w:cs="仿宋"/>
          <w:color w:val="000000"/>
          <w:kern w:val="0"/>
          <w:sz w:val="36"/>
          <w:szCs w:val="36"/>
        </w:rPr>
      </w:pPr>
    </w:p>
    <w:p>
      <w:pPr>
        <w:autoSpaceDE w:val="0"/>
        <w:autoSpaceDN w:val="0"/>
        <w:adjustRightInd w:val="0"/>
        <w:jc w:val="center"/>
        <w:rPr>
          <w:rFonts w:ascii="仿宋" w:hAnsi="仿宋" w:eastAsia="仿宋" w:cs="仿宋"/>
          <w:sz w:val="30"/>
        </w:rPr>
      </w:pPr>
      <w:r>
        <w:rPr>
          <w:rFonts w:hint="eastAsia" w:ascii="宋体" w:hAnsi="宋体" w:cs="宋体"/>
          <w:color w:val="000000"/>
          <w:kern w:val="0"/>
          <w:sz w:val="36"/>
          <w:szCs w:val="36"/>
        </w:rPr>
        <w:t>（开标前不得启封）</w:t>
      </w:r>
    </w:p>
    <w:p>
      <w:pPr>
        <w:pStyle w:val="24"/>
        <w:adjustRightInd w:val="0"/>
        <w:snapToGrid w:val="0"/>
        <w:spacing w:line="500" w:lineRule="exact"/>
        <w:rPr>
          <w:rFonts w:hAnsi="宋体"/>
          <w:sz w:val="30"/>
        </w:rPr>
      </w:pPr>
    </w:p>
    <w:p>
      <w:pPr>
        <w:pStyle w:val="24"/>
        <w:adjustRightInd w:val="0"/>
        <w:snapToGrid w:val="0"/>
        <w:spacing w:line="500" w:lineRule="exact"/>
        <w:rPr>
          <w:rFonts w:hAnsi="宋体"/>
          <w:sz w:val="30"/>
        </w:rPr>
      </w:pPr>
    </w:p>
    <w:p>
      <w:pPr>
        <w:pStyle w:val="24"/>
        <w:adjustRightInd w:val="0"/>
        <w:snapToGrid w:val="0"/>
        <w:spacing w:line="500" w:lineRule="exact"/>
        <w:ind w:left="4350" w:hanging="4350" w:hangingChars="1450"/>
        <w:rPr>
          <w:rFonts w:hAnsi="宋体"/>
          <w:sz w:val="30"/>
        </w:rPr>
      </w:pPr>
    </w:p>
    <w:p>
      <w:pPr>
        <w:pStyle w:val="24"/>
        <w:adjustRightInd w:val="0"/>
        <w:snapToGrid w:val="0"/>
        <w:spacing w:line="500" w:lineRule="exact"/>
        <w:ind w:left="4350" w:hanging="4350" w:hangingChars="1450"/>
        <w:rPr>
          <w:rFonts w:hAnsi="宋体"/>
          <w:sz w:val="36"/>
        </w:rPr>
      </w:pPr>
      <w:r>
        <w:rPr>
          <w:rFonts w:hint="eastAsia" w:hAnsi="宋体"/>
          <w:sz w:val="30"/>
        </w:rPr>
        <w:t>附件一</w:t>
      </w:r>
      <w:r>
        <w:rPr>
          <w:rFonts w:hint="eastAsia" w:hAnsi="宋体"/>
          <w:sz w:val="24"/>
        </w:rPr>
        <w:cr/>
      </w:r>
      <w:r>
        <w:rPr>
          <w:rFonts w:hint="eastAsia" w:hAnsi="宋体"/>
          <w:sz w:val="36"/>
        </w:rPr>
        <w:t>投  标  函</w:t>
      </w:r>
    </w:p>
    <w:p>
      <w:pPr>
        <w:pStyle w:val="24"/>
        <w:adjustRightInd w:val="0"/>
        <w:snapToGrid w:val="0"/>
        <w:spacing w:line="500" w:lineRule="exact"/>
        <w:ind w:firstLine="552" w:firstLineChars="251"/>
        <w:rPr>
          <w:rFonts w:hAnsi="宋体"/>
          <w:sz w:val="22"/>
          <w:szCs w:val="22"/>
          <w:u w:val="single"/>
        </w:rPr>
      </w:pPr>
      <w:r>
        <w:rPr>
          <w:rFonts w:hint="eastAsia" w:hAnsi="宋体"/>
          <w:sz w:val="22"/>
          <w:szCs w:val="22"/>
          <w:u w:val="single"/>
        </w:rPr>
        <w:t>龙港市农业农村局：</w:t>
      </w:r>
    </w:p>
    <w:p>
      <w:pPr>
        <w:autoSpaceDE w:val="0"/>
        <w:autoSpaceDN w:val="0"/>
        <w:adjustRightInd w:val="0"/>
        <w:spacing w:line="440" w:lineRule="atLeast"/>
        <w:rPr>
          <w:rFonts w:ascii="宋体" w:cs="仿宋_GB2312"/>
          <w:color w:val="000000"/>
          <w:sz w:val="22"/>
          <w:szCs w:val="22"/>
          <w:lang w:val="zh-CN"/>
        </w:rPr>
      </w:pPr>
      <w:r>
        <w:rPr>
          <w:rFonts w:hint="eastAsia" w:ascii="宋体" w:cs="仿宋_GB2312"/>
          <w:sz w:val="22"/>
          <w:szCs w:val="22"/>
          <w:lang w:val="zh-CN"/>
        </w:rPr>
        <w:t>（供应商全称）授权（授权代表名称）（职务、职称）为授权代表，参加贵方组织的（招标项目名称）（括号内填投标编号）招标的有关活动，为此：</w:t>
      </w:r>
      <w:r>
        <w:rPr>
          <w:rFonts w:hint="eastAsia" w:ascii="宋体" w:cs="仿宋_GB2312"/>
          <w:color w:val="000000"/>
          <w:sz w:val="22"/>
          <w:szCs w:val="22"/>
          <w:lang w:val="zh-CN"/>
        </w:rPr>
        <w:t>并对项目（采购项目名称）进行投标。</w:t>
      </w:r>
    </w:p>
    <w:p>
      <w:pPr>
        <w:autoSpaceDE w:val="0"/>
        <w:autoSpaceDN w:val="0"/>
        <w:adjustRightInd w:val="0"/>
        <w:spacing w:line="440" w:lineRule="atLeast"/>
        <w:ind w:left="1" w:firstLine="585" w:firstLineChars="266"/>
        <w:rPr>
          <w:rFonts w:ascii="宋体" w:cs="仿宋_GB2312"/>
          <w:color w:val="000000"/>
          <w:sz w:val="22"/>
          <w:szCs w:val="22"/>
          <w:lang w:val="zh-CN"/>
        </w:rPr>
      </w:pPr>
      <w:r>
        <w:rPr>
          <w:rFonts w:hint="eastAsia" w:ascii="宋体" w:cs="仿宋_GB2312"/>
          <w:color w:val="000000"/>
          <w:sz w:val="22"/>
          <w:szCs w:val="22"/>
          <w:lang w:val="zh-CN"/>
        </w:rPr>
        <w:t>1、提供供应商须知规定的全部投标文件：</w:t>
      </w:r>
    </w:p>
    <w:p>
      <w:pPr>
        <w:autoSpaceDE w:val="0"/>
        <w:autoSpaceDN w:val="0"/>
        <w:adjustRightInd w:val="0"/>
        <w:spacing w:line="440" w:lineRule="atLeast"/>
        <w:ind w:left="1" w:firstLine="913" w:firstLineChars="415"/>
        <w:rPr>
          <w:rFonts w:ascii="宋体" w:cs="仿宋_GB2312"/>
          <w:color w:val="000000"/>
          <w:sz w:val="22"/>
          <w:szCs w:val="22"/>
          <w:lang w:val="zh-CN"/>
        </w:rPr>
      </w:pPr>
      <w:r>
        <w:rPr>
          <w:rFonts w:hint="eastAsia" w:ascii="宋体" w:cs="仿宋_GB2312"/>
          <w:color w:val="000000"/>
          <w:sz w:val="22"/>
          <w:szCs w:val="22"/>
          <w:lang w:val="zh-CN"/>
        </w:rPr>
        <w:t>投标文件正本一份，副本四份；</w:t>
      </w:r>
    </w:p>
    <w:p>
      <w:pPr>
        <w:autoSpaceDE w:val="0"/>
        <w:autoSpaceDN w:val="0"/>
        <w:adjustRightInd w:val="0"/>
        <w:spacing w:line="440" w:lineRule="atLeast"/>
        <w:ind w:left="1" w:firstLine="585" w:firstLineChars="266"/>
        <w:rPr>
          <w:rFonts w:ascii="宋体" w:cs="仿宋_GB2312"/>
          <w:color w:val="000000"/>
          <w:sz w:val="22"/>
          <w:szCs w:val="22"/>
          <w:lang w:val="zh-CN"/>
        </w:rPr>
      </w:pPr>
      <w:r>
        <w:rPr>
          <w:rFonts w:ascii="宋体" w:cs="仿宋_GB2312"/>
          <w:color w:val="000000"/>
          <w:sz w:val="22"/>
          <w:szCs w:val="22"/>
          <w:lang w:val="zh-CN"/>
        </w:rPr>
        <w:t>2</w:t>
      </w:r>
      <w:r>
        <w:rPr>
          <w:rFonts w:hint="eastAsia" w:ascii="宋体" w:cs="仿宋_GB2312"/>
          <w:color w:val="000000"/>
          <w:sz w:val="22"/>
          <w:szCs w:val="22"/>
          <w:lang w:val="zh-CN"/>
        </w:rPr>
        <w:t>、保证遵守招标文件中的有关规定和收费标准。</w:t>
      </w:r>
    </w:p>
    <w:p>
      <w:pPr>
        <w:autoSpaceDE w:val="0"/>
        <w:autoSpaceDN w:val="0"/>
        <w:adjustRightInd w:val="0"/>
        <w:spacing w:line="440" w:lineRule="atLeast"/>
        <w:ind w:left="1" w:firstLine="585" w:firstLineChars="266"/>
        <w:rPr>
          <w:rFonts w:ascii="宋体" w:cs="仿宋_GB2312"/>
          <w:color w:val="000000"/>
          <w:sz w:val="22"/>
          <w:szCs w:val="22"/>
          <w:lang w:val="zh-CN"/>
        </w:rPr>
      </w:pPr>
      <w:r>
        <w:rPr>
          <w:rFonts w:hint="eastAsia" w:ascii="宋体" w:cs="仿宋_GB2312"/>
          <w:color w:val="000000"/>
          <w:sz w:val="22"/>
          <w:szCs w:val="22"/>
          <w:lang w:val="zh-CN"/>
        </w:rPr>
        <w:t>3、保证忠实地执行采购人、中标供应商双方所签的合同，并承担合同规定的责任义务。</w:t>
      </w:r>
    </w:p>
    <w:p>
      <w:pPr>
        <w:autoSpaceDE w:val="0"/>
        <w:autoSpaceDN w:val="0"/>
        <w:adjustRightInd w:val="0"/>
        <w:spacing w:line="440" w:lineRule="atLeast"/>
        <w:ind w:left="1" w:firstLine="585" w:firstLineChars="266"/>
        <w:rPr>
          <w:rFonts w:ascii="宋体" w:cs="仿宋_GB2312"/>
          <w:color w:val="000000"/>
          <w:sz w:val="22"/>
          <w:szCs w:val="22"/>
          <w:lang w:val="zh-CN"/>
        </w:rPr>
      </w:pPr>
      <w:r>
        <w:rPr>
          <w:rFonts w:hint="eastAsia" w:ascii="宋体" w:cs="仿宋_GB2312"/>
          <w:color w:val="000000"/>
          <w:sz w:val="22"/>
          <w:szCs w:val="22"/>
          <w:lang w:val="zh-CN"/>
        </w:rPr>
        <w:t>4、我方承诺在合同生效后，</w:t>
      </w:r>
      <w:r>
        <w:rPr>
          <w:rFonts w:hint="eastAsia" w:ascii="宋体" w:cs="仿宋_GB2312"/>
          <w:b/>
          <w:color w:val="000000"/>
          <w:sz w:val="22"/>
          <w:szCs w:val="22"/>
          <w:u w:val="single"/>
          <w:lang w:val="zh-CN"/>
        </w:rPr>
        <w:t>按采购人要求完成本项目</w:t>
      </w:r>
      <w:r>
        <w:rPr>
          <w:rFonts w:hint="eastAsia" w:ascii="宋体" w:cs="仿宋_GB2312"/>
          <w:color w:val="000000"/>
          <w:sz w:val="22"/>
          <w:szCs w:val="22"/>
          <w:lang w:val="zh-CN"/>
        </w:rPr>
        <w:t>。</w:t>
      </w:r>
    </w:p>
    <w:p>
      <w:pPr>
        <w:autoSpaceDE w:val="0"/>
        <w:autoSpaceDN w:val="0"/>
        <w:adjustRightInd w:val="0"/>
        <w:spacing w:line="440" w:lineRule="atLeast"/>
        <w:ind w:left="1" w:firstLine="585" w:firstLineChars="266"/>
        <w:rPr>
          <w:rFonts w:ascii="宋体" w:cs="仿宋_GB2312"/>
          <w:color w:val="000000"/>
          <w:sz w:val="22"/>
          <w:szCs w:val="22"/>
          <w:lang w:val="zh-CN"/>
        </w:rPr>
      </w:pPr>
      <w:r>
        <w:rPr>
          <w:rFonts w:hint="eastAsia" w:ascii="宋体" w:cs="仿宋_GB2312"/>
          <w:color w:val="000000"/>
          <w:sz w:val="22"/>
          <w:szCs w:val="22"/>
          <w:lang w:val="zh-CN"/>
        </w:rPr>
        <w:t>5、供应商已详细审查全部招标文件，包括招标文件补充文件（如果有的话）。我方完全理解并同意放弃对这方面有不明及误解的权力。如果招标文件有相互矛盾之处，我方同意按采购人的理解处理。</w:t>
      </w:r>
    </w:p>
    <w:p>
      <w:pPr>
        <w:spacing w:line="340" w:lineRule="exact"/>
        <w:ind w:left="1" w:firstLine="585" w:firstLineChars="266"/>
        <w:rPr>
          <w:rFonts w:ascii="宋体"/>
          <w:color w:val="000000"/>
          <w:sz w:val="22"/>
          <w:szCs w:val="22"/>
        </w:rPr>
      </w:pPr>
      <w:r>
        <w:rPr>
          <w:rFonts w:hint="eastAsia" w:ascii="宋体"/>
          <w:color w:val="000000"/>
          <w:sz w:val="22"/>
          <w:szCs w:val="22"/>
        </w:rPr>
        <w:t>6、利益冲突：近三年内直至目前，我公司与本项目的采购人、招标代理机构没有任何的隶属关系。</w:t>
      </w:r>
    </w:p>
    <w:p>
      <w:pPr>
        <w:autoSpaceDE w:val="0"/>
        <w:autoSpaceDN w:val="0"/>
        <w:adjustRightInd w:val="0"/>
        <w:spacing w:line="440" w:lineRule="atLeast"/>
        <w:ind w:left="1" w:firstLine="585" w:firstLineChars="266"/>
        <w:rPr>
          <w:rFonts w:ascii="宋体" w:cs="仿宋_GB2312"/>
          <w:color w:val="000000"/>
          <w:sz w:val="22"/>
          <w:szCs w:val="22"/>
          <w:lang w:val="zh-CN"/>
        </w:rPr>
      </w:pPr>
      <w:r>
        <w:rPr>
          <w:rFonts w:hint="eastAsia" w:ascii="宋体"/>
          <w:color w:val="000000"/>
          <w:sz w:val="22"/>
          <w:szCs w:val="22"/>
        </w:rPr>
        <w:t>7、</w:t>
      </w:r>
      <w:r>
        <w:rPr>
          <w:rFonts w:hint="eastAsia" w:ascii="宋体"/>
          <w:bCs/>
          <w:color w:val="000000"/>
          <w:sz w:val="22"/>
          <w:szCs w:val="22"/>
        </w:rPr>
        <w:t>我公司没有被浙江省财政厅、温州市财政局及本项目所在地的政府采购管理部门限制参加投标。</w:t>
      </w:r>
    </w:p>
    <w:p>
      <w:pPr>
        <w:autoSpaceDE w:val="0"/>
        <w:autoSpaceDN w:val="0"/>
        <w:adjustRightInd w:val="0"/>
        <w:spacing w:line="440" w:lineRule="atLeast"/>
        <w:ind w:left="1" w:firstLine="585" w:firstLineChars="266"/>
        <w:rPr>
          <w:rFonts w:ascii="宋体" w:cs="仿宋_GB2312"/>
          <w:color w:val="000000"/>
          <w:sz w:val="22"/>
          <w:szCs w:val="22"/>
          <w:lang w:val="zh-CN"/>
        </w:rPr>
      </w:pPr>
      <w:r>
        <w:rPr>
          <w:rFonts w:hint="eastAsia" w:ascii="宋体" w:cs="仿宋_GB2312"/>
          <w:color w:val="000000"/>
          <w:sz w:val="22"/>
          <w:szCs w:val="22"/>
          <w:lang w:val="zh-CN"/>
        </w:rPr>
        <w:t>8、愿意向贵方提供任何与该项投标有关的数据、情况和技术资料，完全理解贵方不一定接受最低价的投标或收到的任何投标。</w:t>
      </w:r>
    </w:p>
    <w:p>
      <w:pPr>
        <w:autoSpaceDE w:val="0"/>
        <w:autoSpaceDN w:val="0"/>
        <w:adjustRightInd w:val="0"/>
        <w:spacing w:line="440" w:lineRule="atLeast"/>
        <w:ind w:left="1" w:firstLine="585" w:firstLineChars="266"/>
        <w:rPr>
          <w:rFonts w:ascii="宋体" w:cs="仿宋_GB2312"/>
          <w:color w:val="000000"/>
          <w:sz w:val="22"/>
          <w:szCs w:val="22"/>
          <w:lang w:val="zh-CN"/>
        </w:rPr>
      </w:pPr>
      <w:r>
        <w:rPr>
          <w:rFonts w:hint="eastAsia" w:ascii="宋体" w:cs="仿宋_GB2312"/>
          <w:color w:val="000000"/>
          <w:sz w:val="22"/>
          <w:szCs w:val="22"/>
          <w:lang w:val="zh-CN"/>
        </w:rPr>
        <w:t>9、本投标自开标之日起</w:t>
      </w:r>
      <w:r>
        <w:rPr>
          <w:rFonts w:hint="eastAsia" w:ascii="宋体" w:cs="仿宋_GB2312"/>
          <w:color w:val="000000"/>
          <w:sz w:val="22"/>
          <w:szCs w:val="22"/>
        </w:rPr>
        <w:t>9</w:t>
      </w:r>
      <w:r>
        <w:rPr>
          <w:rFonts w:ascii="宋体" w:cs="仿宋_GB2312"/>
          <w:color w:val="000000"/>
          <w:sz w:val="22"/>
          <w:szCs w:val="22"/>
          <w:lang w:val="zh-CN"/>
        </w:rPr>
        <w:t>0</w:t>
      </w:r>
      <w:r>
        <w:rPr>
          <w:rFonts w:hint="eastAsia" w:ascii="宋体" w:cs="仿宋_GB2312"/>
          <w:color w:val="000000"/>
          <w:sz w:val="22"/>
          <w:szCs w:val="22"/>
          <w:lang w:val="zh-CN"/>
        </w:rPr>
        <w:t>天内有效。</w:t>
      </w:r>
    </w:p>
    <w:p>
      <w:pPr>
        <w:autoSpaceDE w:val="0"/>
        <w:autoSpaceDN w:val="0"/>
        <w:adjustRightInd w:val="0"/>
        <w:spacing w:line="440" w:lineRule="atLeast"/>
        <w:ind w:left="1" w:firstLine="585" w:firstLineChars="266"/>
        <w:rPr>
          <w:rFonts w:ascii="宋体" w:cs="仿宋_GB2312"/>
          <w:color w:val="000000"/>
          <w:sz w:val="22"/>
          <w:szCs w:val="22"/>
          <w:lang w:val="zh-CN"/>
        </w:rPr>
      </w:pPr>
      <w:r>
        <w:rPr>
          <w:rFonts w:hint="eastAsia" w:ascii="宋体" w:cs="仿宋_GB2312"/>
          <w:color w:val="000000"/>
          <w:sz w:val="22"/>
          <w:szCs w:val="22"/>
          <w:lang w:val="zh-CN"/>
        </w:rPr>
        <w:t>10、与本投标有关的一切往来通讯请寄：</w:t>
      </w:r>
    </w:p>
    <w:p>
      <w:pPr>
        <w:autoSpaceDE w:val="0"/>
        <w:autoSpaceDN w:val="0"/>
        <w:adjustRightInd w:val="0"/>
        <w:spacing w:line="440" w:lineRule="atLeast"/>
        <w:ind w:firstLine="585" w:firstLineChars="266"/>
        <w:rPr>
          <w:rFonts w:ascii="宋体" w:cs="仿宋_GB2312"/>
          <w:color w:val="000000"/>
          <w:sz w:val="22"/>
          <w:szCs w:val="22"/>
          <w:lang w:val="zh-CN"/>
        </w:rPr>
      </w:pPr>
      <w:r>
        <w:rPr>
          <w:rFonts w:hint="eastAsia" w:ascii="宋体" w:cs="仿宋_GB2312"/>
          <w:color w:val="000000"/>
          <w:sz w:val="22"/>
          <w:szCs w:val="22"/>
          <w:lang w:val="zh-CN"/>
        </w:rPr>
        <w:t>地址：</w:t>
      </w:r>
    </w:p>
    <w:p>
      <w:pPr>
        <w:autoSpaceDE w:val="0"/>
        <w:autoSpaceDN w:val="0"/>
        <w:adjustRightInd w:val="0"/>
        <w:spacing w:line="440" w:lineRule="atLeast"/>
        <w:ind w:firstLine="585" w:firstLineChars="266"/>
        <w:rPr>
          <w:rFonts w:ascii="宋体" w:cs="仿宋_GB2312"/>
          <w:sz w:val="22"/>
          <w:szCs w:val="22"/>
          <w:lang w:val="zh-CN"/>
        </w:rPr>
      </w:pPr>
      <w:r>
        <w:rPr>
          <w:rFonts w:hint="eastAsia" w:ascii="宋体" w:cs="仿宋_GB2312"/>
          <w:color w:val="000000"/>
          <w:sz w:val="22"/>
          <w:szCs w:val="22"/>
          <w:lang w:val="zh-CN"/>
        </w:rPr>
        <w:t>邮编：电话：传真：</w:t>
      </w:r>
    </w:p>
    <w:p>
      <w:pPr>
        <w:autoSpaceDE w:val="0"/>
        <w:autoSpaceDN w:val="0"/>
        <w:adjustRightInd w:val="0"/>
        <w:spacing w:line="440" w:lineRule="atLeast"/>
        <w:ind w:firstLine="1980" w:firstLineChars="900"/>
        <w:rPr>
          <w:rFonts w:ascii="宋体" w:cs="仿宋_GB2312"/>
          <w:sz w:val="22"/>
          <w:szCs w:val="22"/>
          <w:lang w:val="zh-CN"/>
        </w:rPr>
      </w:pPr>
    </w:p>
    <w:p>
      <w:pPr>
        <w:autoSpaceDE w:val="0"/>
        <w:autoSpaceDN w:val="0"/>
        <w:adjustRightInd w:val="0"/>
        <w:spacing w:line="440" w:lineRule="atLeast"/>
        <w:ind w:firstLine="627" w:firstLineChars="285"/>
        <w:rPr>
          <w:rFonts w:ascii="宋体" w:cs="仿宋_GB2312"/>
          <w:sz w:val="22"/>
          <w:szCs w:val="22"/>
          <w:lang w:val="zh-CN"/>
        </w:rPr>
      </w:pPr>
      <w:r>
        <w:rPr>
          <w:rFonts w:hint="eastAsia" w:ascii="宋体" w:cs="仿宋_GB2312"/>
          <w:sz w:val="22"/>
          <w:szCs w:val="22"/>
          <w:lang w:val="zh-CN"/>
        </w:rPr>
        <w:t>供应商全称（盖章）：</w:t>
      </w:r>
    </w:p>
    <w:p>
      <w:pPr>
        <w:autoSpaceDE w:val="0"/>
        <w:autoSpaceDN w:val="0"/>
        <w:adjustRightInd w:val="0"/>
        <w:spacing w:line="440" w:lineRule="atLeast"/>
        <w:ind w:firstLine="627" w:firstLineChars="285"/>
        <w:rPr>
          <w:rFonts w:ascii="宋体" w:cs="仿宋_GB2312"/>
          <w:sz w:val="22"/>
          <w:szCs w:val="22"/>
          <w:lang w:val="zh-CN"/>
        </w:rPr>
      </w:pPr>
      <w:r>
        <w:rPr>
          <w:rFonts w:hint="eastAsia" w:ascii="宋体" w:cs="仿宋_GB2312"/>
          <w:sz w:val="22"/>
          <w:szCs w:val="22"/>
          <w:lang w:val="zh-CN"/>
        </w:rPr>
        <w:t>授权代表（签字）：</w:t>
      </w:r>
    </w:p>
    <w:p>
      <w:pPr>
        <w:autoSpaceDE w:val="0"/>
        <w:autoSpaceDN w:val="0"/>
        <w:adjustRightInd w:val="0"/>
        <w:spacing w:line="440" w:lineRule="atLeast"/>
        <w:ind w:firstLine="627" w:firstLineChars="285"/>
        <w:rPr>
          <w:rFonts w:ascii="宋体" w:cs="仿宋_GB2312"/>
          <w:sz w:val="22"/>
          <w:szCs w:val="22"/>
          <w:lang w:val="zh-CN"/>
        </w:rPr>
      </w:pPr>
      <w:r>
        <w:rPr>
          <w:rFonts w:hint="eastAsia" w:ascii="宋体" w:cs="仿宋_GB2312"/>
          <w:sz w:val="22"/>
          <w:szCs w:val="22"/>
          <w:lang w:val="zh-CN"/>
        </w:rPr>
        <w:t>日期：</w:t>
      </w:r>
    </w:p>
    <w:p>
      <w:pPr>
        <w:autoSpaceDE w:val="0"/>
        <w:autoSpaceDN w:val="0"/>
        <w:adjustRightInd w:val="0"/>
        <w:spacing w:line="440" w:lineRule="atLeast"/>
        <w:ind w:firstLine="687" w:firstLineChars="285"/>
        <w:outlineLvl w:val="0"/>
        <w:rPr>
          <w:rFonts w:ascii="宋体" w:cs="仿宋_GB2312"/>
          <w:b/>
          <w:sz w:val="22"/>
          <w:szCs w:val="22"/>
          <w:u w:val="single"/>
          <w:lang w:val="zh-CN"/>
        </w:rPr>
      </w:pPr>
      <w:r>
        <w:rPr>
          <w:rFonts w:hint="eastAsia" w:hAnsi="宋体"/>
          <w:b/>
          <w:sz w:val="24"/>
          <w:u w:val="single"/>
        </w:rPr>
        <w:t>不提供本函做无效投标处理。</w:t>
      </w:r>
    </w:p>
    <w:p>
      <w:pPr>
        <w:sectPr>
          <w:pgSz w:w="11906" w:h="16838"/>
          <w:pgMar w:top="1134" w:right="1134" w:bottom="1134" w:left="1134" w:header="851" w:footer="992" w:gutter="0"/>
          <w:cols w:space="720" w:num="1"/>
          <w:docGrid w:type="lines" w:linePitch="312" w:charSpace="0"/>
        </w:sectPr>
      </w:pPr>
    </w:p>
    <w:p>
      <w:pPr>
        <w:pStyle w:val="24"/>
        <w:adjustRightInd w:val="0"/>
        <w:snapToGrid w:val="0"/>
        <w:spacing w:line="400" w:lineRule="exact"/>
        <w:rPr>
          <w:rFonts w:hAnsi="宋体"/>
          <w:sz w:val="36"/>
          <w:szCs w:val="36"/>
        </w:rPr>
      </w:pPr>
    </w:p>
    <w:p>
      <w:pPr>
        <w:pStyle w:val="24"/>
        <w:adjustRightInd w:val="0"/>
        <w:snapToGrid w:val="0"/>
        <w:spacing w:line="400" w:lineRule="exact"/>
        <w:rPr>
          <w:rFonts w:hAnsi="宋体"/>
          <w:sz w:val="36"/>
          <w:szCs w:val="36"/>
        </w:rPr>
      </w:pPr>
      <w:r>
        <w:rPr>
          <w:rFonts w:hint="eastAsia" w:hAnsi="宋体"/>
          <w:sz w:val="36"/>
          <w:szCs w:val="36"/>
        </w:rPr>
        <w:t>附件二（一）</w:t>
      </w:r>
    </w:p>
    <w:p>
      <w:pPr>
        <w:pStyle w:val="24"/>
        <w:adjustRightInd w:val="0"/>
        <w:snapToGrid w:val="0"/>
        <w:spacing w:line="400" w:lineRule="exact"/>
        <w:jc w:val="center"/>
        <w:rPr>
          <w:rFonts w:hAnsi="宋体"/>
          <w:sz w:val="36"/>
          <w:szCs w:val="36"/>
        </w:rPr>
      </w:pPr>
      <w:r>
        <w:rPr>
          <w:rFonts w:hint="eastAsia" w:hAnsi="宋体"/>
          <w:sz w:val="36"/>
          <w:szCs w:val="36"/>
        </w:rPr>
        <w:t>开标一览表（初次报价表）</w:t>
      </w:r>
    </w:p>
    <w:p>
      <w:pPr>
        <w:pStyle w:val="24"/>
        <w:adjustRightInd w:val="0"/>
        <w:snapToGrid w:val="0"/>
        <w:spacing w:line="400" w:lineRule="exact"/>
        <w:rPr>
          <w:rFonts w:hAnsi="宋体"/>
          <w:sz w:val="36"/>
          <w:szCs w:val="36"/>
        </w:rPr>
      </w:pPr>
    </w:p>
    <w:p>
      <w:pPr>
        <w:pStyle w:val="24"/>
        <w:adjustRightInd w:val="0"/>
        <w:snapToGrid w:val="0"/>
        <w:spacing w:line="400" w:lineRule="exact"/>
        <w:rPr>
          <w:rFonts w:hAnsi="宋体"/>
          <w:sz w:val="24"/>
        </w:rPr>
      </w:pPr>
      <w:r>
        <w:rPr>
          <w:rFonts w:hint="eastAsia" w:hAnsi="宋体"/>
          <w:sz w:val="24"/>
        </w:rPr>
        <w:t>供应商名称：          招标编号：                           报价单位：人民币/元</w:t>
      </w:r>
    </w:p>
    <w:tbl>
      <w:tblPr>
        <w:tblStyle w:val="38"/>
        <w:tblpPr w:leftFromText="180" w:rightFromText="180" w:vertAnchor="page" w:horzAnchor="margin" w:tblpY="3313"/>
        <w:tblW w:w="9844" w:type="dxa"/>
        <w:tblInd w:w="0" w:type="dxa"/>
        <w:tblLayout w:type="fixed"/>
        <w:tblCellMar>
          <w:top w:w="0" w:type="dxa"/>
          <w:left w:w="108" w:type="dxa"/>
          <w:bottom w:w="0" w:type="dxa"/>
          <w:right w:w="108" w:type="dxa"/>
        </w:tblCellMar>
      </w:tblPr>
      <w:tblGrid>
        <w:gridCol w:w="3936"/>
        <w:gridCol w:w="4110"/>
        <w:gridCol w:w="1798"/>
      </w:tblGrid>
      <w:tr>
        <w:tblPrEx>
          <w:tblCellMar>
            <w:top w:w="0" w:type="dxa"/>
            <w:left w:w="108" w:type="dxa"/>
            <w:bottom w:w="0" w:type="dxa"/>
            <w:right w:w="108" w:type="dxa"/>
          </w:tblCellMar>
        </w:tblPrEx>
        <w:trPr>
          <w:trHeight w:val="1350" w:hRule="atLeast"/>
        </w:trPr>
        <w:tc>
          <w:tcPr>
            <w:tcW w:w="3936" w:type="dxa"/>
            <w:tcBorders>
              <w:top w:val="single" w:color="auto" w:sz="4" w:space="0"/>
              <w:left w:val="single" w:color="auto" w:sz="4" w:space="0"/>
              <w:bottom w:val="single" w:color="auto" w:sz="4" w:space="0"/>
              <w:right w:val="single" w:color="auto" w:sz="8" w:space="0"/>
            </w:tcBorders>
            <w:vAlign w:val="center"/>
          </w:tcPr>
          <w:p>
            <w:pPr>
              <w:rPr>
                <w:rFonts w:ascii="宋体" w:hAnsi="宋体"/>
                <w:color w:val="000000"/>
                <w:sz w:val="22"/>
                <w:szCs w:val="22"/>
              </w:rPr>
            </w:pPr>
            <w:r>
              <w:rPr>
                <w:rFonts w:hint="eastAsia" w:ascii="宋体" w:hAnsi="宋体"/>
                <w:color w:val="000000"/>
                <w:sz w:val="22"/>
                <w:szCs w:val="22"/>
              </w:rPr>
              <w:t>项目名称</w:t>
            </w:r>
          </w:p>
        </w:tc>
        <w:tc>
          <w:tcPr>
            <w:tcW w:w="4110" w:type="dxa"/>
            <w:tcBorders>
              <w:top w:val="single" w:color="auto" w:sz="4" w:space="0"/>
              <w:left w:val="single" w:color="auto" w:sz="4" w:space="0"/>
              <w:bottom w:val="single" w:color="auto" w:sz="4" w:space="0"/>
              <w:right w:val="single" w:color="auto" w:sz="8" w:space="0"/>
            </w:tcBorders>
            <w:vAlign w:val="center"/>
          </w:tcPr>
          <w:p>
            <w:pPr>
              <w:jc w:val="center"/>
              <w:rPr>
                <w:rFonts w:ascii="宋体" w:hAnsi="宋体"/>
                <w:color w:val="000000"/>
                <w:sz w:val="22"/>
                <w:szCs w:val="22"/>
              </w:rPr>
            </w:pPr>
            <w:r>
              <w:rPr>
                <w:rFonts w:hint="eastAsia" w:ascii="宋体" w:hAnsi="宋体"/>
                <w:color w:val="000000"/>
                <w:sz w:val="22"/>
                <w:szCs w:val="22"/>
              </w:rPr>
              <w:t xml:space="preserve">   投标价（元）</w:t>
            </w:r>
          </w:p>
        </w:tc>
        <w:tc>
          <w:tcPr>
            <w:tcW w:w="1798" w:type="dxa"/>
            <w:tcBorders>
              <w:top w:val="single" w:color="auto" w:sz="4" w:space="0"/>
              <w:left w:val="single" w:color="auto" w:sz="4" w:space="0"/>
              <w:bottom w:val="single" w:color="auto" w:sz="4" w:space="0"/>
              <w:right w:val="single" w:color="auto" w:sz="8" w:space="0"/>
            </w:tcBorders>
            <w:vAlign w:val="center"/>
          </w:tcPr>
          <w:p>
            <w:pPr>
              <w:jc w:val="center"/>
              <w:rPr>
                <w:rFonts w:ascii="宋体" w:hAnsi="宋体"/>
                <w:color w:val="000000"/>
                <w:sz w:val="22"/>
                <w:szCs w:val="22"/>
              </w:rPr>
            </w:pPr>
            <w:r>
              <w:rPr>
                <w:rFonts w:hint="eastAsia" w:ascii="宋体" w:hAnsi="宋体"/>
                <w:color w:val="000000"/>
                <w:sz w:val="22"/>
                <w:szCs w:val="22"/>
              </w:rPr>
              <w:t>备注</w:t>
            </w:r>
          </w:p>
        </w:tc>
      </w:tr>
      <w:tr>
        <w:tblPrEx>
          <w:tblCellMar>
            <w:top w:w="0" w:type="dxa"/>
            <w:left w:w="108" w:type="dxa"/>
            <w:bottom w:w="0" w:type="dxa"/>
            <w:right w:w="108" w:type="dxa"/>
          </w:tblCellMar>
        </w:tblPrEx>
        <w:trPr>
          <w:trHeight w:val="1761" w:hRule="atLeast"/>
        </w:trPr>
        <w:tc>
          <w:tcPr>
            <w:tcW w:w="3936" w:type="dxa"/>
            <w:tcBorders>
              <w:top w:val="single" w:color="auto" w:sz="4" w:space="0"/>
              <w:left w:val="single" w:color="auto" w:sz="4" w:space="0"/>
              <w:bottom w:val="single" w:color="auto" w:sz="4" w:space="0"/>
              <w:right w:val="single" w:color="auto" w:sz="8" w:space="0"/>
            </w:tcBorders>
            <w:vAlign w:val="center"/>
          </w:tcPr>
          <w:p>
            <w:pPr>
              <w:rPr>
                <w:rFonts w:ascii="宋体" w:hAnsi="宋体"/>
                <w:color w:val="000000"/>
                <w:sz w:val="22"/>
                <w:szCs w:val="22"/>
              </w:rPr>
            </w:pPr>
            <w:r>
              <w:rPr>
                <w:rFonts w:hint="eastAsia" w:ascii="宋体" w:hAnsi="宋体"/>
                <w:b/>
                <w:bCs/>
                <w:color w:val="000000"/>
                <w:sz w:val="22"/>
                <w:szCs w:val="22"/>
              </w:rPr>
              <w:t>龙港市水利工程运行维修项目</w:t>
            </w:r>
          </w:p>
        </w:tc>
        <w:tc>
          <w:tcPr>
            <w:tcW w:w="4110" w:type="dxa"/>
            <w:tcBorders>
              <w:top w:val="single" w:color="auto" w:sz="4" w:space="0"/>
              <w:left w:val="single" w:color="auto" w:sz="4" w:space="0"/>
              <w:bottom w:val="single" w:color="auto" w:sz="4" w:space="0"/>
              <w:right w:val="single" w:color="auto" w:sz="8" w:space="0"/>
            </w:tcBorders>
            <w:vAlign w:val="center"/>
          </w:tcPr>
          <w:p>
            <w:pPr>
              <w:rPr>
                <w:rFonts w:ascii="宋体" w:hAnsi="宋体"/>
                <w:color w:val="000000"/>
                <w:sz w:val="22"/>
                <w:szCs w:val="22"/>
              </w:rPr>
            </w:pPr>
            <w:r>
              <w:rPr>
                <w:rFonts w:hint="eastAsia" w:ascii="宋体" w:hAnsi="宋体"/>
                <w:color w:val="000000"/>
                <w:sz w:val="22"/>
                <w:szCs w:val="22"/>
              </w:rPr>
              <w:t>大写：</w:t>
            </w:r>
          </w:p>
          <w:p>
            <w:pPr>
              <w:rPr>
                <w:rFonts w:ascii="宋体" w:hAnsi="宋体"/>
                <w:color w:val="000000"/>
                <w:sz w:val="22"/>
                <w:szCs w:val="22"/>
              </w:rPr>
            </w:pPr>
          </w:p>
          <w:p>
            <w:pPr>
              <w:rPr>
                <w:rFonts w:ascii="宋体" w:hAnsi="宋体"/>
                <w:color w:val="000000"/>
                <w:sz w:val="22"/>
                <w:szCs w:val="22"/>
              </w:rPr>
            </w:pPr>
            <w:r>
              <w:rPr>
                <w:rFonts w:hint="eastAsia" w:ascii="宋体" w:hAnsi="宋体"/>
                <w:color w:val="000000"/>
                <w:sz w:val="22"/>
                <w:szCs w:val="22"/>
              </w:rPr>
              <w:t>小写：</w:t>
            </w:r>
          </w:p>
        </w:tc>
        <w:tc>
          <w:tcPr>
            <w:tcW w:w="1798" w:type="dxa"/>
            <w:tcBorders>
              <w:top w:val="single" w:color="auto" w:sz="4" w:space="0"/>
              <w:left w:val="single" w:color="auto" w:sz="4" w:space="0"/>
              <w:bottom w:val="single" w:color="auto" w:sz="4" w:space="0"/>
              <w:right w:val="single" w:color="auto" w:sz="8" w:space="0"/>
            </w:tcBorders>
            <w:vAlign w:val="center"/>
          </w:tcPr>
          <w:p>
            <w:pPr>
              <w:rPr>
                <w:rFonts w:ascii="宋体" w:hAnsi="宋体"/>
                <w:color w:val="000000"/>
                <w:sz w:val="22"/>
                <w:szCs w:val="22"/>
              </w:rPr>
            </w:pPr>
          </w:p>
        </w:tc>
      </w:tr>
      <w:tr>
        <w:tblPrEx>
          <w:tblCellMar>
            <w:top w:w="0" w:type="dxa"/>
            <w:left w:w="108" w:type="dxa"/>
            <w:bottom w:w="0" w:type="dxa"/>
            <w:right w:w="108" w:type="dxa"/>
          </w:tblCellMar>
        </w:tblPrEx>
        <w:trPr>
          <w:trHeight w:val="824" w:hRule="atLeast"/>
        </w:trPr>
        <w:tc>
          <w:tcPr>
            <w:tcW w:w="3936" w:type="dxa"/>
            <w:tcBorders>
              <w:top w:val="single" w:color="auto" w:sz="4" w:space="0"/>
              <w:left w:val="single" w:color="auto" w:sz="4" w:space="0"/>
              <w:bottom w:val="single" w:color="auto" w:sz="4" w:space="0"/>
              <w:right w:val="single" w:color="auto" w:sz="8" w:space="0"/>
            </w:tcBorders>
            <w:vAlign w:val="center"/>
          </w:tcPr>
          <w:p>
            <w:pPr>
              <w:jc w:val="center"/>
              <w:rPr>
                <w:rFonts w:ascii="宋体" w:hAnsi="宋体"/>
                <w:b/>
                <w:bCs/>
                <w:color w:val="000000"/>
                <w:sz w:val="22"/>
                <w:szCs w:val="22"/>
              </w:rPr>
            </w:pPr>
            <w:r>
              <w:rPr>
                <w:rFonts w:hint="eastAsia" w:ascii="宋体" w:hAnsi="宋体"/>
                <w:sz w:val="22"/>
                <w:szCs w:val="22"/>
              </w:rPr>
              <w:t>项目负责人</w:t>
            </w:r>
          </w:p>
        </w:tc>
        <w:tc>
          <w:tcPr>
            <w:tcW w:w="5908"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color w:val="000000"/>
                <w:sz w:val="22"/>
                <w:szCs w:val="22"/>
              </w:rPr>
            </w:pPr>
          </w:p>
        </w:tc>
      </w:tr>
      <w:tr>
        <w:tblPrEx>
          <w:tblCellMar>
            <w:top w:w="0" w:type="dxa"/>
            <w:left w:w="108" w:type="dxa"/>
            <w:bottom w:w="0" w:type="dxa"/>
            <w:right w:w="108" w:type="dxa"/>
          </w:tblCellMar>
        </w:tblPrEx>
        <w:trPr>
          <w:trHeight w:val="824" w:hRule="atLeast"/>
        </w:trPr>
        <w:tc>
          <w:tcPr>
            <w:tcW w:w="3936" w:type="dxa"/>
            <w:tcBorders>
              <w:top w:val="single" w:color="auto" w:sz="4" w:space="0"/>
              <w:left w:val="single" w:color="auto" w:sz="4" w:space="0"/>
              <w:bottom w:val="single" w:color="auto" w:sz="4" w:space="0"/>
              <w:right w:val="single" w:color="auto" w:sz="8" w:space="0"/>
            </w:tcBorders>
            <w:vAlign w:val="center"/>
          </w:tcPr>
          <w:p>
            <w:pPr>
              <w:jc w:val="center"/>
              <w:rPr>
                <w:rFonts w:ascii="宋体" w:hAnsi="宋体"/>
                <w:b/>
                <w:bCs/>
                <w:color w:val="000000"/>
                <w:sz w:val="22"/>
                <w:szCs w:val="22"/>
              </w:rPr>
            </w:pPr>
            <w:r>
              <w:rPr>
                <w:rFonts w:hint="eastAsia" w:ascii="宋体" w:hAnsi="宋体"/>
                <w:sz w:val="22"/>
                <w:szCs w:val="22"/>
              </w:rPr>
              <w:t>服务期</w:t>
            </w:r>
          </w:p>
        </w:tc>
        <w:tc>
          <w:tcPr>
            <w:tcW w:w="5908"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color w:val="000000"/>
                <w:sz w:val="22"/>
                <w:szCs w:val="22"/>
              </w:rPr>
            </w:pPr>
          </w:p>
        </w:tc>
      </w:tr>
    </w:tbl>
    <w:p>
      <w:pPr>
        <w:spacing w:line="360" w:lineRule="exact"/>
        <w:ind w:left="286" w:hanging="286" w:hangingChars="130"/>
        <w:rPr>
          <w:rFonts w:ascii="宋体" w:hAnsi="宋体"/>
          <w:color w:val="000000"/>
          <w:sz w:val="22"/>
          <w:szCs w:val="22"/>
        </w:rPr>
      </w:pPr>
      <w:r>
        <w:rPr>
          <w:rFonts w:hint="eastAsia" w:hAnsi="宋体"/>
          <w:color w:val="000000"/>
          <w:sz w:val="22"/>
          <w:szCs w:val="22"/>
        </w:rPr>
        <w:t>★</w:t>
      </w:r>
      <w:r>
        <w:rPr>
          <w:rFonts w:hint="eastAsia" w:ascii="宋体" w:hAnsi="宋体"/>
          <w:color w:val="000000"/>
          <w:sz w:val="22"/>
          <w:szCs w:val="22"/>
        </w:rPr>
        <w:t>1.投标报价是指投标供应商在承包区域内提供管理服务所需的人工费、设施维修费、福利、劳保用品、工作服装、保洁工具费及其维修、迎检加班和突发处置费用等作业成本以及适当的管理费用、利润、风险（有关工伤人身意外保险、第三者责任险、处理一切伤亡事故等费用）、招标代理费等其他一切费用。</w:t>
      </w:r>
    </w:p>
    <w:p>
      <w:pPr>
        <w:spacing w:line="360" w:lineRule="exact"/>
        <w:ind w:left="286" w:hanging="286" w:hangingChars="130"/>
        <w:rPr>
          <w:rFonts w:ascii="宋体" w:hAnsi="宋体"/>
          <w:color w:val="000000"/>
          <w:sz w:val="22"/>
          <w:szCs w:val="22"/>
        </w:rPr>
      </w:pPr>
      <w:r>
        <w:rPr>
          <w:rFonts w:hint="eastAsia" w:ascii="宋体" w:hAnsi="宋体"/>
          <w:color w:val="000000"/>
          <w:sz w:val="22"/>
        </w:rPr>
        <w:t>2.投标报价为承包报价。</w:t>
      </w:r>
    </w:p>
    <w:p>
      <w:pPr>
        <w:spacing w:line="360" w:lineRule="exact"/>
        <w:ind w:left="220" w:hanging="220" w:hangingChars="100"/>
        <w:rPr>
          <w:rFonts w:ascii="宋体" w:hAnsi="宋体"/>
          <w:color w:val="000000"/>
          <w:sz w:val="22"/>
          <w:szCs w:val="22"/>
        </w:rPr>
      </w:pPr>
      <w:r>
        <w:rPr>
          <w:rFonts w:hint="eastAsia" w:ascii="宋体" w:hAnsi="宋体"/>
          <w:color w:val="000000"/>
          <w:sz w:val="22"/>
          <w:szCs w:val="22"/>
        </w:rPr>
        <w:t xml:space="preserve">3.此投标报价一览表中投标报价应与附件二（二）对应的“详细分项报价表”中“总计价”相一致。 </w:t>
      </w:r>
    </w:p>
    <w:p>
      <w:pPr>
        <w:spacing w:line="380" w:lineRule="exact"/>
        <w:ind w:left="528" w:leftChars="-15" w:hanging="559" w:hangingChars="253"/>
        <w:rPr>
          <w:rFonts w:ascii="新宋体" w:hAnsi="新宋体" w:eastAsia="新宋体"/>
          <w:b/>
          <w:color w:val="000000"/>
          <w:sz w:val="22"/>
        </w:rPr>
      </w:pPr>
      <w:r>
        <w:rPr>
          <w:rFonts w:hint="eastAsia" w:ascii="宋体" w:hAnsi="宋体"/>
          <w:b/>
          <w:color w:val="000000"/>
          <w:sz w:val="22"/>
          <w:szCs w:val="22"/>
        </w:rPr>
        <w:t>4.此表不得自行增减内容，不提供此表格将被视为没有实质性响应磋商文件,其磋商响应文件将被拒绝。</w:t>
      </w:r>
    </w:p>
    <w:p>
      <w:pPr>
        <w:autoSpaceDE w:val="0"/>
        <w:autoSpaceDN w:val="0"/>
        <w:adjustRightInd w:val="0"/>
        <w:spacing w:line="440" w:lineRule="atLeast"/>
        <w:rPr>
          <w:rFonts w:ascii="宋体" w:cs="仿宋_GB2312"/>
          <w:sz w:val="24"/>
          <w:lang w:val="zh-CN"/>
        </w:rPr>
      </w:pPr>
    </w:p>
    <w:p>
      <w:pPr>
        <w:autoSpaceDE w:val="0"/>
        <w:autoSpaceDN w:val="0"/>
        <w:adjustRightInd w:val="0"/>
        <w:spacing w:line="440" w:lineRule="atLeast"/>
        <w:rPr>
          <w:rFonts w:ascii="宋体" w:cs="仿宋_GB2312"/>
          <w:sz w:val="24"/>
          <w:lang w:val="zh-CN"/>
        </w:rPr>
      </w:pPr>
      <w:r>
        <w:rPr>
          <w:rFonts w:hint="eastAsia" w:ascii="宋体" w:cs="仿宋_GB2312"/>
          <w:sz w:val="24"/>
          <w:lang w:val="zh-CN"/>
        </w:rPr>
        <w:t>供应商全称（盖章）：</w:t>
      </w:r>
    </w:p>
    <w:p>
      <w:pPr>
        <w:autoSpaceDE w:val="0"/>
        <w:autoSpaceDN w:val="0"/>
        <w:adjustRightInd w:val="0"/>
        <w:spacing w:line="440" w:lineRule="atLeast"/>
        <w:rPr>
          <w:rFonts w:ascii="宋体" w:cs="仿宋_GB2312"/>
          <w:sz w:val="24"/>
          <w:lang w:val="zh-CN"/>
        </w:rPr>
      </w:pPr>
    </w:p>
    <w:p>
      <w:pPr>
        <w:autoSpaceDE w:val="0"/>
        <w:autoSpaceDN w:val="0"/>
        <w:adjustRightInd w:val="0"/>
        <w:spacing w:line="440" w:lineRule="atLeast"/>
        <w:rPr>
          <w:rFonts w:ascii="宋体" w:cs="仿宋_GB2312"/>
          <w:sz w:val="24"/>
          <w:lang w:val="zh-CN"/>
        </w:rPr>
      </w:pPr>
      <w:r>
        <w:rPr>
          <w:rFonts w:hint="eastAsia" w:ascii="宋体" w:cs="仿宋_GB2312"/>
          <w:sz w:val="24"/>
          <w:lang w:val="zh-CN"/>
        </w:rPr>
        <w:t>授权代表（签字）：</w:t>
      </w:r>
    </w:p>
    <w:p>
      <w:pPr>
        <w:autoSpaceDE w:val="0"/>
        <w:autoSpaceDN w:val="0"/>
        <w:adjustRightInd w:val="0"/>
        <w:spacing w:line="440" w:lineRule="atLeast"/>
        <w:rPr>
          <w:rFonts w:ascii="宋体" w:cs="仿宋_GB2312"/>
          <w:sz w:val="24"/>
          <w:lang w:val="zh-CN"/>
        </w:rPr>
      </w:pPr>
    </w:p>
    <w:p>
      <w:pPr>
        <w:autoSpaceDE w:val="0"/>
        <w:autoSpaceDN w:val="0"/>
        <w:adjustRightInd w:val="0"/>
        <w:spacing w:line="440" w:lineRule="atLeast"/>
        <w:rPr>
          <w:rFonts w:hAnsi="宋体"/>
          <w:sz w:val="36"/>
          <w:szCs w:val="36"/>
        </w:rPr>
      </w:pPr>
      <w:r>
        <w:rPr>
          <w:rFonts w:hint="eastAsia" w:ascii="宋体" w:cs="仿宋_GB2312"/>
          <w:sz w:val="24"/>
          <w:lang w:val="zh-CN"/>
        </w:rPr>
        <w:t>日           期：</w:t>
      </w:r>
    </w:p>
    <w:p>
      <w:pPr>
        <w:sectPr>
          <w:pgSz w:w="11906" w:h="16838"/>
          <w:pgMar w:top="1134" w:right="1134" w:bottom="1134" w:left="1134" w:header="851" w:footer="992" w:gutter="0"/>
          <w:cols w:space="720" w:num="1"/>
          <w:docGrid w:type="lines" w:linePitch="312" w:charSpace="0"/>
        </w:sectPr>
      </w:pPr>
    </w:p>
    <w:p>
      <w:pPr>
        <w:pStyle w:val="24"/>
        <w:adjustRightInd w:val="0"/>
        <w:snapToGrid w:val="0"/>
        <w:spacing w:line="460" w:lineRule="atLeast"/>
        <w:ind w:firstLine="150" w:firstLineChars="50"/>
        <w:rPr>
          <w:rFonts w:hAnsi="宋体"/>
          <w:sz w:val="30"/>
        </w:rPr>
      </w:pPr>
      <w:r>
        <w:rPr>
          <w:rFonts w:hint="eastAsia" w:hAnsi="宋体"/>
          <w:sz w:val="30"/>
        </w:rPr>
        <w:t xml:space="preserve">附件二（二）    </w:t>
      </w:r>
    </w:p>
    <w:p>
      <w:pPr>
        <w:spacing w:line="460" w:lineRule="exact"/>
        <w:jc w:val="center"/>
        <w:rPr>
          <w:rFonts w:ascii="新宋体" w:hAnsi="新宋体" w:eastAsia="新宋体"/>
          <w:bCs/>
          <w:sz w:val="36"/>
          <w:szCs w:val="36"/>
        </w:rPr>
      </w:pPr>
      <w:r>
        <w:rPr>
          <w:rFonts w:hint="eastAsia" w:ascii="新宋体" w:hAnsi="新宋体" w:eastAsia="新宋体"/>
          <w:b/>
          <w:bCs/>
          <w:sz w:val="36"/>
          <w:szCs w:val="36"/>
        </w:rPr>
        <w:t>投 标 分 项 报 价 表</w:t>
      </w:r>
    </w:p>
    <w:p>
      <w:pPr>
        <w:rPr>
          <w:rFonts w:ascii="宋体" w:hAnsi="宋体"/>
          <w:b/>
          <w:color w:val="000000"/>
          <w:sz w:val="22"/>
          <w:szCs w:val="22"/>
        </w:rPr>
      </w:pPr>
    </w:p>
    <w:p>
      <w:pPr>
        <w:rPr>
          <w:rFonts w:ascii="宋体" w:hAnsi="宋体"/>
          <w:b/>
          <w:color w:val="000000"/>
          <w:sz w:val="22"/>
          <w:szCs w:val="22"/>
        </w:rPr>
      </w:pPr>
      <w:r>
        <w:rPr>
          <w:rFonts w:hint="eastAsia" w:ascii="宋体" w:hAnsi="宋体"/>
          <w:b/>
          <w:color w:val="000000"/>
          <w:sz w:val="22"/>
          <w:szCs w:val="22"/>
        </w:rPr>
        <w:t>项目名称：                            项目编号：           【价格单位：元】</w:t>
      </w:r>
    </w:p>
    <w:tbl>
      <w:tblPr>
        <w:tblStyle w:val="38"/>
        <w:tblW w:w="941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949"/>
        <w:gridCol w:w="280"/>
        <w:gridCol w:w="288"/>
        <w:gridCol w:w="1047"/>
        <w:gridCol w:w="1035"/>
        <w:gridCol w:w="445"/>
        <w:gridCol w:w="590"/>
        <w:gridCol w:w="1037"/>
        <w:gridCol w:w="1627"/>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475" w:type="dxa"/>
            <w:vAlign w:val="center"/>
          </w:tcPr>
          <w:p>
            <w:pPr>
              <w:jc w:val="center"/>
              <w:rPr>
                <w:rFonts w:ascii="宋体" w:hAnsi="宋体"/>
                <w:b/>
                <w:color w:val="000000"/>
                <w:sz w:val="22"/>
                <w:szCs w:val="22"/>
              </w:rPr>
            </w:pPr>
            <w:r>
              <w:rPr>
                <w:rFonts w:hint="eastAsia" w:ascii="宋体" w:hAnsi="宋体"/>
                <w:b/>
                <w:color w:val="000000"/>
                <w:sz w:val="22"/>
                <w:szCs w:val="22"/>
              </w:rPr>
              <w:t>序号</w:t>
            </w:r>
          </w:p>
        </w:tc>
        <w:tc>
          <w:tcPr>
            <w:tcW w:w="2564" w:type="dxa"/>
            <w:gridSpan w:val="4"/>
            <w:vAlign w:val="center"/>
          </w:tcPr>
          <w:p>
            <w:pPr>
              <w:jc w:val="center"/>
              <w:rPr>
                <w:rFonts w:ascii="宋体" w:hAnsi="宋体"/>
                <w:b/>
                <w:color w:val="000000"/>
                <w:sz w:val="22"/>
                <w:szCs w:val="22"/>
              </w:rPr>
            </w:pPr>
            <w:r>
              <w:rPr>
                <w:rFonts w:hint="eastAsia" w:ascii="宋体" w:hAnsi="宋体"/>
                <w:b/>
                <w:color w:val="000000"/>
                <w:sz w:val="22"/>
                <w:szCs w:val="22"/>
              </w:rPr>
              <w:t>项目</w:t>
            </w:r>
          </w:p>
        </w:tc>
        <w:tc>
          <w:tcPr>
            <w:tcW w:w="1035" w:type="dxa"/>
            <w:vAlign w:val="center"/>
          </w:tcPr>
          <w:p>
            <w:pPr>
              <w:jc w:val="center"/>
              <w:rPr>
                <w:rFonts w:ascii="宋体" w:hAnsi="宋体"/>
                <w:b/>
                <w:color w:val="000000"/>
                <w:sz w:val="22"/>
                <w:szCs w:val="22"/>
              </w:rPr>
            </w:pPr>
            <w:r>
              <w:rPr>
                <w:rFonts w:hint="eastAsia" w:ascii="宋体" w:hAnsi="宋体"/>
                <w:b/>
                <w:color w:val="000000"/>
                <w:sz w:val="22"/>
                <w:szCs w:val="22"/>
              </w:rPr>
              <w:t>月支出</w:t>
            </w:r>
          </w:p>
        </w:tc>
        <w:tc>
          <w:tcPr>
            <w:tcW w:w="1035" w:type="dxa"/>
            <w:gridSpan w:val="2"/>
            <w:vAlign w:val="center"/>
          </w:tcPr>
          <w:p>
            <w:pPr>
              <w:jc w:val="center"/>
              <w:rPr>
                <w:rFonts w:ascii="宋体" w:hAnsi="宋体"/>
                <w:b/>
                <w:color w:val="000000"/>
                <w:sz w:val="22"/>
                <w:szCs w:val="22"/>
              </w:rPr>
            </w:pPr>
            <w:r>
              <w:rPr>
                <w:rFonts w:hint="eastAsia" w:ascii="宋体" w:hAnsi="宋体"/>
                <w:b/>
                <w:color w:val="000000"/>
                <w:sz w:val="22"/>
                <w:szCs w:val="22"/>
              </w:rPr>
              <w:t>月数</w:t>
            </w:r>
          </w:p>
        </w:tc>
        <w:tc>
          <w:tcPr>
            <w:tcW w:w="1037" w:type="dxa"/>
            <w:vAlign w:val="center"/>
          </w:tcPr>
          <w:p>
            <w:pPr>
              <w:jc w:val="center"/>
              <w:rPr>
                <w:rFonts w:ascii="宋体" w:hAnsi="宋体"/>
                <w:b/>
                <w:color w:val="000000"/>
                <w:sz w:val="22"/>
                <w:szCs w:val="22"/>
              </w:rPr>
            </w:pPr>
            <w:r>
              <w:rPr>
                <w:rFonts w:hint="eastAsia" w:ascii="宋体" w:hAnsi="宋体"/>
                <w:b/>
                <w:color w:val="000000"/>
                <w:sz w:val="22"/>
                <w:szCs w:val="22"/>
              </w:rPr>
              <w:t>人数</w:t>
            </w:r>
          </w:p>
        </w:tc>
        <w:tc>
          <w:tcPr>
            <w:tcW w:w="1627" w:type="dxa"/>
            <w:vAlign w:val="center"/>
          </w:tcPr>
          <w:p>
            <w:pPr>
              <w:jc w:val="center"/>
              <w:rPr>
                <w:rFonts w:ascii="宋体" w:hAnsi="宋体"/>
                <w:b/>
                <w:color w:val="000000"/>
                <w:sz w:val="22"/>
                <w:szCs w:val="22"/>
              </w:rPr>
            </w:pPr>
            <w:r>
              <w:rPr>
                <w:rFonts w:hint="eastAsia" w:ascii="宋体" w:hAnsi="宋体"/>
                <w:b/>
                <w:color w:val="000000"/>
                <w:sz w:val="22"/>
                <w:szCs w:val="22"/>
              </w:rPr>
              <w:t>小计支出</w:t>
            </w:r>
          </w:p>
        </w:tc>
        <w:tc>
          <w:tcPr>
            <w:tcW w:w="1645" w:type="dxa"/>
            <w:vAlign w:val="center"/>
          </w:tcPr>
          <w:p>
            <w:pPr>
              <w:jc w:val="center"/>
              <w:rPr>
                <w:rFonts w:ascii="宋体" w:hAnsi="宋体"/>
                <w:b/>
                <w:color w:val="000000"/>
                <w:sz w:val="22"/>
                <w:szCs w:val="22"/>
              </w:rPr>
            </w:pPr>
            <w:r>
              <w:rPr>
                <w:rFonts w:hint="eastAsia" w:ascii="宋体" w:hAnsi="宋体"/>
                <w:b/>
                <w:color w:val="000000"/>
                <w:sz w:val="22"/>
                <w:szCs w:val="2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475" w:type="dxa"/>
            <w:vMerge w:val="restart"/>
            <w:vAlign w:val="center"/>
          </w:tcPr>
          <w:p>
            <w:pPr>
              <w:jc w:val="center"/>
              <w:rPr>
                <w:rFonts w:ascii="宋体" w:hAnsi="宋体"/>
                <w:b/>
                <w:color w:val="000000"/>
                <w:sz w:val="22"/>
                <w:szCs w:val="22"/>
              </w:rPr>
            </w:pPr>
            <w:r>
              <w:rPr>
                <w:rFonts w:hint="eastAsia" w:ascii="宋体" w:hAnsi="宋体"/>
                <w:b/>
                <w:color w:val="000000"/>
                <w:sz w:val="22"/>
                <w:szCs w:val="22"/>
              </w:rPr>
              <w:t>一</w:t>
            </w:r>
          </w:p>
        </w:tc>
        <w:tc>
          <w:tcPr>
            <w:tcW w:w="949" w:type="dxa"/>
            <w:vMerge w:val="restart"/>
            <w:vAlign w:val="center"/>
          </w:tcPr>
          <w:p>
            <w:pPr>
              <w:jc w:val="center"/>
              <w:rPr>
                <w:rFonts w:ascii="宋体" w:hAnsi="宋体"/>
                <w:b/>
                <w:color w:val="000000"/>
                <w:sz w:val="22"/>
                <w:szCs w:val="22"/>
              </w:rPr>
            </w:pPr>
            <w:r>
              <w:rPr>
                <w:rFonts w:hint="eastAsia" w:ascii="宋体" w:hAnsi="宋体"/>
                <w:b/>
                <w:color w:val="000000"/>
                <w:sz w:val="22"/>
                <w:szCs w:val="22"/>
              </w:rPr>
              <w:t>人员费用</w:t>
            </w:r>
          </w:p>
        </w:tc>
        <w:tc>
          <w:tcPr>
            <w:tcW w:w="1615" w:type="dxa"/>
            <w:gridSpan w:val="3"/>
            <w:vAlign w:val="center"/>
          </w:tcPr>
          <w:p>
            <w:pPr>
              <w:jc w:val="center"/>
              <w:rPr>
                <w:rFonts w:ascii="宋体" w:hAnsi="宋体"/>
                <w:b/>
                <w:color w:val="000000"/>
                <w:sz w:val="22"/>
                <w:szCs w:val="22"/>
              </w:rPr>
            </w:pPr>
            <w:r>
              <w:rPr>
                <w:rFonts w:hint="eastAsia" w:ascii="宋体" w:hAnsi="宋体"/>
                <w:b/>
                <w:color w:val="000000"/>
                <w:sz w:val="22"/>
                <w:szCs w:val="22"/>
              </w:rPr>
              <w:t>项目负责人</w:t>
            </w:r>
          </w:p>
        </w:tc>
        <w:tc>
          <w:tcPr>
            <w:tcW w:w="1035" w:type="dxa"/>
            <w:vAlign w:val="center"/>
          </w:tcPr>
          <w:p>
            <w:pPr>
              <w:jc w:val="center"/>
              <w:rPr>
                <w:rFonts w:ascii="宋体" w:hAnsi="宋体"/>
                <w:b/>
                <w:color w:val="000000"/>
                <w:sz w:val="22"/>
                <w:szCs w:val="22"/>
              </w:rPr>
            </w:pPr>
          </w:p>
        </w:tc>
        <w:tc>
          <w:tcPr>
            <w:tcW w:w="1035" w:type="dxa"/>
            <w:gridSpan w:val="2"/>
            <w:vAlign w:val="center"/>
          </w:tcPr>
          <w:p>
            <w:pPr>
              <w:jc w:val="center"/>
              <w:rPr>
                <w:rFonts w:ascii="宋体" w:hAnsi="宋体"/>
                <w:b/>
                <w:color w:val="000000"/>
                <w:sz w:val="22"/>
                <w:szCs w:val="22"/>
              </w:rPr>
            </w:pPr>
          </w:p>
        </w:tc>
        <w:tc>
          <w:tcPr>
            <w:tcW w:w="1037" w:type="dxa"/>
            <w:vAlign w:val="center"/>
          </w:tcPr>
          <w:p>
            <w:pPr>
              <w:jc w:val="center"/>
              <w:rPr>
                <w:rFonts w:ascii="宋体" w:hAnsi="宋体"/>
                <w:b/>
                <w:color w:val="000000"/>
                <w:sz w:val="22"/>
                <w:szCs w:val="22"/>
              </w:rPr>
            </w:pPr>
          </w:p>
        </w:tc>
        <w:tc>
          <w:tcPr>
            <w:tcW w:w="1627" w:type="dxa"/>
            <w:vAlign w:val="center"/>
          </w:tcPr>
          <w:p>
            <w:pPr>
              <w:jc w:val="center"/>
              <w:rPr>
                <w:rFonts w:ascii="宋体" w:hAnsi="宋体"/>
                <w:b/>
                <w:color w:val="000000"/>
                <w:sz w:val="22"/>
                <w:szCs w:val="22"/>
              </w:rPr>
            </w:pPr>
          </w:p>
        </w:tc>
        <w:tc>
          <w:tcPr>
            <w:tcW w:w="1645" w:type="dxa"/>
            <w:vAlign w:val="center"/>
          </w:tcPr>
          <w:p>
            <w:pPr>
              <w:jc w:val="center"/>
              <w:rPr>
                <w:rFonts w:ascii="宋体" w:hAnsi="宋体"/>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475" w:type="dxa"/>
            <w:vMerge w:val="continue"/>
            <w:vAlign w:val="center"/>
          </w:tcPr>
          <w:p>
            <w:pPr>
              <w:jc w:val="center"/>
              <w:rPr>
                <w:rFonts w:ascii="宋体" w:hAnsi="宋体"/>
                <w:b/>
                <w:color w:val="000000"/>
                <w:sz w:val="22"/>
                <w:szCs w:val="22"/>
              </w:rPr>
            </w:pPr>
          </w:p>
        </w:tc>
        <w:tc>
          <w:tcPr>
            <w:tcW w:w="949" w:type="dxa"/>
            <w:vMerge w:val="continue"/>
            <w:vAlign w:val="center"/>
          </w:tcPr>
          <w:p>
            <w:pPr>
              <w:jc w:val="center"/>
              <w:rPr>
                <w:rFonts w:ascii="宋体" w:hAnsi="宋体"/>
                <w:b/>
                <w:color w:val="000000"/>
                <w:sz w:val="22"/>
                <w:szCs w:val="22"/>
              </w:rPr>
            </w:pPr>
          </w:p>
        </w:tc>
        <w:tc>
          <w:tcPr>
            <w:tcW w:w="1615" w:type="dxa"/>
            <w:gridSpan w:val="3"/>
            <w:vAlign w:val="center"/>
          </w:tcPr>
          <w:p>
            <w:pPr>
              <w:jc w:val="center"/>
              <w:rPr>
                <w:rFonts w:ascii="宋体" w:hAnsi="宋体"/>
                <w:b/>
                <w:color w:val="000000"/>
                <w:sz w:val="22"/>
                <w:szCs w:val="22"/>
              </w:rPr>
            </w:pPr>
            <w:r>
              <w:rPr>
                <w:rFonts w:hint="eastAsia" w:ascii="宋体" w:hAnsi="宋体"/>
                <w:b/>
                <w:color w:val="000000"/>
                <w:sz w:val="22"/>
                <w:szCs w:val="22"/>
              </w:rPr>
              <w:t>项目技术负责人</w:t>
            </w:r>
          </w:p>
        </w:tc>
        <w:tc>
          <w:tcPr>
            <w:tcW w:w="1035" w:type="dxa"/>
            <w:vAlign w:val="center"/>
          </w:tcPr>
          <w:p>
            <w:pPr>
              <w:jc w:val="center"/>
              <w:rPr>
                <w:rFonts w:ascii="宋体" w:hAnsi="宋体"/>
                <w:b/>
                <w:color w:val="000000"/>
                <w:sz w:val="22"/>
                <w:szCs w:val="22"/>
              </w:rPr>
            </w:pPr>
          </w:p>
        </w:tc>
        <w:tc>
          <w:tcPr>
            <w:tcW w:w="1035" w:type="dxa"/>
            <w:gridSpan w:val="2"/>
            <w:vAlign w:val="center"/>
          </w:tcPr>
          <w:p>
            <w:pPr>
              <w:jc w:val="center"/>
              <w:rPr>
                <w:rFonts w:ascii="宋体" w:hAnsi="宋体"/>
                <w:b/>
                <w:color w:val="000000"/>
                <w:sz w:val="22"/>
                <w:szCs w:val="22"/>
              </w:rPr>
            </w:pPr>
          </w:p>
        </w:tc>
        <w:tc>
          <w:tcPr>
            <w:tcW w:w="1037" w:type="dxa"/>
            <w:vAlign w:val="center"/>
          </w:tcPr>
          <w:p>
            <w:pPr>
              <w:jc w:val="center"/>
              <w:rPr>
                <w:rFonts w:ascii="宋体" w:hAnsi="宋体"/>
                <w:b/>
                <w:color w:val="000000"/>
                <w:sz w:val="22"/>
                <w:szCs w:val="22"/>
              </w:rPr>
            </w:pPr>
          </w:p>
        </w:tc>
        <w:tc>
          <w:tcPr>
            <w:tcW w:w="1627" w:type="dxa"/>
            <w:vAlign w:val="center"/>
          </w:tcPr>
          <w:p>
            <w:pPr>
              <w:jc w:val="center"/>
              <w:rPr>
                <w:rFonts w:ascii="宋体" w:hAnsi="宋体"/>
                <w:b/>
                <w:color w:val="000000"/>
                <w:sz w:val="22"/>
                <w:szCs w:val="22"/>
              </w:rPr>
            </w:pPr>
          </w:p>
        </w:tc>
        <w:tc>
          <w:tcPr>
            <w:tcW w:w="1645" w:type="dxa"/>
            <w:vAlign w:val="center"/>
          </w:tcPr>
          <w:p>
            <w:pPr>
              <w:jc w:val="center"/>
              <w:rPr>
                <w:rFonts w:ascii="宋体" w:hAnsi="宋体"/>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475" w:type="dxa"/>
            <w:vMerge w:val="continue"/>
            <w:vAlign w:val="center"/>
          </w:tcPr>
          <w:p>
            <w:pPr>
              <w:jc w:val="center"/>
              <w:rPr>
                <w:rFonts w:ascii="宋体" w:hAnsi="宋体"/>
                <w:b/>
                <w:color w:val="000000"/>
                <w:sz w:val="22"/>
                <w:szCs w:val="22"/>
              </w:rPr>
            </w:pPr>
          </w:p>
        </w:tc>
        <w:tc>
          <w:tcPr>
            <w:tcW w:w="949" w:type="dxa"/>
            <w:vMerge w:val="continue"/>
            <w:vAlign w:val="center"/>
          </w:tcPr>
          <w:p>
            <w:pPr>
              <w:jc w:val="center"/>
              <w:rPr>
                <w:rFonts w:ascii="宋体" w:hAnsi="宋体"/>
                <w:b/>
                <w:color w:val="000000"/>
                <w:sz w:val="22"/>
                <w:szCs w:val="22"/>
              </w:rPr>
            </w:pPr>
          </w:p>
        </w:tc>
        <w:tc>
          <w:tcPr>
            <w:tcW w:w="568" w:type="dxa"/>
            <w:gridSpan w:val="2"/>
            <w:vMerge w:val="restart"/>
            <w:vAlign w:val="center"/>
          </w:tcPr>
          <w:p>
            <w:pPr>
              <w:jc w:val="center"/>
              <w:rPr>
                <w:rFonts w:ascii="宋体" w:hAnsi="宋体"/>
                <w:b/>
                <w:color w:val="000000"/>
                <w:sz w:val="22"/>
                <w:szCs w:val="22"/>
              </w:rPr>
            </w:pPr>
            <w:r>
              <w:rPr>
                <w:rFonts w:hint="eastAsia" w:ascii="宋体" w:hAnsi="宋体"/>
                <w:b/>
                <w:color w:val="000000"/>
                <w:sz w:val="22"/>
                <w:szCs w:val="22"/>
              </w:rPr>
              <w:t>专业人员</w:t>
            </w:r>
          </w:p>
        </w:tc>
        <w:tc>
          <w:tcPr>
            <w:tcW w:w="1047" w:type="dxa"/>
            <w:vAlign w:val="center"/>
          </w:tcPr>
          <w:p>
            <w:pPr>
              <w:jc w:val="center"/>
              <w:rPr>
                <w:rFonts w:ascii="宋体" w:hAnsi="宋体"/>
                <w:b/>
                <w:color w:val="000000"/>
                <w:sz w:val="22"/>
                <w:szCs w:val="22"/>
              </w:rPr>
            </w:pPr>
            <w:r>
              <w:rPr>
                <w:rFonts w:hint="eastAsia" w:ascii="宋体" w:hAnsi="宋体"/>
                <w:b/>
                <w:color w:val="000000"/>
                <w:sz w:val="22"/>
                <w:szCs w:val="22"/>
              </w:rPr>
              <w:t>工程综合管理</w:t>
            </w:r>
          </w:p>
        </w:tc>
        <w:tc>
          <w:tcPr>
            <w:tcW w:w="1035" w:type="dxa"/>
            <w:vAlign w:val="center"/>
          </w:tcPr>
          <w:p>
            <w:pPr>
              <w:jc w:val="center"/>
              <w:rPr>
                <w:rFonts w:ascii="宋体" w:hAnsi="宋体"/>
                <w:b/>
                <w:color w:val="000000"/>
                <w:sz w:val="22"/>
                <w:szCs w:val="22"/>
              </w:rPr>
            </w:pPr>
          </w:p>
        </w:tc>
        <w:tc>
          <w:tcPr>
            <w:tcW w:w="1035" w:type="dxa"/>
            <w:gridSpan w:val="2"/>
            <w:vAlign w:val="center"/>
          </w:tcPr>
          <w:p>
            <w:pPr>
              <w:jc w:val="center"/>
              <w:rPr>
                <w:rFonts w:ascii="宋体" w:hAnsi="宋体"/>
                <w:b/>
                <w:color w:val="000000"/>
                <w:sz w:val="22"/>
                <w:szCs w:val="22"/>
              </w:rPr>
            </w:pPr>
          </w:p>
        </w:tc>
        <w:tc>
          <w:tcPr>
            <w:tcW w:w="1037" w:type="dxa"/>
            <w:vAlign w:val="center"/>
          </w:tcPr>
          <w:p>
            <w:pPr>
              <w:jc w:val="center"/>
              <w:rPr>
                <w:rFonts w:ascii="宋体" w:hAnsi="宋体"/>
                <w:b/>
                <w:color w:val="000000"/>
                <w:sz w:val="22"/>
                <w:szCs w:val="22"/>
              </w:rPr>
            </w:pPr>
          </w:p>
        </w:tc>
        <w:tc>
          <w:tcPr>
            <w:tcW w:w="1627" w:type="dxa"/>
            <w:vAlign w:val="center"/>
          </w:tcPr>
          <w:p>
            <w:pPr>
              <w:jc w:val="center"/>
              <w:rPr>
                <w:rFonts w:ascii="宋体" w:hAnsi="宋体"/>
                <w:b/>
                <w:color w:val="000000"/>
                <w:sz w:val="22"/>
                <w:szCs w:val="22"/>
              </w:rPr>
            </w:pPr>
          </w:p>
        </w:tc>
        <w:tc>
          <w:tcPr>
            <w:tcW w:w="1645" w:type="dxa"/>
            <w:vAlign w:val="center"/>
          </w:tcPr>
          <w:p>
            <w:pPr>
              <w:jc w:val="center"/>
              <w:rPr>
                <w:rFonts w:ascii="宋体" w:hAnsi="宋体"/>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475" w:type="dxa"/>
            <w:vMerge w:val="continue"/>
            <w:vAlign w:val="center"/>
          </w:tcPr>
          <w:p>
            <w:pPr>
              <w:jc w:val="center"/>
              <w:rPr>
                <w:rFonts w:ascii="宋体" w:hAnsi="宋体"/>
                <w:b/>
                <w:color w:val="000000"/>
                <w:sz w:val="22"/>
                <w:szCs w:val="22"/>
              </w:rPr>
            </w:pPr>
          </w:p>
        </w:tc>
        <w:tc>
          <w:tcPr>
            <w:tcW w:w="949" w:type="dxa"/>
            <w:vMerge w:val="continue"/>
            <w:vAlign w:val="center"/>
          </w:tcPr>
          <w:p>
            <w:pPr>
              <w:jc w:val="center"/>
              <w:rPr>
                <w:rFonts w:ascii="宋体" w:hAnsi="宋体"/>
                <w:b/>
                <w:color w:val="000000"/>
                <w:sz w:val="22"/>
                <w:szCs w:val="22"/>
              </w:rPr>
            </w:pPr>
          </w:p>
        </w:tc>
        <w:tc>
          <w:tcPr>
            <w:tcW w:w="568" w:type="dxa"/>
            <w:gridSpan w:val="2"/>
            <w:vMerge w:val="continue"/>
            <w:vAlign w:val="center"/>
          </w:tcPr>
          <w:p>
            <w:pPr>
              <w:jc w:val="center"/>
              <w:rPr>
                <w:rFonts w:ascii="宋体" w:hAnsi="宋体"/>
                <w:b/>
                <w:color w:val="000000"/>
                <w:sz w:val="22"/>
                <w:szCs w:val="22"/>
              </w:rPr>
            </w:pPr>
          </w:p>
        </w:tc>
        <w:tc>
          <w:tcPr>
            <w:tcW w:w="1047" w:type="dxa"/>
            <w:vAlign w:val="center"/>
          </w:tcPr>
          <w:p>
            <w:pPr>
              <w:jc w:val="center"/>
              <w:rPr>
                <w:rFonts w:ascii="宋体" w:hAnsi="宋体"/>
                <w:b/>
                <w:color w:val="000000"/>
                <w:sz w:val="22"/>
                <w:szCs w:val="22"/>
              </w:rPr>
            </w:pPr>
            <w:r>
              <w:rPr>
                <w:rFonts w:hint="eastAsia" w:ascii="宋体" w:hAnsi="宋体"/>
                <w:b/>
                <w:color w:val="000000"/>
                <w:sz w:val="22"/>
                <w:szCs w:val="22"/>
              </w:rPr>
              <w:t>巡查人员</w:t>
            </w:r>
          </w:p>
        </w:tc>
        <w:tc>
          <w:tcPr>
            <w:tcW w:w="1035" w:type="dxa"/>
            <w:vAlign w:val="center"/>
          </w:tcPr>
          <w:p>
            <w:pPr>
              <w:jc w:val="center"/>
              <w:rPr>
                <w:rFonts w:ascii="宋体" w:hAnsi="宋体"/>
                <w:b/>
                <w:color w:val="000000"/>
                <w:sz w:val="22"/>
                <w:szCs w:val="22"/>
              </w:rPr>
            </w:pPr>
          </w:p>
        </w:tc>
        <w:tc>
          <w:tcPr>
            <w:tcW w:w="1035" w:type="dxa"/>
            <w:gridSpan w:val="2"/>
            <w:vAlign w:val="center"/>
          </w:tcPr>
          <w:p>
            <w:pPr>
              <w:jc w:val="center"/>
              <w:rPr>
                <w:rFonts w:ascii="宋体" w:hAnsi="宋体"/>
                <w:b/>
                <w:color w:val="000000"/>
                <w:sz w:val="22"/>
                <w:szCs w:val="22"/>
              </w:rPr>
            </w:pPr>
          </w:p>
        </w:tc>
        <w:tc>
          <w:tcPr>
            <w:tcW w:w="1037" w:type="dxa"/>
            <w:vAlign w:val="center"/>
          </w:tcPr>
          <w:p>
            <w:pPr>
              <w:jc w:val="center"/>
              <w:rPr>
                <w:rFonts w:ascii="宋体" w:hAnsi="宋体"/>
                <w:b/>
                <w:color w:val="000000"/>
                <w:sz w:val="22"/>
                <w:szCs w:val="22"/>
              </w:rPr>
            </w:pPr>
          </w:p>
        </w:tc>
        <w:tc>
          <w:tcPr>
            <w:tcW w:w="1627" w:type="dxa"/>
            <w:vAlign w:val="center"/>
          </w:tcPr>
          <w:p>
            <w:pPr>
              <w:jc w:val="center"/>
              <w:rPr>
                <w:rFonts w:ascii="宋体" w:hAnsi="宋体"/>
                <w:b/>
                <w:color w:val="000000"/>
                <w:sz w:val="22"/>
                <w:szCs w:val="22"/>
              </w:rPr>
            </w:pPr>
          </w:p>
        </w:tc>
        <w:tc>
          <w:tcPr>
            <w:tcW w:w="1645" w:type="dxa"/>
            <w:vAlign w:val="center"/>
          </w:tcPr>
          <w:p>
            <w:pPr>
              <w:jc w:val="center"/>
              <w:rPr>
                <w:rFonts w:ascii="宋体" w:hAnsi="宋体"/>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475" w:type="dxa"/>
            <w:vMerge w:val="continue"/>
            <w:vAlign w:val="center"/>
          </w:tcPr>
          <w:p>
            <w:pPr>
              <w:jc w:val="center"/>
              <w:rPr>
                <w:rFonts w:ascii="宋体" w:hAnsi="宋体"/>
                <w:b/>
                <w:color w:val="000000"/>
                <w:sz w:val="22"/>
                <w:szCs w:val="22"/>
              </w:rPr>
            </w:pPr>
          </w:p>
        </w:tc>
        <w:tc>
          <w:tcPr>
            <w:tcW w:w="949" w:type="dxa"/>
            <w:vMerge w:val="continue"/>
            <w:vAlign w:val="center"/>
          </w:tcPr>
          <w:p>
            <w:pPr>
              <w:jc w:val="center"/>
              <w:rPr>
                <w:rFonts w:ascii="宋体" w:hAnsi="宋体"/>
                <w:b/>
                <w:color w:val="000000"/>
                <w:sz w:val="22"/>
                <w:szCs w:val="22"/>
              </w:rPr>
            </w:pPr>
          </w:p>
        </w:tc>
        <w:tc>
          <w:tcPr>
            <w:tcW w:w="1615" w:type="dxa"/>
            <w:gridSpan w:val="3"/>
            <w:vAlign w:val="center"/>
          </w:tcPr>
          <w:p>
            <w:pPr>
              <w:jc w:val="center"/>
              <w:rPr>
                <w:rFonts w:ascii="宋体" w:hAnsi="宋体"/>
                <w:b/>
                <w:color w:val="000000"/>
                <w:sz w:val="22"/>
                <w:szCs w:val="22"/>
              </w:rPr>
            </w:pPr>
            <w:r>
              <w:rPr>
                <w:rFonts w:hint="eastAsia" w:ascii="宋体" w:hAnsi="宋体"/>
                <w:b/>
                <w:color w:val="000000"/>
                <w:sz w:val="22"/>
                <w:szCs w:val="22"/>
              </w:rPr>
              <w:t>其他人员</w:t>
            </w:r>
          </w:p>
        </w:tc>
        <w:tc>
          <w:tcPr>
            <w:tcW w:w="1035" w:type="dxa"/>
            <w:vAlign w:val="center"/>
          </w:tcPr>
          <w:p>
            <w:pPr>
              <w:jc w:val="center"/>
              <w:rPr>
                <w:rFonts w:ascii="宋体" w:hAnsi="宋体"/>
                <w:b/>
                <w:color w:val="000000"/>
                <w:sz w:val="22"/>
                <w:szCs w:val="22"/>
              </w:rPr>
            </w:pPr>
          </w:p>
        </w:tc>
        <w:tc>
          <w:tcPr>
            <w:tcW w:w="1035" w:type="dxa"/>
            <w:gridSpan w:val="2"/>
            <w:vAlign w:val="center"/>
          </w:tcPr>
          <w:p>
            <w:pPr>
              <w:jc w:val="center"/>
              <w:rPr>
                <w:rFonts w:ascii="宋体" w:hAnsi="宋体"/>
                <w:b/>
                <w:color w:val="000000"/>
                <w:sz w:val="22"/>
                <w:szCs w:val="22"/>
              </w:rPr>
            </w:pPr>
          </w:p>
        </w:tc>
        <w:tc>
          <w:tcPr>
            <w:tcW w:w="1037" w:type="dxa"/>
            <w:vAlign w:val="center"/>
          </w:tcPr>
          <w:p>
            <w:pPr>
              <w:jc w:val="center"/>
              <w:rPr>
                <w:rFonts w:ascii="宋体" w:hAnsi="宋体"/>
                <w:b/>
                <w:color w:val="000000"/>
                <w:sz w:val="22"/>
                <w:szCs w:val="22"/>
              </w:rPr>
            </w:pPr>
          </w:p>
        </w:tc>
        <w:tc>
          <w:tcPr>
            <w:tcW w:w="1627" w:type="dxa"/>
            <w:vAlign w:val="center"/>
          </w:tcPr>
          <w:p>
            <w:pPr>
              <w:jc w:val="center"/>
              <w:rPr>
                <w:rFonts w:ascii="宋体" w:hAnsi="宋体"/>
                <w:b/>
                <w:color w:val="000000"/>
                <w:sz w:val="22"/>
                <w:szCs w:val="22"/>
              </w:rPr>
            </w:pPr>
          </w:p>
        </w:tc>
        <w:tc>
          <w:tcPr>
            <w:tcW w:w="1645" w:type="dxa"/>
            <w:vAlign w:val="center"/>
          </w:tcPr>
          <w:p>
            <w:pPr>
              <w:jc w:val="center"/>
              <w:rPr>
                <w:rFonts w:ascii="宋体" w:hAnsi="宋体"/>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6146" w:type="dxa"/>
            <w:gridSpan w:val="9"/>
            <w:vAlign w:val="center"/>
          </w:tcPr>
          <w:p>
            <w:pPr>
              <w:jc w:val="center"/>
              <w:rPr>
                <w:rFonts w:ascii="宋体" w:hAnsi="宋体"/>
                <w:b/>
                <w:color w:val="000000"/>
                <w:sz w:val="22"/>
                <w:szCs w:val="22"/>
              </w:rPr>
            </w:pPr>
            <w:r>
              <w:rPr>
                <w:rFonts w:hint="eastAsia" w:ascii="宋体" w:hAnsi="宋体"/>
                <w:b/>
                <w:color w:val="000000"/>
                <w:sz w:val="22"/>
                <w:szCs w:val="22"/>
              </w:rPr>
              <w:t>小  计</w:t>
            </w:r>
          </w:p>
        </w:tc>
        <w:tc>
          <w:tcPr>
            <w:tcW w:w="1627" w:type="dxa"/>
            <w:vAlign w:val="center"/>
          </w:tcPr>
          <w:p>
            <w:pPr>
              <w:jc w:val="center"/>
              <w:rPr>
                <w:rFonts w:ascii="宋体" w:hAnsi="宋体"/>
                <w:b/>
                <w:color w:val="000000"/>
                <w:sz w:val="22"/>
                <w:szCs w:val="22"/>
              </w:rPr>
            </w:pPr>
          </w:p>
        </w:tc>
        <w:tc>
          <w:tcPr>
            <w:tcW w:w="1645" w:type="dxa"/>
            <w:vAlign w:val="center"/>
          </w:tcPr>
          <w:p>
            <w:pPr>
              <w:jc w:val="center"/>
              <w:rPr>
                <w:rFonts w:ascii="宋体" w:hAnsi="宋体"/>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9418" w:type="dxa"/>
            <w:gridSpan w:val="11"/>
            <w:vAlign w:val="center"/>
          </w:tcPr>
          <w:p>
            <w:pPr>
              <w:jc w:val="center"/>
              <w:rPr>
                <w:rFonts w:ascii="宋体" w:hAnsi="宋体"/>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475" w:type="dxa"/>
            <w:vAlign w:val="center"/>
          </w:tcPr>
          <w:p>
            <w:pPr>
              <w:jc w:val="center"/>
              <w:rPr>
                <w:rFonts w:ascii="宋体" w:hAnsi="宋体"/>
                <w:b/>
                <w:color w:val="000000"/>
                <w:sz w:val="22"/>
                <w:szCs w:val="22"/>
              </w:rPr>
            </w:pPr>
            <w:r>
              <w:rPr>
                <w:rFonts w:hint="eastAsia" w:ascii="宋体" w:hAnsi="宋体"/>
                <w:b/>
                <w:color w:val="000000"/>
                <w:sz w:val="22"/>
                <w:szCs w:val="22"/>
              </w:rPr>
              <w:t>序号</w:t>
            </w:r>
          </w:p>
        </w:tc>
        <w:tc>
          <w:tcPr>
            <w:tcW w:w="2564" w:type="dxa"/>
            <w:gridSpan w:val="4"/>
            <w:vAlign w:val="center"/>
          </w:tcPr>
          <w:p>
            <w:pPr>
              <w:jc w:val="center"/>
              <w:rPr>
                <w:rFonts w:ascii="宋体" w:hAnsi="宋体"/>
                <w:b/>
                <w:color w:val="000000"/>
                <w:sz w:val="22"/>
                <w:szCs w:val="22"/>
              </w:rPr>
            </w:pPr>
            <w:r>
              <w:rPr>
                <w:rFonts w:hint="eastAsia" w:ascii="宋体" w:hAnsi="宋体"/>
                <w:b/>
                <w:color w:val="000000"/>
                <w:sz w:val="22"/>
                <w:szCs w:val="22"/>
              </w:rPr>
              <w:t>项     目</w:t>
            </w:r>
          </w:p>
        </w:tc>
        <w:tc>
          <w:tcPr>
            <w:tcW w:w="1480" w:type="dxa"/>
            <w:gridSpan w:val="2"/>
            <w:vAlign w:val="center"/>
          </w:tcPr>
          <w:p>
            <w:pPr>
              <w:jc w:val="center"/>
              <w:rPr>
                <w:rFonts w:ascii="宋体" w:hAnsi="宋体"/>
                <w:b/>
                <w:color w:val="000000"/>
                <w:sz w:val="22"/>
                <w:szCs w:val="22"/>
              </w:rPr>
            </w:pPr>
            <w:r>
              <w:rPr>
                <w:rFonts w:hint="eastAsia" w:ascii="宋体" w:hAnsi="宋体"/>
                <w:b/>
                <w:color w:val="000000"/>
                <w:sz w:val="22"/>
                <w:szCs w:val="22"/>
              </w:rPr>
              <w:t>每月支出</w:t>
            </w:r>
          </w:p>
        </w:tc>
        <w:tc>
          <w:tcPr>
            <w:tcW w:w="1627" w:type="dxa"/>
            <w:gridSpan w:val="2"/>
            <w:vAlign w:val="center"/>
          </w:tcPr>
          <w:p>
            <w:pPr>
              <w:jc w:val="center"/>
              <w:rPr>
                <w:rFonts w:ascii="宋体" w:hAnsi="宋体"/>
                <w:b/>
                <w:color w:val="000000"/>
                <w:sz w:val="22"/>
                <w:szCs w:val="22"/>
              </w:rPr>
            </w:pPr>
            <w:r>
              <w:rPr>
                <w:rFonts w:hint="eastAsia" w:ascii="宋体" w:hAnsi="宋体"/>
                <w:b/>
                <w:color w:val="000000"/>
                <w:sz w:val="22"/>
                <w:szCs w:val="22"/>
              </w:rPr>
              <w:t>月数</w:t>
            </w:r>
          </w:p>
        </w:tc>
        <w:tc>
          <w:tcPr>
            <w:tcW w:w="1627" w:type="dxa"/>
            <w:vAlign w:val="center"/>
          </w:tcPr>
          <w:p>
            <w:pPr>
              <w:jc w:val="center"/>
              <w:rPr>
                <w:rFonts w:ascii="宋体" w:hAnsi="宋体"/>
                <w:b/>
                <w:color w:val="000000"/>
                <w:sz w:val="22"/>
                <w:szCs w:val="22"/>
              </w:rPr>
            </w:pPr>
            <w:r>
              <w:rPr>
                <w:rFonts w:hint="eastAsia" w:ascii="宋体" w:hAnsi="宋体"/>
                <w:b/>
                <w:color w:val="000000"/>
                <w:sz w:val="22"/>
                <w:szCs w:val="22"/>
              </w:rPr>
              <w:t>小计支出</w:t>
            </w:r>
          </w:p>
        </w:tc>
        <w:tc>
          <w:tcPr>
            <w:tcW w:w="1645" w:type="dxa"/>
            <w:vAlign w:val="center"/>
          </w:tcPr>
          <w:p>
            <w:pPr>
              <w:jc w:val="center"/>
              <w:rPr>
                <w:rFonts w:ascii="宋体" w:hAnsi="宋体"/>
                <w:b/>
                <w:color w:val="000000"/>
                <w:sz w:val="22"/>
                <w:szCs w:val="22"/>
              </w:rPr>
            </w:pPr>
            <w:r>
              <w:rPr>
                <w:rFonts w:hint="eastAsia" w:ascii="宋体" w:hAnsi="宋体"/>
                <w:b/>
                <w:color w:val="000000"/>
                <w:sz w:val="22"/>
                <w:szCs w:val="22"/>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475" w:type="dxa"/>
            <w:vMerge w:val="restart"/>
            <w:vAlign w:val="center"/>
          </w:tcPr>
          <w:p>
            <w:pPr>
              <w:jc w:val="center"/>
              <w:rPr>
                <w:rFonts w:ascii="宋体" w:hAnsi="宋体"/>
                <w:b/>
                <w:color w:val="000000"/>
                <w:sz w:val="22"/>
                <w:szCs w:val="22"/>
              </w:rPr>
            </w:pPr>
            <w:r>
              <w:rPr>
                <w:rFonts w:hint="eastAsia" w:ascii="宋体" w:hAnsi="宋体"/>
                <w:b/>
                <w:color w:val="000000"/>
                <w:sz w:val="22"/>
                <w:szCs w:val="22"/>
              </w:rPr>
              <w:t>二</w:t>
            </w:r>
          </w:p>
        </w:tc>
        <w:tc>
          <w:tcPr>
            <w:tcW w:w="949" w:type="dxa"/>
            <w:vMerge w:val="restart"/>
            <w:vAlign w:val="center"/>
          </w:tcPr>
          <w:p>
            <w:pPr>
              <w:jc w:val="center"/>
              <w:rPr>
                <w:rFonts w:ascii="宋体" w:hAnsi="宋体"/>
                <w:b/>
                <w:color w:val="000000"/>
                <w:sz w:val="22"/>
                <w:szCs w:val="22"/>
              </w:rPr>
            </w:pPr>
            <w:r>
              <w:rPr>
                <w:rFonts w:hint="eastAsia" w:ascii="宋体" w:hAnsi="宋体"/>
                <w:b/>
                <w:color w:val="000000"/>
                <w:sz w:val="22"/>
                <w:szCs w:val="22"/>
              </w:rPr>
              <w:t>保洁费用</w:t>
            </w:r>
          </w:p>
        </w:tc>
        <w:tc>
          <w:tcPr>
            <w:tcW w:w="1615" w:type="dxa"/>
            <w:gridSpan w:val="3"/>
            <w:vAlign w:val="center"/>
          </w:tcPr>
          <w:p>
            <w:pPr>
              <w:jc w:val="center"/>
              <w:rPr>
                <w:rFonts w:ascii="宋体" w:hAnsi="宋体"/>
                <w:b/>
                <w:color w:val="000000"/>
                <w:sz w:val="22"/>
                <w:szCs w:val="22"/>
              </w:rPr>
            </w:pPr>
            <w:r>
              <w:rPr>
                <w:rFonts w:hint="eastAsia" w:ascii="宋体" w:hAnsi="宋体"/>
                <w:b/>
                <w:color w:val="000000"/>
                <w:sz w:val="22"/>
                <w:szCs w:val="22"/>
              </w:rPr>
              <w:t>海塘名称</w:t>
            </w:r>
          </w:p>
        </w:tc>
        <w:tc>
          <w:tcPr>
            <w:tcW w:w="1480" w:type="dxa"/>
            <w:gridSpan w:val="2"/>
            <w:vAlign w:val="center"/>
          </w:tcPr>
          <w:p>
            <w:pPr>
              <w:jc w:val="center"/>
              <w:rPr>
                <w:rFonts w:ascii="宋体" w:hAnsi="宋体"/>
                <w:b/>
                <w:color w:val="000000"/>
                <w:sz w:val="22"/>
                <w:szCs w:val="22"/>
              </w:rPr>
            </w:pPr>
          </w:p>
        </w:tc>
        <w:tc>
          <w:tcPr>
            <w:tcW w:w="1627" w:type="dxa"/>
            <w:gridSpan w:val="2"/>
            <w:vAlign w:val="center"/>
          </w:tcPr>
          <w:p>
            <w:pPr>
              <w:jc w:val="center"/>
              <w:rPr>
                <w:rFonts w:ascii="宋体" w:hAnsi="宋体"/>
                <w:b/>
                <w:color w:val="000000"/>
                <w:sz w:val="22"/>
                <w:szCs w:val="22"/>
              </w:rPr>
            </w:pPr>
          </w:p>
        </w:tc>
        <w:tc>
          <w:tcPr>
            <w:tcW w:w="1627" w:type="dxa"/>
            <w:vAlign w:val="center"/>
          </w:tcPr>
          <w:p>
            <w:pPr>
              <w:jc w:val="center"/>
              <w:rPr>
                <w:rFonts w:ascii="宋体" w:hAnsi="宋体"/>
                <w:b/>
                <w:color w:val="000000"/>
                <w:sz w:val="22"/>
                <w:szCs w:val="22"/>
              </w:rPr>
            </w:pPr>
          </w:p>
        </w:tc>
        <w:tc>
          <w:tcPr>
            <w:tcW w:w="1645" w:type="dxa"/>
            <w:vAlign w:val="center"/>
          </w:tcPr>
          <w:p>
            <w:pPr>
              <w:jc w:val="center"/>
              <w:rPr>
                <w:rFonts w:ascii="宋体" w:hAnsi="宋体"/>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475" w:type="dxa"/>
            <w:vMerge w:val="continue"/>
            <w:vAlign w:val="center"/>
          </w:tcPr>
          <w:p>
            <w:pPr>
              <w:jc w:val="center"/>
              <w:rPr>
                <w:rFonts w:ascii="宋体" w:hAnsi="宋体"/>
                <w:b/>
                <w:color w:val="000000"/>
                <w:sz w:val="22"/>
                <w:szCs w:val="22"/>
              </w:rPr>
            </w:pPr>
          </w:p>
        </w:tc>
        <w:tc>
          <w:tcPr>
            <w:tcW w:w="949" w:type="dxa"/>
            <w:vMerge w:val="continue"/>
            <w:vAlign w:val="center"/>
          </w:tcPr>
          <w:p>
            <w:pPr>
              <w:jc w:val="center"/>
              <w:rPr>
                <w:rFonts w:ascii="宋体" w:hAnsi="宋体"/>
                <w:b/>
                <w:color w:val="000000"/>
                <w:sz w:val="22"/>
                <w:szCs w:val="22"/>
              </w:rPr>
            </w:pPr>
          </w:p>
        </w:tc>
        <w:tc>
          <w:tcPr>
            <w:tcW w:w="1615" w:type="dxa"/>
            <w:gridSpan w:val="3"/>
            <w:vAlign w:val="center"/>
          </w:tcPr>
          <w:p>
            <w:pPr>
              <w:jc w:val="center"/>
              <w:rPr>
                <w:rFonts w:ascii="宋体" w:hAnsi="宋体"/>
                <w:b/>
                <w:color w:val="000000"/>
                <w:sz w:val="22"/>
                <w:szCs w:val="22"/>
              </w:rPr>
            </w:pPr>
            <w:r>
              <w:rPr>
                <w:rFonts w:hint="eastAsia" w:ascii="宋体" w:hAnsi="宋体"/>
                <w:b/>
                <w:color w:val="000000"/>
                <w:sz w:val="22"/>
                <w:szCs w:val="22"/>
              </w:rPr>
              <w:t>1</w:t>
            </w:r>
          </w:p>
        </w:tc>
        <w:tc>
          <w:tcPr>
            <w:tcW w:w="1480" w:type="dxa"/>
            <w:gridSpan w:val="2"/>
            <w:vAlign w:val="center"/>
          </w:tcPr>
          <w:p>
            <w:pPr>
              <w:jc w:val="center"/>
              <w:rPr>
                <w:rFonts w:ascii="宋体" w:hAnsi="宋体"/>
                <w:b/>
                <w:color w:val="000000"/>
                <w:sz w:val="22"/>
                <w:szCs w:val="22"/>
              </w:rPr>
            </w:pPr>
          </w:p>
        </w:tc>
        <w:tc>
          <w:tcPr>
            <w:tcW w:w="1627" w:type="dxa"/>
            <w:gridSpan w:val="2"/>
            <w:vAlign w:val="center"/>
          </w:tcPr>
          <w:p>
            <w:pPr>
              <w:jc w:val="center"/>
              <w:rPr>
                <w:rFonts w:ascii="宋体" w:hAnsi="宋体"/>
                <w:b/>
                <w:color w:val="000000"/>
                <w:sz w:val="22"/>
                <w:szCs w:val="22"/>
              </w:rPr>
            </w:pPr>
          </w:p>
        </w:tc>
        <w:tc>
          <w:tcPr>
            <w:tcW w:w="1627" w:type="dxa"/>
            <w:vAlign w:val="center"/>
          </w:tcPr>
          <w:p>
            <w:pPr>
              <w:jc w:val="center"/>
              <w:rPr>
                <w:rFonts w:ascii="宋体" w:hAnsi="宋体"/>
                <w:b/>
                <w:color w:val="000000"/>
                <w:sz w:val="22"/>
                <w:szCs w:val="22"/>
              </w:rPr>
            </w:pPr>
          </w:p>
        </w:tc>
        <w:tc>
          <w:tcPr>
            <w:tcW w:w="1645" w:type="dxa"/>
            <w:vAlign w:val="center"/>
          </w:tcPr>
          <w:p>
            <w:pPr>
              <w:jc w:val="center"/>
              <w:rPr>
                <w:rFonts w:ascii="宋体" w:hAnsi="宋体"/>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475" w:type="dxa"/>
            <w:vMerge w:val="continue"/>
            <w:vAlign w:val="center"/>
          </w:tcPr>
          <w:p>
            <w:pPr>
              <w:jc w:val="center"/>
              <w:rPr>
                <w:rFonts w:ascii="宋体" w:hAnsi="宋体"/>
                <w:b/>
                <w:color w:val="000000"/>
                <w:sz w:val="22"/>
                <w:szCs w:val="22"/>
              </w:rPr>
            </w:pPr>
          </w:p>
        </w:tc>
        <w:tc>
          <w:tcPr>
            <w:tcW w:w="949" w:type="dxa"/>
            <w:vMerge w:val="continue"/>
            <w:vAlign w:val="center"/>
          </w:tcPr>
          <w:p>
            <w:pPr>
              <w:jc w:val="center"/>
              <w:rPr>
                <w:rFonts w:ascii="宋体" w:hAnsi="宋体"/>
                <w:b/>
                <w:color w:val="000000"/>
                <w:sz w:val="22"/>
                <w:szCs w:val="22"/>
              </w:rPr>
            </w:pPr>
          </w:p>
        </w:tc>
        <w:tc>
          <w:tcPr>
            <w:tcW w:w="1615" w:type="dxa"/>
            <w:gridSpan w:val="3"/>
            <w:vAlign w:val="center"/>
          </w:tcPr>
          <w:p>
            <w:pPr>
              <w:jc w:val="center"/>
              <w:rPr>
                <w:rFonts w:ascii="宋体" w:hAnsi="宋体"/>
                <w:b/>
                <w:color w:val="000000"/>
                <w:sz w:val="22"/>
                <w:szCs w:val="22"/>
              </w:rPr>
            </w:pPr>
            <w:r>
              <w:rPr>
                <w:rFonts w:hint="eastAsia" w:ascii="宋体" w:hAnsi="宋体"/>
                <w:b/>
                <w:color w:val="000000"/>
                <w:sz w:val="22"/>
                <w:szCs w:val="22"/>
              </w:rPr>
              <w:t>2</w:t>
            </w:r>
          </w:p>
        </w:tc>
        <w:tc>
          <w:tcPr>
            <w:tcW w:w="1480" w:type="dxa"/>
            <w:gridSpan w:val="2"/>
            <w:vAlign w:val="center"/>
          </w:tcPr>
          <w:p>
            <w:pPr>
              <w:jc w:val="center"/>
              <w:rPr>
                <w:rFonts w:ascii="宋体" w:hAnsi="宋体"/>
                <w:b/>
                <w:color w:val="000000"/>
                <w:sz w:val="22"/>
                <w:szCs w:val="22"/>
              </w:rPr>
            </w:pPr>
          </w:p>
        </w:tc>
        <w:tc>
          <w:tcPr>
            <w:tcW w:w="1627" w:type="dxa"/>
            <w:gridSpan w:val="2"/>
            <w:vAlign w:val="center"/>
          </w:tcPr>
          <w:p>
            <w:pPr>
              <w:jc w:val="center"/>
              <w:rPr>
                <w:rFonts w:ascii="宋体" w:hAnsi="宋体"/>
                <w:b/>
                <w:color w:val="000000"/>
                <w:sz w:val="22"/>
                <w:szCs w:val="22"/>
              </w:rPr>
            </w:pPr>
          </w:p>
        </w:tc>
        <w:tc>
          <w:tcPr>
            <w:tcW w:w="1627" w:type="dxa"/>
            <w:vAlign w:val="center"/>
          </w:tcPr>
          <w:p>
            <w:pPr>
              <w:jc w:val="center"/>
              <w:rPr>
                <w:rFonts w:ascii="宋体" w:hAnsi="宋体"/>
                <w:b/>
                <w:color w:val="000000"/>
                <w:sz w:val="22"/>
                <w:szCs w:val="22"/>
              </w:rPr>
            </w:pPr>
          </w:p>
        </w:tc>
        <w:tc>
          <w:tcPr>
            <w:tcW w:w="1645" w:type="dxa"/>
            <w:vAlign w:val="center"/>
          </w:tcPr>
          <w:p>
            <w:pPr>
              <w:jc w:val="center"/>
              <w:rPr>
                <w:rFonts w:ascii="宋体" w:hAnsi="宋体"/>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475" w:type="dxa"/>
            <w:vMerge w:val="continue"/>
            <w:vAlign w:val="center"/>
          </w:tcPr>
          <w:p>
            <w:pPr>
              <w:jc w:val="center"/>
              <w:rPr>
                <w:rFonts w:ascii="宋体" w:hAnsi="宋体"/>
                <w:b/>
                <w:color w:val="000000"/>
                <w:sz w:val="22"/>
                <w:szCs w:val="22"/>
              </w:rPr>
            </w:pPr>
          </w:p>
        </w:tc>
        <w:tc>
          <w:tcPr>
            <w:tcW w:w="949" w:type="dxa"/>
            <w:vMerge w:val="continue"/>
            <w:vAlign w:val="center"/>
          </w:tcPr>
          <w:p>
            <w:pPr>
              <w:jc w:val="center"/>
              <w:rPr>
                <w:rFonts w:ascii="宋体" w:hAnsi="宋体"/>
                <w:b/>
                <w:color w:val="000000"/>
                <w:sz w:val="22"/>
                <w:szCs w:val="22"/>
              </w:rPr>
            </w:pPr>
          </w:p>
        </w:tc>
        <w:tc>
          <w:tcPr>
            <w:tcW w:w="1615" w:type="dxa"/>
            <w:gridSpan w:val="3"/>
            <w:vAlign w:val="center"/>
          </w:tcPr>
          <w:p>
            <w:pPr>
              <w:jc w:val="center"/>
              <w:rPr>
                <w:rFonts w:ascii="宋体" w:hAnsi="宋体"/>
                <w:b/>
                <w:color w:val="000000"/>
                <w:sz w:val="22"/>
                <w:szCs w:val="22"/>
              </w:rPr>
            </w:pPr>
            <w:r>
              <w:rPr>
                <w:rFonts w:hint="eastAsia" w:ascii="宋体" w:hAnsi="宋体"/>
                <w:b/>
                <w:color w:val="000000"/>
                <w:sz w:val="22"/>
                <w:szCs w:val="22"/>
              </w:rPr>
              <w:t>...</w:t>
            </w:r>
          </w:p>
        </w:tc>
        <w:tc>
          <w:tcPr>
            <w:tcW w:w="1480" w:type="dxa"/>
            <w:gridSpan w:val="2"/>
            <w:vAlign w:val="center"/>
          </w:tcPr>
          <w:p>
            <w:pPr>
              <w:jc w:val="center"/>
              <w:rPr>
                <w:rFonts w:ascii="宋体" w:hAnsi="宋体"/>
                <w:b/>
                <w:color w:val="000000"/>
                <w:sz w:val="22"/>
                <w:szCs w:val="22"/>
              </w:rPr>
            </w:pPr>
          </w:p>
        </w:tc>
        <w:tc>
          <w:tcPr>
            <w:tcW w:w="1627" w:type="dxa"/>
            <w:gridSpan w:val="2"/>
            <w:vAlign w:val="center"/>
          </w:tcPr>
          <w:p>
            <w:pPr>
              <w:jc w:val="center"/>
              <w:rPr>
                <w:rFonts w:ascii="宋体" w:hAnsi="宋体"/>
                <w:b/>
                <w:color w:val="000000"/>
                <w:sz w:val="22"/>
                <w:szCs w:val="22"/>
              </w:rPr>
            </w:pPr>
          </w:p>
        </w:tc>
        <w:tc>
          <w:tcPr>
            <w:tcW w:w="1627" w:type="dxa"/>
            <w:vAlign w:val="center"/>
          </w:tcPr>
          <w:p>
            <w:pPr>
              <w:jc w:val="center"/>
              <w:rPr>
                <w:rFonts w:ascii="宋体" w:hAnsi="宋体"/>
                <w:b/>
                <w:color w:val="000000"/>
                <w:sz w:val="22"/>
                <w:szCs w:val="22"/>
              </w:rPr>
            </w:pPr>
          </w:p>
        </w:tc>
        <w:tc>
          <w:tcPr>
            <w:tcW w:w="1645" w:type="dxa"/>
            <w:vAlign w:val="center"/>
          </w:tcPr>
          <w:p>
            <w:pPr>
              <w:jc w:val="center"/>
              <w:rPr>
                <w:rFonts w:ascii="宋体" w:hAnsi="宋体"/>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475" w:type="dxa"/>
            <w:vMerge w:val="continue"/>
            <w:vAlign w:val="center"/>
          </w:tcPr>
          <w:p>
            <w:pPr>
              <w:jc w:val="center"/>
              <w:rPr>
                <w:rFonts w:ascii="宋体" w:hAnsi="宋体"/>
                <w:b/>
                <w:color w:val="000000"/>
                <w:sz w:val="22"/>
                <w:szCs w:val="22"/>
              </w:rPr>
            </w:pPr>
          </w:p>
        </w:tc>
        <w:tc>
          <w:tcPr>
            <w:tcW w:w="949" w:type="dxa"/>
            <w:vMerge w:val="continue"/>
            <w:vAlign w:val="center"/>
          </w:tcPr>
          <w:p>
            <w:pPr>
              <w:jc w:val="center"/>
              <w:rPr>
                <w:rFonts w:ascii="宋体" w:hAnsi="宋体"/>
                <w:b/>
                <w:color w:val="000000"/>
                <w:sz w:val="22"/>
                <w:szCs w:val="22"/>
              </w:rPr>
            </w:pPr>
          </w:p>
        </w:tc>
        <w:tc>
          <w:tcPr>
            <w:tcW w:w="1615" w:type="dxa"/>
            <w:gridSpan w:val="3"/>
            <w:vAlign w:val="center"/>
          </w:tcPr>
          <w:p>
            <w:pPr>
              <w:jc w:val="center"/>
              <w:rPr>
                <w:rFonts w:ascii="宋体" w:hAnsi="宋体"/>
                <w:b/>
                <w:color w:val="000000"/>
                <w:sz w:val="22"/>
                <w:szCs w:val="22"/>
              </w:rPr>
            </w:pPr>
            <w:r>
              <w:rPr>
                <w:rFonts w:hint="eastAsia" w:ascii="宋体" w:hAnsi="宋体"/>
                <w:b/>
                <w:color w:val="000000"/>
                <w:sz w:val="22"/>
                <w:szCs w:val="22"/>
              </w:rPr>
              <w:t>水闸名称</w:t>
            </w:r>
          </w:p>
        </w:tc>
        <w:tc>
          <w:tcPr>
            <w:tcW w:w="1480" w:type="dxa"/>
            <w:gridSpan w:val="2"/>
            <w:vAlign w:val="center"/>
          </w:tcPr>
          <w:p>
            <w:pPr>
              <w:jc w:val="center"/>
              <w:rPr>
                <w:rFonts w:ascii="宋体" w:hAnsi="宋体"/>
                <w:b/>
                <w:color w:val="000000"/>
                <w:sz w:val="22"/>
                <w:szCs w:val="22"/>
              </w:rPr>
            </w:pPr>
          </w:p>
        </w:tc>
        <w:tc>
          <w:tcPr>
            <w:tcW w:w="1627" w:type="dxa"/>
            <w:gridSpan w:val="2"/>
            <w:vAlign w:val="center"/>
          </w:tcPr>
          <w:p>
            <w:pPr>
              <w:jc w:val="center"/>
              <w:rPr>
                <w:rFonts w:ascii="宋体" w:hAnsi="宋体"/>
                <w:b/>
                <w:color w:val="000000"/>
                <w:sz w:val="22"/>
                <w:szCs w:val="22"/>
              </w:rPr>
            </w:pPr>
          </w:p>
        </w:tc>
        <w:tc>
          <w:tcPr>
            <w:tcW w:w="1627" w:type="dxa"/>
            <w:vAlign w:val="center"/>
          </w:tcPr>
          <w:p>
            <w:pPr>
              <w:jc w:val="center"/>
              <w:rPr>
                <w:rFonts w:ascii="宋体" w:hAnsi="宋体"/>
                <w:b/>
                <w:color w:val="000000"/>
                <w:sz w:val="22"/>
                <w:szCs w:val="22"/>
              </w:rPr>
            </w:pPr>
          </w:p>
        </w:tc>
        <w:tc>
          <w:tcPr>
            <w:tcW w:w="1645" w:type="dxa"/>
            <w:vAlign w:val="center"/>
          </w:tcPr>
          <w:p>
            <w:pPr>
              <w:jc w:val="center"/>
              <w:rPr>
                <w:rFonts w:ascii="宋体" w:hAnsi="宋体"/>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475" w:type="dxa"/>
            <w:vMerge w:val="continue"/>
            <w:vAlign w:val="center"/>
          </w:tcPr>
          <w:p>
            <w:pPr>
              <w:jc w:val="center"/>
              <w:rPr>
                <w:rFonts w:ascii="宋体" w:hAnsi="宋体"/>
                <w:b/>
                <w:color w:val="000000"/>
                <w:sz w:val="22"/>
                <w:szCs w:val="22"/>
              </w:rPr>
            </w:pPr>
          </w:p>
        </w:tc>
        <w:tc>
          <w:tcPr>
            <w:tcW w:w="949" w:type="dxa"/>
            <w:vMerge w:val="continue"/>
            <w:vAlign w:val="center"/>
          </w:tcPr>
          <w:p>
            <w:pPr>
              <w:jc w:val="center"/>
              <w:rPr>
                <w:rFonts w:ascii="宋体" w:hAnsi="宋体"/>
                <w:b/>
                <w:color w:val="000000"/>
                <w:sz w:val="22"/>
                <w:szCs w:val="22"/>
              </w:rPr>
            </w:pPr>
          </w:p>
        </w:tc>
        <w:tc>
          <w:tcPr>
            <w:tcW w:w="1615" w:type="dxa"/>
            <w:gridSpan w:val="3"/>
            <w:vAlign w:val="center"/>
          </w:tcPr>
          <w:p>
            <w:pPr>
              <w:jc w:val="center"/>
              <w:rPr>
                <w:rFonts w:ascii="宋体" w:hAnsi="宋体"/>
                <w:b/>
                <w:color w:val="000000"/>
                <w:sz w:val="22"/>
                <w:szCs w:val="22"/>
              </w:rPr>
            </w:pPr>
            <w:r>
              <w:rPr>
                <w:rFonts w:hint="eastAsia" w:ascii="宋体" w:hAnsi="宋体"/>
                <w:b/>
                <w:color w:val="000000"/>
                <w:sz w:val="22"/>
                <w:szCs w:val="22"/>
              </w:rPr>
              <w:t>1</w:t>
            </w:r>
          </w:p>
        </w:tc>
        <w:tc>
          <w:tcPr>
            <w:tcW w:w="1480" w:type="dxa"/>
            <w:gridSpan w:val="2"/>
            <w:vAlign w:val="center"/>
          </w:tcPr>
          <w:p>
            <w:pPr>
              <w:jc w:val="center"/>
              <w:rPr>
                <w:rFonts w:ascii="宋体" w:hAnsi="宋体"/>
                <w:b/>
                <w:color w:val="000000"/>
                <w:sz w:val="22"/>
                <w:szCs w:val="22"/>
              </w:rPr>
            </w:pPr>
          </w:p>
        </w:tc>
        <w:tc>
          <w:tcPr>
            <w:tcW w:w="1627" w:type="dxa"/>
            <w:gridSpan w:val="2"/>
            <w:vAlign w:val="center"/>
          </w:tcPr>
          <w:p>
            <w:pPr>
              <w:jc w:val="center"/>
              <w:rPr>
                <w:rFonts w:ascii="宋体" w:hAnsi="宋体"/>
                <w:b/>
                <w:color w:val="000000"/>
                <w:sz w:val="22"/>
                <w:szCs w:val="22"/>
              </w:rPr>
            </w:pPr>
          </w:p>
        </w:tc>
        <w:tc>
          <w:tcPr>
            <w:tcW w:w="1627" w:type="dxa"/>
            <w:vAlign w:val="center"/>
          </w:tcPr>
          <w:p>
            <w:pPr>
              <w:jc w:val="center"/>
              <w:rPr>
                <w:rFonts w:ascii="宋体" w:hAnsi="宋体"/>
                <w:b/>
                <w:color w:val="000000"/>
                <w:sz w:val="22"/>
                <w:szCs w:val="22"/>
              </w:rPr>
            </w:pPr>
          </w:p>
        </w:tc>
        <w:tc>
          <w:tcPr>
            <w:tcW w:w="1645" w:type="dxa"/>
            <w:vAlign w:val="center"/>
          </w:tcPr>
          <w:p>
            <w:pPr>
              <w:jc w:val="center"/>
              <w:rPr>
                <w:rFonts w:ascii="宋体" w:hAnsi="宋体"/>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475" w:type="dxa"/>
            <w:vMerge w:val="continue"/>
            <w:vAlign w:val="center"/>
          </w:tcPr>
          <w:p>
            <w:pPr>
              <w:jc w:val="center"/>
              <w:rPr>
                <w:rFonts w:ascii="宋体" w:hAnsi="宋体"/>
                <w:b/>
                <w:color w:val="000000"/>
                <w:sz w:val="22"/>
                <w:szCs w:val="22"/>
              </w:rPr>
            </w:pPr>
          </w:p>
        </w:tc>
        <w:tc>
          <w:tcPr>
            <w:tcW w:w="949" w:type="dxa"/>
            <w:vMerge w:val="continue"/>
            <w:vAlign w:val="center"/>
          </w:tcPr>
          <w:p>
            <w:pPr>
              <w:jc w:val="center"/>
              <w:rPr>
                <w:rFonts w:ascii="宋体" w:hAnsi="宋体"/>
                <w:b/>
                <w:color w:val="000000"/>
                <w:sz w:val="22"/>
                <w:szCs w:val="22"/>
              </w:rPr>
            </w:pPr>
          </w:p>
        </w:tc>
        <w:tc>
          <w:tcPr>
            <w:tcW w:w="1615" w:type="dxa"/>
            <w:gridSpan w:val="3"/>
            <w:vAlign w:val="center"/>
          </w:tcPr>
          <w:p>
            <w:pPr>
              <w:jc w:val="center"/>
              <w:rPr>
                <w:rFonts w:ascii="宋体" w:hAnsi="宋体"/>
                <w:b/>
                <w:color w:val="000000"/>
                <w:sz w:val="22"/>
                <w:szCs w:val="22"/>
              </w:rPr>
            </w:pPr>
            <w:r>
              <w:rPr>
                <w:rFonts w:hint="eastAsia" w:ascii="宋体" w:hAnsi="宋体"/>
                <w:b/>
                <w:color w:val="000000"/>
                <w:sz w:val="22"/>
                <w:szCs w:val="22"/>
              </w:rPr>
              <w:t>2</w:t>
            </w:r>
          </w:p>
        </w:tc>
        <w:tc>
          <w:tcPr>
            <w:tcW w:w="1480" w:type="dxa"/>
            <w:gridSpan w:val="2"/>
            <w:vAlign w:val="center"/>
          </w:tcPr>
          <w:p>
            <w:pPr>
              <w:jc w:val="center"/>
              <w:rPr>
                <w:rFonts w:ascii="宋体" w:hAnsi="宋体"/>
                <w:b/>
                <w:color w:val="000000"/>
                <w:sz w:val="22"/>
                <w:szCs w:val="22"/>
              </w:rPr>
            </w:pPr>
          </w:p>
        </w:tc>
        <w:tc>
          <w:tcPr>
            <w:tcW w:w="1627" w:type="dxa"/>
            <w:gridSpan w:val="2"/>
            <w:vAlign w:val="center"/>
          </w:tcPr>
          <w:p>
            <w:pPr>
              <w:jc w:val="center"/>
              <w:rPr>
                <w:rFonts w:ascii="宋体" w:hAnsi="宋体"/>
                <w:b/>
                <w:color w:val="000000"/>
                <w:sz w:val="22"/>
                <w:szCs w:val="22"/>
              </w:rPr>
            </w:pPr>
          </w:p>
        </w:tc>
        <w:tc>
          <w:tcPr>
            <w:tcW w:w="1627" w:type="dxa"/>
            <w:vAlign w:val="center"/>
          </w:tcPr>
          <w:p>
            <w:pPr>
              <w:jc w:val="center"/>
              <w:rPr>
                <w:rFonts w:ascii="宋体" w:hAnsi="宋体"/>
                <w:b/>
                <w:color w:val="000000"/>
                <w:sz w:val="22"/>
                <w:szCs w:val="22"/>
              </w:rPr>
            </w:pPr>
          </w:p>
        </w:tc>
        <w:tc>
          <w:tcPr>
            <w:tcW w:w="1645" w:type="dxa"/>
            <w:vAlign w:val="center"/>
          </w:tcPr>
          <w:p>
            <w:pPr>
              <w:jc w:val="center"/>
              <w:rPr>
                <w:rFonts w:ascii="宋体" w:hAnsi="宋体"/>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475" w:type="dxa"/>
            <w:vMerge w:val="continue"/>
            <w:vAlign w:val="center"/>
          </w:tcPr>
          <w:p>
            <w:pPr>
              <w:jc w:val="center"/>
              <w:rPr>
                <w:rFonts w:ascii="宋体" w:hAnsi="宋体"/>
                <w:b/>
                <w:color w:val="000000"/>
                <w:sz w:val="22"/>
                <w:szCs w:val="22"/>
              </w:rPr>
            </w:pPr>
          </w:p>
        </w:tc>
        <w:tc>
          <w:tcPr>
            <w:tcW w:w="949" w:type="dxa"/>
            <w:vMerge w:val="continue"/>
            <w:vAlign w:val="center"/>
          </w:tcPr>
          <w:p>
            <w:pPr>
              <w:jc w:val="center"/>
              <w:rPr>
                <w:rFonts w:ascii="宋体" w:hAnsi="宋体"/>
                <w:b/>
                <w:color w:val="000000"/>
                <w:sz w:val="22"/>
                <w:szCs w:val="22"/>
              </w:rPr>
            </w:pPr>
          </w:p>
        </w:tc>
        <w:tc>
          <w:tcPr>
            <w:tcW w:w="1615" w:type="dxa"/>
            <w:gridSpan w:val="3"/>
            <w:vAlign w:val="center"/>
          </w:tcPr>
          <w:p>
            <w:pPr>
              <w:jc w:val="center"/>
              <w:rPr>
                <w:rFonts w:ascii="宋体" w:hAnsi="宋体"/>
                <w:b/>
                <w:color w:val="000000"/>
                <w:sz w:val="22"/>
                <w:szCs w:val="22"/>
              </w:rPr>
            </w:pPr>
            <w:r>
              <w:rPr>
                <w:rFonts w:hint="eastAsia" w:ascii="宋体" w:hAnsi="宋体"/>
                <w:b/>
                <w:color w:val="000000"/>
                <w:sz w:val="22"/>
                <w:szCs w:val="22"/>
              </w:rPr>
              <w:t>...</w:t>
            </w:r>
          </w:p>
        </w:tc>
        <w:tc>
          <w:tcPr>
            <w:tcW w:w="1480" w:type="dxa"/>
            <w:gridSpan w:val="2"/>
            <w:vAlign w:val="center"/>
          </w:tcPr>
          <w:p>
            <w:pPr>
              <w:jc w:val="center"/>
              <w:rPr>
                <w:rFonts w:ascii="宋体" w:hAnsi="宋体"/>
                <w:b/>
                <w:color w:val="000000"/>
                <w:sz w:val="22"/>
                <w:szCs w:val="22"/>
              </w:rPr>
            </w:pPr>
          </w:p>
        </w:tc>
        <w:tc>
          <w:tcPr>
            <w:tcW w:w="1627" w:type="dxa"/>
            <w:gridSpan w:val="2"/>
            <w:vAlign w:val="center"/>
          </w:tcPr>
          <w:p>
            <w:pPr>
              <w:jc w:val="center"/>
              <w:rPr>
                <w:rFonts w:ascii="宋体" w:hAnsi="宋体"/>
                <w:b/>
                <w:color w:val="000000"/>
                <w:sz w:val="22"/>
                <w:szCs w:val="22"/>
              </w:rPr>
            </w:pPr>
          </w:p>
        </w:tc>
        <w:tc>
          <w:tcPr>
            <w:tcW w:w="1627" w:type="dxa"/>
            <w:vAlign w:val="center"/>
          </w:tcPr>
          <w:p>
            <w:pPr>
              <w:jc w:val="center"/>
              <w:rPr>
                <w:rFonts w:ascii="宋体" w:hAnsi="宋体"/>
                <w:b/>
                <w:color w:val="000000"/>
                <w:sz w:val="22"/>
                <w:szCs w:val="22"/>
              </w:rPr>
            </w:pPr>
          </w:p>
        </w:tc>
        <w:tc>
          <w:tcPr>
            <w:tcW w:w="1645" w:type="dxa"/>
            <w:vAlign w:val="center"/>
          </w:tcPr>
          <w:p>
            <w:pPr>
              <w:jc w:val="center"/>
              <w:rPr>
                <w:rFonts w:ascii="宋体" w:hAnsi="宋体"/>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6146" w:type="dxa"/>
            <w:gridSpan w:val="9"/>
            <w:vAlign w:val="center"/>
          </w:tcPr>
          <w:p>
            <w:pPr>
              <w:jc w:val="center"/>
              <w:rPr>
                <w:rFonts w:ascii="宋体" w:hAnsi="宋体"/>
                <w:b/>
                <w:color w:val="000000"/>
                <w:sz w:val="22"/>
                <w:szCs w:val="22"/>
              </w:rPr>
            </w:pPr>
            <w:r>
              <w:rPr>
                <w:rFonts w:hint="eastAsia" w:ascii="宋体" w:hAnsi="宋体"/>
                <w:b/>
                <w:color w:val="000000"/>
                <w:sz w:val="22"/>
                <w:szCs w:val="22"/>
              </w:rPr>
              <w:t>小  计</w:t>
            </w:r>
          </w:p>
        </w:tc>
        <w:tc>
          <w:tcPr>
            <w:tcW w:w="1627" w:type="dxa"/>
            <w:vAlign w:val="center"/>
          </w:tcPr>
          <w:p>
            <w:pPr>
              <w:jc w:val="center"/>
              <w:rPr>
                <w:rFonts w:ascii="宋体" w:hAnsi="宋体"/>
                <w:b/>
                <w:color w:val="000000"/>
                <w:sz w:val="22"/>
                <w:szCs w:val="22"/>
              </w:rPr>
            </w:pPr>
          </w:p>
        </w:tc>
        <w:tc>
          <w:tcPr>
            <w:tcW w:w="1645" w:type="dxa"/>
            <w:vAlign w:val="center"/>
          </w:tcPr>
          <w:p>
            <w:pPr>
              <w:jc w:val="center"/>
              <w:rPr>
                <w:rFonts w:ascii="宋体" w:hAnsi="宋体"/>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475" w:type="dxa"/>
            <w:vAlign w:val="center"/>
          </w:tcPr>
          <w:p>
            <w:pPr>
              <w:jc w:val="center"/>
              <w:rPr>
                <w:rFonts w:ascii="宋体" w:hAnsi="宋体"/>
                <w:b/>
                <w:color w:val="000000"/>
                <w:sz w:val="22"/>
                <w:szCs w:val="22"/>
              </w:rPr>
            </w:pPr>
            <w:r>
              <w:rPr>
                <w:rFonts w:hint="eastAsia" w:ascii="宋体" w:hAnsi="宋体"/>
                <w:b/>
                <w:color w:val="000000"/>
                <w:sz w:val="22"/>
                <w:szCs w:val="22"/>
              </w:rPr>
              <w:t>序号</w:t>
            </w:r>
          </w:p>
        </w:tc>
        <w:tc>
          <w:tcPr>
            <w:tcW w:w="2564" w:type="dxa"/>
            <w:gridSpan w:val="4"/>
            <w:vAlign w:val="center"/>
          </w:tcPr>
          <w:p>
            <w:pPr>
              <w:jc w:val="center"/>
              <w:rPr>
                <w:rFonts w:ascii="宋体" w:hAnsi="宋体"/>
                <w:b/>
                <w:color w:val="000000"/>
                <w:sz w:val="22"/>
                <w:szCs w:val="22"/>
              </w:rPr>
            </w:pPr>
            <w:r>
              <w:rPr>
                <w:rFonts w:hint="eastAsia" w:ascii="宋体" w:hAnsi="宋体"/>
                <w:b/>
                <w:color w:val="000000"/>
                <w:sz w:val="22"/>
                <w:szCs w:val="22"/>
              </w:rPr>
              <w:t>项     目</w:t>
            </w:r>
          </w:p>
        </w:tc>
        <w:tc>
          <w:tcPr>
            <w:tcW w:w="1480" w:type="dxa"/>
            <w:gridSpan w:val="2"/>
            <w:vAlign w:val="center"/>
          </w:tcPr>
          <w:p>
            <w:pPr>
              <w:jc w:val="center"/>
              <w:rPr>
                <w:rFonts w:ascii="宋体" w:hAnsi="宋体"/>
                <w:b/>
                <w:color w:val="000000"/>
                <w:sz w:val="22"/>
                <w:szCs w:val="22"/>
              </w:rPr>
            </w:pPr>
            <w:r>
              <w:rPr>
                <w:rFonts w:hint="eastAsia" w:ascii="宋体" w:hAnsi="宋体"/>
                <w:b/>
                <w:color w:val="000000"/>
                <w:sz w:val="22"/>
                <w:szCs w:val="22"/>
              </w:rPr>
              <w:t>月支出</w:t>
            </w:r>
          </w:p>
        </w:tc>
        <w:tc>
          <w:tcPr>
            <w:tcW w:w="1627" w:type="dxa"/>
            <w:gridSpan w:val="2"/>
            <w:vAlign w:val="center"/>
          </w:tcPr>
          <w:p>
            <w:pPr>
              <w:jc w:val="center"/>
              <w:rPr>
                <w:rFonts w:ascii="宋体" w:hAnsi="宋体"/>
                <w:b/>
                <w:color w:val="000000"/>
                <w:sz w:val="22"/>
                <w:szCs w:val="22"/>
              </w:rPr>
            </w:pPr>
            <w:r>
              <w:rPr>
                <w:rFonts w:hint="eastAsia" w:ascii="宋体" w:hAnsi="宋体"/>
                <w:b/>
                <w:color w:val="000000"/>
                <w:sz w:val="22"/>
                <w:szCs w:val="22"/>
              </w:rPr>
              <w:t>月数</w:t>
            </w:r>
          </w:p>
        </w:tc>
        <w:tc>
          <w:tcPr>
            <w:tcW w:w="1627" w:type="dxa"/>
            <w:vAlign w:val="center"/>
          </w:tcPr>
          <w:p>
            <w:pPr>
              <w:jc w:val="center"/>
              <w:rPr>
                <w:rFonts w:ascii="宋体" w:hAnsi="宋体"/>
                <w:b/>
                <w:color w:val="000000"/>
                <w:sz w:val="22"/>
                <w:szCs w:val="22"/>
              </w:rPr>
            </w:pPr>
            <w:r>
              <w:rPr>
                <w:rFonts w:hint="eastAsia" w:ascii="宋体" w:hAnsi="宋体"/>
                <w:b/>
                <w:color w:val="000000"/>
                <w:sz w:val="22"/>
                <w:szCs w:val="22"/>
              </w:rPr>
              <w:t>小计支出</w:t>
            </w:r>
          </w:p>
        </w:tc>
        <w:tc>
          <w:tcPr>
            <w:tcW w:w="1645" w:type="dxa"/>
            <w:vAlign w:val="center"/>
          </w:tcPr>
          <w:p>
            <w:pPr>
              <w:jc w:val="center"/>
              <w:rPr>
                <w:rFonts w:ascii="宋体" w:hAnsi="宋体"/>
                <w:b/>
                <w:color w:val="000000"/>
                <w:sz w:val="22"/>
                <w:szCs w:val="22"/>
              </w:rPr>
            </w:pPr>
            <w:r>
              <w:rPr>
                <w:rFonts w:hint="eastAsia" w:ascii="宋体" w:hAnsi="宋体"/>
                <w:b/>
                <w:color w:val="000000"/>
                <w:sz w:val="22"/>
                <w:szCs w:val="22"/>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475" w:type="dxa"/>
            <w:vAlign w:val="center"/>
          </w:tcPr>
          <w:p>
            <w:pPr>
              <w:jc w:val="center"/>
              <w:rPr>
                <w:rFonts w:ascii="宋体" w:hAnsi="宋体"/>
                <w:b/>
                <w:color w:val="000000"/>
                <w:sz w:val="22"/>
                <w:szCs w:val="22"/>
              </w:rPr>
            </w:pPr>
            <w:r>
              <w:rPr>
                <w:rFonts w:hint="eastAsia" w:ascii="宋体" w:hAnsi="宋体"/>
                <w:b/>
                <w:color w:val="000000"/>
                <w:sz w:val="22"/>
                <w:szCs w:val="22"/>
              </w:rPr>
              <w:t>三</w:t>
            </w:r>
          </w:p>
        </w:tc>
        <w:tc>
          <w:tcPr>
            <w:tcW w:w="1229" w:type="dxa"/>
            <w:gridSpan w:val="2"/>
            <w:vAlign w:val="center"/>
          </w:tcPr>
          <w:p>
            <w:pPr>
              <w:jc w:val="center"/>
              <w:rPr>
                <w:rFonts w:ascii="宋体" w:hAnsi="宋体"/>
                <w:b/>
                <w:color w:val="000000"/>
                <w:sz w:val="22"/>
                <w:szCs w:val="22"/>
              </w:rPr>
            </w:pPr>
            <w:r>
              <w:rPr>
                <w:rFonts w:hint="eastAsia" w:ascii="宋体" w:hAnsi="宋体"/>
                <w:b/>
                <w:color w:val="000000"/>
                <w:sz w:val="22"/>
                <w:szCs w:val="22"/>
              </w:rPr>
              <w:t>办公费用</w:t>
            </w:r>
          </w:p>
        </w:tc>
        <w:tc>
          <w:tcPr>
            <w:tcW w:w="1335" w:type="dxa"/>
            <w:gridSpan w:val="2"/>
            <w:vAlign w:val="center"/>
          </w:tcPr>
          <w:p>
            <w:pPr>
              <w:jc w:val="center"/>
              <w:rPr>
                <w:rFonts w:ascii="宋体" w:hAnsi="宋体"/>
                <w:b/>
                <w:color w:val="000000"/>
                <w:sz w:val="22"/>
                <w:szCs w:val="22"/>
              </w:rPr>
            </w:pPr>
            <w:r>
              <w:rPr>
                <w:rFonts w:hint="eastAsia" w:ascii="宋体" w:hAnsi="宋体"/>
                <w:b/>
                <w:color w:val="000000"/>
                <w:sz w:val="22"/>
                <w:szCs w:val="22"/>
              </w:rPr>
              <w:t>业务开支</w:t>
            </w:r>
          </w:p>
        </w:tc>
        <w:tc>
          <w:tcPr>
            <w:tcW w:w="1480" w:type="dxa"/>
            <w:gridSpan w:val="2"/>
            <w:vAlign w:val="center"/>
          </w:tcPr>
          <w:p>
            <w:pPr>
              <w:jc w:val="center"/>
              <w:rPr>
                <w:rFonts w:ascii="宋体" w:hAnsi="宋体"/>
                <w:b/>
                <w:color w:val="000000"/>
                <w:sz w:val="22"/>
                <w:szCs w:val="22"/>
              </w:rPr>
            </w:pPr>
          </w:p>
        </w:tc>
        <w:tc>
          <w:tcPr>
            <w:tcW w:w="1627" w:type="dxa"/>
            <w:gridSpan w:val="2"/>
            <w:vAlign w:val="center"/>
          </w:tcPr>
          <w:p>
            <w:pPr>
              <w:jc w:val="center"/>
              <w:rPr>
                <w:rFonts w:ascii="宋体" w:hAnsi="宋体"/>
                <w:b/>
                <w:color w:val="000000"/>
                <w:sz w:val="22"/>
                <w:szCs w:val="22"/>
              </w:rPr>
            </w:pPr>
          </w:p>
        </w:tc>
        <w:tc>
          <w:tcPr>
            <w:tcW w:w="1627" w:type="dxa"/>
            <w:vAlign w:val="center"/>
          </w:tcPr>
          <w:p>
            <w:pPr>
              <w:jc w:val="center"/>
              <w:rPr>
                <w:rFonts w:ascii="宋体" w:hAnsi="宋体"/>
                <w:b/>
                <w:color w:val="000000"/>
                <w:sz w:val="22"/>
                <w:szCs w:val="22"/>
              </w:rPr>
            </w:pPr>
          </w:p>
        </w:tc>
        <w:tc>
          <w:tcPr>
            <w:tcW w:w="1645" w:type="dxa"/>
            <w:vAlign w:val="center"/>
          </w:tcPr>
          <w:p>
            <w:pPr>
              <w:jc w:val="center"/>
              <w:rPr>
                <w:rFonts w:ascii="宋体" w:hAnsi="宋体"/>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475" w:type="dxa"/>
            <w:vAlign w:val="center"/>
          </w:tcPr>
          <w:p>
            <w:pPr>
              <w:jc w:val="center"/>
              <w:rPr>
                <w:rFonts w:ascii="宋体" w:hAnsi="宋体"/>
                <w:b/>
                <w:color w:val="000000"/>
                <w:sz w:val="22"/>
                <w:szCs w:val="22"/>
              </w:rPr>
            </w:pPr>
            <w:r>
              <w:rPr>
                <w:rFonts w:hint="eastAsia" w:ascii="宋体" w:hAnsi="宋体"/>
                <w:b/>
                <w:color w:val="000000"/>
                <w:sz w:val="22"/>
                <w:szCs w:val="22"/>
              </w:rPr>
              <w:t>四</w:t>
            </w:r>
          </w:p>
        </w:tc>
        <w:tc>
          <w:tcPr>
            <w:tcW w:w="1229" w:type="dxa"/>
            <w:gridSpan w:val="2"/>
            <w:vAlign w:val="center"/>
          </w:tcPr>
          <w:p>
            <w:pPr>
              <w:jc w:val="center"/>
              <w:rPr>
                <w:rFonts w:ascii="宋体" w:hAnsi="宋体"/>
                <w:b/>
                <w:color w:val="000000"/>
                <w:sz w:val="22"/>
                <w:szCs w:val="22"/>
              </w:rPr>
            </w:pPr>
            <w:r>
              <w:rPr>
                <w:rFonts w:hint="eastAsia" w:ascii="宋体" w:hAnsi="宋体"/>
                <w:b/>
                <w:color w:val="000000"/>
                <w:sz w:val="22"/>
                <w:szCs w:val="22"/>
              </w:rPr>
              <w:t>维修养护</w:t>
            </w:r>
          </w:p>
        </w:tc>
        <w:tc>
          <w:tcPr>
            <w:tcW w:w="4442" w:type="dxa"/>
            <w:gridSpan w:val="6"/>
            <w:vAlign w:val="center"/>
          </w:tcPr>
          <w:p>
            <w:pPr>
              <w:jc w:val="center"/>
              <w:rPr>
                <w:rFonts w:ascii="宋体" w:hAnsi="宋体"/>
                <w:b/>
                <w:color w:val="000000"/>
                <w:sz w:val="22"/>
                <w:szCs w:val="22"/>
              </w:rPr>
            </w:pPr>
            <w:r>
              <w:rPr>
                <w:rFonts w:hint="eastAsia" w:ascii="宋体" w:hAnsi="宋体"/>
                <w:b/>
                <w:color w:val="000000"/>
                <w:sz w:val="22"/>
                <w:szCs w:val="22"/>
              </w:rPr>
              <w:t>合计：固定金额300000元（本次投标不得改变，需计入总价中）</w:t>
            </w:r>
          </w:p>
        </w:tc>
        <w:tc>
          <w:tcPr>
            <w:tcW w:w="1627" w:type="dxa"/>
            <w:vAlign w:val="center"/>
          </w:tcPr>
          <w:p>
            <w:pPr>
              <w:jc w:val="center"/>
              <w:rPr>
                <w:rFonts w:ascii="宋体" w:hAnsi="宋体"/>
                <w:b/>
                <w:color w:val="000000"/>
                <w:sz w:val="22"/>
                <w:szCs w:val="22"/>
              </w:rPr>
            </w:pPr>
          </w:p>
        </w:tc>
        <w:tc>
          <w:tcPr>
            <w:tcW w:w="1645" w:type="dxa"/>
            <w:vAlign w:val="center"/>
          </w:tcPr>
          <w:p>
            <w:pPr>
              <w:jc w:val="center"/>
              <w:rPr>
                <w:rFonts w:ascii="宋体" w:hAnsi="宋体"/>
                <w:b/>
                <w:color w:val="000000"/>
                <w:sz w:val="22"/>
                <w:szCs w:val="22"/>
              </w:rPr>
            </w:pPr>
            <w:r>
              <w:rPr>
                <w:rFonts w:hint="eastAsia" w:ascii="宋体" w:hAnsi="宋体"/>
                <w:b/>
                <w:color w:val="000000"/>
                <w:sz w:val="22"/>
                <w:szCs w:val="22"/>
              </w:rPr>
              <w:t>按季度实际维修量及单价计算支出，由第三方审价后支付。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75" w:type="dxa"/>
            <w:vAlign w:val="center"/>
          </w:tcPr>
          <w:p>
            <w:pPr>
              <w:jc w:val="center"/>
              <w:rPr>
                <w:rFonts w:ascii="宋体" w:hAnsi="宋体"/>
                <w:b/>
                <w:color w:val="000000"/>
                <w:sz w:val="22"/>
                <w:szCs w:val="22"/>
              </w:rPr>
            </w:pPr>
            <w:r>
              <w:rPr>
                <w:rFonts w:hint="eastAsia" w:ascii="宋体" w:hAnsi="宋体"/>
                <w:b/>
                <w:color w:val="000000"/>
                <w:sz w:val="22"/>
                <w:szCs w:val="22"/>
              </w:rPr>
              <w:t>五</w:t>
            </w:r>
          </w:p>
        </w:tc>
        <w:tc>
          <w:tcPr>
            <w:tcW w:w="2564" w:type="dxa"/>
            <w:gridSpan w:val="4"/>
            <w:vAlign w:val="center"/>
          </w:tcPr>
          <w:p>
            <w:pPr>
              <w:jc w:val="center"/>
              <w:rPr>
                <w:rFonts w:ascii="宋体" w:hAnsi="宋体"/>
                <w:b/>
                <w:color w:val="000000"/>
                <w:sz w:val="22"/>
                <w:szCs w:val="22"/>
              </w:rPr>
            </w:pPr>
            <w:r>
              <w:rPr>
                <w:rFonts w:hint="eastAsia" w:ascii="宋体" w:hAnsi="宋体"/>
                <w:b/>
                <w:color w:val="000000"/>
                <w:sz w:val="22"/>
                <w:szCs w:val="22"/>
              </w:rPr>
              <w:t>运行管理平台费用</w:t>
            </w:r>
          </w:p>
        </w:tc>
        <w:tc>
          <w:tcPr>
            <w:tcW w:w="1480" w:type="dxa"/>
            <w:gridSpan w:val="2"/>
            <w:vAlign w:val="center"/>
          </w:tcPr>
          <w:p>
            <w:pPr>
              <w:jc w:val="center"/>
              <w:rPr>
                <w:rFonts w:ascii="宋体" w:hAnsi="宋体"/>
                <w:b/>
                <w:color w:val="000000"/>
                <w:sz w:val="22"/>
                <w:szCs w:val="22"/>
              </w:rPr>
            </w:pPr>
          </w:p>
        </w:tc>
        <w:tc>
          <w:tcPr>
            <w:tcW w:w="1627" w:type="dxa"/>
            <w:gridSpan w:val="2"/>
            <w:vAlign w:val="center"/>
          </w:tcPr>
          <w:p>
            <w:pPr>
              <w:jc w:val="center"/>
              <w:rPr>
                <w:rFonts w:ascii="宋体" w:hAnsi="宋体"/>
                <w:b/>
                <w:color w:val="000000"/>
                <w:sz w:val="22"/>
                <w:szCs w:val="22"/>
              </w:rPr>
            </w:pPr>
          </w:p>
        </w:tc>
        <w:tc>
          <w:tcPr>
            <w:tcW w:w="1627" w:type="dxa"/>
            <w:vAlign w:val="center"/>
          </w:tcPr>
          <w:p>
            <w:pPr>
              <w:jc w:val="center"/>
              <w:rPr>
                <w:rFonts w:ascii="宋体" w:hAnsi="宋体"/>
                <w:b/>
                <w:color w:val="000000"/>
                <w:sz w:val="22"/>
                <w:szCs w:val="22"/>
              </w:rPr>
            </w:pPr>
          </w:p>
        </w:tc>
        <w:tc>
          <w:tcPr>
            <w:tcW w:w="1645" w:type="dxa"/>
            <w:vAlign w:val="center"/>
          </w:tcPr>
          <w:p>
            <w:pPr>
              <w:jc w:val="center"/>
              <w:rPr>
                <w:rFonts w:ascii="宋体" w:hAnsi="宋体"/>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475" w:type="dxa"/>
            <w:vAlign w:val="center"/>
          </w:tcPr>
          <w:p>
            <w:pPr>
              <w:jc w:val="center"/>
              <w:rPr>
                <w:rFonts w:ascii="宋体" w:hAnsi="宋体"/>
                <w:b/>
                <w:color w:val="000000"/>
                <w:sz w:val="22"/>
                <w:szCs w:val="22"/>
              </w:rPr>
            </w:pPr>
            <w:r>
              <w:rPr>
                <w:rFonts w:hint="eastAsia" w:ascii="宋体" w:hAnsi="宋体"/>
                <w:b/>
                <w:color w:val="000000"/>
                <w:sz w:val="22"/>
                <w:szCs w:val="22"/>
              </w:rPr>
              <w:t>六</w:t>
            </w:r>
          </w:p>
        </w:tc>
        <w:tc>
          <w:tcPr>
            <w:tcW w:w="2564" w:type="dxa"/>
            <w:gridSpan w:val="4"/>
            <w:vAlign w:val="center"/>
          </w:tcPr>
          <w:p>
            <w:pPr>
              <w:ind w:firstLine="649" w:firstLineChars="294"/>
              <w:rPr>
                <w:rFonts w:ascii="宋体" w:hAnsi="宋体"/>
                <w:b/>
                <w:color w:val="000000"/>
                <w:sz w:val="22"/>
                <w:szCs w:val="22"/>
              </w:rPr>
            </w:pPr>
            <w:r>
              <w:rPr>
                <w:rFonts w:hint="eastAsia" w:ascii="宋体" w:hAnsi="宋体"/>
                <w:b/>
                <w:color w:val="000000"/>
                <w:sz w:val="22"/>
                <w:szCs w:val="22"/>
              </w:rPr>
              <w:t>不可预见费</w:t>
            </w:r>
          </w:p>
        </w:tc>
        <w:tc>
          <w:tcPr>
            <w:tcW w:w="1480" w:type="dxa"/>
            <w:gridSpan w:val="2"/>
            <w:vAlign w:val="center"/>
          </w:tcPr>
          <w:p>
            <w:pPr>
              <w:jc w:val="center"/>
              <w:rPr>
                <w:rFonts w:ascii="宋体" w:hAnsi="宋体"/>
                <w:b/>
                <w:color w:val="000000"/>
                <w:sz w:val="22"/>
                <w:szCs w:val="22"/>
              </w:rPr>
            </w:pPr>
            <w:r>
              <w:rPr>
                <w:rFonts w:hint="eastAsia" w:ascii="宋体" w:hAnsi="宋体"/>
                <w:b/>
                <w:color w:val="000000"/>
                <w:sz w:val="22"/>
                <w:szCs w:val="22"/>
              </w:rPr>
              <w:t>--</w:t>
            </w:r>
          </w:p>
        </w:tc>
        <w:tc>
          <w:tcPr>
            <w:tcW w:w="1627" w:type="dxa"/>
            <w:gridSpan w:val="2"/>
            <w:vAlign w:val="center"/>
          </w:tcPr>
          <w:p>
            <w:pPr>
              <w:jc w:val="center"/>
              <w:rPr>
                <w:rFonts w:ascii="宋体" w:hAnsi="宋体"/>
                <w:b/>
                <w:color w:val="000000"/>
                <w:sz w:val="22"/>
                <w:szCs w:val="22"/>
              </w:rPr>
            </w:pPr>
            <w:r>
              <w:rPr>
                <w:rFonts w:hint="eastAsia" w:ascii="宋体" w:hAnsi="宋体"/>
                <w:b/>
                <w:color w:val="000000"/>
                <w:sz w:val="22"/>
                <w:szCs w:val="22"/>
              </w:rPr>
              <w:t>--</w:t>
            </w:r>
          </w:p>
        </w:tc>
        <w:tc>
          <w:tcPr>
            <w:tcW w:w="1627" w:type="dxa"/>
            <w:vAlign w:val="center"/>
          </w:tcPr>
          <w:p>
            <w:pPr>
              <w:jc w:val="center"/>
              <w:rPr>
                <w:rFonts w:ascii="宋体" w:hAnsi="宋体"/>
                <w:b/>
                <w:color w:val="000000"/>
                <w:sz w:val="22"/>
                <w:szCs w:val="22"/>
              </w:rPr>
            </w:pPr>
          </w:p>
        </w:tc>
        <w:tc>
          <w:tcPr>
            <w:tcW w:w="1645" w:type="dxa"/>
            <w:vAlign w:val="center"/>
          </w:tcPr>
          <w:p>
            <w:pPr>
              <w:jc w:val="center"/>
              <w:rPr>
                <w:rFonts w:ascii="宋体" w:hAnsi="宋体"/>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475" w:type="dxa"/>
            <w:vAlign w:val="center"/>
          </w:tcPr>
          <w:p>
            <w:pPr>
              <w:jc w:val="center"/>
              <w:rPr>
                <w:rFonts w:ascii="宋体" w:hAnsi="宋体"/>
                <w:b/>
                <w:color w:val="000000"/>
                <w:sz w:val="22"/>
                <w:szCs w:val="22"/>
              </w:rPr>
            </w:pPr>
            <w:r>
              <w:rPr>
                <w:rFonts w:hint="eastAsia" w:ascii="宋体" w:hAnsi="宋体"/>
                <w:b/>
                <w:color w:val="000000"/>
                <w:sz w:val="22"/>
                <w:szCs w:val="22"/>
              </w:rPr>
              <w:t>七</w:t>
            </w:r>
          </w:p>
        </w:tc>
        <w:tc>
          <w:tcPr>
            <w:tcW w:w="2564" w:type="dxa"/>
            <w:gridSpan w:val="4"/>
            <w:vAlign w:val="center"/>
          </w:tcPr>
          <w:p>
            <w:pPr>
              <w:jc w:val="center"/>
              <w:rPr>
                <w:rFonts w:ascii="宋体" w:hAnsi="宋体"/>
                <w:b/>
                <w:color w:val="000000"/>
                <w:sz w:val="22"/>
                <w:szCs w:val="22"/>
              </w:rPr>
            </w:pPr>
            <w:r>
              <w:rPr>
                <w:rFonts w:hint="eastAsia" w:ascii="宋体" w:hAnsi="宋体"/>
                <w:b/>
                <w:color w:val="000000"/>
                <w:sz w:val="22"/>
                <w:szCs w:val="22"/>
              </w:rPr>
              <w:t>经营管理费</w:t>
            </w:r>
          </w:p>
        </w:tc>
        <w:tc>
          <w:tcPr>
            <w:tcW w:w="1480" w:type="dxa"/>
            <w:gridSpan w:val="2"/>
            <w:vAlign w:val="center"/>
          </w:tcPr>
          <w:p>
            <w:pPr>
              <w:jc w:val="center"/>
              <w:rPr>
                <w:rFonts w:ascii="宋体" w:hAnsi="宋体"/>
                <w:b/>
                <w:color w:val="000000"/>
                <w:sz w:val="22"/>
                <w:szCs w:val="22"/>
              </w:rPr>
            </w:pPr>
            <w:r>
              <w:rPr>
                <w:rFonts w:hint="eastAsia" w:ascii="宋体" w:hAnsi="宋体"/>
                <w:b/>
                <w:color w:val="000000"/>
                <w:sz w:val="22"/>
                <w:szCs w:val="22"/>
              </w:rPr>
              <w:t>--</w:t>
            </w:r>
          </w:p>
        </w:tc>
        <w:tc>
          <w:tcPr>
            <w:tcW w:w="1627" w:type="dxa"/>
            <w:gridSpan w:val="2"/>
            <w:vAlign w:val="center"/>
          </w:tcPr>
          <w:p>
            <w:pPr>
              <w:jc w:val="center"/>
              <w:rPr>
                <w:rFonts w:ascii="宋体" w:hAnsi="宋体"/>
                <w:b/>
                <w:color w:val="000000"/>
                <w:sz w:val="22"/>
                <w:szCs w:val="22"/>
              </w:rPr>
            </w:pPr>
            <w:r>
              <w:rPr>
                <w:rFonts w:hint="eastAsia" w:ascii="宋体" w:hAnsi="宋体"/>
                <w:b/>
                <w:color w:val="000000"/>
                <w:sz w:val="22"/>
                <w:szCs w:val="22"/>
              </w:rPr>
              <w:t>--</w:t>
            </w:r>
          </w:p>
        </w:tc>
        <w:tc>
          <w:tcPr>
            <w:tcW w:w="1627" w:type="dxa"/>
            <w:vAlign w:val="center"/>
          </w:tcPr>
          <w:p>
            <w:pPr>
              <w:jc w:val="center"/>
              <w:rPr>
                <w:rFonts w:ascii="宋体" w:hAnsi="宋体"/>
                <w:b/>
                <w:color w:val="000000"/>
                <w:sz w:val="22"/>
                <w:szCs w:val="22"/>
              </w:rPr>
            </w:pPr>
          </w:p>
        </w:tc>
        <w:tc>
          <w:tcPr>
            <w:tcW w:w="1645" w:type="dxa"/>
            <w:vAlign w:val="center"/>
          </w:tcPr>
          <w:p>
            <w:pPr>
              <w:jc w:val="center"/>
              <w:rPr>
                <w:rFonts w:ascii="宋体" w:hAnsi="宋体"/>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475" w:type="dxa"/>
            <w:vAlign w:val="center"/>
          </w:tcPr>
          <w:p>
            <w:pPr>
              <w:jc w:val="center"/>
              <w:rPr>
                <w:rFonts w:ascii="宋体" w:hAnsi="宋体"/>
                <w:b/>
                <w:color w:val="000000"/>
                <w:sz w:val="22"/>
                <w:szCs w:val="22"/>
              </w:rPr>
            </w:pPr>
            <w:r>
              <w:rPr>
                <w:rFonts w:hint="eastAsia" w:ascii="宋体" w:hAnsi="宋体"/>
                <w:b/>
                <w:color w:val="000000"/>
                <w:sz w:val="22"/>
                <w:szCs w:val="22"/>
              </w:rPr>
              <w:t>八</w:t>
            </w:r>
          </w:p>
        </w:tc>
        <w:tc>
          <w:tcPr>
            <w:tcW w:w="2564" w:type="dxa"/>
            <w:gridSpan w:val="4"/>
            <w:vAlign w:val="center"/>
          </w:tcPr>
          <w:p>
            <w:pPr>
              <w:jc w:val="center"/>
              <w:rPr>
                <w:rFonts w:ascii="宋体" w:hAnsi="宋体"/>
                <w:b/>
                <w:color w:val="000000"/>
                <w:sz w:val="22"/>
                <w:szCs w:val="22"/>
              </w:rPr>
            </w:pPr>
            <w:r>
              <w:rPr>
                <w:rFonts w:hint="eastAsia" w:ascii="宋体" w:hAnsi="宋体"/>
                <w:b/>
                <w:color w:val="000000"/>
                <w:sz w:val="22"/>
                <w:szCs w:val="22"/>
              </w:rPr>
              <w:t>利 润</w:t>
            </w:r>
          </w:p>
        </w:tc>
        <w:tc>
          <w:tcPr>
            <w:tcW w:w="1480" w:type="dxa"/>
            <w:gridSpan w:val="2"/>
            <w:vAlign w:val="center"/>
          </w:tcPr>
          <w:p>
            <w:pPr>
              <w:jc w:val="center"/>
              <w:rPr>
                <w:rFonts w:ascii="宋体" w:hAnsi="宋体"/>
                <w:b/>
                <w:color w:val="000000"/>
                <w:sz w:val="22"/>
                <w:szCs w:val="22"/>
              </w:rPr>
            </w:pPr>
            <w:r>
              <w:rPr>
                <w:rFonts w:hint="eastAsia" w:ascii="宋体" w:hAnsi="宋体"/>
                <w:b/>
                <w:color w:val="000000"/>
                <w:sz w:val="22"/>
                <w:szCs w:val="22"/>
              </w:rPr>
              <w:t>--</w:t>
            </w:r>
          </w:p>
        </w:tc>
        <w:tc>
          <w:tcPr>
            <w:tcW w:w="1627" w:type="dxa"/>
            <w:gridSpan w:val="2"/>
            <w:vAlign w:val="center"/>
          </w:tcPr>
          <w:p>
            <w:pPr>
              <w:jc w:val="center"/>
              <w:rPr>
                <w:rFonts w:ascii="宋体" w:hAnsi="宋体"/>
                <w:b/>
                <w:color w:val="000000"/>
                <w:sz w:val="22"/>
                <w:szCs w:val="22"/>
              </w:rPr>
            </w:pPr>
            <w:r>
              <w:rPr>
                <w:rFonts w:hint="eastAsia" w:ascii="宋体" w:hAnsi="宋体"/>
                <w:b/>
                <w:color w:val="000000"/>
                <w:sz w:val="22"/>
                <w:szCs w:val="22"/>
              </w:rPr>
              <w:t>--</w:t>
            </w:r>
          </w:p>
        </w:tc>
        <w:tc>
          <w:tcPr>
            <w:tcW w:w="1627" w:type="dxa"/>
            <w:vAlign w:val="center"/>
          </w:tcPr>
          <w:p>
            <w:pPr>
              <w:jc w:val="center"/>
              <w:rPr>
                <w:rFonts w:ascii="宋体" w:hAnsi="宋体"/>
                <w:b/>
                <w:color w:val="000000"/>
                <w:sz w:val="22"/>
                <w:szCs w:val="22"/>
              </w:rPr>
            </w:pPr>
          </w:p>
        </w:tc>
        <w:tc>
          <w:tcPr>
            <w:tcW w:w="1645" w:type="dxa"/>
            <w:vAlign w:val="center"/>
          </w:tcPr>
          <w:p>
            <w:pPr>
              <w:jc w:val="center"/>
              <w:rPr>
                <w:rFonts w:ascii="宋体" w:hAnsi="宋体"/>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475" w:type="dxa"/>
            <w:vAlign w:val="center"/>
          </w:tcPr>
          <w:p>
            <w:pPr>
              <w:jc w:val="center"/>
              <w:rPr>
                <w:rFonts w:ascii="宋体" w:hAnsi="宋体"/>
                <w:b/>
                <w:color w:val="000000"/>
                <w:sz w:val="22"/>
                <w:szCs w:val="22"/>
              </w:rPr>
            </w:pPr>
            <w:r>
              <w:rPr>
                <w:rFonts w:hint="eastAsia" w:ascii="宋体" w:hAnsi="宋体"/>
                <w:b/>
                <w:color w:val="000000"/>
                <w:sz w:val="22"/>
                <w:szCs w:val="22"/>
              </w:rPr>
              <w:t>九</w:t>
            </w:r>
          </w:p>
        </w:tc>
        <w:tc>
          <w:tcPr>
            <w:tcW w:w="2564" w:type="dxa"/>
            <w:gridSpan w:val="4"/>
            <w:vAlign w:val="center"/>
          </w:tcPr>
          <w:p>
            <w:pPr>
              <w:jc w:val="center"/>
              <w:rPr>
                <w:rFonts w:ascii="宋体" w:hAnsi="宋体"/>
                <w:b/>
                <w:color w:val="000000"/>
                <w:sz w:val="22"/>
                <w:szCs w:val="22"/>
              </w:rPr>
            </w:pPr>
            <w:r>
              <w:rPr>
                <w:rFonts w:hint="eastAsia" w:ascii="宋体" w:hAnsi="宋体"/>
                <w:b/>
                <w:color w:val="000000"/>
                <w:sz w:val="22"/>
                <w:szCs w:val="22"/>
              </w:rPr>
              <w:t>税 金</w:t>
            </w:r>
          </w:p>
        </w:tc>
        <w:tc>
          <w:tcPr>
            <w:tcW w:w="1480" w:type="dxa"/>
            <w:gridSpan w:val="2"/>
            <w:vAlign w:val="center"/>
          </w:tcPr>
          <w:p>
            <w:pPr>
              <w:jc w:val="center"/>
              <w:rPr>
                <w:rFonts w:ascii="宋体" w:hAnsi="宋体"/>
                <w:b/>
                <w:color w:val="000000"/>
                <w:sz w:val="22"/>
                <w:szCs w:val="22"/>
              </w:rPr>
            </w:pPr>
            <w:r>
              <w:rPr>
                <w:rFonts w:hint="eastAsia" w:ascii="宋体" w:hAnsi="宋体"/>
                <w:b/>
                <w:color w:val="000000"/>
                <w:sz w:val="22"/>
                <w:szCs w:val="22"/>
              </w:rPr>
              <w:t>--</w:t>
            </w:r>
          </w:p>
        </w:tc>
        <w:tc>
          <w:tcPr>
            <w:tcW w:w="1627" w:type="dxa"/>
            <w:gridSpan w:val="2"/>
            <w:vAlign w:val="center"/>
          </w:tcPr>
          <w:p>
            <w:pPr>
              <w:jc w:val="center"/>
              <w:rPr>
                <w:rFonts w:ascii="宋体" w:hAnsi="宋体"/>
                <w:b/>
                <w:color w:val="000000"/>
                <w:sz w:val="22"/>
                <w:szCs w:val="22"/>
              </w:rPr>
            </w:pPr>
            <w:r>
              <w:rPr>
                <w:rFonts w:hint="eastAsia" w:ascii="宋体" w:hAnsi="宋体"/>
                <w:b/>
                <w:color w:val="000000"/>
                <w:sz w:val="22"/>
                <w:szCs w:val="22"/>
              </w:rPr>
              <w:t>--</w:t>
            </w:r>
          </w:p>
        </w:tc>
        <w:tc>
          <w:tcPr>
            <w:tcW w:w="1627" w:type="dxa"/>
            <w:vAlign w:val="center"/>
          </w:tcPr>
          <w:p>
            <w:pPr>
              <w:jc w:val="center"/>
              <w:rPr>
                <w:rFonts w:ascii="宋体" w:hAnsi="宋体"/>
                <w:b/>
                <w:color w:val="000000"/>
                <w:sz w:val="22"/>
                <w:szCs w:val="22"/>
              </w:rPr>
            </w:pPr>
          </w:p>
        </w:tc>
        <w:tc>
          <w:tcPr>
            <w:tcW w:w="1645" w:type="dxa"/>
            <w:vAlign w:val="center"/>
          </w:tcPr>
          <w:p>
            <w:pPr>
              <w:jc w:val="center"/>
              <w:rPr>
                <w:rFonts w:ascii="宋体" w:hAnsi="宋体"/>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475" w:type="dxa"/>
            <w:vAlign w:val="center"/>
          </w:tcPr>
          <w:p>
            <w:pPr>
              <w:jc w:val="center"/>
              <w:rPr>
                <w:rFonts w:ascii="宋体" w:hAnsi="宋体"/>
                <w:b/>
                <w:color w:val="000000"/>
                <w:sz w:val="22"/>
                <w:szCs w:val="22"/>
              </w:rPr>
            </w:pPr>
            <w:r>
              <w:rPr>
                <w:rFonts w:hint="eastAsia" w:ascii="宋体" w:hAnsi="宋体"/>
                <w:b/>
                <w:color w:val="000000"/>
                <w:sz w:val="22"/>
                <w:szCs w:val="22"/>
              </w:rPr>
              <w:t>十</w:t>
            </w:r>
          </w:p>
        </w:tc>
        <w:tc>
          <w:tcPr>
            <w:tcW w:w="2564" w:type="dxa"/>
            <w:gridSpan w:val="4"/>
            <w:vAlign w:val="center"/>
          </w:tcPr>
          <w:p>
            <w:pPr>
              <w:jc w:val="center"/>
              <w:rPr>
                <w:rFonts w:ascii="宋体" w:hAnsi="宋体"/>
                <w:b/>
                <w:color w:val="000000"/>
                <w:sz w:val="22"/>
                <w:szCs w:val="22"/>
              </w:rPr>
            </w:pPr>
            <w:r>
              <w:rPr>
                <w:rFonts w:hint="eastAsia" w:ascii="宋体" w:hAnsi="宋体"/>
                <w:b/>
                <w:color w:val="000000"/>
                <w:sz w:val="22"/>
                <w:szCs w:val="22"/>
              </w:rPr>
              <w:t>其 他</w:t>
            </w:r>
          </w:p>
        </w:tc>
        <w:tc>
          <w:tcPr>
            <w:tcW w:w="1480" w:type="dxa"/>
            <w:gridSpan w:val="2"/>
            <w:vAlign w:val="center"/>
          </w:tcPr>
          <w:p>
            <w:pPr>
              <w:jc w:val="center"/>
              <w:rPr>
                <w:rFonts w:ascii="宋体" w:hAnsi="宋体"/>
                <w:b/>
                <w:color w:val="000000"/>
                <w:sz w:val="22"/>
                <w:szCs w:val="22"/>
              </w:rPr>
            </w:pPr>
            <w:r>
              <w:rPr>
                <w:rFonts w:hint="eastAsia" w:ascii="宋体" w:hAnsi="宋体"/>
                <w:b/>
                <w:color w:val="000000"/>
                <w:sz w:val="22"/>
                <w:szCs w:val="22"/>
              </w:rPr>
              <w:t>--</w:t>
            </w:r>
          </w:p>
        </w:tc>
        <w:tc>
          <w:tcPr>
            <w:tcW w:w="1627" w:type="dxa"/>
            <w:gridSpan w:val="2"/>
            <w:vAlign w:val="center"/>
          </w:tcPr>
          <w:p>
            <w:pPr>
              <w:jc w:val="center"/>
              <w:rPr>
                <w:rFonts w:ascii="宋体" w:hAnsi="宋体"/>
                <w:b/>
                <w:color w:val="000000"/>
                <w:sz w:val="22"/>
                <w:szCs w:val="22"/>
              </w:rPr>
            </w:pPr>
            <w:r>
              <w:rPr>
                <w:rFonts w:hint="eastAsia" w:ascii="宋体" w:hAnsi="宋体"/>
                <w:b/>
                <w:color w:val="000000"/>
                <w:sz w:val="22"/>
                <w:szCs w:val="22"/>
              </w:rPr>
              <w:t>--</w:t>
            </w:r>
          </w:p>
        </w:tc>
        <w:tc>
          <w:tcPr>
            <w:tcW w:w="1627" w:type="dxa"/>
            <w:vAlign w:val="center"/>
          </w:tcPr>
          <w:p>
            <w:pPr>
              <w:jc w:val="center"/>
              <w:rPr>
                <w:rFonts w:ascii="宋体" w:hAnsi="宋体"/>
                <w:b/>
                <w:color w:val="000000"/>
                <w:sz w:val="22"/>
                <w:szCs w:val="22"/>
              </w:rPr>
            </w:pPr>
          </w:p>
        </w:tc>
        <w:tc>
          <w:tcPr>
            <w:tcW w:w="1645" w:type="dxa"/>
            <w:vAlign w:val="center"/>
          </w:tcPr>
          <w:p>
            <w:pPr>
              <w:jc w:val="center"/>
              <w:rPr>
                <w:rFonts w:ascii="宋体" w:hAnsi="宋体"/>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475" w:type="dxa"/>
            <w:vAlign w:val="center"/>
          </w:tcPr>
          <w:p>
            <w:pPr>
              <w:jc w:val="center"/>
              <w:rPr>
                <w:rFonts w:ascii="宋体" w:hAnsi="宋体"/>
                <w:b/>
                <w:color w:val="000000"/>
                <w:sz w:val="22"/>
                <w:szCs w:val="22"/>
              </w:rPr>
            </w:pPr>
            <w:r>
              <w:rPr>
                <w:rFonts w:hint="eastAsia" w:ascii="宋体" w:hAnsi="宋体"/>
                <w:b/>
                <w:color w:val="000000"/>
                <w:sz w:val="22"/>
                <w:szCs w:val="22"/>
              </w:rPr>
              <w:t>十一</w:t>
            </w:r>
          </w:p>
        </w:tc>
        <w:tc>
          <w:tcPr>
            <w:tcW w:w="2564" w:type="dxa"/>
            <w:gridSpan w:val="4"/>
            <w:vAlign w:val="center"/>
          </w:tcPr>
          <w:p>
            <w:pPr>
              <w:jc w:val="center"/>
              <w:rPr>
                <w:rFonts w:ascii="宋体" w:hAnsi="宋体"/>
                <w:b/>
                <w:color w:val="000000"/>
                <w:sz w:val="22"/>
                <w:szCs w:val="22"/>
              </w:rPr>
            </w:pPr>
            <w:r>
              <w:rPr>
                <w:rFonts w:hint="eastAsia" w:ascii="宋体" w:hAnsi="宋体"/>
                <w:b/>
                <w:color w:val="000000"/>
                <w:sz w:val="22"/>
                <w:szCs w:val="22"/>
              </w:rPr>
              <w:t>合 计</w:t>
            </w:r>
          </w:p>
        </w:tc>
        <w:tc>
          <w:tcPr>
            <w:tcW w:w="6379" w:type="dxa"/>
            <w:gridSpan w:val="6"/>
            <w:vAlign w:val="center"/>
          </w:tcPr>
          <w:p>
            <w:pPr>
              <w:jc w:val="center"/>
              <w:rPr>
                <w:rFonts w:ascii="宋体" w:hAnsi="宋体"/>
                <w:b/>
                <w:color w:val="000000"/>
                <w:sz w:val="22"/>
                <w:szCs w:val="22"/>
              </w:rPr>
            </w:pPr>
            <w:r>
              <w:rPr>
                <w:rFonts w:hint="eastAsia" w:ascii="宋体" w:hAnsi="宋体"/>
                <w:b/>
                <w:color w:val="000000"/>
                <w:sz w:val="22"/>
                <w:szCs w:val="22"/>
              </w:rPr>
              <w:t xml:space="preserve">   元</w:t>
            </w:r>
          </w:p>
        </w:tc>
      </w:tr>
    </w:tbl>
    <w:p>
      <w:pPr>
        <w:spacing w:line="440" w:lineRule="exact"/>
        <w:rPr>
          <w:rFonts w:ascii="宋体" w:hAnsi="宋体"/>
          <w:color w:val="000000"/>
          <w:sz w:val="22"/>
          <w:szCs w:val="22"/>
          <w:u w:val="single"/>
        </w:rPr>
      </w:pPr>
      <w:r>
        <w:rPr>
          <w:rFonts w:hint="eastAsia" w:ascii="宋体" w:hAnsi="宋体"/>
          <w:color w:val="000000"/>
          <w:sz w:val="22"/>
          <w:szCs w:val="22"/>
        </w:rPr>
        <w:t>注：1. 以上核算需符合国家相关法律、法规及龙港市有关劳动、税务、社会保险等方面的规定。特别是员工工资和社保，必须严格按国家有关规定和本招标文件规定执行。</w:t>
      </w:r>
    </w:p>
    <w:p>
      <w:pPr>
        <w:spacing w:line="440" w:lineRule="exact"/>
        <w:ind w:firstLine="431" w:firstLineChars="196"/>
        <w:rPr>
          <w:rFonts w:ascii="宋体" w:hAnsi="宋体"/>
          <w:color w:val="000000"/>
          <w:sz w:val="22"/>
          <w:szCs w:val="22"/>
        </w:rPr>
      </w:pPr>
      <w:r>
        <w:rPr>
          <w:rFonts w:hint="eastAsia" w:ascii="宋体" w:hAnsi="宋体"/>
          <w:color w:val="000000"/>
          <w:sz w:val="22"/>
          <w:szCs w:val="22"/>
        </w:rPr>
        <w:t>2. 总计价应与附件二“投标报价一览表”中投标报价相一致。</w:t>
      </w:r>
    </w:p>
    <w:p>
      <w:pPr>
        <w:spacing w:line="440" w:lineRule="exact"/>
        <w:ind w:firstLine="431" w:firstLineChars="196"/>
        <w:rPr>
          <w:rFonts w:ascii="宋体" w:hAnsi="宋体"/>
          <w:color w:val="000000"/>
          <w:sz w:val="22"/>
          <w:szCs w:val="22"/>
        </w:rPr>
      </w:pPr>
      <w:r>
        <w:rPr>
          <w:rFonts w:hint="eastAsia" w:ascii="宋体" w:hAnsi="宋体"/>
          <w:color w:val="000000"/>
          <w:sz w:val="22"/>
          <w:szCs w:val="22"/>
        </w:rPr>
        <w:t xml:space="preserve">3. 以上各项费用如已包含在价格中请注明“含”，若免费请注明“免”, 若没有请注明“无”。       </w:t>
      </w:r>
    </w:p>
    <w:p>
      <w:pPr>
        <w:spacing w:line="440" w:lineRule="exact"/>
        <w:ind w:firstLine="429" w:firstLineChars="195"/>
        <w:rPr>
          <w:rFonts w:ascii="宋体" w:hAnsi="宋体"/>
          <w:color w:val="000000"/>
          <w:sz w:val="22"/>
          <w:szCs w:val="22"/>
        </w:rPr>
      </w:pPr>
      <w:r>
        <w:rPr>
          <w:rFonts w:hint="eastAsia" w:ascii="宋体" w:hAnsi="宋体"/>
          <w:color w:val="000000"/>
          <w:sz w:val="22"/>
          <w:szCs w:val="22"/>
        </w:rPr>
        <w:t xml:space="preserve">4. 本表所列费用为本项目的全部费用，除此外，不允许增加任何费用。                    </w:t>
      </w:r>
    </w:p>
    <w:p>
      <w:pPr>
        <w:spacing w:line="440" w:lineRule="exact"/>
        <w:ind w:left="747" w:leftChars="203" w:hanging="321" w:hangingChars="146"/>
        <w:rPr>
          <w:rFonts w:ascii="宋体" w:hAnsi="宋体"/>
          <w:color w:val="000000"/>
          <w:sz w:val="22"/>
          <w:szCs w:val="22"/>
          <w:u w:val="single"/>
        </w:rPr>
      </w:pPr>
      <w:r>
        <w:rPr>
          <w:rFonts w:hint="eastAsia" w:ascii="新宋体" w:hAnsi="新宋体" w:eastAsia="新宋体"/>
          <w:color w:val="000000"/>
          <w:sz w:val="22"/>
          <w:szCs w:val="22"/>
        </w:rPr>
        <w:t>▲</w:t>
      </w:r>
      <w:r>
        <w:rPr>
          <w:rFonts w:hint="eastAsia" w:ascii="宋体" w:hAnsi="宋体"/>
          <w:b/>
          <w:color w:val="000000"/>
          <w:sz w:val="22"/>
          <w:szCs w:val="22"/>
          <w:u w:val="single"/>
        </w:rPr>
        <w:t>5. 不提供详细分项报价将视为没有实质性响应招标文件。</w:t>
      </w:r>
    </w:p>
    <w:p>
      <w:pPr>
        <w:spacing w:line="440" w:lineRule="exact"/>
        <w:ind w:firstLine="720"/>
        <w:rPr>
          <w:rFonts w:ascii="新宋体" w:hAnsi="新宋体" w:eastAsia="新宋体"/>
          <w:sz w:val="22"/>
          <w:szCs w:val="22"/>
        </w:rPr>
      </w:pPr>
      <w:r>
        <w:rPr>
          <w:rFonts w:hint="eastAsia" w:ascii="宋体" w:hAnsi="宋体"/>
          <w:color w:val="000000"/>
          <w:sz w:val="22"/>
          <w:szCs w:val="22"/>
        </w:rPr>
        <w:t>6．本表可在不改变格式的情况下根据具体需要自行增减。</w:t>
      </w:r>
    </w:p>
    <w:p>
      <w:pPr>
        <w:spacing w:line="440" w:lineRule="exact"/>
        <w:jc w:val="right"/>
        <w:rPr>
          <w:rFonts w:ascii="新宋体" w:hAnsi="新宋体" w:eastAsia="新宋体"/>
          <w:sz w:val="22"/>
          <w:szCs w:val="22"/>
        </w:rPr>
      </w:pPr>
      <w:r>
        <w:rPr>
          <w:rFonts w:hint="eastAsia" w:ascii="新宋体" w:hAnsi="新宋体" w:eastAsia="新宋体"/>
          <w:sz w:val="22"/>
          <w:szCs w:val="22"/>
        </w:rPr>
        <w:t>投标供应商全称（盖章）：</w:t>
      </w:r>
    </w:p>
    <w:p>
      <w:pPr>
        <w:spacing w:line="440" w:lineRule="exact"/>
        <w:jc w:val="right"/>
        <w:rPr>
          <w:rFonts w:ascii="新宋体" w:hAnsi="新宋体" w:eastAsia="新宋体"/>
          <w:sz w:val="22"/>
          <w:szCs w:val="22"/>
        </w:rPr>
      </w:pPr>
      <w:r>
        <w:rPr>
          <w:rFonts w:hint="eastAsia" w:ascii="新宋体" w:hAnsi="新宋体" w:eastAsia="新宋体"/>
          <w:sz w:val="22"/>
          <w:szCs w:val="22"/>
        </w:rPr>
        <w:t>投标供应商代表（签名或盖章）：</w:t>
      </w:r>
    </w:p>
    <w:p>
      <w:pPr>
        <w:spacing w:line="440" w:lineRule="exact"/>
        <w:jc w:val="right"/>
        <w:rPr>
          <w:rFonts w:ascii="新宋体" w:hAnsi="新宋体" w:eastAsia="新宋体"/>
          <w:sz w:val="22"/>
          <w:szCs w:val="22"/>
        </w:rPr>
        <w:sectPr>
          <w:pgSz w:w="11906" w:h="16838"/>
          <w:pgMar w:top="1191" w:right="1191" w:bottom="1191" w:left="1191" w:header="851" w:footer="992" w:gutter="283"/>
          <w:cols w:space="720" w:num="1"/>
          <w:docGrid w:linePitch="312" w:charSpace="0"/>
        </w:sectPr>
      </w:pPr>
      <w:r>
        <w:rPr>
          <w:rFonts w:hint="eastAsia" w:ascii="新宋体" w:hAnsi="新宋体" w:eastAsia="新宋体"/>
          <w:sz w:val="22"/>
          <w:szCs w:val="22"/>
        </w:rPr>
        <w:t>日      期：   年   月    日</w:t>
      </w:r>
    </w:p>
    <w:p>
      <w:pPr>
        <w:pStyle w:val="24"/>
        <w:adjustRightInd w:val="0"/>
        <w:snapToGrid w:val="0"/>
        <w:spacing w:line="400" w:lineRule="exact"/>
        <w:rPr>
          <w:rFonts w:hAnsi="宋体"/>
          <w:sz w:val="36"/>
          <w:szCs w:val="36"/>
        </w:rPr>
      </w:pPr>
      <w:r>
        <w:rPr>
          <w:rFonts w:hint="eastAsia" w:hAnsi="宋体"/>
          <w:sz w:val="36"/>
          <w:szCs w:val="36"/>
        </w:rPr>
        <w:t>附件三（一）</w:t>
      </w:r>
    </w:p>
    <w:p>
      <w:pPr>
        <w:pStyle w:val="24"/>
        <w:adjustRightInd w:val="0"/>
        <w:snapToGrid w:val="0"/>
        <w:spacing w:line="400" w:lineRule="exact"/>
        <w:jc w:val="center"/>
        <w:rPr>
          <w:rFonts w:hAnsi="宋体"/>
          <w:sz w:val="36"/>
          <w:szCs w:val="36"/>
        </w:rPr>
      </w:pPr>
      <w:r>
        <w:rPr>
          <w:rFonts w:hint="eastAsia" w:hAnsi="宋体"/>
          <w:sz w:val="36"/>
          <w:szCs w:val="36"/>
        </w:rPr>
        <w:t>商务偏离表</w:t>
      </w:r>
    </w:p>
    <w:tbl>
      <w:tblPr>
        <w:tblStyle w:val="38"/>
        <w:tblW w:w="9600" w:type="dxa"/>
        <w:tblInd w:w="0" w:type="dxa"/>
        <w:tblLayout w:type="fixed"/>
        <w:tblCellMar>
          <w:top w:w="0" w:type="dxa"/>
          <w:left w:w="108" w:type="dxa"/>
          <w:bottom w:w="0" w:type="dxa"/>
          <w:right w:w="108" w:type="dxa"/>
        </w:tblCellMar>
      </w:tblPr>
      <w:tblGrid>
        <w:gridCol w:w="900"/>
        <w:gridCol w:w="1800"/>
        <w:gridCol w:w="2387"/>
        <w:gridCol w:w="2387"/>
        <w:gridCol w:w="2126"/>
      </w:tblGrid>
      <w:tr>
        <w:tblPrEx>
          <w:tblCellMar>
            <w:top w:w="0" w:type="dxa"/>
            <w:left w:w="108" w:type="dxa"/>
            <w:bottom w:w="0" w:type="dxa"/>
            <w:right w:w="108" w:type="dxa"/>
          </w:tblCellMar>
        </w:tblPrEx>
        <w:trPr>
          <w:trHeight w:val="936" w:hRule="atLeast"/>
        </w:trPr>
        <w:tc>
          <w:tcPr>
            <w:tcW w:w="900" w:type="dxa"/>
            <w:tcBorders>
              <w:top w:val="single" w:color="auto" w:sz="6" w:space="0"/>
              <w:left w:val="single" w:color="auto" w:sz="6" w:space="0"/>
              <w:bottom w:val="single" w:color="auto" w:sz="6" w:space="0"/>
              <w:right w:val="single" w:color="auto" w:sz="6" w:space="0"/>
            </w:tcBorders>
            <w:vAlign w:val="center"/>
          </w:tcPr>
          <w:p>
            <w:pPr>
              <w:pStyle w:val="24"/>
              <w:adjustRightInd w:val="0"/>
              <w:snapToGrid w:val="0"/>
              <w:spacing w:line="400" w:lineRule="exact"/>
              <w:rPr>
                <w:rFonts w:hAnsi="宋体"/>
                <w:sz w:val="24"/>
              </w:rPr>
            </w:pPr>
            <w:r>
              <w:rPr>
                <w:rFonts w:hint="eastAsia" w:hAnsi="宋体"/>
                <w:sz w:val="24"/>
              </w:rPr>
              <w:t>序号</w:t>
            </w:r>
          </w:p>
        </w:tc>
        <w:tc>
          <w:tcPr>
            <w:tcW w:w="1800" w:type="dxa"/>
            <w:tcBorders>
              <w:top w:val="single" w:color="auto" w:sz="6" w:space="0"/>
              <w:left w:val="single" w:color="auto" w:sz="6" w:space="0"/>
              <w:bottom w:val="single" w:color="auto" w:sz="6" w:space="0"/>
              <w:right w:val="single" w:color="auto" w:sz="6" w:space="0"/>
            </w:tcBorders>
            <w:vAlign w:val="center"/>
          </w:tcPr>
          <w:p>
            <w:pPr>
              <w:pStyle w:val="24"/>
              <w:adjustRightInd w:val="0"/>
              <w:snapToGrid w:val="0"/>
              <w:spacing w:line="400" w:lineRule="exact"/>
              <w:rPr>
                <w:rFonts w:hAnsi="宋体"/>
                <w:sz w:val="24"/>
              </w:rPr>
            </w:pPr>
            <w:r>
              <w:rPr>
                <w:rFonts w:hint="eastAsia" w:hAnsi="宋体"/>
                <w:sz w:val="24"/>
              </w:rPr>
              <w:t>内容</w:t>
            </w:r>
          </w:p>
        </w:tc>
        <w:tc>
          <w:tcPr>
            <w:tcW w:w="2387" w:type="dxa"/>
            <w:tcBorders>
              <w:top w:val="single" w:color="auto" w:sz="6" w:space="0"/>
              <w:left w:val="single" w:color="auto" w:sz="6" w:space="0"/>
              <w:bottom w:val="single" w:color="auto" w:sz="6" w:space="0"/>
              <w:right w:val="single" w:color="auto" w:sz="6" w:space="0"/>
            </w:tcBorders>
            <w:vAlign w:val="center"/>
          </w:tcPr>
          <w:p>
            <w:pPr>
              <w:pStyle w:val="24"/>
              <w:adjustRightInd w:val="0"/>
              <w:snapToGrid w:val="0"/>
              <w:spacing w:line="400" w:lineRule="exact"/>
              <w:rPr>
                <w:rFonts w:hAnsi="宋体"/>
                <w:sz w:val="24"/>
              </w:rPr>
            </w:pPr>
            <w:r>
              <w:rPr>
                <w:rFonts w:hint="eastAsia" w:hAnsi="宋体"/>
                <w:sz w:val="24"/>
              </w:rPr>
              <w:t>招标文件规范要求</w:t>
            </w:r>
          </w:p>
        </w:tc>
        <w:tc>
          <w:tcPr>
            <w:tcW w:w="2387" w:type="dxa"/>
            <w:tcBorders>
              <w:top w:val="single" w:color="auto" w:sz="6" w:space="0"/>
              <w:left w:val="single" w:color="auto" w:sz="6" w:space="0"/>
              <w:bottom w:val="single" w:color="auto" w:sz="6" w:space="0"/>
              <w:right w:val="single" w:color="auto" w:sz="6" w:space="0"/>
            </w:tcBorders>
            <w:vAlign w:val="center"/>
          </w:tcPr>
          <w:p>
            <w:pPr>
              <w:pStyle w:val="24"/>
              <w:adjustRightInd w:val="0"/>
              <w:snapToGrid w:val="0"/>
              <w:spacing w:line="400" w:lineRule="exact"/>
              <w:rPr>
                <w:rFonts w:hAnsi="宋体"/>
                <w:sz w:val="24"/>
              </w:rPr>
            </w:pPr>
            <w:r>
              <w:rPr>
                <w:rFonts w:hint="eastAsia" w:hAnsi="宋体"/>
                <w:sz w:val="24"/>
              </w:rPr>
              <w:t>投标文件对应规范</w:t>
            </w:r>
          </w:p>
        </w:tc>
        <w:tc>
          <w:tcPr>
            <w:tcW w:w="2126" w:type="dxa"/>
            <w:tcBorders>
              <w:top w:val="single" w:color="auto" w:sz="6" w:space="0"/>
              <w:left w:val="single" w:color="auto" w:sz="6" w:space="0"/>
              <w:bottom w:val="single" w:color="auto" w:sz="6" w:space="0"/>
              <w:right w:val="single" w:color="auto" w:sz="6" w:space="0"/>
            </w:tcBorders>
            <w:vAlign w:val="center"/>
          </w:tcPr>
          <w:p>
            <w:pPr>
              <w:pStyle w:val="24"/>
              <w:adjustRightInd w:val="0"/>
              <w:snapToGrid w:val="0"/>
              <w:spacing w:line="400" w:lineRule="exact"/>
              <w:rPr>
                <w:rFonts w:hAnsi="宋体"/>
                <w:sz w:val="24"/>
              </w:rPr>
            </w:pPr>
            <w:r>
              <w:rPr>
                <w:rFonts w:hint="eastAsia" w:hAnsi="宋体"/>
                <w:sz w:val="24"/>
              </w:rPr>
              <w:t>备注</w:t>
            </w: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1800"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2387"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2387"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2126"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1800"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2387"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2387"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2126"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1800"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2387"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2387"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2126"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r>
      <w:tr>
        <w:tblPrEx>
          <w:tblCellMar>
            <w:top w:w="0" w:type="dxa"/>
            <w:left w:w="108" w:type="dxa"/>
            <w:bottom w:w="0" w:type="dxa"/>
            <w:right w:w="108" w:type="dxa"/>
          </w:tblCellMar>
        </w:tblPrEx>
        <w:trPr>
          <w:trHeight w:val="436" w:hRule="atLeast"/>
        </w:trPr>
        <w:tc>
          <w:tcPr>
            <w:tcW w:w="900"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1800"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2387"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2387"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2126"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1800"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2387"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2387"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2126"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1800"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2387"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2387"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2126"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1800"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2387"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2387"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2126"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r>
      <w:tr>
        <w:tblPrEx>
          <w:tblCellMar>
            <w:top w:w="0" w:type="dxa"/>
            <w:left w:w="108" w:type="dxa"/>
            <w:bottom w:w="0" w:type="dxa"/>
            <w:right w:w="108" w:type="dxa"/>
          </w:tblCellMar>
        </w:tblPrEx>
        <w:trPr>
          <w:trHeight w:val="436" w:hRule="atLeast"/>
        </w:trPr>
        <w:tc>
          <w:tcPr>
            <w:tcW w:w="900"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1800"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2387"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2387"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2126"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1800"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2387"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2387"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2126"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r>
    </w:tbl>
    <w:p>
      <w:pPr>
        <w:pStyle w:val="24"/>
        <w:adjustRightInd w:val="0"/>
        <w:snapToGrid w:val="0"/>
        <w:spacing w:line="400" w:lineRule="exact"/>
        <w:rPr>
          <w:rFonts w:hAnsi="宋体"/>
          <w:sz w:val="24"/>
        </w:rPr>
      </w:pPr>
      <w:r>
        <w:rPr>
          <w:rFonts w:hint="eastAsia" w:hAnsi="宋体"/>
          <w:sz w:val="24"/>
        </w:rPr>
        <w:t>供应商盖章：</w:t>
      </w:r>
    </w:p>
    <w:p>
      <w:pPr>
        <w:pStyle w:val="24"/>
        <w:adjustRightInd w:val="0"/>
        <w:snapToGrid w:val="0"/>
        <w:spacing w:line="400" w:lineRule="exact"/>
        <w:rPr>
          <w:rFonts w:hAnsi="宋体"/>
          <w:sz w:val="24"/>
        </w:rPr>
      </w:pPr>
    </w:p>
    <w:p>
      <w:pPr>
        <w:pStyle w:val="24"/>
        <w:adjustRightInd w:val="0"/>
        <w:snapToGrid w:val="0"/>
        <w:spacing w:line="400" w:lineRule="exact"/>
        <w:rPr>
          <w:rFonts w:hAnsi="宋体"/>
          <w:sz w:val="36"/>
          <w:szCs w:val="36"/>
        </w:rPr>
      </w:pPr>
    </w:p>
    <w:p>
      <w:pPr>
        <w:pStyle w:val="24"/>
        <w:adjustRightInd w:val="0"/>
        <w:snapToGrid w:val="0"/>
        <w:spacing w:line="400" w:lineRule="exact"/>
        <w:rPr>
          <w:rFonts w:hAnsi="宋体"/>
          <w:sz w:val="36"/>
          <w:szCs w:val="36"/>
        </w:rPr>
      </w:pPr>
    </w:p>
    <w:p>
      <w:pPr>
        <w:pStyle w:val="24"/>
        <w:adjustRightInd w:val="0"/>
        <w:snapToGrid w:val="0"/>
        <w:spacing w:line="400" w:lineRule="exact"/>
        <w:rPr>
          <w:rFonts w:hAnsi="宋体"/>
          <w:sz w:val="36"/>
          <w:szCs w:val="36"/>
        </w:rPr>
      </w:pPr>
      <w:r>
        <w:rPr>
          <w:rFonts w:hint="eastAsia" w:hAnsi="宋体"/>
          <w:sz w:val="36"/>
          <w:szCs w:val="36"/>
        </w:rPr>
        <w:t>附件三（二）</w:t>
      </w:r>
    </w:p>
    <w:p>
      <w:pPr>
        <w:pStyle w:val="24"/>
        <w:adjustRightInd w:val="0"/>
        <w:snapToGrid w:val="0"/>
        <w:spacing w:line="400" w:lineRule="exact"/>
        <w:ind w:firstLine="3600" w:firstLineChars="1000"/>
        <w:rPr>
          <w:rFonts w:hAnsi="宋体"/>
          <w:sz w:val="36"/>
          <w:szCs w:val="36"/>
        </w:rPr>
      </w:pPr>
      <w:r>
        <w:rPr>
          <w:rFonts w:hint="eastAsia" w:hAnsi="宋体"/>
          <w:sz w:val="36"/>
          <w:szCs w:val="36"/>
        </w:rPr>
        <w:t>技术偏离表</w:t>
      </w:r>
    </w:p>
    <w:tbl>
      <w:tblPr>
        <w:tblStyle w:val="38"/>
        <w:tblW w:w="9612" w:type="dxa"/>
        <w:tblInd w:w="-4" w:type="dxa"/>
        <w:tblLayout w:type="fixed"/>
        <w:tblCellMar>
          <w:top w:w="0" w:type="dxa"/>
          <w:left w:w="108" w:type="dxa"/>
          <w:bottom w:w="0" w:type="dxa"/>
          <w:right w:w="108" w:type="dxa"/>
        </w:tblCellMar>
      </w:tblPr>
      <w:tblGrid>
        <w:gridCol w:w="896"/>
        <w:gridCol w:w="1806"/>
        <w:gridCol w:w="2386"/>
        <w:gridCol w:w="2387"/>
        <w:gridCol w:w="2137"/>
      </w:tblGrid>
      <w:tr>
        <w:tblPrEx>
          <w:tblCellMar>
            <w:top w:w="0" w:type="dxa"/>
            <w:left w:w="108" w:type="dxa"/>
            <w:bottom w:w="0" w:type="dxa"/>
            <w:right w:w="108" w:type="dxa"/>
          </w:tblCellMar>
        </w:tblPrEx>
        <w:trPr>
          <w:trHeight w:val="918" w:hRule="atLeast"/>
        </w:trPr>
        <w:tc>
          <w:tcPr>
            <w:tcW w:w="896" w:type="dxa"/>
            <w:tcBorders>
              <w:top w:val="single" w:color="auto" w:sz="6" w:space="0"/>
              <w:left w:val="single" w:color="auto" w:sz="6" w:space="0"/>
              <w:bottom w:val="single" w:color="auto" w:sz="6" w:space="0"/>
              <w:right w:val="single" w:color="auto" w:sz="6" w:space="0"/>
            </w:tcBorders>
            <w:vAlign w:val="center"/>
          </w:tcPr>
          <w:p>
            <w:pPr>
              <w:pStyle w:val="24"/>
              <w:adjustRightInd w:val="0"/>
              <w:snapToGrid w:val="0"/>
              <w:spacing w:line="400" w:lineRule="exact"/>
              <w:rPr>
                <w:rFonts w:hAnsi="宋体"/>
                <w:sz w:val="24"/>
              </w:rPr>
            </w:pPr>
            <w:r>
              <w:rPr>
                <w:rFonts w:hint="eastAsia" w:hAnsi="宋体"/>
                <w:sz w:val="24"/>
              </w:rPr>
              <w:t>序号</w:t>
            </w:r>
          </w:p>
        </w:tc>
        <w:tc>
          <w:tcPr>
            <w:tcW w:w="1806" w:type="dxa"/>
            <w:tcBorders>
              <w:top w:val="single" w:color="auto" w:sz="6" w:space="0"/>
              <w:left w:val="single" w:color="auto" w:sz="6" w:space="0"/>
              <w:bottom w:val="single" w:color="auto" w:sz="6" w:space="0"/>
              <w:right w:val="single" w:color="auto" w:sz="6" w:space="0"/>
            </w:tcBorders>
            <w:vAlign w:val="center"/>
          </w:tcPr>
          <w:p>
            <w:pPr>
              <w:pStyle w:val="24"/>
              <w:adjustRightInd w:val="0"/>
              <w:snapToGrid w:val="0"/>
              <w:spacing w:line="400" w:lineRule="exact"/>
              <w:rPr>
                <w:rFonts w:hAnsi="宋体"/>
                <w:sz w:val="24"/>
              </w:rPr>
            </w:pPr>
            <w:r>
              <w:rPr>
                <w:rFonts w:hint="eastAsia" w:hAnsi="宋体"/>
                <w:sz w:val="24"/>
              </w:rPr>
              <w:t>内容</w:t>
            </w:r>
          </w:p>
        </w:tc>
        <w:tc>
          <w:tcPr>
            <w:tcW w:w="2386" w:type="dxa"/>
            <w:tcBorders>
              <w:top w:val="single" w:color="auto" w:sz="6" w:space="0"/>
              <w:left w:val="single" w:color="auto" w:sz="6" w:space="0"/>
              <w:bottom w:val="single" w:color="auto" w:sz="6" w:space="0"/>
              <w:right w:val="single" w:color="auto" w:sz="6" w:space="0"/>
            </w:tcBorders>
            <w:vAlign w:val="center"/>
          </w:tcPr>
          <w:p>
            <w:pPr>
              <w:pStyle w:val="24"/>
              <w:adjustRightInd w:val="0"/>
              <w:snapToGrid w:val="0"/>
              <w:spacing w:line="400" w:lineRule="exact"/>
              <w:rPr>
                <w:rFonts w:hAnsi="宋体"/>
                <w:sz w:val="24"/>
              </w:rPr>
            </w:pPr>
            <w:r>
              <w:rPr>
                <w:rFonts w:hint="eastAsia" w:hAnsi="宋体"/>
                <w:sz w:val="24"/>
              </w:rPr>
              <w:t>招标文件规范要求</w:t>
            </w:r>
          </w:p>
        </w:tc>
        <w:tc>
          <w:tcPr>
            <w:tcW w:w="2387" w:type="dxa"/>
            <w:tcBorders>
              <w:top w:val="single" w:color="auto" w:sz="6" w:space="0"/>
              <w:left w:val="single" w:color="auto" w:sz="6" w:space="0"/>
              <w:bottom w:val="single" w:color="auto" w:sz="6" w:space="0"/>
              <w:right w:val="single" w:color="auto" w:sz="6" w:space="0"/>
            </w:tcBorders>
            <w:vAlign w:val="center"/>
          </w:tcPr>
          <w:p>
            <w:pPr>
              <w:pStyle w:val="24"/>
              <w:adjustRightInd w:val="0"/>
              <w:snapToGrid w:val="0"/>
              <w:spacing w:line="400" w:lineRule="exact"/>
              <w:rPr>
                <w:rFonts w:hAnsi="宋体"/>
                <w:sz w:val="24"/>
              </w:rPr>
            </w:pPr>
            <w:r>
              <w:rPr>
                <w:rFonts w:hint="eastAsia" w:hAnsi="宋体"/>
                <w:sz w:val="24"/>
              </w:rPr>
              <w:t>投标文件对应规范</w:t>
            </w:r>
          </w:p>
        </w:tc>
        <w:tc>
          <w:tcPr>
            <w:tcW w:w="2137" w:type="dxa"/>
            <w:tcBorders>
              <w:top w:val="single" w:color="auto" w:sz="6" w:space="0"/>
              <w:left w:val="single" w:color="auto" w:sz="6" w:space="0"/>
              <w:bottom w:val="single" w:color="auto" w:sz="6" w:space="0"/>
              <w:right w:val="single" w:color="auto" w:sz="6" w:space="0"/>
            </w:tcBorders>
            <w:vAlign w:val="center"/>
          </w:tcPr>
          <w:p>
            <w:pPr>
              <w:pStyle w:val="24"/>
              <w:adjustRightInd w:val="0"/>
              <w:snapToGrid w:val="0"/>
              <w:spacing w:line="400" w:lineRule="exact"/>
              <w:rPr>
                <w:rFonts w:hAnsi="宋体"/>
                <w:sz w:val="24"/>
              </w:rPr>
            </w:pPr>
            <w:r>
              <w:rPr>
                <w:rFonts w:hint="eastAsia" w:hAnsi="宋体"/>
                <w:sz w:val="24"/>
              </w:rPr>
              <w:t>备注</w:t>
            </w:r>
          </w:p>
        </w:tc>
      </w:tr>
      <w:tr>
        <w:tblPrEx>
          <w:tblCellMar>
            <w:top w:w="0" w:type="dxa"/>
            <w:left w:w="108" w:type="dxa"/>
            <w:bottom w:w="0" w:type="dxa"/>
            <w:right w:w="108" w:type="dxa"/>
          </w:tblCellMar>
        </w:tblPrEx>
        <w:tc>
          <w:tcPr>
            <w:tcW w:w="896"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1806"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2386"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2387"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2137"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r>
      <w:tr>
        <w:tblPrEx>
          <w:tblCellMar>
            <w:top w:w="0" w:type="dxa"/>
            <w:left w:w="108" w:type="dxa"/>
            <w:bottom w:w="0" w:type="dxa"/>
            <w:right w:w="108" w:type="dxa"/>
          </w:tblCellMar>
        </w:tblPrEx>
        <w:tc>
          <w:tcPr>
            <w:tcW w:w="896"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1806"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2386"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2387"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2137"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r>
      <w:tr>
        <w:tblPrEx>
          <w:tblCellMar>
            <w:top w:w="0" w:type="dxa"/>
            <w:left w:w="108" w:type="dxa"/>
            <w:bottom w:w="0" w:type="dxa"/>
            <w:right w:w="108" w:type="dxa"/>
          </w:tblCellMar>
        </w:tblPrEx>
        <w:tc>
          <w:tcPr>
            <w:tcW w:w="896"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1806"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2386"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2387"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2137"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r>
      <w:tr>
        <w:tblPrEx>
          <w:tblCellMar>
            <w:top w:w="0" w:type="dxa"/>
            <w:left w:w="108" w:type="dxa"/>
            <w:bottom w:w="0" w:type="dxa"/>
            <w:right w:w="108" w:type="dxa"/>
          </w:tblCellMar>
        </w:tblPrEx>
        <w:tc>
          <w:tcPr>
            <w:tcW w:w="896"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1806"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2386"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2387"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2137"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r>
      <w:tr>
        <w:tblPrEx>
          <w:tblCellMar>
            <w:top w:w="0" w:type="dxa"/>
            <w:left w:w="108" w:type="dxa"/>
            <w:bottom w:w="0" w:type="dxa"/>
            <w:right w:w="108" w:type="dxa"/>
          </w:tblCellMar>
        </w:tblPrEx>
        <w:tc>
          <w:tcPr>
            <w:tcW w:w="896"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1806"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2386"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2387"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2137"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r>
      <w:tr>
        <w:tblPrEx>
          <w:tblCellMar>
            <w:top w:w="0" w:type="dxa"/>
            <w:left w:w="108" w:type="dxa"/>
            <w:bottom w:w="0" w:type="dxa"/>
            <w:right w:w="108" w:type="dxa"/>
          </w:tblCellMar>
        </w:tblPrEx>
        <w:tc>
          <w:tcPr>
            <w:tcW w:w="896"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1806"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2386"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2387"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2137"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r>
      <w:tr>
        <w:tblPrEx>
          <w:tblCellMar>
            <w:top w:w="0" w:type="dxa"/>
            <w:left w:w="108" w:type="dxa"/>
            <w:bottom w:w="0" w:type="dxa"/>
            <w:right w:w="108" w:type="dxa"/>
          </w:tblCellMar>
        </w:tblPrEx>
        <w:tc>
          <w:tcPr>
            <w:tcW w:w="896"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1806"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2386"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2387"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2137"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r>
      <w:tr>
        <w:tblPrEx>
          <w:tblCellMar>
            <w:top w:w="0" w:type="dxa"/>
            <w:left w:w="108" w:type="dxa"/>
            <w:bottom w:w="0" w:type="dxa"/>
            <w:right w:w="108" w:type="dxa"/>
          </w:tblCellMar>
        </w:tblPrEx>
        <w:tc>
          <w:tcPr>
            <w:tcW w:w="896"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1806"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2386"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2387"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c>
          <w:tcPr>
            <w:tcW w:w="2137" w:type="dxa"/>
            <w:tcBorders>
              <w:top w:val="single" w:color="auto" w:sz="6" w:space="0"/>
              <w:left w:val="single" w:color="auto" w:sz="6" w:space="0"/>
              <w:bottom w:val="single" w:color="auto" w:sz="6" w:space="0"/>
              <w:right w:val="single" w:color="auto" w:sz="6" w:space="0"/>
            </w:tcBorders>
          </w:tcPr>
          <w:p>
            <w:pPr>
              <w:pStyle w:val="24"/>
              <w:adjustRightInd w:val="0"/>
              <w:snapToGrid w:val="0"/>
              <w:spacing w:line="400" w:lineRule="exact"/>
              <w:rPr>
                <w:rFonts w:hAnsi="宋体"/>
                <w:sz w:val="24"/>
              </w:rPr>
            </w:pPr>
          </w:p>
        </w:tc>
      </w:tr>
    </w:tbl>
    <w:p>
      <w:pPr>
        <w:pStyle w:val="24"/>
        <w:adjustRightInd w:val="0"/>
        <w:snapToGrid w:val="0"/>
        <w:spacing w:line="400" w:lineRule="exact"/>
        <w:rPr>
          <w:rFonts w:hAnsi="宋体"/>
          <w:sz w:val="24"/>
        </w:rPr>
      </w:pPr>
      <w:r>
        <w:rPr>
          <w:rFonts w:hint="eastAsia" w:hAnsi="宋体"/>
          <w:sz w:val="24"/>
        </w:rPr>
        <w:t>供应商盖章：</w:t>
      </w:r>
    </w:p>
    <w:p>
      <w:pPr>
        <w:pStyle w:val="24"/>
        <w:adjustRightInd w:val="0"/>
        <w:snapToGrid w:val="0"/>
        <w:spacing w:line="400" w:lineRule="exact"/>
        <w:rPr>
          <w:rFonts w:hAnsi="宋体"/>
          <w:sz w:val="24"/>
        </w:rPr>
      </w:pPr>
    </w:p>
    <w:p>
      <w:pPr>
        <w:sectPr>
          <w:pgSz w:w="11906" w:h="16838"/>
          <w:pgMar w:top="1134" w:right="1134" w:bottom="1134" w:left="1134" w:header="851" w:footer="992" w:gutter="0"/>
          <w:cols w:space="720" w:num="1"/>
          <w:docGrid w:type="lines" w:linePitch="312" w:charSpace="0"/>
        </w:sectPr>
      </w:pPr>
    </w:p>
    <w:p>
      <w:pPr>
        <w:pStyle w:val="24"/>
        <w:adjustRightInd w:val="0"/>
        <w:snapToGrid w:val="0"/>
        <w:spacing w:line="400" w:lineRule="exact"/>
        <w:rPr>
          <w:rFonts w:hAnsi="宋体"/>
          <w:sz w:val="36"/>
          <w:szCs w:val="36"/>
        </w:rPr>
      </w:pPr>
      <w:r>
        <w:rPr>
          <w:rFonts w:hint="eastAsia" w:hAnsi="宋体"/>
          <w:sz w:val="36"/>
          <w:szCs w:val="36"/>
        </w:rPr>
        <w:t>附件四</w:t>
      </w:r>
    </w:p>
    <w:p>
      <w:pPr>
        <w:pStyle w:val="24"/>
        <w:adjustRightInd w:val="0"/>
        <w:snapToGrid w:val="0"/>
        <w:spacing w:line="400" w:lineRule="exact"/>
        <w:ind w:firstLine="2880" w:firstLineChars="800"/>
        <w:rPr>
          <w:rFonts w:hAnsi="宋体"/>
          <w:sz w:val="36"/>
          <w:szCs w:val="36"/>
        </w:rPr>
      </w:pPr>
      <w:r>
        <w:rPr>
          <w:rFonts w:hint="eastAsia" w:hAnsi="宋体"/>
          <w:sz w:val="36"/>
          <w:szCs w:val="36"/>
        </w:rPr>
        <w:t>资格、资质证明文件</w:t>
      </w:r>
    </w:p>
    <w:p>
      <w:pPr>
        <w:pStyle w:val="24"/>
        <w:adjustRightInd w:val="0"/>
        <w:snapToGrid w:val="0"/>
        <w:spacing w:line="400" w:lineRule="exact"/>
        <w:ind w:firstLine="2520" w:firstLineChars="700"/>
        <w:rPr>
          <w:rFonts w:hAnsi="宋体"/>
          <w:sz w:val="36"/>
          <w:szCs w:val="36"/>
        </w:rPr>
      </w:pPr>
    </w:p>
    <w:p>
      <w:pPr>
        <w:pStyle w:val="24"/>
        <w:adjustRightInd w:val="0"/>
        <w:snapToGrid w:val="0"/>
        <w:spacing w:line="400" w:lineRule="exact"/>
        <w:ind w:firstLine="2520" w:firstLineChars="700"/>
        <w:outlineLvl w:val="0"/>
        <w:rPr>
          <w:rFonts w:hAnsi="宋体"/>
          <w:sz w:val="36"/>
          <w:szCs w:val="36"/>
        </w:rPr>
      </w:pPr>
      <w:r>
        <w:rPr>
          <w:rFonts w:hint="eastAsia" w:hAnsi="宋体"/>
          <w:sz w:val="36"/>
          <w:szCs w:val="36"/>
        </w:rPr>
        <w:t>（一）法定代表人授权书</w:t>
      </w:r>
    </w:p>
    <w:p>
      <w:pPr>
        <w:spacing w:line="360" w:lineRule="auto"/>
        <w:rPr>
          <w:rFonts w:ascii="宋体" w:hAnsi="宋体"/>
          <w:u w:val="single"/>
        </w:rPr>
      </w:pPr>
    </w:p>
    <w:p>
      <w:pPr>
        <w:pStyle w:val="24"/>
        <w:adjustRightInd w:val="0"/>
        <w:snapToGrid w:val="0"/>
        <w:spacing w:line="500" w:lineRule="exact"/>
        <w:rPr>
          <w:rFonts w:hAnsi="宋体"/>
          <w:sz w:val="22"/>
          <w:szCs w:val="22"/>
          <w:u w:val="single"/>
        </w:rPr>
      </w:pPr>
      <w:r>
        <w:rPr>
          <w:rFonts w:hint="eastAsia" w:hAnsi="宋体"/>
          <w:sz w:val="22"/>
          <w:szCs w:val="22"/>
        </w:rPr>
        <w:t>龙港市农业农村局：</w:t>
      </w:r>
    </w:p>
    <w:p>
      <w:pPr>
        <w:spacing w:line="360" w:lineRule="auto"/>
        <w:ind w:firstLine="440" w:firstLineChars="200"/>
        <w:rPr>
          <w:rFonts w:ascii="宋体" w:hAnsi="宋体"/>
          <w:sz w:val="22"/>
          <w:szCs w:val="22"/>
        </w:rPr>
      </w:pPr>
      <w:r>
        <w:rPr>
          <w:rFonts w:hint="eastAsia" w:ascii="宋体" w:hAnsi="宋体"/>
          <w:sz w:val="22"/>
          <w:szCs w:val="22"/>
        </w:rPr>
        <w:t>本授权委托书声明：我</w:t>
      </w:r>
      <w:r>
        <w:rPr>
          <w:rFonts w:hint="eastAsia" w:ascii="宋体" w:hAnsi="宋体"/>
          <w:sz w:val="22"/>
          <w:szCs w:val="22"/>
          <w:u w:val="single"/>
        </w:rPr>
        <w:t xml:space="preserve">   （法定代表人姓名）   </w:t>
      </w:r>
      <w:r>
        <w:rPr>
          <w:rFonts w:hint="eastAsia" w:ascii="宋体" w:hAnsi="宋体"/>
          <w:sz w:val="22"/>
          <w:szCs w:val="22"/>
        </w:rPr>
        <w:t>系</w:t>
      </w:r>
      <w:r>
        <w:rPr>
          <w:rFonts w:hint="eastAsia" w:ascii="宋体" w:hAnsi="宋体"/>
          <w:sz w:val="22"/>
          <w:szCs w:val="22"/>
          <w:u w:val="single"/>
        </w:rPr>
        <w:t xml:space="preserve">   （供 应 商 名 称）  </w:t>
      </w:r>
      <w:r>
        <w:rPr>
          <w:rFonts w:hint="eastAsia" w:ascii="宋体" w:hAnsi="宋体"/>
          <w:sz w:val="22"/>
          <w:szCs w:val="22"/>
        </w:rPr>
        <w:t>的法定代表人，现授权委托</w:t>
      </w:r>
      <w:r>
        <w:rPr>
          <w:rFonts w:hint="eastAsia" w:ascii="宋体" w:hAnsi="宋体"/>
          <w:sz w:val="22"/>
          <w:szCs w:val="22"/>
          <w:u w:val="single"/>
        </w:rPr>
        <w:t xml:space="preserve">  （单 位 名 称）   </w:t>
      </w:r>
      <w:r>
        <w:rPr>
          <w:rFonts w:hint="eastAsia" w:ascii="宋体" w:hAnsi="宋体"/>
          <w:sz w:val="22"/>
          <w:szCs w:val="22"/>
        </w:rPr>
        <w:t>的</w:t>
      </w:r>
      <w:r>
        <w:rPr>
          <w:rFonts w:hint="eastAsia" w:ascii="宋体" w:hAnsi="宋体"/>
          <w:sz w:val="22"/>
          <w:szCs w:val="22"/>
          <w:u w:val="single"/>
        </w:rPr>
        <w:t xml:space="preserve">  （授权代表姓名）  </w:t>
      </w:r>
      <w:r>
        <w:rPr>
          <w:rFonts w:hint="eastAsia" w:ascii="宋体" w:hAnsi="宋体"/>
          <w:sz w:val="22"/>
          <w:szCs w:val="22"/>
        </w:rPr>
        <w:t>为我公司法定代表人授权代表，参加贵处组织的</w:t>
      </w:r>
      <w:r>
        <w:rPr>
          <w:rFonts w:hint="eastAsia" w:ascii="宋体" w:hAnsi="宋体"/>
          <w:sz w:val="22"/>
          <w:szCs w:val="22"/>
          <w:u w:val="single"/>
        </w:rPr>
        <w:t xml:space="preserve">  （招标项目名称，括号中填写项目编号）  </w:t>
      </w:r>
      <w:r>
        <w:rPr>
          <w:rFonts w:hint="eastAsia" w:ascii="宋体" w:hAnsi="宋体"/>
          <w:sz w:val="22"/>
          <w:szCs w:val="22"/>
        </w:rPr>
        <w:t>项目投标，全权处理本次招投标活动中的一切事宜，我承认授权代表全权代表我所签署的本项目的投标文件的内容。</w:t>
      </w:r>
    </w:p>
    <w:p>
      <w:pPr>
        <w:spacing w:line="360" w:lineRule="auto"/>
        <w:ind w:firstLine="440" w:firstLineChars="200"/>
        <w:rPr>
          <w:rFonts w:ascii="宋体" w:hAnsi="宋体"/>
          <w:sz w:val="22"/>
          <w:szCs w:val="22"/>
        </w:rPr>
      </w:pPr>
      <w:r>
        <w:rPr>
          <w:rFonts w:hint="eastAsia" w:ascii="宋体" w:hAnsi="宋体"/>
          <w:sz w:val="22"/>
          <w:szCs w:val="22"/>
        </w:rPr>
        <w:t>授权代表无转授权，特此授权</w:t>
      </w:r>
    </w:p>
    <w:p>
      <w:pPr>
        <w:spacing w:line="360" w:lineRule="auto"/>
        <w:ind w:left="1260"/>
        <w:rPr>
          <w:rFonts w:ascii="宋体" w:hAnsi="宋体"/>
          <w:sz w:val="22"/>
          <w:szCs w:val="22"/>
        </w:rPr>
      </w:pPr>
    </w:p>
    <w:p>
      <w:pPr>
        <w:spacing w:line="360" w:lineRule="auto"/>
        <w:ind w:left="2098" w:leftChars="999" w:right="440" w:firstLine="959" w:firstLineChars="436"/>
        <w:rPr>
          <w:rFonts w:ascii="宋体" w:hAnsi="宋体"/>
          <w:sz w:val="22"/>
          <w:szCs w:val="22"/>
        </w:rPr>
      </w:pPr>
      <w:r>
        <w:rPr>
          <w:rFonts w:hint="eastAsia" w:ascii="宋体" w:hAnsi="宋体"/>
          <w:sz w:val="22"/>
          <w:szCs w:val="22"/>
        </w:rPr>
        <w:t>供应商：</w:t>
      </w:r>
      <w:r>
        <w:rPr>
          <w:rFonts w:hint="eastAsia" w:ascii="宋体" w:hAnsi="宋体"/>
          <w:sz w:val="22"/>
          <w:szCs w:val="22"/>
          <w:u w:val="single"/>
        </w:rPr>
        <w:t xml:space="preserve">                                   （盖章）</w:t>
      </w:r>
    </w:p>
    <w:p>
      <w:pPr>
        <w:spacing w:line="360" w:lineRule="auto"/>
        <w:ind w:left="2098" w:leftChars="999" w:right="440" w:firstLine="959" w:firstLineChars="436"/>
        <w:rPr>
          <w:rFonts w:ascii="宋体" w:hAnsi="宋体"/>
          <w:sz w:val="22"/>
          <w:szCs w:val="22"/>
        </w:rPr>
      </w:pPr>
      <w:r>
        <w:rPr>
          <w:rFonts w:hint="eastAsia" w:ascii="宋体" w:hAnsi="宋体"/>
          <w:sz w:val="22"/>
          <w:szCs w:val="22"/>
        </w:rPr>
        <w:t>法定代表人：</w:t>
      </w:r>
      <w:r>
        <w:rPr>
          <w:rFonts w:hint="eastAsia" w:ascii="宋体" w:hAnsi="宋体"/>
          <w:sz w:val="22"/>
          <w:szCs w:val="22"/>
          <w:u w:val="single"/>
        </w:rPr>
        <w:t xml:space="preserve">                           （签字或盖章）</w:t>
      </w:r>
    </w:p>
    <w:p>
      <w:pPr>
        <w:spacing w:line="360" w:lineRule="auto"/>
        <w:ind w:left="2098" w:leftChars="999" w:firstLine="959" w:firstLineChars="436"/>
        <w:rPr>
          <w:rFonts w:ascii="宋体" w:hAnsi="宋体"/>
          <w:sz w:val="22"/>
          <w:szCs w:val="22"/>
          <w:u w:val="single"/>
        </w:rPr>
      </w:pPr>
      <w:r>
        <w:rPr>
          <w:rFonts w:hint="eastAsia" w:ascii="宋体" w:hAnsi="宋体"/>
          <w:sz w:val="22"/>
          <w:szCs w:val="22"/>
        </w:rPr>
        <w:t>详细通讯地址： 邮政编码：</w:t>
      </w:r>
    </w:p>
    <w:p>
      <w:pPr>
        <w:ind w:left="2098" w:leftChars="999" w:firstLine="959" w:firstLineChars="436"/>
        <w:rPr>
          <w:rFonts w:ascii="宋体" w:hAnsi="宋体"/>
          <w:sz w:val="22"/>
          <w:szCs w:val="22"/>
          <w:u w:val="single"/>
        </w:rPr>
      </w:pPr>
      <w:r>
        <w:rPr>
          <w:rFonts w:hint="eastAsia" w:ascii="宋体" w:hAnsi="宋体"/>
          <w:sz w:val="22"/>
          <w:szCs w:val="22"/>
        </w:rPr>
        <w:t>电话： 传真：</w:t>
      </w:r>
    </w:p>
    <w:p>
      <w:pPr>
        <w:ind w:left="2098" w:leftChars="999" w:firstLine="959" w:firstLineChars="436"/>
        <w:rPr>
          <w:rFonts w:ascii="宋体" w:hAnsi="宋体"/>
          <w:sz w:val="22"/>
          <w:szCs w:val="22"/>
        </w:rPr>
      </w:pPr>
    </w:p>
    <w:p>
      <w:pPr>
        <w:spacing w:line="360" w:lineRule="auto"/>
        <w:rPr>
          <w:rFonts w:ascii="宋体" w:hAnsi="宋体"/>
          <w:sz w:val="22"/>
          <w:szCs w:val="22"/>
        </w:rPr>
      </w:pPr>
    </w:p>
    <w:p>
      <w:pPr>
        <w:spacing w:line="360" w:lineRule="auto"/>
        <w:ind w:left="2098" w:leftChars="999" w:right="440" w:firstLine="959" w:firstLineChars="436"/>
        <w:rPr>
          <w:rFonts w:ascii="宋体" w:hAnsi="宋体"/>
          <w:sz w:val="24"/>
        </w:rPr>
      </w:pPr>
      <w:r>
        <w:rPr>
          <w:rFonts w:hint="eastAsia" w:ascii="宋体" w:hAnsi="宋体"/>
          <w:sz w:val="22"/>
          <w:szCs w:val="22"/>
        </w:rPr>
        <w:t>授权委托日期：年 月日</w:t>
      </w:r>
    </w:p>
    <w:p>
      <w:pPr>
        <w:spacing w:line="360" w:lineRule="auto"/>
        <w:ind w:firstLine="3600" w:firstLineChars="1500"/>
        <w:jc w:val="right"/>
        <w:rPr>
          <w:rFonts w:ascii="宋体" w:hAnsi="宋体"/>
          <w:sz w:val="24"/>
        </w:rPr>
      </w:pPr>
    </w:p>
    <w:tbl>
      <w:tblPr>
        <w:tblStyle w:val="38"/>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1" w:hRule="atLeast"/>
        </w:trPr>
        <w:tc>
          <w:tcPr>
            <w:tcW w:w="9000" w:type="dxa"/>
          </w:tcPr>
          <w:p>
            <w:pPr>
              <w:pStyle w:val="24"/>
              <w:adjustRightInd w:val="0"/>
              <w:snapToGrid w:val="0"/>
              <w:spacing w:line="400" w:lineRule="exact"/>
              <w:jc w:val="center"/>
              <w:rPr>
                <w:rFonts w:hAnsi="宋体"/>
                <w:sz w:val="24"/>
              </w:rPr>
            </w:pPr>
          </w:p>
          <w:p>
            <w:pPr>
              <w:pStyle w:val="24"/>
              <w:adjustRightInd w:val="0"/>
              <w:snapToGrid w:val="0"/>
              <w:spacing w:line="400" w:lineRule="exact"/>
              <w:jc w:val="center"/>
              <w:rPr>
                <w:rFonts w:hAnsi="宋体"/>
                <w:sz w:val="24"/>
              </w:rPr>
            </w:pPr>
          </w:p>
          <w:p>
            <w:pPr>
              <w:pStyle w:val="24"/>
              <w:adjustRightInd w:val="0"/>
              <w:snapToGrid w:val="0"/>
              <w:spacing w:line="400" w:lineRule="exact"/>
              <w:jc w:val="center"/>
              <w:rPr>
                <w:rFonts w:hAnsi="宋体"/>
                <w:sz w:val="24"/>
              </w:rPr>
            </w:pPr>
          </w:p>
          <w:p>
            <w:pPr>
              <w:pStyle w:val="24"/>
              <w:adjustRightInd w:val="0"/>
              <w:snapToGrid w:val="0"/>
              <w:spacing w:line="400" w:lineRule="exact"/>
              <w:jc w:val="center"/>
              <w:rPr>
                <w:rFonts w:hAnsi="宋体"/>
                <w:sz w:val="24"/>
              </w:rPr>
            </w:pPr>
          </w:p>
          <w:p>
            <w:pPr>
              <w:pStyle w:val="24"/>
              <w:adjustRightInd w:val="0"/>
              <w:snapToGrid w:val="0"/>
              <w:spacing w:line="320" w:lineRule="atLeast"/>
              <w:jc w:val="center"/>
              <w:rPr>
                <w:rFonts w:hAnsi="宋体"/>
                <w:sz w:val="22"/>
                <w:szCs w:val="22"/>
              </w:rPr>
            </w:pPr>
            <w:r>
              <w:rPr>
                <w:rFonts w:hint="eastAsia" w:hAnsi="宋体"/>
                <w:sz w:val="22"/>
                <w:szCs w:val="22"/>
              </w:rPr>
              <w:t>授权代表身份证复印件与影印件粘贴处</w:t>
            </w:r>
          </w:p>
          <w:p>
            <w:pPr>
              <w:pStyle w:val="24"/>
              <w:adjustRightInd w:val="0"/>
              <w:snapToGrid w:val="0"/>
              <w:spacing w:line="400" w:lineRule="exact"/>
              <w:jc w:val="center"/>
              <w:rPr>
                <w:rFonts w:hAnsi="宋体"/>
                <w:sz w:val="24"/>
              </w:rPr>
            </w:pPr>
          </w:p>
          <w:p>
            <w:pPr>
              <w:pStyle w:val="24"/>
              <w:adjustRightInd w:val="0"/>
              <w:snapToGrid w:val="0"/>
              <w:spacing w:line="400" w:lineRule="exact"/>
              <w:jc w:val="center"/>
              <w:rPr>
                <w:rFonts w:hAnsi="宋体"/>
                <w:sz w:val="24"/>
              </w:rPr>
            </w:pPr>
          </w:p>
          <w:p>
            <w:pPr>
              <w:pStyle w:val="24"/>
              <w:adjustRightInd w:val="0"/>
              <w:snapToGrid w:val="0"/>
              <w:spacing w:line="400" w:lineRule="exact"/>
              <w:jc w:val="center"/>
              <w:rPr>
                <w:rFonts w:hAnsi="宋体"/>
                <w:sz w:val="36"/>
              </w:rPr>
            </w:pPr>
          </w:p>
        </w:tc>
      </w:tr>
    </w:tbl>
    <w:p>
      <w:pPr>
        <w:pStyle w:val="24"/>
        <w:adjustRightInd w:val="0"/>
        <w:snapToGrid w:val="0"/>
        <w:spacing w:line="400" w:lineRule="exact"/>
        <w:jc w:val="center"/>
        <w:rPr>
          <w:rFonts w:hAnsi="宋体"/>
          <w:sz w:val="24"/>
        </w:rPr>
      </w:pPr>
    </w:p>
    <w:p>
      <w:pPr>
        <w:sectPr>
          <w:pgSz w:w="11906" w:h="16838"/>
          <w:pgMar w:top="1134" w:right="1134" w:bottom="1134" w:left="1134" w:header="851" w:footer="992" w:gutter="0"/>
          <w:cols w:space="720" w:num="1"/>
          <w:docGrid w:type="lines" w:linePitch="312" w:charSpace="0"/>
        </w:sectPr>
      </w:pPr>
    </w:p>
    <w:p>
      <w:pPr>
        <w:pStyle w:val="24"/>
        <w:adjustRightInd w:val="0"/>
        <w:snapToGrid w:val="0"/>
        <w:spacing w:line="400" w:lineRule="exact"/>
        <w:jc w:val="center"/>
        <w:rPr>
          <w:rFonts w:hAnsi="宋体"/>
          <w:sz w:val="24"/>
        </w:rPr>
      </w:pPr>
    </w:p>
    <w:p>
      <w:pPr>
        <w:pStyle w:val="24"/>
        <w:adjustRightInd w:val="0"/>
        <w:snapToGrid w:val="0"/>
        <w:spacing w:line="400" w:lineRule="exact"/>
        <w:jc w:val="center"/>
        <w:outlineLvl w:val="0"/>
        <w:rPr>
          <w:rFonts w:hAnsi="宋体"/>
          <w:sz w:val="24"/>
        </w:rPr>
      </w:pPr>
      <w:r>
        <w:rPr>
          <w:rFonts w:hint="eastAsia" w:hAnsi="宋体"/>
          <w:sz w:val="36"/>
          <w:szCs w:val="36"/>
        </w:rPr>
        <w:t>(二）投标供应商情况声明</w:t>
      </w:r>
    </w:p>
    <w:p>
      <w:pPr>
        <w:spacing w:line="400" w:lineRule="exact"/>
        <w:outlineLvl w:val="0"/>
        <w:rPr>
          <w:rFonts w:ascii="宋体"/>
          <w:sz w:val="22"/>
          <w:szCs w:val="22"/>
        </w:rPr>
      </w:pPr>
      <w:r>
        <w:rPr>
          <w:rFonts w:hint="eastAsia" w:ascii="宋体"/>
          <w:sz w:val="22"/>
          <w:szCs w:val="22"/>
        </w:rPr>
        <w:t>1. 名称及概况：</w:t>
      </w:r>
    </w:p>
    <w:p>
      <w:pPr>
        <w:spacing w:line="400" w:lineRule="exact"/>
        <w:rPr>
          <w:rFonts w:ascii="宋体"/>
          <w:sz w:val="22"/>
          <w:szCs w:val="22"/>
        </w:rPr>
      </w:pPr>
      <w:r>
        <w:rPr>
          <w:rFonts w:hint="eastAsia" w:ascii="宋体"/>
          <w:sz w:val="22"/>
          <w:szCs w:val="22"/>
        </w:rPr>
        <w:t>（1）投标供应商名称：</w:t>
      </w:r>
    </w:p>
    <w:p>
      <w:pPr>
        <w:spacing w:line="400" w:lineRule="exact"/>
        <w:rPr>
          <w:rFonts w:ascii="宋体"/>
          <w:sz w:val="22"/>
          <w:szCs w:val="22"/>
        </w:rPr>
      </w:pPr>
      <w:r>
        <w:rPr>
          <w:rFonts w:hint="eastAsia" w:ascii="宋体"/>
          <w:sz w:val="22"/>
          <w:szCs w:val="22"/>
        </w:rPr>
        <w:t>（2）总部地址：</w:t>
      </w:r>
    </w:p>
    <w:p>
      <w:pPr>
        <w:spacing w:line="400" w:lineRule="exact"/>
        <w:ind w:firstLine="600"/>
        <w:rPr>
          <w:rFonts w:ascii="宋体"/>
          <w:sz w:val="22"/>
          <w:szCs w:val="22"/>
        </w:rPr>
      </w:pPr>
      <w:r>
        <w:rPr>
          <w:rFonts w:hint="eastAsia" w:ascii="宋体"/>
          <w:sz w:val="22"/>
          <w:szCs w:val="22"/>
        </w:rPr>
        <w:t>传真/电话号码：</w:t>
      </w:r>
    </w:p>
    <w:p>
      <w:pPr>
        <w:spacing w:line="400" w:lineRule="exact"/>
        <w:rPr>
          <w:rFonts w:ascii="宋体"/>
          <w:sz w:val="22"/>
          <w:szCs w:val="22"/>
        </w:rPr>
      </w:pPr>
      <w:r>
        <w:rPr>
          <w:rFonts w:hint="eastAsia" w:ascii="宋体"/>
          <w:sz w:val="22"/>
          <w:szCs w:val="22"/>
        </w:rPr>
        <w:t>（3）成立或注册日期：</w:t>
      </w:r>
    </w:p>
    <w:p>
      <w:pPr>
        <w:spacing w:line="400" w:lineRule="exact"/>
        <w:rPr>
          <w:rFonts w:ascii="宋体"/>
          <w:sz w:val="22"/>
          <w:szCs w:val="22"/>
        </w:rPr>
      </w:pPr>
      <w:r>
        <w:rPr>
          <w:rFonts w:hint="eastAsia" w:ascii="宋体"/>
          <w:sz w:val="22"/>
          <w:szCs w:val="22"/>
        </w:rPr>
        <w:t>（4）实收资本：</w:t>
      </w:r>
    </w:p>
    <w:p>
      <w:pPr>
        <w:spacing w:line="400" w:lineRule="exact"/>
        <w:rPr>
          <w:rFonts w:ascii="宋体"/>
          <w:sz w:val="22"/>
          <w:szCs w:val="22"/>
        </w:rPr>
      </w:pPr>
      <w:r>
        <w:rPr>
          <w:rFonts w:hint="eastAsia" w:ascii="宋体"/>
          <w:sz w:val="22"/>
          <w:szCs w:val="22"/>
        </w:rPr>
        <w:t>（5）近期资产负债表（到年月日止）</w:t>
      </w:r>
    </w:p>
    <w:p>
      <w:pPr>
        <w:spacing w:line="400" w:lineRule="exact"/>
        <w:rPr>
          <w:rFonts w:ascii="宋体"/>
          <w:sz w:val="22"/>
          <w:szCs w:val="22"/>
        </w:rPr>
      </w:pPr>
      <w:r>
        <w:rPr>
          <w:rFonts w:hint="eastAsia" w:ascii="宋体"/>
          <w:sz w:val="22"/>
          <w:szCs w:val="22"/>
        </w:rPr>
        <w:t xml:space="preserve">  1）固定资产：</w:t>
      </w:r>
    </w:p>
    <w:p>
      <w:pPr>
        <w:spacing w:line="400" w:lineRule="exact"/>
        <w:rPr>
          <w:rFonts w:ascii="宋体"/>
          <w:sz w:val="22"/>
          <w:szCs w:val="22"/>
        </w:rPr>
      </w:pPr>
      <w:r>
        <w:rPr>
          <w:rFonts w:hint="eastAsia" w:ascii="宋体"/>
          <w:sz w:val="22"/>
          <w:szCs w:val="22"/>
        </w:rPr>
        <w:t xml:space="preserve">  2）流动资产：</w:t>
      </w:r>
    </w:p>
    <w:p>
      <w:pPr>
        <w:spacing w:line="400" w:lineRule="exact"/>
        <w:rPr>
          <w:rFonts w:ascii="宋体"/>
          <w:sz w:val="22"/>
          <w:szCs w:val="22"/>
        </w:rPr>
      </w:pPr>
      <w:r>
        <w:rPr>
          <w:rFonts w:hint="eastAsia" w:ascii="宋体"/>
          <w:sz w:val="22"/>
          <w:szCs w:val="22"/>
        </w:rPr>
        <w:t xml:space="preserve">  3）长期负债：</w:t>
      </w:r>
    </w:p>
    <w:p>
      <w:pPr>
        <w:spacing w:line="400" w:lineRule="exact"/>
        <w:rPr>
          <w:rFonts w:ascii="宋体"/>
          <w:sz w:val="22"/>
          <w:szCs w:val="22"/>
        </w:rPr>
      </w:pPr>
      <w:r>
        <w:rPr>
          <w:rFonts w:hint="eastAsia" w:ascii="宋体"/>
          <w:sz w:val="22"/>
          <w:szCs w:val="22"/>
        </w:rPr>
        <w:t xml:space="preserve">  4）流动负债：</w:t>
      </w:r>
    </w:p>
    <w:p>
      <w:pPr>
        <w:spacing w:line="400" w:lineRule="exact"/>
        <w:rPr>
          <w:rFonts w:ascii="宋体"/>
          <w:sz w:val="22"/>
          <w:szCs w:val="22"/>
        </w:rPr>
      </w:pPr>
      <w:r>
        <w:rPr>
          <w:rFonts w:hint="eastAsia" w:ascii="宋体"/>
          <w:sz w:val="22"/>
          <w:szCs w:val="22"/>
        </w:rPr>
        <w:t xml:space="preserve">  5）净值：</w:t>
      </w:r>
    </w:p>
    <w:p>
      <w:pPr>
        <w:spacing w:line="400" w:lineRule="exact"/>
        <w:rPr>
          <w:rFonts w:ascii="宋体"/>
          <w:sz w:val="22"/>
          <w:szCs w:val="22"/>
        </w:rPr>
      </w:pPr>
      <w:r>
        <w:rPr>
          <w:rFonts w:hint="eastAsia" w:ascii="宋体"/>
          <w:sz w:val="22"/>
          <w:szCs w:val="22"/>
        </w:rPr>
        <w:t>（6）主要负责人姓名：</w:t>
      </w:r>
    </w:p>
    <w:p>
      <w:pPr>
        <w:spacing w:line="360" w:lineRule="exact"/>
        <w:ind w:left="660" w:hanging="660" w:hangingChars="300"/>
        <w:jc w:val="left"/>
        <w:rPr>
          <w:rFonts w:ascii="宋体"/>
          <w:sz w:val="22"/>
          <w:szCs w:val="22"/>
        </w:rPr>
      </w:pPr>
      <w:r>
        <w:rPr>
          <w:rFonts w:hint="eastAsia" w:ascii="宋体"/>
          <w:sz w:val="22"/>
          <w:szCs w:val="22"/>
        </w:rPr>
        <w:t>2．企业生产设备及规模：</w:t>
      </w:r>
    </w:p>
    <w:p>
      <w:pPr>
        <w:spacing w:line="360" w:lineRule="exact"/>
        <w:ind w:left="660" w:hanging="660" w:hangingChars="300"/>
        <w:jc w:val="left"/>
        <w:outlineLvl w:val="0"/>
        <w:rPr>
          <w:rFonts w:ascii="宋体"/>
          <w:sz w:val="22"/>
          <w:szCs w:val="22"/>
        </w:rPr>
      </w:pPr>
      <w:r>
        <w:rPr>
          <w:rFonts w:hint="eastAsia" w:ascii="宋体"/>
          <w:sz w:val="22"/>
          <w:szCs w:val="22"/>
        </w:rPr>
        <w:t>3. 企业人员情况：</w:t>
      </w:r>
    </w:p>
    <w:p>
      <w:pPr>
        <w:spacing w:line="400" w:lineRule="exact"/>
        <w:rPr>
          <w:rFonts w:ascii="宋体"/>
          <w:sz w:val="22"/>
          <w:szCs w:val="22"/>
        </w:rPr>
      </w:pPr>
      <w:r>
        <w:rPr>
          <w:rFonts w:hint="eastAsia" w:ascii="宋体"/>
          <w:sz w:val="22"/>
          <w:szCs w:val="22"/>
        </w:rPr>
        <w:t>职工（在职）人数人，其中技术人员人，</w:t>
      </w:r>
    </w:p>
    <w:p>
      <w:pPr>
        <w:spacing w:line="360" w:lineRule="exact"/>
        <w:ind w:left="660" w:hanging="660" w:hangingChars="300"/>
        <w:jc w:val="left"/>
        <w:outlineLvl w:val="0"/>
        <w:rPr>
          <w:rFonts w:ascii="宋体"/>
          <w:sz w:val="22"/>
          <w:szCs w:val="22"/>
          <w:u w:val="single"/>
        </w:rPr>
      </w:pPr>
      <w:r>
        <w:rPr>
          <w:rFonts w:hint="eastAsia" w:ascii="宋体"/>
          <w:sz w:val="22"/>
          <w:szCs w:val="22"/>
        </w:rPr>
        <w:t>4. 近三年的年营业总额</w:t>
      </w:r>
    </w:p>
    <w:p>
      <w:pPr>
        <w:spacing w:line="360" w:lineRule="exact"/>
        <w:ind w:left="-1" w:leftChars="-1" w:hanging="1"/>
        <w:jc w:val="left"/>
        <w:outlineLvl w:val="0"/>
        <w:rPr>
          <w:rFonts w:ascii="宋体"/>
          <w:sz w:val="22"/>
          <w:szCs w:val="22"/>
        </w:rPr>
      </w:pPr>
      <w:r>
        <w:rPr>
          <w:rFonts w:hint="eastAsia" w:ascii="宋体"/>
          <w:sz w:val="22"/>
          <w:szCs w:val="22"/>
        </w:rPr>
        <w:t>5. 我单位近三年内，在经营活动中没有重大违法记录，特此承诺。</w:t>
      </w:r>
      <w:r>
        <w:rPr>
          <w:rFonts w:ascii="宋体"/>
          <w:sz w:val="22"/>
          <w:szCs w:val="22"/>
        </w:rPr>
        <w:t> </w:t>
      </w:r>
      <w:r>
        <w:rPr>
          <w:rFonts w:hint="eastAsia" w:ascii="宋体"/>
          <w:sz w:val="22"/>
          <w:szCs w:val="22"/>
        </w:rPr>
        <w:t>若招标采购单位在本项目采购过程中发现我单位近三年内在经营活动中有重大违法记录，我单位将无条件地退出本项目的招标，并承担因此引起的一切后果。</w:t>
      </w:r>
    </w:p>
    <w:p>
      <w:pPr>
        <w:spacing w:line="400" w:lineRule="exact"/>
        <w:ind w:firstLine="220" w:firstLineChars="100"/>
        <w:rPr>
          <w:rFonts w:ascii="宋体"/>
          <w:sz w:val="22"/>
          <w:szCs w:val="22"/>
        </w:rPr>
      </w:pPr>
      <w:r>
        <w:rPr>
          <w:rFonts w:hint="eastAsia" w:ascii="宋体"/>
          <w:sz w:val="22"/>
          <w:szCs w:val="22"/>
        </w:rPr>
        <w:t>兹证明上述声明是真实、正确的、并提供了全部能提供的资料和数据，我们同意遵照贵方要求出示有关证明文件。</w:t>
      </w:r>
    </w:p>
    <w:p>
      <w:pPr>
        <w:spacing w:line="400" w:lineRule="exact"/>
        <w:rPr>
          <w:rFonts w:ascii="宋体"/>
          <w:sz w:val="22"/>
          <w:szCs w:val="22"/>
        </w:rPr>
      </w:pPr>
    </w:p>
    <w:p>
      <w:pPr>
        <w:spacing w:line="400" w:lineRule="exact"/>
        <w:rPr>
          <w:rFonts w:ascii="宋体"/>
          <w:sz w:val="22"/>
          <w:szCs w:val="22"/>
        </w:rPr>
      </w:pPr>
      <w:r>
        <w:rPr>
          <w:rFonts w:hint="eastAsia" w:ascii="宋体"/>
          <w:sz w:val="22"/>
          <w:szCs w:val="22"/>
        </w:rPr>
        <w:t>投标供应商名称</w:t>
      </w:r>
      <w:r>
        <w:rPr>
          <w:rFonts w:hint="eastAsia" w:ascii="宋体"/>
          <w:sz w:val="22"/>
          <w:szCs w:val="22"/>
          <w:u w:val="single"/>
        </w:rPr>
        <w:t xml:space="preserve">                               （盖章）</w:t>
      </w:r>
    </w:p>
    <w:p>
      <w:pPr>
        <w:spacing w:line="400" w:lineRule="exact"/>
        <w:rPr>
          <w:rFonts w:ascii="宋体"/>
          <w:sz w:val="22"/>
          <w:szCs w:val="22"/>
        </w:rPr>
      </w:pPr>
      <w:r>
        <w:rPr>
          <w:rFonts w:hint="eastAsia" w:ascii="宋体"/>
          <w:sz w:val="22"/>
          <w:szCs w:val="22"/>
        </w:rPr>
        <w:t>法定代表人姓名和职务</w:t>
      </w:r>
    </w:p>
    <w:p>
      <w:pPr>
        <w:spacing w:line="400" w:lineRule="exact"/>
        <w:rPr>
          <w:rFonts w:ascii="宋体"/>
          <w:sz w:val="22"/>
          <w:szCs w:val="22"/>
        </w:rPr>
      </w:pPr>
      <w:r>
        <w:rPr>
          <w:rFonts w:hint="eastAsia" w:ascii="宋体"/>
          <w:sz w:val="22"/>
          <w:szCs w:val="22"/>
        </w:rPr>
        <w:t>授权代表人（签字）</w:t>
      </w:r>
    </w:p>
    <w:p>
      <w:pPr>
        <w:spacing w:line="400" w:lineRule="exact"/>
        <w:rPr>
          <w:rFonts w:ascii="宋体"/>
          <w:sz w:val="22"/>
          <w:szCs w:val="22"/>
        </w:rPr>
      </w:pPr>
      <w:r>
        <w:rPr>
          <w:rFonts w:hint="eastAsia" w:ascii="宋体"/>
          <w:sz w:val="22"/>
          <w:szCs w:val="22"/>
        </w:rPr>
        <w:t>签字日期</w:t>
      </w:r>
    </w:p>
    <w:p>
      <w:pPr>
        <w:spacing w:line="360" w:lineRule="exact"/>
        <w:jc w:val="left"/>
        <w:rPr>
          <w:rFonts w:ascii="宋体"/>
          <w:sz w:val="22"/>
          <w:szCs w:val="22"/>
          <w:u w:val="single"/>
        </w:rPr>
      </w:pPr>
      <w:r>
        <w:rPr>
          <w:rFonts w:hint="eastAsia" w:ascii="宋体"/>
          <w:sz w:val="22"/>
          <w:szCs w:val="22"/>
        </w:rPr>
        <w:t>电子邮件</w:t>
      </w:r>
    </w:p>
    <w:p>
      <w:pPr>
        <w:spacing w:line="400" w:lineRule="exact"/>
        <w:outlineLvl w:val="0"/>
        <w:rPr>
          <w:rFonts w:ascii="宋体"/>
          <w:sz w:val="22"/>
          <w:szCs w:val="22"/>
        </w:rPr>
      </w:pPr>
      <w:r>
        <w:rPr>
          <w:rFonts w:hint="eastAsia" w:ascii="宋体"/>
          <w:sz w:val="22"/>
          <w:szCs w:val="22"/>
        </w:rPr>
        <w:t>5. 投标供应商有效营业执照副本和税务登记证（复印件，加盖单位公章）</w:t>
      </w:r>
    </w:p>
    <w:p>
      <w:pPr>
        <w:pStyle w:val="24"/>
        <w:adjustRightInd w:val="0"/>
        <w:snapToGrid w:val="0"/>
        <w:spacing w:line="400" w:lineRule="exact"/>
        <w:rPr>
          <w:rFonts w:hAnsi="宋体"/>
          <w:sz w:val="24"/>
        </w:rPr>
      </w:pPr>
      <w:r>
        <w:rPr>
          <w:rFonts w:hint="eastAsia"/>
          <w:sz w:val="22"/>
          <w:szCs w:val="22"/>
        </w:rPr>
        <w:t>6．投标供应商资格、资质及招标文件要求提供的资格证明、证书（复印件，加盖单位公章）</w:t>
      </w:r>
    </w:p>
    <w:p>
      <w:pPr>
        <w:pStyle w:val="24"/>
        <w:adjustRightInd w:val="0"/>
        <w:snapToGrid w:val="0"/>
        <w:spacing w:line="400" w:lineRule="exact"/>
        <w:rPr>
          <w:rFonts w:hAnsi="宋体"/>
          <w:sz w:val="36"/>
          <w:szCs w:val="36"/>
        </w:rPr>
      </w:pPr>
    </w:p>
    <w:p>
      <w:pPr>
        <w:pStyle w:val="24"/>
        <w:adjustRightInd w:val="0"/>
        <w:snapToGrid w:val="0"/>
        <w:spacing w:line="400" w:lineRule="exact"/>
        <w:rPr>
          <w:rFonts w:hAnsi="宋体"/>
          <w:sz w:val="36"/>
          <w:szCs w:val="36"/>
        </w:rPr>
      </w:pPr>
    </w:p>
    <w:p>
      <w:pPr>
        <w:pStyle w:val="24"/>
        <w:adjustRightInd w:val="0"/>
        <w:snapToGrid w:val="0"/>
        <w:spacing w:line="400" w:lineRule="exact"/>
        <w:rPr>
          <w:rFonts w:hAnsi="宋体"/>
          <w:sz w:val="36"/>
          <w:szCs w:val="36"/>
        </w:rPr>
      </w:pPr>
    </w:p>
    <w:p>
      <w:pPr>
        <w:pStyle w:val="24"/>
        <w:adjustRightInd w:val="0"/>
        <w:snapToGrid w:val="0"/>
        <w:spacing w:line="400" w:lineRule="exact"/>
        <w:rPr>
          <w:rFonts w:hAnsi="宋体"/>
          <w:sz w:val="36"/>
          <w:szCs w:val="36"/>
        </w:rPr>
      </w:pPr>
    </w:p>
    <w:p>
      <w:pPr>
        <w:pStyle w:val="24"/>
        <w:adjustRightInd w:val="0"/>
        <w:snapToGrid w:val="0"/>
        <w:spacing w:line="400" w:lineRule="exact"/>
        <w:rPr>
          <w:rFonts w:hAnsi="宋体"/>
          <w:sz w:val="36"/>
          <w:szCs w:val="36"/>
        </w:rPr>
      </w:pPr>
      <w:r>
        <w:rPr>
          <w:rFonts w:hint="eastAsia" w:hAnsi="宋体"/>
          <w:sz w:val="36"/>
          <w:szCs w:val="36"/>
        </w:rPr>
        <w:t xml:space="preserve">附件五 </w:t>
      </w:r>
    </w:p>
    <w:p>
      <w:pPr>
        <w:jc w:val="center"/>
        <w:rPr>
          <w:b/>
          <w:sz w:val="28"/>
          <w:szCs w:val="28"/>
        </w:rPr>
      </w:pPr>
      <w:r>
        <w:rPr>
          <w:rFonts w:hint="eastAsia"/>
          <w:b/>
          <w:sz w:val="28"/>
          <w:szCs w:val="28"/>
        </w:rPr>
        <w:t>办公管理处设立承诺书</w:t>
      </w:r>
    </w:p>
    <w:p>
      <w:pPr>
        <w:spacing w:line="400" w:lineRule="exact"/>
        <w:rPr>
          <w:sz w:val="24"/>
        </w:rPr>
      </w:pPr>
    </w:p>
    <w:p>
      <w:pPr>
        <w:spacing w:line="520" w:lineRule="exact"/>
        <w:rPr>
          <w:rFonts w:ascii="宋体" w:hAnsi="宋体"/>
          <w:sz w:val="24"/>
        </w:rPr>
      </w:pPr>
    </w:p>
    <w:p>
      <w:pPr>
        <w:spacing w:line="520" w:lineRule="exact"/>
        <w:rPr>
          <w:rFonts w:ascii="宋体" w:hAnsi="宋体"/>
          <w:sz w:val="24"/>
        </w:rPr>
      </w:pPr>
      <w:r>
        <w:rPr>
          <w:rFonts w:hint="eastAsia" w:ascii="宋体" w:hAnsi="宋体"/>
          <w:sz w:val="24"/>
        </w:rPr>
        <w:t>龙港市农业农村局：</w:t>
      </w:r>
    </w:p>
    <w:p>
      <w:pPr>
        <w:spacing w:line="520" w:lineRule="exact"/>
        <w:ind w:firstLine="600" w:firstLineChars="250"/>
        <w:rPr>
          <w:rFonts w:ascii="宋体" w:hAnsi="宋体"/>
          <w:sz w:val="24"/>
        </w:rPr>
      </w:pPr>
    </w:p>
    <w:p>
      <w:pPr>
        <w:spacing w:line="520" w:lineRule="exact"/>
        <w:ind w:firstLine="600" w:firstLineChars="250"/>
        <w:rPr>
          <w:rFonts w:ascii="宋体" w:hAnsi="宋体"/>
          <w:sz w:val="24"/>
        </w:rPr>
      </w:pPr>
      <w:r>
        <w:rPr>
          <w:rFonts w:hint="eastAsia" w:ascii="宋体" w:hAnsi="宋体"/>
          <w:sz w:val="24"/>
        </w:rPr>
        <w:t>我公司就龙港市水利工程运行维修项目项目（项目编号：）的投标作如下承诺：若我公司在本项目中标，将按照招标文件要求在中标通知书发出之日（以中标通知书上落款日期为准）起十五个日历日内在龙港市承包地就近范围内设立管理处，如不能履行上述承诺，视为我公司自动放弃中标资格。</w:t>
      </w:r>
    </w:p>
    <w:p>
      <w:pPr>
        <w:spacing w:line="520" w:lineRule="exact"/>
        <w:ind w:firstLine="600" w:firstLineChars="250"/>
        <w:rPr>
          <w:rFonts w:ascii="宋体" w:hAnsi="宋体"/>
          <w:sz w:val="24"/>
        </w:rPr>
      </w:pPr>
    </w:p>
    <w:p>
      <w:pPr>
        <w:spacing w:line="520" w:lineRule="exact"/>
        <w:ind w:firstLine="600" w:firstLineChars="250"/>
        <w:rPr>
          <w:rFonts w:ascii="宋体" w:hAnsi="宋体"/>
          <w:sz w:val="24"/>
        </w:rPr>
      </w:pPr>
      <w:r>
        <w:rPr>
          <w:rFonts w:hint="eastAsia" w:ascii="宋体" w:hAnsi="宋体"/>
          <w:sz w:val="24"/>
        </w:rPr>
        <w:t>特此承诺！</w:t>
      </w:r>
    </w:p>
    <w:p>
      <w:pPr>
        <w:spacing w:line="400" w:lineRule="exact"/>
        <w:ind w:firstLine="600" w:firstLineChars="250"/>
        <w:rPr>
          <w:rFonts w:ascii="宋体" w:hAnsi="宋体"/>
          <w:sz w:val="24"/>
        </w:rPr>
      </w:pPr>
    </w:p>
    <w:p>
      <w:pPr>
        <w:spacing w:line="500" w:lineRule="exact"/>
        <w:ind w:firstLine="5080" w:firstLineChars="2117"/>
        <w:rPr>
          <w:rFonts w:ascii="宋体" w:hAnsi="宋体"/>
          <w:color w:val="000000"/>
          <w:sz w:val="24"/>
        </w:rPr>
      </w:pPr>
    </w:p>
    <w:p>
      <w:pPr>
        <w:spacing w:line="500" w:lineRule="exact"/>
        <w:ind w:firstLine="5080" w:firstLineChars="2117"/>
        <w:rPr>
          <w:rFonts w:ascii="宋体" w:hAnsi="宋体"/>
          <w:color w:val="000000"/>
          <w:sz w:val="24"/>
        </w:rPr>
      </w:pPr>
      <w:r>
        <w:rPr>
          <w:rFonts w:hint="eastAsia" w:ascii="宋体" w:hAnsi="宋体"/>
          <w:color w:val="000000"/>
          <w:sz w:val="24"/>
        </w:rPr>
        <w:t>供应商全称（盖章）：</w:t>
      </w:r>
    </w:p>
    <w:p>
      <w:pPr>
        <w:spacing w:line="500" w:lineRule="exact"/>
        <w:ind w:firstLine="5080" w:firstLineChars="2117"/>
        <w:rPr>
          <w:rFonts w:ascii="宋体" w:hAnsi="宋体"/>
          <w:color w:val="000000"/>
          <w:sz w:val="24"/>
        </w:rPr>
      </w:pPr>
      <w:r>
        <w:rPr>
          <w:rFonts w:hint="eastAsia" w:ascii="宋体" w:hAnsi="宋体"/>
          <w:color w:val="000000"/>
          <w:sz w:val="24"/>
        </w:rPr>
        <w:t>供应商代表（签字）：</w:t>
      </w:r>
    </w:p>
    <w:p>
      <w:pPr>
        <w:spacing w:line="500" w:lineRule="exact"/>
        <w:ind w:firstLine="5080" w:firstLineChars="2117"/>
        <w:rPr>
          <w:rFonts w:ascii="宋体" w:hAnsi="宋体"/>
          <w:color w:val="000000"/>
          <w:sz w:val="24"/>
        </w:rPr>
      </w:pPr>
      <w:r>
        <w:rPr>
          <w:rFonts w:hint="eastAsia" w:ascii="宋体" w:hAnsi="宋体"/>
          <w:color w:val="000000"/>
          <w:sz w:val="24"/>
        </w:rPr>
        <w:t>日    期：     年   月  日</w:t>
      </w:r>
    </w:p>
    <w:p>
      <w:pPr>
        <w:spacing w:line="340" w:lineRule="exact"/>
        <w:rPr>
          <w:b/>
          <w:bCs/>
          <w:sz w:val="22"/>
          <w:szCs w:val="28"/>
        </w:rPr>
      </w:pPr>
    </w:p>
    <w:p>
      <w:pPr>
        <w:spacing w:line="340" w:lineRule="exact"/>
        <w:rPr>
          <w:b/>
          <w:bCs/>
          <w:sz w:val="22"/>
          <w:szCs w:val="28"/>
        </w:rPr>
      </w:pPr>
    </w:p>
    <w:p>
      <w:pPr>
        <w:spacing w:line="340" w:lineRule="exact"/>
        <w:rPr>
          <w:b/>
          <w:bCs/>
          <w:sz w:val="22"/>
          <w:szCs w:val="28"/>
        </w:rPr>
      </w:pPr>
    </w:p>
    <w:p>
      <w:pPr>
        <w:spacing w:line="340" w:lineRule="exact"/>
        <w:rPr>
          <w:b/>
          <w:bCs/>
          <w:sz w:val="22"/>
          <w:szCs w:val="28"/>
        </w:rPr>
      </w:pPr>
    </w:p>
    <w:p>
      <w:pPr>
        <w:spacing w:line="340" w:lineRule="exact"/>
        <w:rPr>
          <w:b/>
          <w:bCs/>
          <w:sz w:val="22"/>
          <w:szCs w:val="28"/>
        </w:rPr>
      </w:pPr>
    </w:p>
    <w:p>
      <w:pPr>
        <w:spacing w:line="340" w:lineRule="exact"/>
        <w:rPr>
          <w:b/>
          <w:bCs/>
          <w:sz w:val="22"/>
          <w:szCs w:val="28"/>
        </w:rPr>
      </w:pPr>
    </w:p>
    <w:p>
      <w:pPr>
        <w:spacing w:line="340" w:lineRule="exact"/>
        <w:rPr>
          <w:b/>
          <w:bCs/>
          <w:sz w:val="22"/>
          <w:szCs w:val="28"/>
        </w:rPr>
      </w:pPr>
    </w:p>
    <w:p>
      <w:pPr>
        <w:spacing w:line="340" w:lineRule="exact"/>
        <w:rPr>
          <w:b/>
          <w:bCs/>
          <w:sz w:val="22"/>
          <w:szCs w:val="28"/>
        </w:rPr>
      </w:pPr>
    </w:p>
    <w:p>
      <w:pPr>
        <w:spacing w:line="340" w:lineRule="exact"/>
        <w:rPr>
          <w:b/>
          <w:bCs/>
          <w:sz w:val="22"/>
          <w:szCs w:val="28"/>
        </w:rPr>
      </w:pPr>
    </w:p>
    <w:p>
      <w:pPr>
        <w:spacing w:line="340" w:lineRule="exact"/>
        <w:rPr>
          <w:b/>
          <w:bCs/>
          <w:sz w:val="22"/>
          <w:szCs w:val="28"/>
        </w:rPr>
      </w:pPr>
    </w:p>
    <w:p>
      <w:pPr>
        <w:spacing w:line="340" w:lineRule="exact"/>
        <w:rPr>
          <w:b/>
          <w:bCs/>
          <w:sz w:val="22"/>
          <w:szCs w:val="28"/>
        </w:rPr>
      </w:pPr>
    </w:p>
    <w:p>
      <w:pPr>
        <w:sectPr>
          <w:pgSz w:w="11906" w:h="16838"/>
          <w:pgMar w:top="1134" w:right="1134" w:bottom="1134" w:left="1134" w:header="851" w:footer="992" w:gutter="0"/>
          <w:cols w:space="720" w:num="1"/>
          <w:docGrid w:type="lines" w:linePitch="312" w:charSpace="0"/>
        </w:sectPr>
      </w:pPr>
    </w:p>
    <w:p>
      <w:pPr>
        <w:pStyle w:val="24"/>
        <w:adjustRightInd w:val="0"/>
        <w:snapToGrid w:val="0"/>
        <w:spacing w:line="400" w:lineRule="exact"/>
        <w:rPr>
          <w:rFonts w:hAnsi="宋体"/>
          <w:sz w:val="36"/>
          <w:szCs w:val="36"/>
        </w:rPr>
      </w:pPr>
      <w:r>
        <w:rPr>
          <w:rFonts w:hint="eastAsia" w:hAnsi="宋体"/>
          <w:sz w:val="36"/>
          <w:szCs w:val="36"/>
        </w:rPr>
        <w:t>附件六</w:t>
      </w:r>
    </w:p>
    <w:p>
      <w:pPr>
        <w:pStyle w:val="24"/>
        <w:adjustRightInd w:val="0"/>
        <w:snapToGrid w:val="0"/>
        <w:spacing w:line="400" w:lineRule="exact"/>
        <w:ind w:firstLine="1440" w:firstLineChars="400"/>
        <w:rPr>
          <w:rFonts w:hAnsi="宋体"/>
          <w:sz w:val="36"/>
          <w:szCs w:val="36"/>
        </w:rPr>
      </w:pPr>
      <w:r>
        <w:rPr>
          <w:rFonts w:hint="eastAsia" w:hAnsi="宋体"/>
          <w:sz w:val="36"/>
          <w:szCs w:val="36"/>
        </w:rPr>
        <w:t>随机备品备件、专用工具清单(如有)</w:t>
      </w:r>
    </w:p>
    <w:tbl>
      <w:tblPr>
        <w:tblStyle w:val="38"/>
        <w:tblW w:w="9800" w:type="dxa"/>
        <w:tblInd w:w="-1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800"/>
        <w:gridCol w:w="2220"/>
        <w:gridCol w:w="1155"/>
        <w:gridCol w:w="1785"/>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900" w:type="dxa"/>
            <w:vAlign w:val="center"/>
          </w:tcPr>
          <w:p>
            <w:pPr>
              <w:pStyle w:val="24"/>
              <w:adjustRightInd w:val="0"/>
              <w:snapToGrid w:val="0"/>
              <w:spacing w:line="400" w:lineRule="exact"/>
              <w:rPr>
                <w:rFonts w:hAnsi="宋体"/>
                <w:sz w:val="24"/>
              </w:rPr>
            </w:pPr>
            <w:r>
              <w:rPr>
                <w:rFonts w:hint="eastAsia" w:hAnsi="宋体"/>
                <w:sz w:val="24"/>
              </w:rPr>
              <w:t>序 号</w:t>
            </w:r>
          </w:p>
        </w:tc>
        <w:tc>
          <w:tcPr>
            <w:tcW w:w="1800" w:type="dxa"/>
            <w:vAlign w:val="center"/>
          </w:tcPr>
          <w:p>
            <w:pPr>
              <w:pStyle w:val="24"/>
              <w:adjustRightInd w:val="0"/>
              <w:snapToGrid w:val="0"/>
              <w:spacing w:line="400" w:lineRule="exact"/>
              <w:rPr>
                <w:rFonts w:hAnsi="宋体"/>
                <w:sz w:val="24"/>
              </w:rPr>
            </w:pPr>
            <w:r>
              <w:rPr>
                <w:rFonts w:hint="eastAsia" w:hAnsi="宋体"/>
                <w:sz w:val="24"/>
              </w:rPr>
              <w:t>名称</w:t>
            </w:r>
          </w:p>
        </w:tc>
        <w:tc>
          <w:tcPr>
            <w:tcW w:w="2220" w:type="dxa"/>
            <w:vAlign w:val="center"/>
          </w:tcPr>
          <w:p>
            <w:pPr>
              <w:pStyle w:val="24"/>
              <w:adjustRightInd w:val="0"/>
              <w:snapToGrid w:val="0"/>
              <w:spacing w:line="400" w:lineRule="exact"/>
              <w:rPr>
                <w:rFonts w:hAnsi="宋体"/>
                <w:sz w:val="24"/>
              </w:rPr>
            </w:pPr>
            <w:r>
              <w:rPr>
                <w:rFonts w:hint="eastAsia" w:hAnsi="宋体"/>
                <w:sz w:val="24"/>
              </w:rPr>
              <w:t>产地/规格/型号</w:t>
            </w:r>
          </w:p>
        </w:tc>
        <w:tc>
          <w:tcPr>
            <w:tcW w:w="1155" w:type="dxa"/>
            <w:vAlign w:val="center"/>
          </w:tcPr>
          <w:p>
            <w:pPr>
              <w:pStyle w:val="24"/>
              <w:adjustRightInd w:val="0"/>
              <w:snapToGrid w:val="0"/>
              <w:spacing w:line="400" w:lineRule="exact"/>
              <w:rPr>
                <w:rFonts w:hAnsi="宋体"/>
                <w:sz w:val="24"/>
              </w:rPr>
            </w:pPr>
            <w:r>
              <w:rPr>
                <w:rFonts w:hint="eastAsia" w:hAnsi="宋体"/>
                <w:sz w:val="24"/>
              </w:rPr>
              <w:t>数量</w:t>
            </w:r>
          </w:p>
        </w:tc>
        <w:tc>
          <w:tcPr>
            <w:tcW w:w="1785" w:type="dxa"/>
            <w:vAlign w:val="center"/>
          </w:tcPr>
          <w:p>
            <w:pPr>
              <w:pStyle w:val="24"/>
              <w:adjustRightInd w:val="0"/>
              <w:snapToGrid w:val="0"/>
              <w:spacing w:line="400" w:lineRule="exact"/>
              <w:rPr>
                <w:rFonts w:hAnsi="宋体"/>
                <w:sz w:val="24"/>
              </w:rPr>
            </w:pPr>
            <w:r>
              <w:rPr>
                <w:rFonts w:hint="eastAsia" w:hAnsi="宋体"/>
                <w:sz w:val="24"/>
              </w:rPr>
              <w:t>单价</w:t>
            </w:r>
          </w:p>
        </w:tc>
        <w:tc>
          <w:tcPr>
            <w:tcW w:w="1940" w:type="dxa"/>
            <w:vAlign w:val="center"/>
          </w:tcPr>
          <w:p>
            <w:pPr>
              <w:pStyle w:val="24"/>
              <w:adjustRightInd w:val="0"/>
              <w:snapToGrid w:val="0"/>
              <w:spacing w:line="400" w:lineRule="exact"/>
              <w:rPr>
                <w:rFonts w:hAnsi="宋体"/>
                <w:sz w:val="24"/>
              </w:rPr>
            </w:pPr>
            <w:r>
              <w:rPr>
                <w:rFonts w:hint="eastAsia" w:hAnsi="宋体"/>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4"/>
              <w:adjustRightInd w:val="0"/>
              <w:snapToGrid w:val="0"/>
              <w:spacing w:line="400" w:lineRule="exact"/>
              <w:rPr>
                <w:rFonts w:hAnsi="宋体"/>
                <w:sz w:val="24"/>
              </w:rPr>
            </w:pPr>
          </w:p>
        </w:tc>
        <w:tc>
          <w:tcPr>
            <w:tcW w:w="1800" w:type="dxa"/>
          </w:tcPr>
          <w:p>
            <w:pPr>
              <w:pStyle w:val="24"/>
              <w:adjustRightInd w:val="0"/>
              <w:snapToGrid w:val="0"/>
              <w:spacing w:line="400" w:lineRule="exact"/>
              <w:rPr>
                <w:rFonts w:hAnsi="宋体"/>
                <w:sz w:val="24"/>
              </w:rPr>
            </w:pPr>
          </w:p>
        </w:tc>
        <w:tc>
          <w:tcPr>
            <w:tcW w:w="2220" w:type="dxa"/>
          </w:tcPr>
          <w:p>
            <w:pPr>
              <w:pStyle w:val="24"/>
              <w:adjustRightInd w:val="0"/>
              <w:snapToGrid w:val="0"/>
              <w:spacing w:line="400" w:lineRule="exact"/>
              <w:rPr>
                <w:rFonts w:hAnsi="宋体"/>
                <w:sz w:val="24"/>
              </w:rPr>
            </w:pPr>
          </w:p>
        </w:tc>
        <w:tc>
          <w:tcPr>
            <w:tcW w:w="1155" w:type="dxa"/>
          </w:tcPr>
          <w:p>
            <w:pPr>
              <w:pStyle w:val="24"/>
              <w:adjustRightInd w:val="0"/>
              <w:snapToGrid w:val="0"/>
              <w:spacing w:line="400" w:lineRule="exact"/>
              <w:rPr>
                <w:rFonts w:hAnsi="宋体"/>
                <w:sz w:val="24"/>
              </w:rPr>
            </w:pPr>
          </w:p>
        </w:tc>
        <w:tc>
          <w:tcPr>
            <w:tcW w:w="1785" w:type="dxa"/>
          </w:tcPr>
          <w:p>
            <w:pPr>
              <w:pStyle w:val="24"/>
              <w:adjustRightInd w:val="0"/>
              <w:snapToGrid w:val="0"/>
              <w:spacing w:line="400" w:lineRule="exact"/>
              <w:rPr>
                <w:rFonts w:hAnsi="宋体"/>
                <w:sz w:val="24"/>
              </w:rPr>
            </w:pPr>
          </w:p>
        </w:tc>
        <w:tc>
          <w:tcPr>
            <w:tcW w:w="1940" w:type="dxa"/>
          </w:tcPr>
          <w:p>
            <w:pPr>
              <w:pStyle w:val="24"/>
              <w:adjustRightInd w:val="0"/>
              <w:snapToGrid w:val="0"/>
              <w:spacing w:line="400" w:lineRule="exact"/>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4"/>
              <w:adjustRightInd w:val="0"/>
              <w:snapToGrid w:val="0"/>
              <w:spacing w:line="400" w:lineRule="exact"/>
              <w:rPr>
                <w:rFonts w:hAnsi="宋体"/>
                <w:sz w:val="24"/>
              </w:rPr>
            </w:pPr>
          </w:p>
        </w:tc>
        <w:tc>
          <w:tcPr>
            <w:tcW w:w="1800" w:type="dxa"/>
          </w:tcPr>
          <w:p>
            <w:pPr>
              <w:pStyle w:val="24"/>
              <w:adjustRightInd w:val="0"/>
              <w:snapToGrid w:val="0"/>
              <w:spacing w:line="400" w:lineRule="exact"/>
              <w:rPr>
                <w:rFonts w:hAnsi="宋体"/>
                <w:sz w:val="24"/>
              </w:rPr>
            </w:pPr>
          </w:p>
        </w:tc>
        <w:tc>
          <w:tcPr>
            <w:tcW w:w="2220" w:type="dxa"/>
          </w:tcPr>
          <w:p>
            <w:pPr>
              <w:pStyle w:val="24"/>
              <w:adjustRightInd w:val="0"/>
              <w:snapToGrid w:val="0"/>
              <w:spacing w:line="400" w:lineRule="exact"/>
              <w:rPr>
                <w:rFonts w:hAnsi="宋体"/>
                <w:sz w:val="24"/>
              </w:rPr>
            </w:pPr>
          </w:p>
        </w:tc>
        <w:tc>
          <w:tcPr>
            <w:tcW w:w="1155" w:type="dxa"/>
          </w:tcPr>
          <w:p>
            <w:pPr>
              <w:pStyle w:val="24"/>
              <w:adjustRightInd w:val="0"/>
              <w:snapToGrid w:val="0"/>
              <w:spacing w:line="400" w:lineRule="exact"/>
              <w:rPr>
                <w:rFonts w:hAnsi="宋体"/>
                <w:sz w:val="24"/>
              </w:rPr>
            </w:pPr>
          </w:p>
        </w:tc>
        <w:tc>
          <w:tcPr>
            <w:tcW w:w="1785" w:type="dxa"/>
          </w:tcPr>
          <w:p>
            <w:pPr>
              <w:pStyle w:val="24"/>
              <w:adjustRightInd w:val="0"/>
              <w:snapToGrid w:val="0"/>
              <w:spacing w:line="400" w:lineRule="exact"/>
              <w:rPr>
                <w:rFonts w:hAnsi="宋体"/>
                <w:sz w:val="24"/>
              </w:rPr>
            </w:pPr>
          </w:p>
        </w:tc>
        <w:tc>
          <w:tcPr>
            <w:tcW w:w="1940" w:type="dxa"/>
          </w:tcPr>
          <w:p>
            <w:pPr>
              <w:pStyle w:val="24"/>
              <w:adjustRightInd w:val="0"/>
              <w:snapToGrid w:val="0"/>
              <w:spacing w:line="400" w:lineRule="exact"/>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4"/>
              <w:adjustRightInd w:val="0"/>
              <w:snapToGrid w:val="0"/>
              <w:spacing w:line="400" w:lineRule="exact"/>
              <w:rPr>
                <w:rFonts w:hAnsi="宋体"/>
                <w:sz w:val="24"/>
              </w:rPr>
            </w:pPr>
          </w:p>
        </w:tc>
        <w:tc>
          <w:tcPr>
            <w:tcW w:w="1800" w:type="dxa"/>
          </w:tcPr>
          <w:p>
            <w:pPr>
              <w:pStyle w:val="24"/>
              <w:adjustRightInd w:val="0"/>
              <w:snapToGrid w:val="0"/>
              <w:spacing w:line="400" w:lineRule="exact"/>
              <w:rPr>
                <w:rFonts w:hAnsi="宋体"/>
                <w:sz w:val="24"/>
              </w:rPr>
            </w:pPr>
          </w:p>
        </w:tc>
        <w:tc>
          <w:tcPr>
            <w:tcW w:w="2220" w:type="dxa"/>
          </w:tcPr>
          <w:p>
            <w:pPr>
              <w:pStyle w:val="24"/>
              <w:adjustRightInd w:val="0"/>
              <w:snapToGrid w:val="0"/>
              <w:spacing w:line="400" w:lineRule="exact"/>
              <w:rPr>
                <w:rFonts w:hAnsi="宋体"/>
                <w:sz w:val="24"/>
              </w:rPr>
            </w:pPr>
          </w:p>
        </w:tc>
        <w:tc>
          <w:tcPr>
            <w:tcW w:w="1155" w:type="dxa"/>
          </w:tcPr>
          <w:p>
            <w:pPr>
              <w:pStyle w:val="24"/>
              <w:adjustRightInd w:val="0"/>
              <w:snapToGrid w:val="0"/>
              <w:spacing w:line="400" w:lineRule="exact"/>
              <w:rPr>
                <w:rFonts w:hAnsi="宋体"/>
                <w:sz w:val="24"/>
              </w:rPr>
            </w:pPr>
          </w:p>
        </w:tc>
        <w:tc>
          <w:tcPr>
            <w:tcW w:w="1785" w:type="dxa"/>
          </w:tcPr>
          <w:p>
            <w:pPr>
              <w:pStyle w:val="24"/>
              <w:adjustRightInd w:val="0"/>
              <w:snapToGrid w:val="0"/>
              <w:spacing w:line="400" w:lineRule="exact"/>
              <w:rPr>
                <w:rFonts w:hAnsi="宋体"/>
                <w:sz w:val="24"/>
              </w:rPr>
            </w:pPr>
          </w:p>
        </w:tc>
        <w:tc>
          <w:tcPr>
            <w:tcW w:w="1940" w:type="dxa"/>
          </w:tcPr>
          <w:p>
            <w:pPr>
              <w:pStyle w:val="24"/>
              <w:adjustRightInd w:val="0"/>
              <w:snapToGrid w:val="0"/>
              <w:spacing w:line="400" w:lineRule="exact"/>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4"/>
              <w:adjustRightInd w:val="0"/>
              <w:snapToGrid w:val="0"/>
              <w:spacing w:line="400" w:lineRule="exact"/>
              <w:rPr>
                <w:rFonts w:hAnsi="宋体"/>
                <w:sz w:val="24"/>
              </w:rPr>
            </w:pPr>
          </w:p>
        </w:tc>
        <w:tc>
          <w:tcPr>
            <w:tcW w:w="1800" w:type="dxa"/>
          </w:tcPr>
          <w:p>
            <w:pPr>
              <w:pStyle w:val="24"/>
              <w:adjustRightInd w:val="0"/>
              <w:snapToGrid w:val="0"/>
              <w:spacing w:line="400" w:lineRule="exact"/>
              <w:rPr>
                <w:rFonts w:hAnsi="宋体"/>
                <w:sz w:val="24"/>
              </w:rPr>
            </w:pPr>
          </w:p>
        </w:tc>
        <w:tc>
          <w:tcPr>
            <w:tcW w:w="2220" w:type="dxa"/>
          </w:tcPr>
          <w:p>
            <w:pPr>
              <w:pStyle w:val="24"/>
              <w:adjustRightInd w:val="0"/>
              <w:snapToGrid w:val="0"/>
              <w:spacing w:line="400" w:lineRule="exact"/>
              <w:rPr>
                <w:rFonts w:hAnsi="宋体"/>
                <w:sz w:val="24"/>
              </w:rPr>
            </w:pPr>
          </w:p>
        </w:tc>
        <w:tc>
          <w:tcPr>
            <w:tcW w:w="1155" w:type="dxa"/>
          </w:tcPr>
          <w:p>
            <w:pPr>
              <w:pStyle w:val="24"/>
              <w:adjustRightInd w:val="0"/>
              <w:snapToGrid w:val="0"/>
              <w:spacing w:line="400" w:lineRule="exact"/>
              <w:rPr>
                <w:rFonts w:hAnsi="宋体"/>
                <w:sz w:val="24"/>
              </w:rPr>
            </w:pPr>
          </w:p>
        </w:tc>
        <w:tc>
          <w:tcPr>
            <w:tcW w:w="1785" w:type="dxa"/>
          </w:tcPr>
          <w:p>
            <w:pPr>
              <w:pStyle w:val="24"/>
              <w:adjustRightInd w:val="0"/>
              <w:snapToGrid w:val="0"/>
              <w:spacing w:line="400" w:lineRule="exact"/>
              <w:rPr>
                <w:rFonts w:hAnsi="宋体"/>
                <w:sz w:val="24"/>
              </w:rPr>
            </w:pPr>
          </w:p>
        </w:tc>
        <w:tc>
          <w:tcPr>
            <w:tcW w:w="1940" w:type="dxa"/>
          </w:tcPr>
          <w:p>
            <w:pPr>
              <w:pStyle w:val="24"/>
              <w:adjustRightInd w:val="0"/>
              <w:snapToGrid w:val="0"/>
              <w:spacing w:line="400" w:lineRule="exact"/>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4"/>
              <w:adjustRightInd w:val="0"/>
              <w:snapToGrid w:val="0"/>
              <w:spacing w:line="400" w:lineRule="exact"/>
              <w:rPr>
                <w:rFonts w:hAnsi="宋体"/>
                <w:sz w:val="24"/>
              </w:rPr>
            </w:pPr>
          </w:p>
        </w:tc>
        <w:tc>
          <w:tcPr>
            <w:tcW w:w="1800" w:type="dxa"/>
          </w:tcPr>
          <w:p>
            <w:pPr>
              <w:pStyle w:val="24"/>
              <w:adjustRightInd w:val="0"/>
              <w:snapToGrid w:val="0"/>
              <w:spacing w:line="400" w:lineRule="exact"/>
              <w:rPr>
                <w:rFonts w:hAnsi="宋体"/>
                <w:sz w:val="24"/>
              </w:rPr>
            </w:pPr>
          </w:p>
        </w:tc>
        <w:tc>
          <w:tcPr>
            <w:tcW w:w="2220" w:type="dxa"/>
          </w:tcPr>
          <w:p>
            <w:pPr>
              <w:pStyle w:val="24"/>
              <w:adjustRightInd w:val="0"/>
              <w:snapToGrid w:val="0"/>
              <w:spacing w:line="400" w:lineRule="exact"/>
              <w:rPr>
                <w:rFonts w:hAnsi="宋体"/>
                <w:sz w:val="24"/>
              </w:rPr>
            </w:pPr>
          </w:p>
        </w:tc>
        <w:tc>
          <w:tcPr>
            <w:tcW w:w="1155" w:type="dxa"/>
          </w:tcPr>
          <w:p>
            <w:pPr>
              <w:pStyle w:val="24"/>
              <w:adjustRightInd w:val="0"/>
              <w:snapToGrid w:val="0"/>
              <w:spacing w:line="400" w:lineRule="exact"/>
              <w:rPr>
                <w:rFonts w:hAnsi="宋体"/>
                <w:sz w:val="24"/>
              </w:rPr>
            </w:pPr>
          </w:p>
        </w:tc>
        <w:tc>
          <w:tcPr>
            <w:tcW w:w="1785" w:type="dxa"/>
          </w:tcPr>
          <w:p>
            <w:pPr>
              <w:pStyle w:val="24"/>
              <w:adjustRightInd w:val="0"/>
              <w:snapToGrid w:val="0"/>
              <w:spacing w:line="400" w:lineRule="exact"/>
              <w:rPr>
                <w:rFonts w:hAnsi="宋体"/>
                <w:sz w:val="24"/>
              </w:rPr>
            </w:pPr>
          </w:p>
        </w:tc>
        <w:tc>
          <w:tcPr>
            <w:tcW w:w="1940" w:type="dxa"/>
          </w:tcPr>
          <w:p>
            <w:pPr>
              <w:pStyle w:val="24"/>
              <w:adjustRightInd w:val="0"/>
              <w:snapToGrid w:val="0"/>
              <w:spacing w:line="400" w:lineRule="exact"/>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4"/>
              <w:adjustRightInd w:val="0"/>
              <w:snapToGrid w:val="0"/>
              <w:spacing w:line="400" w:lineRule="exact"/>
              <w:rPr>
                <w:rFonts w:hAnsi="宋体"/>
                <w:sz w:val="24"/>
              </w:rPr>
            </w:pPr>
          </w:p>
        </w:tc>
        <w:tc>
          <w:tcPr>
            <w:tcW w:w="1800" w:type="dxa"/>
          </w:tcPr>
          <w:p>
            <w:pPr>
              <w:pStyle w:val="24"/>
              <w:adjustRightInd w:val="0"/>
              <w:snapToGrid w:val="0"/>
              <w:spacing w:line="400" w:lineRule="exact"/>
              <w:rPr>
                <w:rFonts w:hAnsi="宋体"/>
                <w:sz w:val="24"/>
              </w:rPr>
            </w:pPr>
          </w:p>
        </w:tc>
        <w:tc>
          <w:tcPr>
            <w:tcW w:w="2220" w:type="dxa"/>
          </w:tcPr>
          <w:p>
            <w:pPr>
              <w:pStyle w:val="24"/>
              <w:adjustRightInd w:val="0"/>
              <w:snapToGrid w:val="0"/>
              <w:spacing w:line="400" w:lineRule="exact"/>
              <w:rPr>
                <w:rFonts w:hAnsi="宋体"/>
                <w:sz w:val="24"/>
              </w:rPr>
            </w:pPr>
          </w:p>
        </w:tc>
        <w:tc>
          <w:tcPr>
            <w:tcW w:w="1155" w:type="dxa"/>
          </w:tcPr>
          <w:p>
            <w:pPr>
              <w:pStyle w:val="24"/>
              <w:adjustRightInd w:val="0"/>
              <w:snapToGrid w:val="0"/>
              <w:spacing w:line="400" w:lineRule="exact"/>
              <w:rPr>
                <w:rFonts w:hAnsi="宋体"/>
                <w:sz w:val="24"/>
              </w:rPr>
            </w:pPr>
          </w:p>
        </w:tc>
        <w:tc>
          <w:tcPr>
            <w:tcW w:w="1785" w:type="dxa"/>
          </w:tcPr>
          <w:p>
            <w:pPr>
              <w:pStyle w:val="24"/>
              <w:adjustRightInd w:val="0"/>
              <w:snapToGrid w:val="0"/>
              <w:spacing w:line="400" w:lineRule="exact"/>
              <w:rPr>
                <w:rFonts w:hAnsi="宋体"/>
                <w:sz w:val="24"/>
              </w:rPr>
            </w:pPr>
          </w:p>
        </w:tc>
        <w:tc>
          <w:tcPr>
            <w:tcW w:w="1940" w:type="dxa"/>
          </w:tcPr>
          <w:p>
            <w:pPr>
              <w:pStyle w:val="24"/>
              <w:adjustRightInd w:val="0"/>
              <w:snapToGrid w:val="0"/>
              <w:spacing w:line="400" w:lineRule="exact"/>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4"/>
              <w:adjustRightInd w:val="0"/>
              <w:snapToGrid w:val="0"/>
              <w:spacing w:line="400" w:lineRule="exact"/>
              <w:rPr>
                <w:rFonts w:hAnsi="宋体"/>
                <w:sz w:val="24"/>
              </w:rPr>
            </w:pPr>
          </w:p>
        </w:tc>
        <w:tc>
          <w:tcPr>
            <w:tcW w:w="1800" w:type="dxa"/>
          </w:tcPr>
          <w:p>
            <w:pPr>
              <w:pStyle w:val="24"/>
              <w:adjustRightInd w:val="0"/>
              <w:snapToGrid w:val="0"/>
              <w:spacing w:line="400" w:lineRule="exact"/>
              <w:rPr>
                <w:rFonts w:hAnsi="宋体"/>
                <w:sz w:val="24"/>
              </w:rPr>
            </w:pPr>
          </w:p>
        </w:tc>
        <w:tc>
          <w:tcPr>
            <w:tcW w:w="2220" w:type="dxa"/>
          </w:tcPr>
          <w:p>
            <w:pPr>
              <w:pStyle w:val="24"/>
              <w:adjustRightInd w:val="0"/>
              <w:snapToGrid w:val="0"/>
              <w:spacing w:line="400" w:lineRule="exact"/>
              <w:rPr>
                <w:rFonts w:hAnsi="宋体"/>
                <w:sz w:val="24"/>
              </w:rPr>
            </w:pPr>
          </w:p>
        </w:tc>
        <w:tc>
          <w:tcPr>
            <w:tcW w:w="1155" w:type="dxa"/>
          </w:tcPr>
          <w:p>
            <w:pPr>
              <w:pStyle w:val="24"/>
              <w:adjustRightInd w:val="0"/>
              <w:snapToGrid w:val="0"/>
              <w:spacing w:line="400" w:lineRule="exact"/>
              <w:rPr>
                <w:rFonts w:hAnsi="宋体"/>
                <w:sz w:val="24"/>
              </w:rPr>
            </w:pPr>
          </w:p>
        </w:tc>
        <w:tc>
          <w:tcPr>
            <w:tcW w:w="1785" w:type="dxa"/>
          </w:tcPr>
          <w:p>
            <w:pPr>
              <w:pStyle w:val="24"/>
              <w:adjustRightInd w:val="0"/>
              <w:snapToGrid w:val="0"/>
              <w:spacing w:line="400" w:lineRule="exact"/>
              <w:rPr>
                <w:rFonts w:hAnsi="宋体"/>
                <w:sz w:val="24"/>
              </w:rPr>
            </w:pPr>
          </w:p>
        </w:tc>
        <w:tc>
          <w:tcPr>
            <w:tcW w:w="1940" w:type="dxa"/>
          </w:tcPr>
          <w:p>
            <w:pPr>
              <w:pStyle w:val="24"/>
              <w:adjustRightInd w:val="0"/>
              <w:snapToGrid w:val="0"/>
              <w:spacing w:line="400" w:lineRule="exact"/>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4"/>
              <w:adjustRightInd w:val="0"/>
              <w:snapToGrid w:val="0"/>
              <w:spacing w:line="400" w:lineRule="exact"/>
              <w:rPr>
                <w:rFonts w:hAnsi="宋体"/>
                <w:sz w:val="24"/>
              </w:rPr>
            </w:pPr>
          </w:p>
        </w:tc>
        <w:tc>
          <w:tcPr>
            <w:tcW w:w="1800" w:type="dxa"/>
          </w:tcPr>
          <w:p>
            <w:pPr>
              <w:pStyle w:val="24"/>
              <w:adjustRightInd w:val="0"/>
              <w:snapToGrid w:val="0"/>
              <w:spacing w:line="400" w:lineRule="exact"/>
              <w:rPr>
                <w:rFonts w:hAnsi="宋体"/>
                <w:sz w:val="24"/>
              </w:rPr>
            </w:pPr>
          </w:p>
        </w:tc>
        <w:tc>
          <w:tcPr>
            <w:tcW w:w="2220" w:type="dxa"/>
          </w:tcPr>
          <w:p>
            <w:pPr>
              <w:pStyle w:val="24"/>
              <w:adjustRightInd w:val="0"/>
              <w:snapToGrid w:val="0"/>
              <w:spacing w:line="400" w:lineRule="exact"/>
              <w:rPr>
                <w:rFonts w:hAnsi="宋体"/>
                <w:sz w:val="24"/>
              </w:rPr>
            </w:pPr>
          </w:p>
        </w:tc>
        <w:tc>
          <w:tcPr>
            <w:tcW w:w="1155" w:type="dxa"/>
          </w:tcPr>
          <w:p>
            <w:pPr>
              <w:pStyle w:val="24"/>
              <w:adjustRightInd w:val="0"/>
              <w:snapToGrid w:val="0"/>
              <w:spacing w:line="400" w:lineRule="exact"/>
              <w:rPr>
                <w:rFonts w:hAnsi="宋体"/>
                <w:sz w:val="24"/>
              </w:rPr>
            </w:pPr>
          </w:p>
        </w:tc>
        <w:tc>
          <w:tcPr>
            <w:tcW w:w="1785" w:type="dxa"/>
          </w:tcPr>
          <w:p>
            <w:pPr>
              <w:pStyle w:val="24"/>
              <w:adjustRightInd w:val="0"/>
              <w:snapToGrid w:val="0"/>
              <w:spacing w:line="400" w:lineRule="exact"/>
              <w:rPr>
                <w:rFonts w:hAnsi="宋体"/>
                <w:sz w:val="24"/>
              </w:rPr>
            </w:pPr>
          </w:p>
        </w:tc>
        <w:tc>
          <w:tcPr>
            <w:tcW w:w="1940" w:type="dxa"/>
          </w:tcPr>
          <w:p>
            <w:pPr>
              <w:pStyle w:val="24"/>
              <w:adjustRightInd w:val="0"/>
              <w:snapToGrid w:val="0"/>
              <w:spacing w:line="400" w:lineRule="exact"/>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4"/>
              <w:adjustRightInd w:val="0"/>
              <w:snapToGrid w:val="0"/>
              <w:spacing w:line="400" w:lineRule="exact"/>
              <w:rPr>
                <w:rFonts w:hAnsi="宋体"/>
                <w:sz w:val="24"/>
              </w:rPr>
            </w:pPr>
          </w:p>
        </w:tc>
        <w:tc>
          <w:tcPr>
            <w:tcW w:w="1800" w:type="dxa"/>
          </w:tcPr>
          <w:p>
            <w:pPr>
              <w:pStyle w:val="24"/>
              <w:adjustRightInd w:val="0"/>
              <w:snapToGrid w:val="0"/>
              <w:spacing w:line="400" w:lineRule="exact"/>
              <w:rPr>
                <w:rFonts w:hAnsi="宋体"/>
                <w:sz w:val="24"/>
              </w:rPr>
            </w:pPr>
          </w:p>
        </w:tc>
        <w:tc>
          <w:tcPr>
            <w:tcW w:w="2220" w:type="dxa"/>
          </w:tcPr>
          <w:p>
            <w:pPr>
              <w:pStyle w:val="24"/>
              <w:adjustRightInd w:val="0"/>
              <w:snapToGrid w:val="0"/>
              <w:spacing w:line="400" w:lineRule="exact"/>
              <w:rPr>
                <w:rFonts w:hAnsi="宋体"/>
                <w:sz w:val="24"/>
              </w:rPr>
            </w:pPr>
          </w:p>
        </w:tc>
        <w:tc>
          <w:tcPr>
            <w:tcW w:w="1155" w:type="dxa"/>
          </w:tcPr>
          <w:p>
            <w:pPr>
              <w:pStyle w:val="24"/>
              <w:adjustRightInd w:val="0"/>
              <w:snapToGrid w:val="0"/>
              <w:spacing w:line="400" w:lineRule="exact"/>
              <w:rPr>
                <w:rFonts w:hAnsi="宋体"/>
                <w:sz w:val="24"/>
              </w:rPr>
            </w:pPr>
          </w:p>
        </w:tc>
        <w:tc>
          <w:tcPr>
            <w:tcW w:w="1785" w:type="dxa"/>
          </w:tcPr>
          <w:p>
            <w:pPr>
              <w:pStyle w:val="24"/>
              <w:adjustRightInd w:val="0"/>
              <w:snapToGrid w:val="0"/>
              <w:spacing w:line="400" w:lineRule="exact"/>
              <w:rPr>
                <w:rFonts w:hAnsi="宋体"/>
                <w:sz w:val="24"/>
              </w:rPr>
            </w:pPr>
          </w:p>
        </w:tc>
        <w:tc>
          <w:tcPr>
            <w:tcW w:w="1940" w:type="dxa"/>
          </w:tcPr>
          <w:p>
            <w:pPr>
              <w:pStyle w:val="24"/>
              <w:adjustRightInd w:val="0"/>
              <w:snapToGrid w:val="0"/>
              <w:spacing w:line="400" w:lineRule="exact"/>
              <w:rPr>
                <w:rFonts w:hAnsi="宋体"/>
                <w:sz w:val="24"/>
              </w:rPr>
            </w:pPr>
          </w:p>
        </w:tc>
      </w:tr>
    </w:tbl>
    <w:p>
      <w:pPr>
        <w:pStyle w:val="24"/>
        <w:adjustRightInd w:val="0"/>
        <w:snapToGrid w:val="0"/>
        <w:spacing w:line="400" w:lineRule="exact"/>
        <w:rPr>
          <w:rFonts w:hAnsi="宋体"/>
          <w:sz w:val="24"/>
        </w:rPr>
      </w:pPr>
    </w:p>
    <w:p>
      <w:pPr>
        <w:pStyle w:val="24"/>
        <w:adjustRightInd w:val="0"/>
        <w:snapToGrid w:val="0"/>
        <w:spacing w:line="400" w:lineRule="exact"/>
        <w:rPr>
          <w:rFonts w:hAnsi="宋体"/>
          <w:sz w:val="24"/>
        </w:rPr>
      </w:pPr>
      <w:r>
        <w:rPr>
          <w:rFonts w:hint="eastAsia" w:hAnsi="宋体"/>
          <w:sz w:val="24"/>
        </w:rPr>
        <w:t xml:space="preserve">供应商盖章： </w:t>
      </w:r>
    </w:p>
    <w:p>
      <w:pPr>
        <w:pStyle w:val="24"/>
        <w:adjustRightInd w:val="0"/>
        <w:snapToGrid w:val="0"/>
        <w:spacing w:line="400" w:lineRule="exact"/>
        <w:rPr>
          <w:rFonts w:hAnsi="宋体"/>
          <w:sz w:val="22"/>
          <w:szCs w:val="22"/>
        </w:rPr>
      </w:pPr>
      <w:r>
        <w:rPr>
          <w:rFonts w:hint="eastAsia" w:hAnsi="宋体"/>
          <w:sz w:val="22"/>
          <w:szCs w:val="22"/>
        </w:rPr>
        <w:t>日期：</w:t>
      </w:r>
    </w:p>
    <w:p>
      <w:pPr>
        <w:pStyle w:val="24"/>
        <w:adjustRightInd w:val="0"/>
        <w:snapToGrid w:val="0"/>
        <w:spacing w:line="400" w:lineRule="exact"/>
        <w:rPr>
          <w:rFonts w:hAnsi="宋体"/>
          <w:sz w:val="24"/>
        </w:rPr>
      </w:pPr>
    </w:p>
    <w:p>
      <w:pPr>
        <w:pStyle w:val="24"/>
        <w:adjustRightInd w:val="0"/>
        <w:snapToGrid w:val="0"/>
        <w:spacing w:line="400" w:lineRule="exact"/>
        <w:rPr>
          <w:rFonts w:hAnsi="宋体"/>
          <w:sz w:val="36"/>
          <w:szCs w:val="36"/>
        </w:rPr>
      </w:pPr>
      <w:r>
        <w:rPr>
          <w:rFonts w:hint="eastAsia" w:hAnsi="宋体"/>
          <w:sz w:val="36"/>
          <w:szCs w:val="36"/>
        </w:rPr>
        <w:t>附件七</w:t>
      </w:r>
    </w:p>
    <w:p>
      <w:pPr>
        <w:pStyle w:val="24"/>
        <w:adjustRightInd w:val="0"/>
        <w:snapToGrid w:val="0"/>
        <w:spacing w:line="400" w:lineRule="exact"/>
        <w:rPr>
          <w:rFonts w:hAnsi="宋体"/>
          <w:sz w:val="32"/>
          <w:szCs w:val="32"/>
        </w:rPr>
      </w:pPr>
    </w:p>
    <w:p>
      <w:pPr>
        <w:pStyle w:val="24"/>
        <w:adjustRightInd w:val="0"/>
        <w:snapToGrid w:val="0"/>
        <w:spacing w:line="400" w:lineRule="exact"/>
        <w:ind w:firstLine="1440" w:firstLineChars="400"/>
        <w:rPr>
          <w:rFonts w:hAnsi="宋体"/>
          <w:sz w:val="36"/>
          <w:szCs w:val="36"/>
        </w:rPr>
      </w:pPr>
      <w:r>
        <w:rPr>
          <w:rFonts w:hint="eastAsia" w:hAnsi="宋体"/>
          <w:sz w:val="36"/>
          <w:szCs w:val="36"/>
        </w:rPr>
        <w:t>产品零件、易损件、备品备件报价表（如有）</w:t>
      </w:r>
    </w:p>
    <w:p>
      <w:pPr>
        <w:pStyle w:val="24"/>
        <w:adjustRightInd w:val="0"/>
        <w:snapToGrid w:val="0"/>
        <w:spacing w:line="400" w:lineRule="exact"/>
        <w:ind w:firstLine="1440" w:firstLineChars="400"/>
        <w:rPr>
          <w:rFonts w:hAnsi="宋体"/>
          <w:sz w:val="36"/>
          <w:szCs w:val="36"/>
        </w:rPr>
      </w:pPr>
    </w:p>
    <w:tbl>
      <w:tblPr>
        <w:tblStyle w:val="38"/>
        <w:tblW w:w="9800" w:type="dxa"/>
        <w:tblInd w:w="-1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800"/>
        <w:gridCol w:w="2220"/>
        <w:gridCol w:w="1155"/>
        <w:gridCol w:w="1785"/>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900" w:type="dxa"/>
            <w:vAlign w:val="center"/>
          </w:tcPr>
          <w:p>
            <w:pPr>
              <w:pStyle w:val="24"/>
              <w:adjustRightInd w:val="0"/>
              <w:snapToGrid w:val="0"/>
              <w:spacing w:line="400" w:lineRule="exact"/>
              <w:rPr>
                <w:rFonts w:hAnsi="宋体"/>
                <w:sz w:val="24"/>
              </w:rPr>
            </w:pPr>
            <w:r>
              <w:rPr>
                <w:rFonts w:hint="eastAsia" w:hAnsi="宋体"/>
                <w:sz w:val="24"/>
              </w:rPr>
              <w:t>序 号</w:t>
            </w:r>
          </w:p>
        </w:tc>
        <w:tc>
          <w:tcPr>
            <w:tcW w:w="1800" w:type="dxa"/>
            <w:vAlign w:val="center"/>
          </w:tcPr>
          <w:p>
            <w:pPr>
              <w:pStyle w:val="24"/>
              <w:adjustRightInd w:val="0"/>
              <w:snapToGrid w:val="0"/>
              <w:spacing w:line="400" w:lineRule="exact"/>
              <w:rPr>
                <w:rFonts w:hAnsi="宋体"/>
                <w:sz w:val="24"/>
              </w:rPr>
            </w:pPr>
            <w:r>
              <w:rPr>
                <w:rFonts w:hint="eastAsia" w:hAnsi="宋体"/>
                <w:sz w:val="24"/>
              </w:rPr>
              <w:t>名称</w:t>
            </w:r>
          </w:p>
        </w:tc>
        <w:tc>
          <w:tcPr>
            <w:tcW w:w="2220" w:type="dxa"/>
            <w:vAlign w:val="center"/>
          </w:tcPr>
          <w:p>
            <w:pPr>
              <w:pStyle w:val="24"/>
              <w:adjustRightInd w:val="0"/>
              <w:snapToGrid w:val="0"/>
              <w:spacing w:line="400" w:lineRule="exact"/>
              <w:rPr>
                <w:rFonts w:hAnsi="宋体"/>
                <w:sz w:val="24"/>
              </w:rPr>
            </w:pPr>
            <w:r>
              <w:rPr>
                <w:rFonts w:hint="eastAsia" w:hAnsi="宋体"/>
                <w:sz w:val="24"/>
              </w:rPr>
              <w:t>产地/规格/型号</w:t>
            </w:r>
          </w:p>
        </w:tc>
        <w:tc>
          <w:tcPr>
            <w:tcW w:w="1155" w:type="dxa"/>
            <w:vAlign w:val="center"/>
          </w:tcPr>
          <w:p>
            <w:pPr>
              <w:pStyle w:val="24"/>
              <w:adjustRightInd w:val="0"/>
              <w:snapToGrid w:val="0"/>
              <w:spacing w:line="400" w:lineRule="exact"/>
              <w:rPr>
                <w:rFonts w:hAnsi="宋体"/>
                <w:sz w:val="24"/>
              </w:rPr>
            </w:pPr>
            <w:r>
              <w:rPr>
                <w:rFonts w:hint="eastAsia" w:hAnsi="宋体"/>
                <w:sz w:val="24"/>
              </w:rPr>
              <w:t>数量</w:t>
            </w:r>
          </w:p>
        </w:tc>
        <w:tc>
          <w:tcPr>
            <w:tcW w:w="1785" w:type="dxa"/>
            <w:vAlign w:val="center"/>
          </w:tcPr>
          <w:p>
            <w:pPr>
              <w:pStyle w:val="24"/>
              <w:adjustRightInd w:val="0"/>
              <w:snapToGrid w:val="0"/>
              <w:spacing w:line="400" w:lineRule="exact"/>
              <w:rPr>
                <w:rFonts w:hAnsi="宋体"/>
                <w:sz w:val="24"/>
              </w:rPr>
            </w:pPr>
            <w:r>
              <w:rPr>
                <w:rFonts w:hint="eastAsia" w:hAnsi="宋体"/>
                <w:sz w:val="24"/>
              </w:rPr>
              <w:t>单价</w:t>
            </w:r>
          </w:p>
        </w:tc>
        <w:tc>
          <w:tcPr>
            <w:tcW w:w="1940" w:type="dxa"/>
            <w:vAlign w:val="center"/>
          </w:tcPr>
          <w:p>
            <w:pPr>
              <w:pStyle w:val="24"/>
              <w:adjustRightInd w:val="0"/>
              <w:snapToGrid w:val="0"/>
              <w:spacing w:line="400" w:lineRule="exact"/>
              <w:rPr>
                <w:rFonts w:hAnsi="宋体"/>
                <w:sz w:val="24"/>
              </w:rPr>
            </w:pPr>
            <w:r>
              <w:rPr>
                <w:rFonts w:hint="eastAsia" w:hAnsi="宋体"/>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4"/>
              <w:adjustRightInd w:val="0"/>
              <w:snapToGrid w:val="0"/>
              <w:spacing w:line="400" w:lineRule="exact"/>
              <w:rPr>
                <w:rFonts w:hAnsi="宋体"/>
                <w:sz w:val="24"/>
              </w:rPr>
            </w:pPr>
          </w:p>
        </w:tc>
        <w:tc>
          <w:tcPr>
            <w:tcW w:w="1800" w:type="dxa"/>
          </w:tcPr>
          <w:p>
            <w:pPr>
              <w:pStyle w:val="24"/>
              <w:adjustRightInd w:val="0"/>
              <w:snapToGrid w:val="0"/>
              <w:spacing w:line="400" w:lineRule="exact"/>
              <w:rPr>
                <w:rFonts w:hAnsi="宋体"/>
                <w:sz w:val="24"/>
              </w:rPr>
            </w:pPr>
          </w:p>
        </w:tc>
        <w:tc>
          <w:tcPr>
            <w:tcW w:w="2220" w:type="dxa"/>
          </w:tcPr>
          <w:p>
            <w:pPr>
              <w:pStyle w:val="24"/>
              <w:adjustRightInd w:val="0"/>
              <w:snapToGrid w:val="0"/>
              <w:spacing w:line="400" w:lineRule="exact"/>
              <w:rPr>
                <w:rFonts w:hAnsi="宋体"/>
                <w:sz w:val="24"/>
              </w:rPr>
            </w:pPr>
          </w:p>
        </w:tc>
        <w:tc>
          <w:tcPr>
            <w:tcW w:w="1155" w:type="dxa"/>
          </w:tcPr>
          <w:p>
            <w:pPr>
              <w:pStyle w:val="24"/>
              <w:adjustRightInd w:val="0"/>
              <w:snapToGrid w:val="0"/>
              <w:spacing w:line="400" w:lineRule="exact"/>
              <w:rPr>
                <w:rFonts w:hAnsi="宋体"/>
                <w:sz w:val="24"/>
              </w:rPr>
            </w:pPr>
          </w:p>
        </w:tc>
        <w:tc>
          <w:tcPr>
            <w:tcW w:w="1785" w:type="dxa"/>
          </w:tcPr>
          <w:p>
            <w:pPr>
              <w:pStyle w:val="24"/>
              <w:adjustRightInd w:val="0"/>
              <w:snapToGrid w:val="0"/>
              <w:spacing w:line="400" w:lineRule="exact"/>
              <w:rPr>
                <w:rFonts w:hAnsi="宋体"/>
                <w:sz w:val="24"/>
              </w:rPr>
            </w:pPr>
          </w:p>
        </w:tc>
        <w:tc>
          <w:tcPr>
            <w:tcW w:w="1940" w:type="dxa"/>
          </w:tcPr>
          <w:p>
            <w:pPr>
              <w:pStyle w:val="24"/>
              <w:adjustRightInd w:val="0"/>
              <w:snapToGrid w:val="0"/>
              <w:spacing w:line="400" w:lineRule="exact"/>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4"/>
              <w:adjustRightInd w:val="0"/>
              <w:snapToGrid w:val="0"/>
              <w:spacing w:line="400" w:lineRule="exact"/>
              <w:rPr>
                <w:rFonts w:hAnsi="宋体"/>
                <w:sz w:val="24"/>
              </w:rPr>
            </w:pPr>
          </w:p>
        </w:tc>
        <w:tc>
          <w:tcPr>
            <w:tcW w:w="1800" w:type="dxa"/>
          </w:tcPr>
          <w:p>
            <w:pPr>
              <w:pStyle w:val="24"/>
              <w:adjustRightInd w:val="0"/>
              <w:snapToGrid w:val="0"/>
              <w:spacing w:line="400" w:lineRule="exact"/>
              <w:rPr>
                <w:rFonts w:hAnsi="宋体"/>
                <w:sz w:val="24"/>
              </w:rPr>
            </w:pPr>
          </w:p>
        </w:tc>
        <w:tc>
          <w:tcPr>
            <w:tcW w:w="2220" w:type="dxa"/>
          </w:tcPr>
          <w:p>
            <w:pPr>
              <w:pStyle w:val="24"/>
              <w:adjustRightInd w:val="0"/>
              <w:snapToGrid w:val="0"/>
              <w:spacing w:line="400" w:lineRule="exact"/>
              <w:rPr>
                <w:rFonts w:hAnsi="宋体"/>
                <w:sz w:val="24"/>
              </w:rPr>
            </w:pPr>
          </w:p>
        </w:tc>
        <w:tc>
          <w:tcPr>
            <w:tcW w:w="1155" w:type="dxa"/>
          </w:tcPr>
          <w:p>
            <w:pPr>
              <w:pStyle w:val="24"/>
              <w:adjustRightInd w:val="0"/>
              <w:snapToGrid w:val="0"/>
              <w:spacing w:line="400" w:lineRule="exact"/>
              <w:rPr>
                <w:rFonts w:hAnsi="宋体"/>
                <w:sz w:val="24"/>
              </w:rPr>
            </w:pPr>
          </w:p>
        </w:tc>
        <w:tc>
          <w:tcPr>
            <w:tcW w:w="1785" w:type="dxa"/>
          </w:tcPr>
          <w:p>
            <w:pPr>
              <w:pStyle w:val="24"/>
              <w:adjustRightInd w:val="0"/>
              <w:snapToGrid w:val="0"/>
              <w:spacing w:line="400" w:lineRule="exact"/>
              <w:rPr>
                <w:rFonts w:hAnsi="宋体"/>
                <w:sz w:val="24"/>
              </w:rPr>
            </w:pPr>
          </w:p>
        </w:tc>
        <w:tc>
          <w:tcPr>
            <w:tcW w:w="1940" w:type="dxa"/>
          </w:tcPr>
          <w:p>
            <w:pPr>
              <w:pStyle w:val="24"/>
              <w:adjustRightInd w:val="0"/>
              <w:snapToGrid w:val="0"/>
              <w:spacing w:line="400" w:lineRule="exact"/>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4"/>
              <w:adjustRightInd w:val="0"/>
              <w:snapToGrid w:val="0"/>
              <w:spacing w:line="400" w:lineRule="exact"/>
              <w:rPr>
                <w:rFonts w:hAnsi="宋体"/>
                <w:sz w:val="24"/>
              </w:rPr>
            </w:pPr>
          </w:p>
        </w:tc>
        <w:tc>
          <w:tcPr>
            <w:tcW w:w="1800" w:type="dxa"/>
          </w:tcPr>
          <w:p>
            <w:pPr>
              <w:pStyle w:val="24"/>
              <w:adjustRightInd w:val="0"/>
              <w:snapToGrid w:val="0"/>
              <w:spacing w:line="400" w:lineRule="exact"/>
              <w:rPr>
                <w:rFonts w:hAnsi="宋体"/>
                <w:sz w:val="24"/>
              </w:rPr>
            </w:pPr>
          </w:p>
        </w:tc>
        <w:tc>
          <w:tcPr>
            <w:tcW w:w="2220" w:type="dxa"/>
          </w:tcPr>
          <w:p>
            <w:pPr>
              <w:pStyle w:val="24"/>
              <w:adjustRightInd w:val="0"/>
              <w:snapToGrid w:val="0"/>
              <w:spacing w:line="400" w:lineRule="exact"/>
              <w:rPr>
                <w:rFonts w:hAnsi="宋体"/>
                <w:sz w:val="24"/>
              </w:rPr>
            </w:pPr>
          </w:p>
        </w:tc>
        <w:tc>
          <w:tcPr>
            <w:tcW w:w="1155" w:type="dxa"/>
          </w:tcPr>
          <w:p>
            <w:pPr>
              <w:pStyle w:val="24"/>
              <w:adjustRightInd w:val="0"/>
              <w:snapToGrid w:val="0"/>
              <w:spacing w:line="400" w:lineRule="exact"/>
              <w:rPr>
                <w:rFonts w:hAnsi="宋体"/>
                <w:sz w:val="24"/>
              </w:rPr>
            </w:pPr>
          </w:p>
        </w:tc>
        <w:tc>
          <w:tcPr>
            <w:tcW w:w="1785" w:type="dxa"/>
          </w:tcPr>
          <w:p>
            <w:pPr>
              <w:pStyle w:val="24"/>
              <w:adjustRightInd w:val="0"/>
              <w:snapToGrid w:val="0"/>
              <w:spacing w:line="400" w:lineRule="exact"/>
              <w:rPr>
                <w:rFonts w:hAnsi="宋体"/>
                <w:sz w:val="24"/>
              </w:rPr>
            </w:pPr>
          </w:p>
        </w:tc>
        <w:tc>
          <w:tcPr>
            <w:tcW w:w="1940" w:type="dxa"/>
          </w:tcPr>
          <w:p>
            <w:pPr>
              <w:pStyle w:val="24"/>
              <w:adjustRightInd w:val="0"/>
              <w:snapToGrid w:val="0"/>
              <w:spacing w:line="400" w:lineRule="exact"/>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4"/>
              <w:adjustRightInd w:val="0"/>
              <w:snapToGrid w:val="0"/>
              <w:spacing w:line="400" w:lineRule="exact"/>
              <w:rPr>
                <w:rFonts w:hAnsi="宋体"/>
                <w:sz w:val="24"/>
              </w:rPr>
            </w:pPr>
          </w:p>
        </w:tc>
        <w:tc>
          <w:tcPr>
            <w:tcW w:w="1800" w:type="dxa"/>
          </w:tcPr>
          <w:p>
            <w:pPr>
              <w:pStyle w:val="24"/>
              <w:adjustRightInd w:val="0"/>
              <w:snapToGrid w:val="0"/>
              <w:spacing w:line="400" w:lineRule="exact"/>
              <w:rPr>
                <w:rFonts w:hAnsi="宋体"/>
                <w:sz w:val="24"/>
              </w:rPr>
            </w:pPr>
          </w:p>
        </w:tc>
        <w:tc>
          <w:tcPr>
            <w:tcW w:w="2220" w:type="dxa"/>
          </w:tcPr>
          <w:p>
            <w:pPr>
              <w:pStyle w:val="24"/>
              <w:adjustRightInd w:val="0"/>
              <w:snapToGrid w:val="0"/>
              <w:spacing w:line="400" w:lineRule="exact"/>
              <w:rPr>
                <w:rFonts w:hAnsi="宋体"/>
                <w:sz w:val="24"/>
              </w:rPr>
            </w:pPr>
          </w:p>
        </w:tc>
        <w:tc>
          <w:tcPr>
            <w:tcW w:w="1155" w:type="dxa"/>
          </w:tcPr>
          <w:p>
            <w:pPr>
              <w:pStyle w:val="24"/>
              <w:adjustRightInd w:val="0"/>
              <w:snapToGrid w:val="0"/>
              <w:spacing w:line="400" w:lineRule="exact"/>
              <w:rPr>
                <w:rFonts w:hAnsi="宋体"/>
                <w:sz w:val="24"/>
              </w:rPr>
            </w:pPr>
          </w:p>
        </w:tc>
        <w:tc>
          <w:tcPr>
            <w:tcW w:w="1785" w:type="dxa"/>
          </w:tcPr>
          <w:p>
            <w:pPr>
              <w:pStyle w:val="24"/>
              <w:adjustRightInd w:val="0"/>
              <w:snapToGrid w:val="0"/>
              <w:spacing w:line="400" w:lineRule="exact"/>
              <w:rPr>
                <w:rFonts w:hAnsi="宋体"/>
                <w:sz w:val="24"/>
              </w:rPr>
            </w:pPr>
          </w:p>
        </w:tc>
        <w:tc>
          <w:tcPr>
            <w:tcW w:w="1940" w:type="dxa"/>
          </w:tcPr>
          <w:p>
            <w:pPr>
              <w:pStyle w:val="24"/>
              <w:adjustRightInd w:val="0"/>
              <w:snapToGrid w:val="0"/>
              <w:spacing w:line="400" w:lineRule="exact"/>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4"/>
              <w:adjustRightInd w:val="0"/>
              <w:snapToGrid w:val="0"/>
              <w:spacing w:line="400" w:lineRule="exact"/>
              <w:rPr>
                <w:rFonts w:hAnsi="宋体"/>
                <w:sz w:val="24"/>
              </w:rPr>
            </w:pPr>
          </w:p>
        </w:tc>
        <w:tc>
          <w:tcPr>
            <w:tcW w:w="1800" w:type="dxa"/>
          </w:tcPr>
          <w:p>
            <w:pPr>
              <w:pStyle w:val="24"/>
              <w:adjustRightInd w:val="0"/>
              <w:snapToGrid w:val="0"/>
              <w:spacing w:line="400" w:lineRule="exact"/>
              <w:rPr>
                <w:rFonts w:hAnsi="宋体"/>
                <w:sz w:val="24"/>
              </w:rPr>
            </w:pPr>
          </w:p>
        </w:tc>
        <w:tc>
          <w:tcPr>
            <w:tcW w:w="2220" w:type="dxa"/>
          </w:tcPr>
          <w:p>
            <w:pPr>
              <w:pStyle w:val="24"/>
              <w:adjustRightInd w:val="0"/>
              <w:snapToGrid w:val="0"/>
              <w:spacing w:line="400" w:lineRule="exact"/>
              <w:rPr>
                <w:rFonts w:hAnsi="宋体"/>
                <w:sz w:val="24"/>
              </w:rPr>
            </w:pPr>
          </w:p>
        </w:tc>
        <w:tc>
          <w:tcPr>
            <w:tcW w:w="1155" w:type="dxa"/>
          </w:tcPr>
          <w:p>
            <w:pPr>
              <w:pStyle w:val="24"/>
              <w:adjustRightInd w:val="0"/>
              <w:snapToGrid w:val="0"/>
              <w:spacing w:line="400" w:lineRule="exact"/>
              <w:rPr>
                <w:rFonts w:hAnsi="宋体"/>
                <w:sz w:val="24"/>
              </w:rPr>
            </w:pPr>
          </w:p>
        </w:tc>
        <w:tc>
          <w:tcPr>
            <w:tcW w:w="1785" w:type="dxa"/>
          </w:tcPr>
          <w:p>
            <w:pPr>
              <w:pStyle w:val="24"/>
              <w:adjustRightInd w:val="0"/>
              <w:snapToGrid w:val="0"/>
              <w:spacing w:line="400" w:lineRule="exact"/>
              <w:rPr>
                <w:rFonts w:hAnsi="宋体"/>
                <w:sz w:val="24"/>
              </w:rPr>
            </w:pPr>
          </w:p>
        </w:tc>
        <w:tc>
          <w:tcPr>
            <w:tcW w:w="1940" w:type="dxa"/>
          </w:tcPr>
          <w:p>
            <w:pPr>
              <w:pStyle w:val="24"/>
              <w:adjustRightInd w:val="0"/>
              <w:snapToGrid w:val="0"/>
              <w:spacing w:line="400" w:lineRule="exact"/>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24"/>
              <w:adjustRightInd w:val="0"/>
              <w:snapToGrid w:val="0"/>
              <w:spacing w:line="400" w:lineRule="exact"/>
              <w:rPr>
                <w:rFonts w:hAnsi="宋体"/>
                <w:sz w:val="24"/>
              </w:rPr>
            </w:pPr>
          </w:p>
        </w:tc>
        <w:tc>
          <w:tcPr>
            <w:tcW w:w="1800" w:type="dxa"/>
          </w:tcPr>
          <w:p>
            <w:pPr>
              <w:pStyle w:val="24"/>
              <w:adjustRightInd w:val="0"/>
              <w:snapToGrid w:val="0"/>
              <w:spacing w:line="400" w:lineRule="exact"/>
              <w:rPr>
                <w:rFonts w:hAnsi="宋体"/>
                <w:sz w:val="24"/>
              </w:rPr>
            </w:pPr>
          </w:p>
        </w:tc>
        <w:tc>
          <w:tcPr>
            <w:tcW w:w="2220" w:type="dxa"/>
          </w:tcPr>
          <w:p>
            <w:pPr>
              <w:pStyle w:val="24"/>
              <w:adjustRightInd w:val="0"/>
              <w:snapToGrid w:val="0"/>
              <w:spacing w:line="400" w:lineRule="exact"/>
              <w:rPr>
                <w:rFonts w:hAnsi="宋体"/>
                <w:sz w:val="24"/>
              </w:rPr>
            </w:pPr>
          </w:p>
        </w:tc>
        <w:tc>
          <w:tcPr>
            <w:tcW w:w="1155" w:type="dxa"/>
          </w:tcPr>
          <w:p>
            <w:pPr>
              <w:pStyle w:val="24"/>
              <w:adjustRightInd w:val="0"/>
              <w:snapToGrid w:val="0"/>
              <w:spacing w:line="400" w:lineRule="exact"/>
              <w:rPr>
                <w:rFonts w:hAnsi="宋体"/>
                <w:sz w:val="24"/>
              </w:rPr>
            </w:pPr>
          </w:p>
        </w:tc>
        <w:tc>
          <w:tcPr>
            <w:tcW w:w="1785" w:type="dxa"/>
          </w:tcPr>
          <w:p>
            <w:pPr>
              <w:pStyle w:val="24"/>
              <w:adjustRightInd w:val="0"/>
              <w:snapToGrid w:val="0"/>
              <w:spacing w:line="400" w:lineRule="exact"/>
              <w:rPr>
                <w:rFonts w:hAnsi="宋体"/>
                <w:sz w:val="24"/>
              </w:rPr>
            </w:pPr>
          </w:p>
        </w:tc>
        <w:tc>
          <w:tcPr>
            <w:tcW w:w="1940" w:type="dxa"/>
          </w:tcPr>
          <w:p>
            <w:pPr>
              <w:pStyle w:val="24"/>
              <w:adjustRightInd w:val="0"/>
              <w:snapToGrid w:val="0"/>
              <w:spacing w:line="400" w:lineRule="exact"/>
              <w:rPr>
                <w:rFonts w:hAnsi="宋体"/>
                <w:sz w:val="24"/>
              </w:rPr>
            </w:pPr>
          </w:p>
        </w:tc>
      </w:tr>
    </w:tbl>
    <w:p>
      <w:pPr>
        <w:pStyle w:val="24"/>
        <w:adjustRightInd w:val="0"/>
        <w:snapToGrid w:val="0"/>
        <w:spacing w:line="400" w:lineRule="exact"/>
        <w:rPr>
          <w:rFonts w:hAnsi="宋体"/>
          <w:sz w:val="24"/>
        </w:rPr>
      </w:pPr>
    </w:p>
    <w:p>
      <w:pPr>
        <w:pStyle w:val="24"/>
        <w:adjustRightInd w:val="0"/>
        <w:snapToGrid w:val="0"/>
        <w:spacing w:line="400" w:lineRule="exact"/>
        <w:rPr>
          <w:rFonts w:hAnsi="宋体"/>
          <w:sz w:val="22"/>
          <w:szCs w:val="22"/>
        </w:rPr>
      </w:pPr>
      <w:r>
        <w:rPr>
          <w:rFonts w:hint="eastAsia" w:hAnsi="宋体"/>
          <w:sz w:val="22"/>
          <w:szCs w:val="22"/>
        </w:rPr>
        <w:t xml:space="preserve">供应商盖章：    </w:t>
      </w:r>
    </w:p>
    <w:p>
      <w:pPr>
        <w:pStyle w:val="24"/>
        <w:adjustRightInd w:val="0"/>
        <w:snapToGrid w:val="0"/>
        <w:spacing w:line="400" w:lineRule="exact"/>
        <w:rPr>
          <w:rFonts w:hAnsi="宋体"/>
          <w:sz w:val="22"/>
          <w:szCs w:val="22"/>
        </w:rPr>
      </w:pPr>
      <w:r>
        <w:rPr>
          <w:rFonts w:hint="eastAsia" w:hAnsi="宋体"/>
          <w:sz w:val="22"/>
          <w:szCs w:val="22"/>
        </w:rPr>
        <w:t>日期：</w:t>
      </w:r>
    </w:p>
    <w:p>
      <w:pPr>
        <w:pStyle w:val="24"/>
        <w:adjustRightInd w:val="0"/>
        <w:snapToGrid w:val="0"/>
        <w:spacing w:line="400" w:lineRule="exact"/>
        <w:rPr>
          <w:rFonts w:hAnsi="宋体"/>
          <w:sz w:val="22"/>
          <w:szCs w:val="22"/>
        </w:rPr>
      </w:pPr>
    </w:p>
    <w:p>
      <w:pPr>
        <w:pStyle w:val="24"/>
        <w:adjustRightInd w:val="0"/>
        <w:snapToGrid w:val="0"/>
        <w:spacing w:line="400" w:lineRule="exact"/>
        <w:rPr>
          <w:rFonts w:hAnsi="宋体"/>
          <w:sz w:val="36"/>
          <w:szCs w:val="36"/>
        </w:rPr>
      </w:pPr>
      <w:r>
        <w:rPr>
          <w:rFonts w:hAnsi="宋体"/>
          <w:sz w:val="36"/>
          <w:szCs w:val="36"/>
        </w:rPr>
        <w:br w:type="page"/>
      </w:r>
      <w:r>
        <w:rPr>
          <w:rFonts w:hint="eastAsia" w:hAnsi="宋体"/>
          <w:sz w:val="36"/>
          <w:szCs w:val="36"/>
        </w:rPr>
        <w:t>附件八</w:t>
      </w:r>
    </w:p>
    <w:p>
      <w:pPr>
        <w:pStyle w:val="24"/>
        <w:adjustRightInd w:val="0"/>
        <w:snapToGrid w:val="0"/>
        <w:spacing w:line="400" w:lineRule="exact"/>
        <w:ind w:firstLine="1440" w:firstLineChars="400"/>
        <w:rPr>
          <w:rFonts w:hAnsi="宋体"/>
          <w:sz w:val="36"/>
          <w:szCs w:val="36"/>
        </w:rPr>
      </w:pPr>
      <w:r>
        <w:rPr>
          <w:rFonts w:hint="eastAsia" w:hAnsi="宋体"/>
          <w:sz w:val="36"/>
          <w:szCs w:val="36"/>
        </w:rPr>
        <w:t>拟派本项目人员的专业及人数配备情况表</w:t>
      </w:r>
    </w:p>
    <w:tbl>
      <w:tblPr>
        <w:tblStyle w:val="38"/>
        <w:tblW w:w="10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574"/>
        <w:gridCol w:w="600"/>
        <w:gridCol w:w="1083"/>
        <w:gridCol w:w="1134"/>
        <w:gridCol w:w="2267"/>
        <w:gridCol w:w="1562"/>
        <w:gridCol w:w="1678"/>
        <w:gridCol w:w="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exact"/>
          <w:jc w:val="center"/>
        </w:trPr>
        <w:tc>
          <w:tcPr>
            <w:tcW w:w="1057" w:type="dxa"/>
            <w:vAlign w:val="center"/>
          </w:tcPr>
          <w:p>
            <w:pPr>
              <w:spacing w:beforeLines="10" w:line="360" w:lineRule="exact"/>
              <w:jc w:val="center"/>
              <w:rPr>
                <w:rFonts w:ascii="Arial" w:hAnsi="Arial" w:cs="Arial"/>
                <w:szCs w:val="21"/>
              </w:rPr>
            </w:pPr>
            <w:r>
              <w:rPr>
                <w:rFonts w:ascii="Arial" w:hAnsi="Arial" w:cs="Arial"/>
                <w:szCs w:val="21"/>
              </w:rPr>
              <w:t>姓名</w:t>
            </w:r>
          </w:p>
        </w:tc>
        <w:tc>
          <w:tcPr>
            <w:tcW w:w="574" w:type="dxa"/>
            <w:vAlign w:val="center"/>
          </w:tcPr>
          <w:p>
            <w:pPr>
              <w:spacing w:beforeLines="10" w:line="360" w:lineRule="exact"/>
              <w:jc w:val="center"/>
              <w:rPr>
                <w:rFonts w:ascii="Arial" w:hAnsi="Arial" w:cs="Arial"/>
                <w:szCs w:val="21"/>
              </w:rPr>
            </w:pPr>
            <w:r>
              <w:rPr>
                <w:rFonts w:ascii="Arial" w:hAnsi="Arial" w:cs="Arial"/>
                <w:szCs w:val="21"/>
              </w:rPr>
              <w:t>性别</w:t>
            </w:r>
          </w:p>
        </w:tc>
        <w:tc>
          <w:tcPr>
            <w:tcW w:w="600" w:type="dxa"/>
            <w:vAlign w:val="center"/>
          </w:tcPr>
          <w:p>
            <w:pPr>
              <w:spacing w:beforeLines="10" w:line="360" w:lineRule="exact"/>
              <w:jc w:val="center"/>
              <w:rPr>
                <w:rFonts w:ascii="Arial" w:hAnsi="Arial" w:cs="Arial"/>
                <w:szCs w:val="21"/>
              </w:rPr>
            </w:pPr>
            <w:r>
              <w:rPr>
                <w:rFonts w:ascii="Arial" w:hAnsi="Arial" w:cs="Arial"/>
                <w:szCs w:val="21"/>
              </w:rPr>
              <w:t>年龄</w:t>
            </w:r>
          </w:p>
        </w:tc>
        <w:tc>
          <w:tcPr>
            <w:tcW w:w="1083" w:type="dxa"/>
            <w:vAlign w:val="center"/>
          </w:tcPr>
          <w:p>
            <w:pPr>
              <w:spacing w:beforeLines="10" w:line="360" w:lineRule="exact"/>
              <w:jc w:val="center"/>
              <w:rPr>
                <w:rFonts w:ascii="Arial" w:hAnsi="Arial" w:cs="Arial"/>
                <w:szCs w:val="21"/>
              </w:rPr>
            </w:pPr>
            <w:r>
              <w:rPr>
                <w:rFonts w:hint="eastAsia" w:ascii="Arial" w:hAnsi="Arial" w:cs="Arial"/>
                <w:szCs w:val="21"/>
              </w:rPr>
              <w:t>拟本在本项目职务</w:t>
            </w:r>
            <w:r>
              <w:rPr>
                <w:rFonts w:ascii="Arial" w:hAnsi="Arial" w:cs="Arial"/>
                <w:szCs w:val="21"/>
              </w:rPr>
              <w:t>职务</w:t>
            </w:r>
          </w:p>
        </w:tc>
        <w:tc>
          <w:tcPr>
            <w:tcW w:w="1134" w:type="dxa"/>
            <w:vAlign w:val="center"/>
          </w:tcPr>
          <w:p>
            <w:pPr>
              <w:spacing w:beforeLines="10" w:line="360" w:lineRule="exact"/>
              <w:jc w:val="center"/>
              <w:rPr>
                <w:rFonts w:ascii="Arial" w:hAnsi="Arial" w:cs="Arial"/>
                <w:szCs w:val="21"/>
              </w:rPr>
            </w:pPr>
            <w:r>
              <w:rPr>
                <w:rFonts w:ascii="Arial" w:hAnsi="Arial" w:cs="Arial"/>
                <w:szCs w:val="21"/>
              </w:rPr>
              <w:t>职称</w:t>
            </w:r>
          </w:p>
        </w:tc>
        <w:tc>
          <w:tcPr>
            <w:tcW w:w="2267" w:type="dxa"/>
            <w:vAlign w:val="center"/>
          </w:tcPr>
          <w:p>
            <w:pPr>
              <w:spacing w:beforeLines="10" w:line="360" w:lineRule="exact"/>
              <w:jc w:val="center"/>
              <w:rPr>
                <w:rFonts w:ascii="Arial" w:hAnsi="Arial" w:cs="Arial"/>
                <w:szCs w:val="21"/>
              </w:rPr>
            </w:pPr>
            <w:r>
              <w:rPr>
                <w:rFonts w:hint="eastAsia" w:ascii="Arial" w:hAnsi="Arial" w:cs="Arial"/>
                <w:szCs w:val="21"/>
              </w:rPr>
              <w:t>身份证号码</w:t>
            </w:r>
          </w:p>
        </w:tc>
        <w:tc>
          <w:tcPr>
            <w:tcW w:w="1562" w:type="dxa"/>
            <w:vAlign w:val="center"/>
          </w:tcPr>
          <w:p>
            <w:pPr>
              <w:spacing w:beforeLines="10" w:line="360" w:lineRule="exact"/>
              <w:jc w:val="center"/>
              <w:rPr>
                <w:rFonts w:ascii="Arial" w:hAnsi="Arial" w:cs="Arial"/>
                <w:szCs w:val="21"/>
              </w:rPr>
            </w:pPr>
            <w:r>
              <w:rPr>
                <w:rFonts w:ascii="Arial" w:hAnsi="Arial" w:cs="Arial"/>
                <w:szCs w:val="21"/>
              </w:rPr>
              <w:t>岗位证书号码</w:t>
            </w:r>
          </w:p>
        </w:tc>
        <w:tc>
          <w:tcPr>
            <w:tcW w:w="1678" w:type="dxa"/>
            <w:vAlign w:val="center"/>
          </w:tcPr>
          <w:p>
            <w:pPr>
              <w:spacing w:beforeLines="10" w:line="360" w:lineRule="exact"/>
              <w:jc w:val="center"/>
              <w:rPr>
                <w:rFonts w:ascii="Arial" w:hAnsi="Arial" w:cs="Arial"/>
                <w:szCs w:val="21"/>
              </w:rPr>
            </w:pPr>
            <w:r>
              <w:rPr>
                <w:rFonts w:hint="eastAsia" w:ascii="Arial" w:hAnsi="Arial" w:cs="Arial"/>
                <w:szCs w:val="21"/>
              </w:rPr>
              <w:t>联系电话</w:t>
            </w:r>
          </w:p>
        </w:tc>
        <w:tc>
          <w:tcPr>
            <w:tcW w:w="640" w:type="dxa"/>
            <w:vAlign w:val="center"/>
          </w:tcPr>
          <w:p>
            <w:pPr>
              <w:spacing w:beforeLines="10" w:line="360" w:lineRule="exact"/>
              <w:jc w:val="center"/>
              <w:rPr>
                <w:rFonts w:ascii="Arial" w:hAnsi="Arial" w:cs="Arial"/>
                <w:szCs w:val="21"/>
              </w:rPr>
            </w:pPr>
            <w:r>
              <w:rPr>
                <w:rFonts w:hint="eastAsia" w:ascii="Arial" w:hAnsi="Arial" w:cs="Arial"/>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jc w:val="center"/>
        </w:trPr>
        <w:tc>
          <w:tcPr>
            <w:tcW w:w="1057" w:type="dxa"/>
            <w:vAlign w:val="center"/>
          </w:tcPr>
          <w:p>
            <w:pPr>
              <w:spacing w:beforeLines="10" w:line="360" w:lineRule="exact"/>
              <w:jc w:val="center"/>
              <w:rPr>
                <w:rFonts w:ascii="Arial" w:hAnsi="Arial" w:cs="Arial"/>
                <w:szCs w:val="21"/>
              </w:rPr>
            </w:pPr>
          </w:p>
        </w:tc>
        <w:tc>
          <w:tcPr>
            <w:tcW w:w="574" w:type="dxa"/>
            <w:vAlign w:val="center"/>
          </w:tcPr>
          <w:p>
            <w:pPr>
              <w:spacing w:beforeLines="10" w:line="360" w:lineRule="exact"/>
              <w:jc w:val="center"/>
              <w:rPr>
                <w:rFonts w:ascii="Arial" w:hAnsi="Arial" w:cs="Arial"/>
                <w:szCs w:val="21"/>
              </w:rPr>
            </w:pPr>
          </w:p>
        </w:tc>
        <w:tc>
          <w:tcPr>
            <w:tcW w:w="600" w:type="dxa"/>
            <w:vAlign w:val="center"/>
          </w:tcPr>
          <w:p>
            <w:pPr>
              <w:spacing w:beforeLines="10" w:line="360" w:lineRule="exact"/>
              <w:jc w:val="center"/>
              <w:rPr>
                <w:rFonts w:ascii="Arial" w:hAnsi="Arial" w:cs="Arial"/>
                <w:szCs w:val="21"/>
              </w:rPr>
            </w:pPr>
          </w:p>
        </w:tc>
        <w:tc>
          <w:tcPr>
            <w:tcW w:w="1083" w:type="dxa"/>
            <w:vAlign w:val="center"/>
          </w:tcPr>
          <w:p>
            <w:pPr>
              <w:spacing w:beforeLines="10" w:line="280" w:lineRule="exact"/>
              <w:jc w:val="center"/>
              <w:rPr>
                <w:rFonts w:ascii="Arial" w:hAnsi="Arial" w:cs="Arial"/>
                <w:szCs w:val="21"/>
              </w:rPr>
            </w:pPr>
          </w:p>
        </w:tc>
        <w:tc>
          <w:tcPr>
            <w:tcW w:w="1134" w:type="dxa"/>
            <w:vAlign w:val="center"/>
          </w:tcPr>
          <w:p>
            <w:pPr>
              <w:spacing w:beforeLines="10" w:line="360" w:lineRule="exact"/>
              <w:jc w:val="center"/>
              <w:rPr>
                <w:rFonts w:ascii="Arial" w:hAnsi="Arial" w:cs="Arial"/>
                <w:szCs w:val="21"/>
              </w:rPr>
            </w:pPr>
          </w:p>
        </w:tc>
        <w:tc>
          <w:tcPr>
            <w:tcW w:w="2267" w:type="dxa"/>
          </w:tcPr>
          <w:p>
            <w:pPr>
              <w:spacing w:beforeLines="10" w:line="360" w:lineRule="exact"/>
              <w:jc w:val="center"/>
              <w:rPr>
                <w:rFonts w:ascii="Arial" w:hAnsi="Arial" w:cs="Arial"/>
                <w:szCs w:val="21"/>
              </w:rPr>
            </w:pPr>
          </w:p>
        </w:tc>
        <w:tc>
          <w:tcPr>
            <w:tcW w:w="1562" w:type="dxa"/>
            <w:vAlign w:val="center"/>
          </w:tcPr>
          <w:p>
            <w:pPr>
              <w:spacing w:beforeLines="10" w:line="360" w:lineRule="exact"/>
              <w:jc w:val="center"/>
              <w:rPr>
                <w:rFonts w:ascii="Arial" w:hAnsi="Arial" w:cs="Arial"/>
                <w:szCs w:val="21"/>
              </w:rPr>
            </w:pPr>
          </w:p>
        </w:tc>
        <w:tc>
          <w:tcPr>
            <w:tcW w:w="1678" w:type="dxa"/>
            <w:vAlign w:val="center"/>
          </w:tcPr>
          <w:p>
            <w:pPr>
              <w:spacing w:beforeLines="10" w:line="360" w:lineRule="exact"/>
              <w:jc w:val="center"/>
              <w:rPr>
                <w:rFonts w:ascii="Arial" w:hAnsi="Arial" w:cs="Arial"/>
                <w:szCs w:val="21"/>
              </w:rPr>
            </w:pPr>
          </w:p>
        </w:tc>
        <w:tc>
          <w:tcPr>
            <w:tcW w:w="640" w:type="dxa"/>
            <w:vAlign w:val="center"/>
          </w:tcPr>
          <w:p>
            <w:pPr>
              <w:spacing w:beforeLines="10" w:line="360" w:lineRule="exac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exact"/>
          <w:jc w:val="center"/>
        </w:trPr>
        <w:tc>
          <w:tcPr>
            <w:tcW w:w="1057" w:type="dxa"/>
            <w:vAlign w:val="center"/>
          </w:tcPr>
          <w:p>
            <w:pPr>
              <w:spacing w:beforeLines="10" w:line="360" w:lineRule="exact"/>
              <w:jc w:val="center"/>
              <w:rPr>
                <w:rFonts w:ascii="Arial" w:hAnsi="Arial" w:cs="Arial"/>
                <w:szCs w:val="21"/>
              </w:rPr>
            </w:pPr>
          </w:p>
        </w:tc>
        <w:tc>
          <w:tcPr>
            <w:tcW w:w="574" w:type="dxa"/>
            <w:vAlign w:val="center"/>
          </w:tcPr>
          <w:p>
            <w:pPr>
              <w:spacing w:beforeLines="10" w:line="360" w:lineRule="exact"/>
              <w:jc w:val="center"/>
              <w:rPr>
                <w:rFonts w:ascii="Arial" w:hAnsi="Arial" w:cs="Arial"/>
                <w:szCs w:val="21"/>
              </w:rPr>
            </w:pPr>
          </w:p>
        </w:tc>
        <w:tc>
          <w:tcPr>
            <w:tcW w:w="600" w:type="dxa"/>
            <w:vAlign w:val="center"/>
          </w:tcPr>
          <w:p>
            <w:pPr>
              <w:spacing w:beforeLines="10" w:line="360" w:lineRule="exact"/>
              <w:jc w:val="center"/>
              <w:rPr>
                <w:rFonts w:ascii="Arial" w:hAnsi="Arial" w:cs="Arial"/>
                <w:szCs w:val="21"/>
              </w:rPr>
            </w:pPr>
          </w:p>
        </w:tc>
        <w:tc>
          <w:tcPr>
            <w:tcW w:w="1083" w:type="dxa"/>
            <w:vAlign w:val="center"/>
          </w:tcPr>
          <w:p>
            <w:pPr>
              <w:spacing w:beforeLines="10" w:line="280" w:lineRule="exact"/>
              <w:jc w:val="center"/>
              <w:rPr>
                <w:rFonts w:ascii="Arial" w:hAnsi="Arial" w:cs="Arial"/>
                <w:szCs w:val="21"/>
              </w:rPr>
            </w:pPr>
          </w:p>
        </w:tc>
        <w:tc>
          <w:tcPr>
            <w:tcW w:w="1134" w:type="dxa"/>
            <w:vAlign w:val="center"/>
          </w:tcPr>
          <w:p>
            <w:pPr>
              <w:spacing w:beforeLines="10" w:line="360" w:lineRule="exact"/>
              <w:jc w:val="center"/>
              <w:rPr>
                <w:rFonts w:ascii="Arial" w:hAnsi="Arial" w:cs="Arial"/>
                <w:szCs w:val="21"/>
              </w:rPr>
            </w:pPr>
          </w:p>
        </w:tc>
        <w:tc>
          <w:tcPr>
            <w:tcW w:w="2267" w:type="dxa"/>
          </w:tcPr>
          <w:p>
            <w:pPr>
              <w:spacing w:beforeLines="10" w:line="360" w:lineRule="exact"/>
              <w:jc w:val="center"/>
              <w:rPr>
                <w:rFonts w:ascii="Arial" w:hAnsi="Arial" w:cs="Arial"/>
                <w:szCs w:val="21"/>
              </w:rPr>
            </w:pPr>
          </w:p>
        </w:tc>
        <w:tc>
          <w:tcPr>
            <w:tcW w:w="1562" w:type="dxa"/>
            <w:vAlign w:val="center"/>
          </w:tcPr>
          <w:p>
            <w:pPr>
              <w:spacing w:beforeLines="10" w:line="360" w:lineRule="exact"/>
              <w:jc w:val="center"/>
              <w:rPr>
                <w:rFonts w:ascii="Arial" w:hAnsi="Arial" w:cs="Arial"/>
                <w:szCs w:val="21"/>
              </w:rPr>
            </w:pPr>
          </w:p>
        </w:tc>
        <w:tc>
          <w:tcPr>
            <w:tcW w:w="1678" w:type="dxa"/>
            <w:vAlign w:val="center"/>
          </w:tcPr>
          <w:p>
            <w:pPr>
              <w:spacing w:beforeLines="10" w:line="360" w:lineRule="exact"/>
              <w:jc w:val="center"/>
              <w:rPr>
                <w:rFonts w:ascii="Arial" w:hAnsi="Arial" w:cs="Arial"/>
                <w:szCs w:val="21"/>
              </w:rPr>
            </w:pPr>
          </w:p>
        </w:tc>
        <w:tc>
          <w:tcPr>
            <w:tcW w:w="640" w:type="dxa"/>
            <w:vAlign w:val="center"/>
          </w:tcPr>
          <w:p>
            <w:pPr>
              <w:spacing w:beforeLines="10" w:line="360" w:lineRule="exac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jc w:val="center"/>
        </w:trPr>
        <w:tc>
          <w:tcPr>
            <w:tcW w:w="1057" w:type="dxa"/>
            <w:vAlign w:val="center"/>
          </w:tcPr>
          <w:p>
            <w:pPr>
              <w:spacing w:beforeLines="10" w:line="360" w:lineRule="exact"/>
              <w:jc w:val="center"/>
              <w:rPr>
                <w:rFonts w:ascii="Arial" w:hAnsi="Arial" w:cs="Arial"/>
                <w:szCs w:val="21"/>
              </w:rPr>
            </w:pPr>
          </w:p>
        </w:tc>
        <w:tc>
          <w:tcPr>
            <w:tcW w:w="574" w:type="dxa"/>
            <w:vAlign w:val="center"/>
          </w:tcPr>
          <w:p>
            <w:pPr>
              <w:spacing w:beforeLines="10" w:line="360" w:lineRule="exact"/>
              <w:jc w:val="center"/>
              <w:rPr>
                <w:rFonts w:ascii="Arial" w:hAnsi="Arial" w:cs="Arial"/>
                <w:szCs w:val="21"/>
              </w:rPr>
            </w:pPr>
          </w:p>
        </w:tc>
        <w:tc>
          <w:tcPr>
            <w:tcW w:w="600" w:type="dxa"/>
            <w:vAlign w:val="center"/>
          </w:tcPr>
          <w:p>
            <w:pPr>
              <w:spacing w:beforeLines="10" w:line="360" w:lineRule="exact"/>
              <w:jc w:val="center"/>
              <w:rPr>
                <w:rFonts w:ascii="Arial" w:hAnsi="Arial" w:cs="Arial"/>
                <w:szCs w:val="21"/>
              </w:rPr>
            </w:pPr>
          </w:p>
        </w:tc>
        <w:tc>
          <w:tcPr>
            <w:tcW w:w="1083" w:type="dxa"/>
            <w:vAlign w:val="center"/>
          </w:tcPr>
          <w:p>
            <w:pPr>
              <w:spacing w:beforeLines="10" w:line="360" w:lineRule="exact"/>
              <w:jc w:val="center"/>
              <w:rPr>
                <w:rFonts w:ascii="Arial" w:hAnsi="Arial" w:cs="Arial"/>
                <w:szCs w:val="21"/>
              </w:rPr>
            </w:pPr>
          </w:p>
        </w:tc>
        <w:tc>
          <w:tcPr>
            <w:tcW w:w="1134" w:type="dxa"/>
            <w:vAlign w:val="center"/>
          </w:tcPr>
          <w:p>
            <w:pPr>
              <w:spacing w:beforeLines="10" w:line="360" w:lineRule="exact"/>
              <w:jc w:val="center"/>
              <w:rPr>
                <w:rFonts w:ascii="Arial" w:hAnsi="Arial" w:cs="Arial"/>
                <w:szCs w:val="21"/>
              </w:rPr>
            </w:pPr>
          </w:p>
        </w:tc>
        <w:tc>
          <w:tcPr>
            <w:tcW w:w="2267" w:type="dxa"/>
          </w:tcPr>
          <w:p>
            <w:pPr>
              <w:spacing w:beforeLines="10" w:line="360" w:lineRule="exact"/>
              <w:jc w:val="center"/>
              <w:rPr>
                <w:rFonts w:ascii="Arial" w:hAnsi="Arial" w:cs="Arial"/>
                <w:szCs w:val="21"/>
              </w:rPr>
            </w:pPr>
          </w:p>
        </w:tc>
        <w:tc>
          <w:tcPr>
            <w:tcW w:w="1562" w:type="dxa"/>
            <w:vAlign w:val="center"/>
          </w:tcPr>
          <w:p>
            <w:pPr>
              <w:spacing w:beforeLines="10" w:line="360" w:lineRule="exact"/>
              <w:jc w:val="center"/>
              <w:rPr>
                <w:rFonts w:ascii="Arial" w:hAnsi="Arial" w:cs="Arial"/>
                <w:szCs w:val="21"/>
              </w:rPr>
            </w:pPr>
          </w:p>
        </w:tc>
        <w:tc>
          <w:tcPr>
            <w:tcW w:w="1678" w:type="dxa"/>
            <w:vAlign w:val="center"/>
          </w:tcPr>
          <w:p>
            <w:pPr>
              <w:spacing w:beforeLines="10" w:line="360" w:lineRule="exact"/>
              <w:jc w:val="center"/>
              <w:rPr>
                <w:rFonts w:ascii="Arial" w:hAnsi="Arial" w:cs="Arial"/>
                <w:szCs w:val="21"/>
              </w:rPr>
            </w:pPr>
          </w:p>
        </w:tc>
        <w:tc>
          <w:tcPr>
            <w:tcW w:w="640" w:type="dxa"/>
            <w:vAlign w:val="center"/>
          </w:tcPr>
          <w:p>
            <w:pPr>
              <w:spacing w:beforeLines="10" w:line="360" w:lineRule="exac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jc w:val="center"/>
        </w:trPr>
        <w:tc>
          <w:tcPr>
            <w:tcW w:w="1057" w:type="dxa"/>
            <w:vAlign w:val="center"/>
          </w:tcPr>
          <w:p>
            <w:pPr>
              <w:spacing w:beforeLines="10" w:line="360" w:lineRule="exact"/>
              <w:jc w:val="center"/>
              <w:rPr>
                <w:rFonts w:ascii="Arial" w:hAnsi="Arial" w:cs="Arial"/>
                <w:szCs w:val="21"/>
              </w:rPr>
            </w:pPr>
          </w:p>
        </w:tc>
        <w:tc>
          <w:tcPr>
            <w:tcW w:w="574" w:type="dxa"/>
            <w:vAlign w:val="center"/>
          </w:tcPr>
          <w:p>
            <w:pPr>
              <w:spacing w:beforeLines="10" w:line="360" w:lineRule="exact"/>
              <w:jc w:val="center"/>
              <w:rPr>
                <w:rFonts w:ascii="Arial" w:hAnsi="Arial" w:cs="Arial"/>
                <w:szCs w:val="21"/>
              </w:rPr>
            </w:pPr>
          </w:p>
        </w:tc>
        <w:tc>
          <w:tcPr>
            <w:tcW w:w="600" w:type="dxa"/>
            <w:vAlign w:val="center"/>
          </w:tcPr>
          <w:p>
            <w:pPr>
              <w:spacing w:beforeLines="10" w:line="360" w:lineRule="exact"/>
              <w:jc w:val="center"/>
              <w:rPr>
                <w:rFonts w:ascii="Arial" w:hAnsi="Arial" w:cs="Arial"/>
                <w:szCs w:val="21"/>
              </w:rPr>
            </w:pPr>
          </w:p>
        </w:tc>
        <w:tc>
          <w:tcPr>
            <w:tcW w:w="1083" w:type="dxa"/>
            <w:vAlign w:val="center"/>
          </w:tcPr>
          <w:p>
            <w:pPr>
              <w:spacing w:beforeLines="10" w:line="360" w:lineRule="exact"/>
              <w:jc w:val="center"/>
              <w:rPr>
                <w:rFonts w:ascii="Arial" w:hAnsi="Arial" w:cs="Arial"/>
                <w:szCs w:val="21"/>
              </w:rPr>
            </w:pPr>
          </w:p>
        </w:tc>
        <w:tc>
          <w:tcPr>
            <w:tcW w:w="1134" w:type="dxa"/>
            <w:vAlign w:val="center"/>
          </w:tcPr>
          <w:p>
            <w:pPr>
              <w:spacing w:beforeLines="10" w:line="360" w:lineRule="exact"/>
              <w:jc w:val="center"/>
              <w:rPr>
                <w:rFonts w:ascii="Arial" w:hAnsi="Arial" w:cs="Arial"/>
                <w:szCs w:val="21"/>
              </w:rPr>
            </w:pPr>
          </w:p>
        </w:tc>
        <w:tc>
          <w:tcPr>
            <w:tcW w:w="2267" w:type="dxa"/>
          </w:tcPr>
          <w:p>
            <w:pPr>
              <w:spacing w:beforeLines="10" w:line="360" w:lineRule="exact"/>
              <w:jc w:val="center"/>
              <w:rPr>
                <w:rFonts w:ascii="Arial" w:hAnsi="Arial" w:cs="Arial"/>
                <w:szCs w:val="21"/>
              </w:rPr>
            </w:pPr>
          </w:p>
        </w:tc>
        <w:tc>
          <w:tcPr>
            <w:tcW w:w="1562" w:type="dxa"/>
            <w:vAlign w:val="center"/>
          </w:tcPr>
          <w:p>
            <w:pPr>
              <w:spacing w:beforeLines="10" w:line="360" w:lineRule="exact"/>
              <w:jc w:val="center"/>
              <w:rPr>
                <w:rFonts w:ascii="Arial" w:hAnsi="Arial" w:cs="Arial"/>
                <w:szCs w:val="21"/>
              </w:rPr>
            </w:pPr>
          </w:p>
        </w:tc>
        <w:tc>
          <w:tcPr>
            <w:tcW w:w="1678" w:type="dxa"/>
            <w:vAlign w:val="center"/>
          </w:tcPr>
          <w:p>
            <w:pPr>
              <w:spacing w:beforeLines="10" w:line="360" w:lineRule="exact"/>
              <w:jc w:val="center"/>
              <w:rPr>
                <w:rFonts w:ascii="Arial" w:hAnsi="Arial" w:cs="Arial"/>
                <w:szCs w:val="21"/>
              </w:rPr>
            </w:pPr>
          </w:p>
        </w:tc>
        <w:tc>
          <w:tcPr>
            <w:tcW w:w="640" w:type="dxa"/>
            <w:vAlign w:val="center"/>
          </w:tcPr>
          <w:p>
            <w:pPr>
              <w:spacing w:beforeLines="10" w:line="360" w:lineRule="exac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exact"/>
          <w:jc w:val="center"/>
        </w:trPr>
        <w:tc>
          <w:tcPr>
            <w:tcW w:w="1057" w:type="dxa"/>
            <w:vAlign w:val="center"/>
          </w:tcPr>
          <w:p>
            <w:pPr>
              <w:spacing w:beforeLines="10" w:line="360" w:lineRule="exact"/>
              <w:jc w:val="center"/>
              <w:rPr>
                <w:rFonts w:ascii="Arial" w:hAnsi="Arial" w:cs="Arial"/>
                <w:szCs w:val="21"/>
              </w:rPr>
            </w:pPr>
          </w:p>
        </w:tc>
        <w:tc>
          <w:tcPr>
            <w:tcW w:w="574" w:type="dxa"/>
            <w:vAlign w:val="center"/>
          </w:tcPr>
          <w:p>
            <w:pPr>
              <w:spacing w:beforeLines="10" w:line="360" w:lineRule="exact"/>
              <w:jc w:val="center"/>
              <w:rPr>
                <w:rFonts w:ascii="Arial" w:hAnsi="Arial" w:cs="Arial"/>
                <w:szCs w:val="21"/>
              </w:rPr>
            </w:pPr>
          </w:p>
        </w:tc>
        <w:tc>
          <w:tcPr>
            <w:tcW w:w="600" w:type="dxa"/>
            <w:vAlign w:val="center"/>
          </w:tcPr>
          <w:p>
            <w:pPr>
              <w:spacing w:beforeLines="10" w:line="360" w:lineRule="exact"/>
              <w:jc w:val="center"/>
              <w:rPr>
                <w:rFonts w:ascii="Arial" w:hAnsi="Arial" w:cs="Arial"/>
                <w:szCs w:val="21"/>
              </w:rPr>
            </w:pPr>
          </w:p>
        </w:tc>
        <w:tc>
          <w:tcPr>
            <w:tcW w:w="1083" w:type="dxa"/>
            <w:vAlign w:val="center"/>
          </w:tcPr>
          <w:p>
            <w:pPr>
              <w:spacing w:beforeLines="10" w:line="360" w:lineRule="exact"/>
              <w:jc w:val="center"/>
              <w:rPr>
                <w:rFonts w:ascii="Arial" w:hAnsi="Arial" w:cs="Arial"/>
                <w:szCs w:val="21"/>
              </w:rPr>
            </w:pPr>
          </w:p>
        </w:tc>
        <w:tc>
          <w:tcPr>
            <w:tcW w:w="1134" w:type="dxa"/>
            <w:vAlign w:val="center"/>
          </w:tcPr>
          <w:p>
            <w:pPr>
              <w:spacing w:beforeLines="10" w:line="360" w:lineRule="exact"/>
              <w:jc w:val="center"/>
              <w:rPr>
                <w:rFonts w:ascii="Arial" w:hAnsi="Arial" w:cs="Arial"/>
                <w:szCs w:val="21"/>
              </w:rPr>
            </w:pPr>
          </w:p>
        </w:tc>
        <w:tc>
          <w:tcPr>
            <w:tcW w:w="2267" w:type="dxa"/>
          </w:tcPr>
          <w:p>
            <w:pPr>
              <w:spacing w:beforeLines="10" w:line="360" w:lineRule="exact"/>
              <w:jc w:val="center"/>
              <w:rPr>
                <w:rFonts w:ascii="Arial" w:hAnsi="Arial" w:cs="Arial"/>
                <w:szCs w:val="21"/>
              </w:rPr>
            </w:pPr>
          </w:p>
        </w:tc>
        <w:tc>
          <w:tcPr>
            <w:tcW w:w="1562" w:type="dxa"/>
            <w:vAlign w:val="center"/>
          </w:tcPr>
          <w:p>
            <w:pPr>
              <w:spacing w:beforeLines="10" w:line="360" w:lineRule="exact"/>
              <w:jc w:val="center"/>
              <w:rPr>
                <w:rFonts w:ascii="Arial" w:hAnsi="Arial" w:cs="Arial"/>
                <w:szCs w:val="21"/>
              </w:rPr>
            </w:pPr>
          </w:p>
        </w:tc>
        <w:tc>
          <w:tcPr>
            <w:tcW w:w="1678" w:type="dxa"/>
            <w:vAlign w:val="center"/>
          </w:tcPr>
          <w:p>
            <w:pPr>
              <w:spacing w:beforeLines="10" w:line="360" w:lineRule="exact"/>
              <w:jc w:val="center"/>
              <w:rPr>
                <w:rFonts w:ascii="Arial" w:hAnsi="Arial" w:cs="Arial"/>
                <w:szCs w:val="21"/>
              </w:rPr>
            </w:pPr>
          </w:p>
        </w:tc>
        <w:tc>
          <w:tcPr>
            <w:tcW w:w="640" w:type="dxa"/>
            <w:vAlign w:val="center"/>
          </w:tcPr>
          <w:p>
            <w:pPr>
              <w:spacing w:beforeLines="10" w:line="360" w:lineRule="exac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jc w:val="center"/>
        </w:trPr>
        <w:tc>
          <w:tcPr>
            <w:tcW w:w="1057" w:type="dxa"/>
            <w:vAlign w:val="center"/>
          </w:tcPr>
          <w:p>
            <w:pPr>
              <w:spacing w:beforeLines="10" w:line="360" w:lineRule="exact"/>
              <w:jc w:val="center"/>
              <w:rPr>
                <w:rFonts w:ascii="Arial" w:hAnsi="Arial" w:cs="Arial"/>
                <w:szCs w:val="21"/>
              </w:rPr>
            </w:pPr>
          </w:p>
        </w:tc>
        <w:tc>
          <w:tcPr>
            <w:tcW w:w="574" w:type="dxa"/>
            <w:vAlign w:val="center"/>
          </w:tcPr>
          <w:p>
            <w:pPr>
              <w:spacing w:beforeLines="10" w:line="360" w:lineRule="exact"/>
              <w:jc w:val="center"/>
              <w:rPr>
                <w:rFonts w:ascii="Arial" w:hAnsi="Arial" w:cs="Arial"/>
                <w:szCs w:val="21"/>
              </w:rPr>
            </w:pPr>
          </w:p>
        </w:tc>
        <w:tc>
          <w:tcPr>
            <w:tcW w:w="600" w:type="dxa"/>
            <w:vAlign w:val="center"/>
          </w:tcPr>
          <w:p>
            <w:pPr>
              <w:spacing w:beforeLines="10" w:line="360" w:lineRule="exact"/>
              <w:jc w:val="center"/>
              <w:rPr>
                <w:rFonts w:ascii="Arial" w:hAnsi="Arial" w:cs="Arial"/>
                <w:szCs w:val="21"/>
              </w:rPr>
            </w:pPr>
          </w:p>
        </w:tc>
        <w:tc>
          <w:tcPr>
            <w:tcW w:w="1083" w:type="dxa"/>
            <w:vAlign w:val="center"/>
          </w:tcPr>
          <w:p>
            <w:pPr>
              <w:spacing w:beforeLines="10" w:line="360" w:lineRule="exact"/>
              <w:jc w:val="center"/>
              <w:rPr>
                <w:rFonts w:ascii="Arial" w:hAnsi="Arial" w:cs="Arial"/>
                <w:szCs w:val="21"/>
              </w:rPr>
            </w:pPr>
          </w:p>
        </w:tc>
        <w:tc>
          <w:tcPr>
            <w:tcW w:w="1134" w:type="dxa"/>
            <w:vAlign w:val="center"/>
          </w:tcPr>
          <w:p>
            <w:pPr>
              <w:spacing w:beforeLines="10" w:line="360" w:lineRule="exact"/>
              <w:jc w:val="center"/>
              <w:rPr>
                <w:rFonts w:ascii="Arial" w:hAnsi="Arial" w:cs="Arial"/>
                <w:szCs w:val="21"/>
              </w:rPr>
            </w:pPr>
          </w:p>
        </w:tc>
        <w:tc>
          <w:tcPr>
            <w:tcW w:w="2267" w:type="dxa"/>
          </w:tcPr>
          <w:p>
            <w:pPr>
              <w:spacing w:beforeLines="10" w:line="360" w:lineRule="exact"/>
              <w:jc w:val="center"/>
              <w:rPr>
                <w:rFonts w:ascii="Arial" w:hAnsi="Arial" w:cs="Arial"/>
                <w:szCs w:val="21"/>
              </w:rPr>
            </w:pPr>
          </w:p>
        </w:tc>
        <w:tc>
          <w:tcPr>
            <w:tcW w:w="1562" w:type="dxa"/>
            <w:vAlign w:val="center"/>
          </w:tcPr>
          <w:p>
            <w:pPr>
              <w:spacing w:beforeLines="10" w:line="360" w:lineRule="exact"/>
              <w:jc w:val="center"/>
              <w:rPr>
                <w:rFonts w:ascii="Arial" w:hAnsi="Arial" w:cs="Arial"/>
                <w:szCs w:val="21"/>
              </w:rPr>
            </w:pPr>
          </w:p>
        </w:tc>
        <w:tc>
          <w:tcPr>
            <w:tcW w:w="1678" w:type="dxa"/>
            <w:vAlign w:val="center"/>
          </w:tcPr>
          <w:p>
            <w:pPr>
              <w:spacing w:beforeLines="10" w:line="360" w:lineRule="exact"/>
              <w:jc w:val="center"/>
              <w:rPr>
                <w:rFonts w:ascii="Arial" w:hAnsi="Arial" w:cs="Arial"/>
                <w:szCs w:val="21"/>
              </w:rPr>
            </w:pPr>
          </w:p>
        </w:tc>
        <w:tc>
          <w:tcPr>
            <w:tcW w:w="640" w:type="dxa"/>
            <w:vAlign w:val="center"/>
          </w:tcPr>
          <w:p>
            <w:pPr>
              <w:spacing w:beforeLines="10" w:line="360" w:lineRule="exac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jc w:val="center"/>
        </w:trPr>
        <w:tc>
          <w:tcPr>
            <w:tcW w:w="1057" w:type="dxa"/>
            <w:vAlign w:val="center"/>
          </w:tcPr>
          <w:p>
            <w:pPr>
              <w:spacing w:beforeLines="10" w:line="360" w:lineRule="exact"/>
              <w:jc w:val="center"/>
              <w:rPr>
                <w:rFonts w:ascii="Arial" w:hAnsi="Arial" w:cs="Arial"/>
                <w:szCs w:val="21"/>
              </w:rPr>
            </w:pPr>
          </w:p>
        </w:tc>
        <w:tc>
          <w:tcPr>
            <w:tcW w:w="574" w:type="dxa"/>
            <w:vAlign w:val="center"/>
          </w:tcPr>
          <w:p>
            <w:pPr>
              <w:spacing w:beforeLines="10" w:line="360" w:lineRule="exact"/>
              <w:jc w:val="center"/>
              <w:rPr>
                <w:rFonts w:ascii="Arial" w:hAnsi="Arial" w:cs="Arial"/>
                <w:szCs w:val="21"/>
              </w:rPr>
            </w:pPr>
          </w:p>
        </w:tc>
        <w:tc>
          <w:tcPr>
            <w:tcW w:w="600" w:type="dxa"/>
            <w:vAlign w:val="center"/>
          </w:tcPr>
          <w:p>
            <w:pPr>
              <w:spacing w:beforeLines="10" w:line="360" w:lineRule="exact"/>
              <w:jc w:val="center"/>
              <w:rPr>
                <w:rFonts w:ascii="Arial" w:hAnsi="Arial" w:cs="Arial"/>
                <w:szCs w:val="21"/>
              </w:rPr>
            </w:pPr>
          </w:p>
        </w:tc>
        <w:tc>
          <w:tcPr>
            <w:tcW w:w="1083" w:type="dxa"/>
            <w:vAlign w:val="center"/>
          </w:tcPr>
          <w:p>
            <w:pPr>
              <w:spacing w:beforeLines="10" w:line="360" w:lineRule="exact"/>
              <w:jc w:val="center"/>
              <w:rPr>
                <w:rFonts w:ascii="Arial" w:hAnsi="Arial" w:cs="Arial"/>
                <w:szCs w:val="21"/>
              </w:rPr>
            </w:pPr>
          </w:p>
        </w:tc>
        <w:tc>
          <w:tcPr>
            <w:tcW w:w="1134" w:type="dxa"/>
            <w:vAlign w:val="center"/>
          </w:tcPr>
          <w:p>
            <w:pPr>
              <w:spacing w:beforeLines="10" w:line="360" w:lineRule="exact"/>
              <w:jc w:val="center"/>
              <w:rPr>
                <w:rFonts w:ascii="Arial" w:hAnsi="Arial" w:cs="Arial"/>
                <w:szCs w:val="21"/>
              </w:rPr>
            </w:pPr>
          </w:p>
        </w:tc>
        <w:tc>
          <w:tcPr>
            <w:tcW w:w="2267" w:type="dxa"/>
          </w:tcPr>
          <w:p>
            <w:pPr>
              <w:spacing w:beforeLines="10" w:line="360" w:lineRule="exact"/>
              <w:jc w:val="center"/>
              <w:rPr>
                <w:rFonts w:ascii="Arial" w:hAnsi="Arial" w:cs="Arial"/>
                <w:szCs w:val="21"/>
              </w:rPr>
            </w:pPr>
          </w:p>
        </w:tc>
        <w:tc>
          <w:tcPr>
            <w:tcW w:w="1562" w:type="dxa"/>
            <w:vAlign w:val="center"/>
          </w:tcPr>
          <w:p>
            <w:pPr>
              <w:spacing w:beforeLines="10" w:line="360" w:lineRule="exact"/>
              <w:jc w:val="center"/>
              <w:rPr>
                <w:rFonts w:ascii="Arial" w:hAnsi="Arial" w:cs="Arial"/>
                <w:szCs w:val="21"/>
              </w:rPr>
            </w:pPr>
          </w:p>
        </w:tc>
        <w:tc>
          <w:tcPr>
            <w:tcW w:w="1678" w:type="dxa"/>
            <w:vAlign w:val="center"/>
          </w:tcPr>
          <w:p>
            <w:pPr>
              <w:spacing w:beforeLines="10" w:line="360" w:lineRule="exact"/>
              <w:jc w:val="center"/>
              <w:rPr>
                <w:rFonts w:ascii="Arial" w:hAnsi="Arial" w:cs="Arial"/>
                <w:szCs w:val="21"/>
              </w:rPr>
            </w:pPr>
          </w:p>
        </w:tc>
        <w:tc>
          <w:tcPr>
            <w:tcW w:w="640" w:type="dxa"/>
            <w:vAlign w:val="center"/>
          </w:tcPr>
          <w:p>
            <w:pPr>
              <w:spacing w:beforeLines="10" w:line="360" w:lineRule="exac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jc w:val="center"/>
        </w:trPr>
        <w:tc>
          <w:tcPr>
            <w:tcW w:w="1057" w:type="dxa"/>
            <w:vAlign w:val="center"/>
          </w:tcPr>
          <w:p>
            <w:pPr>
              <w:spacing w:beforeLines="10" w:line="360" w:lineRule="exact"/>
              <w:jc w:val="center"/>
              <w:rPr>
                <w:rFonts w:ascii="Arial" w:hAnsi="Arial" w:cs="Arial"/>
                <w:szCs w:val="21"/>
              </w:rPr>
            </w:pPr>
          </w:p>
        </w:tc>
        <w:tc>
          <w:tcPr>
            <w:tcW w:w="574" w:type="dxa"/>
            <w:vAlign w:val="center"/>
          </w:tcPr>
          <w:p>
            <w:pPr>
              <w:spacing w:beforeLines="10" w:line="360" w:lineRule="exact"/>
              <w:jc w:val="center"/>
              <w:rPr>
                <w:rFonts w:ascii="Arial" w:hAnsi="Arial" w:cs="Arial"/>
                <w:szCs w:val="21"/>
              </w:rPr>
            </w:pPr>
          </w:p>
        </w:tc>
        <w:tc>
          <w:tcPr>
            <w:tcW w:w="600" w:type="dxa"/>
            <w:vAlign w:val="center"/>
          </w:tcPr>
          <w:p>
            <w:pPr>
              <w:spacing w:beforeLines="10" w:line="360" w:lineRule="exact"/>
              <w:jc w:val="center"/>
              <w:rPr>
                <w:rFonts w:ascii="Arial" w:hAnsi="Arial" w:cs="Arial"/>
                <w:szCs w:val="21"/>
              </w:rPr>
            </w:pPr>
          </w:p>
        </w:tc>
        <w:tc>
          <w:tcPr>
            <w:tcW w:w="1083" w:type="dxa"/>
            <w:vAlign w:val="center"/>
          </w:tcPr>
          <w:p>
            <w:pPr>
              <w:spacing w:beforeLines="10" w:line="360" w:lineRule="exact"/>
              <w:jc w:val="center"/>
              <w:rPr>
                <w:rFonts w:ascii="Arial" w:hAnsi="Arial" w:cs="Arial"/>
                <w:szCs w:val="21"/>
              </w:rPr>
            </w:pPr>
          </w:p>
        </w:tc>
        <w:tc>
          <w:tcPr>
            <w:tcW w:w="1134" w:type="dxa"/>
            <w:vAlign w:val="center"/>
          </w:tcPr>
          <w:p>
            <w:pPr>
              <w:spacing w:beforeLines="10" w:line="360" w:lineRule="exact"/>
              <w:jc w:val="center"/>
              <w:rPr>
                <w:rFonts w:ascii="Arial" w:hAnsi="Arial" w:cs="Arial"/>
                <w:szCs w:val="21"/>
              </w:rPr>
            </w:pPr>
          </w:p>
        </w:tc>
        <w:tc>
          <w:tcPr>
            <w:tcW w:w="2267" w:type="dxa"/>
          </w:tcPr>
          <w:p>
            <w:pPr>
              <w:spacing w:beforeLines="10" w:line="360" w:lineRule="exact"/>
              <w:jc w:val="center"/>
              <w:rPr>
                <w:rFonts w:ascii="Arial" w:hAnsi="Arial" w:cs="Arial"/>
                <w:szCs w:val="21"/>
              </w:rPr>
            </w:pPr>
          </w:p>
        </w:tc>
        <w:tc>
          <w:tcPr>
            <w:tcW w:w="1562" w:type="dxa"/>
            <w:vAlign w:val="center"/>
          </w:tcPr>
          <w:p>
            <w:pPr>
              <w:spacing w:beforeLines="10" w:line="360" w:lineRule="exact"/>
              <w:jc w:val="center"/>
              <w:rPr>
                <w:rFonts w:ascii="Arial" w:hAnsi="Arial" w:cs="Arial"/>
                <w:szCs w:val="21"/>
              </w:rPr>
            </w:pPr>
          </w:p>
        </w:tc>
        <w:tc>
          <w:tcPr>
            <w:tcW w:w="1678" w:type="dxa"/>
            <w:vAlign w:val="center"/>
          </w:tcPr>
          <w:p>
            <w:pPr>
              <w:spacing w:beforeLines="10" w:line="360" w:lineRule="exact"/>
              <w:jc w:val="center"/>
              <w:rPr>
                <w:rFonts w:ascii="Arial" w:hAnsi="Arial" w:cs="Arial"/>
                <w:szCs w:val="21"/>
              </w:rPr>
            </w:pPr>
          </w:p>
        </w:tc>
        <w:tc>
          <w:tcPr>
            <w:tcW w:w="640" w:type="dxa"/>
            <w:vAlign w:val="center"/>
          </w:tcPr>
          <w:p>
            <w:pPr>
              <w:spacing w:beforeLines="10" w:line="360" w:lineRule="exac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jc w:val="center"/>
        </w:trPr>
        <w:tc>
          <w:tcPr>
            <w:tcW w:w="1057" w:type="dxa"/>
            <w:vAlign w:val="center"/>
          </w:tcPr>
          <w:p>
            <w:pPr>
              <w:spacing w:beforeLines="10" w:line="360" w:lineRule="exact"/>
              <w:jc w:val="center"/>
              <w:rPr>
                <w:rFonts w:ascii="Arial" w:hAnsi="Arial" w:cs="Arial"/>
                <w:szCs w:val="21"/>
              </w:rPr>
            </w:pPr>
          </w:p>
        </w:tc>
        <w:tc>
          <w:tcPr>
            <w:tcW w:w="574" w:type="dxa"/>
            <w:vAlign w:val="center"/>
          </w:tcPr>
          <w:p>
            <w:pPr>
              <w:spacing w:beforeLines="10" w:line="360" w:lineRule="exact"/>
              <w:jc w:val="center"/>
              <w:rPr>
                <w:rFonts w:ascii="Arial" w:hAnsi="Arial" w:cs="Arial"/>
                <w:szCs w:val="21"/>
              </w:rPr>
            </w:pPr>
          </w:p>
        </w:tc>
        <w:tc>
          <w:tcPr>
            <w:tcW w:w="600" w:type="dxa"/>
            <w:vAlign w:val="center"/>
          </w:tcPr>
          <w:p>
            <w:pPr>
              <w:spacing w:beforeLines="10" w:line="360" w:lineRule="exact"/>
              <w:jc w:val="center"/>
              <w:rPr>
                <w:rFonts w:ascii="Arial" w:hAnsi="Arial" w:cs="Arial"/>
                <w:szCs w:val="21"/>
              </w:rPr>
            </w:pPr>
          </w:p>
        </w:tc>
        <w:tc>
          <w:tcPr>
            <w:tcW w:w="1083" w:type="dxa"/>
            <w:vAlign w:val="center"/>
          </w:tcPr>
          <w:p>
            <w:pPr>
              <w:spacing w:beforeLines="10" w:line="360" w:lineRule="exact"/>
              <w:jc w:val="center"/>
              <w:rPr>
                <w:rFonts w:ascii="Arial" w:hAnsi="Arial" w:cs="Arial"/>
                <w:szCs w:val="21"/>
              </w:rPr>
            </w:pPr>
          </w:p>
        </w:tc>
        <w:tc>
          <w:tcPr>
            <w:tcW w:w="1134" w:type="dxa"/>
            <w:vAlign w:val="center"/>
          </w:tcPr>
          <w:p>
            <w:pPr>
              <w:spacing w:beforeLines="10" w:line="360" w:lineRule="exact"/>
              <w:jc w:val="center"/>
              <w:rPr>
                <w:rFonts w:ascii="Arial" w:hAnsi="Arial" w:cs="Arial"/>
                <w:szCs w:val="21"/>
              </w:rPr>
            </w:pPr>
          </w:p>
        </w:tc>
        <w:tc>
          <w:tcPr>
            <w:tcW w:w="2267" w:type="dxa"/>
          </w:tcPr>
          <w:p>
            <w:pPr>
              <w:spacing w:beforeLines="10" w:line="360" w:lineRule="exact"/>
              <w:jc w:val="center"/>
              <w:rPr>
                <w:rFonts w:ascii="Arial" w:hAnsi="Arial" w:cs="Arial"/>
                <w:szCs w:val="21"/>
              </w:rPr>
            </w:pPr>
          </w:p>
        </w:tc>
        <w:tc>
          <w:tcPr>
            <w:tcW w:w="1562" w:type="dxa"/>
            <w:vAlign w:val="center"/>
          </w:tcPr>
          <w:p>
            <w:pPr>
              <w:spacing w:beforeLines="10" w:line="360" w:lineRule="exact"/>
              <w:jc w:val="center"/>
              <w:rPr>
                <w:rFonts w:ascii="Arial" w:hAnsi="Arial" w:cs="Arial"/>
                <w:szCs w:val="21"/>
              </w:rPr>
            </w:pPr>
          </w:p>
        </w:tc>
        <w:tc>
          <w:tcPr>
            <w:tcW w:w="1678" w:type="dxa"/>
            <w:vAlign w:val="center"/>
          </w:tcPr>
          <w:p>
            <w:pPr>
              <w:spacing w:beforeLines="10" w:line="360" w:lineRule="exact"/>
              <w:jc w:val="center"/>
              <w:rPr>
                <w:rFonts w:ascii="Arial" w:hAnsi="Arial" w:cs="Arial"/>
                <w:szCs w:val="21"/>
              </w:rPr>
            </w:pPr>
          </w:p>
        </w:tc>
        <w:tc>
          <w:tcPr>
            <w:tcW w:w="640" w:type="dxa"/>
            <w:vAlign w:val="center"/>
          </w:tcPr>
          <w:p>
            <w:pPr>
              <w:spacing w:beforeLines="10" w:line="360" w:lineRule="exac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jc w:val="center"/>
        </w:trPr>
        <w:tc>
          <w:tcPr>
            <w:tcW w:w="1057" w:type="dxa"/>
            <w:vAlign w:val="center"/>
          </w:tcPr>
          <w:p>
            <w:pPr>
              <w:spacing w:beforeLines="10" w:line="360" w:lineRule="exact"/>
              <w:jc w:val="center"/>
              <w:rPr>
                <w:rFonts w:ascii="Arial" w:hAnsi="Arial" w:cs="Arial"/>
                <w:szCs w:val="21"/>
              </w:rPr>
            </w:pPr>
          </w:p>
        </w:tc>
        <w:tc>
          <w:tcPr>
            <w:tcW w:w="574" w:type="dxa"/>
            <w:vAlign w:val="center"/>
          </w:tcPr>
          <w:p>
            <w:pPr>
              <w:spacing w:beforeLines="10" w:line="360" w:lineRule="exact"/>
              <w:jc w:val="center"/>
              <w:rPr>
                <w:rFonts w:ascii="Arial" w:hAnsi="Arial" w:cs="Arial"/>
                <w:szCs w:val="21"/>
              </w:rPr>
            </w:pPr>
          </w:p>
        </w:tc>
        <w:tc>
          <w:tcPr>
            <w:tcW w:w="600" w:type="dxa"/>
            <w:vAlign w:val="center"/>
          </w:tcPr>
          <w:p>
            <w:pPr>
              <w:spacing w:beforeLines="10" w:line="360" w:lineRule="exact"/>
              <w:jc w:val="center"/>
              <w:rPr>
                <w:rFonts w:ascii="Arial" w:hAnsi="Arial" w:cs="Arial"/>
                <w:szCs w:val="21"/>
              </w:rPr>
            </w:pPr>
          </w:p>
        </w:tc>
        <w:tc>
          <w:tcPr>
            <w:tcW w:w="1083" w:type="dxa"/>
            <w:vAlign w:val="center"/>
          </w:tcPr>
          <w:p>
            <w:pPr>
              <w:spacing w:beforeLines="10" w:line="360" w:lineRule="exact"/>
              <w:jc w:val="center"/>
              <w:rPr>
                <w:rFonts w:ascii="Arial" w:hAnsi="Arial" w:cs="Arial"/>
                <w:szCs w:val="21"/>
              </w:rPr>
            </w:pPr>
          </w:p>
        </w:tc>
        <w:tc>
          <w:tcPr>
            <w:tcW w:w="1134" w:type="dxa"/>
            <w:vAlign w:val="center"/>
          </w:tcPr>
          <w:p>
            <w:pPr>
              <w:spacing w:beforeLines="10" w:line="360" w:lineRule="exact"/>
              <w:jc w:val="center"/>
              <w:rPr>
                <w:rFonts w:ascii="Arial" w:hAnsi="Arial" w:cs="Arial"/>
                <w:szCs w:val="21"/>
              </w:rPr>
            </w:pPr>
          </w:p>
        </w:tc>
        <w:tc>
          <w:tcPr>
            <w:tcW w:w="2267" w:type="dxa"/>
          </w:tcPr>
          <w:p>
            <w:pPr>
              <w:spacing w:beforeLines="10" w:line="360" w:lineRule="exact"/>
              <w:jc w:val="center"/>
              <w:rPr>
                <w:rFonts w:ascii="Arial" w:hAnsi="Arial" w:cs="Arial"/>
                <w:szCs w:val="21"/>
              </w:rPr>
            </w:pPr>
          </w:p>
        </w:tc>
        <w:tc>
          <w:tcPr>
            <w:tcW w:w="1562" w:type="dxa"/>
            <w:vAlign w:val="center"/>
          </w:tcPr>
          <w:p>
            <w:pPr>
              <w:spacing w:beforeLines="10" w:line="360" w:lineRule="exact"/>
              <w:jc w:val="center"/>
              <w:rPr>
                <w:rFonts w:ascii="Arial" w:hAnsi="Arial" w:cs="Arial"/>
                <w:szCs w:val="21"/>
              </w:rPr>
            </w:pPr>
          </w:p>
        </w:tc>
        <w:tc>
          <w:tcPr>
            <w:tcW w:w="1678" w:type="dxa"/>
            <w:vAlign w:val="center"/>
          </w:tcPr>
          <w:p>
            <w:pPr>
              <w:spacing w:beforeLines="10" w:line="360" w:lineRule="exact"/>
              <w:jc w:val="center"/>
              <w:rPr>
                <w:rFonts w:ascii="Arial" w:hAnsi="Arial" w:cs="Arial"/>
                <w:szCs w:val="21"/>
              </w:rPr>
            </w:pPr>
          </w:p>
        </w:tc>
        <w:tc>
          <w:tcPr>
            <w:tcW w:w="640" w:type="dxa"/>
            <w:vAlign w:val="center"/>
          </w:tcPr>
          <w:p>
            <w:pPr>
              <w:spacing w:beforeLines="10" w:line="360" w:lineRule="exac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jc w:val="center"/>
        </w:trPr>
        <w:tc>
          <w:tcPr>
            <w:tcW w:w="1057" w:type="dxa"/>
            <w:vAlign w:val="center"/>
          </w:tcPr>
          <w:p>
            <w:pPr>
              <w:spacing w:beforeLines="10" w:line="360" w:lineRule="exact"/>
              <w:jc w:val="center"/>
              <w:rPr>
                <w:rFonts w:ascii="Arial" w:hAnsi="Arial" w:cs="Arial"/>
                <w:szCs w:val="21"/>
              </w:rPr>
            </w:pPr>
          </w:p>
        </w:tc>
        <w:tc>
          <w:tcPr>
            <w:tcW w:w="574" w:type="dxa"/>
            <w:vAlign w:val="center"/>
          </w:tcPr>
          <w:p>
            <w:pPr>
              <w:spacing w:beforeLines="10" w:line="360" w:lineRule="exact"/>
              <w:jc w:val="center"/>
              <w:rPr>
                <w:rFonts w:ascii="Arial" w:hAnsi="Arial" w:cs="Arial"/>
                <w:szCs w:val="21"/>
              </w:rPr>
            </w:pPr>
          </w:p>
        </w:tc>
        <w:tc>
          <w:tcPr>
            <w:tcW w:w="600" w:type="dxa"/>
            <w:vAlign w:val="center"/>
          </w:tcPr>
          <w:p>
            <w:pPr>
              <w:spacing w:beforeLines="10" w:line="360" w:lineRule="exact"/>
              <w:jc w:val="center"/>
              <w:rPr>
                <w:rFonts w:ascii="Arial" w:hAnsi="Arial" w:cs="Arial"/>
                <w:szCs w:val="21"/>
              </w:rPr>
            </w:pPr>
          </w:p>
        </w:tc>
        <w:tc>
          <w:tcPr>
            <w:tcW w:w="1083" w:type="dxa"/>
            <w:vAlign w:val="center"/>
          </w:tcPr>
          <w:p>
            <w:pPr>
              <w:spacing w:beforeLines="10" w:line="360" w:lineRule="exact"/>
              <w:jc w:val="center"/>
              <w:rPr>
                <w:rFonts w:ascii="Arial" w:hAnsi="Arial" w:cs="Arial"/>
                <w:szCs w:val="21"/>
              </w:rPr>
            </w:pPr>
          </w:p>
        </w:tc>
        <w:tc>
          <w:tcPr>
            <w:tcW w:w="1134" w:type="dxa"/>
            <w:vAlign w:val="center"/>
          </w:tcPr>
          <w:p>
            <w:pPr>
              <w:spacing w:beforeLines="10" w:line="360" w:lineRule="exact"/>
              <w:jc w:val="center"/>
              <w:rPr>
                <w:rFonts w:ascii="Arial" w:hAnsi="Arial" w:cs="Arial"/>
                <w:szCs w:val="21"/>
              </w:rPr>
            </w:pPr>
          </w:p>
        </w:tc>
        <w:tc>
          <w:tcPr>
            <w:tcW w:w="2267" w:type="dxa"/>
          </w:tcPr>
          <w:p>
            <w:pPr>
              <w:spacing w:beforeLines="10" w:line="360" w:lineRule="exact"/>
              <w:jc w:val="center"/>
              <w:rPr>
                <w:rFonts w:ascii="Arial" w:hAnsi="Arial" w:cs="Arial"/>
                <w:szCs w:val="21"/>
              </w:rPr>
            </w:pPr>
          </w:p>
        </w:tc>
        <w:tc>
          <w:tcPr>
            <w:tcW w:w="1562" w:type="dxa"/>
            <w:vAlign w:val="center"/>
          </w:tcPr>
          <w:p>
            <w:pPr>
              <w:spacing w:beforeLines="10" w:line="360" w:lineRule="exact"/>
              <w:jc w:val="center"/>
              <w:rPr>
                <w:rFonts w:ascii="Arial" w:hAnsi="Arial" w:cs="Arial"/>
                <w:szCs w:val="21"/>
              </w:rPr>
            </w:pPr>
          </w:p>
        </w:tc>
        <w:tc>
          <w:tcPr>
            <w:tcW w:w="1678" w:type="dxa"/>
            <w:vAlign w:val="center"/>
          </w:tcPr>
          <w:p>
            <w:pPr>
              <w:spacing w:beforeLines="10" w:line="360" w:lineRule="exact"/>
              <w:jc w:val="center"/>
              <w:rPr>
                <w:rFonts w:ascii="Arial" w:hAnsi="Arial" w:cs="Arial"/>
                <w:szCs w:val="21"/>
              </w:rPr>
            </w:pPr>
          </w:p>
        </w:tc>
        <w:tc>
          <w:tcPr>
            <w:tcW w:w="640" w:type="dxa"/>
            <w:vAlign w:val="center"/>
          </w:tcPr>
          <w:p>
            <w:pPr>
              <w:spacing w:beforeLines="10" w:line="360" w:lineRule="exac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jc w:val="center"/>
        </w:trPr>
        <w:tc>
          <w:tcPr>
            <w:tcW w:w="1057" w:type="dxa"/>
            <w:vAlign w:val="center"/>
          </w:tcPr>
          <w:p>
            <w:pPr>
              <w:spacing w:beforeLines="10" w:line="360" w:lineRule="exact"/>
              <w:jc w:val="center"/>
              <w:rPr>
                <w:rFonts w:ascii="Arial" w:hAnsi="Arial" w:cs="Arial"/>
                <w:szCs w:val="21"/>
              </w:rPr>
            </w:pPr>
          </w:p>
        </w:tc>
        <w:tc>
          <w:tcPr>
            <w:tcW w:w="574" w:type="dxa"/>
            <w:vAlign w:val="center"/>
          </w:tcPr>
          <w:p>
            <w:pPr>
              <w:spacing w:beforeLines="10" w:line="360" w:lineRule="exact"/>
              <w:jc w:val="center"/>
              <w:rPr>
                <w:rFonts w:ascii="Arial" w:hAnsi="Arial" w:cs="Arial"/>
                <w:szCs w:val="21"/>
              </w:rPr>
            </w:pPr>
          </w:p>
        </w:tc>
        <w:tc>
          <w:tcPr>
            <w:tcW w:w="600" w:type="dxa"/>
            <w:vAlign w:val="center"/>
          </w:tcPr>
          <w:p>
            <w:pPr>
              <w:spacing w:beforeLines="10" w:line="360" w:lineRule="exact"/>
              <w:jc w:val="center"/>
              <w:rPr>
                <w:rFonts w:ascii="Arial" w:hAnsi="Arial" w:cs="Arial"/>
                <w:szCs w:val="21"/>
              </w:rPr>
            </w:pPr>
          </w:p>
        </w:tc>
        <w:tc>
          <w:tcPr>
            <w:tcW w:w="1083" w:type="dxa"/>
            <w:vAlign w:val="center"/>
          </w:tcPr>
          <w:p>
            <w:pPr>
              <w:spacing w:beforeLines="10" w:line="360" w:lineRule="exact"/>
              <w:jc w:val="center"/>
              <w:rPr>
                <w:rFonts w:ascii="Arial" w:hAnsi="Arial" w:cs="Arial"/>
                <w:szCs w:val="21"/>
              </w:rPr>
            </w:pPr>
          </w:p>
        </w:tc>
        <w:tc>
          <w:tcPr>
            <w:tcW w:w="1134" w:type="dxa"/>
            <w:vAlign w:val="center"/>
          </w:tcPr>
          <w:p>
            <w:pPr>
              <w:spacing w:beforeLines="10" w:line="360" w:lineRule="exact"/>
              <w:jc w:val="center"/>
              <w:rPr>
                <w:rFonts w:ascii="Arial" w:hAnsi="Arial" w:cs="Arial"/>
                <w:szCs w:val="21"/>
              </w:rPr>
            </w:pPr>
          </w:p>
        </w:tc>
        <w:tc>
          <w:tcPr>
            <w:tcW w:w="2267" w:type="dxa"/>
          </w:tcPr>
          <w:p>
            <w:pPr>
              <w:spacing w:beforeLines="10" w:line="360" w:lineRule="exact"/>
              <w:jc w:val="center"/>
              <w:rPr>
                <w:rFonts w:ascii="Arial" w:hAnsi="Arial" w:cs="Arial"/>
                <w:szCs w:val="21"/>
              </w:rPr>
            </w:pPr>
          </w:p>
        </w:tc>
        <w:tc>
          <w:tcPr>
            <w:tcW w:w="1562" w:type="dxa"/>
            <w:vAlign w:val="center"/>
          </w:tcPr>
          <w:p>
            <w:pPr>
              <w:spacing w:beforeLines="10" w:line="360" w:lineRule="exact"/>
              <w:jc w:val="center"/>
              <w:rPr>
                <w:rFonts w:ascii="Arial" w:hAnsi="Arial" w:cs="Arial"/>
                <w:szCs w:val="21"/>
              </w:rPr>
            </w:pPr>
          </w:p>
        </w:tc>
        <w:tc>
          <w:tcPr>
            <w:tcW w:w="1678" w:type="dxa"/>
            <w:vAlign w:val="center"/>
          </w:tcPr>
          <w:p>
            <w:pPr>
              <w:spacing w:beforeLines="10" w:line="360" w:lineRule="exact"/>
              <w:jc w:val="center"/>
              <w:rPr>
                <w:rFonts w:ascii="Arial" w:hAnsi="Arial" w:cs="Arial"/>
                <w:szCs w:val="21"/>
              </w:rPr>
            </w:pPr>
          </w:p>
        </w:tc>
        <w:tc>
          <w:tcPr>
            <w:tcW w:w="640" w:type="dxa"/>
            <w:vAlign w:val="center"/>
          </w:tcPr>
          <w:p>
            <w:pPr>
              <w:spacing w:beforeLines="10" w:line="360" w:lineRule="exact"/>
              <w:jc w:val="center"/>
              <w:rPr>
                <w:rFonts w:ascii="Arial" w:hAnsi="Arial" w:cs="Arial"/>
                <w:szCs w:val="21"/>
              </w:rPr>
            </w:pPr>
          </w:p>
        </w:tc>
      </w:tr>
    </w:tbl>
    <w:p>
      <w:pPr>
        <w:spacing w:line="440" w:lineRule="exact"/>
        <w:ind w:left="735" w:hanging="735" w:hangingChars="350"/>
        <w:rPr>
          <w:bCs/>
          <w:szCs w:val="21"/>
        </w:rPr>
      </w:pPr>
      <w:r>
        <w:rPr>
          <w:rFonts w:hAnsi="宋体"/>
          <w:bCs/>
          <w:szCs w:val="21"/>
        </w:rPr>
        <w:t>注：</w:t>
      </w:r>
      <w:r>
        <w:rPr>
          <w:bCs/>
          <w:szCs w:val="21"/>
        </w:rPr>
        <w:t>1</w:t>
      </w:r>
      <w:r>
        <w:rPr>
          <w:rFonts w:hAnsi="宋体"/>
          <w:bCs/>
          <w:szCs w:val="21"/>
        </w:rPr>
        <w:t>、拟投入的</w:t>
      </w:r>
      <w:r>
        <w:rPr>
          <w:rFonts w:hint="eastAsia" w:hAnsi="宋体"/>
        </w:rPr>
        <w:t>人员按“</w:t>
      </w:r>
      <w:r>
        <w:rPr>
          <w:rFonts w:hint="eastAsia" w:hAnsi="宋体"/>
          <w:b/>
        </w:rPr>
        <w:t>第二部分</w:t>
      </w:r>
      <w:r>
        <w:rPr>
          <w:rFonts w:hint="eastAsia" w:ascii="宋体" w:hAnsi="宋体"/>
          <w:b/>
          <w:sz w:val="22"/>
          <w:szCs w:val="22"/>
        </w:rPr>
        <w:t xml:space="preserve"> 水闸及海塘人员配备</w:t>
      </w:r>
      <w:r>
        <w:rPr>
          <w:rFonts w:hint="eastAsia" w:hAnsi="宋体"/>
        </w:rPr>
        <w:t>”</w:t>
      </w:r>
      <w:r>
        <w:rPr>
          <w:rFonts w:hAnsi="宋体"/>
          <w:bCs/>
          <w:szCs w:val="21"/>
        </w:rPr>
        <w:t>必须列入</w:t>
      </w:r>
      <w:r>
        <w:rPr>
          <w:rFonts w:hint="eastAsia" w:hAnsi="宋体"/>
          <w:bCs/>
          <w:szCs w:val="21"/>
        </w:rPr>
        <w:t>，</w:t>
      </w:r>
      <w:r>
        <w:rPr>
          <w:rFonts w:hAnsi="宋体"/>
          <w:bCs/>
          <w:szCs w:val="21"/>
        </w:rPr>
        <w:t>其他人员由</w:t>
      </w:r>
      <w:r>
        <w:rPr>
          <w:rFonts w:hint="eastAsia" w:hAnsi="宋体"/>
          <w:bCs/>
          <w:szCs w:val="21"/>
        </w:rPr>
        <w:t>供应商</w:t>
      </w:r>
      <w:r>
        <w:rPr>
          <w:rFonts w:hAnsi="宋体"/>
          <w:bCs/>
          <w:szCs w:val="21"/>
        </w:rPr>
        <w:t>按需列入。</w:t>
      </w:r>
    </w:p>
    <w:p>
      <w:pPr>
        <w:pStyle w:val="24"/>
        <w:numPr>
          <w:ilvl w:val="0"/>
          <w:numId w:val="9"/>
        </w:numPr>
        <w:adjustRightInd w:val="0"/>
        <w:snapToGrid w:val="0"/>
        <w:spacing w:line="400" w:lineRule="exact"/>
        <w:ind w:firstLine="420"/>
        <w:rPr>
          <w:rFonts w:hAnsi="宋体"/>
          <w:bCs/>
          <w:szCs w:val="21"/>
        </w:rPr>
      </w:pPr>
      <w:r>
        <w:rPr>
          <w:rFonts w:hAnsi="宋体"/>
          <w:bCs/>
          <w:szCs w:val="21"/>
        </w:rPr>
        <w:t>本表后须附表中人员的资格</w:t>
      </w:r>
      <w:r>
        <w:rPr>
          <w:rFonts w:hint="eastAsia" w:hAnsi="宋体"/>
          <w:bCs/>
          <w:szCs w:val="21"/>
        </w:rPr>
        <w:t>证、职称证书等</w:t>
      </w:r>
      <w:r>
        <w:rPr>
          <w:rFonts w:hAnsi="宋体"/>
          <w:bCs/>
          <w:szCs w:val="21"/>
        </w:rPr>
        <w:t>的复印件</w:t>
      </w:r>
      <w:r>
        <w:rPr>
          <w:rFonts w:hint="eastAsia" w:hAnsi="宋体"/>
          <w:bCs/>
          <w:szCs w:val="21"/>
        </w:rPr>
        <w:t>（根据第二部分 水闸及海塘人员配备要求提供），其中巡查人员相关复印件标后提供。</w:t>
      </w:r>
    </w:p>
    <w:p>
      <w:pPr>
        <w:pStyle w:val="24"/>
        <w:adjustRightInd w:val="0"/>
        <w:snapToGrid w:val="0"/>
        <w:spacing w:line="400" w:lineRule="exact"/>
        <w:rPr>
          <w:rFonts w:hAnsi="宋体"/>
          <w:bCs/>
          <w:szCs w:val="21"/>
        </w:rPr>
      </w:pPr>
    </w:p>
    <w:p>
      <w:pPr>
        <w:pStyle w:val="24"/>
        <w:adjustRightInd w:val="0"/>
        <w:snapToGrid w:val="0"/>
        <w:spacing w:line="400" w:lineRule="exact"/>
        <w:rPr>
          <w:rFonts w:hAnsi="宋体"/>
          <w:sz w:val="22"/>
          <w:szCs w:val="22"/>
        </w:rPr>
      </w:pPr>
    </w:p>
    <w:p>
      <w:pPr>
        <w:pStyle w:val="24"/>
        <w:adjustRightInd w:val="0"/>
        <w:snapToGrid w:val="0"/>
        <w:spacing w:line="400" w:lineRule="exact"/>
        <w:rPr>
          <w:rFonts w:hAnsi="宋体"/>
          <w:sz w:val="22"/>
          <w:szCs w:val="22"/>
        </w:rPr>
      </w:pPr>
      <w:r>
        <w:rPr>
          <w:rFonts w:hint="eastAsia" w:hAnsi="宋体"/>
          <w:sz w:val="22"/>
          <w:szCs w:val="22"/>
        </w:rPr>
        <w:t>供应商盖章：</w:t>
      </w:r>
    </w:p>
    <w:p>
      <w:pPr>
        <w:pStyle w:val="24"/>
        <w:adjustRightInd w:val="0"/>
        <w:snapToGrid w:val="0"/>
        <w:spacing w:line="400" w:lineRule="exact"/>
        <w:rPr>
          <w:rFonts w:hAnsi="宋体"/>
          <w:sz w:val="22"/>
          <w:szCs w:val="22"/>
        </w:rPr>
      </w:pPr>
      <w:r>
        <w:rPr>
          <w:rFonts w:hint="eastAsia" w:hAnsi="宋体"/>
          <w:sz w:val="22"/>
          <w:szCs w:val="22"/>
        </w:rPr>
        <w:t>日期：</w:t>
      </w:r>
    </w:p>
    <w:p>
      <w:pPr>
        <w:pStyle w:val="24"/>
        <w:adjustRightInd w:val="0"/>
        <w:snapToGrid w:val="0"/>
        <w:spacing w:line="400" w:lineRule="exact"/>
        <w:rPr>
          <w:rFonts w:hAnsi="宋体"/>
          <w:sz w:val="36"/>
          <w:szCs w:val="36"/>
        </w:rPr>
      </w:pPr>
    </w:p>
    <w:p>
      <w:pPr>
        <w:pStyle w:val="24"/>
        <w:adjustRightInd w:val="0"/>
        <w:snapToGrid w:val="0"/>
        <w:spacing w:line="400" w:lineRule="exact"/>
        <w:rPr>
          <w:rFonts w:hAnsi="宋体"/>
          <w:sz w:val="36"/>
          <w:szCs w:val="36"/>
        </w:rPr>
      </w:pPr>
    </w:p>
    <w:p>
      <w:pPr>
        <w:pStyle w:val="24"/>
        <w:adjustRightInd w:val="0"/>
        <w:snapToGrid w:val="0"/>
        <w:spacing w:line="400" w:lineRule="exact"/>
        <w:rPr>
          <w:rFonts w:hAnsi="宋体"/>
          <w:sz w:val="36"/>
          <w:szCs w:val="36"/>
        </w:rPr>
      </w:pPr>
    </w:p>
    <w:p>
      <w:pPr>
        <w:spacing w:before="50" w:after="50" w:line="360" w:lineRule="auto"/>
        <w:rPr>
          <w:rFonts w:hAnsi="宋体"/>
          <w:sz w:val="36"/>
          <w:szCs w:val="36"/>
        </w:rPr>
      </w:pPr>
      <w:r>
        <w:rPr>
          <w:rFonts w:hint="eastAsia" w:hAnsi="宋体"/>
          <w:sz w:val="36"/>
          <w:szCs w:val="36"/>
        </w:rPr>
        <w:t>附件九</w:t>
      </w:r>
    </w:p>
    <w:p>
      <w:pPr>
        <w:spacing w:before="50" w:after="50" w:line="360" w:lineRule="auto"/>
        <w:jc w:val="center"/>
        <w:rPr>
          <w:rFonts w:ascii="宋体" w:hAnsi="宋体"/>
          <w:bCs/>
          <w:color w:val="000000"/>
          <w:sz w:val="32"/>
        </w:rPr>
      </w:pPr>
      <w:r>
        <w:rPr>
          <w:rFonts w:hint="eastAsia" w:ascii="宋体" w:hAnsi="宋体"/>
          <w:bCs/>
          <w:color w:val="000000"/>
          <w:sz w:val="32"/>
        </w:rPr>
        <w:t>拟在本合同的项目负责人简历表</w:t>
      </w:r>
    </w:p>
    <w:tbl>
      <w:tblPr>
        <w:tblStyle w:val="38"/>
        <w:tblW w:w="9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76"/>
        <w:gridCol w:w="1576"/>
        <w:gridCol w:w="1576"/>
        <w:gridCol w:w="1576"/>
        <w:gridCol w:w="1576"/>
        <w:gridCol w:w="15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76" w:type="dxa"/>
          </w:tcPr>
          <w:p>
            <w:pPr>
              <w:spacing w:before="50" w:after="50" w:line="360" w:lineRule="auto"/>
              <w:rPr>
                <w:rFonts w:ascii="宋体" w:eastAsia="黑体" w:cs="宋体"/>
                <w:color w:val="000000"/>
                <w:sz w:val="24"/>
              </w:rPr>
            </w:pPr>
            <w:r>
              <w:rPr>
                <w:rFonts w:hint="eastAsia" w:ascii="宋体" w:eastAsia="黑体" w:cs="宋体"/>
                <w:color w:val="000000"/>
                <w:sz w:val="24"/>
              </w:rPr>
              <w:t>姓名</w:t>
            </w:r>
          </w:p>
        </w:tc>
        <w:tc>
          <w:tcPr>
            <w:tcW w:w="1576" w:type="dxa"/>
          </w:tcPr>
          <w:p>
            <w:pPr>
              <w:spacing w:before="50" w:after="50" w:line="360" w:lineRule="auto"/>
              <w:rPr>
                <w:rFonts w:ascii="宋体" w:eastAsia="黑体" w:cs="宋体"/>
                <w:color w:val="000000"/>
                <w:sz w:val="24"/>
              </w:rPr>
            </w:pPr>
          </w:p>
        </w:tc>
        <w:tc>
          <w:tcPr>
            <w:tcW w:w="1576" w:type="dxa"/>
          </w:tcPr>
          <w:p>
            <w:pPr>
              <w:spacing w:before="50" w:after="50" w:line="360" w:lineRule="auto"/>
              <w:rPr>
                <w:rFonts w:ascii="宋体" w:eastAsia="黑体" w:cs="宋体"/>
                <w:color w:val="000000"/>
                <w:sz w:val="24"/>
              </w:rPr>
            </w:pPr>
            <w:r>
              <w:rPr>
                <w:rFonts w:hint="eastAsia" w:ascii="宋体" w:eastAsia="黑体" w:cs="宋体"/>
                <w:color w:val="000000"/>
                <w:sz w:val="24"/>
              </w:rPr>
              <w:t>年龄</w:t>
            </w:r>
          </w:p>
        </w:tc>
        <w:tc>
          <w:tcPr>
            <w:tcW w:w="1576" w:type="dxa"/>
          </w:tcPr>
          <w:p>
            <w:pPr>
              <w:spacing w:before="50" w:after="50" w:line="360" w:lineRule="auto"/>
              <w:rPr>
                <w:rFonts w:ascii="宋体" w:eastAsia="黑体" w:cs="宋体"/>
                <w:color w:val="000000"/>
                <w:sz w:val="24"/>
              </w:rPr>
            </w:pPr>
          </w:p>
        </w:tc>
        <w:tc>
          <w:tcPr>
            <w:tcW w:w="1576" w:type="dxa"/>
          </w:tcPr>
          <w:p>
            <w:pPr>
              <w:spacing w:before="50" w:after="50" w:line="360" w:lineRule="auto"/>
              <w:rPr>
                <w:rFonts w:ascii="宋体" w:eastAsia="黑体" w:cs="宋体"/>
                <w:color w:val="000000"/>
                <w:sz w:val="24"/>
              </w:rPr>
            </w:pPr>
            <w:r>
              <w:rPr>
                <w:rFonts w:hint="eastAsia" w:ascii="宋体" w:eastAsia="黑体" w:cs="宋体"/>
                <w:color w:val="000000"/>
                <w:sz w:val="24"/>
              </w:rPr>
              <w:t>电话号码</w:t>
            </w:r>
          </w:p>
        </w:tc>
        <w:tc>
          <w:tcPr>
            <w:tcW w:w="1577" w:type="dxa"/>
          </w:tcPr>
          <w:p>
            <w:pPr>
              <w:spacing w:before="50" w:after="50" w:line="360" w:lineRule="auto"/>
              <w:rPr>
                <w:rFonts w:ascii="宋体" w:eastAsia="黑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76" w:type="dxa"/>
          </w:tcPr>
          <w:p>
            <w:pPr>
              <w:spacing w:before="50" w:after="50" w:line="360" w:lineRule="auto"/>
              <w:rPr>
                <w:rFonts w:ascii="宋体" w:eastAsia="黑体" w:cs="宋体"/>
                <w:color w:val="000000"/>
                <w:sz w:val="24"/>
              </w:rPr>
            </w:pPr>
            <w:r>
              <w:rPr>
                <w:rFonts w:hint="eastAsia" w:ascii="宋体" w:eastAsia="黑体" w:cs="宋体"/>
                <w:color w:val="000000"/>
                <w:sz w:val="24"/>
              </w:rPr>
              <w:t>职称</w:t>
            </w:r>
          </w:p>
        </w:tc>
        <w:tc>
          <w:tcPr>
            <w:tcW w:w="1576" w:type="dxa"/>
          </w:tcPr>
          <w:p>
            <w:pPr>
              <w:spacing w:before="50" w:after="50" w:line="360" w:lineRule="auto"/>
              <w:rPr>
                <w:rFonts w:ascii="宋体" w:eastAsia="黑体" w:cs="宋体"/>
                <w:color w:val="000000"/>
                <w:sz w:val="24"/>
              </w:rPr>
            </w:pPr>
          </w:p>
        </w:tc>
        <w:tc>
          <w:tcPr>
            <w:tcW w:w="1576" w:type="dxa"/>
          </w:tcPr>
          <w:p>
            <w:pPr>
              <w:spacing w:before="50" w:after="50" w:line="360" w:lineRule="auto"/>
              <w:rPr>
                <w:rFonts w:ascii="宋体" w:eastAsia="黑体" w:cs="宋体"/>
                <w:color w:val="000000"/>
                <w:sz w:val="24"/>
              </w:rPr>
            </w:pPr>
            <w:r>
              <w:rPr>
                <w:rFonts w:hint="eastAsia" w:ascii="宋体" w:eastAsia="黑体" w:cs="宋体"/>
                <w:color w:val="000000"/>
                <w:sz w:val="24"/>
              </w:rPr>
              <w:t>职务</w:t>
            </w:r>
          </w:p>
        </w:tc>
        <w:tc>
          <w:tcPr>
            <w:tcW w:w="1576" w:type="dxa"/>
          </w:tcPr>
          <w:p>
            <w:pPr>
              <w:spacing w:before="50" w:after="50" w:line="360" w:lineRule="auto"/>
              <w:rPr>
                <w:rFonts w:ascii="宋体" w:eastAsia="黑体" w:cs="宋体"/>
                <w:color w:val="000000"/>
                <w:sz w:val="24"/>
              </w:rPr>
            </w:pPr>
          </w:p>
        </w:tc>
        <w:tc>
          <w:tcPr>
            <w:tcW w:w="1576" w:type="dxa"/>
          </w:tcPr>
          <w:p>
            <w:pPr>
              <w:spacing w:before="50" w:after="50" w:line="360" w:lineRule="auto"/>
              <w:rPr>
                <w:rFonts w:ascii="宋体" w:eastAsia="黑体" w:cs="宋体"/>
                <w:color w:val="000000"/>
                <w:sz w:val="24"/>
              </w:rPr>
            </w:pPr>
            <w:r>
              <w:rPr>
                <w:rFonts w:hint="eastAsia" w:ascii="宋体" w:eastAsia="黑体" w:cs="宋体"/>
                <w:color w:val="000000"/>
                <w:sz w:val="24"/>
              </w:rPr>
              <w:t>本合同拟承担职务</w:t>
            </w:r>
          </w:p>
        </w:tc>
        <w:tc>
          <w:tcPr>
            <w:tcW w:w="1577" w:type="dxa"/>
          </w:tcPr>
          <w:p>
            <w:pPr>
              <w:spacing w:before="50" w:after="50" w:line="360" w:lineRule="auto"/>
              <w:rPr>
                <w:rFonts w:ascii="宋体" w:eastAsia="黑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76" w:type="dxa"/>
          </w:tcPr>
          <w:p>
            <w:pPr>
              <w:spacing w:before="50" w:after="50" w:line="360" w:lineRule="auto"/>
              <w:rPr>
                <w:rFonts w:ascii="宋体" w:eastAsia="黑体" w:cs="宋体"/>
                <w:color w:val="000000"/>
                <w:sz w:val="24"/>
              </w:rPr>
            </w:pPr>
            <w:r>
              <w:rPr>
                <w:rFonts w:hint="eastAsia" w:ascii="宋体" w:eastAsia="黑体" w:cs="宋体"/>
                <w:color w:val="000000"/>
                <w:sz w:val="24"/>
              </w:rPr>
              <w:t>毕业学校</w:t>
            </w:r>
          </w:p>
        </w:tc>
        <w:tc>
          <w:tcPr>
            <w:tcW w:w="7881" w:type="dxa"/>
            <w:gridSpan w:val="5"/>
          </w:tcPr>
          <w:p>
            <w:pPr>
              <w:spacing w:before="50" w:after="50" w:line="360" w:lineRule="auto"/>
              <w:rPr>
                <w:rFonts w:ascii="宋体" w:eastAsia="黑体" w:cs="宋体"/>
                <w:color w:val="000000"/>
                <w:sz w:val="24"/>
                <w:u w:val="single"/>
              </w:rPr>
            </w:pPr>
            <w:r>
              <w:rPr>
                <w:rFonts w:hint="eastAsia" w:ascii="宋体" w:eastAsia="黑体" w:cs="宋体"/>
                <w:color w:val="000000"/>
                <w:sz w:val="24"/>
              </w:rPr>
              <w:t>年月毕业于学校  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457" w:type="dxa"/>
            <w:gridSpan w:val="6"/>
            <w:vAlign w:val="center"/>
          </w:tcPr>
          <w:p>
            <w:pPr>
              <w:spacing w:before="50" w:after="50" w:line="360" w:lineRule="auto"/>
              <w:jc w:val="center"/>
              <w:rPr>
                <w:rFonts w:ascii="宋体" w:eastAsia="黑体" w:cs="宋体"/>
                <w:color w:val="000000"/>
                <w:sz w:val="24"/>
              </w:rPr>
            </w:pPr>
            <w:r>
              <w:rPr>
                <w:rFonts w:hint="eastAsia" w:ascii="宋体" w:eastAsia="黑体" w:cs="宋体"/>
                <w:color w:val="000000"/>
                <w:sz w:val="24"/>
              </w:rPr>
              <w:t>经    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76" w:type="dxa"/>
          </w:tcPr>
          <w:p>
            <w:pPr>
              <w:spacing w:before="50" w:after="50" w:line="360" w:lineRule="auto"/>
              <w:rPr>
                <w:rFonts w:ascii="宋体" w:eastAsia="黑体" w:cs="宋体"/>
                <w:color w:val="000000"/>
                <w:sz w:val="24"/>
              </w:rPr>
            </w:pPr>
            <w:r>
              <w:rPr>
                <w:rFonts w:hint="eastAsia" w:ascii="宋体" w:eastAsia="黑体" w:cs="宋体"/>
                <w:color w:val="000000"/>
                <w:sz w:val="24"/>
              </w:rPr>
              <w:t>时间</w:t>
            </w:r>
          </w:p>
        </w:tc>
        <w:tc>
          <w:tcPr>
            <w:tcW w:w="4728" w:type="dxa"/>
            <w:gridSpan w:val="3"/>
          </w:tcPr>
          <w:p>
            <w:pPr>
              <w:spacing w:before="50" w:after="50" w:line="360" w:lineRule="auto"/>
              <w:rPr>
                <w:rFonts w:ascii="宋体" w:eastAsia="黑体" w:cs="宋体"/>
                <w:color w:val="000000"/>
                <w:sz w:val="24"/>
              </w:rPr>
            </w:pPr>
            <w:r>
              <w:rPr>
                <w:rFonts w:hint="eastAsia" w:ascii="宋体" w:eastAsia="黑体" w:cs="宋体"/>
                <w:color w:val="000000"/>
                <w:sz w:val="24"/>
              </w:rPr>
              <w:t>参加过的项目名称</w:t>
            </w:r>
          </w:p>
        </w:tc>
        <w:tc>
          <w:tcPr>
            <w:tcW w:w="1576" w:type="dxa"/>
          </w:tcPr>
          <w:p>
            <w:pPr>
              <w:spacing w:before="50" w:after="50" w:line="360" w:lineRule="auto"/>
              <w:rPr>
                <w:rFonts w:ascii="宋体" w:eastAsia="黑体" w:cs="宋体"/>
                <w:color w:val="000000"/>
                <w:sz w:val="24"/>
              </w:rPr>
            </w:pPr>
            <w:r>
              <w:rPr>
                <w:rFonts w:hint="eastAsia" w:ascii="宋体" w:eastAsia="黑体" w:cs="宋体"/>
                <w:color w:val="000000"/>
                <w:sz w:val="24"/>
              </w:rPr>
              <w:t>担任职务</w:t>
            </w:r>
          </w:p>
        </w:tc>
        <w:tc>
          <w:tcPr>
            <w:tcW w:w="1577" w:type="dxa"/>
          </w:tcPr>
          <w:p>
            <w:pPr>
              <w:spacing w:before="50" w:after="50" w:line="360" w:lineRule="auto"/>
              <w:rPr>
                <w:rFonts w:ascii="宋体" w:eastAsia="黑体" w:cs="宋体"/>
                <w:color w:val="000000"/>
                <w:sz w:val="24"/>
              </w:rPr>
            </w:pPr>
            <w:r>
              <w:rPr>
                <w:rFonts w:hint="eastAsia" w:ascii="宋体" w:eastAsia="黑体" w:cs="宋体"/>
                <w:color w:val="00000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1" w:hRule="atLeast"/>
          <w:jc w:val="center"/>
        </w:trPr>
        <w:tc>
          <w:tcPr>
            <w:tcW w:w="1576" w:type="dxa"/>
          </w:tcPr>
          <w:p>
            <w:pPr>
              <w:spacing w:before="50" w:after="50" w:line="360" w:lineRule="auto"/>
              <w:rPr>
                <w:rFonts w:ascii="宋体" w:eastAsia="黑体" w:cs="宋体"/>
                <w:color w:val="000000"/>
                <w:sz w:val="24"/>
              </w:rPr>
            </w:pPr>
          </w:p>
        </w:tc>
        <w:tc>
          <w:tcPr>
            <w:tcW w:w="4728" w:type="dxa"/>
            <w:gridSpan w:val="3"/>
          </w:tcPr>
          <w:p>
            <w:pPr>
              <w:spacing w:before="50" w:after="50" w:line="360" w:lineRule="auto"/>
              <w:rPr>
                <w:rFonts w:ascii="宋体" w:eastAsia="黑体" w:cs="宋体"/>
                <w:color w:val="000000"/>
                <w:sz w:val="24"/>
              </w:rPr>
            </w:pPr>
          </w:p>
        </w:tc>
        <w:tc>
          <w:tcPr>
            <w:tcW w:w="1576" w:type="dxa"/>
          </w:tcPr>
          <w:p>
            <w:pPr>
              <w:spacing w:before="50" w:after="50" w:line="360" w:lineRule="auto"/>
              <w:rPr>
                <w:rFonts w:ascii="宋体" w:eastAsia="黑体" w:cs="宋体"/>
                <w:color w:val="000000"/>
                <w:sz w:val="24"/>
              </w:rPr>
            </w:pPr>
          </w:p>
        </w:tc>
        <w:tc>
          <w:tcPr>
            <w:tcW w:w="1577" w:type="dxa"/>
          </w:tcPr>
          <w:p>
            <w:pPr>
              <w:spacing w:before="50" w:after="50" w:line="360" w:lineRule="auto"/>
              <w:rPr>
                <w:rFonts w:ascii="宋体" w:eastAsia="黑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1" w:hRule="atLeast"/>
          <w:jc w:val="center"/>
        </w:trPr>
        <w:tc>
          <w:tcPr>
            <w:tcW w:w="1576" w:type="dxa"/>
          </w:tcPr>
          <w:p>
            <w:pPr>
              <w:spacing w:before="50" w:after="50" w:line="360" w:lineRule="auto"/>
              <w:rPr>
                <w:rFonts w:ascii="宋体" w:eastAsia="黑体" w:cs="宋体"/>
                <w:color w:val="000000"/>
                <w:sz w:val="24"/>
              </w:rPr>
            </w:pPr>
          </w:p>
        </w:tc>
        <w:tc>
          <w:tcPr>
            <w:tcW w:w="4728" w:type="dxa"/>
            <w:gridSpan w:val="3"/>
          </w:tcPr>
          <w:p>
            <w:pPr>
              <w:spacing w:before="50" w:after="50" w:line="360" w:lineRule="auto"/>
              <w:rPr>
                <w:rFonts w:ascii="宋体" w:eastAsia="黑体" w:cs="宋体"/>
                <w:color w:val="000000"/>
                <w:sz w:val="24"/>
              </w:rPr>
            </w:pPr>
          </w:p>
        </w:tc>
        <w:tc>
          <w:tcPr>
            <w:tcW w:w="1576" w:type="dxa"/>
          </w:tcPr>
          <w:p>
            <w:pPr>
              <w:spacing w:before="50" w:after="50" w:line="360" w:lineRule="auto"/>
              <w:rPr>
                <w:rFonts w:ascii="宋体" w:eastAsia="黑体" w:cs="宋体"/>
                <w:color w:val="000000"/>
                <w:sz w:val="24"/>
              </w:rPr>
            </w:pPr>
          </w:p>
        </w:tc>
        <w:tc>
          <w:tcPr>
            <w:tcW w:w="1577" w:type="dxa"/>
          </w:tcPr>
          <w:p>
            <w:pPr>
              <w:spacing w:before="50" w:after="50" w:line="360" w:lineRule="auto"/>
              <w:rPr>
                <w:rFonts w:ascii="宋体" w:eastAsia="黑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1" w:hRule="atLeast"/>
          <w:jc w:val="center"/>
        </w:trPr>
        <w:tc>
          <w:tcPr>
            <w:tcW w:w="1576" w:type="dxa"/>
          </w:tcPr>
          <w:p>
            <w:pPr>
              <w:spacing w:before="50" w:after="50" w:line="360" w:lineRule="auto"/>
              <w:rPr>
                <w:rFonts w:ascii="宋体" w:eastAsia="黑体" w:cs="宋体"/>
                <w:color w:val="000000"/>
                <w:sz w:val="24"/>
              </w:rPr>
            </w:pPr>
          </w:p>
        </w:tc>
        <w:tc>
          <w:tcPr>
            <w:tcW w:w="4728" w:type="dxa"/>
            <w:gridSpan w:val="3"/>
          </w:tcPr>
          <w:p>
            <w:pPr>
              <w:spacing w:before="50" w:after="50" w:line="360" w:lineRule="auto"/>
              <w:rPr>
                <w:rFonts w:ascii="宋体" w:eastAsia="黑体" w:cs="宋体"/>
                <w:color w:val="000000"/>
                <w:sz w:val="24"/>
              </w:rPr>
            </w:pPr>
          </w:p>
        </w:tc>
        <w:tc>
          <w:tcPr>
            <w:tcW w:w="1576" w:type="dxa"/>
          </w:tcPr>
          <w:p>
            <w:pPr>
              <w:spacing w:before="50" w:after="50" w:line="360" w:lineRule="auto"/>
              <w:rPr>
                <w:rFonts w:ascii="宋体" w:eastAsia="黑体" w:cs="宋体"/>
                <w:color w:val="000000"/>
                <w:sz w:val="24"/>
              </w:rPr>
            </w:pPr>
          </w:p>
        </w:tc>
        <w:tc>
          <w:tcPr>
            <w:tcW w:w="1577" w:type="dxa"/>
          </w:tcPr>
          <w:p>
            <w:pPr>
              <w:spacing w:before="50" w:after="50" w:line="360" w:lineRule="auto"/>
              <w:rPr>
                <w:rFonts w:ascii="宋体" w:eastAsia="黑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1" w:hRule="atLeast"/>
          <w:jc w:val="center"/>
        </w:trPr>
        <w:tc>
          <w:tcPr>
            <w:tcW w:w="1576" w:type="dxa"/>
          </w:tcPr>
          <w:p>
            <w:pPr>
              <w:spacing w:before="50" w:after="50" w:line="360" w:lineRule="auto"/>
              <w:rPr>
                <w:rFonts w:ascii="宋体" w:eastAsia="黑体" w:cs="宋体"/>
                <w:color w:val="000000"/>
                <w:sz w:val="24"/>
              </w:rPr>
            </w:pPr>
          </w:p>
        </w:tc>
        <w:tc>
          <w:tcPr>
            <w:tcW w:w="4728" w:type="dxa"/>
            <w:gridSpan w:val="3"/>
          </w:tcPr>
          <w:p>
            <w:pPr>
              <w:spacing w:before="50" w:after="50" w:line="360" w:lineRule="auto"/>
              <w:rPr>
                <w:rFonts w:ascii="宋体" w:eastAsia="黑体" w:cs="宋体"/>
                <w:color w:val="000000"/>
                <w:sz w:val="24"/>
              </w:rPr>
            </w:pPr>
          </w:p>
        </w:tc>
        <w:tc>
          <w:tcPr>
            <w:tcW w:w="1576" w:type="dxa"/>
          </w:tcPr>
          <w:p>
            <w:pPr>
              <w:spacing w:before="50" w:after="50" w:line="360" w:lineRule="auto"/>
              <w:rPr>
                <w:rFonts w:ascii="宋体" w:eastAsia="黑体" w:cs="宋体"/>
                <w:color w:val="000000"/>
                <w:sz w:val="24"/>
              </w:rPr>
            </w:pPr>
          </w:p>
        </w:tc>
        <w:tc>
          <w:tcPr>
            <w:tcW w:w="1577" w:type="dxa"/>
          </w:tcPr>
          <w:p>
            <w:pPr>
              <w:spacing w:before="50" w:after="50" w:line="360" w:lineRule="auto"/>
              <w:rPr>
                <w:rFonts w:ascii="宋体" w:eastAsia="黑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1" w:hRule="atLeast"/>
          <w:jc w:val="center"/>
        </w:trPr>
        <w:tc>
          <w:tcPr>
            <w:tcW w:w="1576" w:type="dxa"/>
          </w:tcPr>
          <w:p>
            <w:pPr>
              <w:spacing w:before="50" w:after="50" w:line="360" w:lineRule="auto"/>
              <w:rPr>
                <w:rFonts w:ascii="宋体" w:eastAsia="黑体" w:cs="宋体"/>
                <w:color w:val="000000"/>
                <w:sz w:val="24"/>
              </w:rPr>
            </w:pPr>
          </w:p>
        </w:tc>
        <w:tc>
          <w:tcPr>
            <w:tcW w:w="4728" w:type="dxa"/>
            <w:gridSpan w:val="3"/>
          </w:tcPr>
          <w:p>
            <w:pPr>
              <w:spacing w:before="50" w:after="50" w:line="360" w:lineRule="auto"/>
              <w:rPr>
                <w:rFonts w:ascii="宋体" w:eastAsia="黑体" w:cs="宋体"/>
                <w:color w:val="000000"/>
                <w:sz w:val="24"/>
              </w:rPr>
            </w:pPr>
          </w:p>
        </w:tc>
        <w:tc>
          <w:tcPr>
            <w:tcW w:w="1576" w:type="dxa"/>
          </w:tcPr>
          <w:p>
            <w:pPr>
              <w:spacing w:before="50" w:after="50" w:line="360" w:lineRule="auto"/>
              <w:rPr>
                <w:rFonts w:ascii="宋体" w:eastAsia="黑体" w:cs="宋体"/>
                <w:color w:val="000000"/>
                <w:sz w:val="24"/>
              </w:rPr>
            </w:pPr>
          </w:p>
        </w:tc>
        <w:tc>
          <w:tcPr>
            <w:tcW w:w="1577" w:type="dxa"/>
          </w:tcPr>
          <w:p>
            <w:pPr>
              <w:spacing w:before="50" w:after="50" w:line="360" w:lineRule="auto"/>
              <w:rPr>
                <w:rFonts w:ascii="宋体" w:eastAsia="黑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1" w:hRule="atLeast"/>
          <w:jc w:val="center"/>
        </w:trPr>
        <w:tc>
          <w:tcPr>
            <w:tcW w:w="1576" w:type="dxa"/>
          </w:tcPr>
          <w:p>
            <w:pPr>
              <w:spacing w:before="50" w:after="50" w:line="360" w:lineRule="auto"/>
              <w:rPr>
                <w:rFonts w:ascii="宋体" w:eastAsia="黑体" w:cs="宋体"/>
                <w:color w:val="000000"/>
                <w:sz w:val="24"/>
              </w:rPr>
            </w:pPr>
          </w:p>
        </w:tc>
        <w:tc>
          <w:tcPr>
            <w:tcW w:w="4728" w:type="dxa"/>
            <w:gridSpan w:val="3"/>
          </w:tcPr>
          <w:p>
            <w:pPr>
              <w:spacing w:before="50" w:after="50" w:line="360" w:lineRule="auto"/>
              <w:rPr>
                <w:rFonts w:ascii="宋体" w:eastAsia="黑体" w:cs="宋体"/>
                <w:color w:val="000000"/>
                <w:sz w:val="24"/>
              </w:rPr>
            </w:pPr>
          </w:p>
        </w:tc>
        <w:tc>
          <w:tcPr>
            <w:tcW w:w="1576" w:type="dxa"/>
          </w:tcPr>
          <w:p>
            <w:pPr>
              <w:spacing w:before="50" w:after="50" w:line="360" w:lineRule="auto"/>
              <w:rPr>
                <w:rFonts w:ascii="宋体" w:eastAsia="黑体" w:cs="宋体"/>
                <w:color w:val="000000"/>
                <w:sz w:val="24"/>
              </w:rPr>
            </w:pPr>
          </w:p>
        </w:tc>
        <w:tc>
          <w:tcPr>
            <w:tcW w:w="1577" w:type="dxa"/>
          </w:tcPr>
          <w:p>
            <w:pPr>
              <w:spacing w:before="50" w:after="50" w:line="360" w:lineRule="auto"/>
              <w:rPr>
                <w:rFonts w:ascii="宋体" w:eastAsia="黑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1" w:hRule="atLeast"/>
          <w:jc w:val="center"/>
        </w:trPr>
        <w:tc>
          <w:tcPr>
            <w:tcW w:w="1576" w:type="dxa"/>
          </w:tcPr>
          <w:p>
            <w:pPr>
              <w:spacing w:before="50" w:after="50" w:line="360" w:lineRule="auto"/>
              <w:rPr>
                <w:rFonts w:ascii="宋体" w:eastAsia="黑体" w:cs="宋体"/>
                <w:color w:val="000000"/>
                <w:sz w:val="24"/>
              </w:rPr>
            </w:pPr>
          </w:p>
        </w:tc>
        <w:tc>
          <w:tcPr>
            <w:tcW w:w="4728" w:type="dxa"/>
            <w:gridSpan w:val="3"/>
          </w:tcPr>
          <w:p>
            <w:pPr>
              <w:spacing w:before="50" w:after="50" w:line="360" w:lineRule="auto"/>
              <w:rPr>
                <w:rFonts w:ascii="宋体" w:eastAsia="黑体" w:cs="宋体"/>
                <w:color w:val="000000"/>
                <w:sz w:val="24"/>
              </w:rPr>
            </w:pPr>
          </w:p>
        </w:tc>
        <w:tc>
          <w:tcPr>
            <w:tcW w:w="1576" w:type="dxa"/>
          </w:tcPr>
          <w:p>
            <w:pPr>
              <w:spacing w:before="50" w:after="50" w:line="360" w:lineRule="auto"/>
              <w:rPr>
                <w:rFonts w:ascii="宋体" w:eastAsia="黑体" w:cs="宋体"/>
                <w:color w:val="000000"/>
                <w:sz w:val="24"/>
              </w:rPr>
            </w:pPr>
          </w:p>
        </w:tc>
        <w:tc>
          <w:tcPr>
            <w:tcW w:w="1577" w:type="dxa"/>
          </w:tcPr>
          <w:p>
            <w:pPr>
              <w:spacing w:before="50" w:after="50" w:line="360" w:lineRule="auto"/>
              <w:rPr>
                <w:rFonts w:ascii="宋体" w:eastAsia="黑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1" w:hRule="atLeast"/>
          <w:jc w:val="center"/>
        </w:trPr>
        <w:tc>
          <w:tcPr>
            <w:tcW w:w="1576" w:type="dxa"/>
          </w:tcPr>
          <w:p>
            <w:pPr>
              <w:spacing w:before="50" w:after="50" w:line="360" w:lineRule="auto"/>
              <w:rPr>
                <w:rFonts w:ascii="宋体" w:eastAsia="黑体" w:cs="宋体"/>
                <w:color w:val="000000"/>
                <w:sz w:val="24"/>
              </w:rPr>
            </w:pPr>
          </w:p>
        </w:tc>
        <w:tc>
          <w:tcPr>
            <w:tcW w:w="4728" w:type="dxa"/>
            <w:gridSpan w:val="3"/>
          </w:tcPr>
          <w:p>
            <w:pPr>
              <w:spacing w:before="50" w:after="50" w:line="360" w:lineRule="auto"/>
              <w:rPr>
                <w:rFonts w:ascii="宋体" w:eastAsia="黑体" w:cs="宋体"/>
                <w:color w:val="000000"/>
                <w:sz w:val="24"/>
              </w:rPr>
            </w:pPr>
          </w:p>
        </w:tc>
        <w:tc>
          <w:tcPr>
            <w:tcW w:w="1576" w:type="dxa"/>
          </w:tcPr>
          <w:p>
            <w:pPr>
              <w:spacing w:before="50" w:after="50" w:line="360" w:lineRule="auto"/>
              <w:rPr>
                <w:rFonts w:ascii="宋体" w:eastAsia="黑体" w:cs="宋体"/>
                <w:color w:val="000000"/>
                <w:sz w:val="24"/>
              </w:rPr>
            </w:pPr>
          </w:p>
        </w:tc>
        <w:tc>
          <w:tcPr>
            <w:tcW w:w="1577" w:type="dxa"/>
          </w:tcPr>
          <w:p>
            <w:pPr>
              <w:spacing w:before="50" w:after="50" w:line="360" w:lineRule="auto"/>
              <w:rPr>
                <w:rFonts w:ascii="宋体" w:eastAsia="黑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1" w:hRule="atLeast"/>
          <w:jc w:val="center"/>
        </w:trPr>
        <w:tc>
          <w:tcPr>
            <w:tcW w:w="1576" w:type="dxa"/>
          </w:tcPr>
          <w:p>
            <w:pPr>
              <w:spacing w:before="50" w:after="50" w:line="360" w:lineRule="auto"/>
              <w:rPr>
                <w:rFonts w:ascii="宋体" w:eastAsia="黑体" w:cs="宋体"/>
                <w:color w:val="000000"/>
                <w:sz w:val="24"/>
              </w:rPr>
            </w:pPr>
          </w:p>
        </w:tc>
        <w:tc>
          <w:tcPr>
            <w:tcW w:w="4728" w:type="dxa"/>
            <w:gridSpan w:val="3"/>
          </w:tcPr>
          <w:p>
            <w:pPr>
              <w:spacing w:before="50" w:after="50" w:line="360" w:lineRule="auto"/>
              <w:rPr>
                <w:rFonts w:ascii="宋体" w:eastAsia="黑体" w:cs="宋体"/>
                <w:color w:val="000000"/>
                <w:sz w:val="24"/>
              </w:rPr>
            </w:pPr>
          </w:p>
        </w:tc>
        <w:tc>
          <w:tcPr>
            <w:tcW w:w="1576" w:type="dxa"/>
          </w:tcPr>
          <w:p>
            <w:pPr>
              <w:spacing w:before="50" w:after="50" w:line="360" w:lineRule="auto"/>
              <w:rPr>
                <w:rFonts w:ascii="宋体" w:eastAsia="黑体" w:cs="宋体"/>
                <w:color w:val="000000"/>
                <w:sz w:val="24"/>
              </w:rPr>
            </w:pPr>
          </w:p>
        </w:tc>
        <w:tc>
          <w:tcPr>
            <w:tcW w:w="1577" w:type="dxa"/>
          </w:tcPr>
          <w:p>
            <w:pPr>
              <w:spacing w:before="50" w:after="50" w:line="360" w:lineRule="auto"/>
              <w:rPr>
                <w:rFonts w:ascii="宋体" w:eastAsia="黑体" w:cs="宋体"/>
                <w:color w:val="000000"/>
                <w:sz w:val="24"/>
              </w:rPr>
            </w:pPr>
          </w:p>
        </w:tc>
      </w:tr>
    </w:tbl>
    <w:p/>
    <w:p/>
    <w:p>
      <w:pPr>
        <w:rPr>
          <w:rFonts w:hAnsi="宋体"/>
          <w:sz w:val="22"/>
          <w:szCs w:val="22"/>
        </w:rPr>
      </w:pPr>
      <w:r>
        <w:rPr>
          <w:rFonts w:hint="eastAsia" w:hAnsi="宋体"/>
          <w:sz w:val="22"/>
          <w:szCs w:val="22"/>
        </w:rPr>
        <w:t>供应商盖章：</w:t>
      </w:r>
    </w:p>
    <w:p>
      <w:pPr>
        <w:rPr>
          <w:rFonts w:hAnsi="宋体"/>
          <w:sz w:val="22"/>
          <w:szCs w:val="22"/>
        </w:rPr>
      </w:pPr>
      <w:r>
        <w:rPr>
          <w:rFonts w:hint="eastAsia" w:hAnsi="宋体"/>
          <w:sz w:val="22"/>
          <w:szCs w:val="22"/>
        </w:rPr>
        <w:t>日期：</w:t>
      </w:r>
    </w:p>
    <w:p>
      <w:pPr>
        <w:rPr>
          <w:rFonts w:hAnsi="宋体"/>
          <w:b/>
          <w:bCs/>
          <w:sz w:val="36"/>
          <w:szCs w:val="36"/>
        </w:rPr>
      </w:pPr>
      <w:r>
        <w:rPr>
          <w:rFonts w:hint="eastAsia" w:hAnsi="宋体"/>
          <w:sz w:val="22"/>
          <w:szCs w:val="22"/>
        </w:rPr>
        <w:br w:type="page"/>
      </w:r>
    </w:p>
    <w:p>
      <w:pPr>
        <w:pStyle w:val="183"/>
        <w:keepNext w:val="0"/>
        <w:keepLines w:val="0"/>
        <w:rPr>
          <w:rFonts w:asciiTheme="minorEastAsia" w:hAnsiTheme="minorEastAsia" w:eastAsiaTheme="minorEastAsia" w:cstheme="minorEastAsia"/>
          <w:kern w:val="2"/>
          <w:sz w:val="28"/>
          <w:szCs w:val="28"/>
        </w:rPr>
      </w:pPr>
      <w:bookmarkStart w:id="58" w:name="_Toc20872_WPSOffice_Level1"/>
      <w:bookmarkStart w:id="59" w:name="_Toc20280_WPSOffice_Level1"/>
      <w:r>
        <w:rPr>
          <w:rFonts w:hint="eastAsia" w:asciiTheme="minorEastAsia" w:hAnsiTheme="minorEastAsia" w:eastAsiaTheme="minorEastAsia" w:cstheme="minorEastAsia"/>
          <w:kern w:val="2"/>
          <w:sz w:val="28"/>
          <w:szCs w:val="28"/>
        </w:rPr>
        <w:t>附件十</w:t>
      </w:r>
    </w:p>
    <w:p>
      <w:pPr>
        <w:pStyle w:val="183"/>
        <w:keepNext w:val="0"/>
        <w:keepLines w:val="0"/>
        <w:jc w:val="center"/>
        <w:rPr>
          <w:rFonts w:ascii="黑体" w:hAnsi="仿宋" w:eastAsia="黑体"/>
          <w:kern w:val="2"/>
          <w:sz w:val="36"/>
          <w:szCs w:val="36"/>
        </w:rPr>
      </w:pPr>
      <w:r>
        <w:rPr>
          <w:rFonts w:hint="eastAsia" w:ascii="黑体" w:hAnsi="仿宋" w:eastAsia="黑体"/>
          <w:kern w:val="2"/>
          <w:sz w:val="36"/>
          <w:szCs w:val="36"/>
        </w:rPr>
        <w:t>中小企业声明函（如有）</w:t>
      </w: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本公司郑重声明，根据《政府采购促进中小企业发展暂行办法》（财库[2011]181号）的规定，本公司为（请填写：中型、小型、微型）企业。即，本公司同时满足以下条件：</w:t>
      </w: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1、根据《工业和信息化部、国家统计局、国家发展和改革委员会、财政部关于印发中小企业划型标准规定的通知》（工信部联企业[2011]300号）规定的划分标准，本公司为（请填写：中型、小型、微型）企业。</w:t>
      </w: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2、本公司参加（项目名称、编号）项目的采购活动提供本企业制造的货物，由本企业承担工程、提供服务，或者提供其他 （请填写：中型、小型、微型）企业制造的货物。本条所称货物不包括使用大型企业注册商标的货物。</w:t>
      </w: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本公司对上述声明的真实性负责。如有虚假，将依法承担相应责任。</w:t>
      </w:r>
    </w:p>
    <w:p>
      <w:pPr>
        <w:spacing w:line="360" w:lineRule="auto"/>
        <w:ind w:right="420" w:firstLine="4200" w:firstLineChars="1500"/>
        <w:jc w:val="left"/>
        <w:rPr>
          <w:rFonts w:asciiTheme="minorEastAsia" w:hAnsiTheme="minorEastAsia" w:eastAsiaTheme="minorEastAsia" w:cstheme="minorEastAsia"/>
          <w:sz w:val="28"/>
          <w:szCs w:val="28"/>
        </w:rPr>
      </w:pPr>
    </w:p>
    <w:p>
      <w:pPr>
        <w:spacing w:line="360" w:lineRule="auto"/>
        <w:ind w:right="420" w:firstLine="4200" w:firstLineChars="15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投标人全称（公章）：                             </w:t>
      </w:r>
    </w:p>
    <w:p>
      <w:pPr>
        <w:spacing w:line="360" w:lineRule="auto"/>
        <w:ind w:right="420" w:firstLine="4200" w:firstLineChars="15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8"/>
          <w:szCs w:val="28"/>
        </w:rPr>
        <w:t xml:space="preserve">日期：   年   月  日     </w:t>
      </w:r>
    </w:p>
    <w:p>
      <w:pPr>
        <w:spacing w:line="4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bCs/>
          <w:szCs w:val="21"/>
        </w:rPr>
        <w:t>附注</w:t>
      </w:r>
      <w:r>
        <w:rPr>
          <w:rFonts w:hint="eastAsia" w:asciiTheme="minorEastAsia" w:hAnsiTheme="minorEastAsia" w:eastAsiaTheme="minorEastAsia" w:cstheme="minorEastAsia"/>
          <w:sz w:val="24"/>
        </w:rPr>
        <w:t>：</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bookmarkStart w:id="60" w:name="OLE_LINK14"/>
      <w:bookmarkStart w:id="61" w:name="OLE_LINK13"/>
      <w:r>
        <w:rPr>
          <w:rFonts w:hint="eastAsia" w:asciiTheme="minorEastAsia" w:hAnsiTheme="minorEastAsia" w:eastAsiaTheme="minorEastAsia" w:cstheme="minorEastAsia"/>
          <w:szCs w:val="21"/>
        </w:rPr>
        <w:t xml:space="preserve"> 小型、微型企业提供中型企业制造的货物的，视同为中型企业。</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 纸质响应文件正本中的本声明函（若有）应为原件。投标人提供的声明函与事实不符的，依据《政府采购法》第七十七条第一款的规定追究法律责任,</w:t>
      </w:r>
      <w:r>
        <w:rPr>
          <w:rFonts w:hint="eastAsia" w:asciiTheme="minorEastAsia" w:hAnsiTheme="minorEastAsia" w:eastAsiaTheme="minorEastAsia" w:cstheme="minorEastAsia"/>
          <w:b/>
          <w:szCs w:val="21"/>
        </w:rPr>
        <w:t>如若中标本声明函将予以外网公示。</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 依据《关于促进残疾人就业政府采购政策的通知》（财库〔2017〕141号）文件，符合规定条件并提供《残疾人福利性单位声明函》的残疾人福利性单位，视同小型、微型企业，享受促进中小企业发展的评审中价格扣除政策。</w:t>
      </w:r>
    </w:p>
    <w:p>
      <w:pPr>
        <w:spacing w:line="400" w:lineRule="exact"/>
        <w:ind w:firstLine="420" w:firstLineChars="200"/>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szCs w:val="21"/>
        </w:rPr>
        <w:t>依据《财政部 司法部关于政府采购支持监狱企业发展有关问题的通知》（财库[2014]68号）文件，符合规定条件并提供由省级以上监狱管理局、戒毒管理局（含新疆生产建设兵团）出具的属于监狱企业证明文件的，视同为小型和微型企业，享受促进中小企业发展的评审中价格扣除政策。</w:t>
      </w:r>
      <w:r>
        <w:rPr>
          <w:rFonts w:hint="eastAsia" w:asciiTheme="minorEastAsia" w:hAnsiTheme="minorEastAsia" w:eastAsiaTheme="minorEastAsia" w:cstheme="minorEastAsia"/>
          <w:szCs w:val="21"/>
        </w:rPr>
        <w:br w:type="page"/>
      </w:r>
      <w:r>
        <w:rPr>
          <w:rFonts w:hint="eastAsia" w:asciiTheme="minorEastAsia" w:hAnsiTheme="minorEastAsia" w:eastAsiaTheme="minorEastAsia" w:cstheme="minorEastAsia"/>
          <w:b/>
          <w:bCs/>
          <w:sz w:val="36"/>
          <w:szCs w:val="36"/>
        </w:rPr>
        <w:t>残疾人福利性单位声明函（如有）</w:t>
      </w:r>
    </w:p>
    <w:bookmarkEnd w:id="60"/>
    <w:bookmarkEnd w:id="61"/>
    <w:p>
      <w:pPr>
        <w:spacing w:line="588" w:lineRule="exact"/>
        <w:rPr>
          <w:rFonts w:asciiTheme="minorEastAsia" w:hAnsiTheme="minorEastAsia" w:eastAsiaTheme="minorEastAsia" w:cstheme="minorEastAsia"/>
          <w:b/>
          <w:spacing w:val="6"/>
          <w:sz w:val="30"/>
          <w:szCs w:val="30"/>
        </w:rPr>
      </w:pP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本单位郑重声明，根据《财政部 民政部 中国残疾人联合会关于促进残疾人就业政府采购政策的通知》（财库〔2017〕 141号）的规定，本单位为符合条件的残疾人福利性单位，且本单位参加（项目名称、编号）项目的采购活动提供本单位制造的货物（由本单位承担工程/提供服务），或者提供其他残疾人福利性单位制造的货物（不包括使用非残疾人福利性单位注册商标的货物）。</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本单位对上述声明的真实性负责。如有虚假，将依法承担相应责任。</w:t>
      </w:r>
    </w:p>
    <w:p>
      <w:pPr>
        <w:spacing w:line="360" w:lineRule="auto"/>
        <w:rPr>
          <w:rFonts w:asciiTheme="minorEastAsia" w:hAnsiTheme="minorEastAsia" w:eastAsiaTheme="minorEastAsia" w:cstheme="minorEastAsia"/>
          <w:sz w:val="28"/>
          <w:szCs w:val="28"/>
        </w:rPr>
      </w:pPr>
    </w:p>
    <w:p>
      <w:pPr>
        <w:spacing w:line="360" w:lineRule="auto"/>
        <w:ind w:firstLine="560" w:firstLineChars="200"/>
        <w:rPr>
          <w:rFonts w:asciiTheme="minorEastAsia" w:hAnsiTheme="minorEastAsia" w:eastAsiaTheme="minorEastAsia" w:cstheme="minorEastAsia"/>
          <w:sz w:val="28"/>
          <w:szCs w:val="28"/>
        </w:rPr>
      </w:pPr>
    </w:p>
    <w:p>
      <w:pPr>
        <w:tabs>
          <w:tab w:val="left" w:pos="4860"/>
        </w:tabs>
        <w:spacing w:line="360" w:lineRule="auto"/>
        <w:ind w:right="1560" w:firstLine="560" w:firstLineChars="20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投标人全称（公章）：</w:t>
      </w:r>
    </w:p>
    <w:p>
      <w:pPr>
        <w:tabs>
          <w:tab w:val="left" w:pos="4860"/>
        </w:tabs>
        <w:spacing w:line="360" w:lineRule="auto"/>
        <w:ind w:right="1560" w:firstLine="560" w:firstLineChars="20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日期：   年   月  日</w:t>
      </w:r>
    </w:p>
    <w:p>
      <w:pPr>
        <w:rPr>
          <w:rFonts w:asciiTheme="minorEastAsia" w:hAnsiTheme="minorEastAsia" w:eastAsiaTheme="minorEastAsia" w:cstheme="minorEastAsia"/>
        </w:rPr>
      </w:pP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附注：1. 纸质响应文件正本中的本声明函（若有）应为原件。</w:t>
      </w:r>
    </w:p>
    <w:p>
      <w:pPr>
        <w:spacing w:line="400" w:lineRule="exact"/>
        <w:ind w:firstLine="630" w:firstLineChars="300"/>
        <w:rPr>
          <w:rFonts w:asciiTheme="minorEastAsia" w:hAnsiTheme="minorEastAsia" w:eastAsiaTheme="minorEastAsia" w:cstheme="minorEastAsia"/>
        </w:rPr>
      </w:pPr>
      <w:r>
        <w:rPr>
          <w:rFonts w:hint="eastAsia" w:asciiTheme="minorEastAsia" w:hAnsiTheme="minorEastAsia" w:eastAsiaTheme="minorEastAsia" w:cstheme="minorEastAsia"/>
          <w:szCs w:val="21"/>
        </w:rPr>
        <w:t>2. 投标人提</w:t>
      </w:r>
      <w:r>
        <w:rPr>
          <w:rFonts w:hint="eastAsia" w:asciiTheme="minorEastAsia" w:hAnsiTheme="minorEastAsia" w:eastAsiaTheme="minorEastAsia" w:cstheme="minorEastAsia"/>
        </w:rPr>
        <w:t>供的声明函与事实不符的，依据《政府采购法》第七十七条第一款的规定追究法律责任，</w:t>
      </w:r>
      <w:r>
        <w:rPr>
          <w:rFonts w:hint="eastAsia" w:asciiTheme="minorEastAsia" w:hAnsiTheme="minorEastAsia" w:eastAsiaTheme="minorEastAsia" w:cstheme="minorEastAsia"/>
          <w:b/>
          <w:szCs w:val="21"/>
        </w:rPr>
        <w:t>如若中标本声明函将予以外网公示。</w:t>
      </w:r>
    </w:p>
    <w:p>
      <w:pPr>
        <w:widowControl/>
        <w:rPr>
          <w:rFonts w:asciiTheme="minorEastAsia" w:hAnsiTheme="minorEastAsia" w:eastAsiaTheme="minorEastAsia" w:cstheme="minorEastAsia"/>
          <w:b/>
          <w:bCs/>
          <w:sz w:val="36"/>
          <w:szCs w:val="36"/>
        </w:rPr>
      </w:pPr>
    </w:p>
    <w:p>
      <w:pPr>
        <w:widowControl/>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监狱企业的证明文件（如有）</w:t>
      </w:r>
    </w:p>
    <w:p>
      <w:pPr>
        <w:widowControl/>
        <w:jc w:val="center"/>
        <w:rPr>
          <w:rFonts w:asciiTheme="minorEastAsia" w:hAnsiTheme="minorEastAsia" w:eastAsiaTheme="minorEastAsia" w:cstheme="minorEastAsia"/>
          <w:b/>
          <w:bCs/>
          <w:sz w:val="36"/>
          <w:szCs w:val="36"/>
        </w:rPr>
      </w:pP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依据《财政部 司法部关于政府采购支持监狱企业发展有关问题的通知》（财库[2014]68号）文件，提供由省级以上监狱管理局、戒毒管理局（含新疆生产建设兵团）出具的属于监狱企业证明文件。</w:t>
      </w:r>
    </w:p>
    <w:p>
      <w:pPr>
        <w:snapToGrid w:val="0"/>
        <w:spacing w:line="360" w:lineRule="auto"/>
        <w:ind w:firstLine="422" w:firstLineChars="200"/>
        <w:rPr>
          <w:rFonts w:asciiTheme="minorEastAsia" w:hAnsiTheme="minorEastAsia" w:eastAsiaTheme="minorEastAsia" w:cstheme="minorEastAsia"/>
          <w:b/>
          <w:szCs w:val="21"/>
        </w:rPr>
      </w:pPr>
    </w:p>
    <w:p>
      <w:pPr>
        <w:snapToGrid w:val="0"/>
        <w:spacing w:line="360" w:lineRule="auto"/>
        <w:ind w:firstLine="42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Cs w:val="21"/>
        </w:rPr>
        <w:t>中标人的本证明文件将予以外网公示。</w:t>
      </w:r>
    </w:p>
    <w:p>
      <w:pPr>
        <w:jc w:val="center"/>
        <w:rPr>
          <w:rFonts w:ascii="宋体" w:hAnsi="宋体"/>
          <w:sz w:val="36"/>
        </w:rPr>
      </w:pPr>
      <w:r>
        <w:rPr>
          <w:rFonts w:hint="eastAsia" w:ascii="宋体" w:hAnsi="宋体"/>
          <w:sz w:val="36"/>
        </w:rPr>
        <w:t>第七部分   评标办法</w:t>
      </w:r>
      <w:bookmarkEnd w:id="58"/>
      <w:bookmarkEnd w:id="59"/>
    </w:p>
    <w:p>
      <w:pPr>
        <w:snapToGrid w:val="0"/>
        <w:spacing w:line="460" w:lineRule="atLeast"/>
        <w:ind w:firstLine="540"/>
        <w:rPr>
          <w:rFonts w:ascii="宋体" w:hAnsi="宋体" w:cs="宋体"/>
          <w:bCs/>
          <w:sz w:val="24"/>
          <w:szCs w:val="24"/>
        </w:rPr>
      </w:pPr>
      <w:bookmarkStart w:id="62" w:name="_Toc157410904"/>
      <w:r>
        <w:rPr>
          <w:rFonts w:hint="eastAsia" w:ascii="宋体" w:hAnsi="宋体" w:cs="宋体"/>
          <w:bCs/>
          <w:sz w:val="24"/>
          <w:szCs w:val="24"/>
        </w:rPr>
        <w:t>根据《中华人民共和国政府采购法》遵循公开、公平、公正、科学、择优原则和诚实、信誉、效率的服务原则。制定本办法。</w:t>
      </w:r>
    </w:p>
    <w:p>
      <w:pPr>
        <w:snapToGrid w:val="0"/>
        <w:spacing w:line="460" w:lineRule="atLeast"/>
        <w:rPr>
          <w:rFonts w:ascii="宋体" w:hAnsi="宋体" w:cs="宋体"/>
          <w:bCs/>
          <w:sz w:val="24"/>
          <w:szCs w:val="24"/>
        </w:rPr>
      </w:pPr>
      <w:r>
        <w:rPr>
          <w:rFonts w:hint="eastAsia" w:ascii="宋体" w:hAnsi="宋体" w:cs="宋体"/>
          <w:bCs/>
          <w:sz w:val="24"/>
          <w:szCs w:val="24"/>
        </w:rPr>
        <w:t>一、评审组织</w:t>
      </w:r>
    </w:p>
    <w:p>
      <w:pPr>
        <w:snapToGrid w:val="0"/>
        <w:spacing w:line="460" w:lineRule="atLeast"/>
        <w:ind w:firstLine="540"/>
        <w:rPr>
          <w:rFonts w:ascii="宋体" w:hAnsi="宋体" w:cs="宋体"/>
          <w:bCs/>
          <w:sz w:val="24"/>
          <w:szCs w:val="24"/>
        </w:rPr>
      </w:pPr>
      <w:r>
        <w:rPr>
          <w:rFonts w:hint="eastAsia" w:ascii="宋体" w:hAnsi="宋体" w:cs="宋体"/>
          <w:bCs/>
          <w:sz w:val="24"/>
          <w:szCs w:val="24"/>
        </w:rPr>
        <w:t>评审工作由采购人依法组建的磋商小组负责，磋商小组按有关规定组成。评审过程应严格保密，磋商小组及有关工作人员应严格遵守纪律，不得泄露任何评审信息。</w:t>
      </w:r>
    </w:p>
    <w:p>
      <w:pPr>
        <w:pStyle w:val="24"/>
        <w:adjustRightInd w:val="0"/>
        <w:snapToGrid w:val="0"/>
        <w:spacing w:line="460" w:lineRule="atLeast"/>
        <w:rPr>
          <w:rFonts w:hAnsi="宋体" w:cs="宋体"/>
          <w:bCs/>
          <w:sz w:val="24"/>
          <w:szCs w:val="24"/>
        </w:rPr>
      </w:pPr>
      <w:r>
        <w:rPr>
          <w:rFonts w:hint="eastAsia" w:hAnsi="宋体" w:cs="宋体"/>
          <w:bCs/>
          <w:sz w:val="24"/>
          <w:szCs w:val="24"/>
        </w:rPr>
        <w:t>二、磋商响应文件递交截止、磋商程序、磋商原则和方式</w:t>
      </w:r>
    </w:p>
    <w:p>
      <w:pPr>
        <w:pStyle w:val="24"/>
        <w:adjustRightInd w:val="0"/>
        <w:snapToGrid w:val="0"/>
        <w:spacing w:line="460" w:lineRule="atLeast"/>
        <w:ind w:firstLine="480" w:firstLineChars="200"/>
        <w:rPr>
          <w:rFonts w:hAnsi="宋体" w:cs="宋体"/>
          <w:bCs/>
          <w:sz w:val="24"/>
          <w:szCs w:val="24"/>
        </w:rPr>
      </w:pPr>
      <w:r>
        <w:rPr>
          <w:rFonts w:hint="eastAsia" w:hAnsi="宋体" w:cs="宋体"/>
          <w:bCs/>
          <w:sz w:val="24"/>
          <w:szCs w:val="24"/>
        </w:rPr>
        <w:t>1、磋商响应文件递交截止</w:t>
      </w:r>
    </w:p>
    <w:p>
      <w:pPr>
        <w:pStyle w:val="24"/>
        <w:adjustRightInd w:val="0"/>
        <w:snapToGrid w:val="0"/>
        <w:spacing w:line="460" w:lineRule="atLeast"/>
        <w:ind w:firstLine="480" w:firstLineChars="200"/>
        <w:rPr>
          <w:rFonts w:hAnsi="宋体" w:cs="宋体"/>
          <w:bCs/>
          <w:sz w:val="24"/>
          <w:szCs w:val="24"/>
        </w:rPr>
      </w:pPr>
      <w:r>
        <w:rPr>
          <w:rFonts w:hint="eastAsia" w:hAnsi="宋体" w:cs="宋体"/>
          <w:bCs/>
          <w:sz w:val="24"/>
          <w:szCs w:val="24"/>
        </w:rPr>
        <w:t>1.1采购人按采购文件规定的时间、地点收取磋商响应文件。</w:t>
      </w:r>
    </w:p>
    <w:p>
      <w:pPr>
        <w:pStyle w:val="24"/>
        <w:adjustRightInd w:val="0"/>
        <w:snapToGrid w:val="0"/>
        <w:spacing w:line="460" w:lineRule="atLeast"/>
        <w:ind w:firstLine="450"/>
        <w:rPr>
          <w:rFonts w:hAnsi="宋体" w:cs="宋体"/>
          <w:bCs/>
          <w:sz w:val="24"/>
          <w:szCs w:val="24"/>
        </w:rPr>
      </w:pPr>
      <w:r>
        <w:rPr>
          <w:rFonts w:hint="eastAsia" w:hAnsi="宋体" w:cs="宋体"/>
          <w:bCs/>
          <w:sz w:val="24"/>
          <w:szCs w:val="24"/>
        </w:rPr>
        <w:t>1.2供应商负责人或负责人授权代表必须出席磋商会议。</w:t>
      </w:r>
    </w:p>
    <w:p>
      <w:pPr>
        <w:pStyle w:val="24"/>
        <w:adjustRightInd w:val="0"/>
        <w:snapToGrid w:val="0"/>
        <w:spacing w:line="460" w:lineRule="atLeast"/>
        <w:ind w:firstLine="450"/>
        <w:rPr>
          <w:rFonts w:hAnsi="宋体" w:cs="宋体"/>
          <w:bCs/>
          <w:sz w:val="24"/>
          <w:szCs w:val="24"/>
        </w:rPr>
      </w:pPr>
      <w:r>
        <w:rPr>
          <w:rFonts w:hint="eastAsia" w:hAnsi="宋体" w:cs="宋体"/>
          <w:bCs/>
          <w:sz w:val="24"/>
          <w:szCs w:val="24"/>
        </w:rPr>
        <w:t>2、本次采购是根据竞争性磋商采购方式进行。</w:t>
      </w:r>
    </w:p>
    <w:p>
      <w:pPr>
        <w:pStyle w:val="24"/>
        <w:adjustRightInd w:val="0"/>
        <w:snapToGrid w:val="0"/>
        <w:spacing w:line="460" w:lineRule="atLeast"/>
        <w:ind w:firstLine="480" w:firstLineChars="200"/>
        <w:rPr>
          <w:rFonts w:hAnsi="宋体" w:cs="宋体"/>
          <w:b/>
          <w:sz w:val="24"/>
          <w:szCs w:val="24"/>
        </w:rPr>
      </w:pPr>
      <w:r>
        <w:rPr>
          <w:rFonts w:hint="eastAsia" w:hAnsi="宋体" w:cs="宋体"/>
          <w:bCs/>
          <w:sz w:val="24"/>
          <w:szCs w:val="24"/>
        </w:rPr>
        <w:t>2.1在磋商小组范围内对供应商进行资格性、符合性审查，</w:t>
      </w:r>
      <w:r>
        <w:rPr>
          <w:rFonts w:hint="eastAsia" w:hAnsi="宋体" w:cs="宋体"/>
          <w:b/>
          <w:sz w:val="24"/>
          <w:szCs w:val="24"/>
          <w:u w:val="single"/>
        </w:rPr>
        <w:t>第一次报价不公开。</w:t>
      </w:r>
    </w:p>
    <w:p>
      <w:pPr>
        <w:pStyle w:val="24"/>
        <w:adjustRightInd w:val="0"/>
        <w:snapToGrid w:val="0"/>
        <w:spacing w:line="460" w:lineRule="atLeast"/>
        <w:ind w:firstLine="450"/>
        <w:rPr>
          <w:rFonts w:hAnsi="宋体" w:cs="宋体"/>
          <w:bCs/>
          <w:sz w:val="24"/>
          <w:szCs w:val="24"/>
        </w:rPr>
      </w:pPr>
      <w:r>
        <w:rPr>
          <w:rFonts w:hint="eastAsia" w:hAnsi="宋体" w:cs="宋体"/>
          <w:bCs/>
          <w:sz w:val="24"/>
          <w:szCs w:val="24"/>
        </w:rPr>
        <w:t>2.2如磋商小组认为磋商文件能够详细列明采购标的的技术、服务要求的，评审结束后，磋商小组可以直接要求所有实质性响应的供应商在规定时间内</w:t>
      </w:r>
      <w:r>
        <w:rPr>
          <w:rFonts w:hint="eastAsia" w:hAnsi="宋体" w:cs="宋体"/>
          <w:b/>
          <w:bCs/>
          <w:sz w:val="24"/>
          <w:szCs w:val="24"/>
          <w:u w:val="single"/>
        </w:rPr>
        <w:t>提交最后报价</w:t>
      </w:r>
      <w:r>
        <w:rPr>
          <w:rFonts w:hint="eastAsia" w:hAnsi="宋体" w:cs="宋体"/>
          <w:bCs/>
          <w:sz w:val="24"/>
          <w:szCs w:val="24"/>
        </w:rPr>
        <w:t>。</w:t>
      </w:r>
    </w:p>
    <w:p>
      <w:pPr>
        <w:pStyle w:val="24"/>
        <w:adjustRightInd w:val="0"/>
        <w:snapToGrid w:val="0"/>
        <w:spacing w:line="460" w:lineRule="atLeast"/>
        <w:ind w:firstLine="450"/>
        <w:rPr>
          <w:rFonts w:hAnsi="宋体" w:cs="宋体"/>
          <w:bCs/>
          <w:sz w:val="24"/>
          <w:szCs w:val="24"/>
        </w:rPr>
      </w:pPr>
      <w:r>
        <w:rPr>
          <w:rFonts w:hint="eastAsia" w:hAnsi="宋体" w:cs="宋体"/>
          <w:bCs/>
          <w:sz w:val="24"/>
          <w:szCs w:val="24"/>
        </w:rPr>
        <w:t>2.3如磋商小组认为需要修改竞争性磋商文件的，在磋商过程中，磋商小组可以根据磋商文件和磋商情况实质性变动采购需求中的技术、服务要求以及合同草案条款，但不得变动磋商文件中的其他内容。实质性变动的内容，须经采购人代表确认。</w:t>
      </w:r>
    </w:p>
    <w:p>
      <w:pPr>
        <w:pStyle w:val="24"/>
        <w:adjustRightInd w:val="0"/>
        <w:snapToGrid w:val="0"/>
        <w:spacing w:line="460" w:lineRule="atLeast"/>
        <w:ind w:firstLine="450"/>
        <w:rPr>
          <w:rFonts w:hAnsi="宋体" w:cs="宋体"/>
          <w:bCs/>
          <w:sz w:val="24"/>
          <w:szCs w:val="24"/>
        </w:rPr>
      </w:pPr>
      <w:r>
        <w:rPr>
          <w:rFonts w:hint="eastAsia" w:hAnsi="宋体" w:cs="宋体"/>
          <w:bCs/>
          <w:sz w:val="24"/>
          <w:szCs w:val="24"/>
        </w:rPr>
        <w:t>对磋商文件作出的实质性变动是磋商文件的有效组成部分，磋商小组应当及时以书面形式同时通知所有参加磋商的供应商。</w:t>
      </w:r>
    </w:p>
    <w:p>
      <w:pPr>
        <w:pStyle w:val="24"/>
        <w:adjustRightInd w:val="0"/>
        <w:snapToGrid w:val="0"/>
        <w:spacing w:line="460" w:lineRule="atLeast"/>
        <w:ind w:firstLine="240" w:firstLineChars="100"/>
        <w:rPr>
          <w:rFonts w:hAnsi="宋体" w:cs="宋体"/>
          <w:bCs/>
          <w:sz w:val="24"/>
          <w:szCs w:val="24"/>
        </w:rPr>
      </w:pPr>
      <w:r>
        <w:rPr>
          <w:rFonts w:hint="eastAsia" w:hAnsi="宋体" w:cs="宋体"/>
          <w:bCs/>
          <w:sz w:val="24"/>
          <w:szCs w:val="24"/>
        </w:rPr>
        <w:t>　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pStyle w:val="24"/>
        <w:adjustRightInd w:val="0"/>
        <w:snapToGrid w:val="0"/>
        <w:spacing w:line="460" w:lineRule="atLeast"/>
        <w:ind w:firstLine="480" w:firstLineChars="200"/>
        <w:rPr>
          <w:rFonts w:hAnsi="宋体" w:cs="宋体"/>
          <w:bCs/>
          <w:sz w:val="24"/>
          <w:szCs w:val="24"/>
        </w:rPr>
      </w:pPr>
      <w:r>
        <w:rPr>
          <w:rFonts w:hint="eastAsia" w:hAnsi="宋体" w:cs="宋体"/>
          <w:bCs/>
          <w:sz w:val="24"/>
          <w:szCs w:val="24"/>
        </w:rPr>
        <w:t>2.4磋商的顺序，按供应商签到的逆顺序进行。开展磋商，磋商小组所有成员集中与单一供应商（供应商的法定代表人或法定代表人授权代表必须在场，否则，取消其磋商资格）分别进行磋商。</w:t>
      </w:r>
    </w:p>
    <w:p>
      <w:pPr>
        <w:pStyle w:val="24"/>
        <w:adjustRightInd w:val="0"/>
        <w:snapToGrid w:val="0"/>
        <w:spacing w:line="460" w:lineRule="atLeast"/>
        <w:ind w:firstLine="480" w:firstLineChars="200"/>
        <w:rPr>
          <w:rFonts w:hAnsi="宋体" w:cs="宋体"/>
          <w:bCs/>
          <w:sz w:val="24"/>
          <w:szCs w:val="24"/>
        </w:rPr>
      </w:pPr>
      <w:r>
        <w:rPr>
          <w:rFonts w:hint="eastAsia" w:hAnsi="宋体" w:cs="宋体"/>
          <w:bCs/>
          <w:sz w:val="24"/>
          <w:szCs w:val="24"/>
        </w:rPr>
        <w:t>2.5磋商小组在磋商结束后，要求所有参加磋商的有效供应商在规定时间内提出最后报价。超过规定时间提交的报价作无效处理。</w:t>
      </w:r>
    </w:p>
    <w:p>
      <w:pPr>
        <w:pStyle w:val="24"/>
        <w:adjustRightInd w:val="0"/>
        <w:snapToGrid w:val="0"/>
        <w:spacing w:line="460" w:lineRule="atLeast"/>
        <w:ind w:firstLine="480" w:firstLineChars="200"/>
        <w:rPr>
          <w:rFonts w:hAnsi="宋体" w:cs="宋体"/>
          <w:bCs/>
          <w:sz w:val="24"/>
          <w:szCs w:val="24"/>
        </w:rPr>
      </w:pPr>
      <w:r>
        <w:rPr>
          <w:rFonts w:hint="eastAsia" w:hAnsi="宋体" w:cs="宋体"/>
          <w:bCs/>
          <w:sz w:val="24"/>
          <w:szCs w:val="24"/>
        </w:rPr>
        <w:t>3评审原则和方法</w:t>
      </w:r>
    </w:p>
    <w:p>
      <w:pPr>
        <w:pStyle w:val="24"/>
        <w:adjustRightInd w:val="0"/>
        <w:snapToGrid w:val="0"/>
        <w:spacing w:line="460" w:lineRule="atLeast"/>
        <w:ind w:firstLine="480" w:firstLineChars="200"/>
        <w:rPr>
          <w:rFonts w:hAnsi="宋体" w:cs="宋体"/>
          <w:bCs/>
          <w:sz w:val="24"/>
          <w:szCs w:val="24"/>
        </w:rPr>
      </w:pPr>
      <w:r>
        <w:rPr>
          <w:rFonts w:hint="eastAsia" w:hAnsi="宋体" w:cs="宋体"/>
          <w:bCs/>
          <w:sz w:val="24"/>
          <w:szCs w:val="24"/>
        </w:rPr>
        <w:t>3.1磋商小组负责审查磋商响应文件是否符合采购文件的要求，并作出评价。磋商小组认为必要时，可向供应商进行质疑。磋商小组有权决定全部或部分供应商磋商响应文件无效。</w:t>
      </w:r>
    </w:p>
    <w:p>
      <w:pPr>
        <w:pStyle w:val="24"/>
        <w:adjustRightInd w:val="0"/>
        <w:snapToGrid w:val="0"/>
        <w:spacing w:line="460" w:lineRule="atLeast"/>
        <w:ind w:firstLine="480" w:firstLineChars="200"/>
        <w:rPr>
          <w:rFonts w:hAnsi="宋体" w:cs="宋体"/>
          <w:bCs/>
          <w:sz w:val="24"/>
          <w:szCs w:val="24"/>
        </w:rPr>
      </w:pPr>
      <w:r>
        <w:rPr>
          <w:rFonts w:hint="eastAsia" w:hAnsi="宋体" w:cs="宋体"/>
          <w:bCs/>
          <w:sz w:val="24"/>
          <w:szCs w:val="24"/>
        </w:rPr>
        <w:t>3.2磋商小组将综合分析合格供应商的各项指标，而不是以单项指标的优劣评选出成交的供应商。</w:t>
      </w:r>
    </w:p>
    <w:p>
      <w:pPr>
        <w:pStyle w:val="32"/>
        <w:adjustRightInd w:val="0"/>
        <w:snapToGrid w:val="0"/>
        <w:spacing w:line="360" w:lineRule="auto"/>
        <w:ind w:firstLine="480"/>
        <w:rPr>
          <w:rFonts w:ascii="宋体" w:hAnsi="宋体" w:eastAsia="宋体" w:cs="宋体"/>
          <w:bCs/>
          <w:color w:val="auto"/>
          <w:szCs w:val="24"/>
        </w:rPr>
      </w:pPr>
      <w:r>
        <w:rPr>
          <w:rFonts w:hint="eastAsia" w:ascii="宋体" w:hAnsi="宋体" w:eastAsia="宋体" w:cs="宋体"/>
          <w:bCs/>
          <w:color w:val="auto"/>
          <w:szCs w:val="24"/>
        </w:rPr>
        <w:t>三、确定供应商办法</w:t>
      </w:r>
    </w:p>
    <w:p>
      <w:pPr>
        <w:pStyle w:val="24"/>
        <w:adjustRightInd w:val="0"/>
        <w:snapToGrid w:val="0"/>
        <w:spacing w:line="360" w:lineRule="auto"/>
        <w:ind w:firstLine="480" w:firstLineChars="200"/>
        <w:rPr>
          <w:rFonts w:hAnsi="宋体" w:cs="宋体"/>
          <w:bCs/>
          <w:sz w:val="24"/>
          <w:szCs w:val="24"/>
        </w:rPr>
      </w:pPr>
      <w:r>
        <w:rPr>
          <w:rFonts w:hint="eastAsia" w:hAnsi="宋体" w:cs="宋体"/>
          <w:sz w:val="24"/>
          <w:szCs w:val="24"/>
        </w:rPr>
        <w:t xml:space="preserve">本次评审采用竞争性磋商的评审方法，即综合评分法。经磋商确定最终采购需求和提交最后报价的供应商后，由磋商小组采用综合评分法对提交最后报价的供应商的响应文件和最后报价进行综合评分。并以综合得分最高的供应商作为中标候选人向采购人推荐。 </w:t>
      </w:r>
    </w:p>
    <w:bookmarkEnd w:id="62"/>
    <w:p>
      <w:pPr>
        <w:pStyle w:val="24"/>
        <w:adjustRightInd w:val="0"/>
        <w:snapToGrid w:val="0"/>
        <w:jc w:val="center"/>
        <w:rPr>
          <w:rFonts w:hAnsi="宋体"/>
          <w:b/>
          <w:color w:val="000000"/>
          <w:sz w:val="36"/>
          <w:szCs w:val="36"/>
        </w:rPr>
      </w:pPr>
      <w:r>
        <w:rPr>
          <w:rFonts w:hint="eastAsia" w:hAnsi="宋体"/>
          <w:b/>
          <w:color w:val="000000"/>
          <w:sz w:val="36"/>
          <w:szCs w:val="36"/>
        </w:rPr>
        <w:t>评 标 细 则</w:t>
      </w:r>
    </w:p>
    <w:p>
      <w:pPr>
        <w:pStyle w:val="24"/>
        <w:adjustRightInd w:val="0"/>
        <w:snapToGrid w:val="0"/>
        <w:spacing w:line="460" w:lineRule="atLeast"/>
        <w:rPr>
          <w:rFonts w:hAnsi="宋体"/>
          <w:color w:val="000000"/>
          <w:sz w:val="22"/>
          <w:szCs w:val="22"/>
        </w:rPr>
      </w:pPr>
      <w:r>
        <w:rPr>
          <w:rFonts w:hint="eastAsia" w:hAnsi="宋体"/>
          <w:color w:val="000000"/>
          <w:sz w:val="22"/>
          <w:szCs w:val="22"/>
        </w:rPr>
        <w:t>一、商务报价评分</w:t>
      </w:r>
      <w:r>
        <w:rPr>
          <w:rFonts w:hint="eastAsia" w:hAnsi="宋体"/>
          <w:sz w:val="22"/>
          <w:szCs w:val="22"/>
        </w:rPr>
        <w:t>20分</w:t>
      </w:r>
    </w:p>
    <w:p>
      <w:pPr>
        <w:pStyle w:val="32"/>
        <w:snapToGrid w:val="0"/>
        <w:ind w:firstLine="440"/>
        <w:rPr>
          <w:rFonts w:ascii="宋体" w:hAnsi="宋体" w:eastAsia="宋体"/>
          <w:color w:val="auto"/>
          <w:sz w:val="22"/>
          <w:szCs w:val="22"/>
        </w:rPr>
      </w:pPr>
      <w:r>
        <w:rPr>
          <w:rFonts w:hint="eastAsia" w:ascii="宋体" w:hAnsi="宋体" w:eastAsia="宋体"/>
          <w:color w:val="auto"/>
          <w:sz w:val="22"/>
          <w:szCs w:val="22"/>
        </w:rPr>
        <w:t>1、以供应商有效投标价中的最低价为评标基准价，得满分20分。商务报价评分结算公式为:投标报价得分=(评标基准价／投标报价)×20%×100。</w:t>
      </w:r>
    </w:p>
    <w:p>
      <w:pPr>
        <w:pStyle w:val="32"/>
        <w:snapToGrid w:val="0"/>
        <w:ind w:firstLine="440"/>
        <w:rPr>
          <w:rFonts w:ascii="宋体" w:hAnsi="宋体" w:eastAsia="宋体"/>
          <w:color w:val="auto"/>
          <w:sz w:val="22"/>
          <w:szCs w:val="22"/>
        </w:rPr>
      </w:pPr>
      <w:r>
        <w:rPr>
          <w:rFonts w:hint="eastAsia" w:ascii="宋体" w:hAnsi="宋体" w:eastAsia="宋体"/>
          <w:color w:val="auto"/>
          <w:sz w:val="22"/>
          <w:szCs w:val="22"/>
        </w:rPr>
        <w:t>2、本次采购预算为万元，如果供应商的报价均超出采购预算且采购人确认不能支付的情况，本项目做流（废）标处理。如果仅仅某些（个）供应商该投标报价超出采购预算的，则拒绝接受其投标报价，该供应商投标按无效投标处理。</w:t>
      </w:r>
    </w:p>
    <w:p>
      <w:pPr>
        <w:pStyle w:val="32"/>
        <w:snapToGrid w:val="0"/>
        <w:ind w:firstLine="440"/>
        <w:rPr>
          <w:rFonts w:ascii="宋体" w:hAnsi="宋体" w:eastAsia="宋体"/>
          <w:color w:val="auto"/>
          <w:sz w:val="22"/>
          <w:szCs w:val="22"/>
        </w:rPr>
      </w:pPr>
      <w:r>
        <w:rPr>
          <w:rFonts w:hint="eastAsia" w:ascii="宋体" w:hAnsi="宋体" w:eastAsia="宋体"/>
          <w:color w:val="auto"/>
          <w:sz w:val="22"/>
          <w:szCs w:val="22"/>
        </w:rPr>
        <w:t>3、本项目在报价评审时依据《政府采购促进中小企业发展暂行办法》 （财库〔2011〕181 号）、《浙江省财政厅、浙江省中小企业局转发财政部工业和信息化部关于印发&lt;政府采购促进中小企业发展暂行办法&gt;的通知》（浙财采监〔2012〕11 号）相关规定，对小型和微型企业的产品给予价格扣除，用扣除后的价格参与评审，具体规定如下：</w:t>
      </w:r>
    </w:p>
    <w:p>
      <w:pPr>
        <w:pStyle w:val="32"/>
        <w:snapToGrid w:val="0"/>
        <w:ind w:firstLine="440"/>
        <w:rPr>
          <w:rFonts w:ascii="宋体" w:hAnsi="宋体" w:eastAsia="宋体"/>
          <w:color w:val="auto"/>
          <w:sz w:val="22"/>
          <w:szCs w:val="22"/>
        </w:rPr>
      </w:pPr>
      <w:r>
        <w:rPr>
          <w:rFonts w:hint="eastAsia" w:ascii="宋体" w:hAnsi="宋体" w:eastAsia="宋体"/>
          <w:color w:val="auto"/>
          <w:sz w:val="22"/>
          <w:szCs w:val="22"/>
        </w:rPr>
        <w:t>2.1投标投标人必须同时满足以下所有规定，方可享受小型、微型企业的价格扣除扶持政策：</w:t>
      </w:r>
    </w:p>
    <w:p>
      <w:pPr>
        <w:pStyle w:val="32"/>
        <w:snapToGrid w:val="0"/>
        <w:ind w:firstLine="440"/>
        <w:rPr>
          <w:rFonts w:ascii="宋体" w:hAnsi="宋体" w:eastAsia="宋体"/>
          <w:color w:val="auto"/>
          <w:sz w:val="22"/>
          <w:szCs w:val="22"/>
        </w:rPr>
      </w:pPr>
      <w:r>
        <w:rPr>
          <w:rFonts w:hint="eastAsia" w:ascii="宋体" w:hAnsi="宋体" w:eastAsia="宋体"/>
          <w:color w:val="auto"/>
          <w:sz w:val="22"/>
          <w:szCs w:val="22"/>
        </w:rPr>
        <w:t xml:space="preserve">（1）投标投标人必须符合工信部联企业[2011]300 号规定的小型、微型企业的划分标准(行业对应)； </w:t>
      </w:r>
    </w:p>
    <w:p>
      <w:pPr>
        <w:pStyle w:val="32"/>
        <w:snapToGrid w:val="0"/>
        <w:ind w:firstLine="440"/>
        <w:rPr>
          <w:rFonts w:ascii="宋体" w:hAnsi="宋体" w:eastAsia="宋体"/>
          <w:color w:val="auto"/>
          <w:sz w:val="22"/>
          <w:szCs w:val="22"/>
        </w:rPr>
      </w:pPr>
      <w:r>
        <w:rPr>
          <w:rFonts w:hint="eastAsia" w:ascii="宋体" w:hAnsi="宋体" w:eastAsia="宋体"/>
          <w:color w:val="auto"/>
          <w:sz w:val="22"/>
          <w:szCs w:val="22"/>
        </w:rPr>
        <w:t>（2）投标投标人所投产品必须全部是本企业(或者其他小型、微型企业)制造的货物、承担的工程或服务。（备注：小型、微型企业制造的产品如使用了中、大型企业注册商标的，等同于中、大型企业制造的产品，不享受价格扣除政策。）</w:t>
      </w:r>
    </w:p>
    <w:p>
      <w:pPr>
        <w:pStyle w:val="32"/>
        <w:snapToGrid w:val="0"/>
        <w:ind w:firstLine="440"/>
        <w:rPr>
          <w:rFonts w:ascii="宋体" w:hAnsi="宋体" w:eastAsia="宋体"/>
          <w:color w:val="auto"/>
          <w:sz w:val="22"/>
          <w:szCs w:val="22"/>
        </w:rPr>
      </w:pPr>
      <w:r>
        <w:rPr>
          <w:rFonts w:hint="eastAsia" w:ascii="宋体" w:hAnsi="宋体" w:eastAsia="宋体"/>
          <w:color w:val="auto"/>
          <w:sz w:val="22"/>
          <w:szCs w:val="22"/>
        </w:rPr>
        <w:t>（3）投标投标人必须按照浙江省财政厅《关于开展政府采购投标人网上注册登记和诚信管理工作的通知》（浙财采监〔2010〕8 号）的要求，通过浙江政府采购网申请注册并加入政府采购投标人库的正式用户，且在该网站显示的企业规模为小型或微型企业；</w:t>
      </w:r>
    </w:p>
    <w:p>
      <w:pPr>
        <w:pStyle w:val="32"/>
        <w:snapToGrid w:val="0"/>
        <w:ind w:firstLine="440"/>
        <w:rPr>
          <w:rFonts w:ascii="宋体" w:hAnsi="宋体" w:eastAsia="宋体"/>
          <w:color w:val="auto"/>
          <w:sz w:val="22"/>
          <w:szCs w:val="22"/>
        </w:rPr>
      </w:pPr>
      <w:r>
        <w:rPr>
          <w:rFonts w:hint="eastAsia" w:ascii="宋体" w:hAnsi="宋体" w:eastAsia="宋体"/>
          <w:color w:val="auto"/>
          <w:sz w:val="22"/>
          <w:szCs w:val="22"/>
        </w:rPr>
        <w:t>（4）投标投标人必须提交《中小企业声明函》，如果提供的是其他小型、微型企业制造的产品（服务）的，还须同时提供该企业是小型、微型企业的证明材料。</w:t>
      </w:r>
    </w:p>
    <w:p>
      <w:pPr>
        <w:pStyle w:val="32"/>
        <w:snapToGrid w:val="0"/>
        <w:ind w:firstLine="440"/>
        <w:rPr>
          <w:rFonts w:ascii="宋体" w:hAnsi="宋体" w:eastAsia="宋体"/>
          <w:color w:val="auto"/>
          <w:sz w:val="22"/>
          <w:szCs w:val="22"/>
        </w:rPr>
      </w:pPr>
      <w:r>
        <w:rPr>
          <w:rFonts w:hint="eastAsia" w:ascii="宋体" w:hAnsi="宋体" w:eastAsia="宋体"/>
          <w:color w:val="auto"/>
          <w:sz w:val="22"/>
          <w:szCs w:val="22"/>
        </w:rPr>
        <w:t>2.2本项目对小型和微型企业的产品价格给予 6% 的扣除，用扣除后的价格参与报价评审。</w:t>
      </w:r>
    </w:p>
    <w:p>
      <w:pPr>
        <w:pStyle w:val="32"/>
        <w:snapToGrid w:val="0"/>
        <w:ind w:firstLine="440"/>
        <w:rPr>
          <w:rFonts w:ascii="宋体" w:hAnsi="宋体" w:eastAsia="宋体"/>
          <w:color w:val="auto"/>
          <w:sz w:val="22"/>
          <w:szCs w:val="22"/>
        </w:rPr>
      </w:pPr>
      <w:r>
        <w:rPr>
          <w:rFonts w:hint="eastAsia" w:ascii="宋体" w:hAnsi="宋体" w:eastAsia="宋体"/>
          <w:color w:val="auto"/>
          <w:sz w:val="22"/>
          <w:szCs w:val="22"/>
        </w:rPr>
        <w:t>2.3 小、微企业按上述优惠取得政府采购合同后，不得分包或转包给大型、中型企业。</w:t>
      </w:r>
    </w:p>
    <w:p>
      <w:pPr>
        <w:pStyle w:val="32"/>
        <w:snapToGrid w:val="0"/>
        <w:ind w:firstLine="440"/>
        <w:rPr>
          <w:rFonts w:ascii="宋体" w:hAnsi="宋体" w:eastAsia="宋体"/>
          <w:color w:val="auto"/>
          <w:sz w:val="22"/>
          <w:szCs w:val="22"/>
        </w:rPr>
      </w:pPr>
      <w:r>
        <w:rPr>
          <w:rFonts w:hint="eastAsia" w:ascii="宋体" w:hAnsi="宋体" w:eastAsia="宋体"/>
          <w:color w:val="auto"/>
          <w:sz w:val="22"/>
          <w:szCs w:val="22"/>
        </w:rPr>
        <w:t>3、符合《财政部、司法部关于政府采购支持监狱企业发展有关问题的通知》（财库[2014]68 号）规定的监狱企业，在全部提供本单位制造的货物（由本单位承担工程/提供服务）或者提供其他监狱企业制造的货物（不包括使用非监狱企业注册商标的货物）参加政府采购活动时，视同小型、微型企业享受 6%的价格扣除扶持政策。</w:t>
      </w:r>
    </w:p>
    <w:p>
      <w:pPr>
        <w:pStyle w:val="32"/>
        <w:snapToGrid w:val="0"/>
        <w:ind w:firstLine="440"/>
        <w:rPr>
          <w:rFonts w:ascii="宋体" w:hAnsi="宋体" w:eastAsia="宋体"/>
          <w:color w:val="auto"/>
          <w:sz w:val="22"/>
          <w:szCs w:val="22"/>
        </w:rPr>
      </w:pPr>
      <w:r>
        <w:rPr>
          <w:rFonts w:hint="eastAsia" w:ascii="宋体" w:hAnsi="宋体" w:eastAsia="宋体"/>
          <w:color w:val="auto"/>
          <w:sz w:val="22"/>
          <w:szCs w:val="22"/>
        </w:rPr>
        <w:t>备注：（1）监狱企业证明文件：省级或以上监狱管理局、戒毒管理局（含新疆生产建设兵团）出具的属于监狱企业的证明文件。（2）如果提供其他监狱企业制造的货物，还须同时提供该企业为监狱企业的证明文件。</w:t>
      </w:r>
    </w:p>
    <w:p>
      <w:pPr>
        <w:pStyle w:val="32"/>
        <w:snapToGrid w:val="0"/>
        <w:ind w:firstLine="440"/>
        <w:rPr>
          <w:rFonts w:ascii="宋体" w:hAnsi="宋体" w:eastAsia="宋体"/>
          <w:color w:val="auto"/>
          <w:sz w:val="22"/>
          <w:szCs w:val="22"/>
        </w:rPr>
      </w:pPr>
      <w:r>
        <w:rPr>
          <w:rFonts w:hint="eastAsia" w:ascii="宋体" w:hAnsi="宋体" w:eastAsia="宋体"/>
          <w:color w:val="auto"/>
          <w:sz w:val="22"/>
          <w:szCs w:val="22"/>
        </w:rPr>
        <w:t>4、符合《财政部、民政部、中国残疾人联合会关于促进残疾人就业政府采购政策的通知》（财库[2017]141 号）规定的残疾人福利性单位，在全部提供本单位制造的货物（由本单位承担工程/提供服务）或者提供其他残疾人福利性单位制造的货物（不包括使用非残疾人福利性单位注册商标的货物）参加政府采购活动时，视同小型、微型企业享受 6%价格扣除扶持政策。</w:t>
      </w:r>
    </w:p>
    <w:p>
      <w:pPr>
        <w:pStyle w:val="32"/>
        <w:snapToGrid w:val="0"/>
        <w:ind w:firstLine="440"/>
        <w:rPr>
          <w:rFonts w:ascii="宋体" w:hAnsi="宋体" w:eastAsia="宋体"/>
          <w:color w:val="auto"/>
          <w:sz w:val="22"/>
          <w:szCs w:val="22"/>
        </w:rPr>
      </w:pPr>
      <w:r>
        <w:rPr>
          <w:rFonts w:hint="eastAsia" w:ascii="宋体" w:hAnsi="宋体" w:eastAsia="宋体"/>
          <w:color w:val="auto"/>
          <w:sz w:val="22"/>
          <w:szCs w:val="22"/>
        </w:rPr>
        <w:t>备注：（1）残疾人福利性单位证明材料：残疾人福利性单位声明函。（2）如提供其他残疾人福利性单位制造的货物，还须同时提供该企业的残疾人福利性单位声明函。</w:t>
      </w:r>
    </w:p>
    <w:p>
      <w:pPr>
        <w:pStyle w:val="24"/>
        <w:adjustRightInd w:val="0"/>
        <w:snapToGrid w:val="0"/>
        <w:spacing w:line="460" w:lineRule="atLeast"/>
        <w:jc w:val="center"/>
        <w:rPr>
          <w:rFonts w:hAnsi="宋体"/>
          <w:sz w:val="30"/>
          <w:szCs w:val="30"/>
        </w:rPr>
      </w:pPr>
      <w:r>
        <w:rPr>
          <w:rFonts w:hint="eastAsia" w:hAnsi="宋体"/>
          <w:sz w:val="30"/>
          <w:szCs w:val="30"/>
        </w:rPr>
        <w:t>评 审 办 法</w:t>
      </w:r>
    </w:p>
    <w:p>
      <w:pPr>
        <w:pStyle w:val="24"/>
        <w:adjustRightInd w:val="0"/>
        <w:snapToGrid w:val="0"/>
        <w:spacing w:line="460" w:lineRule="atLeast"/>
        <w:rPr>
          <w:rFonts w:hAnsi="宋体"/>
          <w:sz w:val="22"/>
          <w:szCs w:val="22"/>
        </w:rPr>
      </w:pPr>
      <w:r>
        <w:rPr>
          <w:rFonts w:hint="eastAsia" w:hAnsi="宋体"/>
          <w:sz w:val="22"/>
          <w:szCs w:val="22"/>
        </w:rPr>
        <w:t>二、</w:t>
      </w:r>
      <w:r>
        <w:rPr>
          <w:rFonts w:hint="eastAsia" w:hAnsi="宋体"/>
          <w:sz w:val="22"/>
          <w:szCs w:val="22"/>
          <w:u w:val="single"/>
        </w:rPr>
        <w:t>技术、安装、服务、资信、业绩综合评分</w:t>
      </w:r>
      <w:r>
        <w:rPr>
          <w:rFonts w:hint="eastAsia" w:hAnsi="宋体"/>
          <w:sz w:val="22"/>
          <w:szCs w:val="22"/>
        </w:rPr>
        <w:t xml:space="preserve">   80分</w:t>
      </w:r>
    </w:p>
    <w:tbl>
      <w:tblPr>
        <w:tblStyle w:val="38"/>
        <w:tblW w:w="9749"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3212"/>
        <w:gridCol w:w="1280"/>
        <w:gridCol w:w="4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748" w:type="dxa"/>
            <w:vAlign w:val="center"/>
          </w:tcPr>
          <w:p>
            <w:pPr>
              <w:spacing w:line="440" w:lineRule="exact"/>
              <w:ind w:left="-50"/>
              <w:jc w:val="center"/>
              <w:rPr>
                <w:rFonts w:ascii="新宋体" w:hAnsi="新宋体" w:eastAsia="新宋体"/>
                <w:b/>
                <w:sz w:val="22"/>
                <w:szCs w:val="22"/>
              </w:rPr>
            </w:pPr>
            <w:r>
              <w:rPr>
                <w:rFonts w:hint="eastAsia" w:ascii="新宋体" w:hAnsi="新宋体" w:eastAsia="新宋体"/>
                <w:b/>
                <w:sz w:val="22"/>
                <w:szCs w:val="22"/>
              </w:rPr>
              <w:t>序号</w:t>
            </w:r>
          </w:p>
        </w:tc>
        <w:tc>
          <w:tcPr>
            <w:tcW w:w="3212" w:type="dxa"/>
            <w:vAlign w:val="center"/>
          </w:tcPr>
          <w:p>
            <w:pPr>
              <w:spacing w:line="440" w:lineRule="exact"/>
              <w:ind w:left="-50"/>
              <w:jc w:val="center"/>
              <w:rPr>
                <w:rFonts w:ascii="新宋体" w:hAnsi="新宋体" w:eastAsia="新宋体"/>
                <w:b/>
                <w:sz w:val="22"/>
                <w:szCs w:val="22"/>
              </w:rPr>
            </w:pPr>
            <w:r>
              <w:rPr>
                <w:rFonts w:hint="eastAsia" w:ascii="新宋体" w:hAnsi="新宋体" w:eastAsia="新宋体"/>
                <w:b/>
                <w:sz w:val="22"/>
                <w:szCs w:val="22"/>
              </w:rPr>
              <w:t>评分内容</w:t>
            </w:r>
          </w:p>
        </w:tc>
        <w:tc>
          <w:tcPr>
            <w:tcW w:w="1280" w:type="dxa"/>
            <w:tcBorders>
              <w:right w:val="single" w:color="auto" w:sz="6" w:space="0"/>
            </w:tcBorders>
            <w:vAlign w:val="center"/>
          </w:tcPr>
          <w:p>
            <w:pPr>
              <w:spacing w:line="440" w:lineRule="exact"/>
              <w:jc w:val="center"/>
              <w:rPr>
                <w:rFonts w:ascii="新宋体" w:hAnsi="新宋体" w:eastAsia="新宋体"/>
                <w:b/>
                <w:sz w:val="22"/>
                <w:szCs w:val="22"/>
              </w:rPr>
            </w:pPr>
            <w:r>
              <w:rPr>
                <w:rFonts w:hint="eastAsia" w:ascii="新宋体" w:hAnsi="新宋体" w:eastAsia="新宋体"/>
                <w:b/>
                <w:sz w:val="22"/>
                <w:szCs w:val="22"/>
              </w:rPr>
              <w:t>分值范围</w:t>
            </w:r>
          </w:p>
        </w:tc>
        <w:tc>
          <w:tcPr>
            <w:tcW w:w="4509" w:type="dxa"/>
            <w:tcBorders>
              <w:left w:val="single" w:color="auto" w:sz="6" w:space="0"/>
            </w:tcBorders>
            <w:vAlign w:val="center"/>
          </w:tcPr>
          <w:p>
            <w:pPr>
              <w:spacing w:line="440" w:lineRule="exact"/>
              <w:ind w:left="-50"/>
              <w:jc w:val="center"/>
              <w:rPr>
                <w:rFonts w:ascii="新宋体" w:hAnsi="新宋体" w:eastAsia="新宋体"/>
                <w:b/>
                <w:sz w:val="22"/>
                <w:szCs w:val="22"/>
              </w:rPr>
            </w:pPr>
            <w:r>
              <w:rPr>
                <w:rFonts w:hint="eastAsia" w:ascii="新宋体" w:hAnsi="新宋体" w:eastAsia="新宋体"/>
                <w:b/>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748" w:type="dxa"/>
            <w:vAlign w:val="center"/>
          </w:tcPr>
          <w:p>
            <w:pPr>
              <w:spacing w:line="440" w:lineRule="exact"/>
              <w:ind w:left="-50"/>
              <w:jc w:val="center"/>
              <w:rPr>
                <w:rFonts w:ascii="新宋体" w:hAnsi="新宋体" w:eastAsia="新宋体"/>
                <w:b/>
                <w:color w:val="000000"/>
                <w:sz w:val="22"/>
                <w:szCs w:val="22"/>
              </w:rPr>
            </w:pPr>
            <w:r>
              <w:rPr>
                <w:rFonts w:hint="eastAsia" w:ascii="新宋体" w:hAnsi="新宋体" w:eastAsia="新宋体"/>
                <w:b/>
                <w:color w:val="000000"/>
                <w:sz w:val="22"/>
                <w:szCs w:val="22"/>
              </w:rPr>
              <w:t>1</w:t>
            </w:r>
          </w:p>
        </w:tc>
        <w:tc>
          <w:tcPr>
            <w:tcW w:w="9001" w:type="dxa"/>
            <w:gridSpan w:val="3"/>
            <w:tcBorders>
              <w:bottom w:val="single" w:color="auto" w:sz="8" w:space="0"/>
            </w:tcBorders>
            <w:vAlign w:val="center"/>
          </w:tcPr>
          <w:p>
            <w:pPr>
              <w:rPr>
                <w:rFonts w:ascii="新宋体" w:hAnsi="新宋体" w:eastAsia="新宋体"/>
                <w:color w:val="000000"/>
                <w:sz w:val="22"/>
                <w:szCs w:val="22"/>
              </w:rPr>
            </w:pPr>
            <w:r>
              <w:rPr>
                <w:rFonts w:hint="eastAsia" w:ascii="新宋体" w:hAnsi="新宋体" w:eastAsia="新宋体"/>
                <w:color w:val="000000"/>
                <w:sz w:val="22"/>
                <w:szCs w:val="22"/>
              </w:rPr>
              <w:t>组织实施方案（0-60分）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748" w:type="dxa"/>
            <w:vMerge w:val="restart"/>
            <w:vAlign w:val="center"/>
          </w:tcPr>
          <w:p>
            <w:pPr>
              <w:spacing w:line="440" w:lineRule="exact"/>
              <w:ind w:left="-50"/>
              <w:jc w:val="center"/>
              <w:rPr>
                <w:rFonts w:ascii="新宋体" w:hAnsi="新宋体" w:eastAsia="新宋体"/>
                <w:b/>
                <w:color w:val="000000"/>
                <w:sz w:val="22"/>
                <w:szCs w:val="22"/>
              </w:rPr>
            </w:pPr>
            <w:r>
              <w:rPr>
                <w:rFonts w:hint="eastAsia" w:ascii="新宋体" w:hAnsi="新宋体" w:eastAsia="新宋体"/>
                <w:b/>
                <w:color w:val="000000"/>
                <w:sz w:val="22"/>
                <w:szCs w:val="22"/>
              </w:rPr>
              <w:t>1.1</w:t>
            </w:r>
          </w:p>
        </w:tc>
        <w:tc>
          <w:tcPr>
            <w:tcW w:w="3212" w:type="dxa"/>
            <w:vMerge w:val="restart"/>
            <w:vAlign w:val="center"/>
          </w:tcPr>
          <w:p>
            <w:pPr>
              <w:rPr>
                <w:rFonts w:ascii="新宋体" w:hAnsi="新宋体" w:eastAsia="新宋体"/>
                <w:color w:val="000000"/>
                <w:sz w:val="22"/>
                <w:szCs w:val="22"/>
              </w:rPr>
            </w:pPr>
            <w:r>
              <w:rPr>
                <w:rFonts w:hint="eastAsia" w:ascii="新宋体" w:hAnsi="新宋体" w:eastAsia="新宋体"/>
                <w:color w:val="000000"/>
                <w:sz w:val="22"/>
                <w:szCs w:val="22"/>
              </w:rPr>
              <w:t>项目管理保洁、维养工作的现状调查与问题剖析</w:t>
            </w:r>
          </w:p>
        </w:tc>
        <w:tc>
          <w:tcPr>
            <w:tcW w:w="1280" w:type="dxa"/>
            <w:vMerge w:val="restart"/>
            <w:tcBorders>
              <w:right w:val="single" w:color="auto" w:sz="6"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0-15</w:t>
            </w:r>
          </w:p>
        </w:tc>
        <w:tc>
          <w:tcPr>
            <w:tcW w:w="4509" w:type="dxa"/>
            <w:tcBorders>
              <w:left w:val="single" w:color="auto" w:sz="6" w:space="0"/>
            </w:tcBorders>
            <w:vAlign w:val="center"/>
          </w:tcPr>
          <w:p>
            <w:pPr>
              <w:rPr>
                <w:rFonts w:ascii="新宋体" w:hAnsi="新宋体" w:eastAsia="新宋体"/>
                <w:color w:val="000000"/>
                <w:sz w:val="22"/>
                <w:szCs w:val="22"/>
              </w:rPr>
            </w:pPr>
            <w:r>
              <w:rPr>
                <w:rFonts w:hint="eastAsia" w:ascii="新宋体" w:hAnsi="新宋体" w:eastAsia="新宋体"/>
                <w:color w:val="000000"/>
                <w:sz w:val="22"/>
                <w:szCs w:val="22"/>
              </w:rPr>
              <w:t>根据投标供应商对项目范围内的现状、存在的问题分析等；（0-5分）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48" w:type="dxa"/>
            <w:vMerge w:val="continue"/>
            <w:vAlign w:val="center"/>
          </w:tcPr>
          <w:p>
            <w:pPr>
              <w:spacing w:line="440" w:lineRule="exact"/>
              <w:ind w:left="-50"/>
              <w:jc w:val="center"/>
              <w:rPr>
                <w:rFonts w:ascii="新宋体" w:hAnsi="新宋体" w:eastAsia="新宋体"/>
                <w:b/>
                <w:color w:val="000000"/>
                <w:sz w:val="22"/>
                <w:szCs w:val="22"/>
              </w:rPr>
            </w:pPr>
          </w:p>
        </w:tc>
        <w:tc>
          <w:tcPr>
            <w:tcW w:w="3212" w:type="dxa"/>
            <w:vMerge w:val="continue"/>
            <w:vAlign w:val="center"/>
          </w:tcPr>
          <w:p>
            <w:pPr>
              <w:rPr>
                <w:rFonts w:ascii="新宋体" w:hAnsi="新宋体" w:eastAsia="新宋体"/>
                <w:color w:val="000000"/>
                <w:sz w:val="22"/>
                <w:szCs w:val="22"/>
              </w:rPr>
            </w:pPr>
          </w:p>
        </w:tc>
        <w:tc>
          <w:tcPr>
            <w:tcW w:w="1280" w:type="dxa"/>
            <w:vMerge w:val="continue"/>
            <w:tcBorders>
              <w:right w:val="single" w:color="auto" w:sz="6" w:space="0"/>
            </w:tcBorders>
            <w:vAlign w:val="center"/>
          </w:tcPr>
          <w:p>
            <w:pPr>
              <w:jc w:val="center"/>
              <w:rPr>
                <w:rFonts w:ascii="新宋体" w:hAnsi="新宋体" w:eastAsia="新宋体"/>
                <w:color w:val="000000"/>
                <w:sz w:val="22"/>
                <w:szCs w:val="22"/>
              </w:rPr>
            </w:pPr>
          </w:p>
        </w:tc>
        <w:tc>
          <w:tcPr>
            <w:tcW w:w="4509" w:type="dxa"/>
            <w:tcBorders>
              <w:left w:val="single" w:color="auto" w:sz="6" w:space="0"/>
            </w:tcBorders>
            <w:vAlign w:val="center"/>
          </w:tcPr>
          <w:p>
            <w:pPr>
              <w:rPr>
                <w:rFonts w:ascii="新宋体" w:hAnsi="新宋体" w:eastAsia="新宋体"/>
                <w:color w:val="000000"/>
                <w:sz w:val="22"/>
                <w:szCs w:val="22"/>
              </w:rPr>
            </w:pPr>
            <w:r>
              <w:rPr>
                <w:rFonts w:hint="eastAsia" w:ascii="新宋体" w:hAnsi="新宋体" w:eastAsia="新宋体"/>
                <w:color w:val="000000"/>
                <w:sz w:val="22"/>
                <w:szCs w:val="22"/>
              </w:rPr>
              <w:t>本项目保洁、维养的重点、难点等问题进行调查剖析；（0-5分）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748" w:type="dxa"/>
            <w:vMerge w:val="continue"/>
            <w:vAlign w:val="center"/>
          </w:tcPr>
          <w:p>
            <w:pPr>
              <w:spacing w:line="440" w:lineRule="exact"/>
              <w:ind w:left="-50"/>
              <w:jc w:val="center"/>
              <w:rPr>
                <w:rFonts w:ascii="新宋体" w:hAnsi="新宋体" w:eastAsia="新宋体"/>
                <w:b/>
                <w:color w:val="000000"/>
                <w:sz w:val="22"/>
                <w:szCs w:val="22"/>
              </w:rPr>
            </w:pPr>
          </w:p>
        </w:tc>
        <w:tc>
          <w:tcPr>
            <w:tcW w:w="3212" w:type="dxa"/>
            <w:vMerge w:val="continue"/>
            <w:vAlign w:val="center"/>
          </w:tcPr>
          <w:p>
            <w:pPr>
              <w:rPr>
                <w:rFonts w:ascii="新宋体" w:hAnsi="新宋体" w:eastAsia="新宋体"/>
                <w:color w:val="000000"/>
                <w:sz w:val="22"/>
                <w:szCs w:val="22"/>
              </w:rPr>
            </w:pPr>
          </w:p>
        </w:tc>
        <w:tc>
          <w:tcPr>
            <w:tcW w:w="1280" w:type="dxa"/>
            <w:vMerge w:val="continue"/>
            <w:tcBorders>
              <w:right w:val="single" w:color="auto" w:sz="6" w:space="0"/>
            </w:tcBorders>
            <w:vAlign w:val="center"/>
          </w:tcPr>
          <w:p>
            <w:pPr>
              <w:jc w:val="center"/>
              <w:rPr>
                <w:rFonts w:ascii="新宋体" w:hAnsi="新宋体" w:eastAsia="新宋体"/>
                <w:color w:val="000000"/>
                <w:sz w:val="22"/>
                <w:szCs w:val="22"/>
              </w:rPr>
            </w:pPr>
          </w:p>
        </w:tc>
        <w:tc>
          <w:tcPr>
            <w:tcW w:w="4509" w:type="dxa"/>
            <w:tcBorders>
              <w:left w:val="single" w:color="auto" w:sz="6" w:space="0"/>
            </w:tcBorders>
            <w:vAlign w:val="center"/>
          </w:tcPr>
          <w:p>
            <w:pPr>
              <w:rPr>
                <w:rFonts w:ascii="新宋体" w:hAnsi="新宋体" w:eastAsia="新宋体"/>
                <w:color w:val="000000"/>
                <w:sz w:val="22"/>
                <w:szCs w:val="22"/>
              </w:rPr>
            </w:pPr>
            <w:r>
              <w:rPr>
                <w:rFonts w:hint="eastAsia" w:ascii="新宋体" w:hAnsi="新宋体" w:eastAsia="新宋体"/>
                <w:color w:val="000000"/>
                <w:sz w:val="22"/>
                <w:szCs w:val="22"/>
              </w:rPr>
              <w:t>针对性的提出合理化的看法、设想和建议；（0-5分）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748" w:type="dxa"/>
            <w:vMerge w:val="restart"/>
            <w:tcBorders>
              <w:bottom w:val="single" w:color="auto" w:sz="4" w:space="0"/>
            </w:tcBorders>
            <w:vAlign w:val="center"/>
          </w:tcPr>
          <w:p>
            <w:pPr>
              <w:spacing w:line="440" w:lineRule="exact"/>
              <w:ind w:left="-50"/>
              <w:jc w:val="center"/>
              <w:rPr>
                <w:rFonts w:ascii="新宋体" w:hAnsi="新宋体" w:eastAsia="新宋体"/>
                <w:b/>
                <w:color w:val="000000"/>
                <w:sz w:val="22"/>
                <w:szCs w:val="22"/>
              </w:rPr>
            </w:pPr>
            <w:r>
              <w:rPr>
                <w:rFonts w:hint="eastAsia" w:ascii="新宋体" w:hAnsi="新宋体" w:eastAsia="新宋体"/>
                <w:b/>
                <w:color w:val="000000"/>
                <w:sz w:val="22"/>
                <w:szCs w:val="22"/>
              </w:rPr>
              <w:t>1.2</w:t>
            </w:r>
          </w:p>
        </w:tc>
        <w:tc>
          <w:tcPr>
            <w:tcW w:w="3212" w:type="dxa"/>
            <w:vMerge w:val="restart"/>
            <w:tcBorders>
              <w:top w:val="single" w:color="auto" w:sz="8" w:space="0"/>
            </w:tcBorders>
            <w:vAlign w:val="center"/>
          </w:tcPr>
          <w:p>
            <w:pPr>
              <w:rPr>
                <w:rFonts w:ascii="新宋体" w:hAnsi="新宋体" w:eastAsia="新宋体"/>
                <w:color w:val="000000"/>
                <w:sz w:val="22"/>
                <w:szCs w:val="22"/>
              </w:rPr>
            </w:pPr>
            <w:r>
              <w:rPr>
                <w:rFonts w:hint="eastAsia" w:ascii="新宋体" w:hAnsi="新宋体" w:eastAsia="新宋体"/>
                <w:color w:val="000000"/>
                <w:sz w:val="22"/>
                <w:szCs w:val="22"/>
              </w:rPr>
              <w:t>项目管理服务机构设置及整体服务方案、运作流程、监管方式及计划</w:t>
            </w:r>
          </w:p>
        </w:tc>
        <w:tc>
          <w:tcPr>
            <w:tcW w:w="1280" w:type="dxa"/>
            <w:vMerge w:val="restart"/>
            <w:tcBorders>
              <w:top w:val="single" w:color="auto" w:sz="8" w:space="0"/>
              <w:bottom w:val="single" w:color="auto" w:sz="4" w:space="0"/>
              <w:right w:val="single" w:color="auto" w:sz="6" w:space="0"/>
            </w:tcBorders>
            <w:vAlign w:val="center"/>
          </w:tcPr>
          <w:p>
            <w:pPr>
              <w:spacing w:line="440" w:lineRule="exact"/>
              <w:jc w:val="center"/>
              <w:rPr>
                <w:rFonts w:ascii="新宋体" w:hAnsi="新宋体" w:eastAsia="新宋体"/>
                <w:color w:val="000000"/>
                <w:sz w:val="22"/>
                <w:szCs w:val="22"/>
              </w:rPr>
            </w:pPr>
            <w:r>
              <w:rPr>
                <w:rFonts w:hint="eastAsia" w:ascii="新宋体" w:hAnsi="新宋体" w:eastAsia="新宋体"/>
                <w:color w:val="000000"/>
                <w:sz w:val="22"/>
                <w:szCs w:val="22"/>
              </w:rPr>
              <w:t>0-13</w:t>
            </w:r>
          </w:p>
        </w:tc>
        <w:tc>
          <w:tcPr>
            <w:tcW w:w="4509" w:type="dxa"/>
            <w:tcBorders>
              <w:top w:val="single" w:color="auto" w:sz="8" w:space="0"/>
              <w:left w:val="single" w:color="auto" w:sz="6" w:space="0"/>
              <w:bottom w:val="single" w:color="auto" w:sz="4" w:space="0"/>
            </w:tcBorders>
            <w:vAlign w:val="center"/>
          </w:tcPr>
          <w:p>
            <w:pPr>
              <w:rPr>
                <w:rFonts w:ascii="新宋体" w:hAnsi="新宋体" w:eastAsia="新宋体"/>
                <w:color w:val="000000"/>
                <w:sz w:val="22"/>
                <w:szCs w:val="22"/>
              </w:rPr>
            </w:pPr>
            <w:r>
              <w:rPr>
                <w:rFonts w:hint="eastAsia" w:ascii="宋体" w:hAnsi="宋体"/>
                <w:color w:val="000000"/>
                <w:sz w:val="22"/>
                <w:szCs w:val="22"/>
              </w:rPr>
              <w:t>保洁、运行、维养</w:t>
            </w:r>
            <w:r>
              <w:rPr>
                <w:rFonts w:hint="eastAsia" w:ascii="新宋体" w:hAnsi="新宋体" w:eastAsia="新宋体"/>
                <w:color w:val="000000"/>
                <w:sz w:val="22"/>
                <w:szCs w:val="22"/>
              </w:rPr>
              <w:t>操作规程、标准及承诺,其它作业机具及物资装备的配置（包括住宿安全、作业安全、物资设备安放等）情况；（0-6）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48" w:type="dxa"/>
            <w:vMerge w:val="continue"/>
            <w:vAlign w:val="center"/>
          </w:tcPr>
          <w:p>
            <w:pPr>
              <w:spacing w:line="440" w:lineRule="exact"/>
              <w:ind w:left="-50"/>
              <w:jc w:val="center"/>
              <w:rPr>
                <w:rFonts w:ascii="新宋体" w:hAnsi="新宋体" w:eastAsia="新宋体"/>
                <w:b/>
                <w:color w:val="000000"/>
                <w:sz w:val="22"/>
                <w:szCs w:val="22"/>
              </w:rPr>
            </w:pPr>
          </w:p>
        </w:tc>
        <w:tc>
          <w:tcPr>
            <w:tcW w:w="3212" w:type="dxa"/>
            <w:vMerge w:val="continue"/>
            <w:vAlign w:val="center"/>
          </w:tcPr>
          <w:p>
            <w:pPr>
              <w:rPr>
                <w:rFonts w:ascii="新宋体" w:hAnsi="新宋体" w:eastAsia="新宋体"/>
                <w:color w:val="000000"/>
                <w:sz w:val="22"/>
                <w:szCs w:val="22"/>
              </w:rPr>
            </w:pPr>
          </w:p>
        </w:tc>
        <w:tc>
          <w:tcPr>
            <w:tcW w:w="1280" w:type="dxa"/>
            <w:vMerge w:val="continue"/>
            <w:tcBorders>
              <w:right w:val="single" w:color="auto" w:sz="6" w:space="0"/>
            </w:tcBorders>
            <w:vAlign w:val="center"/>
          </w:tcPr>
          <w:p>
            <w:pPr>
              <w:spacing w:line="440" w:lineRule="exact"/>
              <w:jc w:val="center"/>
              <w:rPr>
                <w:rFonts w:ascii="新宋体" w:hAnsi="新宋体" w:eastAsia="新宋体"/>
                <w:color w:val="000000"/>
                <w:sz w:val="22"/>
                <w:szCs w:val="22"/>
              </w:rPr>
            </w:pPr>
          </w:p>
        </w:tc>
        <w:tc>
          <w:tcPr>
            <w:tcW w:w="4509" w:type="dxa"/>
            <w:tcBorders>
              <w:left w:val="single" w:color="auto" w:sz="6" w:space="0"/>
              <w:bottom w:val="single" w:color="auto" w:sz="4" w:space="0"/>
            </w:tcBorders>
            <w:vAlign w:val="center"/>
          </w:tcPr>
          <w:p>
            <w:pPr>
              <w:rPr>
                <w:rFonts w:ascii="新宋体" w:hAnsi="新宋体" w:eastAsia="新宋体"/>
                <w:color w:val="000000"/>
                <w:sz w:val="22"/>
                <w:szCs w:val="22"/>
              </w:rPr>
            </w:pPr>
            <w:r>
              <w:rPr>
                <w:rFonts w:hint="eastAsia" w:ascii="新宋体" w:hAnsi="新宋体" w:eastAsia="新宋体"/>
                <w:color w:val="000000"/>
                <w:sz w:val="22"/>
                <w:szCs w:val="22"/>
              </w:rPr>
              <w:t>文明施工、安全生产等各种制度。（0-3）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748" w:type="dxa"/>
            <w:vMerge w:val="continue"/>
            <w:vAlign w:val="center"/>
          </w:tcPr>
          <w:p>
            <w:pPr>
              <w:spacing w:line="440" w:lineRule="exact"/>
              <w:ind w:left="-50"/>
              <w:jc w:val="center"/>
              <w:rPr>
                <w:rFonts w:ascii="新宋体" w:hAnsi="新宋体" w:eastAsia="新宋体"/>
                <w:b/>
                <w:color w:val="000000"/>
                <w:sz w:val="22"/>
                <w:szCs w:val="22"/>
              </w:rPr>
            </w:pPr>
          </w:p>
        </w:tc>
        <w:tc>
          <w:tcPr>
            <w:tcW w:w="3212" w:type="dxa"/>
            <w:vMerge w:val="continue"/>
            <w:tcBorders>
              <w:bottom w:val="single" w:color="auto" w:sz="4" w:space="0"/>
            </w:tcBorders>
            <w:vAlign w:val="center"/>
          </w:tcPr>
          <w:p>
            <w:pPr>
              <w:rPr>
                <w:rFonts w:ascii="新宋体" w:hAnsi="新宋体" w:eastAsia="新宋体"/>
                <w:color w:val="000000"/>
                <w:sz w:val="22"/>
                <w:szCs w:val="22"/>
              </w:rPr>
            </w:pPr>
          </w:p>
        </w:tc>
        <w:tc>
          <w:tcPr>
            <w:tcW w:w="1280" w:type="dxa"/>
            <w:vMerge w:val="continue"/>
            <w:tcBorders>
              <w:bottom w:val="single" w:color="auto" w:sz="8" w:space="0"/>
              <w:right w:val="single" w:color="auto" w:sz="6" w:space="0"/>
            </w:tcBorders>
            <w:vAlign w:val="center"/>
          </w:tcPr>
          <w:p>
            <w:pPr>
              <w:spacing w:line="440" w:lineRule="exact"/>
              <w:jc w:val="center"/>
              <w:rPr>
                <w:rFonts w:ascii="新宋体" w:hAnsi="新宋体" w:eastAsia="新宋体"/>
                <w:color w:val="000000"/>
                <w:sz w:val="22"/>
                <w:szCs w:val="22"/>
              </w:rPr>
            </w:pPr>
          </w:p>
        </w:tc>
        <w:tc>
          <w:tcPr>
            <w:tcW w:w="4509" w:type="dxa"/>
            <w:tcBorders>
              <w:left w:val="single" w:color="auto" w:sz="6" w:space="0"/>
              <w:bottom w:val="single" w:color="auto" w:sz="8" w:space="0"/>
            </w:tcBorders>
            <w:vAlign w:val="center"/>
          </w:tcPr>
          <w:p>
            <w:pPr>
              <w:rPr>
                <w:rFonts w:ascii="新宋体" w:hAnsi="新宋体" w:eastAsia="新宋体"/>
                <w:color w:val="000000"/>
                <w:sz w:val="22"/>
                <w:szCs w:val="22"/>
              </w:rPr>
            </w:pPr>
            <w:r>
              <w:rPr>
                <w:rFonts w:hint="eastAsia" w:ascii="新宋体" w:hAnsi="新宋体" w:eastAsia="新宋体"/>
                <w:color w:val="000000"/>
                <w:sz w:val="22"/>
                <w:szCs w:val="22"/>
              </w:rPr>
              <w:t>供应商监管方式及计划，内部考核、运行记录、奖罚制度；（0-4）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48" w:type="dxa"/>
            <w:vMerge w:val="restart"/>
            <w:vAlign w:val="center"/>
          </w:tcPr>
          <w:p>
            <w:pPr>
              <w:spacing w:line="440" w:lineRule="exact"/>
              <w:rPr>
                <w:rFonts w:ascii="新宋体" w:hAnsi="新宋体" w:eastAsia="新宋体"/>
                <w:b/>
                <w:color w:val="000000"/>
                <w:sz w:val="22"/>
                <w:szCs w:val="22"/>
              </w:rPr>
            </w:pPr>
            <w:r>
              <w:rPr>
                <w:rFonts w:hint="eastAsia" w:ascii="新宋体" w:hAnsi="新宋体" w:eastAsia="新宋体"/>
                <w:b/>
                <w:color w:val="000000"/>
                <w:sz w:val="22"/>
                <w:szCs w:val="22"/>
              </w:rPr>
              <w:t>1.3</w:t>
            </w:r>
          </w:p>
        </w:tc>
        <w:tc>
          <w:tcPr>
            <w:tcW w:w="3212" w:type="dxa"/>
            <w:vMerge w:val="restart"/>
            <w:tcBorders>
              <w:top w:val="single" w:color="auto" w:sz="4" w:space="0"/>
            </w:tcBorders>
            <w:vAlign w:val="center"/>
          </w:tcPr>
          <w:p>
            <w:pPr>
              <w:rPr>
                <w:rFonts w:ascii="新宋体" w:hAnsi="新宋体" w:eastAsia="新宋体"/>
                <w:color w:val="000000"/>
                <w:sz w:val="22"/>
                <w:szCs w:val="22"/>
              </w:rPr>
            </w:pPr>
            <w:r>
              <w:rPr>
                <w:rFonts w:hint="eastAsia" w:ascii="新宋体" w:hAnsi="新宋体" w:eastAsia="新宋体"/>
                <w:color w:val="000000"/>
                <w:sz w:val="22"/>
                <w:szCs w:val="22"/>
              </w:rPr>
              <w:t>项目人员实施计划和方案；</w:t>
            </w:r>
          </w:p>
        </w:tc>
        <w:tc>
          <w:tcPr>
            <w:tcW w:w="1280" w:type="dxa"/>
            <w:vMerge w:val="restart"/>
            <w:tcBorders>
              <w:top w:val="single" w:color="auto" w:sz="8" w:space="0"/>
              <w:right w:val="single" w:color="auto" w:sz="6" w:space="0"/>
            </w:tcBorders>
            <w:vAlign w:val="center"/>
          </w:tcPr>
          <w:p>
            <w:pPr>
              <w:spacing w:line="440" w:lineRule="exact"/>
              <w:jc w:val="center"/>
              <w:rPr>
                <w:rFonts w:ascii="新宋体" w:hAnsi="新宋体" w:eastAsia="新宋体"/>
                <w:color w:val="000000"/>
                <w:sz w:val="22"/>
                <w:szCs w:val="22"/>
              </w:rPr>
            </w:pPr>
            <w:r>
              <w:rPr>
                <w:rFonts w:hint="eastAsia" w:ascii="新宋体" w:hAnsi="新宋体" w:eastAsia="新宋体"/>
                <w:color w:val="000000"/>
                <w:sz w:val="22"/>
                <w:szCs w:val="22"/>
              </w:rPr>
              <w:t>0-16</w:t>
            </w:r>
          </w:p>
        </w:tc>
        <w:tc>
          <w:tcPr>
            <w:tcW w:w="4509" w:type="dxa"/>
            <w:tcBorders>
              <w:top w:val="single" w:color="auto" w:sz="8" w:space="0"/>
              <w:left w:val="single" w:color="auto" w:sz="6" w:space="0"/>
            </w:tcBorders>
            <w:vAlign w:val="center"/>
          </w:tcPr>
          <w:p>
            <w:pPr>
              <w:rPr>
                <w:rFonts w:ascii="新宋体" w:hAnsi="新宋体" w:eastAsia="新宋体"/>
                <w:color w:val="000000"/>
                <w:sz w:val="22"/>
                <w:szCs w:val="22"/>
              </w:rPr>
            </w:pPr>
            <w:r>
              <w:rPr>
                <w:rFonts w:hint="eastAsia" w:ascii="新宋体" w:hAnsi="新宋体" w:eastAsia="新宋体"/>
                <w:color w:val="000000"/>
                <w:sz w:val="22"/>
                <w:szCs w:val="22"/>
              </w:rPr>
              <w:t>运行人员配置及计划（0-3），工作计划描述（0-2），酌情打分；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48" w:type="dxa"/>
            <w:vMerge w:val="continue"/>
            <w:vAlign w:val="center"/>
          </w:tcPr>
          <w:p>
            <w:pPr>
              <w:spacing w:line="440" w:lineRule="exact"/>
              <w:rPr>
                <w:rFonts w:ascii="新宋体" w:hAnsi="新宋体" w:eastAsia="新宋体"/>
                <w:b/>
                <w:color w:val="000000"/>
                <w:sz w:val="22"/>
                <w:szCs w:val="22"/>
              </w:rPr>
            </w:pPr>
          </w:p>
        </w:tc>
        <w:tc>
          <w:tcPr>
            <w:tcW w:w="3212" w:type="dxa"/>
            <w:vMerge w:val="continue"/>
            <w:vAlign w:val="center"/>
          </w:tcPr>
          <w:p>
            <w:pPr>
              <w:rPr>
                <w:rFonts w:ascii="新宋体" w:hAnsi="新宋体" w:eastAsia="新宋体"/>
                <w:color w:val="000000"/>
                <w:sz w:val="22"/>
                <w:szCs w:val="22"/>
              </w:rPr>
            </w:pPr>
          </w:p>
        </w:tc>
        <w:tc>
          <w:tcPr>
            <w:tcW w:w="1280" w:type="dxa"/>
            <w:vMerge w:val="continue"/>
            <w:tcBorders>
              <w:right w:val="single" w:color="auto" w:sz="6" w:space="0"/>
            </w:tcBorders>
            <w:vAlign w:val="center"/>
          </w:tcPr>
          <w:p>
            <w:pPr>
              <w:spacing w:line="440" w:lineRule="exact"/>
              <w:jc w:val="center"/>
              <w:rPr>
                <w:rFonts w:ascii="新宋体" w:hAnsi="新宋体" w:eastAsia="新宋体"/>
                <w:color w:val="000000"/>
                <w:sz w:val="22"/>
                <w:szCs w:val="22"/>
              </w:rPr>
            </w:pPr>
          </w:p>
        </w:tc>
        <w:tc>
          <w:tcPr>
            <w:tcW w:w="4509" w:type="dxa"/>
            <w:tcBorders>
              <w:top w:val="single" w:color="auto" w:sz="4" w:space="0"/>
              <w:left w:val="single" w:color="auto" w:sz="6" w:space="0"/>
            </w:tcBorders>
            <w:vAlign w:val="center"/>
          </w:tcPr>
          <w:p>
            <w:pPr>
              <w:rPr>
                <w:rFonts w:ascii="新宋体" w:hAnsi="新宋体" w:eastAsia="新宋体"/>
                <w:color w:val="000000"/>
                <w:sz w:val="22"/>
                <w:szCs w:val="22"/>
              </w:rPr>
            </w:pPr>
            <w:r>
              <w:rPr>
                <w:rFonts w:hint="eastAsia" w:ascii="新宋体" w:hAnsi="新宋体" w:eastAsia="新宋体"/>
                <w:color w:val="000000"/>
                <w:sz w:val="22"/>
                <w:szCs w:val="22"/>
              </w:rPr>
              <w:t>保洁、维养人员配置及计划（0-3），分工计划描述（0-2）；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748" w:type="dxa"/>
            <w:vMerge w:val="continue"/>
            <w:vAlign w:val="center"/>
          </w:tcPr>
          <w:p>
            <w:pPr>
              <w:spacing w:line="440" w:lineRule="exact"/>
              <w:rPr>
                <w:rFonts w:ascii="新宋体" w:hAnsi="新宋体" w:eastAsia="新宋体"/>
                <w:b/>
                <w:color w:val="000000"/>
                <w:sz w:val="22"/>
                <w:szCs w:val="22"/>
              </w:rPr>
            </w:pPr>
          </w:p>
        </w:tc>
        <w:tc>
          <w:tcPr>
            <w:tcW w:w="3212" w:type="dxa"/>
            <w:vMerge w:val="continue"/>
            <w:vAlign w:val="center"/>
          </w:tcPr>
          <w:p>
            <w:pPr>
              <w:rPr>
                <w:rFonts w:ascii="新宋体" w:hAnsi="新宋体" w:eastAsia="新宋体"/>
                <w:color w:val="000000"/>
                <w:sz w:val="22"/>
                <w:szCs w:val="22"/>
              </w:rPr>
            </w:pPr>
          </w:p>
        </w:tc>
        <w:tc>
          <w:tcPr>
            <w:tcW w:w="1280" w:type="dxa"/>
            <w:vMerge w:val="continue"/>
            <w:tcBorders>
              <w:right w:val="single" w:color="auto" w:sz="6" w:space="0"/>
            </w:tcBorders>
            <w:vAlign w:val="center"/>
          </w:tcPr>
          <w:p>
            <w:pPr>
              <w:spacing w:line="440" w:lineRule="exact"/>
              <w:jc w:val="center"/>
              <w:rPr>
                <w:rFonts w:ascii="新宋体" w:hAnsi="新宋体" w:eastAsia="新宋体"/>
                <w:color w:val="000000"/>
                <w:sz w:val="22"/>
                <w:szCs w:val="22"/>
              </w:rPr>
            </w:pPr>
          </w:p>
        </w:tc>
        <w:tc>
          <w:tcPr>
            <w:tcW w:w="4509" w:type="dxa"/>
            <w:tcBorders>
              <w:top w:val="single" w:color="auto" w:sz="4" w:space="0"/>
              <w:left w:val="single" w:color="auto" w:sz="6" w:space="0"/>
            </w:tcBorders>
            <w:vAlign w:val="center"/>
          </w:tcPr>
          <w:p>
            <w:pPr>
              <w:rPr>
                <w:rFonts w:ascii="新宋体" w:hAnsi="新宋体" w:eastAsia="新宋体"/>
                <w:color w:val="000000"/>
                <w:sz w:val="22"/>
                <w:szCs w:val="22"/>
              </w:rPr>
            </w:pPr>
            <w:r>
              <w:rPr>
                <w:rFonts w:hint="eastAsia" w:ascii="新宋体" w:hAnsi="新宋体" w:eastAsia="新宋体"/>
                <w:color w:val="000000"/>
                <w:sz w:val="22"/>
                <w:szCs w:val="22"/>
              </w:rPr>
              <w:t>其他专业人员配置（0-4）和分工计划描述原因（0-2）；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748" w:type="dxa"/>
            <w:vAlign w:val="center"/>
          </w:tcPr>
          <w:p>
            <w:pPr>
              <w:spacing w:line="440" w:lineRule="exact"/>
              <w:rPr>
                <w:rFonts w:ascii="新宋体" w:hAnsi="新宋体" w:eastAsia="新宋体"/>
                <w:b/>
                <w:color w:val="000000"/>
                <w:sz w:val="22"/>
                <w:szCs w:val="22"/>
              </w:rPr>
            </w:pPr>
            <w:r>
              <w:rPr>
                <w:rFonts w:hint="eastAsia" w:ascii="新宋体" w:hAnsi="新宋体" w:eastAsia="新宋体"/>
                <w:b/>
                <w:color w:val="000000"/>
                <w:sz w:val="22"/>
                <w:szCs w:val="22"/>
              </w:rPr>
              <w:t>1.4</w:t>
            </w:r>
          </w:p>
        </w:tc>
        <w:tc>
          <w:tcPr>
            <w:tcW w:w="3212" w:type="dxa"/>
            <w:tcBorders>
              <w:top w:val="single" w:color="auto" w:sz="4" w:space="0"/>
            </w:tcBorders>
            <w:vAlign w:val="center"/>
          </w:tcPr>
          <w:p>
            <w:pPr>
              <w:rPr>
                <w:rFonts w:ascii="新宋体" w:hAnsi="新宋体" w:eastAsia="新宋体"/>
                <w:color w:val="000000"/>
                <w:sz w:val="22"/>
                <w:szCs w:val="22"/>
              </w:rPr>
            </w:pPr>
            <w:r>
              <w:rPr>
                <w:rFonts w:hint="eastAsia" w:ascii="新宋体" w:hAnsi="新宋体" w:eastAsia="新宋体"/>
                <w:color w:val="000000"/>
                <w:sz w:val="22"/>
                <w:szCs w:val="22"/>
              </w:rPr>
              <w:t>对应急突发事情的响应及处理方案是否完整、得力、可行</w:t>
            </w:r>
          </w:p>
        </w:tc>
        <w:tc>
          <w:tcPr>
            <w:tcW w:w="1280" w:type="dxa"/>
            <w:tcBorders>
              <w:top w:val="single" w:color="auto" w:sz="8" w:space="0"/>
              <w:right w:val="single" w:color="auto" w:sz="6" w:space="0"/>
            </w:tcBorders>
            <w:vAlign w:val="center"/>
          </w:tcPr>
          <w:p>
            <w:pPr>
              <w:spacing w:line="440" w:lineRule="exact"/>
              <w:jc w:val="center"/>
              <w:rPr>
                <w:rFonts w:ascii="新宋体" w:hAnsi="新宋体" w:eastAsia="新宋体"/>
                <w:color w:val="000000"/>
                <w:sz w:val="22"/>
                <w:szCs w:val="22"/>
              </w:rPr>
            </w:pPr>
            <w:r>
              <w:rPr>
                <w:rFonts w:hint="eastAsia" w:ascii="新宋体" w:hAnsi="新宋体" w:eastAsia="新宋体"/>
                <w:color w:val="000000"/>
                <w:sz w:val="22"/>
                <w:szCs w:val="22"/>
              </w:rPr>
              <w:t>0-5</w:t>
            </w:r>
          </w:p>
        </w:tc>
        <w:tc>
          <w:tcPr>
            <w:tcW w:w="4509" w:type="dxa"/>
            <w:tcBorders>
              <w:top w:val="single" w:color="auto" w:sz="8" w:space="0"/>
              <w:left w:val="single" w:color="auto" w:sz="6" w:space="0"/>
            </w:tcBorders>
            <w:vAlign w:val="center"/>
          </w:tcPr>
          <w:p>
            <w:pPr>
              <w:rPr>
                <w:rFonts w:ascii="新宋体" w:hAnsi="新宋体" w:eastAsia="新宋体"/>
                <w:color w:val="000000"/>
                <w:sz w:val="22"/>
                <w:szCs w:val="22"/>
              </w:rPr>
            </w:pPr>
            <w:r>
              <w:rPr>
                <w:rFonts w:hint="eastAsia" w:ascii="新宋体" w:hAnsi="新宋体" w:eastAsia="新宋体"/>
                <w:color w:val="000000"/>
                <w:sz w:val="22"/>
                <w:szCs w:val="22"/>
              </w:rPr>
              <w:t>根据已有的物业化管理中供应商对应急突发事情的处理经验来描述承诺（包括县级及以上部门考核检查、防汛等）（0-5）。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748" w:type="dxa"/>
            <w:vAlign w:val="center"/>
          </w:tcPr>
          <w:p>
            <w:pPr>
              <w:spacing w:line="440" w:lineRule="exact"/>
              <w:rPr>
                <w:rFonts w:ascii="新宋体" w:hAnsi="新宋体" w:eastAsia="新宋体"/>
                <w:color w:val="000000"/>
                <w:sz w:val="22"/>
                <w:szCs w:val="22"/>
              </w:rPr>
            </w:pPr>
            <w:r>
              <w:rPr>
                <w:rFonts w:hint="eastAsia" w:ascii="新宋体" w:hAnsi="新宋体" w:eastAsia="新宋体"/>
                <w:color w:val="000000"/>
                <w:sz w:val="22"/>
                <w:szCs w:val="22"/>
              </w:rPr>
              <w:t>1.5</w:t>
            </w:r>
          </w:p>
        </w:tc>
        <w:tc>
          <w:tcPr>
            <w:tcW w:w="3212" w:type="dxa"/>
            <w:tcBorders>
              <w:top w:val="single" w:color="auto" w:sz="4" w:space="0"/>
            </w:tcBorders>
            <w:vAlign w:val="center"/>
          </w:tcPr>
          <w:p>
            <w:pPr>
              <w:rPr>
                <w:rFonts w:ascii="新宋体" w:hAnsi="新宋体" w:eastAsia="新宋体"/>
                <w:color w:val="000000"/>
                <w:sz w:val="22"/>
                <w:szCs w:val="22"/>
              </w:rPr>
            </w:pPr>
            <w:r>
              <w:rPr>
                <w:rFonts w:hint="eastAsia" w:ascii="新宋体" w:hAnsi="新宋体" w:eastAsia="新宋体"/>
                <w:color w:val="000000"/>
                <w:sz w:val="22"/>
                <w:szCs w:val="22"/>
              </w:rPr>
              <w:t>管理操作档案管理登记工作</w:t>
            </w:r>
          </w:p>
        </w:tc>
        <w:tc>
          <w:tcPr>
            <w:tcW w:w="1280" w:type="dxa"/>
            <w:tcBorders>
              <w:top w:val="single" w:color="auto" w:sz="8" w:space="0"/>
              <w:right w:val="single" w:color="auto" w:sz="6" w:space="0"/>
            </w:tcBorders>
            <w:vAlign w:val="center"/>
          </w:tcPr>
          <w:p>
            <w:pPr>
              <w:spacing w:line="440" w:lineRule="exact"/>
              <w:jc w:val="center"/>
              <w:rPr>
                <w:rFonts w:ascii="新宋体" w:hAnsi="新宋体" w:eastAsia="新宋体"/>
                <w:color w:val="000000"/>
                <w:sz w:val="22"/>
                <w:szCs w:val="22"/>
              </w:rPr>
            </w:pPr>
            <w:r>
              <w:rPr>
                <w:rFonts w:hint="eastAsia" w:ascii="新宋体" w:hAnsi="新宋体" w:eastAsia="新宋体"/>
                <w:color w:val="000000"/>
                <w:sz w:val="22"/>
                <w:szCs w:val="22"/>
              </w:rPr>
              <w:t>0-5</w:t>
            </w:r>
          </w:p>
        </w:tc>
        <w:tc>
          <w:tcPr>
            <w:tcW w:w="4509" w:type="dxa"/>
            <w:tcBorders>
              <w:top w:val="single" w:color="auto" w:sz="8" w:space="0"/>
              <w:left w:val="single" w:color="auto" w:sz="6" w:space="0"/>
            </w:tcBorders>
            <w:vAlign w:val="center"/>
          </w:tcPr>
          <w:p>
            <w:pPr>
              <w:rPr>
                <w:rFonts w:ascii="新宋体" w:hAnsi="新宋体" w:eastAsia="新宋体"/>
                <w:color w:val="000000"/>
                <w:sz w:val="22"/>
                <w:szCs w:val="22"/>
              </w:rPr>
            </w:pPr>
            <w:r>
              <w:rPr>
                <w:rFonts w:hint="eastAsia" w:ascii="新宋体" w:hAnsi="新宋体" w:eastAsia="新宋体"/>
                <w:color w:val="000000"/>
                <w:sz w:val="22"/>
                <w:szCs w:val="22"/>
              </w:rPr>
              <w:t>巡查记录（包括采购单位和承包单位自行）及维修、运行、养护登记记录情况（0-5）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48" w:type="dxa"/>
            <w:vAlign w:val="center"/>
          </w:tcPr>
          <w:p>
            <w:pPr>
              <w:spacing w:line="440" w:lineRule="exact"/>
              <w:rPr>
                <w:rFonts w:ascii="新宋体" w:hAnsi="新宋体" w:eastAsia="新宋体"/>
                <w:color w:val="000000"/>
                <w:sz w:val="22"/>
                <w:szCs w:val="22"/>
              </w:rPr>
            </w:pPr>
            <w:r>
              <w:rPr>
                <w:rFonts w:hint="eastAsia" w:ascii="新宋体" w:hAnsi="新宋体" w:eastAsia="新宋体"/>
                <w:color w:val="000000"/>
                <w:sz w:val="22"/>
                <w:szCs w:val="22"/>
              </w:rPr>
              <w:t>1.6</w:t>
            </w:r>
          </w:p>
        </w:tc>
        <w:tc>
          <w:tcPr>
            <w:tcW w:w="3212" w:type="dxa"/>
            <w:tcBorders>
              <w:top w:val="single" w:color="auto" w:sz="4" w:space="0"/>
            </w:tcBorders>
            <w:vAlign w:val="center"/>
          </w:tcPr>
          <w:p>
            <w:pPr>
              <w:rPr>
                <w:rFonts w:ascii="新宋体" w:hAnsi="新宋体" w:eastAsia="新宋体"/>
                <w:color w:val="000000"/>
                <w:sz w:val="22"/>
                <w:szCs w:val="22"/>
              </w:rPr>
            </w:pPr>
            <w:r>
              <w:rPr>
                <w:rFonts w:hint="eastAsia" w:ascii="宋体" w:hAnsi="宋体"/>
                <w:color w:val="000000"/>
                <w:sz w:val="22"/>
                <w:szCs w:val="22"/>
              </w:rPr>
              <w:t>监管考核配合方案</w:t>
            </w:r>
            <w:r>
              <w:rPr>
                <w:rFonts w:hint="eastAsia" w:ascii="新宋体" w:hAnsi="新宋体" w:eastAsia="新宋体"/>
                <w:color w:val="000000"/>
                <w:sz w:val="22"/>
                <w:szCs w:val="22"/>
              </w:rPr>
              <w:t>（包括考核时配合人员）</w:t>
            </w:r>
          </w:p>
        </w:tc>
        <w:tc>
          <w:tcPr>
            <w:tcW w:w="1280" w:type="dxa"/>
            <w:tcBorders>
              <w:top w:val="single" w:color="auto" w:sz="8" w:space="0"/>
              <w:right w:val="single" w:color="auto" w:sz="6" w:space="0"/>
            </w:tcBorders>
            <w:vAlign w:val="center"/>
          </w:tcPr>
          <w:p>
            <w:pPr>
              <w:spacing w:line="440" w:lineRule="exact"/>
              <w:jc w:val="center"/>
              <w:rPr>
                <w:rFonts w:ascii="新宋体" w:hAnsi="新宋体" w:eastAsia="新宋体"/>
                <w:color w:val="000000"/>
                <w:sz w:val="22"/>
                <w:szCs w:val="22"/>
              </w:rPr>
            </w:pPr>
            <w:r>
              <w:rPr>
                <w:rFonts w:hint="eastAsia" w:ascii="新宋体" w:hAnsi="新宋体" w:eastAsia="新宋体"/>
                <w:color w:val="000000"/>
                <w:sz w:val="22"/>
                <w:szCs w:val="22"/>
              </w:rPr>
              <w:t>0-6</w:t>
            </w:r>
          </w:p>
        </w:tc>
        <w:tc>
          <w:tcPr>
            <w:tcW w:w="4509" w:type="dxa"/>
            <w:tcBorders>
              <w:top w:val="single" w:color="auto" w:sz="8" w:space="0"/>
              <w:left w:val="single" w:color="auto" w:sz="6" w:space="0"/>
            </w:tcBorders>
            <w:vAlign w:val="center"/>
          </w:tcPr>
          <w:p>
            <w:pPr>
              <w:rPr>
                <w:rFonts w:ascii="新宋体" w:hAnsi="新宋体" w:eastAsia="新宋体"/>
                <w:color w:val="000000"/>
                <w:sz w:val="22"/>
                <w:szCs w:val="22"/>
              </w:rPr>
            </w:pPr>
            <w:r>
              <w:rPr>
                <w:rFonts w:hint="eastAsia" w:ascii="新宋体" w:hAnsi="新宋体" w:eastAsia="新宋体"/>
                <w:color w:val="000000"/>
                <w:sz w:val="22"/>
                <w:szCs w:val="22"/>
              </w:rPr>
              <w:t>对于采购单位考核及需要供应商考核配合人员时的响应落实方案（0-6）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748" w:type="dxa"/>
            <w:tcBorders>
              <w:bottom w:val="single" w:color="auto" w:sz="4" w:space="0"/>
            </w:tcBorders>
            <w:vAlign w:val="center"/>
          </w:tcPr>
          <w:p>
            <w:pPr>
              <w:spacing w:line="440" w:lineRule="exact"/>
              <w:ind w:left="-50"/>
              <w:jc w:val="center"/>
              <w:rPr>
                <w:rFonts w:ascii="新宋体" w:hAnsi="新宋体" w:eastAsia="新宋体"/>
                <w:b/>
                <w:color w:val="000000"/>
                <w:sz w:val="22"/>
                <w:szCs w:val="22"/>
              </w:rPr>
            </w:pPr>
            <w:r>
              <w:rPr>
                <w:rFonts w:hint="eastAsia" w:ascii="新宋体" w:hAnsi="新宋体" w:eastAsia="新宋体"/>
                <w:b/>
                <w:color w:val="000000"/>
                <w:sz w:val="22"/>
                <w:szCs w:val="22"/>
              </w:rPr>
              <w:t>2</w:t>
            </w:r>
          </w:p>
        </w:tc>
        <w:tc>
          <w:tcPr>
            <w:tcW w:w="9001" w:type="dxa"/>
            <w:gridSpan w:val="3"/>
            <w:tcBorders>
              <w:bottom w:val="single" w:color="auto" w:sz="4" w:space="0"/>
            </w:tcBorders>
            <w:vAlign w:val="center"/>
          </w:tcPr>
          <w:p>
            <w:pPr>
              <w:pStyle w:val="21"/>
              <w:spacing w:after="0"/>
              <w:ind w:left="0" w:leftChars="0"/>
              <w:jc w:val="left"/>
              <w:rPr>
                <w:rFonts w:ascii="新宋体" w:hAnsi="新宋体" w:eastAsia="新宋体"/>
                <w:color w:val="000000"/>
                <w:sz w:val="22"/>
                <w:szCs w:val="22"/>
              </w:rPr>
            </w:pPr>
            <w:r>
              <w:rPr>
                <w:rFonts w:hint="eastAsia" w:ascii="新宋体" w:hAnsi="新宋体" w:eastAsia="新宋体"/>
                <w:color w:val="000000"/>
                <w:sz w:val="22"/>
                <w:szCs w:val="22"/>
              </w:rPr>
              <w:t>投标供应商实力（0-20分）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748" w:type="dxa"/>
            <w:vMerge w:val="restart"/>
            <w:vAlign w:val="center"/>
          </w:tcPr>
          <w:p>
            <w:pPr>
              <w:spacing w:line="440" w:lineRule="exact"/>
              <w:ind w:left="-50"/>
              <w:jc w:val="center"/>
              <w:rPr>
                <w:rFonts w:ascii="新宋体" w:hAnsi="新宋体" w:eastAsia="新宋体"/>
                <w:b/>
                <w:color w:val="000000"/>
                <w:sz w:val="22"/>
                <w:szCs w:val="22"/>
              </w:rPr>
            </w:pPr>
            <w:r>
              <w:rPr>
                <w:rFonts w:hint="eastAsia" w:ascii="新宋体" w:hAnsi="新宋体" w:eastAsia="新宋体"/>
                <w:b/>
                <w:color w:val="000000"/>
                <w:sz w:val="22"/>
                <w:szCs w:val="22"/>
              </w:rPr>
              <w:t>2.1</w:t>
            </w:r>
          </w:p>
        </w:tc>
        <w:tc>
          <w:tcPr>
            <w:tcW w:w="3212" w:type="dxa"/>
            <w:tcBorders>
              <w:bottom w:val="single" w:color="auto" w:sz="4" w:space="0"/>
            </w:tcBorders>
            <w:vAlign w:val="center"/>
          </w:tcPr>
          <w:p>
            <w:pPr>
              <w:pStyle w:val="21"/>
              <w:spacing w:line="280" w:lineRule="exact"/>
              <w:ind w:left="0" w:leftChars="0"/>
              <w:rPr>
                <w:rFonts w:ascii="新宋体" w:hAnsi="新宋体" w:eastAsia="新宋体"/>
                <w:color w:val="000000"/>
                <w:sz w:val="22"/>
                <w:szCs w:val="22"/>
              </w:rPr>
            </w:pPr>
            <w:r>
              <w:rPr>
                <w:rFonts w:hint="eastAsia" w:ascii="新宋体" w:hAnsi="新宋体" w:eastAsia="新宋体"/>
                <w:color w:val="000000"/>
                <w:sz w:val="22"/>
                <w:szCs w:val="22"/>
              </w:rPr>
              <w:t>1、供应商综合实力</w:t>
            </w:r>
          </w:p>
        </w:tc>
        <w:tc>
          <w:tcPr>
            <w:tcW w:w="1280" w:type="dxa"/>
            <w:tcBorders>
              <w:bottom w:val="single" w:color="auto" w:sz="4" w:space="0"/>
              <w:right w:val="single" w:color="auto" w:sz="6" w:space="0"/>
            </w:tcBorders>
            <w:vAlign w:val="center"/>
          </w:tcPr>
          <w:p>
            <w:pPr>
              <w:pStyle w:val="21"/>
              <w:spacing w:line="280" w:lineRule="exact"/>
              <w:ind w:left="0" w:leftChars="0"/>
              <w:jc w:val="center"/>
              <w:rPr>
                <w:rFonts w:ascii="新宋体" w:hAnsi="新宋体" w:eastAsia="新宋体"/>
                <w:color w:val="000000"/>
                <w:sz w:val="22"/>
                <w:szCs w:val="22"/>
              </w:rPr>
            </w:pPr>
            <w:r>
              <w:rPr>
                <w:rFonts w:hint="eastAsia" w:ascii="新宋体" w:hAnsi="新宋体" w:eastAsia="新宋体"/>
                <w:color w:val="000000"/>
                <w:sz w:val="22"/>
                <w:szCs w:val="22"/>
              </w:rPr>
              <w:t>0-5</w:t>
            </w:r>
          </w:p>
        </w:tc>
        <w:tc>
          <w:tcPr>
            <w:tcW w:w="4509" w:type="dxa"/>
            <w:tcBorders>
              <w:left w:val="single" w:color="auto" w:sz="6" w:space="0"/>
              <w:bottom w:val="single" w:color="auto" w:sz="4" w:space="0"/>
            </w:tcBorders>
            <w:vAlign w:val="center"/>
          </w:tcPr>
          <w:p>
            <w:pPr>
              <w:pStyle w:val="21"/>
              <w:spacing w:line="280" w:lineRule="exact"/>
              <w:ind w:left="0" w:leftChars="0"/>
              <w:rPr>
                <w:rFonts w:ascii="新宋体" w:hAnsi="新宋体" w:eastAsia="新宋体"/>
                <w:bCs/>
                <w:sz w:val="22"/>
                <w:szCs w:val="22"/>
              </w:rPr>
            </w:pPr>
            <w:r>
              <w:rPr>
                <w:rFonts w:hint="eastAsia" w:ascii="新宋体" w:hAnsi="新宋体" w:eastAsia="新宋体"/>
                <w:bCs/>
                <w:sz w:val="22"/>
                <w:szCs w:val="22"/>
              </w:rPr>
              <w:t>1、具有水利水电工程物业管理服务能力证书（海塘及水闸类）的，得3分。</w:t>
            </w:r>
          </w:p>
          <w:p>
            <w:pPr>
              <w:pStyle w:val="21"/>
              <w:spacing w:line="280" w:lineRule="exact"/>
              <w:ind w:left="0" w:leftChars="0"/>
              <w:rPr>
                <w:rFonts w:ascii="新宋体" w:hAnsi="新宋体" w:eastAsia="新宋体"/>
                <w:bCs/>
                <w:sz w:val="22"/>
                <w:szCs w:val="22"/>
              </w:rPr>
            </w:pPr>
            <w:r>
              <w:rPr>
                <w:rFonts w:hint="eastAsia" w:ascii="新宋体" w:hAnsi="新宋体" w:eastAsia="新宋体"/>
                <w:bCs/>
                <w:sz w:val="22"/>
                <w:szCs w:val="22"/>
              </w:rPr>
              <w:t>2、具有县级及以上行政主管部门颁发的物业管理荣誉证书的，得2分。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748" w:type="dxa"/>
            <w:vMerge w:val="continue"/>
            <w:vAlign w:val="center"/>
          </w:tcPr>
          <w:p>
            <w:pPr>
              <w:spacing w:line="440" w:lineRule="exact"/>
              <w:ind w:left="-50"/>
              <w:jc w:val="center"/>
              <w:rPr>
                <w:rFonts w:ascii="新宋体" w:hAnsi="新宋体" w:eastAsia="新宋体"/>
                <w:b/>
                <w:color w:val="000000"/>
                <w:sz w:val="22"/>
                <w:szCs w:val="22"/>
              </w:rPr>
            </w:pPr>
          </w:p>
        </w:tc>
        <w:tc>
          <w:tcPr>
            <w:tcW w:w="3212" w:type="dxa"/>
            <w:tcBorders>
              <w:bottom w:val="single" w:color="auto" w:sz="4" w:space="0"/>
            </w:tcBorders>
            <w:vAlign w:val="center"/>
          </w:tcPr>
          <w:p>
            <w:pPr>
              <w:pStyle w:val="21"/>
              <w:spacing w:line="280" w:lineRule="exact"/>
              <w:ind w:left="0" w:leftChars="0"/>
              <w:rPr>
                <w:rFonts w:ascii="新宋体" w:hAnsi="新宋体" w:eastAsia="新宋体"/>
                <w:color w:val="000000"/>
                <w:sz w:val="22"/>
                <w:szCs w:val="22"/>
              </w:rPr>
            </w:pPr>
            <w:r>
              <w:rPr>
                <w:rFonts w:hint="eastAsia" w:ascii="新宋体" w:hAnsi="新宋体" w:eastAsia="新宋体"/>
                <w:color w:val="000000"/>
                <w:sz w:val="22"/>
                <w:szCs w:val="22"/>
              </w:rPr>
              <w:t>2、项目类似业绩</w:t>
            </w:r>
          </w:p>
        </w:tc>
        <w:tc>
          <w:tcPr>
            <w:tcW w:w="1280" w:type="dxa"/>
            <w:tcBorders>
              <w:bottom w:val="single" w:color="auto" w:sz="4" w:space="0"/>
              <w:right w:val="single" w:color="auto" w:sz="6" w:space="0"/>
            </w:tcBorders>
            <w:vAlign w:val="center"/>
          </w:tcPr>
          <w:p>
            <w:pPr>
              <w:pStyle w:val="21"/>
              <w:spacing w:line="280" w:lineRule="exact"/>
              <w:ind w:left="0" w:leftChars="0"/>
              <w:jc w:val="center"/>
              <w:rPr>
                <w:rFonts w:ascii="新宋体" w:hAnsi="新宋体" w:eastAsia="新宋体"/>
                <w:color w:val="000000"/>
                <w:sz w:val="22"/>
                <w:szCs w:val="22"/>
              </w:rPr>
            </w:pPr>
            <w:r>
              <w:rPr>
                <w:rFonts w:hint="eastAsia" w:ascii="新宋体" w:hAnsi="新宋体" w:eastAsia="新宋体"/>
                <w:color w:val="000000"/>
                <w:sz w:val="22"/>
                <w:szCs w:val="22"/>
              </w:rPr>
              <w:t>0-6</w:t>
            </w:r>
          </w:p>
        </w:tc>
        <w:tc>
          <w:tcPr>
            <w:tcW w:w="4509" w:type="dxa"/>
            <w:tcBorders>
              <w:left w:val="single" w:color="auto" w:sz="6" w:space="0"/>
              <w:bottom w:val="single" w:color="auto" w:sz="4" w:space="0"/>
            </w:tcBorders>
            <w:vAlign w:val="center"/>
          </w:tcPr>
          <w:p>
            <w:pPr>
              <w:pStyle w:val="21"/>
              <w:spacing w:line="280" w:lineRule="exact"/>
              <w:ind w:left="0" w:leftChars="0"/>
              <w:rPr>
                <w:rFonts w:ascii="新宋体" w:hAnsi="新宋体" w:eastAsia="新宋体"/>
                <w:bCs/>
                <w:sz w:val="22"/>
              </w:rPr>
            </w:pPr>
            <w:r>
              <w:rPr>
                <w:rFonts w:hint="eastAsia" w:ascii="新宋体" w:hAnsi="新宋体" w:eastAsia="新宋体"/>
                <w:bCs/>
                <w:sz w:val="22"/>
                <w:szCs w:val="22"/>
              </w:rPr>
              <w:t>自2015年1月1日以来承揽过水利工程物业管理业绩1个得3分，最高得6分。（</w:t>
            </w:r>
            <w:r>
              <w:rPr>
                <w:rFonts w:hint="eastAsia" w:ascii="新宋体" w:hAnsi="新宋体" w:eastAsia="新宋体"/>
                <w:b/>
                <w:bCs/>
                <w:sz w:val="22"/>
                <w:szCs w:val="22"/>
              </w:rPr>
              <w:t>证明材料为合同原件，未提供合同原件不得分。</w:t>
            </w:r>
            <w:r>
              <w:rPr>
                <w:rFonts w:hint="eastAsia" w:ascii="新宋体" w:hAnsi="新宋体" w:eastAsia="新宋体"/>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748" w:type="dxa"/>
            <w:vMerge w:val="continue"/>
            <w:vAlign w:val="center"/>
          </w:tcPr>
          <w:p>
            <w:pPr>
              <w:spacing w:line="440" w:lineRule="exact"/>
              <w:ind w:left="-50"/>
              <w:jc w:val="center"/>
              <w:rPr>
                <w:rFonts w:ascii="新宋体" w:hAnsi="新宋体" w:eastAsia="新宋体"/>
                <w:b/>
                <w:color w:val="000000"/>
                <w:sz w:val="22"/>
                <w:szCs w:val="22"/>
              </w:rPr>
            </w:pPr>
          </w:p>
        </w:tc>
        <w:tc>
          <w:tcPr>
            <w:tcW w:w="3212" w:type="dxa"/>
            <w:tcBorders>
              <w:bottom w:val="single" w:color="auto" w:sz="4" w:space="0"/>
            </w:tcBorders>
            <w:vAlign w:val="center"/>
          </w:tcPr>
          <w:p>
            <w:pPr>
              <w:pStyle w:val="21"/>
              <w:spacing w:line="280" w:lineRule="exact"/>
              <w:ind w:left="0" w:leftChars="0"/>
              <w:rPr>
                <w:rFonts w:ascii="新宋体" w:hAnsi="新宋体" w:eastAsia="新宋体"/>
                <w:color w:val="000000"/>
                <w:sz w:val="22"/>
                <w:szCs w:val="22"/>
              </w:rPr>
            </w:pPr>
            <w:r>
              <w:rPr>
                <w:rFonts w:hint="eastAsia" w:ascii="新宋体" w:hAnsi="新宋体" w:eastAsia="新宋体"/>
                <w:color w:val="000000"/>
                <w:sz w:val="22"/>
                <w:szCs w:val="22"/>
              </w:rPr>
              <w:t>3、项目负责人</w:t>
            </w:r>
          </w:p>
        </w:tc>
        <w:tc>
          <w:tcPr>
            <w:tcW w:w="1280" w:type="dxa"/>
            <w:tcBorders>
              <w:bottom w:val="single" w:color="auto" w:sz="4" w:space="0"/>
              <w:right w:val="single" w:color="auto" w:sz="6" w:space="0"/>
            </w:tcBorders>
            <w:vAlign w:val="center"/>
          </w:tcPr>
          <w:p>
            <w:pPr>
              <w:pStyle w:val="21"/>
              <w:spacing w:line="280" w:lineRule="exact"/>
              <w:ind w:left="0" w:leftChars="0"/>
              <w:jc w:val="center"/>
              <w:rPr>
                <w:rFonts w:ascii="新宋体" w:hAnsi="新宋体" w:eastAsia="新宋体"/>
                <w:color w:val="000000"/>
                <w:sz w:val="22"/>
                <w:szCs w:val="22"/>
              </w:rPr>
            </w:pPr>
            <w:r>
              <w:rPr>
                <w:rFonts w:hint="eastAsia" w:ascii="新宋体" w:hAnsi="新宋体" w:eastAsia="新宋体"/>
                <w:color w:val="000000"/>
                <w:sz w:val="22"/>
                <w:szCs w:val="22"/>
              </w:rPr>
              <w:t>0-4</w:t>
            </w:r>
          </w:p>
        </w:tc>
        <w:tc>
          <w:tcPr>
            <w:tcW w:w="4509" w:type="dxa"/>
            <w:tcBorders>
              <w:left w:val="single" w:color="auto" w:sz="6" w:space="0"/>
              <w:bottom w:val="single" w:color="auto" w:sz="4" w:space="0"/>
            </w:tcBorders>
            <w:vAlign w:val="center"/>
          </w:tcPr>
          <w:p>
            <w:pPr>
              <w:pStyle w:val="21"/>
              <w:spacing w:line="280" w:lineRule="exact"/>
              <w:ind w:left="0" w:leftChars="0"/>
              <w:rPr>
                <w:rFonts w:ascii="新宋体" w:hAnsi="新宋体" w:eastAsia="新宋体"/>
                <w:bCs/>
                <w:sz w:val="22"/>
                <w:szCs w:val="22"/>
              </w:rPr>
            </w:pPr>
            <w:r>
              <w:rPr>
                <w:rFonts w:hint="eastAsia" w:ascii="新宋体" w:hAnsi="新宋体" w:eastAsia="新宋体"/>
                <w:bCs/>
                <w:sz w:val="22"/>
                <w:szCs w:val="22"/>
              </w:rPr>
              <w:t>1、项目负责人具有水利相关专业高级工程师及以上职称的，得2分；须提供项目负责人职称证书复印件加盖单位公章，否则不得分。</w:t>
            </w:r>
          </w:p>
          <w:p>
            <w:pPr>
              <w:pStyle w:val="21"/>
              <w:spacing w:line="280" w:lineRule="exact"/>
              <w:ind w:left="0" w:leftChars="0"/>
              <w:rPr>
                <w:rFonts w:ascii="新宋体" w:hAnsi="新宋体" w:eastAsia="新宋体"/>
                <w:bCs/>
                <w:sz w:val="22"/>
                <w:szCs w:val="22"/>
              </w:rPr>
            </w:pPr>
            <w:r>
              <w:rPr>
                <w:rFonts w:hint="eastAsia" w:ascii="新宋体" w:hAnsi="新宋体" w:eastAsia="新宋体"/>
                <w:bCs/>
                <w:sz w:val="22"/>
                <w:szCs w:val="22"/>
              </w:rPr>
              <w:t>2、项目负责人2015年1月1日以来（以提供的合同签订时间为准）有参与过水闸类及海塘类项目业绩的，得2分。</w:t>
            </w:r>
          </w:p>
          <w:p>
            <w:pPr>
              <w:pStyle w:val="21"/>
              <w:spacing w:line="280" w:lineRule="exact"/>
              <w:ind w:left="0" w:leftChars="0"/>
              <w:rPr>
                <w:rFonts w:ascii="新宋体" w:hAnsi="新宋体" w:eastAsia="新宋体"/>
                <w:b/>
                <w:color w:val="000000"/>
                <w:sz w:val="22"/>
                <w:szCs w:val="22"/>
              </w:rPr>
            </w:pPr>
            <w:r>
              <w:rPr>
                <w:rFonts w:hint="eastAsia" w:ascii="新宋体" w:hAnsi="新宋体" w:eastAsia="新宋体"/>
                <w:b/>
                <w:bCs/>
                <w:sz w:val="22"/>
                <w:szCs w:val="22"/>
              </w:rPr>
              <w:t>注:提供中标通知书或者合同为准，并携带原件备查，无原件不得分。如中标通知书或者合同不能证明项目负责人身份的，须出具原项目采购单位的相关证明材料加盖采购单位公章，并提供证明材料原件备查，无原件不得分</w:t>
            </w:r>
            <w:r>
              <w:rPr>
                <w:rFonts w:hint="eastAsia" w:ascii="新宋体" w:hAnsi="新宋体" w:eastAsia="新宋体"/>
                <w:b/>
                <w:bCs/>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748" w:type="dxa"/>
            <w:vMerge w:val="continue"/>
            <w:vAlign w:val="center"/>
          </w:tcPr>
          <w:p>
            <w:pPr>
              <w:spacing w:line="440" w:lineRule="exact"/>
              <w:ind w:left="-50"/>
              <w:jc w:val="center"/>
              <w:rPr>
                <w:rFonts w:ascii="新宋体" w:hAnsi="新宋体" w:eastAsia="新宋体"/>
                <w:b/>
                <w:color w:val="000000"/>
                <w:sz w:val="22"/>
                <w:szCs w:val="22"/>
              </w:rPr>
            </w:pPr>
          </w:p>
        </w:tc>
        <w:tc>
          <w:tcPr>
            <w:tcW w:w="3212" w:type="dxa"/>
            <w:tcBorders>
              <w:bottom w:val="single" w:color="auto" w:sz="4" w:space="0"/>
            </w:tcBorders>
            <w:vAlign w:val="center"/>
          </w:tcPr>
          <w:p>
            <w:pPr>
              <w:pStyle w:val="21"/>
              <w:spacing w:line="280" w:lineRule="exact"/>
              <w:ind w:left="0" w:leftChars="0"/>
              <w:rPr>
                <w:rFonts w:ascii="新宋体" w:hAnsi="新宋体" w:eastAsia="新宋体"/>
                <w:color w:val="000000"/>
                <w:sz w:val="22"/>
                <w:szCs w:val="22"/>
              </w:rPr>
            </w:pPr>
            <w:r>
              <w:rPr>
                <w:rFonts w:hint="eastAsia" w:ascii="新宋体" w:hAnsi="新宋体" w:eastAsia="新宋体"/>
                <w:color w:val="000000"/>
                <w:sz w:val="22"/>
                <w:szCs w:val="22"/>
              </w:rPr>
              <w:t>4、其他人员</w:t>
            </w:r>
          </w:p>
        </w:tc>
        <w:tc>
          <w:tcPr>
            <w:tcW w:w="1280" w:type="dxa"/>
            <w:tcBorders>
              <w:bottom w:val="single" w:color="auto" w:sz="4" w:space="0"/>
              <w:right w:val="single" w:color="auto" w:sz="6" w:space="0"/>
            </w:tcBorders>
            <w:vAlign w:val="center"/>
          </w:tcPr>
          <w:p>
            <w:pPr>
              <w:pStyle w:val="21"/>
              <w:spacing w:line="280" w:lineRule="exact"/>
              <w:ind w:left="0" w:leftChars="0"/>
              <w:jc w:val="center"/>
              <w:rPr>
                <w:rFonts w:ascii="新宋体" w:hAnsi="新宋体" w:eastAsia="新宋体"/>
                <w:color w:val="000000"/>
                <w:sz w:val="22"/>
                <w:szCs w:val="22"/>
              </w:rPr>
            </w:pPr>
            <w:r>
              <w:rPr>
                <w:rFonts w:hint="eastAsia" w:ascii="新宋体" w:hAnsi="新宋体" w:eastAsia="新宋体"/>
                <w:color w:val="000000"/>
                <w:sz w:val="22"/>
                <w:szCs w:val="22"/>
              </w:rPr>
              <w:t>0-7</w:t>
            </w:r>
          </w:p>
        </w:tc>
        <w:tc>
          <w:tcPr>
            <w:tcW w:w="4509" w:type="dxa"/>
            <w:tcBorders>
              <w:left w:val="single" w:color="auto" w:sz="6" w:space="0"/>
              <w:bottom w:val="single" w:color="auto" w:sz="4" w:space="0"/>
            </w:tcBorders>
            <w:vAlign w:val="center"/>
          </w:tcPr>
          <w:p>
            <w:pPr>
              <w:pStyle w:val="21"/>
              <w:spacing w:line="280" w:lineRule="exact"/>
              <w:ind w:left="0" w:leftChars="0"/>
              <w:rPr>
                <w:rFonts w:ascii="新宋体" w:hAnsi="新宋体" w:eastAsia="新宋体"/>
                <w:bCs/>
                <w:sz w:val="22"/>
                <w:szCs w:val="22"/>
              </w:rPr>
            </w:pPr>
            <w:r>
              <w:rPr>
                <w:rFonts w:hint="eastAsia" w:ascii="新宋体" w:hAnsi="新宋体" w:eastAsia="新宋体"/>
                <w:bCs/>
                <w:sz w:val="22"/>
                <w:szCs w:val="22"/>
              </w:rPr>
              <w:t>1、拟派项目组成员中，除项目负责人外具有水利相关专业高级及以上职称的，得2分。</w:t>
            </w:r>
          </w:p>
          <w:p>
            <w:pPr>
              <w:pStyle w:val="21"/>
              <w:spacing w:line="280" w:lineRule="exact"/>
              <w:ind w:left="0" w:leftChars="0"/>
              <w:rPr>
                <w:rFonts w:ascii="新宋体" w:hAnsi="新宋体" w:eastAsia="新宋体"/>
                <w:bCs/>
                <w:sz w:val="22"/>
                <w:szCs w:val="22"/>
              </w:rPr>
            </w:pPr>
            <w:r>
              <w:rPr>
                <w:rFonts w:hint="eastAsia" w:ascii="新宋体" w:hAnsi="新宋体" w:eastAsia="新宋体"/>
                <w:bCs/>
                <w:sz w:val="22"/>
                <w:szCs w:val="22"/>
              </w:rPr>
              <w:t>2、拟派项目组成员中，除项目负责人外具有水利相关专业中级职称及以上职称的，每个得1分，共3分。</w:t>
            </w:r>
          </w:p>
          <w:p>
            <w:pPr>
              <w:pStyle w:val="21"/>
              <w:spacing w:line="280" w:lineRule="exact"/>
              <w:ind w:left="0" w:leftChars="0"/>
              <w:rPr>
                <w:rFonts w:ascii="新宋体" w:hAnsi="新宋体" w:eastAsia="新宋体"/>
                <w:bCs/>
                <w:sz w:val="22"/>
                <w:szCs w:val="22"/>
              </w:rPr>
            </w:pPr>
            <w:r>
              <w:rPr>
                <w:rFonts w:hint="eastAsia" w:ascii="新宋体" w:hAnsi="新宋体" w:eastAsia="新宋体"/>
                <w:bCs/>
                <w:sz w:val="22"/>
                <w:szCs w:val="22"/>
              </w:rPr>
              <w:t>3、拟派项目组成员中，具有救生员证书的，得1分。</w:t>
            </w:r>
          </w:p>
          <w:p>
            <w:pPr>
              <w:pStyle w:val="21"/>
              <w:spacing w:line="280" w:lineRule="exact"/>
              <w:ind w:left="0" w:leftChars="0"/>
              <w:rPr>
                <w:rFonts w:ascii="新宋体" w:hAnsi="新宋体" w:eastAsia="新宋体"/>
                <w:bCs/>
                <w:sz w:val="22"/>
                <w:szCs w:val="22"/>
              </w:rPr>
            </w:pPr>
            <w:r>
              <w:rPr>
                <w:rFonts w:hint="eastAsia" w:ascii="新宋体" w:hAnsi="新宋体" w:eastAsia="新宋体"/>
                <w:bCs/>
                <w:sz w:val="22"/>
                <w:szCs w:val="22"/>
              </w:rPr>
              <w:t>4、拟派项目组成员中，具有船员适任证书的，1个得1分，最高得2分</w:t>
            </w:r>
          </w:p>
          <w:p>
            <w:pPr>
              <w:pStyle w:val="21"/>
              <w:spacing w:line="280" w:lineRule="exact"/>
              <w:ind w:left="0" w:leftChars="0"/>
              <w:rPr>
                <w:rFonts w:ascii="新宋体" w:hAnsi="新宋体" w:eastAsia="新宋体"/>
                <w:bCs/>
                <w:sz w:val="22"/>
              </w:rPr>
            </w:pPr>
            <w:r>
              <w:rPr>
                <w:rFonts w:hint="eastAsia" w:ascii="新宋体" w:hAnsi="新宋体" w:eastAsia="新宋体"/>
                <w:b/>
                <w:sz w:val="22"/>
              </w:rPr>
              <w:t>注：参与加分的人员必须是本企业人员，需提供由工商注册地社保机构在开标前一个月内开具的</w:t>
            </w:r>
            <w:r>
              <w:rPr>
                <w:rFonts w:hint="eastAsia" w:ascii="新宋体" w:hAnsi="新宋体"/>
                <w:b/>
                <w:sz w:val="22"/>
              </w:rPr>
              <w:t>在</w:t>
            </w:r>
            <w:r>
              <w:rPr>
                <w:rFonts w:hint="eastAsia" w:ascii="新宋体" w:hAnsi="新宋体" w:eastAsia="新宋体"/>
                <w:b/>
                <w:sz w:val="22"/>
              </w:rPr>
              <w:t>本企业</w:t>
            </w:r>
            <w:r>
              <w:rPr>
                <w:rFonts w:hint="eastAsia" w:ascii="新宋体" w:hAnsi="新宋体"/>
                <w:b/>
                <w:sz w:val="22"/>
              </w:rPr>
              <w:t>（</w:t>
            </w:r>
            <w:r>
              <w:rPr>
                <w:rFonts w:hint="eastAsia" w:ascii="新宋体" w:hAnsi="新宋体" w:eastAsia="新宋体"/>
                <w:b/>
                <w:sz w:val="22"/>
              </w:rPr>
              <w:t>含分公司</w:t>
            </w:r>
            <w:r>
              <w:rPr>
                <w:rFonts w:hint="eastAsia" w:ascii="新宋体" w:hAnsi="新宋体"/>
                <w:b/>
                <w:sz w:val="22"/>
              </w:rPr>
              <w:t>）</w:t>
            </w:r>
            <w:r>
              <w:rPr>
                <w:rFonts w:hint="eastAsia" w:ascii="新宋体" w:hAnsi="新宋体" w:eastAsia="新宋体"/>
                <w:b/>
                <w:sz w:val="22"/>
              </w:rPr>
              <w:t>连续3个月养老保险的个人版社保证明</w:t>
            </w:r>
            <w:r>
              <w:rPr>
                <w:rFonts w:hint="eastAsia" w:ascii="新宋体" w:hAnsi="新宋体"/>
                <w:b/>
                <w:sz w:val="22"/>
              </w:rPr>
              <w:t>（社保证明应有二维码，且二维码能正常使用，否则不予加分）</w:t>
            </w:r>
            <w:r>
              <w:rPr>
                <w:rFonts w:hint="eastAsia" w:ascii="新宋体" w:hAnsi="新宋体" w:eastAsia="新宋体"/>
                <w:b/>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48" w:type="dxa"/>
            <w:vAlign w:val="center"/>
          </w:tcPr>
          <w:p>
            <w:pPr>
              <w:spacing w:line="440" w:lineRule="exact"/>
              <w:ind w:left="-50"/>
              <w:jc w:val="center"/>
              <w:rPr>
                <w:rFonts w:ascii="新宋体" w:hAnsi="新宋体" w:eastAsia="新宋体"/>
                <w:b/>
                <w:color w:val="000000"/>
                <w:sz w:val="22"/>
                <w:szCs w:val="22"/>
              </w:rPr>
            </w:pPr>
            <w:r>
              <w:rPr>
                <w:rFonts w:hint="eastAsia" w:ascii="新宋体" w:hAnsi="新宋体" w:eastAsia="新宋体"/>
                <w:b/>
                <w:color w:val="000000"/>
                <w:sz w:val="22"/>
                <w:szCs w:val="22"/>
              </w:rPr>
              <w:t>3</w:t>
            </w:r>
          </w:p>
        </w:tc>
        <w:tc>
          <w:tcPr>
            <w:tcW w:w="3212" w:type="dxa"/>
            <w:tcBorders>
              <w:top w:val="single" w:color="auto" w:sz="8" w:space="0"/>
            </w:tcBorders>
            <w:vAlign w:val="center"/>
          </w:tcPr>
          <w:p>
            <w:pPr>
              <w:rPr>
                <w:rFonts w:ascii="新宋体" w:hAnsi="新宋体" w:eastAsia="新宋体"/>
                <w:color w:val="000000"/>
                <w:sz w:val="22"/>
                <w:szCs w:val="22"/>
              </w:rPr>
            </w:pPr>
            <w:r>
              <w:rPr>
                <w:rFonts w:hint="eastAsia" w:ascii="新宋体" w:hAnsi="新宋体" w:eastAsia="新宋体"/>
                <w:color w:val="000000"/>
                <w:sz w:val="22"/>
                <w:szCs w:val="22"/>
              </w:rPr>
              <w:t>投标文件制作</w:t>
            </w:r>
          </w:p>
        </w:tc>
        <w:tc>
          <w:tcPr>
            <w:tcW w:w="1280" w:type="dxa"/>
            <w:tcBorders>
              <w:top w:val="single" w:color="auto" w:sz="8" w:space="0"/>
              <w:right w:val="single" w:color="auto" w:sz="6" w:space="0"/>
            </w:tcBorders>
            <w:vAlign w:val="center"/>
          </w:tcPr>
          <w:p>
            <w:pPr>
              <w:pStyle w:val="21"/>
              <w:spacing w:line="280" w:lineRule="exact"/>
              <w:ind w:left="0" w:leftChars="0"/>
              <w:jc w:val="center"/>
              <w:rPr>
                <w:rFonts w:ascii="新宋体" w:hAnsi="新宋体" w:eastAsia="新宋体"/>
                <w:color w:val="000000"/>
                <w:sz w:val="22"/>
                <w:szCs w:val="22"/>
              </w:rPr>
            </w:pPr>
            <w:r>
              <w:rPr>
                <w:rFonts w:hint="eastAsia" w:ascii="新宋体" w:hAnsi="新宋体" w:eastAsia="新宋体"/>
                <w:color w:val="000000"/>
                <w:sz w:val="22"/>
                <w:szCs w:val="22"/>
              </w:rPr>
              <w:t>0-2</w:t>
            </w:r>
          </w:p>
        </w:tc>
        <w:tc>
          <w:tcPr>
            <w:tcW w:w="4509" w:type="dxa"/>
            <w:tcBorders>
              <w:top w:val="single" w:color="auto" w:sz="8" w:space="0"/>
              <w:left w:val="single" w:color="auto" w:sz="6" w:space="0"/>
            </w:tcBorders>
            <w:vAlign w:val="center"/>
          </w:tcPr>
          <w:p>
            <w:pPr>
              <w:rPr>
                <w:rFonts w:ascii="新宋体" w:hAnsi="新宋体" w:eastAsia="新宋体"/>
                <w:color w:val="000000"/>
                <w:sz w:val="22"/>
                <w:szCs w:val="22"/>
              </w:rPr>
            </w:pPr>
            <w:r>
              <w:rPr>
                <w:rFonts w:hint="eastAsia" w:ascii="新宋体" w:hAnsi="新宋体" w:eastAsia="新宋体"/>
                <w:color w:val="000000"/>
                <w:sz w:val="22"/>
                <w:szCs w:val="22"/>
              </w:rPr>
              <w:t>标书编排齐全合理、内容简洁明了，格式、符合招标文件要求，条理清晰、无缺页漏项，是否彩印等。评委综合打分0-1分；</w:t>
            </w:r>
          </w:p>
          <w:p>
            <w:pPr>
              <w:rPr>
                <w:rFonts w:ascii="新宋体" w:hAnsi="新宋体" w:eastAsia="新宋体"/>
                <w:bCs/>
                <w:color w:val="000000"/>
                <w:sz w:val="22"/>
                <w:szCs w:val="22"/>
              </w:rPr>
            </w:pPr>
            <w:r>
              <w:rPr>
                <w:rFonts w:hint="eastAsia" w:ascii="新宋体" w:hAnsi="新宋体" w:eastAsia="新宋体"/>
                <w:color w:val="000000"/>
                <w:sz w:val="22"/>
                <w:szCs w:val="22"/>
              </w:rPr>
              <w:t>供应商根据本项目打分细则编制投标文件索引表，评委综合打分0-1分。</w:t>
            </w:r>
          </w:p>
        </w:tc>
      </w:tr>
    </w:tbl>
    <w:p>
      <w:pPr>
        <w:pStyle w:val="26"/>
        <w:adjustRightInd w:val="0"/>
        <w:snapToGrid w:val="0"/>
        <w:spacing w:line="460" w:lineRule="atLeast"/>
        <w:ind w:left="0" w:leftChars="0"/>
        <w:rPr>
          <w:rFonts w:hAnsi="宋体"/>
          <w:sz w:val="22"/>
          <w:szCs w:val="22"/>
        </w:rPr>
      </w:pPr>
      <w:r>
        <w:rPr>
          <w:rFonts w:hint="eastAsia" w:hAnsi="宋体"/>
          <w:sz w:val="22"/>
          <w:szCs w:val="22"/>
        </w:rPr>
        <w:t>三、说明</w:t>
      </w:r>
    </w:p>
    <w:p>
      <w:pPr>
        <w:adjustRightInd w:val="0"/>
        <w:spacing w:before="100" w:after="50" w:line="400" w:lineRule="exact"/>
        <w:ind w:firstLine="420"/>
        <w:rPr>
          <w:rFonts w:ascii="宋体"/>
          <w:sz w:val="22"/>
          <w:szCs w:val="22"/>
        </w:rPr>
      </w:pPr>
      <w:r>
        <w:rPr>
          <w:rFonts w:hint="eastAsia" w:ascii="宋体"/>
          <w:sz w:val="22"/>
          <w:szCs w:val="22"/>
        </w:rPr>
        <w:t>1、每个供应商最终得分=技术资信部分分值（所有磋商小组成员打分的算术平均值）＋商务报价部分分值。</w:t>
      </w:r>
    </w:p>
    <w:p>
      <w:pPr>
        <w:adjustRightInd w:val="0"/>
        <w:spacing w:before="100" w:after="50" w:line="400" w:lineRule="exact"/>
        <w:ind w:firstLine="420"/>
        <w:rPr>
          <w:rFonts w:ascii="宋体"/>
          <w:sz w:val="22"/>
          <w:szCs w:val="22"/>
        </w:rPr>
      </w:pPr>
      <w:r>
        <w:rPr>
          <w:rFonts w:hint="eastAsia" w:ascii="宋体"/>
          <w:sz w:val="22"/>
          <w:szCs w:val="22"/>
        </w:rPr>
        <w:t>2、磋商小组推荐得分最高的供应商为预中标供应商（如果得分相同则按报价从低到高顺序依次推荐为预中标供应商）；如果得分相同，以报价低的优先；报价也相同，以抽签决定，并编写采购报告。</w:t>
      </w:r>
    </w:p>
    <w:p>
      <w:pPr>
        <w:adjustRightInd w:val="0"/>
        <w:spacing w:before="100" w:after="50" w:line="400" w:lineRule="exact"/>
        <w:ind w:firstLine="420"/>
        <w:rPr>
          <w:rFonts w:ascii="宋体"/>
          <w:sz w:val="22"/>
          <w:szCs w:val="22"/>
        </w:rPr>
      </w:pPr>
      <w:r>
        <w:rPr>
          <w:rFonts w:hint="eastAsia" w:ascii="宋体"/>
          <w:sz w:val="22"/>
          <w:szCs w:val="22"/>
        </w:rPr>
        <w:t>3、所有分值计算保留小数点后二位，小数点后三位四舍五入。</w:t>
      </w:r>
    </w:p>
    <w:p>
      <w:pPr>
        <w:adjustRightInd w:val="0"/>
        <w:snapToGrid w:val="0"/>
        <w:spacing w:before="100" w:after="50" w:line="400" w:lineRule="exact"/>
        <w:ind w:firstLine="420"/>
        <w:rPr>
          <w:rFonts w:ascii="宋体" w:cs="Arial"/>
          <w:snapToGrid w:val="0"/>
          <w:sz w:val="22"/>
          <w:szCs w:val="22"/>
        </w:rPr>
      </w:pPr>
      <w:r>
        <w:rPr>
          <w:rFonts w:hint="eastAsia" w:ascii="宋体" w:cs="Arial"/>
          <w:snapToGrid w:val="0"/>
          <w:sz w:val="22"/>
          <w:szCs w:val="22"/>
        </w:rPr>
        <w:t>4、评标过程中遇到特殊情况，由磋商小组遵循公开、公正原则，采取投票方式按照少数服从多数原则决定。</w:t>
      </w:r>
    </w:p>
    <w:p>
      <w:pPr>
        <w:adjustRightInd w:val="0"/>
        <w:spacing w:before="100" w:after="50" w:line="400" w:lineRule="exact"/>
        <w:ind w:firstLine="420"/>
        <w:rPr>
          <w:rFonts w:ascii="宋体"/>
          <w:sz w:val="22"/>
          <w:szCs w:val="22"/>
        </w:rPr>
      </w:pPr>
      <w:r>
        <w:rPr>
          <w:rFonts w:hint="eastAsia" w:ascii="宋体"/>
          <w:sz w:val="22"/>
          <w:szCs w:val="22"/>
        </w:rPr>
        <w:t>参见本采购文件第四部分：“供应商须知” 中的相关内容，未尽事宜按有关法律规定处理。</w:t>
      </w:r>
    </w:p>
    <w:p>
      <w:pPr>
        <w:widowControl/>
        <w:jc w:val="left"/>
        <w:rPr>
          <w:rFonts w:ascii="仿宋_GB2312" w:hAnsi="仿宋_GB2312" w:eastAsia="仿宋_GB2312" w:cs="仿宋_GB2312"/>
          <w:b/>
          <w:sz w:val="44"/>
          <w:szCs w:val="44"/>
        </w:rPr>
      </w:pPr>
      <w:bookmarkStart w:id="63" w:name="_Toc19340_WPSOffice_Level1"/>
      <w:bookmarkStart w:id="64" w:name="_Toc6954_WPSOffice_Level1"/>
      <w:r>
        <w:rPr>
          <w:rFonts w:ascii="仿宋_GB2312" w:hAnsi="仿宋_GB2312" w:eastAsia="仿宋_GB2312" w:cs="仿宋_GB2312"/>
          <w:b/>
          <w:sz w:val="44"/>
          <w:szCs w:val="44"/>
        </w:rPr>
        <w:br w:type="page"/>
      </w:r>
    </w:p>
    <w:p>
      <w:pPr>
        <w:spacing w:afterLines="50" w:line="520" w:lineRule="exact"/>
        <w:jc w:val="center"/>
        <w:rPr>
          <w:rFonts w:ascii="仿宋_GB2312" w:hAnsi="仿宋_GB2312" w:eastAsia="仿宋_GB2312" w:cs="仿宋_GB2312"/>
          <w:b/>
          <w:sz w:val="44"/>
          <w:szCs w:val="44"/>
        </w:rPr>
      </w:pPr>
      <w:r>
        <w:rPr>
          <w:rFonts w:hint="eastAsia" w:ascii="仿宋_GB2312" w:hAnsi="仿宋_GB2312" w:eastAsia="仿宋_GB2312" w:cs="仿宋_GB2312"/>
          <w:b/>
          <w:sz w:val="44"/>
          <w:szCs w:val="44"/>
        </w:rPr>
        <w:t>海塘物业化管理考核评分表</w:t>
      </w:r>
      <w:bookmarkEnd w:id="63"/>
      <w:bookmarkEnd w:id="64"/>
    </w:p>
    <w:p>
      <w:pPr>
        <w:spacing w:line="320" w:lineRule="exact"/>
        <w:ind w:firstLine="480" w:firstLineChars="200"/>
        <w:rPr>
          <w:rFonts w:ascii="仿宋_GB2312" w:hAnsi="仿宋_GB2312" w:eastAsia="仿宋_GB2312" w:cs="仿宋_GB2312"/>
          <w:szCs w:val="21"/>
        </w:rPr>
      </w:pPr>
      <w:r>
        <w:rPr>
          <w:rFonts w:hint="eastAsia" w:ascii="仿宋_GB2312" w:hAnsi="仿宋_GB2312" w:eastAsia="仿宋_GB2312" w:cs="仿宋_GB2312"/>
          <w:sz w:val="24"/>
        </w:rPr>
        <w:t xml:space="preserve"> 日期：  年  月  日</w:t>
      </w:r>
    </w:p>
    <w:tbl>
      <w:tblPr>
        <w:tblStyle w:val="38"/>
        <w:tblW w:w="10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2"/>
        <w:gridCol w:w="6237"/>
        <w:gridCol w:w="1984"/>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0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考核项目</w:t>
            </w:r>
          </w:p>
        </w:tc>
        <w:tc>
          <w:tcPr>
            <w:tcW w:w="623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考  核  标 准</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扣分原因</w:t>
            </w:r>
          </w:p>
        </w:tc>
        <w:tc>
          <w:tcPr>
            <w:tcW w:w="100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9" w:hRule="atLeast"/>
          <w:jc w:val="center"/>
        </w:trPr>
        <w:tc>
          <w:tcPr>
            <w:tcW w:w="10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组织管理（15分）</w:t>
            </w:r>
          </w:p>
        </w:tc>
        <w:tc>
          <w:tcPr>
            <w:tcW w:w="623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315" w:firstLineChars="150"/>
              <w:rPr>
                <w:rFonts w:ascii="仿宋_GB2312" w:hAnsi="仿宋_GB2312" w:eastAsia="仿宋_GB2312" w:cs="仿宋_GB2312"/>
                <w:szCs w:val="21"/>
              </w:rPr>
            </w:pPr>
            <w:r>
              <w:rPr>
                <w:rFonts w:hint="eastAsia" w:ascii="仿宋_GB2312" w:hAnsi="仿宋_GB2312" w:eastAsia="仿宋_GB2312" w:cs="仿宋_GB2312"/>
                <w:szCs w:val="21"/>
              </w:rPr>
              <w:t>1、项目部机构设置和人员（巡查、保洁）配备未符合投标文件承诺的，扣2分；</w:t>
            </w:r>
          </w:p>
          <w:p>
            <w:pPr>
              <w:spacing w:line="400" w:lineRule="exact"/>
              <w:ind w:left="328"/>
              <w:rPr>
                <w:rFonts w:ascii="仿宋_GB2312" w:hAnsi="仿宋_GB2312" w:eastAsia="仿宋_GB2312" w:cs="仿宋_GB2312"/>
                <w:szCs w:val="21"/>
              </w:rPr>
            </w:pPr>
            <w:r>
              <w:rPr>
                <w:rFonts w:hint="eastAsia" w:ascii="仿宋_GB2312" w:hAnsi="仿宋_GB2312" w:eastAsia="仿宋_GB2312" w:cs="仿宋_GB2312"/>
                <w:szCs w:val="21"/>
              </w:rPr>
              <w:t>2、项目部人员未按要求足额到位的，扣2分；</w:t>
            </w:r>
          </w:p>
          <w:p>
            <w:pPr>
              <w:spacing w:line="400" w:lineRule="exact"/>
              <w:ind w:firstLine="315" w:firstLineChars="150"/>
              <w:rPr>
                <w:rFonts w:ascii="仿宋_GB2312" w:hAnsi="仿宋_GB2312" w:eastAsia="仿宋_GB2312" w:cs="仿宋_GB2312"/>
                <w:szCs w:val="21"/>
              </w:rPr>
            </w:pPr>
            <w:r>
              <w:rPr>
                <w:rFonts w:hint="eastAsia" w:ascii="仿宋_GB2312" w:hAnsi="仿宋_GB2312" w:eastAsia="仿宋_GB2312" w:cs="仿宋_GB2312"/>
                <w:szCs w:val="21"/>
              </w:rPr>
              <w:t>3、擅自更换项目部人员未告知的，扣1分；</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   4、各部门和人员（管理、巡查、保洁）管理职责未明确的，扣1分；</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   5、不定期抽查、检查过程中发现虚假的，扣2分；</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   6、参与巡查的人员未佩戴工作证的，每人每次扣1分；</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   7、维修养护计划申报未能及时报发包人批准，并及时、高质量完成的, 扣2分；</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   8、检查考核未及时申报材料，内容不完整，各项工作准备不充分，扣1分；</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   9、未能积极协助配合管理单位开展工作的，每次扣5分。</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_GB2312" w:hAnsi="仿宋_GB2312" w:eastAsia="仿宋_GB2312" w:cs="仿宋_GB2312"/>
                <w:color w:val="000000"/>
                <w:kern w:val="0"/>
                <w:szCs w:val="21"/>
              </w:rPr>
            </w:pP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6" w:hRule="atLeast"/>
          <w:jc w:val="center"/>
        </w:trPr>
        <w:tc>
          <w:tcPr>
            <w:tcW w:w="10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工程检查（25分）</w:t>
            </w:r>
          </w:p>
        </w:tc>
        <w:tc>
          <w:tcPr>
            <w:tcW w:w="623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1、未按规定开展经常检查，检查不到位，未及时记录并报告发包人，检查考核中发现以下任何一项内容的，每项每次扣2分。</w:t>
            </w:r>
          </w:p>
          <w:p>
            <w:pPr>
              <w:spacing w:line="400" w:lineRule="exact"/>
              <w:ind w:left="290" w:leftChars="138"/>
              <w:rPr>
                <w:rFonts w:ascii="仿宋_GB2312" w:hAnsi="仿宋_GB2312" w:eastAsia="仿宋_GB2312" w:cs="仿宋_GB2312"/>
                <w:szCs w:val="21"/>
              </w:rPr>
            </w:pPr>
            <w:r>
              <w:rPr>
                <w:rFonts w:hint="eastAsia" w:ascii="仿宋_GB2312" w:hAnsi="仿宋_GB2312" w:eastAsia="仿宋_GB2312" w:cs="仿宋_GB2312"/>
                <w:szCs w:val="21"/>
              </w:rPr>
              <w:t>（1）</w:t>
            </w:r>
            <w:r>
              <w:rPr>
                <w:rFonts w:ascii="仿宋_GB2312" w:hAnsi="仿宋_GB2312" w:eastAsia="仿宋_GB2312" w:cs="仿宋_GB2312"/>
                <w:szCs w:val="21"/>
              </w:rPr>
              <w:t>坝顶有无裂缝、异常变形、积水或植物滋生等；防浪墙有无开裂、挤碎、架空、错断、倾斜</w:t>
            </w:r>
            <w:r>
              <w:rPr>
                <w:rFonts w:hint="eastAsia" w:ascii="仿宋_GB2312" w:hAnsi="仿宋_GB2312" w:eastAsia="仿宋_GB2312" w:cs="仿宋_GB2312"/>
                <w:szCs w:val="21"/>
              </w:rPr>
              <w:t>等现象。</w:t>
            </w:r>
          </w:p>
          <w:p>
            <w:pPr>
              <w:spacing w:line="400" w:lineRule="exact"/>
              <w:ind w:left="290" w:leftChars="138"/>
              <w:rPr>
                <w:rFonts w:ascii="仿宋_GB2312" w:hAnsi="仿宋_GB2312" w:eastAsia="仿宋_GB2312" w:cs="仿宋_GB2312"/>
                <w:szCs w:val="21"/>
              </w:rPr>
            </w:pPr>
            <w:r>
              <w:rPr>
                <w:rFonts w:hint="eastAsia" w:ascii="仿宋_GB2312" w:hAnsi="仿宋_GB2312" w:eastAsia="仿宋_GB2312" w:cs="仿宋_GB2312"/>
                <w:szCs w:val="21"/>
              </w:rPr>
              <w:t>（2）</w:t>
            </w:r>
            <w:r>
              <w:rPr>
                <w:rFonts w:ascii="仿宋_GB2312" w:hAnsi="仿宋_GB2312" w:eastAsia="仿宋_GB2312" w:cs="仿宋_GB2312"/>
                <w:szCs w:val="21"/>
              </w:rPr>
              <w:t>迎水坡护坡有无裂缝、剥（脱）落、滑动、隆起、塌坑或植物滋生等；近坝水面有无变浑或旋涡等异常现象</w:t>
            </w:r>
            <w:r>
              <w:rPr>
                <w:rFonts w:hint="eastAsia" w:ascii="仿宋_GB2312" w:hAnsi="仿宋_GB2312" w:eastAsia="仿宋_GB2312" w:cs="仿宋_GB2312"/>
                <w:szCs w:val="21"/>
              </w:rPr>
              <w:t>。</w:t>
            </w:r>
          </w:p>
          <w:p>
            <w:pPr>
              <w:spacing w:line="400" w:lineRule="exact"/>
              <w:ind w:left="290" w:leftChars="138"/>
              <w:rPr>
                <w:rFonts w:ascii="仿宋_GB2312" w:hAnsi="仿宋_GB2312" w:eastAsia="仿宋_GB2312" w:cs="仿宋_GB2312"/>
                <w:szCs w:val="21"/>
              </w:rPr>
            </w:pPr>
            <w:r>
              <w:rPr>
                <w:rFonts w:hint="eastAsia" w:ascii="仿宋_GB2312" w:hAnsi="仿宋_GB2312" w:eastAsia="仿宋_GB2312" w:cs="仿宋_GB2312"/>
                <w:szCs w:val="21"/>
              </w:rPr>
              <w:t>（3）</w:t>
            </w:r>
            <w:r>
              <w:rPr>
                <w:rFonts w:ascii="仿宋_GB2312" w:hAnsi="仿宋_GB2312" w:eastAsia="仿宋_GB2312" w:cs="仿宋_GB2312"/>
                <w:szCs w:val="21"/>
              </w:rPr>
              <w:t>背水坡及坝趾有无裂缝、剥（脱）落、滑动、隆起、塌坑、雨淋沟、散浸、积雪不均匀融化、渗水、流土、管涌等；排水系统是否通畅；草皮护坡植被是否完好；有无兽洞、蚁迹等；反滤排水设施是否正常</w:t>
            </w:r>
            <w:r>
              <w:rPr>
                <w:rFonts w:hint="eastAsia" w:ascii="仿宋_GB2312" w:hAnsi="仿宋_GB2312" w:eastAsia="仿宋_GB2312" w:cs="仿宋_GB2312"/>
                <w:szCs w:val="21"/>
              </w:rPr>
              <w:t>。</w:t>
            </w:r>
          </w:p>
          <w:p>
            <w:pPr>
              <w:spacing w:line="400" w:lineRule="exact"/>
              <w:ind w:left="290" w:leftChars="138"/>
              <w:rPr>
                <w:rFonts w:ascii="仿宋_GB2312" w:hAnsi="仿宋_GB2312" w:eastAsia="仿宋_GB2312" w:cs="仿宋_GB2312"/>
                <w:szCs w:val="21"/>
              </w:rPr>
            </w:pPr>
            <w:r>
              <w:rPr>
                <w:rFonts w:hint="eastAsia" w:ascii="仿宋_GB2312" w:hAnsi="仿宋_GB2312" w:eastAsia="仿宋_GB2312" w:cs="仿宋_GB2312"/>
                <w:szCs w:val="21"/>
              </w:rPr>
              <w:t>（4）</w:t>
            </w:r>
            <w:r>
              <w:rPr>
                <w:rFonts w:ascii="仿宋_GB2312" w:hAnsi="仿宋_GB2312" w:eastAsia="仿宋_GB2312" w:cs="仿宋_GB2312"/>
                <w:szCs w:val="21"/>
              </w:rPr>
              <w:t>坝基基础排水设施的渗水水量、颜色、气味及浑浊度、酸碱度、温度有无变化</w:t>
            </w:r>
            <w:r>
              <w:rPr>
                <w:rFonts w:hint="eastAsia" w:ascii="仿宋_GB2312" w:hAnsi="仿宋_GB2312" w:eastAsia="仿宋_GB2312" w:cs="仿宋_GB2312"/>
                <w:szCs w:val="21"/>
              </w:rPr>
              <w:t>。</w:t>
            </w:r>
          </w:p>
          <w:p>
            <w:pPr>
              <w:spacing w:line="400" w:lineRule="exact"/>
              <w:ind w:left="290" w:leftChars="138"/>
              <w:rPr>
                <w:rFonts w:ascii="仿宋_GB2312" w:hAnsi="仿宋_GB2312" w:eastAsia="仿宋_GB2312" w:cs="仿宋_GB2312"/>
                <w:szCs w:val="21"/>
              </w:rPr>
            </w:pPr>
            <w:r>
              <w:rPr>
                <w:rFonts w:hint="eastAsia" w:ascii="仿宋_GB2312" w:hAnsi="仿宋_GB2312" w:eastAsia="仿宋_GB2312" w:cs="仿宋_GB2312"/>
                <w:szCs w:val="21"/>
              </w:rPr>
              <w:t>（5）</w:t>
            </w:r>
            <w:r>
              <w:rPr>
                <w:rFonts w:ascii="仿宋_GB2312" w:hAnsi="仿宋_GB2312" w:eastAsia="仿宋_GB2312" w:cs="仿宋_GB2312"/>
                <w:szCs w:val="21"/>
              </w:rPr>
              <w:t>坝端与岸坡连接处有无裂缝、错动、渗水等；坝端岸坡有无裂缝、滑动、崩塌、溶蚀、塌坑、异常渗水及兽洞、蚁迹等；护坡有无隆起、塌陷等；绕坝渗水是否正常</w:t>
            </w:r>
            <w:r>
              <w:rPr>
                <w:rFonts w:hint="eastAsia" w:ascii="仿宋_GB2312" w:hAnsi="仿宋_GB2312" w:eastAsia="仿宋_GB2312" w:cs="仿宋_GB2312"/>
                <w:szCs w:val="21"/>
              </w:rPr>
              <w:t>。</w:t>
            </w:r>
          </w:p>
          <w:p>
            <w:pPr>
              <w:spacing w:line="400" w:lineRule="exact"/>
              <w:ind w:left="290" w:leftChars="138"/>
              <w:rPr>
                <w:rFonts w:ascii="仿宋_GB2312" w:hAnsi="仿宋_GB2312" w:eastAsia="仿宋_GB2312" w:cs="仿宋_GB2312"/>
                <w:szCs w:val="21"/>
              </w:rPr>
            </w:pPr>
            <w:r>
              <w:rPr>
                <w:rFonts w:hint="eastAsia" w:ascii="仿宋_GB2312" w:hAnsi="仿宋_GB2312" w:eastAsia="仿宋_GB2312" w:cs="仿宋_GB2312"/>
                <w:szCs w:val="21"/>
              </w:rPr>
              <w:t>（6）溢洪道存在阻碍行洪的障碍物，</w:t>
            </w:r>
            <w:r>
              <w:rPr>
                <w:rFonts w:ascii="仿宋_GB2312" w:hAnsi="仿宋_GB2312" w:eastAsia="仿宋_GB2312" w:cs="仿宋_GB2312"/>
                <w:szCs w:val="21"/>
              </w:rPr>
              <w:t>输、泄水洞</w:t>
            </w:r>
            <w:r>
              <w:rPr>
                <w:rFonts w:hint="eastAsia" w:ascii="仿宋_GB2312" w:hAnsi="仿宋_GB2312" w:eastAsia="仿宋_GB2312" w:cs="仿宋_GB2312"/>
                <w:szCs w:val="21"/>
              </w:rPr>
              <w:t>不能正常使用。</w:t>
            </w:r>
          </w:p>
          <w:p>
            <w:pPr>
              <w:spacing w:line="400" w:lineRule="exact"/>
              <w:ind w:left="290" w:leftChars="138"/>
              <w:rPr>
                <w:rFonts w:ascii="仿宋_GB2312" w:hAnsi="仿宋_GB2312" w:eastAsia="仿宋_GB2312" w:cs="仿宋_GB2312"/>
                <w:szCs w:val="21"/>
              </w:rPr>
            </w:pPr>
            <w:r>
              <w:rPr>
                <w:rFonts w:hint="eastAsia" w:ascii="仿宋_GB2312" w:hAnsi="仿宋_GB2312" w:eastAsia="仿宋_GB2312" w:cs="仿宋_GB2312"/>
                <w:szCs w:val="21"/>
              </w:rPr>
              <w:t>（7）防汛通道不畅通，界桩、永久性责任牌、安全警示牌、巡查路线、巡视点发现破损。</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2、未按规定开展定期检查、特别检查（台风暴雨天气），并形成书面报告上报的，扣3分。</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3、检查记录不完整，记录不规范，未有负责人、检查人员签字的，扣2分。</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4、工程检查过程中发现缺陷、异常应当报告但未及时报告的，监控设施损坏未及时报告的，每次扣2分。</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5、管理范围和保护范围内存在禁止性行为或现象的、发现新的违章建筑的，未能及时形成书面上报的，扣5分。</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6、启闭机不能正常启闭，未能及时形成书面上报的，扣3分。</w:t>
            </w:r>
          </w:p>
          <w:p>
            <w:pPr>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7、采购人有权对测量成果进行抽查复核，如发现测量成果不符合要求的，扣2分。</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_GB2312" w:hAnsi="仿宋_GB2312" w:eastAsia="仿宋_GB2312" w:cs="仿宋_GB2312"/>
                <w:color w:val="000000"/>
                <w:kern w:val="0"/>
                <w:szCs w:val="21"/>
              </w:rPr>
            </w:pP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2" w:hRule="atLeast"/>
          <w:jc w:val="center"/>
        </w:trPr>
        <w:tc>
          <w:tcPr>
            <w:tcW w:w="10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养护保洁</w:t>
            </w:r>
          </w:p>
          <w:p>
            <w:pPr>
              <w:jc w:val="center"/>
              <w:rPr>
                <w:rFonts w:ascii="仿宋_GB2312" w:hAnsi="仿宋_GB2312" w:eastAsia="仿宋_GB2312" w:cs="仿宋_GB2312"/>
              </w:rPr>
            </w:pPr>
            <w:r>
              <w:rPr>
                <w:rFonts w:hint="eastAsia" w:ascii="仿宋_GB2312" w:hAnsi="仿宋_GB2312" w:eastAsia="仿宋_GB2312" w:cs="仿宋_GB2312"/>
              </w:rPr>
              <w:t>（25分）</w:t>
            </w:r>
          </w:p>
        </w:tc>
        <w:tc>
          <w:tcPr>
            <w:tcW w:w="623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1、坝顶路面有散落物、杂草、垃圾、弃置堆物、工器具等，每处每次扣1分</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2、坝顶路面、库区道路出现裂缝、沥青混凝土起砂等，未及时上报或及时修复的，每处每次扣1分。</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3、防浪墙破损、漏筋、砌石脱落，未及时上报或及时修复的，每处每次扣1分。</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4、迎、背水坡护面结构存在开裂、缺失、磨损、脱落等现象，未及时上报或及时修复的，每处每次扣1分。</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5、迎、背水坡坡面存在杂草丛生、堆积重物等现象，每处每次扣1分。</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6、草皮未定期清除杂草，定期修剪，保持平整的，扣1分。</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7、界桩、永久性责任牌、安全警示牌、巡查路线、巡视点等管理设施破损，未及时上报或及时修复的，每处每次扣1分。</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8、维修养护记录和报表，未定期上报，内容不规范的，扣3分。</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9、启闭机房及管理房内发现卫生不整洁、堆放物品影响安全等现象，每处扣2分。</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_GB2312" w:hAnsi="仿宋_GB2312" w:eastAsia="仿宋_GB2312" w:cs="仿宋_GB2312"/>
                <w:color w:val="000000"/>
                <w:kern w:val="0"/>
                <w:szCs w:val="21"/>
              </w:rPr>
            </w:pP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10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安全管理</w:t>
            </w:r>
          </w:p>
          <w:p>
            <w:pPr>
              <w:jc w:val="center"/>
              <w:rPr>
                <w:rFonts w:ascii="仿宋_GB2312" w:hAnsi="仿宋_GB2312" w:eastAsia="仿宋_GB2312" w:cs="仿宋_GB2312"/>
              </w:rPr>
            </w:pPr>
            <w:r>
              <w:rPr>
                <w:rFonts w:hint="eastAsia" w:ascii="仿宋_GB2312" w:hAnsi="仿宋_GB2312" w:eastAsia="仿宋_GB2312" w:cs="仿宋_GB2312"/>
              </w:rPr>
              <w:t>（20分）</w:t>
            </w:r>
          </w:p>
        </w:tc>
        <w:tc>
          <w:tcPr>
            <w:tcW w:w="623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1、巡查不到位，没有及时制止或及时报告以下任何一项违章违法行为的，检查考核中发现以下内容的，每项每次扣2分。</w:t>
            </w:r>
          </w:p>
          <w:p>
            <w:pPr>
              <w:spacing w:line="400" w:lineRule="exact"/>
              <w:ind w:left="290" w:leftChars="138"/>
              <w:rPr>
                <w:rFonts w:ascii="仿宋_GB2312" w:hAnsi="仿宋_GB2312" w:eastAsia="仿宋_GB2312" w:cs="仿宋_GB2312"/>
                <w:szCs w:val="21"/>
              </w:rPr>
            </w:pPr>
            <w:r>
              <w:rPr>
                <w:rFonts w:hint="eastAsia" w:ascii="仿宋_GB2312" w:hAnsi="仿宋_GB2312" w:eastAsia="仿宋_GB2312" w:cs="仿宋_GB2312"/>
                <w:szCs w:val="21"/>
              </w:rPr>
              <w:t>（1）除防汛抢险、管理专用和特殊情况需要通行的车辆外，其他机动车辆在坝顶上行驶或停放的；</w:t>
            </w:r>
          </w:p>
          <w:p>
            <w:pPr>
              <w:spacing w:line="400" w:lineRule="exact"/>
              <w:ind w:left="290" w:leftChars="138"/>
              <w:rPr>
                <w:rFonts w:ascii="仿宋_GB2312" w:hAnsi="仿宋_GB2312" w:eastAsia="仿宋_GB2312" w:cs="仿宋_GB2312"/>
                <w:szCs w:val="21"/>
              </w:rPr>
            </w:pPr>
            <w:r>
              <w:rPr>
                <w:rFonts w:hint="eastAsia" w:ascii="仿宋_GB2312" w:hAnsi="仿宋_GB2312" w:eastAsia="仿宋_GB2312" w:cs="仿宋_GB2312"/>
                <w:szCs w:val="21"/>
              </w:rPr>
              <w:t>（2）界桩、永久性责任牌、安全警示牌、巡查路线、巡视点等管理设施受到人为破坏的；</w:t>
            </w:r>
          </w:p>
          <w:p>
            <w:pPr>
              <w:spacing w:line="400" w:lineRule="exact"/>
              <w:ind w:left="290" w:leftChars="138"/>
              <w:rPr>
                <w:rFonts w:ascii="仿宋_GB2312" w:hAnsi="仿宋_GB2312" w:eastAsia="仿宋_GB2312" w:cs="仿宋_GB2312"/>
                <w:szCs w:val="21"/>
              </w:rPr>
            </w:pPr>
            <w:r>
              <w:rPr>
                <w:rFonts w:hint="eastAsia" w:ascii="仿宋_GB2312" w:hAnsi="仿宋_GB2312" w:eastAsia="仿宋_GB2312" w:cs="仿宋_GB2312"/>
                <w:szCs w:val="21"/>
              </w:rPr>
              <w:t>（3）擅自在防浪墙、输水渠道或管道上开缺、阻水、挖洞；</w:t>
            </w:r>
          </w:p>
          <w:p>
            <w:pPr>
              <w:spacing w:line="400" w:lineRule="exact"/>
              <w:ind w:left="290" w:leftChars="138"/>
              <w:rPr>
                <w:rFonts w:ascii="仿宋_GB2312" w:hAnsi="仿宋_GB2312" w:eastAsia="仿宋_GB2312" w:cs="仿宋_GB2312"/>
                <w:szCs w:val="21"/>
              </w:rPr>
            </w:pPr>
            <w:r>
              <w:rPr>
                <w:rFonts w:hint="eastAsia" w:ascii="仿宋_GB2312" w:hAnsi="仿宋_GB2312" w:eastAsia="仿宋_GB2312" w:cs="仿宋_GB2312"/>
                <w:szCs w:val="21"/>
              </w:rPr>
              <w:t>（4）在管理范围内搭建建筑物及构筑物</w:t>
            </w:r>
            <w:r>
              <w:rPr>
                <w:rFonts w:hint="eastAsia" w:ascii="仿宋_GB2312" w:hAnsi="仿宋_GB2312" w:eastAsia="仿宋_GB2312" w:cs="仿宋_GB2312"/>
                <w:color w:val="000000"/>
                <w:kern w:val="0"/>
                <w:szCs w:val="21"/>
              </w:rPr>
              <w:t>、采石取土、挖坑开沟、倾倒垃圾、废土、进行爆破</w:t>
            </w:r>
            <w:r>
              <w:rPr>
                <w:rFonts w:hint="eastAsia" w:ascii="仿宋_GB2312" w:hAnsi="仿宋_GB2312" w:eastAsia="仿宋_GB2312" w:cs="仿宋_GB2312"/>
                <w:szCs w:val="21"/>
              </w:rPr>
              <w:t>及其他危害安全的活动；</w:t>
            </w:r>
          </w:p>
          <w:p>
            <w:pPr>
              <w:spacing w:line="400" w:lineRule="exact"/>
              <w:ind w:left="290" w:leftChars="138"/>
              <w:rPr>
                <w:rFonts w:ascii="仿宋_GB2312" w:hAnsi="仿宋_GB2312" w:eastAsia="仿宋_GB2312" w:cs="仿宋_GB2312"/>
                <w:szCs w:val="21"/>
              </w:rPr>
            </w:pPr>
            <w:r>
              <w:rPr>
                <w:rFonts w:hint="eastAsia" w:ascii="仿宋_GB2312" w:hAnsi="仿宋_GB2312" w:eastAsia="仿宋_GB2312" w:cs="仿宋_GB2312"/>
                <w:szCs w:val="21"/>
              </w:rPr>
              <w:t>（5）在保护范围内</w:t>
            </w:r>
            <w:r>
              <w:rPr>
                <w:rFonts w:hint="eastAsia" w:ascii="仿宋_GB2312" w:hAnsi="仿宋_GB2312" w:eastAsia="仿宋_GB2312" w:cs="仿宋_GB2312"/>
                <w:color w:val="000000"/>
                <w:kern w:val="0"/>
                <w:szCs w:val="21"/>
              </w:rPr>
              <w:t>采石取土、进行爆破、</w:t>
            </w:r>
            <w:r>
              <w:rPr>
                <w:rFonts w:hint="eastAsia" w:ascii="仿宋_GB2312" w:hAnsi="仿宋_GB2312" w:eastAsia="仿宋_GB2312" w:cs="仿宋_GB2312"/>
                <w:szCs w:val="21"/>
              </w:rPr>
              <w:t>建房及其他危害安全的活动。</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2、未按技术要求做好防汛安全检查（汛前、汛中、汛后综合检查），并无文字记录材料的，扣3分。</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3、未定期召开安全生产会议，进行安全教育，开展安全活动的，扣3分。</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4、未能定期开展对工程的安全隐患排查的，扣2分。</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5、未能定期开展必要的观测的扣2分，检测记录不完整或未开展分析的，扣1分</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_GB2312" w:hAnsi="仿宋_GB2312" w:eastAsia="仿宋_GB2312" w:cs="仿宋_GB2312"/>
                <w:color w:val="000000"/>
                <w:kern w:val="0"/>
                <w:szCs w:val="21"/>
              </w:rPr>
            </w:pP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0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档案及信息化管理</w:t>
            </w:r>
          </w:p>
          <w:p>
            <w:pPr>
              <w:jc w:val="center"/>
              <w:rPr>
                <w:rFonts w:ascii="仿宋_GB2312" w:hAnsi="仿宋_GB2312" w:eastAsia="仿宋_GB2312" w:cs="仿宋_GB2312"/>
              </w:rPr>
            </w:pPr>
            <w:r>
              <w:rPr>
                <w:rFonts w:hint="eastAsia" w:ascii="仿宋_GB2312" w:hAnsi="仿宋_GB2312" w:eastAsia="仿宋_GB2312" w:cs="仿宋_GB2312"/>
              </w:rPr>
              <w:t>（15分）</w:t>
            </w:r>
          </w:p>
        </w:tc>
        <w:tc>
          <w:tcPr>
            <w:tcW w:w="6237" w:type="dxa"/>
            <w:tcBorders>
              <w:top w:val="single" w:color="auto" w:sz="4" w:space="0"/>
              <w:left w:val="single" w:color="auto" w:sz="4" w:space="0"/>
              <w:bottom w:val="single" w:color="auto" w:sz="4" w:space="0"/>
              <w:right w:val="single" w:color="auto" w:sz="4" w:space="0"/>
            </w:tcBorders>
          </w:tcPr>
          <w:p>
            <w:pPr>
              <w:spacing w:line="400" w:lineRule="exact"/>
              <w:ind w:left="210"/>
              <w:rPr>
                <w:rFonts w:ascii="仿宋_GB2312" w:hAnsi="仿宋_GB2312" w:eastAsia="仿宋_GB2312" w:cs="仿宋_GB2312"/>
                <w:szCs w:val="21"/>
              </w:rPr>
            </w:pPr>
            <w:r>
              <w:rPr>
                <w:rFonts w:hint="eastAsia" w:ascii="仿宋_GB2312" w:hAnsi="仿宋_GB2312" w:eastAsia="仿宋_GB2312" w:cs="仿宋_GB2312"/>
                <w:szCs w:val="21"/>
              </w:rPr>
              <w:t>1、档案未及时整理归档上传平台的，本项不得分。</w:t>
            </w:r>
          </w:p>
          <w:p>
            <w:pPr>
              <w:spacing w:line="400" w:lineRule="exact"/>
              <w:ind w:left="210"/>
              <w:rPr>
                <w:rFonts w:ascii="仿宋_GB2312" w:hAnsi="仿宋_GB2312" w:eastAsia="仿宋_GB2312" w:cs="仿宋_GB2312"/>
                <w:szCs w:val="21"/>
              </w:rPr>
            </w:pPr>
            <w:r>
              <w:rPr>
                <w:rFonts w:hint="eastAsia" w:ascii="仿宋_GB2312" w:hAnsi="仿宋_GB2312" w:eastAsia="仿宋_GB2312" w:cs="仿宋_GB2312"/>
                <w:szCs w:val="21"/>
              </w:rPr>
              <w:t>2、各类检查、考核、事故处理过程记录未及时整理归档的，扣2分。</w:t>
            </w:r>
          </w:p>
          <w:p>
            <w:pPr>
              <w:spacing w:line="400" w:lineRule="exact"/>
              <w:ind w:left="210"/>
              <w:rPr>
                <w:rFonts w:ascii="仿宋_GB2312" w:hAnsi="仿宋_GB2312" w:eastAsia="仿宋_GB2312" w:cs="仿宋_GB2312"/>
                <w:szCs w:val="21"/>
              </w:rPr>
            </w:pPr>
            <w:r>
              <w:rPr>
                <w:rFonts w:hint="eastAsia" w:ascii="仿宋_GB2312" w:hAnsi="仿宋_GB2312" w:eastAsia="仿宋_GB2312" w:cs="仿宋_GB2312"/>
                <w:szCs w:val="21"/>
              </w:rPr>
              <w:t>3、未妥善保管发包人移交的物业管理相关的技术档案资料并及时补充完善的，扣1分。</w:t>
            </w:r>
          </w:p>
          <w:p>
            <w:pPr>
              <w:spacing w:line="400" w:lineRule="exact"/>
              <w:ind w:left="210"/>
              <w:rPr>
                <w:rFonts w:ascii="仿宋_GB2312" w:hAnsi="仿宋_GB2312" w:eastAsia="仿宋_GB2312" w:cs="仿宋_GB2312"/>
                <w:szCs w:val="21"/>
              </w:rPr>
            </w:pPr>
            <w:r>
              <w:rPr>
                <w:rFonts w:hint="eastAsia" w:ascii="仿宋_GB2312" w:hAnsi="仿宋_GB2312" w:eastAsia="仿宋_GB2312" w:cs="仿宋_GB2312"/>
                <w:szCs w:val="21"/>
              </w:rPr>
              <w:t>4、工程观测资料未完成或完成未及时移交的，扣3分。</w:t>
            </w:r>
          </w:p>
          <w:p>
            <w:pPr>
              <w:spacing w:line="400" w:lineRule="exact"/>
              <w:ind w:left="210"/>
              <w:rPr>
                <w:rFonts w:ascii="仿宋_GB2312" w:hAnsi="仿宋_GB2312" w:eastAsia="仿宋_GB2312" w:cs="仿宋_GB2312"/>
                <w:szCs w:val="21"/>
              </w:rPr>
            </w:pPr>
            <w:r>
              <w:rPr>
                <w:rFonts w:hint="eastAsia" w:ascii="仿宋_GB2312" w:hAnsi="仿宋_GB2312" w:eastAsia="仿宋_GB2312" w:cs="仿宋_GB2312"/>
                <w:szCs w:val="21"/>
              </w:rPr>
              <w:t>5、各类台账未及时上传运行管理平台的，每发现一处，扣2分。</w:t>
            </w:r>
          </w:p>
          <w:p>
            <w:pPr>
              <w:spacing w:line="400" w:lineRule="exact"/>
              <w:ind w:left="252" w:leftChars="120"/>
              <w:rPr>
                <w:rFonts w:ascii="仿宋_GB2312" w:hAnsi="仿宋_GB2312" w:eastAsia="仿宋_GB2312" w:cs="仿宋_GB2312"/>
                <w:szCs w:val="21"/>
              </w:rPr>
            </w:pPr>
            <w:r>
              <w:rPr>
                <w:rFonts w:hint="eastAsia" w:ascii="仿宋_GB2312" w:hAnsi="仿宋_GB2312" w:eastAsia="仿宋_GB2312" w:cs="仿宋_GB2312"/>
                <w:szCs w:val="21"/>
              </w:rPr>
              <w:t>6、信息化巡查频次不符合合同要求的，扣3分。</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_GB2312" w:hAnsi="仿宋_GB2312" w:eastAsia="仿宋_GB2312" w:cs="仿宋_GB2312"/>
                <w:color w:val="000000"/>
                <w:kern w:val="0"/>
                <w:szCs w:val="21"/>
              </w:rPr>
            </w:pP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合计得分</w:t>
            </w:r>
          </w:p>
        </w:tc>
        <w:tc>
          <w:tcPr>
            <w:tcW w:w="9223" w:type="dxa"/>
            <w:gridSpan w:val="3"/>
            <w:tcBorders>
              <w:top w:val="single" w:color="auto" w:sz="4" w:space="0"/>
              <w:left w:val="single" w:color="auto" w:sz="4" w:space="0"/>
              <w:bottom w:val="single" w:color="auto" w:sz="4" w:space="0"/>
            </w:tcBorders>
            <w:vAlign w:val="center"/>
          </w:tcPr>
          <w:p>
            <w:pPr>
              <w:widowControl/>
              <w:spacing w:before="100" w:beforeAutospacing="1" w:after="100" w:afterAutospacing="1"/>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10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考核结果评定</w:t>
            </w:r>
          </w:p>
        </w:tc>
        <w:tc>
          <w:tcPr>
            <w:tcW w:w="9223"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经现场检查和资料查看，最后评定得分：  分，根据考核办法，评定考核结果为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检查考核人员签名</w:t>
            </w:r>
          </w:p>
        </w:tc>
        <w:tc>
          <w:tcPr>
            <w:tcW w:w="9223"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_GB2312" w:hAnsi="仿宋_GB2312" w:eastAsia="仿宋_GB2312" w:cs="仿宋_GB2312"/>
                <w:color w:val="000000"/>
                <w:kern w:val="0"/>
                <w:szCs w:val="21"/>
              </w:rPr>
            </w:pPr>
          </w:p>
        </w:tc>
      </w:tr>
    </w:tbl>
    <w:p>
      <w:pPr>
        <w:adjustRightInd w:val="0"/>
        <w:spacing w:before="100" w:after="50" w:line="440" w:lineRule="atLeast"/>
        <w:rPr>
          <w:b/>
          <w:bCs/>
          <w:sz w:val="24"/>
        </w:rPr>
      </w:pPr>
      <w:bookmarkStart w:id="65" w:name="_Toc5038_WPSOffice_Level1"/>
      <w:r>
        <w:rPr>
          <w:rFonts w:hint="eastAsia"/>
          <w:b/>
          <w:bCs/>
          <w:sz w:val="24"/>
        </w:rPr>
        <w:t>（注：如遇浙江省水利厅颁发最新的物业考核准或最新管理手册要求，参照最新的执行）</w:t>
      </w:r>
      <w:bookmarkStart w:id="66" w:name="_Toc11989_WPSOffice_Level1"/>
    </w:p>
    <w:p>
      <w:pPr>
        <w:pStyle w:val="22"/>
        <w:ind w:left="1470" w:right="1470"/>
      </w:pPr>
    </w:p>
    <w:p>
      <w:pPr>
        <w:pStyle w:val="22"/>
        <w:ind w:left="1470" w:right="1470"/>
      </w:pPr>
    </w:p>
    <w:p>
      <w:pPr>
        <w:spacing w:afterLines="50" w:line="520" w:lineRule="exact"/>
        <w:jc w:val="center"/>
        <w:rPr>
          <w:rFonts w:ascii="宋体" w:hAnsi="宋体"/>
          <w:b/>
          <w:sz w:val="44"/>
          <w:szCs w:val="44"/>
        </w:rPr>
      </w:pPr>
      <w:r>
        <w:rPr>
          <w:rFonts w:hint="eastAsia" w:ascii="仿宋_GB2312" w:hAnsi="仿宋_GB2312" w:eastAsia="仿宋_GB2312" w:cs="仿宋_GB2312"/>
          <w:b/>
          <w:sz w:val="44"/>
          <w:szCs w:val="44"/>
        </w:rPr>
        <w:t>水闸物业化管理考核评分表</w:t>
      </w:r>
      <w:bookmarkEnd w:id="65"/>
      <w:bookmarkEnd w:id="66"/>
    </w:p>
    <w:p>
      <w:pPr>
        <w:spacing w:afterLines="50" w:line="360" w:lineRule="exact"/>
        <w:ind w:firstLine="480" w:firstLineChars="200"/>
        <w:rPr>
          <w:rFonts w:ascii="仿宋_GB2312" w:hAnsi="仿宋_GB2312" w:eastAsia="仿宋_GB2312" w:cs="仿宋_GB2312"/>
          <w:szCs w:val="21"/>
        </w:rPr>
      </w:pPr>
      <w:r>
        <w:rPr>
          <w:rFonts w:hint="eastAsia" w:ascii="仿宋_GB2312" w:hAnsi="仿宋_GB2312" w:eastAsia="仿宋_GB2312" w:cs="仿宋_GB2312"/>
          <w:sz w:val="24"/>
        </w:rPr>
        <w:t xml:space="preserve"> 日期：  年  月  日</w:t>
      </w:r>
    </w:p>
    <w:tbl>
      <w:tblPr>
        <w:tblStyle w:val="38"/>
        <w:tblW w:w="10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6280"/>
        <w:gridCol w:w="1984"/>
        <w:gridCol w:w="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考核项目</w:t>
            </w:r>
          </w:p>
        </w:tc>
        <w:tc>
          <w:tcPr>
            <w:tcW w:w="62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考  核  标 准</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扣分原因</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4" w:hRule="atLeast"/>
          <w:jc w:val="center"/>
        </w:trPr>
        <w:tc>
          <w:tcPr>
            <w:tcW w:w="11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组织管理（15分）</w:t>
            </w:r>
          </w:p>
        </w:tc>
        <w:tc>
          <w:tcPr>
            <w:tcW w:w="6280" w:type="dxa"/>
            <w:tcBorders>
              <w:top w:val="single" w:color="auto" w:sz="4" w:space="0"/>
              <w:left w:val="single" w:color="auto" w:sz="4" w:space="0"/>
              <w:bottom w:val="single" w:color="auto" w:sz="4" w:space="0"/>
              <w:right w:val="single" w:color="auto" w:sz="4" w:space="0"/>
            </w:tcBorders>
            <w:vAlign w:val="center"/>
          </w:tcPr>
          <w:p>
            <w:pPr>
              <w:numPr>
                <w:ilvl w:val="0"/>
                <w:numId w:val="10"/>
              </w:numPr>
              <w:ind w:firstLine="315" w:firstLineChars="150"/>
              <w:rPr>
                <w:rFonts w:ascii="仿宋_GB2312" w:hAnsi="仿宋_GB2312" w:eastAsia="仿宋_GB2312" w:cs="仿宋_GB2312"/>
                <w:szCs w:val="21"/>
              </w:rPr>
            </w:pPr>
            <w:r>
              <w:rPr>
                <w:rFonts w:hint="eastAsia" w:ascii="仿宋_GB2312" w:hAnsi="仿宋_GB2312" w:eastAsia="仿宋_GB2312" w:cs="仿宋_GB2312"/>
                <w:szCs w:val="21"/>
              </w:rPr>
              <w:t>项目部机构设置和人员（巡查、保洁）配备未符合投标文件承诺的，扣2分；</w:t>
            </w:r>
          </w:p>
          <w:p>
            <w:pPr>
              <w:numPr>
                <w:ilvl w:val="0"/>
                <w:numId w:val="10"/>
              </w:numPr>
              <w:ind w:firstLine="315" w:firstLineChars="150"/>
              <w:rPr>
                <w:rFonts w:ascii="仿宋_GB2312" w:hAnsi="仿宋_GB2312" w:eastAsia="仿宋_GB2312" w:cs="仿宋_GB2312"/>
                <w:szCs w:val="21"/>
              </w:rPr>
            </w:pPr>
            <w:r>
              <w:rPr>
                <w:rFonts w:hint="eastAsia" w:ascii="仿宋_GB2312" w:hAnsi="仿宋_GB2312" w:eastAsia="仿宋_GB2312" w:cs="仿宋_GB2312"/>
                <w:szCs w:val="21"/>
              </w:rPr>
              <w:t>项目部人员未按要求足额到位的，扣2分；</w:t>
            </w:r>
          </w:p>
          <w:p>
            <w:pPr>
              <w:numPr>
                <w:ilvl w:val="0"/>
                <w:numId w:val="10"/>
              </w:numPr>
              <w:ind w:firstLine="315" w:firstLineChars="150"/>
              <w:rPr>
                <w:rFonts w:ascii="仿宋_GB2312" w:hAnsi="仿宋_GB2312" w:eastAsia="仿宋_GB2312" w:cs="仿宋_GB2312"/>
                <w:szCs w:val="21"/>
              </w:rPr>
            </w:pPr>
            <w:r>
              <w:rPr>
                <w:rFonts w:hint="eastAsia" w:ascii="仿宋_GB2312" w:hAnsi="仿宋_GB2312" w:eastAsia="仿宋_GB2312" w:cs="仿宋_GB2312"/>
                <w:szCs w:val="21"/>
              </w:rPr>
              <w:t>擅自更换项目部人员未告知的，扣1分；</w:t>
            </w:r>
          </w:p>
          <w:p>
            <w:pPr>
              <w:rPr>
                <w:rFonts w:ascii="仿宋_GB2312" w:hAnsi="仿宋_GB2312" w:eastAsia="仿宋_GB2312" w:cs="仿宋_GB2312"/>
                <w:szCs w:val="21"/>
              </w:rPr>
            </w:pPr>
            <w:r>
              <w:rPr>
                <w:rFonts w:hint="eastAsia" w:ascii="仿宋_GB2312" w:hAnsi="仿宋_GB2312" w:eastAsia="仿宋_GB2312" w:cs="仿宋_GB2312"/>
                <w:szCs w:val="21"/>
              </w:rPr>
              <w:t xml:space="preserve">   4、各部门和人员（管理、巡查、保洁）管理职责未明确的，扣1分；</w:t>
            </w:r>
          </w:p>
          <w:p>
            <w:pPr>
              <w:rPr>
                <w:rFonts w:ascii="仿宋_GB2312" w:hAnsi="仿宋_GB2312" w:eastAsia="仿宋_GB2312" w:cs="仿宋_GB2312"/>
                <w:szCs w:val="21"/>
              </w:rPr>
            </w:pPr>
            <w:r>
              <w:rPr>
                <w:rFonts w:hint="eastAsia" w:ascii="仿宋_GB2312" w:hAnsi="仿宋_GB2312" w:eastAsia="仿宋_GB2312" w:cs="仿宋_GB2312"/>
                <w:szCs w:val="21"/>
              </w:rPr>
              <w:t xml:space="preserve">   5、不定期抽查、检查过程中发现虚假的，扣2分；</w:t>
            </w:r>
          </w:p>
          <w:p>
            <w:pPr>
              <w:rPr>
                <w:rFonts w:ascii="仿宋_GB2312" w:hAnsi="仿宋_GB2312" w:eastAsia="仿宋_GB2312" w:cs="仿宋_GB2312"/>
                <w:szCs w:val="21"/>
              </w:rPr>
            </w:pPr>
            <w:r>
              <w:rPr>
                <w:rFonts w:hint="eastAsia" w:ascii="仿宋_GB2312" w:hAnsi="仿宋_GB2312" w:eastAsia="仿宋_GB2312" w:cs="仿宋_GB2312"/>
                <w:szCs w:val="21"/>
              </w:rPr>
              <w:t xml:space="preserve">   6、参与巡查的人员未佩戴工作证的，每人每次扣1分；</w:t>
            </w:r>
          </w:p>
          <w:p>
            <w:pPr>
              <w:rPr>
                <w:rFonts w:ascii="仿宋_GB2312" w:hAnsi="仿宋_GB2312" w:eastAsia="仿宋_GB2312" w:cs="仿宋_GB2312"/>
                <w:szCs w:val="21"/>
              </w:rPr>
            </w:pPr>
            <w:r>
              <w:rPr>
                <w:rFonts w:hint="eastAsia" w:ascii="仿宋_GB2312" w:hAnsi="仿宋_GB2312" w:eastAsia="仿宋_GB2312" w:cs="仿宋_GB2312"/>
                <w:szCs w:val="21"/>
              </w:rPr>
              <w:t xml:space="preserve">   7、维修养护计划申报未能及时报发包人批准，并及时、高质量完成的, 扣2分；</w:t>
            </w:r>
          </w:p>
          <w:p>
            <w:pPr>
              <w:rPr>
                <w:rFonts w:ascii="仿宋_GB2312" w:hAnsi="仿宋_GB2312" w:eastAsia="仿宋_GB2312" w:cs="仿宋_GB2312"/>
                <w:szCs w:val="21"/>
              </w:rPr>
            </w:pPr>
            <w:r>
              <w:rPr>
                <w:rFonts w:hint="eastAsia" w:ascii="仿宋_GB2312" w:hAnsi="仿宋_GB2312" w:eastAsia="仿宋_GB2312" w:cs="仿宋_GB2312"/>
                <w:szCs w:val="21"/>
              </w:rPr>
              <w:t xml:space="preserve">   8、检查考核未及时申报材料，内容不完整，各项工作准备不充分，扣1分；</w:t>
            </w:r>
          </w:p>
          <w:p>
            <w:pPr>
              <w:rPr>
                <w:rFonts w:ascii="仿宋_GB2312" w:hAnsi="仿宋_GB2312" w:eastAsia="仿宋_GB2312" w:cs="仿宋_GB2312"/>
                <w:szCs w:val="21"/>
              </w:rPr>
            </w:pPr>
            <w:r>
              <w:rPr>
                <w:rFonts w:hint="eastAsia" w:ascii="仿宋_GB2312" w:hAnsi="仿宋_GB2312" w:eastAsia="仿宋_GB2312" w:cs="仿宋_GB2312"/>
                <w:szCs w:val="21"/>
              </w:rPr>
              <w:t xml:space="preserve">   9、未能积极协助配合水闸管理单位开展工作的，每次扣5分。</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_GB2312" w:hAnsi="仿宋_GB2312" w:eastAsia="仿宋_GB2312" w:cs="仿宋_GB2312"/>
                <w:color w:val="000000"/>
                <w:kern w:val="0"/>
                <w:szCs w:val="21"/>
              </w:rPr>
            </w:pPr>
          </w:p>
        </w:tc>
        <w:tc>
          <w:tcPr>
            <w:tcW w:w="86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11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工程检查（25分）</w:t>
            </w:r>
          </w:p>
        </w:tc>
        <w:tc>
          <w:tcPr>
            <w:tcW w:w="6280"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1、未按规定开展经常检查，检查不到位未及时记录并报告发包人，检查考核中发现以下任何一项内容的，每项每次扣2分。</w:t>
            </w:r>
          </w:p>
          <w:p>
            <w:pPr>
              <w:pStyle w:val="181"/>
              <w:kinsoku w:val="0"/>
              <w:overflowPunct w:val="0"/>
              <w:ind w:left="290" w:leftChars="138"/>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1</w:t>
            </w:r>
            <w:r>
              <w:rPr>
                <w:rFonts w:hint="eastAsia" w:ascii="仿宋_GB2312" w:hAnsi="仿宋_GB2312" w:eastAsia="仿宋_GB2312" w:cs="仿宋_GB2312"/>
                <w:szCs w:val="21"/>
              </w:rPr>
              <w:t>）土工建筑物：堤</w:t>
            </w:r>
            <w:r>
              <w:rPr>
                <w:rFonts w:ascii="仿宋_GB2312" w:hAnsi="仿宋_GB2312" w:eastAsia="仿宋_GB2312" w:cs="仿宋_GB2312"/>
                <w:szCs w:val="21"/>
              </w:rPr>
              <w:t>(</w:t>
            </w:r>
            <w:r>
              <w:rPr>
                <w:rFonts w:hint="eastAsia" w:ascii="仿宋_GB2312" w:hAnsi="仿宋_GB2312" w:eastAsia="仿宋_GB2312" w:cs="仿宋_GB2312"/>
                <w:szCs w:val="21"/>
              </w:rPr>
              <w:t>坝</w:t>
            </w:r>
            <w:r>
              <w:rPr>
                <w:rFonts w:ascii="仿宋_GB2312" w:hAnsi="仿宋_GB2312" w:eastAsia="仿宋_GB2312" w:cs="仿宋_GB2312"/>
                <w:szCs w:val="21"/>
              </w:rPr>
              <w:t>)</w:t>
            </w:r>
            <w:r>
              <w:rPr>
                <w:rFonts w:hint="eastAsia" w:ascii="仿宋_GB2312" w:hAnsi="仿宋_GB2312" w:eastAsia="仿宋_GB2312" w:cs="仿宋_GB2312"/>
                <w:szCs w:val="21"/>
              </w:rPr>
              <w:t>有无雨淋沟、渗漏、裂缝、塌陷等缺陷；岸、翼墙后填土区有无跌落、塌陷；河床有无严重冲刷和淤积；</w:t>
            </w:r>
          </w:p>
          <w:p>
            <w:pPr>
              <w:pStyle w:val="181"/>
              <w:kinsoku w:val="0"/>
              <w:overflowPunct w:val="0"/>
              <w:ind w:left="290" w:leftChars="138"/>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2</w:t>
            </w:r>
            <w:r>
              <w:rPr>
                <w:rFonts w:hint="eastAsia" w:ascii="仿宋_GB2312" w:hAnsi="仿宋_GB2312" w:eastAsia="仿宋_GB2312" w:cs="仿宋_GB2312"/>
                <w:szCs w:val="21"/>
              </w:rPr>
              <w:t>）石工建筑物：砌石护坡、护底偶遇无松动、塌陷等缺陷；浆砌块石墙身有无渗漏、倾斜或错动，墙基有无冒水冒沙现象；防冲设施</w:t>
            </w:r>
            <w:r>
              <w:rPr>
                <w:rFonts w:ascii="仿宋_GB2312" w:hAnsi="仿宋_GB2312" w:eastAsia="仿宋_GB2312" w:cs="仿宋_GB2312"/>
                <w:szCs w:val="21"/>
              </w:rPr>
              <w:t>(</w:t>
            </w:r>
            <w:r>
              <w:rPr>
                <w:rFonts w:hint="eastAsia" w:ascii="仿宋_GB2312" w:hAnsi="仿宋_GB2312" w:eastAsia="仿宋_GB2312" w:cs="仿宋_GB2312"/>
                <w:szCs w:val="21"/>
              </w:rPr>
              <w:t>防冲槽、海漫等</w:t>
            </w:r>
            <w:r>
              <w:rPr>
                <w:rFonts w:ascii="仿宋_GB2312" w:hAnsi="仿宋_GB2312" w:eastAsia="仿宋_GB2312" w:cs="仿宋_GB2312"/>
                <w:szCs w:val="21"/>
              </w:rPr>
              <w:t>)</w:t>
            </w:r>
            <w:r>
              <w:rPr>
                <w:rFonts w:hint="eastAsia" w:ascii="仿宋_GB2312" w:hAnsi="仿宋_GB2312" w:eastAsia="仿宋_GB2312" w:cs="仿宋_GB2312"/>
                <w:szCs w:val="21"/>
              </w:rPr>
              <w:t>有无冲刷破坏；反滤设施、减压井、导渗沟、排水设施等有无保持畅通；</w:t>
            </w:r>
          </w:p>
          <w:p>
            <w:pPr>
              <w:pStyle w:val="181"/>
              <w:kinsoku w:val="0"/>
              <w:overflowPunct w:val="0"/>
              <w:ind w:left="290" w:leftChars="138"/>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3</w:t>
            </w:r>
            <w:r>
              <w:rPr>
                <w:rFonts w:hint="eastAsia" w:ascii="仿宋_GB2312" w:hAnsi="仿宋_GB2312" w:eastAsia="仿宋_GB2312" w:cs="仿宋_GB2312"/>
                <w:szCs w:val="21"/>
              </w:rPr>
              <w:t>）砼建筑物：混凝土结构表面是否整洁，有无脱壳、剥落、露筋、裂缝等现象，是否采取保护措施及时修补；伸缩缝填料有无流失；</w:t>
            </w:r>
          </w:p>
          <w:p>
            <w:pPr>
              <w:pStyle w:val="181"/>
              <w:kinsoku w:val="0"/>
              <w:overflowPunct w:val="0"/>
              <w:ind w:left="290" w:leftChars="138"/>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4</w:t>
            </w:r>
            <w:r>
              <w:rPr>
                <w:rFonts w:hint="eastAsia" w:ascii="仿宋_GB2312" w:hAnsi="仿宋_GB2312" w:eastAsia="仿宋_GB2312" w:cs="仿宋_GB2312"/>
                <w:szCs w:val="21"/>
              </w:rPr>
              <w:t>）闸门：钢闸门表面有无明显锈蚀；闸门止水装置密封是否可靠；闸门行走支承零部件有无缺陷；钢门体的承载构件有无变形；吊耳板、吊座有无裂纹或严重锈损；运转部位的加油设施是否完好、畅通；</w:t>
            </w:r>
          </w:p>
          <w:p>
            <w:pPr>
              <w:pStyle w:val="181"/>
              <w:kinsoku w:val="0"/>
              <w:overflowPunct w:val="0"/>
              <w:ind w:left="290" w:leftChars="138"/>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5</w:t>
            </w:r>
            <w:r>
              <w:rPr>
                <w:rFonts w:hint="eastAsia" w:ascii="仿宋_GB2312" w:hAnsi="仿宋_GB2312" w:eastAsia="仿宋_GB2312" w:cs="仿宋_GB2312"/>
                <w:szCs w:val="21"/>
              </w:rPr>
              <w:t>）机电设备：各类启闭机是否运转灵活、制动准确可靠，有无腐蚀和异常声响；钢丝绳无断丝、磨损、锈蚀、接头松动、变形；零部件有无缺损、裂纹、磨损及螺杆有无弯曲变形；油路通畅，油量、油质是否符合规定要求；</w:t>
            </w:r>
          </w:p>
          <w:p>
            <w:pPr>
              <w:pStyle w:val="181"/>
              <w:kinsoku w:val="0"/>
              <w:overflowPunct w:val="0"/>
              <w:ind w:left="290" w:leftChars="138"/>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6</w:t>
            </w:r>
            <w:r>
              <w:rPr>
                <w:rFonts w:hint="eastAsia" w:ascii="仿宋_GB2312" w:hAnsi="仿宋_GB2312" w:eastAsia="仿宋_GB2312" w:cs="仿宋_GB2312"/>
                <w:szCs w:val="21"/>
              </w:rPr>
              <w:t>）防雷设施：是否对各类电气设备、指示仪表、避雷设施等进行定期检验，并符合规定；各类机电设备是否整洁，及时发现并排除隐患；各类线路是否保持畅通，有无安全隐患；备用发电机维护良好，能随时投入运行。</w:t>
            </w:r>
          </w:p>
          <w:p>
            <w:pPr>
              <w:pStyle w:val="181"/>
              <w:kinsoku w:val="0"/>
              <w:overflowPunct w:val="0"/>
              <w:spacing w:line="231"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2、未按规定开展定期检查、特别检查（台风暴雨天气），并形成书面报告上报的，扣3分。</w:t>
            </w:r>
          </w:p>
          <w:p>
            <w:pPr>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3、检查记录不完整，记录不规范，未有负责人、检查人员签字的，扣2分。</w:t>
            </w:r>
          </w:p>
          <w:p>
            <w:pPr>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4、采购人有权对测量成果进行抽查复核，如发现测量成果不符合要求的，扣2分。</w:t>
            </w:r>
          </w:p>
          <w:p>
            <w:pPr>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5、工程检查过程中发现的问题，未在规定时间内报告的，每次扣2分。</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_GB2312" w:hAnsi="仿宋_GB2312" w:eastAsia="仿宋_GB2312" w:cs="仿宋_GB2312"/>
                <w:color w:val="000000"/>
                <w:kern w:val="0"/>
                <w:szCs w:val="21"/>
              </w:rPr>
            </w:pPr>
          </w:p>
        </w:tc>
        <w:tc>
          <w:tcPr>
            <w:tcW w:w="86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9" w:hRule="atLeast"/>
          <w:jc w:val="center"/>
        </w:trPr>
        <w:tc>
          <w:tcPr>
            <w:tcW w:w="11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养护</w:t>
            </w:r>
          </w:p>
          <w:p>
            <w:pPr>
              <w:jc w:val="center"/>
              <w:rPr>
                <w:rFonts w:ascii="仿宋_GB2312" w:hAnsi="仿宋_GB2312" w:eastAsia="仿宋_GB2312" w:cs="仿宋_GB2312"/>
              </w:rPr>
            </w:pPr>
            <w:r>
              <w:rPr>
                <w:rFonts w:hint="eastAsia" w:ascii="仿宋_GB2312" w:hAnsi="仿宋_GB2312" w:eastAsia="仿宋_GB2312" w:cs="仿宋_GB2312"/>
              </w:rPr>
              <w:t>保洁</w:t>
            </w:r>
          </w:p>
          <w:p>
            <w:pPr>
              <w:jc w:val="center"/>
              <w:rPr>
                <w:rFonts w:ascii="仿宋_GB2312" w:hAnsi="仿宋_GB2312" w:eastAsia="仿宋_GB2312" w:cs="仿宋_GB2312"/>
              </w:rPr>
            </w:pPr>
            <w:r>
              <w:rPr>
                <w:rFonts w:hint="eastAsia" w:ascii="仿宋_GB2312" w:hAnsi="仿宋_GB2312" w:eastAsia="仿宋_GB2312" w:cs="仿宋_GB2312"/>
              </w:rPr>
              <w:t>（25分）</w:t>
            </w:r>
          </w:p>
        </w:tc>
        <w:tc>
          <w:tcPr>
            <w:tcW w:w="6280" w:type="dxa"/>
            <w:tcBorders>
              <w:top w:val="single" w:color="auto" w:sz="4" w:space="0"/>
              <w:left w:val="single" w:color="auto" w:sz="4" w:space="0"/>
              <w:bottom w:val="single" w:color="auto" w:sz="4" w:space="0"/>
              <w:right w:val="single" w:color="auto" w:sz="4" w:space="0"/>
            </w:tcBorders>
            <w:vAlign w:val="center"/>
          </w:tcPr>
          <w:p>
            <w:pPr>
              <w:pStyle w:val="181"/>
              <w:kinsoku w:val="0"/>
              <w:overflowPunct w:val="0"/>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1、水闸土工建筑物、施工建筑物、砼建筑物存在破损、漏筋、砌石脱落的现象，未及时上报或及时修复的，每处每次扣1分。</w:t>
            </w:r>
          </w:p>
          <w:p>
            <w:pPr>
              <w:pStyle w:val="181"/>
              <w:kinsoku w:val="0"/>
              <w:overflowPunct w:val="0"/>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2、水闸钢闸门表面明显锈蚀的；闸门止水装置不密封的；闸门行走支承零部件缺陷的；钢门体的承载构件变形的；吊耳板、吊座裂纹或严重锈损的；运转部位的加油设施不完好、畅通的；每处每次扣1分。</w:t>
            </w:r>
          </w:p>
          <w:p>
            <w:pPr>
              <w:pStyle w:val="181"/>
              <w:kinsoku w:val="0"/>
              <w:overflowPunct w:val="0"/>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3、各类启闭机运转不灵活、制动不准确可靠，存在腐蚀和异常声响的；钢丝绳存在断丝、磨损、锈蚀、接头松动、变形；零部件缺损、裂纹、磨损及螺杆弯曲变形的；油路不通畅，油量、油质不符合规定要求的，每处每次扣1分。</w:t>
            </w:r>
          </w:p>
          <w:p>
            <w:pPr>
              <w:pStyle w:val="181"/>
              <w:kinsoku w:val="0"/>
              <w:overflowPunct w:val="0"/>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4、对各类电气设备、指示仪表、避雷设施等未进行定期检验，并符合规定的；各类机电设备不整洁，未及时发现并排除隐患的；各类线路未保持畅通，存在安全隐患的；备用发电机未维护的，每处每次扣1分。</w:t>
            </w:r>
          </w:p>
          <w:p>
            <w:pPr>
              <w:pStyle w:val="181"/>
              <w:kinsoku w:val="0"/>
              <w:overflowPunct w:val="0"/>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5、管理办公用房、生活用房整洁保养以及周边环境卫生情况，每发现一处卫生不合格的，扣1分。</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6、闸区绿化未定期清除杂草，定期修剪，保持平整的，扣1分。</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7、界桩、界牌、安全警示牌、宣传牌等管理设施破损，未及时上报或及时修复的，每处每次扣1分。</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8、维修养护记录和报表，未定期上报，内容不规范的，扣3分。</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_GB2312" w:hAnsi="仿宋_GB2312" w:eastAsia="仿宋_GB2312" w:cs="仿宋_GB2312"/>
                <w:color w:val="000000"/>
                <w:kern w:val="0"/>
                <w:szCs w:val="21"/>
              </w:rPr>
            </w:pPr>
          </w:p>
        </w:tc>
        <w:tc>
          <w:tcPr>
            <w:tcW w:w="86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jc w:val="center"/>
        </w:trPr>
        <w:tc>
          <w:tcPr>
            <w:tcW w:w="11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安全</w:t>
            </w:r>
          </w:p>
          <w:p>
            <w:pPr>
              <w:jc w:val="center"/>
              <w:rPr>
                <w:rFonts w:ascii="仿宋_GB2312" w:hAnsi="仿宋_GB2312" w:eastAsia="仿宋_GB2312" w:cs="仿宋_GB2312"/>
              </w:rPr>
            </w:pPr>
            <w:r>
              <w:rPr>
                <w:rFonts w:hint="eastAsia" w:ascii="仿宋_GB2312" w:hAnsi="仿宋_GB2312" w:eastAsia="仿宋_GB2312" w:cs="仿宋_GB2312"/>
              </w:rPr>
              <w:t>管理</w:t>
            </w:r>
          </w:p>
          <w:p>
            <w:pPr>
              <w:jc w:val="center"/>
              <w:rPr>
                <w:rFonts w:ascii="仿宋_GB2312" w:hAnsi="仿宋_GB2312" w:eastAsia="仿宋_GB2312" w:cs="仿宋_GB2312"/>
              </w:rPr>
            </w:pPr>
            <w:r>
              <w:rPr>
                <w:rFonts w:hint="eastAsia" w:ascii="仿宋_GB2312" w:hAnsi="仿宋_GB2312" w:eastAsia="仿宋_GB2312" w:cs="仿宋_GB2312"/>
              </w:rPr>
              <w:t>（20分）</w:t>
            </w:r>
          </w:p>
        </w:tc>
        <w:tc>
          <w:tcPr>
            <w:tcW w:w="6280"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1、巡查不到位，没有及时制止或及时报告以下任何一项违章违法行为的，检查考核中发现以下内容的，每项每次扣2分。</w:t>
            </w:r>
          </w:p>
          <w:p>
            <w:pPr>
              <w:ind w:firstLine="200"/>
              <w:rPr>
                <w:rFonts w:ascii="仿宋_GB2312" w:hAnsi="仿宋_GB2312" w:eastAsia="仿宋_GB2312" w:cs="仿宋_GB2312"/>
                <w:szCs w:val="21"/>
              </w:rPr>
            </w:pPr>
            <w:r>
              <w:rPr>
                <w:rFonts w:hint="eastAsia" w:ascii="仿宋_GB2312" w:hAnsi="仿宋_GB2312" w:eastAsia="仿宋_GB2312" w:cs="仿宋_GB2312"/>
                <w:szCs w:val="21"/>
              </w:rPr>
              <w:t>（1）除防汛抢险、水闸管理专用和特殊情况需要通行的车辆外，其他机动车辆在水闸上行驶或停放的；</w:t>
            </w:r>
          </w:p>
          <w:p>
            <w:pPr>
              <w:ind w:firstLine="200"/>
              <w:rPr>
                <w:rFonts w:ascii="仿宋_GB2312" w:hAnsi="仿宋_GB2312" w:eastAsia="仿宋_GB2312" w:cs="仿宋_GB2312"/>
                <w:szCs w:val="21"/>
              </w:rPr>
            </w:pPr>
            <w:r>
              <w:rPr>
                <w:rFonts w:hint="eastAsia" w:ascii="仿宋_GB2312" w:hAnsi="仿宋_GB2312" w:eastAsia="仿宋_GB2312" w:cs="仿宋_GB2312"/>
                <w:szCs w:val="21"/>
              </w:rPr>
              <w:t>（2）界桩、界牌、安全警示牌、宣传牌等管理设施受到人为破坏的；</w:t>
            </w:r>
          </w:p>
          <w:p>
            <w:pPr>
              <w:ind w:firstLine="200"/>
              <w:rPr>
                <w:rFonts w:ascii="仿宋_GB2312" w:hAnsi="仿宋_GB2312" w:eastAsia="仿宋_GB2312" w:cs="仿宋_GB2312"/>
                <w:szCs w:val="21"/>
              </w:rPr>
            </w:pPr>
            <w:r>
              <w:rPr>
                <w:rFonts w:hint="eastAsia" w:ascii="仿宋_GB2312" w:hAnsi="仿宋_GB2312" w:eastAsia="仿宋_GB2312" w:cs="仿宋_GB2312"/>
                <w:szCs w:val="21"/>
              </w:rPr>
              <w:t>（3）擅自在水闸翼墙位置开缺、挖洞；</w:t>
            </w:r>
          </w:p>
          <w:p>
            <w:pPr>
              <w:ind w:firstLine="200"/>
              <w:rPr>
                <w:rFonts w:ascii="仿宋_GB2312" w:hAnsi="仿宋_GB2312" w:eastAsia="仿宋_GB2312" w:cs="仿宋_GB2312"/>
                <w:szCs w:val="21"/>
              </w:rPr>
            </w:pPr>
            <w:r>
              <w:rPr>
                <w:rFonts w:hint="eastAsia" w:ascii="仿宋_GB2312" w:hAnsi="仿宋_GB2312" w:eastAsia="仿宋_GB2312" w:cs="仿宋_GB2312"/>
                <w:szCs w:val="21"/>
              </w:rPr>
              <w:t>（4）在水闸管理范围内搭建建筑物及构筑物、</w:t>
            </w:r>
            <w:r>
              <w:rPr>
                <w:rFonts w:hint="eastAsia" w:ascii="仿宋_GB2312" w:hAnsi="仿宋_GB2312" w:eastAsia="仿宋_GB2312" w:cs="仿宋_GB2312"/>
                <w:color w:val="000000"/>
                <w:kern w:val="0"/>
                <w:szCs w:val="21"/>
              </w:rPr>
              <w:t>打井挖塘、采石取土、挖坑开沟、倾倒垃圾、废土、进行爆破、</w:t>
            </w:r>
            <w:r>
              <w:rPr>
                <w:rFonts w:hint="eastAsia" w:ascii="仿宋_GB2312" w:hAnsi="仿宋_GB2312" w:eastAsia="仿宋_GB2312" w:cs="仿宋_GB2312"/>
                <w:szCs w:val="21"/>
              </w:rPr>
              <w:t>翻挖塘脚镇压层抛石和消浪防冲设施及其他危害水闸安全的活动；</w:t>
            </w:r>
          </w:p>
          <w:p>
            <w:pPr>
              <w:ind w:firstLine="200"/>
              <w:rPr>
                <w:rFonts w:ascii="仿宋_GB2312" w:hAnsi="仿宋_GB2312" w:eastAsia="仿宋_GB2312" w:cs="仿宋_GB2312"/>
                <w:szCs w:val="21"/>
              </w:rPr>
            </w:pPr>
            <w:r>
              <w:rPr>
                <w:rFonts w:hint="eastAsia" w:ascii="仿宋_GB2312" w:hAnsi="仿宋_GB2312" w:eastAsia="仿宋_GB2312" w:cs="仿宋_GB2312"/>
                <w:szCs w:val="21"/>
              </w:rPr>
              <w:t>（5）在水闸保护范围内</w:t>
            </w:r>
            <w:r>
              <w:rPr>
                <w:rFonts w:hint="eastAsia" w:ascii="仿宋_GB2312" w:hAnsi="仿宋_GB2312" w:eastAsia="仿宋_GB2312" w:cs="仿宋_GB2312"/>
                <w:color w:val="000000"/>
                <w:kern w:val="0"/>
                <w:szCs w:val="21"/>
              </w:rPr>
              <w:t>打井挖塘、采石取土、进行爆破、</w:t>
            </w:r>
            <w:r>
              <w:rPr>
                <w:rFonts w:hint="eastAsia" w:ascii="仿宋_GB2312" w:hAnsi="仿宋_GB2312" w:eastAsia="仿宋_GB2312" w:cs="仿宋_GB2312"/>
                <w:szCs w:val="21"/>
              </w:rPr>
              <w:t>建房及其他危害水闸安全的活动。</w:t>
            </w:r>
          </w:p>
          <w:p>
            <w:pPr>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2、未按技术要求做好防汛安全检查（汛前、汛中、汛后综合检查），并有文字记录材料的，扣3分。</w:t>
            </w:r>
          </w:p>
          <w:p>
            <w:pPr>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3、未定期召开安全生产会议，进行安全教育，开展安全活动的，扣3分。</w:t>
            </w:r>
          </w:p>
          <w:p>
            <w:pPr>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4、未能定期开展对工程的安全隐患排查的，扣2分。</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_GB2312" w:hAnsi="仿宋_GB2312" w:eastAsia="仿宋_GB2312" w:cs="仿宋_GB2312"/>
                <w:color w:val="000000"/>
                <w:kern w:val="0"/>
                <w:szCs w:val="21"/>
              </w:rPr>
            </w:pPr>
          </w:p>
        </w:tc>
        <w:tc>
          <w:tcPr>
            <w:tcW w:w="86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2" w:hRule="atLeast"/>
          <w:jc w:val="center"/>
        </w:trPr>
        <w:tc>
          <w:tcPr>
            <w:tcW w:w="11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档案及信息化管理</w:t>
            </w:r>
          </w:p>
          <w:p>
            <w:pPr>
              <w:jc w:val="center"/>
              <w:rPr>
                <w:rFonts w:ascii="仿宋_GB2312" w:hAnsi="仿宋_GB2312" w:eastAsia="仿宋_GB2312" w:cs="仿宋_GB2312"/>
              </w:rPr>
            </w:pPr>
            <w:r>
              <w:rPr>
                <w:rFonts w:hint="eastAsia" w:ascii="仿宋_GB2312" w:hAnsi="仿宋_GB2312" w:eastAsia="仿宋_GB2312" w:cs="仿宋_GB2312"/>
              </w:rPr>
              <w:t>（15分）</w:t>
            </w:r>
          </w:p>
        </w:tc>
        <w:tc>
          <w:tcPr>
            <w:tcW w:w="6280" w:type="dxa"/>
            <w:tcBorders>
              <w:top w:val="single" w:color="auto" w:sz="4" w:space="0"/>
              <w:left w:val="single" w:color="auto" w:sz="4" w:space="0"/>
              <w:bottom w:val="single" w:color="auto" w:sz="4" w:space="0"/>
              <w:right w:val="single" w:color="auto" w:sz="4" w:space="0"/>
            </w:tcBorders>
          </w:tcPr>
          <w:p>
            <w:pPr>
              <w:ind w:left="210"/>
              <w:rPr>
                <w:rFonts w:ascii="仿宋_GB2312" w:hAnsi="仿宋_GB2312" w:eastAsia="仿宋_GB2312" w:cs="仿宋_GB2312"/>
                <w:szCs w:val="21"/>
              </w:rPr>
            </w:pPr>
            <w:r>
              <w:rPr>
                <w:rFonts w:hint="eastAsia" w:ascii="仿宋_GB2312" w:hAnsi="仿宋_GB2312" w:eastAsia="仿宋_GB2312" w:cs="仿宋_GB2312"/>
                <w:szCs w:val="21"/>
              </w:rPr>
              <w:t>1、档案未及时整理归档上传平台的，本项不得分。</w:t>
            </w:r>
          </w:p>
          <w:p>
            <w:pPr>
              <w:ind w:left="210"/>
              <w:rPr>
                <w:rFonts w:ascii="仿宋_GB2312" w:hAnsi="仿宋_GB2312" w:eastAsia="仿宋_GB2312" w:cs="仿宋_GB2312"/>
                <w:szCs w:val="21"/>
              </w:rPr>
            </w:pPr>
            <w:r>
              <w:rPr>
                <w:rFonts w:hint="eastAsia" w:ascii="仿宋_GB2312" w:hAnsi="仿宋_GB2312" w:eastAsia="仿宋_GB2312" w:cs="仿宋_GB2312"/>
                <w:szCs w:val="21"/>
              </w:rPr>
              <w:t>2、各类检查、考核、事故处理过程记录未及时整理归档的，扣2分。</w:t>
            </w:r>
          </w:p>
          <w:p>
            <w:pPr>
              <w:ind w:left="210"/>
              <w:rPr>
                <w:rFonts w:ascii="仿宋_GB2312" w:hAnsi="仿宋_GB2312" w:eastAsia="仿宋_GB2312" w:cs="仿宋_GB2312"/>
                <w:szCs w:val="21"/>
              </w:rPr>
            </w:pPr>
            <w:r>
              <w:rPr>
                <w:rFonts w:hint="eastAsia" w:ascii="仿宋_GB2312" w:hAnsi="仿宋_GB2312" w:eastAsia="仿宋_GB2312" w:cs="仿宋_GB2312"/>
                <w:szCs w:val="21"/>
              </w:rPr>
              <w:t>3、未妥善保管发包人移交的物业管理相关的技术档案资料并及时补充完善的，扣1分。</w:t>
            </w:r>
          </w:p>
          <w:p>
            <w:pPr>
              <w:ind w:left="210"/>
              <w:rPr>
                <w:rFonts w:ascii="仿宋_GB2312" w:hAnsi="仿宋_GB2312" w:eastAsia="仿宋_GB2312" w:cs="仿宋_GB2312"/>
                <w:szCs w:val="21"/>
              </w:rPr>
            </w:pPr>
            <w:r>
              <w:rPr>
                <w:rFonts w:hint="eastAsia" w:ascii="仿宋_GB2312" w:hAnsi="仿宋_GB2312" w:eastAsia="仿宋_GB2312" w:cs="仿宋_GB2312"/>
                <w:szCs w:val="21"/>
              </w:rPr>
              <w:t>4、工程观测资料未完成或完成未及时移交的，扣3分。</w:t>
            </w:r>
          </w:p>
          <w:p>
            <w:pPr>
              <w:ind w:left="210"/>
              <w:rPr>
                <w:rFonts w:ascii="仿宋_GB2312" w:hAnsi="仿宋_GB2312" w:eastAsia="仿宋_GB2312" w:cs="仿宋_GB2312"/>
                <w:szCs w:val="21"/>
              </w:rPr>
            </w:pPr>
            <w:r>
              <w:rPr>
                <w:rFonts w:hint="eastAsia" w:ascii="仿宋_GB2312" w:hAnsi="仿宋_GB2312" w:eastAsia="仿宋_GB2312" w:cs="仿宋_GB2312"/>
                <w:szCs w:val="21"/>
              </w:rPr>
              <w:t>5、各类台账未及时上传运行管理平台的，每发现一处，扣2分。</w:t>
            </w:r>
          </w:p>
          <w:p>
            <w:pPr>
              <w:ind w:left="210"/>
              <w:rPr>
                <w:rFonts w:ascii="仿宋_GB2312" w:hAnsi="仿宋_GB2312" w:eastAsia="仿宋_GB2312" w:cs="仿宋_GB2312"/>
                <w:szCs w:val="21"/>
              </w:rPr>
            </w:pPr>
            <w:r>
              <w:rPr>
                <w:rFonts w:hint="eastAsia" w:ascii="仿宋_GB2312" w:hAnsi="仿宋_GB2312" w:eastAsia="仿宋_GB2312" w:cs="仿宋_GB2312"/>
                <w:szCs w:val="21"/>
              </w:rPr>
              <w:t>6、信息化巡查频次不符合合同要求的，扣3分。</w:t>
            </w:r>
          </w:p>
          <w:p>
            <w:pPr>
              <w:ind w:left="672" w:leftChars="-80" w:hanging="840" w:hangingChars="400"/>
              <w:rPr>
                <w:rFonts w:ascii="仿宋_GB2312" w:hAnsi="仿宋_GB2312" w:eastAsia="仿宋_GB2312" w:cs="仿宋_GB2312"/>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_GB2312" w:hAnsi="仿宋_GB2312" w:eastAsia="仿宋_GB2312" w:cs="仿宋_GB2312"/>
                <w:color w:val="000000"/>
                <w:kern w:val="0"/>
                <w:szCs w:val="21"/>
              </w:rPr>
            </w:pPr>
          </w:p>
        </w:tc>
        <w:tc>
          <w:tcPr>
            <w:tcW w:w="86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11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合计得分</w:t>
            </w:r>
          </w:p>
        </w:tc>
        <w:tc>
          <w:tcPr>
            <w:tcW w:w="9124" w:type="dxa"/>
            <w:gridSpan w:val="3"/>
            <w:tcBorders>
              <w:top w:val="single" w:color="auto" w:sz="4" w:space="0"/>
              <w:left w:val="single" w:color="auto" w:sz="4" w:space="0"/>
              <w:bottom w:val="single" w:color="auto" w:sz="4" w:space="0"/>
            </w:tcBorders>
            <w:vAlign w:val="center"/>
          </w:tcPr>
          <w:p>
            <w:pPr>
              <w:widowControl/>
              <w:spacing w:before="100" w:beforeAutospacing="1" w:after="100" w:afterAutospacing="1"/>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jc w:val="center"/>
        </w:trPr>
        <w:tc>
          <w:tcPr>
            <w:tcW w:w="11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考核结果评定</w:t>
            </w:r>
          </w:p>
        </w:tc>
        <w:tc>
          <w:tcPr>
            <w:tcW w:w="9124"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经现场检查和资料查看，最后评定得分：  分，根据考核办法，评定考核结果为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11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检查考核人员签名</w:t>
            </w:r>
          </w:p>
        </w:tc>
        <w:tc>
          <w:tcPr>
            <w:tcW w:w="9124"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仿宋_GB2312" w:hAnsi="仿宋_GB2312" w:eastAsia="仿宋_GB2312" w:cs="仿宋_GB2312"/>
                <w:color w:val="000000"/>
                <w:kern w:val="0"/>
                <w:szCs w:val="21"/>
              </w:rPr>
            </w:pPr>
          </w:p>
        </w:tc>
      </w:tr>
    </w:tbl>
    <w:p>
      <w:pPr>
        <w:adjustRightInd w:val="0"/>
        <w:spacing w:before="100" w:after="50" w:line="440" w:lineRule="atLeast"/>
        <w:rPr>
          <w:b/>
          <w:bCs/>
          <w:sz w:val="24"/>
        </w:rPr>
      </w:pPr>
      <w:r>
        <w:rPr>
          <w:rFonts w:hint="eastAsia"/>
          <w:b/>
          <w:bCs/>
          <w:sz w:val="24"/>
        </w:rPr>
        <w:t>（注：如遇浙江省水利厅颁发最新的物业考核准或最新管理手册要求，参照最新的执行）</w:t>
      </w:r>
    </w:p>
    <w:p>
      <w:pPr>
        <w:adjustRightInd w:val="0"/>
        <w:spacing w:before="100" w:after="50" w:line="440" w:lineRule="atLeast"/>
        <w:ind w:firstLine="420"/>
        <w:rPr>
          <w:b/>
          <w:bCs/>
          <w:sz w:val="24"/>
        </w:rPr>
      </w:pPr>
    </w:p>
    <w:p>
      <w:pPr>
        <w:widowControl/>
        <w:jc w:val="left"/>
        <w:rPr>
          <w:b/>
          <w:bCs/>
          <w:sz w:val="44"/>
          <w:szCs w:val="32"/>
        </w:rPr>
      </w:pPr>
      <w:bookmarkStart w:id="67" w:name="_Toc24327_WPSOffice_Level1"/>
      <w:r>
        <w:rPr>
          <w:b/>
          <w:bCs/>
          <w:sz w:val="44"/>
          <w:szCs w:val="32"/>
        </w:rPr>
        <w:br w:type="page"/>
      </w:r>
    </w:p>
    <w:p>
      <w:pPr>
        <w:adjustRightInd w:val="0"/>
        <w:spacing w:before="100" w:after="50" w:line="360" w:lineRule="auto"/>
        <w:ind w:firstLine="420"/>
        <w:jc w:val="center"/>
        <w:rPr>
          <w:b/>
          <w:bCs/>
          <w:sz w:val="44"/>
          <w:szCs w:val="32"/>
        </w:rPr>
      </w:pPr>
      <w:r>
        <w:rPr>
          <w:rFonts w:hint="eastAsia"/>
          <w:b/>
          <w:bCs/>
          <w:sz w:val="44"/>
          <w:szCs w:val="32"/>
        </w:rPr>
        <w:t>处 罚 扣 款 依 据 表</w:t>
      </w:r>
      <w:bookmarkEnd w:id="67"/>
    </w:p>
    <w:p>
      <w:pPr>
        <w:jc w:val="right"/>
      </w:pPr>
      <w:r>
        <w:rPr>
          <w:rFonts w:hint="eastAsia"/>
        </w:rPr>
        <w:t>日  期：   年   月    日</w:t>
      </w:r>
    </w:p>
    <w:tbl>
      <w:tblPr>
        <w:tblStyle w:val="39"/>
        <w:tblW w:w="9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526"/>
        <w:gridCol w:w="709"/>
        <w:gridCol w:w="4445"/>
        <w:gridCol w:w="761"/>
        <w:gridCol w:w="568"/>
        <w:gridCol w:w="983"/>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9" w:type="dxa"/>
            <w:vAlign w:val="center"/>
          </w:tcPr>
          <w:p>
            <w:pPr>
              <w:spacing w:line="400" w:lineRule="exact"/>
              <w:jc w:val="center"/>
              <w:rPr>
                <w:rFonts w:ascii="宋体" w:hAnsi="宋体" w:cs="Arial"/>
                <w:b/>
                <w:color w:val="000000"/>
                <w:sz w:val="22"/>
                <w:szCs w:val="22"/>
              </w:rPr>
            </w:pPr>
            <w:r>
              <w:rPr>
                <w:rFonts w:hint="eastAsia" w:ascii="宋体" w:hAnsi="宋体" w:cs="Arial"/>
                <w:b/>
                <w:color w:val="000000"/>
                <w:sz w:val="22"/>
                <w:szCs w:val="22"/>
              </w:rPr>
              <w:t>序号</w:t>
            </w:r>
          </w:p>
        </w:tc>
        <w:tc>
          <w:tcPr>
            <w:tcW w:w="1235" w:type="dxa"/>
            <w:gridSpan w:val="2"/>
            <w:vAlign w:val="center"/>
          </w:tcPr>
          <w:p>
            <w:pPr>
              <w:spacing w:line="400" w:lineRule="exact"/>
              <w:jc w:val="center"/>
              <w:rPr>
                <w:rFonts w:ascii="宋体" w:hAnsi="宋体" w:cs="Arial"/>
                <w:b/>
                <w:color w:val="000000"/>
                <w:sz w:val="22"/>
                <w:szCs w:val="22"/>
              </w:rPr>
            </w:pPr>
            <w:r>
              <w:rPr>
                <w:rFonts w:hint="eastAsia" w:ascii="宋体" w:hAnsi="宋体" w:cs="Arial"/>
                <w:b/>
                <w:color w:val="000000"/>
                <w:sz w:val="22"/>
                <w:szCs w:val="22"/>
              </w:rPr>
              <w:t>处罚内容</w:t>
            </w:r>
          </w:p>
        </w:tc>
        <w:tc>
          <w:tcPr>
            <w:tcW w:w="4445" w:type="dxa"/>
            <w:vAlign w:val="center"/>
          </w:tcPr>
          <w:p>
            <w:pPr>
              <w:spacing w:line="400" w:lineRule="exact"/>
              <w:ind w:right="8"/>
              <w:jc w:val="center"/>
              <w:rPr>
                <w:rFonts w:ascii="宋体" w:hAnsi="宋体" w:cs="Arial"/>
                <w:b/>
                <w:color w:val="000000"/>
                <w:sz w:val="22"/>
                <w:szCs w:val="22"/>
              </w:rPr>
            </w:pPr>
            <w:r>
              <w:rPr>
                <w:rFonts w:hint="eastAsia" w:ascii="宋体" w:hAnsi="宋体" w:cs="Arial"/>
                <w:b/>
                <w:color w:val="000000"/>
                <w:sz w:val="22"/>
                <w:szCs w:val="22"/>
              </w:rPr>
              <w:t>处罚依据</w:t>
            </w:r>
          </w:p>
        </w:tc>
        <w:tc>
          <w:tcPr>
            <w:tcW w:w="761" w:type="dxa"/>
            <w:vAlign w:val="center"/>
          </w:tcPr>
          <w:p>
            <w:pPr>
              <w:spacing w:line="400" w:lineRule="exact"/>
              <w:jc w:val="center"/>
              <w:rPr>
                <w:rFonts w:ascii="宋体" w:hAnsi="宋体" w:cs="Arial"/>
                <w:b/>
                <w:color w:val="000000"/>
                <w:sz w:val="22"/>
                <w:szCs w:val="22"/>
              </w:rPr>
            </w:pPr>
            <w:r>
              <w:rPr>
                <w:rFonts w:hint="eastAsia" w:ascii="宋体" w:hAnsi="宋体" w:cs="Arial"/>
                <w:b/>
                <w:color w:val="000000"/>
                <w:sz w:val="22"/>
                <w:szCs w:val="22"/>
              </w:rPr>
              <w:t>数量</w:t>
            </w:r>
          </w:p>
        </w:tc>
        <w:tc>
          <w:tcPr>
            <w:tcW w:w="568" w:type="dxa"/>
            <w:vAlign w:val="center"/>
          </w:tcPr>
          <w:p>
            <w:pPr>
              <w:spacing w:line="400" w:lineRule="exact"/>
              <w:jc w:val="center"/>
              <w:rPr>
                <w:rFonts w:ascii="宋体" w:hAnsi="宋体" w:cs="Arial"/>
                <w:b/>
                <w:color w:val="000000"/>
                <w:sz w:val="22"/>
                <w:szCs w:val="22"/>
              </w:rPr>
            </w:pPr>
            <w:r>
              <w:rPr>
                <w:rFonts w:hint="eastAsia" w:ascii="宋体" w:hAnsi="宋体" w:cs="Arial"/>
                <w:b/>
                <w:color w:val="000000"/>
                <w:sz w:val="22"/>
                <w:szCs w:val="22"/>
              </w:rPr>
              <w:t>单位</w:t>
            </w:r>
          </w:p>
        </w:tc>
        <w:tc>
          <w:tcPr>
            <w:tcW w:w="983" w:type="dxa"/>
            <w:vAlign w:val="center"/>
          </w:tcPr>
          <w:p>
            <w:pPr>
              <w:spacing w:line="400" w:lineRule="exact"/>
              <w:jc w:val="center"/>
              <w:rPr>
                <w:rFonts w:ascii="宋体" w:hAnsi="宋体" w:cs="Arial"/>
                <w:b/>
                <w:color w:val="000000"/>
                <w:sz w:val="22"/>
                <w:szCs w:val="22"/>
              </w:rPr>
            </w:pPr>
            <w:r>
              <w:rPr>
                <w:rFonts w:hint="eastAsia" w:ascii="宋体" w:hAnsi="宋体" w:cs="Arial"/>
                <w:b/>
                <w:color w:val="000000"/>
                <w:sz w:val="22"/>
                <w:szCs w:val="22"/>
              </w:rPr>
              <w:t>小计</w:t>
            </w:r>
          </w:p>
        </w:tc>
        <w:tc>
          <w:tcPr>
            <w:tcW w:w="730" w:type="dxa"/>
            <w:vAlign w:val="center"/>
          </w:tcPr>
          <w:p>
            <w:pPr>
              <w:spacing w:line="400" w:lineRule="exact"/>
              <w:jc w:val="center"/>
              <w:rPr>
                <w:rFonts w:ascii="宋体" w:hAnsi="宋体" w:cs="Arial"/>
                <w:b/>
                <w:color w:val="000000"/>
                <w:sz w:val="22"/>
                <w:szCs w:val="22"/>
              </w:rPr>
            </w:pPr>
            <w:r>
              <w:rPr>
                <w:rFonts w:hint="eastAsia" w:ascii="宋体" w:hAnsi="宋体" w:cs="Arial"/>
                <w:b/>
                <w:color w:val="00000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599" w:type="dxa"/>
            <w:vMerge w:val="restart"/>
            <w:vAlign w:val="center"/>
          </w:tcPr>
          <w:p>
            <w:pPr>
              <w:spacing w:line="400" w:lineRule="exact"/>
              <w:jc w:val="center"/>
              <w:rPr>
                <w:rFonts w:ascii="宋体" w:hAnsi="宋体" w:cs="Arial"/>
                <w:bCs/>
                <w:color w:val="000000"/>
                <w:sz w:val="22"/>
                <w:szCs w:val="22"/>
              </w:rPr>
            </w:pPr>
            <w:r>
              <w:rPr>
                <w:rFonts w:hint="eastAsia" w:ascii="宋体" w:hAnsi="宋体" w:cs="Arial"/>
                <w:bCs/>
                <w:color w:val="000000"/>
                <w:sz w:val="22"/>
                <w:szCs w:val="22"/>
              </w:rPr>
              <w:t>1</w:t>
            </w:r>
          </w:p>
        </w:tc>
        <w:tc>
          <w:tcPr>
            <w:tcW w:w="1235" w:type="dxa"/>
            <w:gridSpan w:val="2"/>
            <w:vMerge w:val="restart"/>
            <w:vAlign w:val="center"/>
          </w:tcPr>
          <w:p>
            <w:pPr>
              <w:spacing w:line="400" w:lineRule="exact"/>
              <w:jc w:val="center"/>
              <w:rPr>
                <w:rFonts w:ascii="宋体" w:hAnsi="宋体" w:cs="Arial"/>
                <w:bCs/>
                <w:color w:val="000000"/>
                <w:sz w:val="22"/>
                <w:szCs w:val="22"/>
              </w:rPr>
            </w:pPr>
            <w:r>
              <w:rPr>
                <w:rFonts w:hint="eastAsia" w:ascii="宋体" w:hAnsi="宋体" w:cs="Arial"/>
                <w:bCs/>
                <w:color w:val="000000"/>
                <w:sz w:val="22"/>
                <w:szCs w:val="22"/>
              </w:rPr>
              <w:t>考核制度</w:t>
            </w:r>
          </w:p>
        </w:tc>
        <w:tc>
          <w:tcPr>
            <w:tcW w:w="4445" w:type="dxa"/>
          </w:tcPr>
          <w:p>
            <w:pPr>
              <w:spacing w:line="400" w:lineRule="exact"/>
              <w:ind w:right="8"/>
              <w:rPr>
                <w:rFonts w:ascii="宋体" w:hAnsi="宋体" w:cs="Arial"/>
                <w:bCs/>
                <w:color w:val="000000"/>
                <w:szCs w:val="21"/>
              </w:rPr>
            </w:pPr>
            <w:r>
              <w:rPr>
                <w:rFonts w:hint="eastAsia" w:ascii="宋体" w:hAnsi="宋体" w:cs="Arial"/>
                <w:bCs/>
                <w:color w:val="000000"/>
                <w:szCs w:val="21"/>
              </w:rPr>
              <w:t>（1）每季度初次分数合格95分的，每低1分扣5000元（从当季支付金额中扣除）；</w:t>
            </w:r>
          </w:p>
        </w:tc>
        <w:tc>
          <w:tcPr>
            <w:tcW w:w="761" w:type="dxa"/>
          </w:tcPr>
          <w:p>
            <w:pPr>
              <w:spacing w:line="400" w:lineRule="exact"/>
              <w:rPr>
                <w:rFonts w:ascii="宋体" w:hAnsi="宋体" w:cs="Arial"/>
                <w:bCs/>
                <w:color w:val="000000"/>
                <w:sz w:val="22"/>
                <w:szCs w:val="22"/>
              </w:rPr>
            </w:pPr>
          </w:p>
        </w:tc>
        <w:tc>
          <w:tcPr>
            <w:tcW w:w="568" w:type="dxa"/>
            <w:vAlign w:val="center"/>
          </w:tcPr>
          <w:p>
            <w:pPr>
              <w:spacing w:line="400" w:lineRule="exact"/>
              <w:jc w:val="center"/>
              <w:rPr>
                <w:rFonts w:ascii="宋体" w:hAnsi="宋体" w:cs="Arial"/>
                <w:bCs/>
                <w:color w:val="000000"/>
                <w:sz w:val="22"/>
                <w:szCs w:val="22"/>
              </w:rPr>
            </w:pPr>
            <w:r>
              <w:rPr>
                <w:rFonts w:hint="eastAsia" w:ascii="宋体" w:hAnsi="宋体" w:cs="Arial"/>
                <w:bCs/>
                <w:color w:val="000000"/>
                <w:sz w:val="22"/>
                <w:szCs w:val="22"/>
              </w:rPr>
              <w:t>分</w:t>
            </w:r>
          </w:p>
        </w:tc>
        <w:tc>
          <w:tcPr>
            <w:tcW w:w="983" w:type="dxa"/>
          </w:tcPr>
          <w:p>
            <w:pPr>
              <w:spacing w:line="400" w:lineRule="exact"/>
              <w:rPr>
                <w:rFonts w:ascii="宋体" w:hAnsi="宋体" w:cs="Arial"/>
                <w:bCs/>
                <w:color w:val="000000"/>
                <w:sz w:val="22"/>
                <w:szCs w:val="22"/>
              </w:rPr>
            </w:pPr>
          </w:p>
        </w:tc>
        <w:tc>
          <w:tcPr>
            <w:tcW w:w="730" w:type="dxa"/>
            <w:vMerge w:val="restart"/>
          </w:tcPr>
          <w:p>
            <w:pPr>
              <w:spacing w:line="400" w:lineRule="exact"/>
              <w:rPr>
                <w:rFonts w:ascii="宋体" w:hAnsi="宋体" w:cs="Arial"/>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599" w:type="dxa"/>
            <w:vMerge w:val="continue"/>
            <w:vAlign w:val="center"/>
          </w:tcPr>
          <w:p>
            <w:pPr>
              <w:spacing w:line="400" w:lineRule="exact"/>
              <w:jc w:val="center"/>
              <w:rPr>
                <w:rFonts w:ascii="宋体" w:hAnsi="宋体" w:cs="Arial"/>
                <w:bCs/>
                <w:color w:val="000000"/>
                <w:sz w:val="22"/>
                <w:szCs w:val="22"/>
              </w:rPr>
            </w:pPr>
          </w:p>
        </w:tc>
        <w:tc>
          <w:tcPr>
            <w:tcW w:w="1235" w:type="dxa"/>
            <w:gridSpan w:val="2"/>
            <w:vMerge w:val="continue"/>
            <w:vAlign w:val="center"/>
          </w:tcPr>
          <w:p>
            <w:pPr>
              <w:spacing w:line="400" w:lineRule="exact"/>
              <w:jc w:val="center"/>
              <w:rPr>
                <w:rFonts w:ascii="宋体" w:hAnsi="宋体" w:cs="Arial"/>
                <w:bCs/>
                <w:color w:val="000000"/>
                <w:sz w:val="22"/>
                <w:szCs w:val="22"/>
              </w:rPr>
            </w:pPr>
          </w:p>
        </w:tc>
        <w:tc>
          <w:tcPr>
            <w:tcW w:w="4445" w:type="dxa"/>
          </w:tcPr>
          <w:p>
            <w:pPr>
              <w:spacing w:line="400" w:lineRule="exact"/>
              <w:ind w:right="8"/>
              <w:rPr>
                <w:rFonts w:ascii="宋体" w:hAnsi="宋体" w:cs="Arial"/>
                <w:bCs/>
                <w:color w:val="000000"/>
                <w:szCs w:val="21"/>
              </w:rPr>
            </w:pPr>
            <w:r>
              <w:rPr>
                <w:rFonts w:hint="eastAsia" w:ascii="宋体" w:hAnsi="宋体" w:cs="Arial"/>
                <w:bCs/>
                <w:color w:val="000000"/>
                <w:szCs w:val="21"/>
              </w:rPr>
              <w:t>（2）每季度初次分数小于85分，扣当季支付金额50%（从当季支付金额中扣除）；</w:t>
            </w:r>
          </w:p>
        </w:tc>
        <w:tc>
          <w:tcPr>
            <w:tcW w:w="761" w:type="dxa"/>
          </w:tcPr>
          <w:p>
            <w:pPr>
              <w:spacing w:line="400" w:lineRule="exact"/>
              <w:rPr>
                <w:rFonts w:ascii="宋体" w:hAnsi="宋体" w:cs="Arial"/>
                <w:bCs/>
                <w:color w:val="000000"/>
                <w:sz w:val="22"/>
                <w:szCs w:val="22"/>
              </w:rPr>
            </w:pPr>
          </w:p>
        </w:tc>
        <w:tc>
          <w:tcPr>
            <w:tcW w:w="568" w:type="dxa"/>
            <w:vAlign w:val="center"/>
          </w:tcPr>
          <w:p>
            <w:pPr>
              <w:spacing w:line="400" w:lineRule="exact"/>
              <w:jc w:val="center"/>
              <w:rPr>
                <w:rFonts w:ascii="宋体" w:hAnsi="宋体" w:cs="Arial"/>
                <w:bCs/>
                <w:color w:val="000000"/>
                <w:sz w:val="22"/>
                <w:szCs w:val="22"/>
              </w:rPr>
            </w:pPr>
            <w:r>
              <w:rPr>
                <w:rFonts w:hint="eastAsia" w:ascii="宋体" w:hAnsi="宋体" w:cs="Arial"/>
                <w:bCs/>
                <w:color w:val="000000"/>
                <w:sz w:val="22"/>
                <w:szCs w:val="22"/>
              </w:rPr>
              <w:t>分</w:t>
            </w:r>
          </w:p>
        </w:tc>
        <w:tc>
          <w:tcPr>
            <w:tcW w:w="983" w:type="dxa"/>
          </w:tcPr>
          <w:p>
            <w:pPr>
              <w:spacing w:line="400" w:lineRule="exact"/>
              <w:rPr>
                <w:rFonts w:ascii="宋体" w:hAnsi="宋体" w:cs="Arial"/>
                <w:bCs/>
                <w:color w:val="000000"/>
                <w:sz w:val="22"/>
                <w:szCs w:val="22"/>
              </w:rPr>
            </w:pPr>
          </w:p>
        </w:tc>
        <w:tc>
          <w:tcPr>
            <w:tcW w:w="730" w:type="dxa"/>
            <w:vMerge w:val="continue"/>
          </w:tcPr>
          <w:p>
            <w:pPr>
              <w:spacing w:line="400" w:lineRule="exact"/>
              <w:rPr>
                <w:rFonts w:ascii="宋体" w:hAnsi="宋体" w:cs="Arial"/>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599" w:type="dxa"/>
            <w:vMerge w:val="restart"/>
            <w:vAlign w:val="center"/>
          </w:tcPr>
          <w:p>
            <w:pPr>
              <w:spacing w:line="400" w:lineRule="exact"/>
              <w:jc w:val="center"/>
              <w:rPr>
                <w:rFonts w:ascii="宋体" w:hAnsi="宋体" w:cs="Arial"/>
                <w:bCs/>
                <w:color w:val="000000"/>
                <w:sz w:val="22"/>
                <w:szCs w:val="22"/>
              </w:rPr>
            </w:pPr>
            <w:r>
              <w:rPr>
                <w:rFonts w:hint="eastAsia" w:ascii="宋体" w:hAnsi="宋体" w:cs="Arial"/>
                <w:bCs/>
                <w:color w:val="000000"/>
                <w:sz w:val="22"/>
                <w:szCs w:val="22"/>
              </w:rPr>
              <w:t>2</w:t>
            </w:r>
          </w:p>
        </w:tc>
        <w:tc>
          <w:tcPr>
            <w:tcW w:w="526" w:type="dxa"/>
            <w:vMerge w:val="restart"/>
            <w:vAlign w:val="center"/>
          </w:tcPr>
          <w:p>
            <w:pPr>
              <w:spacing w:line="400" w:lineRule="exact"/>
              <w:jc w:val="center"/>
              <w:rPr>
                <w:rFonts w:ascii="宋体" w:hAnsi="宋体" w:cs="Arial"/>
                <w:bCs/>
                <w:color w:val="000000"/>
                <w:sz w:val="22"/>
                <w:szCs w:val="22"/>
              </w:rPr>
            </w:pPr>
            <w:r>
              <w:rPr>
                <w:rFonts w:hint="eastAsia" w:ascii="宋体" w:hAnsi="宋体" w:cs="Arial"/>
                <w:bCs/>
                <w:color w:val="000000"/>
                <w:sz w:val="22"/>
                <w:szCs w:val="22"/>
              </w:rPr>
              <w:t>常规处罚</w:t>
            </w:r>
          </w:p>
        </w:tc>
        <w:tc>
          <w:tcPr>
            <w:tcW w:w="709" w:type="dxa"/>
            <w:vMerge w:val="restart"/>
            <w:vAlign w:val="center"/>
          </w:tcPr>
          <w:p>
            <w:pPr>
              <w:spacing w:line="400" w:lineRule="exact"/>
              <w:jc w:val="center"/>
              <w:rPr>
                <w:rFonts w:ascii="宋体" w:hAnsi="宋体" w:cs="Arial"/>
                <w:bCs/>
                <w:color w:val="000000"/>
                <w:sz w:val="22"/>
                <w:szCs w:val="22"/>
              </w:rPr>
            </w:pPr>
            <w:r>
              <w:rPr>
                <w:rFonts w:hint="eastAsia" w:ascii="宋体" w:hAnsi="宋体" w:cs="Arial"/>
                <w:bCs/>
                <w:color w:val="000000"/>
                <w:sz w:val="22"/>
                <w:szCs w:val="22"/>
              </w:rPr>
              <w:t>人员</w:t>
            </w:r>
          </w:p>
        </w:tc>
        <w:tc>
          <w:tcPr>
            <w:tcW w:w="4445" w:type="dxa"/>
          </w:tcPr>
          <w:p>
            <w:pPr>
              <w:spacing w:line="400" w:lineRule="exact"/>
              <w:rPr>
                <w:rFonts w:ascii="宋体" w:hAnsi="宋体" w:cs="Arial"/>
                <w:bCs/>
                <w:color w:val="000000"/>
                <w:szCs w:val="21"/>
              </w:rPr>
            </w:pPr>
            <w:r>
              <w:rPr>
                <w:rFonts w:hint="eastAsia" w:ascii="宋体" w:hAnsi="宋体" w:cs="Arial"/>
                <w:bCs/>
                <w:color w:val="000000"/>
                <w:szCs w:val="21"/>
              </w:rPr>
              <w:t>（1）项目负责人及相关人员未按要求到岗。每少一天扣500元（从当季支付金额中扣除）。</w:t>
            </w:r>
          </w:p>
        </w:tc>
        <w:tc>
          <w:tcPr>
            <w:tcW w:w="761" w:type="dxa"/>
          </w:tcPr>
          <w:p>
            <w:pPr>
              <w:spacing w:line="400" w:lineRule="exact"/>
              <w:rPr>
                <w:rFonts w:ascii="宋体" w:hAnsi="宋体" w:cs="Arial"/>
                <w:bCs/>
                <w:color w:val="000000"/>
                <w:sz w:val="22"/>
                <w:szCs w:val="22"/>
              </w:rPr>
            </w:pPr>
          </w:p>
        </w:tc>
        <w:tc>
          <w:tcPr>
            <w:tcW w:w="568" w:type="dxa"/>
            <w:vAlign w:val="center"/>
          </w:tcPr>
          <w:p>
            <w:pPr>
              <w:spacing w:line="400" w:lineRule="exact"/>
              <w:jc w:val="center"/>
              <w:rPr>
                <w:rFonts w:ascii="宋体" w:hAnsi="宋体" w:cs="Arial"/>
                <w:bCs/>
                <w:color w:val="000000"/>
                <w:sz w:val="22"/>
                <w:szCs w:val="22"/>
              </w:rPr>
            </w:pPr>
            <w:r>
              <w:rPr>
                <w:rFonts w:hint="eastAsia" w:ascii="宋体" w:hAnsi="宋体" w:cs="Arial"/>
                <w:bCs/>
                <w:color w:val="000000"/>
                <w:sz w:val="22"/>
                <w:szCs w:val="22"/>
              </w:rPr>
              <w:t>天</w:t>
            </w:r>
          </w:p>
        </w:tc>
        <w:tc>
          <w:tcPr>
            <w:tcW w:w="983" w:type="dxa"/>
          </w:tcPr>
          <w:p>
            <w:pPr>
              <w:spacing w:line="400" w:lineRule="exact"/>
              <w:rPr>
                <w:rFonts w:ascii="宋体" w:hAnsi="宋体" w:cs="Arial"/>
                <w:bCs/>
                <w:color w:val="000000"/>
                <w:sz w:val="22"/>
                <w:szCs w:val="22"/>
              </w:rPr>
            </w:pPr>
          </w:p>
        </w:tc>
        <w:tc>
          <w:tcPr>
            <w:tcW w:w="730" w:type="dxa"/>
            <w:vMerge w:val="restart"/>
          </w:tcPr>
          <w:p>
            <w:pPr>
              <w:spacing w:line="400" w:lineRule="exact"/>
              <w:rPr>
                <w:rFonts w:ascii="宋体" w:hAnsi="宋体" w:cs="Arial"/>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599" w:type="dxa"/>
            <w:vMerge w:val="continue"/>
            <w:vAlign w:val="center"/>
          </w:tcPr>
          <w:p>
            <w:pPr>
              <w:spacing w:line="400" w:lineRule="exact"/>
              <w:jc w:val="center"/>
              <w:rPr>
                <w:rFonts w:ascii="宋体" w:hAnsi="宋体" w:cs="Arial"/>
                <w:bCs/>
                <w:color w:val="000000"/>
                <w:sz w:val="22"/>
                <w:szCs w:val="22"/>
              </w:rPr>
            </w:pPr>
          </w:p>
        </w:tc>
        <w:tc>
          <w:tcPr>
            <w:tcW w:w="526" w:type="dxa"/>
            <w:vMerge w:val="continue"/>
            <w:vAlign w:val="center"/>
          </w:tcPr>
          <w:p>
            <w:pPr>
              <w:spacing w:line="400" w:lineRule="exact"/>
              <w:jc w:val="center"/>
              <w:rPr>
                <w:rFonts w:ascii="宋体" w:hAnsi="宋体" w:cs="Arial"/>
                <w:bCs/>
                <w:color w:val="000000"/>
                <w:sz w:val="22"/>
                <w:szCs w:val="22"/>
              </w:rPr>
            </w:pPr>
          </w:p>
        </w:tc>
        <w:tc>
          <w:tcPr>
            <w:tcW w:w="709" w:type="dxa"/>
            <w:vMerge w:val="continue"/>
            <w:vAlign w:val="center"/>
          </w:tcPr>
          <w:p>
            <w:pPr>
              <w:spacing w:line="400" w:lineRule="exact"/>
              <w:jc w:val="center"/>
              <w:rPr>
                <w:rFonts w:ascii="宋体" w:hAnsi="宋体" w:cs="Arial"/>
                <w:bCs/>
                <w:color w:val="000000"/>
                <w:sz w:val="22"/>
                <w:szCs w:val="22"/>
              </w:rPr>
            </w:pPr>
          </w:p>
        </w:tc>
        <w:tc>
          <w:tcPr>
            <w:tcW w:w="4445" w:type="dxa"/>
          </w:tcPr>
          <w:p>
            <w:pPr>
              <w:spacing w:line="400" w:lineRule="exact"/>
              <w:rPr>
                <w:rFonts w:ascii="宋体" w:hAnsi="宋体" w:cs="Arial"/>
                <w:bCs/>
                <w:color w:val="000000"/>
                <w:szCs w:val="21"/>
              </w:rPr>
            </w:pPr>
            <w:r>
              <w:rPr>
                <w:rFonts w:hint="eastAsia" w:ascii="宋体" w:hAnsi="宋体" w:cs="Arial"/>
                <w:bCs/>
                <w:color w:val="000000"/>
                <w:szCs w:val="21"/>
              </w:rPr>
              <w:t>（2）巡查人员未按要求到岗。每少一天扣100元（从当季支付金额中扣除）。</w:t>
            </w:r>
          </w:p>
        </w:tc>
        <w:tc>
          <w:tcPr>
            <w:tcW w:w="761" w:type="dxa"/>
          </w:tcPr>
          <w:p>
            <w:pPr>
              <w:spacing w:line="400" w:lineRule="exact"/>
              <w:rPr>
                <w:rFonts w:ascii="宋体" w:hAnsi="宋体" w:cs="Arial"/>
                <w:bCs/>
                <w:color w:val="000000"/>
                <w:sz w:val="22"/>
                <w:szCs w:val="22"/>
              </w:rPr>
            </w:pPr>
          </w:p>
        </w:tc>
        <w:tc>
          <w:tcPr>
            <w:tcW w:w="568" w:type="dxa"/>
            <w:vAlign w:val="center"/>
          </w:tcPr>
          <w:p>
            <w:pPr>
              <w:spacing w:line="400" w:lineRule="exact"/>
              <w:jc w:val="center"/>
              <w:rPr>
                <w:rFonts w:ascii="宋体" w:hAnsi="宋体" w:cs="Arial"/>
                <w:bCs/>
                <w:color w:val="000000"/>
                <w:sz w:val="22"/>
                <w:szCs w:val="22"/>
              </w:rPr>
            </w:pPr>
            <w:r>
              <w:rPr>
                <w:rFonts w:hint="eastAsia" w:ascii="宋体" w:hAnsi="宋体" w:cs="Arial"/>
                <w:bCs/>
                <w:color w:val="000000"/>
                <w:sz w:val="22"/>
                <w:szCs w:val="22"/>
              </w:rPr>
              <w:t>天</w:t>
            </w:r>
          </w:p>
        </w:tc>
        <w:tc>
          <w:tcPr>
            <w:tcW w:w="983" w:type="dxa"/>
          </w:tcPr>
          <w:p>
            <w:pPr>
              <w:spacing w:line="400" w:lineRule="exact"/>
              <w:rPr>
                <w:rFonts w:ascii="宋体" w:hAnsi="宋体" w:cs="Arial"/>
                <w:bCs/>
                <w:color w:val="000000"/>
                <w:sz w:val="22"/>
                <w:szCs w:val="22"/>
              </w:rPr>
            </w:pPr>
          </w:p>
        </w:tc>
        <w:tc>
          <w:tcPr>
            <w:tcW w:w="730" w:type="dxa"/>
            <w:vMerge w:val="continue"/>
          </w:tcPr>
          <w:p>
            <w:pPr>
              <w:spacing w:line="400" w:lineRule="exact"/>
              <w:rPr>
                <w:rFonts w:ascii="宋体" w:hAnsi="宋体" w:cs="Arial"/>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9" w:type="dxa"/>
            <w:vAlign w:val="center"/>
          </w:tcPr>
          <w:p>
            <w:pPr>
              <w:spacing w:line="400" w:lineRule="exact"/>
              <w:jc w:val="center"/>
              <w:rPr>
                <w:rFonts w:ascii="宋体" w:hAnsi="宋体" w:cs="Arial"/>
                <w:bCs/>
                <w:color w:val="000000"/>
                <w:sz w:val="22"/>
                <w:szCs w:val="22"/>
              </w:rPr>
            </w:pPr>
            <w:r>
              <w:rPr>
                <w:rFonts w:hint="eastAsia" w:ascii="宋体" w:hAnsi="宋体" w:cs="Arial"/>
                <w:bCs/>
                <w:color w:val="000000"/>
                <w:sz w:val="22"/>
                <w:szCs w:val="22"/>
              </w:rPr>
              <w:t>3</w:t>
            </w:r>
          </w:p>
        </w:tc>
        <w:tc>
          <w:tcPr>
            <w:tcW w:w="526" w:type="dxa"/>
            <w:vMerge w:val="continue"/>
            <w:vAlign w:val="center"/>
          </w:tcPr>
          <w:p>
            <w:pPr>
              <w:spacing w:line="400" w:lineRule="exact"/>
              <w:jc w:val="center"/>
              <w:rPr>
                <w:rFonts w:ascii="宋体" w:hAnsi="宋体" w:cs="Arial"/>
                <w:bCs/>
                <w:color w:val="000000"/>
                <w:sz w:val="22"/>
                <w:szCs w:val="22"/>
              </w:rPr>
            </w:pPr>
          </w:p>
        </w:tc>
        <w:tc>
          <w:tcPr>
            <w:tcW w:w="709" w:type="dxa"/>
            <w:vAlign w:val="center"/>
          </w:tcPr>
          <w:p>
            <w:pPr>
              <w:spacing w:line="400" w:lineRule="exact"/>
              <w:jc w:val="center"/>
              <w:rPr>
                <w:rFonts w:ascii="宋体" w:hAnsi="宋体" w:cs="Arial"/>
                <w:bCs/>
                <w:color w:val="000000"/>
                <w:sz w:val="22"/>
                <w:szCs w:val="22"/>
              </w:rPr>
            </w:pPr>
            <w:r>
              <w:rPr>
                <w:rFonts w:hint="eastAsia" w:ascii="宋体" w:hAnsi="宋体" w:cs="Arial"/>
                <w:bCs/>
                <w:color w:val="000000"/>
                <w:sz w:val="22"/>
                <w:szCs w:val="22"/>
              </w:rPr>
              <w:t>保洁</w:t>
            </w:r>
          </w:p>
        </w:tc>
        <w:tc>
          <w:tcPr>
            <w:tcW w:w="4445" w:type="dxa"/>
          </w:tcPr>
          <w:p>
            <w:pPr>
              <w:spacing w:line="400" w:lineRule="exact"/>
              <w:rPr>
                <w:rFonts w:ascii="宋体" w:hAnsi="宋体" w:cs="Arial"/>
                <w:bCs/>
                <w:color w:val="000000"/>
                <w:szCs w:val="21"/>
              </w:rPr>
            </w:pPr>
            <w:r>
              <w:rPr>
                <w:rFonts w:hint="eastAsia" w:ascii="宋体" w:hAnsi="宋体" w:cs="Arial"/>
                <w:bCs/>
                <w:color w:val="000000"/>
                <w:szCs w:val="21"/>
              </w:rPr>
              <w:t>采购人日常巡查，发现保洁不干净（一天按一次计算），每次扣500元（从当季支付金额中扣除）。</w:t>
            </w:r>
          </w:p>
        </w:tc>
        <w:tc>
          <w:tcPr>
            <w:tcW w:w="761" w:type="dxa"/>
          </w:tcPr>
          <w:p>
            <w:pPr>
              <w:spacing w:line="400" w:lineRule="exact"/>
              <w:rPr>
                <w:rFonts w:ascii="宋体" w:hAnsi="宋体" w:cs="Arial"/>
                <w:bCs/>
                <w:color w:val="000000"/>
                <w:sz w:val="22"/>
                <w:szCs w:val="22"/>
              </w:rPr>
            </w:pPr>
          </w:p>
        </w:tc>
        <w:tc>
          <w:tcPr>
            <w:tcW w:w="568" w:type="dxa"/>
            <w:vAlign w:val="center"/>
          </w:tcPr>
          <w:p>
            <w:pPr>
              <w:spacing w:line="400" w:lineRule="exact"/>
              <w:jc w:val="center"/>
              <w:rPr>
                <w:rFonts w:ascii="宋体" w:hAnsi="宋体" w:cs="Arial"/>
                <w:bCs/>
                <w:color w:val="000000"/>
                <w:sz w:val="22"/>
                <w:szCs w:val="22"/>
              </w:rPr>
            </w:pPr>
            <w:r>
              <w:rPr>
                <w:rFonts w:hint="eastAsia" w:ascii="宋体" w:hAnsi="宋体" w:cs="Arial"/>
                <w:bCs/>
                <w:color w:val="000000"/>
                <w:sz w:val="22"/>
                <w:szCs w:val="22"/>
              </w:rPr>
              <w:t>次</w:t>
            </w:r>
          </w:p>
        </w:tc>
        <w:tc>
          <w:tcPr>
            <w:tcW w:w="983" w:type="dxa"/>
          </w:tcPr>
          <w:p>
            <w:pPr>
              <w:spacing w:line="400" w:lineRule="exact"/>
              <w:rPr>
                <w:rFonts w:ascii="宋体" w:hAnsi="宋体" w:cs="Arial"/>
                <w:bCs/>
                <w:color w:val="000000"/>
                <w:sz w:val="22"/>
                <w:szCs w:val="22"/>
              </w:rPr>
            </w:pPr>
          </w:p>
        </w:tc>
        <w:tc>
          <w:tcPr>
            <w:tcW w:w="730" w:type="dxa"/>
          </w:tcPr>
          <w:p>
            <w:pPr>
              <w:spacing w:line="400" w:lineRule="exact"/>
              <w:rPr>
                <w:rFonts w:ascii="宋体" w:hAnsi="宋体" w:cs="Arial"/>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9" w:type="dxa"/>
            <w:vAlign w:val="center"/>
          </w:tcPr>
          <w:p>
            <w:pPr>
              <w:spacing w:line="400" w:lineRule="exact"/>
              <w:jc w:val="center"/>
              <w:rPr>
                <w:rFonts w:ascii="宋体" w:hAnsi="宋体" w:cs="Arial"/>
                <w:bCs/>
                <w:color w:val="000000"/>
                <w:sz w:val="22"/>
                <w:szCs w:val="22"/>
              </w:rPr>
            </w:pPr>
            <w:r>
              <w:rPr>
                <w:rFonts w:hint="eastAsia" w:ascii="宋体" w:hAnsi="宋体" w:cs="Arial"/>
                <w:bCs/>
                <w:color w:val="000000"/>
                <w:sz w:val="22"/>
                <w:szCs w:val="22"/>
              </w:rPr>
              <w:t>4</w:t>
            </w:r>
          </w:p>
        </w:tc>
        <w:tc>
          <w:tcPr>
            <w:tcW w:w="526" w:type="dxa"/>
            <w:vMerge w:val="continue"/>
            <w:vAlign w:val="center"/>
          </w:tcPr>
          <w:p>
            <w:pPr>
              <w:spacing w:line="400" w:lineRule="exact"/>
              <w:jc w:val="center"/>
              <w:rPr>
                <w:rFonts w:ascii="宋体" w:hAnsi="宋体" w:cs="Arial"/>
                <w:bCs/>
                <w:color w:val="000000"/>
                <w:sz w:val="22"/>
                <w:szCs w:val="22"/>
              </w:rPr>
            </w:pPr>
          </w:p>
        </w:tc>
        <w:tc>
          <w:tcPr>
            <w:tcW w:w="709" w:type="dxa"/>
            <w:vAlign w:val="center"/>
          </w:tcPr>
          <w:p>
            <w:pPr>
              <w:spacing w:line="400" w:lineRule="exact"/>
              <w:jc w:val="center"/>
              <w:rPr>
                <w:rFonts w:ascii="宋体" w:hAnsi="宋体" w:cs="Arial"/>
                <w:bCs/>
                <w:color w:val="000000"/>
                <w:sz w:val="22"/>
                <w:szCs w:val="22"/>
              </w:rPr>
            </w:pPr>
            <w:r>
              <w:rPr>
                <w:rFonts w:hint="eastAsia" w:ascii="宋体" w:hAnsi="宋体" w:cs="Arial"/>
                <w:bCs/>
                <w:color w:val="000000"/>
                <w:sz w:val="22"/>
                <w:szCs w:val="22"/>
              </w:rPr>
              <w:t>维修养护</w:t>
            </w:r>
          </w:p>
        </w:tc>
        <w:tc>
          <w:tcPr>
            <w:tcW w:w="4445" w:type="dxa"/>
          </w:tcPr>
          <w:p>
            <w:pPr>
              <w:spacing w:line="400" w:lineRule="exact"/>
              <w:rPr>
                <w:rFonts w:ascii="宋体" w:hAnsi="宋体" w:cs="Arial"/>
                <w:bCs/>
                <w:color w:val="000000"/>
                <w:szCs w:val="21"/>
              </w:rPr>
            </w:pPr>
            <w:r>
              <w:rPr>
                <w:rFonts w:hint="eastAsia" w:ascii="宋体" w:hAnsi="宋体" w:cs="Arial"/>
                <w:bCs/>
                <w:color w:val="000000"/>
                <w:szCs w:val="21"/>
              </w:rPr>
              <w:t>采购人通知供应商维修养护的（每天按一次计算），供应商未按要求进行养护的，每次扣500元（从当季支付金额中扣除）。</w:t>
            </w:r>
          </w:p>
        </w:tc>
        <w:tc>
          <w:tcPr>
            <w:tcW w:w="761" w:type="dxa"/>
          </w:tcPr>
          <w:p>
            <w:pPr>
              <w:spacing w:line="400" w:lineRule="exact"/>
              <w:rPr>
                <w:rFonts w:ascii="宋体" w:hAnsi="宋体" w:cs="Arial"/>
                <w:bCs/>
                <w:color w:val="000000"/>
                <w:sz w:val="22"/>
                <w:szCs w:val="22"/>
              </w:rPr>
            </w:pPr>
          </w:p>
        </w:tc>
        <w:tc>
          <w:tcPr>
            <w:tcW w:w="568" w:type="dxa"/>
            <w:vAlign w:val="center"/>
          </w:tcPr>
          <w:p>
            <w:pPr>
              <w:spacing w:line="400" w:lineRule="exact"/>
              <w:jc w:val="center"/>
              <w:rPr>
                <w:rFonts w:ascii="宋体" w:hAnsi="宋体" w:cs="Arial"/>
                <w:bCs/>
                <w:color w:val="000000"/>
                <w:sz w:val="22"/>
                <w:szCs w:val="22"/>
              </w:rPr>
            </w:pPr>
            <w:r>
              <w:rPr>
                <w:rFonts w:hint="eastAsia" w:ascii="宋体" w:hAnsi="宋体" w:cs="Arial"/>
                <w:bCs/>
                <w:color w:val="000000"/>
                <w:sz w:val="22"/>
                <w:szCs w:val="22"/>
              </w:rPr>
              <w:t>次</w:t>
            </w:r>
          </w:p>
        </w:tc>
        <w:tc>
          <w:tcPr>
            <w:tcW w:w="983" w:type="dxa"/>
          </w:tcPr>
          <w:p>
            <w:pPr>
              <w:spacing w:line="400" w:lineRule="exact"/>
              <w:rPr>
                <w:rFonts w:ascii="宋体" w:hAnsi="宋体" w:cs="Arial"/>
                <w:bCs/>
                <w:color w:val="000000"/>
                <w:sz w:val="22"/>
                <w:szCs w:val="22"/>
              </w:rPr>
            </w:pPr>
          </w:p>
        </w:tc>
        <w:tc>
          <w:tcPr>
            <w:tcW w:w="730" w:type="dxa"/>
          </w:tcPr>
          <w:p>
            <w:pPr>
              <w:spacing w:line="400" w:lineRule="exact"/>
              <w:rPr>
                <w:rFonts w:ascii="宋体" w:hAnsi="宋体" w:cs="Arial"/>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9" w:type="dxa"/>
            <w:vAlign w:val="center"/>
          </w:tcPr>
          <w:p>
            <w:pPr>
              <w:spacing w:line="400" w:lineRule="exact"/>
              <w:jc w:val="center"/>
              <w:rPr>
                <w:rFonts w:ascii="宋体" w:hAnsi="宋体" w:cs="Arial"/>
                <w:bCs/>
                <w:color w:val="000000"/>
                <w:sz w:val="22"/>
                <w:szCs w:val="22"/>
              </w:rPr>
            </w:pPr>
            <w:r>
              <w:rPr>
                <w:rFonts w:hint="eastAsia" w:ascii="宋体" w:hAnsi="宋体" w:cs="Arial"/>
                <w:bCs/>
                <w:color w:val="000000"/>
                <w:sz w:val="22"/>
                <w:szCs w:val="22"/>
              </w:rPr>
              <w:t>5</w:t>
            </w:r>
          </w:p>
        </w:tc>
        <w:tc>
          <w:tcPr>
            <w:tcW w:w="526" w:type="dxa"/>
            <w:vMerge w:val="continue"/>
            <w:vAlign w:val="center"/>
          </w:tcPr>
          <w:p>
            <w:pPr>
              <w:spacing w:line="400" w:lineRule="exact"/>
              <w:jc w:val="center"/>
              <w:rPr>
                <w:rFonts w:ascii="宋体" w:hAnsi="宋体" w:cs="Arial"/>
                <w:bCs/>
                <w:color w:val="000000"/>
                <w:sz w:val="22"/>
                <w:szCs w:val="22"/>
              </w:rPr>
            </w:pPr>
          </w:p>
        </w:tc>
        <w:tc>
          <w:tcPr>
            <w:tcW w:w="709" w:type="dxa"/>
            <w:vAlign w:val="center"/>
          </w:tcPr>
          <w:p>
            <w:pPr>
              <w:spacing w:line="400" w:lineRule="exact"/>
              <w:jc w:val="center"/>
              <w:rPr>
                <w:rFonts w:ascii="宋体" w:hAnsi="宋体" w:cs="Arial"/>
                <w:bCs/>
                <w:color w:val="000000"/>
                <w:sz w:val="22"/>
                <w:szCs w:val="22"/>
              </w:rPr>
            </w:pPr>
            <w:r>
              <w:rPr>
                <w:rFonts w:hint="eastAsia" w:ascii="宋体" w:hAnsi="宋体" w:cs="Arial"/>
                <w:bCs/>
                <w:color w:val="000000"/>
                <w:sz w:val="22"/>
                <w:szCs w:val="22"/>
              </w:rPr>
              <w:t>移动巡查</w:t>
            </w:r>
          </w:p>
        </w:tc>
        <w:tc>
          <w:tcPr>
            <w:tcW w:w="4445" w:type="dxa"/>
          </w:tcPr>
          <w:p>
            <w:pPr>
              <w:spacing w:line="400" w:lineRule="exact"/>
              <w:rPr>
                <w:rFonts w:ascii="宋体" w:hAnsi="宋体" w:cs="Arial"/>
                <w:bCs/>
                <w:color w:val="000000"/>
                <w:szCs w:val="21"/>
              </w:rPr>
            </w:pPr>
            <w:r>
              <w:rPr>
                <w:rFonts w:hint="eastAsia" w:ascii="宋体" w:hAnsi="宋体" w:cs="Arial"/>
                <w:bCs/>
                <w:color w:val="000000"/>
                <w:szCs w:val="21"/>
              </w:rPr>
              <w:t>移动巡查必须按运行管理平台要求进行巡查，未按规定要求巡查，每少1天扣3000元（从当季支付金额中扣除）。</w:t>
            </w:r>
          </w:p>
        </w:tc>
        <w:tc>
          <w:tcPr>
            <w:tcW w:w="761" w:type="dxa"/>
          </w:tcPr>
          <w:p>
            <w:pPr>
              <w:spacing w:line="400" w:lineRule="exact"/>
              <w:rPr>
                <w:rFonts w:ascii="宋体" w:hAnsi="宋体" w:cs="Arial"/>
                <w:bCs/>
                <w:color w:val="000000"/>
                <w:sz w:val="22"/>
                <w:szCs w:val="22"/>
              </w:rPr>
            </w:pPr>
          </w:p>
        </w:tc>
        <w:tc>
          <w:tcPr>
            <w:tcW w:w="568" w:type="dxa"/>
            <w:vAlign w:val="center"/>
          </w:tcPr>
          <w:p>
            <w:pPr>
              <w:spacing w:line="400" w:lineRule="exact"/>
              <w:jc w:val="center"/>
              <w:rPr>
                <w:rFonts w:ascii="宋体" w:hAnsi="宋体" w:cs="Arial"/>
                <w:bCs/>
                <w:color w:val="000000"/>
                <w:sz w:val="22"/>
                <w:szCs w:val="22"/>
              </w:rPr>
            </w:pPr>
            <w:r>
              <w:rPr>
                <w:rFonts w:hint="eastAsia" w:ascii="宋体" w:hAnsi="宋体" w:cs="Arial"/>
                <w:bCs/>
                <w:color w:val="000000"/>
                <w:sz w:val="22"/>
                <w:szCs w:val="22"/>
              </w:rPr>
              <w:t>天</w:t>
            </w:r>
          </w:p>
        </w:tc>
        <w:tc>
          <w:tcPr>
            <w:tcW w:w="983" w:type="dxa"/>
          </w:tcPr>
          <w:p>
            <w:pPr>
              <w:spacing w:line="400" w:lineRule="exact"/>
              <w:rPr>
                <w:rFonts w:ascii="宋体" w:hAnsi="宋体" w:cs="Arial"/>
                <w:bCs/>
                <w:color w:val="000000"/>
                <w:sz w:val="22"/>
                <w:szCs w:val="22"/>
              </w:rPr>
            </w:pPr>
          </w:p>
        </w:tc>
        <w:tc>
          <w:tcPr>
            <w:tcW w:w="730" w:type="dxa"/>
          </w:tcPr>
          <w:p>
            <w:pPr>
              <w:spacing w:line="400" w:lineRule="exact"/>
              <w:rPr>
                <w:rFonts w:ascii="宋体" w:hAnsi="宋体" w:cs="Arial"/>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6279" w:type="dxa"/>
            <w:gridSpan w:val="4"/>
            <w:vAlign w:val="center"/>
          </w:tcPr>
          <w:p>
            <w:pPr>
              <w:spacing w:line="400" w:lineRule="exact"/>
              <w:jc w:val="center"/>
              <w:rPr>
                <w:rFonts w:ascii="宋体" w:hAnsi="宋体" w:cs="Arial"/>
                <w:bCs/>
                <w:color w:val="000000"/>
                <w:sz w:val="22"/>
                <w:szCs w:val="22"/>
              </w:rPr>
            </w:pPr>
            <w:r>
              <w:rPr>
                <w:rFonts w:hint="eastAsia" w:ascii="宋体" w:hAnsi="宋体" w:cs="Arial"/>
                <w:bCs/>
                <w:color w:val="000000"/>
                <w:sz w:val="22"/>
                <w:szCs w:val="22"/>
              </w:rPr>
              <w:t>合计金额（元）</w:t>
            </w:r>
          </w:p>
        </w:tc>
        <w:tc>
          <w:tcPr>
            <w:tcW w:w="3042" w:type="dxa"/>
            <w:gridSpan w:val="4"/>
          </w:tcPr>
          <w:p>
            <w:pPr>
              <w:spacing w:line="400" w:lineRule="exact"/>
              <w:rPr>
                <w:rFonts w:ascii="宋体" w:hAnsi="宋体" w:cs="Arial"/>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jc w:val="center"/>
        </w:trPr>
        <w:tc>
          <w:tcPr>
            <w:tcW w:w="9321" w:type="dxa"/>
            <w:gridSpan w:val="8"/>
          </w:tcPr>
          <w:p>
            <w:pPr>
              <w:spacing w:line="400" w:lineRule="exact"/>
              <w:rPr>
                <w:rFonts w:ascii="宋体" w:hAnsi="宋体" w:cs="Arial"/>
                <w:bCs/>
                <w:color w:val="000000"/>
                <w:sz w:val="22"/>
                <w:szCs w:val="22"/>
              </w:rPr>
            </w:pPr>
            <w:r>
              <w:rPr>
                <w:rFonts w:hint="eastAsia" w:ascii="宋体" w:hAnsi="宋体" w:cs="Arial"/>
                <w:bCs/>
                <w:color w:val="000000"/>
                <w:sz w:val="22"/>
                <w:szCs w:val="22"/>
              </w:rPr>
              <w:t>采购人意见：</w:t>
            </w:r>
          </w:p>
          <w:p>
            <w:pPr>
              <w:spacing w:line="400" w:lineRule="exact"/>
              <w:rPr>
                <w:rFonts w:ascii="宋体" w:hAnsi="宋体" w:cs="Arial"/>
                <w:bCs/>
                <w:color w:val="000000"/>
                <w:sz w:val="22"/>
                <w:szCs w:val="22"/>
              </w:rPr>
            </w:pPr>
          </w:p>
          <w:p>
            <w:pPr>
              <w:spacing w:line="400" w:lineRule="exact"/>
              <w:ind w:firstLine="5720" w:firstLineChars="2600"/>
              <w:rPr>
                <w:rFonts w:ascii="宋体" w:hAnsi="宋体" w:cs="Arial"/>
                <w:bCs/>
                <w:color w:val="000000"/>
                <w:sz w:val="22"/>
                <w:szCs w:val="22"/>
              </w:rPr>
            </w:pPr>
            <w:r>
              <w:rPr>
                <w:rFonts w:hint="eastAsia" w:ascii="宋体" w:hAnsi="宋体" w:cs="Arial"/>
                <w:bCs/>
                <w:color w:val="000000"/>
                <w:sz w:val="22"/>
                <w:szCs w:val="22"/>
              </w:rPr>
              <w:t>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834" w:type="dxa"/>
            <w:gridSpan w:val="3"/>
            <w:vAlign w:val="center"/>
          </w:tcPr>
          <w:p>
            <w:pPr>
              <w:spacing w:line="400" w:lineRule="exact"/>
              <w:jc w:val="center"/>
              <w:rPr>
                <w:rFonts w:ascii="宋体" w:hAnsi="宋体" w:cs="Arial"/>
                <w:bCs/>
                <w:color w:val="000000"/>
                <w:sz w:val="22"/>
                <w:szCs w:val="22"/>
              </w:rPr>
            </w:pPr>
            <w:r>
              <w:rPr>
                <w:rFonts w:hint="eastAsia" w:ascii="宋体" w:hAnsi="宋体" w:cs="Arial"/>
                <w:bCs/>
                <w:color w:val="000000"/>
                <w:sz w:val="22"/>
                <w:szCs w:val="22"/>
              </w:rPr>
              <w:t>备  注</w:t>
            </w:r>
          </w:p>
        </w:tc>
        <w:tc>
          <w:tcPr>
            <w:tcW w:w="7487" w:type="dxa"/>
            <w:gridSpan w:val="5"/>
          </w:tcPr>
          <w:p>
            <w:pPr>
              <w:spacing w:line="400" w:lineRule="exact"/>
              <w:rPr>
                <w:rFonts w:ascii="宋体" w:hAnsi="宋体" w:cs="Arial"/>
                <w:bCs/>
                <w:color w:val="000000"/>
                <w:sz w:val="22"/>
                <w:szCs w:val="22"/>
              </w:rPr>
            </w:pPr>
          </w:p>
        </w:tc>
      </w:tr>
    </w:tbl>
    <w:p>
      <w:pPr>
        <w:spacing w:line="400" w:lineRule="exact"/>
        <w:ind w:firstLine="440" w:firstLineChars="200"/>
        <w:rPr>
          <w:sz w:val="22"/>
          <w:szCs w:val="22"/>
        </w:rPr>
      </w:pPr>
      <w:r>
        <w:rPr>
          <w:rFonts w:hint="eastAsia"/>
          <w:sz w:val="22"/>
          <w:szCs w:val="22"/>
        </w:rPr>
        <w:t>注：（1）如以上扣罚金额不足的，从履约保证金中扣除；（2）本表作为支付款项的依据之一；（3）未尽事项双方协商解决。</w:t>
      </w: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幼圆">
    <w:panose1 w:val="02010509060101010101"/>
    <w:charset w:val="86"/>
    <w:family w:val="modern"/>
    <w:pitch w:val="default"/>
    <w:sig w:usb0="00000001" w:usb1="080E0000" w:usb2="0000000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ˎ̥">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fldChar w:fldCharType="begin"/>
    </w:r>
    <w:r>
      <w:instrText xml:space="preserve"> PAGE   \* MERGEFORMAT </w:instrText>
    </w:r>
    <w:r>
      <w:fldChar w:fldCharType="separate"/>
    </w:r>
    <w:r>
      <w:rPr>
        <w:lang w:val="zh-CN"/>
      </w:rPr>
      <w:t>2</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fldChar w:fldCharType="begin"/>
    </w:r>
    <w:r>
      <w:instrText xml:space="preserve"> PAGE   \* MERGEFORMAT </w:instrText>
    </w:r>
    <w:r>
      <w:fldChar w:fldCharType="separate"/>
    </w:r>
    <w:r>
      <w:rPr>
        <w:lang w:val="zh-CN"/>
      </w:rPr>
      <w:t>3</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06D821"/>
    <w:multiLevelType w:val="singleLevel"/>
    <w:tmpl w:val="8D06D821"/>
    <w:lvl w:ilvl="0" w:tentative="0">
      <w:start w:val="1"/>
      <w:numFmt w:val="decimal"/>
      <w:suff w:val="nothing"/>
      <w:lvlText w:val="%1、"/>
      <w:lvlJc w:val="left"/>
    </w:lvl>
  </w:abstractNum>
  <w:abstractNum w:abstractNumId="1">
    <w:nsid w:val="D90690AF"/>
    <w:multiLevelType w:val="singleLevel"/>
    <w:tmpl w:val="D90690AF"/>
    <w:lvl w:ilvl="0" w:tentative="0">
      <w:start w:val="1"/>
      <w:numFmt w:val="decimal"/>
      <w:suff w:val="nothing"/>
      <w:lvlText w:val="%1、"/>
      <w:lvlJc w:val="left"/>
    </w:lvl>
  </w:abstractNum>
  <w:abstractNum w:abstractNumId="2">
    <w:nsid w:val="E1C13D01"/>
    <w:multiLevelType w:val="singleLevel"/>
    <w:tmpl w:val="E1C13D01"/>
    <w:lvl w:ilvl="0" w:tentative="0">
      <w:start w:val="1"/>
      <w:numFmt w:val="decimal"/>
      <w:suff w:val="nothing"/>
      <w:lvlText w:val="%1、"/>
      <w:lvlJc w:val="left"/>
    </w:lvl>
  </w:abstractNum>
  <w:abstractNum w:abstractNumId="3">
    <w:nsid w:val="F966040E"/>
    <w:multiLevelType w:val="singleLevel"/>
    <w:tmpl w:val="F966040E"/>
    <w:lvl w:ilvl="0" w:tentative="0">
      <w:start w:val="2"/>
      <w:numFmt w:val="decimal"/>
      <w:suff w:val="nothing"/>
      <w:lvlText w:val="（%1）"/>
      <w:lvlJc w:val="left"/>
    </w:lvl>
  </w:abstractNum>
  <w:abstractNum w:abstractNumId="4">
    <w:nsid w:val="FF730A30"/>
    <w:multiLevelType w:val="singleLevel"/>
    <w:tmpl w:val="FF730A30"/>
    <w:lvl w:ilvl="0" w:tentative="0">
      <w:start w:val="4"/>
      <w:numFmt w:val="chineseCounting"/>
      <w:suff w:val="nothing"/>
      <w:lvlText w:val="%1、"/>
      <w:lvlJc w:val="left"/>
      <w:rPr>
        <w:rFonts w:hint="eastAsia"/>
      </w:rPr>
    </w:lvl>
  </w:abstractNum>
  <w:abstractNum w:abstractNumId="5">
    <w:nsid w:val="16D100A0"/>
    <w:multiLevelType w:val="multilevel"/>
    <w:tmpl w:val="16D100A0"/>
    <w:lvl w:ilvl="0" w:tentative="0">
      <w:start w:val="1"/>
      <w:numFmt w:val="lowerLetter"/>
      <w:suff w:val="space"/>
      <w:lvlText w:val="%1)"/>
      <w:lvlJc w:val="left"/>
      <w:pPr>
        <w:ind w:left="0" w:firstLine="0"/>
      </w:pPr>
      <w:rPr>
        <w:rFonts w:hint="eastAsia" w:ascii="宋体" w:hAnsi="宋体" w:eastAsia="宋体"/>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6">
    <w:nsid w:val="2E27834A"/>
    <w:multiLevelType w:val="singleLevel"/>
    <w:tmpl w:val="2E27834A"/>
    <w:lvl w:ilvl="0" w:tentative="0">
      <w:start w:val="2"/>
      <w:numFmt w:val="decimal"/>
      <w:suff w:val="nothing"/>
      <w:lvlText w:val="%1、"/>
      <w:lvlJc w:val="left"/>
    </w:lvl>
  </w:abstractNum>
  <w:abstractNum w:abstractNumId="7">
    <w:nsid w:val="4CB773C4"/>
    <w:multiLevelType w:val="singleLevel"/>
    <w:tmpl w:val="4CB773C4"/>
    <w:lvl w:ilvl="0" w:tentative="0">
      <w:start w:val="1"/>
      <w:numFmt w:val="decimal"/>
      <w:suff w:val="nothing"/>
      <w:lvlText w:val="（%1）"/>
      <w:lvlJc w:val="left"/>
    </w:lvl>
  </w:abstractNum>
  <w:abstractNum w:abstractNumId="8">
    <w:nsid w:val="56186DAB"/>
    <w:multiLevelType w:val="singleLevel"/>
    <w:tmpl w:val="56186DAB"/>
    <w:lvl w:ilvl="0" w:tentative="0">
      <w:start w:val="1"/>
      <w:numFmt w:val="decimal"/>
      <w:suff w:val="nothing"/>
      <w:lvlText w:val="%1、"/>
      <w:lvlJc w:val="left"/>
    </w:lvl>
  </w:abstractNum>
  <w:abstractNum w:abstractNumId="9">
    <w:nsid w:val="5764320B"/>
    <w:multiLevelType w:val="singleLevel"/>
    <w:tmpl w:val="5764320B"/>
    <w:lvl w:ilvl="0" w:tentative="0">
      <w:start w:val="5"/>
      <w:numFmt w:val="decimal"/>
      <w:suff w:val="nothing"/>
      <w:lvlText w:val="%1、"/>
      <w:lvlJc w:val="left"/>
    </w:lvl>
  </w:abstractNum>
  <w:num w:numId="1">
    <w:abstractNumId w:val="4"/>
  </w:num>
  <w:num w:numId="2">
    <w:abstractNumId w:val="5"/>
  </w:num>
  <w:num w:numId="3">
    <w:abstractNumId w:val="0"/>
  </w:num>
  <w:num w:numId="4">
    <w:abstractNumId w:val="1"/>
  </w:num>
  <w:num w:numId="5">
    <w:abstractNumId w:val="2"/>
  </w:num>
  <w:num w:numId="6">
    <w:abstractNumId w:val="9"/>
  </w:num>
  <w:num w:numId="7">
    <w:abstractNumId w:val="7"/>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hideSpellingErrors/>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B2FD1"/>
    <w:rsid w:val="0000630A"/>
    <w:rsid w:val="00020761"/>
    <w:rsid w:val="00022BF6"/>
    <w:rsid w:val="000234AB"/>
    <w:rsid w:val="00023F24"/>
    <w:rsid w:val="0003726D"/>
    <w:rsid w:val="00037633"/>
    <w:rsid w:val="00037CDE"/>
    <w:rsid w:val="000451C9"/>
    <w:rsid w:val="00045966"/>
    <w:rsid w:val="00046DF9"/>
    <w:rsid w:val="00053DA7"/>
    <w:rsid w:val="0006216F"/>
    <w:rsid w:val="000852C4"/>
    <w:rsid w:val="000862B0"/>
    <w:rsid w:val="00087DBC"/>
    <w:rsid w:val="0009032B"/>
    <w:rsid w:val="00092339"/>
    <w:rsid w:val="00093143"/>
    <w:rsid w:val="000A2886"/>
    <w:rsid w:val="000A3C41"/>
    <w:rsid w:val="000A4D03"/>
    <w:rsid w:val="000B5F35"/>
    <w:rsid w:val="000C61D7"/>
    <w:rsid w:val="000C6CEE"/>
    <w:rsid w:val="000C713E"/>
    <w:rsid w:val="000D08B9"/>
    <w:rsid w:val="000E4AF3"/>
    <w:rsid w:val="000E75B9"/>
    <w:rsid w:val="000F388A"/>
    <w:rsid w:val="000F6F06"/>
    <w:rsid w:val="000F7E06"/>
    <w:rsid w:val="00104E74"/>
    <w:rsid w:val="001110E7"/>
    <w:rsid w:val="001151E9"/>
    <w:rsid w:val="001153DA"/>
    <w:rsid w:val="00115884"/>
    <w:rsid w:val="00117260"/>
    <w:rsid w:val="00117FF1"/>
    <w:rsid w:val="00120160"/>
    <w:rsid w:val="00124106"/>
    <w:rsid w:val="00126235"/>
    <w:rsid w:val="0013042C"/>
    <w:rsid w:val="00143933"/>
    <w:rsid w:val="00144678"/>
    <w:rsid w:val="00147169"/>
    <w:rsid w:val="00165FD0"/>
    <w:rsid w:val="00172DF7"/>
    <w:rsid w:val="001731F0"/>
    <w:rsid w:val="00186686"/>
    <w:rsid w:val="0019010D"/>
    <w:rsid w:val="001B7CE8"/>
    <w:rsid w:val="001C46D2"/>
    <w:rsid w:val="001C4C83"/>
    <w:rsid w:val="001E0A39"/>
    <w:rsid w:val="001E78A7"/>
    <w:rsid w:val="001F023E"/>
    <w:rsid w:val="001F5BD9"/>
    <w:rsid w:val="00200A7E"/>
    <w:rsid w:val="00206303"/>
    <w:rsid w:val="00206B71"/>
    <w:rsid w:val="00213D36"/>
    <w:rsid w:val="00215520"/>
    <w:rsid w:val="00215FF3"/>
    <w:rsid w:val="002173C3"/>
    <w:rsid w:val="00225A24"/>
    <w:rsid w:val="002267F2"/>
    <w:rsid w:val="002270C1"/>
    <w:rsid w:val="00234E0C"/>
    <w:rsid w:val="00237F32"/>
    <w:rsid w:val="002418DA"/>
    <w:rsid w:val="00251DE5"/>
    <w:rsid w:val="002522C1"/>
    <w:rsid w:val="00253748"/>
    <w:rsid w:val="002640DB"/>
    <w:rsid w:val="00272218"/>
    <w:rsid w:val="00275DC2"/>
    <w:rsid w:val="0027695C"/>
    <w:rsid w:val="0028149B"/>
    <w:rsid w:val="00281CDF"/>
    <w:rsid w:val="002909AB"/>
    <w:rsid w:val="0029576A"/>
    <w:rsid w:val="002975D8"/>
    <w:rsid w:val="002A353E"/>
    <w:rsid w:val="002A5F9D"/>
    <w:rsid w:val="002A60A7"/>
    <w:rsid w:val="002A7513"/>
    <w:rsid w:val="002B26BE"/>
    <w:rsid w:val="002B520D"/>
    <w:rsid w:val="002B6327"/>
    <w:rsid w:val="002B6DF6"/>
    <w:rsid w:val="002B7C7B"/>
    <w:rsid w:val="002C2F4B"/>
    <w:rsid w:val="002C39BC"/>
    <w:rsid w:val="002C5A47"/>
    <w:rsid w:val="002C64E6"/>
    <w:rsid w:val="002D1DBC"/>
    <w:rsid w:val="002D5BB5"/>
    <w:rsid w:val="002D5D72"/>
    <w:rsid w:val="002E581E"/>
    <w:rsid w:val="002F29CB"/>
    <w:rsid w:val="002F4303"/>
    <w:rsid w:val="002F5CF4"/>
    <w:rsid w:val="0030011F"/>
    <w:rsid w:val="00300EAE"/>
    <w:rsid w:val="003057BF"/>
    <w:rsid w:val="0031294B"/>
    <w:rsid w:val="00314887"/>
    <w:rsid w:val="00317544"/>
    <w:rsid w:val="00320400"/>
    <w:rsid w:val="00321142"/>
    <w:rsid w:val="00322479"/>
    <w:rsid w:val="00324AFD"/>
    <w:rsid w:val="003334E8"/>
    <w:rsid w:val="00347881"/>
    <w:rsid w:val="00350F8B"/>
    <w:rsid w:val="0035447D"/>
    <w:rsid w:val="00356D34"/>
    <w:rsid w:val="0036146D"/>
    <w:rsid w:val="003663E8"/>
    <w:rsid w:val="00366B3B"/>
    <w:rsid w:val="0037461A"/>
    <w:rsid w:val="00380083"/>
    <w:rsid w:val="00390C7D"/>
    <w:rsid w:val="0039487A"/>
    <w:rsid w:val="00395CC8"/>
    <w:rsid w:val="00397572"/>
    <w:rsid w:val="003A3C9D"/>
    <w:rsid w:val="003A7994"/>
    <w:rsid w:val="003C4617"/>
    <w:rsid w:val="003D5261"/>
    <w:rsid w:val="003D5615"/>
    <w:rsid w:val="003D7C14"/>
    <w:rsid w:val="003E53A8"/>
    <w:rsid w:val="003E6D9E"/>
    <w:rsid w:val="003E773D"/>
    <w:rsid w:val="003F0FE1"/>
    <w:rsid w:val="004108DB"/>
    <w:rsid w:val="00411968"/>
    <w:rsid w:val="0041341E"/>
    <w:rsid w:val="004200E3"/>
    <w:rsid w:val="00422884"/>
    <w:rsid w:val="00424085"/>
    <w:rsid w:val="004276B0"/>
    <w:rsid w:val="00435AC9"/>
    <w:rsid w:val="00436A53"/>
    <w:rsid w:val="004444D1"/>
    <w:rsid w:val="00445E35"/>
    <w:rsid w:val="00446A55"/>
    <w:rsid w:val="004472A7"/>
    <w:rsid w:val="00454419"/>
    <w:rsid w:val="004564F0"/>
    <w:rsid w:val="00460030"/>
    <w:rsid w:val="004638FB"/>
    <w:rsid w:val="004657C7"/>
    <w:rsid w:val="00473FC4"/>
    <w:rsid w:val="0047780B"/>
    <w:rsid w:val="00480BF2"/>
    <w:rsid w:val="00492406"/>
    <w:rsid w:val="00497407"/>
    <w:rsid w:val="004A06AB"/>
    <w:rsid w:val="004A2013"/>
    <w:rsid w:val="004A7F1E"/>
    <w:rsid w:val="004B0124"/>
    <w:rsid w:val="004C505A"/>
    <w:rsid w:val="004D320D"/>
    <w:rsid w:val="004D4606"/>
    <w:rsid w:val="004D5FAC"/>
    <w:rsid w:val="004D67DD"/>
    <w:rsid w:val="004D6911"/>
    <w:rsid w:val="004E08BD"/>
    <w:rsid w:val="004E7D12"/>
    <w:rsid w:val="004F718B"/>
    <w:rsid w:val="00511D0A"/>
    <w:rsid w:val="00520443"/>
    <w:rsid w:val="00521BA5"/>
    <w:rsid w:val="0052369B"/>
    <w:rsid w:val="005240A3"/>
    <w:rsid w:val="00530144"/>
    <w:rsid w:val="00530896"/>
    <w:rsid w:val="005312DC"/>
    <w:rsid w:val="00541368"/>
    <w:rsid w:val="00553097"/>
    <w:rsid w:val="00557930"/>
    <w:rsid w:val="00563116"/>
    <w:rsid w:val="00563974"/>
    <w:rsid w:val="0056551F"/>
    <w:rsid w:val="00567403"/>
    <w:rsid w:val="00571710"/>
    <w:rsid w:val="00584885"/>
    <w:rsid w:val="00585CAC"/>
    <w:rsid w:val="00587D71"/>
    <w:rsid w:val="005929C9"/>
    <w:rsid w:val="005936AB"/>
    <w:rsid w:val="005967D4"/>
    <w:rsid w:val="005A7215"/>
    <w:rsid w:val="005B19AF"/>
    <w:rsid w:val="005B46C6"/>
    <w:rsid w:val="005C64BC"/>
    <w:rsid w:val="005D7CB1"/>
    <w:rsid w:val="005E0B52"/>
    <w:rsid w:val="005E423F"/>
    <w:rsid w:val="005E65F7"/>
    <w:rsid w:val="005E7FC1"/>
    <w:rsid w:val="005F0465"/>
    <w:rsid w:val="00601013"/>
    <w:rsid w:val="006014C9"/>
    <w:rsid w:val="00602F72"/>
    <w:rsid w:val="00603384"/>
    <w:rsid w:val="00604F35"/>
    <w:rsid w:val="00606B98"/>
    <w:rsid w:val="0061680D"/>
    <w:rsid w:val="00625BC3"/>
    <w:rsid w:val="0063016D"/>
    <w:rsid w:val="006325DD"/>
    <w:rsid w:val="00634913"/>
    <w:rsid w:val="00634AE8"/>
    <w:rsid w:val="00634FB3"/>
    <w:rsid w:val="00636D30"/>
    <w:rsid w:val="006477D1"/>
    <w:rsid w:val="00647ACB"/>
    <w:rsid w:val="00656BB0"/>
    <w:rsid w:val="006716BF"/>
    <w:rsid w:val="006778C5"/>
    <w:rsid w:val="00685647"/>
    <w:rsid w:val="0068672C"/>
    <w:rsid w:val="006908A0"/>
    <w:rsid w:val="00695D4B"/>
    <w:rsid w:val="006A54B4"/>
    <w:rsid w:val="006B38AB"/>
    <w:rsid w:val="006B440A"/>
    <w:rsid w:val="006C392C"/>
    <w:rsid w:val="006C41AF"/>
    <w:rsid w:val="006D0FDC"/>
    <w:rsid w:val="006D2D1E"/>
    <w:rsid w:val="006D3567"/>
    <w:rsid w:val="006D7D46"/>
    <w:rsid w:val="006E321F"/>
    <w:rsid w:val="006E3D5F"/>
    <w:rsid w:val="006E5854"/>
    <w:rsid w:val="006F080D"/>
    <w:rsid w:val="006F3B8B"/>
    <w:rsid w:val="006F3D64"/>
    <w:rsid w:val="00702A8C"/>
    <w:rsid w:val="00707339"/>
    <w:rsid w:val="00717440"/>
    <w:rsid w:val="0072556C"/>
    <w:rsid w:val="00726B9C"/>
    <w:rsid w:val="0073231B"/>
    <w:rsid w:val="00734D92"/>
    <w:rsid w:val="0076400F"/>
    <w:rsid w:val="00764B84"/>
    <w:rsid w:val="00766EE8"/>
    <w:rsid w:val="00791DAE"/>
    <w:rsid w:val="007A34B8"/>
    <w:rsid w:val="007A3D88"/>
    <w:rsid w:val="007B04C9"/>
    <w:rsid w:val="007B266C"/>
    <w:rsid w:val="007B69C0"/>
    <w:rsid w:val="007C0400"/>
    <w:rsid w:val="007C6E89"/>
    <w:rsid w:val="007D0952"/>
    <w:rsid w:val="007E170A"/>
    <w:rsid w:val="007E4425"/>
    <w:rsid w:val="007E7BC7"/>
    <w:rsid w:val="007F3A51"/>
    <w:rsid w:val="007F50DF"/>
    <w:rsid w:val="007F576D"/>
    <w:rsid w:val="007F7B72"/>
    <w:rsid w:val="00802C59"/>
    <w:rsid w:val="00803423"/>
    <w:rsid w:val="00806255"/>
    <w:rsid w:val="00814B94"/>
    <w:rsid w:val="0081580B"/>
    <w:rsid w:val="00820848"/>
    <w:rsid w:val="00823873"/>
    <w:rsid w:val="00825CDE"/>
    <w:rsid w:val="00830F88"/>
    <w:rsid w:val="00831361"/>
    <w:rsid w:val="00832E7B"/>
    <w:rsid w:val="008348F3"/>
    <w:rsid w:val="008410C6"/>
    <w:rsid w:val="0084361F"/>
    <w:rsid w:val="00846571"/>
    <w:rsid w:val="0085436C"/>
    <w:rsid w:val="008561F4"/>
    <w:rsid w:val="00857D8C"/>
    <w:rsid w:val="00861339"/>
    <w:rsid w:val="00865A00"/>
    <w:rsid w:val="00870DF0"/>
    <w:rsid w:val="00876C02"/>
    <w:rsid w:val="00880879"/>
    <w:rsid w:val="00891DB3"/>
    <w:rsid w:val="00892246"/>
    <w:rsid w:val="008938DE"/>
    <w:rsid w:val="00897400"/>
    <w:rsid w:val="008A0108"/>
    <w:rsid w:val="008A0B2A"/>
    <w:rsid w:val="008A6DD7"/>
    <w:rsid w:val="008B766A"/>
    <w:rsid w:val="008C11B1"/>
    <w:rsid w:val="008C48BB"/>
    <w:rsid w:val="008D3629"/>
    <w:rsid w:val="008E22F8"/>
    <w:rsid w:val="008F073B"/>
    <w:rsid w:val="008F2E95"/>
    <w:rsid w:val="00911C14"/>
    <w:rsid w:val="00916A0C"/>
    <w:rsid w:val="00923003"/>
    <w:rsid w:val="00927656"/>
    <w:rsid w:val="00932F01"/>
    <w:rsid w:val="0093302A"/>
    <w:rsid w:val="00933D3B"/>
    <w:rsid w:val="00935B6A"/>
    <w:rsid w:val="00944510"/>
    <w:rsid w:val="00947D5C"/>
    <w:rsid w:val="00951EA3"/>
    <w:rsid w:val="00953106"/>
    <w:rsid w:val="0095420D"/>
    <w:rsid w:val="00955505"/>
    <w:rsid w:val="009602C8"/>
    <w:rsid w:val="009616F8"/>
    <w:rsid w:val="00962325"/>
    <w:rsid w:val="009629ED"/>
    <w:rsid w:val="00973119"/>
    <w:rsid w:val="00982B93"/>
    <w:rsid w:val="00991653"/>
    <w:rsid w:val="0099587D"/>
    <w:rsid w:val="00997F7F"/>
    <w:rsid w:val="009A03E3"/>
    <w:rsid w:val="009A0835"/>
    <w:rsid w:val="009A7E6F"/>
    <w:rsid w:val="009B2FD1"/>
    <w:rsid w:val="009B5D49"/>
    <w:rsid w:val="009C736D"/>
    <w:rsid w:val="009D1102"/>
    <w:rsid w:val="009D2727"/>
    <w:rsid w:val="009E3722"/>
    <w:rsid w:val="009E5B37"/>
    <w:rsid w:val="00A10308"/>
    <w:rsid w:val="00A1334E"/>
    <w:rsid w:val="00A14E3A"/>
    <w:rsid w:val="00A17097"/>
    <w:rsid w:val="00A26C88"/>
    <w:rsid w:val="00A35456"/>
    <w:rsid w:val="00A402B1"/>
    <w:rsid w:val="00A41FC3"/>
    <w:rsid w:val="00A531F0"/>
    <w:rsid w:val="00A55CC5"/>
    <w:rsid w:val="00A66D72"/>
    <w:rsid w:val="00A670AB"/>
    <w:rsid w:val="00A727B5"/>
    <w:rsid w:val="00A76D16"/>
    <w:rsid w:val="00A77087"/>
    <w:rsid w:val="00A83DA9"/>
    <w:rsid w:val="00A86E22"/>
    <w:rsid w:val="00A91DDF"/>
    <w:rsid w:val="00AA3AD2"/>
    <w:rsid w:val="00AB7C07"/>
    <w:rsid w:val="00AC3A3F"/>
    <w:rsid w:val="00AC5E14"/>
    <w:rsid w:val="00AC75D0"/>
    <w:rsid w:val="00AD4549"/>
    <w:rsid w:val="00AD74A3"/>
    <w:rsid w:val="00AD788E"/>
    <w:rsid w:val="00AE05B2"/>
    <w:rsid w:val="00AE14D0"/>
    <w:rsid w:val="00AF09CF"/>
    <w:rsid w:val="00AF395F"/>
    <w:rsid w:val="00AF56CF"/>
    <w:rsid w:val="00AF7B47"/>
    <w:rsid w:val="00B00C8E"/>
    <w:rsid w:val="00B16FDC"/>
    <w:rsid w:val="00B17631"/>
    <w:rsid w:val="00B17763"/>
    <w:rsid w:val="00B2076F"/>
    <w:rsid w:val="00B242F0"/>
    <w:rsid w:val="00B2494C"/>
    <w:rsid w:val="00B2708F"/>
    <w:rsid w:val="00B32F16"/>
    <w:rsid w:val="00B34514"/>
    <w:rsid w:val="00B35B4D"/>
    <w:rsid w:val="00B35EC2"/>
    <w:rsid w:val="00B364BB"/>
    <w:rsid w:val="00B36516"/>
    <w:rsid w:val="00B36749"/>
    <w:rsid w:val="00B37D40"/>
    <w:rsid w:val="00B42BEC"/>
    <w:rsid w:val="00B43222"/>
    <w:rsid w:val="00B468F0"/>
    <w:rsid w:val="00B46909"/>
    <w:rsid w:val="00B540D6"/>
    <w:rsid w:val="00B63D90"/>
    <w:rsid w:val="00B662AD"/>
    <w:rsid w:val="00B76522"/>
    <w:rsid w:val="00B77488"/>
    <w:rsid w:val="00B83622"/>
    <w:rsid w:val="00B8408B"/>
    <w:rsid w:val="00B8617D"/>
    <w:rsid w:val="00B94E0F"/>
    <w:rsid w:val="00BA2DF7"/>
    <w:rsid w:val="00BA4A24"/>
    <w:rsid w:val="00BA4BDF"/>
    <w:rsid w:val="00BB4240"/>
    <w:rsid w:val="00BC2A08"/>
    <w:rsid w:val="00BC4194"/>
    <w:rsid w:val="00BC5C6C"/>
    <w:rsid w:val="00BD4BBF"/>
    <w:rsid w:val="00BD56D9"/>
    <w:rsid w:val="00BE2F55"/>
    <w:rsid w:val="00BF5B0D"/>
    <w:rsid w:val="00BF61F9"/>
    <w:rsid w:val="00BF6ADC"/>
    <w:rsid w:val="00C02D3A"/>
    <w:rsid w:val="00C037C6"/>
    <w:rsid w:val="00C03F51"/>
    <w:rsid w:val="00C0787A"/>
    <w:rsid w:val="00C07A52"/>
    <w:rsid w:val="00C07FD4"/>
    <w:rsid w:val="00C103AD"/>
    <w:rsid w:val="00C10B6F"/>
    <w:rsid w:val="00C12B3C"/>
    <w:rsid w:val="00C12F22"/>
    <w:rsid w:val="00C20126"/>
    <w:rsid w:val="00C25157"/>
    <w:rsid w:val="00C2587F"/>
    <w:rsid w:val="00C27E12"/>
    <w:rsid w:val="00C30604"/>
    <w:rsid w:val="00C34C48"/>
    <w:rsid w:val="00C37C33"/>
    <w:rsid w:val="00C45B59"/>
    <w:rsid w:val="00C467F6"/>
    <w:rsid w:val="00C51C57"/>
    <w:rsid w:val="00C56CFD"/>
    <w:rsid w:val="00C578D8"/>
    <w:rsid w:val="00C61AFE"/>
    <w:rsid w:val="00C67753"/>
    <w:rsid w:val="00C8133C"/>
    <w:rsid w:val="00C86894"/>
    <w:rsid w:val="00C92DCB"/>
    <w:rsid w:val="00CA08BC"/>
    <w:rsid w:val="00CA4E7B"/>
    <w:rsid w:val="00CA537E"/>
    <w:rsid w:val="00CB5743"/>
    <w:rsid w:val="00CB6BB3"/>
    <w:rsid w:val="00CC2C43"/>
    <w:rsid w:val="00CC3D0A"/>
    <w:rsid w:val="00CC5E2F"/>
    <w:rsid w:val="00CC7FCB"/>
    <w:rsid w:val="00CD235C"/>
    <w:rsid w:val="00CD6AE1"/>
    <w:rsid w:val="00CE07B1"/>
    <w:rsid w:val="00CE57B0"/>
    <w:rsid w:val="00CE5ACB"/>
    <w:rsid w:val="00CF01B2"/>
    <w:rsid w:val="00CF6A38"/>
    <w:rsid w:val="00CF79F8"/>
    <w:rsid w:val="00D02306"/>
    <w:rsid w:val="00D0487D"/>
    <w:rsid w:val="00D05745"/>
    <w:rsid w:val="00D134B8"/>
    <w:rsid w:val="00D15F64"/>
    <w:rsid w:val="00D2335E"/>
    <w:rsid w:val="00D27350"/>
    <w:rsid w:val="00D32857"/>
    <w:rsid w:val="00D377D7"/>
    <w:rsid w:val="00D40881"/>
    <w:rsid w:val="00D41B6A"/>
    <w:rsid w:val="00D423B6"/>
    <w:rsid w:val="00D44F02"/>
    <w:rsid w:val="00D5492C"/>
    <w:rsid w:val="00D6313F"/>
    <w:rsid w:val="00D660E8"/>
    <w:rsid w:val="00D67485"/>
    <w:rsid w:val="00D72379"/>
    <w:rsid w:val="00D727D0"/>
    <w:rsid w:val="00D74242"/>
    <w:rsid w:val="00D7517C"/>
    <w:rsid w:val="00D75450"/>
    <w:rsid w:val="00D77B03"/>
    <w:rsid w:val="00D80A2D"/>
    <w:rsid w:val="00D87C21"/>
    <w:rsid w:val="00D91236"/>
    <w:rsid w:val="00D9132E"/>
    <w:rsid w:val="00D95E3C"/>
    <w:rsid w:val="00DA4FFE"/>
    <w:rsid w:val="00DA55C9"/>
    <w:rsid w:val="00DB2E61"/>
    <w:rsid w:val="00DC2DA6"/>
    <w:rsid w:val="00DD2C59"/>
    <w:rsid w:val="00DD2E2B"/>
    <w:rsid w:val="00DD4B2B"/>
    <w:rsid w:val="00DD51A2"/>
    <w:rsid w:val="00DD7BBE"/>
    <w:rsid w:val="00DE07D1"/>
    <w:rsid w:val="00DE32D6"/>
    <w:rsid w:val="00DE5FE4"/>
    <w:rsid w:val="00DE67F6"/>
    <w:rsid w:val="00DF43A5"/>
    <w:rsid w:val="00E00851"/>
    <w:rsid w:val="00E045F5"/>
    <w:rsid w:val="00E06A21"/>
    <w:rsid w:val="00E10E9E"/>
    <w:rsid w:val="00E12FE9"/>
    <w:rsid w:val="00E140F8"/>
    <w:rsid w:val="00E15F79"/>
    <w:rsid w:val="00E178C9"/>
    <w:rsid w:val="00E241CB"/>
    <w:rsid w:val="00E24516"/>
    <w:rsid w:val="00E3144E"/>
    <w:rsid w:val="00E3688F"/>
    <w:rsid w:val="00E40A2E"/>
    <w:rsid w:val="00E607D2"/>
    <w:rsid w:val="00E6544C"/>
    <w:rsid w:val="00E81621"/>
    <w:rsid w:val="00E84416"/>
    <w:rsid w:val="00E855EE"/>
    <w:rsid w:val="00E922DC"/>
    <w:rsid w:val="00E979C6"/>
    <w:rsid w:val="00EB20FE"/>
    <w:rsid w:val="00EC12C6"/>
    <w:rsid w:val="00EC5ABD"/>
    <w:rsid w:val="00EC61D4"/>
    <w:rsid w:val="00ED0B82"/>
    <w:rsid w:val="00EE083D"/>
    <w:rsid w:val="00EE1D31"/>
    <w:rsid w:val="00EE4469"/>
    <w:rsid w:val="00EF2EF9"/>
    <w:rsid w:val="00EF4834"/>
    <w:rsid w:val="00EF59F3"/>
    <w:rsid w:val="00EF5C4E"/>
    <w:rsid w:val="00EF720E"/>
    <w:rsid w:val="00F01293"/>
    <w:rsid w:val="00F04B4A"/>
    <w:rsid w:val="00F112AC"/>
    <w:rsid w:val="00F1169D"/>
    <w:rsid w:val="00F16AF7"/>
    <w:rsid w:val="00F23C44"/>
    <w:rsid w:val="00F374A8"/>
    <w:rsid w:val="00F4492F"/>
    <w:rsid w:val="00F62820"/>
    <w:rsid w:val="00F651EC"/>
    <w:rsid w:val="00F6665C"/>
    <w:rsid w:val="00F66E3E"/>
    <w:rsid w:val="00F81348"/>
    <w:rsid w:val="00F84179"/>
    <w:rsid w:val="00F85518"/>
    <w:rsid w:val="00F91ADF"/>
    <w:rsid w:val="00F94E86"/>
    <w:rsid w:val="00FA109A"/>
    <w:rsid w:val="00FA4576"/>
    <w:rsid w:val="00FB0236"/>
    <w:rsid w:val="00FB2100"/>
    <w:rsid w:val="00FB2DC2"/>
    <w:rsid w:val="00FC13B5"/>
    <w:rsid w:val="00FD60BD"/>
    <w:rsid w:val="00FE1B76"/>
    <w:rsid w:val="00FE3070"/>
    <w:rsid w:val="00FF0A7C"/>
    <w:rsid w:val="02741C78"/>
    <w:rsid w:val="051A20F5"/>
    <w:rsid w:val="06F80AF9"/>
    <w:rsid w:val="07412F75"/>
    <w:rsid w:val="07D57CC5"/>
    <w:rsid w:val="080B3E09"/>
    <w:rsid w:val="08A54E75"/>
    <w:rsid w:val="094F6DBC"/>
    <w:rsid w:val="097C0E21"/>
    <w:rsid w:val="0A692D91"/>
    <w:rsid w:val="0C2F2684"/>
    <w:rsid w:val="0C4D08E2"/>
    <w:rsid w:val="0CE21692"/>
    <w:rsid w:val="0D623D55"/>
    <w:rsid w:val="0D873859"/>
    <w:rsid w:val="10675939"/>
    <w:rsid w:val="11336DEA"/>
    <w:rsid w:val="114B032E"/>
    <w:rsid w:val="11835577"/>
    <w:rsid w:val="12621A5A"/>
    <w:rsid w:val="132160E4"/>
    <w:rsid w:val="170407FA"/>
    <w:rsid w:val="18410F50"/>
    <w:rsid w:val="18667BA1"/>
    <w:rsid w:val="18D95959"/>
    <w:rsid w:val="19206F28"/>
    <w:rsid w:val="19B35483"/>
    <w:rsid w:val="1A852EB8"/>
    <w:rsid w:val="1AC96AA3"/>
    <w:rsid w:val="1B4D02A1"/>
    <w:rsid w:val="1B4E0076"/>
    <w:rsid w:val="1B7B7127"/>
    <w:rsid w:val="1C2F39E9"/>
    <w:rsid w:val="1C7B7EB9"/>
    <w:rsid w:val="1EB222BF"/>
    <w:rsid w:val="1EE37CEB"/>
    <w:rsid w:val="1F2708FD"/>
    <w:rsid w:val="20FF5192"/>
    <w:rsid w:val="222C3B62"/>
    <w:rsid w:val="2270562B"/>
    <w:rsid w:val="22F05B91"/>
    <w:rsid w:val="238332B2"/>
    <w:rsid w:val="239C5D2C"/>
    <w:rsid w:val="23F20FCA"/>
    <w:rsid w:val="249A6AB5"/>
    <w:rsid w:val="259F568E"/>
    <w:rsid w:val="26AA3C81"/>
    <w:rsid w:val="276D1F2E"/>
    <w:rsid w:val="27D51EDA"/>
    <w:rsid w:val="28127DBC"/>
    <w:rsid w:val="287D3E9E"/>
    <w:rsid w:val="28877F53"/>
    <w:rsid w:val="28DF78BE"/>
    <w:rsid w:val="29581E4D"/>
    <w:rsid w:val="2A753DE2"/>
    <w:rsid w:val="2B13719E"/>
    <w:rsid w:val="2B1E6322"/>
    <w:rsid w:val="2B780873"/>
    <w:rsid w:val="2D6A55E5"/>
    <w:rsid w:val="2E713E4F"/>
    <w:rsid w:val="2F3E0BC0"/>
    <w:rsid w:val="30AB2737"/>
    <w:rsid w:val="31852D16"/>
    <w:rsid w:val="33084E97"/>
    <w:rsid w:val="33727593"/>
    <w:rsid w:val="35E90C2B"/>
    <w:rsid w:val="36BB22A9"/>
    <w:rsid w:val="374D1F33"/>
    <w:rsid w:val="39247EC6"/>
    <w:rsid w:val="395F2C18"/>
    <w:rsid w:val="399F21A7"/>
    <w:rsid w:val="3A2D1ACC"/>
    <w:rsid w:val="3AB77BE6"/>
    <w:rsid w:val="3AC10E9B"/>
    <w:rsid w:val="3AC3055E"/>
    <w:rsid w:val="3BD03610"/>
    <w:rsid w:val="3C864B96"/>
    <w:rsid w:val="3CD62D16"/>
    <w:rsid w:val="3DA662F0"/>
    <w:rsid w:val="3DB34E35"/>
    <w:rsid w:val="3E3C74EB"/>
    <w:rsid w:val="406963CF"/>
    <w:rsid w:val="40DC407E"/>
    <w:rsid w:val="410667D0"/>
    <w:rsid w:val="41362843"/>
    <w:rsid w:val="41DE25D3"/>
    <w:rsid w:val="41F87F74"/>
    <w:rsid w:val="42C933EA"/>
    <w:rsid w:val="4394219E"/>
    <w:rsid w:val="46664C02"/>
    <w:rsid w:val="46BC7611"/>
    <w:rsid w:val="475E4BC8"/>
    <w:rsid w:val="483D498F"/>
    <w:rsid w:val="48F012B9"/>
    <w:rsid w:val="495760AB"/>
    <w:rsid w:val="49C55AC2"/>
    <w:rsid w:val="4B8C074C"/>
    <w:rsid w:val="4BC74D99"/>
    <w:rsid w:val="4CAD08D3"/>
    <w:rsid w:val="4E233937"/>
    <w:rsid w:val="4EA641A8"/>
    <w:rsid w:val="4F2B1DB1"/>
    <w:rsid w:val="4FB866FB"/>
    <w:rsid w:val="52C97C86"/>
    <w:rsid w:val="530C65E3"/>
    <w:rsid w:val="543054B5"/>
    <w:rsid w:val="54A03F7E"/>
    <w:rsid w:val="55AA2347"/>
    <w:rsid w:val="562268D6"/>
    <w:rsid w:val="574155DF"/>
    <w:rsid w:val="57B23F42"/>
    <w:rsid w:val="595D368C"/>
    <w:rsid w:val="59B8001F"/>
    <w:rsid w:val="5A16247D"/>
    <w:rsid w:val="5B95070D"/>
    <w:rsid w:val="5C1B67A3"/>
    <w:rsid w:val="5CFF3FB3"/>
    <w:rsid w:val="5E1911CC"/>
    <w:rsid w:val="5E892C8F"/>
    <w:rsid w:val="5F6C3596"/>
    <w:rsid w:val="5FC36076"/>
    <w:rsid w:val="605B271B"/>
    <w:rsid w:val="60F02CE8"/>
    <w:rsid w:val="610179DF"/>
    <w:rsid w:val="6106390E"/>
    <w:rsid w:val="613D661D"/>
    <w:rsid w:val="620632DC"/>
    <w:rsid w:val="63F96A60"/>
    <w:rsid w:val="64C77D99"/>
    <w:rsid w:val="655552B8"/>
    <w:rsid w:val="65EB12E1"/>
    <w:rsid w:val="665F2801"/>
    <w:rsid w:val="666D4EDC"/>
    <w:rsid w:val="668C380F"/>
    <w:rsid w:val="67AB21D3"/>
    <w:rsid w:val="68016A86"/>
    <w:rsid w:val="68313F0F"/>
    <w:rsid w:val="68A538E0"/>
    <w:rsid w:val="695E2C33"/>
    <w:rsid w:val="6AAF3CAC"/>
    <w:rsid w:val="6BF3396F"/>
    <w:rsid w:val="6C164D22"/>
    <w:rsid w:val="6F1F3CA1"/>
    <w:rsid w:val="70007D91"/>
    <w:rsid w:val="708A1ECC"/>
    <w:rsid w:val="710C517D"/>
    <w:rsid w:val="73970B35"/>
    <w:rsid w:val="74EE28C2"/>
    <w:rsid w:val="762C014E"/>
    <w:rsid w:val="76D507FC"/>
    <w:rsid w:val="77815869"/>
    <w:rsid w:val="789F2543"/>
    <w:rsid w:val="792F55BF"/>
    <w:rsid w:val="7948720A"/>
    <w:rsid w:val="7AB24F36"/>
    <w:rsid w:val="7B51358C"/>
    <w:rsid w:val="7F803E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nhideWhenUsed="0" w:uiPriority="99" w:semiHidden="0" w:name="heading 3"/>
    <w:lsdException w:qFormat="1" w:unhideWhenUsed="0" w:uiPriority="99" w:semiHidden="0" w:name="heading 4"/>
    <w:lsdException w:qFormat="1" w:unhideWhenUsed="0" w:uiPriority="9" w:semiHidden="0" w:name="heading 5"/>
    <w:lsdException w:qFormat="1" w:unhideWhenUsed="0" w:uiPriority="9"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name="toc 5"/>
    <w:lsdException w:qFormat="1" w:unhideWhenUsed="0" w:uiPriority="0" w:semiHidden="0"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174"/>
    <w:qFormat/>
    <w:uiPriority w:val="99"/>
    <w:pPr>
      <w:keepNext/>
      <w:keepLines/>
      <w:tabs>
        <w:tab w:val="left" w:pos="432"/>
      </w:tabs>
      <w:spacing w:before="360" w:after="360" w:line="360" w:lineRule="auto"/>
      <w:jc w:val="left"/>
      <w:outlineLvl w:val="0"/>
    </w:pPr>
    <w:rPr>
      <w:rFonts w:ascii="黑体" w:eastAsia="黑体"/>
      <w:spacing w:val="24"/>
      <w:kern w:val="44"/>
      <w:sz w:val="32"/>
    </w:rPr>
  </w:style>
  <w:style w:type="paragraph" w:styleId="5">
    <w:name w:val="heading 2"/>
    <w:basedOn w:val="1"/>
    <w:next w:val="1"/>
    <w:link w:val="143"/>
    <w:qFormat/>
    <w:uiPriority w:val="9"/>
    <w:pPr>
      <w:keepNext/>
      <w:keepLines/>
      <w:widowControl/>
      <w:tabs>
        <w:tab w:val="left" w:pos="576"/>
      </w:tabs>
      <w:spacing w:before="240" w:after="240" w:line="360" w:lineRule="auto"/>
      <w:jc w:val="left"/>
      <w:outlineLvl w:val="1"/>
    </w:pPr>
    <w:rPr>
      <w:rFonts w:eastAsia="黑体"/>
      <w:kern w:val="0"/>
      <w:sz w:val="30"/>
    </w:rPr>
  </w:style>
  <w:style w:type="paragraph" w:styleId="6">
    <w:name w:val="heading 3"/>
    <w:basedOn w:val="1"/>
    <w:next w:val="1"/>
    <w:link w:val="147"/>
    <w:qFormat/>
    <w:uiPriority w:val="99"/>
    <w:pPr>
      <w:keepNext/>
      <w:keepLines/>
      <w:tabs>
        <w:tab w:val="left" w:pos="3600"/>
      </w:tabs>
      <w:spacing w:before="240" w:after="240" w:line="360" w:lineRule="auto"/>
      <w:jc w:val="left"/>
      <w:outlineLvl w:val="2"/>
    </w:pPr>
    <w:rPr>
      <w:rFonts w:eastAsia="黑体"/>
      <w:sz w:val="28"/>
    </w:rPr>
  </w:style>
  <w:style w:type="paragraph" w:styleId="7">
    <w:name w:val="heading 4"/>
    <w:basedOn w:val="1"/>
    <w:next w:val="1"/>
    <w:link w:val="152"/>
    <w:qFormat/>
    <w:uiPriority w:val="99"/>
    <w:pPr>
      <w:keepNext/>
      <w:keepLines/>
      <w:tabs>
        <w:tab w:val="left" w:pos="864"/>
      </w:tabs>
      <w:spacing w:before="120" w:after="120" w:line="360" w:lineRule="auto"/>
      <w:outlineLvl w:val="3"/>
    </w:pPr>
    <w:rPr>
      <w:rFonts w:ascii="Arial" w:hAnsi="Arial" w:eastAsia="黑体"/>
      <w:sz w:val="24"/>
    </w:rPr>
  </w:style>
  <w:style w:type="paragraph" w:styleId="8">
    <w:name w:val="heading 5"/>
    <w:basedOn w:val="1"/>
    <w:next w:val="1"/>
    <w:link w:val="173"/>
    <w:qFormat/>
    <w:uiPriority w:val="9"/>
    <w:pPr>
      <w:keepNext/>
      <w:keepLines/>
      <w:tabs>
        <w:tab w:val="left" w:pos="1008"/>
      </w:tabs>
      <w:spacing w:before="120" w:after="120" w:line="360" w:lineRule="auto"/>
      <w:outlineLvl w:val="4"/>
    </w:pPr>
    <w:rPr>
      <w:i/>
      <w:sz w:val="24"/>
    </w:rPr>
  </w:style>
  <w:style w:type="paragraph" w:styleId="9">
    <w:name w:val="heading 6"/>
    <w:basedOn w:val="1"/>
    <w:next w:val="10"/>
    <w:link w:val="132"/>
    <w:qFormat/>
    <w:uiPriority w:val="9"/>
    <w:pPr>
      <w:keepNext/>
      <w:keepLines/>
      <w:tabs>
        <w:tab w:val="left" w:pos="1152"/>
      </w:tabs>
      <w:spacing w:before="240" w:after="64" w:line="319" w:lineRule="auto"/>
      <w:outlineLvl w:val="5"/>
    </w:pPr>
    <w:rPr>
      <w:rFonts w:ascii="Arial" w:hAnsi="Arial" w:eastAsia="黑体"/>
      <w:b/>
      <w:sz w:val="24"/>
    </w:rPr>
  </w:style>
  <w:style w:type="paragraph" w:styleId="11">
    <w:name w:val="heading 7"/>
    <w:basedOn w:val="1"/>
    <w:next w:val="10"/>
    <w:link w:val="177"/>
    <w:qFormat/>
    <w:uiPriority w:val="0"/>
    <w:pPr>
      <w:keepNext/>
      <w:keepLines/>
      <w:tabs>
        <w:tab w:val="left" w:pos="1296"/>
      </w:tabs>
      <w:spacing w:before="240" w:after="64" w:line="319" w:lineRule="auto"/>
      <w:outlineLvl w:val="6"/>
    </w:pPr>
    <w:rPr>
      <w:b/>
      <w:sz w:val="24"/>
    </w:rPr>
  </w:style>
  <w:style w:type="paragraph" w:styleId="12">
    <w:name w:val="heading 8"/>
    <w:basedOn w:val="1"/>
    <w:next w:val="10"/>
    <w:link w:val="155"/>
    <w:qFormat/>
    <w:uiPriority w:val="0"/>
    <w:pPr>
      <w:keepNext/>
      <w:keepLines/>
      <w:tabs>
        <w:tab w:val="left" w:pos="1440"/>
      </w:tabs>
      <w:spacing w:before="240" w:after="64" w:line="319" w:lineRule="auto"/>
      <w:outlineLvl w:val="7"/>
    </w:pPr>
    <w:rPr>
      <w:rFonts w:ascii="Arial" w:hAnsi="Arial" w:eastAsia="黑体"/>
      <w:sz w:val="24"/>
    </w:rPr>
  </w:style>
  <w:style w:type="paragraph" w:styleId="13">
    <w:name w:val="heading 9"/>
    <w:basedOn w:val="1"/>
    <w:next w:val="10"/>
    <w:link w:val="171"/>
    <w:qFormat/>
    <w:uiPriority w:val="0"/>
    <w:pPr>
      <w:keepNext/>
      <w:keepLines/>
      <w:tabs>
        <w:tab w:val="left" w:pos="1584"/>
      </w:tabs>
      <w:spacing w:before="240" w:after="64" w:line="319" w:lineRule="auto"/>
      <w:outlineLvl w:val="8"/>
    </w:pPr>
    <w:rPr>
      <w:rFonts w:ascii="Arial" w:hAnsi="Arial" w:eastAsia="黑体"/>
      <w:sz w:val="24"/>
    </w:rPr>
  </w:style>
  <w:style w:type="character" w:default="1" w:styleId="40">
    <w:name w:val="Default Paragraph Font"/>
    <w:semiHidden/>
    <w:unhideWhenUsed/>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customStyle="1" w:styleId="2">
    <w:name w:val="BodyText1I2"/>
    <w:basedOn w:val="3"/>
    <w:qFormat/>
    <w:uiPriority w:val="0"/>
    <w:pPr>
      <w:ind w:firstLine="420" w:firstLineChars="200"/>
    </w:pPr>
  </w:style>
  <w:style w:type="paragraph" w:customStyle="1" w:styleId="3">
    <w:name w:val="BodyTextIndent"/>
    <w:basedOn w:val="1"/>
    <w:qFormat/>
    <w:uiPriority w:val="0"/>
    <w:pPr>
      <w:spacing w:after="120"/>
      <w:ind w:left="420" w:leftChars="200"/>
      <w:textAlignment w:val="baseline"/>
    </w:pPr>
    <w:rPr>
      <w:color w:val="000000"/>
      <w:szCs w:val="24"/>
    </w:rPr>
  </w:style>
  <w:style w:type="paragraph" w:styleId="10">
    <w:name w:val="Normal Indent"/>
    <w:basedOn w:val="1"/>
    <w:link w:val="161"/>
    <w:unhideWhenUsed/>
    <w:qFormat/>
    <w:uiPriority w:val="0"/>
    <w:pPr>
      <w:ind w:firstLine="420" w:firstLineChars="200"/>
    </w:pPr>
  </w:style>
  <w:style w:type="paragraph" w:styleId="14">
    <w:name w:val="caption"/>
    <w:basedOn w:val="1"/>
    <w:next w:val="1"/>
    <w:qFormat/>
    <w:uiPriority w:val="0"/>
    <w:pPr>
      <w:widowControl/>
      <w:spacing w:before="120" w:after="120"/>
      <w:jc w:val="left"/>
    </w:pPr>
    <w:rPr>
      <w:b/>
      <w:bCs/>
      <w:kern w:val="0"/>
      <w:sz w:val="20"/>
    </w:rPr>
  </w:style>
  <w:style w:type="paragraph" w:styleId="15">
    <w:name w:val="Document Map"/>
    <w:basedOn w:val="1"/>
    <w:link w:val="157"/>
    <w:unhideWhenUsed/>
    <w:qFormat/>
    <w:uiPriority w:val="99"/>
    <w:pPr>
      <w:widowControl/>
      <w:adjustRightInd w:val="0"/>
      <w:snapToGrid w:val="0"/>
      <w:spacing w:after="200"/>
      <w:jc w:val="left"/>
    </w:pPr>
    <w:rPr>
      <w:rFonts w:ascii="宋体" w:hAnsi="Tahoma"/>
      <w:kern w:val="0"/>
      <w:sz w:val="18"/>
      <w:szCs w:val="18"/>
    </w:rPr>
  </w:style>
  <w:style w:type="paragraph" w:styleId="16">
    <w:name w:val="toa heading"/>
    <w:basedOn w:val="1"/>
    <w:next w:val="1"/>
    <w:qFormat/>
    <w:uiPriority w:val="0"/>
    <w:pPr>
      <w:spacing w:before="120"/>
    </w:pPr>
    <w:rPr>
      <w:rFonts w:ascii="Arial" w:hAnsi="Arial"/>
      <w:sz w:val="24"/>
    </w:rPr>
  </w:style>
  <w:style w:type="paragraph" w:styleId="17">
    <w:name w:val="annotation text"/>
    <w:basedOn w:val="1"/>
    <w:link w:val="148"/>
    <w:unhideWhenUsed/>
    <w:qFormat/>
    <w:uiPriority w:val="0"/>
    <w:pPr>
      <w:widowControl/>
      <w:adjustRightInd w:val="0"/>
      <w:snapToGrid w:val="0"/>
      <w:spacing w:after="200"/>
      <w:jc w:val="left"/>
    </w:pPr>
    <w:rPr>
      <w:rFonts w:ascii="Tahoma" w:hAnsi="Tahoma" w:eastAsia="微软雅黑"/>
      <w:kern w:val="0"/>
      <w:sz w:val="22"/>
      <w:szCs w:val="22"/>
    </w:rPr>
  </w:style>
  <w:style w:type="paragraph" w:styleId="18">
    <w:name w:val="Body Text"/>
    <w:basedOn w:val="1"/>
    <w:next w:val="19"/>
    <w:link w:val="134"/>
    <w:unhideWhenUsed/>
    <w:qFormat/>
    <w:uiPriority w:val="0"/>
    <w:pPr>
      <w:spacing w:after="120"/>
    </w:pPr>
  </w:style>
  <w:style w:type="paragraph" w:styleId="19">
    <w:name w:val="Body Text First Indent"/>
    <w:basedOn w:val="18"/>
    <w:next w:val="20"/>
    <w:qFormat/>
    <w:uiPriority w:val="0"/>
    <w:pPr>
      <w:ind w:firstLine="420" w:firstLineChars="100"/>
    </w:pPr>
    <w:rPr>
      <w:rFonts w:ascii="Calibri" w:hAnsi="Calibri"/>
      <w:szCs w:val="24"/>
    </w:rPr>
  </w:style>
  <w:style w:type="paragraph" w:styleId="20">
    <w:name w:val="toc 6"/>
    <w:basedOn w:val="1"/>
    <w:next w:val="1"/>
    <w:qFormat/>
    <w:uiPriority w:val="0"/>
    <w:pPr>
      <w:spacing w:line="360" w:lineRule="auto"/>
      <w:ind w:left="1200" w:firstLine="200" w:firstLineChars="200"/>
      <w:jc w:val="left"/>
    </w:pPr>
    <w:rPr>
      <w:rFonts w:ascii="Calibri" w:hAnsi="Calibri" w:cs="Calibri"/>
      <w:sz w:val="18"/>
      <w:szCs w:val="18"/>
    </w:rPr>
  </w:style>
  <w:style w:type="paragraph" w:styleId="21">
    <w:name w:val="Body Text Indent"/>
    <w:basedOn w:val="1"/>
    <w:link w:val="167"/>
    <w:qFormat/>
    <w:uiPriority w:val="0"/>
    <w:pPr>
      <w:spacing w:after="120"/>
      <w:ind w:left="420" w:leftChars="200"/>
    </w:pPr>
    <w:rPr>
      <w:szCs w:val="24"/>
    </w:rPr>
  </w:style>
  <w:style w:type="paragraph" w:styleId="22">
    <w:name w:val="Block Text"/>
    <w:basedOn w:val="1"/>
    <w:qFormat/>
    <w:uiPriority w:val="0"/>
    <w:pPr>
      <w:spacing w:after="120"/>
      <w:ind w:left="1440" w:leftChars="700" w:right="1440" w:rightChars="700"/>
    </w:pPr>
    <w:rPr>
      <w:rFonts w:ascii="Calibri" w:hAnsi="Calibri"/>
      <w:szCs w:val="24"/>
    </w:rPr>
  </w:style>
  <w:style w:type="paragraph" w:styleId="23">
    <w:name w:val="toc 5"/>
    <w:basedOn w:val="1"/>
    <w:next w:val="1"/>
    <w:semiHidden/>
    <w:qFormat/>
    <w:uiPriority w:val="0"/>
    <w:pPr>
      <w:spacing w:line="280" w:lineRule="exact"/>
      <w:jc w:val="right"/>
    </w:pPr>
    <w:rPr>
      <w:szCs w:val="24"/>
    </w:rPr>
  </w:style>
  <w:style w:type="paragraph" w:styleId="24">
    <w:name w:val="Plain Text"/>
    <w:basedOn w:val="1"/>
    <w:link w:val="136"/>
    <w:qFormat/>
    <w:uiPriority w:val="0"/>
    <w:rPr>
      <w:rFonts w:ascii="宋体" w:hAnsi="Courier New"/>
    </w:rPr>
  </w:style>
  <w:style w:type="paragraph" w:styleId="25">
    <w:name w:val="Date"/>
    <w:basedOn w:val="1"/>
    <w:next w:val="1"/>
    <w:link w:val="139"/>
    <w:qFormat/>
    <w:uiPriority w:val="0"/>
    <w:pPr>
      <w:ind w:left="100" w:leftChars="2500"/>
    </w:pPr>
    <w:rPr>
      <w:color w:val="000000"/>
      <w:sz w:val="24"/>
      <w:szCs w:val="24"/>
    </w:rPr>
  </w:style>
  <w:style w:type="paragraph" w:styleId="26">
    <w:name w:val="Body Text Indent 2"/>
    <w:basedOn w:val="1"/>
    <w:link w:val="176"/>
    <w:qFormat/>
    <w:uiPriority w:val="0"/>
    <w:pPr>
      <w:spacing w:after="120" w:line="480" w:lineRule="auto"/>
      <w:ind w:left="420" w:leftChars="200"/>
    </w:pPr>
  </w:style>
  <w:style w:type="paragraph" w:styleId="27">
    <w:name w:val="Balloon Text"/>
    <w:basedOn w:val="1"/>
    <w:link w:val="178"/>
    <w:qFormat/>
    <w:uiPriority w:val="99"/>
    <w:rPr>
      <w:sz w:val="18"/>
      <w:szCs w:val="18"/>
    </w:rPr>
  </w:style>
  <w:style w:type="paragraph" w:styleId="28">
    <w:name w:val="footer"/>
    <w:basedOn w:val="1"/>
    <w:link w:val="158"/>
    <w:unhideWhenUsed/>
    <w:qFormat/>
    <w:uiPriority w:val="99"/>
    <w:pPr>
      <w:tabs>
        <w:tab w:val="center" w:pos="4153"/>
        <w:tab w:val="right" w:pos="8306"/>
      </w:tabs>
      <w:snapToGrid w:val="0"/>
      <w:jc w:val="left"/>
    </w:pPr>
    <w:rPr>
      <w:sz w:val="18"/>
      <w:szCs w:val="18"/>
    </w:rPr>
  </w:style>
  <w:style w:type="paragraph" w:styleId="29">
    <w:name w:val="header"/>
    <w:basedOn w:val="1"/>
    <w:link w:val="131"/>
    <w:unhideWhenUsed/>
    <w:qFormat/>
    <w:uiPriority w:val="99"/>
    <w:pPr>
      <w:pBdr>
        <w:bottom w:val="single" w:color="auto" w:sz="6" w:space="1"/>
      </w:pBdr>
      <w:tabs>
        <w:tab w:val="center" w:pos="4153"/>
        <w:tab w:val="right" w:pos="8306"/>
      </w:tabs>
      <w:snapToGrid w:val="0"/>
      <w:jc w:val="center"/>
    </w:pPr>
    <w:rPr>
      <w:sz w:val="18"/>
      <w:szCs w:val="18"/>
    </w:rPr>
  </w:style>
  <w:style w:type="paragraph" w:styleId="30">
    <w:name w:val="Subtitle"/>
    <w:basedOn w:val="1"/>
    <w:next w:val="1"/>
    <w:link w:val="164"/>
    <w:qFormat/>
    <w:uiPriority w:val="11"/>
    <w:pPr>
      <w:widowControl/>
      <w:adjustRightInd w:val="0"/>
      <w:snapToGrid w:val="0"/>
      <w:spacing w:before="240" w:after="60" w:line="312" w:lineRule="auto"/>
      <w:jc w:val="center"/>
      <w:outlineLvl w:val="1"/>
    </w:pPr>
    <w:rPr>
      <w:rFonts w:ascii="Cambria" w:hAnsi="Cambria"/>
      <w:b/>
      <w:bCs/>
      <w:kern w:val="28"/>
      <w:sz w:val="32"/>
      <w:szCs w:val="32"/>
    </w:rPr>
  </w:style>
  <w:style w:type="paragraph" w:styleId="31">
    <w:name w:val="List"/>
    <w:basedOn w:val="1"/>
    <w:qFormat/>
    <w:uiPriority w:val="0"/>
    <w:pPr>
      <w:ind w:left="200" w:hanging="200" w:hangingChars="200"/>
    </w:pPr>
    <w:rPr>
      <w:sz w:val="28"/>
      <w:szCs w:val="24"/>
    </w:rPr>
  </w:style>
  <w:style w:type="paragraph" w:styleId="32">
    <w:name w:val="Body Text Indent 3"/>
    <w:basedOn w:val="1"/>
    <w:link w:val="179"/>
    <w:qFormat/>
    <w:uiPriority w:val="0"/>
    <w:pPr>
      <w:autoSpaceDE w:val="0"/>
      <w:autoSpaceDN w:val="0"/>
      <w:spacing w:line="400" w:lineRule="atLeast"/>
      <w:ind w:firstLine="443" w:firstLineChars="200"/>
      <w:textAlignment w:val="bottom"/>
    </w:pPr>
    <w:rPr>
      <w:rFonts w:eastAsia="黑体"/>
      <w:color w:val="000000"/>
      <w:sz w:val="24"/>
    </w:rPr>
  </w:style>
  <w:style w:type="paragraph" w:styleId="33">
    <w:name w:val="Body Text 2"/>
    <w:basedOn w:val="1"/>
    <w:link w:val="170"/>
    <w:qFormat/>
    <w:uiPriority w:val="0"/>
    <w:pPr>
      <w:spacing w:after="120" w:line="480" w:lineRule="auto"/>
    </w:pPr>
    <w:rPr>
      <w:szCs w:val="24"/>
    </w:rPr>
  </w:style>
  <w:style w:type="paragraph" w:styleId="34">
    <w:name w:val="HTML Preformatted"/>
    <w:basedOn w:val="1"/>
    <w:link w:val="165"/>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35">
    <w:name w:val="Normal (Web)"/>
    <w:basedOn w:val="1"/>
    <w:qFormat/>
    <w:uiPriority w:val="0"/>
    <w:pPr>
      <w:widowControl/>
      <w:spacing w:before="100" w:beforeAutospacing="1" w:after="100" w:afterAutospacing="1"/>
      <w:jc w:val="left"/>
    </w:pPr>
    <w:rPr>
      <w:rFonts w:ascii="Arial" w:hAnsi="Arial" w:cs="Arial"/>
      <w:color w:val="000000"/>
      <w:kern w:val="0"/>
      <w:sz w:val="18"/>
      <w:szCs w:val="18"/>
    </w:rPr>
  </w:style>
  <w:style w:type="paragraph" w:styleId="36">
    <w:name w:val="Title"/>
    <w:basedOn w:val="1"/>
    <w:next w:val="1"/>
    <w:link w:val="140"/>
    <w:qFormat/>
    <w:uiPriority w:val="10"/>
    <w:pPr>
      <w:keepNext/>
      <w:keepLines/>
      <w:widowControl/>
      <w:tabs>
        <w:tab w:val="center" w:pos="540"/>
      </w:tabs>
      <w:spacing w:line="360" w:lineRule="auto"/>
      <w:outlineLvl w:val="0"/>
    </w:pPr>
    <w:rPr>
      <w:rFonts w:ascii="Arial" w:hAnsi="Arial" w:cs="Arial"/>
      <w:b/>
      <w:bCs/>
      <w:sz w:val="28"/>
      <w:szCs w:val="32"/>
    </w:rPr>
  </w:style>
  <w:style w:type="paragraph" w:styleId="37">
    <w:name w:val="annotation subject"/>
    <w:basedOn w:val="17"/>
    <w:next w:val="17"/>
    <w:link w:val="180"/>
    <w:qFormat/>
    <w:uiPriority w:val="0"/>
    <w:pPr>
      <w:widowControl w:val="0"/>
      <w:adjustRightInd/>
      <w:snapToGrid/>
      <w:spacing w:after="0"/>
    </w:pPr>
    <w:rPr>
      <w:rFonts w:ascii="Times New Roman" w:hAnsi="Times New Roman" w:eastAsia="宋体"/>
      <w:b/>
      <w:bCs/>
      <w:kern w:val="2"/>
      <w:sz w:val="21"/>
      <w:szCs w:val="24"/>
    </w:rPr>
  </w:style>
  <w:style w:type="table" w:styleId="39">
    <w:name w:val="Table Grid"/>
    <w:basedOn w:val="3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Strong"/>
    <w:qFormat/>
    <w:uiPriority w:val="22"/>
    <w:rPr>
      <w:rFonts w:eastAsia="宋体"/>
      <w:b/>
      <w:bCs/>
      <w:kern w:val="2"/>
      <w:sz w:val="21"/>
      <w:szCs w:val="24"/>
      <w:lang w:val="en-US" w:eastAsia="zh-CN" w:bidi="ar-SA"/>
    </w:rPr>
  </w:style>
  <w:style w:type="character" w:styleId="42">
    <w:name w:val="page number"/>
    <w:basedOn w:val="40"/>
    <w:qFormat/>
    <w:uiPriority w:val="0"/>
  </w:style>
  <w:style w:type="character" w:styleId="43">
    <w:name w:val="FollowedHyperlink"/>
    <w:basedOn w:val="40"/>
    <w:qFormat/>
    <w:uiPriority w:val="0"/>
    <w:rPr>
      <w:color w:val="4A4A4A"/>
      <w:u w:val="none"/>
    </w:rPr>
  </w:style>
  <w:style w:type="character" w:styleId="44">
    <w:name w:val="Emphasis"/>
    <w:qFormat/>
    <w:uiPriority w:val="0"/>
    <w:rPr>
      <w:rFonts w:eastAsia="宋体"/>
      <w:kern w:val="2"/>
      <w:sz w:val="21"/>
      <w:szCs w:val="24"/>
      <w:lang w:val="en-US" w:eastAsia="zh-CN" w:bidi="ar-SA"/>
    </w:rPr>
  </w:style>
  <w:style w:type="character" w:styleId="45">
    <w:name w:val="Hyperlink"/>
    <w:basedOn w:val="40"/>
    <w:qFormat/>
    <w:uiPriority w:val="0"/>
    <w:rPr>
      <w:color w:val="4A4A4A"/>
      <w:u w:val="none"/>
    </w:rPr>
  </w:style>
  <w:style w:type="character" w:styleId="46">
    <w:name w:val="annotation reference"/>
    <w:unhideWhenUsed/>
    <w:qFormat/>
    <w:uiPriority w:val="0"/>
    <w:rPr>
      <w:sz w:val="21"/>
      <w:szCs w:val="21"/>
    </w:rPr>
  </w:style>
  <w:style w:type="paragraph" w:customStyle="1" w:styleId="47">
    <w:name w:val="金保标题1"/>
    <w:basedOn w:val="4"/>
    <w:next w:val="1"/>
    <w:qFormat/>
    <w:uiPriority w:val="0"/>
    <w:pPr>
      <w:pageBreakBefore/>
      <w:tabs>
        <w:tab w:val="left" w:pos="720"/>
        <w:tab w:val="clear" w:pos="432"/>
      </w:tabs>
      <w:spacing w:before="340" w:after="330" w:line="240" w:lineRule="auto"/>
      <w:ind w:left="144" w:hanging="144"/>
      <w:jc w:val="center"/>
    </w:pPr>
    <w:rPr>
      <w:rFonts w:hAnsi="Tahoma"/>
      <w:bCs/>
      <w:spacing w:val="0"/>
      <w:sz w:val="44"/>
      <w:szCs w:val="44"/>
    </w:rPr>
  </w:style>
  <w:style w:type="paragraph" w:customStyle="1" w:styleId="48">
    <w:name w:val="xl136"/>
    <w:basedOn w:val="1"/>
    <w:qFormat/>
    <w:uiPriority w:val="0"/>
    <w:pPr>
      <w:widowControl/>
      <w:spacing w:before="100" w:beforeAutospacing="1" w:after="100" w:afterAutospacing="1"/>
      <w:jc w:val="center"/>
      <w:textAlignment w:val="bottom"/>
    </w:pPr>
    <w:rPr>
      <w:rFonts w:ascii="宋体" w:hAnsi="宋体" w:cs="宋体"/>
      <w:kern w:val="0"/>
      <w:sz w:val="24"/>
      <w:szCs w:val="24"/>
    </w:rPr>
  </w:style>
  <w:style w:type="paragraph" w:customStyle="1" w:styleId="49">
    <w:name w:val="Char2"/>
    <w:basedOn w:val="1"/>
    <w:qFormat/>
    <w:uiPriority w:val="0"/>
    <w:rPr>
      <w:rFonts w:ascii="仿宋_GB2312" w:eastAsia="仿宋_GB2312"/>
      <w:b/>
      <w:sz w:val="32"/>
      <w:szCs w:val="32"/>
    </w:rPr>
  </w:style>
  <w:style w:type="paragraph" w:customStyle="1" w:styleId="50">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51">
    <w:name w:val="列出段落1"/>
    <w:basedOn w:val="1"/>
    <w:qFormat/>
    <w:uiPriority w:val="0"/>
    <w:pPr>
      <w:spacing w:line="360" w:lineRule="auto"/>
      <w:ind w:firstLine="420" w:firstLineChars="200"/>
    </w:pPr>
    <w:rPr>
      <w:rFonts w:eastAsia="幼圆"/>
      <w:sz w:val="24"/>
    </w:rPr>
  </w:style>
  <w:style w:type="paragraph" w:customStyle="1" w:styleId="52">
    <w:name w:val="正文－恩普"/>
    <w:basedOn w:val="10"/>
    <w:qFormat/>
    <w:uiPriority w:val="0"/>
    <w:pPr>
      <w:spacing w:line="360" w:lineRule="auto"/>
      <w:ind w:firstLine="200"/>
    </w:pPr>
    <w:rPr>
      <w:szCs w:val="24"/>
    </w:rPr>
  </w:style>
  <w:style w:type="paragraph" w:customStyle="1" w:styleId="53">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54">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55">
    <w:name w:val="Char3 Char Char Char Char Char Char"/>
    <w:basedOn w:val="1"/>
    <w:qFormat/>
    <w:uiPriority w:val="0"/>
    <w:rPr>
      <w:rFonts w:ascii="仿宋_GB2312" w:hAnsi="宋体" w:eastAsia="仿宋_GB2312" w:cs="宋体"/>
      <w:b/>
      <w:bCs/>
      <w:color w:val="000000"/>
      <w:kern w:val="0"/>
      <w:szCs w:val="21"/>
    </w:rPr>
  </w:style>
  <w:style w:type="paragraph" w:customStyle="1" w:styleId="56">
    <w:name w:val="Figure Description"/>
    <w:basedOn w:val="1"/>
    <w:qFormat/>
    <w:uiPriority w:val="0"/>
    <w:pPr>
      <w:ind w:left="1701"/>
    </w:pPr>
  </w:style>
  <w:style w:type="paragraph" w:customStyle="1" w:styleId="57">
    <w:name w:val="Table Text Char"/>
    <w:qFormat/>
    <w:uiPriority w:val="0"/>
    <w:pPr>
      <w:snapToGrid w:val="0"/>
      <w:spacing w:before="80" w:after="80"/>
    </w:pPr>
    <w:rPr>
      <w:rFonts w:ascii="Arial" w:hAnsi="Arial" w:eastAsia="宋体" w:cs="Arial"/>
      <w:sz w:val="18"/>
      <w:szCs w:val="18"/>
      <w:lang w:val="en-US" w:eastAsia="zh-CN" w:bidi="ar-SA"/>
    </w:rPr>
  </w:style>
  <w:style w:type="paragraph" w:customStyle="1" w:styleId="58">
    <w:name w:val="p0"/>
    <w:basedOn w:val="1"/>
    <w:qFormat/>
    <w:uiPriority w:val="0"/>
    <w:pPr>
      <w:widowControl/>
    </w:pPr>
    <w:rPr>
      <w:kern w:val="0"/>
      <w:szCs w:val="21"/>
    </w:rPr>
  </w:style>
  <w:style w:type="paragraph" w:customStyle="1" w:styleId="59">
    <w:name w:val="金保首页2"/>
    <w:basedOn w:val="1"/>
    <w:next w:val="1"/>
    <w:qFormat/>
    <w:uiPriority w:val="0"/>
    <w:pPr>
      <w:jc w:val="center"/>
    </w:pPr>
    <w:rPr>
      <w:rFonts w:ascii="Tahoma" w:hAnsi="Tahoma" w:eastAsia="黑体"/>
      <w:b/>
      <w:bCs/>
      <w:sz w:val="72"/>
      <w:szCs w:val="72"/>
    </w:rPr>
  </w:style>
  <w:style w:type="paragraph" w:customStyle="1" w:styleId="60">
    <w:name w:val="Char"/>
    <w:basedOn w:val="1"/>
    <w:qFormat/>
    <w:uiPriority w:val="0"/>
    <w:rPr>
      <w:rFonts w:ascii="仿宋_GB2312" w:eastAsia="仿宋_GB2312"/>
      <w:b/>
      <w:sz w:val="32"/>
      <w:szCs w:val="32"/>
    </w:rPr>
  </w:style>
  <w:style w:type="paragraph" w:customStyle="1" w:styleId="61">
    <w:name w:val="_Style 23"/>
    <w:basedOn w:val="1"/>
    <w:qFormat/>
    <w:uiPriority w:val="0"/>
    <w:rPr>
      <w:szCs w:val="24"/>
    </w:rPr>
  </w:style>
  <w:style w:type="paragraph" w:customStyle="1" w:styleId="62">
    <w:name w:val="px12l140"/>
    <w:basedOn w:val="1"/>
    <w:qFormat/>
    <w:uiPriority w:val="0"/>
    <w:pPr>
      <w:widowControl/>
      <w:spacing w:before="100" w:beforeAutospacing="1" w:after="100" w:afterAutospacing="1" w:line="336" w:lineRule="auto"/>
      <w:jc w:val="left"/>
    </w:pPr>
    <w:rPr>
      <w:rFonts w:ascii="_x000B__x000C_" w:hAnsi="_x000B__x000C_"/>
      <w:kern w:val="0"/>
      <w:sz w:val="20"/>
    </w:rPr>
  </w:style>
  <w:style w:type="paragraph" w:customStyle="1" w:styleId="63">
    <w:name w:val="表格文字"/>
    <w:basedOn w:val="1"/>
    <w:qFormat/>
    <w:uiPriority w:val="0"/>
    <w:pPr>
      <w:jc w:val="left"/>
      <w:textAlignment w:val="top"/>
    </w:pPr>
    <w:rPr>
      <w:sz w:val="18"/>
      <w:szCs w:val="24"/>
    </w:rPr>
  </w:style>
  <w:style w:type="paragraph" w:customStyle="1" w:styleId="64">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65">
    <w:name w:val="SANGFOR_6_正文"/>
    <w:basedOn w:val="1"/>
    <w:qFormat/>
    <w:uiPriority w:val="0"/>
    <w:pPr>
      <w:spacing w:line="360" w:lineRule="auto"/>
      <w:ind w:firstLine="200" w:firstLineChars="200"/>
    </w:pPr>
    <w:rPr>
      <w:szCs w:val="24"/>
    </w:rPr>
  </w:style>
  <w:style w:type="paragraph" w:customStyle="1" w:styleId="66">
    <w:name w:val="Char Char Char Char Char Char Char Char Char1 Char"/>
    <w:basedOn w:val="1"/>
    <w:qFormat/>
    <w:uiPriority w:val="0"/>
  </w:style>
  <w:style w:type="paragraph" w:customStyle="1" w:styleId="67">
    <w:name w:val="xl137"/>
    <w:basedOn w:val="1"/>
    <w:qFormat/>
    <w:uiPriority w:val="0"/>
    <w:pPr>
      <w:widowControl/>
      <w:spacing w:before="100" w:beforeAutospacing="1" w:after="100" w:afterAutospacing="1"/>
      <w:jc w:val="left"/>
      <w:textAlignment w:val="bottom"/>
    </w:pPr>
    <w:rPr>
      <w:rFonts w:ascii="宋体" w:hAnsi="宋体" w:cs="宋体"/>
      <w:kern w:val="0"/>
      <w:sz w:val="24"/>
      <w:szCs w:val="24"/>
    </w:rPr>
  </w:style>
  <w:style w:type="paragraph" w:customStyle="1" w:styleId="68">
    <w:name w:val="xl142"/>
    <w:basedOn w:val="1"/>
    <w:qFormat/>
    <w:uiPriority w:val="0"/>
    <w:pPr>
      <w:widowControl/>
      <w:spacing w:before="100" w:beforeAutospacing="1" w:after="100" w:afterAutospacing="1"/>
      <w:jc w:val="center"/>
    </w:pPr>
    <w:rPr>
      <w:rFonts w:ascii="宋体" w:hAnsi="宋体" w:cs="宋体"/>
      <w:kern w:val="0"/>
      <w:sz w:val="32"/>
      <w:szCs w:val="32"/>
    </w:rPr>
  </w:style>
  <w:style w:type="paragraph" w:customStyle="1" w:styleId="69">
    <w:name w:val="样式 正文首行缩进 + 首行缩进:  1 字符"/>
    <w:basedOn w:val="1"/>
    <w:next w:val="70"/>
    <w:qFormat/>
    <w:uiPriority w:val="0"/>
    <w:pPr>
      <w:spacing w:line="360" w:lineRule="auto"/>
      <w:ind w:firstLine="200" w:firstLineChars="200"/>
    </w:pPr>
    <w:rPr>
      <w:rFonts w:cs="宋体"/>
      <w:sz w:val="24"/>
    </w:rPr>
  </w:style>
  <w:style w:type="paragraph" w:customStyle="1" w:styleId="70">
    <w:name w:val="Char11"/>
    <w:basedOn w:val="1"/>
    <w:qFormat/>
    <w:uiPriority w:val="0"/>
    <w:pPr>
      <w:widowControl/>
      <w:spacing w:after="160" w:line="240" w:lineRule="exact"/>
      <w:jc w:val="left"/>
    </w:pPr>
    <w:rPr>
      <w:rFonts w:ascii="Verdana" w:hAnsi="Verdana" w:eastAsia="楷体_GB2312"/>
      <w:b/>
      <w:i/>
      <w:iCs/>
      <w:color w:val="000000"/>
      <w:kern w:val="0"/>
      <w:sz w:val="20"/>
      <w:lang w:eastAsia="en-US"/>
    </w:rPr>
  </w:style>
  <w:style w:type="paragraph" w:customStyle="1" w:styleId="71">
    <w:name w:val="Char Char51"/>
    <w:basedOn w:val="1"/>
    <w:qFormat/>
    <w:uiPriority w:val="0"/>
  </w:style>
  <w:style w:type="paragraph" w:customStyle="1" w:styleId="72">
    <w:name w:val="小点说明"/>
    <w:basedOn w:val="1"/>
    <w:qFormat/>
    <w:uiPriority w:val="0"/>
    <w:pPr>
      <w:adjustRightInd w:val="0"/>
      <w:snapToGrid w:val="0"/>
    </w:pPr>
    <w:rPr>
      <w:rFonts w:ascii="仿宋_GB2312" w:eastAsia="仿宋_GB2312"/>
      <w:color w:val="000000"/>
      <w:szCs w:val="18"/>
    </w:rPr>
  </w:style>
  <w:style w:type="paragraph" w:customStyle="1" w:styleId="73">
    <w:name w:val="Char Char5"/>
    <w:basedOn w:val="1"/>
    <w:qFormat/>
    <w:uiPriority w:val="0"/>
  </w:style>
  <w:style w:type="paragraph" w:customStyle="1" w:styleId="74">
    <w:name w:val="Char Char1 Char Char Char Char1 Char Char Char"/>
    <w:basedOn w:val="1"/>
    <w:qFormat/>
    <w:uiPriority w:val="0"/>
    <w:pPr>
      <w:adjustRightInd w:val="0"/>
      <w:spacing w:line="360" w:lineRule="atLeast"/>
      <w:textAlignment w:val="baseline"/>
    </w:pPr>
    <w:rPr>
      <w:rFonts w:ascii="Tahoma" w:hAnsi="Tahoma"/>
      <w:sz w:val="24"/>
    </w:rPr>
  </w:style>
  <w:style w:type="paragraph" w:customStyle="1" w:styleId="75">
    <w:name w:val="Table Text"/>
    <w:basedOn w:val="1"/>
    <w:qFormat/>
    <w:uiPriority w:val="0"/>
    <w:rPr>
      <w:sz w:val="18"/>
      <w:szCs w:val="24"/>
    </w:rPr>
  </w:style>
  <w:style w:type="paragraph" w:customStyle="1" w:styleId="76">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77">
    <w:name w:val="xl123"/>
    <w:basedOn w:val="1"/>
    <w:qFormat/>
    <w:uiPriority w:val="0"/>
    <w:pPr>
      <w:widowControl/>
      <w:spacing w:before="100" w:beforeAutospacing="1" w:after="100" w:afterAutospacing="1"/>
      <w:jc w:val="left"/>
      <w:textAlignment w:val="bottom"/>
    </w:pPr>
    <w:rPr>
      <w:rFonts w:ascii="宋体" w:hAnsi="宋体" w:cs="宋体"/>
      <w:kern w:val="0"/>
      <w:sz w:val="24"/>
      <w:szCs w:val="24"/>
    </w:rPr>
  </w:style>
  <w:style w:type="paragraph" w:customStyle="1" w:styleId="78">
    <w:name w:val="mod_selection1"/>
    <w:basedOn w:val="1"/>
    <w:qFormat/>
    <w:uiPriority w:val="0"/>
    <w:pPr>
      <w:widowControl/>
      <w:ind w:left="75"/>
      <w:jc w:val="left"/>
    </w:pPr>
    <w:rPr>
      <w:rFonts w:ascii="Arial" w:hAnsi="Arial" w:cs="Arial"/>
      <w:b/>
      <w:bCs/>
      <w:kern w:val="0"/>
      <w:sz w:val="20"/>
    </w:rPr>
  </w:style>
  <w:style w:type="paragraph" w:customStyle="1" w:styleId="79">
    <w:name w:val="xl141"/>
    <w:basedOn w:val="1"/>
    <w:qFormat/>
    <w:uiPriority w:val="0"/>
    <w:pPr>
      <w:widowControl/>
      <w:spacing w:before="100" w:beforeAutospacing="1" w:after="100" w:afterAutospacing="1"/>
      <w:jc w:val="center"/>
    </w:pPr>
    <w:rPr>
      <w:rFonts w:ascii="宋体" w:hAnsi="宋体" w:cs="宋体"/>
      <w:b/>
      <w:bCs/>
      <w:kern w:val="0"/>
      <w:sz w:val="32"/>
      <w:szCs w:val="32"/>
    </w:rPr>
  </w:style>
  <w:style w:type="paragraph" w:customStyle="1" w:styleId="80">
    <w:name w:val="Char Char Char Char Char Char Char Char Char1 Char11"/>
    <w:basedOn w:val="1"/>
    <w:qFormat/>
    <w:uiPriority w:val="0"/>
    <w:rPr>
      <w:rFonts w:ascii="仿宋_GB2312" w:eastAsia="仿宋_GB2312"/>
      <w:b/>
      <w:sz w:val="32"/>
      <w:szCs w:val="32"/>
    </w:rPr>
  </w:style>
  <w:style w:type="paragraph" w:customStyle="1" w:styleId="81">
    <w:name w:val="金保标题2"/>
    <w:basedOn w:val="5"/>
    <w:next w:val="1"/>
    <w:link w:val="133"/>
    <w:qFormat/>
    <w:uiPriority w:val="0"/>
    <w:pPr>
      <w:widowControl w:val="0"/>
      <w:spacing w:before="260" w:after="260"/>
      <w:ind w:left="576" w:hanging="576"/>
      <w:jc w:val="both"/>
    </w:pPr>
    <w:rPr>
      <w:b/>
      <w:bCs/>
      <w:kern w:val="2"/>
      <w:sz w:val="28"/>
      <w:szCs w:val="28"/>
    </w:rPr>
  </w:style>
  <w:style w:type="paragraph" w:customStyle="1" w:styleId="82">
    <w:name w:val="xl124"/>
    <w:basedOn w:val="1"/>
    <w:qFormat/>
    <w:uiPriority w:val="0"/>
    <w:pPr>
      <w:widowControl/>
      <w:spacing w:before="100" w:beforeAutospacing="1" w:after="100" w:afterAutospacing="1"/>
      <w:jc w:val="center"/>
    </w:pPr>
    <w:rPr>
      <w:rFonts w:ascii="宋体" w:hAnsi="宋体" w:cs="宋体"/>
      <w:kern w:val="0"/>
      <w:sz w:val="20"/>
    </w:rPr>
  </w:style>
  <w:style w:type="paragraph" w:customStyle="1" w:styleId="83">
    <w:name w:val="Char Char Char Char Char Char Char Char Char Char"/>
    <w:basedOn w:val="15"/>
    <w:qFormat/>
    <w:uiPriority w:val="0"/>
    <w:pPr>
      <w:widowControl w:val="0"/>
      <w:shd w:val="clear" w:color="auto" w:fill="000080"/>
      <w:adjustRightInd/>
      <w:snapToGrid/>
      <w:spacing w:after="0"/>
      <w:jc w:val="both"/>
    </w:pPr>
    <w:rPr>
      <w:rFonts w:ascii="Times New Roman" w:hAnsi="Times New Roman"/>
      <w:kern w:val="2"/>
      <w:sz w:val="21"/>
      <w:szCs w:val="24"/>
    </w:rPr>
  </w:style>
  <w:style w:type="paragraph" w:customStyle="1" w:styleId="84">
    <w:name w:val="Char Char Char Char1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85">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86">
    <w:name w:val="表格标题"/>
    <w:basedOn w:val="1"/>
    <w:qFormat/>
    <w:uiPriority w:val="0"/>
    <w:pPr>
      <w:jc w:val="center"/>
    </w:pPr>
    <w:rPr>
      <w:b/>
      <w:szCs w:val="24"/>
    </w:rPr>
  </w:style>
  <w:style w:type="paragraph" w:customStyle="1" w:styleId="87">
    <w:name w:val="a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8">
    <w:name w:val="xl125"/>
    <w:basedOn w:val="1"/>
    <w:qFormat/>
    <w:uiPriority w:val="0"/>
    <w:pPr>
      <w:widowControl/>
      <w:spacing w:before="100" w:beforeAutospacing="1" w:after="100" w:afterAutospacing="1"/>
      <w:jc w:val="center"/>
    </w:pPr>
    <w:rPr>
      <w:rFonts w:ascii="宋体" w:hAnsi="宋体" w:cs="宋体"/>
      <w:b/>
      <w:bCs/>
      <w:kern w:val="0"/>
      <w:sz w:val="20"/>
    </w:rPr>
  </w:style>
  <w:style w:type="paragraph" w:customStyle="1" w:styleId="89">
    <w:name w:val="Char1 Char Char Char"/>
    <w:basedOn w:val="1"/>
    <w:qFormat/>
    <w:uiPriority w:val="0"/>
    <w:pPr>
      <w:widowControl/>
      <w:snapToGrid w:val="0"/>
      <w:spacing w:before="120" w:after="160" w:line="360" w:lineRule="auto"/>
      <w:ind w:right="-360"/>
      <w:jc w:val="left"/>
    </w:pPr>
    <w:rPr>
      <w:rFonts w:ascii="Arial" w:hAnsi="Arial"/>
      <w:kern w:val="0"/>
      <w:sz w:val="24"/>
      <w:szCs w:val="24"/>
      <w:lang w:eastAsia="en-US"/>
    </w:rPr>
  </w:style>
  <w:style w:type="paragraph" w:customStyle="1" w:styleId="90">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91">
    <w:name w:val="正文内容"/>
    <w:basedOn w:val="1"/>
    <w:qFormat/>
    <w:uiPriority w:val="0"/>
    <w:pPr>
      <w:snapToGrid w:val="0"/>
      <w:spacing w:line="500" w:lineRule="exact"/>
      <w:ind w:firstLine="200"/>
    </w:pPr>
    <w:rPr>
      <w:sz w:val="24"/>
    </w:rPr>
  </w:style>
  <w:style w:type="paragraph" w:customStyle="1" w:styleId="92">
    <w:name w:val="Char Char"/>
    <w:basedOn w:val="1"/>
    <w:qFormat/>
    <w:uiPriority w:val="0"/>
    <w:rPr>
      <w:rFonts w:ascii="仿宋_GB2312" w:eastAsia="仿宋_GB2312"/>
      <w:b/>
      <w:sz w:val="32"/>
      <w:szCs w:val="32"/>
    </w:rPr>
  </w:style>
  <w:style w:type="paragraph" w:customStyle="1" w:styleId="93">
    <w:name w:val="0我的样式 纯文本 + Times New Roman 13 磅 左 行距: 固定值 26 磅 首行缩进:  2 字符"/>
    <w:basedOn w:val="24"/>
    <w:qFormat/>
    <w:uiPriority w:val="0"/>
    <w:pPr>
      <w:spacing w:line="520" w:lineRule="exact"/>
      <w:ind w:firstLine="520" w:firstLineChars="200"/>
    </w:pPr>
    <w:rPr>
      <w:rFonts w:ascii="Times New Roman" w:hAnsi="Times New Roman" w:cs="宋体"/>
      <w:sz w:val="26"/>
    </w:rPr>
  </w:style>
  <w:style w:type="paragraph" w:customStyle="1" w:styleId="94">
    <w:name w:val="Char Char9"/>
    <w:basedOn w:val="1"/>
    <w:qFormat/>
    <w:uiPriority w:val="0"/>
    <w:rPr>
      <w:rFonts w:ascii="宋体" w:hAnsi="宋体" w:cs="宋体"/>
      <w:b/>
      <w:bCs/>
      <w:color w:val="000000"/>
      <w:sz w:val="22"/>
      <w:szCs w:val="22"/>
    </w:rPr>
  </w:style>
  <w:style w:type="paragraph" w:customStyle="1" w:styleId="95">
    <w:name w:val="Char1 Char Char Char Char Char Char"/>
    <w:basedOn w:val="1"/>
    <w:qFormat/>
    <w:uiPriority w:val="0"/>
    <w:rPr>
      <w:rFonts w:ascii="Tahoma" w:hAnsi="Tahoma"/>
      <w:sz w:val="24"/>
    </w:rPr>
  </w:style>
  <w:style w:type="paragraph" w:customStyle="1" w:styleId="96">
    <w:name w:val="Char1"/>
    <w:basedOn w:val="1"/>
    <w:qFormat/>
    <w:uiPriority w:val="0"/>
    <w:pPr>
      <w:widowControl/>
      <w:spacing w:after="160" w:line="240" w:lineRule="exact"/>
      <w:jc w:val="left"/>
    </w:pPr>
    <w:rPr>
      <w:rFonts w:ascii="Verdana" w:hAnsi="Verdana"/>
      <w:kern w:val="0"/>
      <w:lang w:eastAsia="en-US"/>
    </w:rPr>
  </w:style>
  <w:style w:type="paragraph" w:customStyle="1" w:styleId="97">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rPr>
  </w:style>
  <w:style w:type="paragraph" w:customStyle="1" w:styleId="98">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styleId="99">
    <w:name w:val="List Paragraph"/>
    <w:basedOn w:val="1"/>
    <w:link w:val="146"/>
    <w:qFormat/>
    <w:uiPriority w:val="0"/>
    <w:pPr>
      <w:ind w:firstLine="420" w:firstLineChars="200"/>
    </w:pPr>
    <w:rPr>
      <w:rFonts w:ascii="Calibri" w:hAnsi="Calibri"/>
      <w:szCs w:val="22"/>
    </w:rPr>
  </w:style>
  <w:style w:type="paragraph" w:customStyle="1" w:styleId="100">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101">
    <w:name w:val="Char Char Char"/>
    <w:basedOn w:val="1"/>
    <w:qFormat/>
    <w:uiPriority w:val="0"/>
    <w:rPr>
      <w:szCs w:val="24"/>
    </w:rPr>
  </w:style>
  <w:style w:type="paragraph" w:customStyle="1" w:styleId="102">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kern w:val="0"/>
      <w:sz w:val="28"/>
    </w:rPr>
  </w:style>
  <w:style w:type="paragraph" w:customStyle="1" w:styleId="103">
    <w:name w:val="Char Char5 Char"/>
    <w:basedOn w:val="15"/>
    <w:qFormat/>
    <w:uiPriority w:val="0"/>
    <w:pPr>
      <w:widowControl w:val="0"/>
      <w:shd w:val="clear" w:color="auto" w:fill="000080"/>
      <w:adjustRightInd/>
      <w:snapToGrid/>
      <w:spacing w:after="0"/>
      <w:jc w:val="both"/>
    </w:pPr>
    <w:rPr>
      <w:rFonts w:ascii="Tahoma"/>
      <w:kern w:val="2"/>
      <w:sz w:val="24"/>
      <w:szCs w:val="24"/>
    </w:rPr>
  </w:style>
  <w:style w:type="paragraph" w:customStyle="1" w:styleId="104">
    <w:name w:val="xl1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rPr>
  </w:style>
  <w:style w:type="paragraph" w:customStyle="1" w:styleId="105">
    <w:name w:val="Body Text(ch)"/>
    <w:basedOn w:val="1"/>
    <w:next w:val="18"/>
    <w:qFormat/>
    <w:uiPriority w:val="0"/>
    <w:pPr>
      <w:spacing w:line="500" w:lineRule="exact"/>
      <w:jc w:val="center"/>
    </w:pPr>
    <w:rPr>
      <w:szCs w:val="24"/>
    </w:rPr>
  </w:style>
  <w:style w:type="paragraph" w:customStyle="1" w:styleId="106">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07">
    <w:name w:val="Char Char1 Char Char Char Char Char Char"/>
    <w:basedOn w:val="1"/>
    <w:qFormat/>
    <w:uiPriority w:val="0"/>
    <w:pPr>
      <w:widowControl/>
      <w:jc w:val="left"/>
    </w:pPr>
    <w:rPr>
      <w:rFonts w:ascii="Verdana" w:hAnsi="Verdana" w:eastAsia="仿宋_GB2312"/>
      <w:kern w:val="0"/>
      <w:sz w:val="28"/>
      <w:lang w:eastAsia="en-US"/>
    </w:rPr>
  </w:style>
  <w:style w:type="paragraph" w:customStyle="1" w:styleId="108">
    <w:name w:val="Char1 Char Char Char1"/>
    <w:basedOn w:val="1"/>
    <w:qFormat/>
    <w:uiPriority w:val="0"/>
    <w:rPr>
      <w:rFonts w:ascii="Tahoma" w:hAnsi="Tahoma"/>
      <w:sz w:val="24"/>
    </w:rPr>
  </w:style>
  <w:style w:type="paragraph" w:customStyle="1" w:styleId="109">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10">
    <w:name w:val="DB4CB73DC6DE4D1C91CC9795A5C1FE49"/>
    <w:qFormat/>
    <w:uiPriority w:val="0"/>
    <w:pPr>
      <w:spacing w:after="200" w:line="276" w:lineRule="auto"/>
    </w:pPr>
    <w:rPr>
      <w:rFonts w:ascii="Calibri" w:hAnsi="Calibri" w:eastAsia="宋体" w:cs="Times New Roman"/>
      <w:sz w:val="22"/>
      <w:szCs w:val="22"/>
      <w:lang w:val="en-US" w:eastAsia="en-US" w:bidi="ar-SA"/>
    </w:rPr>
  </w:style>
  <w:style w:type="paragraph" w:customStyle="1" w:styleId="111">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2">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13">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14">
    <w:name w:val="Char Char Char Char Char Char Char Char Char Char Char Char Char"/>
    <w:basedOn w:val="1"/>
    <w:qFormat/>
    <w:uiPriority w:val="0"/>
    <w:rPr>
      <w:rFonts w:ascii="Tahoma" w:hAnsi="Tahoma"/>
      <w:sz w:val="24"/>
    </w:rPr>
  </w:style>
  <w:style w:type="paragraph" w:customStyle="1" w:styleId="115">
    <w:name w:val="Char Char7 Char"/>
    <w:basedOn w:val="1"/>
    <w:qFormat/>
    <w:uiPriority w:val="0"/>
    <w:pPr>
      <w:tabs>
        <w:tab w:val="left" w:pos="425"/>
      </w:tabs>
      <w:ind w:left="420" w:leftChars="200" w:firstLine="270" w:firstLineChars="150"/>
    </w:pPr>
    <w:rPr>
      <w:rFonts w:ascii="宋体" w:hAnsi="宋体" w:cs="Arial"/>
      <w:color w:val="5E5E5E"/>
      <w:kern w:val="0"/>
      <w:szCs w:val="21"/>
    </w:rPr>
  </w:style>
  <w:style w:type="paragraph" w:customStyle="1" w:styleId="116">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117">
    <w:name w:val="xl13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8">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rPr>
  </w:style>
  <w:style w:type="paragraph" w:customStyle="1" w:styleId="119">
    <w:name w:val="itemli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0">
    <w:name w:val="Char Char Char Char Char Char Char"/>
    <w:basedOn w:val="1"/>
    <w:qFormat/>
    <w:uiPriority w:val="0"/>
    <w:rPr>
      <w:rFonts w:ascii="仿宋_GB2312" w:eastAsia="仿宋_GB2312"/>
      <w:b/>
      <w:sz w:val="32"/>
      <w:szCs w:val="32"/>
    </w:rPr>
  </w:style>
  <w:style w:type="paragraph" w:customStyle="1" w:styleId="121">
    <w:name w:val="段"/>
    <w:link w:val="15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lang w:val="en-US" w:eastAsia="zh-CN" w:bidi="ar-SA"/>
    </w:rPr>
  </w:style>
  <w:style w:type="paragraph" w:customStyle="1" w:styleId="122">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123">
    <w:name w:val="表内文字"/>
    <w:basedOn w:val="1"/>
    <w:qFormat/>
    <w:uiPriority w:val="0"/>
    <w:pPr>
      <w:spacing w:line="500" w:lineRule="atLeast"/>
      <w:jc w:val="center"/>
    </w:pPr>
    <w:rPr>
      <w:rFonts w:ascii="Arial" w:hAnsi="Arial" w:eastAsia="楷体_GB2312" w:cs="Arial"/>
      <w:sz w:val="28"/>
      <w:szCs w:val="24"/>
    </w:rPr>
  </w:style>
  <w:style w:type="paragraph" w:customStyle="1" w:styleId="124">
    <w:name w:val="tabletext"/>
    <w:basedOn w:val="1"/>
    <w:qFormat/>
    <w:uiPriority w:val="0"/>
    <w:pPr>
      <w:widowControl/>
      <w:snapToGrid w:val="0"/>
      <w:spacing w:before="80" w:after="80"/>
      <w:jc w:val="left"/>
    </w:pPr>
    <w:rPr>
      <w:rFonts w:ascii="Arial" w:hAnsi="Arial" w:cs="Arial"/>
      <w:kern w:val="0"/>
      <w:sz w:val="18"/>
      <w:szCs w:val="18"/>
    </w:rPr>
  </w:style>
  <w:style w:type="paragraph" w:customStyle="1" w:styleId="125">
    <w:name w:val="正文1"/>
    <w:qFormat/>
    <w:uiPriority w:val="0"/>
    <w:pPr>
      <w:jc w:val="both"/>
    </w:pPr>
    <w:rPr>
      <w:rFonts w:ascii="Calibri" w:hAnsi="Calibri" w:eastAsia="宋体" w:cs="宋体"/>
      <w:kern w:val="2"/>
      <w:sz w:val="21"/>
      <w:szCs w:val="21"/>
      <w:lang w:val="en-US" w:eastAsia="zh-CN" w:bidi="ar-SA"/>
    </w:rPr>
  </w:style>
  <w:style w:type="paragraph" w:customStyle="1" w:styleId="126">
    <w:name w:val="Table Description"/>
    <w:basedOn w:val="1"/>
    <w:qFormat/>
    <w:uiPriority w:val="0"/>
    <w:pPr>
      <w:ind w:left="1701"/>
    </w:pPr>
  </w:style>
  <w:style w:type="paragraph" w:customStyle="1" w:styleId="127">
    <w:name w:val="说正文文字"/>
    <w:basedOn w:val="18"/>
    <w:qFormat/>
    <w:uiPriority w:val="0"/>
    <w:pPr>
      <w:widowControl/>
      <w:spacing w:after="0" w:line="360" w:lineRule="auto"/>
      <w:ind w:left="320" w:leftChars="200" w:firstLine="460" w:firstLineChars="200"/>
    </w:pPr>
    <w:rPr>
      <w:rFonts w:ascii="宋体" w:hAnsi="宋体"/>
      <w:spacing w:val="-5"/>
      <w:kern w:val="0"/>
      <w:sz w:val="24"/>
      <w:szCs w:val="24"/>
    </w:rPr>
  </w:style>
  <w:style w:type="paragraph" w:customStyle="1" w:styleId="128">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29">
    <w:name w:val="xl143"/>
    <w:basedOn w:val="1"/>
    <w:qFormat/>
    <w:uiPriority w:val="0"/>
    <w:pPr>
      <w:widowControl/>
      <w:spacing w:before="100" w:beforeAutospacing="1" w:after="100" w:afterAutospacing="1"/>
      <w:jc w:val="center"/>
    </w:pPr>
    <w:rPr>
      <w:rFonts w:ascii="宋体" w:hAnsi="宋体" w:cs="宋体"/>
      <w:kern w:val="0"/>
      <w:sz w:val="32"/>
      <w:szCs w:val="32"/>
    </w:rPr>
  </w:style>
  <w:style w:type="paragraph" w:customStyle="1" w:styleId="130">
    <w:name w:val="Char Char Char Char Char Char Char Char Char1 Char1"/>
    <w:basedOn w:val="1"/>
    <w:qFormat/>
    <w:uiPriority w:val="0"/>
  </w:style>
  <w:style w:type="character" w:customStyle="1" w:styleId="131">
    <w:name w:val="页眉 Char"/>
    <w:link w:val="29"/>
    <w:qFormat/>
    <w:uiPriority w:val="99"/>
    <w:rPr>
      <w:kern w:val="2"/>
      <w:sz w:val="18"/>
      <w:szCs w:val="18"/>
    </w:rPr>
  </w:style>
  <w:style w:type="character" w:customStyle="1" w:styleId="132">
    <w:name w:val="标题 6 Char"/>
    <w:link w:val="9"/>
    <w:qFormat/>
    <w:uiPriority w:val="9"/>
    <w:rPr>
      <w:rFonts w:ascii="Arial" w:hAnsi="Arial" w:eastAsia="黑体"/>
      <w:b/>
      <w:kern w:val="2"/>
      <w:sz w:val="24"/>
    </w:rPr>
  </w:style>
  <w:style w:type="character" w:customStyle="1" w:styleId="133">
    <w:name w:val="金保标题2 Char"/>
    <w:basedOn w:val="40"/>
    <w:link w:val="81"/>
    <w:qFormat/>
    <w:uiPriority w:val="0"/>
    <w:rPr>
      <w:rFonts w:eastAsia="黑体"/>
      <w:b/>
      <w:bCs/>
      <w:kern w:val="2"/>
      <w:sz w:val="28"/>
      <w:szCs w:val="28"/>
    </w:rPr>
  </w:style>
  <w:style w:type="character" w:customStyle="1" w:styleId="134">
    <w:name w:val="正文文本 Char"/>
    <w:link w:val="18"/>
    <w:semiHidden/>
    <w:qFormat/>
    <w:uiPriority w:val="0"/>
    <w:rPr>
      <w:kern w:val="2"/>
      <w:sz w:val="21"/>
    </w:rPr>
  </w:style>
  <w:style w:type="character" w:customStyle="1" w:styleId="135">
    <w:name w:val="12blk1"/>
    <w:qFormat/>
    <w:uiPriority w:val="0"/>
    <w:rPr>
      <w:rFonts w:hint="default" w:ascii="_x000B__x000C_" w:hAnsi="_x000B__x000C_"/>
      <w:color w:val="000000"/>
      <w:sz w:val="24"/>
      <w:szCs w:val="24"/>
      <w:u w:val="none"/>
    </w:rPr>
  </w:style>
  <w:style w:type="character" w:customStyle="1" w:styleId="136">
    <w:name w:val="纯文本 Char"/>
    <w:link w:val="24"/>
    <w:qFormat/>
    <w:uiPriority w:val="0"/>
    <w:rPr>
      <w:rFonts w:ascii="宋体" w:hAnsi="Courier New"/>
      <w:kern w:val="2"/>
      <w:sz w:val="21"/>
    </w:rPr>
  </w:style>
  <w:style w:type="character" w:customStyle="1" w:styleId="137">
    <w:name w:val="mark11"/>
    <w:basedOn w:val="40"/>
    <w:qFormat/>
    <w:uiPriority w:val="0"/>
  </w:style>
  <w:style w:type="character" w:customStyle="1" w:styleId="138">
    <w:name w:val="b titlename wangputoptitle"/>
    <w:basedOn w:val="40"/>
    <w:qFormat/>
    <w:uiPriority w:val="0"/>
  </w:style>
  <w:style w:type="character" w:customStyle="1" w:styleId="139">
    <w:name w:val="日期 Char"/>
    <w:link w:val="25"/>
    <w:qFormat/>
    <w:uiPriority w:val="0"/>
    <w:rPr>
      <w:color w:val="000000"/>
      <w:kern w:val="2"/>
      <w:sz w:val="24"/>
      <w:szCs w:val="24"/>
    </w:rPr>
  </w:style>
  <w:style w:type="character" w:customStyle="1" w:styleId="140">
    <w:name w:val="标题 Char"/>
    <w:link w:val="36"/>
    <w:qFormat/>
    <w:uiPriority w:val="10"/>
    <w:rPr>
      <w:rFonts w:ascii="Arial" w:hAnsi="Arial" w:eastAsia="宋体" w:cs="Arial"/>
      <w:b/>
      <w:bCs/>
      <w:kern w:val="2"/>
      <w:sz w:val="28"/>
      <w:szCs w:val="32"/>
      <w:lang w:val="en-US" w:eastAsia="zh-CN" w:bidi="ar-SA"/>
    </w:rPr>
  </w:style>
  <w:style w:type="character" w:customStyle="1" w:styleId="141">
    <w:name w:val="Char Char Char1"/>
    <w:qFormat/>
    <w:uiPriority w:val="0"/>
    <w:rPr>
      <w:rFonts w:ascii="宋体" w:hAnsi="Courier New" w:eastAsia="宋体"/>
      <w:kern w:val="2"/>
      <w:sz w:val="21"/>
      <w:lang w:val="en-US" w:eastAsia="zh-CN" w:bidi="ar-SA"/>
    </w:rPr>
  </w:style>
  <w:style w:type="character" w:customStyle="1" w:styleId="142">
    <w:name w:val="unnamed51"/>
    <w:qFormat/>
    <w:uiPriority w:val="0"/>
    <w:rPr>
      <w:sz w:val="22"/>
      <w:szCs w:val="22"/>
    </w:rPr>
  </w:style>
  <w:style w:type="character" w:customStyle="1" w:styleId="143">
    <w:name w:val="标题 2 Char"/>
    <w:link w:val="5"/>
    <w:qFormat/>
    <w:uiPriority w:val="9"/>
    <w:rPr>
      <w:rFonts w:eastAsia="黑体"/>
      <w:sz w:val="30"/>
      <w:lang w:val="en-US" w:eastAsia="zh-CN" w:bidi="ar-SA"/>
    </w:rPr>
  </w:style>
  <w:style w:type="character" w:customStyle="1" w:styleId="144">
    <w:name w:val="普通文字 Char Char2"/>
    <w:basedOn w:val="40"/>
    <w:qFormat/>
    <w:uiPriority w:val="0"/>
    <w:rPr>
      <w:rFonts w:ascii="宋体" w:hAnsi="Courier New" w:eastAsia="宋体"/>
      <w:kern w:val="2"/>
      <w:sz w:val="21"/>
      <w:lang w:val="en-US" w:eastAsia="zh-CN" w:bidi="ar-SA"/>
    </w:rPr>
  </w:style>
  <w:style w:type="character" w:customStyle="1" w:styleId="145">
    <w:name w:val="hang1"/>
    <w:basedOn w:val="40"/>
    <w:qFormat/>
    <w:uiPriority w:val="0"/>
  </w:style>
  <w:style w:type="character" w:customStyle="1" w:styleId="146">
    <w:name w:val="列出段落 Char"/>
    <w:link w:val="99"/>
    <w:qFormat/>
    <w:uiPriority w:val="0"/>
    <w:rPr>
      <w:rFonts w:ascii="Calibri" w:hAnsi="Calibri"/>
      <w:kern w:val="2"/>
      <w:sz w:val="21"/>
      <w:szCs w:val="22"/>
    </w:rPr>
  </w:style>
  <w:style w:type="character" w:customStyle="1" w:styleId="147">
    <w:name w:val="标题 3 Char"/>
    <w:link w:val="6"/>
    <w:qFormat/>
    <w:uiPriority w:val="99"/>
    <w:rPr>
      <w:rFonts w:eastAsia="黑体"/>
      <w:kern w:val="2"/>
      <w:sz w:val="28"/>
      <w:lang w:val="en-US" w:eastAsia="zh-CN" w:bidi="ar-SA"/>
    </w:rPr>
  </w:style>
  <w:style w:type="character" w:customStyle="1" w:styleId="148">
    <w:name w:val="批注文字 Char"/>
    <w:basedOn w:val="40"/>
    <w:link w:val="17"/>
    <w:qFormat/>
    <w:uiPriority w:val="0"/>
    <w:rPr>
      <w:rFonts w:ascii="Tahoma" w:hAnsi="Tahoma" w:eastAsia="微软雅黑"/>
      <w:sz w:val="22"/>
      <w:szCs w:val="22"/>
    </w:rPr>
  </w:style>
  <w:style w:type="character" w:customStyle="1" w:styleId="149">
    <w:name w:val="content1"/>
    <w:basedOn w:val="40"/>
    <w:qFormat/>
    <w:uiPriority w:val="0"/>
    <w:rPr>
      <w:rFonts w:hint="default" w:ascii="ˎ̥" w:hAnsi="ˎ̥"/>
      <w:color w:val="000000"/>
      <w:sz w:val="22"/>
      <w:szCs w:val="22"/>
      <w:u w:val="none"/>
    </w:rPr>
  </w:style>
  <w:style w:type="character" w:customStyle="1" w:styleId="150">
    <w:name w:val="正文文本缩进 2 Char1"/>
    <w:semiHidden/>
    <w:qFormat/>
    <w:uiPriority w:val="99"/>
    <w:rPr>
      <w:kern w:val="2"/>
      <w:sz w:val="21"/>
    </w:rPr>
  </w:style>
  <w:style w:type="character" w:customStyle="1" w:styleId="151">
    <w:name w:val="wj1"/>
    <w:qFormat/>
    <w:uiPriority w:val="0"/>
    <w:rPr>
      <w:color w:val="000000"/>
      <w:sz w:val="18"/>
      <w:szCs w:val="18"/>
      <w:u w:val="none"/>
    </w:rPr>
  </w:style>
  <w:style w:type="character" w:customStyle="1" w:styleId="152">
    <w:name w:val="标题 4 Char"/>
    <w:link w:val="7"/>
    <w:qFormat/>
    <w:uiPriority w:val="99"/>
    <w:rPr>
      <w:rFonts w:ascii="Arial" w:hAnsi="Arial" w:eastAsia="黑体"/>
      <w:kern w:val="2"/>
      <w:sz w:val="24"/>
    </w:rPr>
  </w:style>
  <w:style w:type="character" w:customStyle="1" w:styleId="153">
    <w:name w:val="段 Char"/>
    <w:link w:val="121"/>
    <w:qFormat/>
    <w:uiPriority w:val="0"/>
    <w:rPr>
      <w:rFonts w:ascii="宋体"/>
      <w:lang w:val="en-US" w:eastAsia="zh-CN" w:bidi="ar-SA"/>
    </w:rPr>
  </w:style>
  <w:style w:type="character" w:customStyle="1" w:styleId="154">
    <w:name w:val="font3"/>
    <w:basedOn w:val="40"/>
    <w:qFormat/>
    <w:uiPriority w:val="0"/>
  </w:style>
  <w:style w:type="character" w:customStyle="1" w:styleId="155">
    <w:name w:val="标题 8 Char"/>
    <w:link w:val="12"/>
    <w:qFormat/>
    <w:uiPriority w:val="0"/>
    <w:rPr>
      <w:rFonts w:ascii="Arial" w:hAnsi="Arial" w:eastAsia="黑体"/>
      <w:kern w:val="2"/>
      <w:sz w:val="24"/>
    </w:rPr>
  </w:style>
  <w:style w:type="character" w:customStyle="1" w:styleId="156">
    <w:name w:val="第一层条 Char Char"/>
    <w:basedOn w:val="40"/>
    <w:qFormat/>
    <w:uiPriority w:val="0"/>
    <w:rPr>
      <w:rFonts w:ascii="Arial" w:hAnsi="Arial" w:eastAsia="黑体"/>
      <w:b/>
      <w:bCs/>
      <w:kern w:val="2"/>
      <w:sz w:val="32"/>
      <w:szCs w:val="32"/>
    </w:rPr>
  </w:style>
  <w:style w:type="character" w:customStyle="1" w:styleId="157">
    <w:name w:val="文档结构图 Char"/>
    <w:link w:val="15"/>
    <w:semiHidden/>
    <w:qFormat/>
    <w:uiPriority w:val="99"/>
    <w:rPr>
      <w:rFonts w:ascii="宋体" w:hAnsi="Tahoma"/>
      <w:sz w:val="18"/>
      <w:szCs w:val="18"/>
    </w:rPr>
  </w:style>
  <w:style w:type="character" w:customStyle="1" w:styleId="158">
    <w:name w:val="页脚 Char"/>
    <w:link w:val="28"/>
    <w:qFormat/>
    <w:uiPriority w:val="99"/>
    <w:rPr>
      <w:kern w:val="2"/>
      <w:sz w:val="18"/>
      <w:szCs w:val="18"/>
    </w:rPr>
  </w:style>
  <w:style w:type="character" w:customStyle="1" w:styleId="159">
    <w:name w:val="普通文字 Char Char1"/>
    <w:qFormat/>
    <w:uiPriority w:val="0"/>
    <w:rPr>
      <w:rFonts w:ascii="宋体" w:hAnsi="Courier New" w:eastAsia="宋体"/>
      <w:kern w:val="2"/>
      <w:sz w:val="21"/>
      <w:lang w:val="en-US" w:eastAsia="zh-CN" w:bidi="ar-SA"/>
    </w:rPr>
  </w:style>
  <w:style w:type="character" w:customStyle="1" w:styleId="160">
    <w:name w:val="Footer1 Char"/>
    <w:basedOn w:val="40"/>
    <w:qFormat/>
    <w:uiPriority w:val="0"/>
    <w:rPr>
      <w:rFonts w:eastAsia="宋体"/>
      <w:kern w:val="2"/>
      <w:sz w:val="18"/>
      <w:szCs w:val="18"/>
      <w:lang w:val="en-US" w:eastAsia="zh-CN" w:bidi="ar-SA"/>
    </w:rPr>
  </w:style>
  <w:style w:type="character" w:customStyle="1" w:styleId="161">
    <w:name w:val="正文缩进 Char"/>
    <w:link w:val="10"/>
    <w:qFormat/>
    <w:uiPriority w:val="0"/>
    <w:rPr>
      <w:kern w:val="2"/>
      <w:sz w:val="21"/>
    </w:rPr>
  </w:style>
  <w:style w:type="character" w:customStyle="1" w:styleId="162">
    <w:name w:val="style661"/>
    <w:qFormat/>
    <w:uiPriority w:val="0"/>
    <w:rPr>
      <w:color w:val="000000"/>
      <w:sz w:val="18"/>
      <w:szCs w:val="18"/>
    </w:rPr>
  </w:style>
  <w:style w:type="character" w:customStyle="1" w:styleId="163">
    <w:name w:val="纯文本 Char1"/>
    <w:qFormat/>
    <w:uiPriority w:val="0"/>
    <w:rPr>
      <w:rFonts w:ascii="宋体" w:hAnsi="Courier New" w:cs="Courier New"/>
      <w:kern w:val="2"/>
      <w:sz w:val="21"/>
      <w:szCs w:val="21"/>
    </w:rPr>
  </w:style>
  <w:style w:type="character" w:customStyle="1" w:styleId="164">
    <w:name w:val="副标题 Char"/>
    <w:link w:val="30"/>
    <w:qFormat/>
    <w:uiPriority w:val="11"/>
    <w:rPr>
      <w:rFonts w:ascii="Cambria" w:hAnsi="Cambria"/>
      <w:b/>
      <w:bCs/>
      <w:kern w:val="28"/>
      <w:sz w:val="32"/>
      <w:szCs w:val="32"/>
    </w:rPr>
  </w:style>
  <w:style w:type="character" w:customStyle="1" w:styleId="165">
    <w:name w:val="HTML 预设格式 Char"/>
    <w:basedOn w:val="40"/>
    <w:link w:val="34"/>
    <w:qFormat/>
    <w:uiPriority w:val="0"/>
    <w:rPr>
      <w:rFonts w:ascii="宋体" w:hAnsi="宋体" w:cs="宋体"/>
      <w:sz w:val="24"/>
      <w:szCs w:val="24"/>
    </w:rPr>
  </w:style>
  <w:style w:type="character" w:customStyle="1" w:styleId="166">
    <w:name w:val="apple-converted-space"/>
    <w:basedOn w:val="40"/>
    <w:qFormat/>
    <w:uiPriority w:val="0"/>
  </w:style>
  <w:style w:type="character" w:customStyle="1" w:styleId="167">
    <w:name w:val="正文文本缩进 Char"/>
    <w:basedOn w:val="40"/>
    <w:link w:val="21"/>
    <w:qFormat/>
    <w:uiPriority w:val="0"/>
    <w:rPr>
      <w:kern w:val="2"/>
      <w:sz w:val="21"/>
      <w:szCs w:val="24"/>
    </w:rPr>
  </w:style>
  <w:style w:type="character" w:customStyle="1" w:styleId="168">
    <w:name w:val="apple-style-span"/>
    <w:basedOn w:val="40"/>
    <w:qFormat/>
    <w:uiPriority w:val="0"/>
  </w:style>
  <w:style w:type="character" w:customStyle="1" w:styleId="169">
    <w:name w:val="Char Char6"/>
    <w:basedOn w:val="40"/>
    <w:qFormat/>
    <w:uiPriority w:val="0"/>
    <w:rPr>
      <w:rFonts w:eastAsia="宋体"/>
      <w:kern w:val="2"/>
      <w:sz w:val="18"/>
      <w:szCs w:val="18"/>
      <w:lang w:val="en-US" w:eastAsia="zh-CN" w:bidi="ar-SA"/>
    </w:rPr>
  </w:style>
  <w:style w:type="character" w:customStyle="1" w:styleId="170">
    <w:name w:val="正文文本 2 Char"/>
    <w:basedOn w:val="40"/>
    <w:link w:val="33"/>
    <w:qFormat/>
    <w:uiPriority w:val="0"/>
    <w:rPr>
      <w:kern w:val="2"/>
      <w:sz w:val="21"/>
      <w:szCs w:val="24"/>
    </w:rPr>
  </w:style>
  <w:style w:type="character" w:customStyle="1" w:styleId="171">
    <w:name w:val="标题 9 Char"/>
    <w:link w:val="13"/>
    <w:qFormat/>
    <w:uiPriority w:val="0"/>
    <w:rPr>
      <w:rFonts w:ascii="Arial" w:hAnsi="Arial" w:eastAsia="黑体"/>
      <w:kern w:val="2"/>
      <w:sz w:val="24"/>
    </w:rPr>
  </w:style>
  <w:style w:type="character" w:customStyle="1" w:styleId="172">
    <w:name w:val="普通文字 Char Char"/>
    <w:qFormat/>
    <w:uiPriority w:val="0"/>
    <w:rPr>
      <w:rFonts w:ascii="宋体" w:hAnsi="Courier New" w:eastAsia="宋体"/>
      <w:kern w:val="2"/>
      <w:sz w:val="21"/>
      <w:lang w:val="en-US" w:eastAsia="zh-CN" w:bidi="ar-SA"/>
    </w:rPr>
  </w:style>
  <w:style w:type="character" w:customStyle="1" w:styleId="173">
    <w:name w:val="标题 5 Char"/>
    <w:link w:val="8"/>
    <w:qFormat/>
    <w:uiPriority w:val="9"/>
    <w:rPr>
      <w:i/>
      <w:kern w:val="2"/>
      <w:sz w:val="24"/>
    </w:rPr>
  </w:style>
  <w:style w:type="character" w:customStyle="1" w:styleId="174">
    <w:name w:val="标题 1 Char"/>
    <w:link w:val="4"/>
    <w:qFormat/>
    <w:uiPriority w:val="99"/>
    <w:rPr>
      <w:rFonts w:ascii="黑体" w:eastAsia="黑体"/>
      <w:spacing w:val="24"/>
      <w:kern w:val="44"/>
      <w:sz w:val="32"/>
      <w:lang w:val="en-US" w:eastAsia="zh-CN"/>
    </w:rPr>
  </w:style>
  <w:style w:type="character" w:customStyle="1" w:styleId="175">
    <w:name w:val="style551"/>
    <w:qFormat/>
    <w:uiPriority w:val="0"/>
    <w:rPr>
      <w:rFonts w:hint="default" w:ascii="Arial" w:hAnsi="Arial" w:cs="Arial"/>
      <w:color w:val="333333"/>
      <w:sz w:val="24"/>
      <w:szCs w:val="24"/>
    </w:rPr>
  </w:style>
  <w:style w:type="character" w:customStyle="1" w:styleId="176">
    <w:name w:val="正文文本缩进 2 Char"/>
    <w:link w:val="26"/>
    <w:qFormat/>
    <w:uiPriority w:val="0"/>
    <w:rPr>
      <w:kern w:val="2"/>
      <w:sz w:val="21"/>
    </w:rPr>
  </w:style>
  <w:style w:type="character" w:customStyle="1" w:styleId="177">
    <w:name w:val="标题 7 Char"/>
    <w:link w:val="11"/>
    <w:qFormat/>
    <w:uiPriority w:val="0"/>
    <w:rPr>
      <w:b/>
      <w:kern w:val="2"/>
      <w:sz w:val="24"/>
    </w:rPr>
  </w:style>
  <w:style w:type="character" w:customStyle="1" w:styleId="178">
    <w:name w:val="批注框文本 Char"/>
    <w:basedOn w:val="40"/>
    <w:link w:val="27"/>
    <w:qFormat/>
    <w:uiPriority w:val="99"/>
    <w:rPr>
      <w:kern w:val="2"/>
      <w:sz w:val="18"/>
      <w:szCs w:val="18"/>
    </w:rPr>
  </w:style>
  <w:style w:type="character" w:customStyle="1" w:styleId="179">
    <w:name w:val="正文文本缩进 3 Char"/>
    <w:link w:val="32"/>
    <w:qFormat/>
    <w:uiPriority w:val="0"/>
    <w:rPr>
      <w:rFonts w:eastAsia="黑体"/>
      <w:color w:val="000000"/>
      <w:kern w:val="2"/>
      <w:sz w:val="24"/>
    </w:rPr>
  </w:style>
  <w:style w:type="character" w:customStyle="1" w:styleId="180">
    <w:name w:val="批注主题 Char"/>
    <w:basedOn w:val="148"/>
    <w:link w:val="37"/>
    <w:qFormat/>
    <w:uiPriority w:val="0"/>
    <w:rPr>
      <w:rFonts w:ascii="Tahoma" w:hAnsi="Tahoma" w:eastAsia="微软雅黑"/>
      <w:sz w:val="22"/>
      <w:szCs w:val="22"/>
    </w:rPr>
  </w:style>
  <w:style w:type="paragraph" w:customStyle="1" w:styleId="181">
    <w:name w:val="Table Paragraph"/>
    <w:basedOn w:val="1"/>
    <w:qFormat/>
    <w:uiPriority w:val="1"/>
    <w:pPr>
      <w:jc w:val="center"/>
    </w:pPr>
    <w:rPr>
      <w:rFonts w:ascii="宋体" w:hAnsi="宋体" w:cs="宋体"/>
      <w:lang w:val="zh-CN" w:bidi="zh-CN"/>
    </w:rPr>
  </w:style>
  <w:style w:type="paragraph" w:customStyle="1" w:styleId="182">
    <w:name w:val="WPSOffice手动目录 1"/>
    <w:qFormat/>
    <w:uiPriority w:val="0"/>
    <w:rPr>
      <w:rFonts w:ascii="Times New Roman" w:hAnsi="Times New Roman" w:eastAsia="宋体" w:cs="Times New Roman"/>
      <w:lang w:val="en-US" w:eastAsia="zh-CN" w:bidi="ar-SA"/>
    </w:rPr>
  </w:style>
  <w:style w:type="paragraph" w:customStyle="1" w:styleId="183">
    <w:name w:val="标题3 附件1"/>
    <w:basedOn w:val="1"/>
    <w:qFormat/>
    <w:uiPriority w:val="0"/>
    <w:pPr>
      <w:keepNext/>
      <w:keepLines/>
      <w:spacing w:before="340" w:after="330" w:line="360" w:lineRule="exact"/>
      <w:jc w:val="left"/>
      <w:outlineLvl w:val="2"/>
    </w:pPr>
    <w:rPr>
      <w:rFonts w:ascii="Calibri" w:hAnsi="Calibri"/>
      <w:b/>
      <w:bCs/>
      <w:kern w:val="44"/>
      <w:szCs w:val="21"/>
    </w:rPr>
  </w:style>
  <w:style w:type="character" w:customStyle="1" w:styleId="184">
    <w:name w:val="font31"/>
    <w:basedOn w:val="40"/>
    <w:qFormat/>
    <w:uiPriority w:val="0"/>
    <w:rPr>
      <w:rFonts w:hint="default" w:ascii="Times New Roman" w:hAnsi="Times New Roman" w:cs="Times New Roman"/>
      <w:color w:val="000000"/>
      <w:sz w:val="22"/>
      <w:szCs w:val="22"/>
      <w:u w:val="none"/>
    </w:rPr>
  </w:style>
  <w:style w:type="character" w:customStyle="1" w:styleId="185">
    <w:name w:val="font21"/>
    <w:basedOn w:val="40"/>
    <w:qFormat/>
    <w:uiPriority w:val="0"/>
    <w:rPr>
      <w:rFonts w:hint="eastAsia" w:ascii="宋体" w:hAnsi="宋体" w:eastAsia="宋体" w:cs="宋体"/>
      <w:color w:val="000000"/>
      <w:sz w:val="22"/>
      <w:szCs w:val="22"/>
      <w:u w:val="none"/>
    </w:rPr>
  </w:style>
  <w:style w:type="character" w:customStyle="1" w:styleId="186">
    <w:name w:val="font61"/>
    <w:basedOn w:val="40"/>
    <w:qFormat/>
    <w:uiPriority w:val="0"/>
    <w:rPr>
      <w:rFonts w:hint="default" w:ascii="Times New Roman" w:hAnsi="Times New Roman" w:cs="Times New Roman"/>
      <w:color w:val="000000"/>
      <w:sz w:val="22"/>
      <w:szCs w:val="22"/>
      <w:u w:val="none"/>
    </w:rPr>
  </w:style>
  <w:style w:type="character" w:customStyle="1" w:styleId="187">
    <w:name w:val="font11"/>
    <w:basedOn w:val="4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3" Type="http://schemas.openxmlformats.org/officeDocument/2006/relationships/fontTable" Target="fontTable.xml"/><Relationship Id="rId32" Type="http://schemas.openxmlformats.org/officeDocument/2006/relationships/customXml" Target="../customXml/item2.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image" Target="media/image19.png"/><Relationship Id="rId28" Type="http://schemas.openxmlformats.org/officeDocument/2006/relationships/image" Target="media/image18.jpeg"/><Relationship Id="rId27" Type="http://schemas.openxmlformats.org/officeDocument/2006/relationships/image" Target="media/image17.png"/><Relationship Id="rId26" Type="http://schemas.openxmlformats.org/officeDocument/2006/relationships/image" Target="media/image16.png"/><Relationship Id="rId25" Type="http://schemas.openxmlformats.org/officeDocument/2006/relationships/image" Target="media/image15.png"/><Relationship Id="rId24" Type="http://schemas.openxmlformats.org/officeDocument/2006/relationships/image" Target="media/image14.png"/><Relationship Id="rId23" Type="http://schemas.openxmlformats.org/officeDocument/2006/relationships/image" Target="media/image13.jpeg"/><Relationship Id="rId22" Type="http://schemas.openxmlformats.org/officeDocument/2006/relationships/image" Target="media/image12.jpeg"/><Relationship Id="rId21" Type="http://schemas.openxmlformats.org/officeDocument/2006/relationships/image" Target="media/image11.jpeg"/><Relationship Id="rId20" Type="http://schemas.openxmlformats.org/officeDocument/2006/relationships/image" Target="media/image10.jpeg"/><Relationship Id="rId2" Type="http://schemas.openxmlformats.org/officeDocument/2006/relationships/settings" Target="settings.xml"/><Relationship Id="rId19" Type="http://schemas.openxmlformats.org/officeDocument/2006/relationships/image" Target="media/image9.jpeg"/><Relationship Id="rId18" Type="http://schemas.openxmlformats.org/officeDocument/2006/relationships/image" Target="media/image8.png"/><Relationship Id="rId17" Type="http://schemas.openxmlformats.org/officeDocument/2006/relationships/image" Target="media/image7.jpeg"/><Relationship Id="rId16" Type="http://schemas.openxmlformats.org/officeDocument/2006/relationships/image" Target="media/image6.jpeg"/><Relationship Id="rId15" Type="http://schemas.openxmlformats.org/officeDocument/2006/relationships/image" Target="media/image5.jpeg"/><Relationship Id="rId14" Type="http://schemas.openxmlformats.org/officeDocument/2006/relationships/image" Target="media/image4.jpeg"/><Relationship Id="rId13" Type="http://schemas.openxmlformats.org/officeDocument/2006/relationships/image" Target="media/image3.jpe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B6BE0D-7700-442B-9C0F-974A7DC991BC}">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73</Pages>
  <Words>7262</Words>
  <Characters>41396</Characters>
  <Lines>344</Lines>
  <Paragraphs>97</Paragraphs>
  <TotalTime>30</TotalTime>
  <ScaleCrop>false</ScaleCrop>
  <LinksUpToDate>false</LinksUpToDate>
  <CharactersWithSpaces>48561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2016-06-01T11:02:00Z</dcterms:created>
  <dc:creator>Windows 用户</dc:creator>
  <cp:lastModifiedBy>微光</cp:lastModifiedBy>
  <cp:lastPrinted>2020-08-10T04:22:00Z</cp:lastPrinted>
  <dcterms:modified xsi:type="dcterms:W3CDTF">2020-08-13T08:53:02Z</dcterms:modified>
  <dc:title>校园网络改造采购文件</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